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TTEMEASMCA"/>
        <w:rPr>
          <w:lang w:val="es-ES"/>
        </w:rPr>
      </w:pPr>
      <w:bookmarkStart w:id="0" w:name="_Toc129243096"/>
      <w:bookmarkStart w:id="1" w:name="_Toc129243221"/>
      <w:r w:rsidRPr="00341AE9">
        <w:rPr>
          <w:lang w:val="es-ES"/>
        </w:rPr>
        <w:t>I PRIEDAS</w:t>
      </w:r>
      <w:bookmarkEnd w:id="0"/>
      <w:bookmarkEnd w:id="1"/>
    </w:p>
    <w:p w:rsidR="00E27AEA" w:rsidRPr="00341AE9" w:rsidRDefault="00E27AEA" w:rsidP="00E27AEA">
      <w:pPr>
        <w:pStyle w:val="BTEMEASMCA"/>
        <w:rPr>
          <w:noProof w:val="0"/>
        </w:rPr>
      </w:pPr>
    </w:p>
    <w:p w:rsidR="00E27AEA" w:rsidRPr="00341AE9" w:rsidRDefault="00E27AEA" w:rsidP="00E27AEA">
      <w:pPr>
        <w:pStyle w:val="TTEMEASMCA"/>
        <w:rPr>
          <w:lang w:val="es-ES"/>
        </w:rPr>
      </w:pPr>
      <w:bookmarkStart w:id="2" w:name="_Toc129243097"/>
      <w:bookmarkStart w:id="3" w:name="_Toc129243222"/>
      <w:r w:rsidRPr="00341AE9">
        <w:rPr>
          <w:lang w:val="es-ES"/>
        </w:rPr>
        <w:t>PREPARATO CHARAKTERISTIKŲ SANTRAUKA</w:t>
      </w:r>
      <w:bookmarkEnd w:id="2"/>
      <w:bookmarkEnd w:id="3"/>
    </w:p>
    <w:p w:rsidR="00E27AEA" w:rsidRPr="00341AE9" w:rsidRDefault="00E27AEA" w:rsidP="00E27AEA">
      <w:pPr>
        <w:pStyle w:val="Pagrindinistekstas"/>
        <w:spacing w:after="0"/>
        <w:rPr>
          <w:szCs w:val="22"/>
        </w:rPr>
      </w:pPr>
    </w:p>
    <w:p w:rsidR="00E27AEA" w:rsidRPr="00341AE9" w:rsidRDefault="00E27AEA" w:rsidP="00E27AEA">
      <w:pPr>
        <w:pStyle w:val="Antrat2"/>
        <w:ind w:left="567" w:hanging="567"/>
        <w:jc w:val="left"/>
        <w:rPr>
          <w:szCs w:val="22"/>
        </w:rPr>
      </w:pPr>
      <w:r w:rsidRPr="00341AE9">
        <w:rPr>
          <w:szCs w:val="22"/>
        </w:rPr>
        <w:br w:type="page"/>
      </w:r>
      <w:r w:rsidRPr="00341AE9">
        <w:rPr>
          <w:szCs w:val="22"/>
        </w:rPr>
        <w:lastRenderedPageBreak/>
        <w:t>1.</w:t>
      </w:r>
      <w:r w:rsidRPr="00341AE9">
        <w:rPr>
          <w:szCs w:val="22"/>
        </w:rPr>
        <w:tab/>
        <w:t>VAISTINIO PREPARATO PAVADINIMAS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bCs/>
          <w:szCs w:val="22"/>
        </w:rPr>
        <w:t>Thio</w:t>
      </w:r>
      <w:r w:rsidRPr="00341AE9">
        <w:rPr>
          <w:iCs/>
          <w:szCs w:val="22"/>
        </w:rPr>
        <w:t>gamma</w:t>
      </w:r>
      <w:r w:rsidRPr="00341AE9">
        <w:rPr>
          <w:bCs/>
          <w:szCs w:val="22"/>
        </w:rPr>
        <w:t xml:space="preserve"> 30 mg/ml </w:t>
      </w:r>
      <w:r w:rsidRPr="00341AE9">
        <w:rPr>
          <w:szCs w:val="22"/>
        </w:rPr>
        <w:t>koncentratas infuziniam tirpalui</w:t>
      </w:r>
    </w:p>
    <w:p w:rsidR="00E27AEA" w:rsidRPr="00341AE9" w:rsidRDefault="00E27AEA" w:rsidP="00E27AEA">
      <w:pPr>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2"/>
        <w:ind w:left="567" w:hanging="567"/>
        <w:jc w:val="left"/>
        <w:rPr>
          <w:szCs w:val="22"/>
        </w:rPr>
      </w:pPr>
      <w:r w:rsidRPr="00341AE9">
        <w:rPr>
          <w:szCs w:val="22"/>
        </w:rPr>
        <w:t>2.</w:t>
      </w:r>
      <w:r w:rsidRPr="00341AE9">
        <w:rPr>
          <w:szCs w:val="22"/>
        </w:rPr>
        <w:tab/>
        <w:t>KOKYBINĖ IR KIEKYBINĖ SUDĖTIS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Veiklioji medžiaga yra tiokto rūgšties meglumino druska.</w:t>
      </w:r>
    </w:p>
    <w:p w:rsidR="00E27AEA" w:rsidRPr="00341AE9" w:rsidRDefault="00E27AEA" w:rsidP="00E27AEA">
      <w:pPr>
        <w:pStyle w:val="Pagrindinistekstas"/>
        <w:spacing w:after="0"/>
        <w:rPr>
          <w:szCs w:val="22"/>
        </w:rPr>
      </w:pPr>
      <w:r w:rsidRPr="00341AE9">
        <w:rPr>
          <w:szCs w:val="22"/>
        </w:rPr>
        <w:t>1 ml koncentrato infuziniam tirpalui yra 58,39 mg tiokto rūgšties meglumino druskos, atitinkančios 30 mg tiokto rūgšties.</w:t>
      </w:r>
    </w:p>
    <w:p w:rsidR="00E27AEA" w:rsidRPr="00341AE9" w:rsidRDefault="0020196C" w:rsidP="00E27AEA">
      <w:pPr>
        <w:rPr>
          <w:szCs w:val="22"/>
        </w:rPr>
      </w:pPr>
      <w:r>
        <w:rPr>
          <w:szCs w:val="22"/>
        </w:rPr>
        <w:t>Kiekv</w:t>
      </w:r>
      <w:r w:rsidR="00E27AEA" w:rsidRPr="00341AE9">
        <w:rPr>
          <w:szCs w:val="22"/>
        </w:rPr>
        <w:t>ienoje 20 ml koncentrato infuziniam tirpalui ampulėje yra 1167,70 mg tiokto rūgšties meglumino druskos, atitinkančios 600 mg tiokto rūgšties.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Visos pagalbinės medžiagos išvardytos 6.1 skyriuje.</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2"/>
        <w:ind w:left="567" w:hanging="567"/>
        <w:jc w:val="left"/>
        <w:rPr>
          <w:szCs w:val="22"/>
        </w:rPr>
      </w:pPr>
      <w:r w:rsidRPr="00341AE9">
        <w:rPr>
          <w:szCs w:val="22"/>
        </w:rPr>
        <w:t>3.</w:t>
      </w:r>
      <w:r w:rsidRPr="00341AE9">
        <w:rPr>
          <w:szCs w:val="22"/>
        </w:rPr>
        <w:tab/>
        <w:t>FARMACINĖ FORMA</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Koncentratas infuziniam tirpalui.</w:t>
      </w:r>
    </w:p>
    <w:p w:rsidR="00E27AEA" w:rsidRPr="00341AE9" w:rsidRDefault="00E27AEA" w:rsidP="00E27AEA">
      <w:pPr>
        <w:pStyle w:val="Pagrindinistekstas"/>
        <w:spacing w:after="0"/>
        <w:rPr>
          <w:szCs w:val="22"/>
        </w:rPr>
      </w:pPr>
      <w:r w:rsidRPr="00341AE9">
        <w:rPr>
          <w:szCs w:val="22"/>
        </w:rPr>
        <w:t>Skaidrus, gelsvas ar žaliai geltonas skystis.</w:t>
      </w:r>
    </w:p>
    <w:p w:rsidR="00E27AEA" w:rsidRPr="00341AE9" w:rsidRDefault="00E27AEA" w:rsidP="00E27AEA">
      <w:pPr>
        <w:pStyle w:val="Pagrindinistekstas"/>
        <w:spacing w:after="0"/>
        <w:rPr>
          <w:szCs w:val="22"/>
        </w:rPr>
      </w:pPr>
    </w:p>
    <w:p w:rsidR="00E27AEA" w:rsidRPr="00341AE9" w:rsidRDefault="00E27AEA" w:rsidP="00E27AEA">
      <w:pPr>
        <w:pStyle w:val="BTEMEASMCA"/>
      </w:pPr>
      <w:r w:rsidRPr="00341AE9">
        <w:t xml:space="preserve">Po praskiedimo 50 ml 0,9 </w:t>
      </w:r>
      <w:r w:rsidRPr="00341AE9">
        <w:rPr>
          <w:lang w:eastAsia="ko-KR"/>
        </w:rPr>
        <w:t>% natrio chlorido tirpalu, gauto i</w:t>
      </w:r>
      <w:r w:rsidRPr="00341AE9">
        <w:t xml:space="preserve">nfuzinio tirpalo, kuris jau gali būti naudojamas gydymui, pH = 7,8 ir osmoliariškumas  </w:t>
      </w:r>
      <w:r w:rsidRPr="00341AE9">
        <w:rPr>
          <w:lang w:eastAsia="ko-KR"/>
        </w:rPr>
        <w:t>573 mOsmol/l</w:t>
      </w:r>
      <w:r w:rsidRPr="00341AE9">
        <w:t xml:space="preserve">. Atitinkamai praskiedus 250 ml  0,9 </w:t>
      </w:r>
      <w:r w:rsidRPr="00341AE9">
        <w:rPr>
          <w:lang w:eastAsia="ko-KR"/>
        </w:rPr>
        <w:t xml:space="preserve">% natrio chlorido tirpalu, gaunamas pH </w:t>
      </w:r>
      <w:r w:rsidRPr="00341AE9">
        <w:t>=</w:t>
      </w:r>
      <w:r w:rsidRPr="00341AE9">
        <w:rPr>
          <w:lang w:eastAsia="ko-KR"/>
        </w:rPr>
        <w:t xml:space="preserve"> 7,7 ir osmoliariškumas 356 mOsmol/l</w:t>
      </w:r>
      <w:r w:rsidRPr="00341AE9">
        <w:t xml:space="preserve">. </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2"/>
        <w:ind w:left="567" w:hanging="567"/>
        <w:jc w:val="left"/>
        <w:rPr>
          <w:szCs w:val="22"/>
        </w:rPr>
      </w:pPr>
      <w:r w:rsidRPr="00341AE9">
        <w:rPr>
          <w:caps/>
          <w:szCs w:val="22"/>
        </w:rPr>
        <w:t>4.</w:t>
      </w:r>
      <w:r w:rsidRPr="00341AE9">
        <w:rPr>
          <w:caps/>
          <w:szCs w:val="22"/>
        </w:rPr>
        <w:tab/>
      </w:r>
      <w:r w:rsidRPr="00341AE9">
        <w:rPr>
          <w:szCs w:val="22"/>
        </w:rPr>
        <w:t>KLINIKINĖ INFORMACIJA</w:t>
      </w:r>
    </w:p>
    <w:p w:rsidR="00E27AEA" w:rsidRPr="00341AE9" w:rsidRDefault="00E27AEA" w:rsidP="00E27AEA">
      <w:pPr>
        <w:pStyle w:val="Pagrindinistekstas"/>
        <w:spacing w:after="0"/>
        <w:rPr>
          <w:szCs w:val="22"/>
        </w:rPr>
      </w:pPr>
    </w:p>
    <w:p w:rsidR="00E27AEA" w:rsidRPr="00341AE9" w:rsidRDefault="00E27AEA" w:rsidP="00E27AEA">
      <w:pPr>
        <w:pStyle w:val="Antrat3"/>
        <w:ind w:left="567" w:hanging="567"/>
        <w:rPr>
          <w:szCs w:val="22"/>
        </w:rPr>
      </w:pPr>
      <w:r w:rsidRPr="00341AE9">
        <w:rPr>
          <w:szCs w:val="22"/>
        </w:rPr>
        <w:t>4.1</w:t>
      </w:r>
      <w:r w:rsidRPr="00341AE9">
        <w:rPr>
          <w:szCs w:val="22"/>
        </w:rPr>
        <w:tab/>
        <w:t>Terapinės indikacijos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Diabetinės polineuropatijos sukeltų parestezijų gydymas suaugusiems pacientams (vyresniems kaip 18 metų).</w:t>
      </w:r>
    </w:p>
    <w:p w:rsidR="00E27AEA" w:rsidRPr="00341AE9" w:rsidRDefault="00E27AEA" w:rsidP="00E27AEA">
      <w:pPr>
        <w:pStyle w:val="Pagrindinistekstas"/>
        <w:spacing w:after="0"/>
        <w:rPr>
          <w:szCs w:val="22"/>
        </w:rPr>
      </w:pPr>
    </w:p>
    <w:p w:rsidR="00E27AEA" w:rsidRPr="00341AE9" w:rsidRDefault="00E27AEA" w:rsidP="00E27AEA">
      <w:pPr>
        <w:pStyle w:val="Antrat3"/>
        <w:ind w:left="567" w:hanging="567"/>
        <w:rPr>
          <w:szCs w:val="22"/>
        </w:rPr>
      </w:pPr>
      <w:r w:rsidRPr="00341AE9">
        <w:rPr>
          <w:szCs w:val="22"/>
        </w:rPr>
        <w:t>4.2</w:t>
      </w:r>
      <w:r w:rsidRPr="00341AE9">
        <w:rPr>
          <w:szCs w:val="22"/>
        </w:rPr>
        <w:tab/>
        <w:t>Dozavimas ir vartojimo metodas</w:t>
      </w:r>
    </w:p>
    <w:p w:rsidR="00E27AEA" w:rsidRPr="00341AE9" w:rsidRDefault="00E27AEA" w:rsidP="00E27AEA">
      <w:pPr>
        <w:rPr>
          <w:b/>
          <w:szCs w:val="22"/>
        </w:rPr>
      </w:pPr>
    </w:p>
    <w:p w:rsidR="00E27AEA" w:rsidRPr="00341AE9" w:rsidRDefault="00E27AEA" w:rsidP="00E27AEA">
      <w:pPr>
        <w:rPr>
          <w:szCs w:val="22"/>
          <w:u w:val="single"/>
        </w:rPr>
      </w:pPr>
      <w:r w:rsidRPr="00341AE9">
        <w:rPr>
          <w:szCs w:val="22"/>
          <w:u w:val="single"/>
        </w:rPr>
        <w:t>Dozavimas</w:t>
      </w:r>
    </w:p>
    <w:p w:rsidR="00E27AEA" w:rsidRPr="00341AE9" w:rsidRDefault="00E27AEA" w:rsidP="00E27AEA">
      <w:pPr>
        <w:rPr>
          <w:i/>
          <w:szCs w:val="22"/>
          <w:u w:val="single"/>
        </w:rPr>
      </w:pPr>
    </w:p>
    <w:p w:rsidR="00E27AEA" w:rsidRPr="00341AE9" w:rsidRDefault="00E27AEA" w:rsidP="00E27AEA">
      <w:pPr>
        <w:rPr>
          <w:i/>
          <w:szCs w:val="22"/>
        </w:rPr>
      </w:pPr>
      <w:r w:rsidRPr="00341AE9">
        <w:rPr>
          <w:i/>
          <w:szCs w:val="22"/>
        </w:rPr>
        <w:t>Suaugusiems žmonėms</w:t>
      </w:r>
    </w:p>
    <w:p w:rsidR="00E27AEA" w:rsidRPr="00341AE9" w:rsidRDefault="00E27AEA" w:rsidP="00E27AEA">
      <w:pPr>
        <w:rPr>
          <w:szCs w:val="22"/>
        </w:rPr>
      </w:pPr>
      <w:r w:rsidRPr="00341AE9">
        <w:rPr>
          <w:szCs w:val="22"/>
        </w:rPr>
        <w:t>Jei yra su diabetine polineuropatija susiję progresavę sensoriniai sutrikimai, suaugusiems pacientams per parą rekomenduojama infuzuoti vieną 20 ml ampulę, joje esantį koncentratą infuziniam tirpalui prieš tai atskiedus (tokia dozė atitinka 600 mg tiokto rūgšties).</w:t>
      </w:r>
    </w:p>
    <w:p w:rsidR="00E27AEA" w:rsidRPr="00341AE9" w:rsidRDefault="00E27AEA" w:rsidP="00E27AEA">
      <w:pPr>
        <w:rPr>
          <w:szCs w:val="22"/>
        </w:rPr>
      </w:pPr>
    </w:p>
    <w:p w:rsidR="00E27AEA" w:rsidRPr="00341AE9" w:rsidRDefault="00E27AEA" w:rsidP="00E27AEA">
      <w:pPr>
        <w:pStyle w:val="Pagrindinistekstas"/>
        <w:spacing w:after="0"/>
        <w:rPr>
          <w:i/>
          <w:szCs w:val="22"/>
        </w:rPr>
      </w:pPr>
      <w:r w:rsidRPr="00341AE9">
        <w:rPr>
          <w:i/>
          <w:szCs w:val="22"/>
        </w:rPr>
        <w:t>Vaikų populiacija</w:t>
      </w:r>
    </w:p>
    <w:p w:rsidR="00E27AEA" w:rsidRPr="00341AE9" w:rsidRDefault="00E27AEA" w:rsidP="00E27AEA">
      <w:pPr>
        <w:rPr>
          <w:szCs w:val="22"/>
        </w:rPr>
      </w:pPr>
      <w:r w:rsidRPr="00341AE9">
        <w:rPr>
          <w:noProof/>
          <w:szCs w:val="22"/>
        </w:rPr>
        <w:t>Thiogamma saugumas ir veiksmingumas vaikams neištirti.</w:t>
      </w:r>
    </w:p>
    <w:p w:rsidR="00E27AEA" w:rsidRPr="00341AE9" w:rsidRDefault="00E27AEA" w:rsidP="00E27AEA">
      <w:pPr>
        <w:rPr>
          <w:szCs w:val="22"/>
        </w:rPr>
      </w:pPr>
      <w:r w:rsidRPr="00341AE9">
        <w:rPr>
          <w:noProof/>
          <w:szCs w:val="22"/>
        </w:rPr>
        <w:t>Duomenų nėra.</w:t>
      </w:r>
      <w:r w:rsidRPr="00341AE9">
        <w:rPr>
          <w:szCs w:val="22"/>
        </w:rPr>
        <w:t xml:space="preserve"> </w:t>
      </w:r>
    </w:p>
    <w:p w:rsidR="00E27AEA" w:rsidRPr="00341AE9" w:rsidRDefault="00E27AEA" w:rsidP="00E27AEA">
      <w:pPr>
        <w:rPr>
          <w:szCs w:val="22"/>
          <w:u w:val="single"/>
        </w:rPr>
      </w:pPr>
    </w:p>
    <w:p w:rsidR="00E27AEA" w:rsidRPr="00341AE9" w:rsidRDefault="00E27AEA" w:rsidP="00E27AEA">
      <w:pPr>
        <w:rPr>
          <w:szCs w:val="22"/>
          <w:u w:val="single"/>
        </w:rPr>
      </w:pPr>
      <w:r w:rsidRPr="00341AE9">
        <w:rPr>
          <w:szCs w:val="22"/>
          <w:u w:val="single"/>
        </w:rPr>
        <w:t>Vartojimo metodas</w:t>
      </w:r>
    </w:p>
    <w:p w:rsidR="00E27AEA" w:rsidRPr="00341AE9" w:rsidRDefault="00E27AEA" w:rsidP="00E27AEA">
      <w:pPr>
        <w:rPr>
          <w:szCs w:val="22"/>
          <w:u w:val="single"/>
        </w:rPr>
      </w:pPr>
    </w:p>
    <w:p w:rsidR="00E27AEA" w:rsidRPr="00341AE9" w:rsidRDefault="00E27AEA" w:rsidP="00E27AEA">
      <w:pPr>
        <w:rPr>
          <w:szCs w:val="22"/>
        </w:rPr>
      </w:pPr>
      <w:r w:rsidRPr="00341AE9">
        <w:rPr>
          <w:szCs w:val="22"/>
        </w:rPr>
        <w:t xml:space="preserve">Praskiestas koncentratas infuziniam tirpalui leidžiamas į veną. </w:t>
      </w:r>
    </w:p>
    <w:p w:rsidR="00E27AEA" w:rsidRPr="00341AE9" w:rsidRDefault="00E27AEA" w:rsidP="00E27AEA">
      <w:pPr>
        <w:pStyle w:val="Pagrindinistekstas"/>
        <w:spacing w:after="0"/>
        <w:rPr>
          <w:szCs w:val="22"/>
        </w:rPr>
      </w:pPr>
    </w:p>
    <w:p w:rsidR="00E27AEA" w:rsidRPr="00341AE9" w:rsidRDefault="00E27AEA" w:rsidP="00E27AEA">
      <w:pPr>
        <w:autoSpaceDE w:val="0"/>
        <w:autoSpaceDN w:val="0"/>
        <w:adjustRightInd w:val="0"/>
        <w:rPr>
          <w:szCs w:val="22"/>
        </w:rPr>
      </w:pPr>
      <w:r w:rsidRPr="00341AE9">
        <w:rPr>
          <w:szCs w:val="22"/>
        </w:rPr>
        <w:t>Infuzinį tirpalą reikia ruošti prieš pat vartojimą, kadangi veiklioji medžiaga yra jautri šviesai. Infuzinį tirpalą būtina apsaugoti nuo šviesos, tam panaudojant aliuminio foliją arba apsauginį prikabinamą maišelį. Paruoštą infuzinį tirpalą apsaugotoje nuo šviesos vietoje galima laikyti 6 valandas.</w:t>
      </w:r>
    </w:p>
    <w:p w:rsidR="00E27AEA" w:rsidRPr="00341AE9" w:rsidRDefault="00E27AEA" w:rsidP="00E27AEA">
      <w:pPr>
        <w:rPr>
          <w:szCs w:val="22"/>
        </w:rPr>
      </w:pPr>
      <w:r w:rsidRPr="00341AE9">
        <w:rPr>
          <w:szCs w:val="22"/>
        </w:rPr>
        <w:t>Paruoštas infuzinis tirpalas yra skaidrus, silpnesnio intensyvumo nei koncentrato gelsvos ar žaliai-geltonos spalvos skystis.</w:t>
      </w:r>
    </w:p>
    <w:p w:rsidR="00E27AEA" w:rsidRPr="00341AE9" w:rsidRDefault="00E27AEA" w:rsidP="00E27AEA">
      <w:pPr>
        <w:rPr>
          <w:szCs w:val="22"/>
        </w:rPr>
      </w:pPr>
    </w:p>
    <w:p w:rsidR="00E27AEA" w:rsidRPr="00341AE9" w:rsidRDefault="00E27AEA" w:rsidP="00E27AEA">
      <w:pPr>
        <w:rPr>
          <w:szCs w:val="22"/>
          <w:u w:val="single"/>
        </w:rPr>
      </w:pPr>
      <w:r w:rsidRPr="00341AE9">
        <w:rPr>
          <w:szCs w:val="22"/>
          <w:u w:val="single"/>
        </w:rPr>
        <w:t>Vartojimo trukmė</w:t>
      </w:r>
    </w:p>
    <w:p w:rsidR="00E27AEA" w:rsidRPr="00341AE9" w:rsidRDefault="00E27AEA" w:rsidP="00E27AEA">
      <w:pPr>
        <w:rPr>
          <w:szCs w:val="22"/>
          <w:u w:val="single"/>
        </w:rPr>
      </w:pPr>
    </w:p>
    <w:p w:rsidR="00E27AEA" w:rsidRPr="00341AE9" w:rsidRDefault="00E27AEA" w:rsidP="00E27AEA">
      <w:pPr>
        <w:rPr>
          <w:szCs w:val="22"/>
        </w:rPr>
      </w:pPr>
      <w:r w:rsidRPr="00341AE9">
        <w:rPr>
          <w:szCs w:val="22"/>
        </w:rPr>
        <w:t xml:space="preserve">Koncentrato infuziniam tirpalui rekomenduojama lašinti į veną pradiniu gydymo laikotarpiu (2 – 4 savaites). </w:t>
      </w:r>
    </w:p>
    <w:p w:rsidR="00E27AEA" w:rsidRPr="00341AE9" w:rsidRDefault="00E27AEA" w:rsidP="00E27AEA">
      <w:pPr>
        <w:rPr>
          <w:szCs w:val="22"/>
        </w:rPr>
      </w:pPr>
      <w:r w:rsidRPr="00341AE9">
        <w:rPr>
          <w:szCs w:val="22"/>
        </w:rPr>
        <w:t>Vėlesniu gydymo etapu būtina vartoti 300 mg arba 600 mg geriamojo tiokto rūgšties preparato. Diabetinė polineuropatija yra lėtinė liga, todėl ją gali tekti gydyti ilgai.</w:t>
      </w:r>
    </w:p>
    <w:p w:rsidR="00E27AEA" w:rsidRPr="00341AE9" w:rsidRDefault="00E27AEA" w:rsidP="00E27AEA">
      <w:pPr>
        <w:rPr>
          <w:szCs w:val="22"/>
        </w:rPr>
      </w:pPr>
    </w:p>
    <w:p w:rsidR="00E27AEA" w:rsidRPr="00341AE9" w:rsidRDefault="00E27AEA" w:rsidP="00E27AEA">
      <w:pPr>
        <w:rPr>
          <w:szCs w:val="22"/>
        </w:rPr>
      </w:pPr>
      <w:r w:rsidRPr="00341AE9">
        <w:rPr>
          <w:szCs w:val="22"/>
        </w:rPr>
        <w:t>Diabetinės polineuropatijos gydymo pagrindas yra optimali cukrinio diabeto kontrolė.</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3"/>
        <w:ind w:left="567" w:hanging="567"/>
        <w:rPr>
          <w:szCs w:val="22"/>
        </w:rPr>
      </w:pPr>
      <w:r w:rsidRPr="00341AE9">
        <w:rPr>
          <w:szCs w:val="22"/>
        </w:rPr>
        <w:t>4.3</w:t>
      </w:r>
      <w:r w:rsidRPr="00341AE9">
        <w:rPr>
          <w:szCs w:val="22"/>
        </w:rPr>
        <w:tab/>
        <w:t>Kontraindikacijos</w:t>
      </w:r>
    </w:p>
    <w:p w:rsidR="00E27AEA" w:rsidRPr="00341AE9" w:rsidRDefault="00E27AEA" w:rsidP="00E27AEA">
      <w:pPr>
        <w:pStyle w:val="Pagrindinistekstas"/>
        <w:spacing w:after="0"/>
        <w:rPr>
          <w:szCs w:val="22"/>
        </w:rPr>
      </w:pPr>
    </w:p>
    <w:p w:rsidR="00E27AEA" w:rsidRPr="00341AE9" w:rsidRDefault="00E27AEA" w:rsidP="00E27AEA">
      <w:pPr>
        <w:rPr>
          <w:szCs w:val="22"/>
        </w:rPr>
      </w:pPr>
      <w:r w:rsidRPr="00341AE9">
        <w:rPr>
          <w:szCs w:val="22"/>
        </w:rPr>
        <w:t>Padidėjęs jautrumas veikliajai arba bet 6.1 skyriuje nurodytai kuriai pagalbinei medžiagai.</w:t>
      </w:r>
    </w:p>
    <w:p w:rsidR="00E27AEA" w:rsidRPr="00341AE9" w:rsidRDefault="00E27AEA" w:rsidP="00E27AEA">
      <w:pPr>
        <w:pStyle w:val="Pagrindinistekstas"/>
        <w:spacing w:after="0"/>
        <w:rPr>
          <w:szCs w:val="22"/>
        </w:rPr>
      </w:pPr>
    </w:p>
    <w:p w:rsidR="00E27AEA" w:rsidRPr="00341AE9" w:rsidRDefault="00E27AEA" w:rsidP="00E27AEA">
      <w:pPr>
        <w:pStyle w:val="Antrat3"/>
        <w:ind w:left="567" w:hanging="567"/>
        <w:rPr>
          <w:szCs w:val="22"/>
        </w:rPr>
      </w:pPr>
      <w:r w:rsidRPr="00341AE9">
        <w:rPr>
          <w:szCs w:val="22"/>
        </w:rPr>
        <w:t>4.4</w:t>
      </w:r>
      <w:r w:rsidRPr="00341AE9">
        <w:rPr>
          <w:szCs w:val="22"/>
        </w:rPr>
        <w:tab/>
        <w:t>Specialūs įspėjimai ir atsargumo priemonės</w:t>
      </w:r>
    </w:p>
    <w:p w:rsidR="00E27AEA" w:rsidRPr="00341AE9" w:rsidRDefault="00E27AEA" w:rsidP="00E27AEA">
      <w:pPr>
        <w:pStyle w:val="Pagrindinistekstas"/>
        <w:spacing w:after="0"/>
        <w:rPr>
          <w:szCs w:val="22"/>
        </w:rPr>
      </w:pPr>
    </w:p>
    <w:p w:rsidR="00110C0C" w:rsidRPr="00737D68" w:rsidRDefault="00110C0C" w:rsidP="00110C0C">
      <w:r w:rsidRPr="00737D68">
        <w:t>Taikant gydymą tiokto rūgštimi, tarp pacientų nustatyta autoimuninio insulino sindromo (AIS) atvejų. Taikant gydymą tiokto rūgštimi, pacientai, turintys tokius žmogaus leukocitų antigeno alelius, kaip HLA-DRB1*04:06 ir HLA-DRB1*04:03, labiau linkę susirgti AIS. HLA-DRB1*04:03 alelis (imlumo AIS rizikos koeficientas – 1,6) ypač paplitęs tarp europidų rasės žmonių, daugiau pietinėje, nei šiaurinėje Europoje, o HLA-DRB1*04:06 alelis (imlumas AIS rizikos koeficientas – 56,6) ypač paplitęs tarp japonų ir korėjiečių pacientų.</w:t>
      </w:r>
    </w:p>
    <w:p w:rsidR="00110C0C" w:rsidRDefault="00110C0C" w:rsidP="00110C0C"/>
    <w:p w:rsidR="00110C0C" w:rsidRDefault="00110C0C" w:rsidP="00110C0C">
      <w:r w:rsidRPr="00737D68">
        <w:t>Į AIS galimybę reikėtų atsižvelgti atliekant diferencinę spontaninės hipoglikemijos diagnostiką tiokto rūgštimi gydomiems pacientams (žr. 4.8 skyrių).</w:t>
      </w:r>
    </w:p>
    <w:p w:rsidR="00110C0C" w:rsidRDefault="00110C0C" w:rsidP="00E27AEA">
      <w:pPr>
        <w:rPr>
          <w:szCs w:val="22"/>
        </w:rPr>
      </w:pPr>
    </w:p>
    <w:p w:rsidR="00E27AEA" w:rsidRPr="00341AE9" w:rsidRDefault="00E27AEA" w:rsidP="00E27AEA">
      <w:pPr>
        <w:rPr>
          <w:szCs w:val="22"/>
        </w:rPr>
      </w:pPr>
      <w:r w:rsidRPr="00341AE9">
        <w:rPr>
          <w:szCs w:val="22"/>
        </w:rPr>
        <w:t xml:space="preserve">Parenteriniu būdu vartojant </w:t>
      </w:r>
      <w:r w:rsidRPr="00341AE9">
        <w:rPr>
          <w:bCs/>
          <w:szCs w:val="22"/>
        </w:rPr>
        <w:t>Thio</w:t>
      </w:r>
      <w:r w:rsidRPr="00341AE9">
        <w:rPr>
          <w:iCs/>
          <w:szCs w:val="22"/>
        </w:rPr>
        <w:t>gamma</w:t>
      </w:r>
      <w:r w:rsidRPr="00341AE9">
        <w:rPr>
          <w:bCs/>
          <w:szCs w:val="22"/>
        </w:rPr>
        <w:t xml:space="preserve">, buvo padidėjusio jautrumo reakcijų (net anafilaksinio šoko) atvejų </w:t>
      </w:r>
      <w:r w:rsidRPr="00341AE9">
        <w:rPr>
          <w:szCs w:val="22"/>
        </w:rPr>
        <w:t>(žr. 4.8 skyrių), todėl pacientus būtina tinkamai stebėti. Jeigu atsiranda ankstyvųjų simptomų (pvz., niežulys, pykinimas, bloga savijauta ir pan.), vaistinio preparato vartojimą būtina nedelsiant nutraukti. Gali prireikti papildomų gydymo priemonių.</w:t>
      </w:r>
    </w:p>
    <w:p w:rsidR="00E27AEA" w:rsidRPr="00341AE9" w:rsidRDefault="00E27AEA" w:rsidP="00E27AEA">
      <w:pPr>
        <w:pStyle w:val="Pagrindinistekstas"/>
        <w:spacing w:after="0"/>
        <w:rPr>
          <w:szCs w:val="22"/>
        </w:rPr>
      </w:pPr>
    </w:p>
    <w:p w:rsidR="00E27AEA" w:rsidRPr="00341AE9" w:rsidRDefault="00E27AEA" w:rsidP="00E27AEA">
      <w:pPr>
        <w:pStyle w:val="Antrat3"/>
        <w:ind w:left="567" w:hanging="567"/>
        <w:rPr>
          <w:szCs w:val="22"/>
        </w:rPr>
      </w:pPr>
      <w:r w:rsidRPr="00341AE9">
        <w:rPr>
          <w:szCs w:val="22"/>
        </w:rPr>
        <w:t>4.5</w:t>
      </w:r>
      <w:r w:rsidRPr="00341AE9">
        <w:rPr>
          <w:szCs w:val="22"/>
        </w:rPr>
        <w:tab/>
        <w:t>Sąveika su kitais vaistiniais preparatais ir kitokia sąveika</w:t>
      </w:r>
    </w:p>
    <w:p w:rsidR="00E27AEA" w:rsidRPr="00341AE9" w:rsidRDefault="00E27AEA" w:rsidP="00E27AEA">
      <w:pPr>
        <w:pStyle w:val="Pagrindinistekstas"/>
        <w:spacing w:after="0"/>
        <w:rPr>
          <w:szCs w:val="22"/>
        </w:rPr>
      </w:pPr>
    </w:p>
    <w:p w:rsidR="00E27AEA" w:rsidRPr="00341AE9" w:rsidRDefault="00E27AEA" w:rsidP="00E27AEA">
      <w:pPr>
        <w:autoSpaceDE w:val="0"/>
        <w:autoSpaceDN w:val="0"/>
        <w:adjustRightInd w:val="0"/>
        <w:rPr>
          <w:szCs w:val="22"/>
        </w:rPr>
      </w:pPr>
      <w:bookmarkStart w:id="4" w:name="OLE_LINK7"/>
      <w:bookmarkStart w:id="5" w:name="OLE_LINK8"/>
      <w:r w:rsidRPr="00341AE9">
        <w:rPr>
          <w:bCs/>
          <w:szCs w:val="22"/>
        </w:rPr>
        <w:t>Thio</w:t>
      </w:r>
      <w:r w:rsidRPr="00341AE9">
        <w:rPr>
          <w:iCs/>
          <w:szCs w:val="22"/>
        </w:rPr>
        <w:t>gamma</w:t>
      </w:r>
      <w:r w:rsidRPr="00341AE9">
        <w:rPr>
          <w:bCs/>
          <w:szCs w:val="22"/>
        </w:rPr>
        <w:t xml:space="preserve"> </w:t>
      </w:r>
      <w:r w:rsidRPr="00341AE9">
        <w:rPr>
          <w:szCs w:val="22"/>
        </w:rPr>
        <w:t>mažina kartu vartojamos cisplatinos veiksmingumą.</w:t>
      </w:r>
    </w:p>
    <w:p w:rsidR="00E27AEA" w:rsidRPr="00341AE9" w:rsidRDefault="00E27AEA" w:rsidP="00E27AEA">
      <w:pPr>
        <w:autoSpaceDE w:val="0"/>
        <w:autoSpaceDN w:val="0"/>
        <w:adjustRightInd w:val="0"/>
        <w:rPr>
          <w:szCs w:val="22"/>
        </w:rPr>
      </w:pPr>
    </w:p>
    <w:p w:rsidR="00E27AEA" w:rsidRPr="00341AE9" w:rsidRDefault="00E27AEA" w:rsidP="00E27AEA">
      <w:pPr>
        <w:autoSpaceDE w:val="0"/>
        <w:autoSpaceDN w:val="0"/>
        <w:adjustRightInd w:val="0"/>
        <w:rPr>
          <w:szCs w:val="22"/>
        </w:rPr>
      </w:pPr>
      <w:r w:rsidRPr="00341AE9">
        <w:rPr>
          <w:spacing w:val="-2"/>
          <w:szCs w:val="22"/>
        </w:rPr>
        <w:t>Gali</w:t>
      </w:r>
      <w:r w:rsidRPr="00341AE9">
        <w:rPr>
          <w:szCs w:val="22"/>
        </w:rPr>
        <w:t xml:space="preserve"> sustiprėti kartu vartojamų insulino ir geriamųjų vaistinių preparatų nuo diabeto gliukozės koncentraciją kraujyje mažinantis poveikis. Būtina atidžiai sekti gliukozės koncentraciją kraujyje, ypač gydymo tiokto</w:t>
      </w:r>
      <w:r w:rsidRPr="00341AE9">
        <w:rPr>
          <w:spacing w:val="-2"/>
          <w:szCs w:val="22"/>
        </w:rPr>
        <w:t xml:space="preserve"> rūgštimi </w:t>
      </w:r>
      <w:r w:rsidRPr="00341AE9">
        <w:rPr>
          <w:szCs w:val="22"/>
        </w:rPr>
        <w:t>pradžioje. Siekiant išvengti hipoglikemijos, pavieniais atvejais gali tekti mažinti insulino arba geriamųjų vaistinių preparatų nuo diabeto dozę.</w:t>
      </w:r>
    </w:p>
    <w:bookmarkEnd w:id="4"/>
    <w:bookmarkEnd w:id="5"/>
    <w:p w:rsidR="00E27AEA" w:rsidRPr="00341AE9" w:rsidRDefault="00E27AEA" w:rsidP="00E27AEA">
      <w:pPr>
        <w:rPr>
          <w:szCs w:val="22"/>
        </w:rPr>
      </w:pPr>
    </w:p>
    <w:p w:rsidR="00E27AEA" w:rsidRPr="00341AE9" w:rsidRDefault="00E27AEA" w:rsidP="00E27AEA">
      <w:pPr>
        <w:rPr>
          <w:szCs w:val="22"/>
          <w:u w:val="single"/>
        </w:rPr>
      </w:pPr>
      <w:r w:rsidRPr="00341AE9">
        <w:rPr>
          <w:szCs w:val="22"/>
          <w:u w:val="single"/>
        </w:rPr>
        <w:t>Pastaba</w:t>
      </w:r>
    </w:p>
    <w:p w:rsidR="00E27AEA" w:rsidRPr="00341AE9" w:rsidRDefault="00E27AEA" w:rsidP="00E27AEA">
      <w:pPr>
        <w:rPr>
          <w:szCs w:val="22"/>
        </w:rPr>
      </w:pPr>
      <w:r w:rsidRPr="00341AE9">
        <w:rPr>
          <w:szCs w:val="22"/>
        </w:rPr>
        <w:t xml:space="preserve">Reguliarus alkoholio vartojimas yra svarbus rizikos veiksnys, skatinantis neuropatinių sutrikimų atsiradimą bei progresavimą, jis gali mažinti gydymo </w:t>
      </w:r>
      <w:r w:rsidRPr="00341AE9">
        <w:rPr>
          <w:bCs/>
          <w:szCs w:val="22"/>
        </w:rPr>
        <w:t>Thio</w:t>
      </w:r>
      <w:r w:rsidRPr="00341AE9">
        <w:rPr>
          <w:iCs/>
          <w:szCs w:val="22"/>
        </w:rPr>
        <w:t>gamma</w:t>
      </w:r>
      <w:r w:rsidRPr="00341AE9">
        <w:rPr>
          <w:bCs/>
          <w:szCs w:val="22"/>
        </w:rPr>
        <w:t xml:space="preserve"> veiksmingumą. </w:t>
      </w:r>
      <w:r w:rsidRPr="00341AE9">
        <w:rPr>
          <w:szCs w:val="22"/>
        </w:rPr>
        <w:t>Pacientams, sergantiems diabetine polineuropatija, rekomenduojama nevartoti alkoholio net ir laikotarpiais, kai nesigydoma.</w:t>
      </w:r>
    </w:p>
    <w:p w:rsidR="00E27AEA" w:rsidRPr="00341AE9" w:rsidRDefault="00E27AEA" w:rsidP="00E27AEA">
      <w:pPr>
        <w:pStyle w:val="Pagrindinistekstas"/>
        <w:spacing w:after="0"/>
        <w:rPr>
          <w:szCs w:val="22"/>
        </w:rPr>
      </w:pPr>
    </w:p>
    <w:p w:rsidR="00E27AEA" w:rsidRPr="00341AE9" w:rsidRDefault="00E27AEA" w:rsidP="00E27AEA">
      <w:pPr>
        <w:pStyle w:val="Antrat3"/>
        <w:ind w:left="567" w:hanging="567"/>
        <w:rPr>
          <w:szCs w:val="22"/>
        </w:rPr>
      </w:pPr>
      <w:r w:rsidRPr="00341AE9">
        <w:rPr>
          <w:szCs w:val="22"/>
        </w:rPr>
        <w:t>4.6</w:t>
      </w:r>
      <w:r w:rsidRPr="00341AE9">
        <w:rPr>
          <w:szCs w:val="22"/>
        </w:rPr>
        <w:tab/>
        <w:t>Vaisingumas, nėštumo ir žindymo laikotarpis</w:t>
      </w:r>
    </w:p>
    <w:p w:rsidR="00E27AEA" w:rsidRPr="00341AE9" w:rsidRDefault="00E27AEA" w:rsidP="00E27AEA">
      <w:pPr>
        <w:pStyle w:val="Pagrindinistekstas"/>
        <w:spacing w:after="0"/>
        <w:rPr>
          <w:szCs w:val="22"/>
        </w:rPr>
      </w:pPr>
    </w:p>
    <w:p w:rsidR="00E27AEA" w:rsidRPr="00341AE9" w:rsidRDefault="00E27AEA" w:rsidP="00E27AEA">
      <w:pPr>
        <w:pStyle w:val="knZulassung02"/>
        <w:ind w:left="0"/>
        <w:rPr>
          <w:sz w:val="22"/>
          <w:szCs w:val="22"/>
          <w:lang w:val="lt-LT"/>
        </w:rPr>
      </w:pPr>
      <w:r w:rsidRPr="00341AE9">
        <w:rPr>
          <w:sz w:val="22"/>
          <w:szCs w:val="22"/>
          <w:lang w:val="lt-LT"/>
        </w:rPr>
        <w:t>Pagrindinis farmakoterapijos nėštumo bei žindymo laikotarpiu principas teigia, kad tokiu laikotarpiu vaistinių preparatų galima vartoti tik atidžiai apsvarsčius pavojų ir naudą.</w:t>
      </w:r>
    </w:p>
    <w:p w:rsidR="00E27AEA" w:rsidRPr="00341AE9" w:rsidRDefault="00E27AEA" w:rsidP="00E27AEA">
      <w:pPr>
        <w:rPr>
          <w:szCs w:val="22"/>
        </w:rPr>
      </w:pPr>
      <w:r w:rsidRPr="00341AE9">
        <w:rPr>
          <w:szCs w:val="22"/>
        </w:rPr>
        <w:t xml:space="preserve">Nors toksinio poveikio reprodukcijai tyrimų metu ši veiklioji medžiaga poveikio vaisingumui ir ankstyvam vaisiaus vystymuisi bei teratogeninio poveikio nesukėlė, nėščias bei krūtimi maitinančias moteris tiokto rūgštimi galima </w:t>
      </w:r>
      <w:r w:rsidR="00E04B1E">
        <w:rPr>
          <w:szCs w:val="22"/>
        </w:rPr>
        <w:t xml:space="preserve">gydyti </w:t>
      </w:r>
      <w:r w:rsidRPr="00341AE9">
        <w:rPr>
          <w:szCs w:val="22"/>
        </w:rPr>
        <w:t>tik, gydytojo manymu, būtinu atveju.</w:t>
      </w:r>
    </w:p>
    <w:p w:rsidR="00E27AEA" w:rsidRPr="00341AE9" w:rsidRDefault="00E27AEA" w:rsidP="00E27AEA">
      <w:pPr>
        <w:rPr>
          <w:szCs w:val="22"/>
        </w:rPr>
      </w:pPr>
    </w:p>
    <w:p w:rsidR="00E27AEA" w:rsidRPr="00341AE9" w:rsidRDefault="00E27AEA" w:rsidP="00E27AEA">
      <w:pPr>
        <w:rPr>
          <w:szCs w:val="22"/>
        </w:rPr>
      </w:pPr>
      <w:r w:rsidRPr="00341AE9">
        <w:rPr>
          <w:szCs w:val="22"/>
        </w:rPr>
        <w:t>Ar tiokto rūgšties patenka į moters pieną, nežinoma.</w:t>
      </w:r>
    </w:p>
    <w:p w:rsidR="00E27AEA" w:rsidRPr="00341AE9" w:rsidRDefault="00E27AEA" w:rsidP="00E27AEA">
      <w:pPr>
        <w:rPr>
          <w:szCs w:val="22"/>
        </w:rPr>
      </w:pPr>
    </w:p>
    <w:p w:rsidR="00E27AEA" w:rsidRPr="00341AE9" w:rsidRDefault="00E27AEA" w:rsidP="00E27AEA">
      <w:pPr>
        <w:pStyle w:val="Antrat3"/>
        <w:ind w:left="567" w:hanging="567"/>
        <w:rPr>
          <w:szCs w:val="22"/>
        </w:rPr>
      </w:pPr>
      <w:r w:rsidRPr="00341AE9">
        <w:rPr>
          <w:szCs w:val="22"/>
        </w:rPr>
        <w:t>4.7</w:t>
      </w:r>
      <w:r w:rsidRPr="00341AE9">
        <w:rPr>
          <w:szCs w:val="22"/>
        </w:rPr>
        <w:tab/>
        <w:t>Poveikis gebėjimui vairuoti ir valdyti mechanizmus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bCs/>
          <w:szCs w:val="22"/>
        </w:rPr>
        <w:lastRenderedPageBreak/>
        <w:t>Thio</w:t>
      </w:r>
      <w:r w:rsidRPr="00341AE9">
        <w:rPr>
          <w:iCs/>
          <w:szCs w:val="22"/>
        </w:rPr>
        <w:t>gamma</w:t>
      </w:r>
      <w:r w:rsidRPr="00341AE9">
        <w:rPr>
          <w:bCs/>
          <w:szCs w:val="22"/>
        </w:rPr>
        <w:t xml:space="preserve"> </w:t>
      </w:r>
      <w:r w:rsidRPr="00341AE9">
        <w:rPr>
          <w:szCs w:val="22"/>
        </w:rPr>
        <w:t>gebėjimo vairuoti ir valdyti mechanizmus neveikia.</w:t>
      </w:r>
      <w:r w:rsidRPr="00341AE9" w:rsidDel="00EB11AA">
        <w:rPr>
          <w:szCs w:val="22"/>
        </w:rPr>
        <w:t xml:space="preserve"> </w:t>
      </w:r>
    </w:p>
    <w:p w:rsidR="00E27AEA" w:rsidRPr="00341AE9" w:rsidRDefault="00E27AEA" w:rsidP="00E27AEA">
      <w:pPr>
        <w:pStyle w:val="Pagrindinistekstas"/>
        <w:spacing w:after="0"/>
        <w:rPr>
          <w:szCs w:val="22"/>
        </w:rPr>
      </w:pPr>
    </w:p>
    <w:p w:rsidR="00E27AEA" w:rsidRPr="00341AE9" w:rsidRDefault="00E27AEA" w:rsidP="00E27AEA">
      <w:pPr>
        <w:pStyle w:val="Antrat3"/>
        <w:ind w:left="567" w:hanging="567"/>
        <w:rPr>
          <w:szCs w:val="22"/>
        </w:rPr>
      </w:pPr>
      <w:r w:rsidRPr="00341AE9">
        <w:rPr>
          <w:szCs w:val="22"/>
        </w:rPr>
        <w:t>4.8</w:t>
      </w:r>
      <w:r w:rsidRPr="00341AE9">
        <w:rPr>
          <w:szCs w:val="22"/>
        </w:rPr>
        <w:tab/>
        <w:t>Nepageidaujamas poveikis</w:t>
      </w:r>
    </w:p>
    <w:p w:rsidR="00E27AEA" w:rsidRPr="00341AE9" w:rsidRDefault="00E27AEA" w:rsidP="00E27AEA">
      <w:pPr>
        <w:pStyle w:val="Pagrindinistekstas"/>
        <w:spacing w:after="0"/>
        <w:rPr>
          <w:szCs w:val="22"/>
        </w:rPr>
      </w:pPr>
    </w:p>
    <w:p w:rsidR="00E27AEA" w:rsidRPr="00341AE9" w:rsidRDefault="00E27AEA" w:rsidP="00E27AEA">
      <w:pPr>
        <w:rPr>
          <w:snapToGrid w:val="0"/>
          <w:szCs w:val="22"/>
          <w:lang w:eastAsia="en-US"/>
        </w:rPr>
      </w:pPr>
      <w:r w:rsidRPr="00341AE9">
        <w:rPr>
          <w:snapToGrid w:val="0"/>
          <w:szCs w:val="22"/>
          <w:lang w:eastAsia="en-US"/>
        </w:rPr>
        <w:t>Nepageidaujamo poveikio dažnis apibūdinamas taip: labai dažnas (≥ 1/10), dažnas (nuo ≥ 1/100 iki &lt; 1/10), nedažnas (nuo ≥ 1/1000 iki &lt; 1/100), retas (nuo ≥ 1/10000 iki &lt; 1/1000), labai retas (&lt; 1/10000) ir nežinomas (negali būti apskaičiuotas pagal turimus duomenis).</w:t>
      </w:r>
    </w:p>
    <w:p w:rsidR="00E27AEA" w:rsidRPr="00341AE9" w:rsidRDefault="00E27AEA" w:rsidP="00E27AEA">
      <w:pPr>
        <w:rPr>
          <w:szCs w:val="22"/>
        </w:rPr>
      </w:pPr>
    </w:p>
    <w:p w:rsidR="00E27AEA" w:rsidRPr="00341AE9" w:rsidRDefault="00E27AEA" w:rsidP="00E27AEA">
      <w:pPr>
        <w:rPr>
          <w:bCs/>
          <w:i/>
          <w:iCs/>
          <w:szCs w:val="22"/>
        </w:rPr>
      </w:pPr>
      <w:r w:rsidRPr="00341AE9">
        <w:rPr>
          <w:bCs/>
          <w:i/>
          <w:iCs/>
          <w:szCs w:val="22"/>
        </w:rPr>
        <w:t>Kraujo ir limfinės sistemos sutrikimai</w:t>
      </w:r>
    </w:p>
    <w:p w:rsidR="00E27AEA" w:rsidRPr="00341AE9" w:rsidRDefault="00E27AEA" w:rsidP="00E27AEA">
      <w:pPr>
        <w:rPr>
          <w:szCs w:val="22"/>
        </w:rPr>
      </w:pPr>
      <w:r w:rsidRPr="00341AE9">
        <w:rPr>
          <w:szCs w:val="22"/>
        </w:rPr>
        <w:t>Labai retas: buvo labai retų pranešimų apie po tiokto rūgšties sušvirkštimo į veną pasireiškusią trombopatiją.</w:t>
      </w:r>
    </w:p>
    <w:p w:rsidR="00E27AEA" w:rsidRPr="00341AE9" w:rsidRDefault="00E27AEA" w:rsidP="00E27AEA">
      <w:pPr>
        <w:rPr>
          <w:szCs w:val="22"/>
        </w:rPr>
      </w:pPr>
    </w:p>
    <w:p w:rsidR="00E27AEA" w:rsidRPr="00341AE9" w:rsidRDefault="00E27AEA" w:rsidP="00E27AEA">
      <w:pPr>
        <w:rPr>
          <w:i/>
          <w:szCs w:val="22"/>
        </w:rPr>
      </w:pPr>
      <w:r w:rsidRPr="00341AE9">
        <w:rPr>
          <w:bCs/>
          <w:i/>
          <w:iCs/>
          <w:szCs w:val="22"/>
        </w:rPr>
        <w:t>Imuninės sistemos sutrikimai</w:t>
      </w:r>
    </w:p>
    <w:p w:rsidR="00E27AEA" w:rsidRPr="00341AE9" w:rsidRDefault="00E27AEA" w:rsidP="00E27AEA">
      <w:pPr>
        <w:rPr>
          <w:szCs w:val="22"/>
        </w:rPr>
      </w:pPr>
      <w:r w:rsidRPr="00341AE9">
        <w:rPr>
          <w:szCs w:val="22"/>
        </w:rPr>
        <w:t>Dažnis nežinomas: gali atsirasti sisteminė alerginė reakcija ir net šokas</w:t>
      </w:r>
      <w:r w:rsidR="00110C0C">
        <w:rPr>
          <w:szCs w:val="22"/>
        </w:rPr>
        <w:t xml:space="preserve">, </w:t>
      </w:r>
      <w:r w:rsidR="00110C0C" w:rsidRPr="00DF0903">
        <w:rPr>
          <w:szCs w:val="22"/>
          <w:u w:val="single"/>
        </w:rPr>
        <w:t>autoimuninis insulino sindromas (žr. 4.4 skyrių).</w:t>
      </w:r>
    </w:p>
    <w:p w:rsidR="00E27AEA" w:rsidRPr="00341AE9" w:rsidRDefault="00E27AEA" w:rsidP="00E27AEA">
      <w:pPr>
        <w:rPr>
          <w:i/>
          <w:szCs w:val="22"/>
        </w:rPr>
      </w:pPr>
    </w:p>
    <w:p w:rsidR="00E27AEA" w:rsidRPr="00341AE9" w:rsidRDefault="00E27AEA" w:rsidP="00E27AEA">
      <w:pPr>
        <w:pStyle w:val="Pavadinimas"/>
      </w:pPr>
      <w:r w:rsidRPr="00341AE9">
        <w:t>Metabolizmo ir mitybos sutrikimai</w:t>
      </w:r>
    </w:p>
    <w:p w:rsidR="00E27AEA" w:rsidRPr="00341AE9" w:rsidRDefault="00E27AEA" w:rsidP="00E27AEA">
      <w:pPr>
        <w:rPr>
          <w:szCs w:val="22"/>
        </w:rPr>
      </w:pPr>
      <w:r w:rsidRPr="00341AE9">
        <w:rPr>
          <w:szCs w:val="22"/>
        </w:rPr>
        <w:t>Dažnis nežinomas: dėl pagerėjusio gliukozės pasisavinimo gali sumažėti jos koncentracija kraujyje. Buvo hipoglikemijai būdingų simptomų, pvz., galvos sukimosi, sustiprėjusio prakaitavimo, galvos skausmo bei matymo sutrikimo, atvejų.</w:t>
      </w:r>
    </w:p>
    <w:p w:rsidR="00E27AEA" w:rsidRPr="00341AE9" w:rsidRDefault="00E27AEA" w:rsidP="00E27AEA">
      <w:pPr>
        <w:rPr>
          <w:szCs w:val="22"/>
        </w:rPr>
      </w:pPr>
    </w:p>
    <w:p w:rsidR="00E27AEA" w:rsidRPr="00341AE9" w:rsidRDefault="00E27AEA" w:rsidP="00E27AEA">
      <w:pPr>
        <w:rPr>
          <w:bCs/>
          <w:i/>
          <w:iCs/>
          <w:szCs w:val="22"/>
        </w:rPr>
      </w:pPr>
      <w:r w:rsidRPr="00341AE9">
        <w:rPr>
          <w:bCs/>
          <w:i/>
          <w:iCs/>
          <w:szCs w:val="22"/>
        </w:rPr>
        <w:t>Nervų sistemos sutrikimai</w:t>
      </w:r>
    </w:p>
    <w:p w:rsidR="00E27AEA" w:rsidRPr="00341AE9" w:rsidRDefault="00E27AEA" w:rsidP="00E27AEA">
      <w:pPr>
        <w:rPr>
          <w:szCs w:val="22"/>
        </w:rPr>
      </w:pPr>
      <w:r w:rsidRPr="00341AE9">
        <w:rPr>
          <w:szCs w:val="22"/>
        </w:rPr>
        <w:t>Labai retas: skonio pojūčio pokytis arba sutrikimas.</w:t>
      </w:r>
    </w:p>
    <w:p w:rsidR="00E27AEA" w:rsidRPr="00341AE9" w:rsidRDefault="00E27AEA" w:rsidP="00E27AEA">
      <w:pPr>
        <w:rPr>
          <w:szCs w:val="22"/>
        </w:rPr>
      </w:pPr>
      <w:r w:rsidRPr="00341AE9">
        <w:rPr>
          <w:szCs w:val="22"/>
        </w:rPr>
        <w:t>Buvo labai retų pranešimų apie po tiokto rūgšties sušvirkštimo į veną pasireiškusius traukulius.</w:t>
      </w:r>
    </w:p>
    <w:p w:rsidR="00E27AEA" w:rsidRPr="00341AE9" w:rsidRDefault="00E27AEA" w:rsidP="00E27AEA">
      <w:pPr>
        <w:rPr>
          <w:szCs w:val="22"/>
        </w:rPr>
      </w:pPr>
    </w:p>
    <w:p w:rsidR="00E27AEA" w:rsidRPr="00341AE9" w:rsidRDefault="00E27AEA" w:rsidP="00E27AEA">
      <w:pPr>
        <w:pStyle w:val="Pavadinimas"/>
      </w:pPr>
      <w:r w:rsidRPr="00341AE9">
        <w:t>Akių sutrikimai</w:t>
      </w:r>
    </w:p>
    <w:p w:rsidR="00E27AEA" w:rsidRPr="00341AE9" w:rsidRDefault="00E27AEA" w:rsidP="00E27AEA">
      <w:pPr>
        <w:rPr>
          <w:szCs w:val="22"/>
        </w:rPr>
      </w:pPr>
      <w:r w:rsidRPr="00341AE9">
        <w:rPr>
          <w:szCs w:val="22"/>
        </w:rPr>
        <w:t>Labai retas: buvo labai retų pranešimų apie po tiokto rūgšties sušvirkštimo į veną pasireiškusį matomo vaizdo dvigubinimąsi.</w:t>
      </w:r>
    </w:p>
    <w:p w:rsidR="00E27AEA" w:rsidRPr="00341AE9" w:rsidRDefault="00E27AEA" w:rsidP="00E27AEA">
      <w:pPr>
        <w:rPr>
          <w:i/>
          <w:szCs w:val="22"/>
        </w:rPr>
      </w:pPr>
    </w:p>
    <w:p w:rsidR="00E27AEA" w:rsidRPr="00341AE9" w:rsidRDefault="00E27AEA" w:rsidP="00E27AEA">
      <w:pPr>
        <w:pStyle w:val="Pavadinimas"/>
      </w:pPr>
      <w:r w:rsidRPr="00341AE9">
        <w:t>Odos ir poodinio audinio sutrikimai</w:t>
      </w:r>
    </w:p>
    <w:p w:rsidR="00E27AEA" w:rsidRPr="00341AE9" w:rsidRDefault="00E27AEA" w:rsidP="00E27AEA">
      <w:pPr>
        <w:rPr>
          <w:szCs w:val="22"/>
        </w:rPr>
      </w:pPr>
      <w:r w:rsidRPr="00341AE9">
        <w:rPr>
          <w:bCs/>
          <w:iCs/>
          <w:szCs w:val="22"/>
        </w:rPr>
        <w:t xml:space="preserve">Dažnis nežinomas: alerginės odos reakcijos - </w:t>
      </w:r>
      <w:r w:rsidRPr="00341AE9">
        <w:rPr>
          <w:szCs w:val="22"/>
        </w:rPr>
        <w:t xml:space="preserve">dilgėlinė, niežulys, egzema ir odos išbėrimas. </w:t>
      </w:r>
    </w:p>
    <w:p w:rsidR="00E27AEA" w:rsidRPr="00341AE9" w:rsidRDefault="00E27AEA" w:rsidP="00E27AEA">
      <w:pPr>
        <w:rPr>
          <w:szCs w:val="22"/>
        </w:rPr>
      </w:pPr>
      <w:r w:rsidRPr="00341AE9">
        <w:rPr>
          <w:szCs w:val="22"/>
        </w:rPr>
        <w:t>Buvo labai retų pranešimų apie po tiokto rūgšties sušvirkštimo į veną pasireiškusią purpurą.</w:t>
      </w:r>
    </w:p>
    <w:p w:rsidR="00E27AEA" w:rsidRPr="00341AE9" w:rsidRDefault="00E27AEA" w:rsidP="00E27AEA">
      <w:pPr>
        <w:rPr>
          <w:szCs w:val="22"/>
        </w:rPr>
      </w:pPr>
    </w:p>
    <w:p w:rsidR="00E27AEA" w:rsidRPr="00341AE9" w:rsidRDefault="00E27AEA" w:rsidP="00E27AEA">
      <w:pPr>
        <w:rPr>
          <w:bCs/>
          <w:i/>
          <w:iCs/>
          <w:szCs w:val="22"/>
        </w:rPr>
      </w:pPr>
      <w:r w:rsidRPr="00341AE9">
        <w:rPr>
          <w:bCs/>
          <w:i/>
          <w:iCs/>
          <w:szCs w:val="22"/>
        </w:rPr>
        <w:t>Bendrieji sutrikimai ir vartojimo vietos pažeidimai</w:t>
      </w:r>
    </w:p>
    <w:p w:rsidR="00E27AEA" w:rsidRPr="00341AE9" w:rsidRDefault="00E27AEA" w:rsidP="00E27AEA">
      <w:pPr>
        <w:rPr>
          <w:szCs w:val="22"/>
        </w:rPr>
      </w:pPr>
      <w:r w:rsidRPr="00341AE9">
        <w:rPr>
          <w:szCs w:val="22"/>
        </w:rPr>
        <w:t>Labai retas: buvo pavienių pranešimų apie reakciją injekcijos vietoje.</w:t>
      </w:r>
    </w:p>
    <w:p w:rsidR="00E27AEA" w:rsidRPr="00341AE9" w:rsidRDefault="00E27AEA" w:rsidP="00E27AEA">
      <w:pPr>
        <w:rPr>
          <w:szCs w:val="22"/>
        </w:rPr>
      </w:pPr>
      <w:r w:rsidRPr="00341AE9">
        <w:rPr>
          <w:szCs w:val="22"/>
        </w:rPr>
        <w:t>Dažnis nežinomas: preparato greitai suleidus į veną, dažnai atsiranda savaime praeinančių simptomų, pvz., spaudimas galvoje bei kvėpavimo pasunkėjimas.</w:t>
      </w:r>
    </w:p>
    <w:p w:rsidR="00E27AEA" w:rsidRPr="00341AE9" w:rsidRDefault="00E27AEA" w:rsidP="00E27AEA">
      <w:pPr>
        <w:rPr>
          <w:szCs w:val="22"/>
        </w:rPr>
      </w:pPr>
    </w:p>
    <w:p w:rsidR="00E27AEA" w:rsidRPr="00341AE9" w:rsidRDefault="00E27AEA" w:rsidP="00E27AEA">
      <w:pPr>
        <w:tabs>
          <w:tab w:val="left" w:pos="567"/>
        </w:tabs>
        <w:autoSpaceDE w:val="0"/>
        <w:autoSpaceDN w:val="0"/>
        <w:adjustRightInd w:val="0"/>
        <w:spacing w:line="260" w:lineRule="exact"/>
        <w:jc w:val="both"/>
        <w:rPr>
          <w:snapToGrid w:val="0"/>
          <w:szCs w:val="22"/>
          <w:u w:val="single"/>
          <w:lang w:eastAsia="en-US"/>
        </w:rPr>
      </w:pPr>
      <w:r w:rsidRPr="00341AE9">
        <w:rPr>
          <w:noProof/>
          <w:snapToGrid w:val="0"/>
          <w:szCs w:val="22"/>
          <w:u w:val="single"/>
          <w:lang w:eastAsia="en-US"/>
        </w:rPr>
        <w:t>Pranešimas apie įtariamas nepageidaujamas reakcijas</w:t>
      </w:r>
    </w:p>
    <w:p w:rsidR="00E27AEA" w:rsidRPr="00341AE9" w:rsidRDefault="00E27AEA" w:rsidP="00E27AEA">
      <w:pPr>
        <w:tabs>
          <w:tab w:val="left" w:pos="567"/>
        </w:tabs>
        <w:autoSpaceDE w:val="0"/>
        <w:autoSpaceDN w:val="0"/>
        <w:adjustRightInd w:val="0"/>
        <w:spacing w:line="260" w:lineRule="exact"/>
        <w:jc w:val="both"/>
        <w:rPr>
          <w:noProof/>
          <w:snapToGrid w:val="0"/>
          <w:szCs w:val="22"/>
          <w:lang w:eastAsia="en-US"/>
        </w:rPr>
      </w:pPr>
      <w:r w:rsidRPr="00341AE9">
        <w:rPr>
          <w:noProof/>
          <w:snapToGrid w:val="0"/>
          <w:szCs w:val="22"/>
          <w:lang w:eastAsia="en-US"/>
        </w:rPr>
        <w:t xml:space="preserve">Svarbu pranešti apie įtariamas nepageidaujamas reakcijas, pastebėtas po vaistinio </w:t>
      </w:r>
      <w:r w:rsidR="00110C0C">
        <w:rPr>
          <w:noProof/>
          <w:snapToGrid w:val="0"/>
          <w:szCs w:val="22"/>
          <w:lang w:eastAsia="en-US"/>
        </w:rPr>
        <w:t>registracijos</w:t>
      </w:r>
      <w:r w:rsidRPr="00341AE9">
        <w:rPr>
          <w:noProof/>
          <w:snapToGrid w:val="0"/>
          <w:szCs w:val="22"/>
          <w:lang w:eastAsia="en-US"/>
        </w:rPr>
        <w:t>, nes tai leidžia nuolat stebėti vaistinio preparato naudos ir rizikos santykį.</w:t>
      </w:r>
      <w:r w:rsidRPr="00341AE9">
        <w:rPr>
          <w:snapToGrid w:val="0"/>
          <w:szCs w:val="22"/>
          <w:lang w:eastAsia="en-US"/>
        </w:rPr>
        <w:t xml:space="preserve"> </w:t>
      </w:r>
      <w:r w:rsidRPr="00341AE9">
        <w:rPr>
          <w:noProof/>
          <w:snapToGrid w:val="0"/>
          <w:szCs w:val="22"/>
          <w:lang w:eastAsia="en-US"/>
        </w:rPr>
        <w:t>Sveikatos priežiūros specialistai turi pranešti apie bet kokias įtariamas nepageidaujamas reakcijas, užpildę interneto svetainėje http://</w:t>
      </w:r>
      <w:hyperlink r:id="rId8" w:history="1">
        <w:r w:rsidRPr="00341AE9">
          <w:rPr>
            <w:rFonts w:eastAsia="SimSun"/>
            <w:noProof/>
            <w:snapToGrid w:val="0"/>
            <w:color w:val="0000FF"/>
            <w:szCs w:val="22"/>
            <w:u w:val="single"/>
            <w:lang w:eastAsia="en-US"/>
          </w:rPr>
          <w:t>www.vvkt.lt</w:t>
        </w:r>
      </w:hyperlink>
      <w:r w:rsidRPr="00341AE9">
        <w:rPr>
          <w:noProof/>
          <w:snapToGrid w:val="0"/>
          <w:szCs w:val="22"/>
          <w:lang w:eastAsia="en-US"/>
        </w:rPr>
        <w:t xml:space="preserve">/ esančią formą, ir </w:t>
      </w:r>
      <w:r w:rsidR="00110C0C">
        <w:rPr>
          <w:noProof/>
          <w:snapToGrid w:val="0"/>
          <w:szCs w:val="22"/>
          <w:lang w:eastAsia="en-US"/>
        </w:rPr>
        <w:t>pateikti</w:t>
      </w:r>
      <w:r w:rsidRPr="00341AE9">
        <w:rPr>
          <w:noProof/>
          <w:snapToGrid w:val="0"/>
          <w:szCs w:val="22"/>
          <w:lang w:eastAsia="en-US"/>
        </w:rPr>
        <w:t xml:space="preserve"> ją Valstybinei vaistų kontrolės tarnybai prie Lietuvos Respublikos sveikatos apsaugos ministerijos</w:t>
      </w:r>
      <w:r w:rsidR="00110C0C">
        <w:rPr>
          <w:noProof/>
          <w:snapToGrid w:val="0"/>
          <w:szCs w:val="22"/>
          <w:lang w:eastAsia="en-US"/>
        </w:rPr>
        <w:t xml:space="preserve"> vienu iš šių būdų: raštu (adresu</w:t>
      </w:r>
      <w:r w:rsidRPr="00341AE9">
        <w:rPr>
          <w:noProof/>
          <w:snapToGrid w:val="0"/>
          <w:szCs w:val="22"/>
          <w:lang w:eastAsia="en-US"/>
        </w:rPr>
        <w:t xml:space="preserve"> Žirmūnų g. 139A, LT 09120 Vilnius</w:t>
      </w:r>
      <w:r w:rsidR="00110C0C">
        <w:rPr>
          <w:noProof/>
          <w:snapToGrid w:val="0"/>
          <w:szCs w:val="22"/>
          <w:lang w:eastAsia="en-US"/>
        </w:rPr>
        <w:t>)</w:t>
      </w:r>
      <w:r w:rsidRPr="00341AE9">
        <w:rPr>
          <w:noProof/>
          <w:snapToGrid w:val="0"/>
          <w:szCs w:val="22"/>
          <w:lang w:eastAsia="en-US"/>
        </w:rPr>
        <w:t>, faksu</w:t>
      </w:r>
      <w:r w:rsidR="00110C0C">
        <w:rPr>
          <w:noProof/>
          <w:snapToGrid w:val="0"/>
          <w:szCs w:val="22"/>
          <w:lang w:eastAsia="en-US"/>
        </w:rPr>
        <w:t xml:space="preserve"> (nemokamu fakso numeriu (</w:t>
      </w:r>
      <w:r w:rsidRPr="00341AE9">
        <w:rPr>
          <w:noProof/>
          <w:snapToGrid w:val="0"/>
          <w:szCs w:val="22"/>
          <w:lang w:eastAsia="en-US"/>
        </w:rPr>
        <w:t>8 800</w:t>
      </w:r>
      <w:r w:rsidR="00110C0C">
        <w:rPr>
          <w:noProof/>
          <w:snapToGrid w:val="0"/>
          <w:szCs w:val="22"/>
          <w:lang w:eastAsia="en-US"/>
        </w:rPr>
        <w:t>)</w:t>
      </w:r>
      <w:r w:rsidRPr="00341AE9">
        <w:rPr>
          <w:noProof/>
          <w:snapToGrid w:val="0"/>
          <w:szCs w:val="22"/>
          <w:lang w:eastAsia="en-US"/>
        </w:rPr>
        <w:t xml:space="preserve"> 20</w:t>
      </w:r>
      <w:r w:rsidR="00110C0C">
        <w:rPr>
          <w:noProof/>
          <w:snapToGrid w:val="0"/>
          <w:szCs w:val="22"/>
          <w:lang w:eastAsia="en-US"/>
        </w:rPr>
        <w:t xml:space="preserve"> </w:t>
      </w:r>
      <w:r w:rsidRPr="00341AE9">
        <w:rPr>
          <w:noProof/>
          <w:snapToGrid w:val="0"/>
          <w:szCs w:val="22"/>
          <w:lang w:eastAsia="en-US"/>
        </w:rPr>
        <w:t>131</w:t>
      </w:r>
      <w:r w:rsidR="00110C0C">
        <w:rPr>
          <w:noProof/>
          <w:snapToGrid w:val="0"/>
          <w:szCs w:val="22"/>
          <w:lang w:eastAsia="en-US"/>
        </w:rPr>
        <w:t xml:space="preserve">), </w:t>
      </w:r>
      <w:r w:rsidRPr="00341AE9">
        <w:rPr>
          <w:noProof/>
          <w:snapToGrid w:val="0"/>
          <w:szCs w:val="22"/>
          <w:lang w:eastAsia="en-US"/>
        </w:rPr>
        <w:t xml:space="preserve"> el</w:t>
      </w:r>
      <w:r w:rsidR="00110C0C">
        <w:rPr>
          <w:noProof/>
          <w:snapToGrid w:val="0"/>
          <w:szCs w:val="22"/>
          <w:lang w:eastAsia="en-US"/>
        </w:rPr>
        <w:t xml:space="preserve">ektroniniu </w:t>
      </w:r>
      <w:r w:rsidRPr="00341AE9">
        <w:rPr>
          <w:noProof/>
          <w:snapToGrid w:val="0"/>
          <w:szCs w:val="22"/>
          <w:lang w:eastAsia="en-US"/>
        </w:rPr>
        <w:t>paštu</w:t>
      </w:r>
      <w:r w:rsidR="00110C0C">
        <w:rPr>
          <w:noProof/>
          <w:snapToGrid w:val="0"/>
          <w:szCs w:val="22"/>
          <w:lang w:eastAsia="en-US"/>
        </w:rPr>
        <w:t xml:space="preserve"> (adresu</w:t>
      </w:r>
      <w:r w:rsidRPr="00341AE9">
        <w:rPr>
          <w:noProof/>
          <w:snapToGrid w:val="0"/>
          <w:szCs w:val="22"/>
          <w:lang w:eastAsia="en-US"/>
        </w:rPr>
        <w:t xml:space="preserve"> </w:t>
      </w:r>
      <w:hyperlink r:id="rId9" w:history="1">
        <w:r w:rsidRPr="00341AE9">
          <w:rPr>
            <w:rFonts w:eastAsia="SimSun"/>
            <w:noProof/>
            <w:snapToGrid w:val="0"/>
            <w:color w:val="0000FF"/>
            <w:szCs w:val="22"/>
            <w:u w:val="single"/>
            <w:lang w:eastAsia="en-US"/>
          </w:rPr>
          <w:t>NepageidaujamaR@vvkt.lt</w:t>
        </w:r>
      </w:hyperlink>
      <w:r w:rsidR="00110C0C">
        <w:rPr>
          <w:rFonts w:eastAsia="SimSun"/>
          <w:noProof/>
          <w:snapToGrid w:val="0"/>
          <w:color w:val="0000FF"/>
          <w:szCs w:val="22"/>
          <w:u w:val="single"/>
          <w:lang w:eastAsia="en-US"/>
        </w:rPr>
        <w:t>), per interneto svetainę (adresu http://www.vvkt.lt)</w:t>
      </w:r>
      <w:r w:rsidRPr="00341AE9">
        <w:rPr>
          <w:noProof/>
          <w:snapToGrid w:val="0"/>
          <w:szCs w:val="22"/>
          <w:lang w:eastAsia="en-US"/>
        </w:rPr>
        <w:t>.</w:t>
      </w:r>
    </w:p>
    <w:p w:rsidR="00E27AEA" w:rsidRPr="00341AE9" w:rsidRDefault="00E27AEA" w:rsidP="00E27AEA">
      <w:pPr>
        <w:rPr>
          <w:szCs w:val="22"/>
        </w:rPr>
      </w:pPr>
    </w:p>
    <w:p w:rsidR="00E27AEA" w:rsidRPr="00341AE9" w:rsidRDefault="00E27AEA" w:rsidP="00E27AEA">
      <w:pPr>
        <w:pStyle w:val="Antrat3"/>
        <w:ind w:left="567" w:hanging="567"/>
        <w:rPr>
          <w:szCs w:val="22"/>
        </w:rPr>
      </w:pPr>
      <w:r w:rsidRPr="00341AE9">
        <w:rPr>
          <w:szCs w:val="22"/>
        </w:rPr>
        <w:t>4.9</w:t>
      </w:r>
      <w:r w:rsidRPr="00341AE9">
        <w:rPr>
          <w:szCs w:val="22"/>
        </w:rPr>
        <w:tab/>
        <w:t>Perdozavimas</w:t>
      </w:r>
    </w:p>
    <w:p w:rsidR="00E27AEA" w:rsidRPr="00341AE9" w:rsidRDefault="00E27AEA" w:rsidP="00E27AEA">
      <w:pPr>
        <w:pStyle w:val="Pagrindinistekstas"/>
        <w:spacing w:after="0"/>
        <w:rPr>
          <w:szCs w:val="22"/>
        </w:rPr>
      </w:pPr>
    </w:p>
    <w:p w:rsidR="00E27AEA" w:rsidRPr="00341AE9" w:rsidRDefault="00E27AEA" w:rsidP="00E27AEA">
      <w:pPr>
        <w:rPr>
          <w:szCs w:val="22"/>
        </w:rPr>
      </w:pPr>
      <w:bookmarkStart w:id="6" w:name="OLE_LINK11"/>
      <w:bookmarkStart w:id="7" w:name="OLE_LINK12"/>
      <w:r w:rsidRPr="00341AE9">
        <w:rPr>
          <w:szCs w:val="22"/>
        </w:rPr>
        <w:t>Perdozavus gali pasireikšti pykinimas, vėmimas ir galvos skausmas.</w:t>
      </w:r>
    </w:p>
    <w:p w:rsidR="00E27AEA" w:rsidRPr="00341AE9" w:rsidRDefault="00E27AEA" w:rsidP="00E27AEA">
      <w:pPr>
        <w:rPr>
          <w:szCs w:val="22"/>
        </w:rPr>
      </w:pPr>
    </w:p>
    <w:p w:rsidR="00E27AEA" w:rsidRPr="00341AE9" w:rsidRDefault="00E27AEA" w:rsidP="00E27AEA">
      <w:pPr>
        <w:rPr>
          <w:szCs w:val="22"/>
        </w:rPr>
      </w:pPr>
      <w:r w:rsidRPr="00341AE9">
        <w:rPr>
          <w:szCs w:val="22"/>
        </w:rPr>
        <w:t>Atsitiktinai arba siekiant nusižudyti išgėrus 10 </w:t>
      </w:r>
      <w:r w:rsidRPr="00341AE9">
        <w:rPr>
          <w:szCs w:val="22"/>
        </w:rPr>
        <w:noBreakHyphen/>
        <w:t> 40 g tiokto rūgšties kartu su alkoholiu, buvo sunkios, kartais net pasibaigusios mirtimi, intoksikacijos atvejų. Galimi pradiniai klinikiniai apsinuodijimo simptomai - psichomotorinis nenustygstamumas ar sąmonės pritemimas. Vėliau paprastai atsiranda generalizuotų traukulių ir laktatacidozė. Aprašyta apsinuodijimo didelėmis tiokto rūgšties dozėmis sukeltos hipoglikemijos, šoko, rabdomiolizės, hemolizės, diseminuotosios intravaskulinės koaguliacijos (DIK), kaulų čiulpų slopinimo ir daugelio organų funkcijos nepakankamumo atvejų.</w:t>
      </w:r>
    </w:p>
    <w:p w:rsidR="00E27AEA" w:rsidRPr="00341AE9" w:rsidRDefault="00E27AEA" w:rsidP="00E27AEA">
      <w:pPr>
        <w:rPr>
          <w:szCs w:val="22"/>
        </w:rPr>
      </w:pPr>
    </w:p>
    <w:p w:rsidR="00E27AEA" w:rsidRPr="00341AE9" w:rsidRDefault="00E27AEA" w:rsidP="00E27AEA">
      <w:pPr>
        <w:rPr>
          <w:iCs/>
          <w:szCs w:val="22"/>
        </w:rPr>
      </w:pPr>
      <w:r w:rsidRPr="00341AE9">
        <w:rPr>
          <w:i/>
          <w:szCs w:val="22"/>
        </w:rPr>
        <w:t>Intoksikacijos gydymas</w:t>
      </w:r>
    </w:p>
    <w:p w:rsidR="00E27AEA" w:rsidRPr="00341AE9" w:rsidRDefault="00E27AEA" w:rsidP="00E27AEA">
      <w:pPr>
        <w:rPr>
          <w:szCs w:val="22"/>
        </w:rPr>
      </w:pPr>
      <w:r w:rsidRPr="00341AE9">
        <w:rPr>
          <w:szCs w:val="22"/>
        </w:rPr>
        <w:t xml:space="preserve">Net jei tik įtariama, kad apsinuodijimą sukėlė didelė </w:t>
      </w:r>
      <w:r w:rsidRPr="00341AE9">
        <w:rPr>
          <w:bCs/>
          <w:szCs w:val="22"/>
        </w:rPr>
        <w:t>Thio</w:t>
      </w:r>
      <w:r w:rsidRPr="00341AE9">
        <w:rPr>
          <w:iCs/>
          <w:szCs w:val="22"/>
        </w:rPr>
        <w:t>gamma</w:t>
      </w:r>
      <w:r w:rsidRPr="00341AE9">
        <w:rPr>
          <w:bCs/>
          <w:szCs w:val="22"/>
        </w:rPr>
        <w:t xml:space="preserve"> dozė</w:t>
      </w:r>
      <w:r w:rsidRPr="00341AE9">
        <w:rPr>
          <w:szCs w:val="22"/>
        </w:rPr>
        <w:t xml:space="preserve"> (pvz., suaugęs žmogus išgėrė daugiau kaip dešimt 600 mg tablečių arba vaikas išgėrė daugiau kaip 50 mg/kg kūno svorio dozę), pacientą reikia nedelsiant guldyti į ligoninę ir pradėti įprastinį apsinuodijimo gydymą (pvz., sukelti vėmimą, plauti skrandį, sugirdyti aktyvintosios anglies ir t.t.). Generalizuotus traukulius, laktatacidozę ir kitokius gyvybei pavojingus apsinuodijimo padarinius būtina šalinti šiuolaikiniais intensyviosios terapijos būdais, atsižvelgiant į pasireiškusius simptomus. Šiuo metu tikslių duomenų apie hemodializės, hemoperfuzijos arba filtracijos naudą greitinant tiokto rūgšties išsiskyrimą iš organizmo nėra.</w:t>
      </w:r>
    </w:p>
    <w:bookmarkEnd w:id="6"/>
    <w:bookmarkEnd w:id="7"/>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2"/>
        <w:ind w:left="567" w:hanging="567"/>
        <w:jc w:val="left"/>
        <w:rPr>
          <w:szCs w:val="22"/>
        </w:rPr>
      </w:pPr>
      <w:r w:rsidRPr="00341AE9">
        <w:rPr>
          <w:szCs w:val="22"/>
        </w:rPr>
        <w:t>5.</w:t>
      </w:r>
      <w:r w:rsidRPr="00341AE9">
        <w:rPr>
          <w:szCs w:val="22"/>
        </w:rPr>
        <w:tab/>
        <w:t>FARMAKOLOGINĖS SAVYBĖS</w:t>
      </w:r>
    </w:p>
    <w:p w:rsidR="00E27AEA" w:rsidRPr="00341AE9" w:rsidRDefault="00E27AEA" w:rsidP="00E27AEA">
      <w:pPr>
        <w:pStyle w:val="Pagrindinistekstas"/>
        <w:spacing w:after="0"/>
        <w:rPr>
          <w:szCs w:val="22"/>
        </w:rPr>
      </w:pPr>
    </w:p>
    <w:p w:rsidR="00E27AEA" w:rsidRPr="00341AE9" w:rsidRDefault="00E27AEA" w:rsidP="00E27AEA">
      <w:pPr>
        <w:pStyle w:val="Antrat3"/>
        <w:ind w:left="567" w:hanging="567"/>
        <w:rPr>
          <w:szCs w:val="22"/>
        </w:rPr>
      </w:pPr>
      <w:r w:rsidRPr="00341AE9">
        <w:rPr>
          <w:szCs w:val="22"/>
        </w:rPr>
        <w:t>5.1</w:t>
      </w:r>
      <w:r w:rsidRPr="00341AE9">
        <w:rPr>
          <w:szCs w:val="22"/>
        </w:rPr>
        <w:tab/>
        <w:t>Farmakodinaminės savybės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Farmakoterapinė grupė – kiti virškinimo traktą bei metabolizmą veikiantys preparatai, ATC kodas – A16AX01</w:t>
      </w:r>
      <w:r w:rsidR="00946D56">
        <w:rPr>
          <w:szCs w:val="22"/>
        </w:rPr>
        <w:t>.</w:t>
      </w:r>
    </w:p>
    <w:p w:rsidR="00E27AEA" w:rsidRPr="00341AE9" w:rsidRDefault="00E27AEA" w:rsidP="00E27AEA">
      <w:pPr>
        <w:pStyle w:val="Pagrindinistekstas"/>
        <w:spacing w:after="0"/>
        <w:rPr>
          <w:szCs w:val="22"/>
        </w:rPr>
      </w:pPr>
    </w:p>
    <w:p w:rsidR="00E27AEA" w:rsidRPr="00341AE9" w:rsidRDefault="00E27AEA" w:rsidP="00E27AEA">
      <w:pPr>
        <w:rPr>
          <w:szCs w:val="22"/>
        </w:rPr>
      </w:pPr>
      <w:r w:rsidRPr="00341AE9">
        <w:rPr>
          <w:szCs w:val="22"/>
        </w:rPr>
        <w:t>Tiokto rūgštis yra į vitaminą panaši, tačiau organizme susidaranti medžiaga, atliekanti kofermento funkciją vykstant alfa ketorūgščių oksidaciniam dekarboksilinimui.</w:t>
      </w:r>
    </w:p>
    <w:p w:rsidR="00E27AEA" w:rsidRPr="00341AE9" w:rsidRDefault="00E27AEA" w:rsidP="00E27AEA">
      <w:pPr>
        <w:rPr>
          <w:szCs w:val="22"/>
        </w:rPr>
      </w:pPr>
    </w:p>
    <w:p w:rsidR="00E27AEA" w:rsidRPr="00341AE9" w:rsidRDefault="00E27AEA" w:rsidP="00E27AEA">
      <w:pPr>
        <w:rPr>
          <w:szCs w:val="22"/>
        </w:rPr>
      </w:pPr>
      <w:r w:rsidRPr="00341AE9">
        <w:rPr>
          <w:szCs w:val="22"/>
        </w:rPr>
        <w:t>Dėl cukrinio diabeto sukeltos hiperglikemijos gliukozė kaupiasi ant kraujagyslių matricos baltymų. Tai sukelia vadinamųjų sustiprėjusio gliukozilinimo galutinių produktų susidarymą. Šis procesas sukelia endoneurinės kraujotakos susilpnėjimą ir endoneurinę hipoksiją, susijusią su laisvųjų radikalų, kurie pažeidžia periferinius nervus, susidarymo sustiprėjimu. Be to, nustatyta, kad periferiniuose nervuose sumažėja antioksidantų, pavyzdžiui, glutationo.</w:t>
      </w:r>
    </w:p>
    <w:p w:rsidR="00E27AEA" w:rsidRPr="00341AE9" w:rsidRDefault="00E27AEA" w:rsidP="00E27AEA">
      <w:pPr>
        <w:rPr>
          <w:szCs w:val="22"/>
        </w:rPr>
      </w:pPr>
    </w:p>
    <w:p w:rsidR="00E27AEA" w:rsidRPr="00341AE9" w:rsidRDefault="00E27AEA" w:rsidP="00E27AEA">
      <w:pPr>
        <w:rPr>
          <w:szCs w:val="22"/>
        </w:rPr>
      </w:pPr>
      <w:r w:rsidRPr="00341AE9">
        <w:rPr>
          <w:szCs w:val="22"/>
        </w:rPr>
        <w:t>Tyrimų su žiurkėmis metu nustatyta, kad tiokto rūgštis veikia streptozocino sukelto diabeto biocheminius procesus: mažina sustiprėjusio gliukozilinimo galutinių produktų susidarymą, gerina endoneurinę kraujotaką, didina fiziologinio antioksidanto glutationo koncentraciją ir veikdama kaip antioksidantas mažina laisvųjų deguonies radikalų kiekį diabeto pažeistuose nervuose.</w:t>
      </w:r>
    </w:p>
    <w:p w:rsidR="00E27AEA" w:rsidRPr="00341AE9" w:rsidRDefault="00E27AEA" w:rsidP="00E27AEA">
      <w:pPr>
        <w:rPr>
          <w:szCs w:val="22"/>
        </w:rPr>
      </w:pPr>
      <w:r w:rsidRPr="00341AE9">
        <w:rPr>
          <w:szCs w:val="22"/>
        </w:rPr>
        <w:t>Toks eksperimentinių tyrimų metu nustatytas poveikis rodo, kad tiokto rūgštis gali pagerinti periferinių nervų funkciją, jei yra diabetinės polineuropatijos sukeltų jutimų sutrikimų, galinčių pasireikšti diskinezija ir parestezija, pvz., deginimu, skausmu, sustingimu ar badymu bei dilgčiojimu.</w:t>
      </w:r>
    </w:p>
    <w:p w:rsidR="00E27AEA" w:rsidRPr="00341AE9" w:rsidRDefault="00E27AEA" w:rsidP="00E27AEA">
      <w:pPr>
        <w:rPr>
          <w:szCs w:val="22"/>
        </w:rPr>
      </w:pPr>
    </w:p>
    <w:p w:rsidR="00E27AEA" w:rsidRPr="00341AE9" w:rsidRDefault="00E27AEA" w:rsidP="00E27AEA">
      <w:pPr>
        <w:rPr>
          <w:szCs w:val="22"/>
        </w:rPr>
      </w:pPr>
      <w:r w:rsidRPr="00341AE9">
        <w:rPr>
          <w:szCs w:val="22"/>
        </w:rPr>
        <w:t>Gautus klinikinius duomenis apie tiokto rūgšties poveikį simptomiškai gydant diabetinę polineuropatiją, papildė 1995 metais daugelyje centrų atlikto placebo kontroliuojamo tyrimo metu gauti duomenys apie palankų tiokto rūgšties poveikį tirtiems simptomams: degimui, parestezijoms, sustingimui bei skausmui.</w:t>
      </w:r>
    </w:p>
    <w:p w:rsidR="00E27AEA" w:rsidRPr="00341AE9" w:rsidRDefault="00E27AEA" w:rsidP="00E27AEA">
      <w:pPr>
        <w:pStyle w:val="Pagrindinistekstas"/>
        <w:spacing w:after="0"/>
        <w:rPr>
          <w:szCs w:val="22"/>
        </w:rPr>
      </w:pPr>
    </w:p>
    <w:p w:rsidR="00E27AEA" w:rsidRPr="00341AE9" w:rsidRDefault="00E27AEA" w:rsidP="00E27AEA">
      <w:pPr>
        <w:pStyle w:val="Antrat3"/>
        <w:ind w:left="567" w:hanging="567"/>
        <w:rPr>
          <w:szCs w:val="22"/>
        </w:rPr>
      </w:pPr>
      <w:r w:rsidRPr="00341AE9">
        <w:rPr>
          <w:szCs w:val="22"/>
        </w:rPr>
        <w:t>5.2</w:t>
      </w:r>
      <w:r w:rsidRPr="00341AE9">
        <w:rPr>
          <w:szCs w:val="22"/>
        </w:rPr>
        <w:tab/>
        <w:t>Farmakokinetinės savybės</w:t>
      </w:r>
    </w:p>
    <w:p w:rsidR="00E27AEA" w:rsidRPr="00341AE9" w:rsidRDefault="00E27AEA" w:rsidP="00E27AEA">
      <w:pPr>
        <w:pStyle w:val="Pagrindinistekstas"/>
        <w:spacing w:after="0"/>
        <w:rPr>
          <w:szCs w:val="22"/>
        </w:rPr>
      </w:pPr>
    </w:p>
    <w:p w:rsidR="00453124" w:rsidRDefault="00453124" w:rsidP="00E27AEA">
      <w:pPr>
        <w:rPr>
          <w:szCs w:val="22"/>
        </w:rPr>
      </w:pPr>
      <w:r>
        <w:rPr>
          <w:szCs w:val="22"/>
        </w:rPr>
        <w:t>Biotransformacija</w:t>
      </w:r>
    </w:p>
    <w:p w:rsidR="00E27AEA" w:rsidRPr="00341AE9" w:rsidRDefault="00E27AEA" w:rsidP="00E27AEA">
      <w:pPr>
        <w:rPr>
          <w:szCs w:val="22"/>
        </w:rPr>
      </w:pPr>
      <w:r w:rsidRPr="00341AE9">
        <w:rPr>
          <w:szCs w:val="22"/>
        </w:rPr>
        <w:t>Didelė tiokto rūgšties dozės dalis biotransformuojama pirmojo prasiskverbimo per kepenis metu. Sisteminis biologinis tiokto rūgšties prieinamumas skirtingų žmonių organizme labai skiriasi. Tiokto rūgštis biotransformuojama vykstant šoninių grandinių oksidacijai bei konjugacijai ir daugiausia išskiriama pro inkstus.</w:t>
      </w:r>
    </w:p>
    <w:p w:rsidR="00E27AEA" w:rsidRPr="00341AE9" w:rsidRDefault="00453124" w:rsidP="00E27AEA">
      <w:pPr>
        <w:rPr>
          <w:szCs w:val="22"/>
        </w:rPr>
      </w:pPr>
      <w:r>
        <w:rPr>
          <w:szCs w:val="22"/>
        </w:rPr>
        <w:t>Eliminacija</w:t>
      </w:r>
    </w:p>
    <w:p w:rsidR="00E27AEA" w:rsidRPr="00341AE9" w:rsidRDefault="00E27AEA" w:rsidP="00E27AEA">
      <w:pPr>
        <w:rPr>
          <w:szCs w:val="22"/>
        </w:rPr>
      </w:pPr>
      <w:r w:rsidRPr="00341AE9">
        <w:rPr>
          <w:szCs w:val="22"/>
        </w:rPr>
        <w:t>Pusinės eliminacijos iš plazmos laikas žmogaus organizme yra maždaug 25 minutės, o bendras plazmos klirensas – 10 – 15 ml/min./kg kūno svorio. Po 30 minučių trukusios 600 mg dozės infuzijos koncentracija plazmoje būna maždaug 20 mikrogramų/ml. Tyrimų su gyvūnais metu, naudojant radioaktyviais izotopais pažymėtą</w:t>
      </w:r>
      <w:r w:rsidR="00453124">
        <w:rPr>
          <w:szCs w:val="22"/>
        </w:rPr>
        <w:t xml:space="preserve"> tiokto rūgšties</w:t>
      </w:r>
      <w:r w:rsidRPr="00341AE9">
        <w:rPr>
          <w:szCs w:val="22"/>
        </w:rPr>
        <w:t xml:space="preserve"> preparatą, nustatyta, kad daugiausia jo (80 </w:t>
      </w:r>
      <w:r w:rsidRPr="00341AE9">
        <w:rPr>
          <w:szCs w:val="22"/>
        </w:rPr>
        <w:noBreakHyphen/>
        <w:t xml:space="preserve"> 90 %) išsiskiria pro inkstus metabolitų pavidalu. Šlapime būna tik nedaug iš žmogaus organizmo išsiskyrusios nepakitusios tiokto rūgšties. Daugiausia </w:t>
      </w:r>
      <w:r w:rsidR="00453124">
        <w:rPr>
          <w:szCs w:val="22"/>
        </w:rPr>
        <w:t>tiokto rūgšties</w:t>
      </w:r>
      <w:r w:rsidRPr="00341AE9">
        <w:rPr>
          <w:szCs w:val="22"/>
        </w:rPr>
        <w:t xml:space="preserve"> biotransformuojama vykstant oksidaciniam šoninių grandinių trumpėjimui (beta oksidacija) ir (arba) atitinkamų tiolų S-metilinimui.</w:t>
      </w:r>
    </w:p>
    <w:p w:rsidR="00E27AEA" w:rsidRPr="00341AE9" w:rsidRDefault="00E27AEA" w:rsidP="00E27AEA">
      <w:pPr>
        <w:rPr>
          <w:szCs w:val="22"/>
        </w:rPr>
      </w:pPr>
    </w:p>
    <w:p w:rsidR="00E27AEA" w:rsidRPr="00341AE9" w:rsidRDefault="00E27AEA" w:rsidP="00E27AEA">
      <w:pPr>
        <w:rPr>
          <w:szCs w:val="22"/>
        </w:rPr>
      </w:pPr>
      <w:r w:rsidRPr="00341AE9">
        <w:rPr>
          <w:i/>
          <w:szCs w:val="22"/>
        </w:rPr>
        <w:lastRenderedPageBreak/>
        <w:t>In vitro</w:t>
      </w:r>
      <w:r w:rsidRPr="00341AE9">
        <w:rPr>
          <w:szCs w:val="22"/>
        </w:rPr>
        <w:t xml:space="preserve"> tiokto rūgštis reaguoja su metalų jonų kompleksais, pvz., cisplatina. Su angliavandenių molekulėmis tiokto rūgštis sudaro blogai tirpstančius kompleksinius junginius.</w:t>
      </w:r>
    </w:p>
    <w:p w:rsidR="00E27AEA" w:rsidRPr="00341AE9" w:rsidRDefault="00E27AEA" w:rsidP="00E27AEA">
      <w:pPr>
        <w:pStyle w:val="Pagrindinistekstas"/>
        <w:spacing w:after="0"/>
        <w:rPr>
          <w:szCs w:val="22"/>
        </w:rPr>
      </w:pPr>
    </w:p>
    <w:p w:rsidR="00E27AEA" w:rsidRPr="00341AE9" w:rsidRDefault="00E27AEA" w:rsidP="00E27AEA">
      <w:pPr>
        <w:pStyle w:val="Antrat3"/>
        <w:ind w:left="567" w:hanging="567"/>
        <w:rPr>
          <w:szCs w:val="22"/>
        </w:rPr>
      </w:pPr>
      <w:r w:rsidRPr="00341AE9">
        <w:rPr>
          <w:szCs w:val="22"/>
        </w:rPr>
        <w:t>5.3</w:t>
      </w:r>
      <w:r w:rsidRPr="00341AE9">
        <w:rPr>
          <w:szCs w:val="22"/>
        </w:rPr>
        <w:tab/>
        <w:t>Ikiklinikinių saugumo tyrimų duomenys</w:t>
      </w:r>
    </w:p>
    <w:p w:rsidR="00E27AEA" w:rsidRPr="00341AE9" w:rsidRDefault="00E27AEA" w:rsidP="00E27AEA">
      <w:pPr>
        <w:pStyle w:val="Pagrindinistekstas"/>
        <w:spacing w:after="0"/>
        <w:rPr>
          <w:szCs w:val="22"/>
        </w:rPr>
      </w:pPr>
    </w:p>
    <w:p w:rsidR="00E27AEA" w:rsidRPr="00341AE9" w:rsidRDefault="00E27AEA" w:rsidP="00E27AEA">
      <w:pPr>
        <w:rPr>
          <w:szCs w:val="22"/>
          <w:u w:val="single"/>
        </w:rPr>
      </w:pPr>
      <w:r w:rsidRPr="00341AE9">
        <w:rPr>
          <w:szCs w:val="22"/>
          <w:u w:val="single"/>
        </w:rPr>
        <w:t>Ūminis ir lėtinis toksinis poveikis</w:t>
      </w:r>
    </w:p>
    <w:p w:rsidR="00E27AEA" w:rsidRPr="00341AE9" w:rsidRDefault="00E27AEA" w:rsidP="00E27AEA">
      <w:pPr>
        <w:rPr>
          <w:szCs w:val="22"/>
        </w:rPr>
      </w:pPr>
      <w:r w:rsidRPr="00341AE9">
        <w:rPr>
          <w:szCs w:val="22"/>
        </w:rPr>
        <w:t>Toksiniam vaistinio preparato poveikiui būdingi vegetacinės ir centrinės nervų sistemos simptomai.</w:t>
      </w:r>
    </w:p>
    <w:p w:rsidR="00E27AEA" w:rsidRPr="00341AE9" w:rsidRDefault="00E27AEA" w:rsidP="00E27AEA">
      <w:pPr>
        <w:rPr>
          <w:szCs w:val="22"/>
        </w:rPr>
      </w:pPr>
      <w:r w:rsidRPr="00341AE9">
        <w:rPr>
          <w:szCs w:val="22"/>
        </w:rPr>
        <w:t>Vartojant kartotines toksines dozes, kiti svarbiausi pažeidžiami organai yra inkstai ir kepenys.</w:t>
      </w:r>
    </w:p>
    <w:p w:rsidR="00E27AEA" w:rsidRPr="00341AE9" w:rsidRDefault="00E27AEA" w:rsidP="00E27AEA">
      <w:pPr>
        <w:rPr>
          <w:szCs w:val="22"/>
        </w:rPr>
      </w:pPr>
    </w:p>
    <w:p w:rsidR="00E27AEA" w:rsidRPr="00341AE9" w:rsidRDefault="00E27AEA" w:rsidP="00E27AEA">
      <w:pPr>
        <w:rPr>
          <w:szCs w:val="22"/>
          <w:u w:val="single"/>
        </w:rPr>
      </w:pPr>
      <w:r w:rsidRPr="00341AE9">
        <w:rPr>
          <w:szCs w:val="22"/>
          <w:u w:val="single"/>
        </w:rPr>
        <w:t>Mutageninis ir kancerogeninis poveikis</w:t>
      </w:r>
    </w:p>
    <w:p w:rsidR="00E27AEA" w:rsidRPr="00341AE9" w:rsidRDefault="00E27AEA" w:rsidP="00E27AEA">
      <w:pPr>
        <w:rPr>
          <w:szCs w:val="22"/>
        </w:rPr>
      </w:pPr>
      <w:r w:rsidRPr="00341AE9">
        <w:rPr>
          <w:szCs w:val="22"/>
        </w:rPr>
        <w:t>Mutageninio tiokto rūgšties poveikio tyrimų metu genų ar chromosomų mutacijos nenustatyta. Kancerogeninio poveikio tyrimų su žiurkėmis metu duomenų apie navikų atsiradimą sukeliantį geriamosios tiokto rūgšties poveikį negauta. Tiokto rūgšties navikų atsiradimą skatinančio poveikio tyrimų su kancerogenu N nitrozo dimetilaminu (NDMA) metu gauti neigiami rezultatai.</w:t>
      </w:r>
    </w:p>
    <w:p w:rsidR="00E27AEA" w:rsidRPr="00341AE9" w:rsidRDefault="00E27AEA" w:rsidP="00E27AEA">
      <w:pPr>
        <w:rPr>
          <w:szCs w:val="22"/>
        </w:rPr>
      </w:pPr>
    </w:p>
    <w:p w:rsidR="00E27AEA" w:rsidRPr="00341AE9" w:rsidRDefault="00E27AEA" w:rsidP="00E27AEA">
      <w:pPr>
        <w:rPr>
          <w:szCs w:val="22"/>
          <w:u w:val="single"/>
        </w:rPr>
      </w:pPr>
      <w:r w:rsidRPr="00341AE9">
        <w:rPr>
          <w:szCs w:val="22"/>
          <w:u w:val="single"/>
        </w:rPr>
        <w:t>Toksinis poveikis reprodukcijai</w:t>
      </w:r>
    </w:p>
    <w:p w:rsidR="00E27AEA" w:rsidRPr="00341AE9" w:rsidRDefault="00E27AEA" w:rsidP="00E27AEA">
      <w:pPr>
        <w:rPr>
          <w:szCs w:val="22"/>
        </w:rPr>
      </w:pPr>
      <w:r w:rsidRPr="00341AE9">
        <w:rPr>
          <w:szCs w:val="22"/>
        </w:rPr>
        <w:t>Tiokto rūgštis (didžiausia tirta geriamojo preparato dozė buvo 68,1 mg/kg kūno svorio) poveikio žiurkių vaisingumui ar embriono vystymuisi ankstyvuoju laikotarpiu nesukėlė. Triušiams į veną švirkščiant ne didesnes už toksinę patelei vaistinio preparato dozes, apsigimimus sukeliančio poveikio nepasireiškė.</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2"/>
        <w:ind w:left="567" w:hanging="567"/>
        <w:jc w:val="left"/>
        <w:rPr>
          <w:szCs w:val="22"/>
        </w:rPr>
      </w:pPr>
      <w:r w:rsidRPr="00341AE9">
        <w:rPr>
          <w:szCs w:val="22"/>
        </w:rPr>
        <w:t>6.</w:t>
      </w:r>
      <w:r w:rsidRPr="00341AE9">
        <w:rPr>
          <w:szCs w:val="22"/>
        </w:rPr>
        <w:tab/>
        <w:t>FARMACINĖ INFORMACIJA</w:t>
      </w:r>
    </w:p>
    <w:p w:rsidR="00E27AEA" w:rsidRPr="00341AE9" w:rsidRDefault="00E27AEA" w:rsidP="00E27AEA">
      <w:pPr>
        <w:pStyle w:val="Pagrindinistekstas"/>
        <w:spacing w:after="0"/>
        <w:rPr>
          <w:b/>
          <w:szCs w:val="22"/>
        </w:rPr>
      </w:pPr>
    </w:p>
    <w:p w:rsidR="00E27AEA" w:rsidRPr="00341AE9" w:rsidRDefault="00E27AEA" w:rsidP="00E27AEA">
      <w:pPr>
        <w:pStyle w:val="Antrat3"/>
        <w:ind w:left="567" w:hanging="567"/>
        <w:rPr>
          <w:szCs w:val="22"/>
        </w:rPr>
      </w:pPr>
      <w:r w:rsidRPr="00341AE9">
        <w:rPr>
          <w:szCs w:val="22"/>
        </w:rPr>
        <w:t>6.1</w:t>
      </w:r>
      <w:r w:rsidRPr="00341AE9">
        <w:rPr>
          <w:szCs w:val="22"/>
        </w:rPr>
        <w:tab/>
        <w:t>Pagalbinių medžiagų sąrašas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Megluminas</w:t>
      </w:r>
    </w:p>
    <w:p w:rsidR="00E27AEA" w:rsidRPr="00341AE9" w:rsidRDefault="00E27AEA" w:rsidP="00E27AEA">
      <w:pPr>
        <w:pStyle w:val="Pagrindinistekstas"/>
        <w:spacing w:after="0"/>
        <w:rPr>
          <w:szCs w:val="22"/>
        </w:rPr>
      </w:pPr>
      <w:r w:rsidRPr="00341AE9">
        <w:rPr>
          <w:szCs w:val="22"/>
        </w:rPr>
        <w:t>Makrogolis 300</w:t>
      </w:r>
    </w:p>
    <w:p w:rsidR="00E27AEA" w:rsidRPr="00341AE9" w:rsidRDefault="00E27AEA" w:rsidP="00E27AEA">
      <w:pPr>
        <w:pStyle w:val="Pagrindinistekstas"/>
        <w:spacing w:after="0"/>
        <w:rPr>
          <w:szCs w:val="22"/>
        </w:rPr>
      </w:pPr>
      <w:r w:rsidRPr="00341AE9">
        <w:rPr>
          <w:szCs w:val="22"/>
        </w:rPr>
        <w:t>Injekcinis vanduo</w:t>
      </w:r>
    </w:p>
    <w:p w:rsidR="00E27AEA" w:rsidRPr="00341AE9" w:rsidRDefault="00E27AEA" w:rsidP="00E27AEA">
      <w:pPr>
        <w:pStyle w:val="Pagrindinistekstas"/>
        <w:spacing w:after="0"/>
        <w:rPr>
          <w:szCs w:val="22"/>
        </w:rPr>
      </w:pPr>
    </w:p>
    <w:p w:rsidR="00E27AEA" w:rsidRPr="00341AE9" w:rsidRDefault="00E27AEA" w:rsidP="00E27AEA">
      <w:pPr>
        <w:pStyle w:val="Antrat3"/>
        <w:ind w:left="567" w:hanging="567"/>
        <w:rPr>
          <w:szCs w:val="22"/>
        </w:rPr>
      </w:pPr>
      <w:r w:rsidRPr="00341AE9">
        <w:rPr>
          <w:szCs w:val="22"/>
        </w:rPr>
        <w:t>6.2</w:t>
      </w:r>
      <w:r w:rsidRPr="00341AE9">
        <w:rPr>
          <w:szCs w:val="22"/>
        </w:rPr>
        <w:tab/>
        <w:t>Nesuderinamumas</w:t>
      </w:r>
    </w:p>
    <w:p w:rsidR="00E27AEA" w:rsidRPr="00341AE9" w:rsidRDefault="00E27AEA" w:rsidP="00E27AEA">
      <w:pPr>
        <w:pStyle w:val="Pagrindinistekstas"/>
        <w:spacing w:after="0"/>
        <w:rPr>
          <w:szCs w:val="22"/>
        </w:rPr>
      </w:pPr>
    </w:p>
    <w:p w:rsidR="00E27AEA" w:rsidRPr="00341AE9" w:rsidRDefault="00E27AEA" w:rsidP="00E27AEA">
      <w:pPr>
        <w:autoSpaceDE w:val="0"/>
        <w:autoSpaceDN w:val="0"/>
        <w:adjustRightInd w:val="0"/>
        <w:rPr>
          <w:szCs w:val="22"/>
        </w:rPr>
      </w:pPr>
      <w:r w:rsidRPr="00341AE9">
        <w:rPr>
          <w:szCs w:val="22"/>
        </w:rPr>
        <w:t xml:space="preserve">Tiokto rūgštis </w:t>
      </w:r>
      <w:r w:rsidRPr="00341AE9">
        <w:rPr>
          <w:i/>
          <w:szCs w:val="22"/>
        </w:rPr>
        <w:t>in vitro</w:t>
      </w:r>
      <w:r w:rsidRPr="00341AE9">
        <w:rPr>
          <w:szCs w:val="22"/>
        </w:rPr>
        <w:t xml:space="preserve"> reaguoja su metalų jonų kompleksais (pvz., cisplatina), o su angliavandenių molekulėmis (pvz., levuliozės tirpalu) sudaro mažai tirpius kompleksinius junginius.</w:t>
      </w:r>
      <w:r w:rsidRPr="00341AE9">
        <w:rPr>
          <w:bCs/>
          <w:szCs w:val="22"/>
        </w:rPr>
        <w:t xml:space="preserve"> Thio</w:t>
      </w:r>
      <w:r w:rsidRPr="00341AE9">
        <w:rPr>
          <w:iCs/>
          <w:szCs w:val="22"/>
        </w:rPr>
        <w:t>gamma</w:t>
      </w:r>
      <w:r w:rsidRPr="00341AE9">
        <w:rPr>
          <w:bCs/>
          <w:szCs w:val="22"/>
        </w:rPr>
        <w:t xml:space="preserve"> </w:t>
      </w:r>
      <w:r w:rsidRPr="00341AE9">
        <w:rPr>
          <w:szCs w:val="22"/>
        </w:rPr>
        <w:t>nesuderinamas su gliukozės, Ringerio tirpalais bei tirpalais, kurie gali reaguoti su SH grupėmis ar disulfidiniais tilteliais.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bCs/>
          <w:szCs w:val="22"/>
        </w:rPr>
      </w:pPr>
      <w:r w:rsidRPr="00341AE9">
        <w:rPr>
          <w:bCs/>
          <w:szCs w:val="22"/>
        </w:rPr>
        <w:t>Thio</w:t>
      </w:r>
      <w:r w:rsidRPr="00341AE9">
        <w:rPr>
          <w:iCs/>
          <w:szCs w:val="22"/>
        </w:rPr>
        <w:t>gamma</w:t>
      </w:r>
      <w:r w:rsidRPr="00341AE9">
        <w:rPr>
          <w:bCs/>
          <w:szCs w:val="22"/>
        </w:rPr>
        <w:t xml:space="preserve"> infuzijos metu kaip preparatą pernešantį tirpalą galima naudoti tik fiziologinį natrio chlorido tirpalą.</w:t>
      </w:r>
    </w:p>
    <w:p w:rsidR="00E27AEA" w:rsidRPr="00341AE9" w:rsidRDefault="00E27AEA" w:rsidP="00E27AEA">
      <w:pPr>
        <w:pStyle w:val="Pagrindinistekstas"/>
        <w:spacing w:after="0"/>
        <w:rPr>
          <w:szCs w:val="22"/>
        </w:rPr>
      </w:pPr>
    </w:p>
    <w:p w:rsidR="00E27AEA" w:rsidRPr="00341AE9" w:rsidRDefault="00E27AEA" w:rsidP="00E27AEA">
      <w:pPr>
        <w:pStyle w:val="Antrat3"/>
        <w:ind w:left="567" w:hanging="567"/>
        <w:rPr>
          <w:szCs w:val="22"/>
        </w:rPr>
      </w:pPr>
      <w:r w:rsidRPr="00341AE9">
        <w:rPr>
          <w:szCs w:val="22"/>
        </w:rPr>
        <w:t>6.3</w:t>
      </w:r>
      <w:r w:rsidRPr="00341AE9">
        <w:rPr>
          <w:szCs w:val="22"/>
        </w:rPr>
        <w:tab/>
        <w:t>Tinkamumo laikas</w:t>
      </w:r>
    </w:p>
    <w:p w:rsidR="00E27AEA" w:rsidRPr="00341AE9" w:rsidRDefault="00E27AEA" w:rsidP="00E27AEA">
      <w:pPr>
        <w:pStyle w:val="Pagrindinistekstas"/>
        <w:spacing w:after="0"/>
        <w:rPr>
          <w:szCs w:val="22"/>
        </w:rPr>
      </w:pPr>
    </w:p>
    <w:p w:rsidR="00E27AEA" w:rsidRPr="00341AE9" w:rsidRDefault="00E27AEA" w:rsidP="00E27AEA">
      <w:pPr>
        <w:autoSpaceDE w:val="0"/>
        <w:autoSpaceDN w:val="0"/>
        <w:adjustRightInd w:val="0"/>
        <w:jc w:val="both"/>
        <w:rPr>
          <w:szCs w:val="22"/>
        </w:rPr>
      </w:pPr>
      <w:r w:rsidRPr="00341AE9">
        <w:rPr>
          <w:szCs w:val="22"/>
        </w:rPr>
        <w:t xml:space="preserve">5 metai. </w:t>
      </w:r>
    </w:p>
    <w:p w:rsidR="00E27AEA" w:rsidRPr="00341AE9" w:rsidRDefault="00E27AEA" w:rsidP="00E27AEA">
      <w:pPr>
        <w:autoSpaceDE w:val="0"/>
        <w:autoSpaceDN w:val="0"/>
        <w:adjustRightInd w:val="0"/>
        <w:rPr>
          <w:szCs w:val="22"/>
        </w:rPr>
      </w:pPr>
      <w:r w:rsidRPr="00341AE9">
        <w:rPr>
          <w:szCs w:val="22"/>
          <w:u w:val="single"/>
        </w:rPr>
        <w:t>Paruoštas infuzinis tirpalas:</w:t>
      </w:r>
      <w:r w:rsidRPr="00341AE9">
        <w:rPr>
          <w:szCs w:val="22"/>
        </w:rPr>
        <w:t xml:space="preserve"> paruoštą infuzinį tirpalą apsaugotoje nuo šviesos vietoje galima laikyti ne ilgiau kaip 6 valandas.</w:t>
      </w:r>
    </w:p>
    <w:p w:rsidR="00E27AEA" w:rsidRPr="00341AE9" w:rsidRDefault="00E27AEA" w:rsidP="00E27AEA">
      <w:pPr>
        <w:pStyle w:val="Pagrindinistekstas"/>
        <w:spacing w:after="0"/>
        <w:rPr>
          <w:szCs w:val="22"/>
        </w:rPr>
      </w:pPr>
    </w:p>
    <w:p w:rsidR="00E27AEA" w:rsidRPr="00341AE9" w:rsidRDefault="00E27AEA" w:rsidP="00E27AEA">
      <w:pPr>
        <w:pStyle w:val="Antrat3"/>
        <w:numPr>
          <w:ilvl w:val="1"/>
          <w:numId w:val="1"/>
        </w:numPr>
        <w:tabs>
          <w:tab w:val="clear" w:pos="720"/>
        </w:tabs>
        <w:ind w:left="567" w:hanging="567"/>
        <w:rPr>
          <w:szCs w:val="22"/>
        </w:rPr>
      </w:pPr>
      <w:r w:rsidRPr="00341AE9">
        <w:rPr>
          <w:szCs w:val="22"/>
        </w:rPr>
        <w:t>Specialios laikymo sąlygos</w:t>
      </w:r>
    </w:p>
    <w:p w:rsidR="00E27AEA" w:rsidRPr="00341AE9" w:rsidRDefault="00E27AEA" w:rsidP="00E27AEA">
      <w:pPr>
        <w:rPr>
          <w:szCs w:val="22"/>
        </w:rPr>
      </w:pPr>
    </w:p>
    <w:p w:rsidR="00E27AEA" w:rsidRPr="00341AE9" w:rsidRDefault="00E27AEA" w:rsidP="00E27AEA">
      <w:pPr>
        <w:pStyle w:val="Pagrindinistekstas"/>
        <w:spacing w:after="0"/>
        <w:rPr>
          <w:szCs w:val="22"/>
        </w:rPr>
      </w:pPr>
      <w:r w:rsidRPr="00341AE9">
        <w:rPr>
          <w:szCs w:val="22"/>
        </w:rPr>
        <w:t>Laikyti ne aukštesnėje kaip 25 </w:t>
      </w:r>
      <w:r w:rsidRPr="00341AE9">
        <w:rPr>
          <w:szCs w:val="22"/>
        </w:rPr>
        <w:sym w:font="Symbol" w:char="F0B0"/>
      </w:r>
      <w:r w:rsidRPr="00341AE9">
        <w:rPr>
          <w:szCs w:val="22"/>
        </w:rPr>
        <w:t>C temperatūroje. Laikyti gamintojo pakuotėje, kad preparatas būtų apsaugotas nuo šviesos.</w:t>
      </w:r>
    </w:p>
    <w:p w:rsidR="00E27AEA" w:rsidRPr="00341AE9" w:rsidRDefault="00E27AEA" w:rsidP="00E27AEA">
      <w:pPr>
        <w:pStyle w:val="Pagrindinistekstas"/>
        <w:spacing w:after="0"/>
        <w:rPr>
          <w:szCs w:val="22"/>
        </w:rPr>
      </w:pPr>
      <w:r w:rsidRPr="00341AE9">
        <w:rPr>
          <w:szCs w:val="22"/>
        </w:rPr>
        <w:t>Paruošto infuzinio tirpalo laikymo sąlygos nurodytos 6.3 sk.</w:t>
      </w:r>
    </w:p>
    <w:p w:rsidR="00E27AEA" w:rsidRPr="00341AE9" w:rsidRDefault="00E27AEA" w:rsidP="00E27AEA">
      <w:pPr>
        <w:pStyle w:val="Pagrindinistekstas"/>
        <w:spacing w:after="0"/>
        <w:rPr>
          <w:szCs w:val="22"/>
        </w:rPr>
      </w:pPr>
    </w:p>
    <w:p w:rsidR="00E27AEA" w:rsidRPr="00341AE9" w:rsidRDefault="00E27AEA" w:rsidP="00E27AEA">
      <w:pPr>
        <w:pStyle w:val="Antrat3"/>
        <w:ind w:left="567" w:hanging="567"/>
        <w:rPr>
          <w:szCs w:val="22"/>
        </w:rPr>
      </w:pPr>
      <w:r w:rsidRPr="00341AE9">
        <w:rPr>
          <w:szCs w:val="22"/>
        </w:rPr>
        <w:t>6.5</w:t>
      </w:r>
      <w:r w:rsidRPr="00341AE9">
        <w:rPr>
          <w:szCs w:val="22"/>
        </w:rPr>
        <w:tab/>
        <w:t>Talpyklės pobūdis ir jos turinys</w:t>
      </w:r>
    </w:p>
    <w:p w:rsidR="00E27AEA" w:rsidRPr="00341AE9" w:rsidRDefault="00E27AEA" w:rsidP="00E27AEA">
      <w:pPr>
        <w:pStyle w:val="Pagrindinistekstas"/>
        <w:spacing w:after="0"/>
        <w:rPr>
          <w:szCs w:val="22"/>
        </w:rPr>
      </w:pPr>
    </w:p>
    <w:p w:rsidR="00E27AEA" w:rsidRPr="00341AE9" w:rsidRDefault="00E27AEA" w:rsidP="00E27AEA">
      <w:pPr>
        <w:rPr>
          <w:szCs w:val="22"/>
        </w:rPr>
      </w:pPr>
      <w:r w:rsidRPr="00341AE9">
        <w:rPr>
          <w:szCs w:val="22"/>
        </w:rPr>
        <w:t>Tamsaus stiklo 20 ml ampulė. Kartono dėžutėje yra 5, 10 arba 20 ampulių.</w:t>
      </w:r>
    </w:p>
    <w:p w:rsidR="00E27AEA" w:rsidRPr="00341AE9" w:rsidRDefault="00E27AEA" w:rsidP="00E27AEA">
      <w:pPr>
        <w:rPr>
          <w:szCs w:val="22"/>
        </w:rPr>
      </w:pPr>
    </w:p>
    <w:p w:rsidR="00E27AEA" w:rsidRPr="00341AE9" w:rsidRDefault="00E27AEA" w:rsidP="00E27AEA">
      <w:pPr>
        <w:rPr>
          <w:szCs w:val="22"/>
        </w:rPr>
      </w:pPr>
      <w:r w:rsidRPr="00341AE9">
        <w:rPr>
          <w:szCs w:val="22"/>
        </w:rPr>
        <w:t>Gali būti tiekiamos ne visų dydžių pakuotės</w:t>
      </w:r>
      <w:r w:rsidRPr="00341AE9">
        <w:rPr>
          <w:snapToGrid w:val="0"/>
          <w:szCs w:val="22"/>
          <w:lang w:eastAsia="en-US"/>
        </w:rPr>
        <w:t>.</w:t>
      </w:r>
    </w:p>
    <w:p w:rsidR="00E27AEA" w:rsidRPr="00341AE9" w:rsidRDefault="00E27AEA" w:rsidP="00E27AEA">
      <w:pPr>
        <w:pStyle w:val="Pagrindinistekstas"/>
        <w:spacing w:after="0"/>
        <w:rPr>
          <w:szCs w:val="22"/>
        </w:rPr>
      </w:pPr>
    </w:p>
    <w:p w:rsidR="00E27AEA" w:rsidRPr="00341AE9" w:rsidRDefault="00E27AEA" w:rsidP="00E27AEA">
      <w:pPr>
        <w:pStyle w:val="Antrat3"/>
        <w:ind w:left="567" w:hanging="567"/>
        <w:rPr>
          <w:szCs w:val="22"/>
        </w:rPr>
      </w:pPr>
      <w:r w:rsidRPr="00341AE9">
        <w:rPr>
          <w:szCs w:val="22"/>
        </w:rPr>
        <w:t>6.6</w:t>
      </w:r>
      <w:r w:rsidRPr="00341AE9">
        <w:rPr>
          <w:szCs w:val="22"/>
        </w:rPr>
        <w:tab/>
        <w:t>Specialūs reikalavimai atliekoms tvarkyti ir vaistiniam preparatui ruošti</w:t>
      </w:r>
    </w:p>
    <w:p w:rsidR="00E27AEA" w:rsidRPr="00341AE9" w:rsidRDefault="00E27AEA" w:rsidP="00E27AEA">
      <w:pPr>
        <w:pStyle w:val="Pagrindinistekstas"/>
        <w:spacing w:after="0"/>
        <w:rPr>
          <w:szCs w:val="22"/>
        </w:rPr>
      </w:pPr>
    </w:p>
    <w:p w:rsidR="00E27AEA" w:rsidRPr="00341AE9" w:rsidRDefault="00E27AEA" w:rsidP="00E27AEA">
      <w:pPr>
        <w:rPr>
          <w:szCs w:val="22"/>
        </w:rPr>
      </w:pPr>
      <w:r w:rsidRPr="00341AE9">
        <w:rPr>
          <w:bCs/>
          <w:szCs w:val="22"/>
        </w:rPr>
        <w:t>Thio</w:t>
      </w:r>
      <w:r w:rsidRPr="00341AE9">
        <w:rPr>
          <w:iCs/>
          <w:szCs w:val="22"/>
        </w:rPr>
        <w:t>gamma</w:t>
      </w:r>
      <w:r w:rsidRPr="00341AE9">
        <w:rPr>
          <w:bCs/>
          <w:szCs w:val="22"/>
        </w:rPr>
        <w:t xml:space="preserve"> ampulės turinį, atskiestą </w:t>
      </w:r>
      <w:r w:rsidRPr="00341AE9">
        <w:rPr>
          <w:szCs w:val="22"/>
        </w:rPr>
        <w:t>50 – 250 ml 0,9 % natrio chlorido tirpalo, reikia sulašinti į veną (infuzija turi trukti bent 30 minučių). Būtina garantuoti, kad infuzija truks bent 30 minučių.</w:t>
      </w:r>
    </w:p>
    <w:p w:rsidR="00E27AEA" w:rsidRPr="00341AE9" w:rsidRDefault="00E27AEA" w:rsidP="00E27AEA">
      <w:pPr>
        <w:pStyle w:val="Pagrindinistekstas"/>
        <w:spacing w:after="0"/>
        <w:rPr>
          <w:szCs w:val="22"/>
        </w:rPr>
      </w:pPr>
      <w:r w:rsidRPr="00341AE9">
        <w:rPr>
          <w:szCs w:val="22"/>
        </w:rPr>
        <w:t>Specialių reikalavimų nėra.</w:t>
      </w:r>
    </w:p>
    <w:p w:rsidR="00E27AEA" w:rsidRPr="00341AE9" w:rsidRDefault="00E27AEA" w:rsidP="00E27AEA">
      <w:pPr>
        <w:pStyle w:val="Antrat2"/>
        <w:jc w:val="left"/>
        <w:rPr>
          <w:b w:val="0"/>
          <w:szCs w:val="22"/>
        </w:rPr>
      </w:pPr>
    </w:p>
    <w:p w:rsidR="00E27AEA" w:rsidRPr="00341AE9" w:rsidRDefault="00E27AEA" w:rsidP="00E27AEA">
      <w:pPr>
        <w:pStyle w:val="Antrat2"/>
        <w:jc w:val="left"/>
        <w:rPr>
          <w:b w:val="0"/>
          <w:szCs w:val="22"/>
        </w:rPr>
      </w:pPr>
    </w:p>
    <w:p w:rsidR="00E27AEA" w:rsidRPr="00341AE9" w:rsidRDefault="00E27AEA" w:rsidP="00E27AEA">
      <w:pPr>
        <w:pStyle w:val="Antrat2"/>
        <w:ind w:left="567" w:hanging="567"/>
        <w:jc w:val="left"/>
        <w:rPr>
          <w:szCs w:val="22"/>
        </w:rPr>
      </w:pPr>
      <w:r w:rsidRPr="00341AE9">
        <w:rPr>
          <w:szCs w:val="22"/>
        </w:rPr>
        <w:t>7.</w:t>
      </w:r>
      <w:r w:rsidRPr="00341AE9">
        <w:rPr>
          <w:szCs w:val="22"/>
        </w:rPr>
        <w:tab/>
        <w:t>R</w:t>
      </w:r>
      <w:r w:rsidR="00E57ECD">
        <w:rPr>
          <w:szCs w:val="22"/>
        </w:rPr>
        <w:t>EGISTRUOTOJAS</w:t>
      </w:r>
    </w:p>
    <w:p w:rsidR="00E27AEA" w:rsidRPr="00341AE9" w:rsidRDefault="00E27AEA" w:rsidP="00E27AEA">
      <w:pPr>
        <w:pStyle w:val="Pagrindinistekstas"/>
        <w:spacing w:after="0"/>
        <w:rPr>
          <w:szCs w:val="22"/>
        </w:rPr>
      </w:pPr>
    </w:p>
    <w:p w:rsidR="00E27AEA" w:rsidRPr="00341AE9" w:rsidRDefault="00E27AEA" w:rsidP="00E27AEA">
      <w:pPr>
        <w:pStyle w:val="Porat"/>
        <w:rPr>
          <w:szCs w:val="22"/>
        </w:rPr>
      </w:pPr>
      <w:r w:rsidRPr="00341AE9">
        <w:rPr>
          <w:szCs w:val="22"/>
        </w:rPr>
        <w:t>Wörwag Pharma GmbH &amp; Co. KG</w:t>
      </w:r>
    </w:p>
    <w:p w:rsidR="00E27AEA" w:rsidRPr="00341AE9" w:rsidRDefault="00E27AEA" w:rsidP="00E27AEA">
      <w:pPr>
        <w:rPr>
          <w:szCs w:val="22"/>
        </w:rPr>
      </w:pPr>
      <w:r w:rsidRPr="00341AE9">
        <w:rPr>
          <w:szCs w:val="22"/>
        </w:rPr>
        <w:t>Calwer Str. 7</w:t>
      </w:r>
    </w:p>
    <w:p w:rsidR="00E27AEA" w:rsidRPr="00341AE9" w:rsidRDefault="00E27AEA" w:rsidP="00E27AEA">
      <w:pPr>
        <w:rPr>
          <w:szCs w:val="22"/>
        </w:rPr>
      </w:pPr>
      <w:r w:rsidRPr="00341AE9">
        <w:rPr>
          <w:szCs w:val="22"/>
        </w:rPr>
        <w:t>71034 Böblingen</w:t>
      </w:r>
    </w:p>
    <w:p w:rsidR="00E27AEA" w:rsidRPr="00341AE9" w:rsidRDefault="00E27AEA" w:rsidP="00E27AEA">
      <w:pPr>
        <w:rPr>
          <w:szCs w:val="22"/>
        </w:rPr>
      </w:pPr>
      <w:r w:rsidRPr="00341AE9">
        <w:rPr>
          <w:szCs w:val="22"/>
        </w:rPr>
        <w:t>Vokietija</w:t>
      </w:r>
    </w:p>
    <w:p w:rsidR="00E27AEA" w:rsidRPr="00341AE9" w:rsidRDefault="00E27AEA" w:rsidP="00E27AEA">
      <w:pPr>
        <w:rPr>
          <w:szCs w:val="22"/>
        </w:rPr>
      </w:pPr>
      <w:r w:rsidRPr="00341AE9">
        <w:rPr>
          <w:szCs w:val="22"/>
        </w:rPr>
        <w:t>Tel.: +49 (0) 7031/6204-0</w:t>
      </w:r>
    </w:p>
    <w:p w:rsidR="00E27AEA" w:rsidRPr="00341AE9" w:rsidRDefault="00E27AEA" w:rsidP="00E27AEA">
      <w:pPr>
        <w:rPr>
          <w:szCs w:val="22"/>
        </w:rPr>
      </w:pPr>
      <w:r w:rsidRPr="00341AE9">
        <w:rPr>
          <w:szCs w:val="22"/>
        </w:rPr>
        <w:t>Faksas: +49 (0) 7031/6204-31</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2"/>
        <w:ind w:left="567" w:hanging="567"/>
        <w:jc w:val="left"/>
        <w:rPr>
          <w:szCs w:val="22"/>
        </w:rPr>
      </w:pPr>
      <w:r w:rsidRPr="00341AE9">
        <w:rPr>
          <w:szCs w:val="22"/>
        </w:rPr>
        <w:t>8.</w:t>
      </w:r>
      <w:r w:rsidRPr="00341AE9">
        <w:rPr>
          <w:szCs w:val="22"/>
        </w:rPr>
        <w:tab/>
        <w:t>R</w:t>
      </w:r>
      <w:r w:rsidR="00E57ECD">
        <w:rPr>
          <w:szCs w:val="22"/>
        </w:rPr>
        <w:t>EGISTRACIJOS</w:t>
      </w:r>
      <w:r w:rsidRPr="00341AE9">
        <w:rPr>
          <w:szCs w:val="22"/>
        </w:rPr>
        <w:t xml:space="preserve"> PAŽYMĖJIMO NUMERIS (-IAI)</w:t>
      </w:r>
    </w:p>
    <w:p w:rsidR="00E27AEA" w:rsidRPr="00341AE9" w:rsidRDefault="00E27AEA" w:rsidP="00E27AEA">
      <w:pPr>
        <w:pStyle w:val="Pagrindinistekstas"/>
        <w:spacing w:after="0"/>
        <w:rPr>
          <w:szCs w:val="22"/>
        </w:rPr>
      </w:pPr>
    </w:p>
    <w:p w:rsidR="00E27AEA" w:rsidRPr="00341AE9" w:rsidRDefault="00E27AEA" w:rsidP="00E27AEA">
      <w:pPr>
        <w:rPr>
          <w:szCs w:val="22"/>
          <w:lang w:val="sv-SE"/>
        </w:rPr>
      </w:pPr>
      <w:r w:rsidRPr="00341AE9">
        <w:rPr>
          <w:szCs w:val="22"/>
        </w:rPr>
        <w:t>N5</w:t>
      </w:r>
      <w:r w:rsidRPr="00341AE9">
        <w:rPr>
          <w:szCs w:val="22"/>
          <w:lang w:val="sv-SE"/>
        </w:rPr>
        <w:t xml:space="preserve"> – LT/1/02/2299/004</w:t>
      </w:r>
    </w:p>
    <w:p w:rsidR="00E27AEA" w:rsidRPr="00341AE9" w:rsidRDefault="00E27AEA" w:rsidP="00E27AEA">
      <w:pPr>
        <w:rPr>
          <w:szCs w:val="22"/>
          <w:lang w:val="sv-SE"/>
        </w:rPr>
      </w:pPr>
      <w:r w:rsidRPr="00341AE9">
        <w:rPr>
          <w:szCs w:val="22"/>
        </w:rPr>
        <w:t>N10</w:t>
      </w:r>
      <w:r w:rsidRPr="00341AE9">
        <w:rPr>
          <w:szCs w:val="22"/>
          <w:lang w:val="sv-SE"/>
        </w:rPr>
        <w:t xml:space="preserve"> – LT/1/02/2299/005</w:t>
      </w:r>
    </w:p>
    <w:p w:rsidR="00E27AEA" w:rsidRPr="00341AE9" w:rsidRDefault="00E27AEA" w:rsidP="00E27AEA">
      <w:pPr>
        <w:rPr>
          <w:szCs w:val="22"/>
          <w:lang w:val="sv-SE"/>
        </w:rPr>
      </w:pPr>
      <w:r w:rsidRPr="00341AE9">
        <w:rPr>
          <w:szCs w:val="22"/>
        </w:rPr>
        <w:t>N20</w:t>
      </w:r>
      <w:r w:rsidRPr="00341AE9">
        <w:rPr>
          <w:szCs w:val="22"/>
          <w:lang w:val="sv-SE"/>
        </w:rPr>
        <w:t xml:space="preserve"> – LT/1/02/2299/006</w:t>
      </w:r>
    </w:p>
    <w:p w:rsidR="00E27AEA" w:rsidRPr="00341AE9" w:rsidRDefault="00E27AEA" w:rsidP="00E27AEA">
      <w:pPr>
        <w:pStyle w:val="Pagrindinistekstas"/>
        <w:spacing w:after="0"/>
        <w:rPr>
          <w:szCs w:val="22"/>
          <w:lang w:val="sv-SE"/>
        </w:rPr>
      </w:pPr>
    </w:p>
    <w:p w:rsidR="00E27AEA" w:rsidRPr="00341AE9" w:rsidRDefault="00E27AEA" w:rsidP="00E27AEA">
      <w:pPr>
        <w:pStyle w:val="Pagrindinistekstas"/>
        <w:spacing w:after="0"/>
        <w:rPr>
          <w:szCs w:val="22"/>
          <w:lang w:val="sv-SE"/>
        </w:rPr>
      </w:pPr>
    </w:p>
    <w:p w:rsidR="00E27AEA" w:rsidRPr="00341AE9" w:rsidRDefault="00E27AEA" w:rsidP="00E27AEA">
      <w:pPr>
        <w:pStyle w:val="Antrat2"/>
        <w:ind w:left="567" w:hanging="567"/>
        <w:jc w:val="left"/>
        <w:rPr>
          <w:szCs w:val="22"/>
        </w:rPr>
      </w:pPr>
      <w:r w:rsidRPr="00341AE9">
        <w:rPr>
          <w:szCs w:val="22"/>
        </w:rPr>
        <w:t>9.</w:t>
      </w:r>
      <w:r w:rsidRPr="00341AE9">
        <w:rPr>
          <w:szCs w:val="22"/>
        </w:rPr>
        <w:tab/>
        <w:t>R</w:t>
      </w:r>
      <w:r w:rsidR="00E57ECD">
        <w:rPr>
          <w:szCs w:val="22"/>
        </w:rPr>
        <w:t>EGISTRAVIMO / PERREGISTRAVIMO DATA</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R</w:t>
      </w:r>
      <w:r w:rsidR="00E57ECD">
        <w:rPr>
          <w:szCs w:val="22"/>
        </w:rPr>
        <w:t>egistravimo data</w:t>
      </w:r>
      <w:r w:rsidRPr="00341AE9">
        <w:rPr>
          <w:szCs w:val="22"/>
        </w:rPr>
        <w:t xml:space="preserve"> 2002 m. vasario mėn. 06 d.</w:t>
      </w:r>
    </w:p>
    <w:p w:rsidR="00E27AEA" w:rsidRPr="00341AE9" w:rsidRDefault="00E57ECD" w:rsidP="00E27AEA">
      <w:pPr>
        <w:pStyle w:val="Pagrindinistekstas"/>
        <w:spacing w:after="0"/>
        <w:rPr>
          <w:szCs w:val="22"/>
        </w:rPr>
      </w:pPr>
      <w:r>
        <w:rPr>
          <w:szCs w:val="22"/>
        </w:rPr>
        <w:t>Paskutinio perregistravimo data</w:t>
      </w:r>
      <w:r w:rsidR="00E27AEA" w:rsidRPr="00341AE9">
        <w:rPr>
          <w:szCs w:val="22"/>
        </w:rPr>
        <w:t xml:space="preserve"> 2011 m. sausio mėn. 17 d.</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2"/>
        <w:ind w:left="567" w:hanging="567"/>
        <w:jc w:val="left"/>
        <w:rPr>
          <w:szCs w:val="22"/>
        </w:rPr>
      </w:pPr>
      <w:r w:rsidRPr="00341AE9">
        <w:rPr>
          <w:szCs w:val="22"/>
        </w:rPr>
        <w:t>10.</w:t>
      </w:r>
      <w:r w:rsidRPr="00341AE9">
        <w:rPr>
          <w:szCs w:val="22"/>
        </w:rPr>
        <w:tab/>
        <w:t>TEKSTO PERŽIŪROS DATA</w:t>
      </w:r>
    </w:p>
    <w:p w:rsidR="00E27AEA" w:rsidRPr="00341AE9" w:rsidRDefault="00E27AEA" w:rsidP="00E27AEA">
      <w:pPr>
        <w:pStyle w:val="Pagrindinistekstas"/>
        <w:spacing w:after="0"/>
        <w:rPr>
          <w:szCs w:val="22"/>
        </w:rPr>
      </w:pPr>
    </w:p>
    <w:p w:rsidR="00E57ECD" w:rsidRPr="004575DE" w:rsidRDefault="00BA781B" w:rsidP="00E57ECD">
      <w:r>
        <w:t>2015 m. lapkričio mėn. 23 d.</w:t>
      </w:r>
    </w:p>
    <w:p w:rsidR="00E27AEA" w:rsidRPr="00341AE9" w:rsidRDefault="00E27AEA" w:rsidP="00E27AEA">
      <w:pPr>
        <w:pStyle w:val="Pagrindinistekstas"/>
        <w:spacing w:after="0"/>
        <w:rPr>
          <w:szCs w:val="22"/>
        </w:rPr>
      </w:pPr>
    </w:p>
    <w:p w:rsidR="00E27AEA" w:rsidRPr="00341AE9" w:rsidRDefault="00E27AEA" w:rsidP="00E27AEA">
      <w:pPr>
        <w:rPr>
          <w:szCs w:val="22"/>
        </w:rPr>
      </w:pPr>
      <w:r w:rsidRPr="00341AE9">
        <w:rPr>
          <w:szCs w:val="22"/>
        </w:rPr>
        <w:t>Išsami informacija apie šį vaistinį preparatą pateikiama Valstybinės vaistų kontrolės tarnybos prie Lietuvos Respublikos  sveikatos apsaugos ministerijos tinklalapyje http://www.vvkt.lt</w:t>
      </w:r>
    </w:p>
    <w:p w:rsidR="00E27AEA" w:rsidRPr="00341AE9" w:rsidRDefault="00E27AEA" w:rsidP="00E27AEA">
      <w:pPr>
        <w:rPr>
          <w:szCs w:val="22"/>
        </w:rPr>
      </w:pPr>
    </w:p>
    <w:p w:rsidR="00E27AEA" w:rsidRPr="00341AE9" w:rsidRDefault="00E27AEA" w:rsidP="00E27AEA">
      <w:pPr>
        <w:rPr>
          <w:szCs w:val="22"/>
        </w:rPr>
      </w:pPr>
    </w:p>
    <w:p w:rsidR="00E27AEA" w:rsidRPr="00341AE9" w:rsidRDefault="00E27AEA" w:rsidP="00E27AEA">
      <w:pPr>
        <w:pStyle w:val="Pavadinimas"/>
      </w:pPr>
      <w:r w:rsidRPr="00341AE9">
        <w:br w:type="page"/>
      </w: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Default="00E27AEA" w:rsidP="00E27AEA">
      <w:pPr>
        <w:pStyle w:val="TTEMEASMCA"/>
        <w:rPr>
          <w:lang w:val="lt-LT"/>
        </w:rPr>
      </w:pPr>
      <w:bookmarkStart w:id="8" w:name="_Toc129243128"/>
      <w:bookmarkStart w:id="9" w:name="_Toc129243253"/>
    </w:p>
    <w:p w:rsidR="00E27AEA" w:rsidRPr="00341AE9" w:rsidRDefault="00E27AEA" w:rsidP="00E27AEA">
      <w:pPr>
        <w:pStyle w:val="TTEMEASMCA"/>
        <w:rPr>
          <w:lang w:val="lt-LT"/>
        </w:rPr>
      </w:pPr>
      <w:r w:rsidRPr="00341AE9">
        <w:rPr>
          <w:lang w:val="lt-LT"/>
        </w:rPr>
        <w:t>II PRIEDAS</w:t>
      </w:r>
      <w:bookmarkEnd w:id="8"/>
      <w:bookmarkEnd w:id="9"/>
    </w:p>
    <w:p w:rsidR="00E27AEA" w:rsidRPr="00341AE9" w:rsidRDefault="00E27AEA" w:rsidP="00E27AEA">
      <w:pPr>
        <w:pStyle w:val="TTEMEASMCA"/>
        <w:rPr>
          <w:lang w:val="lt-LT"/>
        </w:rPr>
      </w:pPr>
    </w:p>
    <w:p w:rsidR="00E27AEA" w:rsidRPr="00341AE9" w:rsidRDefault="00E27AEA" w:rsidP="00E27AEA">
      <w:pPr>
        <w:pStyle w:val="TTEMEASMCA"/>
        <w:rPr>
          <w:lang w:val="lt-LT"/>
        </w:rPr>
      </w:pPr>
      <w:r w:rsidRPr="00341AE9">
        <w:rPr>
          <w:lang w:val="lt-LT"/>
        </w:rPr>
        <w:t>R</w:t>
      </w:r>
      <w:r w:rsidR="00667B8F">
        <w:rPr>
          <w:lang w:val="lt-LT"/>
        </w:rPr>
        <w:t>EGISTRACIJOS</w:t>
      </w:r>
      <w:r w:rsidRPr="00341AE9">
        <w:rPr>
          <w:lang w:val="lt-LT"/>
        </w:rPr>
        <w:t xml:space="preserve"> SĄLYGOS</w:t>
      </w:r>
    </w:p>
    <w:p w:rsidR="00E27AEA" w:rsidRPr="00341AE9" w:rsidRDefault="00E27AEA" w:rsidP="00E27AEA">
      <w:pPr>
        <w:pStyle w:val="Pagrindinistekstas"/>
        <w:spacing w:after="0"/>
        <w:jc w:val="center"/>
        <w:rPr>
          <w:szCs w:val="22"/>
        </w:rPr>
      </w:pPr>
    </w:p>
    <w:p w:rsidR="00E27AEA" w:rsidRPr="00341AE9" w:rsidRDefault="00E27AEA" w:rsidP="00E27AEA">
      <w:pPr>
        <w:pStyle w:val="Antrat1"/>
        <w:rPr>
          <w:szCs w:val="22"/>
        </w:rPr>
      </w:pPr>
      <w:r w:rsidRPr="00341AE9">
        <w:rPr>
          <w:szCs w:val="22"/>
        </w:rPr>
        <w:t>A. GAMINTOJAS, ATSAKINGAS UŽ SERIJŲ IŠLEIDIMĄ</w:t>
      </w:r>
    </w:p>
    <w:p w:rsidR="00E27AEA" w:rsidRPr="00341AE9" w:rsidRDefault="00E27AEA" w:rsidP="00E27AEA">
      <w:pPr>
        <w:pStyle w:val="Pagrindinistekstas"/>
        <w:spacing w:after="0"/>
        <w:rPr>
          <w:szCs w:val="22"/>
        </w:rPr>
      </w:pPr>
    </w:p>
    <w:p w:rsidR="00E27AEA" w:rsidRPr="00341AE9" w:rsidRDefault="00E27AEA" w:rsidP="00E27AEA">
      <w:pPr>
        <w:pStyle w:val="Antrat1"/>
        <w:rPr>
          <w:szCs w:val="22"/>
        </w:rPr>
      </w:pPr>
      <w:r w:rsidRPr="00341AE9">
        <w:rPr>
          <w:szCs w:val="22"/>
        </w:rPr>
        <w:t>B. TIEKIMO IR VARTOJIMO SĄLYGOS AR APRIBOJIMAI</w:t>
      </w:r>
    </w:p>
    <w:p w:rsidR="00E27AEA" w:rsidRPr="00341AE9" w:rsidRDefault="00E27AEA" w:rsidP="00E27AEA">
      <w:pPr>
        <w:pStyle w:val="Pagrindinistekstas"/>
        <w:spacing w:after="0"/>
        <w:jc w:val="center"/>
        <w:rPr>
          <w:szCs w:val="22"/>
        </w:rPr>
      </w:pPr>
    </w:p>
    <w:p w:rsidR="00E27AEA" w:rsidRPr="00341AE9" w:rsidRDefault="00E27AEA" w:rsidP="00E27AEA">
      <w:pPr>
        <w:pStyle w:val="Pagrindinistekstas"/>
        <w:spacing w:after="0"/>
        <w:rPr>
          <w:b/>
          <w:szCs w:val="22"/>
        </w:rPr>
      </w:pPr>
      <w:r w:rsidRPr="00341AE9">
        <w:rPr>
          <w:szCs w:val="22"/>
        </w:rPr>
        <w:br w:type="page"/>
      </w:r>
      <w:r w:rsidRPr="00341AE9">
        <w:rPr>
          <w:b/>
          <w:szCs w:val="22"/>
        </w:rPr>
        <w:lastRenderedPageBreak/>
        <w:t>A. GAMINTOJAS, ATSAKINGAS UŽ SERIJŲ IŠLEIDIMĄ</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u w:val="single"/>
        </w:rPr>
      </w:pPr>
      <w:r w:rsidRPr="00341AE9">
        <w:rPr>
          <w:szCs w:val="22"/>
          <w:u w:val="single"/>
        </w:rPr>
        <w:t>Gamybos licencijos turėtojo, atsakingo už serijų išleidimą, pavadinimas ir adresas</w:t>
      </w:r>
    </w:p>
    <w:p w:rsidR="00E27AEA" w:rsidRPr="00341AE9" w:rsidRDefault="00E27AEA" w:rsidP="00E27AEA">
      <w:pPr>
        <w:pStyle w:val="Pagrindinistekstas"/>
        <w:spacing w:after="0"/>
        <w:rPr>
          <w:szCs w:val="22"/>
        </w:rPr>
      </w:pPr>
    </w:p>
    <w:p w:rsidR="00E27AEA" w:rsidRPr="00341AE9" w:rsidRDefault="00E27AEA" w:rsidP="00E27AEA">
      <w:pPr>
        <w:rPr>
          <w:szCs w:val="22"/>
        </w:rPr>
      </w:pPr>
      <w:r w:rsidRPr="00341AE9">
        <w:rPr>
          <w:szCs w:val="22"/>
        </w:rPr>
        <w:t xml:space="preserve">Solupharm Pharmazeutische Erzeugnisse GmbH </w:t>
      </w:r>
    </w:p>
    <w:p w:rsidR="00E27AEA" w:rsidRPr="00341AE9" w:rsidRDefault="00E27AEA" w:rsidP="00E27AEA">
      <w:pPr>
        <w:pStyle w:val="Komentarotekstas"/>
        <w:rPr>
          <w:rFonts w:cs="Times New Roman"/>
          <w:sz w:val="22"/>
          <w:szCs w:val="22"/>
          <w:lang w:val="lt-LT"/>
        </w:rPr>
      </w:pPr>
      <w:r w:rsidRPr="00341AE9">
        <w:rPr>
          <w:rFonts w:cs="Times New Roman"/>
          <w:sz w:val="22"/>
          <w:szCs w:val="22"/>
          <w:lang w:val="lt-LT"/>
        </w:rPr>
        <w:t>Industriestrasse 3</w:t>
      </w:r>
    </w:p>
    <w:p w:rsidR="00E27AEA" w:rsidRPr="00341AE9" w:rsidRDefault="00E27AEA" w:rsidP="00E27AEA">
      <w:pPr>
        <w:rPr>
          <w:szCs w:val="22"/>
        </w:rPr>
      </w:pPr>
      <w:r w:rsidRPr="00341AE9">
        <w:rPr>
          <w:szCs w:val="22"/>
        </w:rPr>
        <w:t>34212 Melsungen</w:t>
      </w:r>
    </w:p>
    <w:p w:rsidR="00E27AEA" w:rsidRPr="00341AE9" w:rsidRDefault="00E27AEA" w:rsidP="00E27AEA">
      <w:pPr>
        <w:rPr>
          <w:szCs w:val="22"/>
        </w:rPr>
      </w:pPr>
      <w:r w:rsidRPr="00341AE9">
        <w:rPr>
          <w:szCs w:val="22"/>
        </w:rPr>
        <w:t>Vokietija</w:t>
      </w:r>
    </w:p>
    <w:p w:rsidR="00E27AEA" w:rsidRPr="00341AE9" w:rsidRDefault="00E27AEA" w:rsidP="00E27AEA">
      <w:pPr>
        <w:pStyle w:val="knZulassung02"/>
        <w:ind w:left="0" w:right="0"/>
        <w:rPr>
          <w:sz w:val="22"/>
          <w:szCs w:val="22"/>
          <w:lang w:val="lt-LT"/>
        </w:rPr>
      </w:pPr>
    </w:p>
    <w:p w:rsidR="00E27AEA" w:rsidRPr="00341AE9" w:rsidRDefault="00E27AEA" w:rsidP="00E27AEA">
      <w:pPr>
        <w:pStyle w:val="Pagrindinistekstas"/>
        <w:spacing w:after="0"/>
        <w:rPr>
          <w:szCs w:val="22"/>
        </w:rPr>
      </w:pPr>
    </w:p>
    <w:p w:rsidR="00E27AEA" w:rsidRPr="00341AE9" w:rsidRDefault="00E27AEA" w:rsidP="00E27AEA">
      <w:pPr>
        <w:pStyle w:val="PI-1EMEASMCA"/>
      </w:pPr>
      <w:r w:rsidRPr="00341AE9">
        <w:t>B. TIEKIMO IR VARTOJIMO SĄLYGOS AR APRIBOJIMAI</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Receptinis vaistinis preparatas.</w:t>
      </w:r>
    </w:p>
    <w:p w:rsidR="00E27AEA" w:rsidRPr="00341AE9" w:rsidRDefault="00E27AEA" w:rsidP="00E27AEA">
      <w:pPr>
        <w:pStyle w:val="Antrat2"/>
        <w:rPr>
          <w:szCs w:val="22"/>
        </w:rPr>
      </w:pPr>
      <w:r w:rsidRPr="00341AE9">
        <w:rPr>
          <w:szCs w:val="22"/>
        </w:rPr>
        <w:br w:type="page"/>
      </w: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rPr>
          <w:szCs w:val="22"/>
        </w:rPr>
      </w:pPr>
    </w:p>
    <w:p w:rsidR="00E27AEA" w:rsidRPr="00341AE9" w:rsidRDefault="00E27AEA" w:rsidP="00E27AEA">
      <w:pPr>
        <w:rPr>
          <w:szCs w:val="22"/>
        </w:rPr>
      </w:pPr>
    </w:p>
    <w:p w:rsidR="00E27AEA" w:rsidRPr="00341AE9" w:rsidRDefault="00E27AEA" w:rsidP="00E27AEA">
      <w:pPr>
        <w:pStyle w:val="Antrat2"/>
        <w:jc w:val="left"/>
        <w:rPr>
          <w:szCs w:val="22"/>
        </w:rPr>
      </w:pPr>
    </w:p>
    <w:p w:rsidR="00E27AEA" w:rsidRDefault="00E27AEA" w:rsidP="00E27AEA">
      <w:pPr>
        <w:pStyle w:val="Antrat2"/>
        <w:rPr>
          <w:szCs w:val="22"/>
        </w:rPr>
      </w:pPr>
    </w:p>
    <w:p w:rsidR="00E27AEA" w:rsidRPr="00341AE9" w:rsidRDefault="00E27AEA" w:rsidP="00E27AEA">
      <w:pPr>
        <w:pStyle w:val="Antrat2"/>
        <w:rPr>
          <w:szCs w:val="22"/>
        </w:rPr>
      </w:pPr>
      <w:r w:rsidRPr="00341AE9">
        <w:rPr>
          <w:szCs w:val="22"/>
        </w:rPr>
        <w:t>III PRIEDAS</w:t>
      </w:r>
    </w:p>
    <w:p w:rsidR="00E27AEA" w:rsidRPr="00341AE9" w:rsidRDefault="00E27AEA" w:rsidP="00E27AEA">
      <w:pPr>
        <w:rPr>
          <w:szCs w:val="22"/>
        </w:rPr>
      </w:pPr>
    </w:p>
    <w:p w:rsidR="00E27AEA" w:rsidRPr="00341AE9" w:rsidRDefault="00E27AEA" w:rsidP="00E27AEA">
      <w:pPr>
        <w:jc w:val="center"/>
        <w:rPr>
          <w:b/>
          <w:szCs w:val="22"/>
        </w:rPr>
      </w:pPr>
      <w:r w:rsidRPr="00341AE9">
        <w:rPr>
          <w:b/>
          <w:szCs w:val="22"/>
        </w:rPr>
        <w:t>ŽENKLINIMAS IR PAKUOTĖS LAPELIS</w:t>
      </w: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jc w:val="left"/>
        <w:rPr>
          <w:szCs w:val="22"/>
        </w:rPr>
      </w:pPr>
    </w:p>
    <w:p w:rsidR="00E27AEA" w:rsidRPr="00341AE9" w:rsidRDefault="00E27AEA" w:rsidP="00E27AEA">
      <w:pPr>
        <w:pStyle w:val="Antrat2"/>
        <w:rPr>
          <w:szCs w:val="22"/>
        </w:rPr>
      </w:pPr>
      <w:r w:rsidRPr="00341AE9">
        <w:rPr>
          <w:szCs w:val="22"/>
        </w:rPr>
        <w:t>A. ŽENKLINIMAS</w:t>
      </w: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pStyle w:val="Antrat2"/>
        <w:rPr>
          <w:szCs w:val="22"/>
        </w:rPr>
      </w:pPr>
    </w:p>
    <w:p w:rsidR="00E27AEA" w:rsidRPr="00341AE9" w:rsidRDefault="00E27AEA" w:rsidP="00E27AEA">
      <w:pPr>
        <w:rPr>
          <w:szCs w:val="22"/>
        </w:rPr>
      </w:pPr>
    </w:p>
    <w:p w:rsidR="00E27AEA" w:rsidRPr="00341AE9" w:rsidRDefault="00E27AEA" w:rsidP="00E27AEA">
      <w:pPr>
        <w:pStyle w:val="Antrat2"/>
        <w:pBdr>
          <w:top w:val="single" w:sz="4" w:space="1" w:color="auto"/>
          <w:left w:val="single" w:sz="4" w:space="4" w:color="auto"/>
          <w:bottom w:val="single" w:sz="4" w:space="1" w:color="auto"/>
          <w:right w:val="single" w:sz="4" w:space="4" w:color="auto"/>
        </w:pBdr>
        <w:jc w:val="left"/>
        <w:rPr>
          <w:szCs w:val="22"/>
        </w:rPr>
      </w:pPr>
      <w:r w:rsidRPr="00341AE9">
        <w:rPr>
          <w:szCs w:val="22"/>
        </w:rPr>
        <w:lastRenderedPageBreak/>
        <w:t xml:space="preserve">INFORMACIJA ANT IŠORINĖS PAKUOTĖS  </w:t>
      </w:r>
    </w:p>
    <w:p w:rsidR="00E27AEA" w:rsidRPr="00341AE9" w:rsidRDefault="00E27AEA" w:rsidP="00E27AEA">
      <w:pPr>
        <w:pStyle w:val="Antrat2"/>
        <w:pBdr>
          <w:top w:val="single" w:sz="4" w:space="1" w:color="auto"/>
          <w:left w:val="single" w:sz="4" w:space="4" w:color="auto"/>
          <w:bottom w:val="single" w:sz="4" w:space="1" w:color="auto"/>
          <w:right w:val="single" w:sz="4" w:space="4" w:color="auto"/>
        </w:pBdr>
        <w:jc w:val="left"/>
        <w:rPr>
          <w:szCs w:val="22"/>
        </w:rPr>
      </w:pPr>
    </w:p>
    <w:p w:rsidR="00E27AEA" w:rsidRPr="00341AE9" w:rsidRDefault="00E27AEA" w:rsidP="00E27AEA">
      <w:pPr>
        <w:pStyle w:val="Antrat2"/>
        <w:pBdr>
          <w:top w:val="single" w:sz="4" w:space="1" w:color="auto"/>
          <w:left w:val="single" w:sz="4" w:space="4" w:color="auto"/>
          <w:bottom w:val="single" w:sz="4" w:space="1" w:color="auto"/>
          <w:right w:val="single" w:sz="4" w:space="4" w:color="auto"/>
        </w:pBdr>
        <w:jc w:val="left"/>
        <w:rPr>
          <w:szCs w:val="22"/>
        </w:rPr>
      </w:pPr>
      <w:r w:rsidRPr="00341AE9">
        <w:rPr>
          <w:szCs w:val="22"/>
        </w:rPr>
        <w:t>KARTONO DĖŽUTĖ</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3"/>
        <w:pBdr>
          <w:top w:val="single" w:sz="4" w:space="1" w:color="auto"/>
          <w:left w:val="single" w:sz="4" w:space="4" w:color="auto"/>
          <w:bottom w:val="single" w:sz="4" w:space="1" w:color="auto"/>
          <w:right w:val="single" w:sz="4" w:space="4" w:color="auto"/>
        </w:pBdr>
        <w:ind w:left="567" w:hanging="567"/>
        <w:rPr>
          <w:szCs w:val="22"/>
        </w:rPr>
      </w:pPr>
      <w:r w:rsidRPr="00341AE9">
        <w:rPr>
          <w:szCs w:val="22"/>
        </w:rPr>
        <w:t>1.</w:t>
      </w:r>
      <w:r w:rsidRPr="00341AE9">
        <w:rPr>
          <w:szCs w:val="22"/>
        </w:rPr>
        <w:tab/>
        <w:t>VAISTINIO PREPARATO PAVADINIMAS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Thiogamma 30 mg/ml koncentratas infuziniam tirpalui</w:t>
      </w:r>
    </w:p>
    <w:p w:rsidR="00E27AEA" w:rsidRPr="00341AE9" w:rsidRDefault="00E27AEA" w:rsidP="00E27AEA">
      <w:pPr>
        <w:pStyle w:val="Pagrindinistekstas"/>
        <w:spacing w:after="0"/>
        <w:rPr>
          <w:szCs w:val="22"/>
        </w:rPr>
      </w:pPr>
      <w:r w:rsidRPr="00341AE9">
        <w:rPr>
          <w:szCs w:val="22"/>
        </w:rPr>
        <w:t>Tiokto rūgštis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3"/>
        <w:pBdr>
          <w:top w:val="single" w:sz="4" w:space="1" w:color="auto"/>
          <w:left w:val="single" w:sz="4" w:space="4" w:color="auto"/>
          <w:bottom w:val="single" w:sz="4" w:space="1" w:color="auto"/>
          <w:right w:val="single" w:sz="4" w:space="4" w:color="auto"/>
        </w:pBdr>
        <w:ind w:left="567" w:hanging="567"/>
        <w:rPr>
          <w:szCs w:val="22"/>
        </w:rPr>
      </w:pPr>
      <w:r w:rsidRPr="00341AE9">
        <w:rPr>
          <w:szCs w:val="22"/>
        </w:rPr>
        <w:t>2.</w:t>
      </w:r>
      <w:r w:rsidRPr="00341AE9">
        <w:rPr>
          <w:szCs w:val="22"/>
        </w:rPr>
        <w:tab/>
        <w:t xml:space="preserve">VEIKLIOJI MEDŽIAGA IR JOS KIEKIS </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1 ml koncentrato infuziniam tirpalui yra 58,39 mg tiokto rūgšties meglumino druskos (atitinka 30 mg tiokto rūgšties).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3"/>
        <w:pBdr>
          <w:top w:val="single" w:sz="4" w:space="1" w:color="auto"/>
          <w:left w:val="single" w:sz="4" w:space="4" w:color="auto"/>
          <w:bottom w:val="single" w:sz="4" w:space="1" w:color="auto"/>
          <w:right w:val="single" w:sz="4" w:space="4" w:color="auto"/>
        </w:pBdr>
        <w:ind w:left="567" w:hanging="567"/>
        <w:rPr>
          <w:szCs w:val="22"/>
        </w:rPr>
      </w:pPr>
      <w:r w:rsidRPr="00341AE9">
        <w:rPr>
          <w:szCs w:val="22"/>
        </w:rPr>
        <w:t>3.</w:t>
      </w:r>
      <w:r w:rsidRPr="00341AE9">
        <w:rPr>
          <w:szCs w:val="22"/>
        </w:rPr>
        <w:tab/>
        <w:t>PAGALBINIŲ MEDŽIAGŲ SĄRAŠAS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Pagalbinės medžiagos: megluminas, makrogolis 300, injekcinis vanduo.</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3"/>
        <w:pBdr>
          <w:top w:val="single" w:sz="4" w:space="1" w:color="auto"/>
          <w:left w:val="single" w:sz="4" w:space="4" w:color="auto"/>
          <w:bottom w:val="single" w:sz="4" w:space="1" w:color="auto"/>
          <w:right w:val="single" w:sz="4" w:space="4" w:color="auto"/>
        </w:pBdr>
        <w:ind w:left="567" w:hanging="567"/>
        <w:rPr>
          <w:szCs w:val="22"/>
        </w:rPr>
      </w:pPr>
      <w:r w:rsidRPr="00341AE9">
        <w:rPr>
          <w:szCs w:val="22"/>
        </w:rPr>
        <w:t>4.</w:t>
      </w:r>
      <w:r w:rsidRPr="00341AE9">
        <w:rPr>
          <w:szCs w:val="22"/>
        </w:rPr>
        <w:tab/>
        <w:t>FARMACINĖ FORMA IR KIEKIS PAKUOTĖJE</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AE7007">
        <w:rPr>
          <w:szCs w:val="22"/>
          <w:highlight w:val="lightGray"/>
        </w:rPr>
        <w:t>Koncentratas infuziniam tirpalui</w:t>
      </w:r>
    </w:p>
    <w:p w:rsidR="00E27AEA" w:rsidRPr="00341AE9" w:rsidRDefault="00E27AEA" w:rsidP="00E27AEA">
      <w:pPr>
        <w:pStyle w:val="Pagrindinistekstas"/>
        <w:spacing w:after="0"/>
        <w:rPr>
          <w:szCs w:val="22"/>
        </w:rPr>
      </w:pPr>
      <w:r w:rsidRPr="00341AE9">
        <w:rPr>
          <w:szCs w:val="22"/>
        </w:rPr>
        <w:t>5 ampulės po 20 ml</w:t>
      </w:r>
    </w:p>
    <w:p w:rsidR="00E27AEA" w:rsidRPr="00341AE9" w:rsidRDefault="00E27AEA" w:rsidP="00E27AEA">
      <w:pPr>
        <w:pStyle w:val="Pagrindinistekstas"/>
        <w:spacing w:after="0"/>
        <w:rPr>
          <w:szCs w:val="22"/>
          <w:highlight w:val="lightGray"/>
        </w:rPr>
      </w:pPr>
      <w:r w:rsidRPr="00341AE9">
        <w:rPr>
          <w:szCs w:val="22"/>
          <w:highlight w:val="lightGray"/>
        </w:rPr>
        <w:t>10 ampulių po 20 ml</w:t>
      </w:r>
    </w:p>
    <w:p w:rsidR="00E27AEA" w:rsidRPr="00341AE9" w:rsidRDefault="00E27AEA" w:rsidP="00E27AEA">
      <w:pPr>
        <w:pStyle w:val="Pagrindinistekstas"/>
        <w:spacing w:after="0"/>
        <w:rPr>
          <w:szCs w:val="22"/>
        </w:rPr>
      </w:pPr>
      <w:r w:rsidRPr="00341AE9">
        <w:rPr>
          <w:szCs w:val="22"/>
          <w:highlight w:val="lightGray"/>
        </w:rPr>
        <w:t>20 ampulių po 20 ml</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3"/>
        <w:pBdr>
          <w:top w:val="single" w:sz="4" w:space="1" w:color="auto"/>
          <w:left w:val="single" w:sz="4" w:space="4" w:color="auto"/>
          <w:bottom w:val="single" w:sz="4" w:space="1" w:color="auto"/>
          <w:right w:val="single" w:sz="4" w:space="4" w:color="auto"/>
        </w:pBdr>
        <w:ind w:left="567" w:hanging="567"/>
        <w:rPr>
          <w:szCs w:val="22"/>
        </w:rPr>
      </w:pPr>
      <w:r w:rsidRPr="00341AE9">
        <w:rPr>
          <w:szCs w:val="22"/>
        </w:rPr>
        <w:t>5.</w:t>
      </w:r>
      <w:r w:rsidRPr="00341AE9">
        <w:rPr>
          <w:szCs w:val="22"/>
        </w:rPr>
        <w:tab/>
        <w:t>VARTOJIMO METODAS IR BŪDAS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Leisti į veną. Prieš vartojimą praskiesti.</w:t>
      </w:r>
    </w:p>
    <w:p w:rsidR="00E27AEA" w:rsidRPr="00341AE9" w:rsidRDefault="00E27AEA" w:rsidP="00E27AEA">
      <w:pPr>
        <w:pStyle w:val="Pagrindinistekstas"/>
        <w:spacing w:after="0"/>
        <w:rPr>
          <w:szCs w:val="22"/>
        </w:rPr>
      </w:pPr>
      <w:r w:rsidRPr="00341AE9">
        <w:rPr>
          <w:szCs w:val="22"/>
        </w:rPr>
        <w:t>Prieš vartojimą perskaitykite pakuotės lapelį.</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3"/>
        <w:pBdr>
          <w:top w:val="single" w:sz="4" w:space="1" w:color="auto"/>
          <w:left w:val="single" w:sz="4" w:space="4" w:color="auto"/>
          <w:bottom w:val="single" w:sz="4" w:space="1" w:color="auto"/>
          <w:right w:val="single" w:sz="4" w:space="4" w:color="auto"/>
        </w:pBdr>
        <w:ind w:left="567" w:hanging="567"/>
        <w:rPr>
          <w:szCs w:val="22"/>
        </w:rPr>
      </w:pPr>
      <w:r w:rsidRPr="00341AE9">
        <w:rPr>
          <w:szCs w:val="22"/>
        </w:rPr>
        <w:t>6.</w:t>
      </w:r>
      <w:r w:rsidRPr="00341AE9">
        <w:rPr>
          <w:szCs w:val="22"/>
        </w:rPr>
        <w:tab/>
        <w:t>SPECIALUS ĮSPĖJIMAS, KAD VAISTINĮ PREPARATĄ BŪTINA LAIKYTI VAIKAMS NEPASTEBIMOJE IR  NEPASIEKIAMOJE VIETOJE</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 xml:space="preserve">Laikyti vaikams nepastebimoje ir nepasiekiamoje vietoje. </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3"/>
        <w:pBdr>
          <w:top w:val="single" w:sz="4" w:space="1" w:color="auto"/>
          <w:left w:val="single" w:sz="4" w:space="4" w:color="auto"/>
          <w:bottom w:val="single" w:sz="4" w:space="1" w:color="auto"/>
          <w:right w:val="single" w:sz="4" w:space="4" w:color="auto"/>
        </w:pBdr>
        <w:ind w:left="567" w:hanging="567"/>
        <w:rPr>
          <w:szCs w:val="22"/>
        </w:rPr>
      </w:pPr>
      <w:r w:rsidRPr="00341AE9">
        <w:rPr>
          <w:szCs w:val="22"/>
        </w:rPr>
        <w:t>7.</w:t>
      </w:r>
      <w:r w:rsidRPr="00341AE9">
        <w:rPr>
          <w:szCs w:val="22"/>
        </w:rPr>
        <w:tab/>
        <w:t>KITAS SPECIALUS ĮSPĖJIMAS (JEI REIKIA)</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3"/>
        <w:pBdr>
          <w:top w:val="single" w:sz="4" w:space="1" w:color="auto"/>
          <w:left w:val="single" w:sz="4" w:space="4" w:color="auto"/>
          <w:bottom w:val="single" w:sz="4" w:space="1" w:color="auto"/>
          <w:right w:val="single" w:sz="4" w:space="4" w:color="auto"/>
        </w:pBdr>
        <w:ind w:left="567" w:hanging="567"/>
        <w:rPr>
          <w:szCs w:val="22"/>
        </w:rPr>
      </w:pPr>
      <w:r w:rsidRPr="00341AE9">
        <w:rPr>
          <w:szCs w:val="22"/>
        </w:rPr>
        <w:t>8.</w:t>
      </w:r>
      <w:r w:rsidRPr="00341AE9">
        <w:rPr>
          <w:szCs w:val="22"/>
        </w:rPr>
        <w:tab/>
        <w:t>TINKAMUMO LAIKAS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Tinka iki {mm/MMMM}</w:t>
      </w:r>
    </w:p>
    <w:p w:rsidR="00E27AEA" w:rsidRPr="00341AE9" w:rsidRDefault="00E27AEA" w:rsidP="00E27AEA">
      <w:pPr>
        <w:autoSpaceDE w:val="0"/>
        <w:autoSpaceDN w:val="0"/>
        <w:adjustRightInd w:val="0"/>
        <w:rPr>
          <w:szCs w:val="22"/>
        </w:rPr>
      </w:pPr>
      <w:r w:rsidRPr="00341AE9">
        <w:rPr>
          <w:szCs w:val="22"/>
        </w:rPr>
        <w:t>Paruoštą infuzinį tirpalą apsaugotoje nuo šviesos vietoje galima laikyti ne ilgiau kaip 6 valandas.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3"/>
        <w:pBdr>
          <w:top w:val="single" w:sz="4" w:space="1" w:color="auto"/>
          <w:left w:val="single" w:sz="4" w:space="4" w:color="auto"/>
          <w:bottom w:val="single" w:sz="4" w:space="1" w:color="auto"/>
          <w:right w:val="single" w:sz="4" w:space="4" w:color="auto"/>
        </w:pBdr>
        <w:ind w:left="567" w:hanging="567"/>
        <w:rPr>
          <w:szCs w:val="22"/>
        </w:rPr>
      </w:pPr>
      <w:r w:rsidRPr="00341AE9">
        <w:rPr>
          <w:szCs w:val="22"/>
        </w:rPr>
        <w:t>9.</w:t>
      </w:r>
      <w:r w:rsidRPr="00341AE9">
        <w:rPr>
          <w:szCs w:val="22"/>
        </w:rPr>
        <w:tab/>
        <w:t>SPECIALIOS LAIKYMO SĄLYGOS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 xml:space="preserve">Laikyti ne aukštesnėje kaip 25 </w:t>
      </w:r>
      <w:r w:rsidRPr="00341AE9">
        <w:rPr>
          <w:szCs w:val="22"/>
        </w:rPr>
        <w:sym w:font="Symbol" w:char="F0B0"/>
      </w:r>
      <w:r w:rsidRPr="00341AE9">
        <w:rPr>
          <w:szCs w:val="22"/>
        </w:rPr>
        <w:t>C temperatūroje.</w:t>
      </w:r>
    </w:p>
    <w:p w:rsidR="00E27AEA" w:rsidRPr="00341AE9" w:rsidRDefault="00E27AEA" w:rsidP="00E27AEA">
      <w:pPr>
        <w:pStyle w:val="Pagrindinistekstas"/>
        <w:spacing w:after="0"/>
        <w:rPr>
          <w:szCs w:val="22"/>
        </w:rPr>
      </w:pPr>
      <w:r w:rsidRPr="00341AE9">
        <w:rPr>
          <w:szCs w:val="22"/>
        </w:rPr>
        <w:t>Laikyti gamintojo pakuotėje, kad preparatas būtų apsaugotas nuo šviesos.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3"/>
        <w:pBdr>
          <w:top w:val="single" w:sz="4" w:space="1" w:color="auto"/>
          <w:left w:val="single" w:sz="4" w:space="4" w:color="auto"/>
          <w:bottom w:val="single" w:sz="4" w:space="1" w:color="auto"/>
          <w:right w:val="single" w:sz="4" w:space="4" w:color="auto"/>
        </w:pBdr>
        <w:ind w:left="567" w:hanging="567"/>
        <w:rPr>
          <w:szCs w:val="22"/>
        </w:rPr>
      </w:pPr>
      <w:r w:rsidRPr="00341AE9">
        <w:rPr>
          <w:szCs w:val="22"/>
        </w:rPr>
        <w:t>10.</w:t>
      </w:r>
      <w:r w:rsidRPr="00341AE9">
        <w:rPr>
          <w:szCs w:val="22"/>
        </w:rPr>
        <w:tab/>
      </w:r>
      <w:r w:rsidRPr="0078119F">
        <w:rPr>
          <w:szCs w:val="22"/>
        </w:rPr>
        <w:t>SPECIALIOS ATSARGUMO PRIEMONĖS</w:t>
      </w:r>
      <w:r w:rsidR="0078119F" w:rsidRPr="00F15567">
        <w:rPr>
          <w:szCs w:val="22"/>
        </w:rPr>
        <w:t xml:space="preserve"> </w:t>
      </w:r>
      <w:r w:rsidR="0078119F" w:rsidRPr="00AE7007">
        <w:t>PRIEMONĖS DĖL NESUVARTOTO VAISTINIO PREPARATO AR JO ATLIEKŲ TVARKYMO</w:t>
      </w:r>
      <w:r w:rsidRPr="00341AE9">
        <w:rPr>
          <w:szCs w:val="22"/>
        </w:rPr>
        <w:t xml:space="preserve"> (JEI REIKIA)</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3"/>
        <w:pBdr>
          <w:top w:val="single" w:sz="4" w:space="1" w:color="auto"/>
          <w:left w:val="single" w:sz="4" w:space="4" w:color="auto"/>
          <w:bottom w:val="single" w:sz="4" w:space="1" w:color="auto"/>
          <w:right w:val="single" w:sz="4" w:space="4" w:color="auto"/>
        </w:pBdr>
        <w:ind w:left="567" w:hanging="567"/>
        <w:rPr>
          <w:szCs w:val="22"/>
        </w:rPr>
      </w:pPr>
      <w:r w:rsidRPr="00341AE9">
        <w:rPr>
          <w:szCs w:val="22"/>
        </w:rPr>
        <w:t>11.</w:t>
      </w:r>
      <w:r w:rsidRPr="00341AE9">
        <w:rPr>
          <w:szCs w:val="22"/>
        </w:rPr>
        <w:tab/>
        <w:t>R</w:t>
      </w:r>
      <w:r w:rsidR="00F15567">
        <w:rPr>
          <w:szCs w:val="22"/>
        </w:rPr>
        <w:t>EGISTRUOTOJO</w:t>
      </w:r>
      <w:r w:rsidRPr="00341AE9">
        <w:rPr>
          <w:szCs w:val="22"/>
        </w:rPr>
        <w:t xml:space="preserve"> PAVADINIMAS IR ADRESAS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Wörwag Pharma GmbH &amp; Co. KG</w:t>
      </w:r>
    </w:p>
    <w:p w:rsidR="00E27AEA" w:rsidRPr="00341AE9" w:rsidRDefault="00E27AEA" w:rsidP="00E27AEA">
      <w:pPr>
        <w:pStyle w:val="Pagrindinistekstas"/>
        <w:spacing w:after="0"/>
        <w:rPr>
          <w:szCs w:val="22"/>
        </w:rPr>
      </w:pPr>
      <w:r w:rsidRPr="00341AE9">
        <w:rPr>
          <w:szCs w:val="22"/>
        </w:rPr>
        <w:t>Calwer Str. 7</w:t>
      </w:r>
    </w:p>
    <w:p w:rsidR="00E27AEA" w:rsidRPr="00341AE9" w:rsidRDefault="00E27AEA" w:rsidP="00E27AEA">
      <w:pPr>
        <w:pStyle w:val="Pagrindinistekstas"/>
        <w:spacing w:after="0"/>
        <w:rPr>
          <w:szCs w:val="22"/>
        </w:rPr>
      </w:pPr>
      <w:r w:rsidRPr="00341AE9">
        <w:rPr>
          <w:szCs w:val="22"/>
        </w:rPr>
        <w:t>71034 Böblingen</w:t>
      </w:r>
    </w:p>
    <w:p w:rsidR="00E27AEA" w:rsidRPr="00341AE9" w:rsidRDefault="00E27AEA" w:rsidP="00E27AEA">
      <w:pPr>
        <w:pStyle w:val="Pagrindinistekstas"/>
        <w:spacing w:after="0"/>
        <w:rPr>
          <w:szCs w:val="22"/>
        </w:rPr>
      </w:pPr>
      <w:r w:rsidRPr="00341AE9">
        <w:rPr>
          <w:szCs w:val="22"/>
        </w:rPr>
        <w:t>Vokietija</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3"/>
        <w:pBdr>
          <w:top w:val="single" w:sz="4" w:space="1" w:color="auto"/>
          <w:left w:val="single" w:sz="4" w:space="4" w:color="auto"/>
          <w:bottom w:val="single" w:sz="4" w:space="1" w:color="auto"/>
          <w:right w:val="single" w:sz="4" w:space="4" w:color="auto"/>
        </w:pBdr>
        <w:ind w:left="567" w:hanging="567"/>
        <w:rPr>
          <w:szCs w:val="22"/>
        </w:rPr>
      </w:pPr>
      <w:r w:rsidRPr="00341AE9">
        <w:rPr>
          <w:szCs w:val="22"/>
        </w:rPr>
        <w:t>12.</w:t>
      </w:r>
      <w:r w:rsidRPr="00341AE9">
        <w:rPr>
          <w:szCs w:val="22"/>
        </w:rPr>
        <w:tab/>
        <w:t>R</w:t>
      </w:r>
      <w:r w:rsidR="00DD3810">
        <w:rPr>
          <w:szCs w:val="22"/>
        </w:rPr>
        <w:t>EGISTRACIJOS</w:t>
      </w:r>
      <w:r w:rsidRPr="00341AE9">
        <w:rPr>
          <w:szCs w:val="22"/>
        </w:rPr>
        <w:t xml:space="preserve"> PAŽYMĖJIMO NUMERIS (-IAI)</w:t>
      </w:r>
    </w:p>
    <w:p w:rsidR="00E27AEA" w:rsidRPr="00341AE9" w:rsidRDefault="00E27AEA" w:rsidP="00E27AEA">
      <w:pPr>
        <w:pStyle w:val="Pagrindinistekstas"/>
        <w:spacing w:after="0"/>
        <w:rPr>
          <w:szCs w:val="22"/>
        </w:rPr>
      </w:pPr>
    </w:p>
    <w:p w:rsidR="00E27AEA" w:rsidRPr="00341AE9" w:rsidRDefault="00E27AEA" w:rsidP="00E27AEA">
      <w:pPr>
        <w:rPr>
          <w:szCs w:val="22"/>
          <w:lang w:val="sv-SE"/>
        </w:rPr>
      </w:pPr>
      <w:r w:rsidRPr="00341AE9">
        <w:rPr>
          <w:szCs w:val="22"/>
        </w:rPr>
        <w:t>N5</w:t>
      </w:r>
      <w:r w:rsidRPr="00341AE9">
        <w:rPr>
          <w:szCs w:val="22"/>
          <w:lang w:val="sv-SE"/>
        </w:rPr>
        <w:t xml:space="preserve"> – LT/1/02/2299/004</w:t>
      </w:r>
    </w:p>
    <w:p w:rsidR="00E27AEA" w:rsidRPr="00341AE9" w:rsidRDefault="00E27AEA" w:rsidP="00E27AEA">
      <w:pPr>
        <w:rPr>
          <w:szCs w:val="22"/>
          <w:lang w:val="sv-SE"/>
        </w:rPr>
      </w:pPr>
      <w:r w:rsidRPr="00341AE9">
        <w:rPr>
          <w:szCs w:val="22"/>
        </w:rPr>
        <w:t>N10</w:t>
      </w:r>
      <w:r w:rsidRPr="00341AE9">
        <w:rPr>
          <w:szCs w:val="22"/>
          <w:lang w:val="sv-SE"/>
        </w:rPr>
        <w:t xml:space="preserve"> – LT/1/02/2299/005</w:t>
      </w:r>
    </w:p>
    <w:p w:rsidR="00E27AEA" w:rsidRPr="00341AE9" w:rsidRDefault="00E27AEA" w:rsidP="00E27AEA">
      <w:pPr>
        <w:rPr>
          <w:szCs w:val="22"/>
          <w:lang w:val="sv-SE"/>
        </w:rPr>
      </w:pPr>
      <w:r w:rsidRPr="00341AE9">
        <w:rPr>
          <w:szCs w:val="22"/>
        </w:rPr>
        <w:t>N20</w:t>
      </w:r>
      <w:r w:rsidRPr="00341AE9">
        <w:rPr>
          <w:szCs w:val="22"/>
          <w:lang w:val="sv-SE"/>
        </w:rPr>
        <w:t xml:space="preserve"> – LT/1/02/2299/006</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3"/>
        <w:pBdr>
          <w:top w:val="single" w:sz="4" w:space="1" w:color="auto"/>
          <w:left w:val="single" w:sz="4" w:space="4" w:color="auto"/>
          <w:bottom w:val="single" w:sz="4" w:space="1" w:color="auto"/>
          <w:right w:val="single" w:sz="4" w:space="4" w:color="auto"/>
        </w:pBdr>
        <w:ind w:left="567" w:hanging="567"/>
        <w:rPr>
          <w:szCs w:val="22"/>
        </w:rPr>
      </w:pPr>
      <w:r w:rsidRPr="00341AE9">
        <w:rPr>
          <w:szCs w:val="22"/>
        </w:rPr>
        <w:t>13.</w:t>
      </w:r>
      <w:r w:rsidRPr="00341AE9">
        <w:rPr>
          <w:szCs w:val="22"/>
        </w:rPr>
        <w:tab/>
        <w:t>SERIJOS NUMERIS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 xml:space="preserve">Serija </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3"/>
        <w:numPr>
          <w:ilvl w:val="0"/>
          <w:numId w:val="3"/>
        </w:numPr>
        <w:pBdr>
          <w:top w:val="single" w:sz="4" w:space="1" w:color="auto"/>
          <w:left w:val="single" w:sz="4" w:space="4" w:color="auto"/>
          <w:bottom w:val="single" w:sz="4" w:space="1" w:color="auto"/>
          <w:right w:val="single" w:sz="4" w:space="4" w:color="auto"/>
        </w:pBdr>
        <w:tabs>
          <w:tab w:val="clear" w:pos="1080"/>
        </w:tabs>
        <w:ind w:left="567" w:hanging="567"/>
        <w:rPr>
          <w:szCs w:val="22"/>
        </w:rPr>
      </w:pPr>
      <w:r w:rsidRPr="00341AE9">
        <w:rPr>
          <w:szCs w:val="22"/>
        </w:rPr>
        <w:t>PARDAVIMO (IŠDAVIMO) TVARKA</w:t>
      </w:r>
    </w:p>
    <w:p w:rsidR="00E27AEA" w:rsidRPr="00341AE9" w:rsidRDefault="00E27AEA" w:rsidP="00E27AEA">
      <w:pPr>
        <w:pStyle w:val="Antrat3"/>
        <w:rPr>
          <w:szCs w:val="22"/>
        </w:rPr>
      </w:pPr>
    </w:p>
    <w:p w:rsidR="00E27AEA" w:rsidRPr="00341AE9" w:rsidRDefault="00E27AEA" w:rsidP="00E27AEA">
      <w:pPr>
        <w:pStyle w:val="Pagrindinistekstas"/>
        <w:spacing w:after="0"/>
        <w:rPr>
          <w:szCs w:val="22"/>
        </w:rPr>
      </w:pPr>
      <w:r w:rsidRPr="00341AE9">
        <w:rPr>
          <w:szCs w:val="22"/>
        </w:rPr>
        <w:t>Receptinis vaistinis preparatas</w:t>
      </w:r>
      <w:r w:rsidR="00F7665F">
        <w:rPr>
          <w:szCs w:val="22"/>
        </w:rPr>
        <w:t>.</w:t>
      </w:r>
    </w:p>
    <w:p w:rsidR="00E27AEA" w:rsidRPr="00341AE9" w:rsidRDefault="00E27AEA" w:rsidP="00E27AEA">
      <w:pPr>
        <w:pStyle w:val="BTEMEASMCA"/>
        <w:rPr>
          <w:noProof w:val="0"/>
        </w:rPr>
      </w:pPr>
    </w:p>
    <w:p w:rsidR="00E27AEA" w:rsidRPr="00341AE9" w:rsidRDefault="00E27AEA" w:rsidP="00E27AEA">
      <w:pPr>
        <w:pStyle w:val="BTEMEASMCA"/>
        <w:rPr>
          <w:noProof w:val="0"/>
        </w:rPr>
      </w:pPr>
    </w:p>
    <w:p w:rsidR="00E27AEA" w:rsidRPr="00341AE9" w:rsidRDefault="00E27AEA" w:rsidP="00E27AEA">
      <w:pPr>
        <w:pStyle w:val="PI-1labEMEASMCA"/>
      </w:pPr>
      <w:r w:rsidRPr="00341AE9">
        <w:t>15.</w:t>
      </w:r>
      <w:r w:rsidRPr="00341AE9">
        <w:tab/>
        <w:t>VARTOJIMO INSTRUKCIJA</w:t>
      </w:r>
    </w:p>
    <w:p w:rsidR="00E27AEA" w:rsidRPr="00341AE9" w:rsidRDefault="00E27AEA" w:rsidP="00E27AEA">
      <w:pPr>
        <w:pStyle w:val="BTEMEASMCA"/>
        <w:rPr>
          <w:noProof w:val="0"/>
        </w:rPr>
      </w:pPr>
    </w:p>
    <w:p w:rsidR="00E27AEA" w:rsidRPr="00341AE9" w:rsidRDefault="00E27AEA" w:rsidP="00E27AEA">
      <w:pPr>
        <w:pStyle w:val="BTEMEASMCA"/>
        <w:rPr>
          <w:noProof w:val="0"/>
        </w:rPr>
      </w:pPr>
    </w:p>
    <w:p w:rsidR="00E27AEA" w:rsidRPr="00341AE9" w:rsidRDefault="00E27AEA" w:rsidP="00E27AEA">
      <w:pPr>
        <w:pStyle w:val="PI-1labEMEASMCA"/>
      </w:pPr>
      <w:r w:rsidRPr="00341AE9">
        <w:t>16.</w:t>
      </w:r>
      <w:r w:rsidRPr="00341AE9">
        <w:tab/>
        <w:t>INFORMACIJA BRAILIO RAŠTU</w:t>
      </w:r>
    </w:p>
    <w:p w:rsidR="00E27AEA" w:rsidRPr="00341AE9" w:rsidRDefault="00E27AEA" w:rsidP="00E27AEA">
      <w:pPr>
        <w:pStyle w:val="BTEMEASMCA"/>
        <w:rPr>
          <w:noProof w:val="0"/>
        </w:rPr>
      </w:pPr>
    </w:p>
    <w:p w:rsidR="00E27AEA" w:rsidRPr="00341AE9" w:rsidRDefault="00E27AEA" w:rsidP="00E27AEA">
      <w:pPr>
        <w:pStyle w:val="Antrat2"/>
        <w:jc w:val="left"/>
        <w:rPr>
          <w:szCs w:val="22"/>
        </w:rPr>
      </w:pPr>
      <w:r w:rsidRPr="00341AE9">
        <w:rPr>
          <w:b w:val="0"/>
          <w:noProof/>
          <w:snapToGrid w:val="0"/>
          <w:szCs w:val="22"/>
          <w:highlight w:val="lightGray"/>
          <w:lang w:eastAsia="en-US"/>
        </w:rPr>
        <w:t>Priimtas pagrindimas informacijos Brailio raštu nepateikti.</w:t>
      </w:r>
      <w:r w:rsidRPr="00341AE9">
        <w:rPr>
          <w:szCs w:val="22"/>
        </w:rPr>
        <w:br w:type="page"/>
      </w:r>
    </w:p>
    <w:p w:rsidR="00E27AEA" w:rsidRPr="00341AE9" w:rsidRDefault="00E27AEA" w:rsidP="00E27AEA">
      <w:pPr>
        <w:pStyle w:val="Antrat2"/>
        <w:pBdr>
          <w:top w:val="single" w:sz="4" w:space="1" w:color="auto"/>
          <w:left w:val="single" w:sz="4" w:space="4" w:color="auto"/>
          <w:bottom w:val="single" w:sz="4" w:space="1" w:color="auto"/>
          <w:right w:val="single" w:sz="4" w:space="4" w:color="auto"/>
        </w:pBdr>
        <w:jc w:val="left"/>
        <w:rPr>
          <w:szCs w:val="22"/>
        </w:rPr>
      </w:pPr>
      <w:r w:rsidRPr="00341AE9">
        <w:rPr>
          <w:szCs w:val="22"/>
        </w:rPr>
        <w:lastRenderedPageBreak/>
        <w:t>INFORMACIJA ANT MAŽŲ VIDINIŲ</w:t>
      </w:r>
      <w:r w:rsidRPr="00341AE9">
        <w:rPr>
          <w:bCs/>
          <w:szCs w:val="22"/>
        </w:rPr>
        <w:t xml:space="preserve"> </w:t>
      </w:r>
      <w:r w:rsidRPr="00341AE9">
        <w:rPr>
          <w:szCs w:val="22"/>
        </w:rPr>
        <w:t>PAKUOČIŲ</w:t>
      </w:r>
    </w:p>
    <w:p w:rsidR="00E27AEA" w:rsidRPr="00341AE9" w:rsidRDefault="00E27AEA" w:rsidP="00E27AEA">
      <w:pPr>
        <w:pBdr>
          <w:top w:val="single" w:sz="4" w:space="1" w:color="auto"/>
          <w:left w:val="single" w:sz="4" w:space="4" w:color="auto"/>
          <w:bottom w:val="single" w:sz="4" w:space="1" w:color="auto"/>
          <w:right w:val="single" w:sz="4" w:space="4" w:color="auto"/>
        </w:pBdr>
        <w:rPr>
          <w:szCs w:val="22"/>
        </w:rPr>
      </w:pPr>
    </w:p>
    <w:p w:rsidR="00E27AEA" w:rsidRPr="00341AE9" w:rsidRDefault="00E27AEA" w:rsidP="00E27AEA">
      <w:pPr>
        <w:pStyle w:val="Antrat3"/>
        <w:pBdr>
          <w:top w:val="single" w:sz="4" w:space="1" w:color="auto"/>
          <w:left w:val="single" w:sz="4" w:space="4" w:color="auto"/>
          <w:bottom w:val="single" w:sz="4" w:space="1" w:color="auto"/>
          <w:right w:val="single" w:sz="4" w:space="4" w:color="auto"/>
        </w:pBdr>
        <w:rPr>
          <w:szCs w:val="22"/>
        </w:rPr>
      </w:pPr>
      <w:r w:rsidRPr="00341AE9">
        <w:rPr>
          <w:szCs w:val="22"/>
        </w:rPr>
        <w:t>ETIKETĖ 20 ML AMPULEI</w:t>
      </w:r>
    </w:p>
    <w:p w:rsidR="00E27AEA" w:rsidRPr="00341AE9" w:rsidRDefault="00E27AEA" w:rsidP="00E27AEA">
      <w:pPr>
        <w:pStyle w:val="Antrat3"/>
        <w:rPr>
          <w:szCs w:val="22"/>
        </w:rPr>
      </w:pPr>
    </w:p>
    <w:p w:rsidR="00E27AEA" w:rsidRPr="00341AE9" w:rsidRDefault="00E27AEA" w:rsidP="00E27AEA">
      <w:pPr>
        <w:rPr>
          <w:szCs w:val="22"/>
        </w:rPr>
      </w:pPr>
    </w:p>
    <w:p w:rsidR="00E27AEA" w:rsidRPr="00341AE9" w:rsidRDefault="00E27AEA" w:rsidP="00E27AEA">
      <w:pPr>
        <w:pStyle w:val="Antrat3"/>
        <w:pBdr>
          <w:top w:val="single" w:sz="4" w:space="1" w:color="auto"/>
          <w:left w:val="single" w:sz="4" w:space="4" w:color="auto"/>
          <w:bottom w:val="single" w:sz="4" w:space="1" w:color="auto"/>
          <w:right w:val="single" w:sz="4" w:space="4" w:color="auto"/>
        </w:pBdr>
        <w:ind w:left="567" w:hanging="567"/>
        <w:rPr>
          <w:szCs w:val="22"/>
        </w:rPr>
      </w:pPr>
      <w:r w:rsidRPr="00341AE9">
        <w:rPr>
          <w:szCs w:val="22"/>
        </w:rPr>
        <w:t>1.</w:t>
      </w:r>
      <w:r w:rsidRPr="00341AE9">
        <w:rPr>
          <w:szCs w:val="22"/>
        </w:rPr>
        <w:tab/>
        <w:t>VAISTINIO PREPARATO PAVADINIMAS IR VARTOJIMO BŪDAS (-AI)</w:t>
      </w:r>
    </w:p>
    <w:p w:rsidR="00E27AEA" w:rsidRPr="00341AE9" w:rsidRDefault="00E27AEA" w:rsidP="00E27AEA">
      <w:pPr>
        <w:pStyle w:val="Pagrindinistekstas"/>
        <w:spacing w:after="0"/>
        <w:rPr>
          <w:szCs w:val="22"/>
        </w:rPr>
      </w:pPr>
    </w:p>
    <w:p w:rsidR="00E27AEA" w:rsidRPr="00341AE9" w:rsidRDefault="00E27AEA" w:rsidP="00E27AEA">
      <w:pPr>
        <w:ind w:left="567" w:hanging="567"/>
        <w:rPr>
          <w:szCs w:val="22"/>
        </w:rPr>
      </w:pPr>
      <w:r w:rsidRPr="00341AE9">
        <w:rPr>
          <w:szCs w:val="22"/>
        </w:rPr>
        <w:t>Thiogamma 30 mg/ml koncentratas infuziniam tirpalui</w:t>
      </w:r>
    </w:p>
    <w:p w:rsidR="00E27AEA" w:rsidRPr="00341AE9" w:rsidRDefault="00E27AEA" w:rsidP="00E27AEA">
      <w:pPr>
        <w:pStyle w:val="Pagrindinistekstas"/>
        <w:spacing w:after="0"/>
        <w:rPr>
          <w:szCs w:val="22"/>
        </w:rPr>
      </w:pPr>
      <w:r w:rsidRPr="00341AE9">
        <w:rPr>
          <w:szCs w:val="22"/>
        </w:rPr>
        <w:t>Tiokto rūgštis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Leisti į veną</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3"/>
        <w:pBdr>
          <w:top w:val="single" w:sz="4" w:space="1" w:color="auto"/>
          <w:left w:val="single" w:sz="4" w:space="4" w:color="auto"/>
          <w:bottom w:val="single" w:sz="4" w:space="1" w:color="auto"/>
          <w:right w:val="single" w:sz="4" w:space="4" w:color="auto"/>
        </w:pBdr>
        <w:ind w:left="567" w:hanging="567"/>
        <w:rPr>
          <w:szCs w:val="22"/>
        </w:rPr>
      </w:pPr>
      <w:r w:rsidRPr="00341AE9">
        <w:rPr>
          <w:szCs w:val="22"/>
        </w:rPr>
        <w:t>2.</w:t>
      </w:r>
      <w:r w:rsidRPr="00341AE9">
        <w:rPr>
          <w:szCs w:val="22"/>
        </w:rPr>
        <w:tab/>
        <w:t>VARTOJIMO METODAS</w:t>
      </w:r>
    </w:p>
    <w:p w:rsidR="00E27AEA" w:rsidRPr="00341AE9" w:rsidRDefault="00E27AEA" w:rsidP="00E27AEA">
      <w:pPr>
        <w:rPr>
          <w:szCs w:val="22"/>
        </w:rPr>
      </w:pPr>
    </w:p>
    <w:p w:rsidR="00E27AEA" w:rsidRPr="00341AE9" w:rsidRDefault="00E27AEA" w:rsidP="00E27AEA">
      <w:pPr>
        <w:pStyle w:val="Pagrindinistekstas"/>
        <w:spacing w:after="0"/>
        <w:rPr>
          <w:szCs w:val="22"/>
        </w:rPr>
      </w:pPr>
    </w:p>
    <w:p w:rsidR="00E27AEA" w:rsidRPr="00341AE9" w:rsidRDefault="00E27AEA" w:rsidP="00E27AEA">
      <w:pPr>
        <w:pStyle w:val="PI-1labEMEASMCA"/>
      </w:pPr>
      <w:r w:rsidRPr="00341AE9">
        <w:t>3.</w:t>
      </w:r>
      <w:r w:rsidRPr="00341AE9">
        <w:tab/>
        <w:t>TINKAMUMO LAIKAS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Tinka iki {mm/MMMM}</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I-1labEMEASMCA"/>
      </w:pPr>
      <w:r w:rsidRPr="00341AE9">
        <w:t>4.</w:t>
      </w:r>
      <w:r w:rsidRPr="00341AE9">
        <w:tab/>
        <w:t>SERIJOS NUMERIS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Serija</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I-1labEMEASMCA"/>
      </w:pPr>
      <w:r w:rsidRPr="00341AE9">
        <w:t>5.</w:t>
      </w:r>
      <w:r w:rsidRPr="00341AE9">
        <w:tab/>
        <w:t>KIEKIS (MASĖ, TŪRIS ARBA VIENETAI)</w:t>
      </w:r>
    </w:p>
    <w:p w:rsidR="00E27AEA" w:rsidRPr="00341AE9" w:rsidRDefault="00E27AEA" w:rsidP="00E27AEA">
      <w:pPr>
        <w:rPr>
          <w:szCs w:val="22"/>
        </w:rPr>
      </w:pPr>
    </w:p>
    <w:p w:rsidR="00E27AEA" w:rsidRPr="00341AE9" w:rsidRDefault="00E27AEA" w:rsidP="00E27AEA">
      <w:pPr>
        <w:rPr>
          <w:szCs w:val="22"/>
        </w:rPr>
      </w:pPr>
      <w:r w:rsidRPr="00341AE9">
        <w:rPr>
          <w:szCs w:val="22"/>
        </w:rPr>
        <w:t>20 ml</w:t>
      </w:r>
    </w:p>
    <w:p w:rsidR="00E27AEA" w:rsidRPr="00341AE9" w:rsidRDefault="00E27AEA" w:rsidP="00E27AEA">
      <w:pPr>
        <w:rPr>
          <w:szCs w:val="22"/>
        </w:rPr>
      </w:pPr>
    </w:p>
    <w:p w:rsidR="00E27AEA" w:rsidRPr="00341AE9" w:rsidRDefault="00E27AEA" w:rsidP="00E27AEA">
      <w:pPr>
        <w:rPr>
          <w:szCs w:val="22"/>
        </w:rPr>
      </w:pPr>
    </w:p>
    <w:p w:rsidR="00E27AEA" w:rsidRPr="00341AE9" w:rsidRDefault="00E27AEA" w:rsidP="00E27AEA">
      <w:pPr>
        <w:pStyle w:val="PI-1labEMEASMCA"/>
        <w:rPr>
          <w:highlight w:val="lightGray"/>
        </w:rPr>
      </w:pPr>
      <w:r w:rsidRPr="00341AE9">
        <w:t>6.</w:t>
      </w:r>
      <w:r w:rsidRPr="00341AE9">
        <w:tab/>
        <w:t>KITA</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341AE9" w:rsidRDefault="00E27AEA" w:rsidP="00E27AEA">
      <w:pPr>
        <w:pStyle w:val="Pavadinimas"/>
      </w:pPr>
    </w:p>
    <w:p w:rsidR="00E27AEA" w:rsidRPr="00DD4C18" w:rsidRDefault="00E27AEA" w:rsidP="00E27AEA">
      <w:pPr>
        <w:pStyle w:val="Pavadinimas"/>
        <w:jc w:val="center"/>
        <w:rPr>
          <w:b/>
          <w:i w:val="0"/>
        </w:rPr>
      </w:pPr>
      <w:r w:rsidRPr="00DD4C18">
        <w:rPr>
          <w:b/>
          <w:i w:val="0"/>
        </w:rPr>
        <w:t>B. PAKUOTĖS LAPELIS</w:t>
      </w:r>
    </w:p>
    <w:p w:rsidR="00E27AEA" w:rsidRPr="00341AE9" w:rsidRDefault="00E27AEA" w:rsidP="00E27AEA">
      <w:pPr>
        <w:pStyle w:val="Pagrindinistekstas"/>
        <w:spacing w:after="0"/>
        <w:jc w:val="center"/>
        <w:rPr>
          <w:b/>
          <w:szCs w:val="22"/>
        </w:rPr>
      </w:pPr>
      <w:r w:rsidRPr="00341AE9">
        <w:rPr>
          <w:szCs w:val="22"/>
        </w:rPr>
        <w:br w:type="page"/>
      </w:r>
      <w:r w:rsidRPr="00341AE9">
        <w:rPr>
          <w:b/>
          <w:szCs w:val="22"/>
        </w:rPr>
        <w:lastRenderedPageBreak/>
        <w:t>Pakuotės lapelis: informacija vartotojui</w:t>
      </w:r>
    </w:p>
    <w:p w:rsidR="00E27AEA" w:rsidRPr="00341AE9" w:rsidRDefault="00E27AEA" w:rsidP="00E27AEA">
      <w:pPr>
        <w:pStyle w:val="Pagrindinistekstas"/>
        <w:spacing w:after="0"/>
        <w:jc w:val="center"/>
        <w:rPr>
          <w:b/>
          <w:szCs w:val="22"/>
          <w:highlight w:val="yellow"/>
        </w:rPr>
      </w:pPr>
    </w:p>
    <w:p w:rsidR="00E27AEA" w:rsidRPr="00341AE9" w:rsidRDefault="00E27AEA" w:rsidP="00E27AEA">
      <w:pPr>
        <w:pStyle w:val="Pagrindinistekstas"/>
        <w:spacing w:after="0"/>
        <w:jc w:val="center"/>
        <w:rPr>
          <w:b/>
          <w:szCs w:val="22"/>
        </w:rPr>
      </w:pPr>
      <w:r w:rsidRPr="00341AE9">
        <w:rPr>
          <w:b/>
          <w:bCs/>
          <w:szCs w:val="22"/>
        </w:rPr>
        <w:t>Thio</w:t>
      </w:r>
      <w:r w:rsidRPr="00341AE9">
        <w:rPr>
          <w:b/>
          <w:iCs/>
          <w:szCs w:val="22"/>
        </w:rPr>
        <w:t>gamma</w:t>
      </w:r>
      <w:r w:rsidRPr="00341AE9">
        <w:rPr>
          <w:b/>
          <w:bCs/>
          <w:szCs w:val="22"/>
        </w:rPr>
        <w:t xml:space="preserve"> 30 mg/ml </w:t>
      </w:r>
      <w:r w:rsidRPr="00341AE9">
        <w:rPr>
          <w:b/>
          <w:szCs w:val="22"/>
        </w:rPr>
        <w:t>koncentratas infuziniam tirpalui</w:t>
      </w:r>
    </w:p>
    <w:p w:rsidR="00E27AEA" w:rsidRPr="00341AE9" w:rsidRDefault="00E27AEA" w:rsidP="00E27AEA">
      <w:pPr>
        <w:pStyle w:val="Pagrindinistekstas"/>
        <w:spacing w:after="0"/>
        <w:jc w:val="center"/>
        <w:rPr>
          <w:b/>
          <w:szCs w:val="22"/>
        </w:rPr>
      </w:pPr>
      <w:r w:rsidRPr="00341AE9">
        <w:rPr>
          <w:szCs w:val="22"/>
        </w:rPr>
        <w:t>Tiokto rūgštis</w:t>
      </w:r>
      <w:r w:rsidRPr="00341AE9" w:rsidDel="002D00BF">
        <w:rPr>
          <w:szCs w:val="22"/>
        </w:rPr>
        <w:t xml:space="preserve"> </w:t>
      </w:r>
    </w:p>
    <w:p w:rsidR="00E27AEA" w:rsidRPr="00341AE9" w:rsidRDefault="00E27AEA" w:rsidP="00E27AEA">
      <w:pPr>
        <w:pStyle w:val="Pagrindinistekstas"/>
        <w:spacing w:after="0"/>
        <w:jc w:val="center"/>
        <w:rPr>
          <w:szCs w:val="22"/>
        </w:rPr>
      </w:pPr>
    </w:p>
    <w:p w:rsidR="00E27AEA" w:rsidRPr="00341AE9" w:rsidRDefault="00E27AEA" w:rsidP="00E27AEA">
      <w:pPr>
        <w:suppressAutoHyphens/>
        <w:ind w:left="142" w:hanging="142"/>
        <w:rPr>
          <w:snapToGrid w:val="0"/>
          <w:szCs w:val="22"/>
          <w:lang w:eastAsia="en-US"/>
        </w:rPr>
      </w:pPr>
      <w:r w:rsidRPr="00341AE9">
        <w:rPr>
          <w:b/>
          <w:noProof/>
          <w:snapToGrid w:val="0"/>
          <w:szCs w:val="22"/>
          <w:lang w:eastAsia="en-US"/>
        </w:rPr>
        <w:t>Atidžiai perskaitykite visą šį lapelį, prieš pradėdami vartoti vaistą, nes jame pateikiama Jums svarbi informacija.</w:t>
      </w:r>
    </w:p>
    <w:p w:rsidR="00E27AEA" w:rsidRPr="00341AE9" w:rsidRDefault="00E27AEA" w:rsidP="00E27AEA">
      <w:pPr>
        <w:numPr>
          <w:ilvl w:val="0"/>
          <w:numId w:val="6"/>
        </w:numPr>
        <w:tabs>
          <w:tab w:val="left" w:pos="567"/>
        </w:tabs>
        <w:spacing w:line="260" w:lineRule="exact"/>
        <w:ind w:left="567" w:right="-2" w:hanging="567"/>
        <w:rPr>
          <w:snapToGrid w:val="0"/>
          <w:szCs w:val="22"/>
          <w:lang w:eastAsia="en-US"/>
        </w:rPr>
      </w:pPr>
      <w:r w:rsidRPr="00341AE9">
        <w:rPr>
          <w:noProof/>
          <w:snapToGrid w:val="0"/>
          <w:szCs w:val="22"/>
          <w:lang w:eastAsia="en-US"/>
        </w:rPr>
        <w:t>Neišmeskite šio lapelio, nes vėl gali prireikti jį perskaityti.</w:t>
      </w:r>
      <w:r w:rsidRPr="00341AE9">
        <w:rPr>
          <w:snapToGrid w:val="0"/>
          <w:szCs w:val="22"/>
          <w:lang w:eastAsia="en-US"/>
        </w:rPr>
        <w:t xml:space="preserve"> </w:t>
      </w:r>
    </w:p>
    <w:p w:rsidR="00E27AEA" w:rsidRPr="00341AE9" w:rsidRDefault="00E27AEA" w:rsidP="00E27AEA">
      <w:pPr>
        <w:numPr>
          <w:ilvl w:val="0"/>
          <w:numId w:val="6"/>
        </w:numPr>
        <w:tabs>
          <w:tab w:val="left" w:pos="567"/>
        </w:tabs>
        <w:spacing w:line="260" w:lineRule="exact"/>
        <w:ind w:left="567" w:right="-2" w:hanging="567"/>
        <w:rPr>
          <w:snapToGrid w:val="0"/>
          <w:szCs w:val="22"/>
          <w:lang w:eastAsia="en-US"/>
        </w:rPr>
      </w:pPr>
      <w:r w:rsidRPr="00341AE9">
        <w:rPr>
          <w:noProof/>
          <w:snapToGrid w:val="0"/>
          <w:szCs w:val="22"/>
          <w:lang w:eastAsia="en-US"/>
        </w:rPr>
        <w:t>Jeigu kiltų daugiau klausimų, kreipkitės į gydytoją arba vaistininką.</w:t>
      </w:r>
    </w:p>
    <w:p w:rsidR="00E27AEA" w:rsidRPr="00341AE9" w:rsidRDefault="00E27AEA" w:rsidP="00E27AEA">
      <w:pPr>
        <w:tabs>
          <w:tab w:val="left" w:pos="567"/>
        </w:tabs>
        <w:ind w:left="567" w:right="-2" w:hanging="567"/>
        <w:rPr>
          <w:snapToGrid w:val="0"/>
          <w:szCs w:val="22"/>
          <w:lang w:eastAsia="en-US"/>
        </w:rPr>
      </w:pPr>
      <w:r w:rsidRPr="00341AE9">
        <w:rPr>
          <w:snapToGrid w:val="0"/>
          <w:szCs w:val="22"/>
          <w:lang w:eastAsia="en-US"/>
        </w:rPr>
        <w:t>-</w:t>
      </w:r>
      <w:r w:rsidRPr="00341AE9">
        <w:rPr>
          <w:snapToGrid w:val="0"/>
          <w:szCs w:val="22"/>
          <w:lang w:eastAsia="en-US"/>
        </w:rPr>
        <w:tab/>
      </w:r>
      <w:r w:rsidRPr="00341AE9">
        <w:rPr>
          <w:noProof/>
          <w:snapToGrid w:val="0"/>
          <w:szCs w:val="22"/>
          <w:lang w:eastAsia="en-US"/>
        </w:rPr>
        <w:t>Šis vaistas skirtas tik Jums, todėl kitiems žmonėms jo duoti negalima.</w:t>
      </w:r>
      <w:r w:rsidRPr="00341AE9">
        <w:rPr>
          <w:snapToGrid w:val="0"/>
          <w:szCs w:val="22"/>
          <w:lang w:eastAsia="en-US"/>
        </w:rPr>
        <w:t xml:space="preserve"> </w:t>
      </w:r>
      <w:r w:rsidRPr="00341AE9">
        <w:rPr>
          <w:noProof/>
          <w:snapToGrid w:val="0"/>
          <w:szCs w:val="22"/>
          <w:lang w:eastAsia="en-US"/>
        </w:rPr>
        <w:t>Vaistas gali jiems pakenkti (net tiems, kurių ligos požymiai yra tokie patys kaip Jūsų).</w:t>
      </w:r>
    </w:p>
    <w:p w:rsidR="00E27AEA" w:rsidRPr="00341AE9" w:rsidRDefault="00E27AEA" w:rsidP="00E27AEA">
      <w:pPr>
        <w:numPr>
          <w:ilvl w:val="0"/>
          <w:numId w:val="6"/>
        </w:numPr>
        <w:tabs>
          <w:tab w:val="left" w:pos="567"/>
        </w:tabs>
        <w:spacing w:line="260" w:lineRule="exact"/>
        <w:ind w:left="567" w:hanging="567"/>
        <w:rPr>
          <w:snapToGrid w:val="0"/>
          <w:szCs w:val="22"/>
          <w:lang w:eastAsia="en-US"/>
        </w:rPr>
      </w:pPr>
      <w:r w:rsidRPr="00341AE9">
        <w:rPr>
          <w:noProof/>
          <w:snapToGrid w:val="0"/>
          <w:szCs w:val="22"/>
          <w:lang w:eastAsia="en-US"/>
        </w:rPr>
        <w:t>Jeigu pasireiškė šalutinis poveikis (net jeigu jis šiame lapelyje nenurodytas), kreipkitės į gydytoją arba vaistininką. Žr. 4 skyrių.</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b/>
          <w:szCs w:val="22"/>
        </w:rPr>
      </w:pPr>
      <w:r w:rsidRPr="00341AE9">
        <w:rPr>
          <w:b/>
          <w:szCs w:val="22"/>
        </w:rPr>
        <w:t>Apie ką rašoma šiame lapelyje?</w:t>
      </w:r>
    </w:p>
    <w:p w:rsidR="00E27AEA" w:rsidRPr="00341AE9" w:rsidRDefault="00E27AEA" w:rsidP="00E27AEA">
      <w:pPr>
        <w:pStyle w:val="Pagrindinistekstas"/>
        <w:spacing w:after="0"/>
        <w:rPr>
          <w:b/>
          <w:szCs w:val="22"/>
        </w:rPr>
      </w:pPr>
    </w:p>
    <w:p w:rsidR="00E27AEA" w:rsidRPr="00341AE9" w:rsidRDefault="00E27AEA" w:rsidP="00E27AEA">
      <w:pPr>
        <w:pStyle w:val="Pagrindinistekstas"/>
        <w:spacing w:after="0"/>
        <w:ind w:left="567" w:hanging="567"/>
        <w:rPr>
          <w:szCs w:val="22"/>
        </w:rPr>
      </w:pPr>
      <w:r w:rsidRPr="00341AE9">
        <w:rPr>
          <w:szCs w:val="22"/>
        </w:rPr>
        <w:t>1.</w:t>
      </w:r>
      <w:r w:rsidRPr="00341AE9">
        <w:rPr>
          <w:szCs w:val="22"/>
        </w:rPr>
        <w:tab/>
        <w:t>Kas yra Thio</w:t>
      </w:r>
      <w:r w:rsidRPr="00341AE9">
        <w:rPr>
          <w:iCs/>
          <w:szCs w:val="22"/>
        </w:rPr>
        <w:t>gamma</w:t>
      </w:r>
      <w:r w:rsidRPr="00341AE9">
        <w:rPr>
          <w:szCs w:val="22"/>
        </w:rPr>
        <w:t xml:space="preserve"> ir kam jis vartojamas</w:t>
      </w:r>
    </w:p>
    <w:p w:rsidR="00E27AEA" w:rsidRPr="00341AE9" w:rsidRDefault="00E27AEA" w:rsidP="00E27AEA">
      <w:pPr>
        <w:pStyle w:val="Pagrindinistekstas"/>
        <w:spacing w:after="0"/>
        <w:ind w:left="567" w:hanging="567"/>
        <w:rPr>
          <w:szCs w:val="22"/>
        </w:rPr>
      </w:pPr>
      <w:r w:rsidRPr="00341AE9">
        <w:rPr>
          <w:szCs w:val="22"/>
        </w:rPr>
        <w:t>2.</w:t>
      </w:r>
      <w:r w:rsidRPr="00341AE9">
        <w:rPr>
          <w:szCs w:val="22"/>
        </w:rPr>
        <w:tab/>
        <w:t>Kas žinotina prieš vartojant Thio</w:t>
      </w:r>
      <w:r w:rsidRPr="00341AE9">
        <w:rPr>
          <w:iCs/>
          <w:szCs w:val="22"/>
        </w:rPr>
        <w:t>gamma</w:t>
      </w:r>
    </w:p>
    <w:p w:rsidR="00E27AEA" w:rsidRPr="00341AE9" w:rsidRDefault="00E27AEA" w:rsidP="00E27AEA">
      <w:pPr>
        <w:pStyle w:val="Pagrindinistekstas"/>
        <w:spacing w:after="0"/>
        <w:ind w:left="567" w:hanging="567"/>
        <w:rPr>
          <w:szCs w:val="22"/>
        </w:rPr>
      </w:pPr>
      <w:r w:rsidRPr="00341AE9">
        <w:rPr>
          <w:szCs w:val="22"/>
        </w:rPr>
        <w:t>3.</w:t>
      </w:r>
      <w:r w:rsidRPr="00341AE9">
        <w:rPr>
          <w:szCs w:val="22"/>
        </w:rPr>
        <w:tab/>
        <w:t>Kaip vartoti Thio</w:t>
      </w:r>
      <w:r w:rsidRPr="00341AE9">
        <w:rPr>
          <w:iCs/>
          <w:szCs w:val="22"/>
        </w:rPr>
        <w:t>gamma</w:t>
      </w:r>
    </w:p>
    <w:p w:rsidR="00E27AEA" w:rsidRPr="00341AE9" w:rsidRDefault="00E27AEA" w:rsidP="00E27AEA">
      <w:pPr>
        <w:pStyle w:val="Pagrindinistekstas"/>
        <w:spacing w:after="0"/>
        <w:ind w:left="567" w:hanging="567"/>
        <w:rPr>
          <w:szCs w:val="22"/>
        </w:rPr>
      </w:pPr>
      <w:r w:rsidRPr="00341AE9">
        <w:rPr>
          <w:szCs w:val="22"/>
        </w:rPr>
        <w:t>4.</w:t>
      </w:r>
      <w:r w:rsidRPr="00341AE9">
        <w:rPr>
          <w:szCs w:val="22"/>
        </w:rPr>
        <w:tab/>
        <w:t>Galimas šalutinis poveikis</w:t>
      </w:r>
    </w:p>
    <w:p w:rsidR="00E27AEA" w:rsidRPr="00341AE9" w:rsidRDefault="00E27AEA" w:rsidP="00E27AEA">
      <w:pPr>
        <w:pStyle w:val="Pagrindinistekstas"/>
        <w:spacing w:after="0"/>
        <w:ind w:left="567" w:hanging="567"/>
        <w:rPr>
          <w:szCs w:val="22"/>
        </w:rPr>
      </w:pPr>
      <w:r w:rsidRPr="00341AE9">
        <w:rPr>
          <w:szCs w:val="22"/>
        </w:rPr>
        <w:t>5.</w:t>
      </w:r>
      <w:r w:rsidRPr="00341AE9">
        <w:rPr>
          <w:szCs w:val="22"/>
        </w:rPr>
        <w:tab/>
      </w:r>
      <w:bookmarkStart w:id="10" w:name="OLE_LINK1"/>
      <w:bookmarkStart w:id="11" w:name="OLE_LINK2"/>
      <w:r w:rsidRPr="00341AE9">
        <w:rPr>
          <w:szCs w:val="22"/>
        </w:rPr>
        <w:t>Kaip laikyti Thio</w:t>
      </w:r>
      <w:r w:rsidRPr="00341AE9">
        <w:rPr>
          <w:iCs/>
          <w:szCs w:val="22"/>
        </w:rPr>
        <w:t>gamma</w:t>
      </w:r>
      <w:bookmarkEnd w:id="10"/>
      <w:bookmarkEnd w:id="11"/>
    </w:p>
    <w:p w:rsidR="00E27AEA" w:rsidRPr="00341AE9" w:rsidRDefault="00E27AEA" w:rsidP="00E27AEA">
      <w:pPr>
        <w:pStyle w:val="Pagrindinistekstas"/>
        <w:spacing w:after="0"/>
        <w:ind w:left="567" w:hanging="567"/>
        <w:rPr>
          <w:szCs w:val="22"/>
        </w:rPr>
      </w:pPr>
      <w:r w:rsidRPr="00341AE9">
        <w:rPr>
          <w:szCs w:val="22"/>
        </w:rPr>
        <w:t>6.</w:t>
      </w:r>
      <w:r w:rsidRPr="00341AE9">
        <w:rPr>
          <w:szCs w:val="22"/>
        </w:rPr>
        <w:tab/>
        <w:t>Pakuotės turinys ir kita informacija</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2"/>
        <w:ind w:left="567" w:hanging="567"/>
        <w:jc w:val="left"/>
        <w:rPr>
          <w:szCs w:val="22"/>
        </w:rPr>
      </w:pPr>
      <w:r w:rsidRPr="00341AE9">
        <w:rPr>
          <w:szCs w:val="22"/>
        </w:rPr>
        <w:t>1.</w:t>
      </w:r>
      <w:r w:rsidRPr="00341AE9">
        <w:rPr>
          <w:szCs w:val="22"/>
        </w:rPr>
        <w:tab/>
        <w:t xml:space="preserve">Kas yra </w:t>
      </w:r>
      <w:r w:rsidRPr="00341AE9">
        <w:rPr>
          <w:bCs/>
          <w:szCs w:val="22"/>
        </w:rPr>
        <w:t>Thiogamma</w:t>
      </w:r>
      <w:r w:rsidRPr="00341AE9">
        <w:rPr>
          <w:bCs/>
          <w:caps/>
          <w:szCs w:val="22"/>
        </w:rPr>
        <w:t xml:space="preserve"> </w:t>
      </w:r>
      <w:r w:rsidRPr="00341AE9">
        <w:rPr>
          <w:szCs w:val="22"/>
        </w:rPr>
        <w:t>ir kam jis vartojamas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u w:val="single"/>
        </w:rPr>
      </w:pPr>
      <w:r w:rsidRPr="00341AE9">
        <w:rPr>
          <w:szCs w:val="22"/>
          <w:u w:val="single"/>
        </w:rPr>
        <w:t>Kas yra Thio</w:t>
      </w:r>
      <w:r w:rsidRPr="00341AE9">
        <w:rPr>
          <w:iCs/>
          <w:szCs w:val="22"/>
          <w:u w:val="single"/>
        </w:rPr>
        <w:t>gamma</w:t>
      </w:r>
      <w:r w:rsidRPr="00341AE9">
        <w:rPr>
          <w:szCs w:val="22"/>
          <w:u w:val="single"/>
        </w:rPr>
        <w:t>?</w:t>
      </w:r>
    </w:p>
    <w:p w:rsidR="00E27AEA" w:rsidRPr="00341AE9" w:rsidRDefault="00E27AEA" w:rsidP="00E27AEA">
      <w:pPr>
        <w:rPr>
          <w:szCs w:val="22"/>
        </w:rPr>
      </w:pPr>
      <w:r w:rsidRPr="00341AE9">
        <w:rPr>
          <w:szCs w:val="22"/>
        </w:rPr>
        <w:t>Veiklioji Thio</w:t>
      </w:r>
      <w:r w:rsidRPr="00341AE9">
        <w:rPr>
          <w:iCs/>
          <w:szCs w:val="22"/>
        </w:rPr>
        <w:t>gamma</w:t>
      </w:r>
      <w:r w:rsidRPr="00341AE9">
        <w:rPr>
          <w:szCs w:val="22"/>
        </w:rPr>
        <w:t xml:space="preserve"> medžiaga - tiokto rūgštis yra medžiaga, susidaranti gyvūnų ir žmonių organizme. Ji veikia daugelį metabolinių procesų, ypač skirtų energijos gamybai organizmo ląstelėse. Be to, tiokto rūgštis turi tam tikrų (antioksidacinių) savybių, apsaugančių nervines ląsteles nuo deguonies poveikio.</w:t>
      </w:r>
    </w:p>
    <w:p w:rsidR="00E27AEA" w:rsidRPr="00341AE9" w:rsidRDefault="00E27AEA" w:rsidP="00E27AEA">
      <w:pPr>
        <w:rPr>
          <w:szCs w:val="22"/>
        </w:rPr>
      </w:pPr>
    </w:p>
    <w:p w:rsidR="00E27AEA" w:rsidRPr="00341AE9" w:rsidRDefault="00E27AEA" w:rsidP="00E27AEA">
      <w:pPr>
        <w:rPr>
          <w:szCs w:val="22"/>
          <w:u w:val="single"/>
        </w:rPr>
      </w:pPr>
      <w:r w:rsidRPr="00341AE9">
        <w:rPr>
          <w:szCs w:val="22"/>
          <w:u w:val="single"/>
        </w:rPr>
        <w:t>Kam vartojamas Thio</w:t>
      </w:r>
      <w:r w:rsidRPr="00341AE9">
        <w:rPr>
          <w:iCs/>
          <w:szCs w:val="22"/>
          <w:u w:val="single"/>
        </w:rPr>
        <w:t>gamma</w:t>
      </w:r>
      <w:r w:rsidRPr="00341AE9">
        <w:rPr>
          <w:szCs w:val="22"/>
          <w:u w:val="single"/>
        </w:rPr>
        <w:t>?</w:t>
      </w:r>
    </w:p>
    <w:p w:rsidR="00E27AEA" w:rsidRPr="00341AE9" w:rsidRDefault="00E27AEA" w:rsidP="00E27AEA">
      <w:pPr>
        <w:rPr>
          <w:szCs w:val="22"/>
        </w:rPr>
      </w:pPr>
      <w:r w:rsidRPr="00341AE9">
        <w:rPr>
          <w:szCs w:val="22"/>
        </w:rPr>
        <w:t>Thio</w:t>
      </w:r>
      <w:r w:rsidRPr="00341AE9">
        <w:rPr>
          <w:iCs/>
          <w:szCs w:val="22"/>
        </w:rPr>
        <w:t>gamma</w:t>
      </w:r>
      <w:r w:rsidRPr="00341AE9">
        <w:rPr>
          <w:szCs w:val="22"/>
        </w:rPr>
        <w:t xml:space="preserve"> vartojamas diabetinio nervų pažeidimo (polineuropatijos) sukeltiems jutimo sutrikimams, tokiems kaip badymo bei dilgčiojimo pojūtis, gydyti suaugusiems, vyresniems kaip 18 metų pacientams.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2"/>
        <w:ind w:left="567" w:hanging="567"/>
        <w:jc w:val="left"/>
        <w:rPr>
          <w:bCs/>
          <w:caps/>
          <w:szCs w:val="22"/>
        </w:rPr>
      </w:pPr>
      <w:r w:rsidRPr="00341AE9">
        <w:rPr>
          <w:szCs w:val="22"/>
        </w:rPr>
        <w:t>2.</w:t>
      </w:r>
      <w:r w:rsidRPr="00341AE9">
        <w:rPr>
          <w:szCs w:val="22"/>
        </w:rPr>
        <w:tab/>
        <w:t xml:space="preserve">Kas žinotina prieš vartojant </w:t>
      </w:r>
      <w:r w:rsidRPr="00341AE9">
        <w:rPr>
          <w:bCs/>
          <w:caps/>
          <w:szCs w:val="22"/>
        </w:rPr>
        <w:t>T</w:t>
      </w:r>
      <w:r w:rsidRPr="00341AE9">
        <w:rPr>
          <w:bCs/>
          <w:szCs w:val="22"/>
        </w:rPr>
        <w:t>hiogamma</w:t>
      </w:r>
    </w:p>
    <w:p w:rsidR="00E27AEA" w:rsidRPr="00341AE9" w:rsidRDefault="00E27AEA" w:rsidP="00E27AEA">
      <w:pPr>
        <w:pStyle w:val="Antrat2"/>
        <w:jc w:val="left"/>
        <w:rPr>
          <w:szCs w:val="22"/>
        </w:rPr>
      </w:pPr>
    </w:p>
    <w:p w:rsidR="00E27AEA" w:rsidRPr="00341AE9" w:rsidRDefault="00E27AEA" w:rsidP="00E27AEA">
      <w:pPr>
        <w:pStyle w:val="Antrat3"/>
        <w:rPr>
          <w:szCs w:val="22"/>
        </w:rPr>
      </w:pPr>
      <w:bookmarkStart w:id="12" w:name="OLE_LINK3"/>
      <w:bookmarkStart w:id="13" w:name="OLE_LINK4"/>
      <w:r w:rsidRPr="00341AE9">
        <w:rPr>
          <w:bCs/>
          <w:szCs w:val="22"/>
        </w:rPr>
        <w:t>Thio</w:t>
      </w:r>
      <w:r w:rsidRPr="00341AE9">
        <w:rPr>
          <w:iCs/>
          <w:szCs w:val="22"/>
        </w:rPr>
        <w:t>gamma</w:t>
      </w:r>
      <w:r w:rsidRPr="00341AE9">
        <w:rPr>
          <w:bCs/>
          <w:szCs w:val="22"/>
        </w:rPr>
        <w:t xml:space="preserve"> </w:t>
      </w:r>
      <w:bookmarkEnd w:id="12"/>
      <w:bookmarkEnd w:id="13"/>
      <w:r w:rsidRPr="00341AE9">
        <w:rPr>
          <w:szCs w:val="22"/>
        </w:rPr>
        <w:t>vartoti negalima:</w:t>
      </w:r>
    </w:p>
    <w:p w:rsidR="00E27AEA" w:rsidRPr="00341AE9" w:rsidRDefault="00E27AEA" w:rsidP="00E27AEA">
      <w:pPr>
        <w:pStyle w:val="Pagrindinistekstas"/>
        <w:numPr>
          <w:ilvl w:val="0"/>
          <w:numId w:val="4"/>
        </w:numPr>
        <w:spacing w:after="0"/>
        <w:rPr>
          <w:szCs w:val="22"/>
        </w:rPr>
      </w:pPr>
      <w:r w:rsidRPr="00341AE9">
        <w:rPr>
          <w:szCs w:val="22"/>
        </w:rPr>
        <w:t>jeigu yra alergija tiokto rūgščiai arba bet kuriai pagalbinei šio vaisto medžiagai (jos išvardytos 6 skyriuje).</w:t>
      </w:r>
    </w:p>
    <w:p w:rsidR="00E27AEA" w:rsidRPr="00341AE9" w:rsidRDefault="00E27AEA" w:rsidP="00E27AEA">
      <w:pPr>
        <w:pStyle w:val="Pagrindinistekstas"/>
        <w:spacing w:after="0"/>
        <w:rPr>
          <w:szCs w:val="22"/>
        </w:rPr>
      </w:pPr>
    </w:p>
    <w:p w:rsidR="00E27AEA" w:rsidRPr="00341AE9" w:rsidRDefault="00E27AEA" w:rsidP="00E27AEA">
      <w:pPr>
        <w:rPr>
          <w:b/>
          <w:szCs w:val="22"/>
        </w:rPr>
      </w:pPr>
      <w:r w:rsidRPr="00341AE9">
        <w:rPr>
          <w:b/>
          <w:szCs w:val="22"/>
        </w:rPr>
        <w:t>Įspėjimai ir atsargumo priemonės</w:t>
      </w:r>
    </w:p>
    <w:p w:rsidR="00E27AEA" w:rsidRPr="00341AE9" w:rsidRDefault="00E27AEA" w:rsidP="00E27AEA">
      <w:pPr>
        <w:numPr>
          <w:ilvl w:val="12"/>
          <w:numId w:val="0"/>
        </w:numPr>
        <w:tabs>
          <w:tab w:val="left" w:pos="720"/>
        </w:tabs>
        <w:ind w:right="-2"/>
        <w:rPr>
          <w:szCs w:val="22"/>
        </w:rPr>
      </w:pPr>
      <w:r w:rsidRPr="00341AE9">
        <w:rPr>
          <w:noProof/>
          <w:szCs w:val="22"/>
        </w:rPr>
        <w:t>Pasitarkite su gydytoju arba vaistininku, prieš pradėdami vartoti Thiogamma.</w:t>
      </w:r>
    </w:p>
    <w:p w:rsidR="00E27AEA" w:rsidRPr="00341AE9" w:rsidRDefault="00E27AEA" w:rsidP="00E27AEA">
      <w:pPr>
        <w:rPr>
          <w:szCs w:val="22"/>
        </w:rPr>
      </w:pPr>
      <w:r w:rsidRPr="00341AE9">
        <w:rPr>
          <w:szCs w:val="22"/>
        </w:rPr>
        <w:t xml:space="preserve">Injekuojant ar infuzuojant </w:t>
      </w:r>
      <w:r w:rsidRPr="00341AE9">
        <w:rPr>
          <w:bCs/>
          <w:szCs w:val="22"/>
        </w:rPr>
        <w:t>Thio</w:t>
      </w:r>
      <w:r w:rsidRPr="00341AE9">
        <w:rPr>
          <w:iCs/>
          <w:szCs w:val="22"/>
        </w:rPr>
        <w:t>gamma</w:t>
      </w:r>
      <w:r w:rsidRPr="00341AE9">
        <w:rPr>
          <w:bCs/>
          <w:szCs w:val="22"/>
        </w:rPr>
        <w:t xml:space="preserve">, buvo alerginių reakcijų, t. y. padidėjusio jautrumo reakcijų ar net gyvybei pavojingo šoko (staigaus kraujotakos nepakankamumo) atvejų </w:t>
      </w:r>
      <w:r w:rsidRPr="00341AE9">
        <w:rPr>
          <w:szCs w:val="22"/>
        </w:rPr>
        <w:t xml:space="preserve">(žr. 4 skyrių). </w:t>
      </w:r>
    </w:p>
    <w:p w:rsidR="00E27AEA" w:rsidRPr="00341AE9" w:rsidRDefault="00E27AEA" w:rsidP="00E27AEA">
      <w:pPr>
        <w:rPr>
          <w:szCs w:val="22"/>
        </w:rPr>
      </w:pPr>
      <w:r w:rsidRPr="00341AE9">
        <w:rPr>
          <w:szCs w:val="22"/>
        </w:rPr>
        <w:t xml:space="preserve">Gydytojas </w:t>
      </w:r>
      <w:r w:rsidRPr="00341AE9">
        <w:rPr>
          <w:bCs/>
          <w:szCs w:val="22"/>
        </w:rPr>
        <w:t>Thio</w:t>
      </w:r>
      <w:r w:rsidRPr="00341AE9">
        <w:rPr>
          <w:iCs/>
          <w:szCs w:val="22"/>
        </w:rPr>
        <w:t>gamma</w:t>
      </w:r>
      <w:r w:rsidRPr="00341AE9">
        <w:rPr>
          <w:bCs/>
          <w:szCs w:val="22"/>
        </w:rPr>
        <w:t xml:space="preserve"> vartojimo laikotarpiu stebės, ar neatsiranda ankstyvųjų simptomų </w:t>
      </w:r>
      <w:r w:rsidRPr="00341AE9">
        <w:rPr>
          <w:szCs w:val="22"/>
        </w:rPr>
        <w:t>(pvz., niežulio, pykinimo, blogos savijautos ir pan.). Tokiems simptomams pasireiškus, vaisto vartojimą būtina nedelsiant nutraukti. Gali prireikti papildomų gydymo priemonių.</w:t>
      </w:r>
    </w:p>
    <w:p w:rsidR="00FC5D00" w:rsidRDefault="00FC5D00" w:rsidP="00FC5D00">
      <w:pPr>
        <w:autoSpaceDE w:val="0"/>
        <w:autoSpaceDN w:val="0"/>
        <w:adjustRightInd w:val="0"/>
      </w:pPr>
    </w:p>
    <w:p w:rsidR="00FC5D00" w:rsidRDefault="00FC5D00" w:rsidP="00FC5D00">
      <w:pPr>
        <w:autoSpaceDE w:val="0"/>
        <w:autoSpaceDN w:val="0"/>
        <w:adjustRightInd w:val="0"/>
      </w:pPr>
      <w:r w:rsidRPr="00737D68">
        <w:t>Taikant gydymą tiokto rūgštimi, tam tikro žmogaus leukocitų antigeno genotipo pacientai (toks genotipas dažniau pasitaiko tarp japonų ir korėjiečių, bet taip pat gali būti nustatytas europidų rasės pacientams) labiau linkę susirgti autoimuniniu insulino sindromu (gliukozės kiekį kraujyje reguliuojančių hormonų sutrikimu, dėl kurio labai sumažėja cukraus kiekis kraujyje).</w:t>
      </w:r>
    </w:p>
    <w:p w:rsidR="00E27AEA" w:rsidRPr="00341AE9" w:rsidRDefault="00E27AEA" w:rsidP="00E27AEA">
      <w:pPr>
        <w:rPr>
          <w:szCs w:val="22"/>
        </w:rPr>
      </w:pPr>
    </w:p>
    <w:p w:rsidR="00E27AEA" w:rsidRPr="00341AE9" w:rsidRDefault="00E27AEA" w:rsidP="00E27AEA">
      <w:pPr>
        <w:rPr>
          <w:b/>
          <w:szCs w:val="22"/>
        </w:rPr>
      </w:pPr>
      <w:r w:rsidRPr="00341AE9">
        <w:rPr>
          <w:b/>
          <w:szCs w:val="22"/>
        </w:rPr>
        <w:lastRenderedPageBreak/>
        <w:t>Vaikams ir paaugliams</w:t>
      </w:r>
    </w:p>
    <w:p w:rsidR="00E27AEA" w:rsidRPr="00341AE9" w:rsidRDefault="00E27AEA" w:rsidP="00E27AEA">
      <w:pPr>
        <w:rPr>
          <w:szCs w:val="22"/>
        </w:rPr>
      </w:pPr>
      <w:r w:rsidRPr="00341AE9">
        <w:rPr>
          <w:szCs w:val="22"/>
        </w:rPr>
        <w:t>Vaikų ir paauglių Thiogamma gydyti negalima, kadangi trūksta tokių pacientų gydymo patirties.</w:t>
      </w:r>
    </w:p>
    <w:p w:rsidR="00E27AEA" w:rsidRPr="00341AE9" w:rsidRDefault="00E27AEA" w:rsidP="00E27AEA">
      <w:pPr>
        <w:rPr>
          <w:i/>
          <w:iCs/>
          <w:szCs w:val="22"/>
        </w:rPr>
      </w:pPr>
    </w:p>
    <w:p w:rsidR="00E27AEA" w:rsidRPr="00AE7007" w:rsidRDefault="00E27AEA" w:rsidP="00E27AEA">
      <w:pPr>
        <w:rPr>
          <w:szCs w:val="22"/>
          <w:u w:val="single"/>
        </w:rPr>
      </w:pPr>
      <w:r w:rsidRPr="00AE7007">
        <w:rPr>
          <w:szCs w:val="22"/>
          <w:u w:val="single"/>
        </w:rPr>
        <w:t>Svarbus įspėjimas</w:t>
      </w:r>
    </w:p>
    <w:p w:rsidR="00E27AEA" w:rsidRPr="00341AE9" w:rsidRDefault="00E27AEA" w:rsidP="00E27AEA">
      <w:pPr>
        <w:autoSpaceDE w:val="0"/>
        <w:autoSpaceDN w:val="0"/>
        <w:adjustRightInd w:val="0"/>
        <w:rPr>
          <w:szCs w:val="22"/>
        </w:rPr>
      </w:pPr>
      <w:r w:rsidRPr="00341AE9">
        <w:rPr>
          <w:szCs w:val="22"/>
        </w:rPr>
        <w:t>Tiokto rūgštis su angliavandenių molekulėmis (pvz., levuliozės tirpalu) sudaro mažai tirpius kompleksinius junginius.</w:t>
      </w:r>
      <w:r w:rsidRPr="00341AE9">
        <w:rPr>
          <w:bCs/>
          <w:szCs w:val="22"/>
        </w:rPr>
        <w:t xml:space="preserve"> Thio</w:t>
      </w:r>
      <w:r w:rsidRPr="00341AE9">
        <w:rPr>
          <w:iCs/>
          <w:szCs w:val="22"/>
        </w:rPr>
        <w:t>gamma</w:t>
      </w:r>
      <w:r w:rsidRPr="00341AE9">
        <w:rPr>
          <w:bCs/>
          <w:szCs w:val="22"/>
        </w:rPr>
        <w:t xml:space="preserve"> </w:t>
      </w:r>
      <w:r w:rsidRPr="00341AE9">
        <w:rPr>
          <w:szCs w:val="22"/>
        </w:rPr>
        <w:t xml:space="preserve">nesuderinamas su gliukozės, Ringerio tirpalais bei kitais tirpalais. Gydytojas turi pasirūpinti, kad </w:t>
      </w:r>
      <w:r w:rsidRPr="00341AE9">
        <w:rPr>
          <w:bCs/>
          <w:szCs w:val="22"/>
        </w:rPr>
        <w:t>Thio</w:t>
      </w:r>
      <w:r w:rsidRPr="00341AE9">
        <w:rPr>
          <w:iCs/>
          <w:szCs w:val="22"/>
        </w:rPr>
        <w:t>gamma</w:t>
      </w:r>
      <w:r w:rsidRPr="00341AE9">
        <w:rPr>
          <w:bCs/>
          <w:szCs w:val="22"/>
        </w:rPr>
        <w:t xml:space="preserve"> būtų praskiestas tik suderinamais tirpalais.</w:t>
      </w:r>
    </w:p>
    <w:p w:rsidR="00E27AEA" w:rsidRPr="00341AE9" w:rsidRDefault="00E27AEA" w:rsidP="00E27AEA">
      <w:pPr>
        <w:rPr>
          <w:b/>
          <w:bCs/>
          <w:szCs w:val="22"/>
          <w:u w:val="single"/>
        </w:rPr>
      </w:pPr>
    </w:p>
    <w:p w:rsidR="00E27AEA" w:rsidRPr="00341AE9" w:rsidRDefault="00E27AEA" w:rsidP="00E27AEA">
      <w:pPr>
        <w:pStyle w:val="Antrat3"/>
        <w:rPr>
          <w:szCs w:val="22"/>
        </w:rPr>
      </w:pPr>
      <w:r w:rsidRPr="00341AE9">
        <w:rPr>
          <w:szCs w:val="22"/>
        </w:rPr>
        <w:t>Kiti vaistai ir Thiogamma</w:t>
      </w:r>
    </w:p>
    <w:p w:rsidR="00E27AEA" w:rsidRPr="00341AE9" w:rsidRDefault="00E27AEA" w:rsidP="00E27AEA">
      <w:pPr>
        <w:pStyle w:val="Pagrindinistekstas"/>
        <w:spacing w:after="0"/>
        <w:rPr>
          <w:szCs w:val="22"/>
        </w:rPr>
      </w:pPr>
      <w:r w:rsidRPr="00341AE9">
        <w:rPr>
          <w:szCs w:val="22"/>
        </w:rPr>
        <w:t>Jeigu vartojate ar neseniai vartojote kitų vaistų arba dėl to nesate tikri, apie tai pasakykite gydytojui arba vaistininkui.</w:t>
      </w:r>
    </w:p>
    <w:p w:rsidR="00E27AEA" w:rsidRPr="00341AE9" w:rsidRDefault="00E27AEA" w:rsidP="00E27AEA">
      <w:pPr>
        <w:autoSpaceDE w:val="0"/>
        <w:autoSpaceDN w:val="0"/>
        <w:adjustRightInd w:val="0"/>
        <w:jc w:val="both"/>
        <w:rPr>
          <w:szCs w:val="22"/>
        </w:rPr>
      </w:pPr>
      <w:r w:rsidRPr="00341AE9">
        <w:rPr>
          <w:bCs/>
          <w:szCs w:val="22"/>
        </w:rPr>
        <w:t>Thio</w:t>
      </w:r>
      <w:r w:rsidRPr="00341AE9">
        <w:rPr>
          <w:iCs/>
          <w:szCs w:val="22"/>
        </w:rPr>
        <w:t>gamma</w:t>
      </w:r>
      <w:r w:rsidRPr="00341AE9">
        <w:rPr>
          <w:bCs/>
          <w:szCs w:val="22"/>
        </w:rPr>
        <w:t xml:space="preserve"> </w:t>
      </w:r>
      <w:r w:rsidRPr="00341AE9">
        <w:rPr>
          <w:szCs w:val="22"/>
        </w:rPr>
        <w:t>mažina kartu vartojamos cisplatinos  (priešvėžinio preparato) veiksmingumą.</w:t>
      </w:r>
    </w:p>
    <w:p w:rsidR="00E27AEA" w:rsidRPr="00341AE9" w:rsidRDefault="00E27AEA" w:rsidP="00E27AEA">
      <w:pPr>
        <w:autoSpaceDE w:val="0"/>
        <w:autoSpaceDN w:val="0"/>
        <w:adjustRightInd w:val="0"/>
        <w:jc w:val="both"/>
        <w:rPr>
          <w:szCs w:val="22"/>
        </w:rPr>
      </w:pPr>
    </w:p>
    <w:p w:rsidR="00E27AEA" w:rsidRPr="00341AE9" w:rsidRDefault="00E27AEA" w:rsidP="00E27AEA">
      <w:pPr>
        <w:autoSpaceDE w:val="0"/>
        <w:autoSpaceDN w:val="0"/>
        <w:adjustRightInd w:val="0"/>
        <w:rPr>
          <w:szCs w:val="22"/>
        </w:rPr>
      </w:pPr>
      <w:r w:rsidRPr="00341AE9">
        <w:rPr>
          <w:spacing w:val="-2"/>
          <w:szCs w:val="22"/>
        </w:rPr>
        <w:t>Gali</w:t>
      </w:r>
      <w:r w:rsidRPr="00341AE9">
        <w:rPr>
          <w:szCs w:val="22"/>
        </w:rPr>
        <w:t xml:space="preserve"> sustiprėti kartu vartojamų vaistų nuo cukrinio diabeto (insulino ir geriamųjų preparatų) gliukozės koncentraciją kraujyje mažinantis poveikis. Būtina atidžiai sekti gliukozės koncentraciją kraujyje, ypač gydymo </w:t>
      </w:r>
      <w:r w:rsidRPr="00341AE9">
        <w:rPr>
          <w:bCs/>
          <w:szCs w:val="22"/>
        </w:rPr>
        <w:t>Thio</w:t>
      </w:r>
      <w:r w:rsidRPr="00341AE9">
        <w:rPr>
          <w:iCs/>
          <w:szCs w:val="22"/>
        </w:rPr>
        <w:t>gamma</w:t>
      </w:r>
      <w:r w:rsidRPr="00341AE9">
        <w:rPr>
          <w:bCs/>
          <w:szCs w:val="22"/>
        </w:rPr>
        <w:t xml:space="preserve"> </w:t>
      </w:r>
      <w:r w:rsidRPr="00341AE9">
        <w:rPr>
          <w:szCs w:val="22"/>
        </w:rPr>
        <w:t>pradžioje. Siekiant išvengti hipoglikemijos simptomų, kai kuriems pacientams retais atvejais gali tekti mažinti insulino arba geriamųjų vaist</w:t>
      </w:r>
      <w:r w:rsidR="00F131B7">
        <w:rPr>
          <w:szCs w:val="22"/>
        </w:rPr>
        <w:t>ų</w:t>
      </w:r>
      <w:r w:rsidRPr="00341AE9">
        <w:rPr>
          <w:szCs w:val="22"/>
        </w:rPr>
        <w:t xml:space="preserve"> nuo diabeto dozę.</w:t>
      </w:r>
    </w:p>
    <w:p w:rsidR="00E27AEA" w:rsidRPr="00341AE9" w:rsidRDefault="00E27AEA" w:rsidP="00E27AEA">
      <w:pPr>
        <w:pStyle w:val="Pagrindinistekstas"/>
        <w:spacing w:after="0"/>
        <w:rPr>
          <w:szCs w:val="22"/>
        </w:rPr>
      </w:pPr>
    </w:p>
    <w:p w:rsidR="00E27AEA" w:rsidRPr="00341AE9" w:rsidRDefault="00E27AEA" w:rsidP="00E27AEA">
      <w:pPr>
        <w:pStyle w:val="Antrat3"/>
        <w:rPr>
          <w:szCs w:val="22"/>
        </w:rPr>
      </w:pPr>
      <w:r w:rsidRPr="00341AE9">
        <w:rPr>
          <w:bCs/>
          <w:szCs w:val="22"/>
        </w:rPr>
        <w:t>Thio</w:t>
      </w:r>
      <w:r w:rsidRPr="00341AE9">
        <w:rPr>
          <w:iCs/>
          <w:szCs w:val="22"/>
        </w:rPr>
        <w:t>gamma</w:t>
      </w:r>
      <w:r w:rsidRPr="00341AE9">
        <w:rPr>
          <w:bCs/>
          <w:szCs w:val="22"/>
        </w:rPr>
        <w:t xml:space="preserve"> </w:t>
      </w:r>
      <w:r w:rsidRPr="00341AE9">
        <w:rPr>
          <w:szCs w:val="22"/>
        </w:rPr>
        <w:t xml:space="preserve">vartojimas su </w:t>
      </w:r>
      <w:r w:rsidR="00FC5D00">
        <w:rPr>
          <w:szCs w:val="22"/>
        </w:rPr>
        <w:t>alkoholiu</w:t>
      </w:r>
    </w:p>
    <w:p w:rsidR="00E27AEA" w:rsidRPr="00341AE9" w:rsidRDefault="00E27AEA" w:rsidP="00E27AEA">
      <w:pPr>
        <w:rPr>
          <w:szCs w:val="22"/>
        </w:rPr>
      </w:pPr>
      <w:r w:rsidRPr="00341AE9">
        <w:rPr>
          <w:szCs w:val="22"/>
        </w:rPr>
        <w:t xml:space="preserve">Reguliarus alkoholio vartojimas yra svarbus rizikos veiksnys, skatinantis neuropatinių sutrikimų atsiradimą bei progresavimą, jis gali mažinti gydymo </w:t>
      </w:r>
      <w:r w:rsidRPr="00341AE9">
        <w:rPr>
          <w:bCs/>
          <w:szCs w:val="22"/>
        </w:rPr>
        <w:t>Thio</w:t>
      </w:r>
      <w:r w:rsidRPr="00341AE9">
        <w:rPr>
          <w:iCs/>
          <w:szCs w:val="22"/>
        </w:rPr>
        <w:t>gamma</w:t>
      </w:r>
      <w:r w:rsidRPr="00341AE9">
        <w:rPr>
          <w:bCs/>
          <w:szCs w:val="22"/>
        </w:rPr>
        <w:t xml:space="preserve"> veiksmingumą. </w:t>
      </w:r>
      <w:r w:rsidRPr="00341AE9">
        <w:rPr>
          <w:szCs w:val="22"/>
        </w:rPr>
        <w:t>Pacientams, sergantiems diabetine polineuropatija, rekomenduojama nevartoti alkoholio net ir laikotarpiais, kai nesigydoma (nevartojama vaistų).</w:t>
      </w:r>
    </w:p>
    <w:p w:rsidR="00E27AEA" w:rsidRPr="00341AE9" w:rsidRDefault="00E27AEA" w:rsidP="00E27AEA">
      <w:pPr>
        <w:pStyle w:val="Pagrindinistekstas"/>
        <w:spacing w:after="0"/>
        <w:rPr>
          <w:szCs w:val="22"/>
        </w:rPr>
      </w:pPr>
    </w:p>
    <w:p w:rsidR="00E27AEA" w:rsidRPr="00341AE9" w:rsidRDefault="00E27AEA" w:rsidP="00E27AEA">
      <w:pPr>
        <w:pStyle w:val="Antrat3"/>
        <w:rPr>
          <w:szCs w:val="22"/>
        </w:rPr>
      </w:pPr>
      <w:r w:rsidRPr="00341AE9">
        <w:rPr>
          <w:szCs w:val="22"/>
        </w:rPr>
        <w:t>Nėštumas ir žindymo laikotarpis</w:t>
      </w:r>
    </w:p>
    <w:p w:rsidR="00FC5D00" w:rsidRDefault="00FC5D00" w:rsidP="00E27AEA">
      <w:pPr>
        <w:pStyle w:val="Pagrindinistekstas"/>
        <w:spacing w:after="0"/>
      </w:pPr>
      <w:bookmarkStart w:id="14" w:name="OLE_LINK5"/>
      <w:bookmarkStart w:id="15" w:name="OLE_LINK6"/>
      <w:r w:rsidRPr="00E96A01">
        <w:t>Jeigu esate nėščia, žindote kūdikį, manote, kad galbūt esate nėščia, arba planuojate pastoti, tai prieš vartodama šį vaistą, pasitarkite su gydytoju arba vaistininku</w:t>
      </w:r>
      <w:r>
        <w:t>.</w:t>
      </w:r>
    </w:p>
    <w:bookmarkEnd w:id="14"/>
    <w:bookmarkEnd w:id="15"/>
    <w:p w:rsidR="00E27AEA" w:rsidRPr="00341AE9" w:rsidRDefault="00E27AEA" w:rsidP="00E27AEA">
      <w:pPr>
        <w:pStyle w:val="knZulassung02"/>
        <w:ind w:left="0"/>
        <w:rPr>
          <w:sz w:val="22"/>
          <w:szCs w:val="22"/>
          <w:lang w:val="lt-LT"/>
        </w:rPr>
      </w:pPr>
    </w:p>
    <w:p w:rsidR="00E27AEA" w:rsidRPr="00341AE9" w:rsidRDefault="00E27AEA" w:rsidP="00E27AEA">
      <w:pPr>
        <w:pStyle w:val="knZulassung02"/>
        <w:ind w:left="0"/>
        <w:rPr>
          <w:sz w:val="22"/>
          <w:szCs w:val="22"/>
          <w:lang w:val="lt-LT"/>
        </w:rPr>
      </w:pPr>
      <w:r w:rsidRPr="00341AE9">
        <w:rPr>
          <w:sz w:val="22"/>
          <w:szCs w:val="22"/>
          <w:lang w:val="lt-LT"/>
        </w:rPr>
        <w:t>Pagrindinis gydymo vaistais nėštumo bei žindymo laikotarpiu principas teigia, kad tokiu laikotarpiu vaistų galima vartoti tik atidžiai apsvarsčius pavojus ir naudą.</w:t>
      </w:r>
    </w:p>
    <w:p w:rsidR="00E27AEA" w:rsidRPr="00341AE9" w:rsidRDefault="00E27AEA" w:rsidP="00E27AEA">
      <w:pPr>
        <w:pStyle w:val="knZulassung02"/>
        <w:ind w:left="0"/>
        <w:rPr>
          <w:sz w:val="22"/>
          <w:szCs w:val="22"/>
          <w:lang w:val="lt-LT"/>
        </w:rPr>
      </w:pPr>
    </w:p>
    <w:p w:rsidR="00E27AEA" w:rsidRPr="00341AE9" w:rsidRDefault="00E27AEA" w:rsidP="00E27AEA">
      <w:pPr>
        <w:rPr>
          <w:szCs w:val="22"/>
        </w:rPr>
      </w:pPr>
      <w:r w:rsidRPr="00341AE9">
        <w:rPr>
          <w:szCs w:val="22"/>
        </w:rPr>
        <w:t>Nėščioms bei krūtimi maitinančioms moterims tiokto rūgšties galima vartoti tik gydymo nurodymu. Gydytojas tokią pacientę stebės. Tyrimų su gyvūnais metu duomenų, kad ši veiklioji medžiaga darytų toksinį poveikį vaisiui ar embrionui, negauta. Nėra atlikta tyrimų tiokto rūgšties saugumui ištirti su nėščiomis ir žindančiomis moterimis.</w:t>
      </w:r>
    </w:p>
    <w:p w:rsidR="00E27AEA" w:rsidRPr="00341AE9" w:rsidRDefault="00E27AEA" w:rsidP="00E27AEA">
      <w:pPr>
        <w:rPr>
          <w:szCs w:val="22"/>
        </w:rPr>
      </w:pPr>
    </w:p>
    <w:p w:rsidR="00E27AEA" w:rsidRPr="00341AE9" w:rsidRDefault="00E27AEA" w:rsidP="00E27AEA">
      <w:pPr>
        <w:rPr>
          <w:szCs w:val="22"/>
        </w:rPr>
      </w:pPr>
      <w:r w:rsidRPr="00341AE9">
        <w:rPr>
          <w:szCs w:val="22"/>
        </w:rPr>
        <w:t>Ar tiokto rūgšties patenka į moters pieną, nežinoma.</w:t>
      </w:r>
    </w:p>
    <w:p w:rsidR="00E27AEA" w:rsidRPr="00341AE9" w:rsidRDefault="00E27AEA" w:rsidP="00E27AEA">
      <w:pPr>
        <w:pStyle w:val="Pagrindinistekstas"/>
        <w:spacing w:after="0"/>
        <w:rPr>
          <w:szCs w:val="22"/>
        </w:rPr>
      </w:pPr>
    </w:p>
    <w:p w:rsidR="00E27AEA" w:rsidRPr="00341AE9" w:rsidRDefault="00E27AEA" w:rsidP="00E27AEA">
      <w:pPr>
        <w:pStyle w:val="Antrat3"/>
        <w:rPr>
          <w:szCs w:val="22"/>
        </w:rPr>
      </w:pPr>
      <w:r w:rsidRPr="00341AE9">
        <w:rPr>
          <w:szCs w:val="22"/>
        </w:rPr>
        <w:t>Vairavimas ir mechanizmų valdymas</w:t>
      </w:r>
    </w:p>
    <w:p w:rsidR="00B23FFF" w:rsidRPr="004575DE" w:rsidRDefault="00B23FFF" w:rsidP="00B23FFF">
      <w:r w:rsidRPr="004575DE">
        <w:rPr>
          <w:bCs/>
        </w:rPr>
        <w:t>G</w:t>
      </w:r>
      <w:r w:rsidRPr="004575DE">
        <w:t>ebėjimo vairuoti ir valdyti mechanizmus neveikia.</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2"/>
        <w:ind w:left="567" w:hanging="567"/>
        <w:jc w:val="left"/>
        <w:rPr>
          <w:szCs w:val="22"/>
        </w:rPr>
      </w:pPr>
      <w:r w:rsidRPr="00341AE9">
        <w:rPr>
          <w:szCs w:val="22"/>
        </w:rPr>
        <w:t>3.</w:t>
      </w:r>
      <w:r w:rsidRPr="00341AE9">
        <w:rPr>
          <w:szCs w:val="22"/>
        </w:rPr>
        <w:tab/>
        <w:t xml:space="preserve">Kaip vartoti </w:t>
      </w:r>
      <w:r w:rsidRPr="00341AE9">
        <w:rPr>
          <w:bCs/>
          <w:szCs w:val="22"/>
        </w:rPr>
        <w:t>Thiogamma</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bCs/>
          <w:szCs w:val="22"/>
        </w:rPr>
        <w:t>V</w:t>
      </w:r>
      <w:r w:rsidRPr="00341AE9">
        <w:rPr>
          <w:szCs w:val="22"/>
        </w:rPr>
        <w:t>isada vartokite šį vaistą tiksliai kaip nurodė gydytojas. Jeigu abejojate, kreipkitės į gydytoją arba vaistininką.</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u w:val="single"/>
        </w:rPr>
      </w:pPr>
      <w:r w:rsidRPr="00341AE9">
        <w:rPr>
          <w:szCs w:val="22"/>
          <w:u w:val="single"/>
        </w:rPr>
        <w:t>Rekomenduojama paros dozė</w:t>
      </w:r>
    </w:p>
    <w:p w:rsidR="00E27AEA" w:rsidRPr="00341AE9" w:rsidRDefault="00E27AEA" w:rsidP="00E27AEA">
      <w:pPr>
        <w:rPr>
          <w:szCs w:val="22"/>
        </w:rPr>
      </w:pPr>
      <w:r w:rsidRPr="00341AE9">
        <w:rPr>
          <w:szCs w:val="22"/>
        </w:rPr>
        <w:t>Jei gydytojas neskyrė kitaip, rekomenduojama paros dozė diabetinės polineuropatijos (nervo pažeidimo) sukeltam sunkiam jutimo sutrikimui gydyti yra viena 20 ml ampulė (tokia dozė atitinka 600 mg tiokto rūgšties).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u w:val="single"/>
        </w:rPr>
      </w:pPr>
      <w:r w:rsidRPr="00341AE9">
        <w:rPr>
          <w:szCs w:val="22"/>
          <w:u w:val="single"/>
        </w:rPr>
        <w:t>Vartojimo metodas</w:t>
      </w:r>
    </w:p>
    <w:p w:rsidR="00E27AEA" w:rsidRPr="00341AE9" w:rsidRDefault="00E27AEA" w:rsidP="00E27AEA">
      <w:pPr>
        <w:rPr>
          <w:szCs w:val="22"/>
        </w:rPr>
      </w:pPr>
      <w:r w:rsidRPr="00341AE9">
        <w:rPr>
          <w:szCs w:val="22"/>
        </w:rPr>
        <w:t xml:space="preserve">Praskiestas tirpalas vartojamas į veną. </w:t>
      </w:r>
    </w:p>
    <w:p w:rsidR="00E27AEA" w:rsidRPr="00341AE9" w:rsidRDefault="00E27AEA" w:rsidP="00E27AEA">
      <w:pPr>
        <w:rPr>
          <w:bCs/>
          <w:szCs w:val="22"/>
        </w:rPr>
      </w:pPr>
      <w:r w:rsidRPr="00341AE9">
        <w:rPr>
          <w:bCs/>
          <w:szCs w:val="22"/>
        </w:rPr>
        <w:t>Thio</w:t>
      </w:r>
      <w:r w:rsidRPr="00341AE9">
        <w:rPr>
          <w:iCs/>
          <w:szCs w:val="22"/>
        </w:rPr>
        <w:t>gamma</w:t>
      </w:r>
      <w:r w:rsidRPr="00341AE9">
        <w:rPr>
          <w:bCs/>
          <w:szCs w:val="22"/>
        </w:rPr>
        <w:t xml:space="preserve"> skiedžiamas fiziologiniu natrio chlorido tirpalu ir greitai (bet ne greičiau kaip per 30 minučių) sulašinama į veną. </w:t>
      </w:r>
    </w:p>
    <w:p w:rsidR="00E27AEA" w:rsidRPr="00341AE9" w:rsidRDefault="00E27AEA" w:rsidP="00E27AEA">
      <w:pPr>
        <w:rPr>
          <w:bCs/>
          <w:szCs w:val="22"/>
        </w:rPr>
      </w:pPr>
    </w:p>
    <w:p w:rsidR="00E27AEA" w:rsidRPr="00341AE9" w:rsidRDefault="00E27AEA" w:rsidP="00E27AEA">
      <w:pPr>
        <w:rPr>
          <w:szCs w:val="22"/>
        </w:rPr>
      </w:pPr>
      <w:r w:rsidRPr="00341AE9">
        <w:rPr>
          <w:szCs w:val="22"/>
        </w:rPr>
        <w:lastRenderedPageBreak/>
        <w:t>Infuzinį tirpalą reikia paruošti prieš pat vartojimą, kadangi veiklioji medžiaga yra jautri šviesai. Infuzinį tirpalą būtina apsaugoti nuo šviesos, tam panaudojant aliuminio foliją arba nuo šviesos apsaugantį maišelį. Nuo šviesos apsaugotas infuzinis tirpalas gali būti laikomas maždaug 6 valandas.</w:t>
      </w:r>
    </w:p>
    <w:p w:rsidR="00E27AEA" w:rsidRPr="00341AE9" w:rsidRDefault="00E27AEA" w:rsidP="00E27AEA">
      <w:pPr>
        <w:rPr>
          <w:bCs/>
          <w:szCs w:val="22"/>
        </w:rPr>
      </w:pPr>
    </w:p>
    <w:p w:rsidR="00E27AEA" w:rsidRPr="00341AE9" w:rsidRDefault="00E27AEA" w:rsidP="00E27AEA">
      <w:pPr>
        <w:rPr>
          <w:bCs/>
          <w:szCs w:val="22"/>
          <w:u w:val="single"/>
        </w:rPr>
      </w:pPr>
      <w:r w:rsidRPr="00341AE9">
        <w:rPr>
          <w:bCs/>
          <w:szCs w:val="22"/>
          <w:u w:val="single"/>
        </w:rPr>
        <w:t>Vartojimo trukmė</w:t>
      </w:r>
    </w:p>
    <w:p w:rsidR="00E27AEA" w:rsidRPr="00341AE9" w:rsidRDefault="00E27AEA" w:rsidP="00E27AEA">
      <w:pPr>
        <w:rPr>
          <w:szCs w:val="22"/>
        </w:rPr>
      </w:pPr>
      <w:r w:rsidRPr="00341AE9">
        <w:rPr>
          <w:szCs w:val="22"/>
        </w:rPr>
        <w:t>Koncentrato infuziniam tirpalui rekomenduojama vartoti pradiniu gydymo laikotarpiu (2 – 4 savaites).</w:t>
      </w:r>
    </w:p>
    <w:p w:rsidR="00E27AEA" w:rsidRPr="00341AE9" w:rsidRDefault="00E27AEA" w:rsidP="00E27AEA">
      <w:pPr>
        <w:rPr>
          <w:bCs/>
          <w:szCs w:val="22"/>
        </w:rPr>
      </w:pPr>
      <w:r w:rsidRPr="00341AE9">
        <w:rPr>
          <w:szCs w:val="22"/>
        </w:rPr>
        <w:t>Vėliau tęsiant gydymą reikia vartoti 300 mg arba 600 mg tiokto rūgšties plėvele dengtų tablečių paros dozę.</w:t>
      </w:r>
    </w:p>
    <w:p w:rsidR="00E27AEA" w:rsidRPr="00341AE9" w:rsidRDefault="00E27AEA" w:rsidP="00E27AEA">
      <w:pPr>
        <w:pStyle w:val="Pagrindinistekstas"/>
        <w:spacing w:after="0"/>
        <w:rPr>
          <w:szCs w:val="22"/>
          <w:u w:val="single"/>
        </w:rPr>
      </w:pPr>
    </w:p>
    <w:p w:rsidR="00E27AEA" w:rsidRPr="00341AE9" w:rsidRDefault="00E27AEA" w:rsidP="00E27AEA">
      <w:pPr>
        <w:rPr>
          <w:szCs w:val="22"/>
        </w:rPr>
      </w:pPr>
      <w:r w:rsidRPr="00341AE9">
        <w:rPr>
          <w:szCs w:val="22"/>
        </w:rPr>
        <w:t>Diabetinė polineuropatija yra lėtinė liga, todėl ją gali tekti gydyti nuolat. Individualiu atveju Jums patars gydytojas.</w:t>
      </w:r>
    </w:p>
    <w:p w:rsidR="00E27AEA" w:rsidRPr="00341AE9" w:rsidRDefault="00E27AEA" w:rsidP="00E27AEA">
      <w:pPr>
        <w:rPr>
          <w:szCs w:val="22"/>
        </w:rPr>
      </w:pPr>
    </w:p>
    <w:p w:rsidR="00E27AEA" w:rsidRPr="00341AE9" w:rsidRDefault="00E27AEA" w:rsidP="00E27AEA">
      <w:pPr>
        <w:pStyle w:val="Pagrindinistekstas"/>
        <w:spacing w:after="0"/>
        <w:rPr>
          <w:szCs w:val="22"/>
        </w:rPr>
      </w:pPr>
      <w:r w:rsidRPr="00341AE9">
        <w:rPr>
          <w:szCs w:val="22"/>
        </w:rPr>
        <w:t xml:space="preserve">Jeigu manote, kad </w:t>
      </w:r>
      <w:r w:rsidRPr="00341AE9">
        <w:rPr>
          <w:bCs/>
          <w:szCs w:val="22"/>
        </w:rPr>
        <w:t>Thio</w:t>
      </w:r>
      <w:r w:rsidRPr="00341AE9">
        <w:rPr>
          <w:iCs/>
          <w:szCs w:val="22"/>
        </w:rPr>
        <w:t>gamma</w:t>
      </w:r>
      <w:r w:rsidRPr="00341AE9">
        <w:rPr>
          <w:bCs/>
          <w:szCs w:val="22"/>
        </w:rPr>
        <w:t xml:space="preserve"> </w:t>
      </w:r>
      <w:r w:rsidRPr="00341AE9">
        <w:rPr>
          <w:szCs w:val="22"/>
        </w:rPr>
        <w:t>veikia per stipriai arba per silpnai, kreipkitės į gydytoją arba vaistininką.</w:t>
      </w:r>
    </w:p>
    <w:p w:rsidR="00E27AEA" w:rsidRPr="00341AE9" w:rsidRDefault="00E27AEA" w:rsidP="00E27AEA">
      <w:pPr>
        <w:pStyle w:val="Pagrindinistekstas"/>
        <w:spacing w:after="0"/>
        <w:rPr>
          <w:szCs w:val="22"/>
        </w:rPr>
      </w:pPr>
    </w:p>
    <w:p w:rsidR="00E27AEA" w:rsidRPr="00341AE9" w:rsidRDefault="00E27AEA" w:rsidP="00E27AEA">
      <w:pPr>
        <w:pStyle w:val="Antrat3"/>
        <w:rPr>
          <w:szCs w:val="22"/>
        </w:rPr>
      </w:pPr>
      <w:r w:rsidRPr="00341AE9">
        <w:rPr>
          <w:szCs w:val="22"/>
        </w:rPr>
        <w:t xml:space="preserve">Ką daryti pavartojus per didelę </w:t>
      </w:r>
      <w:r w:rsidRPr="00341AE9">
        <w:rPr>
          <w:bCs/>
          <w:szCs w:val="22"/>
        </w:rPr>
        <w:t>Thio</w:t>
      </w:r>
      <w:r w:rsidRPr="00341AE9">
        <w:rPr>
          <w:iCs/>
          <w:szCs w:val="22"/>
        </w:rPr>
        <w:t>gamma</w:t>
      </w:r>
      <w:r w:rsidRPr="00341AE9">
        <w:rPr>
          <w:bCs/>
          <w:szCs w:val="22"/>
        </w:rPr>
        <w:t xml:space="preserve"> </w:t>
      </w:r>
      <w:r w:rsidRPr="00341AE9">
        <w:rPr>
          <w:szCs w:val="22"/>
        </w:rPr>
        <w:t>dozę?</w:t>
      </w:r>
    </w:p>
    <w:p w:rsidR="00E27AEA" w:rsidRPr="00341AE9" w:rsidRDefault="00E27AEA" w:rsidP="00E27AEA">
      <w:pPr>
        <w:rPr>
          <w:szCs w:val="22"/>
        </w:rPr>
      </w:pPr>
      <w:r w:rsidRPr="00341AE9">
        <w:rPr>
          <w:szCs w:val="22"/>
        </w:rPr>
        <w:t>Perdozavus gali pasireikšti pykinimas, vėmimas ir galvos skausmas.</w:t>
      </w:r>
    </w:p>
    <w:p w:rsidR="00E27AEA" w:rsidRPr="00341AE9" w:rsidRDefault="00E27AEA" w:rsidP="00E27AEA">
      <w:pPr>
        <w:rPr>
          <w:szCs w:val="22"/>
        </w:rPr>
      </w:pPr>
    </w:p>
    <w:p w:rsidR="00E27AEA" w:rsidRPr="00341AE9" w:rsidRDefault="00E27AEA" w:rsidP="00E27AEA">
      <w:pPr>
        <w:rPr>
          <w:szCs w:val="22"/>
        </w:rPr>
      </w:pPr>
      <w:r w:rsidRPr="00341AE9">
        <w:rPr>
          <w:szCs w:val="22"/>
        </w:rPr>
        <w:t>Buvo keletas pavienių sunkių ar net gyvybei pavojingų apsinuodijimo atvejų, t.y.:</w:t>
      </w:r>
    </w:p>
    <w:p w:rsidR="00E27AEA" w:rsidRPr="00341AE9" w:rsidRDefault="00E27AEA" w:rsidP="00E27AEA">
      <w:pPr>
        <w:numPr>
          <w:ilvl w:val="0"/>
          <w:numId w:val="5"/>
        </w:numPr>
        <w:tabs>
          <w:tab w:val="clear" w:pos="1080"/>
          <w:tab w:val="left" w:pos="1276"/>
        </w:tabs>
        <w:ind w:left="567" w:hanging="567"/>
        <w:rPr>
          <w:szCs w:val="22"/>
        </w:rPr>
      </w:pPr>
      <w:r w:rsidRPr="00341AE9">
        <w:rPr>
          <w:szCs w:val="22"/>
        </w:rPr>
        <w:t>išplitusių traukulių;</w:t>
      </w:r>
    </w:p>
    <w:p w:rsidR="00E27AEA" w:rsidRPr="00341AE9" w:rsidRDefault="00E27AEA" w:rsidP="00E27AEA">
      <w:pPr>
        <w:numPr>
          <w:ilvl w:val="0"/>
          <w:numId w:val="5"/>
        </w:numPr>
        <w:tabs>
          <w:tab w:val="clear" w:pos="1080"/>
          <w:tab w:val="left" w:pos="1276"/>
        </w:tabs>
        <w:ind w:left="567" w:hanging="567"/>
        <w:rPr>
          <w:szCs w:val="22"/>
        </w:rPr>
      </w:pPr>
      <w:r w:rsidRPr="00341AE9">
        <w:rPr>
          <w:szCs w:val="22"/>
        </w:rPr>
        <w:t>per didelis rūgščių kiekis kraujyje (rūgščių ir šarmų pusiausvyros sutrikimas, dėl kurio vyksta laktato kaupimasis kraujyje);</w:t>
      </w:r>
    </w:p>
    <w:p w:rsidR="00E27AEA" w:rsidRPr="00341AE9" w:rsidRDefault="00E27AEA" w:rsidP="00E27AEA">
      <w:pPr>
        <w:numPr>
          <w:ilvl w:val="0"/>
          <w:numId w:val="5"/>
        </w:numPr>
        <w:tabs>
          <w:tab w:val="clear" w:pos="1080"/>
          <w:tab w:val="left" w:pos="1276"/>
        </w:tabs>
        <w:ind w:left="567" w:hanging="567"/>
        <w:rPr>
          <w:szCs w:val="22"/>
        </w:rPr>
      </w:pPr>
      <w:r w:rsidRPr="00341AE9">
        <w:rPr>
          <w:szCs w:val="22"/>
        </w:rPr>
        <w:t xml:space="preserve">sunkių kraujo krešėjimo sutrikimų pasireiškimo atvejų. </w:t>
      </w:r>
    </w:p>
    <w:p w:rsidR="00E27AEA" w:rsidRPr="00341AE9" w:rsidRDefault="00E27AEA" w:rsidP="00E27AEA">
      <w:pPr>
        <w:tabs>
          <w:tab w:val="left" w:pos="1276"/>
        </w:tabs>
        <w:rPr>
          <w:szCs w:val="22"/>
        </w:rPr>
      </w:pPr>
      <w:r w:rsidRPr="00341AE9">
        <w:rPr>
          <w:szCs w:val="22"/>
        </w:rPr>
        <w:t>Šie simptomai pasireiškė, išgėrus daugiau nei 10 g tiokto rūgšties (ypač jei tuo pat metu gerta daug alkoholio).</w:t>
      </w:r>
    </w:p>
    <w:p w:rsidR="00E27AEA" w:rsidRPr="00341AE9" w:rsidRDefault="00E27AEA" w:rsidP="00E27AEA">
      <w:pPr>
        <w:rPr>
          <w:szCs w:val="22"/>
        </w:rPr>
      </w:pPr>
      <w:r w:rsidRPr="00341AE9">
        <w:rPr>
          <w:szCs w:val="22"/>
        </w:rPr>
        <w:t xml:space="preserve">Jei įtariama, kad perdozuota daug </w:t>
      </w:r>
      <w:r w:rsidRPr="00341AE9">
        <w:rPr>
          <w:bCs/>
          <w:szCs w:val="22"/>
        </w:rPr>
        <w:t>Thio</w:t>
      </w:r>
      <w:r w:rsidRPr="00341AE9">
        <w:rPr>
          <w:iCs/>
          <w:szCs w:val="22"/>
        </w:rPr>
        <w:t>gamma</w:t>
      </w:r>
      <w:r w:rsidRPr="00341AE9">
        <w:rPr>
          <w:bCs/>
          <w:szCs w:val="22"/>
        </w:rPr>
        <w:t xml:space="preserve">, </w:t>
      </w:r>
      <w:r w:rsidRPr="00341AE9">
        <w:rPr>
          <w:szCs w:val="22"/>
        </w:rPr>
        <w:t>reikia nedelsiant kreiptis į ligoninę, kur bus imamasi įprastų apsinuodijimo gydymo priemonių.</w:t>
      </w:r>
    </w:p>
    <w:p w:rsidR="00E27AEA" w:rsidRPr="00341AE9" w:rsidRDefault="00E27AEA" w:rsidP="00E27AEA">
      <w:pPr>
        <w:pStyle w:val="Pagrindinistekstas"/>
        <w:spacing w:after="0"/>
        <w:rPr>
          <w:szCs w:val="22"/>
        </w:rPr>
      </w:pPr>
    </w:p>
    <w:p w:rsidR="00E27AEA" w:rsidRPr="00341AE9" w:rsidRDefault="00E27AEA" w:rsidP="00E27AEA">
      <w:pPr>
        <w:pStyle w:val="PI-3EMEASMCA"/>
      </w:pPr>
      <w:r w:rsidRPr="00341AE9">
        <w:t xml:space="preserve">Pamiršus pavartoti </w:t>
      </w:r>
      <w:r w:rsidRPr="00341AE9">
        <w:rPr>
          <w:bCs w:val="0"/>
        </w:rPr>
        <w:t>Thio</w:t>
      </w:r>
      <w:r w:rsidRPr="00341AE9">
        <w:rPr>
          <w:iCs/>
        </w:rPr>
        <w:t>gamma</w:t>
      </w:r>
      <w:r w:rsidRPr="00341AE9">
        <w:rPr>
          <w:bCs w:val="0"/>
        </w:rPr>
        <w:t xml:space="preserve"> </w:t>
      </w:r>
    </w:p>
    <w:p w:rsidR="00E27AEA" w:rsidRPr="00341AE9" w:rsidRDefault="00E27AEA" w:rsidP="00E27AEA">
      <w:pPr>
        <w:pStyle w:val="BTEMEASMCA"/>
        <w:rPr>
          <w:noProof w:val="0"/>
        </w:rPr>
      </w:pPr>
      <w:r w:rsidRPr="00341AE9">
        <w:rPr>
          <w:noProof w:val="0"/>
        </w:rPr>
        <w:t>Negalima vartoti dvigubos dozės norint kompensuoti praleistą dozę. Gydytojas nuspręs, kada Jums vartoti kitą dozę. Būtinai pasitarti su gydytoju.</w:t>
      </w:r>
    </w:p>
    <w:p w:rsidR="00E27AEA" w:rsidRPr="00341AE9" w:rsidRDefault="00E27AEA" w:rsidP="00E27AEA">
      <w:pPr>
        <w:pStyle w:val="BTEMEASMCA"/>
        <w:rPr>
          <w:noProof w:val="0"/>
        </w:rPr>
      </w:pPr>
    </w:p>
    <w:p w:rsidR="00E27AEA" w:rsidRPr="00341AE9" w:rsidRDefault="00E27AEA" w:rsidP="00E27AEA">
      <w:pPr>
        <w:pStyle w:val="PI-3EMEASMCA"/>
      </w:pPr>
      <w:r w:rsidRPr="00341AE9">
        <w:t xml:space="preserve">Nustojus vartoti </w:t>
      </w:r>
      <w:r w:rsidRPr="00341AE9">
        <w:rPr>
          <w:bCs w:val="0"/>
        </w:rPr>
        <w:t>Thio</w:t>
      </w:r>
      <w:r w:rsidRPr="00341AE9">
        <w:rPr>
          <w:iCs/>
        </w:rPr>
        <w:t>gamma</w:t>
      </w:r>
      <w:r w:rsidRPr="00341AE9">
        <w:rPr>
          <w:bCs w:val="0"/>
        </w:rPr>
        <w:t xml:space="preserve"> </w:t>
      </w:r>
    </w:p>
    <w:p w:rsidR="00E27AEA" w:rsidRPr="00341AE9" w:rsidRDefault="00E27AEA" w:rsidP="00E27AEA">
      <w:pPr>
        <w:pStyle w:val="BTEMEASMCA"/>
        <w:rPr>
          <w:noProof w:val="0"/>
        </w:rPr>
      </w:pPr>
      <w:r w:rsidRPr="00341AE9">
        <w:t>Jei norima pertraukti ar nutraukti gydymą</w:t>
      </w:r>
      <w:r w:rsidRPr="00341AE9">
        <w:rPr>
          <w:bCs/>
        </w:rPr>
        <w:t xml:space="preserve"> Thio</w:t>
      </w:r>
      <w:r w:rsidRPr="00341AE9">
        <w:rPr>
          <w:iCs/>
        </w:rPr>
        <w:t>gamma</w:t>
      </w:r>
      <w:r w:rsidRPr="00341AE9">
        <w:t>, būtina pasitarti su gydytoju.</w:t>
      </w:r>
    </w:p>
    <w:p w:rsidR="00E27AEA" w:rsidRPr="00341AE9" w:rsidRDefault="00E27AEA" w:rsidP="00E27AEA">
      <w:pPr>
        <w:pStyle w:val="BTEMEASMCA"/>
        <w:rPr>
          <w:noProof w:val="0"/>
        </w:rPr>
      </w:pPr>
      <w:r w:rsidRPr="00341AE9">
        <w:rPr>
          <w:noProof w:val="0"/>
        </w:rPr>
        <w:t>Jeigu kiltų daugiau klausimų dėl šio vaisto vartojimo, kreipkitės į gydytoją arba vaistininką.</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2"/>
        <w:ind w:left="567" w:hanging="567"/>
        <w:jc w:val="left"/>
        <w:rPr>
          <w:szCs w:val="22"/>
        </w:rPr>
      </w:pPr>
      <w:r w:rsidRPr="00341AE9">
        <w:rPr>
          <w:szCs w:val="22"/>
        </w:rPr>
        <w:t>4.</w:t>
      </w:r>
      <w:r w:rsidRPr="00341AE9">
        <w:rPr>
          <w:szCs w:val="22"/>
        </w:rPr>
        <w:tab/>
        <w:t>Galimas šalutinis poveikis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bCs/>
          <w:szCs w:val="22"/>
        </w:rPr>
        <w:t>Šis vaistas</w:t>
      </w:r>
      <w:r w:rsidRPr="00341AE9">
        <w:rPr>
          <w:szCs w:val="22"/>
        </w:rPr>
        <w:t>, kaip ir kiti, gali sukelti šalutinį poveikį, nors jis pasireiškia ne visiems žmonėms.</w:t>
      </w:r>
    </w:p>
    <w:p w:rsidR="00E27AEA" w:rsidRPr="00341AE9" w:rsidRDefault="00E27AEA" w:rsidP="00E27AEA">
      <w:pPr>
        <w:rPr>
          <w:szCs w:val="22"/>
        </w:rPr>
      </w:pPr>
    </w:p>
    <w:p w:rsidR="00E27AEA" w:rsidRPr="00341AE9" w:rsidRDefault="00E27AEA" w:rsidP="00E27AEA">
      <w:pPr>
        <w:rPr>
          <w:szCs w:val="22"/>
        </w:rPr>
      </w:pPr>
      <w:r w:rsidRPr="00341AE9">
        <w:rPr>
          <w:szCs w:val="22"/>
        </w:rPr>
        <w:t>Svarbūs šalutiniai poveikiai, kuriuos turite įsidėmėti ir imtis priemonių, jeigu Jums jie pasireiškia.</w:t>
      </w:r>
    </w:p>
    <w:p w:rsidR="00E27AEA" w:rsidRPr="00341AE9" w:rsidRDefault="00E27AEA" w:rsidP="00E27AEA">
      <w:pPr>
        <w:rPr>
          <w:i/>
          <w:szCs w:val="22"/>
        </w:rPr>
      </w:pPr>
    </w:p>
    <w:p w:rsidR="00E27AEA" w:rsidRPr="00341AE9" w:rsidRDefault="00E27AEA" w:rsidP="00E27AEA">
      <w:pPr>
        <w:rPr>
          <w:i/>
          <w:szCs w:val="22"/>
        </w:rPr>
      </w:pPr>
      <w:r w:rsidRPr="00341AE9">
        <w:rPr>
          <w:i/>
          <w:szCs w:val="22"/>
        </w:rPr>
        <w:t>Dažnas (pasireiškia mažiau kaip 1 iš 10, bet daugiau kaip 1 iš 100 pacientų)</w:t>
      </w:r>
    </w:p>
    <w:p w:rsidR="00E27AEA" w:rsidRPr="00341AE9" w:rsidRDefault="003D3120" w:rsidP="00E27AEA">
      <w:pPr>
        <w:rPr>
          <w:szCs w:val="22"/>
        </w:rPr>
      </w:pPr>
      <w:r>
        <w:rPr>
          <w:szCs w:val="22"/>
        </w:rPr>
        <w:t>Vaisto</w:t>
      </w:r>
      <w:r w:rsidRPr="00341AE9">
        <w:rPr>
          <w:szCs w:val="22"/>
        </w:rPr>
        <w:t xml:space="preserve"> </w:t>
      </w:r>
      <w:r w:rsidR="00E27AEA" w:rsidRPr="00341AE9">
        <w:rPr>
          <w:szCs w:val="22"/>
        </w:rPr>
        <w:t xml:space="preserve">greitai sušvirkštus į veną (greičiau negu per 30 minučių), gali atsirasti savaime praeinantis spaudimas galvoje bei kvėpavimo sutrikimas. </w:t>
      </w:r>
    </w:p>
    <w:p w:rsidR="00E27AEA" w:rsidRPr="00341AE9" w:rsidRDefault="00E27AEA" w:rsidP="00E27AEA">
      <w:pPr>
        <w:rPr>
          <w:szCs w:val="22"/>
        </w:rPr>
      </w:pPr>
    </w:p>
    <w:p w:rsidR="00E27AEA" w:rsidRPr="00341AE9" w:rsidRDefault="00E27AEA" w:rsidP="00E27AEA">
      <w:pPr>
        <w:rPr>
          <w:i/>
          <w:noProof/>
          <w:szCs w:val="22"/>
        </w:rPr>
      </w:pPr>
      <w:r w:rsidRPr="00341AE9">
        <w:rPr>
          <w:i/>
          <w:szCs w:val="22"/>
        </w:rPr>
        <w:t>Labai retas (pasireiškia mažiau kaip 1 iš 10000 pacientų)</w:t>
      </w:r>
    </w:p>
    <w:p w:rsidR="00E27AEA" w:rsidRPr="00341AE9" w:rsidRDefault="00E27AEA" w:rsidP="00E27AEA">
      <w:pPr>
        <w:rPr>
          <w:szCs w:val="22"/>
        </w:rPr>
      </w:pPr>
      <w:r w:rsidRPr="00341AE9">
        <w:rPr>
          <w:szCs w:val="22"/>
        </w:rPr>
        <w:t>Trombocitų funkcijos ir kraujo krešėjimo sutrikimas (trombopatija), skonio pojūčio pokytis arba sutrikimas ir traukuliai, matomo vaizdo dvigubinimasis, kraujavimas į odą (</w:t>
      </w:r>
      <w:r w:rsidRPr="00341AE9">
        <w:rPr>
          <w:i/>
          <w:szCs w:val="22"/>
        </w:rPr>
        <w:t>purpura</w:t>
      </w:r>
      <w:r w:rsidRPr="00341AE9">
        <w:rPr>
          <w:szCs w:val="22"/>
        </w:rPr>
        <w:t>), skausmas, paraudimas arba patinimas injekcijos vietoje.</w:t>
      </w:r>
    </w:p>
    <w:p w:rsidR="00E27AEA" w:rsidRPr="00341AE9" w:rsidRDefault="00E27AEA" w:rsidP="00E27AEA">
      <w:pPr>
        <w:rPr>
          <w:szCs w:val="22"/>
        </w:rPr>
      </w:pPr>
    </w:p>
    <w:p w:rsidR="00E27AEA" w:rsidRPr="00341AE9" w:rsidRDefault="00E27AEA" w:rsidP="00E27AEA">
      <w:pPr>
        <w:rPr>
          <w:szCs w:val="22"/>
        </w:rPr>
      </w:pPr>
    </w:p>
    <w:p w:rsidR="00E27AEA" w:rsidRPr="00341AE9" w:rsidRDefault="00E27AEA" w:rsidP="00E27AEA">
      <w:pPr>
        <w:rPr>
          <w:i/>
          <w:noProof/>
          <w:szCs w:val="22"/>
        </w:rPr>
      </w:pPr>
      <w:r w:rsidRPr="00341AE9">
        <w:rPr>
          <w:i/>
          <w:noProof/>
          <w:szCs w:val="22"/>
        </w:rPr>
        <w:t>Dažnis nežinomas (</w:t>
      </w:r>
      <w:r w:rsidRPr="00341AE9">
        <w:rPr>
          <w:i/>
          <w:szCs w:val="22"/>
        </w:rPr>
        <w:t>negali būti apskaičiuotas pagal turimus duomenis)</w:t>
      </w:r>
    </w:p>
    <w:p w:rsidR="00E27AEA" w:rsidRPr="00341AE9" w:rsidRDefault="00E27AEA" w:rsidP="00E27AEA">
      <w:pPr>
        <w:rPr>
          <w:szCs w:val="22"/>
        </w:rPr>
      </w:pPr>
      <w:r w:rsidRPr="00341AE9">
        <w:rPr>
          <w:szCs w:val="22"/>
        </w:rPr>
        <w:t>Padidėjusio jautrumo reakcija visame organizme ir net šokas.</w:t>
      </w:r>
    </w:p>
    <w:p w:rsidR="00E27AEA" w:rsidRPr="00341AE9" w:rsidRDefault="00E27AEA" w:rsidP="00E27AEA">
      <w:pPr>
        <w:rPr>
          <w:szCs w:val="22"/>
        </w:rPr>
      </w:pPr>
      <w:r w:rsidRPr="00341AE9">
        <w:rPr>
          <w:szCs w:val="22"/>
        </w:rPr>
        <w:t>Pasireiškus pirmiesiems padidėjusio jautrumo reakcijos požymiams, vaisto vartojimą būtina nutraukti ir nedelsiant kreiptis į gydytoją.</w:t>
      </w:r>
    </w:p>
    <w:p w:rsidR="009732C7" w:rsidRDefault="009732C7" w:rsidP="009732C7">
      <w:r>
        <w:lastRenderedPageBreak/>
        <w:t>G</w:t>
      </w:r>
      <w:r w:rsidRPr="00737D68">
        <w:t>liukozės kiekį kraujyje reguliuojančių hormonų sutrikimas, dėl kurio labai sumažėja cukraus kiekis kraujyje (autoimuninis insulino sindromas).</w:t>
      </w:r>
    </w:p>
    <w:p w:rsidR="00E27AEA" w:rsidRPr="00341AE9" w:rsidRDefault="00E27AEA" w:rsidP="00E27AEA">
      <w:pPr>
        <w:rPr>
          <w:i/>
          <w:szCs w:val="22"/>
        </w:rPr>
      </w:pPr>
    </w:p>
    <w:p w:rsidR="00E27AEA" w:rsidRPr="00341AE9" w:rsidRDefault="00E27AEA" w:rsidP="00E27AEA">
      <w:pPr>
        <w:rPr>
          <w:szCs w:val="22"/>
        </w:rPr>
      </w:pPr>
      <w:r w:rsidRPr="00341AE9">
        <w:rPr>
          <w:szCs w:val="22"/>
        </w:rPr>
        <w:t>Dėl pagerėjusio gliukozės pasisavinimo gali sumažėti jos koncentracija kraujyje (hipoglikemija). Gali atsirasti tokių simptomų: galvos sukimosi, sustiprėjusio prakaitavimo, galvos skausmo bei matymo sutrikimo, atvejų.</w:t>
      </w:r>
    </w:p>
    <w:p w:rsidR="00E27AEA" w:rsidRPr="00341AE9" w:rsidRDefault="00E27AEA" w:rsidP="00E27AEA">
      <w:pPr>
        <w:rPr>
          <w:szCs w:val="22"/>
        </w:rPr>
      </w:pPr>
    </w:p>
    <w:p w:rsidR="00E27AEA" w:rsidRPr="00341AE9" w:rsidRDefault="00E27AEA" w:rsidP="00E27AEA">
      <w:pPr>
        <w:rPr>
          <w:szCs w:val="22"/>
        </w:rPr>
      </w:pPr>
      <w:r w:rsidRPr="00341AE9">
        <w:rPr>
          <w:szCs w:val="22"/>
        </w:rPr>
        <w:t>Gali atsirasti alerginė reakcija, pasireiškianti odos išbėrimu, dilgėline, niežuliu.</w:t>
      </w:r>
    </w:p>
    <w:p w:rsidR="00E27AEA" w:rsidRPr="00341AE9" w:rsidRDefault="00E27AEA" w:rsidP="00E27AEA">
      <w:pPr>
        <w:pStyle w:val="BTEMEASMCA"/>
        <w:rPr>
          <w:noProof w:val="0"/>
        </w:rPr>
      </w:pPr>
    </w:p>
    <w:p w:rsidR="00E27AEA" w:rsidRPr="00341AE9" w:rsidRDefault="00E27AEA" w:rsidP="00E27AEA">
      <w:pPr>
        <w:pStyle w:val="BTEMEASMCA"/>
        <w:rPr>
          <w:b/>
        </w:rPr>
      </w:pPr>
      <w:r w:rsidRPr="00341AE9">
        <w:rPr>
          <w:b/>
        </w:rPr>
        <w:t>Pranešimas apie šalutinį poveikį</w:t>
      </w:r>
    </w:p>
    <w:p w:rsidR="009732C7" w:rsidRPr="004575DE" w:rsidRDefault="00E27AEA" w:rsidP="009732C7">
      <w:r w:rsidRPr="00341AE9">
        <w:t xml:space="preserve">Jeigu pasireiškė šalutinis poveikis, įskaitant šiame lapelyje nenurodytą, pasakykite gydytojui arba vaistininkui. </w:t>
      </w:r>
      <w:r w:rsidR="009732C7" w:rsidRPr="004575DE">
        <w:t>Apie šalutinį poveikį taip pat galite pranešti Valstybinei vaistų kontrolės tarnybai prie Lietuvos Respublikos sveikatos apsaugos ministerijos</w:t>
      </w:r>
      <w:r w:rsidR="009732C7" w:rsidRPr="004C2BAF">
        <w:t xml:space="preserve">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r w:rsidR="009732C7" w:rsidRPr="004575DE">
        <w:t xml:space="preserve"> Pranešdami apie šalutinį poveikį galite mums padėti gauti daugiau informacijos apie šio vaisto saugumą.</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2"/>
        <w:ind w:left="567" w:hanging="567"/>
        <w:jc w:val="left"/>
        <w:rPr>
          <w:szCs w:val="22"/>
        </w:rPr>
      </w:pPr>
      <w:r w:rsidRPr="00341AE9">
        <w:rPr>
          <w:szCs w:val="22"/>
        </w:rPr>
        <w:t>5.</w:t>
      </w:r>
      <w:r w:rsidRPr="00341AE9">
        <w:rPr>
          <w:szCs w:val="22"/>
        </w:rPr>
        <w:tab/>
        <w:t>Kaip laikyti Thiogamma</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Šį vaistą laikykite vaikams nepastebimoje ir nepasiekiamoje vietoje.</w:t>
      </w:r>
    </w:p>
    <w:p w:rsidR="00E27AEA" w:rsidRPr="00341AE9" w:rsidRDefault="00E27AEA" w:rsidP="00E27AEA">
      <w:pPr>
        <w:pStyle w:val="Pagrindinistekstas"/>
        <w:spacing w:after="0"/>
        <w:rPr>
          <w:szCs w:val="22"/>
        </w:rPr>
      </w:pPr>
      <w:r w:rsidRPr="00341AE9">
        <w:rPr>
          <w:szCs w:val="22"/>
        </w:rPr>
        <w:t xml:space="preserve">Ant dėžutės arba ampulės etiketės po „Tinka iki“  nurodytam tinkamumo laikui pasibaigus, </w:t>
      </w:r>
      <w:r w:rsidRPr="00341AE9">
        <w:rPr>
          <w:bCs/>
          <w:szCs w:val="22"/>
        </w:rPr>
        <w:t>šio vaisto</w:t>
      </w:r>
      <w:r w:rsidRPr="00341AE9">
        <w:rPr>
          <w:szCs w:val="22"/>
        </w:rPr>
        <w:t xml:space="preserve"> vartoti negalima. Vaistas tinkamas vartoti iki paskutinės nurodyto mėnesio dienos.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szCs w:val="22"/>
        </w:rPr>
        <w:t xml:space="preserve">Laikyti ne aukštesnėje kaip 25 </w:t>
      </w:r>
      <w:r w:rsidRPr="00341AE9">
        <w:rPr>
          <w:szCs w:val="22"/>
        </w:rPr>
        <w:sym w:font="Symbol" w:char="F0B0"/>
      </w:r>
      <w:r w:rsidRPr="00341AE9">
        <w:rPr>
          <w:szCs w:val="22"/>
        </w:rPr>
        <w:t>C temperatūroje.</w:t>
      </w:r>
    </w:p>
    <w:p w:rsidR="00E27AEA" w:rsidRPr="00341AE9" w:rsidRDefault="00E27AEA" w:rsidP="00E27AEA">
      <w:pPr>
        <w:pStyle w:val="Pagrindinistekstas"/>
        <w:spacing w:after="0"/>
        <w:rPr>
          <w:iCs/>
          <w:noProof/>
          <w:szCs w:val="22"/>
        </w:rPr>
      </w:pPr>
      <w:r w:rsidRPr="00341AE9">
        <w:rPr>
          <w:szCs w:val="22"/>
        </w:rPr>
        <w:t xml:space="preserve">Laikyti gamintojo pakuotėje, kad </w:t>
      </w:r>
      <w:r w:rsidR="003D3120">
        <w:rPr>
          <w:szCs w:val="22"/>
        </w:rPr>
        <w:t>vaistas</w:t>
      </w:r>
      <w:r w:rsidR="003D3120" w:rsidRPr="00341AE9">
        <w:rPr>
          <w:szCs w:val="22"/>
        </w:rPr>
        <w:t xml:space="preserve"> </w:t>
      </w:r>
      <w:r w:rsidRPr="00341AE9">
        <w:rPr>
          <w:szCs w:val="22"/>
        </w:rPr>
        <w:t>būtų apsaugotas nuo šviesos.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r w:rsidRPr="00341AE9">
        <w:rPr>
          <w:b/>
          <w:szCs w:val="22"/>
        </w:rPr>
        <w:t>Tinkamumo laikas, jei pakuotė buvo atidaryta</w:t>
      </w:r>
      <w:r w:rsidRPr="00341AE9">
        <w:rPr>
          <w:szCs w:val="22"/>
        </w:rPr>
        <w:t xml:space="preserve"> </w:t>
      </w:r>
    </w:p>
    <w:p w:rsidR="00E27AEA" w:rsidRPr="00341AE9" w:rsidRDefault="00E27AEA" w:rsidP="00E27AEA">
      <w:pPr>
        <w:pStyle w:val="Pagrindinistekstas"/>
        <w:spacing w:after="0"/>
        <w:rPr>
          <w:szCs w:val="22"/>
        </w:rPr>
      </w:pPr>
      <w:r w:rsidRPr="00341AE9">
        <w:rPr>
          <w:szCs w:val="22"/>
        </w:rPr>
        <w:t>Paruoštą infuzinį tirpalą nuo šviesos apsaugotoje vietoje galima laikyti 6 valandas.</w:t>
      </w:r>
    </w:p>
    <w:p w:rsidR="00E27AEA" w:rsidRPr="00341AE9" w:rsidRDefault="00E27AEA" w:rsidP="00E27AEA">
      <w:pPr>
        <w:pStyle w:val="Pagrindinistekstas"/>
        <w:spacing w:after="0"/>
        <w:rPr>
          <w:iCs/>
          <w:noProof/>
          <w:szCs w:val="22"/>
        </w:rPr>
      </w:pPr>
    </w:p>
    <w:p w:rsidR="00E27AEA" w:rsidRPr="00341AE9" w:rsidRDefault="00E27AEA" w:rsidP="00E27AEA">
      <w:pPr>
        <w:pStyle w:val="Pagrindinistekstas"/>
        <w:spacing w:after="0"/>
        <w:rPr>
          <w:szCs w:val="22"/>
        </w:rPr>
      </w:pPr>
      <w:r w:rsidRPr="00341AE9">
        <w:rPr>
          <w:szCs w:val="22"/>
        </w:rPr>
        <w:t>Vaistų negalima išmesti į kanalizaciją arba su buitinėmis atliekomis. Kaip išmesti nereikalingus vaistus, klauskite vaistininko. Šios priemonės padės apsaugoti aplinką.</w:t>
      </w:r>
      <w:r w:rsidRPr="00341AE9" w:rsidDel="002308D9">
        <w:rPr>
          <w:iCs/>
          <w:noProof/>
          <w:szCs w:val="22"/>
        </w:rPr>
        <w:t xml:space="preserve"> </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Antrat2"/>
        <w:ind w:left="567" w:hanging="567"/>
        <w:jc w:val="left"/>
        <w:rPr>
          <w:szCs w:val="22"/>
        </w:rPr>
      </w:pPr>
      <w:r w:rsidRPr="00341AE9">
        <w:rPr>
          <w:szCs w:val="22"/>
        </w:rPr>
        <w:t>6.</w:t>
      </w:r>
      <w:r w:rsidRPr="00341AE9">
        <w:rPr>
          <w:szCs w:val="22"/>
        </w:rPr>
        <w:tab/>
        <w:t>Pakuotės turinys ir kita informacija</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b/>
          <w:szCs w:val="22"/>
        </w:rPr>
      </w:pPr>
      <w:r w:rsidRPr="00341AE9">
        <w:rPr>
          <w:b/>
          <w:bCs/>
          <w:szCs w:val="22"/>
        </w:rPr>
        <w:t>Thio</w:t>
      </w:r>
      <w:r w:rsidRPr="00341AE9">
        <w:rPr>
          <w:b/>
          <w:iCs/>
          <w:szCs w:val="22"/>
        </w:rPr>
        <w:t>gamma</w:t>
      </w:r>
      <w:r w:rsidRPr="00341AE9">
        <w:rPr>
          <w:b/>
          <w:bCs/>
          <w:szCs w:val="22"/>
        </w:rPr>
        <w:t xml:space="preserve"> </w:t>
      </w:r>
      <w:r w:rsidRPr="00341AE9">
        <w:rPr>
          <w:b/>
          <w:szCs w:val="22"/>
        </w:rPr>
        <w:t>sudėtis</w:t>
      </w:r>
    </w:p>
    <w:p w:rsidR="00E27AEA" w:rsidRPr="00341AE9" w:rsidRDefault="00E27AEA" w:rsidP="00E27AEA">
      <w:pPr>
        <w:numPr>
          <w:ilvl w:val="0"/>
          <w:numId w:val="2"/>
        </w:numPr>
        <w:tabs>
          <w:tab w:val="clear" w:pos="1080"/>
          <w:tab w:val="num" w:pos="720"/>
        </w:tabs>
        <w:ind w:hanging="1080"/>
        <w:rPr>
          <w:szCs w:val="22"/>
        </w:rPr>
      </w:pPr>
      <w:r w:rsidRPr="00341AE9">
        <w:rPr>
          <w:szCs w:val="22"/>
        </w:rPr>
        <w:t>Veiklioji medžiaga yra tiokto rūgštis.</w:t>
      </w:r>
    </w:p>
    <w:p w:rsidR="00E27AEA" w:rsidRPr="00341AE9" w:rsidRDefault="00E27AEA" w:rsidP="00E27AEA">
      <w:pPr>
        <w:pStyle w:val="Pagrindinistekstas"/>
        <w:spacing w:after="0"/>
        <w:rPr>
          <w:szCs w:val="22"/>
        </w:rPr>
      </w:pPr>
      <w:r w:rsidRPr="00341AE9">
        <w:rPr>
          <w:szCs w:val="22"/>
        </w:rPr>
        <w:t>1 ml koncentrato infuziniam tirpalui yra 58,39 mg tiokto rūgšties meglumino druskos, atitinkančios 30 mg tiokto rūgšties.</w:t>
      </w:r>
    </w:p>
    <w:p w:rsidR="00E27AEA" w:rsidRPr="00341AE9" w:rsidRDefault="00E27AEA" w:rsidP="00E27AEA">
      <w:pPr>
        <w:pStyle w:val="Pagrindinistekstas"/>
        <w:spacing w:after="0"/>
        <w:rPr>
          <w:szCs w:val="22"/>
        </w:rPr>
      </w:pPr>
      <w:r w:rsidRPr="00341AE9">
        <w:rPr>
          <w:szCs w:val="22"/>
        </w:rPr>
        <w:t xml:space="preserve">Vienoje 20 ml koncentrato infuziniam tirpalui ampulėje yra 1167,70 mg tiokto rūgšties meglumino </w:t>
      </w:r>
    </w:p>
    <w:p w:rsidR="00E27AEA" w:rsidRPr="00341AE9" w:rsidRDefault="00E27AEA" w:rsidP="00E27AEA">
      <w:pPr>
        <w:pStyle w:val="Pagrindinistekstas"/>
        <w:spacing w:after="0"/>
        <w:rPr>
          <w:szCs w:val="22"/>
        </w:rPr>
      </w:pPr>
      <w:r w:rsidRPr="00341AE9">
        <w:rPr>
          <w:szCs w:val="22"/>
        </w:rPr>
        <w:t>druskos, atitinkančios 600 mg tiokto rūgšties.</w:t>
      </w:r>
    </w:p>
    <w:p w:rsidR="00E27AEA" w:rsidRPr="00341AE9" w:rsidRDefault="00E27AEA" w:rsidP="00E27AEA">
      <w:pPr>
        <w:pStyle w:val="Pagrindinistekstas"/>
        <w:tabs>
          <w:tab w:val="left" w:pos="720"/>
        </w:tabs>
        <w:spacing w:after="0"/>
        <w:rPr>
          <w:szCs w:val="22"/>
        </w:rPr>
      </w:pPr>
      <w:r w:rsidRPr="00341AE9">
        <w:rPr>
          <w:szCs w:val="22"/>
        </w:rPr>
        <w:t>-</w:t>
      </w:r>
      <w:r w:rsidRPr="00341AE9">
        <w:rPr>
          <w:szCs w:val="22"/>
        </w:rPr>
        <w:tab/>
        <w:t>Pagalbinės medžiagos yra megluminas, makrogolis 300 ir injekcinis vanduo.</w:t>
      </w:r>
    </w:p>
    <w:p w:rsidR="00E27AEA" w:rsidRPr="00341AE9" w:rsidRDefault="00E27AEA" w:rsidP="00E27AEA">
      <w:pPr>
        <w:rPr>
          <w:i/>
          <w:szCs w:val="22"/>
        </w:rPr>
      </w:pPr>
    </w:p>
    <w:p w:rsidR="00E27AEA" w:rsidRPr="00341AE9" w:rsidRDefault="00E27AEA" w:rsidP="00E27AEA">
      <w:pPr>
        <w:rPr>
          <w:i/>
          <w:szCs w:val="22"/>
        </w:rPr>
      </w:pPr>
      <w:r w:rsidRPr="00341AE9">
        <w:rPr>
          <w:b/>
          <w:bCs/>
          <w:szCs w:val="22"/>
        </w:rPr>
        <w:t>Thio</w:t>
      </w:r>
      <w:r w:rsidRPr="00341AE9">
        <w:rPr>
          <w:b/>
          <w:iCs/>
          <w:szCs w:val="22"/>
        </w:rPr>
        <w:t>gamma</w:t>
      </w:r>
      <w:r w:rsidRPr="00341AE9">
        <w:rPr>
          <w:b/>
          <w:bCs/>
          <w:szCs w:val="22"/>
        </w:rPr>
        <w:t xml:space="preserve"> </w:t>
      </w:r>
      <w:r w:rsidRPr="00341AE9">
        <w:rPr>
          <w:b/>
          <w:szCs w:val="22"/>
        </w:rPr>
        <w:t>išvaizda ir kiekis pakuotėje</w:t>
      </w:r>
      <w:r w:rsidRPr="00341AE9">
        <w:rPr>
          <w:i/>
          <w:szCs w:val="22"/>
        </w:rPr>
        <w:t xml:space="preserve"> </w:t>
      </w:r>
    </w:p>
    <w:p w:rsidR="00E27AEA" w:rsidRPr="00341AE9" w:rsidRDefault="00E27AEA" w:rsidP="00E27AEA">
      <w:pPr>
        <w:rPr>
          <w:szCs w:val="22"/>
        </w:rPr>
      </w:pPr>
      <w:r w:rsidRPr="00341AE9">
        <w:rPr>
          <w:bCs/>
          <w:szCs w:val="22"/>
        </w:rPr>
        <w:t>Thio</w:t>
      </w:r>
      <w:r w:rsidRPr="00341AE9">
        <w:rPr>
          <w:iCs/>
          <w:szCs w:val="22"/>
        </w:rPr>
        <w:t>gamma</w:t>
      </w:r>
      <w:r w:rsidRPr="00341AE9">
        <w:rPr>
          <w:bCs/>
          <w:szCs w:val="22"/>
        </w:rPr>
        <w:t xml:space="preserve"> </w:t>
      </w:r>
      <w:r w:rsidRPr="00341AE9">
        <w:rPr>
          <w:szCs w:val="22"/>
        </w:rPr>
        <w:t>yra skaidrus gelsvas arba žaliai geltonas skystis.</w:t>
      </w:r>
    </w:p>
    <w:p w:rsidR="00E27AEA" w:rsidRPr="00341AE9" w:rsidRDefault="00E27AEA" w:rsidP="00E27AEA">
      <w:pPr>
        <w:rPr>
          <w:szCs w:val="22"/>
        </w:rPr>
      </w:pPr>
      <w:r w:rsidRPr="00341AE9">
        <w:rPr>
          <w:bCs/>
          <w:szCs w:val="22"/>
        </w:rPr>
        <w:t>Thio</w:t>
      </w:r>
      <w:r w:rsidRPr="00341AE9">
        <w:rPr>
          <w:iCs/>
          <w:szCs w:val="22"/>
        </w:rPr>
        <w:t>gamma</w:t>
      </w:r>
      <w:r w:rsidRPr="00341AE9">
        <w:rPr>
          <w:bCs/>
          <w:szCs w:val="22"/>
        </w:rPr>
        <w:t xml:space="preserve"> </w:t>
      </w:r>
      <w:r w:rsidRPr="00341AE9">
        <w:rPr>
          <w:szCs w:val="22"/>
        </w:rPr>
        <w:t>fasuojamas kartono dėžutėje po 5, 10 arba 20 ampulių. Kiekvienoje ampulėje yra 20 ml tirpalo.</w:t>
      </w:r>
    </w:p>
    <w:p w:rsidR="00E27AEA" w:rsidRPr="00341AE9" w:rsidRDefault="00E27AEA" w:rsidP="00E27AEA">
      <w:pPr>
        <w:rPr>
          <w:szCs w:val="22"/>
        </w:rPr>
      </w:pPr>
    </w:p>
    <w:p w:rsidR="00E27AEA" w:rsidRPr="00341AE9" w:rsidRDefault="00E27AEA" w:rsidP="00E27AEA">
      <w:pPr>
        <w:rPr>
          <w:szCs w:val="22"/>
        </w:rPr>
      </w:pPr>
      <w:r w:rsidRPr="00341AE9">
        <w:rPr>
          <w:szCs w:val="22"/>
        </w:rPr>
        <w:t>Gali būti tiekiamos ne visų dydžių pakuotės.</w:t>
      </w:r>
    </w:p>
    <w:p w:rsidR="00E27AEA" w:rsidRPr="00341AE9" w:rsidRDefault="00E27AEA" w:rsidP="00E27AEA">
      <w:pPr>
        <w:pStyle w:val="Pagrindinistekstas"/>
        <w:spacing w:after="0"/>
        <w:rPr>
          <w:szCs w:val="22"/>
        </w:rPr>
      </w:pPr>
    </w:p>
    <w:p w:rsidR="00E27AEA" w:rsidRPr="00341AE9" w:rsidRDefault="00E27AEA" w:rsidP="00E27AEA">
      <w:pPr>
        <w:pStyle w:val="Pagrindinistekstas"/>
        <w:spacing w:after="0"/>
        <w:rPr>
          <w:szCs w:val="22"/>
        </w:rPr>
      </w:pPr>
    </w:p>
    <w:p w:rsidR="00E27AEA" w:rsidRPr="00341AE9" w:rsidRDefault="00E27AEA" w:rsidP="00E27AEA">
      <w:pPr>
        <w:pStyle w:val="PI-3EMEASMCA"/>
      </w:pPr>
      <w:r w:rsidRPr="00341AE9">
        <w:t>R</w:t>
      </w:r>
      <w:r w:rsidR="00CB275D">
        <w:t>egistruotojas</w:t>
      </w:r>
      <w:r w:rsidRPr="00341AE9">
        <w:t xml:space="preserve"> ir gamintojas</w:t>
      </w:r>
    </w:p>
    <w:p w:rsidR="00E27AEA" w:rsidRPr="00341AE9" w:rsidRDefault="00E27AEA" w:rsidP="00E27AEA">
      <w:pPr>
        <w:pStyle w:val="PI-3EMEASMCA"/>
      </w:pPr>
    </w:p>
    <w:p w:rsidR="00E27AEA" w:rsidRPr="00341AE9" w:rsidRDefault="00E27AEA" w:rsidP="00E27AEA">
      <w:pPr>
        <w:pStyle w:val="Porat"/>
        <w:rPr>
          <w:szCs w:val="22"/>
        </w:rPr>
      </w:pPr>
      <w:r w:rsidRPr="00341AE9">
        <w:rPr>
          <w:szCs w:val="22"/>
        </w:rPr>
        <w:t>R</w:t>
      </w:r>
      <w:r w:rsidR="00CB275D">
        <w:rPr>
          <w:szCs w:val="22"/>
        </w:rPr>
        <w:t>egistruotojas</w:t>
      </w:r>
    </w:p>
    <w:p w:rsidR="00E27AEA" w:rsidRPr="00341AE9" w:rsidRDefault="00E27AEA" w:rsidP="00E27AEA">
      <w:pPr>
        <w:pStyle w:val="Porat"/>
        <w:rPr>
          <w:szCs w:val="22"/>
        </w:rPr>
      </w:pPr>
      <w:r w:rsidRPr="00341AE9">
        <w:rPr>
          <w:szCs w:val="22"/>
        </w:rPr>
        <w:t>Wörwag Pharma GmbH &amp; Co. KG</w:t>
      </w:r>
    </w:p>
    <w:p w:rsidR="00E27AEA" w:rsidRPr="00341AE9" w:rsidRDefault="00E27AEA" w:rsidP="00E27AEA">
      <w:pPr>
        <w:rPr>
          <w:szCs w:val="22"/>
        </w:rPr>
      </w:pPr>
      <w:r w:rsidRPr="00341AE9">
        <w:rPr>
          <w:szCs w:val="22"/>
        </w:rPr>
        <w:t>Calwer Str. 7</w:t>
      </w:r>
    </w:p>
    <w:p w:rsidR="00E27AEA" w:rsidRPr="00341AE9" w:rsidRDefault="00E27AEA" w:rsidP="00E27AEA">
      <w:pPr>
        <w:rPr>
          <w:szCs w:val="22"/>
        </w:rPr>
      </w:pPr>
      <w:r w:rsidRPr="00341AE9">
        <w:rPr>
          <w:szCs w:val="22"/>
        </w:rPr>
        <w:t>71034 Böblingen</w:t>
      </w:r>
    </w:p>
    <w:p w:rsidR="00E27AEA" w:rsidRPr="00341AE9" w:rsidRDefault="00E27AEA" w:rsidP="00E27AEA">
      <w:pPr>
        <w:rPr>
          <w:szCs w:val="22"/>
        </w:rPr>
      </w:pPr>
      <w:r w:rsidRPr="00341AE9">
        <w:rPr>
          <w:szCs w:val="22"/>
        </w:rPr>
        <w:t>Vokietija</w:t>
      </w:r>
    </w:p>
    <w:p w:rsidR="00E27AEA" w:rsidRPr="00341AE9" w:rsidRDefault="00E27AEA" w:rsidP="00E27AEA">
      <w:pPr>
        <w:rPr>
          <w:szCs w:val="22"/>
        </w:rPr>
      </w:pPr>
      <w:r w:rsidRPr="00341AE9">
        <w:rPr>
          <w:szCs w:val="22"/>
        </w:rPr>
        <w:t>Tel.: +49 (0) 7031/6204-0</w:t>
      </w:r>
    </w:p>
    <w:p w:rsidR="00E27AEA" w:rsidRPr="00341AE9" w:rsidRDefault="00E27AEA" w:rsidP="00E27AEA">
      <w:pPr>
        <w:rPr>
          <w:szCs w:val="22"/>
        </w:rPr>
      </w:pPr>
      <w:r w:rsidRPr="00341AE9">
        <w:rPr>
          <w:szCs w:val="22"/>
        </w:rPr>
        <w:t>Faksas: +49 (0) 7031/6204-31</w:t>
      </w:r>
    </w:p>
    <w:p w:rsidR="00E27AEA" w:rsidRPr="00341AE9" w:rsidRDefault="00E27AEA" w:rsidP="00E27AEA">
      <w:pPr>
        <w:rPr>
          <w:szCs w:val="22"/>
        </w:rPr>
      </w:pPr>
      <w:r w:rsidRPr="00341AE9">
        <w:rPr>
          <w:szCs w:val="22"/>
        </w:rPr>
        <w:t>El. paštas: info@woerwagpharma.de</w:t>
      </w:r>
    </w:p>
    <w:p w:rsidR="00E27AEA" w:rsidRPr="00341AE9" w:rsidRDefault="00E27AEA" w:rsidP="00E27AEA">
      <w:pPr>
        <w:pStyle w:val="Pagrindinistekstas"/>
        <w:spacing w:after="0"/>
        <w:rPr>
          <w:szCs w:val="22"/>
        </w:rPr>
      </w:pPr>
    </w:p>
    <w:p w:rsidR="00E27AEA" w:rsidRPr="00341AE9" w:rsidRDefault="00E27AEA" w:rsidP="00E27AEA">
      <w:pPr>
        <w:rPr>
          <w:szCs w:val="22"/>
        </w:rPr>
      </w:pPr>
      <w:r w:rsidRPr="00341AE9">
        <w:rPr>
          <w:szCs w:val="22"/>
        </w:rPr>
        <w:t xml:space="preserve">Gamintojas </w:t>
      </w:r>
    </w:p>
    <w:p w:rsidR="00E27AEA" w:rsidRPr="00341AE9" w:rsidRDefault="00E27AEA" w:rsidP="00E27AEA">
      <w:pPr>
        <w:rPr>
          <w:szCs w:val="22"/>
        </w:rPr>
      </w:pPr>
      <w:r w:rsidRPr="00341AE9">
        <w:rPr>
          <w:szCs w:val="22"/>
        </w:rPr>
        <w:t xml:space="preserve">Solupharm Pharmazeutische Erzeugnisse GmbH </w:t>
      </w:r>
    </w:p>
    <w:p w:rsidR="00E27AEA" w:rsidRPr="00341AE9" w:rsidRDefault="00E27AEA" w:rsidP="00E27AEA">
      <w:pPr>
        <w:pStyle w:val="Komentarotekstas"/>
        <w:rPr>
          <w:rFonts w:cs="Times New Roman"/>
          <w:sz w:val="22"/>
          <w:szCs w:val="22"/>
          <w:lang w:val="lt-LT"/>
        </w:rPr>
      </w:pPr>
      <w:r w:rsidRPr="00341AE9">
        <w:rPr>
          <w:rFonts w:cs="Times New Roman"/>
          <w:sz w:val="22"/>
          <w:szCs w:val="22"/>
          <w:lang w:val="lt-LT"/>
        </w:rPr>
        <w:t>Industriestrasse 3</w:t>
      </w:r>
    </w:p>
    <w:p w:rsidR="00E27AEA" w:rsidRPr="00341AE9" w:rsidRDefault="00E27AEA" w:rsidP="00E27AEA">
      <w:pPr>
        <w:rPr>
          <w:szCs w:val="22"/>
        </w:rPr>
      </w:pPr>
      <w:r w:rsidRPr="00341AE9">
        <w:rPr>
          <w:szCs w:val="22"/>
        </w:rPr>
        <w:t>34212 Melsungen</w:t>
      </w:r>
    </w:p>
    <w:p w:rsidR="00E27AEA" w:rsidRPr="00341AE9" w:rsidRDefault="00E27AEA" w:rsidP="00E27AEA">
      <w:pPr>
        <w:rPr>
          <w:szCs w:val="22"/>
        </w:rPr>
      </w:pPr>
      <w:r w:rsidRPr="00341AE9">
        <w:rPr>
          <w:szCs w:val="22"/>
        </w:rPr>
        <w:t>Vokietija</w:t>
      </w:r>
    </w:p>
    <w:p w:rsidR="00E27AEA" w:rsidRPr="00341AE9" w:rsidRDefault="00E27AEA" w:rsidP="00E27AEA">
      <w:pPr>
        <w:rPr>
          <w:szCs w:val="22"/>
        </w:rPr>
      </w:pPr>
    </w:p>
    <w:p w:rsidR="00E27AEA" w:rsidRPr="00341AE9" w:rsidRDefault="00E27AEA" w:rsidP="00E27AEA">
      <w:pPr>
        <w:pStyle w:val="BTEMEASMCA"/>
      </w:pPr>
      <w:r w:rsidRPr="00341AE9">
        <w:rPr>
          <w:noProof w:val="0"/>
        </w:rPr>
        <w:t xml:space="preserve">Jeigu apie šį vaistą norite sužinoti daugiau, kreipkitės į </w:t>
      </w:r>
      <w:r w:rsidR="00CB275D">
        <w:rPr>
          <w:noProof w:val="0"/>
        </w:rPr>
        <w:t>registruotoją.</w:t>
      </w:r>
    </w:p>
    <w:tbl>
      <w:tblPr>
        <w:tblW w:w="0" w:type="auto"/>
        <w:tblLayout w:type="fixed"/>
        <w:tblLook w:val="0000" w:firstRow="0" w:lastRow="0" w:firstColumn="0" w:lastColumn="0" w:noHBand="0" w:noVBand="0"/>
      </w:tblPr>
      <w:tblGrid>
        <w:gridCol w:w="4678"/>
      </w:tblGrid>
      <w:tr w:rsidR="00E27AEA" w:rsidRPr="00341AE9" w:rsidTr="00F7665F">
        <w:tc>
          <w:tcPr>
            <w:tcW w:w="4678" w:type="dxa"/>
          </w:tcPr>
          <w:p w:rsidR="00E27AEA" w:rsidRPr="00341AE9" w:rsidRDefault="00E27AEA" w:rsidP="00F7665F">
            <w:pPr>
              <w:pStyle w:val="Pagrindinistekstas"/>
              <w:spacing w:after="0"/>
              <w:rPr>
                <w:szCs w:val="22"/>
              </w:rPr>
            </w:pPr>
          </w:p>
        </w:tc>
      </w:tr>
    </w:tbl>
    <w:p w:rsidR="00E27AEA" w:rsidRPr="00341AE9" w:rsidRDefault="00E27AEA" w:rsidP="00E27AEA">
      <w:pPr>
        <w:pStyle w:val="Pagrindinistekstas"/>
        <w:spacing w:after="0"/>
        <w:rPr>
          <w:szCs w:val="22"/>
        </w:rPr>
      </w:pPr>
    </w:p>
    <w:p w:rsidR="00E27AEA" w:rsidRPr="00341AE9" w:rsidRDefault="00E27AEA" w:rsidP="00E27AEA">
      <w:pPr>
        <w:pStyle w:val="BTbEMEASMCA"/>
        <w:rPr>
          <w:noProof w:val="0"/>
        </w:rPr>
      </w:pPr>
      <w:r w:rsidRPr="00341AE9">
        <w:rPr>
          <w:bCs/>
          <w:noProof w:val="0"/>
        </w:rPr>
        <w:t>Šis pakuotės lapelis</w:t>
      </w:r>
      <w:r w:rsidRPr="00341AE9">
        <w:rPr>
          <w:noProof w:val="0"/>
        </w:rPr>
        <w:t xml:space="preserve"> paskutinį kartą peržiūrėtas </w:t>
      </w:r>
      <w:r w:rsidR="00BA781B">
        <w:t>2015-11-23</w:t>
      </w:r>
    </w:p>
    <w:p w:rsidR="00E27AEA" w:rsidRPr="00341AE9" w:rsidRDefault="00E27AEA" w:rsidP="00E27AEA">
      <w:pPr>
        <w:rPr>
          <w:szCs w:val="22"/>
        </w:rPr>
      </w:pPr>
    </w:p>
    <w:p w:rsidR="00E27AEA" w:rsidRPr="00341AE9" w:rsidRDefault="00E27AEA" w:rsidP="00E27AEA">
      <w:pPr>
        <w:rPr>
          <w:szCs w:val="22"/>
        </w:rPr>
      </w:pPr>
    </w:p>
    <w:p w:rsidR="00E27AEA" w:rsidRPr="00341AE9" w:rsidRDefault="00E27AEA" w:rsidP="00E27AEA">
      <w:pPr>
        <w:numPr>
          <w:ilvl w:val="12"/>
          <w:numId w:val="0"/>
        </w:numPr>
        <w:tabs>
          <w:tab w:val="left" w:pos="567"/>
        </w:tabs>
        <w:ind w:right="-2"/>
        <w:rPr>
          <w:snapToGrid w:val="0"/>
          <w:szCs w:val="22"/>
          <w:lang w:eastAsia="en-US"/>
        </w:rPr>
      </w:pPr>
      <w:r w:rsidRPr="00341AE9">
        <w:rPr>
          <w:snapToGrid w:val="0"/>
          <w:szCs w:val="22"/>
          <w:lang w:eastAsia="en-US"/>
        </w:rPr>
        <w:t>Išsami informacija apie šį vaistą pateikiama Valstybinės vaistų kontrolės tarnybos prie Lietuvos Respublikos sveikatos apsaugos ministerijos tinklalapyje</w:t>
      </w:r>
      <w:r w:rsidRPr="00341AE9">
        <w:rPr>
          <w:i/>
          <w:snapToGrid w:val="0"/>
          <w:szCs w:val="22"/>
          <w:lang w:eastAsia="en-US"/>
        </w:rPr>
        <w:t xml:space="preserve"> </w:t>
      </w:r>
      <w:hyperlink r:id="rId10" w:history="1">
        <w:r w:rsidRPr="00341AE9">
          <w:rPr>
            <w:rFonts w:eastAsia="SimSun"/>
            <w:snapToGrid w:val="0"/>
            <w:color w:val="0000FF"/>
            <w:szCs w:val="22"/>
            <w:u w:val="single"/>
            <w:lang w:eastAsia="en-US"/>
          </w:rPr>
          <w:t>http://www.vvkt.lt/</w:t>
        </w:r>
      </w:hyperlink>
      <w:r w:rsidRPr="00341AE9">
        <w:rPr>
          <w:snapToGrid w:val="0"/>
          <w:szCs w:val="22"/>
          <w:lang w:eastAsia="en-US"/>
        </w:rPr>
        <w:t>.</w:t>
      </w:r>
    </w:p>
    <w:p w:rsidR="00E27AEA" w:rsidRPr="00341AE9" w:rsidRDefault="00E27AEA" w:rsidP="00E27AEA">
      <w:pPr>
        <w:rPr>
          <w:szCs w:val="22"/>
        </w:rPr>
      </w:pPr>
      <w:bookmarkStart w:id="16" w:name="_GoBack"/>
      <w:bookmarkEnd w:id="16"/>
      <w:permStart w:id="1281702583" w:edGrp="everyone"/>
      <w:permEnd w:id="1281702583"/>
    </w:p>
    <w:p w:rsidR="00E27AEA" w:rsidRPr="00341AE9" w:rsidRDefault="00E27AEA" w:rsidP="00E27AEA">
      <w:pPr>
        <w:rPr>
          <w:szCs w:val="22"/>
        </w:rPr>
      </w:pPr>
    </w:p>
    <w:p w:rsidR="009D1175" w:rsidRDefault="009D1175"/>
    <w:sectPr w:rsidR="009D1175" w:rsidSect="00F7665F">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C05" w:rsidRDefault="009B2C05">
      <w:r>
        <w:separator/>
      </w:r>
    </w:p>
  </w:endnote>
  <w:endnote w:type="continuationSeparator" w:id="0">
    <w:p w:rsidR="009B2C05" w:rsidRDefault="009B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124" w:rsidRDefault="004531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53124" w:rsidRDefault="0045312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124" w:rsidRDefault="004531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A781B">
      <w:rPr>
        <w:rStyle w:val="Puslapionumeris"/>
        <w:noProof/>
      </w:rPr>
      <w:t>19</w:t>
    </w:r>
    <w:r>
      <w:rPr>
        <w:rStyle w:val="Puslapionumeris"/>
      </w:rPr>
      <w:fldChar w:fldCharType="end"/>
    </w:r>
  </w:p>
  <w:p w:rsidR="00453124" w:rsidRDefault="0045312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C05" w:rsidRDefault="009B2C05">
      <w:r>
        <w:separator/>
      </w:r>
    </w:p>
  </w:footnote>
  <w:footnote w:type="continuationSeparator" w:id="0">
    <w:p w:rsidR="009B2C05" w:rsidRDefault="009B2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F497561"/>
    <w:multiLevelType w:val="hybridMultilevel"/>
    <w:tmpl w:val="AFBE9E12"/>
    <w:lvl w:ilvl="0" w:tplc="E7ECC722">
      <w:start w:val="5"/>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96465"/>
    <w:multiLevelType w:val="hybridMultilevel"/>
    <w:tmpl w:val="EE5AA2F8"/>
    <w:lvl w:ilvl="0" w:tplc="E7ECC722">
      <w:start w:val="5"/>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D03E5A"/>
    <w:multiLevelType w:val="multilevel"/>
    <w:tmpl w:val="19123558"/>
    <w:lvl w:ilvl="0">
      <w:start w:val="6"/>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33AA450E"/>
    <w:multiLevelType w:val="hybridMultilevel"/>
    <w:tmpl w:val="F0CA336E"/>
    <w:lvl w:ilvl="0" w:tplc="107CD7D2">
      <w:start w:val="14"/>
      <w:numFmt w:val="decimal"/>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44D7965"/>
    <w:multiLevelType w:val="hybridMultilevel"/>
    <w:tmpl w:val="6D3285B6"/>
    <w:lvl w:ilvl="0" w:tplc="4E440EB4">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c3IRFiZ/b7GIeoa7HP8iDjWpmHF7O69ZL/l+lbbJXFD7nIEUzqlty4s9yGZY4juqyHLxO1aSOafo9v+BuFsAg==" w:salt="4JFoZb49hMTcpBs2fH0dP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AEA"/>
    <w:rsid w:val="00110C0C"/>
    <w:rsid w:val="00143F12"/>
    <w:rsid w:val="0020196C"/>
    <w:rsid w:val="00283B2A"/>
    <w:rsid w:val="0032135C"/>
    <w:rsid w:val="003D3120"/>
    <w:rsid w:val="00453124"/>
    <w:rsid w:val="00477AF9"/>
    <w:rsid w:val="006529D1"/>
    <w:rsid w:val="00667B8F"/>
    <w:rsid w:val="006C2134"/>
    <w:rsid w:val="006E1C38"/>
    <w:rsid w:val="0078119F"/>
    <w:rsid w:val="008822D1"/>
    <w:rsid w:val="00946D56"/>
    <w:rsid w:val="009732C7"/>
    <w:rsid w:val="009B2C05"/>
    <w:rsid w:val="009D1175"/>
    <w:rsid w:val="00AD7033"/>
    <w:rsid w:val="00AE7007"/>
    <w:rsid w:val="00B23FFF"/>
    <w:rsid w:val="00BA781B"/>
    <w:rsid w:val="00C0266A"/>
    <w:rsid w:val="00C41210"/>
    <w:rsid w:val="00CB275D"/>
    <w:rsid w:val="00DC2B46"/>
    <w:rsid w:val="00DD3810"/>
    <w:rsid w:val="00E04B1E"/>
    <w:rsid w:val="00E27AEA"/>
    <w:rsid w:val="00E57ECD"/>
    <w:rsid w:val="00F131B7"/>
    <w:rsid w:val="00F15567"/>
    <w:rsid w:val="00F7665F"/>
    <w:rsid w:val="00FC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3E6DC-1831-4281-B8F2-3335FE56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7AEA"/>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9"/>
    <w:qFormat/>
    <w:rsid w:val="00E27AEA"/>
    <w:pPr>
      <w:keepNext/>
      <w:ind w:left="851"/>
      <w:outlineLvl w:val="0"/>
    </w:pPr>
    <w:rPr>
      <w:b/>
    </w:rPr>
  </w:style>
  <w:style w:type="paragraph" w:styleId="Antrat2">
    <w:name w:val="heading 2"/>
    <w:basedOn w:val="prastasis"/>
    <w:next w:val="prastasis"/>
    <w:link w:val="Antrat2Diagrama"/>
    <w:autoRedefine/>
    <w:uiPriority w:val="99"/>
    <w:qFormat/>
    <w:rsid w:val="00E27AEA"/>
    <w:pPr>
      <w:keepNext/>
      <w:jc w:val="center"/>
      <w:outlineLvl w:val="1"/>
    </w:pPr>
    <w:rPr>
      <w:b/>
    </w:rPr>
  </w:style>
  <w:style w:type="paragraph" w:styleId="Antrat3">
    <w:name w:val="heading 3"/>
    <w:basedOn w:val="prastasis"/>
    <w:next w:val="prastasis"/>
    <w:link w:val="Antrat3Diagrama"/>
    <w:autoRedefine/>
    <w:uiPriority w:val="99"/>
    <w:qFormat/>
    <w:rsid w:val="00E27AEA"/>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27AEA"/>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uiPriority w:val="99"/>
    <w:rsid w:val="00E27AEA"/>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E27AEA"/>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uiPriority w:val="99"/>
    <w:rsid w:val="00E27AEA"/>
    <w:pPr>
      <w:spacing w:after="120"/>
    </w:pPr>
  </w:style>
  <w:style w:type="character" w:customStyle="1" w:styleId="PagrindinistekstasDiagrama">
    <w:name w:val="Pagrindinis tekstas Diagrama"/>
    <w:basedOn w:val="Numatytasispastraiposriftas"/>
    <w:link w:val="Pagrindinistekstas"/>
    <w:uiPriority w:val="99"/>
    <w:rsid w:val="00E27AEA"/>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E27AEA"/>
    <w:pPr>
      <w:tabs>
        <w:tab w:val="center" w:pos="4153"/>
        <w:tab w:val="right" w:pos="8306"/>
      </w:tabs>
    </w:pPr>
  </w:style>
  <w:style w:type="character" w:customStyle="1" w:styleId="PoratDiagrama">
    <w:name w:val="Poraštė Diagrama"/>
    <w:basedOn w:val="Numatytasispastraiposriftas"/>
    <w:link w:val="Porat"/>
    <w:uiPriority w:val="99"/>
    <w:rsid w:val="00E27AEA"/>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rsid w:val="00E27AEA"/>
    <w:rPr>
      <w:rFonts w:cs="Times New Roman"/>
    </w:rPr>
  </w:style>
  <w:style w:type="paragraph" w:styleId="Pavadinimas">
    <w:name w:val="Title"/>
    <w:basedOn w:val="prastasis"/>
    <w:link w:val="PavadinimasDiagrama"/>
    <w:autoRedefine/>
    <w:uiPriority w:val="99"/>
    <w:qFormat/>
    <w:rsid w:val="00E27AEA"/>
    <w:pPr>
      <w:outlineLvl w:val="0"/>
    </w:pPr>
    <w:rPr>
      <w:i/>
      <w:noProof/>
      <w:kern w:val="28"/>
      <w:szCs w:val="22"/>
    </w:rPr>
  </w:style>
  <w:style w:type="character" w:customStyle="1" w:styleId="PavadinimasDiagrama">
    <w:name w:val="Pavadinimas Diagrama"/>
    <w:basedOn w:val="Numatytasispastraiposriftas"/>
    <w:link w:val="Pavadinimas"/>
    <w:uiPriority w:val="99"/>
    <w:rsid w:val="00E27AEA"/>
    <w:rPr>
      <w:rFonts w:ascii="Times New Roman" w:eastAsia="Times New Roman" w:hAnsi="Times New Roman" w:cs="Times New Roman"/>
      <w:i/>
      <w:noProof/>
      <w:kern w:val="28"/>
      <w:lang w:val="lt-LT" w:eastAsia="lt-LT"/>
    </w:rPr>
  </w:style>
  <w:style w:type="character" w:styleId="Hipersaitas">
    <w:name w:val="Hyperlink"/>
    <w:basedOn w:val="Numatytasispastraiposriftas"/>
    <w:uiPriority w:val="99"/>
    <w:rsid w:val="00E27AEA"/>
    <w:rPr>
      <w:rFonts w:cs="Times New Roman"/>
      <w:color w:val="0000FF"/>
      <w:u w:val="single"/>
    </w:rPr>
  </w:style>
  <w:style w:type="paragraph" w:customStyle="1" w:styleId="knZulassung02">
    <w:name w:val="knZulassung02"/>
    <w:basedOn w:val="prastasis"/>
    <w:uiPriority w:val="99"/>
    <w:rsid w:val="00E27AEA"/>
    <w:pPr>
      <w:ind w:left="1843" w:right="284"/>
    </w:pPr>
    <w:rPr>
      <w:sz w:val="24"/>
      <w:szCs w:val="24"/>
      <w:lang w:val="de-DE" w:eastAsia="de-DE"/>
    </w:rPr>
  </w:style>
  <w:style w:type="paragraph" w:styleId="Komentarotekstas">
    <w:name w:val="annotation text"/>
    <w:basedOn w:val="prastasis"/>
    <w:link w:val="KomentarotekstasDiagrama"/>
    <w:uiPriority w:val="99"/>
    <w:semiHidden/>
    <w:rsid w:val="00E27AEA"/>
    <w:rPr>
      <w:rFonts w:cs="Arial"/>
      <w:sz w:val="24"/>
      <w:lang w:val="de-DE" w:eastAsia="de-DE"/>
    </w:rPr>
  </w:style>
  <w:style w:type="character" w:customStyle="1" w:styleId="KomentarotekstasDiagrama">
    <w:name w:val="Komentaro tekstas Diagrama"/>
    <w:basedOn w:val="Numatytasispastraiposriftas"/>
    <w:link w:val="Komentarotekstas"/>
    <w:uiPriority w:val="99"/>
    <w:semiHidden/>
    <w:rsid w:val="00E27AEA"/>
    <w:rPr>
      <w:rFonts w:ascii="Times New Roman" w:eastAsia="Times New Roman" w:hAnsi="Times New Roman" w:cs="Arial"/>
      <w:sz w:val="24"/>
      <w:szCs w:val="20"/>
      <w:lang w:val="de-DE" w:eastAsia="de-DE"/>
    </w:rPr>
  </w:style>
  <w:style w:type="paragraph" w:customStyle="1" w:styleId="BTEMEASMCA">
    <w:name w:val="BT EMEA_SMCA"/>
    <w:basedOn w:val="prastasis"/>
    <w:link w:val="BTEMEASMCAChar"/>
    <w:autoRedefine/>
    <w:uiPriority w:val="99"/>
    <w:rsid w:val="00E27AEA"/>
    <w:rPr>
      <w:noProof/>
      <w:szCs w:val="22"/>
      <w:lang w:eastAsia="en-US"/>
    </w:rPr>
  </w:style>
  <w:style w:type="character" w:customStyle="1" w:styleId="BTEMEASMCAChar">
    <w:name w:val="BT EMEA_SMCA Char"/>
    <w:basedOn w:val="Numatytasispastraiposriftas"/>
    <w:link w:val="BTEMEASMCA"/>
    <w:uiPriority w:val="99"/>
    <w:locked/>
    <w:rsid w:val="00E27AEA"/>
    <w:rPr>
      <w:rFonts w:ascii="Times New Roman" w:eastAsia="Times New Roman" w:hAnsi="Times New Roman" w:cs="Times New Roman"/>
      <w:noProof/>
      <w:lang w:val="lt-LT"/>
    </w:rPr>
  </w:style>
  <w:style w:type="paragraph" w:customStyle="1" w:styleId="PI-1EMEASMCA">
    <w:name w:val="PI-1 EMEA_SMCA"/>
    <w:basedOn w:val="Antrat2"/>
    <w:autoRedefine/>
    <w:uiPriority w:val="99"/>
    <w:rsid w:val="00E27AEA"/>
    <w:pPr>
      <w:tabs>
        <w:tab w:val="left" w:pos="567"/>
      </w:tabs>
      <w:ind w:left="567" w:hanging="567"/>
      <w:jc w:val="left"/>
    </w:pPr>
    <w:rPr>
      <w:szCs w:val="22"/>
      <w:lang w:eastAsia="en-US"/>
    </w:rPr>
  </w:style>
  <w:style w:type="paragraph" w:customStyle="1" w:styleId="PI-1labEMEASMCA">
    <w:name w:val="PI-1_lab EMEA_SMCA"/>
    <w:basedOn w:val="prastasis"/>
    <w:link w:val="PI-1labEMEASMCAChar"/>
    <w:autoRedefine/>
    <w:uiPriority w:val="99"/>
    <w:rsid w:val="00E27AEA"/>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uiPriority w:val="99"/>
    <w:locked/>
    <w:rsid w:val="00E27AEA"/>
    <w:rPr>
      <w:rFonts w:ascii="Times New Roman" w:eastAsia="Times New Roman" w:hAnsi="Times New Roman" w:cs="Times New Roman"/>
      <w:b/>
      <w:noProof/>
      <w:lang w:val="lt-LT"/>
    </w:rPr>
  </w:style>
  <w:style w:type="paragraph" w:customStyle="1" w:styleId="BTbEMEASMCA">
    <w:name w:val="BT(b) EMEA_SMCA"/>
    <w:basedOn w:val="BTEMEASMCA"/>
    <w:autoRedefine/>
    <w:uiPriority w:val="99"/>
    <w:rsid w:val="00E27AEA"/>
    <w:rPr>
      <w:b/>
    </w:rPr>
  </w:style>
  <w:style w:type="paragraph" w:customStyle="1" w:styleId="PI-3EMEASMCA">
    <w:name w:val="PI-3 EMEA_SMCA"/>
    <w:basedOn w:val="prastasis"/>
    <w:autoRedefine/>
    <w:uiPriority w:val="99"/>
    <w:rsid w:val="00E27AEA"/>
    <w:pPr>
      <w:spacing w:line="220" w:lineRule="exact"/>
    </w:pPr>
    <w:rPr>
      <w:b/>
      <w:bCs/>
      <w:szCs w:val="22"/>
      <w:lang w:eastAsia="en-US"/>
    </w:rPr>
  </w:style>
  <w:style w:type="paragraph" w:customStyle="1" w:styleId="TTEMEASMCA">
    <w:name w:val="TT EMEA_SMCA"/>
    <w:basedOn w:val="Antrat1"/>
    <w:link w:val="TTEMEASMCAChar"/>
    <w:autoRedefine/>
    <w:uiPriority w:val="99"/>
    <w:rsid w:val="00E27AEA"/>
    <w:pPr>
      <w:keepNext w:val="0"/>
      <w:tabs>
        <w:tab w:val="left" w:pos="567"/>
      </w:tabs>
      <w:ind w:left="567" w:hanging="567"/>
      <w:jc w:val="center"/>
    </w:pPr>
    <w:rPr>
      <w:caps/>
      <w:szCs w:val="22"/>
      <w:lang w:val="en-US" w:eastAsia="en-US"/>
    </w:rPr>
  </w:style>
  <w:style w:type="character" w:customStyle="1" w:styleId="TTEMEASMCAChar">
    <w:name w:val="TT EMEA_SMCA Char"/>
    <w:basedOn w:val="Numatytasispastraiposriftas"/>
    <w:link w:val="TTEMEASMCA"/>
    <w:uiPriority w:val="99"/>
    <w:locked/>
    <w:rsid w:val="00E27AEA"/>
    <w:rPr>
      <w:rFonts w:ascii="Times New Roman" w:eastAsia="Times New Roman" w:hAnsi="Times New Roman" w:cs="Times New Roman"/>
      <w:b/>
      <w:caps/>
    </w:rPr>
  </w:style>
  <w:style w:type="paragraph" w:styleId="Debesliotekstas">
    <w:name w:val="Balloon Text"/>
    <w:basedOn w:val="prastasis"/>
    <w:link w:val="DebesliotekstasDiagrama"/>
    <w:uiPriority w:val="99"/>
    <w:semiHidden/>
    <w:unhideWhenUsed/>
    <w:rsid w:val="0078119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119F"/>
    <w:rPr>
      <w:rFonts w:ascii="Tahoma" w:eastAsia="Times New Roman"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DAD50-F08E-4ED0-A2E6-B2021507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18801</Words>
  <Characters>10718</Characters>
  <Application>Microsoft Office Word</Application>
  <DocSecurity>8</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4</cp:revision>
  <dcterms:created xsi:type="dcterms:W3CDTF">2016-03-15T11:34:00Z</dcterms:created>
  <dcterms:modified xsi:type="dcterms:W3CDTF">2016-03-15T12:09:00Z</dcterms:modified>
</cp:coreProperties>
</file>