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766B1" w14:textId="7989A8D5" w:rsidR="004D2D87" w:rsidRPr="00834CD5" w:rsidRDefault="00031C87" w:rsidP="004D2D87">
      <w:pPr>
        <w:ind w:left="5529"/>
        <w:rPr>
          <w:b/>
        </w:rPr>
      </w:pPr>
      <w:bookmarkStart w:id="0" w:name="_GoBack"/>
      <w:bookmarkEnd w:id="0"/>
      <w:r w:rsidRPr="00834CD5">
        <w:rPr>
          <w:b/>
        </w:rPr>
        <w:t xml:space="preserve"> </w:t>
      </w:r>
    </w:p>
    <w:p w14:paraId="0D6B7543" w14:textId="77777777" w:rsidR="004D2D87" w:rsidRPr="00834CD5" w:rsidRDefault="004D2D87" w:rsidP="004D2D87">
      <w:pPr>
        <w:ind w:left="5529"/>
      </w:pPr>
    </w:p>
    <w:p w14:paraId="6E7E4076" w14:textId="77777777" w:rsidR="004D2D87" w:rsidRPr="00834CD5" w:rsidRDefault="004D2D87" w:rsidP="004D2D87"/>
    <w:p w14:paraId="7C7BE6C0" w14:textId="77777777" w:rsidR="004D2D87" w:rsidRPr="00834CD5" w:rsidRDefault="004D2D87" w:rsidP="004D2D87"/>
    <w:p w14:paraId="38504591" w14:textId="77777777" w:rsidR="004D2D87" w:rsidRPr="00834CD5" w:rsidRDefault="004D2D87" w:rsidP="004D2D87"/>
    <w:p w14:paraId="7A89A237" w14:textId="77777777" w:rsidR="004D2D87" w:rsidRPr="00834CD5" w:rsidRDefault="004D2D87" w:rsidP="004D2D87"/>
    <w:p w14:paraId="0D211052" w14:textId="77777777" w:rsidR="004D2D87" w:rsidRPr="00834CD5" w:rsidRDefault="004D2D87" w:rsidP="004D2D87"/>
    <w:p w14:paraId="487BC27A" w14:textId="77777777" w:rsidR="004D2D87" w:rsidRPr="00834CD5" w:rsidRDefault="004D2D87" w:rsidP="004D2D87">
      <w:pPr>
        <w:ind w:right="141"/>
      </w:pPr>
    </w:p>
    <w:p w14:paraId="4EE08DFF" w14:textId="77777777" w:rsidR="004D2D87" w:rsidRPr="00834CD5" w:rsidRDefault="004D2D87" w:rsidP="004D2D87"/>
    <w:p w14:paraId="17B45B03" w14:textId="77777777" w:rsidR="004D2D87" w:rsidRPr="00834CD5" w:rsidRDefault="004D2D87" w:rsidP="004D2D87"/>
    <w:p w14:paraId="7D1440BA" w14:textId="77777777" w:rsidR="004D2D87" w:rsidRPr="00834CD5" w:rsidRDefault="004D2D87" w:rsidP="004D2D87"/>
    <w:p w14:paraId="0D041A15" w14:textId="77777777" w:rsidR="004D2D87" w:rsidRPr="00834CD5" w:rsidRDefault="004D2D87" w:rsidP="004D2D87"/>
    <w:p w14:paraId="71694A81" w14:textId="77777777" w:rsidR="004D2D87" w:rsidRPr="00834CD5" w:rsidRDefault="004D2D87" w:rsidP="004D2D87"/>
    <w:p w14:paraId="6F5C1D83" w14:textId="77777777" w:rsidR="004D2D87" w:rsidRPr="00834CD5" w:rsidRDefault="004D2D87" w:rsidP="004D2D87"/>
    <w:p w14:paraId="3BE52519" w14:textId="77777777" w:rsidR="004D2D87" w:rsidRPr="00834CD5" w:rsidRDefault="004D2D87" w:rsidP="004D2D87"/>
    <w:p w14:paraId="60CD0952" w14:textId="77777777" w:rsidR="004D2D87" w:rsidRPr="00834CD5" w:rsidRDefault="004D2D87" w:rsidP="004D2D87"/>
    <w:p w14:paraId="34EB7571" w14:textId="77777777" w:rsidR="004D2D87" w:rsidRPr="00834CD5" w:rsidRDefault="004D2D87" w:rsidP="004D2D87"/>
    <w:p w14:paraId="4805440C" w14:textId="77777777" w:rsidR="004D2D87" w:rsidRPr="00834CD5" w:rsidRDefault="004D2D87" w:rsidP="004D2D87"/>
    <w:p w14:paraId="0D104B97" w14:textId="77777777" w:rsidR="004D2D87" w:rsidRPr="00834CD5" w:rsidRDefault="004D2D87" w:rsidP="004D2D87">
      <w:pPr>
        <w:spacing w:line="240" w:lineRule="auto"/>
      </w:pPr>
    </w:p>
    <w:p w14:paraId="4530A16B" w14:textId="77777777" w:rsidR="004D2D87" w:rsidRPr="00834CD5" w:rsidRDefault="004D2D87" w:rsidP="004D2D87">
      <w:pPr>
        <w:spacing w:line="240" w:lineRule="auto"/>
      </w:pPr>
    </w:p>
    <w:p w14:paraId="75AD5D3C" w14:textId="77777777" w:rsidR="004D2D87" w:rsidRPr="00834CD5" w:rsidRDefault="004D2D87" w:rsidP="004D2D87">
      <w:pPr>
        <w:spacing w:line="240" w:lineRule="auto"/>
      </w:pPr>
    </w:p>
    <w:p w14:paraId="16DEBF0F" w14:textId="77777777" w:rsidR="004D2D87" w:rsidRPr="00834CD5" w:rsidRDefault="004D2D87" w:rsidP="004D2D87">
      <w:pPr>
        <w:spacing w:line="240" w:lineRule="auto"/>
      </w:pPr>
    </w:p>
    <w:p w14:paraId="7A546A74" w14:textId="77777777" w:rsidR="004D2D87" w:rsidRPr="00834CD5" w:rsidRDefault="004D2D87" w:rsidP="004D2D87">
      <w:pPr>
        <w:spacing w:line="240" w:lineRule="auto"/>
      </w:pPr>
    </w:p>
    <w:p w14:paraId="1384D356" w14:textId="77777777" w:rsidR="004D2D87" w:rsidRPr="00834CD5" w:rsidRDefault="004D2D87" w:rsidP="004D2D87">
      <w:pPr>
        <w:pStyle w:val="Antrat2"/>
        <w:spacing w:before="0" w:after="0" w:line="240" w:lineRule="auto"/>
        <w:jc w:val="center"/>
        <w:rPr>
          <w:rFonts w:ascii="Times New Roman" w:hAnsi="Times New Roman"/>
          <w:i w:val="0"/>
          <w:sz w:val="22"/>
        </w:rPr>
      </w:pPr>
      <w:r w:rsidRPr="00834CD5">
        <w:rPr>
          <w:rFonts w:ascii="Times New Roman" w:hAnsi="Times New Roman"/>
          <w:i w:val="0"/>
          <w:sz w:val="22"/>
        </w:rPr>
        <w:t>I PRIEDAS</w:t>
      </w:r>
    </w:p>
    <w:p w14:paraId="69AC52FF" w14:textId="77777777" w:rsidR="004D2D87" w:rsidRPr="00834CD5" w:rsidRDefault="004D2D87" w:rsidP="004D2D87">
      <w:pPr>
        <w:spacing w:line="240" w:lineRule="auto"/>
      </w:pPr>
    </w:p>
    <w:p w14:paraId="12F8E8CA" w14:textId="77777777" w:rsidR="004D2D87" w:rsidRPr="00834CD5" w:rsidRDefault="004D2D87" w:rsidP="004D2D87">
      <w:pPr>
        <w:pStyle w:val="Antrat2"/>
        <w:spacing w:before="0" w:after="0" w:line="240" w:lineRule="auto"/>
        <w:jc w:val="center"/>
        <w:rPr>
          <w:rFonts w:ascii="Times New Roman" w:hAnsi="Times New Roman"/>
          <w:i w:val="0"/>
          <w:sz w:val="22"/>
        </w:rPr>
      </w:pPr>
      <w:r w:rsidRPr="00834CD5">
        <w:rPr>
          <w:rFonts w:ascii="Times New Roman" w:hAnsi="Times New Roman"/>
          <w:i w:val="0"/>
          <w:sz w:val="22"/>
        </w:rPr>
        <w:t>PREPARATO CHARAKTERISTIKŲ SANTRAUKA</w:t>
      </w:r>
    </w:p>
    <w:p w14:paraId="7207534A"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b w:val="0"/>
          <w:sz w:val="22"/>
        </w:rPr>
        <w:br w:type="page"/>
      </w:r>
      <w:r w:rsidRPr="00834CD5">
        <w:rPr>
          <w:rFonts w:ascii="Times New Roman" w:hAnsi="Times New Roman"/>
          <w:sz w:val="22"/>
        </w:rPr>
        <w:lastRenderedPageBreak/>
        <w:t>1.</w:t>
      </w:r>
      <w:r w:rsidRPr="00834CD5">
        <w:rPr>
          <w:rFonts w:ascii="Times New Roman" w:hAnsi="Times New Roman"/>
          <w:sz w:val="22"/>
        </w:rPr>
        <w:tab/>
        <w:t>VAISTINIO PREPARATO PAVADINIMAS</w:t>
      </w:r>
    </w:p>
    <w:p w14:paraId="1E1329C8" w14:textId="77777777" w:rsidR="004D2D87" w:rsidRPr="00834CD5" w:rsidRDefault="004D2D87" w:rsidP="004D2D87"/>
    <w:p w14:paraId="6036A6B6" w14:textId="77777777" w:rsidR="004D2D87" w:rsidRPr="00834CD5" w:rsidRDefault="004D2D87" w:rsidP="004D2D87">
      <w:pPr>
        <w:jc w:val="both"/>
      </w:pPr>
      <w:r w:rsidRPr="00834CD5">
        <w:t>Analgin Sopharma 500 mg tabletės</w:t>
      </w:r>
    </w:p>
    <w:p w14:paraId="2BA671C7" w14:textId="77777777" w:rsidR="004D2D87" w:rsidRPr="00834CD5" w:rsidRDefault="004D2D87" w:rsidP="004D2D87"/>
    <w:p w14:paraId="2B67BB15" w14:textId="77777777" w:rsidR="004D2D87" w:rsidRPr="00834CD5" w:rsidRDefault="004D2D87" w:rsidP="004D2D87"/>
    <w:p w14:paraId="4580DBA9" w14:textId="77777777" w:rsidR="004D2D87" w:rsidRPr="00834CD5" w:rsidRDefault="004D2D87" w:rsidP="004D2D87">
      <w:pPr>
        <w:pStyle w:val="Antrat4"/>
      </w:pPr>
      <w:r w:rsidRPr="00834CD5">
        <w:t>2.</w:t>
      </w:r>
      <w:r w:rsidRPr="00834CD5">
        <w:tab/>
        <w:t>KOKYBINĖ IR KIEKYBINĖ SUDĖTIS</w:t>
      </w:r>
    </w:p>
    <w:p w14:paraId="7B77C3B9" w14:textId="77777777" w:rsidR="004D2D87" w:rsidRPr="00834CD5" w:rsidRDefault="004D2D87" w:rsidP="004D2D87"/>
    <w:p w14:paraId="3C9C8E89" w14:textId="77777777" w:rsidR="004D2D87" w:rsidRPr="00913636" w:rsidRDefault="004D2D87" w:rsidP="00FD3231">
      <w:pPr>
        <w:pStyle w:val="BTEMEASMCA"/>
        <w:rPr>
          <w:noProof w:val="0"/>
        </w:rPr>
      </w:pPr>
      <w:r w:rsidRPr="00913636">
        <w:rPr>
          <w:noProof w:val="0"/>
        </w:rPr>
        <w:t>Kiekvienoje tabletėje yra 500 mg metamizolo natrio druskos.</w:t>
      </w:r>
    </w:p>
    <w:p w14:paraId="5D150133" w14:textId="77777777" w:rsidR="004D2D87" w:rsidRPr="00913636" w:rsidRDefault="004D2D87" w:rsidP="00FD3231">
      <w:pPr>
        <w:pStyle w:val="BTEMEASMCA"/>
        <w:rPr>
          <w:noProof w:val="0"/>
        </w:rPr>
      </w:pPr>
    </w:p>
    <w:p w14:paraId="5667E111" w14:textId="7F3B069F" w:rsidR="00031C87" w:rsidRPr="00834CD5" w:rsidRDefault="004D2D87" w:rsidP="004D2D87">
      <w:r w:rsidRPr="00834CD5">
        <w:rPr>
          <w:u w:val="single"/>
        </w:rPr>
        <w:t>Pagalbinė (-s) medžiaga (-</w:t>
      </w:r>
      <w:proofErr w:type="spellStart"/>
      <w:r w:rsidRPr="00834CD5">
        <w:rPr>
          <w:u w:val="single"/>
        </w:rPr>
        <w:t>os</w:t>
      </w:r>
      <w:proofErr w:type="spellEnd"/>
      <w:r w:rsidRPr="00834CD5">
        <w:rPr>
          <w:u w:val="single"/>
        </w:rPr>
        <w:t>), kurios (-</w:t>
      </w:r>
      <w:proofErr w:type="spellStart"/>
      <w:r w:rsidRPr="00834CD5">
        <w:rPr>
          <w:u w:val="single"/>
        </w:rPr>
        <w:t>ių</w:t>
      </w:r>
      <w:proofErr w:type="spellEnd"/>
      <w:r w:rsidRPr="00834CD5">
        <w:rPr>
          <w:u w:val="single"/>
        </w:rPr>
        <w:t>) poveikis žinomas</w:t>
      </w:r>
      <w:r w:rsidR="00E1107D" w:rsidRPr="00913636">
        <w:rPr>
          <w:u w:val="single"/>
        </w:rPr>
        <w:t>:</w:t>
      </w:r>
    </w:p>
    <w:p w14:paraId="09DBDCCB" w14:textId="7E57058B" w:rsidR="004D2D87" w:rsidRPr="00834CD5" w:rsidRDefault="00031C87" w:rsidP="004D2D87">
      <w:r w:rsidRPr="00834CD5">
        <w:t>V</w:t>
      </w:r>
      <w:r w:rsidR="004D2D87" w:rsidRPr="00834CD5">
        <w:t>ienoje tabletėje yra 34 mg kviečių krakmolo.</w:t>
      </w:r>
    </w:p>
    <w:p w14:paraId="52B2145D" w14:textId="77777777" w:rsidR="004D2D87" w:rsidRPr="00913636" w:rsidRDefault="004D2D87" w:rsidP="00FD3231">
      <w:pPr>
        <w:pStyle w:val="BTEMEASMCA"/>
        <w:rPr>
          <w:noProof w:val="0"/>
        </w:rPr>
      </w:pPr>
    </w:p>
    <w:p w14:paraId="14C40B9B" w14:textId="77777777" w:rsidR="004D2D87" w:rsidRPr="00913636" w:rsidRDefault="004D2D87" w:rsidP="00FD3231">
      <w:pPr>
        <w:pStyle w:val="BTEMEASMCA"/>
        <w:rPr>
          <w:noProof w:val="0"/>
        </w:rPr>
      </w:pPr>
      <w:r w:rsidRPr="00913636">
        <w:rPr>
          <w:noProof w:val="0"/>
        </w:rPr>
        <w:t>Visos pagalbinės medžiagos išvardytos 6.1 skyriuje.</w:t>
      </w:r>
    </w:p>
    <w:p w14:paraId="3FFDE84A" w14:textId="77777777" w:rsidR="004D2D87" w:rsidRPr="00834CD5" w:rsidRDefault="004D2D87" w:rsidP="004D2D87"/>
    <w:p w14:paraId="0AC53474" w14:textId="77777777" w:rsidR="004D2D87" w:rsidRPr="00834CD5" w:rsidRDefault="004D2D87" w:rsidP="004D2D87"/>
    <w:p w14:paraId="4A7A0A40"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sz w:val="22"/>
        </w:rPr>
        <w:t>3.</w:t>
      </w:r>
      <w:r w:rsidRPr="00834CD5">
        <w:rPr>
          <w:rFonts w:ascii="Times New Roman" w:hAnsi="Times New Roman"/>
          <w:sz w:val="22"/>
        </w:rPr>
        <w:tab/>
        <w:t>FARMACINĖ FORMA</w:t>
      </w:r>
    </w:p>
    <w:p w14:paraId="46E8175C" w14:textId="77777777" w:rsidR="004D2D87" w:rsidRPr="00834CD5" w:rsidRDefault="004D2D87" w:rsidP="004D2D87"/>
    <w:p w14:paraId="50D503A8" w14:textId="77777777" w:rsidR="004D2D87" w:rsidRPr="00913636" w:rsidRDefault="004D2D87" w:rsidP="00FD3231">
      <w:pPr>
        <w:pStyle w:val="BTEMEASMCA"/>
        <w:rPr>
          <w:noProof w:val="0"/>
        </w:rPr>
      </w:pPr>
      <w:r w:rsidRPr="00913636">
        <w:rPr>
          <w:noProof w:val="0"/>
        </w:rPr>
        <w:t>Tabletė</w:t>
      </w:r>
    </w:p>
    <w:p w14:paraId="16FA18B4" w14:textId="77777777" w:rsidR="004D2D87" w:rsidRPr="00913636" w:rsidRDefault="004D2D87" w:rsidP="00FD3231">
      <w:pPr>
        <w:pStyle w:val="BTEMEASMCA"/>
        <w:rPr>
          <w:noProof w:val="0"/>
        </w:rPr>
      </w:pPr>
      <w:r w:rsidRPr="00913636">
        <w:rPr>
          <w:noProof w:val="0"/>
        </w:rPr>
        <w:t xml:space="preserve">Baltos arba </w:t>
      </w:r>
      <w:r w:rsidRPr="00913636">
        <w:rPr>
          <w:rStyle w:val="hps"/>
          <w:noProof w:val="0"/>
        </w:rPr>
        <w:t>beveik baltos spalvos</w:t>
      </w:r>
      <w:r w:rsidRPr="00913636">
        <w:rPr>
          <w:noProof w:val="0"/>
        </w:rPr>
        <w:t xml:space="preserve">, apvalios, </w:t>
      </w:r>
      <w:r w:rsidRPr="00913636">
        <w:rPr>
          <w:rStyle w:val="hps"/>
          <w:noProof w:val="0"/>
        </w:rPr>
        <w:t>plokščios</w:t>
      </w:r>
      <w:r w:rsidRPr="00913636">
        <w:rPr>
          <w:noProof w:val="0"/>
        </w:rPr>
        <w:t xml:space="preserve"> </w:t>
      </w:r>
      <w:r w:rsidRPr="00913636">
        <w:rPr>
          <w:rStyle w:val="hps"/>
          <w:noProof w:val="0"/>
        </w:rPr>
        <w:t>tabletės</w:t>
      </w:r>
      <w:r w:rsidRPr="00913636">
        <w:rPr>
          <w:noProof w:val="0"/>
        </w:rPr>
        <w:t xml:space="preserve"> </w:t>
      </w:r>
      <w:r w:rsidRPr="00913636">
        <w:rPr>
          <w:rStyle w:val="hps"/>
          <w:noProof w:val="0"/>
        </w:rPr>
        <w:t>su</w:t>
      </w:r>
      <w:r w:rsidRPr="00913636">
        <w:rPr>
          <w:noProof w:val="0"/>
        </w:rPr>
        <w:t xml:space="preserve"> </w:t>
      </w:r>
      <w:r w:rsidRPr="00913636">
        <w:rPr>
          <w:rStyle w:val="hps"/>
          <w:noProof w:val="0"/>
        </w:rPr>
        <w:t>vagele</w:t>
      </w:r>
      <w:r w:rsidRPr="00913636">
        <w:rPr>
          <w:noProof w:val="0"/>
        </w:rPr>
        <w:t xml:space="preserve"> </w:t>
      </w:r>
      <w:r w:rsidRPr="00913636">
        <w:rPr>
          <w:rStyle w:val="hps"/>
          <w:noProof w:val="0"/>
        </w:rPr>
        <w:t>vienoje pusėje</w:t>
      </w:r>
      <w:r w:rsidRPr="00913636">
        <w:rPr>
          <w:noProof w:val="0"/>
        </w:rPr>
        <w:t xml:space="preserve">, </w:t>
      </w:r>
      <w:r w:rsidRPr="00913636">
        <w:rPr>
          <w:rStyle w:val="hps"/>
          <w:noProof w:val="0"/>
        </w:rPr>
        <w:t>13</w:t>
      </w:r>
      <w:r w:rsidRPr="00913636">
        <w:rPr>
          <w:noProof w:val="0"/>
        </w:rPr>
        <w:t> </w:t>
      </w:r>
      <w:r w:rsidRPr="00913636">
        <w:rPr>
          <w:rStyle w:val="hps"/>
          <w:noProof w:val="0"/>
        </w:rPr>
        <w:t>mm skersmens</w:t>
      </w:r>
      <w:r w:rsidRPr="00913636">
        <w:rPr>
          <w:noProof w:val="0"/>
        </w:rPr>
        <w:t>.</w:t>
      </w:r>
    </w:p>
    <w:p w14:paraId="13926E9C" w14:textId="77777777" w:rsidR="004D2D87" w:rsidRPr="00913636" w:rsidRDefault="004D2D87" w:rsidP="00FD3231">
      <w:pPr>
        <w:pStyle w:val="BTEMEASMCA"/>
        <w:rPr>
          <w:noProof w:val="0"/>
        </w:rPr>
      </w:pPr>
      <w:r w:rsidRPr="00913636">
        <w:rPr>
          <w:noProof w:val="0"/>
        </w:rPr>
        <w:t>Vagelė skirta tik tabletei perlaužti, kad būtų lengviau nuryti, bet ne jai padalyti į lygias dozes.</w:t>
      </w:r>
    </w:p>
    <w:p w14:paraId="73AA1981" w14:textId="77777777" w:rsidR="004D2D87" w:rsidRPr="00834CD5" w:rsidRDefault="004D2D87" w:rsidP="004D2D87"/>
    <w:p w14:paraId="5FA16AF7" w14:textId="77777777" w:rsidR="004D2D87" w:rsidRPr="00834CD5" w:rsidRDefault="004D2D87" w:rsidP="004D2D87"/>
    <w:p w14:paraId="4E915E5F"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sz w:val="22"/>
        </w:rPr>
        <w:t>4.</w:t>
      </w:r>
      <w:r w:rsidRPr="00834CD5">
        <w:rPr>
          <w:rFonts w:ascii="Times New Roman" w:hAnsi="Times New Roman"/>
          <w:sz w:val="22"/>
        </w:rPr>
        <w:tab/>
        <w:t>KLINIKINĖ INFORMACIJA</w:t>
      </w:r>
    </w:p>
    <w:p w14:paraId="39DE37C8" w14:textId="77777777" w:rsidR="004D2D87" w:rsidRPr="00834CD5" w:rsidRDefault="004D2D87" w:rsidP="004D2D87"/>
    <w:p w14:paraId="1D0EC242" w14:textId="77777777" w:rsidR="004D2D87" w:rsidRPr="00834CD5" w:rsidRDefault="004D2D87" w:rsidP="004D2D87">
      <w:pPr>
        <w:pStyle w:val="Antrat4"/>
      </w:pPr>
      <w:r w:rsidRPr="00834CD5">
        <w:t>4.1</w:t>
      </w:r>
      <w:r w:rsidRPr="00834CD5">
        <w:tab/>
        <w:t>Terapinės indikacijos</w:t>
      </w:r>
    </w:p>
    <w:p w14:paraId="5A3F2635" w14:textId="77777777" w:rsidR="004D2D87" w:rsidRPr="00834CD5" w:rsidRDefault="004D2D87" w:rsidP="004D2D87"/>
    <w:p w14:paraId="43A99CFD" w14:textId="77777777" w:rsidR="004D2D87" w:rsidRPr="00834CD5" w:rsidRDefault="004D2D87" w:rsidP="004D2D87">
      <w:r w:rsidRPr="00834CD5">
        <w:t>Įvairios kilmės nestipraus ir vidutinio stiprumo skausmo malšinimas, kai kiti skausmą malšinantys vaistiniai preparatai neveiksmingi.</w:t>
      </w:r>
    </w:p>
    <w:p w14:paraId="5CF878AA" w14:textId="77777777" w:rsidR="004D2D87" w:rsidRPr="00834CD5" w:rsidRDefault="004D2D87" w:rsidP="004D2D87"/>
    <w:p w14:paraId="4339FB08" w14:textId="77777777" w:rsidR="004D2D87" w:rsidRPr="00834CD5" w:rsidRDefault="004D2D87" w:rsidP="004D2D87">
      <w:pPr>
        <w:pStyle w:val="Antrat4"/>
      </w:pPr>
      <w:r w:rsidRPr="00834CD5">
        <w:t>4.2</w:t>
      </w:r>
      <w:r w:rsidRPr="00834CD5">
        <w:tab/>
        <w:t>Dozavimas ir vartojimo metodas</w:t>
      </w:r>
    </w:p>
    <w:p w14:paraId="2260439D" w14:textId="77777777" w:rsidR="004D2D87" w:rsidRPr="00834CD5" w:rsidRDefault="004D2D87" w:rsidP="004D2D87"/>
    <w:p w14:paraId="620EB27A" w14:textId="77777777" w:rsidR="004D2D87" w:rsidRPr="00834CD5" w:rsidRDefault="004D2D87" w:rsidP="004D2D87">
      <w:pPr>
        <w:pStyle w:val="Pagrindiniotekstotrauka"/>
        <w:ind w:left="0" w:hanging="10"/>
        <w:jc w:val="left"/>
        <w:rPr>
          <w:u w:val="single"/>
        </w:rPr>
      </w:pPr>
      <w:r w:rsidRPr="00834CD5">
        <w:rPr>
          <w:u w:val="single"/>
        </w:rPr>
        <w:t>Dozavimas</w:t>
      </w:r>
    </w:p>
    <w:p w14:paraId="68E1E75B" w14:textId="77777777" w:rsidR="004D2D87" w:rsidRPr="00834CD5" w:rsidRDefault="004D2D87" w:rsidP="004D2D87">
      <w:pPr>
        <w:pStyle w:val="Pagrindiniotekstotrauka"/>
        <w:ind w:left="0" w:hanging="10"/>
        <w:jc w:val="left"/>
        <w:rPr>
          <w:u w:val="single"/>
        </w:rPr>
      </w:pPr>
    </w:p>
    <w:p w14:paraId="3D75839F" w14:textId="77777777" w:rsidR="004D2D87" w:rsidRPr="00834CD5" w:rsidRDefault="004D2D87" w:rsidP="004D2D87">
      <w:pPr>
        <w:pStyle w:val="Pagrindiniotekstotrauka"/>
        <w:ind w:left="0" w:hanging="10"/>
        <w:jc w:val="left"/>
      </w:pPr>
      <w:r w:rsidRPr="00834CD5">
        <w:t xml:space="preserve">Dozė nustatoma pagal skausmo arba karščiavimo intensyvumą ir kiekvieno paciento organizmo reakcijos į Analgin Sopharma jautrumą. Itin svarbu parinkti mažiausią dozę, kurios pakanka skausmui ir karščiavimui kontroliuoti. </w:t>
      </w:r>
    </w:p>
    <w:p w14:paraId="60474460" w14:textId="77777777" w:rsidR="004D2D87" w:rsidRPr="00913636" w:rsidRDefault="004D2D87" w:rsidP="00FD3231">
      <w:pPr>
        <w:pStyle w:val="BTEMEASMCA"/>
        <w:rPr>
          <w:noProof w:val="0"/>
        </w:rPr>
      </w:pPr>
    </w:p>
    <w:p w14:paraId="2916FA02" w14:textId="77777777" w:rsidR="004D2D87" w:rsidRPr="00913636" w:rsidRDefault="004D2D87" w:rsidP="00FD3231">
      <w:pPr>
        <w:pStyle w:val="BTEMEASMCA"/>
        <w:rPr>
          <w:noProof w:val="0"/>
        </w:rPr>
      </w:pPr>
      <w:r w:rsidRPr="00913636">
        <w:rPr>
          <w:i/>
          <w:noProof w:val="0"/>
        </w:rPr>
        <w:t>Suaugusiesiems ir 15 metų amžiaus arba vyresniems paaugliams (&gt; 53 kg)</w:t>
      </w:r>
      <w:r w:rsidRPr="00913636">
        <w:rPr>
          <w:noProof w:val="0"/>
        </w:rPr>
        <w:t xml:space="preserve"> galima vartoti ne didesnę kaip 1 000 mg metamizolo vienkartinę dozę. Tokią dozę galima vartoti ne daugiau kaip 4 kartus per parą, 6-8 val. intervalu, prisiderinant prie didžiausios, t. y. 4 000 mg, paros dozės.</w:t>
      </w:r>
    </w:p>
    <w:p w14:paraId="7181DE1D" w14:textId="77777777" w:rsidR="004D2D87" w:rsidRPr="00913636" w:rsidRDefault="004D2D87" w:rsidP="00FD3231">
      <w:pPr>
        <w:pStyle w:val="BTEMEASMCA"/>
        <w:rPr>
          <w:noProof w:val="0"/>
        </w:rPr>
      </w:pPr>
    </w:p>
    <w:p w14:paraId="1E32F201" w14:textId="77777777" w:rsidR="004D2D87" w:rsidRPr="00913636" w:rsidRDefault="004D2D87" w:rsidP="00FD3231">
      <w:pPr>
        <w:pStyle w:val="BTEMEASMCA"/>
        <w:rPr>
          <w:noProof w:val="0"/>
        </w:rPr>
      </w:pPr>
      <w:r w:rsidRPr="00913636">
        <w:rPr>
          <w:noProof w:val="0"/>
        </w:rPr>
        <w:t>Išgėrus vaistinio preparato, aiškus poveikis turėtų pasireikšti po 30-60 minučių.</w:t>
      </w:r>
    </w:p>
    <w:p w14:paraId="237AC065" w14:textId="77777777" w:rsidR="004D2D87" w:rsidRPr="00913636" w:rsidRDefault="004D2D87" w:rsidP="00FD3231">
      <w:pPr>
        <w:pStyle w:val="BTEMEASMCA"/>
        <w:rPr>
          <w:noProof w:val="0"/>
        </w:rPr>
      </w:pPr>
    </w:p>
    <w:p w14:paraId="3733A6BA" w14:textId="77777777" w:rsidR="004D2D87" w:rsidRPr="00913636" w:rsidRDefault="004D2D87" w:rsidP="00FD3231">
      <w:pPr>
        <w:pStyle w:val="BTEMEASMCA"/>
        <w:rPr>
          <w:noProof w:val="0"/>
        </w:rPr>
      </w:pPr>
      <w:r w:rsidRPr="00913636">
        <w:rPr>
          <w:noProof w:val="0"/>
        </w:rPr>
        <w:t>Toliau pateiktoje lentelėje nurodytas rekomenduojamas vienkartinės dozės dydis ir rekomenduojama didžiausia paros dozė pagal svorį arba amžių.</w:t>
      </w:r>
    </w:p>
    <w:p w14:paraId="539004B6" w14:textId="77777777" w:rsidR="004D2D87" w:rsidRPr="00913636" w:rsidRDefault="004D2D87" w:rsidP="00FD3231">
      <w:pPr>
        <w:pStyle w:val="BTEMEASMCA"/>
        <w:rPr>
          <w:noProof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1"/>
        <w:gridCol w:w="1418"/>
        <w:gridCol w:w="1842"/>
        <w:gridCol w:w="1256"/>
        <w:gridCol w:w="1726"/>
        <w:gridCol w:w="1436"/>
      </w:tblGrid>
      <w:tr w:rsidR="004D2D87" w:rsidRPr="00913636" w14:paraId="56E75123" w14:textId="77777777" w:rsidTr="00031C87">
        <w:trPr>
          <w:trHeight w:val="280"/>
          <w:jc w:val="center"/>
        </w:trPr>
        <w:tc>
          <w:tcPr>
            <w:tcW w:w="2649" w:type="dxa"/>
            <w:gridSpan w:val="2"/>
            <w:vAlign w:val="center"/>
          </w:tcPr>
          <w:p w14:paraId="57119D79"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Kūno svoris</w:t>
            </w:r>
          </w:p>
        </w:tc>
        <w:tc>
          <w:tcPr>
            <w:tcW w:w="3098" w:type="dxa"/>
            <w:gridSpan w:val="2"/>
            <w:vAlign w:val="center"/>
          </w:tcPr>
          <w:p w14:paraId="59D2FF40"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Vienkartinė dozė</w:t>
            </w:r>
          </w:p>
        </w:tc>
        <w:tc>
          <w:tcPr>
            <w:tcW w:w="3162" w:type="dxa"/>
            <w:gridSpan w:val="2"/>
            <w:vAlign w:val="center"/>
          </w:tcPr>
          <w:p w14:paraId="0E97215B"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Didžiausia paros dozė</w:t>
            </w:r>
          </w:p>
        </w:tc>
      </w:tr>
      <w:tr w:rsidR="004D2D87" w:rsidRPr="00913636" w14:paraId="25BFDF5B" w14:textId="77777777" w:rsidTr="00031C87">
        <w:trPr>
          <w:jc w:val="center"/>
        </w:trPr>
        <w:tc>
          <w:tcPr>
            <w:tcW w:w="1231" w:type="dxa"/>
            <w:vAlign w:val="center"/>
          </w:tcPr>
          <w:p w14:paraId="03208495"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kg</w:t>
            </w:r>
          </w:p>
        </w:tc>
        <w:tc>
          <w:tcPr>
            <w:tcW w:w="1418" w:type="dxa"/>
            <w:vAlign w:val="center"/>
          </w:tcPr>
          <w:p w14:paraId="118B0BF1"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amžius</w:t>
            </w:r>
          </w:p>
        </w:tc>
        <w:tc>
          <w:tcPr>
            <w:tcW w:w="1842" w:type="dxa"/>
            <w:vAlign w:val="center"/>
          </w:tcPr>
          <w:p w14:paraId="1E55DECB"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 xml:space="preserve">tabletės </w:t>
            </w:r>
          </w:p>
        </w:tc>
        <w:tc>
          <w:tcPr>
            <w:tcW w:w="1256" w:type="dxa"/>
            <w:vAlign w:val="center"/>
          </w:tcPr>
          <w:p w14:paraId="5F50CBBD"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mg</w:t>
            </w:r>
          </w:p>
        </w:tc>
        <w:tc>
          <w:tcPr>
            <w:tcW w:w="1726" w:type="dxa"/>
            <w:vAlign w:val="center"/>
          </w:tcPr>
          <w:p w14:paraId="39A50221"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tabletės</w:t>
            </w:r>
          </w:p>
        </w:tc>
        <w:tc>
          <w:tcPr>
            <w:tcW w:w="1436" w:type="dxa"/>
            <w:vAlign w:val="center"/>
          </w:tcPr>
          <w:p w14:paraId="0A4F781E"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mg</w:t>
            </w:r>
          </w:p>
        </w:tc>
      </w:tr>
      <w:tr w:rsidR="004D2D87" w:rsidRPr="00913636" w14:paraId="4B4489C0" w14:textId="77777777" w:rsidTr="00031C87">
        <w:trPr>
          <w:jc w:val="center"/>
        </w:trPr>
        <w:tc>
          <w:tcPr>
            <w:tcW w:w="1231" w:type="dxa"/>
            <w:vAlign w:val="center"/>
          </w:tcPr>
          <w:p w14:paraId="4CE87256"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&gt;53</w:t>
            </w:r>
          </w:p>
        </w:tc>
        <w:tc>
          <w:tcPr>
            <w:tcW w:w="1418" w:type="dxa"/>
            <w:vAlign w:val="center"/>
          </w:tcPr>
          <w:p w14:paraId="0C7723A3"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sym w:font="Symbol" w:char="F0B3"/>
            </w:r>
            <w:r w:rsidRPr="00834CD5">
              <w:rPr>
                <w:rFonts w:ascii="Times New Roman" w:hAnsi="Times New Roman"/>
                <w:sz w:val="22"/>
              </w:rPr>
              <w:t>15 metų</w:t>
            </w:r>
          </w:p>
        </w:tc>
        <w:tc>
          <w:tcPr>
            <w:tcW w:w="1842" w:type="dxa"/>
            <w:vAlign w:val="center"/>
          </w:tcPr>
          <w:p w14:paraId="519EE840"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1-2</w:t>
            </w:r>
          </w:p>
        </w:tc>
        <w:tc>
          <w:tcPr>
            <w:tcW w:w="1256" w:type="dxa"/>
            <w:vAlign w:val="center"/>
          </w:tcPr>
          <w:p w14:paraId="5840B664"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500 - 1 000</w:t>
            </w:r>
          </w:p>
        </w:tc>
        <w:tc>
          <w:tcPr>
            <w:tcW w:w="1726" w:type="dxa"/>
            <w:vAlign w:val="center"/>
          </w:tcPr>
          <w:p w14:paraId="45A1FDAF"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8</w:t>
            </w:r>
          </w:p>
        </w:tc>
        <w:tc>
          <w:tcPr>
            <w:tcW w:w="1436" w:type="dxa"/>
            <w:vAlign w:val="center"/>
          </w:tcPr>
          <w:p w14:paraId="728DF6DE" w14:textId="77777777" w:rsidR="004D2D87" w:rsidRPr="00834CD5" w:rsidRDefault="004D2D87" w:rsidP="00031C87">
            <w:pPr>
              <w:pStyle w:val="BodytextAgency"/>
              <w:rPr>
                <w:rFonts w:ascii="Times New Roman" w:hAnsi="Times New Roman"/>
                <w:sz w:val="22"/>
              </w:rPr>
            </w:pPr>
            <w:r w:rsidRPr="00834CD5">
              <w:rPr>
                <w:rFonts w:ascii="Times New Roman" w:hAnsi="Times New Roman"/>
                <w:sz w:val="22"/>
              </w:rPr>
              <w:t>4 000</w:t>
            </w:r>
          </w:p>
        </w:tc>
      </w:tr>
    </w:tbl>
    <w:p w14:paraId="1F656232" w14:textId="77777777" w:rsidR="004D2D87" w:rsidRPr="00913636" w:rsidRDefault="004D2D87" w:rsidP="00FD3231">
      <w:pPr>
        <w:pStyle w:val="BTEMEASMCA"/>
        <w:rPr>
          <w:noProof w:val="0"/>
        </w:rPr>
      </w:pPr>
    </w:p>
    <w:p w14:paraId="0F74CAAB" w14:textId="77777777" w:rsidR="004D2D87" w:rsidRPr="005C39E8" w:rsidRDefault="004D2D87" w:rsidP="00FD3231">
      <w:pPr>
        <w:pStyle w:val="BTEMEASMCA"/>
        <w:rPr>
          <w:i/>
        </w:rPr>
      </w:pPr>
      <w:r w:rsidRPr="005C39E8">
        <w:rPr>
          <w:i/>
        </w:rPr>
        <w:t>Vaikų populiacija</w:t>
      </w:r>
    </w:p>
    <w:p w14:paraId="0E8FC5EF" w14:textId="77777777" w:rsidR="004D2D87" w:rsidRPr="00913636" w:rsidRDefault="004D2D87" w:rsidP="00FD3231">
      <w:pPr>
        <w:pStyle w:val="BTEMEASMCA"/>
        <w:rPr>
          <w:noProof w:val="0"/>
        </w:rPr>
      </w:pPr>
    </w:p>
    <w:p w14:paraId="3CA92410" w14:textId="77777777" w:rsidR="004D2D87" w:rsidRPr="00913636" w:rsidRDefault="004D2D87" w:rsidP="00FD3231">
      <w:pPr>
        <w:pStyle w:val="BTEMEASMCA"/>
        <w:rPr>
          <w:noProof w:val="0"/>
        </w:rPr>
      </w:pPr>
      <w:r w:rsidRPr="00913636">
        <w:rPr>
          <w:noProof w:val="0"/>
        </w:rPr>
        <w:lastRenderedPageBreak/>
        <w:t>Analgin Sopharma nerekomenduojamas jaunesniems kaip 15 metų vaikams ir paaugliams, nes vienoje tabletėje yra fiksuotas kiekis – 500 mg – metamizolo. Esama kitų farmacinių formų ir (arba) stiprumo vaistinių preparatų, kuriuos galima tinkamai dozuoti jaunesniems vaikams ir paaugliams.</w:t>
      </w:r>
    </w:p>
    <w:p w14:paraId="3FD9432B" w14:textId="77777777" w:rsidR="004D2D87" w:rsidRPr="00913636" w:rsidRDefault="004D2D87" w:rsidP="00FD3231">
      <w:pPr>
        <w:pStyle w:val="BTEMEASMCA"/>
        <w:rPr>
          <w:noProof w:val="0"/>
        </w:rPr>
      </w:pPr>
    </w:p>
    <w:p w14:paraId="0CF29BCC" w14:textId="77777777" w:rsidR="004D2D87" w:rsidRPr="005C39E8" w:rsidRDefault="004D2D87" w:rsidP="00FD3231">
      <w:pPr>
        <w:pStyle w:val="BTEMEASMCA"/>
        <w:rPr>
          <w:i/>
          <w:u w:val="single"/>
        </w:rPr>
      </w:pPr>
      <w:r w:rsidRPr="005C39E8">
        <w:rPr>
          <w:i/>
          <w:u w:val="single"/>
        </w:rPr>
        <w:t>Ypatingos populiacijos</w:t>
      </w:r>
    </w:p>
    <w:p w14:paraId="524F860C" w14:textId="77777777" w:rsidR="004D2D87" w:rsidRPr="00913636" w:rsidRDefault="004D2D87" w:rsidP="00FD3231">
      <w:pPr>
        <w:pStyle w:val="BTEMEASMCA"/>
        <w:rPr>
          <w:noProof w:val="0"/>
        </w:rPr>
      </w:pPr>
    </w:p>
    <w:p w14:paraId="4FD66941" w14:textId="77777777" w:rsidR="004D2D87" w:rsidRPr="005C39E8" w:rsidRDefault="004D2D87" w:rsidP="00FD3231">
      <w:pPr>
        <w:pStyle w:val="BTEMEASMCA"/>
        <w:rPr>
          <w:i/>
        </w:rPr>
      </w:pPr>
      <w:r w:rsidRPr="005C39E8">
        <w:rPr>
          <w:i/>
        </w:rPr>
        <w:t>Senyviems pacientams, nusilpusiems pacientams ir pacientams, kurių kreatinino klirensas sumažėjęs</w:t>
      </w:r>
    </w:p>
    <w:p w14:paraId="6F90B5DB" w14:textId="6D974A5A" w:rsidR="004D2D87" w:rsidRPr="00913636" w:rsidRDefault="004D2D87" w:rsidP="00FD3231">
      <w:pPr>
        <w:pStyle w:val="BTEMEASMCA"/>
        <w:rPr>
          <w:noProof w:val="0"/>
        </w:rPr>
      </w:pPr>
      <w:r w:rsidRPr="00913636">
        <w:rPr>
          <w:noProof w:val="0"/>
        </w:rPr>
        <w:t xml:space="preserve">Senyviems pacientams, taip pat nusilpusiems pacientams ir pacientams, kurių kreatinino klirensas sumažėjęs, dozė turi būti sumažinta, nes gali būti </w:t>
      </w:r>
      <w:r w:rsidR="00630862" w:rsidRPr="00913636">
        <w:rPr>
          <w:noProof w:val="0"/>
        </w:rPr>
        <w:t>užsitęsęs</w:t>
      </w:r>
      <w:r w:rsidRPr="00913636">
        <w:rPr>
          <w:noProof w:val="0"/>
        </w:rPr>
        <w:t xml:space="preserve"> metamizolo metabolizmo produktų šalinimas iš organizmo.</w:t>
      </w:r>
    </w:p>
    <w:p w14:paraId="1D9D8B32" w14:textId="77777777" w:rsidR="004D2D87" w:rsidRPr="00913636" w:rsidRDefault="004D2D87" w:rsidP="00FD3231">
      <w:pPr>
        <w:pStyle w:val="BTEMEASMCA"/>
        <w:rPr>
          <w:noProof w:val="0"/>
        </w:rPr>
      </w:pPr>
    </w:p>
    <w:p w14:paraId="3FF1C1B9" w14:textId="77777777" w:rsidR="004D2D87" w:rsidRPr="005C39E8" w:rsidRDefault="004D2D87" w:rsidP="00FD3231">
      <w:pPr>
        <w:pStyle w:val="BTEMEASMCA"/>
        <w:rPr>
          <w:i/>
        </w:rPr>
      </w:pPr>
      <w:r w:rsidRPr="005C39E8">
        <w:rPr>
          <w:i/>
        </w:rPr>
        <w:t>Pacientams, kurių kepenų ar inkstų funkcija sutrikusi</w:t>
      </w:r>
    </w:p>
    <w:p w14:paraId="38A1B7C4" w14:textId="77777777" w:rsidR="004D2D87" w:rsidRPr="00913636" w:rsidRDefault="004D2D87" w:rsidP="00FD3231">
      <w:pPr>
        <w:pStyle w:val="BTEMEASMCA"/>
        <w:rPr>
          <w:noProof w:val="0"/>
        </w:rPr>
      </w:pPr>
      <w:r w:rsidRPr="00913636">
        <w:rPr>
          <w:noProof w:val="0"/>
        </w:rPr>
        <w:t>Kadangi sutrikus inkstų arba kepenų veiklai sulėtėja eliminacija, turi būti vengiama kartotinių didelių dozių. Vartojant tik trumpą laiką, dozės mažinti nereikia. Lig šiol sukaupta nepakankamai patirties apie ilgalaikį metamizolo vartojimą pacientams, kuriems yra sunkus kepenų ir inkstų veiklos sutrikimas.</w:t>
      </w:r>
    </w:p>
    <w:p w14:paraId="2F13A0B6" w14:textId="77777777" w:rsidR="004D2D87" w:rsidRPr="00913636" w:rsidRDefault="004D2D87" w:rsidP="00FD3231">
      <w:pPr>
        <w:pStyle w:val="BTuEMEASMCA"/>
        <w:rPr>
          <w:noProof w:val="0"/>
        </w:rPr>
      </w:pPr>
    </w:p>
    <w:p w14:paraId="1F093D09" w14:textId="77777777" w:rsidR="004D2D87" w:rsidRPr="00913636" w:rsidRDefault="004D2D87" w:rsidP="00FD3231">
      <w:pPr>
        <w:pStyle w:val="BTuEMEASMCA"/>
        <w:rPr>
          <w:noProof w:val="0"/>
        </w:rPr>
      </w:pPr>
      <w:r w:rsidRPr="00913636">
        <w:rPr>
          <w:noProof w:val="0"/>
        </w:rPr>
        <w:t>Vartojimo metodas</w:t>
      </w:r>
    </w:p>
    <w:p w14:paraId="407750B8" w14:textId="77777777" w:rsidR="004D2D87" w:rsidRPr="00913636" w:rsidRDefault="004D2D87" w:rsidP="00FD3231">
      <w:pPr>
        <w:pStyle w:val="BTEMEASMCA"/>
        <w:rPr>
          <w:noProof w:val="0"/>
        </w:rPr>
      </w:pPr>
      <w:r w:rsidRPr="00913636">
        <w:rPr>
          <w:noProof w:val="0"/>
        </w:rPr>
        <w:t>Vartoti per burną.</w:t>
      </w:r>
    </w:p>
    <w:p w14:paraId="3C608380" w14:textId="77777777" w:rsidR="004D2D87" w:rsidRPr="00834CD5" w:rsidRDefault="004D2D87" w:rsidP="004D2D87">
      <w:pPr>
        <w:ind w:hanging="10"/>
      </w:pPr>
      <w:r w:rsidRPr="00834CD5">
        <w:t>Rekomenduojama tabletes nuryti nesukramtytas ir užsigerti pakankamu skysčio kiekiu (pvz., stikline vandens).</w:t>
      </w:r>
    </w:p>
    <w:p w14:paraId="5DA1AB7A" w14:textId="77777777" w:rsidR="004D2D87" w:rsidRPr="00834CD5" w:rsidRDefault="004D2D87" w:rsidP="004D2D87"/>
    <w:p w14:paraId="1E3C4954" w14:textId="77777777" w:rsidR="004D2D87" w:rsidRPr="00913636" w:rsidRDefault="004D2D87" w:rsidP="004D2D87">
      <w:pPr>
        <w:rPr>
          <w:rStyle w:val="BTuEMEASMCAChar"/>
          <w:b/>
          <w:noProof w:val="0"/>
        </w:rPr>
      </w:pPr>
      <w:r w:rsidRPr="00913636">
        <w:rPr>
          <w:rStyle w:val="BTuEMEASMCAChar"/>
          <w:noProof w:val="0"/>
        </w:rPr>
        <w:t>Gydymo trukmė</w:t>
      </w:r>
    </w:p>
    <w:p w14:paraId="09D5E579" w14:textId="77777777" w:rsidR="004D2D87" w:rsidRPr="00834CD5" w:rsidRDefault="004D2D87" w:rsidP="004D2D87">
      <w:pPr>
        <w:rPr>
          <w:rStyle w:val="hps"/>
        </w:rPr>
      </w:pPr>
      <w:r w:rsidRPr="00834CD5">
        <w:t>Vartojimo trukmė priklauso nuo būklės priežasties ir sunkumo. G</w:t>
      </w:r>
      <w:r w:rsidRPr="00834CD5">
        <w:rPr>
          <w:rStyle w:val="hps"/>
        </w:rPr>
        <w:t>ydymas</w:t>
      </w:r>
      <w:r w:rsidRPr="00834CD5">
        <w:t xml:space="preserve"> metamizolu </w:t>
      </w:r>
      <w:r w:rsidRPr="00834CD5">
        <w:rPr>
          <w:rStyle w:val="hps"/>
        </w:rPr>
        <w:t>turėtų trukti ne</w:t>
      </w:r>
      <w:r w:rsidRPr="00834CD5">
        <w:t xml:space="preserve"> </w:t>
      </w:r>
      <w:r w:rsidRPr="00834CD5">
        <w:rPr>
          <w:rStyle w:val="hps"/>
        </w:rPr>
        <w:t>ilgiau, kaip nuo 3</w:t>
      </w:r>
      <w:r w:rsidRPr="00834CD5">
        <w:t xml:space="preserve"> </w:t>
      </w:r>
      <w:r w:rsidRPr="00834CD5">
        <w:rPr>
          <w:rStyle w:val="hps"/>
        </w:rPr>
        <w:t>iki 5 parų.</w:t>
      </w:r>
    </w:p>
    <w:p w14:paraId="6DD11125" w14:textId="77777777" w:rsidR="004D2D87" w:rsidRPr="00834CD5" w:rsidRDefault="004D2D87" w:rsidP="004D2D87"/>
    <w:p w14:paraId="088BAF82" w14:textId="77777777" w:rsidR="004D2D87" w:rsidRPr="00834CD5" w:rsidRDefault="004D2D87" w:rsidP="004D2D87">
      <w:pPr>
        <w:pStyle w:val="Antrat4"/>
      </w:pPr>
      <w:r w:rsidRPr="00834CD5">
        <w:t>4.3</w:t>
      </w:r>
      <w:r w:rsidRPr="00834CD5">
        <w:tab/>
        <w:t>Kontraindikacijos</w:t>
      </w:r>
    </w:p>
    <w:p w14:paraId="71D8B377" w14:textId="77777777" w:rsidR="004D2D87" w:rsidRPr="00834CD5" w:rsidRDefault="004D2D87" w:rsidP="004D2D87"/>
    <w:p w14:paraId="2169C0A3" w14:textId="600C4A5E" w:rsidR="004D2D87" w:rsidRPr="00913636" w:rsidRDefault="004D2D87" w:rsidP="00FD3231">
      <w:pPr>
        <w:pStyle w:val="BT-EMEASMCA"/>
        <w:rPr>
          <w:noProof w:val="0"/>
        </w:rPr>
      </w:pPr>
      <w:r w:rsidRPr="00913636">
        <w:rPr>
          <w:noProof w:val="0"/>
        </w:rPr>
        <w:t xml:space="preserve">Padidėjęs jautrumas </w:t>
      </w:r>
      <w:r w:rsidR="00FF3CD6" w:rsidRPr="00913636">
        <w:rPr>
          <w:noProof w:val="0"/>
        </w:rPr>
        <w:t xml:space="preserve">metamizolui </w:t>
      </w:r>
      <w:r w:rsidRPr="00913636">
        <w:rPr>
          <w:noProof w:val="0"/>
        </w:rPr>
        <w:t>arba bet kuriai 6.1 skyriuje nurodytai pagalbinei medžiagai.</w:t>
      </w:r>
    </w:p>
    <w:p w14:paraId="5BFEFB59" w14:textId="4BEF525D" w:rsidR="00750E3D" w:rsidRPr="00913636" w:rsidRDefault="00750E3D" w:rsidP="00FD3231">
      <w:pPr>
        <w:pStyle w:val="BT-EMEASMCA"/>
        <w:rPr>
          <w:noProof w:val="0"/>
        </w:rPr>
      </w:pPr>
      <w:r w:rsidRPr="00913636">
        <w:rPr>
          <w:noProof w:val="0"/>
        </w:rPr>
        <w:t>Metamizolo, kitų pirazolonų ar pirazolidinų sukelta agranulocitozė ligos anamnezėje.</w:t>
      </w:r>
    </w:p>
    <w:p w14:paraId="095DA057" w14:textId="622F2BA2" w:rsidR="00EF5EDF" w:rsidRPr="00913636" w:rsidRDefault="004D2D87" w:rsidP="00FD3231">
      <w:pPr>
        <w:pStyle w:val="BT-EMEASMCA"/>
        <w:rPr>
          <w:noProof w:val="0"/>
        </w:rPr>
      </w:pPr>
      <w:r w:rsidRPr="00913636">
        <w:rPr>
          <w:noProof w:val="0"/>
        </w:rPr>
        <w:t>Pacientams, kuriems nustatytas analgetikų sukeltas astmos sindromas arba pasireiškė dilgėlinės, arba angioneurozinės edemos tipo analgetikų netoleravimas, tai yra tiems pacientams, kurie vartodami salicilatus, paracetamolį arba kitus nenarkotinius analgetikus, pvz., diklofenaką, ibuprofeną, indometaciną arba naprokseną, reaguoja bronchų spazmu arba kita anafilaktoidine reakcija.</w:t>
      </w:r>
    </w:p>
    <w:p w14:paraId="0B761D98" w14:textId="528DD2BC" w:rsidR="004D2D87" w:rsidRPr="00913636" w:rsidRDefault="004D2D87" w:rsidP="00FD3231">
      <w:pPr>
        <w:pStyle w:val="BT-EMEASMCA"/>
        <w:rPr>
          <w:noProof w:val="0"/>
        </w:rPr>
      </w:pPr>
      <w:r w:rsidRPr="00913636">
        <w:rPr>
          <w:noProof w:val="0"/>
        </w:rPr>
        <w:t>Sutrikusi kaulų čiulpų funkcija arba kraujodaros sistemos ligos.</w:t>
      </w:r>
    </w:p>
    <w:p w14:paraId="4D5A06B1" w14:textId="77777777" w:rsidR="004D2D87" w:rsidRPr="00913636" w:rsidRDefault="004D2D87" w:rsidP="00FD3231">
      <w:pPr>
        <w:pStyle w:val="BT-EMEASMCA"/>
        <w:rPr>
          <w:noProof w:val="0"/>
        </w:rPr>
      </w:pPr>
      <w:r w:rsidRPr="00913636">
        <w:rPr>
          <w:noProof w:val="0"/>
        </w:rPr>
        <w:t>Sutrikimai, susiję su paveldima gliukozės-6-fosfatdehidrogenazės stoka (hemolizės pavojus).</w:t>
      </w:r>
    </w:p>
    <w:p w14:paraId="11BF902B" w14:textId="77777777" w:rsidR="004D2D87" w:rsidRPr="00913636" w:rsidRDefault="004D2D87" w:rsidP="00FD3231">
      <w:pPr>
        <w:pStyle w:val="BT-EMEASMCA"/>
        <w:rPr>
          <w:noProof w:val="0"/>
        </w:rPr>
      </w:pPr>
      <w:r w:rsidRPr="00913636">
        <w:rPr>
          <w:noProof w:val="0"/>
        </w:rPr>
        <w:t>Intermituojanti hepatinė porfirija (porfirijos priepuolio sukėlimo rizika).</w:t>
      </w:r>
    </w:p>
    <w:p w14:paraId="7D0A6941" w14:textId="77777777" w:rsidR="004D2D87" w:rsidRPr="00913636" w:rsidRDefault="004D2D87" w:rsidP="00FD3231">
      <w:pPr>
        <w:pStyle w:val="BT-EMEASMCA"/>
        <w:rPr>
          <w:noProof w:val="0"/>
        </w:rPr>
      </w:pPr>
      <w:r w:rsidRPr="00913636">
        <w:rPr>
          <w:noProof w:val="0"/>
        </w:rPr>
        <w:t>Trečias nėštumo trimestras (žr. 4.6 skyrių).</w:t>
      </w:r>
    </w:p>
    <w:p w14:paraId="1374E631" w14:textId="77777777" w:rsidR="004D2D87" w:rsidRPr="00834CD5" w:rsidRDefault="004D2D87" w:rsidP="004D2D87"/>
    <w:p w14:paraId="06AF97C8" w14:textId="77777777" w:rsidR="004D2D87" w:rsidRPr="00834CD5" w:rsidRDefault="004D2D87" w:rsidP="004D2D87">
      <w:pPr>
        <w:pStyle w:val="Antrat4"/>
      </w:pPr>
      <w:r w:rsidRPr="00834CD5">
        <w:t>4.4</w:t>
      </w:r>
      <w:r w:rsidRPr="00834CD5">
        <w:tab/>
        <w:t>Specialūs įspėjimai ir atsargumo priemonės</w:t>
      </w:r>
    </w:p>
    <w:p w14:paraId="195E8D0E" w14:textId="77777777" w:rsidR="004D2D87" w:rsidRPr="00834CD5" w:rsidRDefault="004D2D87" w:rsidP="004D2D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13636" w:rsidRPr="00913636" w14:paraId="1438BB4E" w14:textId="77777777" w:rsidTr="0065442F">
        <w:trPr>
          <w:trHeight w:val="3585"/>
        </w:trPr>
        <w:tc>
          <w:tcPr>
            <w:tcW w:w="9892" w:type="dxa"/>
            <w:shd w:val="clear" w:color="auto" w:fill="auto"/>
          </w:tcPr>
          <w:p w14:paraId="52A6CCC9" w14:textId="77777777" w:rsidR="00913636" w:rsidRDefault="00913636" w:rsidP="00913636">
            <w:pPr>
              <w:spacing w:line="240" w:lineRule="auto"/>
              <w:jc w:val="both"/>
              <w:rPr>
                <w:bCs/>
                <w:color w:val="000000"/>
              </w:rPr>
            </w:pPr>
            <w:r w:rsidRPr="00913636">
              <w:rPr>
                <w:bCs/>
                <w:color w:val="000000"/>
              </w:rPr>
              <w:t>Agranulocitozė</w:t>
            </w:r>
          </w:p>
          <w:p w14:paraId="0E59224C" w14:textId="77777777" w:rsidR="00E970BE" w:rsidRPr="00913636" w:rsidRDefault="00E970BE" w:rsidP="00913636">
            <w:pPr>
              <w:spacing w:line="240" w:lineRule="auto"/>
              <w:jc w:val="both"/>
              <w:rPr>
                <w:bCs/>
                <w:color w:val="000000"/>
              </w:rPr>
            </w:pPr>
          </w:p>
          <w:p w14:paraId="18B60764" w14:textId="13BD1C21" w:rsidR="00913636" w:rsidRPr="00913636" w:rsidRDefault="00913636" w:rsidP="00913636">
            <w:pPr>
              <w:spacing w:line="240" w:lineRule="auto"/>
              <w:jc w:val="both"/>
              <w:rPr>
                <w:bCs/>
                <w:color w:val="000000"/>
              </w:rPr>
            </w:pPr>
            <w:r w:rsidRPr="00913636">
              <w:rPr>
                <w:bCs/>
                <w:color w:val="000000"/>
              </w:rPr>
              <w:t>Gydymas metamizolu gali sukelti agranulocitozę. Ši liga gali būti mirtina (žr. 4.8 skyrių).</w:t>
            </w:r>
            <w:r>
              <w:rPr>
                <w:bCs/>
                <w:color w:val="000000"/>
              </w:rPr>
              <w:t xml:space="preserve"> </w:t>
            </w:r>
            <w:r w:rsidRPr="00913636">
              <w:rPr>
                <w:bCs/>
                <w:color w:val="000000"/>
              </w:rPr>
              <w:t>Ji gali pasireikšti net jei anksčiau vartojant metamizolo komplikacijų nebuvo.</w:t>
            </w:r>
          </w:p>
          <w:p w14:paraId="2A6D3C05" w14:textId="744C9586" w:rsidR="00913636" w:rsidRPr="00913636" w:rsidRDefault="00913636" w:rsidP="00913636">
            <w:pPr>
              <w:spacing w:line="240" w:lineRule="auto"/>
              <w:jc w:val="both"/>
              <w:rPr>
                <w:bCs/>
                <w:color w:val="000000"/>
              </w:rPr>
            </w:pPr>
            <w:r w:rsidRPr="00913636">
              <w:rPr>
                <w:bCs/>
                <w:color w:val="000000"/>
              </w:rPr>
              <w:t>Metamizolo sukelta agranulocitozė yra idiosinkrazinė nepageidaujama reakcija. Ji</w:t>
            </w:r>
            <w:r>
              <w:rPr>
                <w:bCs/>
                <w:color w:val="000000"/>
              </w:rPr>
              <w:t xml:space="preserve"> </w:t>
            </w:r>
            <w:r w:rsidRPr="00913636">
              <w:rPr>
                <w:bCs/>
                <w:color w:val="000000"/>
              </w:rPr>
              <w:t>nepriklauso nuo dozės ir gali pasireikšti bet kuriuo gydymo momentu, netgi netrukus po</w:t>
            </w:r>
            <w:r>
              <w:rPr>
                <w:bCs/>
                <w:color w:val="000000"/>
              </w:rPr>
              <w:t xml:space="preserve"> </w:t>
            </w:r>
            <w:r w:rsidRPr="00913636">
              <w:rPr>
                <w:bCs/>
                <w:color w:val="000000"/>
              </w:rPr>
              <w:t>gydymo nutraukimo.</w:t>
            </w:r>
          </w:p>
          <w:p w14:paraId="28839915" w14:textId="15510737" w:rsidR="00913636" w:rsidRPr="00913636" w:rsidRDefault="00913636" w:rsidP="00913636">
            <w:pPr>
              <w:spacing w:line="240" w:lineRule="auto"/>
              <w:jc w:val="both"/>
              <w:rPr>
                <w:bCs/>
                <w:color w:val="000000"/>
              </w:rPr>
            </w:pPr>
            <w:r w:rsidRPr="00913636">
              <w:rPr>
                <w:bCs/>
                <w:color w:val="000000"/>
              </w:rPr>
              <w:t>Pacientams turi būti nurodoma nutraukti gydymą ir nedelsiant kreiptis į gydytoją, jei</w:t>
            </w:r>
            <w:r>
              <w:rPr>
                <w:bCs/>
                <w:color w:val="000000"/>
              </w:rPr>
              <w:t xml:space="preserve"> </w:t>
            </w:r>
            <w:r w:rsidRPr="00913636">
              <w:rPr>
                <w:bCs/>
                <w:color w:val="000000"/>
              </w:rPr>
              <w:t>atsiranda bet kokių simptomų, galinčių reikšti agranulocitozę (pvz., karščiavimas,</w:t>
            </w:r>
            <w:r w:rsidR="00B9688D">
              <w:rPr>
                <w:bCs/>
                <w:color w:val="000000"/>
              </w:rPr>
              <w:t xml:space="preserve"> </w:t>
            </w:r>
            <w:r w:rsidRPr="00913636">
              <w:rPr>
                <w:bCs/>
                <w:color w:val="000000"/>
              </w:rPr>
              <w:t>šaltkrėtis, ryklės skausmas ir skausmingi gleivinės pokyčiai, ypač burnos, nosies ir ryklės</w:t>
            </w:r>
            <w:r w:rsidR="00E970BE">
              <w:rPr>
                <w:bCs/>
                <w:color w:val="000000"/>
              </w:rPr>
              <w:t xml:space="preserve"> </w:t>
            </w:r>
            <w:r w:rsidRPr="00913636">
              <w:rPr>
                <w:bCs/>
                <w:color w:val="000000"/>
              </w:rPr>
              <w:t>arba lytinių organų ar išangės srityse).</w:t>
            </w:r>
          </w:p>
          <w:p w14:paraId="28D6AA61" w14:textId="579FA1E0" w:rsidR="00913636" w:rsidRPr="00913636" w:rsidRDefault="00913636" w:rsidP="00913636">
            <w:pPr>
              <w:spacing w:line="240" w:lineRule="auto"/>
              <w:jc w:val="both"/>
              <w:rPr>
                <w:bCs/>
                <w:color w:val="000000"/>
              </w:rPr>
            </w:pPr>
            <w:r w:rsidRPr="00913636">
              <w:rPr>
                <w:bCs/>
                <w:color w:val="000000"/>
              </w:rPr>
              <w:t>Jei metamizolo vartojama nuo karščiavimo, kai kurie atsirandantys agranulocitozės</w:t>
            </w:r>
            <w:r w:rsidR="00E970BE">
              <w:rPr>
                <w:bCs/>
                <w:color w:val="000000"/>
              </w:rPr>
              <w:t xml:space="preserve"> </w:t>
            </w:r>
            <w:r w:rsidRPr="00913636">
              <w:rPr>
                <w:bCs/>
                <w:color w:val="000000"/>
              </w:rPr>
              <w:t>simptomai gali praeiti nepastebėti. Simptomus taip pat gali būti sunku pastebėti, kai</w:t>
            </w:r>
            <w:r w:rsidR="00E970BE">
              <w:rPr>
                <w:bCs/>
                <w:color w:val="000000"/>
              </w:rPr>
              <w:t xml:space="preserve"> </w:t>
            </w:r>
            <w:r w:rsidRPr="00913636">
              <w:rPr>
                <w:bCs/>
                <w:color w:val="000000"/>
              </w:rPr>
              <w:t>pacientai gydomi antibiotikais.</w:t>
            </w:r>
          </w:p>
          <w:p w14:paraId="039C0A03" w14:textId="6CD36063" w:rsidR="00913636" w:rsidRPr="00E970BE" w:rsidRDefault="00913636" w:rsidP="00913636">
            <w:pPr>
              <w:spacing w:line="240" w:lineRule="auto"/>
              <w:jc w:val="both"/>
              <w:rPr>
                <w:bCs/>
                <w:color w:val="000000"/>
              </w:rPr>
            </w:pPr>
            <w:r w:rsidRPr="00913636">
              <w:rPr>
                <w:bCs/>
                <w:color w:val="000000"/>
              </w:rPr>
              <w:t>Jei atsiranda požymių ir simptomų, galinčių reikšti agranulocitozę, reikia nedelsiant</w:t>
            </w:r>
            <w:r w:rsidR="00E970BE">
              <w:rPr>
                <w:bCs/>
                <w:color w:val="000000"/>
              </w:rPr>
              <w:t xml:space="preserve"> </w:t>
            </w:r>
            <w:r w:rsidRPr="00913636">
              <w:rPr>
                <w:bCs/>
                <w:color w:val="000000"/>
              </w:rPr>
              <w:t>atlikti pilną kraujo ląstelių tyrimą (įskaitant diferencinį kraujo tyrimą), o laukiant jo</w:t>
            </w:r>
            <w:r w:rsidR="00E970BE">
              <w:rPr>
                <w:bCs/>
                <w:color w:val="000000"/>
              </w:rPr>
              <w:t xml:space="preserve"> </w:t>
            </w:r>
            <w:r w:rsidRPr="00913636">
              <w:rPr>
                <w:bCs/>
                <w:color w:val="000000"/>
              </w:rPr>
              <w:t>rezultatų gydymą būtina laikinai nutraukti. Jei agranulocitozė patvirtinama, gydymą</w:t>
            </w:r>
            <w:r w:rsidR="00E970BE">
              <w:rPr>
                <w:bCs/>
                <w:color w:val="000000"/>
              </w:rPr>
              <w:t xml:space="preserve"> </w:t>
            </w:r>
            <w:r w:rsidRPr="00913636">
              <w:rPr>
                <w:bCs/>
                <w:color w:val="000000"/>
              </w:rPr>
              <w:t>atnaujinti draudžiama (žr. 4.3 skyrių).</w:t>
            </w:r>
          </w:p>
        </w:tc>
      </w:tr>
    </w:tbl>
    <w:p w14:paraId="58E3C3E5" w14:textId="77777777" w:rsidR="00913636" w:rsidRPr="00913636" w:rsidRDefault="00913636" w:rsidP="004D2D87"/>
    <w:p w14:paraId="5B560ACE" w14:textId="25DA674A" w:rsidR="004D2D87" w:rsidRPr="00913636" w:rsidRDefault="004D2D87" w:rsidP="00FD3231">
      <w:pPr>
        <w:pStyle w:val="BTEMEASMCA"/>
        <w:rPr>
          <w:noProof w:val="0"/>
        </w:rPr>
      </w:pPr>
      <w:r w:rsidRPr="00913636">
        <w:rPr>
          <w:noProof w:val="0"/>
        </w:rPr>
        <w:t>Metamizolas pasižymi retai pasitaikančia, bet gyvybei grėsminga šoko rizika (žr. 4.8 skyrių).</w:t>
      </w:r>
    </w:p>
    <w:p w14:paraId="0EE96DEF" w14:textId="77777777" w:rsidR="004D2D87" w:rsidRPr="00913636" w:rsidRDefault="004D2D87" w:rsidP="00FD3231">
      <w:pPr>
        <w:pStyle w:val="BTEMEASMCA"/>
        <w:rPr>
          <w:noProof w:val="0"/>
        </w:rPr>
      </w:pPr>
    </w:p>
    <w:p w14:paraId="2C2B2F49" w14:textId="77777777" w:rsidR="004D2D87" w:rsidRPr="00913636" w:rsidRDefault="004D2D87" w:rsidP="00FD3231">
      <w:pPr>
        <w:pStyle w:val="BTEMEASMCA"/>
        <w:rPr>
          <w:noProof w:val="0"/>
        </w:rPr>
      </w:pPr>
      <w:r w:rsidRPr="00913636">
        <w:rPr>
          <w:noProof w:val="0"/>
        </w:rPr>
        <w:t>Pacientams, kuriems vartojant Analgin Sopharma pasireiškė anafilaktoidinės reakcijos, galima rizika, kad tokia reakcija pasireikš vartojant kitus nenarkotinius analgetikus.</w:t>
      </w:r>
    </w:p>
    <w:p w14:paraId="0FC1C59C" w14:textId="77777777" w:rsidR="004D2D87" w:rsidRPr="00913636" w:rsidRDefault="004D2D87" w:rsidP="00FD3231">
      <w:pPr>
        <w:pStyle w:val="BTEMEASMCA"/>
        <w:rPr>
          <w:noProof w:val="0"/>
        </w:rPr>
      </w:pPr>
    </w:p>
    <w:p w14:paraId="17C6AD18" w14:textId="77777777" w:rsidR="004D2D87" w:rsidRPr="00913636" w:rsidRDefault="004D2D87" w:rsidP="00FD3231">
      <w:pPr>
        <w:pStyle w:val="BTEMEASMCA"/>
        <w:rPr>
          <w:noProof w:val="0"/>
        </w:rPr>
      </w:pPr>
      <w:r w:rsidRPr="00913636">
        <w:rPr>
          <w:noProof w:val="0"/>
        </w:rPr>
        <w:t>Pacientams, kuriems vartojant Analgin Sopharma pasireiškė anafilaktoidinė arba kita imuninės sistemos lemiama reakcija (pvz., agranulocitozė), taip pat galima tam tikra rizika, kad tokia reakcija pasireikš vartojant kitus pirazolonus ar pirazolidinus.</w:t>
      </w:r>
    </w:p>
    <w:p w14:paraId="3BEB26C5" w14:textId="77777777" w:rsidR="004D2D87" w:rsidRPr="00913636" w:rsidRDefault="004D2D87" w:rsidP="00FD3231">
      <w:pPr>
        <w:pStyle w:val="BTEMEASMCA"/>
        <w:rPr>
          <w:noProof w:val="0"/>
        </w:rPr>
      </w:pPr>
    </w:p>
    <w:p w14:paraId="473B1E1F" w14:textId="46B9586D" w:rsidR="004D2D87" w:rsidRPr="00913636" w:rsidRDefault="004D2D87" w:rsidP="00FD3231">
      <w:pPr>
        <w:pStyle w:val="BTEMEASMCA"/>
        <w:rPr>
          <w:noProof w:val="0"/>
        </w:rPr>
      </w:pPr>
      <w:r w:rsidRPr="00913636">
        <w:rPr>
          <w:noProof w:val="0"/>
        </w:rPr>
        <w:t xml:space="preserve">Atsiradus </w:t>
      </w:r>
      <w:proofErr w:type="spellStart"/>
      <w:r w:rsidRPr="00913636">
        <w:rPr>
          <w:noProof w:val="0"/>
        </w:rPr>
        <w:t>trombocitopenijos</w:t>
      </w:r>
      <w:proofErr w:type="spellEnd"/>
      <w:r w:rsidRPr="00913636">
        <w:rPr>
          <w:noProof w:val="0"/>
        </w:rPr>
        <w:t xml:space="preserve"> reiškinių, reikia nedelsiant nutraukti Analgin Sopharma vartojimą ir atlikti kraujo ląstelių sudėties tyrimą. Vaistinio preparato vartojimo nutraukimo negalima atidėti kol bus gauti laboratorinių tyrimų duomenys.</w:t>
      </w:r>
    </w:p>
    <w:p w14:paraId="41FF5AD6" w14:textId="77777777" w:rsidR="004D2D87" w:rsidRPr="00913636" w:rsidRDefault="004D2D87" w:rsidP="00FD3231">
      <w:pPr>
        <w:pStyle w:val="BTEMEASMCA"/>
        <w:rPr>
          <w:noProof w:val="0"/>
        </w:rPr>
      </w:pPr>
    </w:p>
    <w:p w14:paraId="7C4C99D5" w14:textId="77777777" w:rsidR="004D2D87" w:rsidRPr="00913636" w:rsidRDefault="004D2D87" w:rsidP="00FD3231">
      <w:pPr>
        <w:pStyle w:val="BTEMEASMCA"/>
        <w:rPr>
          <w:noProof w:val="0"/>
        </w:rPr>
      </w:pPr>
      <w:r w:rsidRPr="00913636">
        <w:rPr>
          <w:noProof w:val="0"/>
        </w:rPr>
        <w:t>Sunkių anafilaksinių reakcijų vartojant Analgin Sopharma žymiai dažniau pasitaiko pacientams:</w:t>
      </w:r>
    </w:p>
    <w:p w14:paraId="21B67545" w14:textId="77777777" w:rsidR="004D2D87" w:rsidRPr="00913636" w:rsidRDefault="004D2D87" w:rsidP="00FD3231">
      <w:pPr>
        <w:pStyle w:val="BT-EMEASMCA"/>
        <w:rPr>
          <w:noProof w:val="0"/>
        </w:rPr>
      </w:pPr>
      <w:r w:rsidRPr="00913636">
        <w:rPr>
          <w:noProof w:val="0"/>
        </w:rPr>
        <w:t>sergantiems analgetikų sukelta astma arba esant analgetikų netoleravimui, kuris pasireiškia dilgėline arba angioneurozine edema (žr. 4.3 skyrių);</w:t>
      </w:r>
    </w:p>
    <w:p w14:paraId="6FBD9954" w14:textId="77777777" w:rsidR="004D2D87" w:rsidRPr="00913636" w:rsidRDefault="004D2D87" w:rsidP="00FD3231">
      <w:pPr>
        <w:pStyle w:val="BT-EMEASMCA"/>
        <w:rPr>
          <w:noProof w:val="0"/>
        </w:rPr>
      </w:pPr>
      <w:r w:rsidRPr="00913636">
        <w:rPr>
          <w:noProof w:val="0"/>
        </w:rPr>
        <w:t>sergantiems astma, ypač kartu esant rinosinusitui arba nosies polipams;</w:t>
      </w:r>
    </w:p>
    <w:p w14:paraId="57B00D5F" w14:textId="77777777" w:rsidR="004D2D87" w:rsidRPr="00913636" w:rsidRDefault="004D2D87" w:rsidP="00FD3231">
      <w:pPr>
        <w:pStyle w:val="BT-EMEASMCA"/>
        <w:rPr>
          <w:noProof w:val="0"/>
        </w:rPr>
      </w:pPr>
      <w:r w:rsidRPr="00913636">
        <w:rPr>
          <w:noProof w:val="0"/>
        </w:rPr>
        <w:t>sergantiems lėtine dilgėline;</w:t>
      </w:r>
    </w:p>
    <w:p w14:paraId="17FDD80C" w14:textId="77777777" w:rsidR="004D2D87" w:rsidRPr="00913636" w:rsidRDefault="004D2D87" w:rsidP="00FD3231">
      <w:pPr>
        <w:pStyle w:val="BT-EMEASMCA"/>
        <w:rPr>
          <w:bCs/>
          <w:noProof w:val="0"/>
        </w:rPr>
      </w:pPr>
      <w:r w:rsidRPr="00913636">
        <w:rPr>
          <w:noProof w:val="0"/>
        </w:rPr>
        <w:t>netoleruojantiems dažiklių (pvz., tartrazino) arba konservantų (pvz., benzoatų);</w:t>
      </w:r>
    </w:p>
    <w:p w14:paraId="0055F25F" w14:textId="77777777" w:rsidR="004D2D87" w:rsidRPr="00913636" w:rsidRDefault="004D2D87" w:rsidP="00FD3231">
      <w:pPr>
        <w:pStyle w:val="BT-EMEASMCA"/>
        <w:rPr>
          <w:bCs/>
          <w:noProof w:val="0"/>
        </w:rPr>
      </w:pPr>
      <w:r w:rsidRPr="00913636">
        <w:rPr>
          <w:noProof w:val="0"/>
        </w:rPr>
        <w:t>netoleruojantiems alkoholio. Šie pacientai į mažą alkoholio kiekį reaguoja tokiais simptomais kaip sloga, ašarojimas ir smarkus veido paraudimas. Šis alkoholio netoleravimas gali rodyti anksčiau nediagnozuotą analgetikų astmos sindromą (žr. 4.3 skyrių).</w:t>
      </w:r>
    </w:p>
    <w:p w14:paraId="7C3FC7DA" w14:textId="77777777" w:rsidR="004D2D87" w:rsidRPr="00913636" w:rsidRDefault="004D2D87" w:rsidP="0036701C">
      <w:pPr>
        <w:pStyle w:val="BT-EMEASMCA"/>
        <w:rPr>
          <w:noProof w:val="0"/>
        </w:rPr>
      </w:pPr>
    </w:p>
    <w:p w14:paraId="35E2EFE2" w14:textId="77777777" w:rsidR="004D2D87" w:rsidRPr="00913636" w:rsidRDefault="004D2D87" w:rsidP="00FD3231">
      <w:pPr>
        <w:pStyle w:val="BTEMEASMCA"/>
        <w:rPr>
          <w:noProof w:val="0"/>
        </w:rPr>
      </w:pPr>
      <w:r w:rsidRPr="00913636">
        <w:rPr>
          <w:noProof w:val="0"/>
        </w:rPr>
        <w:t>Analgin Sopharma gali sukelti hipotenzinę reakciją (žr. 4.8 skyrių). Šios reakcijos gali būti priklausomos nuo dozės. Tai būdingiau vartojant parenteraliai negu per burną. Tokių reakcijų rizika padidėja tokiais atvejais:</w:t>
      </w:r>
    </w:p>
    <w:p w14:paraId="5E19725D" w14:textId="77777777" w:rsidR="004D2D87" w:rsidRPr="00913636" w:rsidRDefault="004D2D87" w:rsidP="00FD3231">
      <w:pPr>
        <w:pStyle w:val="BT-EMEASMCA"/>
        <w:rPr>
          <w:noProof w:val="0"/>
        </w:rPr>
      </w:pPr>
      <w:r w:rsidRPr="00913636">
        <w:rPr>
          <w:noProof w:val="0"/>
        </w:rPr>
        <w:t>jei pacientui anksčiau buvo hipotenzija, cirkuliuojančio kraujo tūrio stoka arba dehidracija, esant nestabiliai kraujotakai arba prasidėjus kraujotakos nepakankamumui (pvz., sergantiesiems miokardo infarktu arba įvykus dauginei traumai);</w:t>
      </w:r>
    </w:p>
    <w:p w14:paraId="11453BA5" w14:textId="77777777" w:rsidR="004D2D87" w:rsidRPr="00913636" w:rsidRDefault="004D2D87" w:rsidP="00FD3231">
      <w:pPr>
        <w:pStyle w:val="BT-EMEASMCA"/>
        <w:rPr>
          <w:noProof w:val="0"/>
        </w:rPr>
      </w:pPr>
      <w:r w:rsidRPr="00913636">
        <w:rPr>
          <w:noProof w:val="0"/>
        </w:rPr>
        <w:t>esant aukštai kūno temperatūrai.</w:t>
      </w:r>
    </w:p>
    <w:p w14:paraId="280DE4F6" w14:textId="77777777" w:rsidR="004D2D87" w:rsidRPr="00834CD5" w:rsidRDefault="004D2D87" w:rsidP="004D2D87"/>
    <w:p w14:paraId="381577CD" w14:textId="77777777" w:rsidR="004D2D87" w:rsidRPr="00913636" w:rsidRDefault="004D2D87" w:rsidP="00FD3231">
      <w:pPr>
        <w:pStyle w:val="BTEMEASMCA"/>
        <w:rPr>
          <w:noProof w:val="0"/>
        </w:rPr>
      </w:pPr>
      <w:r w:rsidRPr="00913636">
        <w:rPr>
          <w:noProof w:val="0"/>
        </w:rPr>
        <w:t xml:space="preserve">Tokiems pacientams vaistinio preparato skyrimą reikia apsvarstyti, jų būsena turi būti atidžiai stebima. Hipotenzinės reakcijos rizikai sumažinti gali prireikti profilaktinių priemonių (pvz., kraujotakos stabilizavimo). </w:t>
      </w:r>
    </w:p>
    <w:p w14:paraId="2AA1C36C" w14:textId="77777777" w:rsidR="004D2D87" w:rsidRPr="00913636" w:rsidRDefault="004D2D87" w:rsidP="00FD3231">
      <w:pPr>
        <w:pStyle w:val="BTEMEASMCA"/>
        <w:rPr>
          <w:noProof w:val="0"/>
        </w:rPr>
      </w:pPr>
    </w:p>
    <w:p w14:paraId="1AD2D8CF" w14:textId="77777777" w:rsidR="004D2D87" w:rsidRPr="00913636" w:rsidRDefault="004D2D87" w:rsidP="00FD3231">
      <w:pPr>
        <w:pStyle w:val="BTEMEASMCA"/>
        <w:rPr>
          <w:noProof w:val="0"/>
        </w:rPr>
      </w:pPr>
      <w:r w:rsidRPr="00913636">
        <w:rPr>
          <w:noProof w:val="0"/>
        </w:rPr>
        <w:t>Tiems pacientams, kuriems visada reikia vengti kraujospūdžio sumažėjimo, pvz., esant sunkiai koronarinei širdies ligai arba smegenis maitinančių kraujagyslių išreikštai stenozei, Analgin Sopharma galima vartoti tik tais atvejais, kuomet atidžiai kontroliuojami hemodinaminiai rodmenys.</w:t>
      </w:r>
    </w:p>
    <w:p w14:paraId="25D4371F" w14:textId="77777777" w:rsidR="004D2D87" w:rsidRPr="00913636" w:rsidRDefault="004D2D87" w:rsidP="00FD3231">
      <w:pPr>
        <w:pStyle w:val="BTEMEASMCA"/>
        <w:rPr>
          <w:noProof w:val="0"/>
        </w:rPr>
      </w:pPr>
    </w:p>
    <w:p w14:paraId="59536365" w14:textId="77777777" w:rsidR="004D2D87" w:rsidRPr="00913636" w:rsidRDefault="004D2D87" w:rsidP="00FD3231">
      <w:pPr>
        <w:pStyle w:val="BTEMEASMCA"/>
        <w:rPr>
          <w:noProof w:val="0"/>
        </w:rPr>
      </w:pPr>
      <w:r w:rsidRPr="00913636">
        <w:rPr>
          <w:noProof w:val="0"/>
        </w:rPr>
        <w:t>Pacientams, kurių inkstų ir kepenų funkcija sutrikusi, Analgin Sopharma turi būti vartojamas tik atidžiai įvertinus riziką ir vartojimo naudą ir laikantis atitinkamų atsargumo priemonių (žr. 4.2 skyrių).</w:t>
      </w:r>
    </w:p>
    <w:p w14:paraId="6F19104D" w14:textId="77777777" w:rsidR="004D2D87" w:rsidRPr="00913636" w:rsidRDefault="004D2D87" w:rsidP="00FD3231">
      <w:pPr>
        <w:pStyle w:val="BTEMEASMCA"/>
        <w:rPr>
          <w:noProof w:val="0"/>
        </w:rPr>
      </w:pPr>
    </w:p>
    <w:p w14:paraId="2F93486B" w14:textId="77777777" w:rsidR="004D2D87" w:rsidRPr="005C39E8" w:rsidRDefault="004D2D87" w:rsidP="00FD3231">
      <w:pPr>
        <w:pStyle w:val="BTEMEASMCA"/>
        <w:rPr>
          <w:u w:val="single"/>
        </w:rPr>
      </w:pPr>
      <w:r w:rsidRPr="005C39E8">
        <w:rPr>
          <w:u w:val="single"/>
        </w:rPr>
        <w:t>Vaistinio preparato sukeltas kepenų pažeidimas</w:t>
      </w:r>
    </w:p>
    <w:p w14:paraId="404E00D2" w14:textId="77777777" w:rsidR="004D2D87" w:rsidRPr="00913636" w:rsidRDefault="004D2D87" w:rsidP="00FD3231">
      <w:pPr>
        <w:pStyle w:val="BTEMEASMCA"/>
        <w:rPr>
          <w:noProof w:val="0"/>
        </w:rPr>
      </w:pPr>
      <w:r w:rsidRPr="00913636">
        <w:rPr>
          <w:noProof w:val="0"/>
        </w:rPr>
        <w:t>Gauta pranešimų apie metamizolu gydytiems pacientams nustatytus ūminio hepatito, daugiausia hepatoceliulinio pobūdžio, atvejus, kai šis sutrikimas pasireiškė praėjus nuo kelių dienų iki kelių mėnesių nuo gydymo pradžios. Ūminis hepatitas pasireiškia šiais požymiais ir simptomais: padidėjusiu kepenų fermentų aktyvumu kraujo serume su gelta arba be jos, kuris dažnai nustatomas kartu su kitomis padidėjusio jautrumo į vaistą reakcijomis (pvz., odos išbėrimu, kraujo diskrazija, karščiavimu ir eozinofilija) arba autoimuninio hepatito požymiais. Daugumos pacientų nepageidaujamos reakcijos išnyko nutraukus gydymą metamizolu, vis dėlto pavieniais atvejais, apie kuriuos buvo pranešta, šis sutrikimas progresavo į ūminį kepenų nepakankamumą, dėl kurio pacientui reikėjo persodinti kepenis.</w:t>
      </w:r>
    </w:p>
    <w:p w14:paraId="0B824ADD" w14:textId="77777777" w:rsidR="004D2D87" w:rsidRPr="00913636" w:rsidRDefault="004D2D87" w:rsidP="00FD3231">
      <w:pPr>
        <w:pStyle w:val="BTEMEASMCA"/>
        <w:rPr>
          <w:noProof w:val="0"/>
        </w:rPr>
      </w:pPr>
    </w:p>
    <w:p w14:paraId="207EBA35" w14:textId="77777777" w:rsidR="004D2D87" w:rsidRPr="00913636" w:rsidRDefault="004D2D87" w:rsidP="00FD3231">
      <w:pPr>
        <w:pStyle w:val="BTEMEASMCA"/>
        <w:rPr>
          <w:noProof w:val="0"/>
        </w:rPr>
      </w:pPr>
      <w:r w:rsidRPr="00913636">
        <w:rPr>
          <w:noProof w:val="0"/>
        </w:rPr>
        <w:t>Metamizolo sukeliamo kepenų pažeidimo mechanizmas  nevisiškai ištirtas, bet iš duomenų matyti, kad jį lemia imuninis-alerginis mechanizmas.</w:t>
      </w:r>
    </w:p>
    <w:p w14:paraId="38BA4664" w14:textId="77777777" w:rsidR="004D2D87" w:rsidRPr="00913636" w:rsidRDefault="004D2D87" w:rsidP="00FD3231">
      <w:pPr>
        <w:pStyle w:val="BTEMEASMCA"/>
        <w:rPr>
          <w:noProof w:val="0"/>
        </w:rPr>
      </w:pPr>
    </w:p>
    <w:p w14:paraId="5D2B3A93" w14:textId="77777777" w:rsidR="004D2D87" w:rsidRPr="00913636" w:rsidRDefault="004D2D87" w:rsidP="00FD3231">
      <w:pPr>
        <w:pStyle w:val="BTEMEASMCA"/>
        <w:rPr>
          <w:noProof w:val="0"/>
        </w:rPr>
      </w:pPr>
      <w:r w:rsidRPr="00913636">
        <w:rPr>
          <w:noProof w:val="0"/>
        </w:rPr>
        <w:lastRenderedPageBreak/>
        <w:t>Pacientams reikia paaiškinti, kad pasireiškus  simptomams, kurie leidžia įtarti kepenų pažeidimą, jie turi kreiptis į gydytoją. Reikia nutraukti tokių pacientų gydymą metamizolu ir įvertinti jų kepenų funkciją.</w:t>
      </w:r>
    </w:p>
    <w:p w14:paraId="5E7307D8" w14:textId="77777777" w:rsidR="004D2D87" w:rsidRPr="00913636" w:rsidRDefault="004D2D87" w:rsidP="00FD3231">
      <w:pPr>
        <w:pStyle w:val="BTEMEASMCA"/>
        <w:rPr>
          <w:noProof w:val="0"/>
        </w:rPr>
      </w:pPr>
    </w:p>
    <w:p w14:paraId="7E00DFA1" w14:textId="77777777" w:rsidR="004D2D87" w:rsidRPr="00913636" w:rsidRDefault="004D2D87" w:rsidP="00FD3231">
      <w:pPr>
        <w:pStyle w:val="BTEMEASMCA"/>
        <w:rPr>
          <w:noProof w:val="0"/>
        </w:rPr>
      </w:pPr>
      <w:r w:rsidRPr="00913636">
        <w:rPr>
          <w:noProof w:val="0"/>
        </w:rPr>
        <w:t>Gydymo metamizolu negalima atnaujinti pacientams, kuriems gydymo metamizolu laikotarpiu pasireiškė kepenų pažeidimo epizodas, jei kitų kepenų pažeidimo priežasčių nenustatyta.</w:t>
      </w:r>
    </w:p>
    <w:p w14:paraId="02900E7D" w14:textId="77777777" w:rsidR="004D2D87" w:rsidRPr="00913636" w:rsidRDefault="004D2D87" w:rsidP="00FD3231">
      <w:pPr>
        <w:pStyle w:val="BTEMEASMCA"/>
        <w:rPr>
          <w:noProof w:val="0"/>
        </w:rPr>
      </w:pPr>
    </w:p>
    <w:p w14:paraId="6B889392" w14:textId="77777777" w:rsidR="004D2D87" w:rsidRPr="00913636" w:rsidRDefault="004D2D87" w:rsidP="00FD3231">
      <w:pPr>
        <w:pStyle w:val="BTEMEASMCA"/>
        <w:rPr>
          <w:noProof w:val="0"/>
        </w:rPr>
      </w:pPr>
      <w:r w:rsidRPr="00913636">
        <w:rPr>
          <w:noProof w:val="0"/>
        </w:rPr>
        <w:t>Prieš Analgin Sopharma vartojimą reikia atidžiai surinkti anamnezę. Esant padidėjusiai anafilaksinės reakcijos rizikai Analgin Sopharma turi būti skiriamas tik atidžiai įvertinus galimo pavojaus ir naudos santykį. Vartojant Analgin Sopharma tokiais atvejais pacientą reikia atidžiai prižiūrėti bei turi būti paruoštos visos skubios pagalbos priemonės.</w:t>
      </w:r>
    </w:p>
    <w:p w14:paraId="4CA4EC05" w14:textId="77777777" w:rsidR="004D2D87" w:rsidRPr="00834CD5" w:rsidRDefault="004D2D87" w:rsidP="004D2D87"/>
    <w:p w14:paraId="6DFF4B8A" w14:textId="77777777" w:rsidR="004D2D87" w:rsidRPr="00834CD5" w:rsidRDefault="004D2D87" w:rsidP="004D2D87">
      <w:r w:rsidRPr="00834CD5">
        <w:t>Pacientams, sergantiems ligomis, kurių priežastis gali būti alergija (bronchų astma, polinozė, Kvinkės edema, lėtinės kvėpavimo takų infekcinės ligos), taip pat pacientams, jautriems analgetiniams ir antireumatiniams vaistiniams preparatams, kitiems vaistiniams preparatams bei kai kuriems maisto produktams, alerginių reakcijų ir astmos priepuolio tikimybė yra didesnė.</w:t>
      </w:r>
    </w:p>
    <w:p w14:paraId="7601D129" w14:textId="77777777" w:rsidR="004D2D87" w:rsidRPr="00834CD5" w:rsidRDefault="004D2D87" w:rsidP="004D2D87"/>
    <w:p w14:paraId="3EC1FE9E" w14:textId="3E428490" w:rsidR="004D2D87" w:rsidRPr="00834CD5" w:rsidRDefault="004D2D87" w:rsidP="004D2D87">
      <w:r w:rsidRPr="00834CD5">
        <w:t>Per inkstus išsiskiriantis toksinio poveikio nesukeliantis metabolitas gali nudažyti šlapimą raudona spalva.</w:t>
      </w:r>
    </w:p>
    <w:p w14:paraId="18E45052" w14:textId="2B657D14" w:rsidR="00E85634" w:rsidRPr="00834CD5" w:rsidRDefault="00E85634" w:rsidP="004D2D87"/>
    <w:p w14:paraId="66556B8C" w14:textId="77777777" w:rsidR="00E85634" w:rsidRPr="00834CD5" w:rsidRDefault="00E85634" w:rsidP="00E85634">
      <w:pPr>
        <w:rPr>
          <w:u w:val="single"/>
        </w:rPr>
      </w:pPr>
      <w:r w:rsidRPr="00834CD5">
        <w:rPr>
          <w:u w:val="single"/>
        </w:rPr>
        <w:t>Sunkios odos reakcijos</w:t>
      </w:r>
    </w:p>
    <w:p w14:paraId="760BD005" w14:textId="77777777" w:rsidR="00E85634" w:rsidRPr="00834CD5" w:rsidRDefault="00E85634" w:rsidP="00E85634">
      <w:r w:rsidRPr="00834CD5">
        <w:t xml:space="preserve">Gydant metamizolu, gauta pranešimų apie sunkias nepageidaujamas odos reakcijas, įskaitant Stivenso-Džonsono sindromą (SDS), toksinę epidermio nekrolizę (TEN) ir reakciją į vaistinį preparatą su eozinofilija ir sisteminiais simptomais (angl. </w:t>
      </w:r>
      <w:r w:rsidRPr="00834CD5">
        <w:rPr>
          <w:i/>
        </w:rPr>
        <w:t>drug reaction with eosinophilia and systemic symptoms;</w:t>
      </w:r>
      <w:r w:rsidRPr="00834CD5">
        <w:t xml:space="preserve"> DRESS), kurie gali būti pavojingi gyvybei arba lemti mirtį.</w:t>
      </w:r>
    </w:p>
    <w:p w14:paraId="35853466" w14:textId="77777777" w:rsidR="00E85634" w:rsidRPr="00834CD5" w:rsidRDefault="00E85634" w:rsidP="00E85634"/>
    <w:p w14:paraId="3E383AD0" w14:textId="468D4B0E" w:rsidR="00E85634" w:rsidRPr="00834CD5" w:rsidRDefault="00E85634" w:rsidP="00E85634">
      <w:r w:rsidRPr="00834CD5">
        <w:t>Pacientus reikia informuoti apie odos reakcijų požymius ir simptomus bei pacientus atidžiai stebėti, ar jiems nepasireiškia tokios reakcijos.</w:t>
      </w:r>
    </w:p>
    <w:p w14:paraId="6D5A3C0F" w14:textId="77777777" w:rsidR="00E85634" w:rsidRPr="00834CD5" w:rsidRDefault="00E85634" w:rsidP="00E85634"/>
    <w:p w14:paraId="6F7C2062" w14:textId="456C92A5" w:rsidR="00E85634" w:rsidRPr="00834CD5" w:rsidRDefault="00E85634" w:rsidP="004D2D87">
      <w:r w:rsidRPr="00834CD5">
        <w:t>Jeigu pasireikštų šių reakcijų požymių ir simptomų, gydymą metamizolu gydymą metamizolu reikia nedelsiant nutraukti ir nebegalima atnaujinti (žr. 4.3 skyrių).</w:t>
      </w:r>
    </w:p>
    <w:p w14:paraId="3351BC74" w14:textId="77777777" w:rsidR="004D2D87" w:rsidRPr="00834CD5" w:rsidRDefault="004D2D87" w:rsidP="004D2D87"/>
    <w:p w14:paraId="61B78BCD" w14:textId="77777777" w:rsidR="004D2D87" w:rsidRPr="00834CD5" w:rsidRDefault="004D2D87" w:rsidP="004D2D87">
      <w:r w:rsidRPr="00834CD5">
        <w:t>Šio vaistinio preparato sudėtyje yra labai mažas glitimo (esančio kviečių krakmole) kiekis. Šis vaistinis preparatas laikytinas neturinčiu glitimo, todėl jei pacientas serga celiakija, mažai tikėtina, kad pacientui pakenks. Vienoje tabletėje yra ne daugiau kaip 3,4 mikrogramai glitimo. Jeigu pacientas yra alergiškas kviečiams (ši liga skiriasi nuo celiakijos), šio vaistinio preparato jam vartoti negalima.</w:t>
      </w:r>
    </w:p>
    <w:p w14:paraId="597B1342" w14:textId="77777777" w:rsidR="004D2D87" w:rsidRPr="00834CD5" w:rsidRDefault="004D2D87" w:rsidP="004D2D87"/>
    <w:p w14:paraId="619EB85F" w14:textId="77777777" w:rsidR="004D2D87" w:rsidRPr="00834CD5" w:rsidRDefault="004D2D87" w:rsidP="004D2D87">
      <w:r w:rsidRPr="00834CD5">
        <w:t>Šio vaistinio preparato tabletėje yra 32,7 mg natrio, tai atitinka 1,6 % didžiausios PSO rekomenduojamos paros normos suaugusiesiems, kuri yra 2 g natrio.</w:t>
      </w:r>
    </w:p>
    <w:p w14:paraId="2113F5D9" w14:textId="77777777" w:rsidR="004D2D87" w:rsidRPr="00834CD5" w:rsidRDefault="004D2D87" w:rsidP="004D2D87"/>
    <w:p w14:paraId="15CB3770" w14:textId="77777777" w:rsidR="004D2D87" w:rsidRPr="00834CD5" w:rsidRDefault="004D2D87" w:rsidP="004D2D87">
      <w:pPr>
        <w:pStyle w:val="Antrat4"/>
      </w:pPr>
      <w:r w:rsidRPr="00834CD5">
        <w:t>4.5</w:t>
      </w:r>
      <w:r w:rsidRPr="00834CD5">
        <w:tab/>
        <w:t>Sąveika su kitais vaistiniais preparatais ir kitokia sąveika</w:t>
      </w:r>
    </w:p>
    <w:p w14:paraId="301A809B" w14:textId="77777777" w:rsidR="004D2D87" w:rsidRPr="00834CD5" w:rsidRDefault="004D2D87" w:rsidP="004D2D87"/>
    <w:p w14:paraId="03C487A3" w14:textId="77777777" w:rsidR="004D2D87" w:rsidRPr="00834CD5" w:rsidRDefault="004D2D87" w:rsidP="004D2D87">
      <w:pPr>
        <w:pStyle w:val="Pagrindinistekstas"/>
        <w:rPr>
          <w:i w:val="0"/>
          <w:color w:val="auto"/>
        </w:rPr>
      </w:pPr>
      <w:r w:rsidRPr="00834CD5">
        <w:rPr>
          <w:i w:val="0"/>
          <w:color w:val="auto"/>
        </w:rPr>
        <w:t>Dėl kepenų fermentų indukcijos metamizolas silpnina kumarinų grupės antikoaguliantų poveikį.</w:t>
      </w:r>
    </w:p>
    <w:p w14:paraId="25943D13" w14:textId="77777777" w:rsidR="004D2D87" w:rsidRPr="00834CD5" w:rsidRDefault="004D2D87" w:rsidP="004D2D87">
      <w:pPr>
        <w:pStyle w:val="Pagrindinistekstas"/>
        <w:rPr>
          <w:i w:val="0"/>
          <w:color w:val="auto"/>
        </w:rPr>
      </w:pPr>
      <w:r w:rsidRPr="00834CD5">
        <w:rPr>
          <w:i w:val="0"/>
          <w:color w:val="auto"/>
        </w:rPr>
        <w:t xml:space="preserve"> </w:t>
      </w:r>
    </w:p>
    <w:p w14:paraId="42F7D8F8" w14:textId="77777777" w:rsidR="004D2D87" w:rsidRPr="00834CD5" w:rsidRDefault="004D2D87" w:rsidP="004D2D87">
      <w:pPr>
        <w:pStyle w:val="Pagrindinistekstas"/>
        <w:rPr>
          <w:i w:val="0"/>
          <w:color w:val="auto"/>
        </w:rPr>
      </w:pPr>
      <w:r w:rsidRPr="00834CD5">
        <w:rPr>
          <w:i w:val="0"/>
          <w:color w:val="auto"/>
        </w:rPr>
        <w:t>Triciklių antidepresantų, geriamųjų kontraceptikų bei alopurinolio veikimas stiprėja, kai vartojama kartu su metamizolu.</w:t>
      </w:r>
    </w:p>
    <w:p w14:paraId="394B7E7B" w14:textId="77777777" w:rsidR="004D2D87" w:rsidRPr="00834CD5" w:rsidRDefault="004D2D87" w:rsidP="004D2D87">
      <w:pPr>
        <w:pStyle w:val="Pagrindinistekstas"/>
        <w:rPr>
          <w:i w:val="0"/>
          <w:color w:val="auto"/>
        </w:rPr>
      </w:pPr>
      <w:r w:rsidRPr="00834CD5">
        <w:rPr>
          <w:i w:val="0"/>
          <w:color w:val="auto"/>
        </w:rPr>
        <w:t xml:space="preserve"> </w:t>
      </w:r>
    </w:p>
    <w:p w14:paraId="20400D1A" w14:textId="77777777" w:rsidR="004D2D87" w:rsidRPr="00834CD5" w:rsidRDefault="004D2D87" w:rsidP="004D2D87">
      <w:pPr>
        <w:pStyle w:val="Pagrindinistekstas"/>
        <w:rPr>
          <w:i w:val="0"/>
          <w:color w:val="auto"/>
        </w:rPr>
      </w:pPr>
      <w:r w:rsidRPr="00834CD5">
        <w:rPr>
          <w:i w:val="0"/>
          <w:color w:val="auto"/>
        </w:rPr>
        <w:t>Alkoholis sustiprina metamizolo skausmo malšinamąjį poveikį.</w:t>
      </w:r>
    </w:p>
    <w:p w14:paraId="54435ECF" w14:textId="77777777" w:rsidR="004D2D87" w:rsidRPr="00834CD5" w:rsidRDefault="004D2D87" w:rsidP="004D2D87">
      <w:pPr>
        <w:pStyle w:val="Pagrindinistekstas"/>
        <w:rPr>
          <w:i w:val="0"/>
          <w:color w:val="auto"/>
        </w:rPr>
      </w:pPr>
      <w:r w:rsidRPr="00834CD5">
        <w:rPr>
          <w:i w:val="0"/>
          <w:color w:val="auto"/>
        </w:rPr>
        <w:t xml:space="preserve"> </w:t>
      </w:r>
    </w:p>
    <w:p w14:paraId="3799062A" w14:textId="77777777" w:rsidR="004D2D87" w:rsidRPr="00834CD5" w:rsidRDefault="004D2D87" w:rsidP="004D2D87">
      <w:pPr>
        <w:pStyle w:val="Pagrindinistekstas"/>
        <w:rPr>
          <w:i w:val="0"/>
          <w:color w:val="auto"/>
        </w:rPr>
      </w:pPr>
      <w:r w:rsidRPr="00834CD5">
        <w:rPr>
          <w:i w:val="0"/>
          <w:color w:val="auto"/>
        </w:rPr>
        <w:t>Chloramfenikolis ir kiti toksiškai veikiantys kaulų čiulpus vaistiniai preparatai didina nepageidaujamų poveikių kraujo gamybai tikimybę.</w:t>
      </w:r>
    </w:p>
    <w:p w14:paraId="048E405E" w14:textId="77777777" w:rsidR="004D2D87" w:rsidRPr="00834CD5" w:rsidRDefault="004D2D87" w:rsidP="004D2D87">
      <w:pPr>
        <w:pStyle w:val="Pagrindinistekstas"/>
        <w:rPr>
          <w:i w:val="0"/>
          <w:color w:val="auto"/>
        </w:rPr>
      </w:pPr>
      <w:r w:rsidRPr="00834CD5">
        <w:rPr>
          <w:i w:val="0"/>
          <w:color w:val="auto"/>
        </w:rPr>
        <w:t xml:space="preserve"> </w:t>
      </w:r>
    </w:p>
    <w:p w14:paraId="60481815" w14:textId="77777777" w:rsidR="004D2D87" w:rsidRPr="00913636" w:rsidRDefault="004D2D87" w:rsidP="00FD3231">
      <w:pPr>
        <w:pStyle w:val="BTEMEASMCA"/>
        <w:rPr>
          <w:noProof w:val="0"/>
        </w:rPr>
      </w:pPr>
      <w:r w:rsidRPr="00913636">
        <w:rPr>
          <w:noProof w:val="0"/>
        </w:rPr>
        <w:t>Vartojant Analgin Sopharma kartu su chlorpromazinu, gali pasireikšti sunki hipotermija.</w:t>
      </w:r>
    </w:p>
    <w:p w14:paraId="48D0D7D6" w14:textId="77777777" w:rsidR="004D2D87" w:rsidRPr="00913636" w:rsidRDefault="004D2D87" w:rsidP="00FD3231">
      <w:pPr>
        <w:pStyle w:val="BTEMEASMCA"/>
        <w:rPr>
          <w:noProof w:val="0"/>
        </w:rPr>
      </w:pPr>
    </w:p>
    <w:p w14:paraId="0EF51066" w14:textId="77777777" w:rsidR="004D2D87" w:rsidRPr="00834CD5" w:rsidRDefault="004D2D87" w:rsidP="004D2D87">
      <w:pPr>
        <w:pStyle w:val="Pagrindinistekstas"/>
        <w:rPr>
          <w:i w:val="0"/>
          <w:color w:val="auto"/>
        </w:rPr>
      </w:pPr>
      <w:r w:rsidRPr="00834CD5">
        <w:rPr>
          <w:i w:val="0"/>
          <w:color w:val="auto"/>
        </w:rPr>
        <w:lastRenderedPageBreak/>
        <w:t>Pirazolonų grupės medžiagos gali sąveikauti su geriamaisiais antikoaguliantais, kaptopriliu, ličiu, metotreksatu, triamterenu ir pakeisti antihipertenzinių vaistinių preparatų ir diuretikų veiksmingumą. Kokio stiprumo galima tokia sąveika, nėra žinoma.</w:t>
      </w:r>
    </w:p>
    <w:p w14:paraId="6A82E2DB" w14:textId="77777777" w:rsidR="004D2D87" w:rsidRPr="00834CD5" w:rsidRDefault="004D2D87" w:rsidP="004D2D87">
      <w:pPr>
        <w:pStyle w:val="Pagrindinistekstas"/>
        <w:rPr>
          <w:i w:val="0"/>
          <w:color w:val="000000" w:themeColor="text1"/>
        </w:rPr>
      </w:pPr>
    </w:p>
    <w:p w14:paraId="3A45E88A" w14:textId="77777777" w:rsidR="004D2D87" w:rsidRPr="00834CD5" w:rsidRDefault="004D2D87" w:rsidP="004D2D87">
      <w:pPr>
        <w:pStyle w:val="Pagrindinistekstas"/>
        <w:rPr>
          <w:i w:val="0"/>
          <w:color w:val="000000" w:themeColor="text1"/>
        </w:rPr>
      </w:pPr>
      <w:r w:rsidRPr="00834CD5">
        <w:rPr>
          <w:i w:val="0"/>
          <w:color w:val="000000" w:themeColor="text1"/>
        </w:rPr>
        <w:t>Farmakokinetinė metabolizuojančių fermentų indukcija:</w:t>
      </w:r>
    </w:p>
    <w:p w14:paraId="26F6CF13" w14:textId="77777777" w:rsidR="004D2D87" w:rsidRPr="00834CD5" w:rsidRDefault="004D2D87" w:rsidP="004D2D87">
      <w:pPr>
        <w:pStyle w:val="Pagrindinistekstas"/>
        <w:rPr>
          <w:i w:val="0"/>
          <w:color w:val="000000" w:themeColor="text1"/>
        </w:rPr>
      </w:pPr>
    </w:p>
    <w:p w14:paraId="6572D6AE" w14:textId="77777777" w:rsidR="004D2D87" w:rsidRPr="00834CD5" w:rsidRDefault="004D2D87" w:rsidP="004D2D87">
      <w:pPr>
        <w:pStyle w:val="Pagrindinistekstas"/>
        <w:rPr>
          <w:i w:val="0"/>
          <w:color w:val="000000" w:themeColor="text1"/>
        </w:rPr>
      </w:pPr>
      <w:r w:rsidRPr="00834CD5">
        <w:rPr>
          <w:i w:val="0"/>
          <w:color w:val="000000" w:themeColor="text1"/>
        </w:rPr>
        <w:t>Metamizolas gali indukuoti metabolizuojančius fermentus, įskaitant CYP2B6 ir CYP3A4.</w:t>
      </w:r>
    </w:p>
    <w:p w14:paraId="01A2B5B2" w14:textId="77777777" w:rsidR="004D2D87" w:rsidRPr="00834CD5" w:rsidRDefault="004D2D87" w:rsidP="004D2D87">
      <w:pPr>
        <w:pStyle w:val="Pagrindinistekstas"/>
        <w:rPr>
          <w:i w:val="0"/>
          <w:color w:val="000000" w:themeColor="text1"/>
        </w:rPr>
      </w:pPr>
    </w:p>
    <w:p w14:paraId="5A211107" w14:textId="77777777" w:rsidR="004D2D87" w:rsidRPr="00834CD5" w:rsidRDefault="004D2D87" w:rsidP="004D2D87">
      <w:pPr>
        <w:pStyle w:val="Pagrindinistekstas"/>
        <w:rPr>
          <w:i w:val="0"/>
          <w:color w:val="000000" w:themeColor="text1"/>
        </w:rPr>
      </w:pPr>
      <w:r w:rsidRPr="00834CD5">
        <w:rPr>
          <w:i w:val="0"/>
          <w:color w:val="000000" w:themeColor="text1"/>
        </w:rPr>
        <w:t>Metamizolą vartojant kartu su bupropionu, efavirenzu, metadonu, valproatu, ciklosporinu, takrolimuzu arba sertralinu, gali sumažėti šių vaistinių preparatų koncentracija plazmoje ir gali sumažėti jų klinikinis veiksmingumas. Todėl, kai vartojama minėtų vaistinių preparatų ir metamizolo derinio, rekomenduojama imtis atitinkamų atsargumo priemonių; prireikus, reikia stebėti klinikinį atsaką į gydymą ir (arba) vaistinių preparatų koncentracijas kraujyje.</w:t>
      </w:r>
    </w:p>
    <w:p w14:paraId="41972F8E" w14:textId="77777777" w:rsidR="004D2D87" w:rsidRPr="00834CD5" w:rsidRDefault="004D2D87" w:rsidP="004D2D87">
      <w:pPr>
        <w:pStyle w:val="Pagrindinistekstas"/>
        <w:rPr>
          <w:i w:val="0"/>
          <w:color w:val="000000" w:themeColor="text1"/>
        </w:rPr>
      </w:pPr>
    </w:p>
    <w:p w14:paraId="6008431C" w14:textId="77777777" w:rsidR="004D2D87" w:rsidRPr="00834CD5" w:rsidRDefault="004D2D87" w:rsidP="004D2D87">
      <w:pPr>
        <w:pStyle w:val="Pagrindinistekstas"/>
        <w:rPr>
          <w:i w:val="0"/>
          <w:color w:val="auto"/>
        </w:rPr>
      </w:pPr>
      <w:r w:rsidRPr="00834CD5">
        <w:rPr>
          <w:i w:val="0"/>
          <w:color w:val="auto"/>
        </w:rPr>
        <w:t>Vaistinį preparatą galima vartoti kartu su atropinu, buskolizinu ir kitais spazmolitikais. Jis neturi įtakos gimdos judesių skatinamųjų ir tonusą didinamųjų vaistinių preparatų poveikiui.</w:t>
      </w:r>
    </w:p>
    <w:p w14:paraId="380371EC" w14:textId="77777777" w:rsidR="004D2D87" w:rsidRPr="00834CD5" w:rsidRDefault="004D2D87" w:rsidP="004D2D87">
      <w:pPr>
        <w:pStyle w:val="Pagrindinistekstas"/>
        <w:rPr>
          <w:i w:val="0"/>
          <w:color w:val="auto"/>
        </w:rPr>
      </w:pPr>
    </w:p>
    <w:p w14:paraId="77364206" w14:textId="77777777" w:rsidR="004D2D87" w:rsidRPr="00834CD5" w:rsidRDefault="004D2D87" w:rsidP="004D2D87">
      <w:pPr>
        <w:pStyle w:val="Pagrindinistekstas"/>
        <w:rPr>
          <w:i w:val="0"/>
          <w:color w:val="auto"/>
        </w:rPr>
      </w:pPr>
      <w:r w:rsidRPr="00834CD5">
        <w:rPr>
          <w:i w:val="0"/>
          <w:color w:val="auto"/>
        </w:rPr>
        <w:t>Kartu vartojamas metamizolas gali sumažinti acetilsalicilo rūgšties poveikį trombocitų agregacijai. Todėl šį derinį reikia vartoti atsargiai pacientams, vartojantiems mažas aspirino (acetilsalicilo rūgšties) dozes kardioprotekcijai.</w:t>
      </w:r>
    </w:p>
    <w:p w14:paraId="778FD178" w14:textId="77777777" w:rsidR="004D2D87" w:rsidRPr="00834CD5" w:rsidRDefault="004D2D87" w:rsidP="004D2D87"/>
    <w:p w14:paraId="6363DB02" w14:textId="77777777" w:rsidR="004D2D87" w:rsidRPr="00834CD5" w:rsidRDefault="004D2D87" w:rsidP="004D2D87">
      <w:pPr>
        <w:pStyle w:val="Antrat4"/>
      </w:pPr>
      <w:r w:rsidRPr="00834CD5">
        <w:t>4.6</w:t>
      </w:r>
      <w:r w:rsidRPr="00834CD5">
        <w:tab/>
        <w:t>Vaisingumas, nėštumo ir žindymo laikotarpis</w:t>
      </w:r>
    </w:p>
    <w:p w14:paraId="08D5C3A8" w14:textId="77777777" w:rsidR="004D2D87" w:rsidRPr="00834CD5" w:rsidRDefault="004D2D87" w:rsidP="004D2D87"/>
    <w:p w14:paraId="0BBFB50A" w14:textId="77777777" w:rsidR="004D2D87" w:rsidRPr="00834CD5" w:rsidRDefault="004D2D87" w:rsidP="004D2D87">
      <w:pPr>
        <w:rPr>
          <w:u w:val="single"/>
        </w:rPr>
      </w:pPr>
      <w:r w:rsidRPr="00834CD5">
        <w:rPr>
          <w:u w:val="single"/>
        </w:rPr>
        <w:t>Nėštumas</w:t>
      </w:r>
    </w:p>
    <w:p w14:paraId="5490EC2A" w14:textId="77777777" w:rsidR="004D2D87" w:rsidRPr="00834CD5" w:rsidRDefault="004D2D87" w:rsidP="004D2D87">
      <w:r w:rsidRPr="00834CD5">
        <w:t>Duomenų apie metamizolo vartojimą nėštumo metu nėra daug.</w:t>
      </w:r>
    </w:p>
    <w:p w14:paraId="56C0F58D" w14:textId="77777777" w:rsidR="004D2D87" w:rsidRPr="00834CD5" w:rsidRDefault="004D2D87" w:rsidP="004D2D87"/>
    <w:p w14:paraId="43990A73" w14:textId="77777777" w:rsidR="004D2D87" w:rsidRPr="00834CD5" w:rsidRDefault="004D2D87" w:rsidP="004D2D87">
      <w:r w:rsidRPr="00834CD5">
        <w:t>Remiantis paskelbtais nėščiųjų, kurios vartojo metamizolo pirmą trimestrą (n=568), tyrimų duomenimis, teratogeninio poveikio ir toksinio poveikio embrionui įrodymų nenustatyta. Tam tikrais atvejais, nesant kitokio gydymo pasirinkimo galimybių, vartoti pavienes metamizolo dozes pirmą ir antrą trimestrą gali būti priimtina. Vis dėlto, apskritai vartoti metamizolo pirmą ir antrą trimestrą nerekomenduojama. Jo vartojimas trečią trimestrą siejamas su fetotoksiškumu (inkstų pažeidimu ir arterinio latako užsivėrimu), todėl trečią nėštumo trimestrą vartoti metamizolo draudžiama (žr. 4.3 skyrių). Atsitiktinai pavartojus metamizolo trečią trimestrą, reikia tikrinti vaisiaus vandenų ir arterinio latako būklę atliekant ultragarsinį tyrimą ir echokardiografiją.</w:t>
      </w:r>
    </w:p>
    <w:p w14:paraId="6132AAA7" w14:textId="77777777" w:rsidR="004D2D87" w:rsidRPr="00834CD5" w:rsidRDefault="004D2D87" w:rsidP="004D2D87">
      <w:r w:rsidRPr="00834CD5">
        <w:t>Metamizolas prasiskverbia pro placentos barjerą.</w:t>
      </w:r>
    </w:p>
    <w:p w14:paraId="6FC9B071" w14:textId="77777777" w:rsidR="004D2D87" w:rsidRPr="00834CD5" w:rsidRDefault="004D2D87" w:rsidP="004D2D87">
      <w:r w:rsidRPr="00834CD5">
        <w:t>Atliekant tyrimus su gyvūnais, metamizolas sukėlė toksinį poveikį reprodukcijai, bet teratogeniškumo nenustatyta (žr. 5.3 skyrių).</w:t>
      </w:r>
    </w:p>
    <w:p w14:paraId="2782CED8" w14:textId="77777777" w:rsidR="004D2D87" w:rsidRPr="00834CD5" w:rsidRDefault="004D2D87" w:rsidP="004D2D87"/>
    <w:p w14:paraId="60460E9B" w14:textId="77777777" w:rsidR="004D2D87" w:rsidRPr="00834CD5" w:rsidRDefault="004D2D87" w:rsidP="004D2D87">
      <w:pPr>
        <w:rPr>
          <w:u w:val="single"/>
        </w:rPr>
      </w:pPr>
      <w:r w:rsidRPr="00834CD5">
        <w:rPr>
          <w:u w:val="single"/>
        </w:rPr>
        <w:t>Žindymas</w:t>
      </w:r>
    </w:p>
    <w:p w14:paraId="7AAB3DDA" w14:textId="77777777" w:rsidR="004D2D87" w:rsidRPr="00834CD5" w:rsidRDefault="004D2D87" w:rsidP="004D2D87">
      <w:r w:rsidRPr="00834CD5">
        <w:t>Didelis kiekis metamizolo skilimo produktų patenka į motinos pieną, todėl negalima atmesti pavojaus žindomam kūdikiui galimybės. Dėl šios priežasties žindymo laikotarpiu reikia vengti vartoti metamizolo, ypač pakartotinai. Pavartojus metamizolo vieną kartą, motinoms rekomenduojama 48 valandas po dozės pavartojimo nusitraukti ir išpilti pieną.</w:t>
      </w:r>
    </w:p>
    <w:p w14:paraId="1670C377" w14:textId="77777777" w:rsidR="004D2D87" w:rsidRPr="00834CD5" w:rsidRDefault="004D2D87" w:rsidP="004D2D87"/>
    <w:p w14:paraId="7F077C07" w14:textId="77777777" w:rsidR="004D2D87" w:rsidRPr="00834CD5" w:rsidRDefault="004D2D87" w:rsidP="004D2D87">
      <w:pPr>
        <w:pStyle w:val="Antrat4"/>
      </w:pPr>
      <w:r w:rsidRPr="00834CD5">
        <w:t>4.7</w:t>
      </w:r>
      <w:r w:rsidRPr="00834CD5">
        <w:tab/>
        <w:t>Poveikis gebėjimui vairuoti ir valdyti mechanizmus</w:t>
      </w:r>
    </w:p>
    <w:p w14:paraId="5D2E038A" w14:textId="77777777" w:rsidR="004D2D87" w:rsidRPr="00834CD5" w:rsidRDefault="004D2D87" w:rsidP="004D2D87"/>
    <w:p w14:paraId="494AADA8" w14:textId="77777777" w:rsidR="004D2D87" w:rsidRPr="00913636" w:rsidRDefault="004D2D87" w:rsidP="00FD3231">
      <w:pPr>
        <w:pStyle w:val="BTEMEASMCA"/>
        <w:rPr>
          <w:noProof w:val="0"/>
        </w:rPr>
      </w:pPr>
      <w:r w:rsidRPr="00913636">
        <w:rPr>
          <w:noProof w:val="0"/>
        </w:rPr>
        <w:t>Analgin Sopharma gebėjimo vairuoti ir valdyti mechanizmus, vartojant rekomenduojamas dozes, neveikia arba veikia nereikšmingai. Tačiau, laikantis atsargumo, reikia įvertinti bent didelių šio vaistinio preparato dozių poveikio galimybę, todėl tokie pacientai neturi vairuoti, valdyti mechanizmų ir užsiimti kita pavojinga veikla. Tai ypač aktualu kartu vartojant alkoholio.</w:t>
      </w:r>
    </w:p>
    <w:p w14:paraId="50F4EEC8" w14:textId="77777777" w:rsidR="004D2D87" w:rsidRPr="00834CD5" w:rsidRDefault="004D2D87" w:rsidP="004D2D87"/>
    <w:p w14:paraId="5F7945F2" w14:textId="77777777" w:rsidR="004D2D87" w:rsidRPr="00834CD5" w:rsidRDefault="004D2D87" w:rsidP="004D2D87">
      <w:pPr>
        <w:pStyle w:val="Antrat4"/>
      </w:pPr>
      <w:r w:rsidRPr="00834CD5">
        <w:t>4.8</w:t>
      </w:r>
      <w:r w:rsidRPr="00834CD5">
        <w:tab/>
        <w:t>Nepageidaujamas poveikis</w:t>
      </w:r>
    </w:p>
    <w:p w14:paraId="4A7D4635" w14:textId="77777777" w:rsidR="004D2D87" w:rsidRPr="00834CD5" w:rsidRDefault="004D2D87" w:rsidP="004D2D87"/>
    <w:p w14:paraId="42FB2B4E" w14:textId="526D28A3" w:rsidR="004D2D87" w:rsidRPr="00913636" w:rsidRDefault="004D2D87" w:rsidP="00FD3231">
      <w:pPr>
        <w:pStyle w:val="BTEMEASMCA"/>
        <w:rPr>
          <w:noProof w:val="0"/>
        </w:rPr>
      </w:pPr>
      <w:r w:rsidRPr="00913636">
        <w:rPr>
          <w:noProof w:val="0"/>
        </w:rPr>
        <w:t xml:space="preserve">Nepageidaujamo poveikio dažnis apibūdinamas taip: labai dažnas (≥ 1/10), dažnas (nuo </w:t>
      </w:r>
      <w:r w:rsidRPr="00913636">
        <w:rPr>
          <w:noProof w:val="0"/>
        </w:rPr>
        <w:sym w:font="Symbol" w:char="F0B3"/>
      </w:r>
      <w:r w:rsidRPr="00913636">
        <w:rPr>
          <w:noProof w:val="0"/>
        </w:rPr>
        <w:t xml:space="preserve"> 1/100 iki </w:t>
      </w:r>
      <w:r w:rsidRPr="00913636">
        <w:rPr>
          <w:noProof w:val="0"/>
        </w:rPr>
        <w:sym w:font="Symbol" w:char="F03C"/>
      </w:r>
      <w:r w:rsidRPr="00913636">
        <w:rPr>
          <w:noProof w:val="0"/>
        </w:rPr>
        <w:t xml:space="preserve"> 1/10), nedažnas (nuo </w:t>
      </w:r>
      <w:r w:rsidRPr="00913636">
        <w:rPr>
          <w:noProof w:val="0"/>
        </w:rPr>
        <w:sym w:font="Symbol" w:char="F0B3"/>
      </w:r>
      <w:r w:rsidRPr="00913636">
        <w:rPr>
          <w:noProof w:val="0"/>
        </w:rPr>
        <w:t> 1/1</w:t>
      </w:r>
      <w:r w:rsidR="00031C87" w:rsidRPr="00913636">
        <w:rPr>
          <w:noProof w:val="0"/>
        </w:rPr>
        <w:t xml:space="preserve"> </w:t>
      </w:r>
      <w:r w:rsidRPr="00913636">
        <w:rPr>
          <w:noProof w:val="0"/>
        </w:rPr>
        <w:t xml:space="preserve">000 iki </w:t>
      </w:r>
      <w:r w:rsidRPr="00913636">
        <w:rPr>
          <w:noProof w:val="0"/>
        </w:rPr>
        <w:sym w:font="Symbol" w:char="F03C"/>
      </w:r>
      <w:r w:rsidRPr="00913636">
        <w:rPr>
          <w:noProof w:val="0"/>
        </w:rPr>
        <w:t xml:space="preserve"> 1/100), retas (nuo </w:t>
      </w:r>
      <w:r w:rsidRPr="00913636">
        <w:rPr>
          <w:noProof w:val="0"/>
        </w:rPr>
        <w:sym w:font="Symbol" w:char="F0B3"/>
      </w:r>
      <w:r w:rsidRPr="00913636">
        <w:rPr>
          <w:noProof w:val="0"/>
        </w:rPr>
        <w:t> 1/10</w:t>
      </w:r>
      <w:r w:rsidR="00031C87" w:rsidRPr="00913636">
        <w:rPr>
          <w:noProof w:val="0"/>
        </w:rPr>
        <w:t xml:space="preserve"> </w:t>
      </w:r>
      <w:r w:rsidRPr="00913636">
        <w:rPr>
          <w:noProof w:val="0"/>
        </w:rPr>
        <w:t xml:space="preserve">000 iki </w:t>
      </w:r>
      <w:r w:rsidRPr="00913636">
        <w:rPr>
          <w:noProof w:val="0"/>
        </w:rPr>
        <w:sym w:font="Symbol" w:char="F03C"/>
      </w:r>
      <w:r w:rsidRPr="00913636">
        <w:rPr>
          <w:noProof w:val="0"/>
        </w:rPr>
        <w:t> 1/1</w:t>
      </w:r>
      <w:r w:rsidR="00031C87" w:rsidRPr="00913636">
        <w:rPr>
          <w:noProof w:val="0"/>
        </w:rPr>
        <w:t xml:space="preserve"> </w:t>
      </w:r>
      <w:r w:rsidRPr="00913636">
        <w:rPr>
          <w:noProof w:val="0"/>
        </w:rPr>
        <w:t>000), labai retas (</w:t>
      </w:r>
      <w:r w:rsidRPr="00913636">
        <w:rPr>
          <w:noProof w:val="0"/>
        </w:rPr>
        <w:sym w:font="Symbol" w:char="F03C"/>
      </w:r>
      <w:r w:rsidRPr="00913636">
        <w:rPr>
          <w:noProof w:val="0"/>
        </w:rPr>
        <w:t> 1/10</w:t>
      </w:r>
      <w:r w:rsidR="00031C87" w:rsidRPr="00913636">
        <w:rPr>
          <w:noProof w:val="0"/>
        </w:rPr>
        <w:t xml:space="preserve"> </w:t>
      </w:r>
      <w:r w:rsidRPr="00913636">
        <w:rPr>
          <w:noProof w:val="0"/>
        </w:rPr>
        <w:t>000) ir nežinomas (negali būti apskaičiuotas pagal turimus duomenis).</w:t>
      </w:r>
    </w:p>
    <w:p w14:paraId="38B93730" w14:textId="77777777" w:rsidR="004D2D87" w:rsidRPr="00913636" w:rsidRDefault="004D2D87" w:rsidP="00FD3231">
      <w:pPr>
        <w:pStyle w:val="BTEMEASMCA"/>
        <w:rPr>
          <w:noProof w:val="0"/>
        </w:rPr>
      </w:pPr>
    </w:p>
    <w:p w14:paraId="3486FCD6" w14:textId="2BE49255" w:rsidR="004D2D87" w:rsidRPr="00913636" w:rsidRDefault="004D2D87" w:rsidP="00FD3231">
      <w:pPr>
        <w:pStyle w:val="BTEMEASMCA"/>
        <w:rPr>
          <w:noProof w:val="0"/>
        </w:rPr>
      </w:pPr>
      <w:r w:rsidRPr="00913636">
        <w:rPr>
          <w:noProof w:val="0"/>
        </w:rPr>
        <w:t xml:space="preserve">Svarbiausias metamizolo nepageidaujamas poveikis siejamas su padidėjusio jautrumo reakcijomis. Reikšmingiausios reakcijos yra šokas ir </w:t>
      </w:r>
      <w:proofErr w:type="spellStart"/>
      <w:r w:rsidRPr="00913636">
        <w:rPr>
          <w:noProof w:val="0"/>
        </w:rPr>
        <w:t>agranulocitozė</w:t>
      </w:r>
      <w:proofErr w:type="spellEnd"/>
      <w:r w:rsidRPr="00913636">
        <w:rPr>
          <w:noProof w:val="0"/>
        </w:rPr>
        <w:t>.</w:t>
      </w:r>
      <w:r w:rsidRPr="00655151">
        <w:t xml:space="preserve"> Šios reakcijos pasitaiko retai arba labai retai, bet yra pavojingos gyvybei bei gali atsirasti ir tais atvejais, kai metamizolo vartojimas anksčiau reakcijų nesukėlė.</w:t>
      </w:r>
    </w:p>
    <w:p w14:paraId="399E73C3" w14:textId="77777777" w:rsidR="004D2D87" w:rsidRPr="00913636" w:rsidRDefault="004D2D87" w:rsidP="00FD3231">
      <w:pPr>
        <w:pStyle w:val="BTEMEASMCA"/>
        <w:rPr>
          <w:noProof w:val="0"/>
        </w:rPr>
      </w:pPr>
    </w:p>
    <w:p w14:paraId="0ECBC766" w14:textId="77777777" w:rsidR="004D2D87" w:rsidRPr="00913636" w:rsidRDefault="004D2D87" w:rsidP="00FD3231">
      <w:pPr>
        <w:pStyle w:val="BTEMEASMCA"/>
        <w:rPr>
          <w:rStyle w:val="Emfaz"/>
          <w:noProof w:val="0"/>
        </w:rPr>
      </w:pPr>
      <w:r w:rsidRPr="00913636">
        <w:rPr>
          <w:rStyle w:val="Emfaz"/>
          <w:iCs/>
          <w:noProof w:val="0"/>
        </w:rPr>
        <w:t>Kraujo ir limfinės sistemos sutrikimai</w:t>
      </w:r>
    </w:p>
    <w:p w14:paraId="3AAD5970" w14:textId="77777777" w:rsidR="004D2D87" w:rsidRPr="00913636" w:rsidRDefault="004D2D87" w:rsidP="00FD3231">
      <w:pPr>
        <w:pStyle w:val="BTEMEASMCA"/>
        <w:rPr>
          <w:noProof w:val="0"/>
        </w:rPr>
      </w:pPr>
      <w:r w:rsidRPr="00913636">
        <w:rPr>
          <w:i/>
          <w:noProof w:val="0"/>
        </w:rPr>
        <w:t>Retas:</w:t>
      </w:r>
      <w:r w:rsidRPr="00913636">
        <w:rPr>
          <w:noProof w:val="0"/>
        </w:rPr>
        <w:t xml:space="preserve"> leukopenija.</w:t>
      </w:r>
    </w:p>
    <w:p w14:paraId="274CFF2C" w14:textId="77777777" w:rsidR="004D2D87" w:rsidRPr="00913636" w:rsidRDefault="004D2D87" w:rsidP="00FD3231">
      <w:pPr>
        <w:pStyle w:val="BTEMEASMCA"/>
        <w:rPr>
          <w:noProof w:val="0"/>
        </w:rPr>
      </w:pPr>
      <w:r w:rsidRPr="00913636">
        <w:rPr>
          <w:i/>
          <w:noProof w:val="0"/>
        </w:rPr>
        <w:t>Labai retas:</w:t>
      </w:r>
      <w:r w:rsidRPr="00913636">
        <w:rPr>
          <w:noProof w:val="0"/>
        </w:rPr>
        <w:t xml:space="preserve"> agranulocitozė arba trombocitopenija.</w:t>
      </w:r>
    </w:p>
    <w:p w14:paraId="42DC742F" w14:textId="77777777" w:rsidR="004D2D87" w:rsidRPr="00913636" w:rsidRDefault="004D2D87" w:rsidP="00FD3231">
      <w:pPr>
        <w:pStyle w:val="BTEMEASMCA"/>
        <w:rPr>
          <w:noProof w:val="0"/>
        </w:rPr>
      </w:pPr>
    </w:p>
    <w:p w14:paraId="1E620AA4" w14:textId="77777777" w:rsidR="004D2D87" w:rsidRPr="00834CD5" w:rsidRDefault="004D2D87" w:rsidP="004D2D87">
      <w:pPr>
        <w:rPr>
          <w:i/>
        </w:rPr>
      </w:pPr>
      <w:r w:rsidRPr="00834CD5">
        <w:rPr>
          <w:i/>
        </w:rPr>
        <w:t>Imuninės sistemos sutrikimai</w:t>
      </w:r>
    </w:p>
    <w:p w14:paraId="323EE7B5" w14:textId="77777777" w:rsidR="004D2D87" w:rsidRPr="00913636" w:rsidRDefault="004D2D87" w:rsidP="00FD3231">
      <w:pPr>
        <w:pStyle w:val="BTEMEASMCA"/>
        <w:rPr>
          <w:noProof w:val="0"/>
        </w:rPr>
      </w:pPr>
      <w:r w:rsidRPr="00913636">
        <w:rPr>
          <w:i/>
          <w:noProof w:val="0"/>
        </w:rPr>
        <w:t>Retas:</w:t>
      </w:r>
      <w:r w:rsidRPr="00913636">
        <w:rPr>
          <w:noProof w:val="0"/>
        </w:rPr>
        <w:t xml:space="preserve"> anafilaktoidinė arba anafilaksinė reakcijos.</w:t>
      </w:r>
    </w:p>
    <w:p w14:paraId="324BD216" w14:textId="1A8CC368" w:rsidR="004D2D87" w:rsidRPr="00913636" w:rsidRDefault="004D2D87" w:rsidP="00FD3231">
      <w:pPr>
        <w:pStyle w:val="BTEMEASMCA"/>
        <w:rPr>
          <w:noProof w:val="0"/>
        </w:rPr>
      </w:pPr>
      <w:r w:rsidRPr="00913636">
        <w:rPr>
          <w:i/>
          <w:noProof w:val="0"/>
        </w:rPr>
        <w:t>Labai retas:</w:t>
      </w:r>
      <w:r w:rsidRPr="00913636">
        <w:rPr>
          <w:noProof w:val="0"/>
        </w:rPr>
        <w:t xml:space="preserve"> sunki ir gyvybei p</w:t>
      </w:r>
      <w:r w:rsidR="003D0893">
        <w:rPr>
          <w:noProof w:val="0"/>
        </w:rPr>
        <w:t>a</w:t>
      </w:r>
      <w:r w:rsidRPr="00913636">
        <w:rPr>
          <w:noProof w:val="0"/>
        </w:rPr>
        <w:t>vojinga anafilaktoidinė arba anafilaksinė reakcija.</w:t>
      </w:r>
    </w:p>
    <w:p w14:paraId="21C76CD6" w14:textId="77777777" w:rsidR="004D2D87" w:rsidRPr="00913636" w:rsidRDefault="004D2D87" w:rsidP="00FD3231">
      <w:pPr>
        <w:pStyle w:val="BTEMEASMCA"/>
        <w:rPr>
          <w:noProof w:val="0"/>
        </w:rPr>
      </w:pPr>
      <w:r w:rsidRPr="00913636">
        <w:rPr>
          <w:noProof w:val="0"/>
        </w:rPr>
        <w:t>Tokios reakcijos į vaistinio preparato vartojimą gali pasireikšti leidžiant vaistinio preparato, tuoj po suleidimo arba gali atsirasti po kelių valandų. Dažniausiai jos atsiranda pirmą valandą pavartojus vaistinio preparato.</w:t>
      </w:r>
    </w:p>
    <w:p w14:paraId="7AA71538" w14:textId="77777777" w:rsidR="004D2D87" w:rsidRPr="00913636" w:rsidRDefault="004D2D87" w:rsidP="00FD3231">
      <w:pPr>
        <w:pStyle w:val="BTEMEASMCA"/>
        <w:rPr>
          <w:noProof w:val="0"/>
        </w:rPr>
      </w:pPr>
    </w:p>
    <w:p w14:paraId="76E6107C" w14:textId="77777777" w:rsidR="004D2D87" w:rsidRPr="00913636" w:rsidRDefault="004D2D87" w:rsidP="00FD3231">
      <w:pPr>
        <w:pStyle w:val="BTEMEASMCA"/>
        <w:rPr>
          <w:noProof w:val="0"/>
        </w:rPr>
      </w:pPr>
      <w:r w:rsidRPr="00913636">
        <w:rPr>
          <w:noProof w:val="0"/>
        </w:rPr>
        <w:t>Silpnesnės reakcijos – tai būdingos odos ir gleivinės reakcijos (pvz., niežulys, deginimo pojūtis, paraudimas, dilgėlinė, patinimas), dusulys ir žymiai rečiau – virškinimo sutrikimas (pvz., pykinimas, dispepsija, vėmimas). Tokios nestiprios reakcijos gali išplisti ir pasireikšti dilgėline, sunkia angioneurozine edema (įskaitant gerklų edemą), sunkiu bronchų spazmu, širdies ritmo sutrikimais, kraujospūdžio sumažėjimu (kartais iš pradžių būna padidėjęs kraujospūdis) ir kraujotakos šoku. Pacientams, kuriems būdingas analgetikų sukeltas astmos sindromas, netoleravimo reakcija pasireiškia astmos priepuoliu. Atsiradus pirmiesiems šoko požymiams – šaltam prakaitui, svaiguliui, apkvaitimui, odos spalvos pakitimui, nemaloniam pojūčiui širdies plote, reikia imtis būtinų skubios pagalbos priemonių.</w:t>
      </w:r>
    </w:p>
    <w:p w14:paraId="73134AB9" w14:textId="77777777" w:rsidR="004D2D87" w:rsidRPr="00834CD5" w:rsidRDefault="004D2D87" w:rsidP="004D2D87"/>
    <w:p w14:paraId="462687C7" w14:textId="77777777" w:rsidR="004D2D87" w:rsidRPr="00834CD5" w:rsidRDefault="004D2D87" w:rsidP="004D2D87">
      <w:pPr>
        <w:rPr>
          <w:i/>
        </w:rPr>
      </w:pPr>
      <w:r w:rsidRPr="00834CD5">
        <w:rPr>
          <w:i/>
        </w:rPr>
        <w:t>Kraujagyslių sutrikimai</w:t>
      </w:r>
    </w:p>
    <w:p w14:paraId="4F33BEC6" w14:textId="77777777" w:rsidR="004D2D87" w:rsidRPr="00834CD5" w:rsidRDefault="004D2D87" w:rsidP="004D2D87">
      <w:r w:rsidRPr="00834CD5">
        <w:rPr>
          <w:i/>
        </w:rPr>
        <w:t>Retas:</w:t>
      </w:r>
      <w:r w:rsidRPr="00834CD5">
        <w:tab/>
        <w:t xml:space="preserve"> hipotenzija vaistinio preparato leidimo metu arba po suleidimo.</w:t>
      </w:r>
    </w:p>
    <w:p w14:paraId="0F2A97D6" w14:textId="77777777" w:rsidR="004D2D87" w:rsidRPr="00834CD5" w:rsidRDefault="004D2D87" w:rsidP="004D2D87"/>
    <w:p w14:paraId="700FA16A" w14:textId="77777777" w:rsidR="004D2D87" w:rsidRPr="00834CD5" w:rsidRDefault="004D2D87" w:rsidP="004D2D87">
      <w:r w:rsidRPr="00834CD5">
        <w:t>Tai gali būti tik dėl vaistinio preparato poveikio be anafilaktoidinės ar anafilaksijos reakcijų. Tik retais atvejais esti labai stiprus kraujospūdžio sumažėjimas. Greitas vaistinio preparato suleidimas į veną tokios hipotenzinės reakcijos riziką padidina.</w:t>
      </w:r>
    </w:p>
    <w:p w14:paraId="22B053F3" w14:textId="77777777" w:rsidR="004D2D87" w:rsidRPr="00834CD5" w:rsidRDefault="004D2D87" w:rsidP="004D2D87"/>
    <w:p w14:paraId="61914F3E" w14:textId="77777777" w:rsidR="004D2D87" w:rsidRPr="00834CD5" w:rsidRDefault="004D2D87" w:rsidP="004D2D87">
      <w:pPr>
        <w:rPr>
          <w:i/>
        </w:rPr>
      </w:pPr>
      <w:r w:rsidRPr="00834CD5">
        <w:rPr>
          <w:i/>
        </w:rPr>
        <w:t>Kepenų, tulžies pūslės ir latakų sutrikimai</w:t>
      </w:r>
    </w:p>
    <w:p w14:paraId="1E99DFAF" w14:textId="77777777" w:rsidR="004D2D87" w:rsidRPr="00834CD5" w:rsidRDefault="004D2D87" w:rsidP="004D2D87">
      <w:r w:rsidRPr="00834CD5">
        <w:t>Nežinomas: vaistinio preparato sukeltas kepenų pažeidimas, įskaitant ūminį hepatitą, geltą, padidėjusį kepenų fermentų aktyvumą kraujo serume (žr. 4.4 skyrių).</w:t>
      </w:r>
    </w:p>
    <w:p w14:paraId="1026EE1B" w14:textId="77777777" w:rsidR="004D2D87" w:rsidRPr="00834CD5" w:rsidRDefault="004D2D87" w:rsidP="004D2D87"/>
    <w:p w14:paraId="408937C2" w14:textId="77777777" w:rsidR="004D2D87" w:rsidRPr="00834CD5" w:rsidRDefault="004D2D87" w:rsidP="004D2D87">
      <w:pPr>
        <w:rPr>
          <w:i/>
        </w:rPr>
      </w:pPr>
      <w:r w:rsidRPr="00834CD5">
        <w:rPr>
          <w:i/>
        </w:rPr>
        <w:t>Odos ir poodinio audinio sutrikimai</w:t>
      </w:r>
    </w:p>
    <w:p w14:paraId="6B2CDEEC" w14:textId="31C5129A" w:rsidR="004D2D87" w:rsidRPr="00834CD5" w:rsidRDefault="004D2D87" w:rsidP="004D2D87">
      <w:r w:rsidRPr="00834CD5">
        <w:rPr>
          <w:i/>
        </w:rPr>
        <w:t>Retas:</w:t>
      </w:r>
      <w:r w:rsidRPr="00834CD5">
        <w:tab/>
        <w:t xml:space="preserve"> medikamentinis fiksuotas išbėrimas arba kitoks išbėrimas. Jei atsiranda odos reakcijų, Analgin Sopharma vartojimą reikia nedelsiant nutraukti.</w:t>
      </w:r>
    </w:p>
    <w:p w14:paraId="2106A96C" w14:textId="3B15B179" w:rsidR="00734637" w:rsidRPr="00834CD5" w:rsidRDefault="00734637" w:rsidP="004D2D87">
      <w:r w:rsidRPr="00834CD5">
        <w:rPr>
          <w:i/>
        </w:rPr>
        <w:t>Dažnis nežinomas:</w:t>
      </w:r>
      <w:r w:rsidRPr="00834CD5">
        <w:t xml:space="preserve"> reakcija į vaistinį preparatą su eozinofilija ir sisteminiais simptomais (angl. </w:t>
      </w:r>
      <w:r w:rsidRPr="00834CD5">
        <w:rPr>
          <w:i/>
        </w:rPr>
        <w:t xml:space="preserve">drug reaction with eosinophilia and systemic symptoms; </w:t>
      </w:r>
      <w:r w:rsidRPr="00834CD5">
        <w:t>DRESS).</w:t>
      </w:r>
    </w:p>
    <w:p w14:paraId="5502FA58" w14:textId="77777777" w:rsidR="004B46BC" w:rsidRPr="00834CD5" w:rsidRDefault="004B46BC" w:rsidP="004B46BC">
      <w:r w:rsidRPr="00834CD5">
        <w:t xml:space="preserve">Taikant gydymą metamizolu, gauta pranešimų apie sunkias nepageidaujamas odos reakcijas, įskaitant Stivenso-Džonsono sindromą (SDS), toksinę epidermio nekrolizę (TEN) ir reakciją į vaistinį preparatą su eozinofilija ir sisteminiais simptomais (angl. </w:t>
      </w:r>
      <w:r w:rsidRPr="00834CD5">
        <w:rPr>
          <w:i/>
        </w:rPr>
        <w:t>drug reaction with eosinophilia and systemic symptoms;</w:t>
      </w:r>
      <w:r w:rsidRPr="00834CD5">
        <w:t xml:space="preserve"> DRESS) (žr. 4.4 skyrių).</w:t>
      </w:r>
    </w:p>
    <w:p w14:paraId="3370EE95" w14:textId="77777777" w:rsidR="004D2D87" w:rsidRPr="00834CD5" w:rsidRDefault="004D2D87" w:rsidP="004D2D87"/>
    <w:p w14:paraId="0E7DA4DF" w14:textId="77777777" w:rsidR="004D2D87" w:rsidRPr="00834CD5" w:rsidRDefault="004D2D87" w:rsidP="004D2D87">
      <w:pPr>
        <w:rPr>
          <w:i/>
        </w:rPr>
      </w:pPr>
      <w:r w:rsidRPr="00834CD5">
        <w:rPr>
          <w:i/>
        </w:rPr>
        <w:t>Inkstų ir šlapimo takų sutrikimai</w:t>
      </w:r>
    </w:p>
    <w:p w14:paraId="052AB138" w14:textId="77777777" w:rsidR="004D2D87" w:rsidRPr="00834CD5" w:rsidRDefault="004D2D87" w:rsidP="004D2D87">
      <w:r w:rsidRPr="00834CD5">
        <w:rPr>
          <w:i/>
        </w:rPr>
        <w:t>Labai retas:</w:t>
      </w:r>
      <w:r w:rsidRPr="00834CD5">
        <w:t xml:space="preserve"> anurija arba oligurija, proteinurija, intersticinis nefritas, ypač tiems pacientams, kuriems yra hipovolemija, arba sergantiesiems inkstų ligomis.</w:t>
      </w:r>
    </w:p>
    <w:p w14:paraId="51DD5948" w14:textId="77777777" w:rsidR="004D2D87" w:rsidRPr="00834CD5" w:rsidRDefault="004D2D87" w:rsidP="004D2D87"/>
    <w:p w14:paraId="33B6F1E1" w14:textId="77777777" w:rsidR="004D2D87" w:rsidRPr="00834CD5" w:rsidRDefault="004D2D87" w:rsidP="004D2D87">
      <w:pPr>
        <w:autoSpaceDE w:val="0"/>
        <w:autoSpaceDN w:val="0"/>
        <w:snapToGrid w:val="0"/>
        <w:spacing w:line="240" w:lineRule="auto"/>
        <w:jc w:val="both"/>
        <w:rPr>
          <w:u w:val="single"/>
        </w:rPr>
      </w:pPr>
      <w:r w:rsidRPr="00834CD5">
        <w:rPr>
          <w:u w:val="single"/>
        </w:rPr>
        <w:t>Pranešimas apie įtariamas nepageidaujamas reakcijas</w:t>
      </w:r>
    </w:p>
    <w:p w14:paraId="0B0B89A9" w14:textId="67EF9A23" w:rsidR="00A77A1B" w:rsidRPr="00E70E9A" w:rsidRDefault="00A77A1B" w:rsidP="00E70E9A">
      <w:pPr>
        <w:tabs>
          <w:tab w:val="clear" w:pos="567"/>
        </w:tabs>
        <w:suppressAutoHyphens/>
        <w:spacing w:line="100" w:lineRule="atLeast"/>
        <w:rPr>
          <w:color w:val="000000"/>
        </w:rPr>
      </w:pPr>
      <w:r w:rsidRPr="00E70E9A">
        <w:rPr>
          <w:color w:val="00000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E70E9A">
        <w:rPr>
          <w:color w:val="000000"/>
        </w:rPr>
        <w:lastRenderedPageBreak/>
        <w:t>užpildę</w:t>
      </w:r>
      <w:r w:rsidRPr="00A77A1B">
        <w:rPr>
          <w:rFonts w:eastAsia="Times New Roman"/>
          <w:snapToGrid w:val="0"/>
          <w:color w:val="000000"/>
          <w:szCs w:val="24"/>
          <w:lang w:eastAsia="ar-SA"/>
        </w:rPr>
        <w:t xml:space="preserve"> ir pateikę</w:t>
      </w:r>
      <w:r w:rsidRPr="00E70E9A">
        <w:rPr>
          <w:color w:val="000000"/>
        </w:rPr>
        <w:t xml:space="preserve"> pranešimo formą </w:t>
      </w:r>
      <w:r w:rsidRPr="00A77A1B">
        <w:rPr>
          <w:rFonts w:eastAsia="Times New Roman"/>
          <w:snapToGrid w:val="0"/>
          <w:color w:val="000000"/>
          <w:szCs w:val="24"/>
          <w:lang w:eastAsia="ar-SA"/>
        </w:rPr>
        <w:t>Valstybinės vaistų kontrolės tarnybos prie Lietuvos Respublikos sveikatos apsaugos ministerijos tinklalapyje</w:t>
      </w:r>
      <w:r w:rsidRPr="00E70E9A">
        <w:rPr>
          <w:color w:val="000000"/>
        </w:rPr>
        <w:t xml:space="preserve"> </w:t>
      </w:r>
      <w:hyperlink r:id="rId7" w:history="1">
        <w:r w:rsidRPr="00A77A1B">
          <w:rPr>
            <w:rFonts w:eastAsia="Calibri"/>
            <w:snapToGrid w:val="0"/>
            <w:color w:val="0000FF"/>
            <w:szCs w:val="24"/>
            <w:u w:val="single"/>
            <w:lang w:eastAsia="ar-SA"/>
          </w:rPr>
          <w:t>https://vvkt.lrv.lt/lt/</w:t>
        </w:r>
      </w:hyperlink>
      <w:r w:rsidRPr="00A77A1B">
        <w:rPr>
          <w:rFonts w:eastAsia="Times New Roman"/>
          <w:snapToGrid w:val="0"/>
          <w:color w:val="000000"/>
          <w:szCs w:val="24"/>
          <w:lang w:eastAsia="ar-SA"/>
        </w:rPr>
        <w:t xml:space="preserve"> nurodytais būdais.</w:t>
      </w:r>
    </w:p>
    <w:p w14:paraId="5B720479" w14:textId="77777777" w:rsidR="004D2D87" w:rsidRPr="00834CD5" w:rsidRDefault="004D2D87" w:rsidP="004D2D87"/>
    <w:p w14:paraId="40228D51" w14:textId="77777777" w:rsidR="004D2D87" w:rsidRPr="00834CD5" w:rsidRDefault="004D2D87" w:rsidP="004D2D87">
      <w:pPr>
        <w:pStyle w:val="Antrat4"/>
      </w:pPr>
      <w:r w:rsidRPr="00834CD5">
        <w:t>4.9</w:t>
      </w:r>
      <w:r w:rsidRPr="00834CD5">
        <w:tab/>
        <w:t>Perdozavimas</w:t>
      </w:r>
    </w:p>
    <w:p w14:paraId="089443D5" w14:textId="77777777" w:rsidR="004D2D87" w:rsidRPr="00834CD5" w:rsidRDefault="004D2D87" w:rsidP="004D2D87"/>
    <w:p w14:paraId="3AFAE8F8" w14:textId="77777777" w:rsidR="004D2D87" w:rsidRPr="00913636" w:rsidRDefault="004D2D87" w:rsidP="00FD3231">
      <w:pPr>
        <w:pStyle w:val="BTEMEASMCA"/>
        <w:rPr>
          <w:rStyle w:val="Emfaz"/>
          <w:iCs/>
          <w:noProof w:val="0"/>
          <w:lang w:eastAsia="zh-CN"/>
        </w:rPr>
      </w:pPr>
      <w:r w:rsidRPr="00913636">
        <w:rPr>
          <w:rStyle w:val="Emfaz"/>
          <w:iCs/>
          <w:noProof w:val="0"/>
        </w:rPr>
        <w:t>Simptomai</w:t>
      </w:r>
    </w:p>
    <w:p w14:paraId="46C83A79" w14:textId="77777777" w:rsidR="004D2D87" w:rsidRPr="00913636" w:rsidRDefault="004D2D87" w:rsidP="00FD3231">
      <w:pPr>
        <w:pStyle w:val="BTEMEASMCA"/>
        <w:rPr>
          <w:noProof w:val="0"/>
        </w:rPr>
      </w:pPr>
      <w:r w:rsidRPr="00913636">
        <w:rPr>
          <w:noProof w:val="0"/>
        </w:rPr>
        <w:t>Ūminio perdozavimo atvejais gali būti pykinimas, vėmimas, pilvo skausmas, inkstų funkcijos sutrikimas arba ūminis inkstų nepakankamumas (pvz., intersticinio nefrito forma), žymiai rečiau – centrinės nervų sistemos pažeidimo simptomai (svaigulys, mieguistumas, koma, traukuliai), kraujospūdžio sumažėjimas, galintis progresuoti iki šoko, ir tachikardija, toksinis ir alerginis išbėrimas (dilgėlinė, pūslelinis ir taškinis išbėrimas), kartais panašus į raupų ar vidurių šiltinės, retai gali ištikti sunkus toksinis ir alerginis šokas.</w:t>
      </w:r>
    </w:p>
    <w:p w14:paraId="0A781FA2" w14:textId="77777777" w:rsidR="004D2D87" w:rsidRPr="00913636" w:rsidRDefault="004D2D87" w:rsidP="00FD3231">
      <w:pPr>
        <w:pStyle w:val="BTEMEASMCA"/>
        <w:rPr>
          <w:noProof w:val="0"/>
        </w:rPr>
      </w:pPr>
      <w:r w:rsidRPr="00913636">
        <w:rPr>
          <w:noProof w:val="0"/>
        </w:rPr>
        <w:t>Pavartojus labai didelę dozę, rubazono rūgšties ekskrecija gali lemti raudoną šlapimo spalvą.</w:t>
      </w:r>
    </w:p>
    <w:p w14:paraId="3D623E01" w14:textId="77777777" w:rsidR="004D2D87" w:rsidRPr="00913636" w:rsidRDefault="004D2D87" w:rsidP="00FD3231">
      <w:pPr>
        <w:pStyle w:val="BTEMEASMCA"/>
        <w:rPr>
          <w:noProof w:val="0"/>
        </w:rPr>
      </w:pPr>
    </w:p>
    <w:p w14:paraId="7CF17005" w14:textId="77777777" w:rsidR="004D2D87" w:rsidRPr="00913636" w:rsidRDefault="004D2D87" w:rsidP="00FD3231">
      <w:pPr>
        <w:pStyle w:val="BTEMEASMCA"/>
        <w:rPr>
          <w:rStyle w:val="Emfaz"/>
          <w:iCs/>
          <w:noProof w:val="0"/>
          <w:lang w:eastAsia="zh-CN"/>
        </w:rPr>
      </w:pPr>
      <w:r w:rsidRPr="00913636">
        <w:rPr>
          <w:rStyle w:val="Emfaz"/>
          <w:iCs/>
          <w:noProof w:val="0"/>
        </w:rPr>
        <w:t>Gydymas</w:t>
      </w:r>
    </w:p>
    <w:p w14:paraId="556370D8" w14:textId="77777777" w:rsidR="004D2D87" w:rsidRPr="00913636" w:rsidRDefault="004D2D87" w:rsidP="00FD3231">
      <w:pPr>
        <w:pStyle w:val="BTEMEASMCA"/>
        <w:rPr>
          <w:noProof w:val="0"/>
        </w:rPr>
      </w:pPr>
      <w:r w:rsidRPr="00913636">
        <w:rPr>
          <w:noProof w:val="0"/>
        </w:rPr>
        <w:t>Specifinio priešnuodžio nėra. Jei metamizolo išgerta neseniai, galima bandyti sumažinti absorbciją taikant absorbciją mažinančias priemones (pvz., aktyvintą anglį). Svarbiausią metabolitą (4-N-metilaminoantipiriną) galima pašalinti dializuojant, taikant hemofiltraciją, hemoperfuziją arba plazmos filtravimą.</w:t>
      </w:r>
    </w:p>
    <w:p w14:paraId="62ECE037" w14:textId="77777777" w:rsidR="004D2D87" w:rsidRPr="00834CD5" w:rsidRDefault="004D2D87" w:rsidP="004D2D87">
      <w:pPr>
        <w:tabs>
          <w:tab w:val="left" w:pos="0"/>
        </w:tabs>
      </w:pPr>
      <w:r w:rsidRPr="00834CD5">
        <w:t>Apsinuodijimo gydymui, taip pat sunkių komplikacijų profilaktikai gali prireikti bendro ir specialaus intensyvaus stebėjimo ir gydymo.</w:t>
      </w:r>
    </w:p>
    <w:p w14:paraId="34627E57" w14:textId="77777777" w:rsidR="004D2D87" w:rsidRPr="00834CD5" w:rsidRDefault="004D2D87" w:rsidP="004D2D87"/>
    <w:p w14:paraId="419599B6" w14:textId="77777777" w:rsidR="004D2D87" w:rsidRPr="00834CD5" w:rsidRDefault="004D2D87" w:rsidP="004D2D87"/>
    <w:p w14:paraId="2336A73F"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sz w:val="22"/>
        </w:rPr>
        <w:t>5.</w:t>
      </w:r>
      <w:r w:rsidRPr="00834CD5">
        <w:rPr>
          <w:rFonts w:ascii="Times New Roman" w:hAnsi="Times New Roman"/>
          <w:sz w:val="22"/>
        </w:rPr>
        <w:tab/>
        <w:t>FARMAKOLOGINĖS SAVYBĖS</w:t>
      </w:r>
    </w:p>
    <w:p w14:paraId="02BAE459" w14:textId="77777777" w:rsidR="004D2D87" w:rsidRPr="00834CD5" w:rsidRDefault="004D2D87" w:rsidP="004D2D87"/>
    <w:p w14:paraId="56D6D03F" w14:textId="77777777" w:rsidR="004D2D87" w:rsidRPr="00834CD5" w:rsidRDefault="004D2D87" w:rsidP="004D2D87">
      <w:pPr>
        <w:pStyle w:val="Antrat4"/>
      </w:pPr>
      <w:r w:rsidRPr="00834CD5">
        <w:t>5.1</w:t>
      </w:r>
      <w:r w:rsidRPr="00834CD5">
        <w:tab/>
        <w:t>Farmakodinaminės savybės</w:t>
      </w:r>
    </w:p>
    <w:p w14:paraId="09FFD749" w14:textId="77777777" w:rsidR="004D2D87" w:rsidRPr="00834CD5" w:rsidRDefault="004D2D87" w:rsidP="004D2D87"/>
    <w:p w14:paraId="36F2C032" w14:textId="77777777" w:rsidR="004D2D87" w:rsidRPr="00834CD5" w:rsidRDefault="004D2D87" w:rsidP="004D2D87">
      <w:pPr>
        <w:tabs>
          <w:tab w:val="left" w:pos="0"/>
          <w:tab w:val="left" w:pos="720"/>
        </w:tabs>
      </w:pPr>
      <w:r w:rsidRPr="00834CD5">
        <w:t>Farmakoterapinė grupė – kiti analgetikai ir antipiretikai, pirazolonas. ATC kodas – N02BB02.</w:t>
      </w:r>
    </w:p>
    <w:p w14:paraId="19C40C3E" w14:textId="77777777" w:rsidR="004D2D87" w:rsidRPr="00834CD5" w:rsidRDefault="004D2D87" w:rsidP="004D2D87">
      <w:pPr>
        <w:tabs>
          <w:tab w:val="left" w:pos="0"/>
          <w:tab w:val="left" w:pos="720"/>
        </w:tabs>
      </w:pPr>
    </w:p>
    <w:p w14:paraId="11166458" w14:textId="77777777" w:rsidR="004D2D87" w:rsidRPr="00913636" w:rsidRDefault="004D2D87" w:rsidP="004D2D87">
      <w:pPr>
        <w:tabs>
          <w:tab w:val="clear" w:pos="567"/>
        </w:tabs>
        <w:spacing w:line="240" w:lineRule="auto"/>
        <w:rPr>
          <w:rStyle w:val="BTEMEASMCAChar"/>
          <w:noProof w:val="0"/>
        </w:rPr>
      </w:pPr>
      <w:r w:rsidRPr="00913636">
        <w:rPr>
          <w:rStyle w:val="BTEMEASMCAChar"/>
          <w:noProof w:val="0"/>
        </w:rPr>
        <w:t>Metamizolas yra pirazolono darinys, pasižymintis skausmą malšinančiomis, temperatūrą mažinančiomis ir spazmus atpalaiduojančiomis savybėmis. Jo veikimo mechanizmas ne visiškai nustatytas. Kai kurių tyrimų duomenimis, metamizolas ir jo svarbiausias metabolitas (4-N-metilamino antipirinas) galimai pasižymi centriniu ir periferiniu poveikiu.</w:t>
      </w:r>
    </w:p>
    <w:p w14:paraId="231431D4" w14:textId="77777777" w:rsidR="004D2D87" w:rsidRPr="00834CD5" w:rsidRDefault="004D2D87" w:rsidP="004D2D87">
      <w:pPr>
        <w:tabs>
          <w:tab w:val="clear" w:pos="567"/>
        </w:tabs>
        <w:spacing w:line="240" w:lineRule="auto"/>
      </w:pPr>
    </w:p>
    <w:p w14:paraId="58C84BC9" w14:textId="77777777" w:rsidR="004D2D87" w:rsidRPr="00834CD5" w:rsidRDefault="004D2D87" w:rsidP="004D2D87">
      <w:pPr>
        <w:pStyle w:val="Antrat4"/>
      </w:pPr>
      <w:r w:rsidRPr="00834CD5">
        <w:t>5.2</w:t>
      </w:r>
      <w:r w:rsidRPr="00834CD5">
        <w:tab/>
        <w:t>Farmakokinetinės savybės</w:t>
      </w:r>
    </w:p>
    <w:p w14:paraId="17103996" w14:textId="77777777" w:rsidR="004D2D87" w:rsidRPr="00834CD5" w:rsidRDefault="004D2D87" w:rsidP="004D2D87">
      <w:pPr>
        <w:tabs>
          <w:tab w:val="clear" w:pos="567"/>
        </w:tabs>
        <w:spacing w:line="240" w:lineRule="auto"/>
      </w:pPr>
    </w:p>
    <w:p w14:paraId="647DE19E" w14:textId="77777777" w:rsidR="004D2D87" w:rsidRPr="00834CD5" w:rsidRDefault="004D2D87" w:rsidP="004D2D87">
      <w:pPr>
        <w:rPr>
          <w:u w:val="single"/>
        </w:rPr>
      </w:pPr>
      <w:r w:rsidRPr="00834CD5">
        <w:rPr>
          <w:u w:val="single"/>
        </w:rPr>
        <w:t>Absorbcija</w:t>
      </w:r>
    </w:p>
    <w:p w14:paraId="4C455818" w14:textId="77777777" w:rsidR="004D2D87" w:rsidRPr="00834CD5" w:rsidRDefault="004D2D87" w:rsidP="004D2D87">
      <w:pPr>
        <w:pStyle w:val="Pagrindinistekstas"/>
        <w:rPr>
          <w:i w:val="0"/>
          <w:color w:val="auto"/>
        </w:rPr>
      </w:pPr>
      <w:r w:rsidRPr="00834CD5">
        <w:rPr>
          <w:i w:val="0"/>
          <w:color w:val="auto"/>
        </w:rPr>
        <w:t>Metamizolas hidrolizuojamas virškinamajame trakte. Aktyvūs metabolitai yra 4-N-metilaminoantipirinas (MAA) ir 4-aminoantipirinas (AA). MAA pasižymi greita ir visiška rezorbcija. Koncentracijos pikas plazmoje pasiekiamas po 1-2 valandų. MAA biologinis prieinamumas yra apie 90 % Maistas reikšmingos įtakos metamizolo kinetikai neturi.</w:t>
      </w:r>
    </w:p>
    <w:p w14:paraId="1B516790" w14:textId="77777777" w:rsidR="004D2D87" w:rsidRPr="00834CD5" w:rsidRDefault="004D2D87" w:rsidP="004D2D87">
      <w:pPr>
        <w:pStyle w:val="Pagrindinistekstas"/>
        <w:rPr>
          <w:i w:val="0"/>
          <w:color w:val="auto"/>
        </w:rPr>
      </w:pPr>
    </w:p>
    <w:p w14:paraId="1CFEC6CC" w14:textId="77777777" w:rsidR="004D2D87" w:rsidRPr="00834CD5" w:rsidRDefault="004D2D87" w:rsidP="004D2D87">
      <w:pPr>
        <w:pStyle w:val="Pagrindinistekstas"/>
        <w:rPr>
          <w:i w:val="0"/>
          <w:color w:val="auto"/>
          <w:u w:val="single"/>
        </w:rPr>
      </w:pPr>
      <w:r w:rsidRPr="00834CD5">
        <w:rPr>
          <w:i w:val="0"/>
          <w:color w:val="auto"/>
          <w:u w:val="single"/>
        </w:rPr>
        <w:t xml:space="preserve">Pasiskirstymas </w:t>
      </w:r>
    </w:p>
    <w:p w14:paraId="751D3E86" w14:textId="77777777" w:rsidR="004D2D87" w:rsidRPr="00834CD5" w:rsidRDefault="004D2D87" w:rsidP="004D2D87">
      <w:pPr>
        <w:pStyle w:val="Pagrindinistekstas"/>
        <w:rPr>
          <w:rStyle w:val="shorttext"/>
          <w:i w:val="0"/>
          <w:color w:val="auto"/>
          <w:shd w:val="clear" w:color="auto" w:fill="FFFFFF"/>
        </w:rPr>
      </w:pPr>
      <w:r w:rsidRPr="00834CD5">
        <w:rPr>
          <w:i w:val="0"/>
          <w:color w:val="auto"/>
        </w:rPr>
        <w:t xml:space="preserve">Dalis vaistinio preparato jungiasi su kraujo plazmos baltymais (50-60 %) ir pereina per kraujo ir plazmos barjerus. Pasiskirstymo apimtis yra apie </w:t>
      </w:r>
      <w:r w:rsidRPr="00834CD5">
        <w:rPr>
          <w:rStyle w:val="shorttext"/>
          <w:i w:val="0"/>
          <w:color w:val="auto"/>
          <w:shd w:val="clear" w:color="auto" w:fill="FFFFFF"/>
        </w:rPr>
        <w:t>0,7 l/kg.</w:t>
      </w:r>
    </w:p>
    <w:p w14:paraId="7DF48047" w14:textId="77777777" w:rsidR="004D2D87" w:rsidRPr="00834CD5" w:rsidRDefault="004D2D87" w:rsidP="004D2D87">
      <w:pPr>
        <w:rPr>
          <w:u w:val="single"/>
        </w:rPr>
      </w:pPr>
    </w:p>
    <w:p w14:paraId="27EA2FB0" w14:textId="77777777" w:rsidR="004D2D87" w:rsidRPr="00834CD5" w:rsidRDefault="004D2D87" w:rsidP="004D2D87">
      <w:pPr>
        <w:rPr>
          <w:u w:val="single"/>
        </w:rPr>
      </w:pPr>
      <w:r w:rsidRPr="00834CD5">
        <w:rPr>
          <w:u w:val="single"/>
        </w:rPr>
        <w:t>Biotransformacija</w:t>
      </w:r>
    </w:p>
    <w:p w14:paraId="5E342B35" w14:textId="77777777" w:rsidR="004D2D87" w:rsidRPr="00834CD5" w:rsidRDefault="004D2D87" w:rsidP="004D2D87">
      <w:pPr>
        <w:pStyle w:val="Pagrindinistekstas"/>
        <w:rPr>
          <w:i w:val="0"/>
          <w:color w:val="auto"/>
        </w:rPr>
      </w:pPr>
      <w:r w:rsidRPr="00834CD5">
        <w:rPr>
          <w:i w:val="0"/>
          <w:color w:val="auto"/>
        </w:rPr>
        <w:t>Metamizolas organizme intensyviai biotransformuojamas virškinamajame trakte ir kepenyse. Pagrindiniai jo metabolitai (4-metilaminoantipirinas ir 4-aminoantipirinas) yra farmakologiškai aktyvūs.</w:t>
      </w:r>
    </w:p>
    <w:p w14:paraId="126A79E8" w14:textId="77777777" w:rsidR="004D2D87" w:rsidRPr="00834CD5" w:rsidRDefault="004D2D87" w:rsidP="004D2D87">
      <w:pPr>
        <w:rPr>
          <w:u w:val="single"/>
        </w:rPr>
      </w:pPr>
    </w:p>
    <w:p w14:paraId="19D3711B" w14:textId="77777777" w:rsidR="004D2D87" w:rsidRPr="00834CD5" w:rsidRDefault="004D2D87" w:rsidP="004D2D87">
      <w:pPr>
        <w:rPr>
          <w:u w:val="single"/>
        </w:rPr>
      </w:pPr>
      <w:r w:rsidRPr="00834CD5">
        <w:rPr>
          <w:u w:val="single"/>
        </w:rPr>
        <w:t>Eliminacija</w:t>
      </w:r>
    </w:p>
    <w:p w14:paraId="5FA6D8A5" w14:textId="77777777" w:rsidR="004D2D87" w:rsidRPr="00834CD5" w:rsidRDefault="004D2D87" w:rsidP="004D2D87">
      <w:pPr>
        <w:pStyle w:val="Pagrindinistekstas"/>
        <w:rPr>
          <w:i w:val="0"/>
          <w:color w:val="auto"/>
        </w:rPr>
      </w:pPr>
      <w:r w:rsidRPr="00834CD5">
        <w:rPr>
          <w:i w:val="0"/>
          <w:color w:val="auto"/>
        </w:rPr>
        <w:t>Vaistinis preparatas iš organizmo pasišalina kartu su šlapimu metabolitų pavidalu ir tik 3 % metamizolo išsiskiria nepakitusio. Metabolitai patenka į motinos pieną.</w:t>
      </w:r>
    </w:p>
    <w:p w14:paraId="1ED228DB" w14:textId="77777777" w:rsidR="004D2D87" w:rsidRPr="00913636" w:rsidRDefault="004D2D87" w:rsidP="00FD3231">
      <w:pPr>
        <w:pStyle w:val="BTEMEASMCA"/>
        <w:rPr>
          <w:noProof w:val="0"/>
        </w:rPr>
      </w:pPr>
      <w:r w:rsidRPr="00913636">
        <w:rPr>
          <w:noProof w:val="0"/>
        </w:rPr>
        <w:t xml:space="preserve">Pacientų, kuriems nustatytas inkstų funkcijos sutrikimas, duomenys rodo, kad sumažėja kai kurių metabolitų (AAA ir FAA) eliminacijos greitis, todėl jie turi vengti vartoti dideles šio vaistinio preparato dozes. </w:t>
      </w:r>
    </w:p>
    <w:p w14:paraId="7F761725" w14:textId="77777777" w:rsidR="004D2D87" w:rsidRPr="00834CD5" w:rsidRDefault="004D2D87" w:rsidP="004D2D87">
      <w:pPr>
        <w:tabs>
          <w:tab w:val="clear" w:pos="567"/>
        </w:tabs>
        <w:spacing w:line="240" w:lineRule="auto"/>
      </w:pPr>
    </w:p>
    <w:p w14:paraId="7062F27B" w14:textId="77777777" w:rsidR="004D2D87" w:rsidRPr="00834CD5" w:rsidRDefault="004D2D87" w:rsidP="004D2D87">
      <w:pPr>
        <w:pStyle w:val="Antrat4"/>
      </w:pPr>
      <w:r w:rsidRPr="00834CD5">
        <w:t>5.3</w:t>
      </w:r>
      <w:r w:rsidRPr="00834CD5">
        <w:tab/>
        <w:t>Ikiklinikinių saugumo tyrimų duomenys</w:t>
      </w:r>
    </w:p>
    <w:p w14:paraId="1EFD4542" w14:textId="77777777" w:rsidR="004D2D87" w:rsidRPr="00834CD5" w:rsidRDefault="004D2D87" w:rsidP="004D2D87">
      <w:pPr>
        <w:tabs>
          <w:tab w:val="clear" w:pos="567"/>
        </w:tabs>
        <w:spacing w:line="240" w:lineRule="auto"/>
      </w:pPr>
    </w:p>
    <w:p w14:paraId="7556B018" w14:textId="77777777" w:rsidR="004D2D87" w:rsidRPr="00834CD5" w:rsidRDefault="004D2D87" w:rsidP="004D2D87">
      <w:r w:rsidRPr="00834CD5">
        <w:t>Analgin Sopharma yra mažai toksiškas. Suleidus į veną, LD</w:t>
      </w:r>
      <w:r w:rsidRPr="00834CD5">
        <w:rPr>
          <w:vertAlign w:val="subscript"/>
        </w:rPr>
        <w:t>50</w:t>
      </w:r>
      <w:r w:rsidRPr="00834CD5">
        <w:t xml:space="preserve"> pelėms – 2,389 mg/kg kūno svorio, o triušiams – 1300 mg/kg kūno svorio. Vidutinė skausmo malšinamoji dozė pelėms yra kelis kartus mažesnė už vidutinę mirtiną.</w:t>
      </w:r>
    </w:p>
    <w:p w14:paraId="19AE6EA0" w14:textId="77777777" w:rsidR="004D2D87" w:rsidRPr="00834CD5" w:rsidRDefault="004D2D87" w:rsidP="004D2D87"/>
    <w:p w14:paraId="53D6A4CC" w14:textId="77777777" w:rsidR="004D2D87" w:rsidRPr="00834CD5" w:rsidRDefault="004D2D87" w:rsidP="004D2D87">
      <w:r w:rsidRPr="00834CD5">
        <w:t>Tiriant Analgin Sopharma poūmį ir lėtinį toksiškumą, įrodyta, kad, vartojant vaistinį preparatą šešis mėnesius, tiriamų gyvūnų organizme neatsirado jokių morfologinių pokyčių.</w:t>
      </w:r>
    </w:p>
    <w:p w14:paraId="6C7D1A8C" w14:textId="77777777" w:rsidR="004D2D87" w:rsidRPr="00834CD5" w:rsidRDefault="004D2D87" w:rsidP="004D2D87"/>
    <w:p w14:paraId="1670510B" w14:textId="77777777" w:rsidR="004D2D87" w:rsidRPr="00834CD5" w:rsidRDefault="004D2D87" w:rsidP="004D2D87">
      <w:pPr>
        <w:pStyle w:val="Pagrindinistekstas"/>
        <w:rPr>
          <w:i w:val="0"/>
          <w:color w:val="auto"/>
        </w:rPr>
      </w:pPr>
      <w:r w:rsidRPr="00834CD5">
        <w:rPr>
          <w:i w:val="0"/>
          <w:color w:val="auto"/>
        </w:rPr>
        <w:t>Duomenų apie teratogeninį, kancerogeninį ar mutageninį poveikius nėra.</w:t>
      </w:r>
    </w:p>
    <w:p w14:paraId="6DE1C0ED" w14:textId="77777777" w:rsidR="004D2D87" w:rsidRPr="00834CD5" w:rsidRDefault="004D2D87" w:rsidP="004D2D87">
      <w:pPr>
        <w:tabs>
          <w:tab w:val="clear" w:pos="567"/>
        </w:tabs>
        <w:spacing w:line="240" w:lineRule="auto"/>
      </w:pPr>
    </w:p>
    <w:p w14:paraId="08B32B34" w14:textId="77777777" w:rsidR="004D2D87" w:rsidRPr="00834CD5" w:rsidRDefault="004D2D87" w:rsidP="004D2D87">
      <w:pPr>
        <w:tabs>
          <w:tab w:val="clear" w:pos="567"/>
        </w:tabs>
        <w:spacing w:line="240" w:lineRule="auto"/>
      </w:pPr>
    </w:p>
    <w:p w14:paraId="5C8D1AF8"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sz w:val="22"/>
        </w:rPr>
        <w:t>6.</w:t>
      </w:r>
      <w:r w:rsidRPr="00834CD5">
        <w:rPr>
          <w:rFonts w:ascii="Times New Roman" w:hAnsi="Times New Roman"/>
          <w:sz w:val="22"/>
        </w:rPr>
        <w:tab/>
        <w:t>FARMACINĖ INFORMACIJA</w:t>
      </w:r>
    </w:p>
    <w:p w14:paraId="2C5074F6" w14:textId="77777777" w:rsidR="004D2D87" w:rsidRPr="00834CD5" w:rsidRDefault="004D2D87" w:rsidP="004D2D87">
      <w:pPr>
        <w:tabs>
          <w:tab w:val="clear" w:pos="567"/>
        </w:tabs>
        <w:spacing w:line="240" w:lineRule="auto"/>
      </w:pPr>
    </w:p>
    <w:p w14:paraId="25A3C52E" w14:textId="77777777" w:rsidR="004D2D87" w:rsidRPr="00834CD5" w:rsidRDefault="004D2D87" w:rsidP="004D2D87">
      <w:pPr>
        <w:pStyle w:val="Antrat4"/>
      </w:pPr>
      <w:r w:rsidRPr="00834CD5">
        <w:t>6.1</w:t>
      </w:r>
      <w:r w:rsidRPr="00834CD5">
        <w:tab/>
        <w:t>Pagalbinių medžiagų sąrašas</w:t>
      </w:r>
    </w:p>
    <w:p w14:paraId="16D037F3" w14:textId="77777777" w:rsidR="004D2D87" w:rsidRPr="00834CD5" w:rsidRDefault="004D2D87" w:rsidP="004D2D87">
      <w:pPr>
        <w:tabs>
          <w:tab w:val="clear" w:pos="567"/>
        </w:tabs>
        <w:spacing w:line="240" w:lineRule="auto"/>
      </w:pPr>
    </w:p>
    <w:p w14:paraId="4CFF2EA2" w14:textId="77777777" w:rsidR="004D2D87" w:rsidRPr="00834CD5" w:rsidRDefault="004D2D87" w:rsidP="004D2D87">
      <w:r w:rsidRPr="00834CD5">
        <w:t>Mikrokristalinė celiuliozė</w:t>
      </w:r>
    </w:p>
    <w:p w14:paraId="74ACD005" w14:textId="77777777" w:rsidR="004D2D87" w:rsidRPr="00834CD5" w:rsidRDefault="004D2D87" w:rsidP="004D2D87">
      <w:pPr>
        <w:pStyle w:val="Pagrindinistekstas"/>
        <w:tabs>
          <w:tab w:val="left" w:pos="0"/>
        </w:tabs>
        <w:rPr>
          <w:i w:val="0"/>
          <w:color w:val="auto"/>
        </w:rPr>
      </w:pPr>
      <w:r w:rsidRPr="00834CD5">
        <w:rPr>
          <w:i w:val="0"/>
          <w:color w:val="auto"/>
        </w:rPr>
        <w:t>Kviečių krakmolas</w:t>
      </w:r>
      <w:r w:rsidRPr="00834CD5">
        <w:rPr>
          <w:i w:val="0"/>
          <w:color w:val="auto"/>
        </w:rPr>
        <w:tab/>
      </w:r>
      <w:r w:rsidRPr="00834CD5">
        <w:rPr>
          <w:i w:val="0"/>
          <w:color w:val="auto"/>
        </w:rPr>
        <w:tab/>
      </w:r>
    </w:p>
    <w:p w14:paraId="24B5417C" w14:textId="77777777" w:rsidR="004D2D87" w:rsidRPr="00834CD5" w:rsidRDefault="004D2D87" w:rsidP="004D2D87">
      <w:pPr>
        <w:pStyle w:val="Pagrindinistekstas"/>
        <w:tabs>
          <w:tab w:val="left" w:pos="0"/>
        </w:tabs>
        <w:rPr>
          <w:i w:val="0"/>
          <w:color w:val="auto"/>
        </w:rPr>
      </w:pPr>
      <w:r w:rsidRPr="00834CD5">
        <w:rPr>
          <w:i w:val="0"/>
          <w:color w:val="auto"/>
        </w:rPr>
        <w:t>Magnio stearatas</w:t>
      </w:r>
      <w:r w:rsidRPr="00834CD5">
        <w:rPr>
          <w:i w:val="0"/>
          <w:color w:val="auto"/>
        </w:rPr>
        <w:tab/>
      </w:r>
      <w:r w:rsidRPr="00834CD5">
        <w:rPr>
          <w:i w:val="0"/>
          <w:color w:val="auto"/>
        </w:rPr>
        <w:tab/>
      </w:r>
    </w:p>
    <w:p w14:paraId="589DFAA7" w14:textId="77777777" w:rsidR="004D2D87" w:rsidRPr="00834CD5" w:rsidRDefault="004D2D87" w:rsidP="004D2D87">
      <w:pPr>
        <w:pStyle w:val="Pagrindinistekstas"/>
        <w:tabs>
          <w:tab w:val="left" w:pos="0"/>
        </w:tabs>
      </w:pPr>
      <w:r w:rsidRPr="00834CD5">
        <w:rPr>
          <w:i w:val="0"/>
          <w:color w:val="auto"/>
        </w:rPr>
        <w:t>Talkas</w:t>
      </w:r>
      <w:r w:rsidRPr="00834CD5">
        <w:rPr>
          <w:i w:val="0"/>
          <w:color w:val="auto"/>
        </w:rPr>
        <w:tab/>
      </w:r>
      <w:r w:rsidRPr="00834CD5">
        <w:tab/>
      </w:r>
      <w:r w:rsidRPr="00834CD5">
        <w:tab/>
      </w:r>
    </w:p>
    <w:p w14:paraId="3FA5B2E2" w14:textId="77777777" w:rsidR="004D2D87" w:rsidRPr="00834CD5" w:rsidRDefault="004D2D87" w:rsidP="004D2D87">
      <w:pPr>
        <w:spacing w:line="240" w:lineRule="auto"/>
        <w:outlineLvl w:val="0"/>
        <w:rPr>
          <w:u w:val="single"/>
        </w:rPr>
      </w:pPr>
      <w:r w:rsidRPr="00834CD5">
        <w:t>Povidonas K25</w:t>
      </w:r>
      <w:r w:rsidRPr="00834CD5">
        <w:tab/>
      </w:r>
    </w:p>
    <w:p w14:paraId="52CC5640" w14:textId="77777777" w:rsidR="004D2D87" w:rsidRPr="00834CD5" w:rsidRDefault="004D2D87" w:rsidP="004D2D87">
      <w:pPr>
        <w:spacing w:line="240" w:lineRule="auto"/>
        <w:outlineLvl w:val="0"/>
        <w:rPr>
          <w:u w:val="single"/>
        </w:rPr>
      </w:pPr>
    </w:p>
    <w:p w14:paraId="0415C067" w14:textId="77777777" w:rsidR="004D2D87" w:rsidRPr="00834CD5" w:rsidRDefault="004D2D87" w:rsidP="004D2D87">
      <w:pPr>
        <w:pStyle w:val="Antrat4"/>
      </w:pPr>
      <w:r w:rsidRPr="00834CD5">
        <w:t>6.2</w:t>
      </w:r>
      <w:r w:rsidRPr="00834CD5">
        <w:tab/>
        <w:t>Nesuderinamumas</w:t>
      </w:r>
    </w:p>
    <w:p w14:paraId="5182D927" w14:textId="77777777" w:rsidR="004D2D87" w:rsidRPr="00834CD5" w:rsidRDefault="004D2D87" w:rsidP="004D2D87">
      <w:pPr>
        <w:tabs>
          <w:tab w:val="clear" w:pos="567"/>
        </w:tabs>
        <w:spacing w:line="240" w:lineRule="auto"/>
      </w:pPr>
    </w:p>
    <w:p w14:paraId="23D18DAD" w14:textId="77777777" w:rsidR="004D2D87" w:rsidRPr="00834CD5" w:rsidRDefault="004D2D87" w:rsidP="004D2D87">
      <w:pPr>
        <w:tabs>
          <w:tab w:val="clear" w:pos="567"/>
        </w:tabs>
        <w:spacing w:line="240" w:lineRule="auto"/>
      </w:pPr>
      <w:r w:rsidRPr="00834CD5">
        <w:t>Duomenys nebūtini.</w:t>
      </w:r>
    </w:p>
    <w:p w14:paraId="3934FDE4" w14:textId="77777777" w:rsidR="004D2D87" w:rsidRPr="00834CD5" w:rsidRDefault="004D2D87" w:rsidP="004D2D87">
      <w:pPr>
        <w:tabs>
          <w:tab w:val="clear" w:pos="567"/>
        </w:tabs>
        <w:spacing w:line="240" w:lineRule="auto"/>
      </w:pPr>
    </w:p>
    <w:p w14:paraId="40FCD7B7" w14:textId="77777777" w:rsidR="004D2D87" w:rsidRPr="00834CD5" w:rsidRDefault="004D2D87" w:rsidP="004D2D87">
      <w:pPr>
        <w:pStyle w:val="Antrat4"/>
      </w:pPr>
      <w:r w:rsidRPr="00834CD5">
        <w:t>6.3</w:t>
      </w:r>
      <w:r w:rsidRPr="00834CD5">
        <w:tab/>
        <w:t>Tinkamumo laikas</w:t>
      </w:r>
    </w:p>
    <w:p w14:paraId="3EEC50B0" w14:textId="77777777" w:rsidR="004D2D87" w:rsidRPr="00834CD5" w:rsidRDefault="004D2D87" w:rsidP="004D2D87">
      <w:pPr>
        <w:tabs>
          <w:tab w:val="clear" w:pos="567"/>
        </w:tabs>
        <w:spacing w:line="240" w:lineRule="auto"/>
      </w:pPr>
    </w:p>
    <w:p w14:paraId="0AE0352D" w14:textId="77777777" w:rsidR="004D2D87" w:rsidRPr="00834CD5" w:rsidRDefault="004D2D87" w:rsidP="004D2D87">
      <w:pPr>
        <w:tabs>
          <w:tab w:val="clear" w:pos="567"/>
        </w:tabs>
        <w:spacing w:line="240" w:lineRule="auto"/>
      </w:pPr>
      <w:r w:rsidRPr="00834CD5">
        <w:t>5 metai</w:t>
      </w:r>
    </w:p>
    <w:p w14:paraId="5664AC87" w14:textId="77777777" w:rsidR="004D2D87" w:rsidRPr="00834CD5" w:rsidRDefault="004D2D87" w:rsidP="004D2D87">
      <w:pPr>
        <w:tabs>
          <w:tab w:val="clear" w:pos="567"/>
        </w:tabs>
        <w:spacing w:line="240" w:lineRule="auto"/>
      </w:pPr>
    </w:p>
    <w:p w14:paraId="6F3BA52F" w14:textId="77777777" w:rsidR="004D2D87" w:rsidRPr="00834CD5" w:rsidRDefault="004D2D87" w:rsidP="004D2D87">
      <w:pPr>
        <w:pStyle w:val="Antrat4"/>
      </w:pPr>
      <w:r w:rsidRPr="00834CD5">
        <w:t>6.4</w:t>
      </w:r>
      <w:r w:rsidRPr="00834CD5">
        <w:tab/>
        <w:t>Specialios laikymo sąlygos</w:t>
      </w:r>
    </w:p>
    <w:p w14:paraId="5E3CFCB9" w14:textId="77777777" w:rsidR="004D2D87" w:rsidRPr="00834CD5" w:rsidRDefault="004D2D87" w:rsidP="004D2D87">
      <w:r w:rsidRPr="00834CD5">
        <w:t xml:space="preserve"> </w:t>
      </w:r>
    </w:p>
    <w:p w14:paraId="64B840C3" w14:textId="77777777" w:rsidR="004D2D87" w:rsidRPr="00834CD5" w:rsidRDefault="004D2D87" w:rsidP="004D2D87">
      <w:r w:rsidRPr="00834CD5">
        <w:t>Laikyti ne aukštesnėje kaip 25 ºC temperatūroje.</w:t>
      </w:r>
    </w:p>
    <w:p w14:paraId="0B9966D7" w14:textId="77777777" w:rsidR="004D2D87" w:rsidRPr="00834CD5" w:rsidRDefault="004D2D87" w:rsidP="004D2D87">
      <w:r w:rsidRPr="00834CD5">
        <w:t>Laikyti gamintojo pakuotėje, kad vaistinis preparatas būtų apsaugotas nuo šviesos ir drėgmės.</w:t>
      </w:r>
    </w:p>
    <w:p w14:paraId="170AEC19" w14:textId="77777777" w:rsidR="004D2D87" w:rsidRPr="00834CD5" w:rsidRDefault="004D2D87" w:rsidP="004D2D87">
      <w:pPr>
        <w:tabs>
          <w:tab w:val="clear" w:pos="567"/>
        </w:tabs>
        <w:spacing w:line="240" w:lineRule="auto"/>
      </w:pPr>
    </w:p>
    <w:p w14:paraId="19103215" w14:textId="77777777" w:rsidR="004D2D87" w:rsidRPr="00834CD5" w:rsidRDefault="004D2D87" w:rsidP="004D2D87">
      <w:pPr>
        <w:pStyle w:val="Antrat4"/>
      </w:pPr>
      <w:r w:rsidRPr="00834CD5">
        <w:t>6.5</w:t>
      </w:r>
      <w:r w:rsidRPr="00834CD5">
        <w:tab/>
        <w:t>Talpyklės pobūdis ir jos turinys</w:t>
      </w:r>
    </w:p>
    <w:p w14:paraId="1D5E0F8C" w14:textId="77777777" w:rsidR="004D2D87" w:rsidRPr="00834CD5" w:rsidRDefault="004D2D87" w:rsidP="004D2D87">
      <w:pPr>
        <w:tabs>
          <w:tab w:val="clear" w:pos="567"/>
        </w:tabs>
        <w:spacing w:line="240" w:lineRule="auto"/>
      </w:pPr>
    </w:p>
    <w:p w14:paraId="3C871F03" w14:textId="77777777" w:rsidR="004D2D87" w:rsidRPr="00834CD5" w:rsidRDefault="004D2D87" w:rsidP="004D2D87">
      <w:pPr>
        <w:pStyle w:val="Pagrindinistekstas"/>
        <w:rPr>
          <w:i w:val="0"/>
          <w:color w:val="auto"/>
        </w:rPr>
      </w:pPr>
      <w:r w:rsidRPr="00834CD5">
        <w:rPr>
          <w:i w:val="0"/>
          <w:color w:val="auto"/>
        </w:rPr>
        <w:t>Dešimt tablečių PVC/Al folijos lizdinėje plokštelėje. Kartoninėje dėžutėje yra dvi arba penkiasdešimt lizdinių plokštelių.</w:t>
      </w:r>
    </w:p>
    <w:p w14:paraId="26BD95ED" w14:textId="77777777" w:rsidR="004D2D87" w:rsidRPr="00834CD5" w:rsidRDefault="004D2D87" w:rsidP="004D2D87">
      <w:pPr>
        <w:tabs>
          <w:tab w:val="clear" w:pos="567"/>
        </w:tabs>
        <w:spacing w:line="240" w:lineRule="auto"/>
      </w:pPr>
    </w:p>
    <w:p w14:paraId="522D64C9" w14:textId="77777777" w:rsidR="004D2D87" w:rsidRPr="00834CD5" w:rsidRDefault="004D2D87" w:rsidP="004D2D87">
      <w:pPr>
        <w:tabs>
          <w:tab w:val="clear" w:pos="567"/>
        </w:tabs>
        <w:spacing w:line="240" w:lineRule="auto"/>
      </w:pPr>
      <w:r w:rsidRPr="00834CD5">
        <w:t>Gali būti tiekiamos ne visų dydžių pakuotės.</w:t>
      </w:r>
    </w:p>
    <w:p w14:paraId="32805BFF" w14:textId="77777777" w:rsidR="004D2D87" w:rsidRPr="00834CD5" w:rsidRDefault="004D2D87" w:rsidP="004D2D87">
      <w:pPr>
        <w:tabs>
          <w:tab w:val="clear" w:pos="567"/>
        </w:tabs>
        <w:spacing w:line="240" w:lineRule="auto"/>
      </w:pPr>
    </w:p>
    <w:p w14:paraId="01560B79" w14:textId="77777777" w:rsidR="004D2D87" w:rsidRPr="00834CD5" w:rsidRDefault="004D2D87" w:rsidP="004D2D87">
      <w:pPr>
        <w:pStyle w:val="Antrat4"/>
      </w:pPr>
      <w:bookmarkStart w:id="1" w:name="OLE_LINK1"/>
      <w:r w:rsidRPr="00834CD5">
        <w:t>6.6</w:t>
      </w:r>
      <w:r w:rsidRPr="00834CD5">
        <w:tab/>
        <w:t xml:space="preserve">Specialūs reikalavimai atliekoms tvarkyti </w:t>
      </w:r>
    </w:p>
    <w:bookmarkEnd w:id="1"/>
    <w:p w14:paraId="5D02DF85" w14:textId="77777777" w:rsidR="004D2D87" w:rsidRPr="00834CD5" w:rsidRDefault="004D2D87" w:rsidP="004D2D87">
      <w:pPr>
        <w:tabs>
          <w:tab w:val="clear" w:pos="567"/>
        </w:tabs>
        <w:spacing w:line="240" w:lineRule="auto"/>
        <w:rPr>
          <w:u w:val="single"/>
        </w:rPr>
      </w:pPr>
    </w:p>
    <w:p w14:paraId="5245E4DB" w14:textId="77777777" w:rsidR="004D2D87" w:rsidRPr="00834CD5" w:rsidRDefault="004D2D87" w:rsidP="004D2D87">
      <w:pPr>
        <w:tabs>
          <w:tab w:val="clear" w:pos="567"/>
        </w:tabs>
        <w:spacing w:line="240" w:lineRule="auto"/>
      </w:pPr>
      <w:r w:rsidRPr="00834CD5">
        <w:t>Specialių reikalavimų nėra.</w:t>
      </w:r>
    </w:p>
    <w:p w14:paraId="5E698E4F" w14:textId="77777777" w:rsidR="004D2D87" w:rsidRPr="00834CD5" w:rsidRDefault="004D2D87" w:rsidP="004D2D87">
      <w:pPr>
        <w:tabs>
          <w:tab w:val="clear" w:pos="567"/>
        </w:tabs>
        <w:spacing w:line="240" w:lineRule="auto"/>
      </w:pPr>
    </w:p>
    <w:p w14:paraId="128543FE" w14:textId="77777777" w:rsidR="004D2D87" w:rsidRPr="00834CD5" w:rsidRDefault="004D2D87" w:rsidP="004D2D87">
      <w:pPr>
        <w:tabs>
          <w:tab w:val="clear" w:pos="567"/>
        </w:tabs>
        <w:spacing w:line="240" w:lineRule="auto"/>
      </w:pPr>
    </w:p>
    <w:p w14:paraId="1D8E3234"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sz w:val="22"/>
        </w:rPr>
        <w:t>7.</w:t>
      </w:r>
      <w:r w:rsidRPr="00834CD5">
        <w:rPr>
          <w:rFonts w:ascii="Times New Roman" w:hAnsi="Times New Roman"/>
          <w:sz w:val="22"/>
        </w:rPr>
        <w:tab/>
        <w:t>REGISTRUOTOJAS</w:t>
      </w:r>
    </w:p>
    <w:p w14:paraId="7328C0F1" w14:textId="77777777" w:rsidR="004D2D87" w:rsidRPr="00834CD5" w:rsidRDefault="004D2D87" w:rsidP="004D2D87">
      <w:pPr>
        <w:tabs>
          <w:tab w:val="clear" w:pos="567"/>
        </w:tabs>
        <w:spacing w:line="240" w:lineRule="auto"/>
      </w:pPr>
    </w:p>
    <w:p w14:paraId="7D7EC566" w14:textId="77777777" w:rsidR="004D2D87" w:rsidRPr="00834CD5" w:rsidRDefault="004D2D87" w:rsidP="004D2D87">
      <w:r w:rsidRPr="00834CD5">
        <w:t>SOPHARMA AD</w:t>
      </w:r>
      <w:r w:rsidRPr="00834CD5" w:rsidDel="00572D15">
        <w:t xml:space="preserve"> </w:t>
      </w:r>
    </w:p>
    <w:p w14:paraId="0367D0F8" w14:textId="77777777" w:rsidR="004D2D87" w:rsidRPr="00834CD5" w:rsidRDefault="004D2D87" w:rsidP="004D2D87">
      <w:r w:rsidRPr="00834CD5">
        <w:t>16 Iliensko Shosse Str.</w:t>
      </w:r>
    </w:p>
    <w:p w14:paraId="40C877C3" w14:textId="77777777" w:rsidR="004D2D87" w:rsidRPr="00834CD5" w:rsidRDefault="004D2D87" w:rsidP="004D2D87">
      <w:r w:rsidRPr="00834CD5">
        <w:t>Sofia 1220,</w:t>
      </w:r>
    </w:p>
    <w:p w14:paraId="65A73A1F" w14:textId="77777777" w:rsidR="004D2D87" w:rsidRPr="00834CD5" w:rsidRDefault="004D2D87" w:rsidP="004D2D87">
      <w:r w:rsidRPr="00834CD5">
        <w:t>Bulgarija</w:t>
      </w:r>
    </w:p>
    <w:p w14:paraId="5B6D9FA3" w14:textId="77777777" w:rsidR="004D2D87" w:rsidRPr="00834CD5" w:rsidRDefault="004D2D87" w:rsidP="004D2D87">
      <w:pPr>
        <w:pStyle w:val="Pagrindinistekstas"/>
        <w:rPr>
          <w:color w:val="auto"/>
        </w:rPr>
      </w:pPr>
    </w:p>
    <w:p w14:paraId="17920B08" w14:textId="77777777" w:rsidR="004D2D87" w:rsidRPr="00834CD5" w:rsidRDefault="004D2D87" w:rsidP="004D2D87">
      <w:pPr>
        <w:pStyle w:val="Pagrindinistekstas"/>
        <w:rPr>
          <w:color w:val="auto"/>
        </w:rPr>
      </w:pPr>
    </w:p>
    <w:p w14:paraId="58BDEB13"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sz w:val="22"/>
        </w:rPr>
        <w:lastRenderedPageBreak/>
        <w:t>8.</w:t>
      </w:r>
      <w:r w:rsidRPr="00834CD5">
        <w:rPr>
          <w:rFonts w:ascii="Times New Roman" w:hAnsi="Times New Roman"/>
          <w:sz w:val="22"/>
        </w:rPr>
        <w:tab/>
        <w:t xml:space="preserve">REGISTRACIJOS PAŽYMĖJIMO NUMERIS (-IAI) </w:t>
      </w:r>
    </w:p>
    <w:p w14:paraId="08F02873" w14:textId="77777777" w:rsidR="004D2D87" w:rsidRPr="00834CD5" w:rsidRDefault="004D2D87" w:rsidP="004D2D87">
      <w:pPr>
        <w:tabs>
          <w:tab w:val="clear" w:pos="567"/>
        </w:tabs>
        <w:spacing w:line="240" w:lineRule="auto"/>
      </w:pPr>
    </w:p>
    <w:p w14:paraId="004C7084" w14:textId="77777777" w:rsidR="004D2D87" w:rsidRPr="00834CD5" w:rsidRDefault="004D2D87" w:rsidP="004D2D87">
      <w:pPr>
        <w:tabs>
          <w:tab w:val="clear" w:pos="567"/>
        </w:tabs>
        <w:spacing w:line="240" w:lineRule="auto"/>
      </w:pPr>
      <w:r w:rsidRPr="00834CD5">
        <w:t>N20 - LT/1/02/2218/003</w:t>
      </w:r>
    </w:p>
    <w:p w14:paraId="0F8515ED" w14:textId="77777777" w:rsidR="004D2D87" w:rsidRPr="00834CD5" w:rsidRDefault="004D2D87" w:rsidP="004D2D87">
      <w:pPr>
        <w:tabs>
          <w:tab w:val="clear" w:pos="567"/>
        </w:tabs>
        <w:spacing w:line="240" w:lineRule="auto"/>
      </w:pPr>
      <w:r w:rsidRPr="00834CD5">
        <w:t>N500 - LT/1/02/2218/004</w:t>
      </w:r>
    </w:p>
    <w:p w14:paraId="7FA6F1BF" w14:textId="77777777" w:rsidR="004D2D87" w:rsidRPr="00834CD5" w:rsidRDefault="004D2D87" w:rsidP="004D2D87">
      <w:pPr>
        <w:tabs>
          <w:tab w:val="clear" w:pos="567"/>
        </w:tabs>
        <w:spacing w:line="240" w:lineRule="auto"/>
      </w:pPr>
    </w:p>
    <w:p w14:paraId="429533FD" w14:textId="77777777" w:rsidR="004D2D87" w:rsidRPr="00834CD5" w:rsidRDefault="004D2D87" w:rsidP="004D2D87">
      <w:pPr>
        <w:tabs>
          <w:tab w:val="clear" w:pos="567"/>
        </w:tabs>
        <w:spacing w:line="240" w:lineRule="auto"/>
      </w:pPr>
    </w:p>
    <w:p w14:paraId="70F849D9"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sz w:val="22"/>
        </w:rPr>
        <w:t>9.</w:t>
      </w:r>
      <w:r w:rsidRPr="00834CD5">
        <w:rPr>
          <w:rFonts w:ascii="Times New Roman" w:hAnsi="Times New Roman"/>
          <w:sz w:val="22"/>
        </w:rPr>
        <w:tab/>
        <w:t>REGISTRAVIMO / PERREGISTRAVIMO DATA</w:t>
      </w:r>
    </w:p>
    <w:p w14:paraId="0035FAFA" w14:textId="77777777" w:rsidR="004D2D87" w:rsidRPr="00834CD5" w:rsidRDefault="004D2D87" w:rsidP="004D2D87">
      <w:pPr>
        <w:tabs>
          <w:tab w:val="clear" w:pos="567"/>
        </w:tabs>
        <w:spacing w:line="240" w:lineRule="auto"/>
      </w:pPr>
    </w:p>
    <w:p w14:paraId="31EA0716" w14:textId="77777777" w:rsidR="004D2D87" w:rsidRPr="00834CD5" w:rsidRDefault="004D2D87" w:rsidP="004D2D87">
      <w:pPr>
        <w:spacing w:line="240" w:lineRule="auto"/>
        <w:rPr>
          <w:i/>
        </w:rPr>
      </w:pPr>
      <w:r w:rsidRPr="00834CD5">
        <w:t>Registravimo data 2002 m. kovo 13 d.</w:t>
      </w:r>
    </w:p>
    <w:p w14:paraId="7A1EAEA8" w14:textId="77777777" w:rsidR="004D2D87" w:rsidRPr="00834CD5" w:rsidRDefault="004D2D87" w:rsidP="004D2D87">
      <w:pPr>
        <w:spacing w:line="240" w:lineRule="auto"/>
      </w:pPr>
      <w:r w:rsidRPr="00834CD5">
        <w:t>Paskutinio perregistravimo data 2012 m. lapkričio 29 d.</w:t>
      </w:r>
    </w:p>
    <w:p w14:paraId="061F5F31" w14:textId="77777777" w:rsidR="004D2D87" w:rsidRPr="00834CD5" w:rsidRDefault="004D2D87" w:rsidP="004D2D87">
      <w:pPr>
        <w:tabs>
          <w:tab w:val="clear" w:pos="567"/>
        </w:tabs>
        <w:spacing w:line="240" w:lineRule="auto"/>
      </w:pPr>
    </w:p>
    <w:p w14:paraId="7C938D86" w14:textId="77777777" w:rsidR="004D2D87" w:rsidRPr="00834CD5" w:rsidRDefault="004D2D87" w:rsidP="004D2D87">
      <w:pPr>
        <w:tabs>
          <w:tab w:val="clear" w:pos="567"/>
        </w:tabs>
        <w:spacing w:line="240" w:lineRule="auto"/>
      </w:pPr>
    </w:p>
    <w:p w14:paraId="43A94CC2" w14:textId="77777777" w:rsidR="004D2D87" w:rsidRPr="00834CD5" w:rsidRDefault="004D2D87" w:rsidP="004D2D87">
      <w:pPr>
        <w:pStyle w:val="Antrat3"/>
        <w:spacing w:before="0" w:after="0" w:line="240" w:lineRule="auto"/>
      </w:pPr>
      <w:r w:rsidRPr="00834CD5">
        <w:rPr>
          <w:rFonts w:ascii="Times New Roman" w:hAnsi="Times New Roman"/>
          <w:sz w:val="22"/>
        </w:rPr>
        <w:t>10.</w:t>
      </w:r>
      <w:r w:rsidRPr="00834CD5">
        <w:rPr>
          <w:rFonts w:ascii="Times New Roman" w:hAnsi="Times New Roman"/>
          <w:sz w:val="22"/>
        </w:rPr>
        <w:tab/>
        <w:t>TEKSTO PERŽIŪROS DATA</w:t>
      </w:r>
    </w:p>
    <w:p w14:paraId="50F28AB6" w14:textId="77777777" w:rsidR="004D2D87" w:rsidRPr="00834CD5" w:rsidRDefault="004D2D87" w:rsidP="004D2D87">
      <w:pPr>
        <w:rPr>
          <w:b/>
        </w:rPr>
      </w:pPr>
    </w:p>
    <w:p w14:paraId="65161800" w14:textId="579C8A5D" w:rsidR="00562A23" w:rsidRPr="00834CD5" w:rsidRDefault="00D16590" w:rsidP="004D2D87">
      <w:r>
        <w:t>2025 m. balandžio 14 d.</w:t>
      </w:r>
    </w:p>
    <w:p w14:paraId="2229C192" w14:textId="77777777" w:rsidR="00734637" w:rsidRPr="00834CD5" w:rsidRDefault="00734637" w:rsidP="004D2D87"/>
    <w:p w14:paraId="75B633AB" w14:textId="10D9B6D2" w:rsidR="004D2D87" w:rsidRPr="00834CD5" w:rsidRDefault="004D2D87" w:rsidP="004D2D87">
      <w:pPr>
        <w:numPr>
          <w:ilvl w:val="12"/>
          <w:numId w:val="0"/>
        </w:numPr>
        <w:spacing w:line="240" w:lineRule="auto"/>
        <w:ind w:right="-2"/>
        <w:rPr>
          <w:color w:val="000000"/>
        </w:rPr>
      </w:pPr>
      <w:r w:rsidRPr="00834CD5">
        <w:rPr>
          <w:color w:val="000000"/>
        </w:rPr>
        <w:t xml:space="preserve">Išsami informacija apie šį vaistinį preparatą pateikiama Valstybinės vaistų kontrolės tarnybos prie Lietuvos Respublikos sveikatos apsaugos ministerijos tinklalapyje </w:t>
      </w:r>
      <w:hyperlink r:id="rId8" w:history="1">
        <w:r w:rsidR="00562A23" w:rsidRPr="00711BF2">
          <w:rPr>
            <w:rStyle w:val="Hipersaitas"/>
          </w:rPr>
          <w:t>https://vvkt.lrv.lt/lt/</w:t>
        </w:r>
      </w:hyperlink>
      <w:r w:rsidR="00562A23" w:rsidRPr="00711BF2">
        <w:rPr>
          <w:color w:val="0000EE"/>
          <w:u w:val="single"/>
        </w:rPr>
        <w:t>.</w:t>
      </w:r>
      <w:r w:rsidR="00562A23" w:rsidRPr="00E70E9A">
        <w:rPr>
          <w:color w:val="0000EE"/>
          <w:u w:val="single"/>
        </w:rPr>
        <w:t xml:space="preserve"> </w:t>
      </w:r>
    </w:p>
    <w:p w14:paraId="69E91BA2" w14:textId="77777777" w:rsidR="004D2D87" w:rsidRPr="00834CD5" w:rsidRDefault="004D2D87" w:rsidP="004D2D87">
      <w:pPr>
        <w:numPr>
          <w:ilvl w:val="12"/>
          <w:numId w:val="0"/>
        </w:numPr>
        <w:spacing w:line="240" w:lineRule="auto"/>
        <w:ind w:right="-2"/>
      </w:pPr>
      <w:r w:rsidRPr="00834CD5">
        <w:rPr>
          <w:color w:val="000000"/>
        </w:rPr>
        <w:t xml:space="preserve"> </w:t>
      </w:r>
      <w:r w:rsidRPr="00834CD5">
        <w:br w:type="page"/>
      </w:r>
    </w:p>
    <w:p w14:paraId="2ED60113" w14:textId="77777777" w:rsidR="004D2D87" w:rsidRPr="00834CD5" w:rsidRDefault="004D2D87" w:rsidP="004D2D87">
      <w:pPr>
        <w:spacing w:line="240" w:lineRule="auto"/>
      </w:pPr>
    </w:p>
    <w:p w14:paraId="62F40CF8" w14:textId="77777777" w:rsidR="004D2D87" w:rsidRPr="00834CD5" w:rsidRDefault="004D2D87" w:rsidP="004D2D87">
      <w:pPr>
        <w:spacing w:line="240" w:lineRule="auto"/>
      </w:pPr>
    </w:p>
    <w:p w14:paraId="47A2627B" w14:textId="77777777" w:rsidR="004D2D87" w:rsidRPr="00834CD5" w:rsidRDefault="004D2D87" w:rsidP="004D2D87">
      <w:pPr>
        <w:spacing w:line="240" w:lineRule="auto"/>
      </w:pPr>
    </w:p>
    <w:p w14:paraId="3BA8E119" w14:textId="77777777" w:rsidR="004D2D87" w:rsidRPr="00834CD5" w:rsidRDefault="004D2D87" w:rsidP="004D2D87">
      <w:pPr>
        <w:spacing w:line="240" w:lineRule="auto"/>
      </w:pPr>
    </w:p>
    <w:p w14:paraId="58D062CF" w14:textId="77777777" w:rsidR="004D2D87" w:rsidRPr="00834CD5" w:rsidRDefault="004D2D87" w:rsidP="004D2D87">
      <w:pPr>
        <w:spacing w:line="240" w:lineRule="auto"/>
      </w:pPr>
    </w:p>
    <w:p w14:paraId="4D6B7A29" w14:textId="77777777" w:rsidR="004D2D87" w:rsidRPr="00834CD5" w:rsidRDefault="004D2D87" w:rsidP="004D2D87">
      <w:pPr>
        <w:spacing w:line="240" w:lineRule="auto"/>
      </w:pPr>
    </w:p>
    <w:p w14:paraId="2F3A645E" w14:textId="77777777" w:rsidR="004D2D87" w:rsidRPr="00834CD5" w:rsidRDefault="004D2D87" w:rsidP="004D2D87">
      <w:pPr>
        <w:spacing w:line="240" w:lineRule="auto"/>
      </w:pPr>
    </w:p>
    <w:p w14:paraId="6E292C15" w14:textId="77777777" w:rsidR="004D2D87" w:rsidRPr="00834CD5" w:rsidRDefault="004D2D87" w:rsidP="004D2D87">
      <w:pPr>
        <w:spacing w:line="240" w:lineRule="auto"/>
      </w:pPr>
    </w:p>
    <w:p w14:paraId="3C8D1BD6" w14:textId="77777777" w:rsidR="004D2D87" w:rsidRPr="00834CD5" w:rsidRDefault="004D2D87" w:rsidP="004D2D87">
      <w:pPr>
        <w:spacing w:line="240" w:lineRule="auto"/>
      </w:pPr>
    </w:p>
    <w:p w14:paraId="0C71C47A" w14:textId="77777777" w:rsidR="004D2D87" w:rsidRPr="00834CD5" w:rsidRDefault="004D2D87" w:rsidP="004D2D87">
      <w:pPr>
        <w:spacing w:line="240" w:lineRule="auto"/>
      </w:pPr>
    </w:p>
    <w:p w14:paraId="038B26BC" w14:textId="77777777" w:rsidR="004D2D87" w:rsidRPr="00834CD5" w:rsidRDefault="004D2D87" w:rsidP="004D2D87">
      <w:pPr>
        <w:spacing w:line="240" w:lineRule="auto"/>
      </w:pPr>
    </w:p>
    <w:p w14:paraId="0C59A66F" w14:textId="77777777" w:rsidR="004D2D87" w:rsidRPr="00834CD5" w:rsidRDefault="004D2D87" w:rsidP="004D2D87">
      <w:pPr>
        <w:spacing w:line="240" w:lineRule="auto"/>
      </w:pPr>
    </w:p>
    <w:p w14:paraId="6652A346" w14:textId="77777777" w:rsidR="004D2D87" w:rsidRPr="00834CD5" w:rsidRDefault="004D2D87" w:rsidP="004D2D87">
      <w:pPr>
        <w:spacing w:line="240" w:lineRule="auto"/>
      </w:pPr>
    </w:p>
    <w:p w14:paraId="0B4EA20E" w14:textId="77777777" w:rsidR="004D2D87" w:rsidRPr="00834CD5" w:rsidRDefault="004D2D87" w:rsidP="004D2D87">
      <w:pPr>
        <w:spacing w:line="240" w:lineRule="auto"/>
      </w:pPr>
    </w:p>
    <w:p w14:paraId="62AB9C98" w14:textId="77777777" w:rsidR="004D2D87" w:rsidRPr="00834CD5" w:rsidRDefault="004D2D87" w:rsidP="004D2D87">
      <w:pPr>
        <w:spacing w:line="240" w:lineRule="auto"/>
      </w:pPr>
    </w:p>
    <w:p w14:paraId="6CA3652F" w14:textId="77777777" w:rsidR="004D2D87" w:rsidRPr="00834CD5" w:rsidRDefault="004D2D87" w:rsidP="004D2D87">
      <w:pPr>
        <w:spacing w:line="240" w:lineRule="auto"/>
      </w:pPr>
    </w:p>
    <w:p w14:paraId="536DA07A" w14:textId="77777777" w:rsidR="004D2D87" w:rsidRPr="00834CD5" w:rsidRDefault="004D2D87" w:rsidP="004D2D87">
      <w:pPr>
        <w:spacing w:line="240" w:lineRule="auto"/>
      </w:pPr>
    </w:p>
    <w:p w14:paraId="2FB25172" w14:textId="77777777" w:rsidR="004D2D87" w:rsidRPr="00834CD5" w:rsidRDefault="004D2D87" w:rsidP="004D2D87">
      <w:pPr>
        <w:spacing w:line="240" w:lineRule="auto"/>
      </w:pPr>
    </w:p>
    <w:p w14:paraId="66EB562F" w14:textId="77777777" w:rsidR="004D2D87" w:rsidRPr="00834CD5" w:rsidRDefault="004D2D87" w:rsidP="004D2D87">
      <w:pPr>
        <w:spacing w:line="240" w:lineRule="auto"/>
      </w:pPr>
    </w:p>
    <w:p w14:paraId="6D5625C2" w14:textId="77777777" w:rsidR="004D2D87" w:rsidRPr="00834CD5" w:rsidRDefault="004D2D87" w:rsidP="004D2D87">
      <w:pPr>
        <w:spacing w:line="240" w:lineRule="auto"/>
      </w:pPr>
    </w:p>
    <w:p w14:paraId="1CF377C5" w14:textId="77777777" w:rsidR="004D2D87" w:rsidRPr="00834CD5" w:rsidRDefault="004D2D87" w:rsidP="004D2D87">
      <w:pPr>
        <w:spacing w:line="240" w:lineRule="auto"/>
      </w:pPr>
    </w:p>
    <w:p w14:paraId="43467072" w14:textId="77777777" w:rsidR="004D2D87" w:rsidRPr="00834CD5" w:rsidRDefault="004D2D87" w:rsidP="004D2D87">
      <w:pPr>
        <w:spacing w:line="240" w:lineRule="auto"/>
      </w:pPr>
    </w:p>
    <w:p w14:paraId="0054A1E1" w14:textId="77777777" w:rsidR="004D2D87" w:rsidRPr="00834CD5" w:rsidRDefault="004D2D87" w:rsidP="004D2D87">
      <w:pPr>
        <w:spacing w:line="240" w:lineRule="auto"/>
        <w:jc w:val="center"/>
        <w:rPr>
          <w:b/>
        </w:rPr>
      </w:pPr>
      <w:r w:rsidRPr="00834CD5">
        <w:rPr>
          <w:b/>
        </w:rPr>
        <w:t>II PRIEDAS</w:t>
      </w:r>
    </w:p>
    <w:p w14:paraId="49D2EDC2" w14:textId="77777777" w:rsidR="004D2D87" w:rsidRPr="00834CD5" w:rsidRDefault="004D2D87" w:rsidP="004D2D87">
      <w:pPr>
        <w:spacing w:line="240" w:lineRule="auto"/>
        <w:jc w:val="center"/>
        <w:rPr>
          <w:b/>
        </w:rPr>
      </w:pPr>
    </w:p>
    <w:p w14:paraId="3BF80E16" w14:textId="77777777" w:rsidR="004D2D87" w:rsidRPr="00834CD5" w:rsidRDefault="004D2D87" w:rsidP="004D2D87">
      <w:pPr>
        <w:spacing w:line="240" w:lineRule="auto"/>
        <w:jc w:val="center"/>
        <w:rPr>
          <w:color w:val="000000"/>
        </w:rPr>
      </w:pPr>
      <w:r w:rsidRPr="00834CD5">
        <w:rPr>
          <w:b/>
          <w:color w:val="000000"/>
        </w:rPr>
        <w:t>REGISTRACIJOS SĄLYGOS</w:t>
      </w:r>
    </w:p>
    <w:p w14:paraId="3641255B" w14:textId="77777777" w:rsidR="004D2D87" w:rsidRPr="00834CD5" w:rsidRDefault="004D2D87" w:rsidP="004D2D87">
      <w:pPr>
        <w:spacing w:line="240" w:lineRule="auto"/>
        <w:ind w:right="1416"/>
      </w:pPr>
    </w:p>
    <w:p w14:paraId="7C42D2D8" w14:textId="77777777" w:rsidR="004D2D87" w:rsidRPr="00834CD5" w:rsidRDefault="004D2D87" w:rsidP="004D2D87">
      <w:pPr>
        <w:numPr>
          <w:ilvl w:val="0"/>
          <w:numId w:val="7"/>
        </w:numPr>
        <w:tabs>
          <w:tab w:val="left" w:pos="1701"/>
        </w:tabs>
        <w:spacing w:line="240" w:lineRule="auto"/>
        <w:ind w:right="1418" w:hanging="567"/>
        <w:rPr>
          <w:b/>
        </w:rPr>
      </w:pPr>
      <w:r w:rsidRPr="00834CD5">
        <w:rPr>
          <w:b/>
        </w:rPr>
        <w:t>GAMINTOJAS (-AI), ATSAKINGAS (-I) UŽ SERIJŲ IŠLEIDIMĄ</w:t>
      </w:r>
    </w:p>
    <w:p w14:paraId="2A9FB0EA" w14:textId="77777777" w:rsidR="004D2D87" w:rsidRPr="00834CD5" w:rsidRDefault="004D2D87" w:rsidP="004D2D87">
      <w:pPr>
        <w:spacing w:line="240" w:lineRule="auto"/>
        <w:ind w:left="567" w:hanging="1701"/>
      </w:pPr>
    </w:p>
    <w:p w14:paraId="4B52D201" w14:textId="77777777" w:rsidR="004D2D87" w:rsidRPr="00834CD5" w:rsidRDefault="004D2D87" w:rsidP="004D2D87">
      <w:pPr>
        <w:numPr>
          <w:ilvl w:val="0"/>
          <w:numId w:val="7"/>
        </w:numPr>
        <w:tabs>
          <w:tab w:val="left" w:pos="1701"/>
        </w:tabs>
        <w:spacing w:line="240" w:lineRule="auto"/>
        <w:ind w:right="1418" w:hanging="567"/>
        <w:rPr>
          <w:b/>
        </w:rPr>
      </w:pPr>
      <w:r w:rsidRPr="00834CD5">
        <w:rPr>
          <w:b/>
        </w:rPr>
        <w:t>TIEKIMO IR VARTOJIMO SĄLYGOS AR APRIBOJIMAI</w:t>
      </w:r>
    </w:p>
    <w:p w14:paraId="434F57C4" w14:textId="77777777" w:rsidR="004D2D87" w:rsidRPr="00834CD5" w:rsidRDefault="004D2D87" w:rsidP="004D2D87">
      <w:pPr>
        <w:pStyle w:val="Sraopastraipa"/>
        <w:rPr>
          <w:b/>
        </w:rPr>
      </w:pPr>
    </w:p>
    <w:p w14:paraId="55E6C727" w14:textId="77777777" w:rsidR="004D2D87" w:rsidRPr="00834CD5" w:rsidRDefault="004D2D87" w:rsidP="004D2D87">
      <w:pPr>
        <w:spacing w:line="240" w:lineRule="auto"/>
        <w:ind w:left="567" w:hanging="567"/>
      </w:pPr>
    </w:p>
    <w:p w14:paraId="117311EA" w14:textId="77777777" w:rsidR="004D2D87" w:rsidRPr="00834CD5" w:rsidRDefault="004D2D87" w:rsidP="004D2D87">
      <w:pPr>
        <w:tabs>
          <w:tab w:val="left" w:pos="2835"/>
        </w:tabs>
      </w:pPr>
    </w:p>
    <w:p w14:paraId="06830352" w14:textId="77777777" w:rsidR="004D2D87" w:rsidRPr="00834CD5" w:rsidRDefault="004D2D87" w:rsidP="004D2D87">
      <w:pPr>
        <w:tabs>
          <w:tab w:val="clear" w:pos="567"/>
          <w:tab w:val="left" w:pos="2145"/>
          <w:tab w:val="left" w:pos="2835"/>
        </w:tabs>
      </w:pPr>
      <w:r w:rsidRPr="00834CD5">
        <w:rPr>
          <w:b/>
        </w:rPr>
        <w:tab/>
      </w:r>
    </w:p>
    <w:p w14:paraId="6B2314F0" w14:textId="77777777" w:rsidR="004D2D87" w:rsidRPr="00834CD5" w:rsidRDefault="004D2D87" w:rsidP="004D2D87">
      <w:pPr>
        <w:tabs>
          <w:tab w:val="left" w:pos="2835"/>
        </w:tabs>
      </w:pPr>
    </w:p>
    <w:p w14:paraId="3BE72536" w14:textId="77777777" w:rsidR="004D2D87" w:rsidRPr="00834CD5" w:rsidRDefault="004D2D87" w:rsidP="004D2D87">
      <w:pPr>
        <w:tabs>
          <w:tab w:val="left" w:pos="2835"/>
        </w:tabs>
        <w:rPr>
          <w:b/>
        </w:rPr>
      </w:pPr>
      <w:r w:rsidRPr="00834CD5">
        <w:br w:type="page"/>
      </w:r>
      <w:r w:rsidRPr="00834CD5">
        <w:rPr>
          <w:b/>
        </w:rPr>
        <w:lastRenderedPageBreak/>
        <w:t>A.</w:t>
      </w:r>
      <w:r w:rsidRPr="00834CD5">
        <w:rPr>
          <w:b/>
        </w:rPr>
        <w:tab/>
        <w:t>GAMINTOJAS (-AI), ATSAKINGAS (-I) UŽ SERIJŲ IŠLEIDIMĄ</w:t>
      </w:r>
    </w:p>
    <w:p w14:paraId="2D8B635B" w14:textId="77777777" w:rsidR="004D2D87" w:rsidRPr="00834CD5" w:rsidRDefault="004D2D87" w:rsidP="004D2D87"/>
    <w:p w14:paraId="576F729F" w14:textId="77777777" w:rsidR="004D2D87" w:rsidRPr="00834CD5" w:rsidRDefault="004D2D87" w:rsidP="004D2D87">
      <w:pPr>
        <w:spacing w:line="240" w:lineRule="auto"/>
        <w:jc w:val="both"/>
      </w:pPr>
      <w:r w:rsidRPr="00834CD5">
        <w:rPr>
          <w:u w:val="single"/>
        </w:rPr>
        <w:t xml:space="preserve">Gamintojo (-ų), atsakingo (-ų) už serijų išleidimą, pavadinimas (-ai) ir adresas (-ai) </w:t>
      </w:r>
    </w:p>
    <w:p w14:paraId="698D326C" w14:textId="77777777" w:rsidR="004D2D87" w:rsidRPr="00834CD5" w:rsidRDefault="004D2D87" w:rsidP="004D2D87"/>
    <w:p w14:paraId="68D45251" w14:textId="77777777" w:rsidR="004D2D87" w:rsidRPr="00834CD5" w:rsidRDefault="004D2D87" w:rsidP="004D2D87">
      <w:r w:rsidRPr="00834CD5">
        <w:t>SOPHARMA AD</w:t>
      </w:r>
      <w:r w:rsidRPr="00834CD5" w:rsidDel="00572D15">
        <w:t xml:space="preserve"> </w:t>
      </w:r>
    </w:p>
    <w:p w14:paraId="3466DBA5" w14:textId="77777777" w:rsidR="004D2D87" w:rsidRPr="00834CD5" w:rsidRDefault="004D2D87" w:rsidP="004D2D87">
      <w:r w:rsidRPr="00834CD5">
        <w:t>16 Iliensko Shosse Str., 1220 Sofia</w:t>
      </w:r>
    </w:p>
    <w:p w14:paraId="69052A32" w14:textId="77777777" w:rsidR="004D2D87" w:rsidRPr="00913636" w:rsidRDefault="004D2D87" w:rsidP="00FD3231">
      <w:pPr>
        <w:pStyle w:val="BTEMEASMCA"/>
        <w:rPr>
          <w:noProof w:val="0"/>
          <w:highlight w:val="yellow"/>
        </w:rPr>
      </w:pPr>
      <w:r w:rsidRPr="00913636">
        <w:rPr>
          <w:noProof w:val="0"/>
        </w:rPr>
        <w:t>Bulgarija</w:t>
      </w:r>
    </w:p>
    <w:p w14:paraId="0630B787" w14:textId="77777777" w:rsidR="004D2D87" w:rsidRPr="00834CD5" w:rsidRDefault="004D2D87" w:rsidP="004D2D87"/>
    <w:p w14:paraId="15FD7715" w14:textId="77777777" w:rsidR="004D2D87" w:rsidRPr="00834CD5" w:rsidRDefault="004D2D87" w:rsidP="004D2D87"/>
    <w:p w14:paraId="37CE2D95" w14:textId="77777777" w:rsidR="004D2D87" w:rsidRPr="00834CD5" w:rsidRDefault="004D2D87" w:rsidP="004D2D87">
      <w:pPr>
        <w:suppressLineNumbers/>
        <w:spacing w:line="240" w:lineRule="auto"/>
        <w:ind w:left="567" w:hanging="567"/>
      </w:pPr>
      <w:r w:rsidRPr="00834CD5">
        <w:rPr>
          <w:b/>
        </w:rPr>
        <w:t>B.</w:t>
      </w:r>
      <w:r w:rsidRPr="00834CD5">
        <w:rPr>
          <w:b/>
        </w:rPr>
        <w:tab/>
        <w:t xml:space="preserve">TIEKIMO IR VARTOJIMO SĄLYGOS AR APRIBOJIMAI </w:t>
      </w:r>
    </w:p>
    <w:p w14:paraId="7BB77582" w14:textId="77777777" w:rsidR="004D2D87" w:rsidRPr="00834CD5" w:rsidRDefault="004D2D87" w:rsidP="004D2D87"/>
    <w:p w14:paraId="4823E7E6" w14:textId="77777777" w:rsidR="004D2D87" w:rsidRPr="00834CD5" w:rsidRDefault="004D2D87" w:rsidP="004D2D87">
      <w:r w:rsidRPr="00834CD5">
        <w:t>Receptinis vaistinis preparatas.</w:t>
      </w:r>
    </w:p>
    <w:p w14:paraId="24843D25" w14:textId="77777777" w:rsidR="004D2D87" w:rsidRPr="00913636" w:rsidRDefault="004D2D87" w:rsidP="00FD3231">
      <w:pPr>
        <w:pStyle w:val="BTEMEASMCA"/>
        <w:rPr>
          <w:noProof w:val="0"/>
        </w:rPr>
      </w:pPr>
      <w:bookmarkStart w:id="2" w:name="_Toc129243256"/>
      <w:bookmarkStart w:id="3" w:name="_Toc129243131"/>
    </w:p>
    <w:p w14:paraId="002A7F13" w14:textId="77777777" w:rsidR="004D2D87" w:rsidRPr="00913636" w:rsidRDefault="004D2D87" w:rsidP="00FD3231">
      <w:pPr>
        <w:pStyle w:val="BTEMEASMCA"/>
        <w:rPr>
          <w:noProof w:val="0"/>
        </w:rPr>
      </w:pPr>
    </w:p>
    <w:bookmarkEnd w:id="2"/>
    <w:bookmarkEnd w:id="3"/>
    <w:p w14:paraId="7959AC14" w14:textId="77777777" w:rsidR="004D2D87" w:rsidRPr="00834CD5" w:rsidRDefault="004D2D87" w:rsidP="004D2D87"/>
    <w:p w14:paraId="002B739B" w14:textId="77777777" w:rsidR="004D2D87" w:rsidRPr="00834CD5" w:rsidRDefault="004D2D87" w:rsidP="004D2D87"/>
    <w:p w14:paraId="1DFEB83C" w14:textId="77777777" w:rsidR="004D2D87" w:rsidRPr="00834CD5" w:rsidRDefault="004D2D87" w:rsidP="004D2D87">
      <w:pPr>
        <w:jc w:val="center"/>
      </w:pPr>
      <w:r w:rsidRPr="00834CD5">
        <w:br w:type="page"/>
      </w:r>
    </w:p>
    <w:p w14:paraId="4FEE8EBE" w14:textId="77777777" w:rsidR="004D2D87" w:rsidRPr="00834CD5" w:rsidRDefault="004D2D87" w:rsidP="004D2D87">
      <w:pPr>
        <w:rPr>
          <w:b/>
        </w:rPr>
      </w:pPr>
    </w:p>
    <w:p w14:paraId="0DE6F90D" w14:textId="77777777" w:rsidR="004D2D87" w:rsidRPr="00834CD5" w:rsidRDefault="004D2D87" w:rsidP="004D2D87"/>
    <w:p w14:paraId="70ED1C05" w14:textId="77777777" w:rsidR="004D2D87" w:rsidRPr="00834CD5" w:rsidRDefault="004D2D87" w:rsidP="004D2D87"/>
    <w:p w14:paraId="5358E3C7" w14:textId="77777777" w:rsidR="004D2D87" w:rsidRPr="00834CD5" w:rsidRDefault="004D2D87" w:rsidP="004D2D87"/>
    <w:p w14:paraId="14271BCB" w14:textId="77777777" w:rsidR="004D2D87" w:rsidRPr="00834CD5" w:rsidRDefault="004D2D87" w:rsidP="004D2D87"/>
    <w:p w14:paraId="3B61EDB3" w14:textId="77777777" w:rsidR="004D2D87" w:rsidRPr="00834CD5" w:rsidRDefault="004D2D87" w:rsidP="004D2D87"/>
    <w:p w14:paraId="36E8B349" w14:textId="77777777" w:rsidR="004D2D87" w:rsidRPr="00834CD5" w:rsidRDefault="004D2D87" w:rsidP="004D2D87"/>
    <w:p w14:paraId="1832C765" w14:textId="77777777" w:rsidR="004D2D87" w:rsidRPr="00834CD5" w:rsidRDefault="004D2D87" w:rsidP="004D2D87"/>
    <w:p w14:paraId="6F18394B" w14:textId="77777777" w:rsidR="004D2D87" w:rsidRPr="00834CD5" w:rsidRDefault="004D2D87" w:rsidP="004D2D87"/>
    <w:p w14:paraId="0F5AD6A7" w14:textId="77777777" w:rsidR="004D2D87" w:rsidRPr="00834CD5" w:rsidRDefault="004D2D87" w:rsidP="004D2D87"/>
    <w:p w14:paraId="2AE9876E" w14:textId="77777777" w:rsidR="004D2D87" w:rsidRPr="00834CD5" w:rsidRDefault="004D2D87" w:rsidP="004D2D87"/>
    <w:p w14:paraId="5BFD5ABB" w14:textId="77777777" w:rsidR="004D2D87" w:rsidRPr="00834CD5" w:rsidRDefault="004D2D87" w:rsidP="004D2D87"/>
    <w:p w14:paraId="218E949F" w14:textId="77777777" w:rsidR="004D2D87" w:rsidRPr="00834CD5" w:rsidRDefault="004D2D87" w:rsidP="004D2D87"/>
    <w:p w14:paraId="75E865AF" w14:textId="77777777" w:rsidR="004D2D87" w:rsidRPr="00834CD5" w:rsidRDefault="004D2D87" w:rsidP="004D2D87"/>
    <w:p w14:paraId="6F91E72D" w14:textId="77777777" w:rsidR="004D2D87" w:rsidRPr="00834CD5" w:rsidRDefault="004D2D87" w:rsidP="004D2D87"/>
    <w:p w14:paraId="4B5EAC3F" w14:textId="77777777" w:rsidR="004D2D87" w:rsidRPr="00834CD5" w:rsidRDefault="004D2D87" w:rsidP="004D2D87"/>
    <w:p w14:paraId="0A02D351" w14:textId="77777777" w:rsidR="004D2D87" w:rsidRPr="00834CD5" w:rsidRDefault="004D2D87" w:rsidP="004D2D87"/>
    <w:p w14:paraId="29718984" w14:textId="77777777" w:rsidR="004D2D87" w:rsidRPr="00834CD5" w:rsidRDefault="004D2D87" w:rsidP="004D2D87"/>
    <w:p w14:paraId="03B5648C" w14:textId="77777777" w:rsidR="004D2D87" w:rsidRPr="00834CD5" w:rsidRDefault="004D2D87" w:rsidP="004D2D87"/>
    <w:p w14:paraId="60DF0F4C" w14:textId="77777777" w:rsidR="004D2D87" w:rsidRPr="00834CD5" w:rsidRDefault="004D2D87" w:rsidP="004D2D87"/>
    <w:p w14:paraId="685AB88A" w14:textId="77777777" w:rsidR="004D2D87" w:rsidRPr="00834CD5" w:rsidRDefault="004D2D87" w:rsidP="004D2D87"/>
    <w:p w14:paraId="7B666F7B" w14:textId="77777777" w:rsidR="004D2D87" w:rsidRPr="00834CD5" w:rsidRDefault="004D2D87" w:rsidP="004D2D87"/>
    <w:p w14:paraId="23CFAA5C" w14:textId="77777777" w:rsidR="004D2D87" w:rsidRPr="00834CD5" w:rsidRDefault="004D2D87" w:rsidP="004D2D87">
      <w:pPr>
        <w:pStyle w:val="Antrat2"/>
        <w:spacing w:before="0" w:after="0" w:line="240" w:lineRule="auto"/>
        <w:jc w:val="center"/>
        <w:rPr>
          <w:rFonts w:ascii="Times New Roman" w:hAnsi="Times New Roman"/>
          <w:i w:val="0"/>
          <w:sz w:val="22"/>
        </w:rPr>
      </w:pPr>
      <w:r w:rsidRPr="00834CD5">
        <w:rPr>
          <w:rFonts w:ascii="Times New Roman" w:hAnsi="Times New Roman"/>
          <w:i w:val="0"/>
          <w:sz w:val="22"/>
        </w:rPr>
        <w:t>III PRIEDAS</w:t>
      </w:r>
    </w:p>
    <w:p w14:paraId="70C75BD1" w14:textId="77777777" w:rsidR="004D2D87" w:rsidRPr="00834CD5" w:rsidRDefault="004D2D87" w:rsidP="004D2D87"/>
    <w:p w14:paraId="2B1A5D4F" w14:textId="77777777" w:rsidR="004D2D87" w:rsidRPr="00834CD5" w:rsidRDefault="004D2D87" w:rsidP="004D2D87">
      <w:pPr>
        <w:pStyle w:val="Antrat2"/>
        <w:spacing w:before="0" w:after="0" w:line="240" w:lineRule="auto"/>
        <w:jc w:val="center"/>
        <w:rPr>
          <w:rFonts w:ascii="Times New Roman" w:hAnsi="Times New Roman"/>
          <w:i w:val="0"/>
          <w:sz w:val="22"/>
        </w:rPr>
      </w:pPr>
      <w:r w:rsidRPr="00834CD5">
        <w:rPr>
          <w:rFonts w:ascii="Times New Roman" w:hAnsi="Times New Roman"/>
          <w:i w:val="0"/>
          <w:sz w:val="22"/>
        </w:rPr>
        <w:t>ŽENKLINIMAS IR PAKUOTĖS LAPELIS</w:t>
      </w:r>
    </w:p>
    <w:p w14:paraId="2D7A6742" w14:textId="77777777" w:rsidR="004D2D87" w:rsidRPr="00834CD5" w:rsidRDefault="004D2D87" w:rsidP="004D2D87">
      <w:r w:rsidRPr="00834CD5">
        <w:br w:type="page"/>
      </w:r>
    </w:p>
    <w:p w14:paraId="4BD8145C" w14:textId="77777777" w:rsidR="004D2D87" w:rsidRPr="00834CD5" w:rsidRDefault="004D2D87" w:rsidP="004D2D87"/>
    <w:p w14:paraId="3B91EEE7" w14:textId="77777777" w:rsidR="004D2D87" w:rsidRPr="00834CD5" w:rsidRDefault="004D2D87" w:rsidP="004D2D87"/>
    <w:p w14:paraId="6886F9D1" w14:textId="77777777" w:rsidR="004D2D87" w:rsidRPr="00834CD5" w:rsidRDefault="004D2D87" w:rsidP="004D2D87"/>
    <w:p w14:paraId="1D2AC854" w14:textId="77777777" w:rsidR="004D2D87" w:rsidRPr="00834CD5" w:rsidRDefault="004D2D87" w:rsidP="004D2D87"/>
    <w:p w14:paraId="0D540C98" w14:textId="77777777" w:rsidR="004D2D87" w:rsidRPr="00834CD5" w:rsidRDefault="004D2D87" w:rsidP="004D2D87"/>
    <w:p w14:paraId="6C73E108" w14:textId="77777777" w:rsidR="004D2D87" w:rsidRPr="00834CD5" w:rsidRDefault="004D2D87" w:rsidP="004D2D87"/>
    <w:p w14:paraId="348CEA7D" w14:textId="77777777" w:rsidR="004D2D87" w:rsidRPr="00834CD5" w:rsidRDefault="004D2D87" w:rsidP="004D2D87"/>
    <w:p w14:paraId="1D0C9D8C" w14:textId="77777777" w:rsidR="004D2D87" w:rsidRPr="00834CD5" w:rsidRDefault="004D2D87" w:rsidP="004D2D87"/>
    <w:p w14:paraId="0804B910" w14:textId="77777777" w:rsidR="004D2D87" w:rsidRPr="00834CD5" w:rsidRDefault="004D2D87" w:rsidP="004D2D87"/>
    <w:p w14:paraId="383C4CF1" w14:textId="77777777" w:rsidR="004D2D87" w:rsidRPr="00834CD5" w:rsidRDefault="004D2D87" w:rsidP="004D2D87"/>
    <w:p w14:paraId="7C6080E1" w14:textId="77777777" w:rsidR="004D2D87" w:rsidRPr="00834CD5" w:rsidRDefault="004D2D87" w:rsidP="004D2D87"/>
    <w:p w14:paraId="1D3D34F2" w14:textId="77777777" w:rsidR="004D2D87" w:rsidRPr="00834CD5" w:rsidRDefault="004D2D87" w:rsidP="004D2D87"/>
    <w:p w14:paraId="5024EF78" w14:textId="77777777" w:rsidR="004D2D87" w:rsidRPr="00834CD5" w:rsidRDefault="004D2D87" w:rsidP="004D2D87"/>
    <w:p w14:paraId="3403BA57" w14:textId="77777777" w:rsidR="004D2D87" w:rsidRPr="00834CD5" w:rsidRDefault="004D2D87" w:rsidP="004D2D87"/>
    <w:p w14:paraId="0E107D17" w14:textId="77777777" w:rsidR="004D2D87" w:rsidRPr="00834CD5" w:rsidRDefault="004D2D87" w:rsidP="004D2D87"/>
    <w:p w14:paraId="299B9AE5" w14:textId="77777777" w:rsidR="004D2D87" w:rsidRPr="00834CD5" w:rsidRDefault="004D2D87" w:rsidP="004D2D87"/>
    <w:p w14:paraId="51921E3B" w14:textId="77777777" w:rsidR="004D2D87" w:rsidRPr="00834CD5" w:rsidRDefault="004D2D87" w:rsidP="004D2D87"/>
    <w:p w14:paraId="6D9E8B82" w14:textId="77777777" w:rsidR="004D2D87" w:rsidRPr="00834CD5" w:rsidRDefault="004D2D87" w:rsidP="004D2D87"/>
    <w:p w14:paraId="765ADE67" w14:textId="77777777" w:rsidR="004D2D87" w:rsidRPr="00834CD5" w:rsidRDefault="004D2D87" w:rsidP="004D2D87"/>
    <w:p w14:paraId="17131014" w14:textId="77777777" w:rsidR="004D2D87" w:rsidRPr="00834CD5" w:rsidRDefault="004D2D87" w:rsidP="004D2D87"/>
    <w:p w14:paraId="515C9014" w14:textId="77777777" w:rsidR="004D2D87" w:rsidRPr="00834CD5" w:rsidRDefault="004D2D87" w:rsidP="004D2D87"/>
    <w:p w14:paraId="67102DAC" w14:textId="77777777" w:rsidR="004D2D87" w:rsidRPr="00834CD5" w:rsidRDefault="004D2D87" w:rsidP="004D2D87"/>
    <w:p w14:paraId="72B51A97" w14:textId="77777777" w:rsidR="004D2D87" w:rsidRPr="00834CD5" w:rsidRDefault="004D2D87" w:rsidP="004D2D87">
      <w:pPr>
        <w:pStyle w:val="Antrat2"/>
        <w:spacing w:before="0" w:after="0" w:line="240" w:lineRule="auto"/>
        <w:jc w:val="center"/>
        <w:rPr>
          <w:rFonts w:ascii="Times New Roman" w:hAnsi="Times New Roman"/>
          <w:i w:val="0"/>
          <w:sz w:val="22"/>
        </w:rPr>
      </w:pPr>
      <w:r w:rsidRPr="00834CD5">
        <w:rPr>
          <w:rFonts w:ascii="Times New Roman" w:hAnsi="Times New Roman"/>
          <w:i w:val="0"/>
          <w:sz w:val="22"/>
        </w:rPr>
        <w:t>A. ŽENKLINIMAS</w:t>
      </w:r>
    </w:p>
    <w:p w14:paraId="28C9FD68" w14:textId="77777777" w:rsidR="004D2D87" w:rsidRPr="00834CD5" w:rsidRDefault="004D2D87" w:rsidP="004D2D87">
      <w:r w:rsidRPr="00834CD5">
        <w:br w:type="page"/>
      </w:r>
    </w:p>
    <w:p w14:paraId="680B3DA5"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rPr>
          <w:b/>
        </w:rPr>
      </w:pPr>
      <w:r w:rsidRPr="00834CD5">
        <w:rPr>
          <w:b/>
        </w:rPr>
        <w:lastRenderedPageBreak/>
        <w:t>INFORMACIJA ANT IŠORINĖS PAKUOTĖS</w:t>
      </w:r>
    </w:p>
    <w:p w14:paraId="1248CBFE"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ind w:left="567" w:hanging="567"/>
        <w:rPr>
          <w:b/>
        </w:rPr>
      </w:pPr>
    </w:p>
    <w:p w14:paraId="0DC69C14" w14:textId="77777777" w:rsidR="004D2D87" w:rsidRPr="00913636" w:rsidRDefault="004D2D87" w:rsidP="004D2D87">
      <w:pPr>
        <w:pStyle w:val="PI-1labEMEASMCA"/>
        <w:rPr>
          <w:noProof w:val="0"/>
          <w:szCs w:val="22"/>
        </w:rPr>
      </w:pPr>
      <w:r w:rsidRPr="00913636">
        <w:rPr>
          <w:noProof w:val="0"/>
          <w:szCs w:val="22"/>
        </w:rPr>
        <w:t>KARTONO DĖŽUTĖ</w:t>
      </w:r>
    </w:p>
    <w:p w14:paraId="175E65B6" w14:textId="77777777" w:rsidR="004D2D87" w:rsidRPr="00834CD5" w:rsidRDefault="004D2D87" w:rsidP="004D2D87"/>
    <w:p w14:paraId="1B70C4AC" w14:textId="77777777" w:rsidR="004D2D87" w:rsidRPr="00834CD5" w:rsidRDefault="004D2D87" w:rsidP="004D2D87"/>
    <w:p w14:paraId="5035ADE2"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834CD5">
        <w:rPr>
          <w:b/>
        </w:rPr>
        <w:t>1.</w:t>
      </w:r>
      <w:r w:rsidRPr="00834CD5">
        <w:rPr>
          <w:b/>
        </w:rPr>
        <w:tab/>
      </w:r>
      <w:r w:rsidRPr="00834CD5">
        <w:rPr>
          <w:b/>
          <w:caps/>
        </w:rPr>
        <w:t>VAISTINIO</w:t>
      </w:r>
      <w:r w:rsidRPr="00834CD5">
        <w:rPr>
          <w:b/>
        </w:rPr>
        <w:t xml:space="preserve"> PREPARATO PAVADINIMAS</w:t>
      </w:r>
    </w:p>
    <w:p w14:paraId="365CA82B" w14:textId="77777777" w:rsidR="004D2D87" w:rsidRPr="00834CD5" w:rsidRDefault="004D2D87" w:rsidP="004D2D87"/>
    <w:p w14:paraId="1BAC5722" w14:textId="77777777" w:rsidR="004D2D87" w:rsidRPr="00834CD5" w:rsidRDefault="004D2D87" w:rsidP="004D2D87">
      <w:r w:rsidRPr="00834CD5">
        <w:t>Analgin Sopharma 500 mg tabletės</w:t>
      </w:r>
    </w:p>
    <w:p w14:paraId="3D978134" w14:textId="67E3FE8A" w:rsidR="004D2D87" w:rsidRPr="00834CD5" w:rsidRDefault="00794AAD" w:rsidP="004D2D87">
      <w:r w:rsidRPr="00834CD5">
        <w:t>m</w:t>
      </w:r>
      <w:r w:rsidR="004D2D87" w:rsidRPr="00834CD5">
        <w:t>etamizolo natrio druska</w:t>
      </w:r>
    </w:p>
    <w:p w14:paraId="78447729" w14:textId="77777777" w:rsidR="004D2D87" w:rsidRPr="00834CD5" w:rsidRDefault="004D2D87" w:rsidP="004D2D87"/>
    <w:p w14:paraId="759C66D6" w14:textId="77777777" w:rsidR="004D2D87" w:rsidRPr="00834CD5" w:rsidRDefault="004D2D87" w:rsidP="004D2D87"/>
    <w:p w14:paraId="0C222531"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34CD5">
        <w:rPr>
          <w:b/>
        </w:rPr>
        <w:t>2.</w:t>
      </w:r>
      <w:r w:rsidRPr="00834CD5">
        <w:rPr>
          <w:b/>
        </w:rPr>
        <w:tab/>
        <w:t>VEIKLIOJI (-IOS) MEDŽIAGA (-OS) IR JOS (-Ų) KIEKIS (-IAI)</w:t>
      </w:r>
    </w:p>
    <w:p w14:paraId="14F98F9C" w14:textId="77777777" w:rsidR="004D2D87" w:rsidRPr="00834CD5" w:rsidRDefault="004D2D87" w:rsidP="004D2D87"/>
    <w:p w14:paraId="45072019" w14:textId="77777777" w:rsidR="004D2D87" w:rsidRPr="00834CD5" w:rsidRDefault="004D2D87" w:rsidP="004D2D87">
      <w:r w:rsidRPr="00834CD5">
        <w:t>Kiekvienoje tabletėje yra 500 mg metamizolo natrio druskos.</w:t>
      </w:r>
    </w:p>
    <w:p w14:paraId="3D674369" w14:textId="77777777" w:rsidR="004D2D87" w:rsidRPr="00834CD5" w:rsidRDefault="004D2D87" w:rsidP="004D2D87"/>
    <w:p w14:paraId="3D91F54D" w14:textId="77777777" w:rsidR="004D2D87" w:rsidRPr="00834CD5" w:rsidRDefault="004D2D87" w:rsidP="004D2D87"/>
    <w:p w14:paraId="237C62DE"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834CD5">
        <w:rPr>
          <w:b/>
        </w:rPr>
        <w:t>3.</w:t>
      </w:r>
      <w:r w:rsidRPr="00834CD5">
        <w:rPr>
          <w:b/>
        </w:rPr>
        <w:tab/>
        <w:t>PAGALBINIŲ MEDŽIAGŲ SĄRAŠAS</w:t>
      </w:r>
    </w:p>
    <w:p w14:paraId="75E99498" w14:textId="77777777" w:rsidR="004D2D87" w:rsidRPr="00834CD5" w:rsidRDefault="004D2D87" w:rsidP="004D2D87"/>
    <w:p w14:paraId="1CF68308" w14:textId="77777777" w:rsidR="004D2D87" w:rsidRPr="00834CD5" w:rsidRDefault="004D2D87" w:rsidP="004D2D87">
      <w:r w:rsidRPr="00834CD5">
        <w:t>Sudėtyje yra kviečių krakmolo.</w:t>
      </w:r>
    </w:p>
    <w:p w14:paraId="380D8E77" w14:textId="77777777" w:rsidR="004D2D87" w:rsidRPr="00834CD5" w:rsidRDefault="004D2D87" w:rsidP="004D2D87"/>
    <w:p w14:paraId="7B1F4CC9" w14:textId="77777777" w:rsidR="004D2D87" w:rsidRPr="00834CD5" w:rsidRDefault="004D2D87" w:rsidP="004D2D87"/>
    <w:p w14:paraId="7AD1A7E3"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834CD5">
        <w:rPr>
          <w:b/>
        </w:rPr>
        <w:t>4.</w:t>
      </w:r>
      <w:r w:rsidRPr="00834CD5">
        <w:rPr>
          <w:b/>
        </w:rPr>
        <w:tab/>
        <w:t>FARMACINĖ FORMA IR KIEKIS PAKUOTĖJE</w:t>
      </w:r>
    </w:p>
    <w:p w14:paraId="5822ACD2" w14:textId="77777777" w:rsidR="004D2D87" w:rsidRPr="00834CD5" w:rsidRDefault="004D2D87" w:rsidP="004D2D87">
      <w:pPr>
        <w:ind w:left="567" w:hanging="567"/>
      </w:pPr>
    </w:p>
    <w:p w14:paraId="454CC9C8" w14:textId="77777777" w:rsidR="004D2D87" w:rsidRPr="00834CD5" w:rsidRDefault="004D2D87" w:rsidP="004D2D87">
      <w:r w:rsidRPr="00834CD5">
        <w:rPr>
          <w:highlight w:val="lightGray"/>
        </w:rPr>
        <w:t>Tabletė</w:t>
      </w:r>
    </w:p>
    <w:p w14:paraId="2DE5E12A" w14:textId="77777777" w:rsidR="004D2D87" w:rsidRPr="00834CD5" w:rsidRDefault="004D2D87" w:rsidP="004D2D87">
      <w:r w:rsidRPr="00834CD5">
        <w:t>20 tablečių</w:t>
      </w:r>
    </w:p>
    <w:p w14:paraId="66FBC420" w14:textId="77777777" w:rsidR="004D2D87" w:rsidRPr="00913636" w:rsidRDefault="004D2D87" w:rsidP="00FD3231">
      <w:pPr>
        <w:pStyle w:val="BTEMEASMCA"/>
        <w:rPr>
          <w:noProof w:val="0"/>
        </w:rPr>
      </w:pPr>
      <w:r w:rsidRPr="00913636">
        <w:rPr>
          <w:noProof w:val="0"/>
          <w:highlight w:val="lightGray"/>
        </w:rPr>
        <w:t>500 tablečių</w:t>
      </w:r>
    </w:p>
    <w:p w14:paraId="639FDE7B" w14:textId="77777777" w:rsidR="004D2D87" w:rsidRPr="00834CD5" w:rsidRDefault="004D2D87" w:rsidP="004D2D87"/>
    <w:p w14:paraId="0727133E" w14:textId="77777777" w:rsidR="004D2D87" w:rsidRPr="00834CD5" w:rsidRDefault="004D2D87" w:rsidP="004D2D87"/>
    <w:p w14:paraId="0119DCFC"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834CD5">
        <w:rPr>
          <w:b/>
        </w:rPr>
        <w:t>5.</w:t>
      </w:r>
      <w:r w:rsidRPr="00834CD5">
        <w:rPr>
          <w:b/>
        </w:rPr>
        <w:tab/>
        <w:t>VARTOJIMO METODAS IR BŪDAS (-AI)</w:t>
      </w:r>
    </w:p>
    <w:p w14:paraId="583F7082" w14:textId="77777777" w:rsidR="004D2D87" w:rsidRPr="00913636" w:rsidRDefault="004D2D87" w:rsidP="00FD3231">
      <w:pPr>
        <w:pStyle w:val="BTEMEASMCA"/>
        <w:rPr>
          <w:noProof w:val="0"/>
        </w:rPr>
      </w:pPr>
    </w:p>
    <w:p w14:paraId="14CC1794" w14:textId="77777777" w:rsidR="004D2D87" w:rsidRPr="00834CD5" w:rsidRDefault="004D2D87" w:rsidP="004D2D87">
      <w:r w:rsidRPr="00834CD5">
        <w:t>Vartoti per burną.</w:t>
      </w:r>
    </w:p>
    <w:p w14:paraId="74B13A5E" w14:textId="77777777" w:rsidR="004D2D87" w:rsidRPr="00834CD5" w:rsidRDefault="004D2D87" w:rsidP="004D2D87">
      <w:r w:rsidRPr="00834CD5">
        <w:t>Prieš vartojimą perskaitykite pakuotės lapelį.</w:t>
      </w:r>
    </w:p>
    <w:p w14:paraId="4E190B6E" w14:textId="77777777" w:rsidR="004D2D87" w:rsidRPr="00834CD5" w:rsidRDefault="004D2D87" w:rsidP="004D2D87"/>
    <w:p w14:paraId="31D8485D" w14:textId="77777777" w:rsidR="004D2D87" w:rsidRPr="00834CD5" w:rsidRDefault="004D2D87" w:rsidP="004D2D87"/>
    <w:p w14:paraId="515CE39D"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834CD5">
        <w:rPr>
          <w:b/>
        </w:rPr>
        <w:t>6.</w:t>
      </w:r>
      <w:r w:rsidRPr="00834CD5">
        <w:rPr>
          <w:b/>
        </w:rPr>
        <w:tab/>
        <w:t>SPECIALUS ĮSPĖJIMAS, KAD VAISTINĮ PREPARATĄ BŪTINA LAIKYTI VAIKAMS NEPASTEBIMOJE IR NEPASIEKIAMOJE VIETOJE</w:t>
      </w:r>
    </w:p>
    <w:p w14:paraId="7394D0FA" w14:textId="77777777" w:rsidR="004D2D87" w:rsidRPr="00834CD5" w:rsidRDefault="004D2D87" w:rsidP="004D2D87"/>
    <w:p w14:paraId="2F2209F2" w14:textId="77777777" w:rsidR="004D2D87" w:rsidRPr="00834CD5" w:rsidRDefault="004D2D87" w:rsidP="004D2D87">
      <w:r w:rsidRPr="00834CD5">
        <w:t>Laikyti vaikams nepastebimoje ir nepasiekiamoje vietoje.</w:t>
      </w:r>
    </w:p>
    <w:p w14:paraId="47E45DF5" w14:textId="77777777" w:rsidR="004D2D87" w:rsidRPr="00834CD5" w:rsidRDefault="004D2D87" w:rsidP="004D2D87"/>
    <w:p w14:paraId="1EF56010" w14:textId="77777777" w:rsidR="004D2D87" w:rsidRPr="00834CD5" w:rsidRDefault="004D2D87" w:rsidP="004D2D87"/>
    <w:p w14:paraId="46731A68"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834CD5">
        <w:rPr>
          <w:b/>
        </w:rPr>
        <w:t>7.</w:t>
      </w:r>
      <w:r w:rsidRPr="00834CD5">
        <w:rPr>
          <w:b/>
        </w:rPr>
        <w:tab/>
        <w:t>KITAS (-I) SPECIALUS (-ŪS) ĮSPĖJIMAS (-AI) (JEI REIKIA)</w:t>
      </w:r>
    </w:p>
    <w:p w14:paraId="48C8E464" w14:textId="77777777" w:rsidR="004D2D87" w:rsidRPr="00834CD5" w:rsidRDefault="004D2D87" w:rsidP="004D2D87"/>
    <w:p w14:paraId="5DEEBDA6" w14:textId="77777777" w:rsidR="004D2D87" w:rsidRPr="00834CD5" w:rsidRDefault="004D2D87" w:rsidP="004D2D87"/>
    <w:p w14:paraId="2AEE63AB"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834CD5">
        <w:rPr>
          <w:b/>
        </w:rPr>
        <w:t>8.</w:t>
      </w:r>
      <w:r w:rsidRPr="00834CD5">
        <w:rPr>
          <w:b/>
        </w:rPr>
        <w:tab/>
        <w:t>TINKAMUMO LAIKAS</w:t>
      </w:r>
    </w:p>
    <w:p w14:paraId="16727336" w14:textId="77777777" w:rsidR="004D2D87" w:rsidRPr="00834CD5" w:rsidRDefault="004D2D87" w:rsidP="004D2D87"/>
    <w:p w14:paraId="3FBA9B29" w14:textId="77777777" w:rsidR="004D2D87" w:rsidRPr="00913636" w:rsidRDefault="004D2D87" w:rsidP="00FD3231">
      <w:pPr>
        <w:pStyle w:val="BTEMEASMCA"/>
        <w:rPr>
          <w:noProof w:val="0"/>
        </w:rPr>
      </w:pPr>
      <w:r w:rsidRPr="00913636">
        <w:rPr>
          <w:noProof w:val="0"/>
        </w:rPr>
        <w:t>EXP {mm/MMMM}</w:t>
      </w:r>
    </w:p>
    <w:p w14:paraId="74DF44BD" w14:textId="77777777" w:rsidR="004D2D87" w:rsidRPr="00834CD5" w:rsidRDefault="004D2D87" w:rsidP="004D2D87"/>
    <w:p w14:paraId="345D067D" w14:textId="77777777" w:rsidR="004D2D87" w:rsidRPr="00834CD5" w:rsidRDefault="004D2D87" w:rsidP="004D2D87"/>
    <w:p w14:paraId="6FCEBEC0" w14:textId="77777777" w:rsidR="004D2D87" w:rsidRPr="00834CD5" w:rsidRDefault="004D2D87" w:rsidP="004D2D8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834CD5">
        <w:rPr>
          <w:b/>
        </w:rPr>
        <w:t>9.</w:t>
      </w:r>
      <w:r w:rsidRPr="00834CD5">
        <w:rPr>
          <w:b/>
        </w:rPr>
        <w:tab/>
        <w:t>SPECIALIOS LAIKYMO SĄLYGOS</w:t>
      </w:r>
    </w:p>
    <w:p w14:paraId="6978C7AE" w14:textId="77777777" w:rsidR="004D2D87" w:rsidRPr="00834CD5" w:rsidRDefault="004D2D87" w:rsidP="004D2D87"/>
    <w:p w14:paraId="599148D5" w14:textId="77777777" w:rsidR="004D2D87" w:rsidRPr="00913636" w:rsidRDefault="004D2D87" w:rsidP="00FD3231">
      <w:pPr>
        <w:pStyle w:val="BTEMEASMCA"/>
        <w:rPr>
          <w:noProof w:val="0"/>
        </w:rPr>
      </w:pPr>
      <w:r w:rsidRPr="00913636">
        <w:rPr>
          <w:noProof w:val="0"/>
        </w:rPr>
        <w:t>Laikyti ne aukštesnėje kaip 25 ºC temperatūroje. Laikyti gamintojo pakuotėje, kad vaistas būtų apsaugotas nuo šviesos ir drėgmės.</w:t>
      </w:r>
    </w:p>
    <w:p w14:paraId="35A3FF6D" w14:textId="77777777" w:rsidR="004D2D87" w:rsidRPr="00834CD5" w:rsidRDefault="004D2D87" w:rsidP="004D2D87"/>
    <w:p w14:paraId="6F8ACF96" w14:textId="77777777" w:rsidR="004D2D87" w:rsidRPr="00834CD5" w:rsidRDefault="004D2D87" w:rsidP="004D2D87"/>
    <w:p w14:paraId="3B4AA946"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834CD5">
        <w:rPr>
          <w:b/>
        </w:rPr>
        <w:lastRenderedPageBreak/>
        <w:t>10.</w:t>
      </w:r>
      <w:r w:rsidRPr="00834CD5">
        <w:rPr>
          <w:b/>
        </w:rPr>
        <w:tab/>
        <w:t>SPECIALIOS ATSARGUMO PRIEMONĖS DĖL NESUVARTOTO VAISTINIO</w:t>
      </w:r>
    </w:p>
    <w:p w14:paraId="3A4CBEF8"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ind w:firstLine="567"/>
        <w:outlineLvl w:val="0"/>
        <w:rPr>
          <w:b/>
        </w:rPr>
      </w:pPr>
      <w:r w:rsidRPr="00834CD5">
        <w:rPr>
          <w:b/>
        </w:rPr>
        <w:t>PREPARATO AR JO ATLIEKŲ TVARKYMO (JEI REIKIA)</w:t>
      </w:r>
    </w:p>
    <w:p w14:paraId="2D46F015" w14:textId="77777777" w:rsidR="004D2D87" w:rsidRPr="00834CD5" w:rsidRDefault="004D2D87" w:rsidP="004D2D87"/>
    <w:p w14:paraId="1575341E" w14:textId="77777777" w:rsidR="004D2D87" w:rsidRPr="00834CD5" w:rsidRDefault="004D2D87" w:rsidP="004D2D87"/>
    <w:p w14:paraId="4C5D183F"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834CD5">
        <w:rPr>
          <w:b/>
        </w:rPr>
        <w:t>11.</w:t>
      </w:r>
      <w:r w:rsidRPr="00834CD5">
        <w:rPr>
          <w:b/>
        </w:rPr>
        <w:tab/>
      </w:r>
      <w:r w:rsidRPr="00834CD5">
        <w:rPr>
          <w:b/>
          <w:caps/>
        </w:rPr>
        <w:t>REGISTRUOTOJO PAVADINIMAS IR ADRESAS</w:t>
      </w:r>
    </w:p>
    <w:p w14:paraId="2A780F51" w14:textId="77777777" w:rsidR="004D2D87" w:rsidRPr="00834CD5" w:rsidRDefault="004D2D87" w:rsidP="004D2D87"/>
    <w:p w14:paraId="5AF05584" w14:textId="77777777" w:rsidR="004D2D87" w:rsidRPr="00834CD5" w:rsidRDefault="004D2D87" w:rsidP="004D2D87">
      <w:pPr>
        <w:pStyle w:val="Pagrindinistekstas"/>
        <w:rPr>
          <w:i w:val="0"/>
          <w:color w:val="000000" w:themeColor="text1"/>
        </w:rPr>
      </w:pPr>
      <w:r w:rsidRPr="00834CD5">
        <w:rPr>
          <w:i w:val="0"/>
          <w:color w:val="auto"/>
        </w:rPr>
        <w:t xml:space="preserve">SOPHARMA AD, </w:t>
      </w:r>
      <w:r w:rsidRPr="00834CD5">
        <w:rPr>
          <w:i w:val="0"/>
          <w:color w:val="000000" w:themeColor="text1"/>
        </w:rPr>
        <w:t>16 Iliensko Shosse str., Sofia 1220, Bulgarija</w:t>
      </w:r>
      <w:r w:rsidRPr="00834CD5" w:rsidDel="00A86E3B">
        <w:rPr>
          <w:i w:val="0"/>
          <w:color w:val="000000" w:themeColor="text1"/>
        </w:rPr>
        <w:t xml:space="preserve"> </w:t>
      </w:r>
    </w:p>
    <w:p w14:paraId="510D808B" w14:textId="77777777" w:rsidR="004D2D87" w:rsidRPr="00834CD5" w:rsidRDefault="004D2D87" w:rsidP="004D2D87"/>
    <w:p w14:paraId="0E093B4D" w14:textId="77777777" w:rsidR="004D2D87" w:rsidRPr="00834CD5" w:rsidRDefault="004D2D87" w:rsidP="004D2D87"/>
    <w:p w14:paraId="1334B48B"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outlineLvl w:val="0"/>
      </w:pPr>
      <w:r w:rsidRPr="00834CD5">
        <w:rPr>
          <w:b/>
        </w:rPr>
        <w:t>12.</w:t>
      </w:r>
      <w:r w:rsidRPr="00834CD5">
        <w:rPr>
          <w:b/>
        </w:rPr>
        <w:tab/>
        <w:t xml:space="preserve">REGISTRACIJOS PAŽYMĖJIMO NUMERIS (-IAI) </w:t>
      </w:r>
    </w:p>
    <w:p w14:paraId="67FEFB7B" w14:textId="77777777" w:rsidR="004D2D87" w:rsidRPr="00834CD5" w:rsidRDefault="004D2D87" w:rsidP="004D2D87"/>
    <w:p w14:paraId="3C02865C" w14:textId="77777777" w:rsidR="004D2D87" w:rsidRPr="00834CD5" w:rsidRDefault="004D2D87" w:rsidP="004D2D87">
      <w:pPr>
        <w:tabs>
          <w:tab w:val="clear" w:pos="567"/>
        </w:tabs>
        <w:spacing w:line="240" w:lineRule="auto"/>
      </w:pPr>
      <w:r w:rsidRPr="00834CD5">
        <w:rPr>
          <w:highlight w:val="lightGray"/>
        </w:rPr>
        <w:t>N20 -</w:t>
      </w:r>
      <w:r w:rsidRPr="00834CD5">
        <w:t xml:space="preserve"> LT/1/02/2218/003</w:t>
      </w:r>
    </w:p>
    <w:p w14:paraId="47E947BF" w14:textId="77777777" w:rsidR="004D2D87" w:rsidRPr="00834CD5" w:rsidRDefault="004D2D87" w:rsidP="004D2D87">
      <w:pPr>
        <w:tabs>
          <w:tab w:val="clear" w:pos="567"/>
        </w:tabs>
        <w:spacing w:line="240" w:lineRule="auto"/>
      </w:pPr>
      <w:r w:rsidRPr="00834CD5">
        <w:rPr>
          <w:highlight w:val="lightGray"/>
        </w:rPr>
        <w:t>N500 - LT/1/02/2218/004</w:t>
      </w:r>
    </w:p>
    <w:p w14:paraId="5B72396F" w14:textId="77777777" w:rsidR="004D2D87" w:rsidRPr="00834CD5" w:rsidRDefault="004D2D87" w:rsidP="004D2D87"/>
    <w:p w14:paraId="4812495D" w14:textId="77777777" w:rsidR="004D2D87" w:rsidRPr="00834CD5" w:rsidRDefault="004D2D87" w:rsidP="004D2D87"/>
    <w:p w14:paraId="00956029"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outlineLvl w:val="0"/>
      </w:pPr>
      <w:r w:rsidRPr="00834CD5">
        <w:rPr>
          <w:b/>
        </w:rPr>
        <w:t>13.</w:t>
      </w:r>
      <w:r w:rsidRPr="00834CD5">
        <w:rPr>
          <w:b/>
        </w:rPr>
        <w:tab/>
        <w:t xml:space="preserve">SERIJOS NUMERIS </w:t>
      </w:r>
    </w:p>
    <w:p w14:paraId="7D96C388" w14:textId="77777777" w:rsidR="004D2D87" w:rsidRPr="00834CD5" w:rsidRDefault="004D2D87" w:rsidP="004D2D87"/>
    <w:p w14:paraId="1BD832EB" w14:textId="77777777" w:rsidR="004D2D87" w:rsidRPr="00834CD5" w:rsidRDefault="004D2D87" w:rsidP="004D2D87">
      <w:r w:rsidRPr="00834CD5">
        <w:t>Lot</w:t>
      </w:r>
    </w:p>
    <w:p w14:paraId="50261FC9" w14:textId="77777777" w:rsidR="004D2D87" w:rsidRPr="00834CD5" w:rsidRDefault="004D2D87" w:rsidP="004D2D87"/>
    <w:p w14:paraId="619E479F" w14:textId="77777777" w:rsidR="004D2D87" w:rsidRPr="00834CD5" w:rsidRDefault="004D2D87" w:rsidP="004D2D87"/>
    <w:p w14:paraId="102E844B"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outlineLvl w:val="0"/>
      </w:pPr>
      <w:r w:rsidRPr="00834CD5">
        <w:rPr>
          <w:b/>
        </w:rPr>
        <w:t>14.</w:t>
      </w:r>
      <w:r w:rsidRPr="00834CD5">
        <w:rPr>
          <w:b/>
        </w:rPr>
        <w:tab/>
        <w:t>PARDAVIMO (IŠDAVIMO) TVARKA</w:t>
      </w:r>
    </w:p>
    <w:p w14:paraId="6395E971" w14:textId="77777777" w:rsidR="004D2D87" w:rsidRPr="00834CD5" w:rsidRDefault="004D2D87" w:rsidP="004D2D87"/>
    <w:p w14:paraId="092976BC" w14:textId="77777777" w:rsidR="004D2D87" w:rsidRPr="00834CD5" w:rsidRDefault="004D2D87" w:rsidP="004D2D87">
      <w:r w:rsidRPr="00834CD5">
        <w:t>Receptinis vaistas.</w:t>
      </w:r>
    </w:p>
    <w:p w14:paraId="16BCC63E" w14:textId="77777777" w:rsidR="004D2D87" w:rsidRPr="00834CD5" w:rsidRDefault="004D2D87" w:rsidP="004D2D87"/>
    <w:p w14:paraId="630DF7FC" w14:textId="77777777" w:rsidR="004D2D87" w:rsidRPr="00834CD5" w:rsidRDefault="004D2D87" w:rsidP="004D2D87"/>
    <w:p w14:paraId="29EF78FB" w14:textId="77777777" w:rsidR="004D2D87" w:rsidRPr="00834CD5" w:rsidRDefault="004D2D87" w:rsidP="004D2D87">
      <w:pPr>
        <w:suppressLineNumbers/>
        <w:pBdr>
          <w:top w:val="single" w:sz="4" w:space="2" w:color="auto"/>
          <w:left w:val="single" w:sz="4" w:space="4" w:color="auto"/>
          <w:bottom w:val="single" w:sz="4" w:space="1" w:color="auto"/>
          <w:right w:val="single" w:sz="4" w:space="4" w:color="auto"/>
        </w:pBdr>
        <w:spacing w:line="240" w:lineRule="auto"/>
        <w:outlineLvl w:val="0"/>
      </w:pPr>
      <w:r w:rsidRPr="00834CD5">
        <w:rPr>
          <w:b/>
        </w:rPr>
        <w:t>15.</w:t>
      </w:r>
      <w:r w:rsidRPr="00834CD5">
        <w:rPr>
          <w:b/>
        </w:rPr>
        <w:tab/>
        <w:t>VARTOJIMO INSTRUKCIJA</w:t>
      </w:r>
    </w:p>
    <w:p w14:paraId="63010761" w14:textId="77777777" w:rsidR="004D2D87" w:rsidRPr="00834CD5" w:rsidRDefault="004D2D87" w:rsidP="004D2D87"/>
    <w:p w14:paraId="3984F80B" w14:textId="77777777" w:rsidR="004D2D87" w:rsidRPr="00834CD5" w:rsidRDefault="004D2D87" w:rsidP="004D2D87"/>
    <w:p w14:paraId="3D2C95BD" w14:textId="77777777" w:rsidR="004D2D87" w:rsidRPr="00834CD5" w:rsidRDefault="004D2D87" w:rsidP="004D2D87">
      <w:pPr>
        <w:suppressLineNumbers/>
        <w:pBdr>
          <w:top w:val="single" w:sz="4" w:space="1" w:color="auto"/>
          <w:left w:val="single" w:sz="4" w:space="4" w:color="auto"/>
          <w:bottom w:val="single" w:sz="4" w:space="0" w:color="auto"/>
          <w:right w:val="single" w:sz="4" w:space="4" w:color="auto"/>
        </w:pBdr>
        <w:spacing w:line="240" w:lineRule="auto"/>
      </w:pPr>
      <w:r w:rsidRPr="00834CD5">
        <w:rPr>
          <w:b/>
        </w:rPr>
        <w:t>16.</w:t>
      </w:r>
      <w:r w:rsidRPr="00834CD5">
        <w:rPr>
          <w:b/>
        </w:rPr>
        <w:tab/>
        <w:t>INFORMACIJA BRAILIO RAŠTU</w:t>
      </w:r>
    </w:p>
    <w:p w14:paraId="72794208" w14:textId="77777777" w:rsidR="004D2D87" w:rsidRPr="00834CD5" w:rsidRDefault="004D2D87" w:rsidP="004D2D87"/>
    <w:p w14:paraId="30E72CF6" w14:textId="77777777" w:rsidR="004D2D87" w:rsidRPr="00913636" w:rsidRDefault="004D2D87" w:rsidP="00FD3231">
      <w:pPr>
        <w:pStyle w:val="BTEMEASMCA"/>
        <w:rPr>
          <w:noProof w:val="0"/>
        </w:rPr>
      </w:pPr>
      <w:r w:rsidRPr="00913636">
        <w:rPr>
          <w:noProof w:val="0"/>
        </w:rPr>
        <w:t>analgin sopharma 500 mg</w:t>
      </w:r>
    </w:p>
    <w:p w14:paraId="2FB49D2E" w14:textId="77777777" w:rsidR="004D2D87" w:rsidRPr="00913636" w:rsidRDefault="004D2D87" w:rsidP="00FD3231">
      <w:pPr>
        <w:pStyle w:val="BTEMEASMCA"/>
        <w:rPr>
          <w:noProof w:val="0"/>
        </w:rPr>
      </w:pPr>
    </w:p>
    <w:p w14:paraId="3EFEAFF3" w14:textId="77777777" w:rsidR="004D2D87" w:rsidRPr="00913636" w:rsidRDefault="004D2D87" w:rsidP="00FD3231">
      <w:pPr>
        <w:pStyle w:val="BTEMEASMCA"/>
        <w:rPr>
          <w:noProof w:val="0"/>
        </w:rPr>
      </w:pPr>
    </w:p>
    <w:p w14:paraId="4BB0C6A2" w14:textId="77777777" w:rsidR="004D2D87" w:rsidRPr="00834CD5" w:rsidRDefault="004D2D87" w:rsidP="004D2D87">
      <w:pPr>
        <w:pStyle w:val="Sraopastraipa"/>
        <w:keepNext/>
        <w:numPr>
          <w:ilvl w:val="0"/>
          <w:numId w:val="9"/>
        </w:numPr>
        <w:pBdr>
          <w:top w:val="single" w:sz="4" w:space="1" w:color="auto"/>
          <w:left w:val="single" w:sz="4" w:space="4" w:color="auto"/>
          <w:bottom w:val="single" w:sz="4" w:space="1" w:color="auto"/>
          <w:right w:val="single" w:sz="4" w:space="4" w:color="auto"/>
        </w:pBdr>
        <w:spacing w:line="240" w:lineRule="auto"/>
        <w:ind w:left="1701" w:hanging="1701"/>
        <w:outlineLvl w:val="0"/>
        <w:rPr>
          <w:i/>
        </w:rPr>
      </w:pPr>
      <w:r w:rsidRPr="00834CD5">
        <w:rPr>
          <w:b/>
        </w:rPr>
        <w:t>UNIKALUS IDENTIFIKATORIUS – 2D BRŪKŠNINIS KODAS</w:t>
      </w:r>
    </w:p>
    <w:p w14:paraId="57C10805" w14:textId="77777777" w:rsidR="004D2D87" w:rsidRPr="00834CD5" w:rsidRDefault="004D2D87" w:rsidP="004D2D87">
      <w:pPr>
        <w:tabs>
          <w:tab w:val="clear" w:pos="567"/>
        </w:tabs>
        <w:spacing w:line="240" w:lineRule="auto"/>
      </w:pPr>
    </w:p>
    <w:p w14:paraId="235D997C" w14:textId="77777777" w:rsidR="004D2D87" w:rsidRPr="00834CD5" w:rsidRDefault="004D2D87" w:rsidP="004D2D87">
      <w:pPr>
        <w:spacing w:line="240" w:lineRule="auto"/>
        <w:rPr>
          <w:shd w:val="clear" w:color="auto" w:fill="CCCCCC"/>
        </w:rPr>
      </w:pPr>
      <w:r w:rsidRPr="00834CD5">
        <w:rPr>
          <w:highlight w:val="lightGray"/>
        </w:rPr>
        <w:t>2D brūkšninis kodas su nurodytu unikaliu identifikatoriumi.</w:t>
      </w:r>
    </w:p>
    <w:p w14:paraId="58D5F294" w14:textId="77777777" w:rsidR="004D2D87" w:rsidRPr="00834CD5" w:rsidRDefault="004D2D87" w:rsidP="004D2D87">
      <w:pPr>
        <w:spacing w:line="240" w:lineRule="auto"/>
      </w:pPr>
    </w:p>
    <w:p w14:paraId="22C7EB03" w14:textId="77777777" w:rsidR="004D2D87" w:rsidRPr="00834CD5" w:rsidRDefault="004D2D87" w:rsidP="004D2D87">
      <w:pPr>
        <w:spacing w:line="240" w:lineRule="auto"/>
        <w:rPr>
          <w:vanish/>
        </w:rPr>
      </w:pPr>
    </w:p>
    <w:p w14:paraId="6A8FA45C" w14:textId="77777777" w:rsidR="004D2D87" w:rsidRPr="00834CD5" w:rsidRDefault="004D2D87" w:rsidP="004D2D87">
      <w:pPr>
        <w:tabs>
          <w:tab w:val="clear" w:pos="567"/>
        </w:tabs>
        <w:spacing w:line="240" w:lineRule="auto"/>
      </w:pPr>
    </w:p>
    <w:p w14:paraId="23A14832" w14:textId="77777777" w:rsidR="004D2D87" w:rsidRPr="00834CD5" w:rsidRDefault="004D2D87" w:rsidP="004D2D87">
      <w:pPr>
        <w:pStyle w:val="Sraopastraipa"/>
        <w:keepNext/>
        <w:numPr>
          <w:ilvl w:val="0"/>
          <w:numId w:val="9"/>
        </w:numPr>
        <w:pBdr>
          <w:top w:val="single" w:sz="4" w:space="1" w:color="auto"/>
          <w:left w:val="single" w:sz="4" w:space="4" w:color="auto"/>
          <w:bottom w:val="single" w:sz="4" w:space="1" w:color="auto"/>
          <w:right w:val="single" w:sz="4" w:space="4" w:color="auto"/>
        </w:pBdr>
        <w:spacing w:line="240" w:lineRule="auto"/>
        <w:ind w:left="1418" w:hanging="1418"/>
        <w:outlineLvl w:val="0"/>
        <w:rPr>
          <w:i/>
        </w:rPr>
      </w:pPr>
      <w:r w:rsidRPr="00834CD5">
        <w:rPr>
          <w:b/>
        </w:rPr>
        <w:t>UNIKALUS IDENTIFIKATORIUS – ŽMONĖMS SUPRANTAMI DUOMENYS</w:t>
      </w:r>
    </w:p>
    <w:p w14:paraId="7D5B79C8" w14:textId="77777777" w:rsidR="004D2D87" w:rsidRPr="00834CD5" w:rsidRDefault="004D2D87" w:rsidP="004D2D87">
      <w:pPr>
        <w:tabs>
          <w:tab w:val="clear" w:pos="567"/>
        </w:tabs>
        <w:spacing w:line="240" w:lineRule="auto"/>
      </w:pPr>
    </w:p>
    <w:p w14:paraId="395BE2C5" w14:textId="77777777" w:rsidR="004D2D87" w:rsidRPr="00834CD5" w:rsidRDefault="004D2D87" w:rsidP="004D2D87">
      <w:pPr>
        <w:spacing w:line="240" w:lineRule="auto"/>
      </w:pPr>
      <w:r w:rsidRPr="00834CD5">
        <w:t>PC</w:t>
      </w:r>
      <w:r w:rsidRPr="00E70E9A">
        <w:rPr>
          <w:highlight w:val="lightGray"/>
        </w:rPr>
        <w:t>:</w:t>
      </w:r>
      <w:r w:rsidRPr="00834CD5">
        <w:t xml:space="preserve"> {numeris}</w:t>
      </w:r>
    </w:p>
    <w:p w14:paraId="151775D0" w14:textId="77777777" w:rsidR="004D2D87" w:rsidRPr="00834CD5" w:rsidRDefault="004D2D87" w:rsidP="004D2D87">
      <w:pPr>
        <w:spacing w:line="240" w:lineRule="auto"/>
      </w:pPr>
      <w:r w:rsidRPr="00834CD5">
        <w:t>SN</w:t>
      </w:r>
      <w:r w:rsidRPr="00E70E9A">
        <w:rPr>
          <w:highlight w:val="lightGray"/>
        </w:rPr>
        <w:t>:</w:t>
      </w:r>
      <w:r w:rsidRPr="00834CD5">
        <w:t xml:space="preserve"> {numeris}</w:t>
      </w:r>
    </w:p>
    <w:p w14:paraId="400F62A9" w14:textId="77777777" w:rsidR="004D2D87" w:rsidRPr="00834CD5" w:rsidRDefault="004D2D87" w:rsidP="004D2D87">
      <w:pPr>
        <w:spacing w:line="240" w:lineRule="auto"/>
      </w:pPr>
      <w:r w:rsidRPr="00834CD5">
        <w:rPr>
          <w:highlight w:val="lightGray"/>
        </w:rPr>
        <w:t>NN: {numeris}</w:t>
      </w:r>
    </w:p>
    <w:p w14:paraId="2948CCC8" w14:textId="77777777" w:rsidR="004D2D87" w:rsidRPr="00834CD5" w:rsidRDefault="004D2D87" w:rsidP="004D2D87">
      <w:pPr>
        <w:spacing w:line="240" w:lineRule="auto"/>
        <w:rPr>
          <w:shd w:val="clear" w:color="auto" w:fill="CCCCCC"/>
        </w:rPr>
      </w:pPr>
    </w:p>
    <w:p w14:paraId="68E4D0E5" w14:textId="77777777" w:rsidR="004D2D87" w:rsidRPr="00913636" w:rsidRDefault="004D2D87" w:rsidP="00FD3231">
      <w:pPr>
        <w:pStyle w:val="BTEMEASMCA"/>
        <w:rPr>
          <w:noProof w:val="0"/>
        </w:rPr>
      </w:pPr>
    </w:p>
    <w:p w14:paraId="2D2EE2E5" w14:textId="77777777" w:rsidR="004D2D87" w:rsidRPr="00913636" w:rsidRDefault="004D2D87" w:rsidP="004D2D87">
      <w:pPr>
        <w:pStyle w:val="PI-1labEMEASMCA"/>
        <w:rPr>
          <w:noProof w:val="0"/>
          <w:szCs w:val="22"/>
        </w:rPr>
      </w:pPr>
      <w:r w:rsidRPr="00913636">
        <w:rPr>
          <w:noProof w:val="0"/>
          <w:szCs w:val="22"/>
        </w:rPr>
        <w:br w:type="page"/>
      </w:r>
      <w:r w:rsidRPr="00913636">
        <w:rPr>
          <w:noProof w:val="0"/>
          <w:szCs w:val="22"/>
        </w:rPr>
        <w:lastRenderedPageBreak/>
        <w:t>MINIMALI INFORMACIJA ANT LIZDINIŲ PLOKŠTELIŲ ARBA DVISLUOKSNIŲ JUOSTELIŲ</w:t>
      </w:r>
      <w:r w:rsidRPr="00913636">
        <w:rPr>
          <w:noProof w:val="0"/>
          <w:szCs w:val="22"/>
        </w:rPr>
        <w:br/>
      </w:r>
      <w:r w:rsidRPr="00913636">
        <w:rPr>
          <w:b w:val="0"/>
          <w:noProof w:val="0"/>
          <w:szCs w:val="22"/>
        </w:rPr>
        <w:br/>
      </w:r>
      <w:r w:rsidRPr="00913636">
        <w:rPr>
          <w:noProof w:val="0"/>
          <w:szCs w:val="22"/>
        </w:rPr>
        <w:t>LIZDINĖ PLOKŠTELĖ</w:t>
      </w:r>
    </w:p>
    <w:p w14:paraId="7AC32EC6" w14:textId="77777777" w:rsidR="004D2D87" w:rsidRPr="00834CD5" w:rsidRDefault="004D2D87" w:rsidP="004D2D87"/>
    <w:p w14:paraId="2CE65BFD" w14:textId="77777777" w:rsidR="004D2D87" w:rsidRPr="00834CD5" w:rsidRDefault="004D2D87" w:rsidP="004D2D87"/>
    <w:p w14:paraId="1C63CEB5"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834CD5">
        <w:rPr>
          <w:b/>
        </w:rPr>
        <w:t>1.</w:t>
      </w:r>
      <w:r w:rsidRPr="00834CD5">
        <w:rPr>
          <w:b/>
        </w:rPr>
        <w:tab/>
      </w:r>
      <w:r w:rsidRPr="00834CD5">
        <w:rPr>
          <w:b/>
          <w:caps/>
        </w:rPr>
        <w:t>VAISTINIO</w:t>
      </w:r>
      <w:r w:rsidRPr="00834CD5">
        <w:rPr>
          <w:b/>
        </w:rPr>
        <w:t xml:space="preserve"> PREPARATO PAVADINIMAS</w:t>
      </w:r>
    </w:p>
    <w:p w14:paraId="3BFDA868" w14:textId="77777777" w:rsidR="004D2D87" w:rsidRPr="00834CD5" w:rsidRDefault="004D2D87" w:rsidP="004D2D87"/>
    <w:p w14:paraId="0D326F88" w14:textId="77777777" w:rsidR="004D2D87" w:rsidRPr="00834CD5" w:rsidRDefault="004D2D87" w:rsidP="004D2D87">
      <w:r w:rsidRPr="00834CD5">
        <w:t>Analgin Sopharma 500 mg tabletės</w:t>
      </w:r>
    </w:p>
    <w:p w14:paraId="62ED6E66" w14:textId="43E43418" w:rsidR="004D2D87" w:rsidRPr="00834CD5" w:rsidRDefault="00794AAD" w:rsidP="004D2D87">
      <w:r w:rsidRPr="00834CD5">
        <w:t>m</w:t>
      </w:r>
      <w:r w:rsidR="004D2D87" w:rsidRPr="00834CD5">
        <w:t>etamizolo natrio druska</w:t>
      </w:r>
    </w:p>
    <w:p w14:paraId="49B12F86" w14:textId="77777777" w:rsidR="004D2D87" w:rsidRPr="00834CD5" w:rsidRDefault="004D2D87" w:rsidP="004D2D87"/>
    <w:p w14:paraId="2D78F3CF" w14:textId="77777777" w:rsidR="004D2D87" w:rsidRPr="00834CD5" w:rsidRDefault="004D2D87" w:rsidP="004D2D87"/>
    <w:p w14:paraId="142E14A8"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834CD5">
        <w:rPr>
          <w:b/>
        </w:rPr>
        <w:t>2.</w:t>
      </w:r>
      <w:r w:rsidRPr="00834CD5">
        <w:rPr>
          <w:b/>
        </w:rPr>
        <w:tab/>
      </w:r>
      <w:r w:rsidRPr="00834CD5">
        <w:rPr>
          <w:b/>
          <w:caps/>
        </w:rPr>
        <w:t>REGISTRUOTOJO pavadinimas</w:t>
      </w:r>
    </w:p>
    <w:p w14:paraId="46DB3D4F" w14:textId="77777777" w:rsidR="004D2D87" w:rsidRPr="00834CD5" w:rsidRDefault="004D2D87" w:rsidP="004D2D87"/>
    <w:p w14:paraId="63CBD617" w14:textId="77777777" w:rsidR="004D2D87" w:rsidRPr="00834CD5" w:rsidRDefault="004D2D87" w:rsidP="004D2D87">
      <w:r w:rsidRPr="00834CD5">
        <w:t>SOPHARMA AD</w:t>
      </w:r>
      <w:r w:rsidRPr="00834CD5" w:rsidDel="00572D15">
        <w:rPr>
          <w:i/>
        </w:rPr>
        <w:t xml:space="preserve"> </w:t>
      </w:r>
      <w:r w:rsidRPr="00834CD5">
        <w:rPr>
          <w:highlight w:val="lightGray"/>
        </w:rPr>
        <w:t>{logotipas}</w:t>
      </w:r>
    </w:p>
    <w:p w14:paraId="1DE11AC2" w14:textId="77777777" w:rsidR="004D2D87" w:rsidRPr="00834CD5" w:rsidRDefault="004D2D87" w:rsidP="004D2D87">
      <w:pPr>
        <w:pStyle w:val="Pagrindinistekstas"/>
        <w:rPr>
          <w:i w:val="0"/>
          <w:color w:val="auto"/>
        </w:rPr>
      </w:pPr>
    </w:p>
    <w:p w14:paraId="5FCC3541" w14:textId="77777777" w:rsidR="004D2D87" w:rsidRPr="00834CD5" w:rsidRDefault="004D2D87" w:rsidP="004D2D87"/>
    <w:p w14:paraId="3823E1F8" w14:textId="77777777" w:rsidR="004D2D87" w:rsidRPr="00834CD5" w:rsidRDefault="004D2D87" w:rsidP="004D2D87"/>
    <w:p w14:paraId="53A0BB63" w14:textId="77777777" w:rsidR="004D2D87" w:rsidRPr="00834CD5" w:rsidRDefault="004D2D87" w:rsidP="004D2D87">
      <w:pPr>
        <w:suppressLineNumbers/>
        <w:pBdr>
          <w:top w:val="single" w:sz="4" w:space="1" w:color="auto"/>
          <w:left w:val="single" w:sz="4" w:space="4" w:color="auto"/>
          <w:bottom w:val="single" w:sz="4" w:space="2" w:color="auto"/>
          <w:right w:val="single" w:sz="4" w:space="4" w:color="auto"/>
        </w:pBdr>
        <w:spacing w:line="240" w:lineRule="auto"/>
        <w:outlineLvl w:val="0"/>
        <w:rPr>
          <w:b/>
        </w:rPr>
      </w:pPr>
      <w:r w:rsidRPr="00834CD5">
        <w:rPr>
          <w:b/>
        </w:rPr>
        <w:t>3.</w:t>
      </w:r>
      <w:r w:rsidRPr="00834CD5">
        <w:rPr>
          <w:b/>
        </w:rPr>
        <w:tab/>
        <w:t>TINKAMUMO LAIKAS</w:t>
      </w:r>
    </w:p>
    <w:p w14:paraId="5841AC11" w14:textId="77777777" w:rsidR="004D2D87" w:rsidRPr="00834CD5" w:rsidRDefault="004D2D87" w:rsidP="004D2D87"/>
    <w:p w14:paraId="6A72DF9D" w14:textId="77777777" w:rsidR="004D2D87" w:rsidRPr="00913636" w:rsidRDefault="004D2D87" w:rsidP="00FD3231">
      <w:pPr>
        <w:pStyle w:val="BTEMEASMCA"/>
        <w:rPr>
          <w:noProof w:val="0"/>
        </w:rPr>
      </w:pPr>
      <w:r w:rsidRPr="00913636">
        <w:rPr>
          <w:noProof w:val="0"/>
          <w:highlight w:val="lightGray"/>
        </w:rPr>
        <w:t>EXP</w:t>
      </w:r>
      <w:r w:rsidRPr="00913636">
        <w:rPr>
          <w:noProof w:val="0"/>
        </w:rPr>
        <w:t xml:space="preserve"> {mm/MMMM}</w:t>
      </w:r>
    </w:p>
    <w:p w14:paraId="53F98943" w14:textId="77777777" w:rsidR="004D2D87" w:rsidRPr="00834CD5" w:rsidRDefault="004D2D87" w:rsidP="004D2D87"/>
    <w:p w14:paraId="2713B984" w14:textId="77777777" w:rsidR="004D2D87" w:rsidRPr="00834CD5" w:rsidRDefault="004D2D87" w:rsidP="004D2D87"/>
    <w:p w14:paraId="3AC0BF31"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834CD5">
        <w:rPr>
          <w:b/>
        </w:rPr>
        <w:t>4.</w:t>
      </w:r>
      <w:r w:rsidRPr="00834CD5">
        <w:rPr>
          <w:b/>
        </w:rPr>
        <w:tab/>
        <w:t>SERIJOS NUMERIS</w:t>
      </w:r>
    </w:p>
    <w:p w14:paraId="0F738429" w14:textId="77777777" w:rsidR="004D2D87" w:rsidRPr="00834CD5" w:rsidRDefault="004D2D87" w:rsidP="004D2D87"/>
    <w:p w14:paraId="5DA1C5B3" w14:textId="77777777" w:rsidR="004D2D87" w:rsidRPr="00834CD5" w:rsidRDefault="004D2D87" w:rsidP="004D2D87">
      <w:pPr>
        <w:ind w:left="567" w:hanging="567"/>
      </w:pPr>
      <w:r w:rsidRPr="00834CD5">
        <w:rPr>
          <w:highlight w:val="lightGray"/>
        </w:rPr>
        <w:t>Lot</w:t>
      </w:r>
    </w:p>
    <w:p w14:paraId="222A55B2" w14:textId="77777777" w:rsidR="004D2D87" w:rsidRPr="00834CD5" w:rsidRDefault="004D2D87" w:rsidP="004D2D87"/>
    <w:p w14:paraId="4D265632" w14:textId="77777777" w:rsidR="004D2D87" w:rsidRPr="00834CD5" w:rsidRDefault="004D2D87" w:rsidP="004D2D87"/>
    <w:p w14:paraId="52C58F69" w14:textId="77777777" w:rsidR="004D2D87" w:rsidRPr="00834CD5" w:rsidRDefault="004D2D87" w:rsidP="004D2D87">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834CD5">
        <w:rPr>
          <w:b/>
        </w:rPr>
        <w:t>5.</w:t>
      </w:r>
      <w:r w:rsidRPr="00834CD5">
        <w:rPr>
          <w:b/>
        </w:rPr>
        <w:tab/>
        <w:t>KITA</w:t>
      </w:r>
    </w:p>
    <w:p w14:paraId="001B816C" w14:textId="77777777" w:rsidR="004D2D87" w:rsidRPr="00834CD5" w:rsidRDefault="004D2D87" w:rsidP="004D2D87">
      <w:pPr>
        <w:rPr>
          <w:highlight w:val="lightGray"/>
        </w:rPr>
      </w:pPr>
    </w:p>
    <w:p w14:paraId="3A40AA48" w14:textId="77777777" w:rsidR="004D2D87" w:rsidRPr="00834CD5" w:rsidRDefault="004D2D87" w:rsidP="004D2D87"/>
    <w:p w14:paraId="5DD15FC7" w14:textId="77777777" w:rsidR="004D2D87" w:rsidRPr="00834CD5" w:rsidRDefault="004D2D87" w:rsidP="004D2D87">
      <w:r w:rsidRPr="00834CD5">
        <w:br w:type="page"/>
      </w:r>
    </w:p>
    <w:p w14:paraId="4454326E" w14:textId="77777777" w:rsidR="004D2D87" w:rsidRPr="00834CD5" w:rsidRDefault="004D2D87" w:rsidP="004D2D87"/>
    <w:p w14:paraId="6D1F7755" w14:textId="77777777" w:rsidR="004D2D87" w:rsidRPr="00834CD5" w:rsidRDefault="004D2D87" w:rsidP="004D2D87"/>
    <w:p w14:paraId="6B31DBC2" w14:textId="77777777" w:rsidR="004D2D87" w:rsidRPr="00834CD5" w:rsidRDefault="004D2D87" w:rsidP="004D2D87"/>
    <w:p w14:paraId="72C88042" w14:textId="77777777" w:rsidR="004D2D87" w:rsidRPr="00834CD5" w:rsidRDefault="004D2D87" w:rsidP="004D2D87"/>
    <w:p w14:paraId="10ED5BA4" w14:textId="77777777" w:rsidR="004D2D87" w:rsidRPr="00834CD5" w:rsidRDefault="004D2D87" w:rsidP="004D2D87"/>
    <w:p w14:paraId="7CE15933" w14:textId="77777777" w:rsidR="004D2D87" w:rsidRPr="00834CD5" w:rsidRDefault="004D2D87" w:rsidP="004D2D87"/>
    <w:p w14:paraId="6C27E353" w14:textId="77777777" w:rsidR="004D2D87" w:rsidRPr="00834CD5" w:rsidRDefault="004D2D87" w:rsidP="004D2D87"/>
    <w:p w14:paraId="5148D346" w14:textId="77777777" w:rsidR="004D2D87" w:rsidRPr="00834CD5" w:rsidRDefault="004D2D87" w:rsidP="004D2D87"/>
    <w:p w14:paraId="71DE0276" w14:textId="77777777" w:rsidR="004D2D87" w:rsidRPr="00834CD5" w:rsidRDefault="004D2D87" w:rsidP="004D2D87"/>
    <w:p w14:paraId="6D11677E" w14:textId="77777777" w:rsidR="004D2D87" w:rsidRPr="00834CD5" w:rsidRDefault="004D2D87" w:rsidP="004D2D87"/>
    <w:p w14:paraId="4FBC4C13" w14:textId="77777777" w:rsidR="004D2D87" w:rsidRPr="00834CD5" w:rsidRDefault="004D2D87" w:rsidP="004D2D87"/>
    <w:p w14:paraId="05BF661F" w14:textId="77777777" w:rsidR="004D2D87" w:rsidRPr="00834CD5" w:rsidRDefault="004D2D87" w:rsidP="004D2D87"/>
    <w:p w14:paraId="1ABD7859" w14:textId="77777777" w:rsidR="004D2D87" w:rsidRPr="00834CD5" w:rsidRDefault="004D2D87" w:rsidP="004D2D87"/>
    <w:p w14:paraId="71BEB3F0" w14:textId="77777777" w:rsidR="004D2D87" w:rsidRPr="00834CD5" w:rsidRDefault="004D2D87" w:rsidP="004D2D87"/>
    <w:p w14:paraId="3C09F493" w14:textId="77777777" w:rsidR="004D2D87" w:rsidRPr="00834CD5" w:rsidRDefault="004D2D87" w:rsidP="004D2D87"/>
    <w:p w14:paraId="64F884F1" w14:textId="77777777" w:rsidR="004D2D87" w:rsidRPr="00834CD5" w:rsidRDefault="004D2D87" w:rsidP="004D2D87"/>
    <w:p w14:paraId="2D10EDB7" w14:textId="77777777" w:rsidR="004D2D87" w:rsidRPr="00834CD5" w:rsidRDefault="004D2D87" w:rsidP="004D2D87"/>
    <w:p w14:paraId="7D7C48FD" w14:textId="77777777" w:rsidR="004D2D87" w:rsidRPr="00834CD5" w:rsidRDefault="004D2D87" w:rsidP="004D2D87"/>
    <w:p w14:paraId="24090501" w14:textId="77777777" w:rsidR="004D2D87" w:rsidRPr="00834CD5" w:rsidRDefault="004D2D87" w:rsidP="004D2D87"/>
    <w:p w14:paraId="0911AAD8" w14:textId="77777777" w:rsidR="004D2D87" w:rsidRPr="00834CD5" w:rsidRDefault="004D2D87" w:rsidP="004D2D87"/>
    <w:p w14:paraId="05D3CBC8" w14:textId="77777777" w:rsidR="004D2D87" w:rsidRPr="00834CD5" w:rsidRDefault="004D2D87" w:rsidP="004D2D87"/>
    <w:p w14:paraId="293D6AAF" w14:textId="77777777" w:rsidR="004D2D87" w:rsidRPr="00834CD5" w:rsidRDefault="004D2D87" w:rsidP="004D2D87"/>
    <w:p w14:paraId="343289CD" w14:textId="77777777" w:rsidR="004D2D87" w:rsidRPr="00834CD5" w:rsidRDefault="004D2D87" w:rsidP="004D2D87">
      <w:pPr>
        <w:pStyle w:val="Antrat2"/>
        <w:spacing w:before="0" w:after="0" w:line="240" w:lineRule="auto"/>
        <w:jc w:val="center"/>
        <w:rPr>
          <w:rFonts w:ascii="Times New Roman" w:hAnsi="Times New Roman"/>
          <w:i w:val="0"/>
          <w:sz w:val="22"/>
        </w:rPr>
      </w:pPr>
      <w:r w:rsidRPr="00834CD5">
        <w:rPr>
          <w:rFonts w:ascii="Times New Roman" w:hAnsi="Times New Roman"/>
          <w:i w:val="0"/>
          <w:sz w:val="22"/>
        </w:rPr>
        <w:t>B. PAKUOTĖS LAPELIS</w:t>
      </w:r>
    </w:p>
    <w:p w14:paraId="11DD493A" w14:textId="77777777" w:rsidR="004D2D87" w:rsidRPr="00834CD5" w:rsidRDefault="004D2D87" w:rsidP="004D2D87">
      <w:pPr>
        <w:pStyle w:val="Antrat2"/>
        <w:spacing w:before="0" w:after="0" w:line="240" w:lineRule="auto"/>
        <w:jc w:val="center"/>
        <w:rPr>
          <w:rFonts w:ascii="Times New Roman" w:hAnsi="Times New Roman"/>
          <w:i w:val="0"/>
          <w:sz w:val="22"/>
        </w:rPr>
      </w:pPr>
      <w:r w:rsidRPr="00834CD5">
        <w:rPr>
          <w:rFonts w:ascii="Times New Roman" w:hAnsi="Times New Roman"/>
          <w:b w:val="0"/>
          <w:sz w:val="22"/>
        </w:rPr>
        <w:br w:type="page"/>
      </w:r>
      <w:r w:rsidRPr="00834CD5">
        <w:rPr>
          <w:rFonts w:ascii="Times New Roman" w:hAnsi="Times New Roman"/>
          <w:i w:val="0"/>
          <w:sz w:val="22"/>
        </w:rPr>
        <w:lastRenderedPageBreak/>
        <w:t>Pakuotės lapelis: informacija vartotojui</w:t>
      </w:r>
    </w:p>
    <w:p w14:paraId="714F020B" w14:textId="77777777" w:rsidR="004D2D87" w:rsidRPr="00834CD5" w:rsidRDefault="004D2D87" w:rsidP="004D2D87">
      <w:pPr>
        <w:numPr>
          <w:ilvl w:val="12"/>
          <w:numId w:val="0"/>
        </w:numPr>
        <w:shd w:val="clear" w:color="auto" w:fill="FFFFFF"/>
        <w:tabs>
          <w:tab w:val="clear" w:pos="567"/>
        </w:tabs>
        <w:spacing w:line="240" w:lineRule="auto"/>
        <w:jc w:val="center"/>
      </w:pPr>
    </w:p>
    <w:p w14:paraId="7F0E673D" w14:textId="77777777" w:rsidR="004D2D87" w:rsidRPr="00834CD5" w:rsidRDefault="004D2D87" w:rsidP="004D2D87">
      <w:pPr>
        <w:jc w:val="center"/>
        <w:rPr>
          <w:b/>
        </w:rPr>
      </w:pPr>
      <w:r w:rsidRPr="00834CD5">
        <w:rPr>
          <w:b/>
        </w:rPr>
        <w:t>Analgin Sopharma 500 mg tabletės</w:t>
      </w:r>
    </w:p>
    <w:p w14:paraId="669B8A1E" w14:textId="0C11C7C6" w:rsidR="004D2D87" w:rsidRPr="00834CD5" w:rsidRDefault="00F32898" w:rsidP="004D2D87">
      <w:pPr>
        <w:jc w:val="center"/>
      </w:pPr>
      <w:r w:rsidRPr="00834CD5">
        <w:t>m</w:t>
      </w:r>
      <w:r w:rsidR="004D2D87" w:rsidRPr="00834CD5">
        <w:t>etamizolo natrio druska</w:t>
      </w:r>
    </w:p>
    <w:p w14:paraId="780E7D95" w14:textId="77777777" w:rsidR="004D2D87" w:rsidRPr="00834CD5" w:rsidRDefault="004D2D87" w:rsidP="004D2D87">
      <w:pPr>
        <w:jc w:val="center"/>
      </w:pPr>
    </w:p>
    <w:p w14:paraId="5EF4B16B" w14:textId="77777777" w:rsidR="004D2D87" w:rsidRPr="00834CD5" w:rsidRDefault="004D2D87" w:rsidP="004D2D87">
      <w:pPr>
        <w:tabs>
          <w:tab w:val="clear" w:pos="567"/>
        </w:tabs>
        <w:spacing w:line="240" w:lineRule="auto"/>
      </w:pPr>
    </w:p>
    <w:p w14:paraId="6C472C1C" w14:textId="77777777" w:rsidR="004D2D87" w:rsidRPr="00834CD5" w:rsidRDefault="004D2D87" w:rsidP="004D2D87">
      <w:pPr>
        <w:tabs>
          <w:tab w:val="clear" w:pos="567"/>
        </w:tabs>
        <w:suppressAutoHyphens/>
        <w:spacing w:line="240" w:lineRule="auto"/>
      </w:pPr>
      <w:r w:rsidRPr="00834CD5">
        <w:rPr>
          <w:b/>
        </w:rPr>
        <w:t>Atidžiai perskaitykite visą šį lapelį, prieš pradėdami vartoti vaistą, nes jame pateikiama Jums svarbi informacija.</w:t>
      </w:r>
    </w:p>
    <w:p w14:paraId="01743100" w14:textId="77777777" w:rsidR="004D2D87" w:rsidRPr="00834CD5" w:rsidRDefault="004D2D87" w:rsidP="004D2D87">
      <w:pPr>
        <w:numPr>
          <w:ilvl w:val="0"/>
          <w:numId w:val="3"/>
        </w:numPr>
        <w:tabs>
          <w:tab w:val="clear" w:pos="567"/>
        </w:tabs>
        <w:spacing w:line="240" w:lineRule="auto"/>
        <w:ind w:left="567" w:right="-2" w:hanging="567"/>
      </w:pPr>
      <w:r w:rsidRPr="00834CD5">
        <w:t xml:space="preserve">Neišmeskite šio lapelio, nes vėl gali prireikti jį perskaityti. </w:t>
      </w:r>
    </w:p>
    <w:p w14:paraId="6188862B" w14:textId="77777777" w:rsidR="004D2D87" w:rsidRPr="00834CD5" w:rsidRDefault="004D2D87" w:rsidP="004D2D87">
      <w:pPr>
        <w:numPr>
          <w:ilvl w:val="0"/>
          <w:numId w:val="3"/>
        </w:numPr>
        <w:tabs>
          <w:tab w:val="clear" w:pos="567"/>
        </w:tabs>
        <w:spacing w:line="240" w:lineRule="auto"/>
        <w:ind w:left="567" w:right="-2" w:hanging="567"/>
      </w:pPr>
      <w:r w:rsidRPr="00834CD5">
        <w:t>Jeigu kiltų daugiau klausimų, kreipkitės į gydytoją arba vaistininką.</w:t>
      </w:r>
    </w:p>
    <w:p w14:paraId="4D90102A" w14:textId="77777777" w:rsidR="004D2D87" w:rsidRPr="00834CD5" w:rsidRDefault="004D2D87" w:rsidP="004D2D87">
      <w:pPr>
        <w:spacing w:line="240" w:lineRule="auto"/>
        <w:ind w:left="567" w:right="-2" w:hanging="567"/>
      </w:pPr>
      <w:r w:rsidRPr="00834CD5">
        <w:t>-</w:t>
      </w:r>
      <w:r w:rsidRPr="00834CD5">
        <w:tab/>
        <w:t>Šis vaistas skirtas tik Jums, todėl kitiems žmonėms jo duoti negalima. Vaistas gali jiems pakenkti (net tiems, kurių ligos požymiai yra tokie patys kaip Jūsų).</w:t>
      </w:r>
      <w:r w:rsidRPr="00834CD5">
        <w:rPr>
          <w:color w:val="008000"/>
        </w:rPr>
        <w:t xml:space="preserve"> </w:t>
      </w:r>
    </w:p>
    <w:p w14:paraId="2AC8F9D2" w14:textId="77777777" w:rsidR="004D2D87" w:rsidRPr="00834CD5" w:rsidRDefault="004D2D87" w:rsidP="004D2D87">
      <w:pPr>
        <w:numPr>
          <w:ilvl w:val="0"/>
          <w:numId w:val="3"/>
        </w:numPr>
        <w:spacing w:line="240" w:lineRule="auto"/>
        <w:ind w:left="567" w:hanging="567"/>
      </w:pPr>
      <w:r w:rsidRPr="00834CD5">
        <w:t>Jeigu pasireiškė šalutinis poveikis (net jeigu jis šiame lapelyje nenurodytas), kreipkitės į gydytoją arba vaistininką. Žr. 4 skyrių.</w:t>
      </w:r>
    </w:p>
    <w:p w14:paraId="5A18FBB2" w14:textId="77777777" w:rsidR="00655151" w:rsidRPr="00834CD5" w:rsidRDefault="00655151" w:rsidP="00655151">
      <w:pPr>
        <w:tabs>
          <w:tab w:val="clear" w:pos="567"/>
        </w:tabs>
        <w:spacing w:line="240" w:lineRule="auto"/>
        <w:ind w:right="-2"/>
      </w:pPr>
    </w:p>
    <w:p w14:paraId="0B7CC71D" w14:textId="77777777" w:rsidR="00655151" w:rsidRPr="00834CD5" w:rsidRDefault="00655151" w:rsidP="0036701C">
      <w:pPr>
        <w:keepNext/>
        <w:numPr>
          <w:ilvl w:val="12"/>
          <w:numId w:val="0"/>
        </w:numPr>
        <w:tabs>
          <w:tab w:val="clear" w:pos="567"/>
        </w:tabs>
        <w:spacing w:line="240" w:lineRule="auto"/>
        <w:ind w:right="-2"/>
        <w:outlineLvl w:val="0"/>
      </w:pPr>
      <w:r w:rsidRPr="00834CD5">
        <w:rPr>
          <w:b/>
        </w:rPr>
        <w:t>Apie ką rašoma šiame lapelyje?</w:t>
      </w:r>
    </w:p>
    <w:p w14:paraId="4CEF6925" w14:textId="77777777" w:rsidR="00655151" w:rsidRPr="00834CD5" w:rsidRDefault="00655151" w:rsidP="0036701C">
      <w:pPr>
        <w:keepNext/>
        <w:numPr>
          <w:ilvl w:val="12"/>
          <w:numId w:val="0"/>
        </w:numPr>
        <w:tabs>
          <w:tab w:val="clear" w:pos="567"/>
        </w:tabs>
        <w:spacing w:line="240" w:lineRule="auto"/>
        <w:ind w:right="-2"/>
        <w:outlineLvl w:val="0"/>
      </w:pPr>
    </w:p>
    <w:p w14:paraId="1236775C" w14:textId="77777777" w:rsidR="004D2D87" w:rsidRPr="00834CD5" w:rsidRDefault="004D2D87" w:rsidP="004D2D87">
      <w:pPr>
        <w:numPr>
          <w:ilvl w:val="12"/>
          <w:numId w:val="0"/>
        </w:numPr>
        <w:tabs>
          <w:tab w:val="clear" w:pos="567"/>
          <w:tab w:val="left" w:pos="426"/>
        </w:tabs>
        <w:spacing w:line="240" w:lineRule="auto"/>
        <w:ind w:right="-2"/>
      </w:pPr>
      <w:r w:rsidRPr="00834CD5">
        <w:t>1.</w:t>
      </w:r>
      <w:r w:rsidRPr="00834CD5">
        <w:tab/>
        <w:t xml:space="preserve">Kas yra Analgin Sopharma ir kam jis vartojamas </w:t>
      </w:r>
    </w:p>
    <w:p w14:paraId="4E8DB041" w14:textId="77777777" w:rsidR="004D2D87" w:rsidRPr="00834CD5" w:rsidRDefault="004D2D87" w:rsidP="004D2D87">
      <w:pPr>
        <w:numPr>
          <w:ilvl w:val="12"/>
          <w:numId w:val="0"/>
        </w:numPr>
        <w:tabs>
          <w:tab w:val="clear" w:pos="567"/>
          <w:tab w:val="left" w:pos="426"/>
        </w:tabs>
        <w:spacing w:line="240" w:lineRule="auto"/>
        <w:ind w:right="-2"/>
      </w:pPr>
      <w:r w:rsidRPr="00834CD5">
        <w:t>2.</w:t>
      </w:r>
      <w:r w:rsidRPr="00834CD5">
        <w:tab/>
        <w:t>Kas žinotina prieš vartojant Analgin Sopharma</w:t>
      </w:r>
    </w:p>
    <w:p w14:paraId="2CAF916B" w14:textId="77777777" w:rsidR="004D2D87" w:rsidRPr="00834CD5" w:rsidRDefault="004D2D87" w:rsidP="004D2D87">
      <w:pPr>
        <w:numPr>
          <w:ilvl w:val="12"/>
          <w:numId w:val="0"/>
        </w:numPr>
        <w:tabs>
          <w:tab w:val="clear" w:pos="567"/>
          <w:tab w:val="left" w:pos="426"/>
        </w:tabs>
        <w:spacing w:line="240" w:lineRule="auto"/>
        <w:ind w:right="-2"/>
      </w:pPr>
      <w:r w:rsidRPr="00834CD5">
        <w:t>3.</w:t>
      </w:r>
      <w:r w:rsidRPr="00834CD5">
        <w:tab/>
        <w:t>Kaip vartoti Analgin Sopharma</w:t>
      </w:r>
    </w:p>
    <w:p w14:paraId="666A8D9C" w14:textId="77777777" w:rsidR="004D2D87" w:rsidRPr="00834CD5" w:rsidRDefault="004D2D87" w:rsidP="004D2D87">
      <w:pPr>
        <w:numPr>
          <w:ilvl w:val="12"/>
          <w:numId w:val="0"/>
        </w:numPr>
        <w:tabs>
          <w:tab w:val="clear" w:pos="567"/>
          <w:tab w:val="left" w:pos="426"/>
        </w:tabs>
        <w:spacing w:line="240" w:lineRule="auto"/>
        <w:ind w:right="-2"/>
      </w:pPr>
      <w:r w:rsidRPr="00834CD5">
        <w:t>4.</w:t>
      </w:r>
      <w:r w:rsidRPr="00834CD5">
        <w:tab/>
        <w:t xml:space="preserve">Galimas šalutinis poveikis </w:t>
      </w:r>
    </w:p>
    <w:p w14:paraId="20C78E6A" w14:textId="77777777" w:rsidR="004D2D87" w:rsidRPr="00834CD5" w:rsidRDefault="004D2D87" w:rsidP="004D2D87">
      <w:pPr>
        <w:numPr>
          <w:ilvl w:val="12"/>
          <w:numId w:val="0"/>
        </w:numPr>
        <w:tabs>
          <w:tab w:val="left" w:pos="426"/>
        </w:tabs>
        <w:spacing w:line="240" w:lineRule="auto"/>
        <w:ind w:right="-2"/>
      </w:pPr>
      <w:r w:rsidRPr="00834CD5">
        <w:t>5.</w:t>
      </w:r>
      <w:r w:rsidRPr="00834CD5">
        <w:tab/>
        <w:t>Kaip laikyti Analgin Sopharma</w:t>
      </w:r>
    </w:p>
    <w:p w14:paraId="22AF2BD6" w14:textId="77777777" w:rsidR="004D2D87" w:rsidRPr="00834CD5" w:rsidRDefault="004D2D87" w:rsidP="004D2D87">
      <w:pPr>
        <w:numPr>
          <w:ilvl w:val="12"/>
          <w:numId w:val="0"/>
        </w:numPr>
        <w:tabs>
          <w:tab w:val="clear" w:pos="567"/>
          <w:tab w:val="left" w:pos="426"/>
        </w:tabs>
        <w:spacing w:line="240" w:lineRule="auto"/>
        <w:ind w:right="-2"/>
      </w:pPr>
      <w:r w:rsidRPr="00834CD5">
        <w:t>6.</w:t>
      </w:r>
      <w:r w:rsidRPr="00834CD5">
        <w:tab/>
        <w:t>Pakuotės turinys ir kita informacija</w:t>
      </w:r>
    </w:p>
    <w:p w14:paraId="3531747A" w14:textId="77777777" w:rsidR="004D2D87" w:rsidRPr="00834CD5" w:rsidRDefault="004D2D87" w:rsidP="004D2D87">
      <w:pPr>
        <w:numPr>
          <w:ilvl w:val="12"/>
          <w:numId w:val="0"/>
        </w:numPr>
        <w:tabs>
          <w:tab w:val="clear" w:pos="567"/>
        </w:tabs>
        <w:spacing w:line="240" w:lineRule="auto"/>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84385" w14:paraId="2C5CB6BA" w14:textId="77777777" w:rsidTr="00D533CF">
        <w:tc>
          <w:tcPr>
            <w:tcW w:w="9211" w:type="dxa"/>
            <w:shd w:val="clear" w:color="auto" w:fill="auto"/>
          </w:tcPr>
          <w:p w14:paraId="46E3E740" w14:textId="6502B161" w:rsidR="00784385" w:rsidRPr="00784385" w:rsidRDefault="00223413" w:rsidP="00784385">
            <w:pPr>
              <w:numPr>
                <w:ilvl w:val="12"/>
                <w:numId w:val="0"/>
              </w:numPr>
              <w:tabs>
                <w:tab w:val="clear" w:pos="567"/>
              </w:tabs>
              <w:spacing w:line="240" w:lineRule="auto"/>
              <w:jc w:val="both"/>
              <w:rPr>
                <w:noProof/>
                <w:color w:val="000000"/>
              </w:rPr>
            </w:pPr>
            <w:r>
              <w:rPr>
                <w:noProof/>
                <w:color w:val="000000"/>
              </w:rPr>
              <w:t>Analgin Sopharma</w:t>
            </w:r>
            <w:r w:rsidR="00784385" w:rsidRPr="00784385">
              <w:rPr>
                <w:noProof/>
                <w:color w:val="000000"/>
              </w:rPr>
              <w:t xml:space="preserve"> gali sukelti didelį baltųjų kraujo ląstelių skaičiaus sumažėjimą (agranulocitozę), o dėl</w:t>
            </w:r>
            <w:r>
              <w:rPr>
                <w:noProof/>
                <w:color w:val="000000"/>
              </w:rPr>
              <w:t xml:space="preserve"> t</w:t>
            </w:r>
            <w:r w:rsidR="00784385" w:rsidRPr="00784385">
              <w:rPr>
                <w:noProof/>
                <w:color w:val="000000"/>
              </w:rPr>
              <w:t>o gali pasireikšti sunkios ir gyvybei pavojingos infekcijos (žr. 4 skyrių).</w:t>
            </w:r>
          </w:p>
          <w:p w14:paraId="629C5541" w14:textId="390B879B" w:rsidR="00784385" w:rsidRPr="00784385" w:rsidRDefault="00784385" w:rsidP="00784385">
            <w:pPr>
              <w:numPr>
                <w:ilvl w:val="12"/>
                <w:numId w:val="0"/>
              </w:numPr>
              <w:tabs>
                <w:tab w:val="clear" w:pos="567"/>
              </w:tabs>
              <w:spacing w:line="240" w:lineRule="auto"/>
              <w:jc w:val="both"/>
              <w:rPr>
                <w:noProof/>
                <w:color w:val="000000"/>
              </w:rPr>
            </w:pPr>
            <w:r w:rsidRPr="00784385">
              <w:rPr>
                <w:noProof/>
                <w:color w:val="000000"/>
              </w:rPr>
              <w:t>Turite nutraukti vaisto vartojimą ir nedelsiant kreiptis į gydytoją, jei pasireiškia kuris nors</w:t>
            </w:r>
            <w:r w:rsidR="00223413">
              <w:rPr>
                <w:noProof/>
                <w:color w:val="000000"/>
              </w:rPr>
              <w:t xml:space="preserve"> </w:t>
            </w:r>
            <w:r w:rsidRPr="00784385">
              <w:rPr>
                <w:noProof/>
                <w:color w:val="000000"/>
              </w:rPr>
              <w:t>iš šių simptomų: karščiavimas, šaltkrėtis, gerklės (ryklės) skausmas, skausmingos opos</w:t>
            </w:r>
            <w:r w:rsidR="00223413">
              <w:rPr>
                <w:noProof/>
                <w:color w:val="000000"/>
              </w:rPr>
              <w:t xml:space="preserve"> </w:t>
            </w:r>
            <w:r w:rsidRPr="00784385">
              <w:rPr>
                <w:noProof/>
                <w:color w:val="000000"/>
              </w:rPr>
              <w:t>nosyje, burnoje ir gerklėje (ryklėje) arba lytinių organų ar išangės srityse.</w:t>
            </w:r>
          </w:p>
          <w:p w14:paraId="57AD3F28" w14:textId="773FBBB4" w:rsidR="00784385" w:rsidRDefault="00784385" w:rsidP="00784385">
            <w:pPr>
              <w:numPr>
                <w:ilvl w:val="12"/>
                <w:numId w:val="0"/>
              </w:numPr>
              <w:tabs>
                <w:tab w:val="clear" w:pos="567"/>
              </w:tabs>
              <w:spacing w:line="240" w:lineRule="auto"/>
              <w:jc w:val="both"/>
              <w:rPr>
                <w:noProof/>
                <w:color w:val="000000"/>
              </w:rPr>
            </w:pPr>
            <w:r w:rsidRPr="00784385">
              <w:rPr>
                <w:noProof/>
                <w:color w:val="000000"/>
              </w:rPr>
              <w:t>Jeigu vartojant metamizolo ar panašių vaistų Jums kada nors pasireiškė agranulocitozė, šio</w:t>
            </w:r>
            <w:r w:rsidR="00223413">
              <w:rPr>
                <w:noProof/>
                <w:color w:val="000000"/>
              </w:rPr>
              <w:t xml:space="preserve"> </w:t>
            </w:r>
            <w:r w:rsidRPr="00784385">
              <w:rPr>
                <w:noProof/>
                <w:color w:val="000000"/>
              </w:rPr>
              <w:t>vaisto daugiau niekada nevartokite (žr. 2 skyrių).</w:t>
            </w:r>
          </w:p>
        </w:tc>
      </w:tr>
    </w:tbl>
    <w:p w14:paraId="1640A563" w14:textId="77777777" w:rsidR="00784385" w:rsidRPr="00913636" w:rsidRDefault="00784385" w:rsidP="004D2D87">
      <w:pPr>
        <w:numPr>
          <w:ilvl w:val="12"/>
          <w:numId w:val="0"/>
        </w:numPr>
        <w:tabs>
          <w:tab w:val="clear" w:pos="567"/>
        </w:tabs>
        <w:spacing w:line="240" w:lineRule="auto"/>
        <w:ind w:right="-2"/>
      </w:pPr>
    </w:p>
    <w:p w14:paraId="454E4DF4" w14:textId="77777777" w:rsidR="004D2D87" w:rsidRPr="00834CD5" w:rsidRDefault="004D2D87" w:rsidP="004D2D87">
      <w:pPr>
        <w:numPr>
          <w:ilvl w:val="12"/>
          <w:numId w:val="0"/>
        </w:numPr>
        <w:tabs>
          <w:tab w:val="clear" w:pos="567"/>
        </w:tabs>
        <w:spacing w:line="240" w:lineRule="auto"/>
        <w:ind w:right="-2"/>
      </w:pPr>
    </w:p>
    <w:p w14:paraId="6811571D" w14:textId="77777777" w:rsidR="004D2D87" w:rsidRPr="00834CD5" w:rsidRDefault="004D2D87" w:rsidP="004D2D87">
      <w:pPr>
        <w:pStyle w:val="Antrat4"/>
      </w:pPr>
      <w:r w:rsidRPr="00834CD5">
        <w:t>1.</w:t>
      </w:r>
      <w:r w:rsidRPr="00834CD5">
        <w:tab/>
        <w:t>Kas yra Analgin Sopharma ir kam jis vartojamas</w:t>
      </w:r>
    </w:p>
    <w:p w14:paraId="7C47ECB1" w14:textId="77777777" w:rsidR="004D2D87" w:rsidRPr="00834CD5" w:rsidRDefault="004D2D87" w:rsidP="004D2D87">
      <w:pPr>
        <w:numPr>
          <w:ilvl w:val="12"/>
          <w:numId w:val="0"/>
        </w:numPr>
        <w:tabs>
          <w:tab w:val="clear" w:pos="567"/>
        </w:tabs>
        <w:spacing w:line="240" w:lineRule="auto"/>
        <w:ind w:right="-2"/>
      </w:pPr>
    </w:p>
    <w:p w14:paraId="6E50377C" w14:textId="77777777" w:rsidR="004D2D87" w:rsidRPr="00834CD5" w:rsidRDefault="004D2D87" w:rsidP="004D2D87">
      <w:pPr>
        <w:pStyle w:val="Pagrindinistekstas"/>
        <w:rPr>
          <w:i w:val="0"/>
          <w:color w:val="auto"/>
        </w:rPr>
      </w:pPr>
      <w:r w:rsidRPr="00834CD5">
        <w:rPr>
          <w:i w:val="0"/>
          <w:color w:val="auto"/>
        </w:rPr>
        <w:t>Analgin Sopharma – pirazolono grupės skausmą malšinantis vaistas.</w:t>
      </w:r>
    </w:p>
    <w:p w14:paraId="166D938D" w14:textId="77777777" w:rsidR="004D2D87" w:rsidRPr="00834CD5" w:rsidRDefault="004D2D87" w:rsidP="004D2D87">
      <w:pPr>
        <w:jc w:val="both"/>
      </w:pPr>
      <w:r w:rsidRPr="00834CD5">
        <w:t>Vaisto vartojama įvairios kilmės nestipriam ir vidutinio stiprumo skausmui malšinti, kai kiti skausmą malšinantys vaistai neveiksmingi.</w:t>
      </w:r>
    </w:p>
    <w:p w14:paraId="21664A1C" w14:textId="77777777" w:rsidR="00655151" w:rsidRPr="00834CD5" w:rsidRDefault="00655151" w:rsidP="0036701C">
      <w:pPr>
        <w:tabs>
          <w:tab w:val="clear" w:pos="567"/>
        </w:tabs>
        <w:spacing w:line="240" w:lineRule="auto"/>
        <w:ind w:right="-2"/>
      </w:pPr>
    </w:p>
    <w:p w14:paraId="6C35EB50" w14:textId="77777777" w:rsidR="00655151" w:rsidRPr="00834CD5" w:rsidRDefault="00655151" w:rsidP="0036701C">
      <w:pPr>
        <w:tabs>
          <w:tab w:val="clear" w:pos="567"/>
        </w:tabs>
        <w:spacing w:line="240" w:lineRule="auto"/>
        <w:ind w:right="-2"/>
      </w:pPr>
    </w:p>
    <w:p w14:paraId="6B913F6A" w14:textId="041E3C61" w:rsidR="00655151" w:rsidRPr="00834CD5" w:rsidRDefault="00655151" w:rsidP="00380D17">
      <w:pPr>
        <w:pStyle w:val="Sraopastraipa"/>
        <w:keepNext/>
        <w:numPr>
          <w:ilvl w:val="0"/>
          <w:numId w:val="16"/>
        </w:numPr>
        <w:spacing w:line="240" w:lineRule="auto"/>
        <w:ind w:left="567" w:right="-2" w:hanging="567"/>
      </w:pPr>
      <w:r w:rsidRPr="00834CD5">
        <w:rPr>
          <w:b/>
        </w:rPr>
        <w:t>Kas žinotina prieš vartojant Analgin Sopharma</w:t>
      </w:r>
      <w:r w:rsidRPr="00834CD5">
        <w:t xml:space="preserve"> </w:t>
      </w:r>
    </w:p>
    <w:p w14:paraId="3E3AC051" w14:textId="77777777" w:rsidR="00655151" w:rsidRPr="00834CD5" w:rsidRDefault="00655151" w:rsidP="0036701C">
      <w:pPr>
        <w:keepNext/>
        <w:numPr>
          <w:ilvl w:val="12"/>
          <w:numId w:val="0"/>
        </w:numPr>
        <w:tabs>
          <w:tab w:val="clear" w:pos="567"/>
        </w:tabs>
        <w:spacing w:line="240" w:lineRule="auto"/>
        <w:outlineLvl w:val="0"/>
        <w:rPr>
          <w:i/>
        </w:rPr>
      </w:pPr>
    </w:p>
    <w:p w14:paraId="5A6DD781" w14:textId="0B474127" w:rsidR="004D2D87" w:rsidRPr="00834CD5" w:rsidRDefault="004D2D87" w:rsidP="004D2D87">
      <w:pPr>
        <w:rPr>
          <w:b/>
        </w:rPr>
      </w:pPr>
      <w:r w:rsidRPr="00834CD5">
        <w:rPr>
          <w:b/>
        </w:rPr>
        <w:t>Analgin Sopharma</w:t>
      </w:r>
      <w:r w:rsidRPr="00834CD5">
        <w:t xml:space="preserve"> </w:t>
      </w:r>
      <w:r w:rsidRPr="00834CD5">
        <w:rPr>
          <w:b/>
        </w:rPr>
        <w:t xml:space="preserve">vartoti </w:t>
      </w:r>
      <w:r w:rsidR="00F32898" w:rsidRPr="00834CD5">
        <w:rPr>
          <w:b/>
        </w:rPr>
        <w:t>draudžiama</w:t>
      </w:r>
    </w:p>
    <w:p w14:paraId="42F16833" w14:textId="479B24BF" w:rsidR="004D2D87" w:rsidRPr="00834CD5" w:rsidRDefault="004D2D87" w:rsidP="004D2D87">
      <w:pPr>
        <w:numPr>
          <w:ilvl w:val="0"/>
          <w:numId w:val="5"/>
        </w:numPr>
        <w:tabs>
          <w:tab w:val="clear" w:pos="720"/>
          <w:tab w:val="num" w:pos="567"/>
        </w:tabs>
        <w:spacing w:line="240" w:lineRule="auto"/>
        <w:ind w:left="567" w:hanging="567"/>
      </w:pPr>
      <w:r w:rsidRPr="00834CD5">
        <w:t>jeigu yra alergija metamizolui</w:t>
      </w:r>
      <w:r w:rsidR="004D704D" w:rsidRPr="00834CD5">
        <w:t xml:space="preserve"> </w:t>
      </w:r>
      <w:r w:rsidRPr="00834CD5">
        <w:t>arba bet kuriai pagalbinei šio vaisto medžiagai (jos išvardytos 6 skyriuje);</w:t>
      </w:r>
    </w:p>
    <w:p w14:paraId="11820C15" w14:textId="43DD28CE" w:rsidR="00336AA5" w:rsidRPr="00913636" w:rsidRDefault="00336AA5" w:rsidP="00E41D4C">
      <w:pPr>
        <w:numPr>
          <w:ilvl w:val="0"/>
          <w:numId w:val="5"/>
        </w:numPr>
        <w:tabs>
          <w:tab w:val="clear" w:pos="720"/>
        </w:tabs>
        <w:spacing w:line="240" w:lineRule="auto"/>
        <w:ind w:left="567" w:hanging="567"/>
      </w:pPr>
      <w:r>
        <w:t>jeigu anksčiau dėl metamizolo arba panašių vaistų, vadinamų pirazolonais arba pirazolidinais, Jums buvo labai sumažėjęs baltųjų kraujo ląstelių, vadinamų granulocitais, skaičius;</w:t>
      </w:r>
    </w:p>
    <w:p w14:paraId="42373B6D" w14:textId="77777777" w:rsidR="004D2D87" w:rsidRPr="00834CD5" w:rsidRDefault="004D2D87" w:rsidP="004D2D87">
      <w:pPr>
        <w:numPr>
          <w:ilvl w:val="0"/>
          <w:numId w:val="5"/>
        </w:numPr>
        <w:tabs>
          <w:tab w:val="clear" w:pos="720"/>
          <w:tab w:val="num" w:pos="567"/>
        </w:tabs>
        <w:spacing w:line="240" w:lineRule="auto"/>
        <w:ind w:left="567" w:hanging="567"/>
      </w:pPr>
      <w:r w:rsidRPr="00834CD5">
        <w:t>jeigu Jums nustatytas skausmą malšinančių vaistų netoleravimas (analgetikų sukeltas astmos sindromas arba kitas analgetikų netoleravimo požymis - dilgėlinė arba angioneurozinė edema). Tai taikoma ir tiems pacientams, kuriems bronchų spazmas (staigus apatinių kvėpavimo takų susiaurėjimas) ar kitos padidėjusio jautrumo reakcijos pasitaikė vartojant tokius skausmą malšinančius vaistus kaip salicilatai, paracetamolis, diklofenakas, ibuprofenas, indometacinas, naproksenas ir kiti;</w:t>
      </w:r>
    </w:p>
    <w:p w14:paraId="5BEFA8B3" w14:textId="77777777" w:rsidR="004D2D87" w:rsidRPr="00834CD5" w:rsidRDefault="004D2D87" w:rsidP="004D2D87">
      <w:pPr>
        <w:numPr>
          <w:ilvl w:val="0"/>
          <w:numId w:val="5"/>
        </w:numPr>
        <w:tabs>
          <w:tab w:val="clear" w:pos="720"/>
          <w:tab w:val="num" w:pos="567"/>
        </w:tabs>
        <w:spacing w:line="240" w:lineRule="auto"/>
        <w:ind w:left="567" w:hanging="567"/>
      </w:pPr>
      <w:r w:rsidRPr="00834CD5">
        <w:t>jeigu Jums yra nustatytas gliukozės-6-fosfatdehidrogenazės stygius (paveldimas susirgimas, kuomet ardomos raudonosios kraujo ląstelės);</w:t>
      </w:r>
    </w:p>
    <w:p w14:paraId="1427CEA5" w14:textId="5CDCFEED" w:rsidR="004D2D87" w:rsidRPr="00913636" w:rsidRDefault="0034567F" w:rsidP="0034567F">
      <w:pPr>
        <w:numPr>
          <w:ilvl w:val="0"/>
          <w:numId w:val="5"/>
        </w:numPr>
        <w:tabs>
          <w:tab w:val="clear" w:pos="720"/>
        </w:tabs>
        <w:spacing w:line="240" w:lineRule="auto"/>
        <w:ind w:left="567" w:hanging="567"/>
      </w:pPr>
      <w:r>
        <w:t>jeigu turite kaulų čiulpų problemų arba sergate liga, kuri turi įtakos kraujo ląstelių susidarymui ar veiklai.</w:t>
      </w:r>
    </w:p>
    <w:p w14:paraId="562F4DD5" w14:textId="77777777" w:rsidR="004D2D87" w:rsidRPr="00913636" w:rsidRDefault="004D2D87" w:rsidP="00FD3231">
      <w:pPr>
        <w:pStyle w:val="BT-EMEASMCA"/>
        <w:rPr>
          <w:noProof w:val="0"/>
        </w:rPr>
      </w:pPr>
      <w:r w:rsidRPr="00913636">
        <w:rPr>
          <w:noProof w:val="0"/>
        </w:rPr>
        <w:lastRenderedPageBreak/>
        <w:t>jeigu Jūs sergate intermituojančia hepatine porfirija (reta medžiagų apykaitos liga), nes yra porfirijos priepuolio pavojus;</w:t>
      </w:r>
    </w:p>
    <w:p w14:paraId="6FC9BF90" w14:textId="77777777" w:rsidR="004D2D87" w:rsidRPr="00913636" w:rsidRDefault="004D2D87" w:rsidP="00FD3231">
      <w:pPr>
        <w:pStyle w:val="BT-EMEASMCA"/>
        <w:rPr>
          <w:noProof w:val="0"/>
        </w:rPr>
      </w:pPr>
      <w:r w:rsidRPr="00913636">
        <w:rPr>
          <w:noProof w:val="0"/>
        </w:rPr>
        <w:t>jeigu Jums prasidėjęs paskutinis nėštumo trimestras.</w:t>
      </w:r>
    </w:p>
    <w:p w14:paraId="29C6F9B0" w14:textId="77777777" w:rsidR="004D2D87" w:rsidRPr="00834CD5" w:rsidRDefault="004D2D87" w:rsidP="004D2D87"/>
    <w:p w14:paraId="5165B0E0" w14:textId="77777777" w:rsidR="004D2D87" w:rsidRPr="00834CD5" w:rsidRDefault="004D2D87" w:rsidP="004D2D87">
      <w:pPr>
        <w:pStyle w:val="Antrat4"/>
      </w:pPr>
      <w:r w:rsidRPr="00834CD5">
        <w:t>Įspėjimai ir atsargumo priemonės</w:t>
      </w:r>
    </w:p>
    <w:p w14:paraId="1BA19E7F" w14:textId="4176C51C" w:rsidR="004D2D87" w:rsidRPr="00834CD5" w:rsidRDefault="004D2D87" w:rsidP="00D6053E">
      <w:pPr>
        <w:numPr>
          <w:ilvl w:val="12"/>
          <w:numId w:val="0"/>
        </w:numPr>
        <w:tabs>
          <w:tab w:val="clear" w:pos="567"/>
        </w:tabs>
        <w:spacing w:line="240" w:lineRule="auto"/>
      </w:pPr>
      <w:r w:rsidRPr="00834CD5">
        <w:t>Pasitarkite su gydytoju arba vaistininku, prieš pradėdami vartoti Analgin Sopharma</w:t>
      </w:r>
      <w:r w:rsidR="00D6053E">
        <w:t>.</w:t>
      </w:r>
    </w:p>
    <w:p w14:paraId="224A389E" w14:textId="77777777" w:rsidR="004D2D87" w:rsidRDefault="004D2D87" w:rsidP="00FD3231">
      <w:pPr>
        <w:pStyle w:val="BTEMEASMCA"/>
        <w:rPr>
          <w:noProof w:val="0"/>
        </w:rPr>
      </w:pPr>
    </w:p>
    <w:p w14:paraId="184F0238" w14:textId="77777777" w:rsidR="00D6053E" w:rsidRDefault="00D6053E" w:rsidP="00D6053E">
      <w:pPr>
        <w:pStyle w:val="BTEMEASMCA"/>
        <w:rPr>
          <w:noProof w:val="0"/>
        </w:rPr>
      </w:pPr>
      <w:r>
        <w:rPr>
          <w:noProof w:val="0"/>
        </w:rPr>
        <w:t>Didelis baltųjų kraujo ląstelių skaičiaus sumažėjimas (agranulocitozė)</w:t>
      </w:r>
    </w:p>
    <w:p w14:paraId="2D0EACBE" w14:textId="3759B58C" w:rsidR="00D6053E" w:rsidRDefault="00D6053E" w:rsidP="00D6053E">
      <w:pPr>
        <w:pStyle w:val="BTEMEASMCA"/>
        <w:rPr>
          <w:noProof w:val="0"/>
        </w:rPr>
      </w:pPr>
      <w:r>
        <w:rPr>
          <w:noProof w:val="0"/>
        </w:rPr>
        <w:t>Analgin Sopharma gali sukelti agranulocitozę – labai didelį baltųjų kraujo ląstelių, vadinamų granulocitais, kurie yra svarbūs kovojant su infekcijomis, skaičiaus sumažėjimą (žr. 4 skyrių). Turite nutraukti metamizolo vartojimą ir nedelsiant kreiptis į gydytoją, jeigu Jums</w:t>
      </w:r>
      <w:r w:rsidR="00AD7201">
        <w:rPr>
          <w:noProof w:val="0"/>
        </w:rPr>
        <w:t xml:space="preserve"> </w:t>
      </w:r>
      <w:r>
        <w:rPr>
          <w:noProof w:val="0"/>
        </w:rPr>
        <w:t>pasireiškia toliau nurodytų simptomų, galinčių reikšti agranulocitozę: šaltkrėtis,</w:t>
      </w:r>
      <w:r w:rsidR="00AD7201">
        <w:rPr>
          <w:noProof w:val="0"/>
        </w:rPr>
        <w:t xml:space="preserve"> </w:t>
      </w:r>
      <w:r>
        <w:rPr>
          <w:noProof w:val="0"/>
        </w:rPr>
        <w:t>karščiavimas, gerklės (ryklės) skausmas ir skausmingos gleivinės (drėgnų kūno paviršių),</w:t>
      </w:r>
      <w:r w:rsidR="00AD7201">
        <w:rPr>
          <w:noProof w:val="0"/>
        </w:rPr>
        <w:t xml:space="preserve"> </w:t>
      </w:r>
      <w:r>
        <w:rPr>
          <w:noProof w:val="0"/>
        </w:rPr>
        <w:t>ypač burnos, nosies ir gerklės (ryklės) arba lytinių organų ar išangės sričių, opos. Gydytojas</w:t>
      </w:r>
      <w:r w:rsidR="00AD7201">
        <w:rPr>
          <w:noProof w:val="0"/>
        </w:rPr>
        <w:t xml:space="preserve"> </w:t>
      </w:r>
      <w:r>
        <w:rPr>
          <w:noProof w:val="0"/>
        </w:rPr>
        <w:t>atliks laboratorinį tyrimą Jūsų kraujo ląstelių skaičiui patikrinti.</w:t>
      </w:r>
    </w:p>
    <w:p w14:paraId="22ED9389" w14:textId="537A1C5B" w:rsidR="00D6053E" w:rsidRDefault="00D6053E" w:rsidP="00D6053E">
      <w:pPr>
        <w:pStyle w:val="BTEMEASMCA"/>
        <w:rPr>
          <w:noProof w:val="0"/>
        </w:rPr>
      </w:pPr>
      <w:r>
        <w:rPr>
          <w:noProof w:val="0"/>
        </w:rPr>
        <w:t>Jei metamizolo vartojama nuo karščiavimo, kai kurie atsirandantys agranulocitozės</w:t>
      </w:r>
      <w:r w:rsidR="00AD7201">
        <w:rPr>
          <w:noProof w:val="0"/>
        </w:rPr>
        <w:t xml:space="preserve"> </w:t>
      </w:r>
      <w:r>
        <w:rPr>
          <w:noProof w:val="0"/>
        </w:rPr>
        <w:t>simptomai gali praeiti nepastebėti. Simptomus taip pat gali būti sunku pastebėti, jei esate</w:t>
      </w:r>
      <w:r w:rsidR="00AD7201">
        <w:rPr>
          <w:noProof w:val="0"/>
        </w:rPr>
        <w:t xml:space="preserve"> </w:t>
      </w:r>
      <w:r>
        <w:rPr>
          <w:noProof w:val="0"/>
        </w:rPr>
        <w:t>gydomi antibiotikais.</w:t>
      </w:r>
    </w:p>
    <w:p w14:paraId="674A1668" w14:textId="223FE8B6" w:rsidR="00D6053E" w:rsidRDefault="00D6053E" w:rsidP="00D6053E">
      <w:pPr>
        <w:pStyle w:val="BTEMEASMCA"/>
        <w:rPr>
          <w:noProof w:val="0"/>
        </w:rPr>
      </w:pPr>
      <w:r>
        <w:rPr>
          <w:noProof w:val="0"/>
        </w:rPr>
        <w:t xml:space="preserve">Agranulocitozė gali pasireikšti bet kuriuo </w:t>
      </w:r>
      <w:r w:rsidR="00AD7201">
        <w:rPr>
          <w:noProof w:val="0"/>
        </w:rPr>
        <w:t xml:space="preserve">Analgin Sopharma </w:t>
      </w:r>
      <w:r>
        <w:rPr>
          <w:noProof w:val="0"/>
        </w:rPr>
        <w:t>vartojimo momentu ir netgi netrukus po to,</w:t>
      </w:r>
      <w:r w:rsidR="00AD7201">
        <w:rPr>
          <w:noProof w:val="0"/>
        </w:rPr>
        <w:t xml:space="preserve"> </w:t>
      </w:r>
      <w:r>
        <w:rPr>
          <w:noProof w:val="0"/>
        </w:rPr>
        <w:t>kai nustojote vartoti metamizol</w:t>
      </w:r>
      <w:r w:rsidR="00D35117">
        <w:rPr>
          <w:noProof w:val="0"/>
        </w:rPr>
        <w:t>o</w:t>
      </w:r>
      <w:r>
        <w:rPr>
          <w:noProof w:val="0"/>
        </w:rPr>
        <w:t>.</w:t>
      </w:r>
    </w:p>
    <w:p w14:paraId="60B21497" w14:textId="204A7916" w:rsidR="00D6053E" w:rsidRDefault="00D6053E" w:rsidP="00D6053E">
      <w:pPr>
        <w:pStyle w:val="BTEMEASMCA"/>
        <w:rPr>
          <w:noProof w:val="0"/>
        </w:rPr>
      </w:pPr>
      <w:r>
        <w:rPr>
          <w:noProof w:val="0"/>
        </w:rPr>
        <w:t>Agranulocitozė gali pasireikšti net jei anksčiau vartojant metamizolo komplikacijų nebuvo.</w:t>
      </w:r>
    </w:p>
    <w:p w14:paraId="78AE71EA" w14:textId="77777777" w:rsidR="00D35117" w:rsidRPr="00913636" w:rsidRDefault="00D35117" w:rsidP="00D6053E">
      <w:pPr>
        <w:pStyle w:val="BTEMEASMCA"/>
        <w:rPr>
          <w:noProof w:val="0"/>
        </w:rPr>
      </w:pPr>
    </w:p>
    <w:p w14:paraId="146ACE02" w14:textId="77777777" w:rsidR="004D2D87" w:rsidRPr="00834CD5" w:rsidRDefault="004D2D87" w:rsidP="004D2D87">
      <w:r w:rsidRPr="00834CD5">
        <w:t>Analgin Sopharma retai gali sukelti gyvybei pavojingą šoką (staigus kraujotakos sutrikimas).</w:t>
      </w:r>
    </w:p>
    <w:p w14:paraId="606DD693" w14:textId="77777777" w:rsidR="004D2D87" w:rsidRPr="00834CD5" w:rsidRDefault="004D2D87" w:rsidP="004D2D87"/>
    <w:p w14:paraId="70CDB9EA" w14:textId="77777777" w:rsidR="004D2D87" w:rsidRPr="00834CD5" w:rsidRDefault="004D2D87" w:rsidP="004D2D87">
      <w:r w:rsidRPr="00834CD5">
        <w:t>Jei Jums nustatytos žemiau išvardytos būklės, tuomet sunkaus padidėjusio jautrumo vaistui Analgin Sopharma rizika gali reikšmingai padidėti:</w:t>
      </w:r>
    </w:p>
    <w:p w14:paraId="1F623128" w14:textId="77777777" w:rsidR="004D2D87" w:rsidRPr="00913636" w:rsidRDefault="004D2D87" w:rsidP="00FD3231">
      <w:pPr>
        <w:pStyle w:val="BT-EMEASMCA"/>
        <w:rPr>
          <w:noProof w:val="0"/>
        </w:rPr>
      </w:pPr>
      <w:r w:rsidRPr="00913636">
        <w:rPr>
          <w:noProof w:val="0"/>
        </w:rPr>
        <w:t>nesteroidinių vaistų nuo uždegimo (NVNU) (vartojamų skausmui malšinti ir reumatui gydyti) netoleravimas, pasireiškiantis niežuliu, patinimu (dilgėlinė, angioneurozinė edema);</w:t>
      </w:r>
    </w:p>
    <w:p w14:paraId="15049BC8" w14:textId="77777777" w:rsidR="004D2D87" w:rsidRPr="00913636" w:rsidRDefault="004D2D87" w:rsidP="00FD3231">
      <w:pPr>
        <w:pStyle w:val="BT-EMEASMCA"/>
        <w:rPr>
          <w:noProof w:val="0"/>
        </w:rPr>
      </w:pPr>
      <w:r w:rsidRPr="00913636">
        <w:rPr>
          <w:noProof w:val="0"/>
        </w:rPr>
        <w:t>pasunkėjusio kvėpavimo dėl bronchiolių susiaurėjimo (bronchų astmos) priepuoliai, ypač jeigu Jūs sergate nosies arba priedinių veido ančių (sinusų) uždegimu (rinosinusitu) ir nustatyti nosies polipai;</w:t>
      </w:r>
    </w:p>
    <w:p w14:paraId="6CD90FBC" w14:textId="77777777" w:rsidR="004D2D87" w:rsidRPr="00913636" w:rsidRDefault="004D2D87" w:rsidP="00FD3231">
      <w:pPr>
        <w:pStyle w:val="BT-EMEASMCA"/>
        <w:rPr>
          <w:noProof w:val="0"/>
        </w:rPr>
      </w:pPr>
      <w:r w:rsidRPr="00913636">
        <w:rPr>
          <w:noProof w:val="0"/>
        </w:rPr>
        <w:t>lėtinis išbėrimas pūslėmis (dilgėlinė);</w:t>
      </w:r>
    </w:p>
    <w:p w14:paraId="5E3D9575" w14:textId="77777777" w:rsidR="004D2D87" w:rsidRPr="00913636" w:rsidRDefault="004D2D87" w:rsidP="00FD3231">
      <w:pPr>
        <w:pStyle w:val="BT-EMEASMCA"/>
        <w:rPr>
          <w:noProof w:val="0"/>
        </w:rPr>
      </w:pPr>
      <w:r w:rsidRPr="00913636">
        <w:rPr>
          <w:noProof w:val="0"/>
        </w:rPr>
        <w:t>padidėjęs jautrumas dažikliams (pvz., tartrazinui) arba konservantams (pvz., benzoatams);</w:t>
      </w:r>
    </w:p>
    <w:p w14:paraId="7B9B9493" w14:textId="77777777" w:rsidR="004D2D87" w:rsidRPr="00913636" w:rsidRDefault="004D2D87" w:rsidP="00FD3231">
      <w:pPr>
        <w:pStyle w:val="BT-EMEASMCA"/>
        <w:rPr>
          <w:noProof w:val="0"/>
        </w:rPr>
      </w:pPr>
      <w:r w:rsidRPr="00913636">
        <w:rPr>
          <w:noProof w:val="0"/>
        </w:rPr>
        <w:t>alkoholio netoleravimas, kuomet reaguojate netgi į nedidelį alkoholio kiekį sloga, ašarojimu, stipriu veido paraudimu. Toks alkoholio netoleravimas gali būti kol kas nenustatyto skausmą malšinančių vaistų netoleravimo požymis.</w:t>
      </w:r>
    </w:p>
    <w:p w14:paraId="1A9FBAE6" w14:textId="77777777" w:rsidR="004D2D87" w:rsidRPr="00834CD5" w:rsidRDefault="004D2D87" w:rsidP="004D2D87"/>
    <w:p w14:paraId="7CD1C7D1" w14:textId="77777777" w:rsidR="004D2D87" w:rsidRPr="00913636" w:rsidRDefault="004D2D87" w:rsidP="00FD3231">
      <w:pPr>
        <w:pStyle w:val="BTEMEASMCA"/>
        <w:rPr>
          <w:noProof w:val="0"/>
        </w:rPr>
      </w:pPr>
      <w:r w:rsidRPr="00913636">
        <w:rPr>
          <w:noProof w:val="0"/>
        </w:rPr>
        <w:t>Prieš pradėdami vartoti Analgin Sopharma, įsitikinkite, ar kuri nors iš išvardytų būklių tinka Jums. Jeigu yra padidėjusio jautrumo reakcijų rizika, Analgin Sopharma galima vartoti tik atidžiai įvertinus galimą vartojimo riziką ir naudą. Tokiais atvejais vartojant Analgin Sopharma pacientas turi būti atidžiai prižiūrimas bei turi būti paruoštos skubios pagalbos suteikimo priemonės.</w:t>
      </w:r>
    </w:p>
    <w:p w14:paraId="16EB9AF5" w14:textId="77777777" w:rsidR="004D2D87" w:rsidRPr="00913636" w:rsidRDefault="004D2D87" w:rsidP="00FD3231">
      <w:pPr>
        <w:pStyle w:val="BTEMEASMCA"/>
        <w:rPr>
          <w:noProof w:val="0"/>
        </w:rPr>
      </w:pPr>
    </w:p>
    <w:p w14:paraId="67A4708F" w14:textId="77777777" w:rsidR="004D2D87" w:rsidRPr="00913636" w:rsidRDefault="004D2D87" w:rsidP="00FD3231">
      <w:pPr>
        <w:pStyle w:val="BTEMEASMCA"/>
        <w:rPr>
          <w:noProof w:val="0"/>
        </w:rPr>
      </w:pPr>
      <w:r w:rsidRPr="00913636">
        <w:rPr>
          <w:noProof w:val="0"/>
        </w:rPr>
        <w:t xml:space="preserve">Analgin Sopharma tabletės gali sukelti kraujospūdžio sumažėjimą (hipotenzines reakcijas). Jų rizika padidėja, jeigu: </w:t>
      </w:r>
    </w:p>
    <w:p w14:paraId="2A7F09B3" w14:textId="77777777" w:rsidR="004D2D87" w:rsidRPr="00913636" w:rsidRDefault="004D2D87" w:rsidP="00FD3231">
      <w:pPr>
        <w:pStyle w:val="BT-EMEASMCA"/>
        <w:rPr>
          <w:noProof w:val="0"/>
        </w:rPr>
      </w:pPr>
      <w:r w:rsidRPr="00913636">
        <w:rPr>
          <w:noProof w:val="0"/>
        </w:rPr>
        <w:t>Jums nustatyta hipotenzija (sumažėjęs kraujospūdis), netekote daug skysčių, yra bloga kraujotaka arba yra pradinės kraujotakos sutrikimo stadija (pvz., miokardo infarktas arba sunki trauma);</w:t>
      </w:r>
    </w:p>
    <w:p w14:paraId="66A3D325" w14:textId="77777777" w:rsidR="004D2D87" w:rsidRPr="00913636" w:rsidRDefault="004D2D87" w:rsidP="00FD3231">
      <w:pPr>
        <w:pStyle w:val="BT-EMEASMCA"/>
        <w:rPr>
          <w:noProof w:val="0"/>
        </w:rPr>
      </w:pPr>
      <w:r w:rsidRPr="00913636">
        <w:rPr>
          <w:noProof w:val="0"/>
        </w:rPr>
        <w:t>labai aukšta temperatūra.</w:t>
      </w:r>
    </w:p>
    <w:p w14:paraId="35E81858" w14:textId="77777777" w:rsidR="004D2D87" w:rsidRPr="00913636" w:rsidRDefault="004D2D87" w:rsidP="00FD3231">
      <w:pPr>
        <w:pStyle w:val="BTEMEASMCA"/>
        <w:rPr>
          <w:noProof w:val="0"/>
        </w:rPr>
      </w:pPr>
    </w:p>
    <w:p w14:paraId="23FAC302" w14:textId="77777777" w:rsidR="004D2D87" w:rsidRPr="00913636" w:rsidRDefault="004D2D87" w:rsidP="00FD3231">
      <w:pPr>
        <w:pStyle w:val="BTEMEASMCA"/>
        <w:rPr>
          <w:noProof w:val="0"/>
        </w:rPr>
      </w:pPr>
      <w:r w:rsidRPr="00913636">
        <w:rPr>
          <w:noProof w:val="0"/>
        </w:rPr>
        <w:t xml:space="preserve">Dėl šios priežasties Analgin Sopharma vartojimą reikia atidžiai įvertinti ir įdėmiai stebėti paciento būklę. </w:t>
      </w:r>
    </w:p>
    <w:p w14:paraId="6617F1CD" w14:textId="77777777" w:rsidR="004D2D87" w:rsidRPr="00913636" w:rsidRDefault="004D2D87" w:rsidP="00FD3231">
      <w:pPr>
        <w:pStyle w:val="BTEMEASMCA"/>
        <w:rPr>
          <w:noProof w:val="0"/>
        </w:rPr>
      </w:pPr>
    </w:p>
    <w:p w14:paraId="3FA429A7" w14:textId="77777777" w:rsidR="004D2D87" w:rsidRPr="00913636" w:rsidRDefault="004D2D87" w:rsidP="00FD3231">
      <w:pPr>
        <w:pStyle w:val="BTEMEASMCA"/>
        <w:rPr>
          <w:noProof w:val="0"/>
        </w:rPr>
      </w:pPr>
      <w:r w:rsidRPr="00913636">
        <w:rPr>
          <w:noProof w:val="0"/>
        </w:rPr>
        <w:t>Jeigu labai svarbu išvengti bet kokio kraujospūdžio sumažėjimo (pvz., jeigu Jūs sergate sunkia širdies vainikinių kraujagyslių liga arba kraujagyslių susiaurėjimu (stenoze), kuris apriboja galvos smegenų kraujotaką), Analgin Sopharma galima vartoti tik atidžiai kontroliuojant Jūsų kraujotaką.</w:t>
      </w:r>
    </w:p>
    <w:p w14:paraId="17DEBFE4" w14:textId="77777777" w:rsidR="004D2D87" w:rsidRPr="00913636" w:rsidRDefault="004D2D87" w:rsidP="00FD3231">
      <w:pPr>
        <w:pStyle w:val="BTEMEASMCA"/>
        <w:rPr>
          <w:noProof w:val="0"/>
        </w:rPr>
      </w:pPr>
    </w:p>
    <w:p w14:paraId="57744799" w14:textId="77777777" w:rsidR="004D2D87" w:rsidRPr="00913636" w:rsidRDefault="004D2D87" w:rsidP="00FD3231">
      <w:pPr>
        <w:pStyle w:val="BTEMEASMCA"/>
        <w:rPr>
          <w:noProof w:val="0"/>
        </w:rPr>
      </w:pPr>
      <w:r w:rsidRPr="00913636">
        <w:rPr>
          <w:noProof w:val="0"/>
        </w:rPr>
        <w:t>Kepenų sutrikimai</w:t>
      </w:r>
    </w:p>
    <w:p w14:paraId="22EB9426" w14:textId="77777777" w:rsidR="004D2D87" w:rsidRPr="00913636" w:rsidRDefault="004D2D87" w:rsidP="00FD3231">
      <w:pPr>
        <w:pStyle w:val="BTEMEASMCA"/>
        <w:rPr>
          <w:noProof w:val="0"/>
        </w:rPr>
      </w:pPr>
      <w:r w:rsidRPr="00913636">
        <w:rPr>
          <w:noProof w:val="0"/>
        </w:rPr>
        <w:lastRenderedPageBreak/>
        <w:t>Gauta pranešimų apie kepenų uždegimą, nustatytą metamizolą vartojantiems pacientams, kuriems jo simptomai pasireiškė per kelias dienas arba kelis mėnesius nuo gydymo pradžios.</w:t>
      </w:r>
    </w:p>
    <w:p w14:paraId="429F27EF" w14:textId="77777777" w:rsidR="004D2D87" w:rsidRPr="00913636" w:rsidRDefault="004D2D87" w:rsidP="00FD3231">
      <w:pPr>
        <w:pStyle w:val="BTEMEASMCA"/>
        <w:rPr>
          <w:noProof w:val="0"/>
        </w:rPr>
      </w:pPr>
      <w:r w:rsidRPr="00913636">
        <w:rPr>
          <w:noProof w:val="0"/>
        </w:rPr>
        <w:t>Nebevartokite Analgin Sopharma 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w:t>
      </w:r>
    </w:p>
    <w:p w14:paraId="6ECBC327" w14:textId="2E79DFED" w:rsidR="004D2D87" w:rsidRPr="00913636" w:rsidRDefault="004D2D87" w:rsidP="00FD3231">
      <w:pPr>
        <w:pStyle w:val="BTEMEASMCA"/>
        <w:rPr>
          <w:noProof w:val="0"/>
        </w:rPr>
      </w:pPr>
      <w:r w:rsidRPr="00913636">
        <w:rPr>
          <w:noProof w:val="0"/>
        </w:rPr>
        <w:t>Jums negalima vartoti Analgin Sopharma, jeigu Jūs anksčiau vartojote vaistą, kurio sudėtyje yra metamizolo, ir Jums pasireiškė kepenų sutrikimų.</w:t>
      </w:r>
    </w:p>
    <w:p w14:paraId="14904BA9" w14:textId="77777777" w:rsidR="00794AAD" w:rsidRPr="00913636" w:rsidRDefault="00794AAD" w:rsidP="00FD3231">
      <w:pPr>
        <w:pStyle w:val="BTEMEASMCA"/>
        <w:rPr>
          <w:noProof w:val="0"/>
        </w:rPr>
      </w:pPr>
    </w:p>
    <w:p w14:paraId="0AD0B956" w14:textId="77777777" w:rsidR="00794AAD" w:rsidRPr="00913636" w:rsidRDefault="00794AAD" w:rsidP="00FD3231">
      <w:pPr>
        <w:pStyle w:val="BTEMEASMCA"/>
        <w:rPr>
          <w:noProof w:val="0"/>
        </w:rPr>
      </w:pPr>
      <w:r w:rsidRPr="00913636">
        <w:rPr>
          <w:noProof w:val="0"/>
        </w:rPr>
        <w:t xml:space="preserve">Sunkios odos reakcijos </w:t>
      </w:r>
    </w:p>
    <w:p w14:paraId="0462DAEF" w14:textId="77777777" w:rsidR="00794AAD" w:rsidRPr="00913636" w:rsidRDefault="00794AAD" w:rsidP="00FD3231">
      <w:pPr>
        <w:pStyle w:val="BTEMEASMCA"/>
        <w:rPr>
          <w:noProof w:val="0"/>
        </w:rPr>
      </w:pPr>
      <w:r w:rsidRPr="00913636">
        <w:rPr>
          <w:noProof w:val="0"/>
        </w:rPr>
        <w:t xml:space="preserve">Gydant metamizolu gauta pranešimų apie sunkias odos reakcijas, įskaitant Stivenso-Džonsono sindromą, toksinę epidermio nekrolizę, reakciją į vaistą su eozinofilija ir sisteminiais simptomais (angl. </w:t>
      </w:r>
      <w:r w:rsidRPr="00913636">
        <w:rPr>
          <w:i/>
          <w:iCs/>
          <w:noProof w:val="0"/>
        </w:rPr>
        <w:t>drug reaction with eosinophilia and systemic symptoms;</w:t>
      </w:r>
      <w:r w:rsidRPr="00913636">
        <w:rPr>
          <w:noProof w:val="0"/>
        </w:rPr>
        <w:t xml:space="preserve"> DRESS). Pastebėję bent vieną iš 4 skyriuje aprašytų simptomų, susijusių su šiomis sunkiomis odos reakcijomis, nebevartokite metamizolo ir nedelsdami kreipkitės medicininės pagalbos.</w:t>
      </w:r>
    </w:p>
    <w:p w14:paraId="5F75A943" w14:textId="77777777" w:rsidR="00794AAD" w:rsidRPr="00913636" w:rsidRDefault="00794AAD" w:rsidP="00FD3231">
      <w:pPr>
        <w:pStyle w:val="BTEMEASMCA"/>
        <w:rPr>
          <w:noProof w:val="0"/>
        </w:rPr>
      </w:pPr>
    </w:p>
    <w:p w14:paraId="3FEB5026" w14:textId="77777777" w:rsidR="00794AAD" w:rsidRPr="00913636" w:rsidRDefault="00794AAD" w:rsidP="00FD3231">
      <w:pPr>
        <w:pStyle w:val="BTEMEASMCA"/>
        <w:rPr>
          <w:noProof w:val="0"/>
        </w:rPr>
      </w:pPr>
      <w:r w:rsidRPr="00913636">
        <w:rPr>
          <w:noProof w:val="0"/>
        </w:rPr>
        <w:t>Jeigu Jums kada nors yra pasireiškusi kokia nors sunki odos reakcija, gydymo Analgin Sopharma atnaujinti nebegalite (žr. 4 skyrių).</w:t>
      </w:r>
    </w:p>
    <w:p w14:paraId="1A0AAC60" w14:textId="77777777" w:rsidR="004D2D87" w:rsidRPr="00913636" w:rsidRDefault="004D2D87" w:rsidP="00FD3231">
      <w:pPr>
        <w:pStyle w:val="BTEMEASMCA"/>
        <w:rPr>
          <w:noProof w:val="0"/>
        </w:rPr>
      </w:pPr>
    </w:p>
    <w:p w14:paraId="2683A66F" w14:textId="77777777" w:rsidR="004D2D87" w:rsidRPr="00834CD5" w:rsidRDefault="004D2D87" w:rsidP="004D2D87">
      <w:pPr>
        <w:tabs>
          <w:tab w:val="left" w:pos="0"/>
        </w:tabs>
      </w:pPr>
      <w:r w:rsidRPr="00834CD5">
        <w:t xml:space="preserve">Jeigu sutrikusi Jūsų inkstų arba kepenų funkcija, Analgin Sopharma reikia vartoti tik atidžiai įvertinus vartojimo naudą ir galimą riziką bei laikantis tinkamo atsargumo. </w:t>
      </w:r>
    </w:p>
    <w:p w14:paraId="2394B5B6" w14:textId="77777777" w:rsidR="004D2D87" w:rsidRPr="00834CD5" w:rsidRDefault="004D2D87" w:rsidP="004D2D87">
      <w:pPr>
        <w:numPr>
          <w:ilvl w:val="12"/>
          <w:numId w:val="0"/>
        </w:numPr>
        <w:tabs>
          <w:tab w:val="clear" w:pos="567"/>
        </w:tabs>
        <w:spacing w:line="240" w:lineRule="auto"/>
        <w:rPr>
          <w:b/>
        </w:rPr>
      </w:pPr>
    </w:p>
    <w:p w14:paraId="1B0BC23D" w14:textId="77777777" w:rsidR="004D2D87" w:rsidRPr="00834CD5" w:rsidRDefault="004D2D87" w:rsidP="004D2D87">
      <w:pPr>
        <w:pStyle w:val="Antrat4"/>
      </w:pPr>
      <w:r w:rsidRPr="00834CD5">
        <w:t>Vaikams ir paaugliams</w:t>
      </w:r>
    </w:p>
    <w:p w14:paraId="2D275DB3" w14:textId="77777777" w:rsidR="004D2D87" w:rsidRPr="00834CD5" w:rsidRDefault="004D2D87" w:rsidP="004D2D87">
      <w:r w:rsidRPr="00834CD5">
        <w:t>Vaisto nerekomenduojama vartoti jaunesniems kaip 15 metų vaikams ir paaugliams.</w:t>
      </w:r>
    </w:p>
    <w:p w14:paraId="5A427710" w14:textId="77777777" w:rsidR="004D2D87" w:rsidRPr="00834CD5" w:rsidRDefault="004D2D87" w:rsidP="004D2D87">
      <w:pPr>
        <w:numPr>
          <w:ilvl w:val="12"/>
          <w:numId w:val="0"/>
        </w:numPr>
        <w:tabs>
          <w:tab w:val="clear" w:pos="567"/>
        </w:tabs>
        <w:spacing w:line="240" w:lineRule="auto"/>
        <w:rPr>
          <w:b/>
        </w:rPr>
      </w:pPr>
    </w:p>
    <w:p w14:paraId="42DE9540" w14:textId="77777777" w:rsidR="004D2D87" w:rsidRPr="00834CD5" w:rsidRDefault="004D2D87" w:rsidP="004D2D87">
      <w:pPr>
        <w:ind w:left="720" w:hanging="720"/>
      </w:pPr>
      <w:r w:rsidRPr="00834CD5">
        <w:rPr>
          <w:b/>
        </w:rPr>
        <w:t>Kiti vaistai ir Analgin Sopharma</w:t>
      </w:r>
      <w:r w:rsidRPr="00834CD5">
        <w:t xml:space="preserve"> </w:t>
      </w:r>
    </w:p>
    <w:p w14:paraId="70109C6D" w14:textId="77777777" w:rsidR="004D2D87" w:rsidRPr="00834CD5" w:rsidRDefault="004D2D87" w:rsidP="004D2D87">
      <w:r w:rsidRPr="00834CD5">
        <w:t xml:space="preserve">Jeigu vartojate ar neseniai vartojote kitų vaistų arba dėl to nesate tikri, apie tai pasakykite gydytojui arba vaistininkui. </w:t>
      </w:r>
    </w:p>
    <w:p w14:paraId="5C90E4C8" w14:textId="77777777" w:rsidR="00435DF5" w:rsidRPr="00834CD5" w:rsidRDefault="00435DF5" w:rsidP="00435DF5">
      <w:pPr>
        <w:ind w:left="720" w:hanging="720"/>
      </w:pPr>
    </w:p>
    <w:p w14:paraId="4C6B6216" w14:textId="0FF2C903" w:rsidR="00A97FA0" w:rsidRPr="00913636" w:rsidRDefault="00435DF5" w:rsidP="0036701C">
      <w:pPr>
        <w:rPr>
          <w:rStyle w:val="BTEMEASMCAChar"/>
          <w:noProof w:val="0"/>
        </w:rPr>
      </w:pPr>
      <w:r w:rsidRPr="00834CD5">
        <w:t>P</w:t>
      </w:r>
      <w:r w:rsidRPr="00913636">
        <w:rPr>
          <w:rStyle w:val="BTEMEASMCAChar"/>
          <w:noProof w:val="0"/>
        </w:rPr>
        <w:t>asakykite gydytojui, jeigu vartojate</w:t>
      </w:r>
      <w:r w:rsidR="00A97FA0" w:rsidRPr="00913636">
        <w:rPr>
          <w:rStyle w:val="BTEMEASMCAChar"/>
          <w:noProof w:val="0"/>
          <w:color w:val="000000" w:themeColor="text1"/>
          <w:lang w:eastAsia="en-US"/>
        </w:rPr>
        <w:t>:</w:t>
      </w:r>
    </w:p>
    <w:p w14:paraId="51B6ED8C" w14:textId="77777777" w:rsidR="004D2D87" w:rsidRPr="00834CD5" w:rsidRDefault="004D2D87" w:rsidP="0036701C">
      <w:pPr>
        <w:pStyle w:val="Pagrindinistekstas"/>
        <w:ind w:left="567" w:hanging="567"/>
        <w:rPr>
          <w:i w:val="0"/>
          <w:color w:val="auto"/>
        </w:rPr>
      </w:pPr>
      <w:r w:rsidRPr="00834CD5">
        <w:rPr>
          <w:i w:val="0"/>
          <w:color w:val="auto"/>
        </w:rPr>
        <w:t>Analgin Sopharma tabletes kartu su chlorpromazinu (vaistu psichinėms ligoms gydyti), nes gali išsivystyti sunki hipotermija (kūno temperatūros sumažėjimas);</w:t>
      </w:r>
    </w:p>
    <w:p w14:paraId="71C3E920" w14:textId="77777777" w:rsidR="004D2D87" w:rsidRPr="00834CD5" w:rsidRDefault="004D2D87" w:rsidP="004D2D87">
      <w:pPr>
        <w:pStyle w:val="Pagrindinistekstas"/>
        <w:numPr>
          <w:ilvl w:val="0"/>
          <w:numId w:val="6"/>
        </w:numPr>
        <w:ind w:left="567" w:hanging="567"/>
        <w:rPr>
          <w:i w:val="0"/>
          <w:color w:val="auto"/>
        </w:rPr>
      </w:pPr>
      <w:r w:rsidRPr="00834CD5">
        <w:rPr>
          <w:i w:val="0"/>
          <w:color w:val="auto"/>
        </w:rPr>
        <w:t>Analgin Sopharma tabletes kartu su vaistais, mažinančiais kraujo krešėjimą, nes Analgin Sopharma silpnina tokių vaistų poveikį;</w:t>
      </w:r>
    </w:p>
    <w:p w14:paraId="03D36598" w14:textId="77777777" w:rsidR="004D2D87" w:rsidRPr="00913636" w:rsidRDefault="004D2D87" w:rsidP="00FD3231">
      <w:pPr>
        <w:pStyle w:val="BT-EMEASMCA"/>
        <w:rPr>
          <w:noProof w:val="0"/>
        </w:rPr>
      </w:pPr>
      <w:r w:rsidRPr="00913636">
        <w:rPr>
          <w:noProof w:val="0"/>
        </w:rPr>
        <w:t>bupropiono – vaisto, kuriuo gydoma depresija arba kuris vartojamas kaip pagalbinė priemonė siekiant nustoti rūkyti;</w:t>
      </w:r>
    </w:p>
    <w:p w14:paraId="5FED1A29" w14:textId="77777777" w:rsidR="004D2D87" w:rsidRPr="00913636" w:rsidRDefault="004D2D87" w:rsidP="00FD3231">
      <w:pPr>
        <w:pStyle w:val="BT-EMEASMCA"/>
        <w:rPr>
          <w:noProof w:val="0"/>
        </w:rPr>
      </w:pPr>
      <w:r w:rsidRPr="00913636">
        <w:rPr>
          <w:noProof w:val="0"/>
        </w:rPr>
        <w:t>efavirenzo – vaisto, kuriuo gydoma nuo ŽIV (AIDS);</w:t>
      </w:r>
    </w:p>
    <w:p w14:paraId="26117B9A" w14:textId="77777777" w:rsidR="004D2D87" w:rsidRPr="00913636" w:rsidRDefault="004D2D87" w:rsidP="00FD3231">
      <w:pPr>
        <w:pStyle w:val="BT-EMEASMCA"/>
        <w:rPr>
          <w:noProof w:val="0"/>
        </w:rPr>
      </w:pPr>
      <w:r w:rsidRPr="00913636">
        <w:rPr>
          <w:noProof w:val="0"/>
        </w:rPr>
        <w:t>metadono – vaisto, kuriuo gydoma priklausomybė nuo narkotikų (vadinamųjų opioidais);</w:t>
      </w:r>
    </w:p>
    <w:p w14:paraId="07BF7B38" w14:textId="77777777" w:rsidR="004D2D87" w:rsidRPr="00913636" w:rsidRDefault="004D2D87" w:rsidP="00FD3231">
      <w:pPr>
        <w:pStyle w:val="BT-EMEASMCA"/>
        <w:rPr>
          <w:noProof w:val="0"/>
        </w:rPr>
      </w:pPr>
      <w:r w:rsidRPr="00913636">
        <w:rPr>
          <w:noProof w:val="0"/>
        </w:rPr>
        <w:t>valproato – vaisto, kuriuo gydoma epilepsija ir bipolinis sutrikimas;</w:t>
      </w:r>
    </w:p>
    <w:p w14:paraId="57E6D6A1" w14:textId="77777777" w:rsidR="004D2D87" w:rsidRPr="00913636" w:rsidRDefault="004D2D87" w:rsidP="00FD3231">
      <w:pPr>
        <w:pStyle w:val="BT-EMEASMCA"/>
        <w:rPr>
          <w:noProof w:val="0"/>
        </w:rPr>
      </w:pPr>
      <w:r w:rsidRPr="00913636">
        <w:rPr>
          <w:noProof w:val="0"/>
        </w:rPr>
        <w:t>takrolimuzo – vaisto, kuris skiriamas pacientams, kuriems atlikta transplantacija (organų persodinimo operacija), siekiant išvengti persodinto organo atmetimo;</w:t>
      </w:r>
    </w:p>
    <w:p w14:paraId="4DC4BCAC" w14:textId="77777777" w:rsidR="004D2D87" w:rsidRPr="00913636" w:rsidRDefault="004D2D87" w:rsidP="00FD3231">
      <w:pPr>
        <w:pStyle w:val="BT-EMEASMCA"/>
        <w:rPr>
          <w:noProof w:val="0"/>
        </w:rPr>
      </w:pPr>
      <w:r w:rsidRPr="00913636">
        <w:rPr>
          <w:noProof w:val="0"/>
        </w:rPr>
        <w:t>sertralino – vaisto, kuriuo gydoma depresija;</w:t>
      </w:r>
    </w:p>
    <w:p w14:paraId="0F86F8B1" w14:textId="77777777" w:rsidR="004D2D87" w:rsidRPr="00834CD5" w:rsidRDefault="004D2D87" w:rsidP="004D2D87">
      <w:pPr>
        <w:pStyle w:val="Pagrindinistekstas"/>
        <w:numPr>
          <w:ilvl w:val="0"/>
          <w:numId w:val="6"/>
        </w:numPr>
        <w:ind w:left="567" w:hanging="567"/>
        <w:rPr>
          <w:i w:val="0"/>
          <w:color w:val="auto"/>
        </w:rPr>
      </w:pPr>
      <w:r w:rsidRPr="00834CD5">
        <w:rPr>
          <w:i w:val="0"/>
          <w:color w:val="auto"/>
        </w:rPr>
        <w:t>ciklosporiną (vaistas onkologinėms ligoms gydyti ir po organų transplantacijos), nes Analgin Sopharma mažina ciklosporino poveikį;</w:t>
      </w:r>
    </w:p>
    <w:p w14:paraId="47FF487C" w14:textId="77777777" w:rsidR="004D2D87" w:rsidRPr="00913636" w:rsidRDefault="004D2D87" w:rsidP="00FD3231">
      <w:pPr>
        <w:pStyle w:val="BT-EMEASMCA"/>
        <w:rPr>
          <w:noProof w:val="0"/>
        </w:rPr>
      </w:pPr>
      <w:r w:rsidRPr="00913636">
        <w:rPr>
          <w:noProof w:val="0"/>
        </w:rPr>
        <w:t>vaistus nuo padidėjusio kraujospūdžio (taip pat kaptoprilį) ir kai kurių širdies ligų;</w:t>
      </w:r>
    </w:p>
    <w:p w14:paraId="278CA101" w14:textId="77777777" w:rsidR="004D2D87" w:rsidRPr="00913636" w:rsidRDefault="004D2D87" w:rsidP="00FD3231">
      <w:pPr>
        <w:pStyle w:val="BT-EMEASMCA"/>
        <w:rPr>
          <w:noProof w:val="0"/>
        </w:rPr>
      </w:pPr>
      <w:r w:rsidRPr="00913636">
        <w:rPr>
          <w:noProof w:val="0"/>
        </w:rPr>
        <w:t>vaistus psichikos ligoms gydyti (pvz., triciklinius antidepresantus, litį);</w:t>
      </w:r>
    </w:p>
    <w:p w14:paraId="590962AD" w14:textId="77777777" w:rsidR="004D2D87" w:rsidRPr="00913636" w:rsidRDefault="004D2D87" w:rsidP="00FD3231">
      <w:pPr>
        <w:pStyle w:val="BT-EMEASMCA"/>
        <w:rPr>
          <w:noProof w:val="0"/>
        </w:rPr>
      </w:pPr>
      <w:r w:rsidRPr="00913636">
        <w:rPr>
          <w:noProof w:val="0"/>
        </w:rPr>
        <w:t>geriamuosius kontraceptikus;</w:t>
      </w:r>
    </w:p>
    <w:p w14:paraId="581B7358" w14:textId="77777777" w:rsidR="004D2D87" w:rsidRPr="00913636" w:rsidRDefault="004D2D87" w:rsidP="00FD3231">
      <w:pPr>
        <w:pStyle w:val="BT-EMEASMCA"/>
        <w:rPr>
          <w:noProof w:val="0"/>
        </w:rPr>
      </w:pPr>
      <w:r w:rsidRPr="00913636">
        <w:rPr>
          <w:noProof w:val="0"/>
        </w:rPr>
        <w:t xml:space="preserve">alopurinolį (šlapimo rūgšties susidarymą slopinantis vaistas); </w:t>
      </w:r>
    </w:p>
    <w:p w14:paraId="3024D169" w14:textId="77777777" w:rsidR="004D2D87" w:rsidRPr="00913636" w:rsidRDefault="004D2D87" w:rsidP="00FD3231">
      <w:pPr>
        <w:pStyle w:val="BT-EMEASMCA"/>
        <w:rPr>
          <w:noProof w:val="0"/>
        </w:rPr>
      </w:pPr>
      <w:r w:rsidRPr="00913636">
        <w:rPr>
          <w:noProof w:val="0"/>
        </w:rPr>
        <w:t>vaistus vėžiui ir tam tikroms reumatinėms ligoms gydyti (pvz., metotreksatą);</w:t>
      </w:r>
    </w:p>
    <w:p w14:paraId="0F8265D7" w14:textId="77777777" w:rsidR="004D2D87" w:rsidRPr="00913636" w:rsidRDefault="004D2D87" w:rsidP="00FD3231">
      <w:pPr>
        <w:pStyle w:val="BT-EMEASMCA"/>
        <w:rPr>
          <w:noProof w:val="0"/>
        </w:rPr>
      </w:pPr>
      <w:r w:rsidRPr="00913636">
        <w:rPr>
          <w:noProof w:val="0"/>
        </w:rPr>
        <w:t>vaistus šlapimo išsiskyrimui padidinti (pvz., triamtereną);</w:t>
      </w:r>
    </w:p>
    <w:p w14:paraId="1889A187" w14:textId="77777777" w:rsidR="004D2D87" w:rsidRPr="00913636" w:rsidRDefault="004D2D87" w:rsidP="00FD3231">
      <w:pPr>
        <w:pStyle w:val="BT-EMEASMCA"/>
        <w:rPr>
          <w:noProof w:val="0"/>
        </w:rPr>
      </w:pPr>
      <w:r w:rsidRPr="00913636">
        <w:rPr>
          <w:noProof w:val="0"/>
        </w:rPr>
        <w:t>antihipertenzinius vaistus (vartojamus padidėjusiam kraujospūdžiui gydyti) ir diuretikus  (šlapimo išsiskyrimą skatinančius vaistus), nes jie gali pakeisti šio vaisto poveikį;</w:t>
      </w:r>
    </w:p>
    <w:p w14:paraId="73068943" w14:textId="77777777" w:rsidR="004D2D87" w:rsidRPr="00834CD5" w:rsidRDefault="004D2D87" w:rsidP="004D2D87">
      <w:pPr>
        <w:pStyle w:val="Pagrindinistekstas"/>
        <w:numPr>
          <w:ilvl w:val="0"/>
          <w:numId w:val="6"/>
        </w:numPr>
        <w:ind w:left="567" w:hanging="567"/>
        <w:rPr>
          <w:i w:val="0"/>
          <w:color w:val="auto"/>
        </w:rPr>
      </w:pPr>
      <w:r w:rsidRPr="00834CD5">
        <w:rPr>
          <w:i w:val="0"/>
          <w:color w:val="auto"/>
        </w:rPr>
        <w:t>chloramfenikolį ir kitus kaulų čiulpus toksiškai veikiančius vaistus, nes jie didina Analgin Sopharma sukelto šalutinio poveikio kraujo gamybai tikimybę.</w:t>
      </w:r>
    </w:p>
    <w:p w14:paraId="5CCCCBA5" w14:textId="77777777" w:rsidR="004D2D87" w:rsidRPr="00834CD5" w:rsidRDefault="004D2D87" w:rsidP="004D2D87">
      <w:pPr>
        <w:pStyle w:val="Pagrindinistekstas"/>
        <w:numPr>
          <w:ilvl w:val="0"/>
          <w:numId w:val="6"/>
        </w:numPr>
        <w:ind w:left="567" w:hanging="567"/>
        <w:rPr>
          <w:i w:val="0"/>
          <w:color w:val="000000" w:themeColor="text1"/>
        </w:rPr>
      </w:pPr>
      <w:r w:rsidRPr="00834CD5">
        <w:rPr>
          <w:i w:val="0"/>
          <w:color w:val="000000" w:themeColor="text1"/>
        </w:rPr>
        <w:t xml:space="preserve">kartu vartojamas metamizolas (skausmą ir karščiavimą mažinanti medžiaga) gali sumažinti acetilsalicilo rūgšties poveikį trombocitų agregacijai (kraujo ląstelių sulipimui ir kraujo krešulio </w:t>
      </w:r>
      <w:r w:rsidRPr="00834CD5">
        <w:rPr>
          <w:i w:val="0"/>
          <w:color w:val="000000" w:themeColor="text1"/>
        </w:rPr>
        <w:lastRenderedPageBreak/>
        <w:t>susidarymui). Todėl šį derinį reikia atsargiai vartoti pacientams, vartojantiems mažas aspirino (acetilsalicilo rūgšties) dozes kardioprotekcijai (širdies apsaugai).</w:t>
      </w:r>
    </w:p>
    <w:p w14:paraId="37AD5FF8" w14:textId="77777777" w:rsidR="004D2D87" w:rsidRPr="00834CD5" w:rsidRDefault="004D2D87" w:rsidP="004D2D87">
      <w:pPr>
        <w:pStyle w:val="Pagrindinistekstas"/>
        <w:rPr>
          <w:i w:val="0"/>
          <w:color w:val="auto"/>
        </w:rPr>
      </w:pPr>
    </w:p>
    <w:p w14:paraId="11477D92" w14:textId="77777777" w:rsidR="004D2D87" w:rsidRPr="00834CD5" w:rsidRDefault="004D2D87" w:rsidP="004D2D87">
      <w:pPr>
        <w:pStyle w:val="Pagrindinistekstas"/>
        <w:rPr>
          <w:i w:val="0"/>
          <w:color w:val="auto"/>
        </w:rPr>
      </w:pPr>
      <w:r w:rsidRPr="00834CD5">
        <w:rPr>
          <w:i w:val="0"/>
          <w:color w:val="auto"/>
        </w:rPr>
        <w:t>Analgin Sopharma tabletes galima vartoti kartu su atropinu, buskolizinu.</w:t>
      </w:r>
    </w:p>
    <w:p w14:paraId="7EA900A9" w14:textId="77777777" w:rsidR="004D2D87" w:rsidRPr="00834CD5" w:rsidRDefault="004D2D87" w:rsidP="004D2D87">
      <w:pPr>
        <w:pStyle w:val="Pagrindinistekstas"/>
      </w:pPr>
    </w:p>
    <w:p w14:paraId="348B3D32" w14:textId="77777777" w:rsidR="004D2D87" w:rsidRPr="00834CD5" w:rsidRDefault="004D2D87" w:rsidP="004D2D87">
      <w:pPr>
        <w:pStyle w:val="Antrat4"/>
      </w:pPr>
      <w:r w:rsidRPr="00834CD5">
        <w:t>Analgin Sopharma vartojimas su alkoholiu</w:t>
      </w:r>
    </w:p>
    <w:p w14:paraId="5CB76CEC" w14:textId="77777777" w:rsidR="004D2D87" w:rsidRPr="00913636" w:rsidRDefault="004D2D87" w:rsidP="00FD3231">
      <w:pPr>
        <w:pStyle w:val="BTEMEASMCA"/>
        <w:rPr>
          <w:noProof w:val="0"/>
        </w:rPr>
      </w:pPr>
      <w:r w:rsidRPr="00913636">
        <w:rPr>
          <w:noProof w:val="0"/>
        </w:rPr>
        <w:t>Kadangi negalima atmesti neigiamo poveikio, vartojant Analgin Sopharma visada reikia vengti vartoti alkoholinių gėrimų.</w:t>
      </w:r>
    </w:p>
    <w:p w14:paraId="03DA77B3" w14:textId="77777777" w:rsidR="004D2D87" w:rsidRPr="00834CD5" w:rsidRDefault="004D2D87" w:rsidP="004D2D87">
      <w:pPr>
        <w:numPr>
          <w:ilvl w:val="12"/>
          <w:numId w:val="0"/>
        </w:numPr>
        <w:tabs>
          <w:tab w:val="clear" w:pos="567"/>
        </w:tabs>
        <w:spacing w:line="240" w:lineRule="auto"/>
      </w:pPr>
    </w:p>
    <w:p w14:paraId="6F2EB8F5" w14:textId="77777777" w:rsidR="004D2D87" w:rsidRPr="00834CD5" w:rsidRDefault="004D2D87" w:rsidP="004D2D87">
      <w:pPr>
        <w:pStyle w:val="Antrat4"/>
        <w:rPr>
          <w:rFonts w:eastAsia="SimSun"/>
          <w:b w:val="0"/>
          <w:u w:val="single"/>
        </w:rPr>
      </w:pPr>
      <w:r w:rsidRPr="00834CD5">
        <w:t>Nėštumas ir žindymo laikotarpis</w:t>
      </w:r>
    </w:p>
    <w:p w14:paraId="6E7A9247" w14:textId="77777777" w:rsidR="004D2D87" w:rsidRPr="00834CD5" w:rsidRDefault="004D2D87" w:rsidP="004D2D87">
      <w:pPr>
        <w:numPr>
          <w:ilvl w:val="12"/>
          <w:numId w:val="0"/>
        </w:numPr>
        <w:tabs>
          <w:tab w:val="clear" w:pos="567"/>
        </w:tabs>
        <w:spacing w:line="240" w:lineRule="auto"/>
      </w:pPr>
      <w:r w:rsidRPr="00834CD5">
        <w:t xml:space="preserve">Jeigu esate nėščia, žindote kūdikį, manote, kad galbūt esate nėščia, arba planuojate pastoti, tai prieš vartodama šį vaistą, pasitarkite su gydytoju arba vaistininku. </w:t>
      </w:r>
    </w:p>
    <w:p w14:paraId="6F4A909F" w14:textId="77777777" w:rsidR="004D2D87" w:rsidRPr="00834CD5" w:rsidRDefault="004D2D87" w:rsidP="004D2D87">
      <w:pPr>
        <w:pStyle w:val="Antrat4"/>
        <w:rPr>
          <w:rFonts w:eastAsia="SimSun"/>
          <w:b w:val="0"/>
          <w:u w:val="single"/>
        </w:rPr>
      </w:pPr>
    </w:p>
    <w:p w14:paraId="1A9B1415" w14:textId="77777777" w:rsidR="004D2D87" w:rsidRPr="00834CD5" w:rsidRDefault="004D2D87" w:rsidP="004D2D87">
      <w:pPr>
        <w:pStyle w:val="Antrat4"/>
        <w:jc w:val="left"/>
        <w:rPr>
          <w:rFonts w:eastAsia="SimSun"/>
          <w:b w:val="0"/>
          <w:u w:val="single"/>
        </w:rPr>
      </w:pPr>
      <w:r w:rsidRPr="00834CD5">
        <w:rPr>
          <w:rFonts w:eastAsia="SimSun"/>
          <w:b w:val="0"/>
          <w:u w:val="single"/>
        </w:rPr>
        <w:t>Nėštumas</w:t>
      </w:r>
    </w:p>
    <w:p w14:paraId="4A5E27E5" w14:textId="77777777" w:rsidR="004D2D87" w:rsidRPr="00834CD5" w:rsidRDefault="004D2D87" w:rsidP="004D2D87">
      <w:pPr>
        <w:pStyle w:val="Antrat4"/>
        <w:jc w:val="left"/>
        <w:rPr>
          <w:rFonts w:eastAsia="SimSun"/>
          <w:b w:val="0"/>
        </w:rPr>
      </w:pPr>
      <w:r w:rsidRPr="00834CD5">
        <w:rPr>
          <w:rFonts w:eastAsia="SimSun"/>
          <w:b w:val="0"/>
        </w:rPr>
        <w:t>Duomenų apie metamizolo vartojimą pirmus tris nėštumo mėnesius yra nedaug, tačiau jie nerodo neigiamo poveikio embrionui. Tam tikrais pasirinktinais atvejais, kai nėra kitų gydymo galimybių, vienkartinės metamizolo dozės pirmą ir antrą nėštumo trimestrą yra priimtinos pasikonsultavus su gydytoju ar vaistininku ir atidžiai įvertinus metamizolo vartojimo naudą ir keliamą riziką. Tačiau paprastai pirmą ir antrą nėštumo trimestrą metamizolo vartoti nerekomenduojama.</w:t>
      </w:r>
    </w:p>
    <w:p w14:paraId="192D53DC" w14:textId="77777777" w:rsidR="004D2D87" w:rsidRPr="00834CD5" w:rsidRDefault="004D2D87" w:rsidP="004D2D87">
      <w:pPr>
        <w:pStyle w:val="Antrat4"/>
        <w:jc w:val="left"/>
        <w:rPr>
          <w:rFonts w:eastAsia="SimSun"/>
          <w:b w:val="0"/>
        </w:rPr>
      </w:pPr>
    </w:p>
    <w:p w14:paraId="7AF6E653" w14:textId="77777777" w:rsidR="004D2D87" w:rsidRPr="00834CD5" w:rsidRDefault="004D2D87" w:rsidP="004D2D87">
      <w:pPr>
        <w:pStyle w:val="Antrat4"/>
        <w:jc w:val="left"/>
        <w:rPr>
          <w:rFonts w:eastAsia="SimSun"/>
          <w:b w:val="0"/>
        </w:rPr>
      </w:pPr>
      <w:r w:rsidRPr="00834CD5">
        <w:rPr>
          <w:rFonts w:eastAsia="SimSun"/>
          <w:b w:val="0"/>
        </w:rPr>
        <w:t>Paskutinius tris nėštumo mėnesius vartoti Analgin Sopharma draudžiama dėl padidėjusios motinos ir vaiko sveikatos būklės komplikacijų (kraujavimo, svarbios kraujagyslės, vadinamos Botalo lataku, priešlaikinio užsivėrimo dar negimusio kūdikio organizme; ji natūraliai užsiveria tik kūdikiui gimus) rizikos.</w:t>
      </w:r>
    </w:p>
    <w:p w14:paraId="6CEF0253" w14:textId="77777777" w:rsidR="004D2D87" w:rsidRPr="00834CD5" w:rsidRDefault="004D2D87" w:rsidP="004D2D87">
      <w:pPr>
        <w:pStyle w:val="Antrat4"/>
        <w:jc w:val="left"/>
        <w:rPr>
          <w:rFonts w:eastAsia="SimSun"/>
          <w:b w:val="0"/>
        </w:rPr>
      </w:pPr>
    </w:p>
    <w:p w14:paraId="283913E1" w14:textId="77777777" w:rsidR="004D2D87" w:rsidRPr="00834CD5" w:rsidRDefault="004D2D87" w:rsidP="004D2D87">
      <w:pPr>
        <w:pStyle w:val="Antrat4"/>
        <w:jc w:val="left"/>
        <w:rPr>
          <w:rFonts w:eastAsia="SimSun"/>
          <w:b w:val="0"/>
          <w:u w:val="single"/>
        </w:rPr>
      </w:pPr>
      <w:r w:rsidRPr="00834CD5">
        <w:rPr>
          <w:rFonts w:eastAsia="SimSun"/>
          <w:b w:val="0"/>
          <w:u w:val="single"/>
        </w:rPr>
        <w:t>Žindymas</w:t>
      </w:r>
    </w:p>
    <w:p w14:paraId="30BC5D9B" w14:textId="77777777" w:rsidR="004D2D87" w:rsidRPr="00913636" w:rsidRDefault="004D2D87" w:rsidP="00FD3231">
      <w:pPr>
        <w:pStyle w:val="BTEMEASMCA"/>
        <w:rPr>
          <w:noProof w:val="0"/>
        </w:rPr>
      </w:pPr>
      <w:r w:rsidRPr="00913636">
        <w:rPr>
          <w:noProof w:val="0"/>
        </w:rPr>
        <w:t>Didelis kiekis metamizolo skilimo produktų patenka į motinos pieną, todėl negalima atmesti pavojaus žindomam kūdikiui galimybės. Dėl šios priežasties žindymo laikotarpiu reikia vengti vartoti metamizolo, ypač pakartotinai. Pavartojus metamizolo vieną kartą, motinoms rekomenduojama 48 valandas po dozės pavartojimo nusitraukti ir išpilti pieną.</w:t>
      </w:r>
    </w:p>
    <w:p w14:paraId="455FC5FF" w14:textId="77777777" w:rsidR="004D2D87" w:rsidRPr="00834CD5" w:rsidRDefault="004D2D87" w:rsidP="004D2D87">
      <w:pPr>
        <w:numPr>
          <w:ilvl w:val="12"/>
          <w:numId w:val="0"/>
        </w:numPr>
        <w:tabs>
          <w:tab w:val="clear" w:pos="567"/>
        </w:tabs>
        <w:spacing w:line="240" w:lineRule="auto"/>
      </w:pPr>
    </w:p>
    <w:p w14:paraId="063B9471" w14:textId="77777777" w:rsidR="004D2D87" w:rsidRPr="00834CD5" w:rsidRDefault="004D2D87" w:rsidP="004D2D87">
      <w:pPr>
        <w:pStyle w:val="Antrat4"/>
      </w:pPr>
      <w:r w:rsidRPr="00834CD5">
        <w:t>Vairavimas ir mechanizmų valdymas</w:t>
      </w:r>
    </w:p>
    <w:p w14:paraId="36BA6D7F" w14:textId="5DE472F1" w:rsidR="004D2D87" w:rsidRPr="00913636" w:rsidRDefault="004D2D87" w:rsidP="00FD3231">
      <w:pPr>
        <w:pStyle w:val="BTbEMEASMCA"/>
        <w:rPr>
          <w:lang w:val="lt-LT"/>
        </w:rPr>
      </w:pPr>
      <w:r w:rsidRPr="00913636">
        <w:rPr>
          <w:lang w:val="lt-LT"/>
        </w:rPr>
        <w:t>Vartojant rekomenduojamas Analgin Sopharma dozes žinomo neigiamo poveikio reakcijai ir gebėjimui susikoncentruoti nėra. Tačiau, laikantis atsargumo, Jūs turite įvertinti tokio neigiamo poveikio galimybę ir, vartojant didelę dozę, vengti vairuoti, valdyti mechanizmus ir atsisakyti kitokios pavojingos veiklos. Tai ypač aktualu, jeigu vartojote alkoholinių gėrimų</w:t>
      </w:r>
      <w:r w:rsidR="00CF18D4" w:rsidRPr="00913636">
        <w:rPr>
          <w:lang w:val="lt-LT"/>
        </w:rPr>
        <w:t>.</w:t>
      </w:r>
    </w:p>
    <w:p w14:paraId="29076EB0" w14:textId="77777777" w:rsidR="004D2D87" w:rsidRPr="00913636" w:rsidRDefault="004D2D87" w:rsidP="00FD3231">
      <w:pPr>
        <w:pStyle w:val="BTbEMEASMCA"/>
        <w:rPr>
          <w:lang w:val="lt-LT"/>
        </w:rPr>
      </w:pPr>
    </w:p>
    <w:p w14:paraId="1D2E2FB4" w14:textId="77777777" w:rsidR="004D2D87" w:rsidRPr="00834CD5" w:rsidRDefault="004D2D87" w:rsidP="004D2D87">
      <w:pPr>
        <w:pStyle w:val="Pagrindinistekstas"/>
        <w:rPr>
          <w:b/>
          <w:i w:val="0"/>
          <w:color w:val="000000"/>
        </w:rPr>
      </w:pPr>
      <w:r w:rsidRPr="00834CD5">
        <w:rPr>
          <w:b/>
          <w:i w:val="0"/>
          <w:color w:val="000000"/>
        </w:rPr>
        <w:t>Analgin Sopharma sudėtyje yra kviečių krakmolo ir natrio</w:t>
      </w:r>
    </w:p>
    <w:p w14:paraId="0FE8D719" w14:textId="77777777" w:rsidR="004D2D87" w:rsidRPr="00834CD5" w:rsidRDefault="004D2D87" w:rsidP="004D2D87">
      <w:pPr>
        <w:widowControl w:val="0"/>
      </w:pPr>
      <w:r w:rsidRPr="00834CD5">
        <w:t>Šio vaisto sudėtyje yra labai mažas glitimo (esančio kviečių krakmole) kiekis. Šis vaistas laikytinas neturinčiu glitimo, todėl jei sergate celiakija, mažai tikėtina, kad tai Jums pakenks. Vienoje tabletėje yra ne daugiau kaip 3,4 mikrogramai glitimo. Jeigu esate alergiškas kviečiams (ši liga skiriasi nuo celiakijos), Jums šio vaisto vartoti negalima.</w:t>
      </w:r>
    </w:p>
    <w:p w14:paraId="7290913A" w14:textId="77777777" w:rsidR="004D2D87" w:rsidRPr="00834CD5" w:rsidRDefault="004D2D87" w:rsidP="004D2D87">
      <w:pPr>
        <w:widowControl w:val="0"/>
      </w:pPr>
    </w:p>
    <w:p w14:paraId="2F205249" w14:textId="77777777" w:rsidR="004D2D87" w:rsidRPr="00834CD5" w:rsidRDefault="004D2D87" w:rsidP="004D2D87">
      <w:r w:rsidRPr="00834CD5">
        <w:t>Kiekvienoje šio vaisto tabletėje yra 32,7 mg natrio (valgomosios druskos sudedamosios dalies). Tai atitinka 1,6 % didžiausios rekomenduojamos natrio normos suaugusiesiems.</w:t>
      </w:r>
    </w:p>
    <w:p w14:paraId="060189DF" w14:textId="77777777" w:rsidR="004D2D87" w:rsidRPr="00834CD5" w:rsidRDefault="004D2D87" w:rsidP="004D2D87">
      <w:pPr>
        <w:widowControl w:val="0"/>
        <w:rPr>
          <w:b/>
          <w:color w:val="000000"/>
        </w:rPr>
      </w:pPr>
    </w:p>
    <w:p w14:paraId="0412F134" w14:textId="77777777" w:rsidR="004D2D87" w:rsidRPr="00834CD5" w:rsidRDefault="004D2D87" w:rsidP="004D2D87">
      <w:pPr>
        <w:numPr>
          <w:ilvl w:val="12"/>
          <w:numId w:val="0"/>
        </w:numPr>
        <w:tabs>
          <w:tab w:val="clear" w:pos="567"/>
        </w:tabs>
        <w:spacing w:line="240" w:lineRule="auto"/>
        <w:ind w:right="-2"/>
      </w:pPr>
    </w:p>
    <w:p w14:paraId="65BC0C6A"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sz w:val="22"/>
        </w:rPr>
        <w:t>3.</w:t>
      </w:r>
      <w:r w:rsidRPr="00834CD5">
        <w:rPr>
          <w:rFonts w:ascii="Times New Roman" w:hAnsi="Times New Roman"/>
          <w:sz w:val="22"/>
        </w:rPr>
        <w:tab/>
        <w:t>Kaip vartoti Analgin Sopharma</w:t>
      </w:r>
    </w:p>
    <w:p w14:paraId="7A352502" w14:textId="77777777" w:rsidR="004D2D87" w:rsidRPr="00834CD5" w:rsidRDefault="004D2D87" w:rsidP="004D2D87"/>
    <w:p w14:paraId="63D9AA25" w14:textId="77777777" w:rsidR="004D2D87" w:rsidRPr="00834CD5" w:rsidRDefault="004D2D87" w:rsidP="004D2D87">
      <w:pPr>
        <w:numPr>
          <w:ilvl w:val="12"/>
          <w:numId w:val="0"/>
        </w:numPr>
        <w:tabs>
          <w:tab w:val="clear" w:pos="567"/>
        </w:tabs>
        <w:spacing w:line="240" w:lineRule="auto"/>
        <w:ind w:right="-2"/>
      </w:pPr>
      <w:r w:rsidRPr="00834CD5">
        <w:t xml:space="preserve">Visada vartokite šį vaistą tiksliai kaip nurodė gydytojas arba vaistininkas. Jeigu abejojate, kreipkitės į gydytoją arba vaistininką. </w:t>
      </w:r>
    </w:p>
    <w:p w14:paraId="3061475A" w14:textId="77777777" w:rsidR="004D2D87" w:rsidRPr="00834CD5" w:rsidRDefault="004D2D87" w:rsidP="004D2D87">
      <w:pPr>
        <w:pStyle w:val="Pagrindiniotekstotrauka"/>
        <w:ind w:left="0"/>
        <w:jc w:val="left"/>
      </w:pPr>
    </w:p>
    <w:p w14:paraId="1EFB0F7B" w14:textId="77777777" w:rsidR="004D2D87" w:rsidRPr="00834CD5" w:rsidRDefault="004D2D87" w:rsidP="004D2D87">
      <w:pPr>
        <w:pStyle w:val="Pagrindiniotekstotrauka"/>
        <w:ind w:left="0"/>
        <w:jc w:val="left"/>
      </w:pPr>
      <w:r w:rsidRPr="00834CD5">
        <w:t>Dozė nustatoma pagal skausmo arba karščiavimo intensyvumą ir paciento organizmo reakcijos į Analgin Sopharma jautrumą.</w:t>
      </w:r>
    </w:p>
    <w:p w14:paraId="208D959C" w14:textId="77777777" w:rsidR="004D2D87" w:rsidRPr="00834CD5" w:rsidRDefault="004D2D87" w:rsidP="004D2D87">
      <w:pPr>
        <w:pStyle w:val="Pagrindiniotekstotrauka"/>
        <w:ind w:left="0"/>
        <w:jc w:val="left"/>
      </w:pPr>
    </w:p>
    <w:p w14:paraId="72B156CA" w14:textId="77777777" w:rsidR="004D2D87" w:rsidRPr="00834CD5" w:rsidRDefault="004D2D87" w:rsidP="004D2D87">
      <w:pPr>
        <w:pStyle w:val="Pagrindiniotekstotrauka"/>
        <w:ind w:left="0"/>
        <w:jc w:val="left"/>
      </w:pPr>
      <w:r w:rsidRPr="00834CD5">
        <w:lastRenderedPageBreak/>
        <w:t>Visada turi būti parenkama mažiausia dozė, kurios pakanka skausmui ir karščiavimui kontroliuoti. Jūsų gydytojas pasakys, kaip vartoti Analgin Sopharma.</w:t>
      </w:r>
    </w:p>
    <w:p w14:paraId="185B6A69" w14:textId="77777777" w:rsidR="004D2D87" w:rsidRPr="00834CD5" w:rsidRDefault="004D2D87" w:rsidP="004D2D87">
      <w:pPr>
        <w:pStyle w:val="Pagrindiniotekstotrauka"/>
        <w:ind w:left="0"/>
        <w:jc w:val="left"/>
      </w:pPr>
    </w:p>
    <w:p w14:paraId="060E0EB2" w14:textId="77777777" w:rsidR="004D2D87" w:rsidRPr="00834CD5" w:rsidRDefault="004D2D87" w:rsidP="004D2D87">
      <w:pPr>
        <w:pStyle w:val="Pagrindiniotekstotrauka"/>
        <w:ind w:left="0"/>
        <w:jc w:val="left"/>
      </w:pPr>
      <w:r w:rsidRPr="00834CD5">
        <w:rPr>
          <w:i/>
        </w:rPr>
        <w:t>Suaugusiesiems ir paaugliams nuo 15 metų amžiaus</w:t>
      </w:r>
    </w:p>
    <w:p w14:paraId="64568041" w14:textId="77777777" w:rsidR="004D2D87" w:rsidRPr="00834CD5" w:rsidRDefault="004D2D87" w:rsidP="004D2D87">
      <w:pPr>
        <w:pStyle w:val="Pagrindiniotekstotrauka"/>
        <w:tabs>
          <w:tab w:val="left" w:pos="7088"/>
        </w:tabs>
        <w:ind w:left="0"/>
        <w:jc w:val="left"/>
      </w:pPr>
      <w:r w:rsidRPr="00834CD5">
        <w:t>Suaugusiesiems ir 15 metų amžiaus arba vyresniems paaugliams (sveriantiems daugiau kaip 53 kg) galima vartoti ne didesnę kaip 1 000 mg metamizolo (2 tabletes) vienkartinę dozę. Tokią dozę galima vartoti ne daugiau kaip 4 kartus per parą, 6–8 val. intervalu. Didžiausia paros dozė – 4 000 mg (tai atitinka 8 tabletes).</w:t>
      </w:r>
    </w:p>
    <w:p w14:paraId="6583234A" w14:textId="77777777" w:rsidR="004D2D87" w:rsidRPr="00834CD5" w:rsidRDefault="004D2D87" w:rsidP="004D2D87">
      <w:pPr>
        <w:pStyle w:val="Pagrindiniotekstotrauka"/>
        <w:ind w:left="0"/>
        <w:jc w:val="left"/>
      </w:pPr>
    </w:p>
    <w:p w14:paraId="72EDBA60" w14:textId="77777777" w:rsidR="004D2D87" w:rsidRPr="00834CD5" w:rsidRDefault="004D2D87" w:rsidP="004D2D87">
      <w:pPr>
        <w:pStyle w:val="Pagrindiniotekstotrauka"/>
        <w:ind w:left="0"/>
        <w:jc w:val="left"/>
      </w:pPr>
      <w:r w:rsidRPr="00834CD5">
        <w:t>Išgėrus vaisto, aiškus poveikis turėtų pasireikšti po 30–60 minučių.</w:t>
      </w:r>
    </w:p>
    <w:p w14:paraId="2513F5AE" w14:textId="77777777" w:rsidR="004D2D87" w:rsidRPr="00834CD5" w:rsidRDefault="004D2D87" w:rsidP="004D2D87">
      <w:pPr>
        <w:pStyle w:val="Pagrindiniotekstotrauka"/>
        <w:ind w:left="0"/>
        <w:jc w:val="left"/>
      </w:pPr>
    </w:p>
    <w:p w14:paraId="09C4D0FB" w14:textId="77777777" w:rsidR="004D2D87" w:rsidRPr="00834CD5" w:rsidRDefault="004D2D87" w:rsidP="004D2D87">
      <w:pPr>
        <w:pStyle w:val="Pagrindiniotekstotrauka"/>
        <w:ind w:left="0" w:hanging="10"/>
        <w:jc w:val="left"/>
      </w:pPr>
      <w:r w:rsidRPr="00834CD5">
        <w:t>Analgin Sopharma turi būti nevartojamas jaunesniems negu 15 metų amžiaus vaikams ir paaugliams.  Jaunesniems vaikams ir paaugliams yra kitų farmacinių formų ir stiprumų vaistų. Apie tai teiraukitės savo gydytojo arba vaistininko.</w:t>
      </w:r>
    </w:p>
    <w:p w14:paraId="5E91EC92" w14:textId="77777777" w:rsidR="004D2D87" w:rsidRPr="00834CD5" w:rsidRDefault="004D2D87" w:rsidP="004D2D87">
      <w:pPr>
        <w:pStyle w:val="Pagrindinistekstas"/>
      </w:pPr>
    </w:p>
    <w:p w14:paraId="1F2D9082" w14:textId="77777777" w:rsidR="004D2D87" w:rsidRPr="00834CD5" w:rsidRDefault="004D2D87" w:rsidP="004D2D87">
      <w:pPr>
        <w:pStyle w:val="Pagrindinistekstas"/>
        <w:rPr>
          <w:rStyle w:val="Emfaz"/>
          <w:rFonts w:eastAsia="SimSun"/>
          <w:color w:val="auto"/>
        </w:rPr>
      </w:pPr>
      <w:r w:rsidRPr="00834CD5">
        <w:rPr>
          <w:rStyle w:val="Emfaz"/>
          <w:rFonts w:eastAsia="SimSun"/>
          <w:i/>
          <w:color w:val="auto"/>
        </w:rPr>
        <w:t>Senyvi pacientai ir pacientai, kurių prasta bendra sveikatos būklė ir (arba) sutrikusi inkstų veikla</w:t>
      </w:r>
    </w:p>
    <w:p w14:paraId="320D7B2F" w14:textId="77777777" w:rsidR="004D2D87" w:rsidRPr="00834CD5" w:rsidRDefault="004D2D87" w:rsidP="004D2D87">
      <w:pPr>
        <w:pStyle w:val="Pagrindinistekstas"/>
        <w:rPr>
          <w:rStyle w:val="Emfaz"/>
          <w:rFonts w:eastAsia="SimSun"/>
          <w:color w:val="auto"/>
        </w:rPr>
      </w:pPr>
      <w:r w:rsidRPr="00834CD5">
        <w:rPr>
          <w:rStyle w:val="Emfaz"/>
          <w:rFonts w:eastAsia="SimSun"/>
          <w:color w:val="auto"/>
        </w:rPr>
        <w:t>Senyviems pacientams, taip pat nusilpusiems pacientams ir pacientams, kurių inkstų funkcija sutrikusi, dozė turi būti sumažinta, nes gali būti uždelstas metamizolo skilimo produktų šalinimas iš jų organizmo.</w:t>
      </w:r>
    </w:p>
    <w:p w14:paraId="4A3B7724" w14:textId="77777777" w:rsidR="004D2D87" w:rsidRPr="00834CD5" w:rsidRDefault="004D2D87" w:rsidP="004D2D87">
      <w:pPr>
        <w:pStyle w:val="Pagrindinistekstas"/>
        <w:rPr>
          <w:rStyle w:val="Emfaz"/>
          <w:rFonts w:eastAsia="SimSun"/>
          <w:color w:val="auto"/>
        </w:rPr>
      </w:pPr>
    </w:p>
    <w:p w14:paraId="1EC69B97" w14:textId="0F36F841" w:rsidR="004D2D87" w:rsidRPr="00834CD5" w:rsidRDefault="004D2D87" w:rsidP="004D2D87">
      <w:pPr>
        <w:pStyle w:val="Pagrindinistekstas"/>
        <w:rPr>
          <w:rStyle w:val="Emfaz"/>
          <w:rFonts w:eastAsia="SimSun"/>
          <w:i/>
          <w:color w:val="auto"/>
        </w:rPr>
      </w:pPr>
      <w:r w:rsidRPr="00834CD5">
        <w:rPr>
          <w:rStyle w:val="Emfaz"/>
          <w:rFonts w:eastAsia="SimSun"/>
          <w:i/>
          <w:color w:val="auto"/>
        </w:rPr>
        <w:t>Pacientai, kurių inkstų arba kepenų veikla sutrikusi</w:t>
      </w:r>
    </w:p>
    <w:p w14:paraId="444BA14F" w14:textId="77777777" w:rsidR="004D2D87" w:rsidRPr="00913636" w:rsidRDefault="004D2D87" w:rsidP="00FD3231">
      <w:pPr>
        <w:pStyle w:val="BTEMEASMCA"/>
        <w:rPr>
          <w:noProof w:val="0"/>
        </w:rPr>
      </w:pPr>
      <w:r w:rsidRPr="00913636">
        <w:rPr>
          <w:rStyle w:val="Emfaz"/>
          <w:i w:val="0"/>
          <w:noProof w:val="0"/>
        </w:rPr>
        <w:t>Kadangi vaisto eliminacija iš pacientų, kurių inkstų arba kepenų funkcija sutrikusi, organizmo yra lėtesnė, kartotinio vartojimo didelėmis dozėmis turi būti vengiama. Vartojant trumpai dozės mažinti nereikia. Ilgalaikio vartojimo patirties nėra.</w:t>
      </w:r>
    </w:p>
    <w:p w14:paraId="2478290B" w14:textId="77777777" w:rsidR="004D2D87" w:rsidRPr="00834CD5" w:rsidRDefault="004D2D87" w:rsidP="004D2D87">
      <w:pPr>
        <w:rPr>
          <w:i/>
        </w:rPr>
      </w:pPr>
    </w:p>
    <w:p w14:paraId="30CB6091" w14:textId="77777777" w:rsidR="004D2D87" w:rsidRPr="00834CD5" w:rsidRDefault="004D2D87" w:rsidP="004D2D87">
      <w:pPr>
        <w:rPr>
          <w:u w:val="single"/>
        </w:rPr>
      </w:pPr>
      <w:r w:rsidRPr="00834CD5">
        <w:rPr>
          <w:u w:val="single"/>
        </w:rPr>
        <w:t>Vartojimo metodas</w:t>
      </w:r>
    </w:p>
    <w:p w14:paraId="05445ECA" w14:textId="77777777" w:rsidR="004D2D87" w:rsidRPr="00913636" w:rsidRDefault="004D2D87" w:rsidP="00FD3231">
      <w:pPr>
        <w:pStyle w:val="BTEMEASMCA"/>
        <w:rPr>
          <w:noProof w:val="0"/>
        </w:rPr>
      </w:pPr>
      <w:r w:rsidRPr="00913636">
        <w:rPr>
          <w:noProof w:val="0"/>
        </w:rPr>
        <w:t>Vartoti per burną.</w:t>
      </w:r>
    </w:p>
    <w:p w14:paraId="2AF52322" w14:textId="77777777" w:rsidR="004D2D87" w:rsidRPr="00913636" w:rsidRDefault="004D2D87" w:rsidP="00FD3231">
      <w:pPr>
        <w:pStyle w:val="BTEMEASMCA"/>
        <w:rPr>
          <w:noProof w:val="0"/>
        </w:rPr>
      </w:pPr>
      <w:r w:rsidRPr="00913636">
        <w:rPr>
          <w:noProof w:val="0"/>
        </w:rPr>
        <w:t>Rekomenduojama tabletes nuryti nesukramtytas ir užsigerti pakankamu skysčio kiekiu (pvz., stikline vandens).</w:t>
      </w:r>
    </w:p>
    <w:p w14:paraId="1951883A" w14:textId="77777777" w:rsidR="004D2D87" w:rsidRPr="00913636" w:rsidRDefault="004D2D87" w:rsidP="00FD3231">
      <w:pPr>
        <w:pStyle w:val="BTEMEASMCA"/>
        <w:rPr>
          <w:noProof w:val="0"/>
        </w:rPr>
      </w:pPr>
    </w:p>
    <w:p w14:paraId="67E3C760" w14:textId="77777777" w:rsidR="004D2D87" w:rsidRPr="00834CD5" w:rsidRDefault="004D2D87" w:rsidP="004D2D87">
      <w:pPr>
        <w:rPr>
          <w:u w:val="single"/>
        </w:rPr>
      </w:pPr>
      <w:r w:rsidRPr="00834CD5">
        <w:rPr>
          <w:u w:val="single"/>
        </w:rPr>
        <w:t>Vartojimo trukmė</w:t>
      </w:r>
    </w:p>
    <w:p w14:paraId="28649175" w14:textId="77777777" w:rsidR="004D2D87" w:rsidRPr="00913636" w:rsidRDefault="004D2D87" w:rsidP="00FD3231">
      <w:pPr>
        <w:pStyle w:val="BTEMEASMCA"/>
        <w:rPr>
          <w:noProof w:val="0"/>
        </w:rPr>
      </w:pPr>
      <w:r w:rsidRPr="00913636">
        <w:rPr>
          <w:noProof w:val="0"/>
        </w:rPr>
        <w:t>Vartojimo trukmė priklauso nuo būklės priežasties ir sunkumo. Ją nustatys Jūsų gydytojas.</w:t>
      </w:r>
    </w:p>
    <w:p w14:paraId="352CF857" w14:textId="77777777" w:rsidR="004D2D87" w:rsidRPr="00913636" w:rsidRDefault="004D2D87" w:rsidP="00FD3231">
      <w:pPr>
        <w:pStyle w:val="BTEMEASMCA"/>
        <w:rPr>
          <w:noProof w:val="0"/>
        </w:rPr>
      </w:pPr>
      <w:r w:rsidRPr="00913636">
        <w:rPr>
          <w:noProof w:val="0"/>
        </w:rPr>
        <w:t>Rekomenduojama gerti skausmą malšinančių vaistų ne ilgiau kaip 3-5 dienas, nebent Jums gydytojas nurodytų kitaip.</w:t>
      </w:r>
    </w:p>
    <w:p w14:paraId="193FFC59" w14:textId="77777777" w:rsidR="004D2D87" w:rsidRPr="00834CD5" w:rsidRDefault="004D2D87" w:rsidP="004D2D87">
      <w:pPr>
        <w:pStyle w:val="Antrat4"/>
      </w:pPr>
    </w:p>
    <w:p w14:paraId="46C09489" w14:textId="037BAE01" w:rsidR="004D2D87" w:rsidRPr="00834CD5" w:rsidRDefault="004D2D87" w:rsidP="004D2D87">
      <w:pPr>
        <w:pStyle w:val="Antrat4"/>
      </w:pPr>
      <w:r w:rsidRPr="00834CD5">
        <w:t>Ką daryti pavartojus per didelę Analgin Sopharma dozę</w:t>
      </w:r>
    </w:p>
    <w:p w14:paraId="650F1A11" w14:textId="77777777" w:rsidR="004D2D87" w:rsidRPr="00913636" w:rsidRDefault="004D2D87" w:rsidP="00FD3231">
      <w:pPr>
        <w:pStyle w:val="BTEMEASMCA"/>
        <w:rPr>
          <w:noProof w:val="0"/>
        </w:rPr>
      </w:pPr>
      <w:r w:rsidRPr="00913636">
        <w:rPr>
          <w:noProof w:val="0"/>
        </w:rPr>
        <w:t>Perdozavus šio vaisto, gali atsirasti šių požymių: pykinimas, vėmimas, galvos svaigimas, pilvo skausmas, sutrinka inkstų funkcija, gali būti netgi ūminis inkstų nepakankamumas (pvz., su intersticinio nefrito požymiais), centrinės nervų sistemos sutrikimas, pradedant mieguistumu, sumišimu ir baigiant koma (sąmonės netekimu), arterinio kraujospūdžio sumažėjimas, šokas (sąmonės praradimas kartu su staigiu arterinio kraujospūdžio sumažėjimu) ir širdies ritmo sutrikimas, toksinis ir alerginis išbėrimas (dilgėlinė, pūslelinis ir taškinis), kartais panašus į raupų ar vidurių šiltinės, retai gali ištikti sunkus toksinis ir alerginis šokas.</w:t>
      </w:r>
    </w:p>
    <w:p w14:paraId="0F67F743" w14:textId="77777777" w:rsidR="004D2D87" w:rsidRPr="00834CD5" w:rsidRDefault="004D2D87" w:rsidP="004D2D87">
      <w:pPr>
        <w:pStyle w:val="Pagrindinistekstas"/>
        <w:rPr>
          <w:i w:val="0"/>
          <w:color w:val="auto"/>
        </w:rPr>
      </w:pPr>
      <w:r w:rsidRPr="00834CD5">
        <w:rPr>
          <w:i w:val="0"/>
          <w:color w:val="auto"/>
        </w:rPr>
        <w:t>Pavartojus labai didelę dozę, rubazono rūgšties ekskrecija gali lemti raudoną šlapimo spalvą.</w:t>
      </w:r>
    </w:p>
    <w:p w14:paraId="22858D33" w14:textId="77777777" w:rsidR="004D2D87" w:rsidRPr="00834CD5" w:rsidRDefault="004D2D87" w:rsidP="004D2D87">
      <w:pPr>
        <w:pStyle w:val="Pagrindinistekstas"/>
        <w:rPr>
          <w:i w:val="0"/>
          <w:color w:val="auto"/>
        </w:rPr>
      </w:pPr>
      <w:r w:rsidRPr="00834CD5">
        <w:rPr>
          <w:i w:val="0"/>
          <w:color w:val="auto"/>
        </w:rPr>
        <w:t>Pasireiškus pirmiesiems šoko požymiams (šaltas prakaitas, galvos svaigimas, pykinimas, vėmimas, odos spalvos pakitimas ir dusulys), nedelsiant kreipkitės pagalbos į artimiausią gydytoją. Iki atvykstant gydytojui, pacientą reikia paguldyti taip, kad galva būtų nuleista žemiau kūno padėties.</w:t>
      </w:r>
    </w:p>
    <w:p w14:paraId="7886986B" w14:textId="77777777" w:rsidR="004D2D87" w:rsidRPr="00834CD5" w:rsidRDefault="004D2D87" w:rsidP="004D2D87">
      <w:pPr>
        <w:pStyle w:val="Pagrindinistekstas"/>
        <w:rPr>
          <w:i w:val="0"/>
          <w:color w:val="auto"/>
        </w:rPr>
      </w:pPr>
      <w:r w:rsidRPr="00834CD5">
        <w:rPr>
          <w:i w:val="0"/>
          <w:color w:val="auto"/>
        </w:rPr>
        <w:t>Perdozavus vaisto, vartojamos įprastos intensyviosios pagalbos priemonės (cirkuliuojančio kraujo tūrio atstatymas, simptominės priemonės, kvėpavimo palaikymas) ir gali būti taikoma hemodializė bei kraujo perpylimas.</w:t>
      </w:r>
    </w:p>
    <w:p w14:paraId="5E92383B" w14:textId="77777777" w:rsidR="004D2D87" w:rsidRPr="00834CD5" w:rsidRDefault="004D2D87" w:rsidP="004D2D87">
      <w:pPr>
        <w:numPr>
          <w:ilvl w:val="12"/>
          <w:numId w:val="0"/>
        </w:numPr>
        <w:tabs>
          <w:tab w:val="clear" w:pos="567"/>
        </w:tabs>
        <w:spacing w:line="240" w:lineRule="auto"/>
        <w:ind w:right="-2"/>
      </w:pPr>
    </w:p>
    <w:p w14:paraId="2A8416E9" w14:textId="77777777" w:rsidR="004D2D87" w:rsidRPr="00913636" w:rsidRDefault="004D2D87" w:rsidP="004D2D87">
      <w:pPr>
        <w:pStyle w:val="PI-3EMEASMCA"/>
      </w:pPr>
      <w:r w:rsidRPr="00913636">
        <w:t>Pamiršus pavartoti Analgin Sopharma</w:t>
      </w:r>
    </w:p>
    <w:p w14:paraId="286FBC91" w14:textId="77777777" w:rsidR="004D2D87" w:rsidRPr="00913636" w:rsidRDefault="004D2D87" w:rsidP="00FD3231">
      <w:pPr>
        <w:pStyle w:val="BTEMEASMCA"/>
        <w:rPr>
          <w:noProof w:val="0"/>
        </w:rPr>
      </w:pPr>
      <w:r w:rsidRPr="00913636">
        <w:rPr>
          <w:noProof w:val="0"/>
        </w:rPr>
        <w:t>Jeigu pamiršote išgerti Analgin Sopharma, išgerkite iš karto, kai tik prisiminėte. Išlaikykite bent 6 valandų intervalą tarp suvartojamų dozių. Negalima vartoti dvigubos dozės norint kompensuoti praleistą dozę.</w:t>
      </w:r>
    </w:p>
    <w:p w14:paraId="61A1CAEF" w14:textId="77777777" w:rsidR="004D2D87" w:rsidRPr="00913636" w:rsidRDefault="004D2D87" w:rsidP="00FD3231">
      <w:pPr>
        <w:pStyle w:val="BTEMEASMCA"/>
        <w:rPr>
          <w:noProof w:val="0"/>
        </w:rPr>
      </w:pPr>
    </w:p>
    <w:p w14:paraId="16F31EE0" w14:textId="77777777" w:rsidR="004D2D87" w:rsidRPr="00913636" w:rsidRDefault="004D2D87" w:rsidP="00FD3231">
      <w:pPr>
        <w:pStyle w:val="BTEMEASMCA"/>
        <w:rPr>
          <w:noProof w:val="0"/>
        </w:rPr>
      </w:pPr>
      <w:r w:rsidRPr="00913636">
        <w:rPr>
          <w:noProof w:val="0"/>
        </w:rPr>
        <w:t>Jeigu kiltų daugiau klausimų dėl šio vaisto vartojimo, kreipkitės į gydytoją arba vaistininką.</w:t>
      </w:r>
    </w:p>
    <w:p w14:paraId="07F42802" w14:textId="77777777" w:rsidR="004D2D87" w:rsidRPr="00834CD5" w:rsidRDefault="004D2D87" w:rsidP="004D2D87">
      <w:pPr>
        <w:numPr>
          <w:ilvl w:val="12"/>
          <w:numId w:val="0"/>
        </w:numPr>
        <w:tabs>
          <w:tab w:val="clear" w:pos="567"/>
        </w:tabs>
        <w:spacing w:line="240" w:lineRule="auto"/>
      </w:pPr>
    </w:p>
    <w:p w14:paraId="3CAF83C8" w14:textId="77777777" w:rsidR="004D2D87" w:rsidRPr="00834CD5" w:rsidRDefault="004D2D87" w:rsidP="004D2D87">
      <w:pPr>
        <w:numPr>
          <w:ilvl w:val="12"/>
          <w:numId w:val="0"/>
        </w:numPr>
        <w:tabs>
          <w:tab w:val="clear" w:pos="567"/>
        </w:tabs>
        <w:spacing w:line="240" w:lineRule="auto"/>
      </w:pPr>
    </w:p>
    <w:p w14:paraId="345F6C32"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sz w:val="22"/>
        </w:rPr>
        <w:t>4.</w:t>
      </w:r>
      <w:r w:rsidRPr="00834CD5">
        <w:rPr>
          <w:rFonts w:ascii="Times New Roman" w:hAnsi="Times New Roman"/>
          <w:sz w:val="22"/>
        </w:rPr>
        <w:tab/>
        <w:t>Galimas šalutinis poveikis</w:t>
      </w:r>
    </w:p>
    <w:p w14:paraId="4BC67A27" w14:textId="77777777" w:rsidR="004D2D87" w:rsidRPr="00834CD5" w:rsidRDefault="004D2D87" w:rsidP="004D2D87">
      <w:pPr>
        <w:numPr>
          <w:ilvl w:val="12"/>
          <w:numId w:val="0"/>
        </w:numPr>
        <w:tabs>
          <w:tab w:val="clear" w:pos="567"/>
        </w:tabs>
        <w:spacing w:line="240" w:lineRule="auto"/>
      </w:pPr>
    </w:p>
    <w:p w14:paraId="184908A8" w14:textId="77777777" w:rsidR="004D2D87" w:rsidRPr="00913636" w:rsidRDefault="004D2D87" w:rsidP="00FD3231">
      <w:pPr>
        <w:pStyle w:val="BTEMEASMCA"/>
        <w:rPr>
          <w:noProof w:val="0"/>
        </w:rPr>
      </w:pPr>
      <w:r w:rsidRPr="00913636">
        <w:rPr>
          <w:noProof w:val="0"/>
        </w:rPr>
        <w:t>Šis vaistas, kaip ir visi kiti, gali sukelti šalutinį poveikį, nors jis pasireiškia ne visiems žmonėms.</w:t>
      </w:r>
    </w:p>
    <w:p w14:paraId="44DDCA61" w14:textId="77777777" w:rsidR="004D2D87" w:rsidRPr="00913636" w:rsidRDefault="004D2D87" w:rsidP="00FD3231">
      <w:pPr>
        <w:pStyle w:val="BTEMEASMCA"/>
        <w:rPr>
          <w:noProof w:val="0"/>
        </w:rPr>
      </w:pPr>
    </w:p>
    <w:p w14:paraId="0BA9D1AB" w14:textId="247599B6" w:rsidR="004D2D87" w:rsidRPr="00913636" w:rsidRDefault="004D2D87" w:rsidP="00FD3231">
      <w:pPr>
        <w:pStyle w:val="BTEMEASMCA"/>
        <w:rPr>
          <w:noProof w:val="0"/>
        </w:rPr>
      </w:pPr>
      <w:r w:rsidRPr="00913636">
        <w:rPr>
          <w:noProof w:val="0"/>
        </w:rPr>
        <w:t>Labiausiai reikšmingas šalutinis poveikis yra šokas (staigus kraujotakos sutrikimas) ir agranulocitozė (smarkus baltųjų kraujo ląstelių leukocitų skaičiaus sumažėjimas).</w:t>
      </w:r>
      <w:r w:rsidRPr="00655151">
        <w:t xml:space="preserve"> Šios reakcijos pasitaiko retai arba labai retai (žr. žemiau), bet jos pavojingos gyvybei. Jos gali pasireikšti netgi tuomet, kai anksčiau vartotas metamizolas komplikacijų nesukėlė.</w:t>
      </w:r>
    </w:p>
    <w:p w14:paraId="0CDD4C37" w14:textId="77777777" w:rsidR="004D2D87" w:rsidRPr="00913636" w:rsidRDefault="004D2D87" w:rsidP="00FD3231">
      <w:pPr>
        <w:pStyle w:val="BTEMEASMCA"/>
        <w:rPr>
          <w:noProof w:val="0"/>
        </w:rPr>
      </w:pPr>
    </w:p>
    <w:p w14:paraId="20C18B36" w14:textId="77777777" w:rsidR="004D2D87" w:rsidRPr="00913636" w:rsidRDefault="004D2D87" w:rsidP="00FD3231">
      <w:pPr>
        <w:pStyle w:val="BTEMEASMCA"/>
        <w:rPr>
          <w:noProof w:val="0"/>
        </w:rPr>
      </w:pPr>
      <w:r w:rsidRPr="00913636">
        <w:rPr>
          <w:noProof w:val="0"/>
        </w:rPr>
        <w:t>Nebevartokite Analgin Sopharma ir nedelsdami kreipkitės į gydytoją, jeigu Jums pasireikštų bent vienas iš toliau nurodytų simptomų:</w:t>
      </w:r>
    </w:p>
    <w:p w14:paraId="3C06570E" w14:textId="17C27B94" w:rsidR="004D2D87" w:rsidRPr="00913636" w:rsidRDefault="004D2D87" w:rsidP="00FD3231">
      <w:pPr>
        <w:pStyle w:val="BTEMEASMCA"/>
        <w:rPr>
          <w:noProof w:val="0"/>
        </w:rPr>
      </w:pPr>
      <w:r w:rsidRPr="00913636">
        <w:rPr>
          <w:noProof w:val="0"/>
        </w:rPr>
        <w:t>pykinimas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 skyrių „Įspėjimai ir atsargumo priemonės“.</w:t>
      </w:r>
    </w:p>
    <w:p w14:paraId="4EBEC67E" w14:textId="6265B1CB" w:rsidR="00031C87" w:rsidRPr="00834CD5" w:rsidRDefault="00031C87" w:rsidP="004D2D87">
      <w:pPr>
        <w:pStyle w:val="Pagrindinistekstas3"/>
        <w:tabs>
          <w:tab w:val="left" w:pos="567"/>
        </w:tabs>
        <w:rPr>
          <w:color w:val="auto"/>
        </w:rPr>
      </w:pPr>
    </w:p>
    <w:p w14:paraId="1DD3A7F1" w14:textId="38EF3AF2" w:rsidR="0091349B" w:rsidRPr="00834CD5" w:rsidRDefault="0091349B" w:rsidP="0091349B">
      <w:pPr>
        <w:pStyle w:val="Pagrindinistekstas3"/>
        <w:tabs>
          <w:tab w:val="left" w:pos="567"/>
        </w:tabs>
        <w:rPr>
          <w:b/>
          <w:color w:val="auto"/>
        </w:rPr>
      </w:pPr>
      <w:r w:rsidRPr="00834CD5">
        <w:rPr>
          <w:b/>
          <w:color w:val="auto"/>
        </w:rPr>
        <w:t>Nebevartokite metamizolo ir nedelsdami kreipkitės medicinos pagalbos pastebėję bent vieną iš toliau nurodytų sunkaus šalutinio poveikio reiškinių:</w:t>
      </w:r>
    </w:p>
    <w:p w14:paraId="5D7D64EC" w14:textId="61816255" w:rsidR="0091349B" w:rsidRPr="00834CD5" w:rsidRDefault="006A6EB6" w:rsidP="0091349B">
      <w:pPr>
        <w:pStyle w:val="Pagrindinistekstas3"/>
        <w:numPr>
          <w:ilvl w:val="0"/>
          <w:numId w:val="14"/>
        </w:numPr>
        <w:tabs>
          <w:tab w:val="left" w:pos="567"/>
        </w:tabs>
        <w:ind w:left="567" w:hanging="567"/>
        <w:jc w:val="left"/>
        <w:rPr>
          <w:color w:val="auto"/>
        </w:rPr>
      </w:pPr>
      <w:r w:rsidRPr="00834CD5">
        <w:rPr>
          <w:color w:val="auto"/>
        </w:rPr>
        <w:t>r</w:t>
      </w:r>
      <w:r w:rsidR="0091349B" w:rsidRPr="00834CD5">
        <w:rPr>
          <w:color w:val="auto"/>
        </w:rPr>
        <w:t>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(Stivenso-Džonsono sindromas, toksinė epidermio nekrolizė)</w:t>
      </w:r>
      <w:r w:rsidRPr="00834CD5">
        <w:rPr>
          <w:color w:val="auto"/>
        </w:rPr>
        <w:t>;</w:t>
      </w:r>
    </w:p>
    <w:p w14:paraId="0EC9AFB5" w14:textId="2B5D07ED" w:rsidR="0091349B" w:rsidRPr="00834CD5" w:rsidRDefault="006A6EB6" w:rsidP="0091349B">
      <w:pPr>
        <w:pStyle w:val="Pagrindinistekstas3"/>
        <w:numPr>
          <w:ilvl w:val="0"/>
          <w:numId w:val="14"/>
        </w:numPr>
        <w:tabs>
          <w:tab w:val="left" w:pos="567"/>
        </w:tabs>
        <w:ind w:left="567" w:hanging="567"/>
        <w:jc w:val="left"/>
        <w:rPr>
          <w:color w:val="auto"/>
        </w:rPr>
      </w:pPr>
      <w:r w:rsidRPr="00834CD5">
        <w:rPr>
          <w:color w:val="auto"/>
        </w:rPr>
        <w:t>i</w:t>
      </w:r>
      <w:r w:rsidR="0091349B" w:rsidRPr="00834CD5">
        <w:rPr>
          <w:color w:val="auto"/>
        </w:rPr>
        <w:t>šplitęs išbėrimas, pakilusi kūno temperatūra ir padidėję limfmazgiai (DRESS sindromas arba padidėjusio jautrumo vaistui sindromas).</w:t>
      </w:r>
    </w:p>
    <w:p w14:paraId="48445847" w14:textId="18076AA8" w:rsidR="0091349B" w:rsidRPr="00834CD5" w:rsidRDefault="0091349B" w:rsidP="004D2D87">
      <w:pPr>
        <w:pStyle w:val="Pagrindinistekstas3"/>
        <w:tabs>
          <w:tab w:val="left" w:pos="567"/>
        </w:tabs>
        <w:rPr>
          <w:color w:val="auto"/>
        </w:rPr>
      </w:pPr>
    </w:p>
    <w:p w14:paraId="6F93717D" w14:textId="3D864463" w:rsidR="00CF18D4" w:rsidRPr="00834CD5" w:rsidRDefault="00CF18D4" w:rsidP="003B2DA9">
      <w:pPr>
        <w:pStyle w:val="Pagrindinistekstas3"/>
        <w:tabs>
          <w:tab w:val="left" w:pos="567"/>
        </w:tabs>
        <w:rPr>
          <w:b/>
          <w:color w:val="000000" w:themeColor="text1"/>
        </w:rPr>
      </w:pPr>
      <w:r w:rsidRPr="00834CD5">
        <w:rPr>
          <w:b/>
          <w:color w:val="000000" w:themeColor="text1"/>
        </w:rPr>
        <w:t>Reti šalutinio poveikio reiškiniai (gali pasireikšti rečiau kaip 1 iš 1 000 asmenų):</w:t>
      </w:r>
    </w:p>
    <w:p w14:paraId="5889A125" w14:textId="653DD375" w:rsidR="004D2D87" w:rsidRPr="00913636" w:rsidRDefault="006A6EB6" w:rsidP="00FD3231">
      <w:pPr>
        <w:pStyle w:val="BT-EMEASMCA"/>
        <w:rPr>
          <w:noProof w:val="0"/>
        </w:rPr>
      </w:pPr>
      <w:r w:rsidRPr="00913636">
        <w:rPr>
          <w:noProof w:val="0"/>
        </w:rPr>
        <w:t>p</w:t>
      </w:r>
      <w:r w:rsidR="004D2D87" w:rsidRPr="00913636">
        <w:rPr>
          <w:noProof w:val="0"/>
        </w:rPr>
        <w:t>adidėjusio jautrumo reakcijos</w:t>
      </w:r>
      <w:r w:rsidRPr="00913636">
        <w:rPr>
          <w:noProof w:val="0"/>
        </w:rPr>
        <w:t>;</w:t>
      </w:r>
    </w:p>
    <w:p w14:paraId="32F7FF21" w14:textId="075458F9" w:rsidR="004D2D87" w:rsidRPr="00913636" w:rsidRDefault="006A6EB6" w:rsidP="00FD3231">
      <w:pPr>
        <w:pStyle w:val="BT-EMEASMCA"/>
        <w:rPr>
          <w:noProof w:val="0"/>
        </w:rPr>
      </w:pPr>
      <w:r w:rsidRPr="00913636">
        <w:rPr>
          <w:noProof w:val="0"/>
        </w:rPr>
        <w:t>r</w:t>
      </w:r>
      <w:r w:rsidR="004D2D87" w:rsidRPr="00913636">
        <w:rPr>
          <w:noProof w:val="0"/>
        </w:rPr>
        <w:t>eakcijos, pasireiškiančios kraujospūdžio sumažėjimu vaisto vartojimo metu arba vėliau</w:t>
      </w:r>
      <w:r w:rsidRPr="00913636">
        <w:rPr>
          <w:noProof w:val="0"/>
        </w:rPr>
        <w:t>;</w:t>
      </w:r>
    </w:p>
    <w:p w14:paraId="6F036409" w14:textId="1D6217B8" w:rsidR="004D2D87" w:rsidRPr="00913636" w:rsidRDefault="006A6EB6" w:rsidP="00FD3231">
      <w:pPr>
        <w:pStyle w:val="BT-EMEASMCA"/>
        <w:rPr>
          <w:noProof w:val="0"/>
        </w:rPr>
      </w:pPr>
      <w:r w:rsidRPr="00913636">
        <w:rPr>
          <w:noProof w:val="0"/>
        </w:rPr>
        <w:t>l</w:t>
      </w:r>
      <w:r w:rsidR="004D2D87" w:rsidRPr="00913636">
        <w:rPr>
          <w:noProof w:val="0"/>
        </w:rPr>
        <w:t>eukopenija (sumažėjęs baltųjų kraujo ląstelių skaičius)</w:t>
      </w:r>
      <w:r w:rsidRPr="00913636">
        <w:rPr>
          <w:noProof w:val="0"/>
        </w:rPr>
        <w:t>;</w:t>
      </w:r>
    </w:p>
    <w:p w14:paraId="70219F4F" w14:textId="495185ED" w:rsidR="004D2D87" w:rsidRPr="00913636" w:rsidRDefault="006A6EB6" w:rsidP="00FD3231">
      <w:pPr>
        <w:pStyle w:val="BT-EMEASMCA"/>
        <w:rPr>
          <w:noProof w:val="0"/>
        </w:rPr>
      </w:pPr>
      <w:r w:rsidRPr="00913636">
        <w:rPr>
          <w:noProof w:val="0"/>
        </w:rPr>
        <w:t>v</w:t>
      </w:r>
      <w:r w:rsidR="004D2D87" w:rsidRPr="00913636">
        <w:rPr>
          <w:noProof w:val="0"/>
        </w:rPr>
        <w:t>aistų sukeltas specifinis išbėrimas arba kitoks odos išbėrimas (laikinas išbėrimas). Tokiais atvejais reikia nedelsiant nutraukti Analgin Sopharma vartojimą.</w:t>
      </w:r>
    </w:p>
    <w:p w14:paraId="54E98538" w14:textId="77777777" w:rsidR="004D2D87" w:rsidRPr="00913636" w:rsidRDefault="004D2D87" w:rsidP="00FD3231">
      <w:pPr>
        <w:pStyle w:val="BTEMEASMCA"/>
        <w:rPr>
          <w:noProof w:val="0"/>
        </w:rPr>
      </w:pPr>
    </w:p>
    <w:p w14:paraId="1DA8A85C" w14:textId="59ED782C" w:rsidR="004D2D87" w:rsidRPr="00913636" w:rsidRDefault="00CF18D4" w:rsidP="00FD3231">
      <w:pPr>
        <w:pStyle w:val="BTEMEASMCA"/>
        <w:rPr>
          <w:rStyle w:val="Emfaz"/>
          <w:noProof w:val="0"/>
        </w:rPr>
      </w:pPr>
      <w:r w:rsidRPr="00913636">
        <w:rPr>
          <w:b/>
          <w:bCs/>
          <w:noProof w:val="0"/>
        </w:rPr>
        <w:t xml:space="preserve">Labai </w:t>
      </w:r>
      <w:r w:rsidRPr="00913636">
        <w:rPr>
          <w:b/>
          <w:bCs/>
          <w:noProof w:val="0"/>
          <w:snapToGrid w:val="0"/>
        </w:rPr>
        <w:t>reti</w:t>
      </w:r>
      <w:r w:rsidRPr="00913636">
        <w:rPr>
          <w:bCs/>
          <w:noProof w:val="0"/>
          <w:snapToGrid w:val="0"/>
        </w:rPr>
        <w:t xml:space="preserve"> </w:t>
      </w:r>
      <w:r w:rsidRPr="00913636">
        <w:rPr>
          <w:b/>
          <w:noProof w:val="0"/>
          <w:snapToGrid w:val="0"/>
        </w:rPr>
        <w:t>šalutinio poveikio</w:t>
      </w:r>
      <w:r w:rsidRPr="00913636">
        <w:rPr>
          <w:bCs/>
          <w:noProof w:val="0"/>
          <w:snapToGrid w:val="0"/>
        </w:rPr>
        <w:t xml:space="preserve"> </w:t>
      </w:r>
      <w:r w:rsidRPr="00913636">
        <w:rPr>
          <w:b/>
          <w:noProof w:val="0"/>
          <w:snapToGrid w:val="0"/>
        </w:rPr>
        <w:t>reiškiniai (gali</w:t>
      </w:r>
      <w:r w:rsidRPr="00913636">
        <w:rPr>
          <w:bCs/>
          <w:noProof w:val="0"/>
          <w:snapToGrid w:val="0"/>
        </w:rPr>
        <w:t xml:space="preserve"> </w:t>
      </w:r>
      <w:r w:rsidRPr="00913636">
        <w:rPr>
          <w:b/>
          <w:noProof w:val="0"/>
          <w:snapToGrid w:val="0"/>
        </w:rPr>
        <w:t>pasireikšti</w:t>
      </w:r>
      <w:r w:rsidRPr="00913636">
        <w:rPr>
          <w:b/>
          <w:noProof w:val="0"/>
        </w:rPr>
        <w:t xml:space="preserve"> rečiau</w:t>
      </w:r>
      <w:r w:rsidRPr="00913636">
        <w:rPr>
          <w:noProof w:val="0"/>
        </w:rPr>
        <w:t xml:space="preserve"> </w:t>
      </w:r>
      <w:r w:rsidRPr="00913636">
        <w:rPr>
          <w:b/>
          <w:bCs/>
          <w:noProof w:val="0"/>
        </w:rPr>
        <w:t>kaip 1 iš 10</w:t>
      </w:r>
      <w:r w:rsidRPr="00913636">
        <w:rPr>
          <w:b/>
          <w:bCs/>
          <w:noProof w:val="0"/>
          <w:snapToGrid w:val="0"/>
        </w:rPr>
        <w:t> </w:t>
      </w:r>
      <w:r w:rsidRPr="00913636">
        <w:rPr>
          <w:b/>
          <w:bCs/>
          <w:noProof w:val="0"/>
        </w:rPr>
        <w:t>000</w:t>
      </w:r>
      <w:r w:rsidRPr="00913636">
        <w:rPr>
          <w:noProof w:val="0"/>
        </w:rPr>
        <w:t xml:space="preserve"> </w:t>
      </w:r>
      <w:r w:rsidRPr="00913636">
        <w:rPr>
          <w:b/>
          <w:noProof w:val="0"/>
          <w:snapToGrid w:val="0"/>
        </w:rPr>
        <w:t>asmenų</w:t>
      </w:r>
      <w:r w:rsidRPr="00913636">
        <w:rPr>
          <w:rStyle w:val="Emfaz"/>
          <w:b/>
          <w:bCs/>
          <w:i w:val="0"/>
          <w:noProof w:val="0"/>
        </w:rPr>
        <w:t>):</w:t>
      </w:r>
    </w:p>
    <w:p w14:paraId="6A4FA44A" w14:textId="32694DAF" w:rsidR="004D2D87" w:rsidRPr="00913636" w:rsidRDefault="006A6EB6" w:rsidP="00FD3231">
      <w:pPr>
        <w:pStyle w:val="BT-EMEASMCA"/>
        <w:rPr>
          <w:noProof w:val="0"/>
        </w:rPr>
      </w:pPr>
      <w:r w:rsidRPr="00913636">
        <w:rPr>
          <w:noProof w:val="0"/>
        </w:rPr>
        <w:t>s</w:t>
      </w:r>
      <w:r w:rsidR="004D2D87" w:rsidRPr="00913636">
        <w:rPr>
          <w:noProof w:val="0"/>
        </w:rPr>
        <w:t>unkios gyvybei pavojingos padidėjusio jautrumo reakcijos. Jos gali atsirasti staiga - vaisto vartojimo metu arba po kelių valandų. Dažniausiai jos pasireiškia pirmąją valandą po vaisto vartojimo</w:t>
      </w:r>
      <w:r w:rsidRPr="00913636">
        <w:rPr>
          <w:noProof w:val="0"/>
        </w:rPr>
        <w:t>;</w:t>
      </w:r>
    </w:p>
    <w:p w14:paraId="0C5EA70B" w14:textId="1B694E18" w:rsidR="004D2D87" w:rsidRPr="00913636" w:rsidRDefault="006A6EB6" w:rsidP="00FD3231">
      <w:pPr>
        <w:pStyle w:val="BT-EMEASMCA"/>
        <w:rPr>
          <w:noProof w:val="0"/>
        </w:rPr>
      </w:pPr>
      <w:proofErr w:type="spellStart"/>
      <w:r w:rsidRPr="00913636">
        <w:rPr>
          <w:noProof w:val="0"/>
        </w:rPr>
        <w:t>a</w:t>
      </w:r>
      <w:r w:rsidR="004D2D87" w:rsidRPr="00913636">
        <w:rPr>
          <w:noProof w:val="0"/>
        </w:rPr>
        <w:t>granulocitozė</w:t>
      </w:r>
      <w:proofErr w:type="spellEnd"/>
      <w:r w:rsidR="004D2D87" w:rsidRPr="00913636">
        <w:rPr>
          <w:noProof w:val="0"/>
        </w:rPr>
        <w:t xml:space="preserve"> arba </w:t>
      </w:r>
      <w:proofErr w:type="spellStart"/>
      <w:r w:rsidR="004D2D87" w:rsidRPr="00913636">
        <w:rPr>
          <w:noProof w:val="0"/>
        </w:rPr>
        <w:t>trombocitopenija</w:t>
      </w:r>
      <w:proofErr w:type="spellEnd"/>
      <w:r w:rsidR="004D2D87" w:rsidRPr="00913636">
        <w:rPr>
          <w:noProof w:val="0"/>
        </w:rPr>
        <w:t xml:space="preserve"> (sumažėjęs trombocitų skaičius)</w:t>
      </w:r>
      <w:r w:rsidRPr="00913636">
        <w:rPr>
          <w:noProof w:val="0"/>
        </w:rPr>
        <w:t>;</w:t>
      </w:r>
    </w:p>
    <w:p w14:paraId="263B03A6" w14:textId="0F08A795" w:rsidR="004D2D87" w:rsidRPr="00913636" w:rsidRDefault="006A6EB6" w:rsidP="00FD3231">
      <w:pPr>
        <w:pStyle w:val="BT-EMEASMCA"/>
        <w:rPr>
          <w:noProof w:val="0"/>
        </w:rPr>
      </w:pPr>
      <w:r w:rsidRPr="00913636">
        <w:rPr>
          <w:noProof w:val="0"/>
        </w:rPr>
        <w:t>s</w:t>
      </w:r>
      <w:r w:rsidR="004D2D87" w:rsidRPr="00913636">
        <w:rPr>
          <w:noProof w:val="0"/>
        </w:rPr>
        <w:t>utrikusi inkstų funkcija, kai šlapimo išsiskiria per mažai arba visiškai neišsiskiria</w:t>
      </w:r>
      <w:r w:rsidRPr="00913636">
        <w:rPr>
          <w:noProof w:val="0"/>
        </w:rPr>
        <w:t>;</w:t>
      </w:r>
    </w:p>
    <w:p w14:paraId="4107C90D" w14:textId="171BAAD8" w:rsidR="004D2D87" w:rsidRPr="00913636" w:rsidRDefault="006A6EB6" w:rsidP="00FD3231">
      <w:pPr>
        <w:pStyle w:val="BT-EMEASMCA"/>
        <w:rPr>
          <w:noProof w:val="0"/>
        </w:rPr>
      </w:pPr>
      <w:r w:rsidRPr="00913636">
        <w:rPr>
          <w:noProof w:val="0"/>
        </w:rPr>
        <w:t>k</w:t>
      </w:r>
      <w:r w:rsidR="004D2D87" w:rsidRPr="00913636">
        <w:rPr>
          <w:noProof w:val="0"/>
        </w:rPr>
        <w:t>raujo baltymų išsiskyrimas su šlapimu</w:t>
      </w:r>
      <w:r w:rsidRPr="00913636">
        <w:rPr>
          <w:noProof w:val="0"/>
        </w:rPr>
        <w:t>;</w:t>
      </w:r>
    </w:p>
    <w:p w14:paraId="62B8D814" w14:textId="3545FB95" w:rsidR="004D2D87" w:rsidRPr="00913636" w:rsidRDefault="006A6EB6" w:rsidP="00FD3231">
      <w:pPr>
        <w:pStyle w:val="BT-EMEASMCA"/>
        <w:rPr>
          <w:noProof w:val="0"/>
        </w:rPr>
      </w:pPr>
      <w:r w:rsidRPr="00913636">
        <w:rPr>
          <w:noProof w:val="0"/>
        </w:rPr>
        <w:t>i</w:t>
      </w:r>
      <w:r w:rsidR="004D2D87" w:rsidRPr="00913636">
        <w:rPr>
          <w:noProof w:val="0"/>
        </w:rPr>
        <w:t>nkstų uždegimas</w:t>
      </w:r>
      <w:r w:rsidRPr="00913636">
        <w:rPr>
          <w:noProof w:val="0"/>
        </w:rPr>
        <w:t>;</w:t>
      </w:r>
    </w:p>
    <w:p w14:paraId="684667BB" w14:textId="79ABE4E0" w:rsidR="004D2D87" w:rsidRPr="00913636" w:rsidRDefault="006A6EB6" w:rsidP="00FD3231">
      <w:pPr>
        <w:pStyle w:val="BT-EMEASMCA"/>
        <w:rPr>
          <w:noProof w:val="0"/>
        </w:rPr>
      </w:pPr>
      <w:r w:rsidRPr="00913636">
        <w:rPr>
          <w:noProof w:val="0"/>
        </w:rPr>
        <w:t>i</w:t>
      </w:r>
      <w:r w:rsidR="004D2D87" w:rsidRPr="00913636">
        <w:rPr>
          <w:noProof w:val="0"/>
        </w:rPr>
        <w:t>nkstų ir šlapimo sistemos šalutinis poveikis ypač gali atsirasti tuomet, kai yra sumažėjęs cirkuliuojančio kraujo tūris, anksčiau buvo inkstų liga arba perdozavus šio vaisto.</w:t>
      </w:r>
    </w:p>
    <w:p w14:paraId="7006636C" w14:textId="77777777" w:rsidR="004D2D87" w:rsidRPr="00913636" w:rsidRDefault="004D2D87" w:rsidP="00FD3231">
      <w:pPr>
        <w:pStyle w:val="BTEMEASMCA"/>
        <w:rPr>
          <w:noProof w:val="0"/>
        </w:rPr>
      </w:pPr>
    </w:p>
    <w:p w14:paraId="4021150E" w14:textId="1BAF2ED2" w:rsidR="004D2D87" w:rsidRPr="00913636" w:rsidRDefault="00CF18D4" w:rsidP="00FD3231">
      <w:pPr>
        <w:pStyle w:val="BTEMEASMCA"/>
        <w:rPr>
          <w:noProof w:val="0"/>
        </w:rPr>
      </w:pPr>
      <w:r w:rsidRPr="00913636">
        <w:rPr>
          <w:bCs/>
          <w:noProof w:val="0"/>
          <w:snapToGrid w:val="0"/>
        </w:rPr>
        <w:t>Šalutinio poveikio reiškiniai, kurių dažnis</w:t>
      </w:r>
      <w:r w:rsidRPr="00913636">
        <w:rPr>
          <w:noProof w:val="0"/>
        </w:rPr>
        <w:t xml:space="preserve"> nežinomas (negali būti apskaičiuotas pagal turimus duomenis</w:t>
      </w:r>
      <w:r w:rsidRPr="00913636">
        <w:rPr>
          <w:bCs/>
          <w:noProof w:val="0"/>
          <w:snapToGrid w:val="0"/>
        </w:rPr>
        <w:t>):</w:t>
      </w:r>
    </w:p>
    <w:p w14:paraId="50318670" w14:textId="3262DBA6" w:rsidR="004D2D87" w:rsidRPr="00913636" w:rsidRDefault="006A6EB6" w:rsidP="00FD3231">
      <w:pPr>
        <w:pStyle w:val="BT-EMEASMCA"/>
        <w:rPr>
          <w:noProof w:val="0"/>
        </w:rPr>
      </w:pPr>
      <w:r w:rsidRPr="00913636">
        <w:rPr>
          <w:noProof w:val="0"/>
        </w:rPr>
        <w:t>k</w:t>
      </w:r>
      <w:r w:rsidR="004D2D87" w:rsidRPr="00913636">
        <w:rPr>
          <w:noProof w:val="0"/>
        </w:rPr>
        <w:t>epenų uždegimas, odos ir akių baltymų pageltimas, kepenų fermentų aktyvumo kraujyje padidėjimas</w:t>
      </w:r>
      <w:r w:rsidRPr="00913636">
        <w:rPr>
          <w:noProof w:val="0"/>
        </w:rPr>
        <w:t>;</w:t>
      </w:r>
    </w:p>
    <w:p w14:paraId="460FD067" w14:textId="5E09B8E6" w:rsidR="00D022F5" w:rsidRPr="00913636" w:rsidRDefault="006A6EB6" w:rsidP="003B2DA9">
      <w:pPr>
        <w:pStyle w:val="BT-EMEASMCA"/>
        <w:rPr>
          <w:noProof w:val="0"/>
        </w:rPr>
      </w:pPr>
      <w:r w:rsidRPr="00913636">
        <w:rPr>
          <w:noProof w:val="0"/>
        </w:rPr>
        <w:t>s</w:t>
      </w:r>
      <w:r w:rsidR="00D022F5" w:rsidRPr="00913636">
        <w:rPr>
          <w:noProof w:val="0"/>
        </w:rPr>
        <w:t>unkios odos reakcijos.</w:t>
      </w:r>
    </w:p>
    <w:p w14:paraId="16FF540D" w14:textId="77777777" w:rsidR="004D2D87" w:rsidRPr="00913636" w:rsidRDefault="004D2D87" w:rsidP="00FD3231">
      <w:pPr>
        <w:pStyle w:val="BTEMEASMCA"/>
        <w:rPr>
          <w:noProof w:val="0"/>
        </w:rPr>
      </w:pPr>
    </w:p>
    <w:p w14:paraId="5C4836A3" w14:textId="77777777" w:rsidR="004D2D87" w:rsidRPr="00913636" w:rsidRDefault="004D2D87" w:rsidP="00FD3231">
      <w:pPr>
        <w:pStyle w:val="BTEMEASMCA"/>
        <w:rPr>
          <w:rStyle w:val="Emfaz"/>
          <w:noProof w:val="0"/>
        </w:rPr>
      </w:pPr>
      <w:r w:rsidRPr="00913636">
        <w:rPr>
          <w:rStyle w:val="Emfaz"/>
          <w:iCs/>
          <w:noProof w:val="0"/>
        </w:rPr>
        <w:t>Nestiprių padidėjusio jautrumo reakcijų požymiai ir simptomai</w:t>
      </w:r>
    </w:p>
    <w:p w14:paraId="5964E2BB" w14:textId="77777777" w:rsidR="004D2D87" w:rsidRPr="00913636" w:rsidRDefault="004D2D87" w:rsidP="00FD3231">
      <w:pPr>
        <w:pStyle w:val="BTEMEASMCA"/>
        <w:rPr>
          <w:noProof w:val="0"/>
        </w:rPr>
      </w:pPr>
      <w:r w:rsidRPr="00913636">
        <w:rPr>
          <w:noProof w:val="0"/>
        </w:rPr>
        <w:t>Odos ir gleivinių reakcijos (niežulys, deginimo pojūtis, paraudimas, pūkšlės, patinimas).</w:t>
      </w:r>
    </w:p>
    <w:p w14:paraId="0E5AFFC5" w14:textId="77777777" w:rsidR="004D2D87" w:rsidRPr="00913636" w:rsidRDefault="004D2D87" w:rsidP="00FD3231">
      <w:pPr>
        <w:pStyle w:val="BTEMEASMCA"/>
        <w:rPr>
          <w:noProof w:val="0"/>
        </w:rPr>
      </w:pPr>
      <w:r w:rsidRPr="00913636">
        <w:rPr>
          <w:noProof w:val="0"/>
        </w:rPr>
        <w:t>Dusulys.</w:t>
      </w:r>
    </w:p>
    <w:p w14:paraId="5412E841" w14:textId="77777777" w:rsidR="004D2D87" w:rsidRPr="00913636" w:rsidRDefault="004D2D87" w:rsidP="00FD3231">
      <w:pPr>
        <w:pStyle w:val="BTEMEASMCA"/>
        <w:rPr>
          <w:noProof w:val="0"/>
        </w:rPr>
      </w:pPr>
      <w:r w:rsidRPr="00913636">
        <w:rPr>
          <w:noProof w:val="0"/>
        </w:rPr>
        <w:t>Virškinimo sutrikimai (pykinimas, sutrikęs virškinimas, vėmimas).</w:t>
      </w:r>
    </w:p>
    <w:p w14:paraId="7464EE96" w14:textId="77777777" w:rsidR="004D2D87" w:rsidRPr="00913636" w:rsidRDefault="004D2D87" w:rsidP="00FD3231">
      <w:pPr>
        <w:pStyle w:val="BTEMEASMCA"/>
        <w:rPr>
          <w:noProof w:val="0"/>
        </w:rPr>
      </w:pPr>
    </w:p>
    <w:p w14:paraId="5F21DCB0" w14:textId="77777777" w:rsidR="004D2D87" w:rsidRPr="00913636" w:rsidRDefault="004D2D87" w:rsidP="00FD3231">
      <w:pPr>
        <w:pStyle w:val="BTEMEASMCA"/>
        <w:rPr>
          <w:noProof w:val="0"/>
        </w:rPr>
      </w:pPr>
      <w:r w:rsidRPr="00913636">
        <w:rPr>
          <w:noProof w:val="0"/>
        </w:rPr>
        <w:lastRenderedPageBreak/>
        <w:t>Šios nestiprios reakcijos gali progresuoti į sunkias formas:</w:t>
      </w:r>
    </w:p>
    <w:p w14:paraId="311C30DE" w14:textId="35701FF3" w:rsidR="004D2D87" w:rsidRPr="00913636" w:rsidRDefault="004D2D87" w:rsidP="00FD3231">
      <w:pPr>
        <w:pStyle w:val="BT-EMEASMCA"/>
        <w:rPr>
          <w:noProof w:val="0"/>
        </w:rPr>
      </w:pPr>
      <w:r w:rsidRPr="00913636">
        <w:rPr>
          <w:noProof w:val="0"/>
        </w:rPr>
        <w:t>pūkšlės visame kūne</w:t>
      </w:r>
      <w:r w:rsidR="006A6EB6" w:rsidRPr="00913636">
        <w:rPr>
          <w:noProof w:val="0"/>
        </w:rPr>
        <w:t>;</w:t>
      </w:r>
    </w:p>
    <w:p w14:paraId="218B81D4" w14:textId="674BC103" w:rsidR="004D2D87" w:rsidRPr="00913636" w:rsidRDefault="004D2D87" w:rsidP="00FD3231">
      <w:pPr>
        <w:pStyle w:val="BT-EMEASMCA"/>
        <w:rPr>
          <w:noProof w:val="0"/>
        </w:rPr>
      </w:pPr>
      <w:r w:rsidRPr="00913636">
        <w:rPr>
          <w:noProof w:val="0"/>
        </w:rPr>
        <w:t>smarkus odos ir gleivinių patinimas (angioneurozinė edema, įskaitant gerklų sritį), stiprus bronchiolių raumenų spazmas</w:t>
      </w:r>
      <w:r w:rsidR="006A6EB6" w:rsidRPr="00913636">
        <w:rPr>
          <w:noProof w:val="0"/>
        </w:rPr>
        <w:t>;</w:t>
      </w:r>
    </w:p>
    <w:p w14:paraId="000058F1" w14:textId="4822EDB2" w:rsidR="004D2D87" w:rsidRPr="00913636" w:rsidRDefault="004D2D87" w:rsidP="00FD3231">
      <w:pPr>
        <w:pStyle w:val="BT-EMEASMCA"/>
        <w:rPr>
          <w:noProof w:val="0"/>
        </w:rPr>
      </w:pPr>
      <w:r w:rsidRPr="00913636">
        <w:rPr>
          <w:noProof w:val="0"/>
        </w:rPr>
        <w:t>širdies ritmo sutrikimai</w:t>
      </w:r>
      <w:r w:rsidR="006A6EB6" w:rsidRPr="00913636">
        <w:rPr>
          <w:noProof w:val="0"/>
        </w:rPr>
        <w:t>;</w:t>
      </w:r>
    </w:p>
    <w:p w14:paraId="2860CE80" w14:textId="2F5383C5" w:rsidR="004D2D87" w:rsidRPr="00913636" w:rsidRDefault="004D2D87" w:rsidP="00FD3231">
      <w:pPr>
        <w:pStyle w:val="BT-EMEASMCA"/>
        <w:rPr>
          <w:noProof w:val="0"/>
        </w:rPr>
      </w:pPr>
      <w:r w:rsidRPr="00913636">
        <w:rPr>
          <w:noProof w:val="0"/>
        </w:rPr>
        <w:t>kraujospūdžio sumažėjimas (kartais iš pradžių būna padidėjęs kraujospūdis)</w:t>
      </w:r>
      <w:r w:rsidR="006A6EB6" w:rsidRPr="00913636">
        <w:rPr>
          <w:noProof w:val="0"/>
        </w:rPr>
        <w:t>;</w:t>
      </w:r>
    </w:p>
    <w:p w14:paraId="24DEB9C7" w14:textId="77777777" w:rsidR="004D2D87" w:rsidRPr="00913636" w:rsidRDefault="004D2D87" w:rsidP="00FD3231">
      <w:pPr>
        <w:pStyle w:val="BT-EMEASMCA"/>
        <w:rPr>
          <w:noProof w:val="0"/>
        </w:rPr>
      </w:pPr>
      <w:r w:rsidRPr="00913636">
        <w:rPr>
          <w:noProof w:val="0"/>
        </w:rPr>
        <w:t>kraujotakos šokas.</w:t>
      </w:r>
    </w:p>
    <w:p w14:paraId="0F89CE2E" w14:textId="77777777" w:rsidR="004D2D87" w:rsidRPr="00913636" w:rsidRDefault="004D2D87" w:rsidP="00FD3231">
      <w:pPr>
        <w:pStyle w:val="BTEMEASMCA"/>
        <w:rPr>
          <w:noProof w:val="0"/>
        </w:rPr>
      </w:pPr>
    </w:p>
    <w:p w14:paraId="34B767BE" w14:textId="77777777" w:rsidR="004D2D87" w:rsidRPr="00913636" w:rsidRDefault="004D2D87" w:rsidP="00FD3231">
      <w:pPr>
        <w:pStyle w:val="BTEMEASMCA"/>
        <w:rPr>
          <w:noProof w:val="0"/>
        </w:rPr>
      </w:pPr>
      <w:r w:rsidRPr="00913636">
        <w:rPr>
          <w:noProof w:val="0"/>
        </w:rPr>
        <w:t>Pacientams, sergantiems astma, kurią sukėlė skausmą malšinantys vaistai (analgetikų sukelta astma), netoleravimas dažniausiai pasireiškia dusulio priepuoliais.</w:t>
      </w:r>
    </w:p>
    <w:p w14:paraId="7B13C43A" w14:textId="77777777" w:rsidR="004D2D87" w:rsidRPr="00913636" w:rsidRDefault="004D2D87" w:rsidP="00FD3231">
      <w:pPr>
        <w:pStyle w:val="BTEMEASMCA"/>
        <w:rPr>
          <w:noProof w:val="0"/>
        </w:rPr>
      </w:pPr>
    </w:p>
    <w:p w14:paraId="405BEDF7" w14:textId="77777777" w:rsidR="004D2D87" w:rsidRPr="00913636" w:rsidRDefault="004D2D87" w:rsidP="00FD3231">
      <w:pPr>
        <w:pStyle w:val="BTEMEASMCA"/>
        <w:rPr>
          <w:noProof w:val="0"/>
        </w:rPr>
      </w:pPr>
      <w:r w:rsidRPr="00913636">
        <w:rPr>
          <w:noProof w:val="0"/>
        </w:rPr>
        <w:t>Atsiradus tokiems pirmiesiems šoko požymiams, kaip:</w:t>
      </w:r>
    </w:p>
    <w:p w14:paraId="21C4F12D" w14:textId="44B11CDC" w:rsidR="004D2D87" w:rsidRPr="00913636" w:rsidRDefault="004D2D87" w:rsidP="00FD3231">
      <w:pPr>
        <w:pStyle w:val="BT-EMEASMCA"/>
        <w:rPr>
          <w:noProof w:val="0"/>
        </w:rPr>
      </w:pPr>
      <w:r w:rsidRPr="00913636">
        <w:rPr>
          <w:noProof w:val="0"/>
        </w:rPr>
        <w:t>šaltas prakaitas</w:t>
      </w:r>
      <w:r w:rsidR="006A6EB6" w:rsidRPr="00913636">
        <w:rPr>
          <w:noProof w:val="0"/>
        </w:rPr>
        <w:t>;</w:t>
      </w:r>
    </w:p>
    <w:p w14:paraId="1B651A06" w14:textId="67819171" w:rsidR="004D2D87" w:rsidRPr="00913636" w:rsidRDefault="004D2D87" w:rsidP="00FD3231">
      <w:pPr>
        <w:pStyle w:val="BT-EMEASMCA"/>
        <w:rPr>
          <w:noProof w:val="0"/>
        </w:rPr>
      </w:pPr>
      <w:r w:rsidRPr="00913636">
        <w:rPr>
          <w:noProof w:val="0"/>
        </w:rPr>
        <w:t>svaigulys</w:t>
      </w:r>
      <w:r w:rsidR="006A6EB6" w:rsidRPr="00913636">
        <w:rPr>
          <w:noProof w:val="0"/>
        </w:rPr>
        <w:t>;</w:t>
      </w:r>
    </w:p>
    <w:p w14:paraId="10A42762" w14:textId="00C14138" w:rsidR="004D2D87" w:rsidRPr="00913636" w:rsidRDefault="004D2D87" w:rsidP="00FD3231">
      <w:pPr>
        <w:pStyle w:val="BT-EMEASMCA"/>
        <w:rPr>
          <w:noProof w:val="0"/>
        </w:rPr>
      </w:pPr>
      <w:r w:rsidRPr="00913636">
        <w:rPr>
          <w:noProof w:val="0"/>
        </w:rPr>
        <w:t>apkvaitimas</w:t>
      </w:r>
      <w:r w:rsidR="006A6EB6" w:rsidRPr="00913636">
        <w:rPr>
          <w:noProof w:val="0"/>
        </w:rPr>
        <w:t>;</w:t>
      </w:r>
    </w:p>
    <w:p w14:paraId="04878DDB" w14:textId="7B4463CB" w:rsidR="004D2D87" w:rsidRPr="00913636" w:rsidRDefault="004D2D87" w:rsidP="00FD3231">
      <w:pPr>
        <w:pStyle w:val="BT-EMEASMCA"/>
        <w:rPr>
          <w:noProof w:val="0"/>
        </w:rPr>
      </w:pPr>
      <w:r w:rsidRPr="00913636">
        <w:rPr>
          <w:noProof w:val="0"/>
        </w:rPr>
        <w:t>odos spalvos pokytis</w:t>
      </w:r>
      <w:r w:rsidR="006A6EB6" w:rsidRPr="00913636">
        <w:rPr>
          <w:noProof w:val="0"/>
        </w:rPr>
        <w:t>;</w:t>
      </w:r>
    </w:p>
    <w:p w14:paraId="5F59C753" w14:textId="77777777" w:rsidR="004D2D87" w:rsidRPr="00913636" w:rsidRDefault="004D2D87" w:rsidP="00FD3231">
      <w:pPr>
        <w:pStyle w:val="BT-EMEASMCA"/>
        <w:rPr>
          <w:noProof w:val="0"/>
        </w:rPr>
      </w:pPr>
      <w:r w:rsidRPr="00913636">
        <w:rPr>
          <w:noProof w:val="0"/>
        </w:rPr>
        <w:t>spaudimas krūtinėje ir dusulys, reikia imtis būtinų skubios pagalbos priemonių.</w:t>
      </w:r>
    </w:p>
    <w:p w14:paraId="40CFA5C6" w14:textId="77777777" w:rsidR="004D2D87" w:rsidRPr="00834CD5" w:rsidRDefault="004D2D87" w:rsidP="00E70E9A">
      <w:pPr>
        <w:pStyle w:val="BTEMEASMCA"/>
      </w:pPr>
    </w:p>
    <w:p w14:paraId="79176741" w14:textId="77777777" w:rsidR="004D2D87" w:rsidRPr="00913636" w:rsidRDefault="004D2D87" w:rsidP="00FD3231">
      <w:pPr>
        <w:pStyle w:val="BT-EMEASMCA"/>
        <w:rPr>
          <w:rStyle w:val="Emfaz"/>
          <w:noProof w:val="0"/>
        </w:rPr>
      </w:pPr>
      <w:r w:rsidRPr="00913636">
        <w:rPr>
          <w:rStyle w:val="Emfaz"/>
          <w:iCs/>
          <w:noProof w:val="0"/>
        </w:rPr>
        <w:t>Šokas</w:t>
      </w:r>
    </w:p>
    <w:p w14:paraId="11E13003" w14:textId="77777777" w:rsidR="004D2D87" w:rsidRPr="00913636" w:rsidRDefault="004D2D87" w:rsidP="00FD3231">
      <w:pPr>
        <w:pStyle w:val="BTEMEASMCA"/>
        <w:rPr>
          <w:noProof w:val="0"/>
        </w:rPr>
      </w:pPr>
      <w:r w:rsidRPr="00913636">
        <w:rPr>
          <w:noProof w:val="0"/>
        </w:rPr>
        <w:t>Kiti šoko simptomai yra veido patinimas, niežulys, spaudimo pojūtis krūtinės ląstoje, pagreitėjęs pulsas, šaltos rankos ir kojos (kritinis kraujospūdžio sumažėjimas). Šie simptomai gali atsirasti praėjus valandai po Analgin Sopharma pavartojimo.</w:t>
      </w:r>
    </w:p>
    <w:p w14:paraId="06FB9F43" w14:textId="77777777" w:rsidR="004D2D87" w:rsidRPr="00913636" w:rsidRDefault="004D2D87" w:rsidP="00FD3231">
      <w:pPr>
        <w:pStyle w:val="BTEMEASMCA"/>
        <w:rPr>
          <w:noProof w:val="0"/>
        </w:rPr>
      </w:pPr>
    </w:p>
    <w:p w14:paraId="7E197B58" w14:textId="77777777" w:rsidR="004D2D87" w:rsidRPr="00913636" w:rsidRDefault="004D2D87" w:rsidP="00FD3231">
      <w:pPr>
        <w:pStyle w:val="BTEMEASMCA"/>
        <w:rPr>
          <w:noProof w:val="0"/>
        </w:rPr>
      </w:pPr>
      <w:r w:rsidRPr="00913636">
        <w:rPr>
          <w:noProof w:val="0"/>
        </w:rPr>
        <w:t xml:space="preserve">Atsiradus pirmiesiems šoko simptomams, </w:t>
      </w:r>
      <w:r w:rsidRPr="00913636">
        <w:rPr>
          <w:noProof w:val="0"/>
          <w:u w:val="single"/>
        </w:rPr>
        <w:t>nedelsiant</w:t>
      </w:r>
      <w:r w:rsidRPr="00913636">
        <w:rPr>
          <w:noProof w:val="0"/>
        </w:rPr>
        <w:t xml:space="preserve"> kreipkitės pagalbos į gydytoją.</w:t>
      </w:r>
    </w:p>
    <w:p w14:paraId="329DCD0A" w14:textId="77777777" w:rsidR="004D2D87" w:rsidRPr="00913636" w:rsidRDefault="004D2D87" w:rsidP="00FD3231">
      <w:pPr>
        <w:pStyle w:val="BTEMEASMCA"/>
        <w:rPr>
          <w:noProof w:val="0"/>
        </w:rPr>
      </w:pPr>
    </w:p>
    <w:p w14:paraId="6ACFCC07" w14:textId="77777777" w:rsidR="004D2D87" w:rsidRPr="00913636" w:rsidRDefault="004D2D87" w:rsidP="00FD3231">
      <w:pPr>
        <w:pStyle w:val="BTEMEASMCA"/>
        <w:rPr>
          <w:noProof w:val="0"/>
        </w:rPr>
      </w:pPr>
      <w:r w:rsidRPr="00913636">
        <w:rPr>
          <w:noProof w:val="0"/>
        </w:rPr>
        <w:t>Kol atvyks gydytojas, pacientą reikia paguldyti ir pakelti kojas. Šaltkrėčio profilaktikai reikia pacientą apkloti šilta antklode.</w:t>
      </w:r>
    </w:p>
    <w:p w14:paraId="11705D15" w14:textId="77777777" w:rsidR="004D2D87" w:rsidRPr="00E70E9A" w:rsidRDefault="004D2D87" w:rsidP="00FD3231">
      <w:pPr>
        <w:pStyle w:val="BTEMEASMCA"/>
      </w:pPr>
    </w:p>
    <w:p w14:paraId="1EAFA2EE" w14:textId="3A68A0FA" w:rsidR="004D2D87" w:rsidRPr="00834CD5" w:rsidRDefault="004D2D87" w:rsidP="004D2D87">
      <w:pPr>
        <w:numPr>
          <w:ilvl w:val="12"/>
          <w:numId w:val="0"/>
        </w:numPr>
        <w:spacing w:line="240" w:lineRule="auto"/>
        <w:outlineLvl w:val="0"/>
        <w:rPr>
          <w:b/>
        </w:rPr>
      </w:pPr>
      <w:r w:rsidRPr="00834CD5">
        <w:rPr>
          <w:b/>
        </w:rPr>
        <w:t>Pranešimas apie šalutinį poveikį</w:t>
      </w:r>
    </w:p>
    <w:p w14:paraId="0E03B95B" w14:textId="4758136E" w:rsidR="00834615" w:rsidRPr="00913636" w:rsidRDefault="00834615" w:rsidP="0036701C">
      <w:pPr>
        <w:pStyle w:val="BTEMEASMCA"/>
        <w:rPr>
          <w:noProof w:val="0"/>
        </w:rPr>
      </w:pPr>
      <w:r w:rsidRPr="00834615">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ED53EF">
          <w:rPr>
            <w:rStyle w:val="Hipersaitas"/>
          </w:rPr>
          <w:t>https://vvkt.lrv.lt/lt/</w:t>
        </w:r>
      </w:hyperlink>
      <w:r>
        <w:t xml:space="preserve"> n</w:t>
      </w:r>
      <w:r w:rsidRPr="00834615">
        <w:t>urodytais būdais arba paskambinti nemokamu telefonu 8 800 73 568. Pranešdami apie šalutinį poveikį galite mums padėti gauti daugiau informacijos apie šio vaisto saugumą.</w:t>
      </w:r>
    </w:p>
    <w:p w14:paraId="2AC8F05C" w14:textId="3C325188" w:rsidR="004D2D87" w:rsidRPr="00913636" w:rsidRDefault="004D2D87" w:rsidP="0036701C">
      <w:pPr>
        <w:numPr>
          <w:ilvl w:val="12"/>
          <w:numId w:val="0"/>
        </w:numPr>
        <w:tabs>
          <w:tab w:val="clear" w:pos="567"/>
        </w:tabs>
        <w:spacing w:line="240" w:lineRule="auto"/>
        <w:ind w:right="-2"/>
      </w:pPr>
    </w:p>
    <w:p w14:paraId="716EA924" w14:textId="77777777" w:rsidR="00AA3C51" w:rsidRPr="00834CD5" w:rsidRDefault="00AA3C51" w:rsidP="004D2D87">
      <w:pPr>
        <w:numPr>
          <w:ilvl w:val="12"/>
          <w:numId w:val="0"/>
        </w:numPr>
        <w:tabs>
          <w:tab w:val="clear" w:pos="567"/>
        </w:tabs>
        <w:spacing w:line="240" w:lineRule="auto"/>
        <w:ind w:right="-2"/>
      </w:pPr>
    </w:p>
    <w:p w14:paraId="79B9C4CC" w14:textId="77777777" w:rsidR="004D2D87" w:rsidRPr="00834CD5" w:rsidRDefault="004D2D87" w:rsidP="004D2D87">
      <w:pPr>
        <w:ind w:left="540" w:hanging="540"/>
        <w:rPr>
          <w:b/>
        </w:rPr>
      </w:pPr>
      <w:r w:rsidRPr="00834CD5">
        <w:rPr>
          <w:b/>
        </w:rPr>
        <w:t>5.</w:t>
      </w:r>
      <w:r w:rsidRPr="00834CD5">
        <w:rPr>
          <w:b/>
        </w:rPr>
        <w:tab/>
        <w:t>Kaip laikyti</w:t>
      </w:r>
      <w:r w:rsidRPr="00834CD5">
        <w:t xml:space="preserve"> </w:t>
      </w:r>
      <w:r w:rsidRPr="00834CD5">
        <w:rPr>
          <w:b/>
        </w:rPr>
        <w:t>Analgin Sopharma</w:t>
      </w:r>
      <w:r w:rsidRPr="00834CD5">
        <w:t xml:space="preserve"> </w:t>
      </w:r>
    </w:p>
    <w:p w14:paraId="66BFBBF8" w14:textId="77777777" w:rsidR="004D2D87" w:rsidRPr="00834CD5" w:rsidRDefault="004D2D87" w:rsidP="004D2D87">
      <w:pPr>
        <w:numPr>
          <w:ilvl w:val="12"/>
          <w:numId w:val="0"/>
        </w:numPr>
        <w:tabs>
          <w:tab w:val="clear" w:pos="567"/>
        </w:tabs>
        <w:spacing w:line="240" w:lineRule="auto"/>
        <w:ind w:right="-2"/>
      </w:pPr>
    </w:p>
    <w:p w14:paraId="649B0EA8" w14:textId="77777777" w:rsidR="004D2D87" w:rsidRPr="00834CD5" w:rsidRDefault="004D2D87" w:rsidP="004D2D87">
      <w:pPr>
        <w:numPr>
          <w:ilvl w:val="12"/>
          <w:numId w:val="0"/>
        </w:numPr>
        <w:tabs>
          <w:tab w:val="clear" w:pos="567"/>
        </w:tabs>
        <w:spacing w:line="240" w:lineRule="auto"/>
        <w:ind w:right="-2"/>
      </w:pPr>
      <w:r w:rsidRPr="00834CD5">
        <w:t>Šį vaistą laikykite vaikams nepastebimoje ir nepasiekiamoje vietoje.</w:t>
      </w:r>
    </w:p>
    <w:p w14:paraId="2B8E1CA6" w14:textId="77777777" w:rsidR="004D2D87" w:rsidRPr="00834CD5" w:rsidRDefault="004D2D87" w:rsidP="004D2D87">
      <w:pPr>
        <w:numPr>
          <w:ilvl w:val="12"/>
          <w:numId w:val="0"/>
        </w:numPr>
        <w:tabs>
          <w:tab w:val="clear" w:pos="567"/>
        </w:tabs>
        <w:spacing w:line="240" w:lineRule="auto"/>
        <w:ind w:right="-2"/>
      </w:pPr>
    </w:p>
    <w:p w14:paraId="05EDC913" w14:textId="77777777" w:rsidR="004D2D87" w:rsidRPr="00913636" w:rsidRDefault="004D2D87" w:rsidP="00FD3231">
      <w:pPr>
        <w:pStyle w:val="BTEMEASMCA"/>
        <w:rPr>
          <w:noProof w:val="0"/>
        </w:rPr>
      </w:pPr>
      <w:r w:rsidRPr="00913636">
        <w:rPr>
          <w:noProof w:val="0"/>
        </w:rPr>
        <w:t>Laikyti ne aukštesnėje kaip 25</w:t>
      </w:r>
      <w:r w:rsidRPr="00913636">
        <w:rPr>
          <w:noProof w:val="0"/>
        </w:rPr>
        <w:sym w:font="Symbol" w:char="F0B0"/>
      </w:r>
      <w:r w:rsidRPr="00913636">
        <w:rPr>
          <w:noProof w:val="0"/>
        </w:rPr>
        <w:t> C temperatūroje. Laikyti gamintojo pakuotėje, kad vaistas būtų apsaugotas nuo šviesos ir drėgmės.</w:t>
      </w:r>
    </w:p>
    <w:p w14:paraId="0E479D4C" w14:textId="77777777" w:rsidR="004D2D87" w:rsidRPr="00834CD5" w:rsidRDefault="004D2D87" w:rsidP="004D2D87"/>
    <w:p w14:paraId="6C6A1358" w14:textId="1F1BC665" w:rsidR="004D2D87" w:rsidRPr="00913636" w:rsidRDefault="004D2D87" w:rsidP="006A6EB6">
      <w:pPr>
        <w:pStyle w:val="BTEMEASMCADiagramaDiagramaDiagrama"/>
      </w:pPr>
      <w:r w:rsidRPr="00913636">
        <w:t xml:space="preserve">Ant dėžutės </w:t>
      </w:r>
      <w:r w:rsidR="0017051A" w:rsidRPr="00913636">
        <w:t xml:space="preserve">po „EXP“ </w:t>
      </w:r>
      <w:r w:rsidRPr="00913636">
        <w:t>ir lizdinės plokštelės nurodytam tinkamumo laikui pasibaigus, šio vaisto vartoti negalima. Vaistas tinkamas vartoti iki paskutinės nurodyto mėnesio dienos.</w:t>
      </w:r>
    </w:p>
    <w:p w14:paraId="3C7513A6" w14:textId="77777777" w:rsidR="004D2D87" w:rsidRPr="00913636" w:rsidRDefault="004D2D87" w:rsidP="006A6EB6">
      <w:pPr>
        <w:pStyle w:val="BTEMEASMCADiagramaDiagramaDiagrama"/>
      </w:pPr>
    </w:p>
    <w:p w14:paraId="727FAABB" w14:textId="77777777" w:rsidR="004D2D87" w:rsidRPr="00834CD5" w:rsidRDefault="004D2D87" w:rsidP="004D2D87">
      <w:r w:rsidRPr="00834CD5">
        <w:t>Vaistų negalima išmesti į kanalizaciją arba su buitinėmis atliekomis. Kaip išmesti nereikalingus vaistus, klauskite vaistininko. Šios priemonės padės apsaugoti aplinką.</w:t>
      </w:r>
    </w:p>
    <w:p w14:paraId="26C5C990" w14:textId="77777777" w:rsidR="004D2D87" w:rsidRPr="00834CD5" w:rsidRDefault="004D2D87" w:rsidP="004D2D87">
      <w:pPr>
        <w:numPr>
          <w:ilvl w:val="12"/>
          <w:numId w:val="0"/>
        </w:numPr>
        <w:tabs>
          <w:tab w:val="clear" w:pos="567"/>
        </w:tabs>
        <w:spacing w:line="240" w:lineRule="auto"/>
        <w:ind w:right="-2"/>
      </w:pPr>
    </w:p>
    <w:p w14:paraId="0CD25615" w14:textId="77777777" w:rsidR="004D2D87" w:rsidRPr="00834CD5" w:rsidRDefault="004D2D87" w:rsidP="004D2D87">
      <w:pPr>
        <w:numPr>
          <w:ilvl w:val="12"/>
          <w:numId w:val="0"/>
        </w:numPr>
        <w:tabs>
          <w:tab w:val="clear" w:pos="567"/>
        </w:tabs>
        <w:spacing w:line="240" w:lineRule="auto"/>
        <w:ind w:right="-2"/>
      </w:pPr>
    </w:p>
    <w:p w14:paraId="7C3D2304" w14:textId="77777777" w:rsidR="004D2D87" w:rsidRPr="00834CD5" w:rsidRDefault="004D2D87" w:rsidP="004D2D87">
      <w:pPr>
        <w:pStyle w:val="Antrat3"/>
        <w:spacing w:before="0" w:after="0" w:line="240" w:lineRule="auto"/>
        <w:rPr>
          <w:rFonts w:ascii="Times New Roman" w:hAnsi="Times New Roman"/>
          <w:sz w:val="22"/>
        </w:rPr>
      </w:pPr>
      <w:r w:rsidRPr="00834CD5">
        <w:rPr>
          <w:rFonts w:ascii="Times New Roman" w:hAnsi="Times New Roman"/>
          <w:sz w:val="22"/>
        </w:rPr>
        <w:t>6.</w:t>
      </w:r>
      <w:r w:rsidRPr="00834CD5">
        <w:rPr>
          <w:rFonts w:ascii="Times New Roman" w:hAnsi="Times New Roman"/>
          <w:sz w:val="22"/>
        </w:rPr>
        <w:tab/>
        <w:t>Pakuotės turinys ir kita informacija</w:t>
      </w:r>
    </w:p>
    <w:p w14:paraId="507543EB" w14:textId="77777777" w:rsidR="004D2D87" w:rsidRPr="00834CD5" w:rsidRDefault="004D2D87" w:rsidP="004D2D87">
      <w:pPr>
        <w:numPr>
          <w:ilvl w:val="12"/>
          <w:numId w:val="0"/>
        </w:numPr>
        <w:tabs>
          <w:tab w:val="clear" w:pos="567"/>
        </w:tabs>
        <w:spacing w:line="240" w:lineRule="auto"/>
      </w:pPr>
    </w:p>
    <w:p w14:paraId="3DBB64C4" w14:textId="77777777" w:rsidR="004D2D87" w:rsidRPr="00834CD5" w:rsidRDefault="004D2D87" w:rsidP="004D2D87">
      <w:pPr>
        <w:pStyle w:val="Antrat4"/>
      </w:pPr>
      <w:r w:rsidRPr="00834CD5">
        <w:t xml:space="preserve">Analgin Sopharma sudėtis </w:t>
      </w:r>
    </w:p>
    <w:p w14:paraId="5915773D" w14:textId="77777777" w:rsidR="004D2D87" w:rsidRPr="00834CD5" w:rsidRDefault="004D2D87" w:rsidP="004D2D87">
      <w:pPr>
        <w:pStyle w:val="Pagrindinistekstas"/>
        <w:numPr>
          <w:ilvl w:val="0"/>
          <w:numId w:val="11"/>
        </w:numPr>
        <w:ind w:left="567" w:hanging="567"/>
        <w:rPr>
          <w:i w:val="0"/>
          <w:color w:val="auto"/>
        </w:rPr>
      </w:pPr>
      <w:r w:rsidRPr="00834CD5">
        <w:rPr>
          <w:i w:val="0"/>
          <w:color w:val="auto"/>
        </w:rPr>
        <w:t>Veiklioji medžiaga yra metamizolo natrio druska. Vienoje tabletėje yra 500 mg metamizolo natrio druskos.</w:t>
      </w:r>
    </w:p>
    <w:p w14:paraId="278C364E" w14:textId="77777777" w:rsidR="004D2D87" w:rsidRPr="00834CD5" w:rsidRDefault="004D2D87" w:rsidP="004D2D87">
      <w:pPr>
        <w:pStyle w:val="Pagrindinistekstas"/>
        <w:numPr>
          <w:ilvl w:val="0"/>
          <w:numId w:val="11"/>
        </w:numPr>
        <w:ind w:left="567" w:hanging="567"/>
        <w:rPr>
          <w:i w:val="0"/>
          <w:color w:val="auto"/>
        </w:rPr>
      </w:pPr>
      <w:r w:rsidRPr="00834CD5">
        <w:rPr>
          <w:i w:val="0"/>
          <w:color w:val="auto"/>
        </w:rPr>
        <w:t>Pagalbinės medžiagos yra: mikrokristalinė celiuliozė, kviečių krakmolas, magnio stearatas, talkas, povidonas K25.</w:t>
      </w:r>
    </w:p>
    <w:p w14:paraId="490C0B54" w14:textId="77777777" w:rsidR="004D2D87" w:rsidRPr="00913636" w:rsidRDefault="004D2D87" w:rsidP="00FD3231">
      <w:pPr>
        <w:pStyle w:val="BTEMEASMCA"/>
        <w:rPr>
          <w:noProof w:val="0"/>
        </w:rPr>
      </w:pPr>
    </w:p>
    <w:p w14:paraId="6E1B69CF" w14:textId="77777777" w:rsidR="004D2D87" w:rsidRPr="00913636" w:rsidRDefault="004D2D87" w:rsidP="004D2D87">
      <w:pPr>
        <w:pStyle w:val="PI-3EMEASMCA"/>
      </w:pPr>
      <w:r w:rsidRPr="00913636">
        <w:t>Analgin Sopharma išvaizda ir kiekis pakuotėje</w:t>
      </w:r>
    </w:p>
    <w:p w14:paraId="2CB7114D" w14:textId="77777777" w:rsidR="004D2D87" w:rsidRPr="00913636" w:rsidRDefault="004D2D87" w:rsidP="00FD3231">
      <w:pPr>
        <w:pStyle w:val="BTEMEASMCA"/>
        <w:rPr>
          <w:noProof w:val="0"/>
        </w:rPr>
      </w:pPr>
      <w:r w:rsidRPr="00913636">
        <w:rPr>
          <w:noProof w:val="0"/>
        </w:rPr>
        <w:t xml:space="preserve">Baltos arba </w:t>
      </w:r>
      <w:r w:rsidRPr="00913636">
        <w:rPr>
          <w:rStyle w:val="hps"/>
          <w:noProof w:val="0"/>
        </w:rPr>
        <w:t>beveik baltos spalvos</w:t>
      </w:r>
      <w:r w:rsidRPr="00913636">
        <w:rPr>
          <w:noProof w:val="0"/>
        </w:rPr>
        <w:t xml:space="preserve">, apvalios, </w:t>
      </w:r>
      <w:r w:rsidRPr="00913636">
        <w:rPr>
          <w:rStyle w:val="hps"/>
          <w:noProof w:val="0"/>
        </w:rPr>
        <w:t>plokščios</w:t>
      </w:r>
      <w:r w:rsidRPr="00913636">
        <w:rPr>
          <w:noProof w:val="0"/>
        </w:rPr>
        <w:t xml:space="preserve"> </w:t>
      </w:r>
      <w:r w:rsidRPr="00913636">
        <w:rPr>
          <w:rStyle w:val="hps"/>
          <w:noProof w:val="0"/>
        </w:rPr>
        <w:t>tabletės</w:t>
      </w:r>
      <w:r w:rsidRPr="00913636">
        <w:rPr>
          <w:noProof w:val="0"/>
        </w:rPr>
        <w:t xml:space="preserve"> </w:t>
      </w:r>
      <w:r w:rsidRPr="00913636">
        <w:rPr>
          <w:rStyle w:val="hps"/>
          <w:noProof w:val="0"/>
        </w:rPr>
        <w:t>su</w:t>
      </w:r>
      <w:r w:rsidRPr="00913636">
        <w:rPr>
          <w:noProof w:val="0"/>
        </w:rPr>
        <w:t xml:space="preserve"> </w:t>
      </w:r>
      <w:r w:rsidRPr="00913636">
        <w:rPr>
          <w:rStyle w:val="hps"/>
          <w:noProof w:val="0"/>
        </w:rPr>
        <w:t>vagele</w:t>
      </w:r>
      <w:r w:rsidRPr="00913636">
        <w:rPr>
          <w:noProof w:val="0"/>
        </w:rPr>
        <w:t xml:space="preserve"> </w:t>
      </w:r>
      <w:r w:rsidRPr="00913636">
        <w:rPr>
          <w:rStyle w:val="hps"/>
          <w:noProof w:val="0"/>
        </w:rPr>
        <w:t>vienoje pusėje</w:t>
      </w:r>
      <w:r w:rsidRPr="00913636">
        <w:rPr>
          <w:noProof w:val="0"/>
        </w:rPr>
        <w:t xml:space="preserve">, </w:t>
      </w:r>
      <w:r w:rsidRPr="00913636">
        <w:rPr>
          <w:rStyle w:val="hps"/>
          <w:noProof w:val="0"/>
        </w:rPr>
        <w:t>13</w:t>
      </w:r>
      <w:r w:rsidRPr="00913636">
        <w:rPr>
          <w:noProof w:val="0"/>
        </w:rPr>
        <w:t xml:space="preserve"> </w:t>
      </w:r>
      <w:r w:rsidRPr="00913636">
        <w:rPr>
          <w:rStyle w:val="hps"/>
          <w:noProof w:val="0"/>
        </w:rPr>
        <w:t>mm skersmens</w:t>
      </w:r>
      <w:r w:rsidRPr="00913636">
        <w:rPr>
          <w:noProof w:val="0"/>
        </w:rPr>
        <w:t>.</w:t>
      </w:r>
      <w:r w:rsidRPr="00913636">
        <w:rPr>
          <w:noProof w:val="0"/>
        </w:rPr>
        <w:br/>
        <w:t>Vagelė skirta tik tabletei perlaužti, kad būtų lengviau nuryti, bet ne jai padalyti į lygias dozes.</w:t>
      </w:r>
    </w:p>
    <w:p w14:paraId="061F8E6B" w14:textId="77777777" w:rsidR="004D2D87" w:rsidRPr="00834CD5" w:rsidRDefault="004D2D87" w:rsidP="004D2D87">
      <w:pPr>
        <w:pStyle w:val="Pagrindinistekstas"/>
      </w:pPr>
    </w:p>
    <w:p w14:paraId="03A75160" w14:textId="77777777" w:rsidR="004D2D87" w:rsidRPr="00834CD5" w:rsidRDefault="004D2D87" w:rsidP="004D2D87">
      <w:pPr>
        <w:pStyle w:val="Pagrindinistekstas"/>
        <w:rPr>
          <w:i w:val="0"/>
          <w:color w:val="auto"/>
        </w:rPr>
      </w:pPr>
      <w:r w:rsidRPr="00834CD5">
        <w:rPr>
          <w:i w:val="0"/>
          <w:color w:val="auto"/>
        </w:rPr>
        <w:t>Pakuotėje yra 20 arba 500 tablečių (2 arba 50 lizdinių plokštelių po 10 tablečių kiekvienoje plokštelėje).</w:t>
      </w:r>
    </w:p>
    <w:p w14:paraId="44E993AF" w14:textId="77777777" w:rsidR="004D2D87" w:rsidRPr="00834CD5" w:rsidRDefault="004D2D87" w:rsidP="004D2D87"/>
    <w:p w14:paraId="4FD3892C" w14:textId="77777777" w:rsidR="004D2D87" w:rsidRPr="00913636" w:rsidRDefault="004D2D87" w:rsidP="00FD3231">
      <w:pPr>
        <w:pStyle w:val="BTEMEASMCA"/>
        <w:rPr>
          <w:noProof w:val="0"/>
          <w:snapToGrid w:val="0"/>
        </w:rPr>
      </w:pPr>
      <w:r w:rsidRPr="00913636">
        <w:rPr>
          <w:noProof w:val="0"/>
          <w:snapToGrid w:val="0"/>
        </w:rPr>
        <w:t>Gali būti tiekiamos ne visų dydžių pakuotės.</w:t>
      </w:r>
    </w:p>
    <w:p w14:paraId="01424CB5" w14:textId="77777777" w:rsidR="004D2D87" w:rsidRPr="00913636" w:rsidRDefault="004D2D87" w:rsidP="00FD3231">
      <w:pPr>
        <w:pStyle w:val="BTEMEASMCA"/>
        <w:rPr>
          <w:noProof w:val="0"/>
        </w:rPr>
      </w:pPr>
    </w:p>
    <w:p w14:paraId="6785688F" w14:textId="77777777" w:rsidR="004D2D87" w:rsidRPr="00913636" w:rsidRDefault="004D2D87" w:rsidP="004D2D87">
      <w:pPr>
        <w:pStyle w:val="PI-3EMEASMCA"/>
      </w:pPr>
      <w:r w:rsidRPr="00913636">
        <w:t>Registruotojas ir gamintojas</w:t>
      </w:r>
    </w:p>
    <w:p w14:paraId="0409279F" w14:textId="77777777" w:rsidR="004D2D87" w:rsidRPr="00913636" w:rsidRDefault="004D2D87" w:rsidP="00FD3231">
      <w:pPr>
        <w:pStyle w:val="BTEMEASMCA"/>
        <w:rPr>
          <w:noProof w:val="0"/>
        </w:rPr>
      </w:pPr>
    </w:p>
    <w:p w14:paraId="6E41AC64" w14:textId="77777777" w:rsidR="004D2D87" w:rsidRPr="00834CD5" w:rsidRDefault="004D2D87" w:rsidP="004D2D87">
      <w:r w:rsidRPr="00834CD5">
        <w:t>SOPHARMA AD</w:t>
      </w:r>
      <w:r w:rsidRPr="00834CD5" w:rsidDel="00572D15">
        <w:t xml:space="preserve"> </w:t>
      </w:r>
    </w:p>
    <w:p w14:paraId="687F69EB" w14:textId="77777777" w:rsidR="004D2D87" w:rsidRPr="00834CD5" w:rsidRDefault="004D2D87" w:rsidP="004D2D87">
      <w:r w:rsidRPr="00834CD5">
        <w:t>16 Iliensko Shosse Str.</w:t>
      </w:r>
    </w:p>
    <w:p w14:paraId="7B0F444B" w14:textId="77777777" w:rsidR="004D2D87" w:rsidRPr="00834CD5" w:rsidRDefault="004D2D87" w:rsidP="004D2D87">
      <w:r w:rsidRPr="00834CD5">
        <w:t>Sofia 1220,</w:t>
      </w:r>
    </w:p>
    <w:p w14:paraId="13BBEEFB" w14:textId="77777777" w:rsidR="004D2D87" w:rsidRPr="00834CD5" w:rsidRDefault="004D2D87" w:rsidP="004D2D87">
      <w:r w:rsidRPr="00834CD5">
        <w:t>Bulgarija</w:t>
      </w:r>
    </w:p>
    <w:p w14:paraId="2BCBBEDE" w14:textId="77777777" w:rsidR="004D2D87" w:rsidRPr="00834CD5" w:rsidRDefault="004D2D87" w:rsidP="004D2D87">
      <w:pPr>
        <w:numPr>
          <w:ilvl w:val="12"/>
          <w:numId w:val="0"/>
        </w:numPr>
        <w:ind w:right="-2"/>
      </w:pPr>
    </w:p>
    <w:p w14:paraId="42662084" w14:textId="107DC5E3" w:rsidR="004D2D87" w:rsidRPr="00834CD5" w:rsidRDefault="004D2D87" w:rsidP="004D2D87">
      <w:pPr>
        <w:numPr>
          <w:ilvl w:val="12"/>
          <w:numId w:val="0"/>
        </w:numPr>
        <w:ind w:right="-2"/>
        <w:outlineLvl w:val="0"/>
      </w:pPr>
      <w:r w:rsidRPr="00834CD5">
        <w:rPr>
          <w:b/>
        </w:rPr>
        <w:t>Šis pakuotės lapelis paskutinį kartą peržiūrėtas</w:t>
      </w:r>
      <w:r w:rsidR="00D16590">
        <w:rPr>
          <w:b/>
        </w:rPr>
        <w:t xml:space="preserve"> 2025-04-14.</w:t>
      </w:r>
    </w:p>
    <w:p w14:paraId="62FA47EF" w14:textId="77777777" w:rsidR="004D2D87" w:rsidRPr="00834CD5" w:rsidRDefault="004D2D87" w:rsidP="004D2D87">
      <w:pPr>
        <w:numPr>
          <w:ilvl w:val="12"/>
          <w:numId w:val="0"/>
        </w:numPr>
        <w:ind w:right="-2"/>
      </w:pPr>
    </w:p>
    <w:p w14:paraId="36A68FD0" w14:textId="77777777" w:rsidR="004D2D87" w:rsidRPr="00834CD5" w:rsidRDefault="004D2D87" w:rsidP="004D2D87">
      <w:pPr>
        <w:numPr>
          <w:ilvl w:val="12"/>
          <w:numId w:val="0"/>
        </w:numPr>
        <w:ind w:right="-2"/>
      </w:pPr>
    </w:p>
    <w:p w14:paraId="2EE7FF4C" w14:textId="2A802309" w:rsidR="004D2D87" w:rsidRPr="00834CD5" w:rsidRDefault="004D2D87" w:rsidP="004D2D87">
      <w:pPr>
        <w:keepNext/>
        <w:numPr>
          <w:ilvl w:val="12"/>
          <w:numId w:val="0"/>
        </w:numPr>
        <w:tabs>
          <w:tab w:val="clear" w:pos="567"/>
        </w:tabs>
        <w:spacing w:line="240" w:lineRule="auto"/>
        <w:ind w:right="-2"/>
        <w:outlineLvl w:val="0"/>
      </w:pPr>
      <w:r w:rsidRPr="00834CD5">
        <w:t xml:space="preserve">Išsami informacija apie šį vaistą pateikiama Valstybinės vaistų kontrolės tarnybos prie Lietuvos Respublikos sveikatos apsaugos ministerijos tinklapyje </w:t>
      </w:r>
      <w:hyperlink r:id="rId10" w:history="1">
        <w:r w:rsidR="00EB7966" w:rsidRPr="00ED53EF">
          <w:rPr>
            <w:rStyle w:val="Hipersaitas"/>
          </w:rPr>
          <w:t>https://vvkt.lrv.lt/lt/</w:t>
        </w:r>
      </w:hyperlink>
      <w:r w:rsidR="00EB7966">
        <w:t>.</w:t>
      </w:r>
    </w:p>
    <w:p w14:paraId="1539CD32" w14:textId="77777777" w:rsidR="004D2D87" w:rsidRPr="00834CD5" w:rsidRDefault="004D2D87" w:rsidP="004D2D87">
      <w:pPr>
        <w:numPr>
          <w:ilvl w:val="12"/>
          <w:numId w:val="0"/>
        </w:numPr>
        <w:ind w:right="-2"/>
      </w:pPr>
    </w:p>
    <w:p w14:paraId="6581AEAF" w14:textId="77777777" w:rsidR="004D2D87" w:rsidRPr="00834CD5" w:rsidRDefault="004D2D87" w:rsidP="004D2D87">
      <w:pPr>
        <w:ind w:left="567" w:hanging="567"/>
      </w:pPr>
    </w:p>
    <w:p w14:paraId="3B176044" w14:textId="77777777" w:rsidR="004D2D87" w:rsidRPr="00834CD5" w:rsidRDefault="004D2D87" w:rsidP="004D2D87"/>
    <w:p w14:paraId="0AD4F1BD" w14:textId="77777777" w:rsidR="004D2D87" w:rsidRPr="00834CD5" w:rsidRDefault="004D2D87" w:rsidP="004D2D87"/>
    <w:p w14:paraId="264A9BC1" w14:textId="77777777" w:rsidR="004D2D87" w:rsidRPr="00834CD5" w:rsidRDefault="004D2D87" w:rsidP="004D2D87"/>
    <w:p w14:paraId="17460884" w14:textId="77777777" w:rsidR="004D2D87" w:rsidRPr="00834CD5" w:rsidRDefault="004D2D87" w:rsidP="004D2D87"/>
    <w:p w14:paraId="74C17BC7" w14:textId="77777777" w:rsidR="004D2D87" w:rsidRPr="00834CD5" w:rsidRDefault="004D2D87" w:rsidP="004D2D87"/>
    <w:p w14:paraId="5B9ABCB2" w14:textId="77777777" w:rsidR="005A2276" w:rsidRPr="00834CD5" w:rsidRDefault="005A2276"/>
    <w:sectPr w:rsidR="005A2276" w:rsidRPr="00834CD5" w:rsidSect="00031C87">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25706" w14:textId="77777777" w:rsidR="00BF6EE5" w:rsidRPr="00913636" w:rsidRDefault="00BF6EE5">
      <w:pPr>
        <w:spacing w:line="240" w:lineRule="auto"/>
      </w:pPr>
      <w:r w:rsidRPr="00913636">
        <w:separator/>
      </w:r>
    </w:p>
  </w:endnote>
  <w:endnote w:type="continuationSeparator" w:id="0">
    <w:p w14:paraId="2E36B654" w14:textId="77777777" w:rsidR="00BF6EE5" w:rsidRPr="00913636" w:rsidRDefault="00BF6EE5">
      <w:pPr>
        <w:spacing w:line="240" w:lineRule="auto"/>
      </w:pPr>
      <w:r w:rsidRPr="00913636">
        <w:continuationSeparator/>
      </w:r>
    </w:p>
  </w:endnote>
  <w:endnote w:type="continuationNotice" w:id="1">
    <w:p w14:paraId="311D0CCD" w14:textId="77777777" w:rsidR="00BF6EE5" w:rsidRPr="00913636" w:rsidRDefault="00BF6E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00000000"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67A9A" w14:textId="39DD512C" w:rsidR="0036701C" w:rsidRPr="00726815" w:rsidRDefault="0036701C">
    <w:pPr>
      <w:pStyle w:val="Porat"/>
      <w:tabs>
        <w:tab w:val="right" w:pos="8931"/>
      </w:tabs>
      <w:ind w:right="96"/>
      <w:jc w:val="cen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CE84" w14:textId="68204AAA" w:rsidR="0036701C" w:rsidRPr="00D4205D" w:rsidRDefault="0036701C">
    <w:pPr>
      <w:pStyle w:val="Porat"/>
      <w:tabs>
        <w:tab w:val="right" w:pos="8931"/>
      </w:tabs>
      <w:ind w:right="96"/>
      <w:jc w:val="center"/>
      <w:rPr>
        <w:rFonts w:ascii="Times New Roman" w:hAnsi="Times New Roman"/>
        <w:sz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BE88D" w14:textId="77777777" w:rsidR="00BF6EE5" w:rsidRPr="00913636" w:rsidRDefault="00BF6EE5">
      <w:pPr>
        <w:spacing w:line="240" w:lineRule="auto"/>
      </w:pPr>
      <w:r w:rsidRPr="00913636">
        <w:separator/>
      </w:r>
    </w:p>
  </w:footnote>
  <w:footnote w:type="continuationSeparator" w:id="0">
    <w:p w14:paraId="0ADDAA6C" w14:textId="77777777" w:rsidR="00BF6EE5" w:rsidRPr="00913636" w:rsidRDefault="00BF6EE5">
      <w:pPr>
        <w:spacing w:line="240" w:lineRule="auto"/>
      </w:pPr>
      <w:r w:rsidRPr="00913636">
        <w:continuationSeparator/>
      </w:r>
    </w:p>
  </w:footnote>
  <w:footnote w:type="continuationNotice" w:id="1">
    <w:p w14:paraId="43D85F1D" w14:textId="77777777" w:rsidR="00BF6EE5" w:rsidRPr="00913636" w:rsidRDefault="00BF6EE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417885"/>
    <w:multiLevelType w:val="hybridMultilevel"/>
    <w:tmpl w:val="332A1F0C"/>
    <w:lvl w:ilvl="0" w:tplc="25685696">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FE52CF"/>
    <w:multiLevelType w:val="hybridMultilevel"/>
    <w:tmpl w:val="C00635EE"/>
    <w:lvl w:ilvl="0" w:tplc="9E664B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E207F"/>
    <w:multiLevelType w:val="hybridMultilevel"/>
    <w:tmpl w:val="2B5CCAEA"/>
    <w:lvl w:ilvl="0" w:tplc="F034B8F6">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5" w15:restartNumberingAfterBreak="0">
    <w:nsid w:val="20DA7387"/>
    <w:multiLevelType w:val="hybridMultilevel"/>
    <w:tmpl w:val="756E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E4F2A"/>
    <w:multiLevelType w:val="hybridMultilevel"/>
    <w:tmpl w:val="3C2E2ABE"/>
    <w:lvl w:ilvl="0" w:tplc="20C466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C0446"/>
    <w:multiLevelType w:val="hybridMultilevel"/>
    <w:tmpl w:val="B20E620E"/>
    <w:lvl w:ilvl="0" w:tplc="94E69F34">
      <w:start w:val="1"/>
      <w:numFmt w:val="decimal"/>
      <w:lvlText w:val="%1."/>
      <w:lvlJc w:val="left"/>
      <w:pPr>
        <w:ind w:left="930" w:hanging="570"/>
      </w:pPr>
      <w:rPr>
        <w:rFonts w:hint="default"/>
        <w:b/>
      </w:rPr>
    </w:lvl>
    <w:lvl w:ilvl="1" w:tplc="0E3EDAE2" w:tentative="1">
      <w:start w:val="1"/>
      <w:numFmt w:val="lowerLetter"/>
      <w:lvlText w:val="%2."/>
      <w:lvlJc w:val="left"/>
      <w:pPr>
        <w:ind w:left="1440" w:hanging="360"/>
      </w:pPr>
    </w:lvl>
    <w:lvl w:ilvl="2" w:tplc="AD369BAC" w:tentative="1">
      <w:start w:val="1"/>
      <w:numFmt w:val="lowerRoman"/>
      <w:lvlText w:val="%3."/>
      <w:lvlJc w:val="right"/>
      <w:pPr>
        <w:ind w:left="2160" w:hanging="180"/>
      </w:pPr>
    </w:lvl>
    <w:lvl w:ilvl="3" w:tplc="7A4671E6" w:tentative="1">
      <w:start w:val="1"/>
      <w:numFmt w:val="decimal"/>
      <w:lvlText w:val="%4."/>
      <w:lvlJc w:val="left"/>
      <w:pPr>
        <w:ind w:left="2880" w:hanging="360"/>
      </w:pPr>
    </w:lvl>
    <w:lvl w:ilvl="4" w:tplc="1AB4E828" w:tentative="1">
      <w:start w:val="1"/>
      <w:numFmt w:val="lowerLetter"/>
      <w:lvlText w:val="%5."/>
      <w:lvlJc w:val="left"/>
      <w:pPr>
        <w:ind w:left="3600" w:hanging="360"/>
      </w:pPr>
    </w:lvl>
    <w:lvl w:ilvl="5" w:tplc="CA3E680E" w:tentative="1">
      <w:start w:val="1"/>
      <w:numFmt w:val="lowerRoman"/>
      <w:lvlText w:val="%6."/>
      <w:lvlJc w:val="right"/>
      <w:pPr>
        <w:ind w:left="4320" w:hanging="180"/>
      </w:pPr>
    </w:lvl>
    <w:lvl w:ilvl="6" w:tplc="4CD63AAE" w:tentative="1">
      <w:start w:val="1"/>
      <w:numFmt w:val="decimal"/>
      <w:lvlText w:val="%7."/>
      <w:lvlJc w:val="left"/>
      <w:pPr>
        <w:ind w:left="5040" w:hanging="360"/>
      </w:pPr>
    </w:lvl>
    <w:lvl w:ilvl="7" w:tplc="9E6651C4" w:tentative="1">
      <w:start w:val="1"/>
      <w:numFmt w:val="lowerLetter"/>
      <w:lvlText w:val="%8."/>
      <w:lvlJc w:val="left"/>
      <w:pPr>
        <w:ind w:left="5760" w:hanging="360"/>
      </w:pPr>
    </w:lvl>
    <w:lvl w:ilvl="8" w:tplc="22BE36DE" w:tentative="1">
      <w:start w:val="1"/>
      <w:numFmt w:val="lowerRoman"/>
      <w:lvlText w:val="%9."/>
      <w:lvlJc w:val="right"/>
      <w:pPr>
        <w:ind w:left="6480" w:hanging="180"/>
      </w:pPr>
    </w:lvl>
  </w:abstractNum>
  <w:abstractNum w:abstractNumId="8" w15:restartNumberingAfterBreak="0">
    <w:nsid w:val="30F02CEA"/>
    <w:multiLevelType w:val="hybridMultilevel"/>
    <w:tmpl w:val="5980F0A0"/>
    <w:lvl w:ilvl="0" w:tplc="EBA47896">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141BA4"/>
    <w:multiLevelType w:val="hybridMultilevel"/>
    <w:tmpl w:val="E96EB902"/>
    <w:lvl w:ilvl="0" w:tplc="F9EC8C68">
      <w:start w:val="2"/>
      <w:numFmt w:val="upperLetter"/>
      <w:lvlText w:val="%1."/>
      <w:lvlJc w:val="left"/>
      <w:pPr>
        <w:tabs>
          <w:tab w:val="num" w:pos="1698"/>
        </w:tabs>
        <w:ind w:left="1698" w:hanging="705"/>
      </w:pPr>
      <w:rPr>
        <w:rFonts w:cs="Times New Roman" w:hint="default"/>
      </w:rPr>
    </w:lvl>
    <w:lvl w:ilvl="1" w:tplc="04270019" w:tentative="1">
      <w:start w:val="1"/>
      <w:numFmt w:val="lowerLetter"/>
      <w:lvlText w:val="%2."/>
      <w:lvlJc w:val="left"/>
      <w:pPr>
        <w:tabs>
          <w:tab w:val="num" w:pos="2073"/>
        </w:tabs>
        <w:ind w:left="2073" w:hanging="360"/>
      </w:pPr>
      <w:rPr>
        <w:rFonts w:cs="Times New Roman"/>
      </w:rPr>
    </w:lvl>
    <w:lvl w:ilvl="2" w:tplc="0427001B" w:tentative="1">
      <w:start w:val="1"/>
      <w:numFmt w:val="lowerRoman"/>
      <w:lvlText w:val="%3."/>
      <w:lvlJc w:val="right"/>
      <w:pPr>
        <w:tabs>
          <w:tab w:val="num" w:pos="2793"/>
        </w:tabs>
        <w:ind w:left="2793" w:hanging="180"/>
      </w:pPr>
      <w:rPr>
        <w:rFonts w:cs="Times New Roman"/>
      </w:rPr>
    </w:lvl>
    <w:lvl w:ilvl="3" w:tplc="0427000F" w:tentative="1">
      <w:start w:val="1"/>
      <w:numFmt w:val="decimal"/>
      <w:lvlText w:val="%4."/>
      <w:lvlJc w:val="left"/>
      <w:pPr>
        <w:tabs>
          <w:tab w:val="num" w:pos="3513"/>
        </w:tabs>
        <w:ind w:left="3513" w:hanging="360"/>
      </w:pPr>
      <w:rPr>
        <w:rFonts w:cs="Times New Roman"/>
      </w:rPr>
    </w:lvl>
    <w:lvl w:ilvl="4" w:tplc="04270019" w:tentative="1">
      <w:start w:val="1"/>
      <w:numFmt w:val="lowerLetter"/>
      <w:lvlText w:val="%5."/>
      <w:lvlJc w:val="left"/>
      <w:pPr>
        <w:tabs>
          <w:tab w:val="num" w:pos="4233"/>
        </w:tabs>
        <w:ind w:left="4233" w:hanging="360"/>
      </w:pPr>
      <w:rPr>
        <w:rFonts w:cs="Times New Roman"/>
      </w:rPr>
    </w:lvl>
    <w:lvl w:ilvl="5" w:tplc="0427001B" w:tentative="1">
      <w:start w:val="1"/>
      <w:numFmt w:val="lowerRoman"/>
      <w:lvlText w:val="%6."/>
      <w:lvlJc w:val="right"/>
      <w:pPr>
        <w:tabs>
          <w:tab w:val="num" w:pos="4953"/>
        </w:tabs>
        <w:ind w:left="4953" w:hanging="180"/>
      </w:pPr>
      <w:rPr>
        <w:rFonts w:cs="Times New Roman"/>
      </w:rPr>
    </w:lvl>
    <w:lvl w:ilvl="6" w:tplc="0427000F" w:tentative="1">
      <w:start w:val="1"/>
      <w:numFmt w:val="decimal"/>
      <w:lvlText w:val="%7."/>
      <w:lvlJc w:val="left"/>
      <w:pPr>
        <w:tabs>
          <w:tab w:val="num" w:pos="5673"/>
        </w:tabs>
        <w:ind w:left="5673" w:hanging="360"/>
      </w:pPr>
      <w:rPr>
        <w:rFonts w:cs="Times New Roman"/>
      </w:rPr>
    </w:lvl>
    <w:lvl w:ilvl="7" w:tplc="04270019" w:tentative="1">
      <w:start w:val="1"/>
      <w:numFmt w:val="lowerLetter"/>
      <w:lvlText w:val="%8."/>
      <w:lvlJc w:val="left"/>
      <w:pPr>
        <w:tabs>
          <w:tab w:val="num" w:pos="6393"/>
        </w:tabs>
        <w:ind w:left="6393" w:hanging="360"/>
      </w:pPr>
      <w:rPr>
        <w:rFonts w:cs="Times New Roman"/>
      </w:rPr>
    </w:lvl>
    <w:lvl w:ilvl="8" w:tplc="0427001B" w:tentative="1">
      <w:start w:val="1"/>
      <w:numFmt w:val="lowerRoman"/>
      <w:lvlText w:val="%9."/>
      <w:lvlJc w:val="right"/>
      <w:pPr>
        <w:tabs>
          <w:tab w:val="num" w:pos="7113"/>
        </w:tabs>
        <w:ind w:left="7113" w:hanging="180"/>
      </w:pPr>
      <w:rPr>
        <w:rFonts w:cs="Times New Roman"/>
      </w:rPr>
    </w:lvl>
  </w:abstractNum>
  <w:abstractNum w:abstractNumId="10" w15:restartNumberingAfterBreak="0">
    <w:nsid w:val="56943932"/>
    <w:multiLevelType w:val="hybridMultilevel"/>
    <w:tmpl w:val="F2067B54"/>
    <w:lvl w:ilvl="0" w:tplc="CD98E3BE">
      <w:start w:val="1"/>
      <w:numFmt w:val="bullet"/>
      <w:lvlText w:val="-"/>
      <w:lvlJc w:val="left"/>
      <w:pPr>
        <w:ind w:left="720" w:hanging="360"/>
      </w:pPr>
      <w:rPr>
        <w:rFonts w:ascii="TimesNewRomanPSMT" w:eastAsia="Times New Roman" w:hAnsi="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2" w15:restartNumberingAfterBreak="0">
    <w:nsid w:val="636F7392"/>
    <w:multiLevelType w:val="hybridMultilevel"/>
    <w:tmpl w:val="D8A48350"/>
    <w:lvl w:ilvl="0" w:tplc="FD6A52E2">
      <w:start w:val="1"/>
      <w:numFmt w:val="bullet"/>
      <w:lvlText w:val="-"/>
      <w:lvlJc w:val="righ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FF2281"/>
    <w:multiLevelType w:val="hybridMultilevel"/>
    <w:tmpl w:val="38A4774A"/>
    <w:lvl w:ilvl="0" w:tplc="EA5C66A4">
      <w:start w:val="1"/>
      <w:numFmt w:val="bullet"/>
      <w:pStyle w:val="BT-EMEASMCA"/>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4"/>
  </w:num>
  <w:num w:numId="2">
    <w:abstractNumId w:val="8"/>
  </w:num>
  <w:num w:numId="3">
    <w:abstractNumId w:val="0"/>
    <w:lvlOverride w:ilvl="0">
      <w:lvl w:ilvl="0">
        <w:start w:val="1"/>
        <w:numFmt w:val="bullet"/>
        <w:lvlText w:val="-"/>
        <w:lvlJc w:val="left"/>
        <w:pPr>
          <w:ind w:left="360" w:hanging="360"/>
        </w:pPr>
      </w:lvl>
    </w:lvlOverride>
  </w:num>
  <w:num w:numId="4">
    <w:abstractNumId w:val="9"/>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num>
  <w:num w:numId="8">
    <w:abstractNumId w:val="14"/>
  </w:num>
  <w:num w:numId="9">
    <w:abstractNumId w:val="1"/>
  </w:num>
  <w:num w:numId="10">
    <w:abstractNumId w:val="3"/>
  </w:num>
  <w:num w:numId="11">
    <w:abstractNumId w:val="10"/>
  </w:num>
  <w:num w:numId="12">
    <w:abstractNumId w:val="6"/>
  </w:num>
  <w:num w:numId="13">
    <w:abstractNumId w:val="7"/>
  </w:num>
  <w:num w:numId="14">
    <w:abstractNumId w:val="12"/>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87"/>
    <w:rsid w:val="000106DE"/>
    <w:rsid w:val="00012E6F"/>
    <w:rsid w:val="000254CB"/>
    <w:rsid w:val="00031C87"/>
    <w:rsid w:val="000360FA"/>
    <w:rsid w:val="000F3243"/>
    <w:rsid w:val="001014C5"/>
    <w:rsid w:val="001148B7"/>
    <w:rsid w:val="00144AD1"/>
    <w:rsid w:val="0017051A"/>
    <w:rsid w:val="001E0C7E"/>
    <w:rsid w:val="00223413"/>
    <w:rsid w:val="00227F7E"/>
    <w:rsid w:val="002450C4"/>
    <w:rsid w:val="0026101A"/>
    <w:rsid w:val="002B4008"/>
    <w:rsid w:val="002C0983"/>
    <w:rsid w:val="002E1D3F"/>
    <w:rsid w:val="002F59F0"/>
    <w:rsid w:val="00300D3D"/>
    <w:rsid w:val="003116C0"/>
    <w:rsid w:val="00314A80"/>
    <w:rsid w:val="00326671"/>
    <w:rsid w:val="00336AA5"/>
    <w:rsid w:val="0034567F"/>
    <w:rsid w:val="00360E4D"/>
    <w:rsid w:val="0036701C"/>
    <w:rsid w:val="00380D17"/>
    <w:rsid w:val="0039736C"/>
    <w:rsid w:val="003B2DA9"/>
    <w:rsid w:val="003B49C8"/>
    <w:rsid w:val="003D0893"/>
    <w:rsid w:val="003D4CF9"/>
    <w:rsid w:val="003F6255"/>
    <w:rsid w:val="00435DF5"/>
    <w:rsid w:val="004871E5"/>
    <w:rsid w:val="004A229D"/>
    <w:rsid w:val="004B0E19"/>
    <w:rsid w:val="004B306C"/>
    <w:rsid w:val="004B46BC"/>
    <w:rsid w:val="004D02D3"/>
    <w:rsid w:val="004D2D87"/>
    <w:rsid w:val="004D704D"/>
    <w:rsid w:val="004D7BA6"/>
    <w:rsid w:val="004E7426"/>
    <w:rsid w:val="004F6853"/>
    <w:rsid w:val="0050672E"/>
    <w:rsid w:val="0052477F"/>
    <w:rsid w:val="00544750"/>
    <w:rsid w:val="00545378"/>
    <w:rsid w:val="005535B0"/>
    <w:rsid w:val="005535F4"/>
    <w:rsid w:val="005617DB"/>
    <w:rsid w:val="00562A23"/>
    <w:rsid w:val="005720AB"/>
    <w:rsid w:val="00583B34"/>
    <w:rsid w:val="005A2276"/>
    <w:rsid w:val="005B1116"/>
    <w:rsid w:val="005C39E8"/>
    <w:rsid w:val="005D7C2E"/>
    <w:rsid w:val="005E26CC"/>
    <w:rsid w:val="005F0D01"/>
    <w:rsid w:val="005F586E"/>
    <w:rsid w:val="006002C5"/>
    <w:rsid w:val="00605DA1"/>
    <w:rsid w:val="006145FF"/>
    <w:rsid w:val="00630862"/>
    <w:rsid w:val="00643009"/>
    <w:rsid w:val="006500B3"/>
    <w:rsid w:val="0065442F"/>
    <w:rsid w:val="00655151"/>
    <w:rsid w:val="00657E14"/>
    <w:rsid w:val="00695BEC"/>
    <w:rsid w:val="006A6EB6"/>
    <w:rsid w:val="006E2961"/>
    <w:rsid w:val="006F22A7"/>
    <w:rsid w:val="006F3602"/>
    <w:rsid w:val="00726815"/>
    <w:rsid w:val="00727F05"/>
    <w:rsid w:val="00734637"/>
    <w:rsid w:val="00750E3D"/>
    <w:rsid w:val="00763BE0"/>
    <w:rsid w:val="0077289D"/>
    <w:rsid w:val="00784385"/>
    <w:rsid w:val="00794AAD"/>
    <w:rsid w:val="007D375C"/>
    <w:rsid w:val="007E37F4"/>
    <w:rsid w:val="007F34CF"/>
    <w:rsid w:val="0081201A"/>
    <w:rsid w:val="00834615"/>
    <w:rsid w:val="00834CD5"/>
    <w:rsid w:val="008606FD"/>
    <w:rsid w:val="00862793"/>
    <w:rsid w:val="00863853"/>
    <w:rsid w:val="008921AA"/>
    <w:rsid w:val="00893546"/>
    <w:rsid w:val="008A4B6E"/>
    <w:rsid w:val="008B1A61"/>
    <w:rsid w:val="008C0EE0"/>
    <w:rsid w:val="008C4532"/>
    <w:rsid w:val="008C7223"/>
    <w:rsid w:val="009057AA"/>
    <w:rsid w:val="0091349B"/>
    <w:rsid w:val="00913636"/>
    <w:rsid w:val="00931CF6"/>
    <w:rsid w:val="00942BF5"/>
    <w:rsid w:val="00954F70"/>
    <w:rsid w:val="00955ABC"/>
    <w:rsid w:val="00976D9F"/>
    <w:rsid w:val="009E7ACD"/>
    <w:rsid w:val="009F30BF"/>
    <w:rsid w:val="009F75C8"/>
    <w:rsid w:val="00A00999"/>
    <w:rsid w:val="00A659CB"/>
    <w:rsid w:val="00A6796E"/>
    <w:rsid w:val="00A716A1"/>
    <w:rsid w:val="00A77A1B"/>
    <w:rsid w:val="00A87573"/>
    <w:rsid w:val="00A94012"/>
    <w:rsid w:val="00A97FA0"/>
    <w:rsid w:val="00AA19FE"/>
    <w:rsid w:val="00AA3C51"/>
    <w:rsid w:val="00AD7201"/>
    <w:rsid w:val="00AF3AEF"/>
    <w:rsid w:val="00B119D0"/>
    <w:rsid w:val="00B2789D"/>
    <w:rsid w:val="00B3748D"/>
    <w:rsid w:val="00B62293"/>
    <w:rsid w:val="00B66AC6"/>
    <w:rsid w:val="00B9688D"/>
    <w:rsid w:val="00BB33D3"/>
    <w:rsid w:val="00BC6495"/>
    <w:rsid w:val="00BE26AA"/>
    <w:rsid w:val="00BF6EE5"/>
    <w:rsid w:val="00C00705"/>
    <w:rsid w:val="00C15CDB"/>
    <w:rsid w:val="00C20739"/>
    <w:rsid w:val="00C61088"/>
    <w:rsid w:val="00C8450A"/>
    <w:rsid w:val="00CB428C"/>
    <w:rsid w:val="00CC1323"/>
    <w:rsid w:val="00CC55E3"/>
    <w:rsid w:val="00CF18D4"/>
    <w:rsid w:val="00D022F5"/>
    <w:rsid w:val="00D16590"/>
    <w:rsid w:val="00D30F6A"/>
    <w:rsid w:val="00D35117"/>
    <w:rsid w:val="00D4205D"/>
    <w:rsid w:val="00D6053E"/>
    <w:rsid w:val="00D86FE7"/>
    <w:rsid w:val="00DA6883"/>
    <w:rsid w:val="00DB0628"/>
    <w:rsid w:val="00DC3456"/>
    <w:rsid w:val="00DD2AC1"/>
    <w:rsid w:val="00DE7EFC"/>
    <w:rsid w:val="00E068A0"/>
    <w:rsid w:val="00E07DB0"/>
    <w:rsid w:val="00E1107D"/>
    <w:rsid w:val="00E166B9"/>
    <w:rsid w:val="00E27D89"/>
    <w:rsid w:val="00E41D4C"/>
    <w:rsid w:val="00E50FD0"/>
    <w:rsid w:val="00E515EB"/>
    <w:rsid w:val="00E70E9A"/>
    <w:rsid w:val="00E74187"/>
    <w:rsid w:val="00E85634"/>
    <w:rsid w:val="00E86415"/>
    <w:rsid w:val="00E970BE"/>
    <w:rsid w:val="00E976C7"/>
    <w:rsid w:val="00EA0F34"/>
    <w:rsid w:val="00EB7966"/>
    <w:rsid w:val="00EE6002"/>
    <w:rsid w:val="00EF5EDF"/>
    <w:rsid w:val="00F103C2"/>
    <w:rsid w:val="00F14081"/>
    <w:rsid w:val="00F157FF"/>
    <w:rsid w:val="00F32898"/>
    <w:rsid w:val="00F37CFD"/>
    <w:rsid w:val="00F90310"/>
    <w:rsid w:val="00FD3231"/>
    <w:rsid w:val="00FF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8440"/>
  <w15:chartTrackingRefBased/>
  <w15:docId w15:val="{35D476BC-25EE-4A89-909B-635E7C96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17DB"/>
    <w:pPr>
      <w:tabs>
        <w:tab w:val="left" w:pos="567"/>
      </w:tabs>
      <w:spacing w:after="0" w:line="260" w:lineRule="exact"/>
    </w:pPr>
    <w:rPr>
      <w:rFonts w:ascii="Times New Roman" w:eastAsia="SimSun" w:hAnsi="Times New Roman" w:cs="Times New Roman"/>
      <w:lang w:val="lt-LT" w:eastAsia="zh-CN"/>
    </w:rPr>
  </w:style>
  <w:style w:type="paragraph" w:styleId="Antrat2">
    <w:name w:val="heading 2"/>
    <w:basedOn w:val="prastasis"/>
    <w:next w:val="prastasis"/>
    <w:link w:val="Antrat2Diagrama"/>
    <w:qFormat/>
    <w:rsid w:val="004D2D87"/>
    <w:pPr>
      <w:keepNext/>
      <w:spacing w:before="240" w:after="60"/>
      <w:outlineLvl w:val="1"/>
    </w:pPr>
    <w:rPr>
      <w:rFonts w:ascii="Helvetica" w:hAnsi="Helvetica"/>
      <w:b/>
      <w:bCs/>
      <w:i/>
      <w:iCs/>
      <w:sz w:val="24"/>
      <w:szCs w:val="24"/>
      <w:lang w:eastAsia="en-US"/>
    </w:rPr>
  </w:style>
  <w:style w:type="paragraph" w:styleId="Antrat3">
    <w:name w:val="heading 3"/>
    <w:basedOn w:val="prastasis"/>
    <w:next w:val="prastasis"/>
    <w:link w:val="Antrat3Diagrama"/>
    <w:qFormat/>
    <w:rsid w:val="004D2D87"/>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qFormat/>
    <w:rsid w:val="004D2D87"/>
    <w:pPr>
      <w:keepNext/>
      <w:jc w:val="both"/>
      <w:outlineLvl w:val="3"/>
    </w:pPr>
    <w:rPr>
      <w:rFonts w:eastAsia="Times New Roman"/>
      <w:b/>
      <w:bCs/>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D2D87"/>
    <w:rPr>
      <w:rFonts w:ascii="Helvetica" w:eastAsia="SimSun" w:hAnsi="Helvetica" w:cs="Times New Roman"/>
      <w:b/>
      <w:bCs/>
      <w:i/>
      <w:iCs/>
      <w:sz w:val="24"/>
      <w:szCs w:val="24"/>
      <w:lang w:val="en-GB"/>
    </w:rPr>
  </w:style>
  <w:style w:type="character" w:customStyle="1" w:styleId="Antrat3Diagrama">
    <w:name w:val="Antraštė 3 Diagrama"/>
    <w:basedOn w:val="Numatytasispastraiposriftas"/>
    <w:link w:val="Antrat3"/>
    <w:rsid w:val="004D2D87"/>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rsid w:val="004D2D87"/>
    <w:rPr>
      <w:rFonts w:ascii="Times New Roman" w:eastAsia="Times New Roman" w:hAnsi="Times New Roman" w:cs="Times New Roman"/>
      <w:b/>
      <w:bCs/>
      <w:noProof/>
      <w:lang w:val="en-GB"/>
    </w:rPr>
  </w:style>
  <w:style w:type="paragraph" w:styleId="Porat">
    <w:name w:val="footer"/>
    <w:basedOn w:val="prastasis"/>
    <w:link w:val="PoratDiagrama"/>
    <w:rsid w:val="004D2D87"/>
    <w:pPr>
      <w:tabs>
        <w:tab w:val="center" w:pos="4536"/>
        <w:tab w:val="right" w:pos="8306"/>
      </w:tabs>
    </w:pPr>
    <w:rPr>
      <w:rFonts w:ascii="Arial" w:hAnsi="Arial"/>
      <w:noProof/>
      <w:sz w:val="16"/>
      <w:szCs w:val="16"/>
      <w:lang w:val="en-US"/>
    </w:rPr>
  </w:style>
  <w:style w:type="character" w:customStyle="1" w:styleId="PoratDiagrama">
    <w:name w:val="Poraštė Diagrama"/>
    <w:basedOn w:val="Numatytasispastraiposriftas"/>
    <w:link w:val="Porat"/>
    <w:rsid w:val="004D2D87"/>
    <w:rPr>
      <w:rFonts w:ascii="Arial" w:eastAsia="SimSun" w:hAnsi="Arial" w:cs="Times New Roman"/>
      <w:noProof/>
      <w:sz w:val="16"/>
      <w:szCs w:val="16"/>
      <w:lang w:eastAsia="zh-CN"/>
    </w:rPr>
  </w:style>
  <w:style w:type="character" w:styleId="Puslapionumeris">
    <w:name w:val="page number"/>
    <w:basedOn w:val="Numatytasispastraiposriftas"/>
    <w:rsid w:val="004D2D87"/>
  </w:style>
  <w:style w:type="character" w:styleId="Hipersaitas">
    <w:name w:val="Hyperlink"/>
    <w:rsid w:val="004D2D87"/>
    <w:rPr>
      <w:color w:val="0000FF"/>
      <w:u w:val="single"/>
    </w:rPr>
  </w:style>
  <w:style w:type="paragraph" w:styleId="Pagrindiniotekstotrauka">
    <w:name w:val="Body Text Indent"/>
    <w:basedOn w:val="prastasis"/>
    <w:link w:val="PagrindiniotekstotraukaDiagrama"/>
    <w:rsid w:val="004D2D87"/>
    <w:pPr>
      <w:tabs>
        <w:tab w:val="clear" w:pos="567"/>
      </w:tabs>
      <w:autoSpaceDE w:val="0"/>
      <w:autoSpaceDN w:val="0"/>
      <w:adjustRightInd w:val="0"/>
      <w:spacing w:line="240" w:lineRule="auto"/>
      <w:ind w:left="720"/>
      <w:jc w:val="both"/>
    </w:pPr>
    <w:rPr>
      <w:rFonts w:eastAsia="Times New Roman"/>
      <w:lang w:eastAsia="en-GB"/>
    </w:rPr>
  </w:style>
  <w:style w:type="character" w:customStyle="1" w:styleId="PagrindiniotekstotraukaDiagrama">
    <w:name w:val="Pagrindinio teksto įtrauka Diagrama"/>
    <w:basedOn w:val="Numatytasispastraiposriftas"/>
    <w:link w:val="Pagrindiniotekstotrauka"/>
    <w:rsid w:val="004D2D87"/>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4D2D87"/>
    <w:pPr>
      <w:tabs>
        <w:tab w:val="clear" w:pos="567"/>
      </w:tabs>
      <w:autoSpaceDE w:val="0"/>
      <w:autoSpaceDN w:val="0"/>
      <w:adjustRightInd w:val="0"/>
      <w:spacing w:line="240" w:lineRule="auto"/>
      <w:jc w:val="both"/>
    </w:pPr>
    <w:rPr>
      <w:rFonts w:eastAsia="Times New Roman"/>
      <w:color w:val="0000FF"/>
      <w:lang w:eastAsia="en-GB"/>
    </w:rPr>
  </w:style>
  <w:style w:type="character" w:customStyle="1" w:styleId="Pagrindinistekstas3Diagrama">
    <w:name w:val="Pagrindinis tekstas 3 Diagrama"/>
    <w:basedOn w:val="Numatytasispastraiposriftas"/>
    <w:link w:val="Pagrindinistekstas3"/>
    <w:rsid w:val="004D2D87"/>
    <w:rPr>
      <w:rFonts w:ascii="Times New Roman" w:eastAsia="Times New Roman" w:hAnsi="Times New Roman" w:cs="Times New Roman"/>
      <w:color w:val="0000FF"/>
      <w:lang w:val="en-GB" w:eastAsia="en-GB"/>
    </w:rPr>
  </w:style>
  <w:style w:type="paragraph" w:styleId="Pagrindinistekstas">
    <w:name w:val="Body Text"/>
    <w:basedOn w:val="prastasis"/>
    <w:link w:val="PagrindinistekstasDiagrama"/>
    <w:rsid w:val="004D2D87"/>
    <w:pPr>
      <w:tabs>
        <w:tab w:val="clear" w:pos="567"/>
      </w:tabs>
      <w:spacing w:line="240" w:lineRule="auto"/>
    </w:pPr>
    <w:rPr>
      <w:rFonts w:eastAsia="Times New Roman"/>
      <w:i/>
      <w:iCs/>
      <w:color w:val="008000"/>
      <w:lang w:eastAsia="en-US"/>
    </w:rPr>
  </w:style>
  <w:style w:type="character" w:customStyle="1" w:styleId="PagrindinistekstasDiagrama">
    <w:name w:val="Pagrindinis tekstas Diagrama"/>
    <w:basedOn w:val="Numatytasispastraiposriftas"/>
    <w:link w:val="Pagrindinistekstas"/>
    <w:rsid w:val="004D2D87"/>
    <w:rPr>
      <w:rFonts w:ascii="Times New Roman" w:eastAsia="Times New Roman" w:hAnsi="Times New Roman" w:cs="Times New Roman"/>
      <w:i/>
      <w:iCs/>
      <w:color w:val="008000"/>
      <w:lang w:val="en-GB"/>
    </w:rPr>
  </w:style>
  <w:style w:type="paragraph" w:customStyle="1" w:styleId="AHeader1">
    <w:name w:val="AHeader 1"/>
    <w:basedOn w:val="prastasis"/>
    <w:rsid w:val="004D2D87"/>
    <w:pPr>
      <w:numPr>
        <w:numId w:val="1"/>
      </w:numPr>
      <w:tabs>
        <w:tab w:val="clear" w:pos="567"/>
      </w:tabs>
      <w:spacing w:after="120" w:line="240" w:lineRule="auto"/>
    </w:pPr>
    <w:rPr>
      <w:rFonts w:ascii="Arial" w:hAnsi="Arial" w:cs="Arial"/>
      <w:b/>
      <w:bCs/>
      <w:sz w:val="24"/>
      <w:szCs w:val="24"/>
      <w:lang w:eastAsia="en-US"/>
    </w:rPr>
  </w:style>
  <w:style w:type="paragraph" w:customStyle="1" w:styleId="AHeader2">
    <w:name w:val="AHeader 2"/>
    <w:basedOn w:val="AHeader1"/>
    <w:rsid w:val="004D2D87"/>
    <w:pPr>
      <w:numPr>
        <w:ilvl w:val="1"/>
      </w:numPr>
    </w:pPr>
    <w:rPr>
      <w:sz w:val="22"/>
      <w:szCs w:val="22"/>
    </w:rPr>
  </w:style>
  <w:style w:type="paragraph" w:customStyle="1" w:styleId="AHeader3">
    <w:name w:val="AHeader 3"/>
    <w:basedOn w:val="AHeader2"/>
    <w:rsid w:val="004D2D87"/>
    <w:pPr>
      <w:numPr>
        <w:ilvl w:val="2"/>
      </w:numPr>
    </w:pPr>
  </w:style>
  <w:style w:type="paragraph" w:customStyle="1" w:styleId="AHeader2abc">
    <w:name w:val="AHeader 2 abc"/>
    <w:basedOn w:val="AHeader3"/>
    <w:rsid w:val="004D2D87"/>
    <w:pPr>
      <w:numPr>
        <w:ilvl w:val="3"/>
      </w:numPr>
      <w:jc w:val="both"/>
    </w:pPr>
    <w:rPr>
      <w:b w:val="0"/>
      <w:bCs w:val="0"/>
    </w:rPr>
  </w:style>
  <w:style w:type="paragraph" w:customStyle="1" w:styleId="AHeader3abc">
    <w:name w:val="AHeader 3 abc"/>
    <w:basedOn w:val="AHeader2abc"/>
    <w:rsid w:val="004D2D87"/>
    <w:pPr>
      <w:numPr>
        <w:ilvl w:val="4"/>
      </w:numPr>
    </w:pPr>
  </w:style>
  <w:style w:type="paragraph" w:customStyle="1" w:styleId="TabletextrowsAgency">
    <w:name w:val="Table text rows (Agency)"/>
    <w:basedOn w:val="prastasis"/>
    <w:rsid w:val="004D2D87"/>
    <w:pPr>
      <w:tabs>
        <w:tab w:val="clear" w:pos="567"/>
      </w:tabs>
      <w:spacing w:line="280" w:lineRule="exact"/>
    </w:pPr>
    <w:rPr>
      <w:rFonts w:ascii="Verdana" w:hAnsi="Verdana" w:cs="Verdana"/>
      <w:sz w:val="18"/>
      <w:szCs w:val="18"/>
    </w:rPr>
  </w:style>
  <w:style w:type="paragraph" w:styleId="Paprastasistekstas">
    <w:name w:val="Plain Text"/>
    <w:basedOn w:val="prastasis"/>
    <w:link w:val="PaprastasistekstasDiagrama"/>
    <w:rsid w:val="004D2D87"/>
    <w:pPr>
      <w:tabs>
        <w:tab w:val="clear" w:pos="567"/>
      </w:tabs>
      <w:spacing w:line="240" w:lineRule="auto"/>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rsid w:val="004D2D87"/>
    <w:rPr>
      <w:rFonts w:ascii="Courier New" w:eastAsia="SimSun" w:hAnsi="Courier New" w:cs="Times New Roman"/>
      <w:sz w:val="20"/>
      <w:szCs w:val="20"/>
    </w:rPr>
  </w:style>
  <w:style w:type="paragraph" w:customStyle="1" w:styleId="BTEMEASMCA">
    <w:name w:val="BT EMEA_SMCA"/>
    <w:basedOn w:val="prastasis"/>
    <w:link w:val="BTEMEASMCAChar"/>
    <w:autoRedefine/>
    <w:rsid w:val="00FD3231"/>
    <w:pPr>
      <w:tabs>
        <w:tab w:val="clear" w:pos="567"/>
      </w:tabs>
      <w:spacing w:line="240" w:lineRule="auto"/>
    </w:pPr>
    <w:rPr>
      <w:noProof/>
      <w:lang w:eastAsia="en-US"/>
    </w:rPr>
  </w:style>
  <w:style w:type="character" w:customStyle="1" w:styleId="BTEMEASMCAChar">
    <w:name w:val="BT EMEA_SMCA Char"/>
    <w:link w:val="BTEMEASMCA"/>
    <w:locked/>
    <w:rsid w:val="00FD3231"/>
    <w:rPr>
      <w:rFonts w:ascii="Times New Roman" w:eastAsia="SimSun" w:hAnsi="Times New Roman" w:cs="Times New Roman"/>
      <w:noProof/>
      <w:lang w:val="lt-LT"/>
    </w:rPr>
  </w:style>
  <w:style w:type="character" w:customStyle="1" w:styleId="shorttext">
    <w:name w:val="short_text"/>
    <w:rsid w:val="004D2D87"/>
  </w:style>
  <w:style w:type="character" w:customStyle="1" w:styleId="hps">
    <w:name w:val="hps"/>
    <w:rsid w:val="004D2D87"/>
  </w:style>
  <w:style w:type="paragraph" w:customStyle="1" w:styleId="PI-1labEMEASMCA">
    <w:name w:val="PI-1_lab EMEA_SMCA"/>
    <w:basedOn w:val="prastasis"/>
    <w:link w:val="PI-1labEMEASMCAChar"/>
    <w:autoRedefine/>
    <w:rsid w:val="004D2D87"/>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Times New Roman"/>
      <w:b/>
      <w:noProof/>
      <w:szCs w:val="20"/>
      <w:lang w:eastAsia="en-US"/>
    </w:rPr>
  </w:style>
  <w:style w:type="character" w:customStyle="1" w:styleId="PI-1labEMEASMCAChar">
    <w:name w:val="PI-1_lab EMEA_SMCA Char"/>
    <w:link w:val="PI-1labEMEASMCA"/>
    <w:locked/>
    <w:rsid w:val="004D2D87"/>
    <w:rPr>
      <w:rFonts w:ascii="Times New Roman" w:eastAsia="Times New Roman" w:hAnsi="Times New Roman" w:cs="Times New Roman"/>
      <w:b/>
      <w:noProof/>
      <w:szCs w:val="20"/>
      <w:lang w:val="lt-LT"/>
    </w:rPr>
  </w:style>
  <w:style w:type="paragraph" w:customStyle="1" w:styleId="BT-EMEASMCA">
    <w:name w:val="BT- EMEA_SMCA"/>
    <w:basedOn w:val="BTEMEASMCA"/>
    <w:autoRedefine/>
    <w:rsid w:val="00E74187"/>
    <w:pPr>
      <w:numPr>
        <w:numId w:val="6"/>
      </w:numPr>
      <w:ind w:left="567" w:hanging="567"/>
    </w:pPr>
  </w:style>
  <w:style w:type="paragraph" w:customStyle="1" w:styleId="PI-3EMEASMCA">
    <w:name w:val="PI-3 EMEA_SMCA"/>
    <w:basedOn w:val="prastasis"/>
    <w:autoRedefine/>
    <w:rsid w:val="004D2D87"/>
    <w:pPr>
      <w:tabs>
        <w:tab w:val="clear" w:pos="567"/>
      </w:tabs>
      <w:spacing w:line="220" w:lineRule="exact"/>
    </w:pPr>
    <w:rPr>
      <w:b/>
      <w:bCs/>
      <w:lang w:eastAsia="en-US"/>
    </w:rPr>
  </w:style>
  <w:style w:type="paragraph" w:customStyle="1" w:styleId="BTuEMEASMCA">
    <w:name w:val="BT(u) EMEA_SMCA"/>
    <w:basedOn w:val="BTEMEASMCA"/>
    <w:link w:val="BTuEMEASMCAChar"/>
    <w:autoRedefine/>
    <w:rsid w:val="004D2D87"/>
    <w:pPr>
      <w:tabs>
        <w:tab w:val="left" w:pos="360"/>
      </w:tabs>
    </w:pPr>
    <w:rPr>
      <w:u w:val="single"/>
    </w:rPr>
  </w:style>
  <w:style w:type="paragraph" w:customStyle="1" w:styleId="BTbEMEASMCA">
    <w:name w:val="BT(b) EMEA_SMCA"/>
    <w:basedOn w:val="BTEMEASMCA"/>
    <w:autoRedefine/>
    <w:rsid w:val="004D2D87"/>
    <w:pPr>
      <w:tabs>
        <w:tab w:val="left" w:pos="360"/>
      </w:tabs>
    </w:pPr>
    <w:rPr>
      <w:bCs/>
      <w:noProof w:val="0"/>
      <w:lang w:val="fi-FI"/>
    </w:rPr>
  </w:style>
  <w:style w:type="paragraph" w:customStyle="1" w:styleId="BTEMEASMCADiagramaDiagramaDiagrama">
    <w:name w:val="BT EMEA_SMCA Diagrama Diagrama Diagrama"/>
    <w:basedOn w:val="prastasis"/>
    <w:autoRedefine/>
    <w:rsid w:val="006A6EB6"/>
    <w:pPr>
      <w:spacing w:line="240" w:lineRule="auto"/>
    </w:pPr>
    <w:rPr>
      <w:rFonts w:eastAsia="Times New Roman"/>
      <w:lang w:eastAsia="en-US"/>
    </w:rPr>
  </w:style>
  <w:style w:type="paragraph" w:styleId="HTMLadresas">
    <w:name w:val="HTML Address"/>
    <w:basedOn w:val="prastasis"/>
    <w:link w:val="HTMLadresasDiagrama"/>
    <w:rsid w:val="004D2D87"/>
    <w:rPr>
      <w:i/>
      <w:iCs/>
    </w:rPr>
  </w:style>
  <w:style w:type="character" w:customStyle="1" w:styleId="HTMLadresasDiagrama">
    <w:name w:val="HTML adresas Diagrama"/>
    <w:basedOn w:val="Numatytasispastraiposriftas"/>
    <w:link w:val="HTMLadresas"/>
    <w:rsid w:val="004D2D87"/>
    <w:rPr>
      <w:rFonts w:ascii="Times New Roman" w:eastAsia="SimSun" w:hAnsi="Times New Roman" w:cs="Times New Roman"/>
      <w:i/>
      <w:iCs/>
      <w:lang w:val="en-GB" w:eastAsia="zh-CN"/>
    </w:rPr>
  </w:style>
  <w:style w:type="character" w:customStyle="1" w:styleId="BTuEMEASMCAChar">
    <w:name w:val="BT(u) EMEA_SMCA Char"/>
    <w:link w:val="BTuEMEASMCA"/>
    <w:locked/>
    <w:rsid w:val="004D2D87"/>
    <w:rPr>
      <w:rFonts w:ascii="Times New Roman" w:eastAsia="SimSun" w:hAnsi="Times New Roman" w:cs="Times New Roman"/>
      <w:noProof/>
      <w:u w:val="single"/>
      <w:lang w:val="lt-LT"/>
    </w:rPr>
  </w:style>
  <w:style w:type="character" w:styleId="Emfaz">
    <w:name w:val="Emphasis"/>
    <w:qFormat/>
    <w:rsid w:val="004D2D87"/>
    <w:rPr>
      <w:i/>
    </w:rPr>
  </w:style>
  <w:style w:type="paragraph" w:styleId="Antrats">
    <w:name w:val="header"/>
    <w:basedOn w:val="prastasis"/>
    <w:link w:val="AntratsDiagrama"/>
    <w:rsid w:val="004D2D87"/>
    <w:pPr>
      <w:tabs>
        <w:tab w:val="clear" w:pos="567"/>
        <w:tab w:val="center" w:pos="4320"/>
        <w:tab w:val="right" w:pos="8640"/>
      </w:tabs>
    </w:pPr>
    <w:rPr>
      <w:sz w:val="20"/>
      <w:szCs w:val="20"/>
    </w:rPr>
  </w:style>
  <w:style w:type="character" w:customStyle="1" w:styleId="AntratsDiagrama">
    <w:name w:val="Antraštės Diagrama"/>
    <w:basedOn w:val="Numatytasispastraiposriftas"/>
    <w:link w:val="Antrats"/>
    <w:rsid w:val="004D2D87"/>
    <w:rPr>
      <w:rFonts w:ascii="Times New Roman" w:eastAsia="SimSun" w:hAnsi="Times New Roman" w:cs="Times New Roman"/>
      <w:sz w:val="20"/>
      <w:szCs w:val="20"/>
      <w:lang w:val="en-GB" w:eastAsia="zh-CN"/>
    </w:rPr>
  </w:style>
  <w:style w:type="paragraph" w:customStyle="1" w:styleId="BodytextAgency">
    <w:name w:val="Body text (Agency)"/>
    <w:basedOn w:val="prastasis"/>
    <w:link w:val="BodytextAgencyChar"/>
    <w:uiPriority w:val="99"/>
    <w:qFormat/>
    <w:rsid w:val="004D2D87"/>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sid w:val="004D2D87"/>
    <w:rPr>
      <w:rFonts w:ascii="Verdana" w:eastAsia="Verdana" w:hAnsi="Verdana" w:cs="Verdana"/>
      <w:sz w:val="18"/>
      <w:szCs w:val="18"/>
      <w:lang w:val="en-GB" w:eastAsia="en-GB"/>
    </w:rPr>
  </w:style>
  <w:style w:type="paragraph" w:customStyle="1" w:styleId="TableParagraph">
    <w:name w:val="Table Paragraph"/>
    <w:basedOn w:val="prastasis"/>
    <w:uiPriority w:val="1"/>
    <w:qFormat/>
    <w:rsid w:val="004D2D87"/>
    <w:pPr>
      <w:widowControl w:val="0"/>
      <w:tabs>
        <w:tab w:val="clear" w:pos="567"/>
      </w:tabs>
      <w:autoSpaceDE w:val="0"/>
      <w:autoSpaceDN w:val="0"/>
      <w:adjustRightInd w:val="0"/>
      <w:spacing w:before="64" w:line="240" w:lineRule="auto"/>
      <w:ind w:left="103"/>
    </w:pPr>
    <w:rPr>
      <w:rFonts w:ascii="Verdana" w:eastAsia="Times New Roman" w:hAnsi="Verdana" w:cs="Verdana"/>
      <w:sz w:val="24"/>
      <w:szCs w:val="24"/>
      <w:lang w:val="bg-BG" w:eastAsia="bg-BG"/>
    </w:rPr>
  </w:style>
  <w:style w:type="paragraph" w:styleId="Debesliotekstas">
    <w:name w:val="Balloon Text"/>
    <w:basedOn w:val="prastasis"/>
    <w:link w:val="DebesliotekstasDiagrama"/>
    <w:uiPriority w:val="99"/>
    <w:semiHidden/>
    <w:unhideWhenUsed/>
    <w:rsid w:val="004D2D87"/>
    <w:pPr>
      <w:spacing w:line="240" w:lineRule="auto"/>
    </w:pPr>
    <w:rPr>
      <w:sz w:val="18"/>
      <w:szCs w:val="18"/>
    </w:rPr>
  </w:style>
  <w:style w:type="character" w:customStyle="1" w:styleId="DebesliotekstasDiagrama">
    <w:name w:val="Debesėlio tekstas Diagrama"/>
    <w:basedOn w:val="Numatytasispastraiposriftas"/>
    <w:link w:val="Debesliotekstas"/>
    <w:uiPriority w:val="99"/>
    <w:semiHidden/>
    <w:rsid w:val="004D2D87"/>
    <w:rPr>
      <w:rFonts w:ascii="Times New Roman" w:eastAsia="SimSun" w:hAnsi="Times New Roman" w:cs="Times New Roman"/>
      <w:sz w:val="18"/>
      <w:szCs w:val="18"/>
      <w:lang w:val="en-GB" w:eastAsia="zh-CN"/>
    </w:rPr>
  </w:style>
  <w:style w:type="paragraph" w:styleId="Sraopastraipa">
    <w:name w:val="List Paragraph"/>
    <w:basedOn w:val="prastasis"/>
    <w:uiPriority w:val="34"/>
    <w:qFormat/>
    <w:rsid w:val="004D2D87"/>
    <w:pPr>
      <w:ind w:left="720"/>
      <w:contextualSpacing/>
    </w:pPr>
  </w:style>
  <w:style w:type="paragraph" w:styleId="Pataisymai">
    <w:name w:val="Revision"/>
    <w:hidden/>
    <w:uiPriority w:val="99"/>
    <w:semiHidden/>
    <w:rsid w:val="005617DB"/>
    <w:pPr>
      <w:spacing w:after="0" w:line="240" w:lineRule="auto"/>
    </w:pPr>
    <w:rPr>
      <w:rFonts w:ascii="Times New Roman" w:eastAsia="SimSun" w:hAnsi="Times New Roman" w:cs="Times New Roman"/>
      <w:lang w:val="en-GB" w:eastAsia="zh-CN"/>
    </w:rPr>
  </w:style>
  <w:style w:type="character" w:customStyle="1" w:styleId="UnresolvedMention1">
    <w:name w:val="Unresolved Mention1"/>
    <w:basedOn w:val="Numatytasispastraiposriftas"/>
    <w:uiPriority w:val="99"/>
    <w:semiHidden/>
    <w:unhideWhenUsed/>
    <w:rsid w:val="00734637"/>
    <w:rPr>
      <w:color w:val="605E5C"/>
      <w:shd w:val="clear" w:color="auto" w:fill="E1DFDD"/>
    </w:rPr>
  </w:style>
  <w:style w:type="character" w:styleId="Komentaronuoroda">
    <w:name w:val="annotation reference"/>
    <w:basedOn w:val="Numatytasispastraiposriftas"/>
    <w:uiPriority w:val="99"/>
    <w:semiHidden/>
    <w:unhideWhenUsed/>
    <w:rsid w:val="00031C87"/>
    <w:rPr>
      <w:sz w:val="16"/>
      <w:szCs w:val="16"/>
    </w:rPr>
  </w:style>
  <w:style w:type="paragraph" w:styleId="Komentarotekstas">
    <w:name w:val="annotation text"/>
    <w:basedOn w:val="prastasis"/>
    <w:link w:val="KomentarotekstasDiagrama"/>
    <w:uiPriority w:val="99"/>
    <w:unhideWhenUsed/>
    <w:rsid w:val="00031C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1C87"/>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031C87"/>
    <w:rPr>
      <w:b/>
      <w:bCs/>
    </w:rPr>
  </w:style>
  <w:style w:type="character" w:customStyle="1" w:styleId="KomentarotemaDiagrama">
    <w:name w:val="Komentaro tema Diagrama"/>
    <w:basedOn w:val="KomentarotekstasDiagrama"/>
    <w:link w:val="Komentarotema"/>
    <w:uiPriority w:val="99"/>
    <w:semiHidden/>
    <w:rsid w:val="00031C87"/>
    <w:rPr>
      <w:rFonts w:ascii="Times New Roman" w:eastAsia="SimSun" w:hAnsi="Times New Roman" w:cs="Times New Roman"/>
      <w:b/>
      <w:bCs/>
      <w:sz w:val="20"/>
      <w:szCs w:val="20"/>
      <w:lang w:val="en-GB" w:eastAsia="zh-CN"/>
    </w:rPr>
  </w:style>
  <w:style w:type="character" w:customStyle="1" w:styleId="UnresolvedMention">
    <w:name w:val="Unresolved Mention"/>
    <w:basedOn w:val="Numatytasispastraiposriftas"/>
    <w:uiPriority w:val="99"/>
    <w:semiHidden/>
    <w:unhideWhenUsed/>
    <w:rsid w:val="00834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31208</Words>
  <Characters>17789</Characters>
  <Application>Microsoft Office Word</Application>
  <DocSecurity>4</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2025-04-15T12:01:00Z</dcterms:created>
  <dcterms:modified xsi:type="dcterms:W3CDTF">2025-04-15T12:01:00Z</dcterms:modified>
</cp:coreProperties>
</file>