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705" w:rsidRPr="00834CD5" w:rsidRDefault="00710705" w:rsidP="00710705">
      <w:pPr>
        <w:pStyle w:val="Antrat2"/>
        <w:spacing w:before="0" w:after="0" w:line="240" w:lineRule="auto"/>
        <w:jc w:val="center"/>
        <w:rPr>
          <w:rFonts w:ascii="Times New Roman" w:hAnsi="Times New Roman"/>
          <w:i w:val="0"/>
          <w:sz w:val="22"/>
        </w:rPr>
      </w:pPr>
      <w:r w:rsidRPr="00834CD5">
        <w:rPr>
          <w:rFonts w:ascii="Times New Roman" w:hAnsi="Times New Roman"/>
          <w:i w:val="0"/>
          <w:sz w:val="22"/>
        </w:rPr>
        <w:t>Pakuotės lapelis: informacija vartotojui</w:t>
      </w:r>
    </w:p>
    <w:p w:rsidR="00710705" w:rsidRPr="00834CD5" w:rsidRDefault="00710705" w:rsidP="00710705">
      <w:pPr>
        <w:numPr>
          <w:ilvl w:val="12"/>
          <w:numId w:val="0"/>
        </w:numPr>
        <w:shd w:val="clear" w:color="auto" w:fill="FFFFFF"/>
        <w:tabs>
          <w:tab w:val="clear" w:pos="567"/>
        </w:tabs>
        <w:spacing w:line="240" w:lineRule="auto"/>
        <w:jc w:val="center"/>
      </w:pPr>
    </w:p>
    <w:p w:rsidR="00710705" w:rsidRPr="00834CD5" w:rsidRDefault="00710705" w:rsidP="00710705">
      <w:pPr>
        <w:jc w:val="center"/>
        <w:rPr>
          <w:b/>
        </w:rPr>
      </w:pPr>
      <w:proofErr w:type="spellStart"/>
      <w:r w:rsidRPr="00834CD5">
        <w:rPr>
          <w:b/>
        </w:rPr>
        <w:t>Analgin</w:t>
      </w:r>
      <w:proofErr w:type="spellEnd"/>
      <w:r w:rsidRPr="00834CD5">
        <w:rPr>
          <w:b/>
        </w:rPr>
        <w:t xml:space="preserve"> </w:t>
      </w:r>
      <w:proofErr w:type="spellStart"/>
      <w:r w:rsidRPr="00834CD5">
        <w:rPr>
          <w:b/>
        </w:rPr>
        <w:t>Sopharma</w:t>
      </w:r>
      <w:proofErr w:type="spellEnd"/>
      <w:r w:rsidRPr="00834CD5">
        <w:rPr>
          <w:b/>
        </w:rPr>
        <w:t xml:space="preserve"> 500 mg tabletės</w:t>
      </w:r>
    </w:p>
    <w:p w:rsidR="00710705" w:rsidRPr="00834CD5" w:rsidRDefault="00710705" w:rsidP="00710705">
      <w:pPr>
        <w:jc w:val="center"/>
      </w:pPr>
      <w:proofErr w:type="spellStart"/>
      <w:r w:rsidRPr="00834CD5">
        <w:t>metamizolo</w:t>
      </w:r>
      <w:proofErr w:type="spellEnd"/>
      <w:r w:rsidRPr="00834CD5">
        <w:t xml:space="preserve"> natrio druska</w:t>
      </w:r>
    </w:p>
    <w:p w:rsidR="00710705" w:rsidRPr="00834CD5" w:rsidRDefault="00710705" w:rsidP="00710705">
      <w:pPr>
        <w:jc w:val="center"/>
      </w:pPr>
    </w:p>
    <w:p w:rsidR="00710705" w:rsidRPr="00834CD5" w:rsidRDefault="00710705" w:rsidP="00710705">
      <w:pPr>
        <w:tabs>
          <w:tab w:val="clear" w:pos="567"/>
        </w:tabs>
        <w:spacing w:line="240" w:lineRule="auto"/>
      </w:pPr>
    </w:p>
    <w:p w:rsidR="00710705" w:rsidRPr="00834CD5" w:rsidRDefault="00710705" w:rsidP="00710705">
      <w:pPr>
        <w:tabs>
          <w:tab w:val="clear" w:pos="567"/>
        </w:tabs>
        <w:suppressAutoHyphens/>
        <w:spacing w:line="240" w:lineRule="auto"/>
      </w:pPr>
      <w:r w:rsidRPr="00834CD5">
        <w:rPr>
          <w:b/>
        </w:rPr>
        <w:t>Atidžiai perskaitykite visą šį lapelį, prieš pradėdami vartoti vaistą, nes jame pateikiama Jums svarbi informacija.</w:t>
      </w:r>
    </w:p>
    <w:p w:rsidR="00710705" w:rsidRPr="00834CD5" w:rsidRDefault="00710705" w:rsidP="00710705">
      <w:pPr>
        <w:numPr>
          <w:ilvl w:val="0"/>
          <w:numId w:val="1"/>
        </w:numPr>
        <w:tabs>
          <w:tab w:val="clear" w:pos="567"/>
        </w:tabs>
        <w:spacing w:line="240" w:lineRule="auto"/>
        <w:ind w:left="567" w:right="-2" w:hanging="567"/>
      </w:pPr>
      <w:r w:rsidRPr="00834CD5">
        <w:t xml:space="preserve">Neišmeskite šio lapelio, nes vėl gali prireikti jį perskaityti. </w:t>
      </w:r>
    </w:p>
    <w:p w:rsidR="00710705" w:rsidRPr="00834CD5" w:rsidRDefault="00710705" w:rsidP="00710705">
      <w:pPr>
        <w:numPr>
          <w:ilvl w:val="0"/>
          <w:numId w:val="1"/>
        </w:numPr>
        <w:tabs>
          <w:tab w:val="clear" w:pos="567"/>
        </w:tabs>
        <w:spacing w:line="240" w:lineRule="auto"/>
        <w:ind w:left="567" w:right="-2" w:hanging="567"/>
      </w:pPr>
      <w:r w:rsidRPr="00834CD5">
        <w:t>Jeigu kiltų daugiau klausimų, kreipkitės į gydytoją arba vaistininką.</w:t>
      </w:r>
    </w:p>
    <w:p w:rsidR="00710705" w:rsidRPr="00834CD5" w:rsidRDefault="00710705" w:rsidP="00710705">
      <w:pPr>
        <w:spacing w:line="240" w:lineRule="auto"/>
        <w:ind w:left="567" w:right="-2" w:hanging="567"/>
      </w:pPr>
      <w:r w:rsidRPr="00834CD5">
        <w:t>-</w:t>
      </w:r>
      <w:r w:rsidRPr="00834CD5">
        <w:tab/>
        <w:t>Šis vaistas skirtas tik Jums, todėl kitiems žmonėms jo duoti negalima. Vaistas gali jiems pakenkti (net tiems, kurių ligos požymiai yra tokie patys kaip Jūsų).</w:t>
      </w:r>
      <w:r w:rsidRPr="00834CD5">
        <w:rPr>
          <w:color w:val="008000"/>
        </w:rPr>
        <w:t xml:space="preserve"> </w:t>
      </w:r>
    </w:p>
    <w:p w:rsidR="00710705" w:rsidRPr="00834CD5" w:rsidRDefault="00710705" w:rsidP="00710705">
      <w:pPr>
        <w:numPr>
          <w:ilvl w:val="0"/>
          <w:numId w:val="1"/>
        </w:numPr>
        <w:spacing w:line="240" w:lineRule="auto"/>
        <w:ind w:left="567" w:hanging="567"/>
      </w:pPr>
      <w:r w:rsidRPr="00834CD5">
        <w:t>Jeigu pasireiškė šalutinis poveikis (net jeigu jis šiame lapelyje nenurodytas), kreipkitės į gydytoją arba vaistininką. Žr. 4 skyrių.</w:t>
      </w:r>
    </w:p>
    <w:p w:rsidR="00710705" w:rsidRPr="00834CD5" w:rsidRDefault="00710705" w:rsidP="00710705">
      <w:pPr>
        <w:tabs>
          <w:tab w:val="clear" w:pos="567"/>
        </w:tabs>
        <w:spacing w:line="240" w:lineRule="auto"/>
        <w:ind w:right="-2"/>
      </w:pPr>
    </w:p>
    <w:p w:rsidR="00710705" w:rsidRPr="00834CD5" w:rsidRDefault="00710705" w:rsidP="00710705">
      <w:pPr>
        <w:keepNext/>
        <w:numPr>
          <w:ilvl w:val="12"/>
          <w:numId w:val="0"/>
        </w:numPr>
        <w:tabs>
          <w:tab w:val="clear" w:pos="567"/>
        </w:tabs>
        <w:spacing w:line="240" w:lineRule="auto"/>
        <w:ind w:right="-2"/>
        <w:outlineLvl w:val="0"/>
      </w:pPr>
      <w:r w:rsidRPr="00834CD5">
        <w:rPr>
          <w:b/>
        </w:rPr>
        <w:t>Apie ką rašoma šiame lapelyje?</w:t>
      </w:r>
    </w:p>
    <w:p w:rsidR="00710705" w:rsidRPr="00834CD5" w:rsidRDefault="00710705" w:rsidP="00710705">
      <w:pPr>
        <w:keepNext/>
        <w:numPr>
          <w:ilvl w:val="12"/>
          <w:numId w:val="0"/>
        </w:numPr>
        <w:tabs>
          <w:tab w:val="clear" w:pos="567"/>
        </w:tabs>
        <w:spacing w:line="240" w:lineRule="auto"/>
        <w:ind w:right="-2"/>
        <w:outlineLvl w:val="0"/>
      </w:pPr>
    </w:p>
    <w:p w:rsidR="00710705" w:rsidRPr="00834CD5" w:rsidRDefault="00710705" w:rsidP="00710705">
      <w:pPr>
        <w:numPr>
          <w:ilvl w:val="12"/>
          <w:numId w:val="0"/>
        </w:numPr>
        <w:tabs>
          <w:tab w:val="clear" w:pos="567"/>
          <w:tab w:val="left" w:pos="426"/>
        </w:tabs>
        <w:spacing w:line="240" w:lineRule="auto"/>
        <w:ind w:right="-2"/>
      </w:pPr>
      <w:r w:rsidRPr="00834CD5">
        <w:t>1.</w:t>
      </w:r>
      <w:r w:rsidRPr="00834CD5">
        <w:tab/>
        <w:t xml:space="preserve">Kas yra </w:t>
      </w:r>
      <w:proofErr w:type="spellStart"/>
      <w:r w:rsidRPr="00834CD5">
        <w:t>Analgin</w:t>
      </w:r>
      <w:proofErr w:type="spellEnd"/>
      <w:r w:rsidRPr="00834CD5">
        <w:t xml:space="preserve"> </w:t>
      </w:r>
      <w:proofErr w:type="spellStart"/>
      <w:r w:rsidRPr="00834CD5">
        <w:t>Sopharma</w:t>
      </w:r>
      <w:proofErr w:type="spellEnd"/>
      <w:r w:rsidRPr="00834CD5">
        <w:t xml:space="preserve"> ir kam jis vartojamas </w:t>
      </w:r>
    </w:p>
    <w:p w:rsidR="00710705" w:rsidRPr="00834CD5" w:rsidRDefault="00710705" w:rsidP="00710705">
      <w:pPr>
        <w:numPr>
          <w:ilvl w:val="12"/>
          <w:numId w:val="0"/>
        </w:numPr>
        <w:tabs>
          <w:tab w:val="clear" w:pos="567"/>
          <w:tab w:val="left" w:pos="426"/>
        </w:tabs>
        <w:spacing w:line="240" w:lineRule="auto"/>
        <w:ind w:right="-2"/>
      </w:pPr>
      <w:r w:rsidRPr="00834CD5">
        <w:t>2.</w:t>
      </w:r>
      <w:r w:rsidRPr="00834CD5">
        <w:tab/>
        <w:t xml:space="preserve">Kas žinotina prieš vartojant </w:t>
      </w:r>
      <w:proofErr w:type="spellStart"/>
      <w:r w:rsidRPr="00834CD5">
        <w:t>Analgin</w:t>
      </w:r>
      <w:proofErr w:type="spellEnd"/>
      <w:r w:rsidRPr="00834CD5">
        <w:t xml:space="preserve"> </w:t>
      </w:r>
      <w:proofErr w:type="spellStart"/>
      <w:r w:rsidRPr="00834CD5">
        <w:t>Sopharma</w:t>
      </w:r>
      <w:proofErr w:type="spellEnd"/>
    </w:p>
    <w:p w:rsidR="00710705" w:rsidRPr="00834CD5" w:rsidRDefault="00710705" w:rsidP="00710705">
      <w:pPr>
        <w:numPr>
          <w:ilvl w:val="12"/>
          <w:numId w:val="0"/>
        </w:numPr>
        <w:tabs>
          <w:tab w:val="clear" w:pos="567"/>
          <w:tab w:val="left" w:pos="426"/>
        </w:tabs>
        <w:spacing w:line="240" w:lineRule="auto"/>
        <w:ind w:right="-2"/>
      </w:pPr>
      <w:r w:rsidRPr="00834CD5">
        <w:t>3.</w:t>
      </w:r>
      <w:r w:rsidRPr="00834CD5">
        <w:tab/>
        <w:t xml:space="preserve">Kaip vartoti </w:t>
      </w:r>
      <w:proofErr w:type="spellStart"/>
      <w:r w:rsidRPr="00834CD5">
        <w:t>Analgin</w:t>
      </w:r>
      <w:proofErr w:type="spellEnd"/>
      <w:r w:rsidRPr="00834CD5">
        <w:t xml:space="preserve"> </w:t>
      </w:r>
      <w:proofErr w:type="spellStart"/>
      <w:r w:rsidRPr="00834CD5">
        <w:t>Sopharma</w:t>
      </w:r>
      <w:proofErr w:type="spellEnd"/>
    </w:p>
    <w:p w:rsidR="00710705" w:rsidRPr="00834CD5" w:rsidRDefault="00710705" w:rsidP="00710705">
      <w:pPr>
        <w:numPr>
          <w:ilvl w:val="12"/>
          <w:numId w:val="0"/>
        </w:numPr>
        <w:tabs>
          <w:tab w:val="clear" w:pos="567"/>
          <w:tab w:val="left" w:pos="426"/>
        </w:tabs>
        <w:spacing w:line="240" w:lineRule="auto"/>
        <w:ind w:right="-2"/>
      </w:pPr>
      <w:r w:rsidRPr="00834CD5">
        <w:t>4.</w:t>
      </w:r>
      <w:r w:rsidRPr="00834CD5">
        <w:tab/>
        <w:t xml:space="preserve">Galimas šalutinis poveikis </w:t>
      </w:r>
    </w:p>
    <w:p w:rsidR="00710705" w:rsidRPr="00834CD5" w:rsidRDefault="00710705" w:rsidP="00710705">
      <w:pPr>
        <w:numPr>
          <w:ilvl w:val="12"/>
          <w:numId w:val="0"/>
        </w:numPr>
        <w:tabs>
          <w:tab w:val="left" w:pos="426"/>
        </w:tabs>
        <w:spacing w:line="240" w:lineRule="auto"/>
        <w:ind w:right="-2"/>
      </w:pPr>
      <w:r w:rsidRPr="00834CD5">
        <w:t>5.</w:t>
      </w:r>
      <w:r w:rsidRPr="00834CD5">
        <w:tab/>
        <w:t xml:space="preserve">Kaip laikyti </w:t>
      </w:r>
      <w:proofErr w:type="spellStart"/>
      <w:r w:rsidRPr="00834CD5">
        <w:t>Analgin</w:t>
      </w:r>
      <w:proofErr w:type="spellEnd"/>
      <w:r w:rsidRPr="00834CD5">
        <w:t xml:space="preserve"> </w:t>
      </w:r>
      <w:proofErr w:type="spellStart"/>
      <w:r w:rsidRPr="00834CD5">
        <w:t>Sopharma</w:t>
      </w:r>
      <w:proofErr w:type="spellEnd"/>
    </w:p>
    <w:p w:rsidR="00710705" w:rsidRPr="00834CD5" w:rsidRDefault="00710705" w:rsidP="00710705">
      <w:pPr>
        <w:numPr>
          <w:ilvl w:val="12"/>
          <w:numId w:val="0"/>
        </w:numPr>
        <w:tabs>
          <w:tab w:val="clear" w:pos="567"/>
          <w:tab w:val="left" w:pos="426"/>
        </w:tabs>
        <w:spacing w:line="240" w:lineRule="auto"/>
        <w:ind w:right="-2"/>
      </w:pPr>
      <w:r w:rsidRPr="00834CD5">
        <w:t>6.</w:t>
      </w:r>
      <w:r w:rsidRPr="00834CD5">
        <w:tab/>
        <w:t>Pakuotės turinys ir kita informacija</w:t>
      </w:r>
    </w:p>
    <w:p w:rsidR="00710705" w:rsidRPr="00834CD5" w:rsidRDefault="00710705" w:rsidP="00710705">
      <w:pPr>
        <w:numPr>
          <w:ilvl w:val="12"/>
          <w:numId w:val="0"/>
        </w:numPr>
        <w:tabs>
          <w:tab w:val="clear" w:pos="567"/>
        </w:tabs>
        <w:spacing w:line="240" w:lineRule="auto"/>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10705" w:rsidTr="00F44824">
        <w:tc>
          <w:tcPr>
            <w:tcW w:w="9211" w:type="dxa"/>
            <w:shd w:val="clear" w:color="auto" w:fill="auto"/>
          </w:tcPr>
          <w:p w:rsidR="00710705" w:rsidRPr="00784385" w:rsidRDefault="00710705" w:rsidP="00F44824">
            <w:pPr>
              <w:numPr>
                <w:ilvl w:val="12"/>
                <w:numId w:val="0"/>
              </w:numPr>
              <w:tabs>
                <w:tab w:val="clear" w:pos="567"/>
              </w:tabs>
              <w:spacing w:line="240" w:lineRule="auto"/>
              <w:jc w:val="both"/>
              <w:rPr>
                <w:noProof/>
                <w:color w:val="000000"/>
              </w:rPr>
            </w:pPr>
            <w:r>
              <w:rPr>
                <w:noProof/>
                <w:color w:val="000000"/>
              </w:rPr>
              <w:t>Analgin Sopharma</w:t>
            </w:r>
            <w:r w:rsidRPr="00784385">
              <w:rPr>
                <w:noProof/>
                <w:color w:val="000000"/>
              </w:rPr>
              <w:t xml:space="preserve"> gali sukelti didelį baltųjų kraujo ląstelių skaičiaus sumažėjimą (agranulocitozę), o dėl</w:t>
            </w:r>
            <w:r>
              <w:rPr>
                <w:noProof/>
                <w:color w:val="000000"/>
              </w:rPr>
              <w:t xml:space="preserve"> t</w:t>
            </w:r>
            <w:r w:rsidRPr="00784385">
              <w:rPr>
                <w:noProof/>
                <w:color w:val="000000"/>
              </w:rPr>
              <w:t>o gali pasireikšti sunkios ir gyvybei pavojingos infekcijos (žr. 4 skyrių).</w:t>
            </w:r>
          </w:p>
          <w:p w:rsidR="00710705" w:rsidRPr="00784385" w:rsidRDefault="00710705" w:rsidP="00F44824">
            <w:pPr>
              <w:numPr>
                <w:ilvl w:val="12"/>
                <w:numId w:val="0"/>
              </w:numPr>
              <w:tabs>
                <w:tab w:val="clear" w:pos="567"/>
              </w:tabs>
              <w:spacing w:line="240" w:lineRule="auto"/>
              <w:jc w:val="both"/>
              <w:rPr>
                <w:noProof/>
                <w:color w:val="000000"/>
              </w:rPr>
            </w:pPr>
            <w:r w:rsidRPr="00784385">
              <w:rPr>
                <w:noProof/>
                <w:color w:val="000000"/>
              </w:rPr>
              <w:t>Turite nutraukti vaisto vartojimą ir nedelsiant kreiptis į gydytoją, jei pasireiškia kuris nors</w:t>
            </w:r>
            <w:r>
              <w:rPr>
                <w:noProof/>
                <w:color w:val="000000"/>
              </w:rPr>
              <w:t xml:space="preserve"> </w:t>
            </w:r>
            <w:r w:rsidRPr="00784385">
              <w:rPr>
                <w:noProof/>
                <w:color w:val="000000"/>
              </w:rPr>
              <w:t>iš šių simptomų: karščiavimas, šaltkrėtis, gerklės (ryklės) skausmas, skausmingos opos</w:t>
            </w:r>
            <w:r>
              <w:rPr>
                <w:noProof/>
                <w:color w:val="000000"/>
              </w:rPr>
              <w:t xml:space="preserve"> </w:t>
            </w:r>
            <w:r w:rsidRPr="00784385">
              <w:rPr>
                <w:noProof/>
                <w:color w:val="000000"/>
              </w:rPr>
              <w:t>nosyje, burnoje ir gerklėje (ryklėje) arba lytinių organų ar išangės srityse.</w:t>
            </w:r>
          </w:p>
          <w:p w:rsidR="00710705" w:rsidRDefault="00710705" w:rsidP="00F44824">
            <w:pPr>
              <w:numPr>
                <w:ilvl w:val="12"/>
                <w:numId w:val="0"/>
              </w:numPr>
              <w:tabs>
                <w:tab w:val="clear" w:pos="567"/>
              </w:tabs>
              <w:spacing w:line="240" w:lineRule="auto"/>
              <w:jc w:val="both"/>
              <w:rPr>
                <w:noProof/>
                <w:color w:val="000000"/>
              </w:rPr>
            </w:pPr>
            <w:r w:rsidRPr="00784385">
              <w:rPr>
                <w:noProof/>
                <w:color w:val="000000"/>
              </w:rPr>
              <w:t>Jeigu vartojant metamizolo ar panašių vaistų Jums kada nors pasireiškė agranulocitozė, šio</w:t>
            </w:r>
            <w:r>
              <w:rPr>
                <w:noProof/>
                <w:color w:val="000000"/>
              </w:rPr>
              <w:t xml:space="preserve"> </w:t>
            </w:r>
            <w:r w:rsidRPr="00784385">
              <w:rPr>
                <w:noProof/>
                <w:color w:val="000000"/>
              </w:rPr>
              <w:t>vaisto daugiau niekada nevartokite (žr. 2 skyrių).</w:t>
            </w:r>
          </w:p>
        </w:tc>
      </w:tr>
    </w:tbl>
    <w:p w:rsidR="00710705" w:rsidRPr="00913636" w:rsidRDefault="00710705" w:rsidP="00710705">
      <w:pPr>
        <w:numPr>
          <w:ilvl w:val="12"/>
          <w:numId w:val="0"/>
        </w:numPr>
        <w:tabs>
          <w:tab w:val="clear" w:pos="567"/>
        </w:tabs>
        <w:spacing w:line="240" w:lineRule="auto"/>
        <w:ind w:right="-2"/>
      </w:pPr>
    </w:p>
    <w:p w:rsidR="00710705" w:rsidRPr="00834CD5" w:rsidRDefault="00710705" w:rsidP="00710705">
      <w:pPr>
        <w:numPr>
          <w:ilvl w:val="12"/>
          <w:numId w:val="0"/>
        </w:numPr>
        <w:tabs>
          <w:tab w:val="clear" w:pos="567"/>
        </w:tabs>
        <w:spacing w:line="240" w:lineRule="auto"/>
        <w:ind w:right="-2"/>
      </w:pPr>
    </w:p>
    <w:p w:rsidR="00710705" w:rsidRPr="00834CD5" w:rsidRDefault="00710705" w:rsidP="00710705">
      <w:pPr>
        <w:pStyle w:val="Antrat4"/>
      </w:pPr>
      <w:r w:rsidRPr="00834CD5">
        <w:t>1.</w:t>
      </w:r>
      <w:r w:rsidRPr="00834CD5">
        <w:tab/>
        <w:t>Kas yra Analgin Sopharma ir kam jis vartojamas</w:t>
      </w:r>
    </w:p>
    <w:p w:rsidR="00710705" w:rsidRPr="00834CD5" w:rsidRDefault="00710705" w:rsidP="00710705">
      <w:pPr>
        <w:numPr>
          <w:ilvl w:val="12"/>
          <w:numId w:val="0"/>
        </w:numPr>
        <w:tabs>
          <w:tab w:val="clear" w:pos="567"/>
        </w:tabs>
        <w:spacing w:line="240" w:lineRule="auto"/>
        <w:ind w:right="-2"/>
      </w:pPr>
    </w:p>
    <w:p w:rsidR="00710705" w:rsidRPr="00834CD5" w:rsidRDefault="00710705" w:rsidP="00710705">
      <w:pPr>
        <w:pStyle w:val="Pagrindinistekstas"/>
        <w:rPr>
          <w:i w:val="0"/>
          <w:color w:val="auto"/>
        </w:rPr>
      </w:pPr>
      <w:proofErr w:type="spellStart"/>
      <w:r w:rsidRPr="00834CD5">
        <w:rPr>
          <w:i w:val="0"/>
          <w:color w:val="auto"/>
        </w:rPr>
        <w:t>Analgin</w:t>
      </w:r>
      <w:proofErr w:type="spellEnd"/>
      <w:r w:rsidRPr="00834CD5">
        <w:rPr>
          <w:i w:val="0"/>
          <w:color w:val="auto"/>
        </w:rPr>
        <w:t xml:space="preserve"> </w:t>
      </w:r>
      <w:proofErr w:type="spellStart"/>
      <w:r w:rsidRPr="00834CD5">
        <w:rPr>
          <w:i w:val="0"/>
          <w:color w:val="auto"/>
        </w:rPr>
        <w:t>Sopharma</w:t>
      </w:r>
      <w:proofErr w:type="spellEnd"/>
      <w:r w:rsidRPr="00834CD5">
        <w:rPr>
          <w:i w:val="0"/>
          <w:color w:val="auto"/>
        </w:rPr>
        <w:t xml:space="preserve"> – </w:t>
      </w:r>
      <w:proofErr w:type="spellStart"/>
      <w:r w:rsidRPr="00834CD5">
        <w:rPr>
          <w:i w:val="0"/>
          <w:color w:val="auto"/>
        </w:rPr>
        <w:t>pirazolono</w:t>
      </w:r>
      <w:proofErr w:type="spellEnd"/>
      <w:r w:rsidRPr="00834CD5">
        <w:rPr>
          <w:i w:val="0"/>
          <w:color w:val="auto"/>
        </w:rPr>
        <w:t xml:space="preserve"> grupės skausmą malšinantis vaistas.</w:t>
      </w:r>
    </w:p>
    <w:p w:rsidR="00710705" w:rsidRPr="00834CD5" w:rsidRDefault="00710705" w:rsidP="00710705">
      <w:pPr>
        <w:jc w:val="both"/>
      </w:pPr>
      <w:r w:rsidRPr="00834CD5">
        <w:t>Vaisto vartojama įvairios kilmės nestipriam ir vidutinio stiprumo skausmui malšinti, kai kiti skausmą malšinantys vaistai neveiksmingi.</w:t>
      </w:r>
    </w:p>
    <w:p w:rsidR="00710705" w:rsidRPr="00834CD5" w:rsidRDefault="00710705" w:rsidP="00710705">
      <w:pPr>
        <w:tabs>
          <w:tab w:val="clear" w:pos="567"/>
        </w:tabs>
        <w:spacing w:line="240" w:lineRule="auto"/>
        <w:ind w:right="-2"/>
      </w:pPr>
    </w:p>
    <w:p w:rsidR="00710705" w:rsidRPr="00834CD5" w:rsidRDefault="00710705" w:rsidP="00710705">
      <w:pPr>
        <w:tabs>
          <w:tab w:val="clear" w:pos="567"/>
        </w:tabs>
        <w:spacing w:line="240" w:lineRule="auto"/>
        <w:ind w:right="-2"/>
      </w:pPr>
    </w:p>
    <w:p w:rsidR="00710705" w:rsidRPr="00834CD5" w:rsidRDefault="00710705" w:rsidP="00710705">
      <w:pPr>
        <w:pStyle w:val="Sraopastraipa"/>
        <w:keepNext/>
        <w:numPr>
          <w:ilvl w:val="0"/>
          <w:numId w:val="6"/>
        </w:numPr>
        <w:spacing w:line="240" w:lineRule="auto"/>
        <w:ind w:left="567" w:right="-2" w:hanging="567"/>
      </w:pPr>
      <w:r w:rsidRPr="00834CD5">
        <w:rPr>
          <w:b/>
        </w:rPr>
        <w:t xml:space="preserve">Kas žinotina prieš vartojant </w:t>
      </w:r>
      <w:proofErr w:type="spellStart"/>
      <w:r w:rsidRPr="00834CD5">
        <w:rPr>
          <w:b/>
        </w:rPr>
        <w:t>Analgin</w:t>
      </w:r>
      <w:proofErr w:type="spellEnd"/>
      <w:r w:rsidRPr="00834CD5">
        <w:rPr>
          <w:b/>
        </w:rPr>
        <w:t xml:space="preserve"> </w:t>
      </w:r>
      <w:proofErr w:type="spellStart"/>
      <w:r w:rsidRPr="00834CD5">
        <w:rPr>
          <w:b/>
        </w:rPr>
        <w:t>Sopharma</w:t>
      </w:r>
      <w:proofErr w:type="spellEnd"/>
      <w:r w:rsidRPr="00834CD5">
        <w:t xml:space="preserve"> </w:t>
      </w:r>
    </w:p>
    <w:p w:rsidR="00710705" w:rsidRPr="00834CD5" w:rsidRDefault="00710705" w:rsidP="00710705">
      <w:pPr>
        <w:keepNext/>
        <w:numPr>
          <w:ilvl w:val="12"/>
          <w:numId w:val="0"/>
        </w:numPr>
        <w:tabs>
          <w:tab w:val="clear" w:pos="567"/>
        </w:tabs>
        <w:spacing w:line="240" w:lineRule="auto"/>
        <w:outlineLvl w:val="0"/>
        <w:rPr>
          <w:i/>
        </w:rPr>
      </w:pPr>
    </w:p>
    <w:p w:rsidR="00710705" w:rsidRPr="00834CD5" w:rsidRDefault="00710705" w:rsidP="00710705">
      <w:pPr>
        <w:rPr>
          <w:b/>
        </w:rPr>
      </w:pPr>
      <w:proofErr w:type="spellStart"/>
      <w:r w:rsidRPr="00834CD5">
        <w:rPr>
          <w:b/>
        </w:rPr>
        <w:t>Analgin</w:t>
      </w:r>
      <w:proofErr w:type="spellEnd"/>
      <w:r w:rsidRPr="00834CD5">
        <w:rPr>
          <w:b/>
        </w:rPr>
        <w:t xml:space="preserve"> </w:t>
      </w:r>
      <w:proofErr w:type="spellStart"/>
      <w:r w:rsidRPr="00834CD5">
        <w:rPr>
          <w:b/>
        </w:rPr>
        <w:t>Sopharma</w:t>
      </w:r>
      <w:proofErr w:type="spellEnd"/>
      <w:r w:rsidRPr="00834CD5">
        <w:t xml:space="preserve"> </w:t>
      </w:r>
      <w:r w:rsidRPr="00834CD5">
        <w:rPr>
          <w:b/>
        </w:rPr>
        <w:t>vartoti draudžiama</w:t>
      </w:r>
    </w:p>
    <w:p w:rsidR="00710705" w:rsidRPr="00834CD5" w:rsidRDefault="00710705" w:rsidP="00710705">
      <w:pPr>
        <w:numPr>
          <w:ilvl w:val="0"/>
          <w:numId w:val="2"/>
        </w:numPr>
        <w:tabs>
          <w:tab w:val="clear" w:pos="720"/>
          <w:tab w:val="num" w:pos="567"/>
        </w:tabs>
        <w:spacing w:line="240" w:lineRule="auto"/>
        <w:ind w:left="567" w:hanging="567"/>
      </w:pPr>
      <w:r w:rsidRPr="00834CD5">
        <w:t xml:space="preserve">jeigu yra alergija </w:t>
      </w:r>
      <w:proofErr w:type="spellStart"/>
      <w:r w:rsidRPr="00834CD5">
        <w:t>metamizolui</w:t>
      </w:r>
      <w:proofErr w:type="spellEnd"/>
      <w:r w:rsidRPr="00834CD5">
        <w:t xml:space="preserve"> arba bet kuriai pagalbinei šio vaisto medžiagai (jos išvardytos 6 skyriuje);</w:t>
      </w:r>
    </w:p>
    <w:p w:rsidR="00710705" w:rsidRPr="00913636" w:rsidRDefault="00710705" w:rsidP="00710705">
      <w:pPr>
        <w:numPr>
          <w:ilvl w:val="0"/>
          <w:numId w:val="2"/>
        </w:numPr>
        <w:tabs>
          <w:tab w:val="clear" w:pos="720"/>
        </w:tabs>
        <w:spacing w:line="240" w:lineRule="auto"/>
        <w:ind w:left="567" w:hanging="567"/>
      </w:pPr>
      <w:r>
        <w:t xml:space="preserve">jeigu anksčiau dėl </w:t>
      </w:r>
      <w:proofErr w:type="spellStart"/>
      <w:r>
        <w:t>metamizolo</w:t>
      </w:r>
      <w:proofErr w:type="spellEnd"/>
      <w:r>
        <w:t xml:space="preserve"> arba panašių vaistų, vadinamų </w:t>
      </w:r>
      <w:proofErr w:type="spellStart"/>
      <w:r>
        <w:t>pirazolonais</w:t>
      </w:r>
      <w:proofErr w:type="spellEnd"/>
      <w:r>
        <w:t xml:space="preserve"> arba </w:t>
      </w:r>
      <w:proofErr w:type="spellStart"/>
      <w:r>
        <w:t>pirazolidinais</w:t>
      </w:r>
      <w:proofErr w:type="spellEnd"/>
      <w:r>
        <w:t xml:space="preserve">, Jums buvo labai sumažėjęs baltųjų kraujo ląstelių, vadinamų </w:t>
      </w:r>
      <w:proofErr w:type="spellStart"/>
      <w:r>
        <w:t>granulocitais</w:t>
      </w:r>
      <w:proofErr w:type="spellEnd"/>
      <w:r>
        <w:t>, skaičius;</w:t>
      </w:r>
    </w:p>
    <w:p w:rsidR="00710705" w:rsidRPr="00834CD5" w:rsidRDefault="00710705" w:rsidP="00710705">
      <w:pPr>
        <w:numPr>
          <w:ilvl w:val="0"/>
          <w:numId w:val="2"/>
        </w:numPr>
        <w:tabs>
          <w:tab w:val="clear" w:pos="720"/>
          <w:tab w:val="num" w:pos="567"/>
        </w:tabs>
        <w:spacing w:line="240" w:lineRule="auto"/>
        <w:ind w:left="567" w:hanging="567"/>
      </w:pPr>
      <w:r w:rsidRPr="00834CD5">
        <w:t xml:space="preserve">jeigu Jums nustatytas skausmą malšinančių vaistų </w:t>
      </w:r>
      <w:proofErr w:type="spellStart"/>
      <w:r w:rsidRPr="00834CD5">
        <w:t>netoleravimas</w:t>
      </w:r>
      <w:proofErr w:type="spellEnd"/>
      <w:r w:rsidRPr="00834CD5">
        <w:t xml:space="preserve"> (analgetikų sukeltas astmos sindromas arba kitas analgetikų </w:t>
      </w:r>
      <w:proofErr w:type="spellStart"/>
      <w:r w:rsidRPr="00834CD5">
        <w:t>netoleravimo</w:t>
      </w:r>
      <w:proofErr w:type="spellEnd"/>
      <w:r w:rsidRPr="00834CD5">
        <w:t xml:space="preserve"> požymis - dilgėlinė arba </w:t>
      </w:r>
      <w:proofErr w:type="spellStart"/>
      <w:r w:rsidRPr="00834CD5">
        <w:t>angioneurozinė</w:t>
      </w:r>
      <w:proofErr w:type="spellEnd"/>
      <w:r w:rsidRPr="00834CD5">
        <w:t xml:space="preserve"> edema). Tai taikoma ir tiems pacientams, kuriems bronchų spazmas (staigus apatinių kvėpavimo takų susiaurėjimas) ar kitos padidėjusio jautrumo reakcijos pasitaikė vartojant tokius skausmą malšinančius vaistus kaip </w:t>
      </w:r>
      <w:proofErr w:type="spellStart"/>
      <w:r w:rsidRPr="00834CD5">
        <w:t>salicilatai</w:t>
      </w:r>
      <w:proofErr w:type="spellEnd"/>
      <w:r w:rsidRPr="00834CD5">
        <w:t xml:space="preserve">, </w:t>
      </w:r>
      <w:proofErr w:type="spellStart"/>
      <w:r w:rsidRPr="00834CD5">
        <w:t>paracetamolis</w:t>
      </w:r>
      <w:proofErr w:type="spellEnd"/>
      <w:r w:rsidRPr="00834CD5">
        <w:t xml:space="preserve">, </w:t>
      </w:r>
      <w:proofErr w:type="spellStart"/>
      <w:r w:rsidRPr="00834CD5">
        <w:t>diklofenakas</w:t>
      </w:r>
      <w:proofErr w:type="spellEnd"/>
      <w:r w:rsidRPr="00834CD5">
        <w:t xml:space="preserve">, </w:t>
      </w:r>
      <w:proofErr w:type="spellStart"/>
      <w:r w:rsidRPr="00834CD5">
        <w:t>ibuprofenas</w:t>
      </w:r>
      <w:proofErr w:type="spellEnd"/>
      <w:r w:rsidRPr="00834CD5">
        <w:t xml:space="preserve">, </w:t>
      </w:r>
      <w:proofErr w:type="spellStart"/>
      <w:r w:rsidRPr="00834CD5">
        <w:t>indometacinas</w:t>
      </w:r>
      <w:proofErr w:type="spellEnd"/>
      <w:r w:rsidRPr="00834CD5">
        <w:t xml:space="preserve">, </w:t>
      </w:r>
      <w:proofErr w:type="spellStart"/>
      <w:r w:rsidRPr="00834CD5">
        <w:t>naproksenas</w:t>
      </w:r>
      <w:proofErr w:type="spellEnd"/>
      <w:r w:rsidRPr="00834CD5">
        <w:t xml:space="preserve"> ir kiti;</w:t>
      </w:r>
    </w:p>
    <w:p w:rsidR="00710705" w:rsidRPr="00834CD5" w:rsidRDefault="00710705" w:rsidP="00710705">
      <w:pPr>
        <w:numPr>
          <w:ilvl w:val="0"/>
          <w:numId w:val="2"/>
        </w:numPr>
        <w:tabs>
          <w:tab w:val="clear" w:pos="720"/>
          <w:tab w:val="num" w:pos="567"/>
        </w:tabs>
        <w:spacing w:line="240" w:lineRule="auto"/>
        <w:ind w:left="567" w:hanging="567"/>
      </w:pPr>
      <w:r w:rsidRPr="00834CD5">
        <w:t>jeigu Jums yra nustatytas gliukozės-6-fosfatdehidrogenazės stygius (paveldimas susirgimas, kuomet ardomos raudonosios kraujo ląstelės);</w:t>
      </w:r>
    </w:p>
    <w:p w:rsidR="00710705" w:rsidRPr="00913636" w:rsidRDefault="00710705" w:rsidP="00710705">
      <w:pPr>
        <w:numPr>
          <w:ilvl w:val="0"/>
          <w:numId w:val="2"/>
        </w:numPr>
        <w:tabs>
          <w:tab w:val="clear" w:pos="720"/>
        </w:tabs>
        <w:spacing w:line="240" w:lineRule="auto"/>
        <w:ind w:left="567" w:hanging="567"/>
      </w:pPr>
      <w:r>
        <w:t>jeigu turite kaulų čiulpų problemų arba sergate liga, kuri turi įtakos kraujo ląstelių susidarymui ar veiklai.</w:t>
      </w:r>
    </w:p>
    <w:p w:rsidR="00710705" w:rsidRPr="00913636" w:rsidRDefault="00710705" w:rsidP="00710705">
      <w:pPr>
        <w:pStyle w:val="BT-EMEASMCA"/>
        <w:tabs>
          <w:tab w:val="clear" w:pos="360"/>
        </w:tabs>
        <w:rPr>
          <w:noProof w:val="0"/>
        </w:rPr>
      </w:pPr>
      <w:r w:rsidRPr="00913636">
        <w:rPr>
          <w:noProof w:val="0"/>
        </w:rPr>
        <w:lastRenderedPageBreak/>
        <w:t xml:space="preserve">jeigu Jūs sergate </w:t>
      </w:r>
      <w:proofErr w:type="spellStart"/>
      <w:r w:rsidRPr="00913636">
        <w:rPr>
          <w:noProof w:val="0"/>
        </w:rPr>
        <w:t>intermituojančia</w:t>
      </w:r>
      <w:proofErr w:type="spellEnd"/>
      <w:r w:rsidRPr="00913636">
        <w:rPr>
          <w:noProof w:val="0"/>
        </w:rPr>
        <w:t xml:space="preserve"> </w:t>
      </w:r>
      <w:proofErr w:type="spellStart"/>
      <w:r w:rsidRPr="00913636">
        <w:rPr>
          <w:noProof w:val="0"/>
        </w:rPr>
        <w:t>hepatine</w:t>
      </w:r>
      <w:proofErr w:type="spellEnd"/>
      <w:r w:rsidRPr="00913636">
        <w:rPr>
          <w:noProof w:val="0"/>
        </w:rPr>
        <w:t xml:space="preserve"> </w:t>
      </w:r>
      <w:proofErr w:type="spellStart"/>
      <w:r w:rsidRPr="00913636">
        <w:rPr>
          <w:noProof w:val="0"/>
        </w:rPr>
        <w:t>porfirija</w:t>
      </w:r>
      <w:proofErr w:type="spellEnd"/>
      <w:r w:rsidRPr="00913636">
        <w:rPr>
          <w:noProof w:val="0"/>
        </w:rPr>
        <w:t xml:space="preserve"> (reta medžiagų apykaitos liga), nes yra </w:t>
      </w:r>
      <w:proofErr w:type="spellStart"/>
      <w:r w:rsidRPr="00913636">
        <w:rPr>
          <w:noProof w:val="0"/>
        </w:rPr>
        <w:t>porfirijos</w:t>
      </w:r>
      <w:proofErr w:type="spellEnd"/>
      <w:r w:rsidRPr="00913636">
        <w:rPr>
          <w:noProof w:val="0"/>
        </w:rPr>
        <w:t xml:space="preserve"> priepuolio pavojus;</w:t>
      </w:r>
    </w:p>
    <w:p w:rsidR="00710705" w:rsidRPr="00913636" w:rsidRDefault="00710705" w:rsidP="00710705">
      <w:pPr>
        <w:pStyle w:val="BT-EMEASMCA"/>
        <w:tabs>
          <w:tab w:val="clear" w:pos="360"/>
        </w:tabs>
        <w:rPr>
          <w:noProof w:val="0"/>
        </w:rPr>
      </w:pPr>
      <w:r w:rsidRPr="00913636">
        <w:rPr>
          <w:noProof w:val="0"/>
        </w:rPr>
        <w:t>jeigu Jums prasidėjęs paskutinis nėštumo trimestras.</w:t>
      </w:r>
    </w:p>
    <w:p w:rsidR="00710705" w:rsidRPr="00834CD5" w:rsidRDefault="00710705" w:rsidP="00710705"/>
    <w:p w:rsidR="00710705" w:rsidRPr="00834CD5" w:rsidRDefault="00710705" w:rsidP="00710705">
      <w:pPr>
        <w:pStyle w:val="Antrat4"/>
      </w:pPr>
      <w:r w:rsidRPr="00834CD5">
        <w:t>Įspėjimai ir atsargumo priemonės</w:t>
      </w:r>
    </w:p>
    <w:p w:rsidR="00710705" w:rsidRPr="00834CD5" w:rsidRDefault="00710705" w:rsidP="00710705">
      <w:pPr>
        <w:numPr>
          <w:ilvl w:val="12"/>
          <w:numId w:val="0"/>
        </w:numPr>
        <w:tabs>
          <w:tab w:val="clear" w:pos="567"/>
        </w:tabs>
        <w:spacing w:line="240" w:lineRule="auto"/>
      </w:pPr>
      <w:r w:rsidRPr="00834CD5">
        <w:t xml:space="preserve">Pasitarkite su gydytoju arba vaistininku, prieš pradėdami vartoti </w:t>
      </w:r>
      <w:proofErr w:type="spellStart"/>
      <w:r w:rsidRPr="00834CD5">
        <w:t>Analgin</w:t>
      </w:r>
      <w:proofErr w:type="spellEnd"/>
      <w:r w:rsidRPr="00834CD5">
        <w:t xml:space="preserve"> </w:t>
      </w:r>
      <w:proofErr w:type="spellStart"/>
      <w:r w:rsidRPr="00834CD5">
        <w:t>Sopharma</w:t>
      </w:r>
      <w:proofErr w:type="spellEnd"/>
      <w:r>
        <w:t>.</w:t>
      </w:r>
    </w:p>
    <w:p w:rsidR="00710705" w:rsidRDefault="00710705" w:rsidP="00710705">
      <w:pPr>
        <w:pStyle w:val="BTEMEASMCA"/>
        <w:rPr>
          <w:noProof w:val="0"/>
        </w:rPr>
      </w:pPr>
    </w:p>
    <w:p w:rsidR="00710705" w:rsidRDefault="00710705" w:rsidP="00710705">
      <w:pPr>
        <w:pStyle w:val="BTEMEASMCA"/>
        <w:rPr>
          <w:noProof w:val="0"/>
        </w:rPr>
      </w:pPr>
      <w:r>
        <w:rPr>
          <w:noProof w:val="0"/>
        </w:rPr>
        <w:t>Didelis baltųjų kraujo ląstelių skaičiaus sumažėjimas (</w:t>
      </w:r>
      <w:proofErr w:type="spellStart"/>
      <w:r>
        <w:rPr>
          <w:noProof w:val="0"/>
        </w:rPr>
        <w:t>agranulocitozė</w:t>
      </w:r>
      <w:proofErr w:type="spellEnd"/>
      <w:r>
        <w:rPr>
          <w:noProof w:val="0"/>
        </w:rPr>
        <w:t>)</w:t>
      </w:r>
    </w:p>
    <w:p w:rsidR="00710705" w:rsidRDefault="00710705" w:rsidP="00710705">
      <w:pPr>
        <w:pStyle w:val="BTEMEASMCA"/>
        <w:rPr>
          <w:noProof w:val="0"/>
        </w:rPr>
      </w:pPr>
      <w:proofErr w:type="spellStart"/>
      <w:r>
        <w:rPr>
          <w:noProof w:val="0"/>
        </w:rPr>
        <w:t>Analgin</w:t>
      </w:r>
      <w:proofErr w:type="spellEnd"/>
      <w:r>
        <w:rPr>
          <w:noProof w:val="0"/>
        </w:rPr>
        <w:t xml:space="preserve"> </w:t>
      </w:r>
      <w:proofErr w:type="spellStart"/>
      <w:r>
        <w:rPr>
          <w:noProof w:val="0"/>
        </w:rPr>
        <w:t>Sopharma</w:t>
      </w:r>
      <w:proofErr w:type="spellEnd"/>
      <w:r>
        <w:rPr>
          <w:noProof w:val="0"/>
        </w:rPr>
        <w:t xml:space="preserve"> gali sukelti </w:t>
      </w:r>
      <w:proofErr w:type="spellStart"/>
      <w:r>
        <w:rPr>
          <w:noProof w:val="0"/>
        </w:rPr>
        <w:t>agranulocitozę</w:t>
      </w:r>
      <w:proofErr w:type="spellEnd"/>
      <w:r>
        <w:rPr>
          <w:noProof w:val="0"/>
        </w:rPr>
        <w:t xml:space="preserve"> – labai didelį baltųjų kraujo ląstelių, vadinamų </w:t>
      </w:r>
      <w:proofErr w:type="spellStart"/>
      <w:r>
        <w:rPr>
          <w:noProof w:val="0"/>
        </w:rPr>
        <w:t>granulocitais</w:t>
      </w:r>
      <w:proofErr w:type="spellEnd"/>
      <w:r>
        <w:rPr>
          <w:noProof w:val="0"/>
        </w:rPr>
        <w:t xml:space="preserve">, kurie yra svarbūs kovojant su infekcijomis, skaičiaus sumažėjimą (žr. 4 skyrių). Turite nutraukti </w:t>
      </w:r>
      <w:proofErr w:type="spellStart"/>
      <w:r>
        <w:rPr>
          <w:noProof w:val="0"/>
        </w:rPr>
        <w:t>metamizolo</w:t>
      </w:r>
      <w:proofErr w:type="spellEnd"/>
      <w:r>
        <w:rPr>
          <w:noProof w:val="0"/>
        </w:rPr>
        <w:t xml:space="preserve"> vartojimą ir nedelsiant kreiptis į gydytoją, jeigu Jums pasireiškia toliau nurodytų simptomų, galinčių reikšti </w:t>
      </w:r>
      <w:proofErr w:type="spellStart"/>
      <w:r>
        <w:rPr>
          <w:noProof w:val="0"/>
        </w:rPr>
        <w:t>agranulocitozę</w:t>
      </w:r>
      <w:proofErr w:type="spellEnd"/>
      <w:r>
        <w:rPr>
          <w:noProof w:val="0"/>
        </w:rPr>
        <w:t xml:space="preserve">: </w:t>
      </w:r>
      <w:proofErr w:type="spellStart"/>
      <w:r>
        <w:rPr>
          <w:noProof w:val="0"/>
        </w:rPr>
        <w:t>šaltkrėtis</w:t>
      </w:r>
      <w:proofErr w:type="spellEnd"/>
      <w:r>
        <w:rPr>
          <w:noProof w:val="0"/>
        </w:rPr>
        <w:t>, karščiavimas, gerklės (ryklės) skausmas ir skausmingos gleivinės (drėgnų kūno paviršių), ypač burnos, nosies ir gerklės (ryklės) arba lytinių organų ar išangės sričių, opos. Gydytojas atliks laboratorinį tyrimą Jūsų kraujo ląstelių skaičiui patikrinti.</w:t>
      </w:r>
    </w:p>
    <w:p w:rsidR="00710705" w:rsidRDefault="00710705" w:rsidP="00710705">
      <w:pPr>
        <w:pStyle w:val="BTEMEASMCA"/>
        <w:rPr>
          <w:noProof w:val="0"/>
        </w:rPr>
      </w:pPr>
      <w:r>
        <w:rPr>
          <w:noProof w:val="0"/>
        </w:rPr>
        <w:t xml:space="preserve">Jei </w:t>
      </w:r>
      <w:proofErr w:type="spellStart"/>
      <w:r>
        <w:rPr>
          <w:noProof w:val="0"/>
        </w:rPr>
        <w:t>metamizolo</w:t>
      </w:r>
      <w:proofErr w:type="spellEnd"/>
      <w:r>
        <w:rPr>
          <w:noProof w:val="0"/>
        </w:rPr>
        <w:t xml:space="preserve"> vartojama nuo karščiavimo, kai kurie atsirandantys </w:t>
      </w:r>
      <w:proofErr w:type="spellStart"/>
      <w:r>
        <w:rPr>
          <w:noProof w:val="0"/>
        </w:rPr>
        <w:t>agranulocitozės</w:t>
      </w:r>
      <w:proofErr w:type="spellEnd"/>
      <w:r>
        <w:rPr>
          <w:noProof w:val="0"/>
        </w:rPr>
        <w:t xml:space="preserve"> simptomai gali praeiti nepastebėti. Simptomus taip pat gali būti sunku pastebėti, jei esate gydomi antibiotikais.</w:t>
      </w:r>
    </w:p>
    <w:p w:rsidR="00710705" w:rsidRDefault="00710705" w:rsidP="00710705">
      <w:pPr>
        <w:pStyle w:val="BTEMEASMCA"/>
        <w:rPr>
          <w:noProof w:val="0"/>
        </w:rPr>
      </w:pPr>
      <w:proofErr w:type="spellStart"/>
      <w:r>
        <w:rPr>
          <w:noProof w:val="0"/>
        </w:rPr>
        <w:t>Agranulocitozė</w:t>
      </w:r>
      <w:proofErr w:type="spellEnd"/>
      <w:r>
        <w:rPr>
          <w:noProof w:val="0"/>
        </w:rPr>
        <w:t xml:space="preserve"> gali pasireikšti bet kuriuo </w:t>
      </w:r>
      <w:proofErr w:type="spellStart"/>
      <w:r>
        <w:rPr>
          <w:noProof w:val="0"/>
        </w:rPr>
        <w:t>Analgin</w:t>
      </w:r>
      <w:proofErr w:type="spellEnd"/>
      <w:r>
        <w:rPr>
          <w:noProof w:val="0"/>
        </w:rPr>
        <w:t xml:space="preserve"> </w:t>
      </w:r>
      <w:proofErr w:type="spellStart"/>
      <w:r>
        <w:rPr>
          <w:noProof w:val="0"/>
        </w:rPr>
        <w:t>Sopharma</w:t>
      </w:r>
      <w:proofErr w:type="spellEnd"/>
      <w:r>
        <w:rPr>
          <w:noProof w:val="0"/>
        </w:rPr>
        <w:t xml:space="preserve"> vartojimo momentu ir netgi netrukus po to, kai nustojote vartoti </w:t>
      </w:r>
      <w:proofErr w:type="spellStart"/>
      <w:r>
        <w:rPr>
          <w:noProof w:val="0"/>
        </w:rPr>
        <w:t>metamizolo</w:t>
      </w:r>
      <w:proofErr w:type="spellEnd"/>
      <w:r>
        <w:rPr>
          <w:noProof w:val="0"/>
        </w:rPr>
        <w:t>.</w:t>
      </w:r>
    </w:p>
    <w:p w:rsidR="00710705" w:rsidRDefault="00710705" w:rsidP="00710705">
      <w:pPr>
        <w:pStyle w:val="BTEMEASMCA"/>
        <w:rPr>
          <w:noProof w:val="0"/>
        </w:rPr>
      </w:pPr>
      <w:proofErr w:type="spellStart"/>
      <w:r>
        <w:rPr>
          <w:noProof w:val="0"/>
        </w:rPr>
        <w:t>Agranulocitozė</w:t>
      </w:r>
      <w:proofErr w:type="spellEnd"/>
      <w:r>
        <w:rPr>
          <w:noProof w:val="0"/>
        </w:rPr>
        <w:t xml:space="preserve"> gali pasireikšti net jei anksčiau vartojant </w:t>
      </w:r>
      <w:proofErr w:type="spellStart"/>
      <w:r>
        <w:rPr>
          <w:noProof w:val="0"/>
        </w:rPr>
        <w:t>metamizolo</w:t>
      </w:r>
      <w:proofErr w:type="spellEnd"/>
      <w:r>
        <w:rPr>
          <w:noProof w:val="0"/>
        </w:rPr>
        <w:t xml:space="preserve"> komplikacijų nebuvo.</w:t>
      </w:r>
    </w:p>
    <w:p w:rsidR="00710705" w:rsidRPr="00913636" w:rsidRDefault="00710705" w:rsidP="00710705">
      <w:pPr>
        <w:pStyle w:val="BTEMEASMCA"/>
        <w:rPr>
          <w:noProof w:val="0"/>
        </w:rPr>
      </w:pPr>
    </w:p>
    <w:p w:rsidR="00710705" w:rsidRPr="00834CD5" w:rsidRDefault="00710705" w:rsidP="00710705">
      <w:proofErr w:type="spellStart"/>
      <w:r w:rsidRPr="00834CD5">
        <w:t>Analgin</w:t>
      </w:r>
      <w:proofErr w:type="spellEnd"/>
      <w:r w:rsidRPr="00834CD5">
        <w:t xml:space="preserve"> </w:t>
      </w:r>
      <w:proofErr w:type="spellStart"/>
      <w:r w:rsidRPr="00834CD5">
        <w:t>Sopharma</w:t>
      </w:r>
      <w:proofErr w:type="spellEnd"/>
      <w:r w:rsidRPr="00834CD5">
        <w:t xml:space="preserve"> retai gali sukelti gyvybei pavojingą šoką (staigus kraujotakos sutrikimas).</w:t>
      </w:r>
    </w:p>
    <w:p w:rsidR="00710705" w:rsidRPr="00834CD5" w:rsidRDefault="00710705" w:rsidP="00710705"/>
    <w:p w:rsidR="00710705" w:rsidRPr="00834CD5" w:rsidRDefault="00710705" w:rsidP="00710705">
      <w:r w:rsidRPr="00834CD5">
        <w:t xml:space="preserve">Jei Jums nustatytos žemiau išvardytos būklės, tuomet sunkaus padidėjusio jautrumo vaistui </w:t>
      </w:r>
      <w:proofErr w:type="spellStart"/>
      <w:r w:rsidRPr="00834CD5">
        <w:t>Analgin</w:t>
      </w:r>
      <w:proofErr w:type="spellEnd"/>
      <w:r w:rsidRPr="00834CD5">
        <w:t xml:space="preserve"> </w:t>
      </w:r>
      <w:proofErr w:type="spellStart"/>
      <w:r w:rsidRPr="00834CD5">
        <w:t>Sopharma</w:t>
      </w:r>
      <w:proofErr w:type="spellEnd"/>
      <w:r w:rsidRPr="00834CD5">
        <w:t xml:space="preserve"> rizika gali reikšmingai padidėti:</w:t>
      </w:r>
    </w:p>
    <w:p w:rsidR="00710705" w:rsidRPr="00913636" w:rsidRDefault="00710705" w:rsidP="00710705">
      <w:pPr>
        <w:pStyle w:val="BT-EMEASMCA"/>
        <w:tabs>
          <w:tab w:val="clear" w:pos="360"/>
        </w:tabs>
        <w:rPr>
          <w:noProof w:val="0"/>
        </w:rPr>
      </w:pPr>
      <w:r w:rsidRPr="00913636">
        <w:rPr>
          <w:noProof w:val="0"/>
        </w:rPr>
        <w:t xml:space="preserve">nesteroidinių vaistų nuo uždegimo (NVNU) (vartojamų skausmui malšinti ir reumatui gydyti) </w:t>
      </w:r>
      <w:proofErr w:type="spellStart"/>
      <w:r w:rsidRPr="00913636">
        <w:rPr>
          <w:noProof w:val="0"/>
        </w:rPr>
        <w:t>netoleravimas</w:t>
      </w:r>
      <w:proofErr w:type="spellEnd"/>
      <w:r w:rsidRPr="00913636">
        <w:rPr>
          <w:noProof w:val="0"/>
        </w:rPr>
        <w:t xml:space="preserve">, pasireiškiantis niežuliu, patinimu (dilgėlinė, </w:t>
      </w:r>
      <w:proofErr w:type="spellStart"/>
      <w:r w:rsidRPr="00913636">
        <w:rPr>
          <w:noProof w:val="0"/>
        </w:rPr>
        <w:t>angioneurozinė</w:t>
      </w:r>
      <w:proofErr w:type="spellEnd"/>
      <w:r w:rsidRPr="00913636">
        <w:rPr>
          <w:noProof w:val="0"/>
        </w:rPr>
        <w:t xml:space="preserve"> edema);</w:t>
      </w:r>
    </w:p>
    <w:p w:rsidR="00710705" w:rsidRPr="00913636" w:rsidRDefault="00710705" w:rsidP="00710705">
      <w:pPr>
        <w:pStyle w:val="BT-EMEASMCA"/>
        <w:tabs>
          <w:tab w:val="clear" w:pos="360"/>
        </w:tabs>
        <w:rPr>
          <w:noProof w:val="0"/>
        </w:rPr>
      </w:pPr>
      <w:r w:rsidRPr="00913636">
        <w:rPr>
          <w:noProof w:val="0"/>
        </w:rPr>
        <w:t xml:space="preserve">pasunkėjusio kvėpavimo dėl </w:t>
      </w:r>
      <w:proofErr w:type="spellStart"/>
      <w:r w:rsidRPr="00913636">
        <w:rPr>
          <w:noProof w:val="0"/>
        </w:rPr>
        <w:t>bronchiolių</w:t>
      </w:r>
      <w:proofErr w:type="spellEnd"/>
      <w:r w:rsidRPr="00913636">
        <w:rPr>
          <w:noProof w:val="0"/>
        </w:rPr>
        <w:t xml:space="preserve"> susiaurėjimo (bronchų astmos) priepuoliai, ypač jeigu Jūs sergate nosies arba priedinių veido ančių (sinusų) uždegimu (</w:t>
      </w:r>
      <w:proofErr w:type="spellStart"/>
      <w:r w:rsidRPr="00913636">
        <w:rPr>
          <w:noProof w:val="0"/>
        </w:rPr>
        <w:t>rinosinusitu</w:t>
      </w:r>
      <w:proofErr w:type="spellEnd"/>
      <w:r w:rsidRPr="00913636">
        <w:rPr>
          <w:noProof w:val="0"/>
        </w:rPr>
        <w:t>) ir nustatyti nosies polipai;</w:t>
      </w:r>
    </w:p>
    <w:p w:rsidR="00710705" w:rsidRPr="00913636" w:rsidRDefault="00710705" w:rsidP="00710705">
      <w:pPr>
        <w:pStyle w:val="BT-EMEASMCA"/>
        <w:tabs>
          <w:tab w:val="clear" w:pos="360"/>
        </w:tabs>
        <w:rPr>
          <w:noProof w:val="0"/>
        </w:rPr>
      </w:pPr>
      <w:r w:rsidRPr="00913636">
        <w:rPr>
          <w:noProof w:val="0"/>
        </w:rPr>
        <w:t>lėtinis išbėrimas pūslėmis (dilgėlinė);</w:t>
      </w:r>
    </w:p>
    <w:p w:rsidR="00710705" w:rsidRPr="00913636" w:rsidRDefault="00710705" w:rsidP="00710705">
      <w:pPr>
        <w:pStyle w:val="BT-EMEASMCA"/>
        <w:tabs>
          <w:tab w:val="clear" w:pos="360"/>
        </w:tabs>
        <w:rPr>
          <w:noProof w:val="0"/>
        </w:rPr>
      </w:pPr>
      <w:r w:rsidRPr="00913636">
        <w:rPr>
          <w:noProof w:val="0"/>
        </w:rPr>
        <w:t xml:space="preserve">padidėjęs jautrumas dažikliams (pvz., </w:t>
      </w:r>
      <w:proofErr w:type="spellStart"/>
      <w:r w:rsidRPr="00913636">
        <w:rPr>
          <w:noProof w:val="0"/>
        </w:rPr>
        <w:t>tartrazinui</w:t>
      </w:r>
      <w:proofErr w:type="spellEnd"/>
      <w:r w:rsidRPr="00913636">
        <w:rPr>
          <w:noProof w:val="0"/>
        </w:rPr>
        <w:t xml:space="preserve">) arba konservantams (pvz., </w:t>
      </w:r>
      <w:proofErr w:type="spellStart"/>
      <w:r w:rsidRPr="00913636">
        <w:rPr>
          <w:noProof w:val="0"/>
        </w:rPr>
        <w:t>benzoatams</w:t>
      </w:r>
      <w:proofErr w:type="spellEnd"/>
      <w:r w:rsidRPr="00913636">
        <w:rPr>
          <w:noProof w:val="0"/>
        </w:rPr>
        <w:t>);</w:t>
      </w:r>
    </w:p>
    <w:p w:rsidR="00710705" w:rsidRPr="00913636" w:rsidRDefault="00710705" w:rsidP="00710705">
      <w:pPr>
        <w:pStyle w:val="BT-EMEASMCA"/>
        <w:tabs>
          <w:tab w:val="clear" w:pos="360"/>
        </w:tabs>
        <w:rPr>
          <w:noProof w:val="0"/>
        </w:rPr>
      </w:pPr>
      <w:r w:rsidRPr="00913636">
        <w:rPr>
          <w:noProof w:val="0"/>
        </w:rPr>
        <w:t xml:space="preserve">alkoholio </w:t>
      </w:r>
      <w:proofErr w:type="spellStart"/>
      <w:r w:rsidRPr="00913636">
        <w:rPr>
          <w:noProof w:val="0"/>
        </w:rPr>
        <w:t>netoleravimas</w:t>
      </w:r>
      <w:proofErr w:type="spellEnd"/>
      <w:r w:rsidRPr="00913636">
        <w:rPr>
          <w:noProof w:val="0"/>
        </w:rPr>
        <w:t xml:space="preserve">, kuomet reaguojate netgi į nedidelį alkoholio kiekį sloga, ašarojimu, stipriu veido paraudimu. Toks alkoholio </w:t>
      </w:r>
      <w:proofErr w:type="spellStart"/>
      <w:r w:rsidRPr="00913636">
        <w:rPr>
          <w:noProof w:val="0"/>
        </w:rPr>
        <w:t>netoleravimas</w:t>
      </w:r>
      <w:proofErr w:type="spellEnd"/>
      <w:r w:rsidRPr="00913636">
        <w:rPr>
          <w:noProof w:val="0"/>
        </w:rPr>
        <w:t xml:space="preserve"> gali būti kol kas nenustatyto skausmą malšinančių vaistų </w:t>
      </w:r>
      <w:proofErr w:type="spellStart"/>
      <w:r w:rsidRPr="00913636">
        <w:rPr>
          <w:noProof w:val="0"/>
        </w:rPr>
        <w:t>netoleravimo</w:t>
      </w:r>
      <w:proofErr w:type="spellEnd"/>
      <w:r w:rsidRPr="00913636">
        <w:rPr>
          <w:noProof w:val="0"/>
        </w:rPr>
        <w:t xml:space="preserve"> požymis.</w:t>
      </w:r>
    </w:p>
    <w:p w:rsidR="00710705" w:rsidRPr="00834CD5" w:rsidRDefault="00710705" w:rsidP="00710705"/>
    <w:p w:rsidR="00710705" w:rsidRPr="00913636" w:rsidRDefault="00710705" w:rsidP="00710705">
      <w:pPr>
        <w:pStyle w:val="BTEMEASMCA"/>
        <w:rPr>
          <w:noProof w:val="0"/>
        </w:rPr>
      </w:pPr>
      <w:r w:rsidRPr="00913636">
        <w:rPr>
          <w:noProof w:val="0"/>
        </w:rPr>
        <w:t xml:space="preserve">Prieš pradėdami vartoti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įsitikinkite, ar kuri nors iš išvardytų būklių tinka Jums. Jeigu yra padidėjusio jautrumo reakcijų rizika,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galima vartoti tik atidžiai įvertinus galimą vartojimo riziką ir naudą. Tokiais atvejais vartojant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pacientas turi būti atidžiai prižiūrimas bei turi būti paruoštos skubios pagalbos suteikimo priemonės.</w:t>
      </w:r>
    </w:p>
    <w:p w:rsidR="00710705" w:rsidRPr="00913636" w:rsidRDefault="00710705" w:rsidP="00710705">
      <w:pPr>
        <w:pStyle w:val="BTEMEASMCA"/>
        <w:rPr>
          <w:noProof w:val="0"/>
        </w:rPr>
      </w:pPr>
    </w:p>
    <w:p w:rsidR="00710705" w:rsidRPr="00913636" w:rsidRDefault="00710705" w:rsidP="00710705">
      <w:pPr>
        <w:pStyle w:val="BTEMEASMCA"/>
        <w:rPr>
          <w:noProof w:val="0"/>
        </w:rPr>
      </w:pP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tabletės gali sukelti kraujospūdžio sumažėjimą (</w:t>
      </w:r>
      <w:proofErr w:type="spellStart"/>
      <w:r w:rsidRPr="00913636">
        <w:rPr>
          <w:noProof w:val="0"/>
        </w:rPr>
        <w:t>hipotenzines</w:t>
      </w:r>
      <w:proofErr w:type="spellEnd"/>
      <w:r w:rsidRPr="00913636">
        <w:rPr>
          <w:noProof w:val="0"/>
        </w:rPr>
        <w:t xml:space="preserve"> reakcijas). Jų rizika padidėja, jeigu: </w:t>
      </w:r>
    </w:p>
    <w:p w:rsidR="00710705" w:rsidRPr="00913636" w:rsidRDefault="00710705" w:rsidP="00710705">
      <w:pPr>
        <w:pStyle w:val="BT-EMEASMCA"/>
        <w:tabs>
          <w:tab w:val="clear" w:pos="360"/>
        </w:tabs>
        <w:rPr>
          <w:noProof w:val="0"/>
        </w:rPr>
      </w:pPr>
      <w:r w:rsidRPr="00913636">
        <w:rPr>
          <w:noProof w:val="0"/>
        </w:rPr>
        <w:t xml:space="preserve">Jums nustatyta </w:t>
      </w:r>
      <w:proofErr w:type="spellStart"/>
      <w:r w:rsidRPr="00913636">
        <w:rPr>
          <w:noProof w:val="0"/>
        </w:rPr>
        <w:t>hipotenzija</w:t>
      </w:r>
      <w:proofErr w:type="spellEnd"/>
      <w:r w:rsidRPr="00913636">
        <w:rPr>
          <w:noProof w:val="0"/>
        </w:rPr>
        <w:t xml:space="preserve"> (sumažėjęs kraujospūdis), netekote daug skysčių, yra bloga kraujotaka arba yra pradinės kraujotakos sutrikimo stadija (pvz., miokardo infarktas arba sunki trauma);</w:t>
      </w:r>
    </w:p>
    <w:p w:rsidR="00710705" w:rsidRPr="00913636" w:rsidRDefault="00710705" w:rsidP="00710705">
      <w:pPr>
        <w:pStyle w:val="BT-EMEASMCA"/>
        <w:tabs>
          <w:tab w:val="clear" w:pos="360"/>
        </w:tabs>
        <w:rPr>
          <w:noProof w:val="0"/>
        </w:rPr>
      </w:pPr>
      <w:r w:rsidRPr="00913636">
        <w:rPr>
          <w:noProof w:val="0"/>
        </w:rPr>
        <w:t>labai aukšta temperatūra.</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Dėl šios priežasties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vartojimą reikia atidžiai įvertinti ir įdėmiai stebėti paciento būklę. </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Jeigu labai svarbu išvengti bet kokio kraujospūdžio sumažėjimo (pvz., jeigu Jūs sergate sunkia širdies vainikinių kraujagyslių liga arba kraujagyslių susiaurėjimu (stenoze), kuris apriboja galvos smegenų kraujotaką),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galima vartoti tik atidžiai kontroliuojant Jūsų kraujotaką.</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Kepenų sutrikimai</w:t>
      </w:r>
    </w:p>
    <w:p w:rsidR="00710705" w:rsidRPr="00913636" w:rsidRDefault="00710705" w:rsidP="00710705">
      <w:pPr>
        <w:pStyle w:val="BTEMEASMCA"/>
        <w:rPr>
          <w:noProof w:val="0"/>
        </w:rPr>
      </w:pPr>
      <w:r w:rsidRPr="00913636">
        <w:rPr>
          <w:noProof w:val="0"/>
        </w:rPr>
        <w:lastRenderedPageBreak/>
        <w:t xml:space="preserve">Gauta pranešimų apie kepenų uždegimą, nustatytą </w:t>
      </w:r>
      <w:proofErr w:type="spellStart"/>
      <w:r w:rsidRPr="00913636">
        <w:rPr>
          <w:noProof w:val="0"/>
        </w:rPr>
        <w:t>metamizolą</w:t>
      </w:r>
      <w:proofErr w:type="spellEnd"/>
      <w:r w:rsidRPr="00913636">
        <w:rPr>
          <w:noProof w:val="0"/>
        </w:rPr>
        <w:t xml:space="preserve"> vartojantiems pacientams, kuriems jo simptomai pasireiškė per kelias dienas arba kelis mėnesius nuo gydymo pradžios.</w:t>
      </w:r>
    </w:p>
    <w:p w:rsidR="00710705" w:rsidRPr="00913636" w:rsidRDefault="00710705" w:rsidP="00710705">
      <w:pPr>
        <w:pStyle w:val="BTEMEASMCA"/>
        <w:rPr>
          <w:noProof w:val="0"/>
        </w:rPr>
      </w:pPr>
      <w:r w:rsidRPr="00913636">
        <w:rPr>
          <w:noProof w:val="0"/>
        </w:rPr>
        <w:t xml:space="preserve">Nebevartokite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w:t>
      </w:r>
    </w:p>
    <w:p w:rsidR="00710705" w:rsidRPr="00913636" w:rsidRDefault="00710705" w:rsidP="00710705">
      <w:pPr>
        <w:pStyle w:val="BTEMEASMCA"/>
        <w:rPr>
          <w:noProof w:val="0"/>
        </w:rPr>
      </w:pPr>
      <w:r w:rsidRPr="00913636">
        <w:rPr>
          <w:noProof w:val="0"/>
        </w:rPr>
        <w:t xml:space="preserve">Jums negalima vartoti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jeigu Jūs anksčiau vartojote vaistą, kurio sudėtyje yra </w:t>
      </w:r>
      <w:proofErr w:type="spellStart"/>
      <w:r w:rsidRPr="00913636">
        <w:rPr>
          <w:noProof w:val="0"/>
        </w:rPr>
        <w:t>metamizolo</w:t>
      </w:r>
      <w:proofErr w:type="spellEnd"/>
      <w:r w:rsidRPr="00913636">
        <w:rPr>
          <w:noProof w:val="0"/>
        </w:rPr>
        <w:t>, ir Jums pasireiškė kepenų sutrikimų.</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Sunkios odos reakcijos </w:t>
      </w:r>
    </w:p>
    <w:p w:rsidR="00710705" w:rsidRPr="00913636" w:rsidRDefault="00710705" w:rsidP="00710705">
      <w:pPr>
        <w:pStyle w:val="BTEMEASMCA"/>
        <w:rPr>
          <w:noProof w:val="0"/>
        </w:rPr>
      </w:pPr>
      <w:r w:rsidRPr="00913636">
        <w:rPr>
          <w:noProof w:val="0"/>
        </w:rPr>
        <w:t xml:space="preserve">Gydant </w:t>
      </w:r>
      <w:proofErr w:type="spellStart"/>
      <w:r w:rsidRPr="00913636">
        <w:rPr>
          <w:noProof w:val="0"/>
        </w:rPr>
        <w:t>metamizolu</w:t>
      </w:r>
      <w:proofErr w:type="spellEnd"/>
      <w:r w:rsidRPr="00913636">
        <w:rPr>
          <w:noProof w:val="0"/>
        </w:rPr>
        <w:t xml:space="preserve"> gauta pranešimų apie sunkias odos reakcijas, įskaitant </w:t>
      </w:r>
      <w:proofErr w:type="spellStart"/>
      <w:r w:rsidRPr="00913636">
        <w:rPr>
          <w:noProof w:val="0"/>
        </w:rPr>
        <w:t>Stivenso</w:t>
      </w:r>
      <w:proofErr w:type="spellEnd"/>
      <w:r w:rsidRPr="00913636">
        <w:rPr>
          <w:noProof w:val="0"/>
        </w:rPr>
        <w:t xml:space="preserve">-Džonsono sindromą, toksinę epidermio </w:t>
      </w:r>
      <w:proofErr w:type="spellStart"/>
      <w:r w:rsidRPr="00913636">
        <w:rPr>
          <w:noProof w:val="0"/>
        </w:rPr>
        <w:t>nekrolizę</w:t>
      </w:r>
      <w:proofErr w:type="spellEnd"/>
      <w:r w:rsidRPr="00913636">
        <w:rPr>
          <w:noProof w:val="0"/>
        </w:rPr>
        <w:t xml:space="preserve">, reakciją į vaistą su </w:t>
      </w:r>
      <w:proofErr w:type="spellStart"/>
      <w:r w:rsidRPr="00913636">
        <w:rPr>
          <w:noProof w:val="0"/>
        </w:rPr>
        <w:t>eozinofilija</w:t>
      </w:r>
      <w:proofErr w:type="spellEnd"/>
      <w:r w:rsidRPr="00913636">
        <w:rPr>
          <w:noProof w:val="0"/>
        </w:rPr>
        <w:t xml:space="preserve"> ir sisteminiais simptomais (angl. </w:t>
      </w:r>
      <w:proofErr w:type="spellStart"/>
      <w:r w:rsidRPr="00913636">
        <w:rPr>
          <w:i/>
          <w:iCs/>
          <w:noProof w:val="0"/>
        </w:rPr>
        <w:t>drug</w:t>
      </w:r>
      <w:proofErr w:type="spellEnd"/>
      <w:r w:rsidRPr="00913636">
        <w:rPr>
          <w:i/>
          <w:iCs/>
          <w:noProof w:val="0"/>
        </w:rPr>
        <w:t xml:space="preserve"> </w:t>
      </w:r>
      <w:proofErr w:type="spellStart"/>
      <w:r w:rsidRPr="00913636">
        <w:rPr>
          <w:i/>
          <w:iCs/>
          <w:noProof w:val="0"/>
        </w:rPr>
        <w:t>reaction</w:t>
      </w:r>
      <w:proofErr w:type="spellEnd"/>
      <w:r w:rsidRPr="00913636">
        <w:rPr>
          <w:i/>
          <w:iCs/>
          <w:noProof w:val="0"/>
        </w:rPr>
        <w:t xml:space="preserve"> </w:t>
      </w:r>
      <w:proofErr w:type="spellStart"/>
      <w:r w:rsidRPr="00913636">
        <w:rPr>
          <w:i/>
          <w:iCs/>
          <w:noProof w:val="0"/>
        </w:rPr>
        <w:t>with</w:t>
      </w:r>
      <w:proofErr w:type="spellEnd"/>
      <w:r w:rsidRPr="00913636">
        <w:rPr>
          <w:i/>
          <w:iCs/>
          <w:noProof w:val="0"/>
        </w:rPr>
        <w:t xml:space="preserve"> </w:t>
      </w:r>
      <w:proofErr w:type="spellStart"/>
      <w:r w:rsidRPr="00913636">
        <w:rPr>
          <w:i/>
          <w:iCs/>
          <w:noProof w:val="0"/>
        </w:rPr>
        <w:t>eosinophilia</w:t>
      </w:r>
      <w:proofErr w:type="spellEnd"/>
      <w:r w:rsidRPr="00913636">
        <w:rPr>
          <w:i/>
          <w:iCs/>
          <w:noProof w:val="0"/>
        </w:rPr>
        <w:t xml:space="preserve"> </w:t>
      </w:r>
      <w:proofErr w:type="spellStart"/>
      <w:r w:rsidRPr="00913636">
        <w:rPr>
          <w:i/>
          <w:iCs/>
          <w:noProof w:val="0"/>
        </w:rPr>
        <w:t>and</w:t>
      </w:r>
      <w:proofErr w:type="spellEnd"/>
      <w:r w:rsidRPr="00913636">
        <w:rPr>
          <w:i/>
          <w:iCs/>
          <w:noProof w:val="0"/>
        </w:rPr>
        <w:t xml:space="preserve"> </w:t>
      </w:r>
      <w:proofErr w:type="spellStart"/>
      <w:r w:rsidRPr="00913636">
        <w:rPr>
          <w:i/>
          <w:iCs/>
          <w:noProof w:val="0"/>
        </w:rPr>
        <w:t>systemic</w:t>
      </w:r>
      <w:proofErr w:type="spellEnd"/>
      <w:r w:rsidRPr="00913636">
        <w:rPr>
          <w:i/>
          <w:iCs/>
          <w:noProof w:val="0"/>
        </w:rPr>
        <w:t xml:space="preserve"> </w:t>
      </w:r>
      <w:proofErr w:type="spellStart"/>
      <w:r w:rsidRPr="00913636">
        <w:rPr>
          <w:i/>
          <w:iCs/>
          <w:noProof w:val="0"/>
        </w:rPr>
        <w:t>symptoms</w:t>
      </w:r>
      <w:proofErr w:type="spellEnd"/>
      <w:r w:rsidRPr="00913636">
        <w:rPr>
          <w:i/>
          <w:iCs/>
          <w:noProof w:val="0"/>
        </w:rPr>
        <w:t>;</w:t>
      </w:r>
      <w:r w:rsidRPr="00913636">
        <w:rPr>
          <w:noProof w:val="0"/>
        </w:rPr>
        <w:t xml:space="preserve"> DRESS). Pastebėję bent vieną iš 4 skyriuje aprašytų simptomų, susijusių su šiomis sunkiomis odos reakcijomis, nebevartokite </w:t>
      </w:r>
      <w:proofErr w:type="spellStart"/>
      <w:r w:rsidRPr="00913636">
        <w:rPr>
          <w:noProof w:val="0"/>
        </w:rPr>
        <w:t>metamizolo</w:t>
      </w:r>
      <w:proofErr w:type="spellEnd"/>
      <w:r w:rsidRPr="00913636">
        <w:rPr>
          <w:noProof w:val="0"/>
        </w:rPr>
        <w:t xml:space="preserve"> ir nedelsdami kreipkitės medicininės pagalbos.</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Jeigu Jums kada nors yra pasireiškusi kokia nors sunki odos reakcija, gydymo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atnaujinti nebegalite (žr. 4 skyrių).</w:t>
      </w:r>
    </w:p>
    <w:p w:rsidR="00710705" w:rsidRPr="00913636" w:rsidRDefault="00710705" w:rsidP="00710705">
      <w:pPr>
        <w:pStyle w:val="BTEMEASMCA"/>
        <w:rPr>
          <w:noProof w:val="0"/>
        </w:rPr>
      </w:pPr>
    </w:p>
    <w:p w:rsidR="00710705" w:rsidRPr="00834CD5" w:rsidRDefault="00710705" w:rsidP="00710705">
      <w:pPr>
        <w:tabs>
          <w:tab w:val="left" w:pos="0"/>
        </w:tabs>
      </w:pPr>
      <w:r w:rsidRPr="00834CD5">
        <w:t xml:space="preserve">Jeigu sutrikusi Jūsų inkstų arba kepenų funkcija, </w:t>
      </w:r>
      <w:proofErr w:type="spellStart"/>
      <w:r w:rsidRPr="00834CD5">
        <w:t>Analgin</w:t>
      </w:r>
      <w:proofErr w:type="spellEnd"/>
      <w:r w:rsidRPr="00834CD5">
        <w:t xml:space="preserve"> </w:t>
      </w:r>
      <w:proofErr w:type="spellStart"/>
      <w:r w:rsidRPr="00834CD5">
        <w:t>Sopharma</w:t>
      </w:r>
      <w:proofErr w:type="spellEnd"/>
      <w:r w:rsidRPr="00834CD5">
        <w:t xml:space="preserve"> reikia vartoti tik atidžiai įvertinus vartojimo naudą ir galimą riziką bei laikantis tinkamo atsargumo. </w:t>
      </w:r>
    </w:p>
    <w:p w:rsidR="00710705" w:rsidRPr="00834CD5" w:rsidRDefault="00710705" w:rsidP="00710705">
      <w:pPr>
        <w:numPr>
          <w:ilvl w:val="12"/>
          <w:numId w:val="0"/>
        </w:numPr>
        <w:tabs>
          <w:tab w:val="clear" w:pos="567"/>
        </w:tabs>
        <w:spacing w:line="240" w:lineRule="auto"/>
        <w:rPr>
          <w:b/>
        </w:rPr>
      </w:pPr>
    </w:p>
    <w:p w:rsidR="00710705" w:rsidRPr="00834CD5" w:rsidRDefault="00710705" w:rsidP="00710705">
      <w:pPr>
        <w:pStyle w:val="Antrat4"/>
      </w:pPr>
      <w:r w:rsidRPr="00834CD5">
        <w:t>Vaikams ir paaugliams</w:t>
      </w:r>
    </w:p>
    <w:p w:rsidR="00710705" w:rsidRPr="00834CD5" w:rsidRDefault="00710705" w:rsidP="00710705">
      <w:r w:rsidRPr="00834CD5">
        <w:t>Vaisto nerekomenduojama vartoti jaunesniems kaip 15 metų vaikams ir paaugliams.</w:t>
      </w:r>
    </w:p>
    <w:p w:rsidR="00710705" w:rsidRPr="00834CD5" w:rsidRDefault="00710705" w:rsidP="00710705">
      <w:pPr>
        <w:numPr>
          <w:ilvl w:val="12"/>
          <w:numId w:val="0"/>
        </w:numPr>
        <w:tabs>
          <w:tab w:val="clear" w:pos="567"/>
        </w:tabs>
        <w:spacing w:line="240" w:lineRule="auto"/>
        <w:rPr>
          <w:b/>
        </w:rPr>
      </w:pPr>
    </w:p>
    <w:p w:rsidR="00710705" w:rsidRPr="00834CD5" w:rsidRDefault="00710705" w:rsidP="00710705">
      <w:pPr>
        <w:ind w:left="720" w:hanging="720"/>
      </w:pPr>
      <w:r w:rsidRPr="00834CD5">
        <w:rPr>
          <w:b/>
        </w:rPr>
        <w:t xml:space="preserve">Kiti vaistai ir </w:t>
      </w:r>
      <w:proofErr w:type="spellStart"/>
      <w:r w:rsidRPr="00834CD5">
        <w:rPr>
          <w:b/>
        </w:rPr>
        <w:t>Analgin</w:t>
      </w:r>
      <w:proofErr w:type="spellEnd"/>
      <w:r w:rsidRPr="00834CD5">
        <w:rPr>
          <w:b/>
        </w:rPr>
        <w:t xml:space="preserve"> </w:t>
      </w:r>
      <w:proofErr w:type="spellStart"/>
      <w:r w:rsidRPr="00834CD5">
        <w:rPr>
          <w:b/>
        </w:rPr>
        <w:t>Sopharma</w:t>
      </w:r>
      <w:proofErr w:type="spellEnd"/>
      <w:r w:rsidRPr="00834CD5">
        <w:t xml:space="preserve"> </w:t>
      </w:r>
    </w:p>
    <w:p w:rsidR="00710705" w:rsidRPr="00834CD5" w:rsidRDefault="00710705" w:rsidP="00710705">
      <w:r w:rsidRPr="00834CD5">
        <w:t xml:space="preserve">Jeigu vartojate ar neseniai vartojote kitų vaistų arba dėl to nesate tikri, apie tai pasakykite gydytojui arba vaistininkui. </w:t>
      </w:r>
    </w:p>
    <w:p w:rsidR="00710705" w:rsidRPr="00834CD5" w:rsidRDefault="00710705" w:rsidP="00710705">
      <w:pPr>
        <w:ind w:left="720" w:hanging="720"/>
      </w:pPr>
    </w:p>
    <w:p w:rsidR="00710705" w:rsidRPr="00913636" w:rsidRDefault="00710705" w:rsidP="00710705">
      <w:pPr>
        <w:rPr>
          <w:rStyle w:val="BTEMEASMCAChar"/>
        </w:rPr>
      </w:pPr>
      <w:r w:rsidRPr="00834CD5">
        <w:t>P</w:t>
      </w:r>
      <w:r w:rsidRPr="00913636">
        <w:rPr>
          <w:rStyle w:val="BTEMEASMCAChar"/>
        </w:rPr>
        <w:t>asakykite gydytojui, jeigu vartojate</w:t>
      </w:r>
      <w:r w:rsidRPr="00913636">
        <w:rPr>
          <w:rStyle w:val="BTEMEASMCAChar"/>
          <w:color w:val="000000" w:themeColor="text1"/>
          <w:lang w:eastAsia="en-US"/>
        </w:rPr>
        <w:t>:</w:t>
      </w:r>
    </w:p>
    <w:p w:rsidR="00710705" w:rsidRPr="00834CD5" w:rsidRDefault="00710705" w:rsidP="00710705">
      <w:pPr>
        <w:pStyle w:val="Pagrindinistekstas"/>
        <w:ind w:left="567" w:hanging="567"/>
        <w:rPr>
          <w:i w:val="0"/>
          <w:color w:val="auto"/>
        </w:rPr>
      </w:pPr>
      <w:proofErr w:type="spellStart"/>
      <w:r w:rsidRPr="00834CD5">
        <w:rPr>
          <w:i w:val="0"/>
          <w:color w:val="auto"/>
        </w:rPr>
        <w:t>Analgin</w:t>
      </w:r>
      <w:proofErr w:type="spellEnd"/>
      <w:r w:rsidRPr="00834CD5">
        <w:rPr>
          <w:i w:val="0"/>
          <w:color w:val="auto"/>
        </w:rPr>
        <w:t xml:space="preserve"> </w:t>
      </w:r>
      <w:proofErr w:type="spellStart"/>
      <w:r w:rsidRPr="00834CD5">
        <w:rPr>
          <w:i w:val="0"/>
          <w:color w:val="auto"/>
        </w:rPr>
        <w:t>Sopharma</w:t>
      </w:r>
      <w:proofErr w:type="spellEnd"/>
      <w:r w:rsidRPr="00834CD5">
        <w:rPr>
          <w:i w:val="0"/>
          <w:color w:val="auto"/>
        </w:rPr>
        <w:t xml:space="preserve"> tabletes kartu su </w:t>
      </w:r>
      <w:proofErr w:type="spellStart"/>
      <w:r w:rsidRPr="00834CD5">
        <w:rPr>
          <w:i w:val="0"/>
          <w:color w:val="auto"/>
        </w:rPr>
        <w:t>chlorpromazinu</w:t>
      </w:r>
      <w:proofErr w:type="spellEnd"/>
      <w:r w:rsidRPr="00834CD5">
        <w:rPr>
          <w:i w:val="0"/>
          <w:color w:val="auto"/>
        </w:rPr>
        <w:t xml:space="preserve"> (vaistu psichinėms ligoms gydyti), nes gali išsivystyti sunki hipotermija (kūno temperatūros sumažėjimas);</w:t>
      </w:r>
    </w:p>
    <w:p w:rsidR="00710705" w:rsidRPr="00834CD5" w:rsidRDefault="00710705" w:rsidP="00710705">
      <w:pPr>
        <w:pStyle w:val="Pagrindinistekstas"/>
        <w:numPr>
          <w:ilvl w:val="0"/>
          <w:numId w:val="3"/>
        </w:numPr>
        <w:ind w:left="567" w:hanging="567"/>
        <w:rPr>
          <w:i w:val="0"/>
          <w:color w:val="auto"/>
        </w:rPr>
      </w:pPr>
      <w:proofErr w:type="spellStart"/>
      <w:r w:rsidRPr="00834CD5">
        <w:rPr>
          <w:i w:val="0"/>
          <w:color w:val="auto"/>
        </w:rPr>
        <w:t>Analgin</w:t>
      </w:r>
      <w:proofErr w:type="spellEnd"/>
      <w:r w:rsidRPr="00834CD5">
        <w:rPr>
          <w:i w:val="0"/>
          <w:color w:val="auto"/>
        </w:rPr>
        <w:t xml:space="preserve"> </w:t>
      </w:r>
      <w:proofErr w:type="spellStart"/>
      <w:r w:rsidRPr="00834CD5">
        <w:rPr>
          <w:i w:val="0"/>
          <w:color w:val="auto"/>
        </w:rPr>
        <w:t>Sopharma</w:t>
      </w:r>
      <w:proofErr w:type="spellEnd"/>
      <w:r w:rsidRPr="00834CD5">
        <w:rPr>
          <w:i w:val="0"/>
          <w:color w:val="auto"/>
        </w:rPr>
        <w:t xml:space="preserve"> tabletes kartu su vaistais, mažinančiais kraujo krešėjimą, nes </w:t>
      </w:r>
      <w:proofErr w:type="spellStart"/>
      <w:r w:rsidRPr="00834CD5">
        <w:rPr>
          <w:i w:val="0"/>
          <w:color w:val="auto"/>
        </w:rPr>
        <w:t>Analgin</w:t>
      </w:r>
      <w:proofErr w:type="spellEnd"/>
      <w:r w:rsidRPr="00834CD5">
        <w:rPr>
          <w:i w:val="0"/>
          <w:color w:val="auto"/>
        </w:rPr>
        <w:t xml:space="preserve"> </w:t>
      </w:r>
      <w:proofErr w:type="spellStart"/>
      <w:r w:rsidRPr="00834CD5">
        <w:rPr>
          <w:i w:val="0"/>
          <w:color w:val="auto"/>
        </w:rPr>
        <w:t>Sopharma</w:t>
      </w:r>
      <w:proofErr w:type="spellEnd"/>
      <w:r w:rsidRPr="00834CD5">
        <w:rPr>
          <w:i w:val="0"/>
          <w:color w:val="auto"/>
        </w:rPr>
        <w:t xml:space="preserve"> silpnina tokių vaistų poveikį;</w:t>
      </w:r>
    </w:p>
    <w:p w:rsidR="00710705" w:rsidRPr="00913636" w:rsidRDefault="00710705" w:rsidP="00710705">
      <w:pPr>
        <w:pStyle w:val="BT-EMEASMCA"/>
        <w:tabs>
          <w:tab w:val="clear" w:pos="360"/>
        </w:tabs>
        <w:rPr>
          <w:noProof w:val="0"/>
        </w:rPr>
      </w:pPr>
      <w:proofErr w:type="spellStart"/>
      <w:r w:rsidRPr="00913636">
        <w:rPr>
          <w:noProof w:val="0"/>
        </w:rPr>
        <w:t>bupropiono</w:t>
      </w:r>
      <w:proofErr w:type="spellEnd"/>
      <w:r w:rsidRPr="00913636">
        <w:rPr>
          <w:noProof w:val="0"/>
        </w:rPr>
        <w:t xml:space="preserve"> – vaisto, kuriuo gydoma depresija arba kuris vartojamas kaip pagalbinė priemonė siekiant nustoti rūkyti;</w:t>
      </w:r>
    </w:p>
    <w:p w:rsidR="00710705" w:rsidRPr="00913636" w:rsidRDefault="00710705" w:rsidP="00710705">
      <w:pPr>
        <w:pStyle w:val="BT-EMEASMCA"/>
        <w:tabs>
          <w:tab w:val="clear" w:pos="360"/>
        </w:tabs>
        <w:rPr>
          <w:noProof w:val="0"/>
        </w:rPr>
      </w:pPr>
      <w:proofErr w:type="spellStart"/>
      <w:r w:rsidRPr="00913636">
        <w:rPr>
          <w:noProof w:val="0"/>
        </w:rPr>
        <w:t>efavirenzo</w:t>
      </w:r>
      <w:proofErr w:type="spellEnd"/>
      <w:r w:rsidRPr="00913636">
        <w:rPr>
          <w:noProof w:val="0"/>
        </w:rPr>
        <w:t xml:space="preserve"> – vaisto, kuriuo gydoma nuo ŽIV (AIDS);</w:t>
      </w:r>
    </w:p>
    <w:p w:rsidR="00710705" w:rsidRPr="00913636" w:rsidRDefault="00710705" w:rsidP="00710705">
      <w:pPr>
        <w:pStyle w:val="BT-EMEASMCA"/>
        <w:tabs>
          <w:tab w:val="clear" w:pos="360"/>
        </w:tabs>
        <w:rPr>
          <w:noProof w:val="0"/>
        </w:rPr>
      </w:pPr>
      <w:r w:rsidRPr="00913636">
        <w:rPr>
          <w:noProof w:val="0"/>
        </w:rPr>
        <w:t xml:space="preserve">metadono – vaisto, kuriuo gydoma priklausomybė nuo narkotikų (vadinamųjų </w:t>
      </w:r>
      <w:proofErr w:type="spellStart"/>
      <w:r w:rsidRPr="00913636">
        <w:rPr>
          <w:noProof w:val="0"/>
        </w:rPr>
        <w:t>opioidais</w:t>
      </w:r>
      <w:proofErr w:type="spellEnd"/>
      <w:r w:rsidRPr="00913636">
        <w:rPr>
          <w:noProof w:val="0"/>
        </w:rPr>
        <w:t>);</w:t>
      </w:r>
    </w:p>
    <w:p w:rsidR="00710705" w:rsidRPr="00913636" w:rsidRDefault="00710705" w:rsidP="00710705">
      <w:pPr>
        <w:pStyle w:val="BT-EMEASMCA"/>
        <w:tabs>
          <w:tab w:val="clear" w:pos="360"/>
        </w:tabs>
        <w:rPr>
          <w:noProof w:val="0"/>
        </w:rPr>
      </w:pPr>
      <w:proofErr w:type="spellStart"/>
      <w:r w:rsidRPr="00913636">
        <w:rPr>
          <w:noProof w:val="0"/>
        </w:rPr>
        <w:t>valproato</w:t>
      </w:r>
      <w:proofErr w:type="spellEnd"/>
      <w:r w:rsidRPr="00913636">
        <w:rPr>
          <w:noProof w:val="0"/>
        </w:rPr>
        <w:t xml:space="preserve"> – vaisto, kuriuo gydoma epilepsija ir </w:t>
      </w:r>
      <w:proofErr w:type="spellStart"/>
      <w:r w:rsidRPr="00913636">
        <w:rPr>
          <w:noProof w:val="0"/>
        </w:rPr>
        <w:t>bipolinis</w:t>
      </w:r>
      <w:proofErr w:type="spellEnd"/>
      <w:r w:rsidRPr="00913636">
        <w:rPr>
          <w:noProof w:val="0"/>
        </w:rPr>
        <w:t xml:space="preserve"> sutrikimas;</w:t>
      </w:r>
    </w:p>
    <w:p w:rsidR="00710705" w:rsidRPr="00913636" w:rsidRDefault="00710705" w:rsidP="00710705">
      <w:pPr>
        <w:pStyle w:val="BT-EMEASMCA"/>
        <w:tabs>
          <w:tab w:val="clear" w:pos="360"/>
        </w:tabs>
        <w:rPr>
          <w:noProof w:val="0"/>
        </w:rPr>
      </w:pPr>
      <w:proofErr w:type="spellStart"/>
      <w:r w:rsidRPr="00913636">
        <w:rPr>
          <w:noProof w:val="0"/>
        </w:rPr>
        <w:t>takrolimuzo</w:t>
      </w:r>
      <w:proofErr w:type="spellEnd"/>
      <w:r w:rsidRPr="00913636">
        <w:rPr>
          <w:noProof w:val="0"/>
        </w:rPr>
        <w:t xml:space="preserve"> – vaisto, kuris skiriamas pacientams, kuriems atlikta transplantacija (organų persodinimo operacija), siekiant išvengti persodinto organo atmetimo;</w:t>
      </w:r>
    </w:p>
    <w:p w:rsidR="00710705" w:rsidRPr="00913636" w:rsidRDefault="00710705" w:rsidP="00710705">
      <w:pPr>
        <w:pStyle w:val="BT-EMEASMCA"/>
        <w:tabs>
          <w:tab w:val="clear" w:pos="360"/>
        </w:tabs>
        <w:rPr>
          <w:noProof w:val="0"/>
        </w:rPr>
      </w:pPr>
      <w:proofErr w:type="spellStart"/>
      <w:r w:rsidRPr="00913636">
        <w:rPr>
          <w:noProof w:val="0"/>
        </w:rPr>
        <w:t>sertralino</w:t>
      </w:r>
      <w:proofErr w:type="spellEnd"/>
      <w:r w:rsidRPr="00913636">
        <w:rPr>
          <w:noProof w:val="0"/>
        </w:rPr>
        <w:t xml:space="preserve"> – vaisto, kuriuo gydoma depresija;</w:t>
      </w:r>
    </w:p>
    <w:p w:rsidR="00710705" w:rsidRPr="00834CD5" w:rsidRDefault="00710705" w:rsidP="00710705">
      <w:pPr>
        <w:pStyle w:val="Pagrindinistekstas"/>
        <w:numPr>
          <w:ilvl w:val="0"/>
          <w:numId w:val="3"/>
        </w:numPr>
        <w:ind w:left="567" w:hanging="567"/>
        <w:rPr>
          <w:i w:val="0"/>
          <w:color w:val="auto"/>
        </w:rPr>
      </w:pPr>
      <w:proofErr w:type="spellStart"/>
      <w:r w:rsidRPr="00834CD5">
        <w:rPr>
          <w:i w:val="0"/>
          <w:color w:val="auto"/>
        </w:rPr>
        <w:t>ciklosporiną</w:t>
      </w:r>
      <w:proofErr w:type="spellEnd"/>
      <w:r w:rsidRPr="00834CD5">
        <w:rPr>
          <w:i w:val="0"/>
          <w:color w:val="auto"/>
        </w:rPr>
        <w:t xml:space="preserve"> (vaistas onkologinėms ligoms gydyti ir po organų transplantacijos), nes </w:t>
      </w:r>
      <w:proofErr w:type="spellStart"/>
      <w:r w:rsidRPr="00834CD5">
        <w:rPr>
          <w:i w:val="0"/>
          <w:color w:val="auto"/>
        </w:rPr>
        <w:t>Analgin</w:t>
      </w:r>
      <w:proofErr w:type="spellEnd"/>
      <w:r w:rsidRPr="00834CD5">
        <w:rPr>
          <w:i w:val="0"/>
          <w:color w:val="auto"/>
        </w:rPr>
        <w:t xml:space="preserve"> </w:t>
      </w:r>
      <w:proofErr w:type="spellStart"/>
      <w:r w:rsidRPr="00834CD5">
        <w:rPr>
          <w:i w:val="0"/>
          <w:color w:val="auto"/>
        </w:rPr>
        <w:t>Sopharma</w:t>
      </w:r>
      <w:proofErr w:type="spellEnd"/>
      <w:r w:rsidRPr="00834CD5">
        <w:rPr>
          <w:i w:val="0"/>
          <w:color w:val="auto"/>
        </w:rPr>
        <w:t xml:space="preserve"> mažina </w:t>
      </w:r>
      <w:proofErr w:type="spellStart"/>
      <w:r w:rsidRPr="00834CD5">
        <w:rPr>
          <w:i w:val="0"/>
          <w:color w:val="auto"/>
        </w:rPr>
        <w:t>ciklosporino</w:t>
      </w:r>
      <w:proofErr w:type="spellEnd"/>
      <w:r w:rsidRPr="00834CD5">
        <w:rPr>
          <w:i w:val="0"/>
          <w:color w:val="auto"/>
        </w:rPr>
        <w:t xml:space="preserve"> poveikį;</w:t>
      </w:r>
    </w:p>
    <w:p w:rsidR="00710705" w:rsidRPr="00913636" w:rsidRDefault="00710705" w:rsidP="00710705">
      <w:pPr>
        <w:pStyle w:val="BT-EMEASMCA"/>
        <w:tabs>
          <w:tab w:val="clear" w:pos="360"/>
        </w:tabs>
        <w:rPr>
          <w:noProof w:val="0"/>
        </w:rPr>
      </w:pPr>
      <w:r w:rsidRPr="00913636">
        <w:rPr>
          <w:noProof w:val="0"/>
        </w:rPr>
        <w:t xml:space="preserve">vaistus nuo padidėjusio kraujospūdžio (taip pat </w:t>
      </w:r>
      <w:proofErr w:type="spellStart"/>
      <w:r w:rsidRPr="00913636">
        <w:rPr>
          <w:noProof w:val="0"/>
        </w:rPr>
        <w:t>kaptoprilį</w:t>
      </w:r>
      <w:proofErr w:type="spellEnd"/>
      <w:r w:rsidRPr="00913636">
        <w:rPr>
          <w:noProof w:val="0"/>
        </w:rPr>
        <w:t>) ir kai kurių širdies ligų;</w:t>
      </w:r>
    </w:p>
    <w:p w:rsidR="00710705" w:rsidRPr="00913636" w:rsidRDefault="00710705" w:rsidP="00710705">
      <w:pPr>
        <w:pStyle w:val="BT-EMEASMCA"/>
        <w:tabs>
          <w:tab w:val="clear" w:pos="360"/>
        </w:tabs>
        <w:rPr>
          <w:noProof w:val="0"/>
        </w:rPr>
      </w:pPr>
      <w:r w:rsidRPr="00913636">
        <w:rPr>
          <w:noProof w:val="0"/>
        </w:rPr>
        <w:t xml:space="preserve">vaistus psichikos ligoms gydyti (pvz., </w:t>
      </w:r>
      <w:proofErr w:type="spellStart"/>
      <w:r w:rsidRPr="00913636">
        <w:rPr>
          <w:noProof w:val="0"/>
        </w:rPr>
        <w:t>triciklinius</w:t>
      </w:r>
      <w:proofErr w:type="spellEnd"/>
      <w:r w:rsidRPr="00913636">
        <w:rPr>
          <w:noProof w:val="0"/>
        </w:rPr>
        <w:t xml:space="preserve"> antidepresantus, litį);</w:t>
      </w:r>
    </w:p>
    <w:p w:rsidR="00710705" w:rsidRPr="00913636" w:rsidRDefault="00710705" w:rsidP="00710705">
      <w:pPr>
        <w:pStyle w:val="BT-EMEASMCA"/>
        <w:tabs>
          <w:tab w:val="clear" w:pos="360"/>
        </w:tabs>
        <w:rPr>
          <w:noProof w:val="0"/>
        </w:rPr>
      </w:pPr>
      <w:r w:rsidRPr="00913636">
        <w:rPr>
          <w:noProof w:val="0"/>
        </w:rPr>
        <w:t>geriamuosius kontraceptikus;</w:t>
      </w:r>
    </w:p>
    <w:p w:rsidR="00710705" w:rsidRPr="00913636" w:rsidRDefault="00710705" w:rsidP="00710705">
      <w:pPr>
        <w:pStyle w:val="BT-EMEASMCA"/>
        <w:tabs>
          <w:tab w:val="clear" w:pos="360"/>
        </w:tabs>
        <w:rPr>
          <w:noProof w:val="0"/>
        </w:rPr>
      </w:pPr>
      <w:proofErr w:type="spellStart"/>
      <w:r w:rsidRPr="00913636">
        <w:rPr>
          <w:noProof w:val="0"/>
        </w:rPr>
        <w:t>alopurinolį</w:t>
      </w:r>
      <w:proofErr w:type="spellEnd"/>
      <w:r w:rsidRPr="00913636">
        <w:rPr>
          <w:noProof w:val="0"/>
        </w:rPr>
        <w:t xml:space="preserve"> (šlapimo rūgšties susidarymą slopinantis vaistas); </w:t>
      </w:r>
    </w:p>
    <w:p w:rsidR="00710705" w:rsidRPr="00913636" w:rsidRDefault="00710705" w:rsidP="00710705">
      <w:pPr>
        <w:pStyle w:val="BT-EMEASMCA"/>
        <w:tabs>
          <w:tab w:val="clear" w:pos="360"/>
        </w:tabs>
        <w:rPr>
          <w:noProof w:val="0"/>
        </w:rPr>
      </w:pPr>
      <w:r w:rsidRPr="00913636">
        <w:rPr>
          <w:noProof w:val="0"/>
        </w:rPr>
        <w:t xml:space="preserve">vaistus vėžiui ir tam tikroms reumatinėms ligoms gydyti (pvz., </w:t>
      </w:r>
      <w:proofErr w:type="spellStart"/>
      <w:r w:rsidRPr="00913636">
        <w:rPr>
          <w:noProof w:val="0"/>
        </w:rPr>
        <w:t>metotreksatą</w:t>
      </w:r>
      <w:proofErr w:type="spellEnd"/>
      <w:r w:rsidRPr="00913636">
        <w:rPr>
          <w:noProof w:val="0"/>
        </w:rPr>
        <w:t>);</w:t>
      </w:r>
    </w:p>
    <w:p w:rsidR="00710705" w:rsidRPr="00913636" w:rsidRDefault="00710705" w:rsidP="00710705">
      <w:pPr>
        <w:pStyle w:val="BT-EMEASMCA"/>
        <w:tabs>
          <w:tab w:val="clear" w:pos="360"/>
        </w:tabs>
        <w:rPr>
          <w:noProof w:val="0"/>
        </w:rPr>
      </w:pPr>
      <w:r w:rsidRPr="00913636">
        <w:rPr>
          <w:noProof w:val="0"/>
        </w:rPr>
        <w:t xml:space="preserve">vaistus šlapimo išsiskyrimui padidinti (pvz., </w:t>
      </w:r>
      <w:proofErr w:type="spellStart"/>
      <w:r w:rsidRPr="00913636">
        <w:rPr>
          <w:noProof w:val="0"/>
        </w:rPr>
        <w:t>triamtereną</w:t>
      </w:r>
      <w:proofErr w:type="spellEnd"/>
      <w:r w:rsidRPr="00913636">
        <w:rPr>
          <w:noProof w:val="0"/>
        </w:rPr>
        <w:t>);</w:t>
      </w:r>
    </w:p>
    <w:p w:rsidR="00710705" w:rsidRPr="00913636" w:rsidRDefault="00710705" w:rsidP="00710705">
      <w:pPr>
        <w:pStyle w:val="BT-EMEASMCA"/>
        <w:tabs>
          <w:tab w:val="clear" w:pos="360"/>
        </w:tabs>
        <w:rPr>
          <w:noProof w:val="0"/>
        </w:rPr>
      </w:pPr>
      <w:proofErr w:type="spellStart"/>
      <w:r w:rsidRPr="00913636">
        <w:rPr>
          <w:noProof w:val="0"/>
        </w:rPr>
        <w:t>antihipertenzinius</w:t>
      </w:r>
      <w:proofErr w:type="spellEnd"/>
      <w:r w:rsidRPr="00913636">
        <w:rPr>
          <w:noProof w:val="0"/>
        </w:rPr>
        <w:t xml:space="preserve"> vaistus (vartojamus padidėjusiam kraujospūdžiui gydyti) ir diuretikus  (šlapimo išsiskyrimą skatinančius vaistus), nes jie gali pakeisti šio vaisto poveikį;</w:t>
      </w:r>
    </w:p>
    <w:p w:rsidR="00710705" w:rsidRPr="00834CD5" w:rsidRDefault="00710705" w:rsidP="00710705">
      <w:pPr>
        <w:pStyle w:val="Pagrindinistekstas"/>
        <w:numPr>
          <w:ilvl w:val="0"/>
          <w:numId w:val="3"/>
        </w:numPr>
        <w:ind w:left="567" w:hanging="567"/>
        <w:rPr>
          <w:i w:val="0"/>
          <w:color w:val="auto"/>
        </w:rPr>
      </w:pPr>
      <w:proofErr w:type="spellStart"/>
      <w:r w:rsidRPr="00834CD5">
        <w:rPr>
          <w:i w:val="0"/>
          <w:color w:val="auto"/>
        </w:rPr>
        <w:t>chloramfenikolį</w:t>
      </w:r>
      <w:proofErr w:type="spellEnd"/>
      <w:r w:rsidRPr="00834CD5">
        <w:rPr>
          <w:i w:val="0"/>
          <w:color w:val="auto"/>
        </w:rPr>
        <w:t xml:space="preserve"> ir kitus kaulų čiulpus toksiškai veikiančius vaistus, nes jie didina </w:t>
      </w:r>
      <w:proofErr w:type="spellStart"/>
      <w:r w:rsidRPr="00834CD5">
        <w:rPr>
          <w:i w:val="0"/>
          <w:color w:val="auto"/>
        </w:rPr>
        <w:t>Analgin</w:t>
      </w:r>
      <w:proofErr w:type="spellEnd"/>
      <w:r w:rsidRPr="00834CD5">
        <w:rPr>
          <w:i w:val="0"/>
          <w:color w:val="auto"/>
        </w:rPr>
        <w:t xml:space="preserve"> </w:t>
      </w:r>
      <w:proofErr w:type="spellStart"/>
      <w:r w:rsidRPr="00834CD5">
        <w:rPr>
          <w:i w:val="0"/>
          <w:color w:val="auto"/>
        </w:rPr>
        <w:t>Sopharma</w:t>
      </w:r>
      <w:proofErr w:type="spellEnd"/>
      <w:r w:rsidRPr="00834CD5">
        <w:rPr>
          <w:i w:val="0"/>
          <w:color w:val="auto"/>
        </w:rPr>
        <w:t xml:space="preserve"> sukelto šalutinio poveikio kraujo gamybai tikimybę.</w:t>
      </w:r>
    </w:p>
    <w:p w:rsidR="00710705" w:rsidRPr="00834CD5" w:rsidRDefault="00710705" w:rsidP="00710705">
      <w:pPr>
        <w:pStyle w:val="Pagrindinistekstas"/>
        <w:numPr>
          <w:ilvl w:val="0"/>
          <w:numId w:val="3"/>
        </w:numPr>
        <w:ind w:left="567" w:hanging="567"/>
        <w:rPr>
          <w:i w:val="0"/>
          <w:color w:val="000000" w:themeColor="text1"/>
        </w:rPr>
      </w:pPr>
      <w:r w:rsidRPr="00834CD5">
        <w:rPr>
          <w:i w:val="0"/>
          <w:color w:val="000000" w:themeColor="text1"/>
        </w:rPr>
        <w:t xml:space="preserve">kartu vartojamas </w:t>
      </w:r>
      <w:proofErr w:type="spellStart"/>
      <w:r w:rsidRPr="00834CD5">
        <w:rPr>
          <w:i w:val="0"/>
          <w:color w:val="000000" w:themeColor="text1"/>
        </w:rPr>
        <w:t>metamizolas</w:t>
      </w:r>
      <w:proofErr w:type="spellEnd"/>
      <w:r w:rsidRPr="00834CD5">
        <w:rPr>
          <w:i w:val="0"/>
          <w:color w:val="000000" w:themeColor="text1"/>
        </w:rPr>
        <w:t xml:space="preserve"> (skausmą ir karščiavimą mažinanti medžiaga) gali sumažinti </w:t>
      </w:r>
      <w:proofErr w:type="spellStart"/>
      <w:r w:rsidRPr="00834CD5">
        <w:rPr>
          <w:i w:val="0"/>
          <w:color w:val="000000" w:themeColor="text1"/>
        </w:rPr>
        <w:t>acetilsalicilo</w:t>
      </w:r>
      <w:proofErr w:type="spellEnd"/>
      <w:r w:rsidRPr="00834CD5">
        <w:rPr>
          <w:i w:val="0"/>
          <w:color w:val="000000" w:themeColor="text1"/>
        </w:rPr>
        <w:t xml:space="preserve"> rūgšties poveikį trombocitų </w:t>
      </w:r>
      <w:proofErr w:type="spellStart"/>
      <w:r w:rsidRPr="00834CD5">
        <w:rPr>
          <w:i w:val="0"/>
          <w:color w:val="000000" w:themeColor="text1"/>
        </w:rPr>
        <w:t>agregacijai</w:t>
      </w:r>
      <w:proofErr w:type="spellEnd"/>
      <w:r w:rsidRPr="00834CD5">
        <w:rPr>
          <w:i w:val="0"/>
          <w:color w:val="000000" w:themeColor="text1"/>
        </w:rPr>
        <w:t xml:space="preserve"> (kraujo ląstelių sulipimui ir kraujo krešulio </w:t>
      </w:r>
      <w:r w:rsidRPr="00834CD5">
        <w:rPr>
          <w:i w:val="0"/>
          <w:color w:val="000000" w:themeColor="text1"/>
        </w:rPr>
        <w:lastRenderedPageBreak/>
        <w:t>susidarymui). Todėl šį derinį reikia atsargiai vartoti pacientams, vartojantiems mažas aspirino (</w:t>
      </w:r>
      <w:proofErr w:type="spellStart"/>
      <w:r w:rsidRPr="00834CD5">
        <w:rPr>
          <w:i w:val="0"/>
          <w:color w:val="000000" w:themeColor="text1"/>
        </w:rPr>
        <w:t>acetilsalicilo</w:t>
      </w:r>
      <w:proofErr w:type="spellEnd"/>
      <w:r w:rsidRPr="00834CD5">
        <w:rPr>
          <w:i w:val="0"/>
          <w:color w:val="000000" w:themeColor="text1"/>
        </w:rPr>
        <w:t xml:space="preserve"> rūgšties) dozes </w:t>
      </w:r>
      <w:proofErr w:type="spellStart"/>
      <w:r w:rsidRPr="00834CD5">
        <w:rPr>
          <w:i w:val="0"/>
          <w:color w:val="000000" w:themeColor="text1"/>
        </w:rPr>
        <w:t>kardioprotekcijai</w:t>
      </w:r>
      <w:proofErr w:type="spellEnd"/>
      <w:r w:rsidRPr="00834CD5">
        <w:rPr>
          <w:i w:val="0"/>
          <w:color w:val="000000" w:themeColor="text1"/>
        </w:rPr>
        <w:t xml:space="preserve"> (širdies apsaugai).</w:t>
      </w:r>
    </w:p>
    <w:p w:rsidR="00710705" w:rsidRPr="00834CD5" w:rsidRDefault="00710705" w:rsidP="00710705">
      <w:pPr>
        <w:pStyle w:val="Pagrindinistekstas"/>
        <w:rPr>
          <w:i w:val="0"/>
          <w:color w:val="auto"/>
        </w:rPr>
      </w:pPr>
    </w:p>
    <w:p w:rsidR="00710705" w:rsidRPr="00834CD5" w:rsidRDefault="00710705" w:rsidP="00710705">
      <w:pPr>
        <w:pStyle w:val="Pagrindinistekstas"/>
        <w:rPr>
          <w:i w:val="0"/>
          <w:color w:val="auto"/>
        </w:rPr>
      </w:pPr>
      <w:proofErr w:type="spellStart"/>
      <w:r w:rsidRPr="00834CD5">
        <w:rPr>
          <w:i w:val="0"/>
          <w:color w:val="auto"/>
        </w:rPr>
        <w:t>Analgin</w:t>
      </w:r>
      <w:proofErr w:type="spellEnd"/>
      <w:r w:rsidRPr="00834CD5">
        <w:rPr>
          <w:i w:val="0"/>
          <w:color w:val="auto"/>
        </w:rPr>
        <w:t xml:space="preserve"> </w:t>
      </w:r>
      <w:proofErr w:type="spellStart"/>
      <w:r w:rsidRPr="00834CD5">
        <w:rPr>
          <w:i w:val="0"/>
          <w:color w:val="auto"/>
        </w:rPr>
        <w:t>Sopharma</w:t>
      </w:r>
      <w:proofErr w:type="spellEnd"/>
      <w:r w:rsidRPr="00834CD5">
        <w:rPr>
          <w:i w:val="0"/>
          <w:color w:val="auto"/>
        </w:rPr>
        <w:t xml:space="preserve"> tabletes galima vartoti kartu su atropinu, </w:t>
      </w:r>
      <w:proofErr w:type="spellStart"/>
      <w:r w:rsidRPr="00834CD5">
        <w:rPr>
          <w:i w:val="0"/>
          <w:color w:val="auto"/>
        </w:rPr>
        <w:t>buskolizinu</w:t>
      </w:r>
      <w:proofErr w:type="spellEnd"/>
      <w:r w:rsidRPr="00834CD5">
        <w:rPr>
          <w:i w:val="0"/>
          <w:color w:val="auto"/>
        </w:rPr>
        <w:t>.</w:t>
      </w:r>
    </w:p>
    <w:p w:rsidR="00710705" w:rsidRPr="00834CD5" w:rsidRDefault="00710705" w:rsidP="00710705">
      <w:pPr>
        <w:pStyle w:val="Pagrindinistekstas"/>
      </w:pPr>
    </w:p>
    <w:p w:rsidR="00710705" w:rsidRPr="00834CD5" w:rsidRDefault="00710705" w:rsidP="00710705">
      <w:pPr>
        <w:pStyle w:val="Antrat4"/>
      </w:pPr>
      <w:r w:rsidRPr="00834CD5">
        <w:t>Analgin Sopharma vartojimas su alkoholiu</w:t>
      </w:r>
    </w:p>
    <w:p w:rsidR="00710705" w:rsidRPr="00913636" w:rsidRDefault="00710705" w:rsidP="00710705">
      <w:pPr>
        <w:pStyle w:val="BTEMEASMCA"/>
        <w:rPr>
          <w:noProof w:val="0"/>
        </w:rPr>
      </w:pPr>
      <w:r w:rsidRPr="00913636">
        <w:rPr>
          <w:noProof w:val="0"/>
        </w:rPr>
        <w:t xml:space="preserve">Kadangi negalima atmesti neigiamo poveikio, vartojant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visada reikia vengti vartoti alkoholinių gėrimų.</w:t>
      </w:r>
    </w:p>
    <w:p w:rsidR="00710705" w:rsidRPr="00834CD5" w:rsidRDefault="00710705" w:rsidP="00710705">
      <w:pPr>
        <w:numPr>
          <w:ilvl w:val="12"/>
          <w:numId w:val="0"/>
        </w:numPr>
        <w:tabs>
          <w:tab w:val="clear" w:pos="567"/>
        </w:tabs>
        <w:spacing w:line="240" w:lineRule="auto"/>
      </w:pPr>
    </w:p>
    <w:p w:rsidR="00710705" w:rsidRPr="00834CD5" w:rsidRDefault="00710705" w:rsidP="00710705">
      <w:pPr>
        <w:pStyle w:val="Antrat4"/>
        <w:rPr>
          <w:rFonts w:eastAsia="SimSun"/>
          <w:b w:val="0"/>
          <w:u w:val="single"/>
        </w:rPr>
      </w:pPr>
      <w:r w:rsidRPr="00834CD5">
        <w:t>Nėštumas ir žindymo laikotarpis</w:t>
      </w:r>
    </w:p>
    <w:p w:rsidR="00710705" w:rsidRPr="00834CD5" w:rsidRDefault="00710705" w:rsidP="00710705">
      <w:pPr>
        <w:numPr>
          <w:ilvl w:val="12"/>
          <w:numId w:val="0"/>
        </w:numPr>
        <w:tabs>
          <w:tab w:val="clear" w:pos="567"/>
        </w:tabs>
        <w:spacing w:line="240" w:lineRule="auto"/>
      </w:pPr>
      <w:r w:rsidRPr="00834CD5">
        <w:t xml:space="preserve">Jeigu esate nėščia, žindote kūdikį, manote, kad galbūt esate nėščia, arba planuojate pastoti, tai prieš vartodama šį vaistą, pasitarkite su gydytoju arba vaistininku. </w:t>
      </w:r>
    </w:p>
    <w:p w:rsidR="00710705" w:rsidRPr="00834CD5" w:rsidRDefault="00710705" w:rsidP="00710705">
      <w:pPr>
        <w:pStyle w:val="Antrat4"/>
        <w:rPr>
          <w:rFonts w:eastAsia="SimSun"/>
          <w:b w:val="0"/>
          <w:u w:val="single"/>
        </w:rPr>
      </w:pPr>
    </w:p>
    <w:p w:rsidR="00710705" w:rsidRPr="00834CD5" w:rsidRDefault="00710705" w:rsidP="00710705">
      <w:pPr>
        <w:pStyle w:val="Antrat4"/>
        <w:jc w:val="left"/>
        <w:rPr>
          <w:rFonts w:eastAsia="SimSun"/>
          <w:b w:val="0"/>
          <w:u w:val="single"/>
        </w:rPr>
      </w:pPr>
      <w:r w:rsidRPr="00834CD5">
        <w:rPr>
          <w:rFonts w:eastAsia="SimSun"/>
          <w:b w:val="0"/>
          <w:u w:val="single"/>
        </w:rPr>
        <w:t>Nėštumas</w:t>
      </w:r>
    </w:p>
    <w:p w:rsidR="00710705" w:rsidRPr="00834CD5" w:rsidRDefault="00710705" w:rsidP="00710705">
      <w:pPr>
        <w:pStyle w:val="Antrat4"/>
        <w:jc w:val="left"/>
        <w:rPr>
          <w:rFonts w:eastAsia="SimSun"/>
          <w:b w:val="0"/>
        </w:rPr>
      </w:pPr>
      <w:r w:rsidRPr="00834CD5">
        <w:rPr>
          <w:rFonts w:eastAsia="SimSun"/>
          <w:b w:val="0"/>
        </w:rPr>
        <w:t>Duomenų apie metamizolo vartojimą pirmus tris nėštumo mėnesius yra nedaug, tačiau jie nerodo neigiamo poveikio embrionui. Tam tikrais pasirinktinais atvejais, kai nėra kitų gydymo galimybių, vienkartinės metamizolo dozės pirmą ir antrą nėštumo trimestrą yra priimtinos pasikonsultavus su gydytoju ar vaistininku ir atidžiai įvertinus metamizolo vartojimo naudą ir keliamą riziką. Tačiau paprastai pirmą ir antrą nėštumo trimestrą metamizolo vartoti nerekomenduojama.</w:t>
      </w:r>
    </w:p>
    <w:p w:rsidR="00710705" w:rsidRPr="00834CD5" w:rsidRDefault="00710705" w:rsidP="00710705">
      <w:pPr>
        <w:pStyle w:val="Antrat4"/>
        <w:jc w:val="left"/>
        <w:rPr>
          <w:rFonts w:eastAsia="SimSun"/>
          <w:b w:val="0"/>
        </w:rPr>
      </w:pPr>
    </w:p>
    <w:p w:rsidR="00710705" w:rsidRPr="00834CD5" w:rsidRDefault="00710705" w:rsidP="00710705">
      <w:pPr>
        <w:pStyle w:val="Antrat4"/>
        <w:jc w:val="left"/>
        <w:rPr>
          <w:rFonts w:eastAsia="SimSun"/>
          <w:b w:val="0"/>
        </w:rPr>
      </w:pPr>
      <w:r w:rsidRPr="00834CD5">
        <w:rPr>
          <w:rFonts w:eastAsia="SimSun"/>
          <w:b w:val="0"/>
        </w:rPr>
        <w:t>Paskutinius tris nėštumo mėnesius vartoti Analgin Sopharma draudžiama dėl padidėjusios motinos ir vaiko sveikatos būklės komplikacijų (kraujavimo, svarbios kraujagyslės, vadinamos Botalo lataku, priešlaikinio užsivėrimo dar negimusio kūdikio organizme; ji natūraliai užsiveria tik kūdikiui gimus) rizikos.</w:t>
      </w:r>
    </w:p>
    <w:p w:rsidR="00710705" w:rsidRPr="00834CD5" w:rsidRDefault="00710705" w:rsidP="00710705">
      <w:pPr>
        <w:pStyle w:val="Antrat4"/>
        <w:jc w:val="left"/>
        <w:rPr>
          <w:rFonts w:eastAsia="SimSun"/>
          <w:b w:val="0"/>
        </w:rPr>
      </w:pPr>
    </w:p>
    <w:p w:rsidR="00710705" w:rsidRPr="00834CD5" w:rsidRDefault="00710705" w:rsidP="00710705">
      <w:pPr>
        <w:pStyle w:val="Antrat4"/>
        <w:jc w:val="left"/>
        <w:rPr>
          <w:rFonts w:eastAsia="SimSun"/>
          <w:b w:val="0"/>
          <w:u w:val="single"/>
        </w:rPr>
      </w:pPr>
      <w:r w:rsidRPr="00834CD5">
        <w:rPr>
          <w:rFonts w:eastAsia="SimSun"/>
          <w:b w:val="0"/>
          <w:u w:val="single"/>
        </w:rPr>
        <w:t>Žindymas</w:t>
      </w:r>
    </w:p>
    <w:p w:rsidR="00710705" w:rsidRPr="00913636" w:rsidRDefault="00710705" w:rsidP="00710705">
      <w:pPr>
        <w:pStyle w:val="BTEMEASMCA"/>
        <w:rPr>
          <w:noProof w:val="0"/>
        </w:rPr>
      </w:pPr>
      <w:r w:rsidRPr="00913636">
        <w:rPr>
          <w:noProof w:val="0"/>
        </w:rPr>
        <w:t xml:space="preserve">Didelis kiekis </w:t>
      </w:r>
      <w:proofErr w:type="spellStart"/>
      <w:r w:rsidRPr="00913636">
        <w:rPr>
          <w:noProof w:val="0"/>
        </w:rPr>
        <w:t>metamizolo</w:t>
      </w:r>
      <w:proofErr w:type="spellEnd"/>
      <w:r w:rsidRPr="00913636">
        <w:rPr>
          <w:noProof w:val="0"/>
        </w:rPr>
        <w:t xml:space="preserve"> skilimo produktų patenka į motinos pieną, todėl negalima atmesti pavojaus žindomam kūdikiui galimybės. Dėl šios priežasties žindymo laikotarpiu reikia vengti vartoti </w:t>
      </w:r>
      <w:proofErr w:type="spellStart"/>
      <w:r w:rsidRPr="00913636">
        <w:rPr>
          <w:noProof w:val="0"/>
        </w:rPr>
        <w:t>metamizolo</w:t>
      </w:r>
      <w:proofErr w:type="spellEnd"/>
      <w:r w:rsidRPr="00913636">
        <w:rPr>
          <w:noProof w:val="0"/>
        </w:rPr>
        <w:t xml:space="preserve">, ypač pakartotinai. Pavartojus </w:t>
      </w:r>
      <w:proofErr w:type="spellStart"/>
      <w:r w:rsidRPr="00913636">
        <w:rPr>
          <w:noProof w:val="0"/>
        </w:rPr>
        <w:t>metamizolo</w:t>
      </w:r>
      <w:proofErr w:type="spellEnd"/>
      <w:r w:rsidRPr="00913636">
        <w:rPr>
          <w:noProof w:val="0"/>
        </w:rPr>
        <w:t xml:space="preserve"> vieną kartą, motinoms rekomenduojama 48 valandas po dozės pavartojimo nusitraukti ir išpilti pieną.</w:t>
      </w:r>
    </w:p>
    <w:p w:rsidR="00710705" w:rsidRPr="00834CD5" w:rsidRDefault="00710705" w:rsidP="00710705">
      <w:pPr>
        <w:numPr>
          <w:ilvl w:val="12"/>
          <w:numId w:val="0"/>
        </w:numPr>
        <w:tabs>
          <w:tab w:val="clear" w:pos="567"/>
        </w:tabs>
        <w:spacing w:line="240" w:lineRule="auto"/>
      </w:pPr>
    </w:p>
    <w:p w:rsidR="00710705" w:rsidRPr="00834CD5" w:rsidRDefault="00710705" w:rsidP="00710705">
      <w:pPr>
        <w:pStyle w:val="Antrat4"/>
      </w:pPr>
      <w:r w:rsidRPr="00834CD5">
        <w:t>Vairavimas ir mechanizmų valdymas</w:t>
      </w:r>
    </w:p>
    <w:p w:rsidR="00710705" w:rsidRPr="00913636" w:rsidRDefault="00710705" w:rsidP="00710705">
      <w:pPr>
        <w:pStyle w:val="BTbEMEASMCA"/>
        <w:rPr>
          <w:lang w:val="lt-LT"/>
        </w:rPr>
      </w:pPr>
      <w:r w:rsidRPr="00913636">
        <w:rPr>
          <w:lang w:val="lt-LT"/>
        </w:rPr>
        <w:t xml:space="preserve">Vartojant rekomenduojamas </w:t>
      </w:r>
      <w:proofErr w:type="spellStart"/>
      <w:r w:rsidRPr="00913636">
        <w:rPr>
          <w:lang w:val="lt-LT"/>
        </w:rPr>
        <w:t>Analgin</w:t>
      </w:r>
      <w:proofErr w:type="spellEnd"/>
      <w:r w:rsidRPr="00913636">
        <w:rPr>
          <w:lang w:val="lt-LT"/>
        </w:rPr>
        <w:t xml:space="preserve"> </w:t>
      </w:r>
      <w:proofErr w:type="spellStart"/>
      <w:r w:rsidRPr="00913636">
        <w:rPr>
          <w:lang w:val="lt-LT"/>
        </w:rPr>
        <w:t>Sopharma</w:t>
      </w:r>
      <w:proofErr w:type="spellEnd"/>
      <w:r w:rsidRPr="00913636">
        <w:rPr>
          <w:lang w:val="lt-LT"/>
        </w:rPr>
        <w:t xml:space="preserve"> dozes žinomo neigiamo poveikio reakcijai ir gebėjimui susikoncentruoti nėra. Tačiau, laikantis atsargumo, Jūs turite įvertinti tokio neigiamo poveikio galimybę ir, vartojant didelę dozę, vengti vairuoti, valdyti mechanizmus ir atsisakyti kitokios pavojingos veiklos. Tai ypač aktualu, jeigu vartojote alkoholinių gėrimų.</w:t>
      </w:r>
    </w:p>
    <w:p w:rsidR="00710705" w:rsidRPr="00913636" w:rsidRDefault="00710705" w:rsidP="00710705">
      <w:pPr>
        <w:pStyle w:val="BTbEMEASMCA"/>
        <w:rPr>
          <w:lang w:val="lt-LT"/>
        </w:rPr>
      </w:pPr>
    </w:p>
    <w:p w:rsidR="00710705" w:rsidRPr="00834CD5" w:rsidRDefault="00710705" w:rsidP="00710705">
      <w:pPr>
        <w:pStyle w:val="Pagrindinistekstas"/>
        <w:rPr>
          <w:b/>
          <w:i w:val="0"/>
          <w:color w:val="000000"/>
        </w:rPr>
      </w:pPr>
      <w:proofErr w:type="spellStart"/>
      <w:r w:rsidRPr="00834CD5">
        <w:rPr>
          <w:b/>
          <w:i w:val="0"/>
          <w:color w:val="000000"/>
        </w:rPr>
        <w:t>Analgin</w:t>
      </w:r>
      <w:proofErr w:type="spellEnd"/>
      <w:r w:rsidRPr="00834CD5">
        <w:rPr>
          <w:b/>
          <w:i w:val="0"/>
          <w:color w:val="000000"/>
        </w:rPr>
        <w:t xml:space="preserve"> </w:t>
      </w:r>
      <w:proofErr w:type="spellStart"/>
      <w:r w:rsidRPr="00834CD5">
        <w:rPr>
          <w:b/>
          <w:i w:val="0"/>
          <w:color w:val="000000"/>
        </w:rPr>
        <w:t>Sopharma</w:t>
      </w:r>
      <w:proofErr w:type="spellEnd"/>
      <w:r w:rsidRPr="00834CD5">
        <w:rPr>
          <w:b/>
          <w:i w:val="0"/>
          <w:color w:val="000000"/>
        </w:rPr>
        <w:t xml:space="preserve"> sudėtyje yra kviečių krakmolo ir natrio</w:t>
      </w:r>
    </w:p>
    <w:p w:rsidR="00710705" w:rsidRPr="00834CD5" w:rsidRDefault="00710705" w:rsidP="00710705">
      <w:pPr>
        <w:widowControl w:val="0"/>
      </w:pPr>
      <w:r w:rsidRPr="00834CD5">
        <w:t xml:space="preserve">Šio vaisto sudėtyje yra labai mažas glitimo (esančio kviečių krakmole) kiekis. Šis vaistas laikytinas neturinčiu glitimo, todėl jei sergate </w:t>
      </w:r>
      <w:proofErr w:type="spellStart"/>
      <w:r w:rsidRPr="00834CD5">
        <w:t>celiakija</w:t>
      </w:r>
      <w:proofErr w:type="spellEnd"/>
      <w:r w:rsidRPr="00834CD5">
        <w:t>, mažai tikėtina, kad tai Jums pakenks. Vienoje tabletėje yra ne daugiau kaip 3,4 </w:t>
      </w:r>
      <w:proofErr w:type="spellStart"/>
      <w:r w:rsidRPr="00834CD5">
        <w:t>mikrogramai</w:t>
      </w:r>
      <w:proofErr w:type="spellEnd"/>
      <w:r w:rsidRPr="00834CD5">
        <w:t xml:space="preserve"> glitimo. Jeigu esate alergiškas kviečiams (ši liga skiriasi nuo </w:t>
      </w:r>
      <w:proofErr w:type="spellStart"/>
      <w:r w:rsidRPr="00834CD5">
        <w:t>celiakijos</w:t>
      </w:r>
      <w:proofErr w:type="spellEnd"/>
      <w:r w:rsidRPr="00834CD5">
        <w:t>), Jums šio vaisto vartoti negalima.</w:t>
      </w:r>
    </w:p>
    <w:p w:rsidR="00710705" w:rsidRPr="00834CD5" w:rsidRDefault="00710705" w:rsidP="00710705">
      <w:pPr>
        <w:widowControl w:val="0"/>
      </w:pPr>
    </w:p>
    <w:p w:rsidR="00710705" w:rsidRPr="00834CD5" w:rsidRDefault="00710705" w:rsidP="00710705">
      <w:r w:rsidRPr="00834CD5">
        <w:t>Kiekvienoje šio vaisto tabletėje yra 32,7 mg natrio (valgomosios druskos sudedamosios dalies). Tai atitinka 1,6 % didžiausios rekomenduojamos natrio normos suaugusiesiems.</w:t>
      </w:r>
    </w:p>
    <w:p w:rsidR="00710705" w:rsidRPr="00834CD5" w:rsidRDefault="00710705" w:rsidP="00710705">
      <w:pPr>
        <w:widowControl w:val="0"/>
        <w:rPr>
          <w:b/>
          <w:color w:val="000000"/>
        </w:rPr>
      </w:pPr>
    </w:p>
    <w:p w:rsidR="00710705" w:rsidRPr="00834CD5" w:rsidRDefault="00710705" w:rsidP="00710705">
      <w:pPr>
        <w:numPr>
          <w:ilvl w:val="12"/>
          <w:numId w:val="0"/>
        </w:numPr>
        <w:tabs>
          <w:tab w:val="clear" w:pos="567"/>
        </w:tabs>
        <w:spacing w:line="240" w:lineRule="auto"/>
        <w:ind w:right="-2"/>
      </w:pPr>
    </w:p>
    <w:p w:rsidR="00710705" w:rsidRPr="00834CD5" w:rsidRDefault="00710705" w:rsidP="00710705">
      <w:pPr>
        <w:pStyle w:val="Antrat3"/>
        <w:spacing w:before="0" w:after="0" w:line="240" w:lineRule="auto"/>
        <w:rPr>
          <w:rFonts w:ascii="Times New Roman" w:hAnsi="Times New Roman"/>
          <w:sz w:val="22"/>
        </w:rPr>
      </w:pPr>
      <w:r w:rsidRPr="00834CD5">
        <w:rPr>
          <w:rFonts w:ascii="Times New Roman" w:hAnsi="Times New Roman"/>
          <w:sz w:val="22"/>
        </w:rPr>
        <w:t>3.</w:t>
      </w:r>
      <w:r w:rsidRPr="00834CD5">
        <w:rPr>
          <w:rFonts w:ascii="Times New Roman" w:hAnsi="Times New Roman"/>
          <w:sz w:val="22"/>
        </w:rPr>
        <w:tab/>
        <w:t xml:space="preserve">Kaip vartoti </w:t>
      </w:r>
      <w:proofErr w:type="spellStart"/>
      <w:r w:rsidRPr="00834CD5">
        <w:rPr>
          <w:rFonts w:ascii="Times New Roman" w:hAnsi="Times New Roman"/>
          <w:sz w:val="22"/>
        </w:rPr>
        <w:t>Analgin</w:t>
      </w:r>
      <w:proofErr w:type="spellEnd"/>
      <w:r w:rsidRPr="00834CD5">
        <w:rPr>
          <w:rFonts w:ascii="Times New Roman" w:hAnsi="Times New Roman"/>
          <w:sz w:val="22"/>
        </w:rPr>
        <w:t xml:space="preserve"> </w:t>
      </w:r>
      <w:proofErr w:type="spellStart"/>
      <w:r w:rsidRPr="00834CD5">
        <w:rPr>
          <w:rFonts w:ascii="Times New Roman" w:hAnsi="Times New Roman"/>
          <w:sz w:val="22"/>
        </w:rPr>
        <w:t>Sopharma</w:t>
      </w:r>
      <w:proofErr w:type="spellEnd"/>
    </w:p>
    <w:p w:rsidR="00710705" w:rsidRPr="00834CD5" w:rsidRDefault="00710705" w:rsidP="00710705"/>
    <w:p w:rsidR="00710705" w:rsidRPr="00834CD5" w:rsidRDefault="00710705" w:rsidP="00710705">
      <w:pPr>
        <w:numPr>
          <w:ilvl w:val="12"/>
          <w:numId w:val="0"/>
        </w:numPr>
        <w:tabs>
          <w:tab w:val="clear" w:pos="567"/>
        </w:tabs>
        <w:spacing w:line="240" w:lineRule="auto"/>
        <w:ind w:right="-2"/>
      </w:pPr>
      <w:r w:rsidRPr="00834CD5">
        <w:t xml:space="preserve">Visada vartokite šį vaistą tiksliai kaip nurodė gydytojas arba vaistininkas. Jeigu abejojate, kreipkitės į gydytoją arba vaistininką. </w:t>
      </w:r>
    </w:p>
    <w:p w:rsidR="00710705" w:rsidRPr="00834CD5" w:rsidRDefault="00710705" w:rsidP="00710705">
      <w:pPr>
        <w:pStyle w:val="Pagrindiniotekstotrauka"/>
        <w:ind w:left="0"/>
        <w:jc w:val="left"/>
      </w:pPr>
    </w:p>
    <w:p w:rsidR="00710705" w:rsidRPr="00834CD5" w:rsidRDefault="00710705" w:rsidP="00710705">
      <w:pPr>
        <w:pStyle w:val="Pagrindiniotekstotrauka"/>
        <w:ind w:left="0"/>
        <w:jc w:val="left"/>
      </w:pPr>
      <w:r w:rsidRPr="00834CD5">
        <w:t xml:space="preserve">Dozė nustatoma pagal skausmo arba karščiavimo intensyvumą ir paciento organizmo reakcijos į </w:t>
      </w:r>
      <w:proofErr w:type="spellStart"/>
      <w:r w:rsidRPr="00834CD5">
        <w:t>Analgin</w:t>
      </w:r>
      <w:proofErr w:type="spellEnd"/>
      <w:r w:rsidRPr="00834CD5">
        <w:t xml:space="preserve"> </w:t>
      </w:r>
      <w:proofErr w:type="spellStart"/>
      <w:r w:rsidRPr="00834CD5">
        <w:t>Sopharma</w:t>
      </w:r>
      <w:proofErr w:type="spellEnd"/>
      <w:r w:rsidRPr="00834CD5">
        <w:t xml:space="preserve"> jautrumą.</w:t>
      </w:r>
    </w:p>
    <w:p w:rsidR="00710705" w:rsidRPr="00834CD5" w:rsidRDefault="00710705" w:rsidP="00710705">
      <w:pPr>
        <w:pStyle w:val="Pagrindiniotekstotrauka"/>
        <w:ind w:left="0"/>
        <w:jc w:val="left"/>
      </w:pPr>
    </w:p>
    <w:p w:rsidR="00710705" w:rsidRPr="00834CD5" w:rsidRDefault="00710705" w:rsidP="00710705">
      <w:pPr>
        <w:pStyle w:val="Pagrindiniotekstotrauka"/>
        <w:ind w:left="0"/>
        <w:jc w:val="left"/>
      </w:pPr>
      <w:r w:rsidRPr="00834CD5">
        <w:lastRenderedPageBreak/>
        <w:t xml:space="preserve">Visada turi būti parenkama mažiausia dozė, kurios pakanka skausmui ir karščiavimui kontroliuoti. Jūsų gydytojas pasakys, kaip vartoti </w:t>
      </w:r>
      <w:proofErr w:type="spellStart"/>
      <w:r w:rsidRPr="00834CD5">
        <w:t>Analgin</w:t>
      </w:r>
      <w:proofErr w:type="spellEnd"/>
      <w:r w:rsidRPr="00834CD5">
        <w:t xml:space="preserve"> </w:t>
      </w:r>
      <w:proofErr w:type="spellStart"/>
      <w:r w:rsidRPr="00834CD5">
        <w:t>Sopharma</w:t>
      </w:r>
      <w:proofErr w:type="spellEnd"/>
      <w:r w:rsidRPr="00834CD5">
        <w:t>.</w:t>
      </w:r>
    </w:p>
    <w:p w:rsidR="00710705" w:rsidRPr="00834CD5" w:rsidRDefault="00710705" w:rsidP="00710705">
      <w:pPr>
        <w:pStyle w:val="Pagrindiniotekstotrauka"/>
        <w:ind w:left="0"/>
        <w:jc w:val="left"/>
      </w:pPr>
    </w:p>
    <w:p w:rsidR="00710705" w:rsidRPr="00834CD5" w:rsidRDefault="00710705" w:rsidP="00710705">
      <w:pPr>
        <w:pStyle w:val="Pagrindiniotekstotrauka"/>
        <w:ind w:left="0"/>
        <w:jc w:val="left"/>
      </w:pPr>
      <w:r w:rsidRPr="00834CD5">
        <w:rPr>
          <w:i/>
        </w:rPr>
        <w:t>Suaugusiesiems ir paaugliams nuo 15 metų amžiaus</w:t>
      </w:r>
    </w:p>
    <w:p w:rsidR="00710705" w:rsidRPr="00834CD5" w:rsidRDefault="00710705" w:rsidP="00710705">
      <w:pPr>
        <w:pStyle w:val="Pagrindiniotekstotrauka"/>
        <w:tabs>
          <w:tab w:val="left" w:pos="7088"/>
        </w:tabs>
        <w:ind w:left="0"/>
        <w:jc w:val="left"/>
      </w:pPr>
      <w:r w:rsidRPr="00834CD5">
        <w:t xml:space="preserve">Suaugusiesiems ir 15 metų amžiaus arba vyresniems paaugliams (sveriantiems daugiau kaip 53 kg) galima vartoti ne didesnę kaip 1 000 mg </w:t>
      </w:r>
      <w:proofErr w:type="spellStart"/>
      <w:r w:rsidRPr="00834CD5">
        <w:t>metamizolo</w:t>
      </w:r>
      <w:proofErr w:type="spellEnd"/>
      <w:r w:rsidRPr="00834CD5">
        <w:t xml:space="preserve"> (2 tabletes) vienkartinę dozę. Tokią dozę galima vartoti ne daugiau kaip 4 kartus per parą, 6–8 val. intervalu. Didžiausia paros dozė – 4 000 mg (tai atitinka 8 tabletes).</w:t>
      </w:r>
    </w:p>
    <w:p w:rsidR="00710705" w:rsidRPr="00834CD5" w:rsidRDefault="00710705" w:rsidP="00710705">
      <w:pPr>
        <w:pStyle w:val="Pagrindiniotekstotrauka"/>
        <w:ind w:left="0"/>
        <w:jc w:val="left"/>
      </w:pPr>
    </w:p>
    <w:p w:rsidR="00710705" w:rsidRPr="00834CD5" w:rsidRDefault="00710705" w:rsidP="00710705">
      <w:pPr>
        <w:pStyle w:val="Pagrindiniotekstotrauka"/>
        <w:ind w:left="0"/>
        <w:jc w:val="left"/>
      </w:pPr>
      <w:r w:rsidRPr="00834CD5">
        <w:t>Išgėrus vaisto, aiškus poveikis turėtų pasireikšti po 30–60 minučių.</w:t>
      </w:r>
    </w:p>
    <w:p w:rsidR="00710705" w:rsidRPr="00834CD5" w:rsidRDefault="00710705" w:rsidP="00710705">
      <w:pPr>
        <w:pStyle w:val="Pagrindiniotekstotrauka"/>
        <w:ind w:left="0"/>
        <w:jc w:val="left"/>
      </w:pPr>
    </w:p>
    <w:p w:rsidR="00710705" w:rsidRPr="00834CD5" w:rsidRDefault="00710705" w:rsidP="00710705">
      <w:pPr>
        <w:pStyle w:val="Pagrindiniotekstotrauka"/>
        <w:ind w:left="0" w:hanging="10"/>
        <w:jc w:val="left"/>
      </w:pPr>
      <w:proofErr w:type="spellStart"/>
      <w:r w:rsidRPr="00834CD5">
        <w:t>Analgin</w:t>
      </w:r>
      <w:proofErr w:type="spellEnd"/>
      <w:r w:rsidRPr="00834CD5">
        <w:t xml:space="preserve"> </w:t>
      </w:r>
      <w:proofErr w:type="spellStart"/>
      <w:r w:rsidRPr="00834CD5">
        <w:t>Sopharma</w:t>
      </w:r>
      <w:proofErr w:type="spellEnd"/>
      <w:r w:rsidRPr="00834CD5">
        <w:t xml:space="preserve"> turi būti nevartojamas jaunesniems negu 15 metų amžiaus vaikams ir paaugliams.  Jaunesniems vaikams ir paaugliams yra kitų farmacinių formų ir stiprumų vaistų. Apie tai teiraukitės savo gydytojo arba vaistininko.</w:t>
      </w:r>
    </w:p>
    <w:p w:rsidR="00710705" w:rsidRPr="00834CD5" w:rsidRDefault="00710705" w:rsidP="00710705">
      <w:pPr>
        <w:pStyle w:val="Pagrindinistekstas"/>
      </w:pPr>
    </w:p>
    <w:p w:rsidR="00710705" w:rsidRPr="00834CD5" w:rsidRDefault="00710705" w:rsidP="00710705">
      <w:pPr>
        <w:pStyle w:val="Pagrindinistekstas"/>
        <w:rPr>
          <w:rStyle w:val="Emfaz"/>
          <w:rFonts w:eastAsia="SimSun"/>
          <w:color w:val="auto"/>
        </w:rPr>
      </w:pPr>
      <w:r w:rsidRPr="00834CD5">
        <w:rPr>
          <w:rStyle w:val="Emfaz"/>
          <w:rFonts w:eastAsia="SimSun"/>
          <w:color w:val="auto"/>
        </w:rPr>
        <w:t>Senyvi pacientai ir pacientai, kurių prasta bendra sveikatos būklė ir (arba) sutrikusi inkstų veikla</w:t>
      </w:r>
    </w:p>
    <w:p w:rsidR="00710705" w:rsidRPr="00834CD5" w:rsidRDefault="00710705" w:rsidP="00710705">
      <w:pPr>
        <w:pStyle w:val="Pagrindinistekstas"/>
        <w:rPr>
          <w:rStyle w:val="Emfaz"/>
          <w:rFonts w:eastAsia="SimSun"/>
          <w:color w:val="auto"/>
        </w:rPr>
      </w:pPr>
      <w:r w:rsidRPr="00834CD5">
        <w:rPr>
          <w:rStyle w:val="Emfaz"/>
          <w:rFonts w:eastAsia="SimSun"/>
          <w:color w:val="auto"/>
        </w:rPr>
        <w:t xml:space="preserve">Senyviems pacientams, taip pat nusilpusiems pacientams ir pacientams, kurių inkstų funkcija sutrikusi, dozė turi būti sumažinta, nes gali būti uždelstas </w:t>
      </w:r>
      <w:proofErr w:type="spellStart"/>
      <w:r w:rsidRPr="00834CD5">
        <w:rPr>
          <w:rStyle w:val="Emfaz"/>
          <w:rFonts w:eastAsia="SimSun"/>
          <w:color w:val="auto"/>
        </w:rPr>
        <w:t>metamizolo</w:t>
      </w:r>
      <w:proofErr w:type="spellEnd"/>
      <w:r w:rsidRPr="00834CD5">
        <w:rPr>
          <w:rStyle w:val="Emfaz"/>
          <w:rFonts w:eastAsia="SimSun"/>
          <w:color w:val="auto"/>
        </w:rPr>
        <w:t xml:space="preserve"> skilimo produktų šalinimas iš jų organizmo.</w:t>
      </w:r>
    </w:p>
    <w:p w:rsidR="00710705" w:rsidRPr="00834CD5" w:rsidRDefault="00710705" w:rsidP="00710705">
      <w:pPr>
        <w:pStyle w:val="Pagrindinistekstas"/>
        <w:rPr>
          <w:rStyle w:val="Emfaz"/>
          <w:rFonts w:eastAsia="SimSun"/>
          <w:color w:val="auto"/>
        </w:rPr>
      </w:pPr>
    </w:p>
    <w:p w:rsidR="00710705" w:rsidRPr="00834CD5" w:rsidRDefault="00710705" w:rsidP="00710705">
      <w:pPr>
        <w:pStyle w:val="Pagrindinistekstas"/>
        <w:rPr>
          <w:rStyle w:val="Emfaz"/>
          <w:rFonts w:eastAsia="SimSun"/>
          <w:i/>
          <w:color w:val="auto"/>
        </w:rPr>
      </w:pPr>
      <w:r w:rsidRPr="00834CD5">
        <w:rPr>
          <w:rStyle w:val="Emfaz"/>
          <w:rFonts w:eastAsia="SimSun"/>
          <w:color w:val="auto"/>
        </w:rPr>
        <w:t>Pacientai, kurių inkstų arba kepenų veikla sutrikusi</w:t>
      </w:r>
    </w:p>
    <w:p w:rsidR="00710705" w:rsidRPr="00913636" w:rsidRDefault="00710705" w:rsidP="00710705">
      <w:pPr>
        <w:pStyle w:val="BTEMEASMCA"/>
        <w:rPr>
          <w:noProof w:val="0"/>
        </w:rPr>
      </w:pPr>
      <w:r w:rsidRPr="00913636">
        <w:rPr>
          <w:rStyle w:val="Emfaz"/>
          <w:noProof w:val="0"/>
        </w:rPr>
        <w:t>Kadangi vaisto eliminacija iš pacientų, kurių inkstų arba kepenų funkcija sutrikusi, organizmo yra lėtesnė, kartotinio vartojimo didelėmis dozėmis turi būti vengiama. Vartojant trumpai dozės mažinti nereikia. Ilgalaikio vartojimo patirties nėra.</w:t>
      </w:r>
    </w:p>
    <w:p w:rsidR="00710705" w:rsidRPr="00834CD5" w:rsidRDefault="00710705" w:rsidP="00710705">
      <w:pPr>
        <w:rPr>
          <w:i/>
        </w:rPr>
      </w:pPr>
    </w:p>
    <w:p w:rsidR="00710705" w:rsidRPr="00834CD5" w:rsidRDefault="00710705" w:rsidP="00710705">
      <w:pPr>
        <w:rPr>
          <w:u w:val="single"/>
        </w:rPr>
      </w:pPr>
      <w:r w:rsidRPr="00834CD5">
        <w:rPr>
          <w:u w:val="single"/>
        </w:rPr>
        <w:t>Vartojimo metodas</w:t>
      </w:r>
    </w:p>
    <w:p w:rsidR="00710705" w:rsidRPr="00913636" w:rsidRDefault="00710705" w:rsidP="00710705">
      <w:pPr>
        <w:pStyle w:val="BTEMEASMCA"/>
        <w:rPr>
          <w:noProof w:val="0"/>
        </w:rPr>
      </w:pPr>
      <w:r w:rsidRPr="00913636">
        <w:rPr>
          <w:noProof w:val="0"/>
        </w:rPr>
        <w:t>Vartoti per burną.</w:t>
      </w:r>
    </w:p>
    <w:p w:rsidR="00710705" w:rsidRPr="00913636" w:rsidRDefault="00710705" w:rsidP="00710705">
      <w:pPr>
        <w:pStyle w:val="BTEMEASMCA"/>
        <w:rPr>
          <w:noProof w:val="0"/>
        </w:rPr>
      </w:pPr>
      <w:r w:rsidRPr="00913636">
        <w:rPr>
          <w:noProof w:val="0"/>
        </w:rPr>
        <w:t>Rekomenduojama tabletes nuryti nesukramtytas ir užsigerti pakankamu skysčio kiekiu (pvz., stikline vandens).</w:t>
      </w:r>
    </w:p>
    <w:p w:rsidR="00710705" w:rsidRPr="00913636" w:rsidRDefault="00710705" w:rsidP="00710705">
      <w:pPr>
        <w:pStyle w:val="BTEMEASMCA"/>
        <w:rPr>
          <w:noProof w:val="0"/>
        </w:rPr>
      </w:pPr>
    </w:p>
    <w:p w:rsidR="00710705" w:rsidRPr="00834CD5" w:rsidRDefault="00710705" w:rsidP="00710705">
      <w:pPr>
        <w:rPr>
          <w:u w:val="single"/>
        </w:rPr>
      </w:pPr>
      <w:r w:rsidRPr="00834CD5">
        <w:rPr>
          <w:u w:val="single"/>
        </w:rPr>
        <w:t>Vartojimo trukmė</w:t>
      </w:r>
    </w:p>
    <w:p w:rsidR="00710705" w:rsidRPr="00913636" w:rsidRDefault="00710705" w:rsidP="00710705">
      <w:pPr>
        <w:pStyle w:val="BTEMEASMCA"/>
        <w:rPr>
          <w:noProof w:val="0"/>
        </w:rPr>
      </w:pPr>
      <w:r w:rsidRPr="00913636">
        <w:rPr>
          <w:noProof w:val="0"/>
        </w:rPr>
        <w:t>Vartojimo trukmė priklauso nuo būklės priežasties ir sunkumo. Ją nustatys Jūsų gydytojas.</w:t>
      </w:r>
    </w:p>
    <w:p w:rsidR="00710705" w:rsidRPr="00913636" w:rsidRDefault="00710705" w:rsidP="00710705">
      <w:pPr>
        <w:pStyle w:val="BTEMEASMCA"/>
        <w:rPr>
          <w:noProof w:val="0"/>
        </w:rPr>
      </w:pPr>
      <w:r w:rsidRPr="00913636">
        <w:rPr>
          <w:noProof w:val="0"/>
        </w:rPr>
        <w:t>Rekomenduojama gerti skausmą malšinančių vaistų ne ilgiau kaip 3-5 dienas, nebent Jums gydytojas nurodytų kitaip.</w:t>
      </w:r>
    </w:p>
    <w:p w:rsidR="00710705" w:rsidRPr="00834CD5" w:rsidRDefault="00710705" w:rsidP="00710705">
      <w:pPr>
        <w:pStyle w:val="Antrat4"/>
      </w:pPr>
    </w:p>
    <w:p w:rsidR="00710705" w:rsidRPr="00834CD5" w:rsidRDefault="00710705" w:rsidP="00710705">
      <w:pPr>
        <w:pStyle w:val="Antrat4"/>
      </w:pPr>
      <w:r w:rsidRPr="00834CD5">
        <w:t>Ką daryti pavartojus per didelę Analgin Sopharma dozę</w:t>
      </w:r>
    </w:p>
    <w:p w:rsidR="00710705" w:rsidRPr="00913636" w:rsidRDefault="00710705" w:rsidP="00710705">
      <w:pPr>
        <w:pStyle w:val="BTEMEASMCA"/>
        <w:rPr>
          <w:noProof w:val="0"/>
        </w:rPr>
      </w:pPr>
      <w:r w:rsidRPr="00913636">
        <w:rPr>
          <w:noProof w:val="0"/>
        </w:rPr>
        <w:t xml:space="preserve">Perdozavus šio vaisto, gali atsirasti šių požymių: pykinimas, vėmimas, galvos svaigimas, pilvo skausmas, sutrinka inkstų funkcija, gali būti netgi ūminis inkstų nepakankamumas (pvz., su </w:t>
      </w:r>
      <w:proofErr w:type="spellStart"/>
      <w:r w:rsidRPr="00913636">
        <w:rPr>
          <w:noProof w:val="0"/>
        </w:rPr>
        <w:t>intersticinio</w:t>
      </w:r>
      <w:proofErr w:type="spellEnd"/>
      <w:r w:rsidRPr="00913636">
        <w:rPr>
          <w:noProof w:val="0"/>
        </w:rPr>
        <w:t xml:space="preserve"> nefrito požymiais), centrinės nervų sistemos sutrikimas, pradedant mieguistumu, sumišimu ir baigiant koma (sąmonės netekimu), arterinio kraujospūdžio sumažėjimas, šokas (sąmonės praradimas kartu su staigiu arterinio kraujospūdžio sumažėjimu) ir širdies ritmo sutrikimas, toksinis ir alerginis išbėrimas (dilgėlinė, pūslelinis ir taškinis), kartais panašus į raupų ar vidurių šiltinės, retai gali ištikti sunkus toksinis ir alerginis šokas.</w:t>
      </w:r>
    </w:p>
    <w:p w:rsidR="00710705" w:rsidRPr="00834CD5" w:rsidRDefault="00710705" w:rsidP="00710705">
      <w:pPr>
        <w:pStyle w:val="Pagrindinistekstas"/>
        <w:rPr>
          <w:i w:val="0"/>
          <w:color w:val="auto"/>
        </w:rPr>
      </w:pPr>
      <w:r w:rsidRPr="00834CD5">
        <w:rPr>
          <w:i w:val="0"/>
          <w:color w:val="auto"/>
        </w:rPr>
        <w:t xml:space="preserve">Pavartojus labai didelę dozę, </w:t>
      </w:r>
      <w:proofErr w:type="spellStart"/>
      <w:r w:rsidRPr="00834CD5">
        <w:rPr>
          <w:i w:val="0"/>
          <w:color w:val="auto"/>
        </w:rPr>
        <w:t>rubazono</w:t>
      </w:r>
      <w:proofErr w:type="spellEnd"/>
      <w:r w:rsidRPr="00834CD5">
        <w:rPr>
          <w:i w:val="0"/>
          <w:color w:val="auto"/>
        </w:rPr>
        <w:t xml:space="preserve"> rūgšties </w:t>
      </w:r>
      <w:proofErr w:type="spellStart"/>
      <w:r w:rsidRPr="00834CD5">
        <w:rPr>
          <w:i w:val="0"/>
          <w:color w:val="auto"/>
        </w:rPr>
        <w:t>ekskrecija</w:t>
      </w:r>
      <w:proofErr w:type="spellEnd"/>
      <w:r w:rsidRPr="00834CD5">
        <w:rPr>
          <w:i w:val="0"/>
          <w:color w:val="auto"/>
        </w:rPr>
        <w:t xml:space="preserve"> gali lemti raudoną šlapimo spalvą.</w:t>
      </w:r>
    </w:p>
    <w:p w:rsidR="00710705" w:rsidRPr="00834CD5" w:rsidRDefault="00710705" w:rsidP="00710705">
      <w:pPr>
        <w:pStyle w:val="Pagrindinistekstas"/>
        <w:rPr>
          <w:i w:val="0"/>
          <w:color w:val="auto"/>
        </w:rPr>
      </w:pPr>
      <w:r w:rsidRPr="00834CD5">
        <w:rPr>
          <w:i w:val="0"/>
          <w:color w:val="auto"/>
        </w:rPr>
        <w:t>Pasireiškus pirmiesiems šoko požymiams (šaltas prakaitas, galvos svaigimas, pykinimas, vėmimas, odos spalvos pakitimas ir dusulys), nedelsiant kreipkitės pagalbos į artimiausią gydytoją. Iki atvykstant gydytojui, pacientą reikia paguldyti taip, kad galva būtų nuleista žemiau kūno padėties.</w:t>
      </w:r>
    </w:p>
    <w:p w:rsidR="00710705" w:rsidRPr="00834CD5" w:rsidRDefault="00710705" w:rsidP="00710705">
      <w:pPr>
        <w:pStyle w:val="Pagrindinistekstas"/>
        <w:rPr>
          <w:i w:val="0"/>
          <w:color w:val="auto"/>
        </w:rPr>
      </w:pPr>
      <w:r w:rsidRPr="00834CD5">
        <w:rPr>
          <w:i w:val="0"/>
          <w:color w:val="auto"/>
        </w:rPr>
        <w:t>Perdozavus vaisto, vartojamos įprastos intensyviosios pagalbos priemonės (cirkuliuojančio kraujo tūrio atstatymas, simptominės priemonės, kvėpavimo palaikymas) ir gali būti taikoma hemodializė bei kraujo perpylimas.</w:t>
      </w:r>
    </w:p>
    <w:p w:rsidR="00710705" w:rsidRPr="00834CD5" w:rsidRDefault="00710705" w:rsidP="00710705">
      <w:pPr>
        <w:numPr>
          <w:ilvl w:val="12"/>
          <w:numId w:val="0"/>
        </w:numPr>
        <w:tabs>
          <w:tab w:val="clear" w:pos="567"/>
        </w:tabs>
        <w:spacing w:line="240" w:lineRule="auto"/>
        <w:ind w:right="-2"/>
      </w:pPr>
    </w:p>
    <w:p w:rsidR="00710705" w:rsidRPr="00913636" w:rsidRDefault="00710705" w:rsidP="00710705">
      <w:pPr>
        <w:pStyle w:val="PI-3EMEASMCA"/>
      </w:pPr>
      <w:r w:rsidRPr="00913636">
        <w:t xml:space="preserve">Pamiršus pavartoti </w:t>
      </w:r>
      <w:proofErr w:type="spellStart"/>
      <w:r w:rsidRPr="00913636">
        <w:t>Analgin</w:t>
      </w:r>
      <w:proofErr w:type="spellEnd"/>
      <w:r w:rsidRPr="00913636">
        <w:t xml:space="preserve"> </w:t>
      </w:r>
      <w:proofErr w:type="spellStart"/>
      <w:r w:rsidRPr="00913636">
        <w:t>Sopharma</w:t>
      </w:r>
      <w:proofErr w:type="spellEnd"/>
    </w:p>
    <w:p w:rsidR="00710705" w:rsidRPr="00913636" w:rsidRDefault="00710705" w:rsidP="00710705">
      <w:pPr>
        <w:pStyle w:val="BTEMEASMCA"/>
        <w:rPr>
          <w:noProof w:val="0"/>
        </w:rPr>
      </w:pPr>
      <w:r w:rsidRPr="00913636">
        <w:rPr>
          <w:noProof w:val="0"/>
        </w:rPr>
        <w:t xml:space="preserve">Jeigu pamiršote išgerti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išgerkite iš karto, kai tik prisiminėte. Išlaikykite bent 6 valandų intervalą tarp suvartojamų dozių. Negalima vartoti dvigubos dozės norint kompensuoti praleistą dozę.</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Jeigu kiltų daugiau klausimų dėl šio vaisto vartojimo, kreipkitės į gydytoją arba vaistininką.</w:t>
      </w:r>
    </w:p>
    <w:p w:rsidR="00710705" w:rsidRPr="00834CD5" w:rsidRDefault="00710705" w:rsidP="00710705">
      <w:pPr>
        <w:numPr>
          <w:ilvl w:val="12"/>
          <w:numId w:val="0"/>
        </w:numPr>
        <w:tabs>
          <w:tab w:val="clear" w:pos="567"/>
        </w:tabs>
        <w:spacing w:line="240" w:lineRule="auto"/>
      </w:pPr>
    </w:p>
    <w:p w:rsidR="00710705" w:rsidRPr="00834CD5" w:rsidRDefault="00710705" w:rsidP="00710705">
      <w:pPr>
        <w:numPr>
          <w:ilvl w:val="12"/>
          <w:numId w:val="0"/>
        </w:numPr>
        <w:tabs>
          <w:tab w:val="clear" w:pos="567"/>
        </w:tabs>
        <w:spacing w:line="240" w:lineRule="auto"/>
      </w:pPr>
    </w:p>
    <w:p w:rsidR="00710705" w:rsidRPr="00834CD5" w:rsidRDefault="00710705" w:rsidP="00710705">
      <w:pPr>
        <w:pStyle w:val="Antrat3"/>
        <w:spacing w:before="0" w:after="0" w:line="240" w:lineRule="auto"/>
        <w:rPr>
          <w:rFonts w:ascii="Times New Roman" w:hAnsi="Times New Roman"/>
          <w:sz w:val="22"/>
        </w:rPr>
      </w:pPr>
      <w:r w:rsidRPr="00834CD5">
        <w:rPr>
          <w:rFonts w:ascii="Times New Roman" w:hAnsi="Times New Roman"/>
          <w:sz w:val="22"/>
        </w:rPr>
        <w:t>4.</w:t>
      </w:r>
      <w:r w:rsidRPr="00834CD5">
        <w:rPr>
          <w:rFonts w:ascii="Times New Roman" w:hAnsi="Times New Roman"/>
          <w:sz w:val="22"/>
        </w:rPr>
        <w:tab/>
        <w:t>Galimas šalutinis poveikis</w:t>
      </w:r>
    </w:p>
    <w:p w:rsidR="00710705" w:rsidRPr="00834CD5" w:rsidRDefault="00710705" w:rsidP="00710705">
      <w:pPr>
        <w:numPr>
          <w:ilvl w:val="12"/>
          <w:numId w:val="0"/>
        </w:numPr>
        <w:tabs>
          <w:tab w:val="clear" w:pos="567"/>
        </w:tabs>
        <w:spacing w:line="240" w:lineRule="auto"/>
      </w:pPr>
    </w:p>
    <w:p w:rsidR="00710705" w:rsidRPr="00913636" w:rsidRDefault="00710705" w:rsidP="00710705">
      <w:pPr>
        <w:pStyle w:val="BTEMEASMCA"/>
        <w:rPr>
          <w:noProof w:val="0"/>
        </w:rPr>
      </w:pPr>
      <w:r w:rsidRPr="00913636">
        <w:rPr>
          <w:noProof w:val="0"/>
        </w:rPr>
        <w:t>Šis vaistas, kaip ir visi kiti, gali sukelti šalutinį poveikį, nors jis pasireiškia ne visiems žmonėms.</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Labiausiai reikšmingas šalutinis poveikis yra šokas (staigus kraujotakos sutrikimas) ir </w:t>
      </w:r>
      <w:proofErr w:type="spellStart"/>
      <w:r w:rsidRPr="00913636">
        <w:rPr>
          <w:noProof w:val="0"/>
        </w:rPr>
        <w:t>agranulocitozė</w:t>
      </w:r>
      <w:proofErr w:type="spellEnd"/>
      <w:r w:rsidRPr="00913636">
        <w:rPr>
          <w:noProof w:val="0"/>
        </w:rPr>
        <w:t xml:space="preserve"> (smarkus baltųjų kraujo ląstelių leukocitų skaičiaus sumažėjimas).</w:t>
      </w:r>
      <w:r w:rsidRPr="00655151">
        <w:t xml:space="preserve"> Šios reakcijos pasitaiko retai arba labai retai (žr. žemiau), bet jos pavojingos gyvybei. Jos gali pasireikšti netgi tuomet, kai anksčiau vartotas metamizolas komplikacijų nesukėlė.</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Nebevartokite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ir nedelsdami kreipkitės į gydytoją, jeigu Jums pasireikštų bent vienas iš toliau nurodytų simptomų:</w:t>
      </w:r>
    </w:p>
    <w:p w:rsidR="00710705" w:rsidRPr="00913636" w:rsidRDefault="00710705" w:rsidP="00710705">
      <w:pPr>
        <w:pStyle w:val="BTEMEASMCA"/>
        <w:rPr>
          <w:noProof w:val="0"/>
        </w:rPr>
      </w:pPr>
      <w:r w:rsidRPr="00913636">
        <w:rPr>
          <w:noProof w:val="0"/>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rsidR="00710705" w:rsidRPr="00834CD5" w:rsidRDefault="00710705" w:rsidP="00710705">
      <w:pPr>
        <w:pStyle w:val="Pagrindinistekstas3"/>
        <w:tabs>
          <w:tab w:val="left" w:pos="567"/>
        </w:tabs>
        <w:rPr>
          <w:color w:val="auto"/>
        </w:rPr>
      </w:pPr>
    </w:p>
    <w:p w:rsidR="00710705" w:rsidRPr="00834CD5" w:rsidRDefault="00710705" w:rsidP="00710705">
      <w:pPr>
        <w:pStyle w:val="Pagrindinistekstas3"/>
        <w:tabs>
          <w:tab w:val="left" w:pos="567"/>
        </w:tabs>
        <w:rPr>
          <w:b/>
          <w:color w:val="auto"/>
        </w:rPr>
      </w:pPr>
      <w:r w:rsidRPr="00834CD5">
        <w:rPr>
          <w:b/>
          <w:color w:val="auto"/>
        </w:rPr>
        <w:t xml:space="preserve">Nebevartokite </w:t>
      </w:r>
      <w:proofErr w:type="spellStart"/>
      <w:r w:rsidRPr="00834CD5">
        <w:rPr>
          <w:b/>
          <w:color w:val="auto"/>
        </w:rPr>
        <w:t>metamizolo</w:t>
      </w:r>
      <w:proofErr w:type="spellEnd"/>
      <w:r w:rsidRPr="00834CD5">
        <w:rPr>
          <w:b/>
          <w:color w:val="auto"/>
        </w:rPr>
        <w:t xml:space="preserve"> ir nedelsdami kreipkitės medicinos pagalbos pastebėję bent vieną iš toliau nurodytų sunkaus šalutinio poveikio reiškinių:</w:t>
      </w:r>
    </w:p>
    <w:p w:rsidR="00710705" w:rsidRPr="00834CD5" w:rsidRDefault="00710705" w:rsidP="00710705">
      <w:pPr>
        <w:pStyle w:val="Pagrindinistekstas3"/>
        <w:numPr>
          <w:ilvl w:val="0"/>
          <w:numId w:val="5"/>
        </w:numPr>
        <w:tabs>
          <w:tab w:val="left" w:pos="567"/>
        </w:tabs>
        <w:ind w:left="567" w:hanging="567"/>
        <w:jc w:val="left"/>
        <w:rPr>
          <w:color w:val="auto"/>
        </w:rPr>
      </w:pPr>
      <w:r w:rsidRPr="00834CD5">
        <w:rPr>
          <w:color w:val="auto"/>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834CD5">
        <w:rPr>
          <w:color w:val="auto"/>
        </w:rPr>
        <w:t>Stivenso</w:t>
      </w:r>
      <w:proofErr w:type="spellEnd"/>
      <w:r w:rsidRPr="00834CD5">
        <w:rPr>
          <w:color w:val="auto"/>
        </w:rPr>
        <w:t xml:space="preserve">-Džonsono sindromas, toksinė epidermio </w:t>
      </w:r>
      <w:proofErr w:type="spellStart"/>
      <w:r w:rsidRPr="00834CD5">
        <w:rPr>
          <w:color w:val="auto"/>
        </w:rPr>
        <w:t>nekrolizė</w:t>
      </w:r>
      <w:proofErr w:type="spellEnd"/>
      <w:r w:rsidRPr="00834CD5">
        <w:rPr>
          <w:color w:val="auto"/>
        </w:rPr>
        <w:t>);</w:t>
      </w:r>
    </w:p>
    <w:p w:rsidR="00710705" w:rsidRPr="00834CD5" w:rsidRDefault="00710705" w:rsidP="00710705">
      <w:pPr>
        <w:pStyle w:val="Pagrindinistekstas3"/>
        <w:numPr>
          <w:ilvl w:val="0"/>
          <w:numId w:val="5"/>
        </w:numPr>
        <w:tabs>
          <w:tab w:val="left" w:pos="567"/>
        </w:tabs>
        <w:ind w:left="567" w:hanging="567"/>
        <w:jc w:val="left"/>
        <w:rPr>
          <w:color w:val="auto"/>
        </w:rPr>
      </w:pPr>
      <w:r w:rsidRPr="00834CD5">
        <w:rPr>
          <w:color w:val="auto"/>
        </w:rPr>
        <w:t>išplitęs išbėrimas, pakilusi kūno temperatūra ir padidėję limfmazgiai (DRESS sindromas arba padidėjusio jautrumo vaistui sindromas).</w:t>
      </w:r>
    </w:p>
    <w:p w:rsidR="00710705" w:rsidRPr="00834CD5" w:rsidRDefault="00710705" w:rsidP="00710705">
      <w:pPr>
        <w:pStyle w:val="Pagrindinistekstas3"/>
        <w:tabs>
          <w:tab w:val="left" w:pos="567"/>
        </w:tabs>
        <w:rPr>
          <w:color w:val="auto"/>
        </w:rPr>
      </w:pPr>
    </w:p>
    <w:p w:rsidR="00710705" w:rsidRPr="00834CD5" w:rsidRDefault="00710705" w:rsidP="00710705">
      <w:pPr>
        <w:pStyle w:val="Pagrindinistekstas3"/>
        <w:tabs>
          <w:tab w:val="left" w:pos="567"/>
        </w:tabs>
        <w:rPr>
          <w:b/>
          <w:color w:val="000000" w:themeColor="text1"/>
        </w:rPr>
      </w:pPr>
      <w:r w:rsidRPr="00834CD5">
        <w:rPr>
          <w:b/>
          <w:color w:val="000000" w:themeColor="text1"/>
        </w:rPr>
        <w:t>Reti šalutinio poveikio reiškiniai (gali pasireikšti rečiau kaip 1 iš 1 000 asmenų):</w:t>
      </w:r>
    </w:p>
    <w:p w:rsidR="00710705" w:rsidRPr="00913636" w:rsidRDefault="00710705" w:rsidP="00710705">
      <w:pPr>
        <w:pStyle w:val="BT-EMEASMCA"/>
        <w:tabs>
          <w:tab w:val="clear" w:pos="360"/>
        </w:tabs>
        <w:rPr>
          <w:noProof w:val="0"/>
        </w:rPr>
      </w:pPr>
      <w:r w:rsidRPr="00913636">
        <w:rPr>
          <w:noProof w:val="0"/>
        </w:rPr>
        <w:t>padidėjusio jautrumo reakcijos;</w:t>
      </w:r>
    </w:p>
    <w:p w:rsidR="00710705" w:rsidRPr="00913636" w:rsidRDefault="00710705" w:rsidP="00710705">
      <w:pPr>
        <w:pStyle w:val="BT-EMEASMCA"/>
        <w:tabs>
          <w:tab w:val="clear" w:pos="360"/>
        </w:tabs>
        <w:rPr>
          <w:noProof w:val="0"/>
        </w:rPr>
      </w:pPr>
      <w:r w:rsidRPr="00913636">
        <w:rPr>
          <w:noProof w:val="0"/>
        </w:rPr>
        <w:t>reakcijos, pasireiškiančios kraujospūdžio sumažėjimu vaisto vartojimo metu arba vėliau;</w:t>
      </w:r>
    </w:p>
    <w:p w:rsidR="00710705" w:rsidRPr="00913636" w:rsidRDefault="00710705" w:rsidP="00710705">
      <w:pPr>
        <w:pStyle w:val="BT-EMEASMCA"/>
        <w:tabs>
          <w:tab w:val="clear" w:pos="360"/>
        </w:tabs>
        <w:rPr>
          <w:noProof w:val="0"/>
        </w:rPr>
      </w:pPr>
      <w:proofErr w:type="spellStart"/>
      <w:r w:rsidRPr="00913636">
        <w:rPr>
          <w:noProof w:val="0"/>
        </w:rPr>
        <w:t>leukopenija</w:t>
      </w:r>
      <w:proofErr w:type="spellEnd"/>
      <w:r w:rsidRPr="00913636">
        <w:rPr>
          <w:noProof w:val="0"/>
        </w:rPr>
        <w:t xml:space="preserve"> (sumažėjęs baltųjų kraujo ląstelių skaičius);</w:t>
      </w:r>
    </w:p>
    <w:p w:rsidR="00710705" w:rsidRPr="00913636" w:rsidRDefault="00710705" w:rsidP="00710705">
      <w:pPr>
        <w:pStyle w:val="BT-EMEASMCA"/>
        <w:tabs>
          <w:tab w:val="clear" w:pos="360"/>
        </w:tabs>
        <w:rPr>
          <w:noProof w:val="0"/>
        </w:rPr>
      </w:pPr>
      <w:r w:rsidRPr="00913636">
        <w:rPr>
          <w:noProof w:val="0"/>
        </w:rPr>
        <w:t xml:space="preserve">vaistų sukeltas specifinis išbėrimas arba kitoks odos išbėrimas (laikinas išbėrimas). Tokiais atvejais reikia nedelsiant nutraukti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vartojimą.</w:t>
      </w:r>
    </w:p>
    <w:p w:rsidR="00710705" w:rsidRPr="00913636" w:rsidRDefault="00710705" w:rsidP="00710705">
      <w:pPr>
        <w:pStyle w:val="BTEMEASMCA"/>
        <w:rPr>
          <w:noProof w:val="0"/>
        </w:rPr>
      </w:pPr>
    </w:p>
    <w:p w:rsidR="00710705" w:rsidRPr="00913636" w:rsidRDefault="00710705" w:rsidP="00710705">
      <w:pPr>
        <w:pStyle w:val="BTEMEASMCA"/>
        <w:rPr>
          <w:rStyle w:val="Emfaz"/>
          <w:noProof w:val="0"/>
        </w:rPr>
      </w:pPr>
      <w:r w:rsidRPr="00913636">
        <w:rPr>
          <w:b/>
          <w:bCs/>
          <w:noProof w:val="0"/>
        </w:rPr>
        <w:t xml:space="preserve">Labai </w:t>
      </w:r>
      <w:r w:rsidRPr="00913636">
        <w:rPr>
          <w:b/>
          <w:bCs/>
          <w:noProof w:val="0"/>
          <w:snapToGrid w:val="0"/>
        </w:rPr>
        <w:t>reti</w:t>
      </w:r>
      <w:r w:rsidRPr="00913636">
        <w:rPr>
          <w:bCs/>
          <w:noProof w:val="0"/>
          <w:snapToGrid w:val="0"/>
        </w:rPr>
        <w:t xml:space="preserve"> </w:t>
      </w:r>
      <w:r w:rsidRPr="00913636">
        <w:rPr>
          <w:b/>
          <w:noProof w:val="0"/>
          <w:snapToGrid w:val="0"/>
        </w:rPr>
        <w:t>šalutinio poveikio</w:t>
      </w:r>
      <w:r w:rsidRPr="00913636">
        <w:rPr>
          <w:bCs/>
          <w:noProof w:val="0"/>
          <w:snapToGrid w:val="0"/>
        </w:rPr>
        <w:t xml:space="preserve"> </w:t>
      </w:r>
      <w:r w:rsidRPr="00913636">
        <w:rPr>
          <w:b/>
          <w:noProof w:val="0"/>
          <w:snapToGrid w:val="0"/>
        </w:rPr>
        <w:t>reiškiniai (gali</w:t>
      </w:r>
      <w:r w:rsidRPr="00913636">
        <w:rPr>
          <w:bCs/>
          <w:noProof w:val="0"/>
          <w:snapToGrid w:val="0"/>
        </w:rPr>
        <w:t xml:space="preserve"> </w:t>
      </w:r>
      <w:r w:rsidRPr="00913636">
        <w:rPr>
          <w:b/>
          <w:noProof w:val="0"/>
          <w:snapToGrid w:val="0"/>
        </w:rPr>
        <w:t>pasireikšti</w:t>
      </w:r>
      <w:r w:rsidRPr="00913636">
        <w:rPr>
          <w:b/>
          <w:noProof w:val="0"/>
        </w:rPr>
        <w:t xml:space="preserve"> rečiau</w:t>
      </w:r>
      <w:r w:rsidRPr="00913636">
        <w:rPr>
          <w:noProof w:val="0"/>
        </w:rPr>
        <w:t xml:space="preserve"> </w:t>
      </w:r>
      <w:r w:rsidRPr="00913636">
        <w:rPr>
          <w:b/>
          <w:bCs/>
          <w:noProof w:val="0"/>
        </w:rPr>
        <w:t>kaip 1 iš 10</w:t>
      </w:r>
      <w:r w:rsidRPr="00913636">
        <w:rPr>
          <w:b/>
          <w:bCs/>
          <w:noProof w:val="0"/>
          <w:snapToGrid w:val="0"/>
        </w:rPr>
        <w:t> </w:t>
      </w:r>
      <w:r w:rsidRPr="00913636">
        <w:rPr>
          <w:b/>
          <w:bCs/>
          <w:noProof w:val="0"/>
        </w:rPr>
        <w:t>000</w:t>
      </w:r>
      <w:r w:rsidRPr="00913636">
        <w:rPr>
          <w:noProof w:val="0"/>
        </w:rPr>
        <w:t xml:space="preserve"> </w:t>
      </w:r>
      <w:r w:rsidRPr="00913636">
        <w:rPr>
          <w:b/>
          <w:noProof w:val="0"/>
          <w:snapToGrid w:val="0"/>
        </w:rPr>
        <w:t>asmenų</w:t>
      </w:r>
      <w:r w:rsidRPr="00913636">
        <w:rPr>
          <w:rStyle w:val="Emfaz"/>
          <w:b/>
          <w:bCs/>
          <w:noProof w:val="0"/>
        </w:rPr>
        <w:t>):</w:t>
      </w:r>
    </w:p>
    <w:p w:rsidR="00710705" w:rsidRPr="00913636" w:rsidRDefault="00710705" w:rsidP="00710705">
      <w:pPr>
        <w:pStyle w:val="BT-EMEASMCA"/>
        <w:tabs>
          <w:tab w:val="clear" w:pos="360"/>
        </w:tabs>
        <w:rPr>
          <w:noProof w:val="0"/>
        </w:rPr>
      </w:pPr>
      <w:r w:rsidRPr="00913636">
        <w:rPr>
          <w:noProof w:val="0"/>
        </w:rPr>
        <w:t>sunkios gyvybei pavojingos padidėjusio jautrumo reakcijos. Jos gali atsirasti staiga - vaisto vartojimo metu arba po kelių valandų. Dažniausiai jos pasireiškia pirmąją valandą po vaisto vartojimo;</w:t>
      </w:r>
    </w:p>
    <w:p w:rsidR="00710705" w:rsidRPr="00913636" w:rsidRDefault="00710705" w:rsidP="00710705">
      <w:pPr>
        <w:pStyle w:val="BT-EMEASMCA"/>
        <w:tabs>
          <w:tab w:val="clear" w:pos="360"/>
        </w:tabs>
        <w:rPr>
          <w:noProof w:val="0"/>
        </w:rPr>
      </w:pPr>
      <w:proofErr w:type="spellStart"/>
      <w:r w:rsidRPr="00913636">
        <w:rPr>
          <w:noProof w:val="0"/>
        </w:rPr>
        <w:t>agranulocitozė</w:t>
      </w:r>
      <w:proofErr w:type="spellEnd"/>
      <w:r w:rsidRPr="00913636">
        <w:rPr>
          <w:noProof w:val="0"/>
        </w:rPr>
        <w:t xml:space="preserve"> arba </w:t>
      </w:r>
      <w:proofErr w:type="spellStart"/>
      <w:r w:rsidRPr="00913636">
        <w:rPr>
          <w:noProof w:val="0"/>
        </w:rPr>
        <w:t>trombocitopenija</w:t>
      </w:r>
      <w:proofErr w:type="spellEnd"/>
      <w:r w:rsidRPr="00913636">
        <w:rPr>
          <w:noProof w:val="0"/>
        </w:rPr>
        <w:t xml:space="preserve"> (sumažėjęs trombocitų skaičius);</w:t>
      </w:r>
    </w:p>
    <w:p w:rsidR="00710705" w:rsidRPr="00913636" w:rsidRDefault="00710705" w:rsidP="00710705">
      <w:pPr>
        <w:pStyle w:val="BT-EMEASMCA"/>
        <w:tabs>
          <w:tab w:val="clear" w:pos="360"/>
        </w:tabs>
        <w:rPr>
          <w:noProof w:val="0"/>
        </w:rPr>
      </w:pPr>
      <w:r w:rsidRPr="00913636">
        <w:rPr>
          <w:noProof w:val="0"/>
        </w:rPr>
        <w:t>sutrikusi inkstų funkcija, kai šlapimo išsiskiria per mažai arba visiškai neišsiskiria;</w:t>
      </w:r>
    </w:p>
    <w:p w:rsidR="00710705" w:rsidRPr="00913636" w:rsidRDefault="00710705" w:rsidP="00710705">
      <w:pPr>
        <w:pStyle w:val="BT-EMEASMCA"/>
        <w:tabs>
          <w:tab w:val="clear" w:pos="360"/>
        </w:tabs>
        <w:rPr>
          <w:noProof w:val="0"/>
        </w:rPr>
      </w:pPr>
      <w:r w:rsidRPr="00913636">
        <w:rPr>
          <w:noProof w:val="0"/>
        </w:rPr>
        <w:t>kraujo baltymų išsiskyrimas su šlapimu;</w:t>
      </w:r>
    </w:p>
    <w:p w:rsidR="00710705" w:rsidRPr="00913636" w:rsidRDefault="00710705" w:rsidP="00710705">
      <w:pPr>
        <w:pStyle w:val="BT-EMEASMCA"/>
        <w:tabs>
          <w:tab w:val="clear" w:pos="360"/>
        </w:tabs>
        <w:rPr>
          <w:noProof w:val="0"/>
        </w:rPr>
      </w:pPr>
      <w:r w:rsidRPr="00913636">
        <w:rPr>
          <w:noProof w:val="0"/>
        </w:rPr>
        <w:t>inkstų uždegimas;</w:t>
      </w:r>
    </w:p>
    <w:p w:rsidR="00710705" w:rsidRPr="00913636" w:rsidRDefault="00710705" w:rsidP="00710705">
      <w:pPr>
        <w:pStyle w:val="BT-EMEASMCA"/>
        <w:tabs>
          <w:tab w:val="clear" w:pos="360"/>
        </w:tabs>
        <w:rPr>
          <w:noProof w:val="0"/>
        </w:rPr>
      </w:pPr>
      <w:r w:rsidRPr="00913636">
        <w:rPr>
          <w:noProof w:val="0"/>
        </w:rPr>
        <w:t>inkstų ir šlapimo sistemos šalutinis poveikis ypač gali atsirasti tuomet, kai yra sumažėjęs cirkuliuojančio kraujo tūris, anksčiau buvo inkstų liga arba perdozavus šio vaisto.</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bCs/>
          <w:noProof w:val="0"/>
          <w:snapToGrid w:val="0"/>
        </w:rPr>
        <w:t>Šalutinio poveikio reiškiniai, kurių dažnis</w:t>
      </w:r>
      <w:r w:rsidRPr="00913636">
        <w:rPr>
          <w:noProof w:val="0"/>
        </w:rPr>
        <w:t xml:space="preserve"> nežinomas (negali būti apskaičiuotas pagal turimus duomenis</w:t>
      </w:r>
      <w:r w:rsidRPr="00913636">
        <w:rPr>
          <w:bCs/>
          <w:noProof w:val="0"/>
          <w:snapToGrid w:val="0"/>
        </w:rPr>
        <w:t>):</w:t>
      </w:r>
    </w:p>
    <w:p w:rsidR="00710705" w:rsidRPr="00913636" w:rsidRDefault="00710705" w:rsidP="00710705">
      <w:pPr>
        <w:pStyle w:val="BT-EMEASMCA"/>
        <w:tabs>
          <w:tab w:val="clear" w:pos="360"/>
        </w:tabs>
        <w:rPr>
          <w:noProof w:val="0"/>
        </w:rPr>
      </w:pPr>
      <w:r w:rsidRPr="00913636">
        <w:rPr>
          <w:noProof w:val="0"/>
        </w:rPr>
        <w:t>kepenų uždegimas, odos ir akių baltymų pageltimas, kepenų fermentų aktyvumo kraujyje padidėjimas;</w:t>
      </w:r>
    </w:p>
    <w:p w:rsidR="00710705" w:rsidRPr="00913636" w:rsidRDefault="00710705" w:rsidP="00710705">
      <w:pPr>
        <w:pStyle w:val="BT-EMEASMCA"/>
        <w:tabs>
          <w:tab w:val="clear" w:pos="360"/>
        </w:tabs>
        <w:rPr>
          <w:noProof w:val="0"/>
        </w:rPr>
      </w:pPr>
      <w:r w:rsidRPr="00913636">
        <w:rPr>
          <w:noProof w:val="0"/>
        </w:rPr>
        <w:t>sunkios odos reakcijos.</w:t>
      </w:r>
    </w:p>
    <w:p w:rsidR="00710705" w:rsidRPr="00913636" w:rsidRDefault="00710705" w:rsidP="00710705">
      <w:pPr>
        <w:pStyle w:val="BTEMEASMCA"/>
        <w:rPr>
          <w:noProof w:val="0"/>
        </w:rPr>
      </w:pPr>
    </w:p>
    <w:p w:rsidR="00710705" w:rsidRPr="00913636" w:rsidRDefault="00710705" w:rsidP="00710705">
      <w:pPr>
        <w:pStyle w:val="BTEMEASMCA"/>
        <w:rPr>
          <w:rStyle w:val="Emfaz"/>
          <w:noProof w:val="0"/>
        </w:rPr>
      </w:pPr>
      <w:r w:rsidRPr="00913636">
        <w:rPr>
          <w:rStyle w:val="Emfaz"/>
          <w:iCs/>
          <w:noProof w:val="0"/>
        </w:rPr>
        <w:t>Nestiprių padidėjusio jautrumo reakcijų požymiai ir simptomai</w:t>
      </w:r>
    </w:p>
    <w:p w:rsidR="00710705" w:rsidRPr="00913636" w:rsidRDefault="00710705" w:rsidP="00710705">
      <w:pPr>
        <w:pStyle w:val="BTEMEASMCA"/>
        <w:rPr>
          <w:noProof w:val="0"/>
        </w:rPr>
      </w:pPr>
      <w:r w:rsidRPr="00913636">
        <w:rPr>
          <w:noProof w:val="0"/>
        </w:rPr>
        <w:t>Odos ir gleivinių reakcijos (niežulys, deginimo pojūtis, paraudimas, pūkšlės, patinimas).</w:t>
      </w:r>
    </w:p>
    <w:p w:rsidR="00710705" w:rsidRPr="00913636" w:rsidRDefault="00710705" w:rsidP="00710705">
      <w:pPr>
        <w:pStyle w:val="BTEMEASMCA"/>
        <w:rPr>
          <w:noProof w:val="0"/>
        </w:rPr>
      </w:pPr>
      <w:r w:rsidRPr="00913636">
        <w:rPr>
          <w:noProof w:val="0"/>
        </w:rPr>
        <w:t>Dusulys.</w:t>
      </w:r>
    </w:p>
    <w:p w:rsidR="00710705" w:rsidRPr="00913636" w:rsidRDefault="00710705" w:rsidP="00710705">
      <w:pPr>
        <w:pStyle w:val="BTEMEASMCA"/>
        <w:rPr>
          <w:noProof w:val="0"/>
        </w:rPr>
      </w:pPr>
      <w:r w:rsidRPr="00913636">
        <w:rPr>
          <w:noProof w:val="0"/>
        </w:rPr>
        <w:t>Virškinimo sutrikimai (pykinimas, sutrikęs virškinimas, vėmimas).</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lastRenderedPageBreak/>
        <w:t>Šios nestiprios reakcijos gali progresuoti į sunkias formas:</w:t>
      </w:r>
    </w:p>
    <w:p w:rsidR="00710705" w:rsidRPr="00913636" w:rsidRDefault="00710705" w:rsidP="00710705">
      <w:pPr>
        <w:pStyle w:val="BT-EMEASMCA"/>
        <w:tabs>
          <w:tab w:val="clear" w:pos="360"/>
        </w:tabs>
        <w:rPr>
          <w:noProof w:val="0"/>
        </w:rPr>
      </w:pPr>
      <w:r w:rsidRPr="00913636">
        <w:rPr>
          <w:noProof w:val="0"/>
        </w:rPr>
        <w:t>pūkšlės visame kūne;</w:t>
      </w:r>
    </w:p>
    <w:p w:rsidR="00710705" w:rsidRPr="00913636" w:rsidRDefault="00710705" w:rsidP="00710705">
      <w:pPr>
        <w:pStyle w:val="BT-EMEASMCA"/>
        <w:tabs>
          <w:tab w:val="clear" w:pos="360"/>
        </w:tabs>
        <w:rPr>
          <w:noProof w:val="0"/>
        </w:rPr>
      </w:pPr>
      <w:r w:rsidRPr="00913636">
        <w:rPr>
          <w:noProof w:val="0"/>
        </w:rPr>
        <w:t>smarkus odos ir gleivinių patinimas (</w:t>
      </w:r>
      <w:proofErr w:type="spellStart"/>
      <w:r w:rsidRPr="00913636">
        <w:rPr>
          <w:noProof w:val="0"/>
        </w:rPr>
        <w:t>angioneurozinė</w:t>
      </w:r>
      <w:proofErr w:type="spellEnd"/>
      <w:r w:rsidRPr="00913636">
        <w:rPr>
          <w:noProof w:val="0"/>
        </w:rPr>
        <w:t xml:space="preserve"> edema, įskaitant gerklų sritį), stiprus </w:t>
      </w:r>
      <w:proofErr w:type="spellStart"/>
      <w:r w:rsidRPr="00913636">
        <w:rPr>
          <w:noProof w:val="0"/>
        </w:rPr>
        <w:t>bronchiolių</w:t>
      </w:r>
      <w:proofErr w:type="spellEnd"/>
      <w:r w:rsidRPr="00913636">
        <w:rPr>
          <w:noProof w:val="0"/>
        </w:rPr>
        <w:t xml:space="preserve"> raumenų spazmas;</w:t>
      </w:r>
    </w:p>
    <w:p w:rsidR="00710705" w:rsidRPr="00913636" w:rsidRDefault="00710705" w:rsidP="00710705">
      <w:pPr>
        <w:pStyle w:val="BT-EMEASMCA"/>
        <w:tabs>
          <w:tab w:val="clear" w:pos="360"/>
        </w:tabs>
        <w:rPr>
          <w:noProof w:val="0"/>
        </w:rPr>
      </w:pPr>
      <w:r w:rsidRPr="00913636">
        <w:rPr>
          <w:noProof w:val="0"/>
        </w:rPr>
        <w:t>širdies ritmo sutrikimai;</w:t>
      </w:r>
    </w:p>
    <w:p w:rsidR="00710705" w:rsidRPr="00913636" w:rsidRDefault="00710705" w:rsidP="00710705">
      <w:pPr>
        <w:pStyle w:val="BT-EMEASMCA"/>
        <w:tabs>
          <w:tab w:val="clear" w:pos="360"/>
        </w:tabs>
        <w:rPr>
          <w:noProof w:val="0"/>
        </w:rPr>
      </w:pPr>
      <w:r w:rsidRPr="00913636">
        <w:rPr>
          <w:noProof w:val="0"/>
        </w:rPr>
        <w:t>kraujospūdžio sumažėjimas (kartais iš pradžių būna padidėjęs kraujospūdis);</w:t>
      </w:r>
    </w:p>
    <w:p w:rsidR="00710705" w:rsidRPr="00913636" w:rsidRDefault="00710705" w:rsidP="00710705">
      <w:pPr>
        <w:pStyle w:val="BT-EMEASMCA"/>
        <w:tabs>
          <w:tab w:val="clear" w:pos="360"/>
        </w:tabs>
        <w:rPr>
          <w:noProof w:val="0"/>
        </w:rPr>
      </w:pPr>
      <w:r w:rsidRPr="00913636">
        <w:rPr>
          <w:noProof w:val="0"/>
        </w:rPr>
        <w:t>kraujotakos šokas.</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Pacientams, sergantiems astma, kurią sukėlė skausmą malšinantys vaistai (analgetikų sukelta astma), </w:t>
      </w:r>
      <w:proofErr w:type="spellStart"/>
      <w:r w:rsidRPr="00913636">
        <w:rPr>
          <w:noProof w:val="0"/>
        </w:rPr>
        <w:t>netoleravimas</w:t>
      </w:r>
      <w:proofErr w:type="spellEnd"/>
      <w:r w:rsidRPr="00913636">
        <w:rPr>
          <w:noProof w:val="0"/>
        </w:rPr>
        <w:t xml:space="preserve"> dažniausiai pasireiškia dusulio priepuoliais.</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Atsiradus tokiems pirmiesiems šoko požymiams, kaip:</w:t>
      </w:r>
    </w:p>
    <w:p w:rsidR="00710705" w:rsidRPr="00913636" w:rsidRDefault="00710705" w:rsidP="00710705">
      <w:pPr>
        <w:pStyle w:val="BT-EMEASMCA"/>
        <w:tabs>
          <w:tab w:val="clear" w:pos="360"/>
        </w:tabs>
        <w:rPr>
          <w:noProof w:val="0"/>
        </w:rPr>
      </w:pPr>
      <w:r w:rsidRPr="00913636">
        <w:rPr>
          <w:noProof w:val="0"/>
        </w:rPr>
        <w:t>šaltas prakaitas;</w:t>
      </w:r>
    </w:p>
    <w:p w:rsidR="00710705" w:rsidRPr="00913636" w:rsidRDefault="00710705" w:rsidP="00710705">
      <w:pPr>
        <w:pStyle w:val="BT-EMEASMCA"/>
        <w:tabs>
          <w:tab w:val="clear" w:pos="360"/>
        </w:tabs>
        <w:rPr>
          <w:noProof w:val="0"/>
        </w:rPr>
      </w:pPr>
      <w:r w:rsidRPr="00913636">
        <w:rPr>
          <w:noProof w:val="0"/>
        </w:rPr>
        <w:t>svaigulys;</w:t>
      </w:r>
    </w:p>
    <w:p w:rsidR="00710705" w:rsidRPr="00913636" w:rsidRDefault="00710705" w:rsidP="00710705">
      <w:pPr>
        <w:pStyle w:val="BT-EMEASMCA"/>
        <w:tabs>
          <w:tab w:val="clear" w:pos="360"/>
        </w:tabs>
        <w:rPr>
          <w:noProof w:val="0"/>
        </w:rPr>
      </w:pPr>
      <w:r w:rsidRPr="00913636">
        <w:rPr>
          <w:noProof w:val="0"/>
        </w:rPr>
        <w:t>apkvaitimas;</w:t>
      </w:r>
    </w:p>
    <w:p w:rsidR="00710705" w:rsidRPr="00913636" w:rsidRDefault="00710705" w:rsidP="00710705">
      <w:pPr>
        <w:pStyle w:val="BT-EMEASMCA"/>
        <w:tabs>
          <w:tab w:val="clear" w:pos="360"/>
        </w:tabs>
        <w:rPr>
          <w:noProof w:val="0"/>
        </w:rPr>
      </w:pPr>
      <w:r w:rsidRPr="00913636">
        <w:rPr>
          <w:noProof w:val="0"/>
        </w:rPr>
        <w:t>odos spalvos pokytis;</w:t>
      </w:r>
    </w:p>
    <w:p w:rsidR="00710705" w:rsidRPr="00913636" w:rsidRDefault="00710705" w:rsidP="00710705">
      <w:pPr>
        <w:pStyle w:val="BT-EMEASMCA"/>
        <w:tabs>
          <w:tab w:val="clear" w:pos="360"/>
        </w:tabs>
        <w:rPr>
          <w:noProof w:val="0"/>
        </w:rPr>
      </w:pPr>
      <w:r w:rsidRPr="00913636">
        <w:rPr>
          <w:noProof w:val="0"/>
        </w:rPr>
        <w:t>spaudimas krūtinėje ir dusulys, reikia imtis būtinų skubios pagalbos priemonių.</w:t>
      </w:r>
    </w:p>
    <w:p w:rsidR="00710705" w:rsidRPr="00834CD5" w:rsidRDefault="00710705" w:rsidP="00710705">
      <w:pPr>
        <w:pStyle w:val="BTEMEASMCA"/>
      </w:pPr>
    </w:p>
    <w:p w:rsidR="00710705" w:rsidRPr="00913636" w:rsidRDefault="00710705" w:rsidP="00710705">
      <w:pPr>
        <w:pStyle w:val="BT-EMEASMCA"/>
        <w:tabs>
          <w:tab w:val="clear" w:pos="360"/>
        </w:tabs>
        <w:rPr>
          <w:rStyle w:val="Emfaz"/>
          <w:noProof w:val="0"/>
        </w:rPr>
      </w:pPr>
      <w:r w:rsidRPr="00913636">
        <w:rPr>
          <w:rStyle w:val="Emfaz"/>
          <w:iCs/>
          <w:noProof w:val="0"/>
        </w:rPr>
        <w:t>Šokas</w:t>
      </w:r>
    </w:p>
    <w:p w:rsidR="00710705" w:rsidRPr="00913636" w:rsidRDefault="00710705" w:rsidP="00710705">
      <w:pPr>
        <w:pStyle w:val="BTEMEASMCA"/>
        <w:rPr>
          <w:noProof w:val="0"/>
        </w:rPr>
      </w:pPr>
      <w:r w:rsidRPr="00913636">
        <w:rPr>
          <w:noProof w:val="0"/>
        </w:rPr>
        <w:t xml:space="preserve">Kiti šoko simptomai yra veido patinimas, niežulys, spaudimo pojūtis krūtinės ląstoje, pagreitėjęs pulsas, šaltos rankos ir kojos (kritinis kraujospūdžio sumažėjimas). Šie simptomai gali atsirasti praėjus valandai po </w:t>
      </w:r>
      <w:proofErr w:type="spellStart"/>
      <w:r w:rsidRPr="00913636">
        <w:rPr>
          <w:noProof w:val="0"/>
        </w:rPr>
        <w:t>Analgin</w:t>
      </w:r>
      <w:proofErr w:type="spellEnd"/>
      <w:r w:rsidRPr="00913636">
        <w:rPr>
          <w:noProof w:val="0"/>
        </w:rPr>
        <w:t xml:space="preserve"> </w:t>
      </w:r>
      <w:proofErr w:type="spellStart"/>
      <w:r w:rsidRPr="00913636">
        <w:rPr>
          <w:noProof w:val="0"/>
        </w:rPr>
        <w:t>Sopharma</w:t>
      </w:r>
      <w:proofErr w:type="spellEnd"/>
      <w:r w:rsidRPr="00913636">
        <w:rPr>
          <w:noProof w:val="0"/>
        </w:rPr>
        <w:t xml:space="preserve"> pavartojimo.</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Atsiradus pirmiesiems šoko simptomams, </w:t>
      </w:r>
      <w:r w:rsidRPr="00913636">
        <w:rPr>
          <w:noProof w:val="0"/>
          <w:u w:val="single"/>
        </w:rPr>
        <w:t>nedelsiant</w:t>
      </w:r>
      <w:r w:rsidRPr="00913636">
        <w:rPr>
          <w:noProof w:val="0"/>
        </w:rPr>
        <w:t xml:space="preserve"> kreipkitės pagalbos į gydytoją.</w:t>
      </w:r>
    </w:p>
    <w:p w:rsidR="00710705" w:rsidRPr="00913636" w:rsidRDefault="00710705" w:rsidP="00710705">
      <w:pPr>
        <w:pStyle w:val="BTEMEASMCA"/>
        <w:rPr>
          <w:noProof w:val="0"/>
        </w:rPr>
      </w:pPr>
    </w:p>
    <w:p w:rsidR="00710705" w:rsidRPr="00913636" w:rsidRDefault="00710705" w:rsidP="00710705">
      <w:pPr>
        <w:pStyle w:val="BTEMEASMCA"/>
        <w:rPr>
          <w:noProof w:val="0"/>
        </w:rPr>
      </w:pPr>
      <w:r w:rsidRPr="00913636">
        <w:rPr>
          <w:noProof w:val="0"/>
        </w:rPr>
        <w:t xml:space="preserve">Kol atvyks gydytojas, pacientą reikia paguldyti ir pakelti kojas. </w:t>
      </w:r>
      <w:proofErr w:type="spellStart"/>
      <w:r w:rsidRPr="00913636">
        <w:rPr>
          <w:noProof w:val="0"/>
        </w:rPr>
        <w:t>Šaltkrėčio</w:t>
      </w:r>
      <w:proofErr w:type="spellEnd"/>
      <w:r w:rsidRPr="00913636">
        <w:rPr>
          <w:noProof w:val="0"/>
        </w:rPr>
        <w:t xml:space="preserve"> profilaktikai reikia pacientą apkloti šilta antklode.</w:t>
      </w:r>
    </w:p>
    <w:p w:rsidR="00710705" w:rsidRPr="00E70E9A" w:rsidRDefault="00710705" w:rsidP="00710705">
      <w:pPr>
        <w:pStyle w:val="BTEMEASMCA"/>
      </w:pPr>
    </w:p>
    <w:p w:rsidR="00710705" w:rsidRPr="00834CD5" w:rsidRDefault="00710705" w:rsidP="00710705">
      <w:pPr>
        <w:numPr>
          <w:ilvl w:val="12"/>
          <w:numId w:val="0"/>
        </w:numPr>
        <w:spacing w:line="240" w:lineRule="auto"/>
        <w:outlineLvl w:val="0"/>
        <w:rPr>
          <w:b/>
        </w:rPr>
      </w:pPr>
      <w:r w:rsidRPr="00834CD5">
        <w:rPr>
          <w:b/>
        </w:rPr>
        <w:t>Pranešimas apie šalutinį poveikį</w:t>
      </w:r>
    </w:p>
    <w:p w:rsidR="00710705" w:rsidRPr="00913636" w:rsidRDefault="00710705" w:rsidP="00710705">
      <w:pPr>
        <w:pStyle w:val="BTEMEASMCA"/>
        <w:rPr>
          <w:noProof w:val="0"/>
        </w:rPr>
      </w:pPr>
      <w:r w:rsidRPr="00834615">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D53EF">
          <w:rPr>
            <w:rStyle w:val="Hipersaitas"/>
          </w:rPr>
          <w:t>https://vvkt.lrv.lt/lt/</w:t>
        </w:r>
      </w:hyperlink>
      <w:r>
        <w:t xml:space="preserve"> n</w:t>
      </w:r>
      <w:r w:rsidRPr="00834615">
        <w:t>urodytais būdais arba paskambinti nemokamu telefonu 8 800 73 568. Pranešdami apie šalutinį poveikį galite mums padėti gauti daugiau informacijos apie šio vaisto saugumą.</w:t>
      </w:r>
    </w:p>
    <w:p w:rsidR="00710705" w:rsidRPr="00913636" w:rsidRDefault="00710705" w:rsidP="00710705">
      <w:pPr>
        <w:numPr>
          <w:ilvl w:val="12"/>
          <w:numId w:val="0"/>
        </w:numPr>
        <w:tabs>
          <w:tab w:val="clear" w:pos="567"/>
        </w:tabs>
        <w:spacing w:line="240" w:lineRule="auto"/>
        <w:ind w:right="-2"/>
      </w:pPr>
    </w:p>
    <w:p w:rsidR="00710705" w:rsidRPr="00834CD5" w:rsidRDefault="00710705" w:rsidP="00710705">
      <w:pPr>
        <w:numPr>
          <w:ilvl w:val="12"/>
          <w:numId w:val="0"/>
        </w:numPr>
        <w:tabs>
          <w:tab w:val="clear" w:pos="567"/>
        </w:tabs>
        <w:spacing w:line="240" w:lineRule="auto"/>
        <w:ind w:right="-2"/>
      </w:pPr>
    </w:p>
    <w:p w:rsidR="00710705" w:rsidRPr="00834CD5" w:rsidRDefault="00710705" w:rsidP="00710705">
      <w:pPr>
        <w:ind w:left="540" w:hanging="540"/>
        <w:rPr>
          <w:b/>
        </w:rPr>
      </w:pPr>
      <w:r w:rsidRPr="00834CD5">
        <w:rPr>
          <w:b/>
        </w:rPr>
        <w:t>5.</w:t>
      </w:r>
      <w:r w:rsidRPr="00834CD5">
        <w:rPr>
          <w:b/>
        </w:rPr>
        <w:tab/>
        <w:t>Kaip laikyti</w:t>
      </w:r>
      <w:r w:rsidRPr="00834CD5">
        <w:t xml:space="preserve"> </w:t>
      </w:r>
      <w:proofErr w:type="spellStart"/>
      <w:r w:rsidRPr="00834CD5">
        <w:rPr>
          <w:b/>
        </w:rPr>
        <w:t>Analgin</w:t>
      </w:r>
      <w:proofErr w:type="spellEnd"/>
      <w:r w:rsidRPr="00834CD5">
        <w:rPr>
          <w:b/>
        </w:rPr>
        <w:t xml:space="preserve"> </w:t>
      </w:r>
      <w:proofErr w:type="spellStart"/>
      <w:r w:rsidRPr="00834CD5">
        <w:rPr>
          <w:b/>
        </w:rPr>
        <w:t>Sopharma</w:t>
      </w:r>
      <w:proofErr w:type="spellEnd"/>
      <w:r w:rsidRPr="00834CD5">
        <w:t xml:space="preserve"> </w:t>
      </w:r>
    </w:p>
    <w:p w:rsidR="00710705" w:rsidRPr="00834CD5" w:rsidRDefault="00710705" w:rsidP="00710705">
      <w:pPr>
        <w:numPr>
          <w:ilvl w:val="12"/>
          <w:numId w:val="0"/>
        </w:numPr>
        <w:tabs>
          <w:tab w:val="clear" w:pos="567"/>
        </w:tabs>
        <w:spacing w:line="240" w:lineRule="auto"/>
        <w:ind w:right="-2"/>
      </w:pPr>
    </w:p>
    <w:p w:rsidR="00710705" w:rsidRPr="00834CD5" w:rsidRDefault="00710705" w:rsidP="00710705">
      <w:pPr>
        <w:numPr>
          <w:ilvl w:val="12"/>
          <w:numId w:val="0"/>
        </w:numPr>
        <w:tabs>
          <w:tab w:val="clear" w:pos="567"/>
        </w:tabs>
        <w:spacing w:line="240" w:lineRule="auto"/>
        <w:ind w:right="-2"/>
      </w:pPr>
      <w:r w:rsidRPr="00834CD5">
        <w:t>Šį vaistą laikykite vaikams nepastebimoje ir nepasiekiamoje vietoje.</w:t>
      </w:r>
    </w:p>
    <w:p w:rsidR="00710705" w:rsidRPr="00834CD5" w:rsidRDefault="00710705" w:rsidP="00710705">
      <w:pPr>
        <w:numPr>
          <w:ilvl w:val="12"/>
          <w:numId w:val="0"/>
        </w:numPr>
        <w:tabs>
          <w:tab w:val="clear" w:pos="567"/>
        </w:tabs>
        <w:spacing w:line="240" w:lineRule="auto"/>
        <w:ind w:right="-2"/>
      </w:pPr>
    </w:p>
    <w:p w:rsidR="00710705" w:rsidRPr="00913636" w:rsidRDefault="00710705" w:rsidP="00710705">
      <w:pPr>
        <w:pStyle w:val="BTEMEASMCA"/>
        <w:rPr>
          <w:noProof w:val="0"/>
        </w:rPr>
      </w:pPr>
      <w:r w:rsidRPr="00913636">
        <w:rPr>
          <w:noProof w:val="0"/>
        </w:rPr>
        <w:t>Laikyti ne aukštesnėje kaip 25</w:t>
      </w:r>
      <w:r w:rsidRPr="00913636">
        <w:rPr>
          <w:noProof w:val="0"/>
        </w:rPr>
        <w:sym w:font="Symbol" w:char="F0B0"/>
      </w:r>
      <w:r w:rsidRPr="00913636">
        <w:rPr>
          <w:noProof w:val="0"/>
        </w:rPr>
        <w:t> C temperatūroje. Laikyti gamintojo pakuotėje, kad vaistas būtų apsaugotas nuo šviesos ir drėgmės.</w:t>
      </w:r>
    </w:p>
    <w:p w:rsidR="00710705" w:rsidRPr="00834CD5" w:rsidRDefault="00710705" w:rsidP="00710705"/>
    <w:p w:rsidR="00710705" w:rsidRPr="00913636" w:rsidRDefault="00710705" w:rsidP="00710705">
      <w:pPr>
        <w:pStyle w:val="BTEMEASMCADiagramaDiagramaDiagrama"/>
      </w:pPr>
      <w:r w:rsidRPr="00913636">
        <w:t>Ant dėžutės po „EXP“ ir lizdinės plokštelės nurodytam tinkamumo laikui pasibaigus, šio vaisto vartoti negalima. Vaistas tinkamas vartoti iki paskutinės nurodyto mėnesio dienos.</w:t>
      </w:r>
    </w:p>
    <w:p w:rsidR="00710705" w:rsidRPr="00913636" w:rsidRDefault="00710705" w:rsidP="00710705">
      <w:pPr>
        <w:pStyle w:val="BTEMEASMCADiagramaDiagramaDiagrama"/>
      </w:pPr>
    </w:p>
    <w:p w:rsidR="00710705" w:rsidRPr="00834CD5" w:rsidRDefault="00710705" w:rsidP="00710705">
      <w:r w:rsidRPr="00834CD5">
        <w:t>Vaistų negalima išmesti į kanalizaciją arba su buitinėmis atliekomis. Kaip išmesti nereikalingus vaistus, klauskite vaistininko. Šios priemonės padės apsaugoti aplinką.</w:t>
      </w:r>
    </w:p>
    <w:p w:rsidR="00710705" w:rsidRPr="00834CD5" w:rsidRDefault="00710705" w:rsidP="00710705">
      <w:pPr>
        <w:numPr>
          <w:ilvl w:val="12"/>
          <w:numId w:val="0"/>
        </w:numPr>
        <w:tabs>
          <w:tab w:val="clear" w:pos="567"/>
        </w:tabs>
        <w:spacing w:line="240" w:lineRule="auto"/>
        <w:ind w:right="-2"/>
      </w:pPr>
    </w:p>
    <w:p w:rsidR="00710705" w:rsidRPr="00834CD5" w:rsidRDefault="00710705" w:rsidP="00710705">
      <w:pPr>
        <w:numPr>
          <w:ilvl w:val="12"/>
          <w:numId w:val="0"/>
        </w:numPr>
        <w:tabs>
          <w:tab w:val="clear" w:pos="567"/>
        </w:tabs>
        <w:spacing w:line="240" w:lineRule="auto"/>
        <w:ind w:right="-2"/>
      </w:pPr>
    </w:p>
    <w:p w:rsidR="00710705" w:rsidRPr="00834CD5" w:rsidRDefault="00710705" w:rsidP="00710705">
      <w:pPr>
        <w:pStyle w:val="Antrat3"/>
        <w:spacing w:before="0" w:after="0" w:line="240" w:lineRule="auto"/>
        <w:rPr>
          <w:rFonts w:ascii="Times New Roman" w:hAnsi="Times New Roman"/>
          <w:sz w:val="22"/>
        </w:rPr>
      </w:pPr>
      <w:r w:rsidRPr="00834CD5">
        <w:rPr>
          <w:rFonts w:ascii="Times New Roman" w:hAnsi="Times New Roman"/>
          <w:sz w:val="22"/>
        </w:rPr>
        <w:t>6.</w:t>
      </w:r>
      <w:r w:rsidRPr="00834CD5">
        <w:rPr>
          <w:rFonts w:ascii="Times New Roman" w:hAnsi="Times New Roman"/>
          <w:sz w:val="22"/>
        </w:rPr>
        <w:tab/>
        <w:t>Pakuotės turinys ir kita informacija</w:t>
      </w:r>
    </w:p>
    <w:p w:rsidR="00710705" w:rsidRPr="00834CD5" w:rsidRDefault="00710705" w:rsidP="00710705">
      <w:pPr>
        <w:numPr>
          <w:ilvl w:val="12"/>
          <w:numId w:val="0"/>
        </w:numPr>
        <w:tabs>
          <w:tab w:val="clear" w:pos="567"/>
        </w:tabs>
        <w:spacing w:line="240" w:lineRule="auto"/>
      </w:pPr>
    </w:p>
    <w:p w:rsidR="00710705" w:rsidRPr="00834CD5" w:rsidRDefault="00710705" w:rsidP="00710705">
      <w:pPr>
        <w:pStyle w:val="Antrat4"/>
      </w:pPr>
      <w:r w:rsidRPr="00834CD5">
        <w:t xml:space="preserve">Analgin Sopharma sudėtis </w:t>
      </w:r>
    </w:p>
    <w:p w:rsidR="00710705" w:rsidRPr="00834CD5" w:rsidRDefault="00710705" w:rsidP="00710705">
      <w:pPr>
        <w:pStyle w:val="Pagrindinistekstas"/>
        <w:numPr>
          <w:ilvl w:val="0"/>
          <w:numId w:val="4"/>
        </w:numPr>
        <w:ind w:left="567" w:hanging="567"/>
        <w:rPr>
          <w:i w:val="0"/>
          <w:color w:val="auto"/>
        </w:rPr>
      </w:pPr>
      <w:r w:rsidRPr="00834CD5">
        <w:rPr>
          <w:i w:val="0"/>
          <w:color w:val="auto"/>
        </w:rPr>
        <w:t xml:space="preserve">Veiklioji medžiaga yra </w:t>
      </w:r>
      <w:proofErr w:type="spellStart"/>
      <w:r w:rsidRPr="00834CD5">
        <w:rPr>
          <w:i w:val="0"/>
          <w:color w:val="auto"/>
        </w:rPr>
        <w:t>metamizolo</w:t>
      </w:r>
      <w:proofErr w:type="spellEnd"/>
      <w:r w:rsidRPr="00834CD5">
        <w:rPr>
          <w:i w:val="0"/>
          <w:color w:val="auto"/>
        </w:rPr>
        <w:t xml:space="preserve"> natrio druska. Vienoje tabletėje yra 500 mg </w:t>
      </w:r>
      <w:proofErr w:type="spellStart"/>
      <w:r w:rsidRPr="00834CD5">
        <w:rPr>
          <w:i w:val="0"/>
          <w:color w:val="auto"/>
        </w:rPr>
        <w:t>metamizolo</w:t>
      </w:r>
      <w:proofErr w:type="spellEnd"/>
      <w:r w:rsidRPr="00834CD5">
        <w:rPr>
          <w:i w:val="0"/>
          <w:color w:val="auto"/>
        </w:rPr>
        <w:t xml:space="preserve"> natrio druskos.</w:t>
      </w:r>
    </w:p>
    <w:p w:rsidR="00710705" w:rsidRPr="00834CD5" w:rsidRDefault="00710705" w:rsidP="00710705">
      <w:pPr>
        <w:pStyle w:val="Pagrindinistekstas"/>
        <w:numPr>
          <w:ilvl w:val="0"/>
          <w:numId w:val="4"/>
        </w:numPr>
        <w:ind w:left="567" w:hanging="567"/>
        <w:rPr>
          <w:i w:val="0"/>
          <w:color w:val="auto"/>
        </w:rPr>
      </w:pPr>
      <w:r w:rsidRPr="00834CD5">
        <w:rPr>
          <w:i w:val="0"/>
          <w:color w:val="auto"/>
        </w:rPr>
        <w:t xml:space="preserve">Pagalbinės medžiagos yra: </w:t>
      </w:r>
      <w:proofErr w:type="spellStart"/>
      <w:r w:rsidRPr="00834CD5">
        <w:rPr>
          <w:i w:val="0"/>
          <w:color w:val="auto"/>
        </w:rPr>
        <w:t>mikrokristalinė</w:t>
      </w:r>
      <w:proofErr w:type="spellEnd"/>
      <w:r w:rsidRPr="00834CD5">
        <w:rPr>
          <w:i w:val="0"/>
          <w:color w:val="auto"/>
        </w:rPr>
        <w:t xml:space="preserve"> celiuliozė, kviečių krakmolas, magnio </w:t>
      </w:r>
      <w:proofErr w:type="spellStart"/>
      <w:r w:rsidRPr="00834CD5">
        <w:rPr>
          <w:i w:val="0"/>
          <w:color w:val="auto"/>
        </w:rPr>
        <w:t>stearatas</w:t>
      </w:r>
      <w:proofErr w:type="spellEnd"/>
      <w:r w:rsidRPr="00834CD5">
        <w:rPr>
          <w:i w:val="0"/>
          <w:color w:val="auto"/>
        </w:rPr>
        <w:t xml:space="preserve">, talkas, </w:t>
      </w:r>
      <w:proofErr w:type="spellStart"/>
      <w:r w:rsidRPr="00834CD5">
        <w:rPr>
          <w:i w:val="0"/>
          <w:color w:val="auto"/>
        </w:rPr>
        <w:t>povidonas</w:t>
      </w:r>
      <w:proofErr w:type="spellEnd"/>
      <w:r w:rsidRPr="00834CD5">
        <w:rPr>
          <w:i w:val="0"/>
          <w:color w:val="auto"/>
        </w:rPr>
        <w:t xml:space="preserve"> K25.</w:t>
      </w:r>
    </w:p>
    <w:p w:rsidR="00710705" w:rsidRPr="00913636" w:rsidRDefault="00710705" w:rsidP="00710705">
      <w:pPr>
        <w:pStyle w:val="BTEMEASMCA"/>
        <w:rPr>
          <w:noProof w:val="0"/>
        </w:rPr>
      </w:pPr>
    </w:p>
    <w:p w:rsidR="00710705" w:rsidRPr="00913636" w:rsidRDefault="00710705" w:rsidP="00710705">
      <w:pPr>
        <w:pStyle w:val="PI-3EMEASMCA"/>
      </w:pPr>
      <w:proofErr w:type="spellStart"/>
      <w:r w:rsidRPr="00913636">
        <w:t>Analgin</w:t>
      </w:r>
      <w:proofErr w:type="spellEnd"/>
      <w:r w:rsidRPr="00913636">
        <w:t xml:space="preserve"> </w:t>
      </w:r>
      <w:proofErr w:type="spellStart"/>
      <w:r w:rsidRPr="00913636">
        <w:t>Sopharma</w:t>
      </w:r>
      <w:proofErr w:type="spellEnd"/>
      <w:r w:rsidRPr="00913636">
        <w:t xml:space="preserve"> išvaizda ir kiekis pakuotėje</w:t>
      </w:r>
    </w:p>
    <w:p w:rsidR="00710705" w:rsidRPr="00913636" w:rsidRDefault="00710705" w:rsidP="00710705">
      <w:pPr>
        <w:pStyle w:val="BTEMEASMCA"/>
        <w:rPr>
          <w:noProof w:val="0"/>
        </w:rPr>
      </w:pPr>
      <w:r w:rsidRPr="00913636">
        <w:rPr>
          <w:noProof w:val="0"/>
        </w:rPr>
        <w:t xml:space="preserve">Baltos arba </w:t>
      </w:r>
      <w:r w:rsidRPr="00913636">
        <w:rPr>
          <w:rStyle w:val="hps"/>
          <w:noProof w:val="0"/>
        </w:rPr>
        <w:t>beveik baltos spalvos</w:t>
      </w:r>
      <w:r w:rsidRPr="00913636">
        <w:rPr>
          <w:noProof w:val="0"/>
        </w:rPr>
        <w:t xml:space="preserve">, apvalios, </w:t>
      </w:r>
      <w:r w:rsidRPr="00913636">
        <w:rPr>
          <w:rStyle w:val="hps"/>
          <w:noProof w:val="0"/>
        </w:rPr>
        <w:t>plokščios</w:t>
      </w:r>
      <w:r w:rsidRPr="00913636">
        <w:rPr>
          <w:noProof w:val="0"/>
        </w:rPr>
        <w:t xml:space="preserve"> </w:t>
      </w:r>
      <w:r w:rsidRPr="00913636">
        <w:rPr>
          <w:rStyle w:val="hps"/>
          <w:noProof w:val="0"/>
        </w:rPr>
        <w:t>tabletės</w:t>
      </w:r>
      <w:r w:rsidRPr="00913636">
        <w:rPr>
          <w:noProof w:val="0"/>
        </w:rPr>
        <w:t xml:space="preserve"> </w:t>
      </w:r>
      <w:r w:rsidRPr="00913636">
        <w:rPr>
          <w:rStyle w:val="hps"/>
          <w:noProof w:val="0"/>
        </w:rPr>
        <w:t>su</w:t>
      </w:r>
      <w:r w:rsidRPr="00913636">
        <w:rPr>
          <w:noProof w:val="0"/>
        </w:rPr>
        <w:t xml:space="preserve"> </w:t>
      </w:r>
      <w:r w:rsidRPr="00913636">
        <w:rPr>
          <w:rStyle w:val="hps"/>
          <w:noProof w:val="0"/>
        </w:rPr>
        <w:t>vagele</w:t>
      </w:r>
      <w:r w:rsidRPr="00913636">
        <w:rPr>
          <w:noProof w:val="0"/>
        </w:rPr>
        <w:t xml:space="preserve"> </w:t>
      </w:r>
      <w:r w:rsidRPr="00913636">
        <w:rPr>
          <w:rStyle w:val="hps"/>
          <w:noProof w:val="0"/>
        </w:rPr>
        <w:t>vienoje pusėje</w:t>
      </w:r>
      <w:r w:rsidRPr="00913636">
        <w:rPr>
          <w:noProof w:val="0"/>
        </w:rPr>
        <w:t xml:space="preserve">, </w:t>
      </w:r>
      <w:r w:rsidRPr="00913636">
        <w:rPr>
          <w:rStyle w:val="hps"/>
          <w:noProof w:val="0"/>
        </w:rPr>
        <w:t>13</w:t>
      </w:r>
      <w:r w:rsidRPr="00913636">
        <w:rPr>
          <w:noProof w:val="0"/>
        </w:rPr>
        <w:t xml:space="preserve"> </w:t>
      </w:r>
      <w:r w:rsidRPr="00913636">
        <w:rPr>
          <w:rStyle w:val="hps"/>
          <w:noProof w:val="0"/>
        </w:rPr>
        <w:t>mm skersmens</w:t>
      </w:r>
      <w:r w:rsidRPr="00913636">
        <w:rPr>
          <w:noProof w:val="0"/>
        </w:rPr>
        <w:t>.</w:t>
      </w:r>
      <w:r w:rsidRPr="00913636">
        <w:rPr>
          <w:noProof w:val="0"/>
        </w:rPr>
        <w:br/>
        <w:t>Vagelė skirta tik tabletei perlaužti, kad būtų lengviau nuryti, bet ne jai padalyti į lygias dozes.</w:t>
      </w:r>
    </w:p>
    <w:p w:rsidR="00710705" w:rsidRPr="00834CD5" w:rsidRDefault="00710705" w:rsidP="00710705">
      <w:pPr>
        <w:pStyle w:val="Pagrindinistekstas"/>
      </w:pPr>
    </w:p>
    <w:p w:rsidR="00710705" w:rsidRPr="00834CD5" w:rsidRDefault="00710705" w:rsidP="00710705">
      <w:pPr>
        <w:pStyle w:val="Pagrindinistekstas"/>
        <w:rPr>
          <w:i w:val="0"/>
          <w:color w:val="auto"/>
        </w:rPr>
      </w:pPr>
      <w:r w:rsidRPr="00834CD5">
        <w:rPr>
          <w:i w:val="0"/>
          <w:color w:val="auto"/>
        </w:rPr>
        <w:t>Pakuotėje yra 20 arba 500 tablečių (2 arba 50 lizdinių plokštelių po 10 tablečių kiekvienoje plokštelėje).</w:t>
      </w:r>
    </w:p>
    <w:p w:rsidR="00710705" w:rsidRPr="00834CD5" w:rsidRDefault="00710705" w:rsidP="00710705"/>
    <w:p w:rsidR="00710705" w:rsidRPr="00913636" w:rsidRDefault="00710705" w:rsidP="00710705">
      <w:pPr>
        <w:pStyle w:val="BTEMEASMCA"/>
        <w:rPr>
          <w:noProof w:val="0"/>
          <w:snapToGrid w:val="0"/>
        </w:rPr>
      </w:pPr>
      <w:r w:rsidRPr="00913636">
        <w:rPr>
          <w:noProof w:val="0"/>
          <w:snapToGrid w:val="0"/>
        </w:rPr>
        <w:t>Gali būti tiekiamos ne visų dydžių pakuotės.</w:t>
      </w:r>
    </w:p>
    <w:p w:rsidR="00710705" w:rsidRPr="00913636" w:rsidRDefault="00710705" w:rsidP="00710705">
      <w:pPr>
        <w:pStyle w:val="BTEMEASMCA"/>
        <w:rPr>
          <w:noProof w:val="0"/>
        </w:rPr>
      </w:pPr>
    </w:p>
    <w:p w:rsidR="00710705" w:rsidRPr="00913636" w:rsidRDefault="00710705" w:rsidP="00710705">
      <w:pPr>
        <w:pStyle w:val="PI-3EMEASMCA"/>
      </w:pPr>
      <w:r w:rsidRPr="00913636">
        <w:t>Registruotojas ir gamintojas</w:t>
      </w:r>
    </w:p>
    <w:p w:rsidR="00710705" w:rsidRPr="00913636" w:rsidRDefault="00710705" w:rsidP="00710705">
      <w:pPr>
        <w:pStyle w:val="BTEMEASMCA"/>
        <w:rPr>
          <w:noProof w:val="0"/>
        </w:rPr>
      </w:pPr>
    </w:p>
    <w:p w:rsidR="00710705" w:rsidRPr="00834CD5" w:rsidRDefault="00710705" w:rsidP="00710705">
      <w:r w:rsidRPr="00834CD5">
        <w:t>SOPHARMA AD</w:t>
      </w:r>
      <w:r w:rsidRPr="00834CD5" w:rsidDel="00572D15">
        <w:t xml:space="preserve"> </w:t>
      </w:r>
    </w:p>
    <w:p w:rsidR="00710705" w:rsidRPr="00834CD5" w:rsidRDefault="00710705" w:rsidP="00710705">
      <w:r w:rsidRPr="00834CD5">
        <w:t xml:space="preserve">16 </w:t>
      </w:r>
      <w:proofErr w:type="spellStart"/>
      <w:r w:rsidRPr="00834CD5">
        <w:t>Iliensko</w:t>
      </w:r>
      <w:proofErr w:type="spellEnd"/>
      <w:r w:rsidRPr="00834CD5">
        <w:t xml:space="preserve"> </w:t>
      </w:r>
      <w:proofErr w:type="spellStart"/>
      <w:r w:rsidRPr="00834CD5">
        <w:t>Shosse</w:t>
      </w:r>
      <w:proofErr w:type="spellEnd"/>
      <w:r w:rsidRPr="00834CD5">
        <w:t xml:space="preserve"> Str.</w:t>
      </w:r>
    </w:p>
    <w:p w:rsidR="00710705" w:rsidRPr="00834CD5" w:rsidRDefault="00710705" w:rsidP="00710705">
      <w:proofErr w:type="spellStart"/>
      <w:r w:rsidRPr="00834CD5">
        <w:t>Sofia</w:t>
      </w:r>
      <w:proofErr w:type="spellEnd"/>
      <w:r w:rsidRPr="00834CD5">
        <w:t xml:space="preserve"> 1220,</w:t>
      </w:r>
    </w:p>
    <w:p w:rsidR="00710705" w:rsidRPr="00834CD5" w:rsidRDefault="00710705" w:rsidP="00710705">
      <w:r w:rsidRPr="00834CD5">
        <w:t>Bulgarija</w:t>
      </w:r>
    </w:p>
    <w:p w:rsidR="00710705" w:rsidRPr="00834CD5" w:rsidRDefault="00710705" w:rsidP="00710705">
      <w:pPr>
        <w:numPr>
          <w:ilvl w:val="12"/>
          <w:numId w:val="0"/>
        </w:numPr>
        <w:ind w:right="-2"/>
      </w:pPr>
    </w:p>
    <w:p w:rsidR="00710705" w:rsidRPr="00834CD5" w:rsidRDefault="00710705" w:rsidP="00710705">
      <w:pPr>
        <w:numPr>
          <w:ilvl w:val="12"/>
          <w:numId w:val="0"/>
        </w:numPr>
        <w:ind w:right="-2"/>
        <w:outlineLvl w:val="0"/>
      </w:pPr>
      <w:r w:rsidRPr="00834CD5">
        <w:rPr>
          <w:b/>
        </w:rPr>
        <w:t>Šis pakuotės lapelis paskutinį kartą peržiūrėtas</w:t>
      </w:r>
      <w:r>
        <w:rPr>
          <w:b/>
        </w:rPr>
        <w:t xml:space="preserve"> 2025-04-14.</w:t>
      </w:r>
    </w:p>
    <w:p w:rsidR="00710705" w:rsidRPr="00834CD5" w:rsidRDefault="00710705" w:rsidP="00710705">
      <w:pPr>
        <w:numPr>
          <w:ilvl w:val="12"/>
          <w:numId w:val="0"/>
        </w:numPr>
        <w:ind w:right="-2"/>
      </w:pPr>
    </w:p>
    <w:p w:rsidR="00710705" w:rsidRPr="00834CD5" w:rsidRDefault="00710705" w:rsidP="00710705">
      <w:pPr>
        <w:numPr>
          <w:ilvl w:val="12"/>
          <w:numId w:val="0"/>
        </w:numPr>
        <w:ind w:right="-2"/>
      </w:pPr>
    </w:p>
    <w:p w:rsidR="00710705" w:rsidRPr="00834CD5" w:rsidRDefault="00710705" w:rsidP="00710705">
      <w:pPr>
        <w:keepNext/>
        <w:numPr>
          <w:ilvl w:val="12"/>
          <w:numId w:val="0"/>
        </w:numPr>
        <w:tabs>
          <w:tab w:val="clear" w:pos="567"/>
        </w:tabs>
        <w:spacing w:line="240" w:lineRule="auto"/>
        <w:ind w:right="-2"/>
        <w:outlineLvl w:val="0"/>
      </w:pPr>
      <w:r w:rsidRPr="00834CD5">
        <w:t xml:space="preserve">Išsami informacija apie šį vaistą pateikiama Valstybinės vaistų kontrolės tarnybos prie Lietuvos Respublikos sveikatos apsaugos ministerijos tinklapyje </w:t>
      </w:r>
      <w:hyperlink r:id="rId6" w:history="1">
        <w:r w:rsidRPr="00ED53EF">
          <w:rPr>
            <w:rStyle w:val="Hipersaitas"/>
          </w:rPr>
          <w:t>https://vvkt.lrv.lt/lt/</w:t>
        </w:r>
      </w:hyperlink>
      <w:r>
        <w:t>.</w:t>
      </w:r>
    </w:p>
    <w:p w:rsidR="00710705" w:rsidRPr="00834CD5" w:rsidRDefault="00710705" w:rsidP="00710705">
      <w:pPr>
        <w:numPr>
          <w:ilvl w:val="12"/>
          <w:numId w:val="0"/>
        </w:numPr>
        <w:ind w:right="-2"/>
      </w:pPr>
    </w:p>
    <w:p w:rsidR="00710705" w:rsidRPr="00834CD5" w:rsidRDefault="00710705" w:rsidP="00710705">
      <w:pPr>
        <w:ind w:left="567" w:hanging="567"/>
      </w:pPr>
    </w:p>
    <w:p w:rsidR="00710705" w:rsidRPr="00834CD5" w:rsidRDefault="00710705" w:rsidP="00710705"/>
    <w:p w:rsidR="00710705" w:rsidRPr="00834CD5" w:rsidRDefault="00710705" w:rsidP="00710705"/>
    <w:p w:rsidR="00710705" w:rsidRPr="00834CD5" w:rsidRDefault="00710705" w:rsidP="00710705"/>
    <w:p w:rsidR="00710705" w:rsidRPr="00834CD5" w:rsidRDefault="00710705" w:rsidP="00710705"/>
    <w:p w:rsidR="00710705" w:rsidRPr="00834CD5" w:rsidRDefault="00710705" w:rsidP="00710705"/>
    <w:p w:rsidR="00710705" w:rsidRPr="00834CD5" w:rsidRDefault="00710705" w:rsidP="00710705"/>
    <w:p w:rsidR="00BA6577" w:rsidRDefault="00BA6577">
      <w:bookmarkStart w:id="0" w:name="_GoBack"/>
      <w:bookmarkEnd w:id="0"/>
    </w:p>
    <w:sectPr w:rsidR="00BA6577" w:rsidSect="00031C87">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01C" w:rsidRPr="00726815" w:rsidRDefault="00710705">
    <w:pPr>
      <w:pStyle w:val="Porat"/>
      <w:tabs>
        <w:tab w:val="right" w:pos="8931"/>
      </w:tabs>
      <w:ind w:right="96"/>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01C" w:rsidRPr="00D4205D" w:rsidRDefault="00710705">
    <w:pPr>
      <w:pStyle w:val="Porat"/>
      <w:tabs>
        <w:tab w:val="right" w:pos="8931"/>
      </w:tabs>
      <w:ind w:right="96"/>
      <w:jc w:val="center"/>
      <w:rPr>
        <w:rFonts w:ascii="Times New Roman" w:hAnsi="Times New Roman"/>
        <w:sz w:val="20"/>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FE52CF"/>
    <w:multiLevelType w:val="hybridMultilevel"/>
    <w:tmpl w:val="C00635EE"/>
    <w:lvl w:ilvl="0" w:tplc="9E664B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E207F"/>
    <w:multiLevelType w:val="hybridMultilevel"/>
    <w:tmpl w:val="2B5CCAEA"/>
    <w:lvl w:ilvl="0" w:tplc="F034B8F6">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56943932"/>
    <w:multiLevelType w:val="hybridMultilevel"/>
    <w:tmpl w:val="F2067B54"/>
    <w:lvl w:ilvl="0" w:tplc="CD98E3BE">
      <w:start w:val="1"/>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F7392"/>
    <w:multiLevelType w:val="hybridMultilevel"/>
    <w:tmpl w:val="D8A48350"/>
    <w:lvl w:ilvl="0" w:tplc="FD6A52E2">
      <w:start w:val="1"/>
      <w:numFmt w:val="bullet"/>
      <w:lvlText w:val="-"/>
      <w:lvlJc w:val="righ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F2281"/>
    <w:multiLevelType w:val="hybridMultilevel"/>
    <w:tmpl w:val="38A4774A"/>
    <w:lvl w:ilvl="0" w:tplc="EA5C66A4">
      <w:start w:val="1"/>
      <w:numFmt w:val="bullet"/>
      <w:pStyle w:val="BT-EMEASMCA"/>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05"/>
    <w:rsid w:val="00072F85"/>
    <w:rsid w:val="000A5E72"/>
    <w:rsid w:val="000A7B60"/>
    <w:rsid w:val="00181364"/>
    <w:rsid w:val="002945D9"/>
    <w:rsid w:val="00305C48"/>
    <w:rsid w:val="003362C6"/>
    <w:rsid w:val="00497D4D"/>
    <w:rsid w:val="00677BFD"/>
    <w:rsid w:val="00710705"/>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60C98-B88A-4492-801E-1E1394EC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0705"/>
    <w:pPr>
      <w:tabs>
        <w:tab w:val="left" w:pos="567"/>
      </w:tabs>
      <w:spacing w:after="0" w:line="260" w:lineRule="exact"/>
    </w:pPr>
    <w:rPr>
      <w:rFonts w:ascii="Times New Roman" w:eastAsia="SimSun" w:hAnsi="Times New Roman" w:cs="Times New Roman"/>
      <w:lang w:eastAsia="zh-CN"/>
    </w:rPr>
  </w:style>
  <w:style w:type="paragraph" w:styleId="Antrat2">
    <w:name w:val="heading 2"/>
    <w:basedOn w:val="prastasis"/>
    <w:next w:val="prastasis"/>
    <w:link w:val="Antrat2Diagrama"/>
    <w:qFormat/>
    <w:rsid w:val="00710705"/>
    <w:pPr>
      <w:keepNext/>
      <w:spacing w:before="240" w:after="60"/>
      <w:outlineLvl w:val="1"/>
    </w:pPr>
    <w:rPr>
      <w:rFonts w:ascii="Helvetica" w:hAnsi="Helvetica"/>
      <w:b/>
      <w:bCs/>
      <w:i/>
      <w:iCs/>
      <w:sz w:val="24"/>
      <w:szCs w:val="24"/>
      <w:lang w:eastAsia="en-US"/>
    </w:rPr>
  </w:style>
  <w:style w:type="paragraph" w:styleId="Antrat3">
    <w:name w:val="heading 3"/>
    <w:basedOn w:val="prastasis"/>
    <w:next w:val="prastasis"/>
    <w:link w:val="Antrat3Diagrama"/>
    <w:qFormat/>
    <w:rsid w:val="0071070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qFormat/>
    <w:rsid w:val="00710705"/>
    <w:pPr>
      <w:keepNext/>
      <w:jc w:val="both"/>
      <w:outlineLvl w:val="3"/>
    </w:pPr>
    <w:rPr>
      <w:rFonts w:eastAsia="Times New Roman"/>
      <w:b/>
      <w:bCs/>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rsid w:val="00710705"/>
    <w:rPr>
      <w:rFonts w:ascii="Helvetica" w:eastAsia="SimSun" w:hAnsi="Helvetica" w:cs="Times New Roman"/>
      <w:b/>
      <w:bCs/>
      <w:i/>
      <w:iCs/>
      <w:sz w:val="24"/>
      <w:szCs w:val="24"/>
    </w:rPr>
  </w:style>
  <w:style w:type="character" w:customStyle="1" w:styleId="Antrat3Diagrama">
    <w:name w:val="Antraštė 3 Diagrama"/>
    <w:basedOn w:val="Numatytasispastraiposriftas"/>
    <w:link w:val="Antrat3"/>
    <w:rsid w:val="00710705"/>
    <w:rPr>
      <w:rFonts w:ascii="Cambria" w:eastAsia="SimSun" w:hAnsi="Cambria" w:cs="Times New Roman"/>
      <w:b/>
      <w:bCs/>
      <w:sz w:val="26"/>
      <w:szCs w:val="26"/>
      <w:lang w:eastAsia="zh-CN"/>
    </w:rPr>
  </w:style>
  <w:style w:type="character" w:customStyle="1" w:styleId="Antrat4Diagrama">
    <w:name w:val="Antraštė 4 Diagrama"/>
    <w:basedOn w:val="Numatytasispastraiposriftas"/>
    <w:link w:val="Antrat4"/>
    <w:rsid w:val="00710705"/>
    <w:rPr>
      <w:rFonts w:ascii="Times New Roman" w:hAnsi="Times New Roman" w:cs="Times New Roman"/>
      <w:b/>
      <w:bCs/>
      <w:noProof/>
    </w:rPr>
  </w:style>
  <w:style w:type="paragraph" w:styleId="Porat">
    <w:name w:val="footer"/>
    <w:basedOn w:val="prastasis"/>
    <w:link w:val="PoratDiagrama"/>
    <w:rsid w:val="00710705"/>
    <w:pPr>
      <w:tabs>
        <w:tab w:val="center" w:pos="4536"/>
        <w:tab w:val="right" w:pos="8306"/>
      </w:tabs>
    </w:pPr>
    <w:rPr>
      <w:rFonts w:ascii="Arial" w:hAnsi="Arial"/>
      <w:noProof/>
      <w:sz w:val="16"/>
      <w:szCs w:val="16"/>
      <w:lang w:val="en-US"/>
    </w:rPr>
  </w:style>
  <w:style w:type="character" w:customStyle="1" w:styleId="PoratDiagrama">
    <w:name w:val="Poraštė Diagrama"/>
    <w:basedOn w:val="Numatytasispastraiposriftas"/>
    <w:link w:val="Porat"/>
    <w:rsid w:val="00710705"/>
    <w:rPr>
      <w:rFonts w:ascii="Arial" w:eastAsia="SimSun" w:hAnsi="Arial" w:cs="Times New Roman"/>
      <w:noProof/>
      <w:sz w:val="16"/>
      <w:szCs w:val="16"/>
      <w:lang w:val="en-US" w:eastAsia="zh-CN"/>
    </w:rPr>
  </w:style>
  <w:style w:type="character" w:styleId="Hipersaitas">
    <w:name w:val="Hyperlink"/>
    <w:rsid w:val="00710705"/>
    <w:rPr>
      <w:color w:val="0000FF"/>
      <w:u w:val="single"/>
    </w:rPr>
  </w:style>
  <w:style w:type="paragraph" w:styleId="Pagrindiniotekstotrauka">
    <w:name w:val="Body Text Indent"/>
    <w:basedOn w:val="prastasis"/>
    <w:link w:val="PagrindiniotekstotraukaDiagrama"/>
    <w:rsid w:val="00710705"/>
    <w:pPr>
      <w:tabs>
        <w:tab w:val="clear" w:pos="567"/>
      </w:tabs>
      <w:autoSpaceDE w:val="0"/>
      <w:autoSpaceDN w:val="0"/>
      <w:adjustRightInd w:val="0"/>
      <w:spacing w:line="240" w:lineRule="auto"/>
      <w:ind w:left="720"/>
      <w:jc w:val="both"/>
    </w:pPr>
    <w:rPr>
      <w:rFonts w:eastAsia="Times New Roman"/>
      <w:lang w:eastAsia="en-GB"/>
    </w:rPr>
  </w:style>
  <w:style w:type="character" w:customStyle="1" w:styleId="PagrindiniotekstotraukaDiagrama">
    <w:name w:val="Pagrindinio teksto įtrauka Diagrama"/>
    <w:basedOn w:val="Numatytasispastraiposriftas"/>
    <w:link w:val="Pagrindiniotekstotrauka"/>
    <w:rsid w:val="00710705"/>
    <w:rPr>
      <w:rFonts w:ascii="Times New Roman" w:hAnsi="Times New Roman" w:cs="Times New Roman"/>
      <w:lang w:eastAsia="en-GB"/>
    </w:rPr>
  </w:style>
  <w:style w:type="paragraph" w:styleId="Pagrindinistekstas3">
    <w:name w:val="Body Text 3"/>
    <w:basedOn w:val="prastasis"/>
    <w:link w:val="Pagrindinistekstas3Diagrama"/>
    <w:rsid w:val="00710705"/>
    <w:pPr>
      <w:tabs>
        <w:tab w:val="clear" w:pos="567"/>
      </w:tabs>
      <w:autoSpaceDE w:val="0"/>
      <w:autoSpaceDN w:val="0"/>
      <w:adjustRightInd w:val="0"/>
      <w:spacing w:line="240" w:lineRule="auto"/>
      <w:jc w:val="both"/>
    </w:pPr>
    <w:rPr>
      <w:rFonts w:eastAsia="Times New Roman"/>
      <w:color w:val="0000FF"/>
      <w:lang w:eastAsia="en-GB"/>
    </w:rPr>
  </w:style>
  <w:style w:type="character" w:customStyle="1" w:styleId="Pagrindinistekstas3Diagrama">
    <w:name w:val="Pagrindinis tekstas 3 Diagrama"/>
    <w:basedOn w:val="Numatytasispastraiposriftas"/>
    <w:link w:val="Pagrindinistekstas3"/>
    <w:rsid w:val="00710705"/>
    <w:rPr>
      <w:rFonts w:ascii="Times New Roman" w:hAnsi="Times New Roman" w:cs="Times New Roman"/>
      <w:color w:val="0000FF"/>
      <w:lang w:eastAsia="en-GB"/>
    </w:rPr>
  </w:style>
  <w:style w:type="paragraph" w:styleId="Pagrindinistekstas">
    <w:name w:val="Body Text"/>
    <w:basedOn w:val="prastasis"/>
    <w:link w:val="PagrindinistekstasDiagrama"/>
    <w:rsid w:val="00710705"/>
    <w:pPr>
      <w:tabs>
        <w:tab w:val="clear" w:pos="567"/>
      </w:tabs>
      <w:spacing w:line="240" w:lineRule="auto"/>
    </w:pPr>
    <w:rPr>
      <w:rFonts w:eastAsia="Times New Roman"/>
      <w:i/>
      <w:iCs/>
      <w:color w:val="008000"/>
      <w:lang w:eastAsia="en-US"/>
    </w:rPr>
  </w:style>
  <w:style w:type="character" w:customStyle="1" w:styleId="PagrindinistekstasDiagrama">
    <w:name w:val="Pagrindinis tekstas Diagrama"/>
    <w:basedOn w:val="Numatytasispastraiposriftas"/>
    <w:link w:val="Pagrindinistekstas"/>
    <w:rsid w:val="00710705"/>
    <w:rPr>
      <w:rFonts w:ascii="Times New Roman" w:hAnsi="Times New Roman" w:cs="Times New Roman"/>
      <w:i/>
      <w:iCs/>
      <w:color w:val="008000"/>
    </w:rPr>
  </w:style>
  <w:style w:type="paragraph" w:customStyle="1" w:styleId="BTEMEASMCA">
    <w:name w:val="BT EMEA_SMCA"/>
    <w:basedOn w:val="prastasis"/>
    <w:link w:val="BTEMEASMCAChar"/>
    <w:autoRedefine/>
    <w:rsid w:val="00710705"/>
    <w:pPr>
      <w:tabs>
        <w:tab w:val="clear" w:pos="567"/>
      </w:tabs>
      <w:spacing w:line="240" w:lineRule="auto"/>
    </w:pPr>
    <w:rPr>
      <w:noProof/>
      <w:lang w:eastAsia="en-US"/>
    </w:rPr>
  </w:style>
  <w:style w:type="character" w:customStyle="1" w:styleId="BTEMEASMCAChar">
    <w:name w:val="BT EMEA_SMCA Char"/>
    <w:link w:val="BTEMEASMCA"/>
    <w:locked/>
    <w:rsid w:val="00710705"/>
    <w:rPr>
      <w:rFonts w:ascii="Times New Roman" w:eastAsia="SimSun" w:hAnsi="Times New Roman" w:cs="Times New Roman"/>
      <w:noProof/>
    </w:rPr>
  </w:style>
  <w:style w:type="character" w:customStyle="1" w:styleId="hps">
    <w:name w:val="hps"/>
    <w:rsid w:val="00710705"/>
  </w:style>
  <w:style w:type="paragraph" w:customStyle="1" w:styleId="BT-EMEASMCA">
    <w:name w:val="BT- EMEA_SMCA"/>
    <w:basedOn w:val="BTEMEASMCA"/>
    <w:autoRedefine/>
    <w:rsid w:val="00710705"/>
    <w:pPr>
      <w:numPr>
        <w:numId w:val="3"/>
      </w:numPr>
      <w:tabs>
        <w:tab w:val="num" w:pos="360"/>
      </w:tabs>
      <w:ind w:left="567" w:hanging="567"/>
    </w:pPr>
  </w:style>
  <w:style w:type="paragraph" w:customStyle="1" w:styleId="PI-3EMEASMCA">
    <w:name w:val="PI-3 EMEA_SMCA"/>
    <w:basedOn w:val="prastasis"/>
    <w:autoRedefine/>
    <w:rsid w:val="00710705"/>
    <w:pPr>
      <w:tabs>
        <w:tab w:val="clear" w:pos="567"/>
      </w:tabs>
      <w:spacing w:line="220" w:lineRule="exact"/>
    </w:pPr>
    <w:rPr>
      <w:b/>
      <w:bCs/>
      <w:lang w:eastAsia="en-US"/>
    </w:rPr>
  </w:style>
  <w:style w:type="paragraph" w:customStyle="1" w:styleId="BTbEMEASMCA">
    <w:name w:val="BT(b) EMEA_SMCA"/>
    <w:basedOn w:val="BTEMEASMCA"/>
    <w:autoRedefine/>
    <w:rsid w:val="00710705"/>
    <w:pPr>
      <w:tabs>
        <w:tab w:val="left" w:pos="360"/>
      </w:tabs>
    </w:pPr>
    <w:rPr>
      <w:bCs/>
      <w:noProof w:val="0"/>
      <w:lang w:val="fi-FI"/>
    </w:rPr>
  </w:style>
  <w:style w:type="paragraph" w:customStyle="1" w:styleId="BTEMEASMCADiagramaDiagramaDiagrama">
    <w:name w:val="BT EMEA_SMCA Diagrama Diagrama Diagrama"/>
    <w:basedOn w:val="prastasis"/>
    <w:autoRedefine/>
    <w:rsid w:val="00710705"/>
    <w:pPr>
      <w:spacing w:line="240" w:lineRule="auto"/>
    </w:pPr>
    <w:rPr>
      <w:rFonts w:eastAsia="Times New Roman"/>
      <w:lang w:eastAsia="en-US"/>
    </w:rPr>
  </w:style>
  <w:style w:type="character" w:styleId="Emfaz">
    <w:name w:val="Emphasis"/>
    <w:qFormat/>
    <w:rsid w:val="00710705"/>
    <w:rPr>
      <w:i/>
    </w:rPr>
  </w:style>
  <w:style w:type="paragraph" w:styleId="Sraopastraipa">
    <w:name w:val="List Paragraph"/>
    <w:basedOn w:val="prastasis"/>
    <w:uiPriority w:val="34"/>
    <w:qFormat/>
    <w:rsid w:val="00710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14670</Words>
  <Characters>8362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2025-04-15T12:02:00Z</dcterms:created>
  <dcterms:modified xsi:type="dcterms:W3CDTF">2025-04-15T12:02:00Z</dcterms:modified>
</cp:coreProperties>
</file>