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3D" w:rsidRPr="00030DBB" w:rsidRDefault="00720D3D" w:rsidP="00720D3D">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 xml:space="preserve">Pakuotės lapelis: informacija </w:t>
      </w:r>
      <w:r>
        <w:rPr>
          <w:rFonts w:ascii="Times New Roman" w:eastAsia="Times New Roman" w:hAnsi="Times New Roman"/>
          <w:b/>
          <w:lang w:val="lt-LT" w:eastAsia="en-GB"/>
        </w:rPr>
        <w:t>pacientui</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jc w:val="center"/>
        <w:rPr>
          <w:rFonts w:ascii="Times New Roman" w:eastAsia="Times New Roman" w:hAnsi="Times New Roman"/>
          <w:b/>
          <w:lang w:val="lt-LT" w:eastAsia="en-GB"/>
        </w:rPr>
      </w:pPr>
      <w:r w:rsidRPr="00030DBB">
        <w:rPr>
          <w:rFonts w:ascii="Times New Roman" w:eastAsia="Times New Roman" w:hAnsi="Times New Roman"/>
          <w:b/>
          <w:lang w:val="lt-LT" w:eastAsia="en-GB"/>
        </w:rPr>
        <w:t>Proindap 2,5 mg kietosios kapsulės</w:t>
      </w:r>
    </w:p>
    <w:p w:rsidR="00720D3D" w:rsidRPr="009B1029" w:rsidRDefault="00720D3D" w:rsidP="00720D3D">
      <w:pPr>
        <w:tabs>
          <w:tab w:val="left" w:pos="567"/>
        </w:tabs>
        <w:spacing w:after="0" w:line="240" w:lineRule="auto"/>
        <w:jc w:val="center"/>
        <w:rPr>
          <w:rFonts w:ascii="Times New Roman" w:eastAsia="Times New Roman" w:hAnsi="Times New Roman"/>
          <w:i/>
          <w:iCs/>
          <w:lang w:val="lt-LT" w:eastAsia="en-GB"/>
        </w:rPr>
      </w:pPr>
      <w:r w:rsidRPr="009B1029">
        <w:rPr>
          <w:rFonts w:ascii="Times New Roman" w:eastAsia="Times New Roman" w:hAnsi="Times New Roman"/>
          <w:i/>
          <w:iCs/>
          <w:lang w:val="lt-LT" w:eastAsia="en-GB"/>
        </w:rPr>
        <w:t>indapamidum</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Default="00720D3D" w:rsidP="00720D3D">
      <w:pPr>
        <w:tabs>
          <w:tab w:val="left" w:pos="567"/>
        </w:tabs>
        <w:suppressAutoHyphens/>
        <w:spacing w:after="0" w:line="240" w:lineRule="auto"/>
        <w:rPr>
          <w:rFonts w:ascii="Times New Roman" w:eastAsia="Times New Roman" w:hAnsi="Times New Roman"/>
          <w:b/>
          <w:noProof/>
          <w:lang w:val="lt-LT" w:eastAsia="en-GB"/>
        </w:rPr>
      </w:pPr>
      <w:r w:rsidRPr="00030DBB">
        <w:rPr>
          <w:rFonts w:ascii="Times New Roman" w:eastAsia="Times New Roman" w:hAnsi="Times New Roman"/>
          <w:b/>
          <w:noProof/>
          <w:lang w:val="lt-LT" w:eastAsia="en-GB"/>
        </w:rPr>
        <w:t>Atidžiai perskaitykite visą šį lapelį, prieš pradėdami vartoti vaistą, nes jame pateikiama Jums svarbi informacija.</w:t>
      </w:r>
    </w:p>
    <w:p w:rsidR="00720D3D" w:rsidRPr="00030DBB" w:rsidRDefault="00720D3D" w:rsidP="00720D3D">
      <w:pPr>
        <w:tabs>
          <w:tab w:val="left" w:pos="567"/>
        </w:tabs>
        <w:suppressAutoHyphens/>
        <w:spacing w:after="0" w:line="240" w:lineRule="auto"/>
        <w:rPr>
          <w:rFonts w:ascii="Times New Roman" w:eastAsia="Times New Roman" w:hAnsi="Times New Roman"/>
          <w:lang w:val="lt-LT" w:eastAsia="en-GB"/>
        </w:rPr>
      </w:pPr>
    </w:p>
    <w:p w:rsidR="00720D3D" w:rsidRPr="00030DBB" w:rsidRDefault="00720D3D" w:rsidP="00720D3D">
      <w:pPr>
        <w:numPr>
          <w:ilvl w:val="0"/>
          <w:numId w:val="1"/>
        </w:num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Neišmeskite šio lapelio, nes vėl gali prireikti jį perskaityti.</w:t>
      </w:r>
      <w:r w:rsidRPr="00030DBB">
        <w:rPr>
          <w:rFonts w:ascii="Times New Roman" w:eastAsia="Times New Roman" w:hAnsi="Times New Roman"/>
          <w:lang w:val="lt-LT" w:eastAsia="en-GB"/>
        </w:rPr>
        <w:t xml:space="preserve"> </w:t>
      </w:r>
    </w:p>
    <w:p w:rsidR="00720D3D" w:rsidRPr="00030DBB" w:rsidRDefault="00720D3D" w:rsidP="00720D3D">
      <w:pPr>
        <w:numPr>
          <w:ilvl w:val="0"/>
          <w:numId w:val="1"/>
        </w:num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Jeigu kiltų daugiau klausimų, kreipkitės į gydytoją arba vaistininką.</w:t>
      </w:r>
    </w:p>
    <w:p w:rsidR="00720D3D" w:rsidRPr="00030DBB" w:rsidRDefault="00720D3D" w:rsidP="00720D3D">
      <w:pPr>
        <w:tabs>
          <w:tab w:val="left" w:pos="567"/>
        </w:tabs>
        <w:spacing w:after="0" w:line="240" w:lineRule="auto"/>
        <w:ind w:left="567" w:right="-2" w:hanging="567"/>
        <w:rPr>
          <w:rFonts w:ascii="Times New Roman" w:eastAsia="Times New Roman" w:hAnsi="Times New Roman"/>
          <w:lang w:val="lt-LT" w:eastAsia="en-GB"/>
        </w:rPr>
      </w:pPr>
      <w:r w:rsidRPr="00030DBB">
        <w:rPr>
          <w:rFonts w:ascii="Times New Roman" w:eastAsia="Times New Roman" w:hAnsi="Times New Roman"/>
          <w:lang w:val="lt-LT" w:eastAsia="en-GB"/>
        </w:rPr>
        <w:t>-</w:t>
      </w:r>
      <w:r w:rsidRPr="00030DBB">
        <w:rPr>
          <w:rFonts w:ascii="Times New Roman" w:eastAsia="Times New Roman" w:hAnsi="Times New Roman"/>
          <w:lang w:val="lt-LT" w:eastAsia="en-GB"/>
        </w:rPr>
        <w:tab/>
      </w:r>
      <w:r w:rsidRPr="00030DBB">
        <w:rPr>
          <w:rFonts w:ascii="Times New Roman" w:eastAsia="Times New Roman" w:hAnsi="Times New Roman"/>
          <w:noProof/>
          <w:lang w:val="lt-LT" w:eastAsia="en-GB"/>
        </w:rPr>
        <w:t>Šis vaistas skirtas tik Jums, todėl kitiems žmonėms jo duoti negalima.</w:t>
      </w:r>
      <w:r w:rsidRPr="00030DBB">
        <w:rPr>
          <w:rFonts w:ascii="Times New Roman" w:eastAsia="Times New Roman" w:hAnsi="Times New Roman"/>
          <w:lang w:val="lt-LT" w:eastAsia="en-GB"/>
        </w:rPr>
        <w:t xml:space="preserve"> </w:t>
      </w:r>
      <w:r w:rsidRPr="00030DBB">
        <w:rPr>
          <w:rFonts w:ascii="Times New Roman" w:eastAsia="Times New Roman" w:hAnsi="Times New Roman"/>
          <w:noProof/>
          <w:lang w:val="lt-LT" w:eastAsia="en-GB"/>
        </w:rPr>
        <w:t>Vaistas gali jiems pakenkti (net tiems, kurių ligos požymiai yra tokie patys kaip Jūsų).</w:t>
      </w:r>
    </w:p>
    <w:p w:rsidR="00720D3D" w:rsidRPr="00030DBB" w:rsidRDefault="00720D3D" w:rsidP="00720D3D">
      <w:pPr>
        <w:numPr>
          <w:ilvl w:val="0"/>
          <w:numId w:val="1"/>
        </w:numPr>
        <w:tabs>
          <w:tab w:val="left" w:pos="567"/>
        </w:tabs>
        <w:spacing w:after="0" w:line="240" w:lineRule="auto"/>
        <w:ind w:left="567" w:hanging="567"/>
        <w:rPr>
          <w:rFonts w:ascii="Times New Roman" w:eastAsia="Times New Roman" w:hAnsi="Times New Roman"/>
          <w:lang w:val="lt-LT" w:eastAsia="en-GB"/>
        </w:rPr>
      </w:pPr>
      <w:r w:rsidRPr="00030DBB">
        <w:rPr>
          <w:rFonts w:ascii="Times New Roman" w:eastAsia="Times New Roman" w:hAnsi="Times New Roman"/>
          <w:noProof/>
          <w:lang w:val="lt-LT" w:eastAsia="en-GB"/>
        </w:rPr>
        <w:t>Jeigu pasireiškė šalutinis poveikis (net jeigu jis šiame lapelyje nenurodytas), kreipkitės į gydytoją arba vaistininką. Žr. 4 skyrių.</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Default="00720D3D" w:rsidP="00720D3D">
      <w:pPr>
        <w:keepNext/>
        <w:tabs>
          <w:tab w:val="left" w:pos="567"/>
        </w:tabs>
        <w:spacing w:after="0" w:line="240" w:lineRule="auto"/>
        <w:outlineLvl w:val="3"/>
        <w:rPr>
          <w:rFonts w:ascii="Times New Roman" w:eastAsia="Times New Roman" w:hAnsi="Times New Roman"/>
          <w:b/>
          <w:bCs/>
          <w:lang w:val="lt-LT" w:eastAsia="en-GB"/>
        </w:rPr>
      </w:pPr>
      <w:r w:rsidRPr="00030DBB">
        <w:rPr>
          <w:rFonts w:ascii="Times New Roman" w:eastAsia="Times New Roman" w:hAnsi="Times New Roman"/>
          <w:b/>
          <w:bCs/>
          <w:lang w:val="lt-LT" w:eastAsia="en-GB"/>
        </w:rPr>
        <w:t>Apie ką rašoma šiame lapelyje?</w:t>
      </w:r>
    </w:p>
    <w:p w:rsidR="00720D3D" w:rsidRPr="00030DBB" w:rsidRDefault="00720D3D" w:rsidP="00720D3D">
      <w:pPr>
        <w:keepNext/>
        <w:tabs>
          <w:tab w:val="left" w:pos="567"/>
        </w:tabs>
        <w:spacing w:after="0" w:line="240" w:lineRule="auto"/>
        <w:outlineLvl w:val="3"/>
        <w:rPr>
          <w:rFonts w:ascii="Times New Roman" w:eastAsia="Times New Roman" w:hAnsi="Times New Roman"/>
          <w:b/>
          <w:bCs/>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1.</w:t>
      </w:r>
      <w:r w:rsidRPr="00030DBB">
        <w:rPr>
          <w:rFonts w:ascii="Times New Roman" w:eastAsia="Times New Roman" w:hAnsi="Times New Roman"/>
          <w:lang w:val="lt-LT" w:eastAsia="en-GB"/>
        </w:rPr>
        <w:tab/>
        <w:t xml:space="preserve">Kas yra Proindap ir </w:t>
      </w:r>
      <w:r>
        <w:rPr>
          <w:rFonts w:ascii="Times New Roman" w:eastAsia="Times New Roman" w:hAnsi="Times New Roman"/>
          <w:lang w:val="lt-LT" w:eastAsia="en-GB"/>
        </w:rPr>
        <w:t>kam</w:t>
      </w:r>
      <w:r w:rsidRPr="00030DBB">
        <w:rPr>
          <w:rFonts w:ascii="Times New Roman" w:eastAsia="Times New Roman" w:hAnsi="Times New Roman"/>
          <w:lang w:val="lt-LT" w:eastAsia="en-GB"/>
        </w:rPr>
        <w:t xml:space="preserve"> jis vartojamas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2.</w:t>
      </w:r>
      <w:r w:rsidRPr="00030DBB">
        <w:rPr>
          <w:rFonts w:ascii="Times New Roman" w:eastAsia="Times New Roman" w:hAnsi="Times New Roman"/>
          <w:lang w:val="lt-LT" w:eastAsia="en-GB"/>
        </w:rPr>
        <w:tab/>
        <w:t>Kas žinotina prieš vartojant Proindap</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3.</w:t>
      </w:r>
      <w:r w:rsidRPr="00030DBB">
        <w:rPr>
          <w:rFonts w:ascii="Times New Roman" w:eastAsia="Times New Roman" w:hAnsi="Times New Roman"/>
          <w:lang w:val="lt-LT" w:eastAsia="en-GB"/>
        </w:rPr>
        <w:tab/>
        <w:t>Kaip vartoti Proindap</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4.</w:t>
      </w:r>
      <w:r w:rsidRPr="00030DBB">
        <w:rPr>
          <w:rFonts w:ascii="Times New Roman" w:eastAsia="Times New Roman" w:hAnsi="Times New Roman"/>
          <w:lang w:val="lt-LT" w:eastAsia="en-GB"/>
        </w:rPr>
        <w:tab/>
        <w:t>Galimas šalutinis poveikis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5.</w:t>
      </w:r>
      <w:r w:rsidRPr="00030DBB">
        <w:rPr>
          <w:rFonts w:ascii="Times New Roman" w:eastAsia="Times New Roman" w:hAnsi="Times New Roman"/>
          <w:lang w:val="lt-LT" w:eastAsia="en-GB"/>
        </w:rPr>
        <w:tab/>
        <w:t xml:space="preserve">Kaip laikyti Proindap </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6.</w:t>
      </w:r>
      <w:r w:rsidRPr="00030DBB">
        <w:rPr>
          <w:rFonts w:ascii="Times New Roman" w:eastAsia="Times New Roman" w:hAnsi="Times New Roman"/>
          <w:lang w:val="lt-LT" w:eastAsia="en-GB"/>
        </w:rPr>
        <w:tab/>
        <w:t>Pakuotės turinys ir kita informacija</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1.</w:t>
      </w:r>
      <w:r w:rsidRPr="00030DBB">
        <w:rPr>
          <w:rFonts w:ascii="Times New Roman" w:eastAsia="Times New Roman" w:hAnsi="Times New Roman"/>
          <w:b/>
          <w:lang w:val="lt-LT" w:eastAsia="en-GB"/>
        </w:rPr>
        <w:tab/>
        <w:t>Kas yra P</w:t>
      </w:r>
      <w:r>
        <w:rPr>
          <w:rFonts w:ascii="Times New Roman" w:eastAsia="Times New Roman" w:hAnsi="Times New Roman"/>
          <w:b/>
          <w:lang w:val="lt-LT" w:eastAsia="en-GB"/>
        </w:rPr>
        <w:t>r</w:t>
      </w:r>
      <w:r w:rsidRPr="00030DBB">
        <w:rPr>
          <w:rFonts w:ascii="Times New Roman" w:eastAsia="Times New Roman" w:hAnsi="Times New Roman"/>
          <w:b/>
          <w:lang w:val="lt-LT" w:eastAsia="en-GB"/>
        </w:rPr>
        <w:t>oindap ir kam jis vartojamas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1E5B08" w:rsidRDefault="00720D3D" w:rsidP="00720D3D">
      <w:pPr>
        <w:rPr>
          <w:rFonts w:ascii="Times New Roman" w:eastAsia="MS Mincho" w:hAnsi="Times New Roman"/>
          <w:iCs/>
          <w:lang w:val="lt-LT" w:eastAsia="lt-LT"/>
        </w:rPr>
      </w:pPr>
      <w:r>
        <w:rPr>
          <w:rFonts w:ascii="Times New Roman" w:eastAsia="Times New Roman" w:hAnsi="Times New Roman"/>
          <w:lang w:val="lt-LT" w:eastAsia="en-GB"/>
        </w:rPr>
        <w:t>Proindap</w:t>
      </w:r>
      <w:r w:rsidRPr="00A27069">
        <w:rPr>
          <w:rFonts w:ascii="Times New Roman" w:eastAsia="Times New Roman" w:hAnsi="Times New Roman"/>
          <w:lang w:val="lt-LT" w:eastAsia="en-GB"/>
        </w:rPr>
        <w:t xml:space="preserve"> sudėtyje yra veikliosios medžiagos indapamido.</w:t>
      </w:r>
      <w:r>
        <w:rPr>
          <w:rFonts w:ascii="Times New Roman" w:eastAsia="Times New Roman" w:hAnsi="Times New Roman"/>
          <w:lang w:val="lt-LT" w:eastAsia="en-GB"/>
        </w:rPr>
        <w:t xml:space="preserve"> </w:t>
      </w:r>
      <w:r w:rsidRPr="000F2EBD">
        <w:rPr>
          <w:rFonts w:ascii="Times New Roman" w:eastAsia="Times New Roman" w:hAnsi="Times New Roman"/>
          <w:lang w:val="lt-LT" w:eastAsia="en-GB"/>
        </w:rPr>
        <w:t>Indapamidas yra diuretikas</w:t>
      </w:r>
      <w:r>
        <w:rPr>
          <w:rFonts w:ascii="Times New Roman" w:eastAsia="Times New Roman" w:hAnsi="Times New Roman"/>
          <w:lang w:val="lt-LT" w:eastAsia="en-GB"/>
        </w:rPr>
        <w:t>.</w:t>
      </w:r>
      <w:r w:rsidRPr="000F2EBD">
        <w:rPr>
          <w:rFonts w:ascii="Times New Roman" w:eastAsia="Times New Roman" w:hAnsi="Times New Roman"/>
          <w:lang w:val="lt-LT" w:eastAsia="en-GB"/>
        </w:rPr>
        <w:t xml:space="preserve"> </w:t>
      </w:r>
      <w:r w:rsidRPr="001E5B08">
        <w:rPr>
          <w:rFonts w:ascii="Times New Roman" w:eastAsia="MS Mincho" w:hAnsi="Times New Roman"/>
          <w:iCs/>
          <w:lang w:val="lt-LT" w:eastAsia="lt-LT"/>
        </w:rPr>
        <w:t>Dauguma diuretikų didina šlapimo, kuris išsiskiria per inkstus, kiekį. Indapaminas skiriasi nuo kitų diuretikų, nes nežymiai didina išsiskiriančio šlapimo kiekį.</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Nors Proindap yra diuretikas, tačiau jis daugiausiai veikia kraujo apytaką. Jis plečia kraujagysles, mažina jų pasipriešinimą kraujo srovei, todėl mažėja kraujospūdis. Šlapimą varantis poveikis pasireiškia tik vartojant didesnes dozes. </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Proindap yra vartojamas tik suaugusiųjų pirminei arterinei hipertenzijai </w:t>
      </w:r>
      <w:r w:rsidRPr="005749AD">
        <w:rPr>
          <w:rFonts w:ascii="Times New Roman" w:eastAsia="Times New Roman" w:hAnsi="Times New Roman"/>
          <w:lang w:val="lt-LT" w:eastAsia="en-GB"/>
        </w:rPr>
        <w:t>(aukšt</w:t>
      </w:r>
      <w:r>
        <w:rPr>
          <w:rFonts w:ascii="Times New Roman" w:eastAsia="Times New Roman" w:hAnsi="Times New Roman"/>
          <w:lang w:val="lt-LT" w:eastAsia="en-GB"/>
        </w:rPr>
        <w:t>am</w:t>
      </w:r>
      <w:r w:rsidRPr="005749AD">
        <w:rPr>
          <w:rFonts w:ascii="Times New Roman" w:eastAsia="Times New Roman" w:hAnsi="Times New Roman"/>
          <w:lang w:val="lt-LT" w:eastAsia="en-GB"/>
        </w:rPr>
        <w:t xml:space="preserve"> kraujospūdži</w:t>
      </w:r>
      <w:r>
        <w:rPr>
          <w:rFonts w:ascii="Times New Roman" w:eastAsia="Times New Roman" w:hAnsi="Times New Roman"/>
          <w:lang w:val="lt-LT" w:eastAsia="en-GB"/>
        </w:rPr>
        <w:t>ui</w:t>
      </w:r>
      <w:r w:rsidRPr="005749AD">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gydyti. Lengva arba vidutinio sunkumo hipertenzija gali būti gydoma vien šiuo vaistu, o sunkios hipertenzijos atveju jis derinamas su kitais vaistais. Atsižvelgiant į Proindap privalumus, jis tinka ir vyresnio amžiaus pacientams bei pacientams, kurių inkstų funkcija normali ar tik nežymiai sutrikusi, kurie serga cukriniu diabetu arba kurių kraujo plazmoje yra padidėjęs lipidų kiekis.</w:t>
      </w: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2.</w:t>
      </w:r>
      <w:r w:rsidRPr="00030DBB">
        <w:rPr>
          <w:rFonts w:ascii="Times New Roman" w:eastAsia="Times New Roman" w:hAnsi="Times New Roman"/>
          <w:b/>
          <w:lang w:val="lt-LT" w:eastAsia="en-GB"/>
        </w:rPr>
        <w:tab/>
        <w:t>Kas žinotina prieš vartojant Proindap</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bCs/>
          <w:lang w:val="lt-LT" w:eastAsia="en-GB"/>
        </w:rPr>
        <w:t xml:space="preserve">Proindap vartoti </w:t>
      </w:r>
      <w:r w:rsidRPr="00397BB4">
        <w:rPr>
          <w:rFonts w:ascii="Times New Roman" w:eastAsia="Times New Roman" w:hAnsi="Times New Roman"/>
          <w:b/>
          <w:bCs/>
          <w:lang w:val="lt-LT" w:eastAsia="en-GB"/>
        </w:rPr>
        <w:t>draudžiama</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w:t>
      </w:r>
      <w:r w:rsidRPr="00030DBB">
        <w:rPr>
          <w:rFonts w:ascii="Times New Roman" w:hAnsi="Times New Roman"/>
          <w:lang w:val="lt-LT"/>
        </w:rPr>
        <w:t>yra alergija indapamidui, bet kuriam kitam sulfamidui arba bet kuriai pagalbinei šio vaisto medžiagai (jos išvardytos 6 skyriuje);</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sergate </w:t>
      </w:r>
      <w:r w:rsidRPr="00030DBB">
        <w:rPr>
          <w:rFonts w:ascii="Times New Roman" w:hAnsi="Times New Roman"/>
          <w:lang w:val="lt-LT"/>
        </w:rPr>
        <w:t xml:space="preserve">sunkia kepenų liga ar </w:t>
      </w:r>
      <w:r>
        <w:rPr>
          <w:rFonts w:ascii="Times New Roman" w:hAnsi="Times New Roman"/>
          <w:lang w:val="lt-LT"/>
        </w:rPr>
        <w:t>J</w:t>
      </w:r>
      <w:r w:rsidRPr="00030DBB">
        <w:rPr>
          <w:rFonts w:ascii="Times New Roman" w:hAnsi="Times New Roman"/>
          <w:lang w:val="lt-LT"/>
        </w:rPr>
        <w:t>ums nustatyta būklė, vadinama hepatine encefalopatija</w:t>
      </w:r>
      <w:r>
        <w:rPr>
          <w:rFonts w:ascii="Times New Roman" w:hAnsi="Times New Roman"/>
          <w:lang w:val="lt-LT"/>
        </w:rPr>
        <w:t xml:space="preserve"> (degeneracinė smegenų liga)</w:t>
      </w:r>
      <w:r w:rsidRPr="00030DBB">
        <w:rPr>
          <w:rFonts w:ascii="Times New Roman" w:hAnsi="Times New Roman"/>
          <w:lang w:val="lt-LT"/>
        </w:rPr>
        <w:t>;</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 sergate sunkia inkstų liga;</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 xml:space="preserve">jei </w:t>
      </w:r>
      <w:r w:rsidRPr="00290B6E">
        <w:rPr>
          <w:rFonts w:ascii="Times New Roman" w:eastAsia="Times New Roman" w:hAnsi="Times New Roman"/>
          <w:noProof/>
          <w:lang w:val="lt-LT"/>
        </w:rPr>
        <w:t xml:space="preserve">Jūsų </w:t>
      </w:r>
      <w:r w:rsidRPr="00030DBB">
        <w:rPr>
          <w:rFonts w:ascii="Times New Roman" w:eastAsia="Times New Roman" w:hAnsi="Times New Roman"/>
          <w:noProof/>
          <w:lang w:val="lt-LT"/>
        </w:rPr>
        <w:t>organizme trūksta kalio.</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Įspėjimai ir atsargumo priemonės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Proindap</w:t>
      </w:r>
      <w:r>
        <w:rPr>
          <w:rFonts w:ascii="Times New Roman" w:eastAsia="Times New Roman" w:hAnsi="Times New Roman"/>
          <w:vertAlign w:val="superscript"/>
          <w:lang w:val="lt-LT" w:eastAsia="en-GB"/>
        </w:rPr>
        <w:t xml:space="preserve"> </w:t>
      </w:r>
      <w:r w:rsidRPr="00030DBB">
        <w:rPr>
          <w:rFonts w:ascii="Times New Roman" w:eastAsia="Times New Roman" w:hAnsi="Times New Roman"/>
          <w:lang w:val="lt-LT" w:eastAsia="en-GB"/>
        </w:rPr>
        <w:t xml:space="preserve">gydomiems pacientams gydytojas </w:t>
      </w:r>
      <w:r>
        <w:rPr>
          <w:rFonts w:ascii="Times New Roman" w:eastAsia="Times New Roman" w:hAnsi="Times New Roman"/>
          <w:lang w:val="lt-LT" w:eastAsia="en-GB"/>
        </w:rPr>
        <w:t xml:space="preserve">gali </w:t>
      </w:r>
      <w:r w:rsidRPr="00030DBB">
        <w:rPr>
          <w:rFonts w:ascii="Times New Roman" w:eastAsia="Times New Roman" w:hAnsi="Times New Roman"/>
          <w:lang w:val="lt-LT" w:eastAsia="en-GB"/>
        </w:rPr>
        <w:t>reguliariai stebė</w:t>
      </w:r>
      <w:r>
        <w:rPr>
          <w:rFonts w:ascii="Times New Roman" w:eastAsia="Times New Roman" w:hAnsi="Times New Roman"/>
          <w:lang w:val="lt-LT" w:eastAsia="en-GB"/>
        </w:rPr>
        <w:t>ti</w:t>
      </w:r>
      <w:r w:rsidRPr="00030DBB">
        <w:rPr>
          <w:rFonts w:ascii="Times New Roman" w:eastAsia="Times New Roman" w:hAnsi="Times New Roman"/>
          <w:lang w:val="lt-LT" w:eastAsia="en-GB"/>
        </w:rPr>
        <w:t xml:space="preserve"> natrio, kalio</w:t>
      </w:r>
      <w:r>
        <w:rPr>
          <w:rFonts w:ascii="Times New Roman" w:eastAsia="Times New Roman" w:hAnsi="Times New Roman"/>
          <w:lang w:val="lt-LT" w:eastAsia="en-GB"/>
        </w:rPr>
        <w:t>, kalcio, gliukozės</w:t>
      </w:r>
      <w:r w:rsidRPr="00030DBB">
        <w:rPr>
          <w:rFonts w:ascii="Times New Roman" w:eastAsia="Times New Roman" w:hAnsi="Times New Roman"/>
          <w:lang w:val="lt-LT" w:eastAsia="en-GB"/>
        </w:rPr>
        <w:t xml:space="preserve"> ir šlapimo rūgšties koncentraciją kraujo plazmoje.</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Pasitarkite su gydytoju arba vaistininku, prieš pradėdami vartoti Proindap:</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lastRenderedPageBreak/>
        <w:t xml:space="preserve">jeigu praeityje Jums buvo nustatytas mažas kalio kiekis kraujyje (kalio kiekis kartais gali sumažėti asmenims, sergantiems širdies liga arba besiskundžiantiems aukštu kraujospūdžiu); </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w:t>
      </w:r>
      <w:r>
        <w:rPr>
          <w:rFonts w:ascii="Times New Roman" w:eastAsia="Times New Roman" w:hAnsi="Times New Roman"/>
          <w:noProof/>
          <w:lang w:val="lt-LT"/>
        </w:rPr>
        <w:t>gu</w:t>
      </w:r>
      <w:r w:rsidRPr="00030DBB">
        <w:rPr>
          <w:rFonts w:ascii="Times New Roman" w:eastAsia="Times New Roman" w:hAnsi="Times New Roman"/>
          <w:noProof/>
          <w:lang w:val="lt-LT"/>
        </w:rPr>
        <w:t xml:space="preserve"> sergate cukriniu diabetu;</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w:t>
      </w:r>
      <w:r>
        <w:rPr>
          <w:rFonts w:ascii="Times New Roman" w:eastAsia="Times New Roman" w:hAnsi="Times New Roman"/>
          <w:noProof/>
          <w:lang w:val="lt-LT"/>
        </w:rPr>
        <w:t>gu</w:t>
      </w:r>
      <w:r w:rsidRPr="00030DBB">
        <w:rPr>
          <w:rFonts w:ascii="Times New Roman" w:eastAsia="Times New Roman" w:hAnsi="Times New Roman"/>
          <w:noProof/>
          <w:lang w:val="lt-LT"/>
        </w:rPr>
        <w:t xml:space="preserve"> sergate podagra;</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inkstų sutrikimų;</w:t>
      </w:r>
    </w:p>
    <w:p w:rsidR="00720D3D" w:rsidRPr="00551CDF" w:rsidRDefault="00720D3D" w:rsidP="00720D3D">
      <w:pPr>
        <w:numPr>
          <w:ilvl w:val="0"/>
          <w:numId w:val="2"/>
        </w:numPr>
        <w:tabs>
          <w:tab w:val="left" w:pos="567"/>
        </w:tabs>
        <w:spacing w:after="0" w:line="240" w:lineRule="auto"/>
        <w:ind w:left="567" w:hanging="567"/>
        <w:contextualSpacing/>
        <w:rPr>
          <w:rFonts w:ascii="Times New Roman" w:hAnsi="Times New Roman"/>
          <w:lang w:val="lt-LT"/>
        </w:rPr>
      </w:pPr>
      <w:r w:rsidRPr="00BF25FA">
        <w:rPr>
          <w:rFonts w:ascii="Times New Roman" w:hAnsi="Times New Roman"/>
          <w:lang w:val="lt-LT"/>
        </w:rPr>
        <w:t>jeigu Jums susilpnėja regėjimas arba atsiranda akies skausmas. Šie simptomai gali būti skysčio susikaupimo akies kraujagysliniame dangale (tarp gyslainės ir skleros) arba padidėjusio akispūdžio požymiai ir gali atsirasti po kelių valandų ar net po savaičių nuo Proindap vartojimo pradžios. Negydant tai gali sukelti negrįžtamą apakimą. Būklės atsiradimo rizika yra didesnė, jeigu Jums anksčiau yra buvusi alerginė reakcija į sulfonamidą ar peniciliną;</w:t>
      </w:r>
    </w:p>
    <w:p w:rsidR="00720D3D" w:rsidRPr="00551CDF" w:rsidRDefault="00720D3D" w:rsidP="00720D3D">
      <w:pPr>
        <w:numPr>
          <w:ilvl w:val="0"/>
          <w:numId w:val="2"/>
        </w:numPr>
        <w:tabs>
          <w:tab w:val="left" w:pos="567"/>
        </w:tabs>
        <w:spacing w:after="0" w:line="240" w:lineRule="auto"/>
        <w:ind w:left="567" w:hanging="567"/>
        <w:contextualSpacing/>
        <w:rPr>
          <w:rFonts w:ascii="Times New Roman" w:hAnsi="Times New Roman"/>
          <w:lang w:val="lt-LT"/>
        </w:rPr>
      </w:pPr>
      <w:r w:rsidRPr="00BF25FA">
        <w:rPr>
          <w:rFonts w:ascii="Times New Roman" w:hAnsi="Times New Roman"/>
          <w:lang w:val="lt-LT"/>
        </w:rPr>
        <w:t>jeigu Jums reikia atlikti prieskydinių liaukų veiklos tyrimą;</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širdies ritmo sutrikimų;</w:t>
      </w:r>
    </w:p>
    <w:p w:rsidR="00720D3D" w:rsidRPr="00BF25FA"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BF25FA">
        <w:rPr>
          <w:rFonts w:ascii="Times New Roman" w:eastAsia="Times New Roman" w:hAnsi="Times New Roman"/>
          <w:noProof/>
          <w:lang w:val="lt-LT"/>
        </w:rPr>
        <w:t>jeigu Jums yra širdies nepakankamumas;</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42741F">
        <w:rPr>
          <w:rFonts w:ascii="Times New Roman" w:eastAsia="Times New Roman" w:hAnsi="Times New Roman"/>
          <w:noProof/>
          <w:lang w:val="lt-LT"/>
        </w:rPr>
        <w:t>jeigu esate senyvo amžiaus;</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jeigu yra kepenų sutrikimų.</w:t>
      </w:r>
    </w:p>
    <w:p w:rsidR="00720D3D" w:rsidRPr="00030DBB" w:rsidRDefault="00720D3D" w:rsidP="00720D3D">
      <w:pPr>
        <w:tabs>
          <w:tab w:val="left" w:pos="567"/>
        </w:tabs>
        <w:spacing w:after="0" w:line="240" w:lineRule="auto"/>
        <w:rPr>
          <w:rFonts w:ascii="Times New Roman" w:eastAsia="Times New Roman" w:hAnsi="Times New Roman"/>
          <w:noProof/>
          <w:lang w:val="lt-LT"/>
        </w:rPr>
      </w:pPr>
    </w:p>
    <w:p w:rsidR="00720D3D" w:rsidRPr="00030DBB" w:rsidRDefault="00720D3D" w:rsidP="00720D3D">
      <w:pPr>
        <w:tabs>
          <w:tab w:val="left" w:pos="567"/>
        </w:tabs>
        <w:spacing w:after="0" w:line="240" w:lineRule="auto"/>
        <w:rPr>
          <w:rFonts w:ascii="Times New Roman" w:eastAsia="Times New Roman" w:hAnsi="Times New Roman"/>
          <w:noProof/>
          <w:lang w:val="lt-LT"/>
        </w:rPr>
      </w:pPr>
      <w:r w:rsidRPr="00030DBB">
        <w:rPr>
          <w:rFonts w:ascii="Times New Roman" w:eastAsia="Times New Roman" w:hAnsi="Times New Roman"/>
          <w:noProof/>
          <w:lang w:val="lt-LT"/>
        </w:rPr>
        <w:t>Turėtumėte pasakyti gydytojui, jei Jums buvo pasireiškusi padidėjusio jautrumo šviesai reakcija.</w:t>
      </w:r>
    </w:p>
    <w:p w:rsidR="00720D3D" w:rsidRPr="00030DBB" w:rsidRDefault="00720D3D" w:rsidP="00720D3D">
      <w:pPr>
        <w:tabs>
          <w:tab w:val="left" w:pos="567"/>
        </w:tabs>
        <w:spacing w:after="0" w:line="240" w:lineRule="auto"/>
        <w:rPr>
          <w:rFonts w:ascii="Times New Roman" w:eastAsia="Times New Roman" w:hAnsi="Times New Roman"/>
          <w:noProof/>
          <w:lang w:val="lt-LT"/>
        </w:rPr>
      </w:pPr>
    </w:p>
    <w:p w:rsidR="00720D3D" w:rsidRPr="00030DBB" w:rsidRDefault="00720D3D" w:rsidP="00720D3D">
      <w:pPr>
        <w:tabs>
          <w:tab w:val="left" w:pos="567"/>
        </w:tabs>
        <w:spacing w:after="0" w:line="240" w:lineRule="auto"/>
        <w:rPr>
          <w:rFonts w:ascii="Times New Roman" w:eastAsia="Times New Roman" w:hAnsi="Times New Roman"/>
          <w:noProof/>
          <w:lang w:val="lt-LT"/>
        </w:rPr>
      </w:pPr>
      <w:r w:rsidRPr="00030DBB">
        <w:rPr>
          <w:rFonts w:ascii="Times New Roman" w:eastAsia="Times New Roman" w:hAnsi="Times New Roman"/>
          <w:noProof/>
          <w:lang w:val="lt-LT"/>
        </w:rPr>
        <w:t xml:space="preserve">Sportininkai turi atkreipti dėmesį, kad dėl šiame </w:t>
      </w:r>
      <w:r>
        <w:rPr>
          <w:rFonts w:ascii="Times New Roman" w:eastAsia="Times New Roman" w:hAnsi="Times New Roman"/>
          <w:noProof/>
          <w:lang w:val="lt-LT"/>
        </w:rPr>
        <w:t>vaiste</w:t>
      </w:r>
      <w:r w:rsidRPr="00030DBB">
        <w:rPr>
          <w:rFonts w:ascii="Times New Roman" w:eastAsia="Times New Roman" w:hAnsi="Times New Roman"/>
          <w:noProof/>
          <w:lang w:val="lt-LT"/>
        </w:rPr>
        <w:t xml:space="preserve"> esančios veikliosios medžiagos dopingo testas gali būti teigiamas.</w:t>
      </w:r>
    </w:p>
    <w:p w:rsidR="00720D3D" w:rsidRDefault="00720D3D" w:rsidP="00720D3D">
      <w:pPr>
        <w:tabs>
          <w:tab w:val="left" w:pos="567"/>
        </w:tabs>
        <w:spacing w:after="0" w:line="240" w:lineRule="auto"/>
        <w:rPr>
          <w:rFonts w:ascii="Times New Roman" w:eastAsia="Times New Roman" w:hAnsi="Times New Roman"/>
          <w:lang w:val="lt-LT" w:eastAsia="en-GB"/>
        </w:rPr>
      </w:pPr>
    </w:p>
    <w:p w:rsidR="00720D3D" w:rsidRDefault="00720D3D" w:rsidP="00720D3D">
      <w:pPr>
        <w:tabs>
          <w:tab w:val="left" w:pos="567"/>
        </w:tabs>
        <w:spacing w:after="0" w:line="240" w:lineRule="auto"/>
        <w:rPr>
          <w:rFonts w:ascii="Times New Roman" w:eastAsia="Times New Roman" w:hAnsi="Times New Roman"/>
          <w:lang w:val="lt-LT" w:eastAsia="en-GB"/>
        </w:rPr>
      </w:pPr>
      <w:r w:rsidRPr="00646015">
        <w:rPr>
          <w:rFonts w:ascii="Times New Roman" w:eastAsia="Times New Roman" w:hAnsi="Times New Roman"/>
          <w:lang w:val="lt-LT" w:eastAsia="en-GB"/>
        </w:rPr>
        <w:t>Jei manote, kad kuri nors iš paminėtų būklių Jums tinka, arba turite klausimų ar abejonių dėl šio vaisto vartojimo, pasitarkite su gydytoju arba vaistininku.</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E3079" w:rsidRDefault="00720D3D" w:rsidP="00720D3D">
      <w:pPr>
        <w:tabs>
          <w:tab w:val="left" w:pos="567"/>
        </w:tabs>
        <w:spacing w:after="0" w:line="240" w:lineRule="auto"/>
        <w:rPr>
          <w:rFonts w:ascii="Times New Roman" w:eastAsia="Times New Roman" w:hAnsi="Times New Roman"/>
          <w:b/>
          <w:lang w:val="lt-LT"/>
        </w:rPr>
      </w:pPr>
      <w:r w:rsidRPr="000E3079">
        <w:rPr>
          <w:rFonts w:ascii="Times New Roman" w:eastAsia="Times New Roman" w:hAnsi="Times New Roman"/>
          <w:b/>
          <w:lang w:val="lt-LT"/>
        </w:rPr>
        <w:t>Kiti vaistai ir Proindap</w:t>
      </w: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 xml:space="preserve">Jeigu vartojate ar neseniai vartojote kitų vaistų arba dėl to nesate tikri, apie tai pasakykite gydytojui arba vaistininkui. Tai taikoma ir be recepto įsigytiems vaistams, įskaitant augalinius </w:t>
      </w:r>
      <w:r>
        <w:rPr>
          <w:rFonts w:ascii="Times New Roman" w:eastAsia="Times New Roman" w:hAnsi="Times New Roman"/>
          <w:lang w:val="lt-LT"/>
        </w:rPr>
        <w:t>vaistus</w:t>
      </w:r>
      <w:r w:rsidRPr="00030DBB">
        <w:rPr>
          <w:rFonts w:ascii="Times New Roman" w:eastAsia="Times New Roman" w:hAnsi="Times New Roman"/>
          <w:lang w:val="lt-LT"/>
        </w:rPr>
        <w:t>. Tai reikia padaryti, nes Proindap gali turėti įtakos kitų vaistų veikimui. Taip pat ir kiti vaistai gali keisti Proindap veikimą.</w:t>
      </w:r>
    </w:p>
    <w:p w:rsidR="00720D3D"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CA7A34">
        <w:rPr>
          <w:rFonts w:ascii="Times New Roman" w:eastAsia="Times New Roman" w:hAnsi="Times New Roman"/>
          <w:lang w:val="lt-LT"/>
        </w:rPr>
        <w:t xml:space="preserve">Nevartokite </w:t>
      </w:r>
      <w:r>
        <w:rPr>
          <w:rFonts w:ascii="Times New Roman" w:eastAsia="Times New Roman" w:hAnsi="Times New Roman"/>
          <w:lang w:val="lt-LT"/>
        </w:rPr>
        <w:t>Proindap</w:t>
      </w:r>
      <w:r w:rsidRPr="00CA7A34">
        <w:rPr>
          <w:rFonts w:ascii="Times New Roman" w:eastAsia="Times New Roman" w:hAnsi="Times New Roman"/>
          <w:lang w:val="lt-LT"/>
        </w:rPr>
        <w:t xml:space="preserve"> kartu su ličio preparatais (vaistais nuo depresijos), nes gali padidėti ličio kiekis kraujyje.</w:t>
      </w: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Ypač reikia gydytojui pasakyti, jeigu vartojate šių vaistų</w:t>
      </w:r>
      <w:r>
        <w:rPr>
          <w:rFonts w:ascii="Times New Roman" w:eastAsia="Times New Roman" w:hAnsi="Times New Roman"/>
          <w:lang w:val="lt-LT"/>
        </w:rPr>
        <w:t>,</w:t>
      </w:r>
      <w:r w:rsidRPr="000E3079">
        <w:rPr>
          <w:lang w:val="lt-LT"/>
        </w:rPr>
        <w:t xml:space="preserve"> </w:t>
      </w:r>
      <w:r w:rsidRPr="001A21C2">
        <w:rPr>
          <w:rFonts w:ascii="Times New Roman" w:eastAsia="Times New Roman" w:hAnsi="Times New Roman"/>
          <w:lang w:val="lt-LT"/>
        </w:rPr>
        <w:t>nes gali prireikti specialios priežiūros</w:t>
      </w:r>
      <w:r w:rsidRPr="00030DBB">
        <w:rPr>
          <w:rFonts w:ascii="Times New Roman" w:eastAsia="Times New Roman" w:hAnsi="Times New Roman"/>
          <w:lang w:val="lt-LT"/>
        </w:rPr>
        <w:t>:</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vaistų širdies ritmo sutrikimams gydyti (chinidiną, hidrochinidiną, dizopiramidą, amjodaroną, sotalolį, ibutilidą, dofetilidą</w:t>
      </w:r>
      <w:r>
        <w:rPr>
          <w:rFonts w:ascii="Times New Roman" w:eastAsia="Times New Roman" w:hAnsi="Times New Roman"/>
          <w:noProof/>
          <w:lang w:val="lt-LT"/>
        </w:rPr>
        <w:t>, bretilį</w:t>
      </w:r>
      <w:r w:rsidRPr="00733E0C">
        <w:rPr>
          <w:rFonts w:ascii="Times New Roman" w:eastAsia="Times New Roman" w:hAnsi="Times New Roman"/>
          <w:noProof/>
          <w:lang w:val="lt-LT"/>
        </w:rPr>
        <w:t xml:space="preserve"> arba rusmenės preparatus);</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 xml:space="preserve">stimuliuojančių </w:t>
      </w:r>
      <w:r w:rsidRPr="00733E0C">
        <w:rPr>
          <w:rFonts w:ascii="Times New Roman" w:eastAsia="Times New Roman" w:hAnsi="Times New Roman"/>
          <w:noProof/>
          <w:lang w:val="lt-LT"/>
        </w:rPr>
        <w:t>vidurius laisvinančių vaistų;</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psichikos sutrikimams, pvz., depresijai, nerimui ar šizofrenijai gydyti vartojamų vaistų (pvz., triciklių antidepresantų, antipsichotinių vaistų, neuroleptikų</w:t>
      </w:r>
      <w:r>
        <w:rPr>
          <w:rFonts w:ascii="Times New Roman" w:eastAsia="Times New Roman" w:hAnsi="Times New Roman"/>
          <w:noProof/>
          <w:lang w:val="lt-LT"/>
        </w:rPr>
        <w:t>:</w:t>
      </w:r>
      <w:r w:rsidRPr="00547C43">
        <w:rPr>
          <w:rFonts w:ascii="Times New Roman" w:eastAsia="Times New Roman" w:hAnsi="Times New Roman"/>
          <w:noProof/>
          <w:lang w:val="lt-LT"/>
        </w:rPr>
        <w:t xml:space="preserve"> </w:t>
      </w:r>
      <w:r w:rsidRPr="00C73083">
        <w:rPr>
          <w:rFonts w:ascii="Times New Roman" w:eastAsia="Times New Roman" w:hAnsi="Times New Roman"/>
          <w:noProof/>
          <w:lang w:val="lt-LT"/>
        </w:rPr>
        <w:t>chlorpromazin</w:t>
      </w:r>
      <w:r>
        <w:rPr>
          <w:rFonts w:ascii="Times New Roman" w:eastAsia="Times New Roman" w:hAnsi="Times New Roman"/>
          <w:noProof/>
          <w:lang w:val="lt-LT"/>
        </w:rPr>
        <w:t>o</w:t>
      </w:r>
      <w:r w:rsidRPr="00C73083">
        <w:rPr>
          <w:rFonts w:ascii="Times New Roman" w:eastAsia="Times New Roman" w:hAnsi="Times New Roman"/>
          <w:noProof/>
          <w:lang w:val="lt-LT"/>
        </w:rPr>
        <w:t>, ciamemazin</w:t>
      </w:r>
      <w:r>
        <w:rPr>
          <w:rFonts w:ascii="Times New Roman" w:eastAsia="Times New Roman" w:hAnsi="Times New Roman"/>
          <w:noProof/>
          <w:lang w:val="lt-LT"/>
        </w:rPr>
        <w:t>o</w:t>
      </w:r>
      <w:r w:rsidRPr="00C73083">
        <w:rPr>
          <w:rFonts w:ascii="Times New Roman" w:eastAsia="Times New Roman" w:hAnsi="Times New Roman"/>
          <w:noProof/>
          <w:lang w:val="lt-LT"/>
        </w:rPr>
        <w:t>, levomepromazin</w:t>
      </w:r>
      <w:r>
        <w:rPr>
          <w:rFonts w:ascii="Times New Roman" w:eastAsia="Times New Roman" w:hAnsi="Times New Roman"/>
          <w:noProof/>
          <w:lang w:val="lt-LT"/>
        </w:rPr>
        <w:t>o</w:t>
      </w:r>
      <w:r w:rsidRPr="00C73083">
        <w:rPr>
          <w:rFonts w:ascii="Times New Roman" w:eastAsia="Times New Roman" w:hAnsi="Times New Roman"/>
          <w:noProof/>
          <w:lang w:val="lt-LT"/>
        </w:rPr>
        <w:t>, tioridazin</w:t>
      </w:r>
      <w:r>
        <w:rPr>
          <w:rFonts w:ascii="Times New Roman" w:eastAsia="Times New Roman" w:hAnsi="Times New Roman"/>
          <w:noProof/>
          <w:lang w:val="lt-LT"/>
        </w:rPr>
        <w:t>o</w:t>
      </w:r>
      <w:r w:rsidRPr="00C73083">
        <w:rPr>
          <w:rFonts w:ascii="Times New Roman" w:eastAsia="Times New Roman" w:hAnsi="Times New Roman"/>
          <w:noProof/>
          <w:lang w:val="lt-LT"/>
        </w:rPr>
        <w:t>, trifluoperazi</w:t>
      </w:r>
      <w:r>
        <w:rPr>
          <w:rFonts w:ascii="Times New Roman" w:eastAsia="Times New Roman" w:hAnsi="Times New Roman"/>
          <w:noProof/>
          <w:lang w:val="lt-LT"/>
        </w:rPr>
        <w:t>o,</w:t>
      </w:r>
      <w:r w:rsidRPr="00C73083">
        <w:rPr>
          <w:rFonts w:ascii="Times New Roman" w:eastAsia="Times New Roman" w:hAnsi="Times New Roman"/>
          <w:noProof/>
          <w:lang w:val="lt-LT"/>
        </w:rPr>
        <w:t xml:space="preserve"> </w:t>
      </w:r>
      <w:r w:rsidRPr="00547C43">
        <w:rPr>
          <w:rFonts w:ascii="Times New Roman" w:eastAsia="Times New Roman" w:hAnsi="Times New Roman"/>
          <w:noProof/>
          <w:lang w:val="lt-LT"/>
        </w:rPr>
        <w:t>amisulprid</w:t>
      </w:r>
      <w:r>
        <w:rPr>
          <w:rFonts w:ascii="Times New Roman" w:eastAsia="Times New Roman" w:hAnsi="Times New Roman"/>
          <w:noProof/>
          <w:lang w:val="lt-LT"/>
        </w:rPr>
        <w:t>o</w:t>
      </w:r>
      <w:r w:rsidRPr="00547C43">
        <w:rPr>
          <w:rFonts w:ascii="Times New Roman" w:eastAsia="Times New Roman" w:hAnsi="Times New Roman"/>
          <w:noProof/>
          <w:lang w:val="lt-LT"/>
        </w:rPr>
        <w:t>, sulpirid</w:t>
      </w:r>
      <w:r>
        <w:rPr>
          <w:rFonts w:ascii="Times New Roman" w:eastAsia="Times New Roman" w:hAnsi="Times New Roman"/>
          <w:noProof/>
          <w:lang w:val="lt-LT"/>
        </w:rPr>
        <w:t>o</w:t>
      </w:r>
      <w:r w:rsidRPr="00547C43">
        <w:rPr>
          <w:rFonts w:ascii="Times New Roman" w:eastAsia="Times New Roman" w:hAnsi="Times New Roman"/>
          <w:noProof/>
          <w:lang w:val="lt-LT"/>
        </w:rPr>
        <w:t>, sultoprid</w:t>
      </w:r>
      <w:r>
        <w:rPr>
          <w:rFonts w:ascii="Times New Roman" w:eastAsia="Times New Roman" w:hAnsi="Times New Roman"/>
          <w:noProof/>
          <w:lang w:val="lt-LT"/>
        </w:rPr>
        <w:t>o</w:t>
      </w:r>
      <w:r w:rsidRPr="00547C43">
        <w:rPr>
          <w:rFonts w:ascii="Times New Roman" w:eastAsia="Times New Roman" w:hAnsi="Times New Roman"/>
          <w:noProof/>
          <w:lang w:val="lt-LT"/>
        </w:rPr>
        <w:t>, tiaprid</w:t>
      </w:r>
      <w:r>
        <w:rPr>
          <w:rFonts w:ascii="Times New Roman" w:eastAsia="Times New Roman" w:hAnsi="Times New Roman"/>
          <w:noProof/>
          <w:lang w:val="lt-LT"/>
        </w:rPr>
        <w:t>o</w:t>
      </w:r>
      <w:r w:rsidRPr="00547C43">
        <w:rPr>
          <w:rFonts w:ascii="Times New Roman" w:eastAsia="Times New Roman" w:hAnsi="Times New Roman"/>
          <w:noProof/>
          <w:lang w:val="lt-LT"/>
        </w:rPr>
        <w:t>, haloperidoli</w:t>
      </w:r>
      <w:r>
        <w:rPr>
          <w:rFonts w:ascii="Times New Roman" w:eastAsia="Times New Roman" w:hAnsi="Times New Roman"/>
          <w:noProof/>
          <w:lang w:val="lt-LT"/>
        </w:rPr>
        <w:t>o</w:t>
      </w:r>
      <w:r w:rsidRPr="00547C43">
        <w:rPr>
          <w:rFonts w:ascii="Times New Roman" w:eastAsia="Times New Roman" w:hAnsi="Times New Roman"/>
          <w:noProof/>
          <w:lang w:val="lt-LT"/>
        </w:rPr>
        <w:t>, droperidoli</w:t>
      </w:r>
      <w:r>
        <w:rPr>
          <w:rFonts w:ascii="Times New Roman" w:eastAsia="Times New Roman" w:hAnsi="Times New Roman"/>
          <w:noProof/>
          <w:lang w:val="lt-LT"/>
        </w:rPr>
        <w:t>o, pimozido</w:t>
      </w:r>
      <w:r w:rsidRPr="00733E0C">
        <w:rPr>
          <w:rFonts w:ascii="Times New Roman" w:eastAsia="Times New Roman" w:hAnsi="Times New Roman"/>
          <w:noProof/>
          <w:lang w:val="lt-LT"/>
        </w:rPr>
        <w:t>);</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BF25FA">
        <w:rPr>
          <w:rFonts w:ascii="Times New Roman" w:eastAsia="Times New Roman" w:hAnsi="Times New Roman"/>
          <w:noProof/>
          <w:lang w:val="lt-LT"/>
        </w:rPr>
        <w:t>bepridilio (vaisto nuo krūtinės anginos, t. y. būklės, sukeliančios krūtinės skausmą);</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cisaprido, difemanilio (vaistų, vartojamų virškinimo trakto sutrikimams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sparfloksacino, moksifloksacino, į veną leidžiamo eritromicino (infekcijai gydyti vartojamų antibiotikų);</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į veną leidžiamo vinkamino (vaisto, skirto simptominiams kognityviniams sutrikimams gydyti vyresnio amžiaus asmenims, įskaitant atminties praradimą);</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pentamidino (antimikrobinio vaisto);</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halofantrino (antiparazitinio vaisto, vartojamo tam tikroms maliarijos rūšims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F310AF">
        <w:rPr>
          <w:rFonts w:ascii="Times New Roman" w:eastAsia="Times New Roman" w:hAnsi="Times New Roman"/>
          <w:noProof/>
          <w:lang w:val="lt-LT"/>
        </w:rPr>
        <w:t>mizolastino</w:t>
      </w:r>
      <w:r>
        <w:rPr>
          <w:rFonts w:ascii="Times New Roman" w:eastAsia="Times New Roman" w:hAnsi="Times New Roman"/>
          <w:noProof/>
          <w:lang w:val="lt-LT"/>
        </w:rPr>
        <w:t xml:space="preserve">, </w:t>
      </w:r>
      <w:r w:rsidRPr="00F310AF">
        <w:rPr>
          <w:rFonts w:ascii="Times New Roman" w:eastAsia="Times New Roman" w:hAnsi="Times New Roman"/>
          <w:noProof/>
          <w:lang w:val="lt-LT"/>
        </w:rPr>
        <w:t>astemizol</w:t>
      </w:r>
      <w:r>
        <w:rPr>
          <w:rFonts w:ascii="Times New Roman" w:eastAsia="Times New Roman" w:hAnsi="Times New Roman"/>
          <w:noProof/>
          <w:lang w:val="lt-LT"/>
        </w:rPr>
        <w:t>o</w:t>
      </w:r>
      <w:r w:rsidRPr="00F310AF">
        <w:rPr>
          <w:rFonts w:ascii="Times New Roman" w:eastAsia="Times New Roman" w:hAnsi="Times New Roman"/>
          <w:noProof/>
          <w:lang w:val="lt-LT"/>
        </w:rPr>
        <w:t>, terfenadin</w:t>
      </w:r>
      <w:r>
        <w:rPr>
          <w:rFonts w:ascii="Times New Roman" w:eastAsia="Times New Roman" w:hAnsi="Times New Roman"/>
          <w:noProof/>
          <w:lang w:val="lt-LT"/>
        </w:rPr>
        <w:t>o</w:t>
      </w:r>
      <w:r w:rsidRPr="00733E0C">
        <w:rPr>
          <w:rFonts w:ascii="Times New Roman" w:eastAsia="Times New Roman" w:hAnsi="Times New Roman"/>
          <w:noProof/>
          <w:lang w:val="lt-LT"/>
        </w:rPr>
        <w:t xml:space="preserve"> (alerginėms reakcijoms, pvz., šienligei,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nesteroidinių vaistų nuo uždegimo skausmui malšinti (pvz., ibuprofeno) arba dideles acetilsalicilo rūgšties (aspirino) dozes;</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angiotenziną konvertuojančio fermento (AKF) inhibitorių (vartojamų aukštam kraujospūdžiui ir širdies nepakankamumui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į veną leidžiamo amfotericino B (priešgrybelinio vaisto);</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geriamųjų kortikosteroidų, vartojamų įvairioms ligoms gydyti, įskaitant sunkią bronchų astmą ir reumatoidinį artritą;</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lastRenderedPageBreak/>
        <w:t>baklofeno (raumenų sustingimui sergant išsėtine skleroze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alopurinolio (skirto podagrai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kalį organizme sulaikančių diuretikų (amilorido, spironolaktono, triamtereno);</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metformino (cukriniam diabetui gydyti);</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kontrastinių medžiagų, kuriose yra jodo (naudojamų rentgenologiniams tyrimams);</w:t>
      </w:r>
    </w:p>
    <w:p w:rsidR="00720D3D" w:rsidRPr="00733E0C"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733E0C">
        <w:rPr>
          <w:rFonts w:ascii="Times New Roman" w:eastAsia="Times New Roman" w:hAnsi="Times New Roman"/>
          <w:noProof/>
          <w:lang w:val="lt-LT"/>
        </w:rPr>
        <w:t>kalcio tablečių ar kitų kalcio papildų;</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ciklosporin</w:t>
      </w:r>
      <w:r>
        <w:rPr>
          <w:rFonts w:ascii="Times New Roman" w:eastAsia="Times New Roman" w:hAnsi="Times New Roman"/>
          <w:noProof/>
          <w:lang w:val="lt-LT"/>
        </w:rPr>
        <w:t>o</w:t>
      </w:r>
      <w:r w:rsidRPr="00030DBB">
        <w:rPr>
          <w:rFonts w:ascii="Times New Roman" w:eastAsia="Times New Roman" w:hAnsi="Times New Roman"/>
          <w:noProof/>
          <w:lang w:val="lt-LT"/>
        </w:rPr>
        <w:t>, takrolimuz</w:t>
      </w:r>
      <w:r>
        <w:rPr>
          <w:rFonts w:ascii="Times New Roman" w:eastAsia="Times New Roman" w:hAnsi="Times New Roman"/>
          <w:noProof/>
          <w:lang w:val="lt-LT"/>
        </w:rPr>
        <w:t>o</w:t>
      </w:r>
      <w:r w:rsidRPr="00030DBB">
        <w:rPr>
          <w:rFonts w:ascii="Times New Roman" w:eastAsia="Times New Roman" w:hAnsi="Times New Roman"/>
          <w:noProof/>
          <w:lang w:val="lt-LT"/>
        </w:rPr>
        <w:t xml:space="preserve"> arba kitų vaistų imuninei sistemai slopinti po organų transplantacijos, autoimuninėms ligoms ar sunkioms reumatinėms arba dermatologinėms ligoms gydyti;</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tetrakozaktid</w:t>
      </w:r>
      <w:r>
        <w:rPr>
          <w:rFonts w:ascii="Times New Roman" w:eastAsia="Times New Roman" w:hAnsi="Times New Roman"/>
          <w:noProof/>
          <w:lang w:val="lt-LT"/>
        </w:rPr>
        <w:t>o</w:t>
      </w:r>
      <w:r w:rsidRPr="00030DBB">
        <w:rPr>
          <w:rFonts w:ascii="Times New Roman" w:eastAsia="Times New Roman" w:hAnsi="Times New Roman"/>
          <w:noProof/>
          <w:lang w:val="lt-LT"/>
        </w:rPr>
        <w:t xml:space="preserve"> (Krono ligai gydyti)</w:t>
      </w:r>
      <w:r>
        <w:rPr>
          <w:rFonts w:ascii="Times New Roman" w:eastAsia="Times New Roman" w:hAnsi="Times New Roman"/>
          <w:noProof/>
          <w:lang w:val="lt-LT"/>
        </w:rPr>
        <w:t>;</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2F133D">
        <w:rPr>
          <w:rFonts w:ascii="Times New Roman" w:eastAsia="Times New Roman" w:hAnsi="Times New Roman"/>
          <w:noProof/>
          <w:lang w:val="lt-LT"/>
        </w:rPr>
        <w:t>metadon</w:t>
      </w:r>
      <w:r>
        <w:rPr>
          <w:rFonts w:ascii="Times New Roman" w:eastAsia="Times New Roman" w:hAnsi="Times New Roman"/>
          <w:noProof/>
          <w:lang w:val="lt-LT"/>
        </w:rPr>
        <w:t>o</w:t>
      </w:r>
      <w:r w:rsidRPr="002F133D">
        <w:rPr>
          <w:rFonts w:ascii="Times New Roman" w:eastAsia="Times New Roman" w:hAnsi="Times New Roman"/>
          <w:noProof/>
          <w:lang w:val="lt-LT"/>
        </w:rPr>
        <w:t xml:space="preserve"> (priklausomybėms gydyti).</w:t>
      </w:r>
    </w:p>
    <w:p w:rsidR="00720D3D" w:rsidRDefault="00720D3D" w:rsidP="00720D3D">
      <w:pPr>
        <w:spacing w:after="0" w:line="240" w:lineRule="auto"/>
        <w:rPr>
          <w:rFonts w:ascii="Times New Roman" w:eastAsia="MS Mincho" w:hAnsi="Times New Roman"/>
          <w:lang w:val="lt-LT" w:eastAsia="lt-LT"/>
        </w:rPr>
      </w:pPr>
    </w:p>
    <w:p w:rsidR="00720D3D" w:rsidRPr="00D45066" w:rsidRDefault="00720D3D" w:rsidP="00720D3D">
      <w:pPr>
        <w:spacing w:after="0" w:line="240" w:lineRule="auto"/>
        <w:ind w:left="540" w:hanging="540"/>
        <w:rPr>
          <w:rFonts w:ascii="Times New Roman" w:eastAsia="MS Mincho" w:hAnsi="Times New Roman"/>
          <w:b/>
          <w:lang w:val="lt-LT" w:eastAsia="lt-LT"/>
        </w:rPr>
      </w:pPr>
      <w:r>
        <w:rPr>
          <w:rFonts w:ascii="Times New Roman" w:eastAsia="MS Mincho" w:hAnsi="Times New Roman"/>
          <w:b/>
          <w:lang w:val="lt-LT" w:eastAsia="lt-LT"/>
        </w:rPr>
        <w:t>Proindap</w:t>
      </w:r>
      <w:r w:rsidRPr="00D45066">
        <w:rPr>
          <w:rFonts w:ascii="Times New Roman" w:eastAsia="MS Mincho" w:hAnsi="Times New Roman"/>
          <w:b/>
          <w:lang w:val="lt-LT" w:eastAsia="lt-LT"/>
        </w:rPr>
        <w:t xml:space="preserve"> vartojimas su maistu ir gėrimais</w:t>
      </w:r>
    </w:p>
    <w:p w:rsidR="00720D3D" w:rsidRPr="000E3079" w:rsidRDefault="00720D3D" w:rsidP="00720D3D">
      <w:pPr>
        <w:tabs>
          <w:tab w:val="left" w:pos="567"/>
        </w:tabs>
        <w:spacing w:after="0" w:line="240" w:lineRule="auto"/>
        <w:rPr>
          <w:rFonts w:ascii="Times New Roman" w:eastAsia="MS Mincho" w:hAnsi="Times New Roman"/>
          <w:lang w:val="lt-LT" w:eastAsia="lt-LT"/>
        </w:rPr>
      </w:pPr>
      <w:r w:rsidRPr="00D45066">
        <w:rPr>
          <w:rFonts w:ascii="Times New Roman" w:eastAsia="MS Mincho" w:hAnsi="Times New Roman"/>
          <w:lang w:val="lt-LT" w:eastAsia="lt-LT"/>
        </w:rPr>
        <w:t xml:space="preserve">Kai </w:t>
      </w:r>
      <w:r>
        <w:rPr>
          <w:rFonts w:ascii="Times New Roman" w:eastAsia="MS Mincho" w:hAnsi="Times New Roman"/>
          <w:lang w:val="lt-LT" w:eastAsia="lt-LT"/>
        </w:rPr>
        <w:t>Proindap</w:t>
      </w:r>
      <w:r w:rsidRPr="00D45066">
        <w:rPr>
          <w:rFonts w:ascii="Times New Roman" w:eastAsia="MS Mincho" w:hAnsi="Times New Roman"/>
          <w:lang w:val="lt-LT" w:eastAsia="lt-LT"/>
        </w:rPr>
        <w:t xml:space="preserve"> </w:t>
      </w:r>
      <w:r>
        <w:rPr>
          <w:rFonts w:ascii="Times New Roman" w:eastAsia="MS Mincho" w:hAnsi="Times New Roman"/>
          <w:lang w:val="lt-LT" w:eastAsia="lt-LT"/>
        </w:rPr>
        <w:t>kapsulė</w:t>
      </w:r>
      <w:r w:rsidRPr="00D45066">
        <w:rPr>
          <w:rFonts w:ascii="Times New Roman" w:eastAsia="MS Mincho" w:hAnsi="Times New Roman"/>
          <w:lang w:val="lt-LT" w:eastAsia="lt-LT"/>
        </w:rPr>
        <w:t xml:space="preserve"> išgeriama valgant, indapamido absorbcija padidėja iki tam tikros ribos, tačiau absorbuojamas medžiagos kiekis nepakinta, todėl vaistas gali būti vartojamas nepriklausomai nuo valgio.</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Nėštumas ir žindymo laikotarpis</w:t>
      </w:r>
    </w:p>
    <w:p w:rsidR="00720D3D" w:rsidRPr="00030DBB" w:rsidRDefault="00720D3D" w:rsidP="00720D3D">
      <w:pPr>
        <w:spacing w:after="0" w:line="240" w:lineRule="auto"/>
        <w:rPr>
          <w:rFonts w:ascii="Times New Roman" w:eastAsia="MS Mincho" w:hAnsi="Times New Roman"/>
          <w:lang w:val="lt-LT" w:eastAsia="lt-LT"/>
        </w:rPr>
      </w:pPr>
      <w:r w:rsidRPr="00030DBB">
        <w:rPr>
          <w:rFonts w:ascii="Times New Roman" w:eastAsia="MS Mincho" w:hAnsi="Times New Roman"/>
          <w:lang w:val="lt-LT" w:eastAsia="lt-LT"/>
        </w:rPr>
        <w:t>Jeigu esate nėščia, žindote kūdikį, manote, kad galbūt esate nėščia, arba planuojate pastoti, tai prieš vartodama šį vaistą, pasitarkite su gydytoju arba vaistininku.</w:t>
      </w:r>
    </w:p>
    <w:p w:rsidR="00720D3D" w:rsidRPr="00030DBB" w:rsidRDefault="00720D3D" w:rsidP="00720D3D">
      <w:pPr>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Šio vaisto nerekomenduojama vartoti nėštumo metu. Kai nėštumas planuojamas ar jau patvirtintas, gydymas kuo greičiau turi būti pakeistas alternatyviu. Jei esate nėščia ar planuojate pastoti, pasakykite savo gydytojui.</w:t>
      </w:r>
    </w:p>
    <w:p w:rsidR="00720D3D" w:rsidRPr="00030DBB" w:rsidRDefault="00720D3D" w:rsidP="00720D3D">
      <w:pPr>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Veikliosios medžiagos patenka į motinos pieną. Jei vartojate vaistą, maitinti krūtimi nepatariama.</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Vairavimas ir mechanizmų valdymas</w:t>
      </w:r>
    </w:p>
    <w:p w:rsidR="00720D3D" w:rsidRDefault="00720D3D" w:rsidP="00720D3D">
      <w:pPr>
        <w:tabs>
          <w:tab w:val="left" w:pos="567"/>
        </w:tabs>
        <w:spacing w:after="0" w:line="240" w:lineRule="auto"/>
        <w:rPr>
          <w:rFonts w:ascii="Times New Roman" w:eastAsia="Times New Roman" w:hAnsi="Times New Roman"/>
          <w:lang w:val="lt-LT" w:eastAsia="en-GB"/>
        </w:rPr>
      </w:pPr>
      <w:r w:rsidRPr="00ED7699">
        <w:rPr>
          <w:rFonts w:ascii="Times New Roman" w:eastAsia="Times New Roman" w:hAnsi="Times New Roman"/>
          <w:lang w:val="lt-LT" w:eastAsia="en-GB"/>
        </w:rPr>
        <w:t>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 xml:space="preserve">Proindap sudėtyje yra laktozės </w:t>
      </w:r>
    </w:p>
    <w:p w:rsidR="00720D3D" w:rsidRPr="00CB7439"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Jeigu gydytojas Jums yra sakęs, kad netoleruojate kokių nors angliavandenių, kreipkitės į jį prieš pradėdami vartoti šį vaistą.</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lang w:val="lt-LT" w:eastAsia="en-GB"/>
        </w:rPr>
        <w:t>3.</w:t>
      </w:r>
      <w:r w:rsidRPr="00030DBB">
        <w:rPr>
          <w:rFonts w:ascii="Times New Roman" w:eastAsia="Times New Roman" w:hAnsi="Times New Roman"/>
          <w:b/>
          <w:lang w:val="lt-LT" w:eastAsia="en-GB"/>
        </w:rPr>
        <w:tab/>
        <w:t>Kaip vartoti Proindap</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Visada vartokite šį vaistą tiksliai kaip nurodė gydytojas. Jeigu abejojate, kreipkitės į gydytoją arba vaistininką.</w:t>
      </w:r>
    </w:p>
    <w:p w:rsidR="00720D3D"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Įprasta paros dozė yra 1 Proindap kapsulė (2,5 mg indapamido). Proindap kapsulę reikia nuryti visą, nekramtant, užsigeriant nedideliu kiekiu vandens, geriausiai ryte.</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 </w:t>
      </w:r>
    </w:p>
    <w:p w:rsidR="00720D3D" w:rsidRPr="00030DBB" w:rsidRDefault="00720D3D" w:rsidP="00720D3D">
      <w:pPr>
        <w:tabs>
          <w:tab w:val="left" w:pos="567"/>
        </w:tabs>
        <w:spacing w:after="0" w:line="240" w:lineRule="auto"/>
        <w:rPr>
          <w:rFonts w:ascii="Times New Roman" w:eastAsia="MS Mincho" w:hAnsi="Times New Roman"/>
          <w:b/>
          <w:lang w:val="lt-LT" w:eastAsia="lt-LT"/>
        </w:rPr>
      </w:pPr>
      <w:r w:rsidRPr="00030DBB">
        <w:rPr>
          <w:rFonts w:ascii="Times New Roman" w:eastAsia="MS Mincho" w:hAnsi="Times New Roman"/>
          <w:b/>
          <w:lang w:val="lt-LT" w:eastAsia="lt-LT"/>
        </w:rPr>
        <w:t>Vaikams ir paaugliams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MS Mincho" w:hAnsi="Times New Roman"/>
          <w:lang w:val="lt-LT" w:eastAsia="lt-LT"/>
        </w:rPr>
        <w:t>Proindap nerekomenduojama vartoti vaikams ir paaugliams, nes duomenų apie saugumą ir veiksmingumą nepakanka.</w:t>
      </w:r>
    </w:p>
    <w:p w:rsidR="00720D3D"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Ką daryti pavartojus per didelę Proindap dozę</w:t>
      </w:r>
    </w:p>
    <w:p w:rsidR="00720D3D" w:rsidRPr="000E3079" w:rsidRDefault="00720D3D" w:rsidP="00720D3D">
      <w:pPr>
        <w:tabs>
          <w:tab w:val="left" w:pos="567"/>
        </w:tabs>
        <w:spacing w:after="0" w:line="240" w:lineRule="auto"/>
        <w:rPr>
          <w:rFonts w:ascii="Times New Roman" w:eastAsia="MS Mincho" w:hAnsi="Times New Roman"/>
          <w:iCs/>
          <w:lang w:val="lt-LT" w:eastAsia="lt-LT"/>
        </w:rPr>
      </w:pPr>
      <w:r w:rsidRPr="00956717">
        <w:rPr>
          <w:rFonts w:ascii="Times New Roman" w:eastAsia="MS Mincho" w:hAnsi="Times New Roman"/>
          <w:iCs/>
          <w:lang w:val="lt-LT" w:eastAsia="lt-LT"/>
        </w:rPr>
        <w:t xml:space="preserve">Jei išgėrėte per daug </w:t>
      </w:r>
      <w:r>
        <w:rPr>
          <w:rFonts w:ascii="Times New Roman" w:eastAsia="MS Mincho" w:hAnsi="Times New Roman"/>
          <w:iCs/>
          <w:lang w:val="lt-LT" w:eastAsia="lt-LT"/>
        </w:rPr>
        <w:t>vaisto</w:t>
      </w:r>
      <w:r>
        <w:rPr>
          <w:rFonts w:ascii="Times New Roman" w:eastAsia="Times New Roman" w:hAnsi="Times New Roman"/>
          <w:lang w:val="lt-LT" w:eastAsia="en-GB"/>
        </w:rPr>
        <w:t xml:space="preserve">, </w:t>
      </w:r>
      <w:r w:rsidRPr="00030DBB">
        <w:rPr>
          <w:rFonts w:ascii="Times New Roman" w:eastAsia="Times New Roman" w:hAnsi="Times New Roman"/>
          <w:lang w:val="lt-LT" w:eastAsia="en-GB"/>
        </w:rPr>
        <w:t>nedelsiant kreipkitės į gydytoją.</w:t>
      </w:r>
      <w:r w:rsidRPr="00E322C9">
        <w:rPr>
          <w:rFonts w:ascii="Times New Roman" w:eastAsia="MS Mincho" w:hAnsi="Times New Roman"/>
          <w:iCs/>
          <w:lang w:val="lt-LT" w:eastAsia="lt-LT"/>
        </w:rPr>
        <w:t xml:space="preserve"> Labai didelė </w:t>
      </w:r>
      <w:r>
        <w:rPr>
          <w:rFonts w:ascii="Times New Roman" w:eastAsia="MS Mincho" w:hAnsi="Times New Roman"/>
          <w:lang w:val="lt-LT" w:eastAsia="lt-LT"/>
        </w:rPr>
        <w:t>Proindap</w:t>
      </w:r>
      <w:r w:rsidRPr="00E322C9">
        <w:rPr>
          <w:rFonts w:ascii="Times New Roman" w:eastAsia="MS Mincho" w:hAnsi="Times New Roman"/>
          <w:lang w:val="lt-LT" w:eastAsia="lt-LT"/>
        </w:rPr>
        <w:t xml:space="preserve"> </w:t>
      </w:r>
      <w:r w:rsidRPr="00E322C9">
        <w:rPr>
          <w:rFonts w:ascii="Times New Roman" w:eastAsia="MS Mincho" w:hAnsi="Times New Roman"/>
          <w:iCs/>
          <w:lang w:val="lt-LT" w:eastAsia="lt-LT"/>
        </w:rPr>
        <w:t xml:space="preserve">dozė gali sukelti pykinimą, vėmimą, mažą kraujospūdį, mėšlungį, galvos svaigimą, mieguistumą, </w:t>
      </w:r>
      <w:r w:rsidRPr="00E322C9">
        <w:rPr>
          <w:rFonts w:ascii="Times New Roman" w:eastAsia="MS Mincho" w:hAnsi="Times New Roman"/>
          <w:lang w:val="lt-LT" w:eastAsia="lt-LT"/>
        </w:rPr>
        <w:t>minčių susipainiojimą</w:t>
      </w:r>
      <w:r w:rsidRPr="00E322C9">
        <w:rPr>
          <w:rFonts w:ascii="Times New Roman" w:eastAsia="MS Mincho" w:hAnsi="Times New Roman"/>
          <w:iCs/>
          <w:lang w:val="lt-LT" w:eastAsia="lt-LT"/>
        </w:rPr>
        <w:t xml:space="preserve"> ir inkstų išskiriamo šlapimo kiekio pakitimus.</w:t>
      </w:r>
      <w:r w:rsidRPr="00030DBB">
        <w:rPr>
          <w:rFonts w:ascii="Times New Roman" w:eastAsia="Times New Roman" w:hAnsi="Times New Roman"/>
          <w:lang w:val="lt-LT" w:eastAsia="en-GB"/>
        </w:rPr>
        <w:t xml:space="preserve"> Pirminės pagalbos priemonės yra išgerto vaisto pašalinimas plaunant skrandį ir aktyvintos anglies vartojimas bei po to sekanti vandens ir elektrolitų balanso korekcija </w:t>
      </w:r>
      <w:r>
        <w:rPr>
          <w:rFonts w:ascii="Times New Roman" w:eastAsia="Times New Roman" w:hAnsi="Times New Roman"/>
          <w:lang w:val="lt-LT" w:eastAsia="en-GB"/>
        </w:rPr>
        <w:t>gydymo įstaigoje</w:t>
      </w:r>
      <w:r w:rsidRPr="00030DBB">
        <w:rPr>
          <w:rFonts w:ascii="Times New Roman" w:eastAsia="Times New Roman" w:hAnsi="Times New Roman"/>
          <w:lang w:val="lt-LT" w:eastAsia="en-GB"/>
        </w:rPr>
        <w:t>.</w:t>
      </w: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lang w:val="lt-LT" w:eastAsia="en-GB"/>
        </w:rPr>
        <w:t>Pamiršus pavartoti Proindap</w:t>
      </w:r>
    </w:p>
    <w:p w:rsidR="00720D3D" w:rsidRPr="00315ABC" w:rsidRDefault="00720D3D" w:rsidP="00720D3D">
      <w:pPr>
        <w:spacing w:after="0" w:line="240" w:lineRule="auto"/>
        <w:rPr>
          <w:rFonts w:ascii="Times New Roman" w:eastAsia="MS Mincho" w:hAnsi="Times New Roman"/>
          <w:iCs/>
          <w:lang w:val="lt-LT" w:eastAsia="lt-LT"/>
        </w:rPr>
      </w:pPr>
      <w:r w:rsidRPr="00315ABC">
        <w:rPr>
          <w:rFonts w:ascii="Times New Roman" w:eastAsia="MS Mincho" w:hAnsi="Times New Roman"/>
          <w:iCs/>
          <w:lang w:val="lt-LT" w:eastAsia="lt-LT"/>
        </w:rPr>
        <w:t>Jei užmiršote išgerti vaisto dozę, kitą dozę gerkite įprastu laiku. Negalima vartoti dvigubos dozės, norint kompensuoti praleistą tabletę.</w:t>
      </w:r>
    </w:p>
    <w:p w:rsidR="00720D3D" w:rsidRPr="00030DBB" w:rsidRDefault="00720D3D" w:rsidP="00720D3D">
      <w:pPr>
        <w:spacing w:after="0" w:line="240" w:lineRule="auto"/>
        <w:rPr>
          <w:rFonts w:ascii="Times New Roman" w:eastAsia="MS Mincho" w:hAnsi="Times New Roman"/>
          <w:b/>
          <w:noProof/>
          <w:lang w:val="lt-LT" w:eastAsia="lt-LT"/>
        </w:rPr>
      </w:pPr>
    </w:p>
    <w:p w:rsidR="00720D3D" w:rsidRPr="00030DBB" w:rsidRDefault="00720D3D" w:rsidP="00720D3D">
      <w:pPr>
        <w:spacing w:after="0" w:line="240" w:lineRule="auto"/>
        <w:rPr>
          <w:rFonts w:ascii="Times New Roman" w:eastAsia="MS Mincho" w:hAnsi="Times New Roman"/>
          <w:b/>
          <w:noProof/>
          <w:lang w:val="lt-LT" w:eastAsia="lt-LT"/>
        </w:rPr>
      </w:pPr>
      <w:r w:rsidRPr="00030DBB">
        <w:rPr>
          <w:rFonts w:ascii="Times New Roman" w:eastAsia="MS Mincho" w:hAnsi="Times New Roman"/>
          <w:b/>
          <w:noProof/>
          <w:lang w:val="lt-LT" w:eastAsia="lt-LT"/>
        </w:rPr>
        <w:t xml:space="preserve">Nustojus vartoti </w:t>
      </w:r>
      <w:r w:rsidRPr="00030DBB">
        <w:rPr>
          <w:rFonts w:ascii="Times New Roman" w:eastAsia="MS Mincho" w:hAnsi="Times New Roman"/>
          <w:b/>
          <w:lang w:val="lt-LT" w:eastAsia="lt-LT"/>
        </w:rPr>
        <w:t>Proindap</w:t>
      </w:r>
    </w:p>
    <w:p w:rsidR="00720D3D" w:rsidRPr="00030DBB" w:rsidRDefault="00720D3D" w:rsidP="00720D3D">
      <w:pPr>
        <w:tabs>
          <w:tab w:val="left" w:pos="567"/>
        </w:tabs>
        <w:spacing w:after="0" w:line="240" w:lineRule="auto"/>
        <w:rPr>
          <w:rFonts w:ascii="Times New Roman" w:eastAsia="MS Mincho" w:hAnsi="Times New Roman"/>
          <w:iCs/>
          <w:lang w:val="lt-LT" w:eastAsia="lt-LT"/>
        </w:rPr>
      </w:pPr>
      <w:r w:rsidRPr="00030DBB">
        <w:rPr>
          <w:rFonts w:ascii="Times New Roman" w:eastAsia="MS Mincho" w:hAnsi="Times New Roman"/>
          <w:iCs/>
          <w:lang w:val="lt-LT" w:eastAsia="lt-LT"/>
        </w:rPr>
        <w:t>Kadangi didelio kraujospūdžio ligos gydymas paprastai trunka visą likusį gyvenimą, prieš nustodami vartoti šį vaistą, pasitarkite su gydytoju.</w:t>
      </w: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Jeigu manote, kad Proindap veikia per stipriai arba per silpnai, kreipkitės į gydytoją arba vaistininką.</w:t>
      </w:r>
    </w:p>
    <w:p w:rsidR="00720D3D" w:rsidRDefault="00720D3D" w:rsidP="00720D3D">
      <w:pPr>
        <w:tabs>
          <w:tab w:val="left" w:pos="567"/>
        </w:tabs>
        <w:spacing w:after="0" w:line="240" w:lineRule="auto"/>
        <w:rPr>
          <w:rFonts w:ascii="Times New Roman" w:eastAsia="Times New Roman" w:hAnsi="Times New Roman"/>
          <w:b/>
          <w:lang w:val="lt-LT" w:eastAsia="en-GB"/>
        </w:rPr>
      </w:pPr>
    </w:p>
    <w:p w:rsidR="00720D3D" w:rsidRPr="00C815A5" w:rsidRDefault="00720D3D" w:rsidP="00720D3D">
      <w:pPr>
        <w:spacing w:after="0" w:line="240" w:lineRule="auto"/>
        <w:rPr>
          <w:rFonts w:ascii="Times New Roman" w:eastAsia="MS Mincho" w:hAnsi="Times New Roman"/>
          <w:iCs/>
          <w:lang w:val="lt-LT" w:eastAsia="lt-LT"/>
        </w:rPr>
      </w:pPr>
      <w:r w:rsidRPr="00C815A5">
        <w:rPr>
          <w:rFonts w:ascii="Times New Roman" w:eastAsia="MS Mincho" w:hAnsi="Times New Roman"/>
          <w:iCs/>
          <w:lang w:val="lt-LT" w:eastAsia="lt-LT"/>
        </w:rPr>
        <w:t>Jeigu kiltų daugiau klausimų dėl šio vaisto vartojimo, kreipkitės į gydytoją arba vaistininką.</w:t>
      </w: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r w:rsidRPr="00030DBB">
        <w:rPr>
          <w:rFonts w:ascii="Times New Roman" w:eastAsia="Times New Roman" w:hAnsi="Times New Roman"/>
          <w:b/>
          <w:caps/>
          <w:lang w:val="lt-LT" w:eastAsia="en-GB"/>
        </w:rPr>
        <w:t>4.</w:t>
      </w:r>
      <w:r w:rsidRPr="00030DBB">
        <w:rPr>
          <w:rFonts w:ascii="Times New Roman" w:eastAsia="Times New Roman" w:hAnsi="Times New Roman"/>
          <w:b/>
          <w:caps/>
          <w:lang w:val="lt-LT" w:eastAsia="en-GB"/>
        </w:rPr>
        <w:tab/>
      </w:r>
      <w:r w:rsidRPr="00030DBB">
        <w:rPr>
          <w:rFonts w:ascii="Times New Roman" w:eastAsia="Times New Roman" w:hAnsi="Times New Roman"/>
          <w:b/>
          <w:lang w:val="lt-LT" w:eastAsia="en-GB"/>
        </w:rPr>
        <w:t>Galimas šalutinis poveikis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Šis vaistas, kaip ir visi kiti, gali sukelti šalutinį poveikį, nors jis pasireiškia ne visiems žmonėms.</w:t>
      </w:r>
    </w:p>
    <w:p w:rsidR="00720D3D" w:rsidRDefault="00720D3D" w:rsidP="00720D3D">
      <w:pPr>
        <w:tabs>
          <w:tab w:val="left" w:pos="567"/>
        </w:tabs>
        <w:spacing w:after="0" w:line="240" w:lineRule="auto"/>
        <w:rPr>
          <w:rFonts w:ascii="Times New Roman" w:eastAsia="Times New Roman" w:hAnsi="Times New Roman"/>
          <w:lang w:val="lt-LT" w:eastAsia="en-GB"/>
        </w:rPr>
      </w:pPr>
    </w:p>
    <w:p w:rsidR="00720D3D" w:rsidRPr="00D81953" w:rsidRDefault="00720D3D" w:rsidP="00720D3D">
      <w:pPr>
        <w:spacing w:after="0" w:line="240" w:lineRule="auto"/>
        <w:rPr>
          <w:rFonts w:ascii="Times New Roman" w:hAnsi="Times New Roman"/>
          <w:lang w:val="lt-LT"/>
        </w:rPr>
      </w:pPr>
      <w:r w:rsidRPr="006C36B9">
        <w:rPr>
          <w:rFonts w:ascii="Times New Roman" w:eastAsia="MS Mincho" w:hAnsi="Times New Roman"/>
          <w:b/>
          <w:iCs/>
          <w:lang w:val="lt-LT" w:eastAsia="lt-LT"/>
        </w:rPr>
        <w:t>Nedelsdami nutraukite vaisto vartojimą ir kreipkitės į gydytoją, jeigu Jums atsiranda kuris nors čia paminėtas</w:t>
      </w:r>
      <w:r w:rsidRPr="006C36B9">
        <w:rPr>
          <w:rFonts w:ascii="Times New Roman" w:eastAsia="MS Mincho" w:hAnsi="Times New Roman"/>
          <w:b/>
          <w:lang w:val="lt-LT" w:eastAsia="lt-LT"/>
        </w:rPr>
        <w:t xml:space="preserve"> šalutinis poveikis</w:t>
      </w:r>
      <w:r w:rsidRPr="006C36B9">
        <w:rPr>
          <w:rFonts w:ascii="Times New Roman" w:eastAsia="MS Mincho" w:hAnsi="Times New Roman"/>
          <w:b/>
          <w:iCs/>
          <w:lang w:val="lt-LT" w:eastAsia="lt-LT"/>
        </w:rPr>
        <w:t>.</w:t>
      </w:r>
    </w:p>
    <w:p w:rsidR="00720D3D" w:rsidRPr="006C36B9" w:rsidRDefault="00720D3D" w:rsidP="00720D3D">
      <w:pPr>
        <w:numPr>
          <w:ilvl w:val="0"/>
          <w:numId w:val="3"/>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Angioneurozinė edema ir (arba) dilgėlinė (labai ret</w:t>
      </w:r>
      <w:r>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Pr="005422F8">
        <w:rPr>
          <w:rFonts w:ascii="Times New Roman" w:eastAsia="MS Mincho" w:hAnsi="Times New Roman"/>
          <w:lang w:val="lt-LT" w:eastAsia="lt-LT"/>
        </w:rPr>
        <w:t xml:space="preserve">rečiau nei </w:t>
      </w:r>
      <w:r w:rsidRPr="006C36B9">
        <w:rPr>
          <w:rFonts w:ascii="Times New Roman" w:eastAsia="MS Mincho" w:hAnsi="Times New Roman"/>
          <w:lang w:val="lt-LT" w:eastAsia="lt-LT"/>
        </w:rPr>
        <w:t xml:space="preserve">1 iš 10 000 žmonių). Angioneurozinė edema pasireiškia galūnių arba veido odos patinimu, lūpų ar liežuvio patinimu, ryklės ar kvėpavimo takų gleivinių patinimu, dėl kurio atsiranda dusulys arba sunkumas ryti. Jeigu jaučiate šiuos simptomus, nedelsdami kreipkitės į gydytoją. </w:t>
      </w:r>
    </w:p>
    <w:p w:rsidR="00720D3D" w:rsidRPr="006C36B9" w:rsidRDefault="00720D3D" w:rsidP="00720D3D">
      <w:pPr>
        <w:numPr>
          <w:ilvl w:val="0"/>
          <w:numId w:val="3"/>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 xml:space="preserve">Sunkios odos reakcijos, įskaitant stiprų odos bėrimą, visos kūno odos paraudimą, stiprų niežėjimą, pūslių susidarymą, odos lupimąsi ir odos patinimą, gleivinių uždegimą (Stivenso - Džonsono sindromas – </w:t>
      </w:r>
      <w:r w:rsidRPr="006C36B9">
        <w:rPr>
          <w:rFonts w:ascii="Times New Roman" w:eastAsia="MS Mincho" w:hAnsi="Times New Roman"/>
          <w:i/>
          <w:iCs/>
          <w:lang w:val="lt-LT" w:eastAsia="lt-LT"/>
        </w:rPr>
        <w:t>Stevens Johnson Syndrome)</w:t>
      </w:r>
      <w:r w:rsidRPr="006C36B9">
        <w:rPr>
          <w:rFonts w:ascii="Times New Roman" w:eastAsia="MS Mincho" w:hAnsi="Times New Roman"/>
          <w:lang w:val="lt-LT" w:eastAsia="lt-LT"/>
        </w:rPr>
        <w:t xml:space="preserve"> arba kitos alerginės reakcijos (labai ret</w:t>
      </w:r>
      <w:r>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Pr="005422F8">
        <w:rPr>
          <w:rFonts w:ascii="Times New Roman" w:eastAsia="MS Mincho" w:hAnsi="Times New Roman"/>
          <w:lang w:val="lt-LT" w:eastAsia="lt-LT"/>
        </w:rPr>
        <w:t xml:space="preserve">rečiau nei </w:t>
      </w:r>
      <w:r w:rsidRPr="006C36B9">
        <w:rPr>
          <w:rFonts w:ascii="Times New Roman" w:eastAsia="MS Mincho" w:hAnsi="Times New Roman"/>
          <w:lang w:val="lt-LT" w:eastAsia="lt-LT"/>
        </w:rPr>
        <w:t>1 iš 10 000 žmonių)</w:t>
      </w:r>
      <w:r>
        <w:rPr>
          <w:rFonts w:ascii="Times New Roman" w:eastAsia="MS Mincho" w:hAnsi="Times New Roman"/>
          <w:lang w:val="lt-LT" w:eastAsia="lt-LT"/>
        </w:rPr>
        <w:t>.</w:t>
      </w:r>
      <w:r w:rsidRPr="006C36B9">
        <w:rPr>
          <w:rFonts w:ascii="Times New Roman" w:eastAsia="MS Mincho" w:hAnsi="Times New Roman"/>
          <w:lang w:val="lt-LT" w:eastAsia="lt-LT"/>
        </w:rPr>
        <w:t xml:space="preserve"> </w:t>
      </w:r>
    </w:p>
    <w:p w:rsidR="00720D3D" w:rsidRPr="006C36B9" w:rsidRDefault="00720D3D" w:rsidP="00720D3D">
      <w:pPr>
        <w:numPr>
          <w:ilvl w:val="0"/>
          <w:numId w:val="3"/>
        </w:numPr>
        <w:spacing w:after="0" w:line="240" w:lineRule="auto"/>
        <w:ind w:right="-2"/>
        <w:jc w:val="both"/>
        <w:rPr>
          <w:rFonts w:ascii="Times New Roman" w:eastAsia="MS Mincho" w:hAnsi="Times New Roman"/>
          <w:lang w:val="lt-LT" w:eastAsia="lt-LT"/>
        </w:rPr>
      </w:pPr>
      <w:r w:rsidRPr="006C36B9">
        <w:rPr>
          <w:rFonts w:ascii="Times New Roman" w:eastAsia="MS Mincho" w:hAnsi="Times New Roman"/>
          <w:lang w:val="lt-LT" w:eastAsia="lt-LT"/>
        </w:rPr>
        <w:t>Gyvybei grėsmingas nereguliarus širdies plakimas (</w:t>
      </w:r>
      <w:r>
        <w:rPr>
          <w:rFonts w:ascii="Times New Roman" w:eastAsia="MS Mincho" w:hAnsi="Times New Roman"/>
          <w:lang w:val="lt-LT" w:eastAsia="lt-LT"/>
        </w:rPr>
        <w:t>d</w:t>
      </w:r>
      <w:r w:rsidRPr="006C36B9">
        <w:rPr>
          <w:rFonts w:ascii="Times New Roman" w:eastAsia="MS Mincho" w:hAnsi="Times New Roman"/>
          <w:lang w:val="lt-LT" w:eastAsia="lt-LT"/>
        </w:rPr>
        <w:t>ažnis nežinomas)</w:t>
      </w:r>
      <w:r>
        <w:rPr>
          <w:rFonts w:ascii="Times New Roman" w:eastAsia="MS Mincho" w:hAnsi="Times New Roman"/>
          <w:lang w:val="lt-LT" w:eastAsia="lt-LT"/>
        </w:rPr>
        <w:t>.</w:t>
      </w:r>
    </w:p>
    <w:p w:rsidR="00720D3D" w:rsidRPr="006C36B9" w:rsidRDefault="00720D3D" w:rsidP="00720D3D">
      <w:pPr>
        <w:numPr>
          <w:ilvl w:val="0"/>
          <w:numId w:val="3"/>
        </w:numPr>
        <w:spacing w:after="0" w:line="240" w:lineRule="auto"/>
        <w:ind w:right="-29"/>
        <w:jc w:val="both"/>
        <w:rPr>
          <w:rFonts w:ascii="Times New Roman" w:eastAsia="MS Mincho" w:hAnsi="Times New Roman"/>
          <w:noProof/>
          <w:lang w:val="lt-LT" w:eastAsia="lt-LT"/>
        </w:rPr>
      </w:pPr>
      <w:r w:rsidRPr="006C36B9">
        <w:rPr>
          <w:rFonts w:ascii="Times New Roman" w:eastAsia="MS Mincho" w:hAnsi="Times New Roman"/>
          <w:iCs/>
          <w:lang w:val="lt-LT" w:eastAsia="lt-LT"/>
        </w:rPr>
        <w:t xml:space="preserve">Kasos uždegimas, kuris gali sukelti stiprų pilvo ir nugaros skausmą, kartu esant labai blogai bendrai savijautai </w:t>
      </w:r>
      <w:r w:rsidRPr="006C36B9">
        <w:rPr>
          <w:rFonts w:ascii="Times New Roman" w:eastAsia="MS Mincho" w:hAnsi="Times New Roman"/>
          <w:lang w:val="lt-LT" w:eastAsia="lt-LT"/>
        </w:rPr>
        <w:t>(labai ret</w:t>
      </w:r>
      <w:r>
        <w:rPr>
          <w:rFonts w:ascii="Times New Roman" w:eastAsia="MS Mincho" w:hAnsi="Times New Roman"/>
          <w:lang w:val="lt-LT" w:eastAsia="lt-LT"/>
        </w:rPr>
        <w:t>as</w:t>
      </w:r>
      <w:r w:rsidRPr="006C36B9">
        <w:rPr>
          <w:rFonts w:ascii="Times New Roman" w:eastAsia="MS Mincho" w:hAnsi="Times New Roman"/>
          <w:lang w:val="lt-LT" w:eastAsia="lt-LT"/>
        </w:rPr>
        <w:t xml:space="preserve">: gali pasireikšti </w:t>
      </w:r>
      <w:r w:rsidRPr="005422F8">
        <w:rPr>
          <w:rFonts w:ascii="Times New Roman" w:eastAsia="MS Mincho" w:hAnsi="Times New Roman"/>
          <w:lang w:val="lt-LT" w:eastAsia="lt-LT"/>
        </w:rPr>
        <w:t>rečiau nei</w:t>
      </w:r>
      <w:r w:rsidRPr="006C36B9">
        <w:rPr>
          <w:rFonts w:ascii="Times New Roman" w:eastAsia="MS Mincho" w:hAnsi="Times New Roman"/>
          <w:lang w:val="lt-LT" w:eastAsia="lt-LT"/>
        </w:rPr>
        <w:t xml:space="preserve"> 1 iš 10 000 žmonių)</w:t>
      </w:r>
      <w:r>
        <w:rPr>
          <w:rFonts w:ascii="Times New Roman" w:eastAsia="MS Mincho" w:hAnsi="Times New Roman"/>
          <w:lang w:val="lt-LT" w:eastAsia="lt-LT"/>
        </w:rPr>
        <w:t>.</w:t>
      </w:r>
    </w:p>
    <w:p w:rsidR="00720D3D" w:rsidRPr="006C36B9" w:rsidRDefault="00720D3D" w:rsidP="00720D3D">
      <w:pPr>
        <w:numPr>
          <w:ilvl w:val="0"/>
          <w:numId w:val="3"/>
        </w:numPr>
        <w:spacing w:after="0" w:line="240" w:lineRule="auto"/>
        <w:jc w:val="both"/>
        <w:rPr>
          <w:rFonts w:ascii="Times New Roman" w:eastAsia="MS Mincho" w:hAnsi="Times New Roman"/>
          <w:lang w:val="lt-LT" w:eastAsia="lt-LT"/>
        </w:rPr>
      </w:pPr>
      <w:r w:rsidRPr="006C36B9">
        <w:rPr>
          <w:rFonts w:ascii="Times New Roman" w:eastAsia="MS Mincho" w:hAnsi="Times New Roman"/>
          <w:noProof/>
          <w:lang w:val="lt-LT" w:eastAsia="lt-LT"/>
        </w:rPr>
        <w:t xml:space="preserve">Smegenų liga, kurią sukelia kepenų liga (kepenų encefalopatija) </w:t>
      </w:r>
      <w:r w:rsidRPr="006C36B9">
        <w:rPr>
          <w:rFonts w:ascii="Times New Roman" w:eastAsia="MS Mincho" w:hAnsi="Times New Roman"/>
          <w:lang w:val="lt-LT" w:eastAsia="lt-LT"/>
        </w:rPr>
        <w:t>(</w:t>
      </w:r>
      <w:r>
        <w:rPr>
          <w:rFonts w:ascii="Times New Roman" w:eastAsia="MS Mincho" w:hAnsi="Times New Roman"/>
          <w:lang w:val="lt-LT" w:eastAsia="lt-LT"/>
        </w:rPr>
        <w:t>d</w:t>
      </w:r>
      <w:r w:rsidRPr="006C36B9">
        <w:rPr>
          <w:rFonts w:ascii="Times New Roman" w:eastAsia="MS Mincho" w:hAnsi="Times New Roman"/>
          <w:lang w:val="lt-LT" w:eastAsia="lt-LT"/>
        </w:rPr>
        <w:t>ažnis nežinomas)</w:t>
      </w:r>
      <w:r>
        <w:rPr>
          <w:rFonts w:ascii="Times New Roman" w:eastAsia="MS Mincho" w:hAnsi="Times New Roman"/>
          <w:lang w:val="lt-LT" w:eastAsia="lt-LT"/>
        </w:rPr>
        <w:t>.</w:t>
      </w:r>
    </w:p>
    <w:p w:rsidR="00720D3D" w:rsidRDefault="00720D3D" w:rsidP="00720D3D">
      <w:pPr>
        <w:numPr>
          <w:ilvl w:val="0"/>
          <w:numId w:val="3"/>
        </w:numPr>
        <w:spacing w:after="0" w:line="240" w:lineRule="auto"/>
        <w:jc w:val="both"/>
        <w:rPr>
          <w:rFonts w:ascii="Times New Roman" w:eastAsia="Times New Roman" w:hAnsi="Times New Roman"/>
          <w:lang w:val="lt-LT" w:eastAsia="fr-FR"/>
        </w:rPr>
      </w:pPr>
      <w:r w:rsidRPr="006C36B9">
        <w:rPr>
          <w:rFonts w:ascii="Times New Roman" w:eastAsia="Times New Roman" w:hAnsi="Times New Roman"/>
          <w:lang w:val="lt-LT" w:eastAsia="fr-FR"/>
        </w:rPr>
        <w:t xml:space="preserve">Kepenų uždegimas (hepatitas) </w:t>
      </w:r>
      <w:r w:rsidRPr="006C36B9">
        <w:rPr>
          <w:rFonts w:ascii="Times New Roman" w:eastAsia="Times New Roman" w:hAnsi="Times New Roman"/>
          <w:lang w:val="lt-LT"/>
        </w:rPr>
        <w:t>(</w:t>
      </w:r>
      <w:r>
        <w:rPr>
          <w:rFonts w:ascii="Times New Roman" w:eastAsia="Times New Roman" w:hAnsi="Times New Roman"/>
          <w:lang w:val="lt-LT"/>
        </w:rPr>
        <w:t>d</w:t>
      </w:r>
      <w:r w:rsidRPr="006C36B9">
        <w:rPr>
          <w:rFonts w:ascii="Times New Roman" w:eastAsia="Times New Roman" w:hAnsi="Times New Roman"/>
          <w:lang w:val="lt-LT"/>
        </w:rPr>
        <w:t>ažnis nežinomas)</w:t>
      </w:r>
      <w:r>
        <w:rPr>
          <w:rFonts w:ascii="Times New Roman" w:eastAsia="Times New Roman" w:hAnsi="Times New Roman"/>
          <w:lang w:val="lt-LT"/>
        </w:rPr>
        <w:t>.</w:t>
      </w:r>
    </w:p>
    <w:p w:rsidR="00720D3D" w:rsidRPr="00BE0966" w:rsidRDefault="00720D3D" w:rsidP="00720D3D">
      <w:pPr>
        <w:pStyle w:val="Sraopastraipa"/>
        <w:numPr>
          <w:ilvl w:val="0"/>
          <w:numId w:val="3"/>
        </w:numPr>
        <w:spacing w:after="0" w:line="240" w:lineRule="auto"/>
        <w:jc w:val="both"/>
        <w:rPr>
          <w:rFonts w:ascii="Times New Roman" w:eastAsia="Times New Roman" w:hAnsi="Times New Roman"/>
          <w:lang w:eastAsia="fr-FR"/>
        </w:rPr>
      </w:pPr>
      <w:r w:rsidRPr="00BE0966">
        <w:rPr>
          <w:rFonts w:ascii="Times New Roman" w:eastAsia="Times New Roman" w:hAnsi="Times New Roman"/>
          <w:lang w:eastAsia="fr-FR"/>
        </w:rPr>
        <w:t>Raumenų silpnumas, mėšlungis, jautrumas ar skausmas, ypač, jei tuo pačiu metu jaučiatės prastai, Jums pakilo aukšta temperatūra, kurią gali sukelti nenormalus raumenų irimas (dažnis nežinomas)</w:t>
      </w:r>
      <w:r>
        <w:rPr>
          <w:rFonts w:ascii="Times New Roman" w:eastAsia="Times New Roman" w:hAnsi="Times New Roman"/>
          <w:lang w:eastAsia="fr-FR"/>
        </w:rPr>
        <w:t>.</w:t>
      </w:r>
    </w:p>
    <w:p w:rsidR="00720D3D" w:rsidRDefault="00720D3D" w:rsidP="00720D3D">
      <w:pPr>
        <w:tabs>
          <w:tab w:val="left" w:pos="567"/>
        </w:tabs>
        <w:spacing w:after="0" w:line="240" w:lineRule="auto"/>
        <w:rPr>
          <w:rFonts w:ascii="Times New Roman" w:eastAsia="Times New Roman" w:hAnsi="Times New Roman"/>
          <w:lang w:val="lt-LT" w:eastAsia="en-GB"/>
        </w:rPr>
      </w:pPr>
    </w:p>
    <w:p w:rsidR="00720D3D" w:rsidRPr="000E3079" w:rsidRDefault="00720D3D" w:rsidP="00720D3D">
      <w:pPr>
        <w:numPr>
          <w:ilvl w:val="12"/>
          <w:numId w:val="0"/>
        </w:numPr>
        <w:spacing w:after="0" w:line="240" w:lineRule="auto"/>
        <w:ind w:right="-28"/>
        <w:jc w:val="both"/>
        <w:rPr>
          <w:rFonts w:ascii="Times New Roman" w:eastAsia="MS Mincho" w:hAnsi="Times New Roman"/>
          <w:noProof/>
          <w:lang w:val="lt-LT" w:eastAsia="lt-LT"/>
        </w:rPr>
      </w:pPr>
      <w:r w:rsidRPr="006D1DC6">
        <w:rPr>
          <w:rFonts w:ascii="Times New Roman" w:eastAsia="MS Mincho" w:hAnsi="Times New Roman"/>
          <w:noProof/>
          <w:u w:val="single"/>
          <w:lang w:val="lt-LT" w:eastAsia="lt-LT"/>
        </w:rPr>
        <w:t>Kitas šalutinis poveikis (aprašytas dažnio mažėjimo tvarka)</w:t>
      </w:r>
      <w:r>
        <w:rPr>
          <w:rFonts w:ascii="Times New Roman" w:eastAsia="MS Mincho" w:hAnsi="Times New Roman"/>
          <w:noProof/>
          <w:u w:val="single"/>
          <w:lang w:val="lt-LT" w:eastAsia="lt-LT"/>
        </w:rPr>
        <w:t>.</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1728E" w:rsidRDefault="00720D3D" w:rsidP="00720D3D">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Dažni šalutinio poveikio reiškiniai (gali pasireikšti rečiau kaip</w:t>
      </w:r>
      <w:r w:rsidRPr="00D81953">
        <w:rPr>
          <w:rFonts w:ascii="Times New Roman" w:hAnsi="Times New Roman"/>
          <w:i/>
          <w:lang w:val="lt-LT"/>
        </w:rPr>
        <w:t xml:space="preserve"> </w:t>
      </w:r>
      <w:r w:rsidRPr="00397BB4">
        <w:rPr>
          <w:rFonts w:ascii="Times New Roman" w:eastAsia="MS Mincho" w:hAnsi="Times New Roman"/>
          <w:i/>
          <w:lang w:val="lt-LT" w:eastAsia="lt-LT"/>
        </w:rPr>
        <w:t>1 iš 10 asmenų)</w:t>
      </w:r>
      <w:r>
        <w:rPr>
          <w:rFonts w:ascii="Times New Roman" w:eastAsia="MS Mincho" w:hAnsi="Times New Roman"/>
          <w:i/>
          <w:lang w:val="lt-LT" w:eastAsia="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odos išbėrimas raudonomis iškiliomis dėmėmis,</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maža kalio koncentracija kraujyje</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alerginės reakcijos, daugiausia odos, pacientams su polinkiu į alergines ir astmines reakcijas.</w:t>
      </w:r>
    </w:p>
    <w:p w:rsidR="00720D3D" w:rsidRDefault="00720D3D" w:rsidP="00720D3D">
      <w:pPr>
        <w:tabs>
          <w:tab w:val="left" w:pos="567"/>
        </w:tabs>
        <w:spacing w:after="0" w:line="240" w:lineRule="auto"/>
        <w:rPr>
          <w:rFonts w:ascii="Times New Roman" w:eastAsia="MS Mincho" w:hAnsi="Times New Roman"/>
          <w:lang w:val="lt-LT" w:eastAsia="lt-LT"/>
        </w:rPr>
      </w:pPr>
    </w:p>
    <w:p w:rsidR="00720D3D" w:rsidRPr="0001728E" w:rsidRDefault="00720D3D" w:rsidP="00720D3D">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Nedažni šalutinio poveikio reiškiniai (gali pasireikšti rečiau kaip 1 iš 100 asmenų)</w:t>
      </w:r>
      <w:r w:rsidRPr="0001728E">
        <w:rPr>
          <w:rFonts w:ascii="Times New Roman" w:eastAsia="MS Mincho" w:hAnsi="Times New Roman"/>
          <w:i/>
          <w:lang w:val="lt-LT" w:eastAsia="lt-LT"/>
        </w:rPr>
        <w:t xml:space="preserve">: </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vėmimas,</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natrio koncentracija kraujyje, dėl kurios gali pasireikšti skysčių trūkumas (dehidratacija) ir kraujospūdžio sumažėjimas</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n</w:t>
      </w:r>
      <w:r w:rsidRPr="002B33F5">
        <w:rPr>
          <w:rFonts w:ascii="Times New Roman" w:eastAsia="Times New Roman" w:hAnsi="Times New Roman"/>
          <w:noProof/>
          <w:lang w:val="lt-LT"/>
        </w:rPr>
        <w:t>esugebėjimas pasiekti ar išlaikyti erekciją (impotencija)</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r</w:t>
      </w:r>
      <w:r w:rsidRPr="00FA61CE">
        <w:rPr>
          <w:rFonts w:ascii="Times New Roman" w:eastAsia="Times New Roman" w:hAnsi="Times New Roman"/>
          <w:noProof/>
          <w:lang w:val="lt-LT"/>
        </w:rPr>
        <w:t xml:space="preserve">audonas taškinis </w:t>
      </w:r>
      <w:r>
        <w:rPr>
          <w:rFonts w:ascii="Times New Roman" w:eastAsia="Times New Roman" w:hAnsi="Times New Roman"/>
          <w:noProof/>
          <w:lang w:val="lt-LT"/>
        </w:rPr>
        <w:t xml:space="preserve">odos </w:t>
      </w:r>
      <w:r w:rsidRPr="00FA61CE">
        <w:rPr>
          <w:rFonts w:ascii="Times New Roman" w:eastAsia="Times New Roman" w:hAnsi="Times New Roman"/>
          <w:noProof/>
          <w:lang w:val="lt-LT"/>
        </w:rPr>
        <w:t xml:space="preserve">bėrimas </w:t>
      </w:r>
      <w:r>
        <w:rPr>
          <w:rFonts w:ascii="Times New Roman" w:eastAsia="Times New Roman" w:hAnsi="Times New Roman"/>
          <w:noProof/>
          <w:lang w:val="lt-LT"/>
        </w:rPr>
        <w:t>(</w:t>
      </w:r>
      <w:r w:rsidRPr="008876C2">
        <w:rPr>
          <w:rFonts w:ascii="Times New Roman" w:eastAsia="Times New Roman" w:hAnsi="Times New Roman"/>
          <w:noProof/>
          <w:lang w:val="lt-LT"/>
        </w:rPr>
        <w:t>purpura).</w:t>
      </w:r>
    </w:p>
    <w:p w:rsidR="00720D3D" w:rsidRDefault="00720D3D" w:rsidP="00720D3D">
      <w:pPr>
        <w:tabs>
          <w:tab w:val="left" w:pos="567"/>
        </w:tabs>
        <w:spacing w:after="0" w:line="240" w:lineRule="auto"/>
        <w:rPr>
          <w:rFonts w:ascii="Times New Roman" w:eastAsia="MS Mincho" w:hAnsi="Times New Roman"/>
          <w:lang w:val="lt-LT" w:eastAsia="lt-LT"/>
        </w:rPr>
      </w:pPr>
    </w:p>
    <w:p w:rsidR="00720D3D" w:rsidRPr="0001728E" w:rsidRDefault="00720D3D" w:rsidP="00720D3D">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Reti šalutinio poveikio reiškiniai (gali pasireikšti rečiau kaip 1 iš 1 000 asmenų)</w:t>
      </w:r>
      <w:r w:rsidRPr="0001728E">
        <w:rPr>
          <w:rFonts w:ascii="Times New Roman" w:eastAsia="MS Mincho" w:hAnsi="Times New Roman"/>
          <w:i/>
          <w:lang w:val="lt-LT" w:eastAsia="lt-LT"/>
        </w:rPr>
        <w:t xml:space="preserve">: </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 xml:space="preserve">nuovargis, </w:t>
      </w:r>
      <w:r>
        <w:rPr>
          <w:rFonts w:ascii="Times New Roman" w:eastAsia="Times New Roman" w:hAnsi="Times New Roman"/>
          <w:noProof/>
          <w:lang w:val="lt-LT"/>
        </w:rPr>
        <w:t xml:space="preserve">galvos </w:t>
      </w:r>
      <w:r w:rsidRPr="008876C2">
        <w:rPr>
          <w:rFonts w:ascii="Times New Roman" w:eastAsia="Times New Roman" w:hAnsi="Times New Roman"/>
          <w:noProof/>
          <w:lang w:val="lt-LT"/>
        </w:rPr>
        <w:t>svaig</w:t>
      </w:r>
      <w:r>
        <w:rPr>
          <w:rFonts w:ascii="Times New Roman" w:eastAsia="Times New Roman" w:hAnsi="Times New Roman"/>
          <w:noProof/>
          <w:lang w:val="lt-LT"/>
        </w:rPr>
        <w:t>imas</w:t>
      </w:r>
      <w:r w:rsidRPr="008876C2">
        <w:rPr>
          <w:rFonts w:ascii="Times New Roman" w:eastAsia="Times New Roman" w:hAnsi="Times New Roman"/>
          <w:noProof/>
          <w:lang w:val="lt-LT"/>
        </w:rPr>
        <w:t>, galvos skausmas, dilgčiojimo ir tirpulio pojūtis (parestezija),</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chloridų koncentracija kraujyje</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m</w:t>
      </w:r>
      <w:r w:rsidRPr="002B33F5">
        <w:rPr>
          <w:rFonts w:ascii="Times New Roman" w:eastAsia="Times New Roman" w:hAnsi="Times New Roman"/>
          <w:noProof/>
          <w:lang w:val="lt-LT"/>
        </w:rPr>
        <w:t>aža magnio koncentracija kraujyje</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 xml:space="preserve">virškinimo trakto sutrikimai (pvz., pykinimas, vidurių užkietėjimas), burnos džiūvimas. </w:t>
      </w:r>
    </w:p>
    <w:p w:rsidR="00720D3D" w:rsidRDefault="00720D3D" w:rsidP="00720D3D">
      <w:pPr>
        <w:tabs>
          <w:tab w:val="left" w:pos="567"/>
        </w:tabs>
        <w:spacing w:after="0" w:line="240" w:lineRule="auto"/>
        <w:rPr>
          <w:rFonts w:ascii="Times New Roman" w:eastAsia="MS Mincho" w:hAnsi="Times New Roman"/>
          <w:lang w:val="lt-LT" w:eastAsia="lt-LT"/>
        </w:rPr>
      </w:pPr>
    </w:p>
    <w:p w:rsidR="00720D3D" w:rsidRPr="0001728E" w:rsidRDefault="00720D3D" w:rsidP="00720D3D">
      <w:pPr>
        <w:tabs>
          <w:tab w:val="left" w:pos="567"/>
        </w:tabs>
        <w:spacing w:after="0" w:line="240" w:lineRule="auto"/>
        <w:rPr>
          <w:rFonts w:ascii="Times New Roman" w:eastAsia="MS Mincho" w:hAnsi="Times New Roman"/>
          <w:i/>
          <w:lang w:val="lt-LT" w:eastAsia="lt-LT"/>
        </w:rPr>
      </w:pPr>
      <w:r w:rsidRPr="00397BB4">
        <w:rPr>
          <w:rFonts w:ascii="Times New Roman" w:eastAsia="MS Mincho" w:hAnsi="Times New Roman"/>
          <w:i/>
          <w:lang w:val="lt-LT" w:eastAsia="lt-LT"/>
        </w:rPr>
        <w:t>Labai reti šalutinio poveikio reiškiniai (gali pasireikšti rečiau kaip 1 iš 10</w:t>
      </w:r>
      <w:r>
        <w:rPr>
          <w:rFonts w:ascii="Times New Roman" w:eastAsia="MS Mincho" w:hAnsi="Times New Roman"/>
          <w:i/>
          <w:lang w:val="lt-LT" w:eastAsia="lt-LT"/>
        </w:rPr>
        <w:t xml:space="preserve"> </w:t>
      </w:r>
      <w:r w:rsidRPr="00397BB4">
        <w:rPr>
          <w:rFonts w:ascii="Times New Roman" w:eastAsia="MS Mincho" w:hAnsi="Times New Roman"/>
          <w:i/>
          <w:lang w:val="lt-LT" w:eastAsia="lt-LT"/>
        </w:rPr>
        <w:t>000 asmenų</w:t>
      </w:r>
      <w:r>
        <w:rPr>
          <w:rFonts w:ascii="Times New Roman" w:eastAsia="MS Mincho" w:hAnsi="Times New Roman"/>
          <w:i/>
          <w:lang w:val="lt-LT" w:eastAsia="lt-LT"/>
        </w:rPr>
        <w:t>)</w:t>
      </w:r>
      <w:r w:rsidRPr="0001728E">
        <w:rPr>
          <w:rFonts w:ascii="Times New Roman" w:eastAsia="MS Mincho" w:hAnsi="Times New Roman"/>
          <w:i/>
          <w:lang w:val="lt-LT" w:eastAsia="lt-LT"/>
        </w:rPr>
        <w:t xml:space="preserve">: </w:t>
      </w:r>
    </w:p>
    <w:p w:rsidR="00720D3D" w:rsidRPr="00C306D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917DB3">
        <w:rPr>
          <w:rFonts w:ascii="Times New Roman" w:eastAsia="Times New Roman" w:hAnsi="Times New Roman"/>
          <w:noProof/>
          <w:lang w:val="lt-LT"/>
        </w:rPr>
        <w:t>kalcio kiekio kraujyje padidėjimas</w:t>
      </w:r>
      <w:r>
        <w:rPr>
          <w:rFonts w:ascii="Times New Roman" w:eastAsia="Times New Roman" w:hAnsi="Times New Roman"/>
          <w:noProof/>
          <w:lang w:val="lt-LT"/>
        </w:rPr>
        <w:t>,</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širdies ritmo sutrikimas, mažas kraujospūdis,</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lastRenderedPageBreak/>
        <w:t>inkstų liga,</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sutrikusi kepenų veikla,</w:t>
      </w:r>
      <w:r w:rsidRPr="002E0FD7">
        <w:rPr>
          <w:rFonts w:ascii="Times New Roman" w:eastAsia="Times New Roman" w:hAnsi="Times New Roman"/>
          <w:noProof/>
          <w:lang w:val="lt-LT"/>
        </w:rPr>
        <w:t xml:space="preserve"> </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kraujo ląstelių kiekio pokyčiai, pvz., trombocitopenija (kraujo plokštelių kiekio sumažėjimas, sukeliantis kraujosruvas ir kraujavimą iš nosies), leukopenija (baltųjų kraujo ląstelių</w:t>
      </w:r>
      <w:r w:rsidRPr="008876C2" w:rsidDel="002068A3">
        <w:rPr>
          <w:rFonts w:ascii="Times New Roman" w:eastAsia="Times New Roman" w:hAnsi="Times New Roman"/>
          <w:noProof/>
          <w:lang w:val="lt-LT"/>
        </w:rPr>
        <w:t xml:space="preserve"> </w:t>
      </w:r>
      <w:r w:rsidRPr="008876C2">
        <w:rPr>
          <w:rFonts w:ascii="Times New Roman" w:eastAsia="Times New Roman" w:hAnsi="Times New Roman"/>
          <w:noProof/>
          <w:lang w:val="lt-LT"/>
        </w:rPr>
        <w:t>skaičiaus sumažėjimas, sukeliantis dėl neaiškių priežasčių pasireiškiantį karščiavimą, gerklės skausmą ar kitokius į gripo panašius simptomus; jei toks poveikis pasireiškia, kreipkitės į gydytoją) ir anemija (raudonųjų kraujo kūnelių skaičiaus sumažėjimas).</w:t>
      </w:r>
    </w:p>
    <w:p w:rsidR="00720D3D" w:rsidRPr="00030DBB" w:rsidRDefault="00720D3D" w:rsidP="00720D3D">
      <w:pPr>
        <w:tabs>
          <w:tab w:val="left" w:pos="567"/>
        </w:tabs>
        <w:spacing w:after="0" w:line="240" w:lineRule="auto"/>
        <w:rPr>
          <w:rFonts w:ascii="Times New Roman" w:eastAsia="MS Mincho" w:hAnsi="Times New Roman"/>
          <w:iCs/>
          <w:lang w:val="lt-LT" w:eastAsia="lt-LT"/>
        </w:rPr>
      </w:pPr>
    </w:p>
    <w:p w:rsidR="00720D3D" w:rsidRDefault="00720D3D" w:rsidP="00720D3D">
      <w:pPr>
        <w:tabs>
          <w:tab w:val="left" w:pos="567"/>
        </w:tabs>
        <w:spacing w:after="0" w:line="240" w:lineRule="auto"/>
        <w:rPr>
          <w:rFonts w:ascii="Times New Roman" w:eastAsia="MS Mincho" w:hAnsi="Times New Roman"/>
          <w:i/>
          <w:iCs/>
          <w:lang w:val="lt-LT" w:eastAsia="lt-LT"/>
        </w:rPr>
      </w:pPr>
      <w:r w:rsidRPr="0001728E">
        <w:rPr>
          <w:rFonts w:ascii="Times New Roman" w:eastAsia="MS Mincho" w:hAnsi="Times New Roman"/>
          <w:i/>
          <w:iCs/>
          <w:lang w:val="lt-LT" w:eastAsia="lt-LT"/>
        </w:rPr>
        <w:t>Dažnis nežinomas (negali būti apskaičiuotas pagal turimus duomenis):</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jeigu sergate sistemine raudonąja vilklige (tai viena iš kolageninių ligų), jos eiga gali pablogėti,</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taip pat aprašytos padidėjusio jautrumo šviesai reakcijos (odos išvaizdos pokyčiai) po buvimo saulėje ar dirbtinuose UV spinduliuose,</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trumparegystė (miopija),</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Pr>
          <w:rFonts w:ascii="Times New Roman" w:eastAsia="Times New Roman" w:hAnsi="Times New Roman"/>
          <w:noProof/>
          <w:lang w:val="lt-LT"/>
        </w:rPr>
        <w:t>neryškus</w:t>
      </w:r>
      <w:r w:rsidRPr="00897543">
        <w:rPr>
          <w:rFonts w:ascii="Times New Roman" w:eastAsia="Times New Roman" w:hAnsi="Times New Roman"/>
          <w:noProof/>
          <w:lang w:val="lt-LT"/>
        </w:rPr>
        <w:t xml:space="preserve"> matymas,</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regėjimo sutrikimas,</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susilpnėjęs regėjimas ar akių skausmas dėl padidėjusio akispūdžio (galimi skysčio susikaupimo akies kraujagysliniame dangale (tarp gyslainės ir skleros) arba ūminės uždarojo kampo glaukomos požymiai),</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apalpimas,</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gali atsirasti laboratorinių tyrimų parametrų pokyčių. Gydytojas gali Jums liepti atlikti kraujo tyrimus, kad galėtų įvertinti Jūsų būklę. Galimi tokie laboratorinių tyrimų parametrų pokyčiai:</w:t>
      </w:r>
    </w:p>
    <w:p w:rsidR="00720D3D" w:rsidRPr="008876C2"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šlapimo rūgšties, t. y. medžiagos, kuri gali sukelti ar pasunkinti podagrą (sąnario(-ų), ypač</w:t>
      </w:r>
      <w:r>
        <w:rPr>
          <w:rFonts w:ascii="Times New Roman" w:eastAsia="Times New Roman" w:hAnsi="Times New Roman"/>
          <w:noProof/>
          <w:lang w:val="lt-LT"/>
        </w:rPr>
        <w:t xml:space="preserve"> </w:t>
      </w:r>
      <w:r w:rsidRPr="008876C2">
        <w:rPr>
          <w:rFonts w:ascii="Times New Roman" w:eastAsia="Times New Roman" w:hAnsi="Times New Roman"/>
          <w:noProof/>
          <w:lang w:val="lt-LT"/>
        </w:rPr>
        <w:t>pėdos, skausmas), kiekio padidėjimas;</w:t>
      </w:r>
    </w:p>
    <w:p w:rsidR="00720D3D"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876C2">
        <w:rPr>
          <w:rFonts w:ascii="Times New Roman" w:eastAsia="Times New Roman" w:hAnsi="Times New Roman"/>
          <w:noProof/>
          <w:lang w:val="lt-LT"/>
        </w:rPr>
        <w:t>gliukozės kiekio padidėjimas kraujyje sergantiems cukriniu diabetu;</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kepenų fermentų aktyvumo kraujyje padidėjimas</w:t>
      </w:r>
      <w:r w:rsidRPr="008876C2">
        <w:rPr>
          <w:rFonts w:ascii="Times New Roman" w:eastAsia="Times New Roman" w:hAnsi="Times New Roman"/>
          <w:noProof/>
          <w:lang w:val="lt-LT"/>
        </w:rPr>
        <w:t>;</w:t>
      </w:r>
    </w:p>
    <w:p w:rsidR="00720D3D" w:rsidRPr="00897543"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897543">
        <w:rPr>
          <w:rFonts w:ascii="Times New Roman" w:eastAsia="Times New Roman" w:hAnsi="Times New Roman"/>
          <w:noProof/>
          <w:lang w:val="lt-LT"/>
        </w:rPr>
        <w:t>širdies veiklos pokyčiai elektrokardiogramoje.</w:t>
      </w:r>
    </w:p>
    <w:p w:rsidR="00720D3D" w:rsidRPr="00030DBB" w:rsidRDefault="00720D3D" w:rsidP="00720D3D">
      <w:pPr>
        <w:spacing w:after="0" w:line="240" w:lineRule="auto"/>
        <w:rPr>
          <w:rFonts w:ascii="Times New Roman" w:eastAsia="MS Mincho" w:hAnsi="Times New Roman"/>
          <w:b/>
          <w:noProof/>
          <w:lang w:val="lt-LT" w:eastAsia="lt-LT"/>
        </w:rPr>
      </w:pPr>
    </w:p>
    <w:p w:rsidR="00720D3D" w:rsidRPr="00030DBB" w:rsidRDefault="00720D3D" w:rsidP="00720D3D">
      <w:pPr>
        <w:spacing w:after="0" w:line="240" w:lineRule="auto"/>
        <w:rPr>
          <w:rFonts w:ascii="Times New Roman" w:eastAsia="MS Mincho" w:hAnsi="Times New Roman"/>
          <w:b/>
          <w:lang w:val="lt-LT" w:eastAsia="lt-LT"/>
        </w:rPr>
      </w:pPr>
      <w:r w:rsidRPr="00030DBB">
        <w:rPr>
          <w:rFonts w:ascii="Times New Roman" w:eastAsia="MS Mincho" w:hAnsi="Times New Roman"/>
          <w:b/>
          <w:noProof/>
          <w:lang w:val="lt-LT" w:eastAsia="lt-LT"/>
        </w:rPr>
        <w:t>Pranešimas apie šalutinį poveikį</w:t>
      </w:r>
    </w:p>
    <w:p w:rsidR="00720D3D" w:rsidRPr="001847DE" w:rsidRDefault="00720D3D" w:rsidP="00720D3D">
      <w:pPr>
        <w:tabs>
          <w:tab w:val="left" w:pos="567"/>
        </w:tabs>
        <w:spacing w:after="0" w:line="260" w:lineRule="exact"/>
        <w:ind w:right="-1"/>
        <w:rPr>
          <w:rFonts w:ascii="Times New Roman" w:eastAsia="Times New Roman" w:hAnsi="Times New Roman"/>
          <w:snapToGrid w:val="0"/>
          <w:szCs w:val="20"/>
          <w:lang w:val="lt-LT"/>
        </w:rPr>
      </w:pPr>
      <w:r w:rsidRPr="005422F8">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arba vaistininkui</w:t>
      </w:r>
      <w:r w:rsidRPr="005422F8">
        <w:rPr>
          <w:rFonts w:ascii="Times New Roman" w:eastAsia="Times New Roman" w:hAnsi="Times New Roman"/>
          <w:snapToGrid w:val="0"/>
          <w:szCs w:val="20"/>
          <w:lang w:val="lt-LT"/>
        </w:rPr>
        <w:t xml:space="preserve">. </w:t>
      </w:r>
      <w:r w:rsidRPr="005E086E">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Pr="001847DE">
        <w:rPr>
          <w:rFonts w:ascii="Times New Roman" w:eastAsia="Times New Roman" w:hAnsi="Times New Roman"/>
          <w:snapToGrid w:val="0"/>
          <w:szCs w:val="20"/>
          <w:lang w:val="lt-LT"/>
        </w:rPr>
        <w:t>Paciento pranešimo apie įtariamą nepageidaujamą reakciją (ĮNR) formą</w:t>
      </w:r>
      <w:r w:rsidRPr="005E086E">
        <w:rPr>
          <w:rFonts w:ascii="Times New Roman" w:eastAsia="Times New Roman" w:hAnsi="Times New Roman"/>
          <w:snapToGrid w:val="0"/>
          <w:szCs w:val="20"/>
          <w:lang w:val="lt-LT"/>
        </w:rPr>
        <w:t>, kuri skelbiama https://www.vvkt.lt/index.php?4004286486, ir atsiunčiant elektroniniu paštu (adresu NepageidaujamaR@vvkt.lt) arba nemokamu telefonu 8 800 73</w:t>
      </w:r>
      <w:r>
        <w:rPr>
          <w:rFonts w:ascii="Times New Roman" w:eastAsia="Times New Roman" w:hAnsi="Times New Roman"/>
          <w:snapToGrid w:val="0"/>
          <w:szCs w:val="20"/>
          <w:lang w:val="lt-LT"/>
        </w:rPr>
        <w:t> </w:t>
      </w:r>
      <w:r w:rsidRPr="005E086E">
        <w:rPr>
          <w:rFonts w:ascii="Times New Roman" w:eastAsia="Times New Roman" w:hAnsi="Times New Roman"/>
          <w:snapToGrid w:val="0"/>
          <w:szCs w:val="20"/>
          <w:lang w:val="lt-LT"/>
        </w:rPr>
        <w:t>568.</w:t>
      </w:r>
      <w:r w:rsidRPr="001847DE">
        <w:rPr>
          <w:rFonts w:ascii="Times New Roman" w:eastAsia="Times New Roman" w:hAnsi="Times New Roman"/>
          <w:snapToGrid w:val="0"/>
          <w:szCs w:val="20"/>
          <w:lang w:val="lt-LT"/>
        </w:rPr>
        <w:t xml:space="preserve"> Pranešdami apie šalutinį poveikį galite mums padėti gauti daugiau informacijos apie šio vaisto saugumą.</w:t>
      </w:r>
    </w:p>
    <w:p w:rsidR="00720D3D" w:rsidRDefault="00720D3D" w:rsidP="00720D3D">
      <w:pPr>
        <w:tabs>
          <w:tab w:val="left" w:pos="567"/>
        </w:tabs>
        <w:spacing w:after="0" w:line="240" w:lineRule="auto"/>
        <w:rPr>
          <w:rFonts w:ascii="Times New Roman" w:eastAsia="Times New Roman" w:hAnsi="Times New Roman"/>
          <w:noProof/>
          <w:snapToGrid w:val="0"/>
          <w:szCs w:val="24"/>
          <w:lang w:val="lt-LT"/>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lang w:val="lt-LT" w:eastAsia="en-GB"/>
        </w:rPr>
      </w:pPr>
      <w:r w:rsidRPr="00030DBB">
        <w:rPr>
          <w:rFonts w:ascii="Times New Roman" w:eastAsia="Times New Roman" w:hAnsi="Times New Roman"/>
          <w:b/>
          <w:caps/>
          <w:lang w:val="lt-LT" w:eastAsia="en-GB"/>
        </w:rPr>
        <w:t>5.</w:t>
      </w:r>
      <w:r w:rsidRPr="00030DBB">
        <w:rPr>
          <w:rFonts w:ascii="Times New Roman" w:eastAsia="Times New Roman" w:hAnsi="Times New Roman"/>
          <w:b/>
          <w:caps/>
          <w:lang w:val="lt-LT" w:eastAsia="en-GB"/>
        </w:rPr>
        <w:tab/>
        <w:t>K</w:t>
      </w:r>
      <w:r w:rsidRPr="00030DBB">
        <w:rPr>
          <w:rFonts w:ascii="Times New Roman" w:eastAsia="Times New Roman" w:hAnsi="Times New Roman"/>
          <w:b/>
          <w:lang w:val="lt-LT" w:eastAsia="en-GB"/>
        </w:rPr>
        <w:t>aip laikyti Proindap</w:t>
      </w:r>
    </w:p>
    <w:p w:rsidR="00720D3D" w:rsidRPr="00030DBB" w:rsidRDefault="00720D3D" w:rsidP="00720D3D">
      <w:pPr>
        <w:tabs>
          <w:tab w:val="left" w:pos="567"/>
        </w:tabs>
        <w:spacing w:after="0" w:line="240" w:lineRule="auto"/>
        <w:rPr>
          <w:rFonts w:ascii="Times New Roman" w:eastAsia="Times New Roman" w:hAnsi="Times New Roman"/>
          <w:b/>
          <w:caps/>
          <w:lang w:val="lt-LT" w:eastAsia="en-GB"/>
        </w:rPr>
      </w:pPr>
    </w:p>
    <w:p w:rsidR="00720D3D" w:rsidRPr="00030DBB" w:rsidRDefault="00720D3D" w:rsidP="00720D3D">
      <w:pPr>
        <w:numPr>
          <w:ilvl w:val="12"/>
          <w:numId w:val="0"/>
        </w:numPr>
        <w:tabs>
          <w:tab w:val="left" w:pos="567"/>
        </w:tabs>
        <w:spacing w:after="0" w:line="240" w:lineRule="auto"/>
        <w:ind w:right="-2"/>
        <w:rPr>
          <w:rFonts w:ascii="Times New Roman" w:eastAsia="Times New Roman" w:hAnsi="Times New Roman"/>
          <w:lang w:val="lt-LT" w:eastAsia="en-GB"/>
        </w:rPr>
      </w:pPr>
      <w:r w:rsidRPr="00030DBB">
        <w:rPr>
          <w:rFonts w:ascii="Times New Roman" w:eastAsia="Times New Roman" w:hAnsi="Times New Roman"/>
          <w:lang w:val="lt-LT" w:eastAsia="en-GB"/>
        </w:rPr>
        <w:t>Šį vaistą laikykite vaikams nepastebimoje ir nepasiekiamoje vietoje.</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Laikyti ne aukštesnėje kaip 25</w:t>
      </w:r>
      <w:r>
        <w:rPr>
          <w:rFonts w:ascii="Times New Roman" w:eastAsia="Times New Roman" w:hAnsi="Times New Roman"/>
          <w:lang w:val="lt-LT" w:eastAsia="en-GB"/>
        </w:rPr>
        <w:t> </w:t>
      </w:r>
      <w:r w:rsidRPr="00030DBB">
        <w:rPr>
          <w:rFonts w:ascii="Times New Roman" w:eastAsia="Times New Roman" w:hAnsi="Times New Roman"/>
          <w:lang w:val="lt-LT" w:eastAsia="en-GB"/>
        </w:rPr>
        <w:t xml:space="preserve">°C temperatūroje. </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 xml:space="preserve">Laikyti gamintojo pakuotėje, kad </w:t>
      </w:r>
      <w:r>
        <w:rPr>
          <w:rFonts w:ascii="Times New Roman" w:eastAsia="Times New Roman" w:hAnsi="Times New Roman"/>
          <w:lang w:val="lt-LT" w:eastAsia="en-GB"/>
        </w:rPr>
        <w:t>vaistas</w:t>
      </w:r>
      <w:r w:rsidRPr="00030DBB">
        <w:rPr>
          <w:rFonts w:ascii="Times New Roman" w:eastAsia="Times New Roman" w:hAnsi="Times New Roman"/>
          <w:lang w:val="lt-LT" w:eastAsia="en-GB"/>
        </w:rPr>
        <w:t xml:space="preserve"> būtų apsaugotas nuo šviesos ir drėgmės.</w:t>
      </w:r>
    </w:p>
    <w:p w:rsidR="00720D3D" w:rsidRPr="00030DBB" w:rsidRDefault="00720D3D" w:rsidP="00720D3D">
      <w:pPr>
        <w:tabs>
          <w:tab w:val="left" w:pos="567"/>
        </w:tabs>
        <w:spacing w:after="0" w:line="240" w:lineRule="auto"/>
        <w:rPr>
          <w:rFonts w:ascii="Times New Roman" w:eastAsia="Times New Roman" w:hAnsi="Times New Roman"/>
          <w:noProof/>
          <w:lang w:val="lt-LT"/>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Ant dėžutės ir lizdinės plokštelės po „</w:t>
      </w:r>
      <w:r>
        <w:rPr>
          <w:rFonts w:ascii="Times New Roman" w:eastAsia="Times New Roman" w:hAnsi="Times New Roman"/>
          <w:lang w:val="lt-LT"/>
        </w:rPr>
        <w:t>EXP</w:t>
      </w:r>
      <w:r w:rsidRPr="00030DBB">
        <w:rPr>
          <w:rFonts w:ascii="Times New Roman" w:eastAsia="Times New Roman" w:hAnsi="Times New Roman"/>
          <w:lang w:val="lt-LT"/>
        </w:rPr>
        <w:t>“ nurodytam tinkamumo laikui pasibaigus, šio vaisto vartoti negalima. Vaistas tinkamas vartoti iki paskutinės nurodyto mėnesio dienos.</w:t>
      </w:r>
    </w:p>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keepNext/>
        <w:tabs>
          <w:tab w:val="left" w:pos="567"/>
        </w:tabs>
        <w:spacing w:after="0" w:line="240" w:lineRule="auto"/>
        <w:outlineLvl w:val="1"/>
        <w:rPr>
          <w:rFonts w:ascii="Times New Roman" w:eastAsia="Times New Roman" w:hAnsi="Times New Roman"/>
          <w:b/>
          <w:lang w:val="lt-LT"/>
        </w:rPr>
      </w:pPr>
      <w:bookmarkStart w:id="0" w:name="_Toc129243144"/>
      <w:bookmarkStart w:id="1" w:name="_Toc129243269"/>
      <w:r w:rsidRPr="00030DBB">
        <w:rPr>
          <w:rFonts w:ascii="Times New Roman" w:eastAsia="Times New Roman" w:hAnsi="Times New Roman"/>
          <w:b/>
          <w:lang w:val="lt-LT"/>
        </w:rPr>
        <w:t>6.</w:t>
      </w:r>
      <w:r w:rsidRPr="00030DBB">
        <w:rPr>
          <w:rFonts w:ascii="Times New Roman" w:eastAsia="Times New Roman" w:hAnsi="Times New Roman"/>
          <w:b/>
          <w:lang w:val="lt-LT"/>
        </w:rPr>
        <w:tab/>
        <w:t>Pakuotės turinys ir kita informacija</w:t>
      </w:r>
      <w:bookmarkEnd w:id="0"/>
      <w:bookmarkEnd w:id="1"/>
    </w:p>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Proindap sudėtis</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t>Veiklioji medžiaga yra indapamidas. Vienoje kietojoje kapsulėje yra 2,5 mg indapamido.</w:t>
      </w:r>
    </w:p>
    <w:p w:rsidR="00720D3D" w:rsidRPr="00030DBB" w:rsidRDefault="00720D3D" w:rsidP="00720D3D">
      <w:pPr>
        <w:numPr>
          <w:ilvl w:val="0"/>
          <w:numId w:val="2"/>
        </w:numPr>
        <w:tabs>
          <w:tab w:val="left" w:pos="567"/>
        </w:tabs>
        <w:spacing w:after="0" w:line="240" w:lineRule="auto"/>
        <w:ind w:left="567" w:hanging="567"/>
        <w:contextualSpacing/>
        <w:rPr>
          <w:rFonts w:ascii="Times New Roman" w:eastAsia="Times New Roman" w:hAnsi="Times New Roman"/>
          <w:noProof/>
          <w:lang w:val="lt-LT"/>
        </w:rPr>
      </w:pPr>
      <w:r w:rsidRPr="00030DBB">
        <w:rPr>
          <w:rFonts w:ascii="Times New Roman" w:eastAsia="Times New Roman" w:hAnsi="Times New Roman"/>
          <w:noProof/>
          <w:lang w:val="lt-LT"/>
        </w:rPr>
        <w:lastRenderedPageBreak/>
        <w:t>Pagalbinės medžiagos. Kapsulės turinys: mikrokristalinė celiuliozė, laktozė</w:t>
      </w:r>
      <w:r>
        <w:rPr>
          <w:rFonts w:ascii="Times New Roman" w:eastAsia="Times New Roman" w:hAnsi="Times New Roman"/>
          <w:noProof/>
          <w:lang w:val="lt-LT"/>
        </w:rPr>
        <w:t>s</w:t>
      </w:r>
      <w:r w:rsidRPr="00030DBB">
        <w:rPr>
          <w:rFonts w:ascii="Times New Roman" w:eastAsia="Times New Roman" w:hAnsi="Times New Roman"/>
          <w:noProof/>
          <w:lang w:val="lt-LT"/>
        </w:rPr>
        <w:t xml:space="preserve"> monohidratas, kukurūzų krakmolas, magnio stearatas, bevandenis koloidinis silicio dioksidas. Kapsulės apvalkalas: indigokarminas (E132), titano dioksidas (E171), želatina.</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b/>
          <w:bCs/>
          <w:lang w:val="lt-LT"/>
        </w:rPr>
      </w:pPr>
      <w:r w:rsidRPr="00030DBB">
        <w:rPr>
          <w:rFonts w:ascii="Times New Roman" w:eastAsia="Times New Roman" w:hAnsi="Times New Roman"/>
          <w:b/>
          <w:bCs/>
          <w:lang w:val="lt-LT"/>
        </w:rPr>
        <w:t>Proindap išvaizda ir kiekis pakuotėje</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Kietosios želatininės kapsulės, kurių dangtelis yra mėlynas, o korpusas – baltas. Kapsulės užpildytos baltais milteliais.</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Dėžutėje yra 30 kietųjų kapsulių.</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tabs>
          <w:tab w:val="left" w:pos="567"/>
        </w:tabs>
        <w:spacing w:after="0" w:line="240" w:lineRule="auto"/>
        <w:rPr>
          <w:rFonts w:ascii="Times New Roman" w:eastAsia="Times New Roman" w:hAnsi="Times New Roman"/>
          <w:lang w:val="lt-LT"/>
        </w:rPr>
      </w:pPr>
      <w:r>
        <w:rPr>
          <w:rFonts w:ascii="Times New Roman" w:eastAsia="Times New Roman" w:hAnsi="Times New Roman"/>
          <w:b/>
          <w:bCs/>
          <w:lang w:val="lt-LT"/>
        </w:rPr>
        <w:t>Registruotojas</w:t>
      </w:r>
      <w:r w:rsidRPr="00030DBB">
        <w:rPr>
          <w:rFonts w:ascii="Times New Roman" w:eastAsia="Times New Roman" w:hAnsi="Times New Roman"/>
          <w:b/>
          <w:bCs/>
          <w:lang w:val="lt-LT"/>
        </w:rPr>
        <w:t xml:space="preserve"> ir gamintojas</w:t>
      </w:r>
    </w:p>
    <w:p w:rsidR="00720D3D" w:rsidRPr="000D65AF" w:rsidRDefault="00720D3D" w:rsidP="00720D3D">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PRO.MED.CS Praha a.s.</w:t>
      </w:r>
    </w:p>
    <w:p w:rsidR="00720D3D" w:rsidRPr="000D65AF" w:rsidRDefault="00720D3D" w:rsidP="00720D3D">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Telčská 377/1</w:t>
      </w:r>
    </w:p>
    <w:p w:rsidR="00720D3D" w:rsidRDefault="00720D3D" w:rsidP="00720D3D">
      <w:pPr>
        <w:tabs>
          <w:tab w:val="left" w:pos="567"/>
        </w:tabs>
        <w:spacing w:after="0" w:line="240" w:lineRule="auto"/>
        <w:rPr>
          <w:rFonts w:ascii="Times New Roman" w:eastAsia="Times New Roman" w:hAnsi="Times New Roman"/>
          <w:lang w:val="lt-LT" w:eastAsia="en-GB"/>
        </w:rPr>
      </w:pPr>
      <w:r w:rsidRPr="000D65AF">
        <w:rPr>
          <w:rFonts w:ascii="Times New Roman" w:eastAsia="Times New Roman" w:hAnsi="Times New Roman"/>
          <w:lang w:val="lt-LT" w:eastAsia="en-GB"/>
        </w:rPr>
        <w:t>Michle, 140 00 Praha 4</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Čekijos Respublika</w:t>
      </w:r>
    </w:p>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lang w:val="lt-LT"/>
        </w:rPr>
      </w:pPr>
      <w:r w:rsidRPr="00030DBB">
        <w:rPr>
          <w:rFonts w:ascii="Times New Roman" w:eastAsia="Times New Roman" w:hAnsi="Times New Roman"/>
          <w:lang w:val="lt-LT"/>
        </w:rPr>
        <w:t xml:space="preserve">Jeigu apie šį vaistą norite sužinoti daugiau, kreipkitės į vietinį </w:t>
      </w:r>
      <w:r>
        <w:rPr>
          <w:rFonts w:ascii="Times New Roman" w:eastAsia="Times New Roman" w:hAnsi="Times New Roman"/>
          <w:lang w:val="lt-LT"/>
        </w:rPr>
        <w:t>registruotojo</w:t>
      </w:r>
      <w:r w:rsidRPr="00030DBB">
        <w:rPr>
          <w:rFonts w:ascii="Times New Roman" w:eastAsia="Times New Roman" w:hAnsi="Times New Roman"/>
          <w:lang w:val="lt-LT"/>
        </w:rPr>
        <w:t xml:space="preserve"> atstovą</w:t>
      </w:r>
      <w:r>
        <w:rPr>
          <w:rFonts w:ascii="Times New Roman" w:eastAsia="Times New Roman" w:hAnsi="Times New Roman"/>
          <w:lang w:val="lt-LT"/>
        </w:rPr>
        <w:t>:</w:t>
      </w:r>
    </w:p>
    <w:tbl>
      <w:tblPr>
        <w:tblW w:w="4678" w:type="dxa"/>
        <w:tblInd w:w="-34" w:type="dxa"/>
        <w:tblLayout w:type="fixed"/>
        <w:tblLook w:val="0000" w:firstRow="0" w:lastRow="0" w:firstColumn="0" w:lastColumn="0" w:noHBand="0" w:noVBand="0"/>
      </w:tblPr>
      <w:tblGrid>
        <w:gridCol w:w="4678"/>
      </w:tblGrid>
      <w:tr w:rsidR="00720D3D" w:rsidRPr="00B91E93" w:rsidTr="003613AA">
        <w:tc>
          <w:tcPr>
            <w:tcW w:w="4678" w:type="dxa"/>
          </w:tcPr>
          <w:p w:rsidR="00720D3D" w:rsidRPr="00030DBB" w:rsidRDefault="00720D3D" w:rsidP="003613AA">
            <w:pPr>
              <w:tabs>
                <w:tab w:val="left" w:pos="567"/>
              </w:tabs>
              <w:spacing w:after="0" w:line="240" w:lineRule="auto"/>
              <w:rPr>
                <w:rFonts w:ascii="Times New Roman" w:eastAsia="Times New Roman" w:hAnsi="Times New Roman"/>
                <w:lang w:val="lt-LT" w:eastAsia="en-GB"/>
              </w:rPr>
            </w:pPr>
          </w:p>
          <w:p w:rsidR="00720D3D" w:rsidRPr="00030DBB" w:rsidRDefault="00720D3D" w:rsidP="003613AA">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PRO.MED.CS Praha a.s. atstovybė</w:t>
            </w:r>
          </w:p>
          <w:p w:rsidR="00720D3D" w:rsidRPr="00030DBB" w:rsidRDefault="00720D3D" w:rsidP="003613AA">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Lukiškių 5- 206, Vilnius</w:t>
            </w:r>
          </w:p>
          <w:p w:rsidR="00720D3D" w:rsidRPr="00030DBB" w:rsidRDefault="00720D3D" w:rsidP="003613AA">
            <w:pPr>
              <w:tabs>
                <w:tab w:val="left" w:pos="-720"/>
                <w:tab w:val="left" w:pos="567"/>
              </w:tabs>
              <w:suppressAutoHyphens/>
              <w:spacing w:after="0" w:line="240" w:lineRule="auto"/>
              <w:rPr>
                <w:rFonts w:ascii="Times New Roman" w:eastAsia="Times New Roman" w:hAnsi="Times New Roman"/>
                <w:lang w:val="lt-LT" w:eastAsia="en-GB"/>
              </w:rPr>
            </w:pPr>
            <w:r w:rsidRPr="00030DBB">
              <w:rPr>
                <w:rFonts w:ascii="Times New Roman" w:eastAsia="Times New Roman" w:hAnsi="Times New Roman"/>
                <w:lang w:val="lt-LT" w:eastAsia="en-GB"/>
              </w:rPr>
              <w:t>Tel: 8 5 21 51 008</w:t>
            </w:r>
          </w:p>
        </w:tc>
      </w:tr>
    </w:tbl>
    <w:p w:rsidR="00720D3D" w:rsidRPr="00030DBB" w:rsidRDefault="00720D3D" w:rsidP="00720D3D">
      <w:pPr>
        <w:tabs>
          <w:tab w:val="left" w:pos="567"/>
        </w:tabs>
        <w:spacing w:after="0" w:line="240" w:lineRule="auto"/>
        <w:rPr>
          <w:rFonts w:ascii="Times New Roman" w:eastAsia="Times New Roman" w:hAnsi="Times New Roman"/>
          <w:lang w:val="lt-LT"/>
        </w:rPr>
      </w:pPr>
    </w:p>
    <w:p w:rsidR="00720D3D" w:rsidRPr="00030DBB" w:rsidRDefault="00720D3D" w:rsidP="00720D3D">
      <w:pPr>
        <w:tabs>
          <w:tab w:val="left" w:pos="567"/>
        </w:tabs>
        <w:spacing w:after="0" w:line="240" w:lineRule="auto"/>
        <w:rPr>
          <w:rFonts w:ascii="Times New Roman" w:eastAsia="Times New Roman" w:hAnsi="Times New Roman"/>
          <w:lang w:val="lt-LT" w:eastAsia="en-GB"/>
        </w:rPr>
      </w:pPr>
      <w:r w:rsidRPr="00030DBB">
        <w:rPr>
          <w:rFonts w:ascii="Times New Roman" w:eastAsia="Times New Roman" w:hAnsi="Times New Roman"/>
          <w:b/>
          <w:bCs/>
          <w:lang w:val="lt-LT"/>
        </w:rPr>
        <w:t>Šis pakuotės lapelis</w:t>
      </w:r>
      <w:r w:rsidRPr="00030DBB">
        <w:rPr>
          <w:rFonts w:ascii="Times New Roman" w:eastAsia="Times New Roman" w:hAnsi="Times New Roman"/>
          <w:b/>
          <w:lang w:val="lt-LT"/>
        </w:rPr>
        <w:t xml:space="preserve"> paskutinį kartą </w:t>
      </w:r>
      <w:r w:rsidRPr="00030DBB">
        <w:rPr>
          <w:rFonts w:ascii="Times New Roman" w:eastAsia="Times New Roman" w:hAnsi="Times New Roman"/>
          <w:b/>
          <w:noProof/>
          <w:lang w:val="lt-LT"/>
        </w:rPr>
        <w:t>peržiūrėtas</w:t>
      </w:r>
      <w:r>
        <w:rPr>
          <w:rFonts w:ascii="Times New Roman" w:eastAsia="Times New Roman" w:hAnsi="Times New Roman"/>
          <w:b/>
          <w:noProof/>
          <w:lang w:val="lt-LT"/>
        </w:rPr>
        <w:t xml:space="preserve"> 2025-04-11</w:t>
      </w:r>
      <w:r>
        <w:rPr>
          <w:rFonts w:ascii="Times New Roman" w:eastAsia="Times New Roman" w:hAnsi="Times New Roman"/>
          <w:b/>
          <w:lang w:val="lt-LT"/>
        </w:rPr>
        <w:t>.</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030DBB" w:rsidRDefault="00720D3D" w:rsidP="00720D3D">
      <w:pPr>
        <w:numPr>
          <w:ilvl w:val="12"/>
          <w:numId w:val="0"/>
        </w:numPr>
        <w:spacing w:line="240" w:lineRule="auto"/>
        <w:ind w:right="-2"/>
        <w:rPr>
          <w:rFonts w:ascii="Times New Roman" w:hAnsi="Times New Roman"/>
          <w:szCs w:val="24"/>
          <w:lang w:val="lt-LT"/>
        </w:rPr>
      </w:pPr>
      <w:r w:rsidRPr="00030DBB">
        <w:rPr>
          <w:rFonts w:ascii="Times New Roman" w:hAnsi="Times New Roman"/>
          <w:lang w:val="lt-LT"/>
        </w:rPr>
        <w:t xml:space="preserve">Išsami informacija apie šį </w:t>
      </w:r>
      <w:r w:rsidRPr="00030DBB">
        <w:rPr>
          <w:rFonts w:ascii="Times New Roman" w:hAnsi="Times New Roman"/>
          <w:szCs w:val="24"/>
          <w:lang w:val="lt-LT"/>
        </w:rPr>
        <w:t>vaistą</w:t>
      </w:r>
      <w:r w:rsidRPr="00030DBB">
        <w:rPr>
          <w:rFonts w:ascii="Times New Roman" w:hAnsi="Times New Roman"/>
          <w:lang w:val="lt-LT"/>
        </w:rPr>
        <w:t xml:space="preserve"> pateikiama Valstybinės vaistų kontrolės tarnybos prie Lietuvos Respublikos sveikatos apsaugos ministerijos tinklalapyje</w:t>
      </w:r>
      <w:r w:rsidRPr="00030DBB">
        <w:rPr>
          <w:rFonts w:ascii="Times New Roman" w:hAnsi="Times New Roman"/>
          <w:i/>
          <w:szCs w:val="24"/>
          <w:lang w:val="lt-LT"/>
        </w:rPr>
        <w:t xml:space="preserve"> </w:t>
      </w:r>
      <w:hyperlink r:id="rId5" w:history="1">
        <w:r w:rsidRPr="00030DBB">
          <w:rPr>
            <w:rFonts w:ascii="Times New Roman" w:eastAsia="SimSun" w:hAnsi="Times New Roman"/>
            <w:color w:val="0000FF"/>
            <w:u w:val="single"/>
            <w:lang w:val="lt-LT"/>
          </w:rPr>
          <w:t>http://www.vvkt.lt/</w:t>
        </w:r>
      </w:hyperlink>
      <w:r w:rsidRPr="00030DBB">
        <w:rPr>
          <w:rFonts w:ascii="Times New Roman" w:hAnsi="Times New Roman"/>
          <w:lang w:val="lt-LT"/>
        </w:rPr>
        <w:t>.</w:t>
      </w:r>
    </w:p>
    <w:p w:rsidR="00720D3D" w:rsidRPr="00030DBB" w:rsidRDefault="00720D3D" w:rsidP="00720D3D">
      <w:pPr>
        <w:tabs>
          <w:tab w:val="left" w:pos="567"/>
        </w:tabs>
        <w:spacing w:after="0" w:line="240" w:lineRule="auto"/>
        <w:rPr>
          <w:rFonts w:ascii="Times New Roman" w:eastAsia="Times New Roman" w:hAnsi="Times New Roman"/>
          <w:lang w:val="lt-LT" w:eastAsia="en-GB"/>
        </w:rPr>
      </w:pPr>
    </w:p>
    <w:p w:rsidR="00720D3D" w:rsidRPr="005923E8" w:rsidRDefault="00720D3D" w:rsidP="00720D3D">
      <w:pPr>
        <w:rPr>
          <w:lang w:val="lt-LT"/>
        </w:rPr>
      </w:pPr>
    </w:p>
    <w:p w:rsidR="00BA6577" w:rsidRDefault="00BA6577">
      <w:bookmarkStart w:id="2" w:name="_GoBack"/>
      <w:bookmarkEnd w:id="2"/>
    </w:p>
    <w:sectPr w:rsidR="00BA6577" w:rsidSect="00083BA8">
      <w:footerReference w:type="even" r:id="rId6"/>
      <w:footerReference w:type="default" r:id="rId7"/>
      <w:pgSz w:w="11906" w:h="16838" w:code="9"/>
      <w:pgMar w:top="1134" w:right="1418" w:bottom="1418"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15" w:rsidRDefault="00720D3D">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16</w:t>
    </w:r>
    <w:r>
      <w:rPr>
        <w:rStyle w:val="Puslapionumeris"/>
        <w:rFonts w:eastAsia="Calibri"/>
      </w:rPr>
      <w:fldChar w:fldCharType="end"/>
    </w:r>
  </w:p>
  <w:p w:rsidR="00BE3015" w:rsidRDefault="00720D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15" w:rsidRDefault="00720D3D">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6</w:t>
    </w:r>
    <w:r>
      <w:rPr>
        <w:rStyle w:val="Puslapionumeris"/>
        <w:rFonts w:eastAsia="Calibri"/>
      </w:rPr>
      <w:fldChar w:fldCharType="end"/>
    </w:r>
  </w:p>
  <w:p w:rsidR="00BE3015" w:rsidRDefault="00720D3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D211FD"/>
    <w:multiLevelType w:val="hybridMultilevel"/>
    <w:tmpl w:val="898AF690"/>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3D"/>
    <w:rsid w:val="00072F85"/>
    <w:rsid w:val="000A5E72"/>
    <w:rsid w:val="000A7B60"/>
    <w:rsid w:val="00181364"/>
    <w:rsid w:val="002945D9"/>
    <w:rsid w:val="00305C48"/>
    <w:rsid w:val="003362C6"/>
    <w:rsid w:val="00497D4D"/>
    <w:rsid w:val="00720D3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D9B53-6B92-4761-8625-D81363DF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0D3D"/>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20D3D"/>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basedOn w:val="Numatytasispastraiposriftas"/>
    <w:link w:val="Porat"/>
    <w:rsid w:val="00720D3D"/>
    <w:rPr>
      <w:rFonts w:ascii="Times New Roman" w:eastAsia="Times New Roman" w:hAnsi="Times New Roman" w:cs="Times New Roman"/>
      <w:sz w:val="20"/>
      <w:szCs w:val="20"/>
      <w:lang w:eastAsia="lt-LT"/>
    </w:rPr>
  </w:style>
  <w:style w:type="character" w:styleId="Puslapionumeris">
    <w:name w:val="page number"/>
    <w:basedOn w:val="Numatytasispastraiposriftas"/>
    <w:rsid w:val="00720D3D"/>
  </w:style>
  <w:style w:type="paragraph" w:styleId="Sraopastraipa">
    <w:name w:val="List Paragraph"/>
    <w:basedOn w:val="prastasis"/>
    <w:uiPriority w:val="34"/>
    <w:qFormat/>
    <w:rsid w:val="00720D3D"/>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10289</Words>
  <Characters>5866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2025-04-11T07:16:00Z</dcterms:created>
  <dcterms:modified xsi:type="dcterms:W3CDTF">2025-04-11T07:17:00Z</dcterms:modified>
</cp:coreProperties>
</file>