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0D7" w:rsidRPr="00873F27" w:rsidRDefault="00DF50D7" w:rsidP="00DF50D7">
      <w:pPr>
        <w:pStyle w:val="TTEMEASMCA"/>
        <w:tabs>
          <w:tab w:val="clear" w:pos="567"/>
        </w:tabs>
        <w:rPr>
          <w:lang w:val="lt-LT"/>
        </w:rPr>
      </w:pPr>
      <w:bookmarkStart w:id="0" w:name="_Toc129243263"/>
      <w:bookmarkStart w:id="1" w:name="_Toc129243138"/>
      <w:r w:rsidRPr="00873F27">
        <w:rPr>
          <w:lang w:val="lt-LT"/>
        </w:rPr>
        <w:t>Pakuotės lapelis:</w:t>
      </w:r>
      <w:r w:rsidRPr="00873F27">
        <w:rPr>
          <w:noProof/>
          <w:lang w:val="lt-LT"/>
        </w:rPr>
        <w:t xml:space="preserve"> </w:t>
      </w:r>
      <w:r w:rsidRPr="00873F27">
        <w:rPr>
          <w:lang w:val="lt-LT"/>
        </w:rPr>
        <w:t>informacija vartotojui</w:t>
      </w:r>
      <w:bookmarkEnd w:id="0"/>
      <w:bookmarkEnd w:id="1"/>
    </w:p>
    <w:p w:rsidR="00DF50D7" w:rsidRPr="00873F27" w:rsidRDefault="00DF50D7" w:rsidP="00DF50D7">
      <w:pPr>
        <w:pStyle w:val="BTEMEASMCA"/>
      </w:pPr>
    </w:p>
    <w:p w:rsidR="00DF50D7" w:rsidRPr="00873F27" w:rsidRDefault="00DF50D7" w:rsidP="00DF50D7">
      <w:pPr>
        <w:pStyle w:val="BTbeEMEASMCA"/>
      </w:pPr>
      <w:r w:rsidRPr="00873F27">
        <w:rPr>
          <w:caps/>
        </w:rPr>
        <w:t>Ursosan</w:t>
      </w:r>
      <w:r w:rsidRPr="00873F27">
        <w:t xml:space="preserve"> 250 mg kietosios kapsulės</w:t>
      </w:r>
    </w:p>
    <w:p w:rsidR="00DF50D7" w:rsidRPr="00873F27" w:rsidRDefault="00DF50D7" w:rsidP="00DF50D7">
      <w:pPr>
        <w:pStyle w:val="BTEMEASMCA"/>
        <w:jc w:val="center"/>
      </w:pPr>
      <w:r w:rsidRPr="00C637F4">
        <w:rPr>
          <w:i/>
          <w:iCs/>
        </w:rPr>
        <w:t>acidum ursodeoxycholicum</w:t>
      </w:r>
    </w:p>
    <w:p w:rsidR="00DF50D7" w:rsidRDefault="00DF50D7" w:rsidP="00DF50D7">
      <w:pPr>
        <w:pStyle w:val="BTbEMEASMCA"/>
      </w:pPr>
    </w:p>
    <w:p w:rsidR="00DF50D7" w:rsidRPr="00873F27" w:rsidRDefault="00DF50D7" w:rsidP="00DF50D7">
      <w:pPr>
        <w:pStyle w:val="BTbEMEASMCA"/>
      </w:pPr>
      <w:r w:rsidRPr="00873F27">
        <w:t>Atidžiai perskaitykite visą šį lapelį, prieš pradėdami vartoti vaistą, nes jame pateikiama Jums svarbi informacija.</w:t>
      </w:r>
    </w:p>
    <w:p w:rsidR="00DF50D7" w:rsidRPr="00873F27" w:rsidRDefault="00DF50D7" w:rsidP="00DF50D7">
      <w:pPr>
        <w:pStyle w:val="BT-EMEASMCA"/>
      </w:pPr>
      <w:r w:rsidRPr="00873F27">
        <w:t>Neišmeskite šio lapelio, nes vėl gali prireikti jį perskaityti.</w:t>
      </w:r>
    </w:p>
    <w:p w:rsidR="00DF50D7" w:rsidRPr="00873F27" w:rsidRDefault="00DF50D7" w:rsidP="00DF50D7">
      <w:pPr>
        <w:pStyle w:val="BT-EMEASMCA"/>
      </w:pPr>
      <w:r w:rsidRPr="00873F27">
        <w:t>Jeigu kiltų daugiau klausimų, kreipkitės į gydytoją arba vaistininką.</w:t>
      </w:r>
    </w:p>
    <w:p w:rsidR="00DF50D7" w:rsidRPr="00873F27" w:rsidRDefault="00DF50D7" w:rsidP="00DF50D7">
      <w:pPr>
        <w:pStyle w:val="BT-EMEASMCA"/>
      </w:pPr>
      <w:r w:rsidRPr="00873F27">
        <w:t>Šis vaistas skirtas Jums, todėl kitiems žmonėms jo duoti negalima. Vaistas gali jiems pakenkti (net tiems, kurių ligos požymiai yra tokie patys kaip Jūsų).</w:t>
      </w:r>
    </w:p>
    <w:p w:rsidR="00DF50D7" w:rsidRPr="00873F27" w:rsidRDefault="00DF50D7" w:rsidP="00DF50D7">
      <w:pPr>
        <w:pStyle w:val="BT-EMEASMCA"/>
      </w:pPr>
      <w:r w:rsidRPr="00873F27">
        <w:t>Jeigu pasireiškė šalutinis poveikis (net jeigu jis šiame lapelyje nenurodytąs), kreipkitės į gydytoją arba vaistininką. Žr. 4 skyrių.</w:t>
      </w:r>
    </w:p>
    <w:p w:rsidR="00DF50D7" w:rsidRPr="00873F27" w:rsidRDefault="00DF50D7" w:rsidP="00DF50D7">
      <w:pPr>
        <w:pStyle w:val="BTEMEASMCA"/>
      </w:pPr>
    </w:p>
    <w:p w:rsidR="00DF50D7" w:rsidRPr="00873F27" w:rsidRDefault="00DF50D7" w:rsidP="00DF50D7">
      <w:pPr>
        <w:pStyle w:val="BTbEMEASMCA"/>
      </w:pPr>
      <w:r w:rsidRPr="00873F27">
        <w:t>Apie ką rašoma šiame lapelyje?</w:t>
      </w:r>
    </w:p>
    <w:p w:rsidR="00DF50D7" w:rsidRPr="00873F27" w:rsidRDefault="00DF50D7" w:rsidP="00DF50D7">
      <w:pPr>
        <w:pStyle w:val="BTEMEASMCA"/>
      </w:pPr>
      <w:r w:rsidRPr="00873F27">
        <w:t>1.</w:t>
      </w:r>
      <w:r w:rsidRPr="00873F27">
        <w:tab/>
        <w:t>Kas yra Ursosan ir kam jis vartojamas</w:t>
      </w:r>
    </w:p>
    <w:p w:rsidR="00DF50D7" w:rsidRPr="00873F27" w:rsidRDefault="00DF50D7" w:rsidP="00DF50D7">
      <w:pPr>
        <w:pStyle w:val="BTEMEASMCA"/>
      </w:pPr>
      <w:r w:rsidRPr="00873F27">
        <w:t>2.</w:t>
      </w:r>
      <w:r w:rsidRPr="00873F27">
        <w:tab/>
        <w:t>Kas žinotina prieš vartojant Ursosan</w:t>
      </w:r>
    </w:p>
    <w:p w:rsidR="00DF50D7" w:rsidRPr="00873F27" w:rsidRDefault="00DF50D7" w:rsidP="00DF50D7">
      <w:pPr>
        <w:pStyle w:val="BTEMEASMCA"/>
      </w:pPr>
      <w:r w:rsidRPr="00873F27">
        <w:t>3.</w:t>
      </w:r>
      <w:r w:rsidRPr="00873F27">
        <w:tab/>
        <w:t>Kaip vartoti Ursosan</w:t>
      </w:r>
    </w:p>
    <w:p w:rsidR="00DF50D7" w:rsidRPr="00873F27" w:rsidRDefault="00DF50D7" w:rsidP="00DF50D7">
      <w:pPr>
        <w:pStyle w:val="BTEMEASMCA"/>
      </w:pPr>
      <w:r w:rsidRPr="00873F27">
        <w:t>4.</w:t>
      </w:r>
      <w:r w:rsidRPr="00873F27">
        <w:tab/>
        <w:t>Galimas šalutinis poveikis</w:t>
      </w:r>
    </w:p>
    <w:p w:rsidR="00DF50D7" w:rsidRPr="00873F27" w:rsidRDefault="00DF50D7" w:rsidP="00DF50D7">
      <w:pPr>
        <w:pStyle w:val="BTEMEASMCA"/>
      </w:pPr>
      <w:r w:rsidRPr="00873F27">
        <w:t>5.</w:t>
      </w:r>
      <w:r w:rsidRPr="00873F27">
        <w:tab/>
        <w:t>Kaip laikyti Ursosan</w:t>
      </w:r>
    </w:p>
    <w:p w:rsidR="00DF50D7" w:rsidRPr="00873F27" w:rsidRDefault="00DF50D7" w:rsidP="00DF50D7">
      <w:pPr>
        <w:pStyle w:val="BTEMEASMCA"/>
      </w:pPr>
      <w:r w:rsidRPr="00873F27">
        <w:t>6.</w:t>
      </w:r>
      <w:r w:rsidRPr="00873F27">
        <w:tab/>
        <w:t>Pakuotės turinys ir kita informacija</w:t>
      </w:r>
    </w:p>
    <w:p w:rsidR="00DF50D7" w:rsidRPr="00873F27" w:rsidRDefault="00DF50D7" w:rsidP="00DF50D7">
      <w:pPr>
        <w:pStyle w:val="BTEMEASMCA"/>
      </w:pPr>
    </w:p>
    <w:p w:rsidR="00DF50D7" w:rsidRPr="00873F27" w:rsidRDefault="00DF50D7" w:rsidP="00DF50D7">
      <w:pPr>
        <w:pStyle w:val="BTEMEASMCA"/>
      </w:pPr>
    </w:p>
    <w:p w:rsidR="00DF50D7" w:rsidRPr="00873F27" w:rsidRDefault="00DF50D7" w:rsidP="00DF50D7">
      <w:pPr>
        <w:pStyle w:val="PI-1EMEASMCA"/>
      </w:pPr>
      <w:bookmarkStart w:id="2" w:name="_Toc129243264"/>
      <w:bookmarkStart w:id="3" w:name="_Toc129243139"/>
      <w:r w:rsidRPr="00873F27">
        <w:t>1.</w:t>
      </w:r>
      <w:r w:rsidRPr="00873F27">
        <w:tab/>
        <w:t xml:space="preserve">Kas yra </w:t>
      </w:r>
      <w:proofErr w:type="spellStart"/>
      <w:r w:rsidRPr="00873F27">
        <w:t>Ursosan</w:t>
      </w:r>
      <w:proofErr w:type="spellEnd"/>
      <w:r w:rsidRPr="00873F27">
        <w:t xml:space="preserve"> ir kam jis vartojamas</w:t>
      </w:r>
      <w:bookmarkEnd w:id="2"/>
      <w:bookmarkEnd w:id="3"/>
    </w:p>
    <w:p w:rsidR="00DF50D7" w:rsidRPr="00873F27" w:rsidRDefault="00DF50D7" w:rsidP="00DF50D7">
      <w:pPr>
        <w:pStyle w:val="BTEMEASMCA"/>
      </w:pPr>
    </w:p>
    <w:p w:rsidR="00DF50D7" w:rsidRPr="00873F27" w:rsidRDefault="00DF50D7" w:rsidP="00DF50D7">
      <w:pPr>
        <w:tabs>
          <w:tab w:val="left" w:pos="0"/>
        </w:tabs>
        <w:rPr>
          <w:noProof/>
          <w:sz w:val="22"/>
          <w:szCs w:val="22"/>
        </w:rPr>
      </w:pPr>
      <w:r w:rsidRPr="00873F27">
        <w:rPr>
          <w:noProof/>
          <w:sz w:val="22"/>
          <w:szCs w:val="22"/>
        </w:rPr>
        <w:t xml:space="preserve">Veiklioji </w:t>
      </w:r>
      <w:proofErr w:type="spellStart"/>
      <w:r w:rsidRPr="00873F27">
        <w:rPr>
          <w:sz w:val="22"/>
          <w:szCs w:val="22"/>
        </w:rPr>
        <w:t>Ursosan</w:t>
      </w:r>
      <w:proofErr w:type="spellEnd"/>
      <w:r w:rsidRPr="00873F27">
        <w:rPr>
          <w:sz w:val="22"/>
          <w:szCs w:val="22"/>
        </w:rPr>
        <w:t xml:space="preserve"> kapsulių medžiaga yra </w:t>
      </w:r>
      <w:proofErr w:type="spellStart"/>
      <w:r w:rsidRPr="00873F27">
        <w:rPr>
          <w:sz w:val="22"/>
          <w:szCs w:val="22"/>
        </w:rPr>
        <w:t>u</w:t>
      </w:r>
      <w:r w:rsidRPr="00873F27">
        <w:rPr>
          <w:noProof/>
          <w:sz w:val="22"/>
          <w:szCs w:val="22"/>
        </w:rPr>
        <w:t>rsodeoksicholio</w:t>
      </w:r>
      <w:proofErr w:type="spellEnd"/>
      <w:r w:rsidRPr="00873F27">
        <w:rPr>
          <w:noProof/>
          <w:sz w:val="22"/>
          <w:szCs w:val="22"/>
        </w:rPr>
        <w:t xml:space="preserve"> rūgštis. Tai yra natūraliai organizme susidaranti tulžies rūgštis, kurios nedidelis kiekis aptinkamas žmogaus tulžyje. </w:t>
      </w:r>
    </w:p>
    <w:p w:rsidR="00DF50D7" w:rsidRPr="00873F27" w:rsidRDefault="00DF50D7" w:rsidP="00DF50D7">
      <w:pPr>
        <w:pStyle w:val="Pagrindinistekstas"/>
        <w:spacing w:after="0"/>
        <w:rPr>
          <w:szCs w:val="22"/>
        </w:rPr>
      </w:pPr>
    </w:p>
    <w:p w:rsidR="00DF50D7" w:rsidRPr="00EF1A9D" w:rsidRDefault="00DF50D7" w:rsidP="00DF50D7">
      <w:pPr>
        <w:pStyle w:val="Pagrindinistekstas"/>
        <w:spacing w:after="0"/>
        <w:rPr>
          <w:szCs w:val="22"/>
        </w:rPr>
      </w:pPr>
      <w:proofErr w:type="spellStart"/>
      <w:r w:rsidRPr="00EF1A9D">
        <w:rPr>
          <w:b/>
          <w:bCs/>
          <w:szCs w:val="22"/>
        </w:rPr>
        <w:t>Ursosan</w:t>
      </w:r>
      <w:proofErr w:type="spellEnd"/>
      <w:r w:rsidRPr="00EF1A9D">
        <w:rPr>
          <w:b/>
          <w:bCs/>
          <w:szCs w:val="22"/>
        </w:rPr>
        <w:t xml:space="preserve"> kapsulių yra vartojama:</w:t>
      </w:r>
    </w:p>
    <w:p w:rsidR="00DF50D7" w:rsidRPr="00873F27" w:rsidRDefault="00DF50D7" w:rsidP="00DF50D7">
      <w:pPr>
        <w:pStyle w:val="Sraopastraipa"/>
        <w:numPr>
          <w:ilvl w:val="0"/>
          <w:numId w:val="2"/>
        </w:numPr>
        <w:tabs>
          <w:tab w:val="clear" w:pos="567"/>
        </w:tabs>
        <w:contextualSpacing w:val="0"/>
        <w:rPr>
          <w:noProof/>
          <w:sz w:val="22"/>
          <w:szCs w:val="22"/>
        </w:rPr>
      </w:pPr>
      <w:r w:rsidRPr="00873F27">
        <w:rPr>
          <w:noProof/>
          <w:sz w:val="22"/>
          <w:szCs w:val="22"/>
        </w:rPr>
        <w:t>cholesterolinių tulžies pūslės akmenų tirpinimui; akmenys turi būti laidūs spinduliams (nematomi rentgenologinio tyrimo metu) ir ne daugiau kaip 15 mm skersmens; tulžies pūslės veikla dėl susidariusių akmenų turi būti nesutrikusi;</w:t>
      </w:r>
    </w:p>
    <w:p w:rsidR="00DF50D7" w:rsidRPr="00873F27" w:rsidRDefault="00DF50D7" w:rsidP="00DF50D7">
      <w:pPr>
        <w:pStyle w:val="Pagrindinistekstas"/>
        <w:numPr>
          <w:ilvl w:val="0"/>
          <w:numId w:val="3"/>
        </w:numPr>
        <w:spacing w:after="0"/>
        <w:ind w:left="567" w:hanging="567"/>
        <w:rPr>
          <w:szCs w:val="22"/>
        </w:rPr>
      </w:pPr>
      <w:r w:rsidRPr="00873F27">
        <w:rPr>
          <w:szCs w:val="22"/>
        </w:rPr>
        <w:t>grįžtamo tulžies tekėjimo (</w:t>
      </w:r>
      <w:proofErr w:type="spellStart"/>
      <w:r w:rsidRPr="00873F27">
        <w:rPr>
          <w:szCs w:val="22"/>
        </w:rPr>
        <w:t>refliukso</w:t>
      </w:r>
      <w:proofErr w:type="spellEnd"/>
      <w:r w:rsidRPr="00873F27">
        <w:rPr>
          <w:szCs w:val="22"/>
        </w:rPr>
        <w:t>) sukelto skrandžio gleivinės uždegimo gydymui;</w:t>
      </w:r>
    </w:p>
    <w:p w:rsidR="00DF50D7" w:rsidRPr="00873F27" w:rsidRDefault="00DF50D7" w:rsidP="00DF50D7">
      <w:pPr>
        <w:pStyle w:val="Sraopastraipa"/>
        <w:numPr>
          <w:ilvl w:val="0"/>
          <w:numId w:val="3"/>
        </w:numPr>
        <w:ind w:left="567" w:hanging="567"/>
        <w:contextualSpacing w:val="0"/>
        <w:rPr>
          <w:sz w:val="22"/>
          <w:szCs w:val="22"/>
        </w:rPr>
      </w:pPr>
      <w:r w:rsidRPr="00873F27">
        <w:rPr>
          <w:sz w:val="22"/>
          <w:szCs w:val="22"/>
        </w:rPr>
        <w:t xml:space="preserve">simptominiam pirminės </w:t>
      </w:r>
      <w:proofErr w:type="spellStart"/>
      <w:r w:rsidRPr="00873F27">
        <w:rPr>
          <w:sz w:val="22"/>
          <w:szCs w:val="22"/>
        </w:rPr>
        <w:t>bilijinės</w:t>
      </w:r>
      <w:proofErr w:type="spellEnd"/>
      <w:r w:rsidRPr="00873F27">
        <w:rPr>
          <w:sz w:val="22"/>
          <w:szCs w:val="22"/>
        </w:rPr>
        <w:t xml:space="preserve"> (</w:t>
      </w:r>
      <w:proofErr w:type="spellStart"/>
      <w:r w:rsidRPr="00873F27">
        <w:rPr>
          <w:sz w:val="22"/>
          <w:szCs w:val="22"/>
        </w:rPr>
        <w:t>tulžinės</w:t>
      </w:r>
      <w:proofErr w:type="spellEnd"/>
      <w:r w:rsidRPr="00873F27">
        <w:rPr>
          <w:sz w:val="22"/>
          <w:szCs w:val="22"/>
        </w:rPr>
        <w:t xml:space="preserve"> kepenų) cirozės gydymui (pirminė </w:t>
      </w:r>
      <w:proofErr w:type="spellStart"/>
      <w:r w:rsidRPr="00873F27">
        <w:rPr>
          <w:sz w:val="22"/>
          <w:szCs w:val="22"/>
        </w:rPr>
        <w:t>bilijinė</w:t>
      </w:r>
      <w:proofErr w:type="spellEnd"/>
      <w:r w:rsidRPr="00873F27">
        <w:rPr>
          <w:sz w:val="22"/>
          <w:szCs w:val="22"/>
        </w:rPr>
        <w:t xml:space="preserve"> kepenų cirozė yra su kepenų ciroze susijęs lėtinis uždegimas, apėmęs tulžies latakus), jei cirozė </w:t>
      </w:r>
      <w:proofErr w:type="spellStart"/>
      <w:r w:rsidRPr="00873F27">
        <w:rPr>
          <w:sz w:val="22"/>
          <w:szCs w:val="22"/>
        </w:rPr>
        <w:t>nedekompensuota</w:t>
      </w:r>
      <w:proofErr w:type="spellEnd"/>
      <w:r w:rsidRPr="00873F27">
        <w:rPr>
          <w:sz w:val="22"/>
          <w:szCs w:val="22"/>
        </w:rPr>
        <w:t xml:space="preserve"> (tai yra sunki kepenų liga, kurios metu nepažeistas kepenų audinys jau negali kompensuoti pablogėjusios kepenų funkcijos). </w:t>
      </w:r>
    </w:p>
    <w:p w:rsidR="00DF50D7" w:rsidRPr="00873F27" w:rsidRDefault="00DF50D7" w:rsidP="00DF50D7">
      <w:pPr>
        <w:pStyle w:val="Pagrindinistekstas"/>
        <w:spacing w:after="0"/>
        <w:rPr>
          <w:szCs w:val="22"/>
        </w:rPr>
      </w:pPr>
    </w:p>
    <w:p w:rsidR="00DF50D7" w:rsidRPr="00873F27" w:rsidRDefault="00DF50D7" w:rsidP="00DF50D7">
      <w:pPr>
        <w:pStyle w:val="BTEMEASMCA"/>
      </w:pPr>
      <w:r w:rsidRPr="00873F27">
        <w:t>Vaikams ir paaugliams</w:t>
      </w:r>
    </w:p>
    <w:p w:rsidR="00DF50D7" w:rsidRPr="00873F27" w:rsidRDefault="00DF50D7" w:rsidP="00DF50D7">
      <w:pPr>
        <w:pStyle w:val="BTEMEASMCA"/>
      </w:pPr>
      <w:r w:rsidRPr="00873F27">
        <w:t>Cistinės fibrozės sukeltų tulžies pūslės ir kepenų sutrikimų gydymas 6 metų ir jaunesniems kaip 18 metų vaikams.</w:t>
      </w:r>
    </w:p>
    <w:p w:rsidR="00DF50D7" w:rsidRPr="00873F27" w:rsidRDefault="00DF50D7" w:rsidP="00DF50D7">
      <w:pPr>
        <w:pStyle w:val="BTEMEASMCA"/>
      </w:pPr>
    </w:p>
    <w:p w:rsidR="00DF50D7" w:rsidRPr="00873F27" w:rsidRDefault="00DF50D7" w:rsidP="00DF50D7">
      <w:pPr>
        <w:pStyle w:val="BTEMEASMCA"/>
      </w:pPr>
    </w:p>
    <w:p w:rsidR="00DF50D7" w:rsidRPr="00873F27" w:rsidRDefault="00DF50D7" w:rsidP="00DF50D7">
      <w:pPr>
        <w:pStyle w:val="PI-1EMEASMCA"/>
      </w:pPr>
      <w:bookmarkStart w:id="4" w:name="_Toc129243265"/>
      <w:bookmarkStart w:id="5" w:name="_Toc129243140"/>
      <w:r w:rsidRPr="00873F27">
        <w:t>2.</w:t>
      </w:r>
      <w:r w:rsidRPr="00873F27">
        <w:tab/>
        <w:t xml:space="preserve">Kas žinotina prieš vartojant </w:t>
      </w:r>
      <w:proofErr w:type="spellStart"/>
      <w:r w:rsidRPr="00873F27">
        <w:t>Ursosan</w:t>
      </w:r>
      <w:bookmarkEnd w:id="4"/>
      <w:bookmarkEnd w:id="5"/>
      <w:proofErr w:type="spellEnd"/>
    </w:p>
    <w:p w:rsidR="00DF50D7" w:rsidRPr="00873F27" w:rsidRDefault="00DF50D7" w:rsidP="00DF50D7">
      <w:pPr>
        <w:pStyle w:val="BTEMEASMCA"/>
      </w:pPr>
    </w:p>
    <w:p w:rsidR="00DF50D7" w:rsidRPr="00873F27" w:rsidRDefault="00DF50D7" w:rsidP="00DF50D7">
      <w:pPr>
        <w:pStyle w:val="PI-3EMEASMCA"/>
      </w:pPr>
      <w:proofErr w:type="spellStart"/>
      <w:r w:rsidRPr="00873F27">
        <w:t>Ursosan</w:t>
      </w:r>
      <w:proofErr w:type="spellEnd"/>
      <w:r w:rsidRPr="00873F27">
        <w:t xml:space="preserve"> vartoti </w:t>
      </w:r>
      <w:r>
        <w:t>draudžiama</w:t>
      </w:r>
      <w:r w:rsidRPr="00873F27">
        <w:t>:</w:t>
      </w:r>
    </w:p>
    <w:p w:rsidR="00DF50D7" w:rsidRPr="00873F27" w:rsidRDefault="00DF50D7" w:rsidP="00DF50D7">
      <w:pPr>
        <w:pStyle w:val="Sraopastraipa"/>
        <w:numPr>
          <w:ilvl w:val="0"/>
          <w:numId w:val="4"/>
        </w:numPr>
        <w:ind w:left="567" w:hanging="567"/>
        <w:contextualSpacing w:val="0"/>
        <w:rPr>
          <w:noProof/>
          <w:sz w:val="22"/>
          <w:szCs w:val="22"/>
        </w:rPr>
      </w:pPr>
      <w:r w:rsidRPr="00873F27">
        <w:rPr>
          <w:noProof/>
          <w:sz w:val="22"/>
          <w:szCs w:val="22"/>
        </w:rPr>
        <w:t>jeigu yra alergija tulžies rūgštims (tokioms kaip ursodeoksicholio rūgštis) arba bet kuriai pagalbinei šio vaisto medžiagai (jos išvardintos 6 skyriuje);</w:t>
      </w:r>
    </w:p>
    <w:p w:rsidR="00DF50D7" w:rsidRPr="00873F27" w:rsidRDefault="00DF50D7" w:rsidP="00DF50D7">
      <w:pPr>
        <w:pStyle w:val="Sraopastraipa"/>
        <w:numPr>
          <w:ilvl w:val="0"/>
          <w:numId w:val="4"/>
        </w:numPr>
        <w:ind w:left="567" w:hanging="567"/>
        <w:contextualSpacing w:val="0"/>
        <w:rPr>
          <w:noProof/>
          <w:sz w:val="22"/>
          <w:szCs w:val="22"/>
        </w:rPr>
      </w:pPr>
      <w:r w:rsidRPr="00873F27">
        <w:rPr>
          <w:noProof/>
          <w:sz w:val="22"/>
          <w:szCs w:val="22"/>
        </w:rPr>
        <w:t>jeigu sergate ūminiu tulžies pūslės ar latakų uždegimu;</w:t>
      </w:r>
    </w:p>
    <w:p w:rsidR="00DF50D7" w:rsidRPr="00873F27" w:rsidRDefault="00DF50D7" w:rsidP="00DF50D7">
      <w:pPr>
        <w:pStyle w:val="Sraopastraipa"/>
        <w:numPr>
          <w:ilvl w:val="0"/>
          <w:numId w:val="4"/>
        </w:numPr>
        <w:ind w:left="567" w:hanging="567"/>
        <w:contextualSpacing w:val="0"/>
        <w:rPr>
          <w:noProof/>
          <w:sz w:val="22"/>
          <w:szCs w:val="22"/>
        </w:rPr>
      </w:pPr>
      <w:r w:rsidRPr="00873F27">
        <w:rPr>
          <w:noProof/>
          <w:sz w:val="22"/>
          <w:szCs w:val="22"/>
        </w:rPr>
        <w:t>jeigu tulžies latakai užsikimšę (nepraeinami nepakitę arba pūsliniai tulžies latakai);</w:t>
      </w:r>
    </w:p>
    <w:p w:rsidR="00DF50D7" w:rsidRPr="00873F27" w:rsidRDefault="00DF50D7" w:rsidP="00DF50D7">
      <w:pPr>
        <w:pStyle w:val="Sraopastraipa"/>
        <w:numPr>
          <w:ilvl w:val="0"/>
          <w:numId w:val="4"/>
        </w:numPr>
        <w:ind w:left="567" w:hanging="567"/>
        <w:contextualSpacing w:val="0"/>
        <w:rPr>
          <w:noProof/>
          <w:sz w:val="22"/>
          <w:szCs w:val="22"/>
        </w:rPr>
      </w:pPr>
      <w:r w:rsidRPr="00873F27">
        <w:rPr>
          <w:noProof/>
          <w:sz w:val="22"/>
          <w:szCs w:val="22"/>
        </w:rPr>
        <w:t>jei dažnai kartojasi spazminis viršutinės pilvo dalies skausmas (kepenų diegliai);</w:t>
      </w:r>
    </w:p>
    <w:p w:rsidR="00DF50D7" w:rsidRPr="00873F27" w:rsidRDefault="00DF50D7" w:rsidP="00DF50D7">
      <w:pPr>
        <w:pStyle w:val="Sraopastraipa"/>
        <w:numPr>
          <w:ilvl w:val="0"/>
          <w:numId w:val="4"/>
        </w:numPr>
        <w:ind w:left="567" w:hanging="567"/>
        <w:contextualSpacing w:val="0"/>
        <w:rPr>
          <w:noProof/>
          <w:sz w:val="22"/>
          <w:szCs w:val="22"/>
        </w:rPr>
      </w:pPr>
      <w:r w:rsidRPr="00873F27">
        <w:rPr>
          <w:noProof/>
          <w:sz w:val="22"/>
          <w:szCs w:val="22"/>
        </w:rPr>
        <w:lastRenderedPageBreak/>
        <w:t>jei gydytojas yra sakęs, kad Jūsų tulžies pūslės akmenys sukalkėję;</w:t>
      </w:r>
    </w:p>
    <w:p w:rsidR="00DF50D7" w:rsidRPr="00873F27" w:rsidRDefault="00DF50D7" w:rsidP="00DF50D7">
      <w:pPr>
        <w:pStyle w:val="Sraopastraipa"/>
        <w:numPr>
          <w:ilvl w:val="0"/>
          <w:numId w:val="4"/>
        </w:numPr>
        <w:ind w:left="567" w:hanging="567"/>
        <w:contextualSpacing w:val="0"/>
        <w:rPr>
          <w:noProof/>
          <w:sz w:val="22"/>
          <w:szCs w:val="22"/>
        </w:rPr>
      </w:pPr>
      <w:r w:rsidRPr="00873F27">
        <w:rPr>
          <w:noProof/>
          <w:sz w:val="22"/>
          <w:szCs w:val="22"/>
        </w:rPr>
        <w:t>jei yra pablogėjęs tulžies pūslės gebėjimas susitraukti;</w:t>
      </w:r>
    </w:p>
    <w:p w:rsidR="00DF50D7" w:rsidRPr="00873F27" w:rsidRDefault="00DF50D7" w:rsidP="00DF50D7">
      <w:pPr>
        <w:pStyle w:val="Sraopastraipa"/>
        <w:numPr>
          <w:ilvl w:val="0"/>
          <w:numId w:val="4"/>
        </w:numPr>
        <w:ind w:left="567" w:hanging="567"/>
        <w:contextualSpacing w:val="0"/>
        <w:rPr>
          <w:noProof/>
          <w:sz w:val="22"/>
          <w:szCs w:val="22"/>
        </w:rPr>
      </w:pPr>
      <w:r w:rsidRPr="00873F27">
        <w:rPr>
          <w:noProof/>
          <w:sz w:val="22"/>
          <w:szCs w:val="22"/>
        </w:rPr>
        <w:t>jeigu vaikui užakę tulžies latakai (įgimta tulžies latakų atrezija) arba blogai nuteka tulžis net ir po operacijos</w:t>
      </w:r>
      <w:r>
        <w:rPr>
          <w:noProof/>
          <w:sz w:val="22"/>
          <w:szCs w:val="22"/>
        </w:rPr>
        <w:t>.</w:t>
      </w:r>
    </w:p>
    <w:p w:rsidR="00DF50D7" w:rsidRPr="00873F27" w:rsidRDefault="00DF50D7" w:rsidP="00DF50D7">
      <w:pPr>
        <w:pStyle w:val="BTEMEASMCA"/>
      </w:pPr>
    </w:p>
    <w:p w:rsidR="00DF50D7" w:rsidRPr="00873F27" w:rsidRDefault="00DF50D7" w:rsidP="00DF50D7">
      <w:pPr>
        <w:pStyle w:val="BTEMEASMCA"/>
      </w:pPr>
    </w:p>
    <w:p w:rsidR="00DF50D7" w:rsidRPr="00705FFE" w:rsidRDefault="00DF50D7" w:rsidP="00DF50D7">
      <w:pPr>
        <w:pStyle w:val="BTEMEASMCA"/>
      </w:pPr>
      <w:r w:rsidRPr="00705FFE">
        <w:t>Įspėjimai ir atsargumo priemonės</w:t>
      </w:r>
    </w:p>
    <w:p w:rsidR="00DF50D7" w:rsidRPr="00873F27" w:rsidRDefault="00DF50D7" w:rsidP="00DF50D7">
      <w:pPr>
        <w:outlineLvl w:val="0"/>
        <w:rPr>
          <w:sz w:val="22"/>
          <w:szCs w:val="22"/>
        </w:rPr>
      </w:pPr>
      <w:r w:rsidRPr="00873F27">
        <w:rPr>
          <w:sz w:val="22"/>
          <w:szCs w:val="22"/>
        </w:rPr>
        <w:t xml:space="preserve">Pasitarkite su gydytoju arba vaistininku, prieš pradėdami vartoti </w:t>
      </w:r>
      <w:proofErr w:type="spellStart"/>
      <w:r w:rsidRPr="00873F27">
        <w:rPr>
          <w:sz w:val="22"/>
          <w:szCs w:val="22"/>
        </w:rPr>
        <w:t>Ursosan</w:t>
      </w:r>
      <w:proofErr w:type="spellEnd"/>
      <w:r w:rsidRPr="00873F27">
        <w:rPr>
          <w:sz w:val="22"/>
          <w:szCs w:val="22"/>
        </w:rPr>
        <w:t>.</w:t>
      </w:r>
    </w:p>
    <w:p w:rsidR="00DF50D7" w:rsidRPr="00873F27" w:rsidRDefault="00DF50D7" w:rsidP="00DF50D7">
      <w:pPr>
        <w:outlineLvl w:val="0"/>
        <w:rPr>
          <w:sz w:val="22"/>
          <w:szCs w:val="22"/>
        </w:rPr>
      </w:pPr>
      <w:r w:rsidRPr="00873F27">
        <w:rPr>
          <w:sz w:val="22"/>
          <w:szCs w:val="22"/>
        </w:rPr>
        <w:t xml:space="preserve">Per pirmuosius tris gydymo mėnesius gydytojas turi kas 4 savaites stebėti Jūsų kepenų funkcijos rodmenis. Vėliau kepenų funkcijos rodmenų tyrimus reikia atlikti kas 3 mėnesius. </w:t>
      </w:r>
    </w:p>
    <w:p w:rsidR="00DF50D7" w:rsidRDefault="00DF50D7" w:rsidP="00DF50D7">
      <w:pPr>
        <w:outlineLvl w:val="0"/>
        <w:rPr>
          <w:noProof/>
          <w:sz w:val="22"/>
          <w:szCs w:val="22"/>
        </w:rPr>
      </w:pPr>
    </w:p>
    <w:p w:rsidR="00DF50D7" w:rsidRPr="00FD275B" w:rsidRDefault="00DF50D7" w:rsidP="00DF50D7">
      <w:pPr>
        <w:outlineLvl w:val="0"/>
        <w:rPr>
          <w:noProof/>
          <w:sz w:val="22"/>
          <w:szCs w:val="22"/>
        </w:rPr>
      </w:pPr>
      <w:r w:rsidRPr="00FD275B">
        <w:rPr>
          <w:noProof/>
          <w:sz w:val="22"/>
          <w:szCs w:val="22"/>
        </w:rPr>
        <w:t>Po 6-10 mėnesių nuo cholesterolinių tulžies pūslės akmenų tirpinimo pradžios gydytojas turėtų atlikti apžvalginę tulžies pūslės rentgenografiją.</w:t>
      </w:r>
    </w:p>
    <w:p w:rsidR="00DF50D7" w:rsidRPr="00FD275B" w:rsidRDefault="00DF50D7" w:rsidP="00DF50D7">
      <w:pPr>
        <w:outlineLvl w:val="0"/>
        <w:rPr>
          <w:noProof/>
          <w:sz w:val="22"/>
          <w:szCs w:val="22"/>
        </w:rPr>
      </w:pPr>
    </w:p>
    <w:p w:rsidR="00DF50D7" w:rsidRPr="00FD275B" w:rsidRDefault="00DF50D7" w:rsidP="00DF50D7">
      <w:pPr>
        <w:outlineLvl w:val="0"/>
        <w:rPr>
          <w:noProof/>
          <w:sz w:val="22"/>
          <w:szCs w:val="22"/>
        </w:rPr>
      </w:pPr>
      <w:r w:rsidRPr="00FD275B">
        <w:rPr>
          <w:noProof/>
          <w:sz w:val="22"/>
          <w:szCs w:val="22"/>
        </w:rPr>
        <w:t>Jei esate moteris, vartodama Ursosan tulžies pūslės akmenų tirpinimui, turėtumėte naudotis veiksmingomis nehormoninėmis kontracepcijos priemonėmis, nes hormoninės priemonės gali paskatinti tulžies puslės akmenų susidarymą.</w:t>
      </w:r>
    </w:p>
    <w:p w:rsidR="00DF50D7" w:rsidRPr="00FD275B" w:rsidRDefault="00DF50D7" w:rsidP="00DF50D7">
      <w:pPr>
        <w:outlineLvl w:val="0"/>
        <w:rPr>
          <w:noProof/>
          <w:sz w:val="22"/>
          <w:szCs w:val="22"/>
        </w:rPr>
      </w:pPr>
    </w:p>
    <w:p w:rsidR="00DF50D7" w:rsidRDefault="00DF50D7" w:rsidP="00DF50D7">
      <w:pPr>
        <w:outlineLvl w:val="0"/>
        <w:rPr>
          <w:noProof/>
          <w:sz w:val="22"/>
          <w:szCs w:val="22"/>
        </w:rPr>
      </w:pPr>
      <w:r w:rsidRPr="00FD275B">
        <w:rPr>
          <w:noProof/>
          <w:sz w:val="22"/>
          <w:szCs w:val="22"/>
        </w:rPr>
        <w:t>Retai, pradėjus gydymą, pacientams, sergantiems PBC, ligos simptomai gali pablogėti (pavyzdžiui, gali sustiprėti niež</w:t>
      </w:r>
      <w:r>
        <w:rPr>
          <w:noProof/>
          <w:sz w:val="22"/>
          <w:szCs w:val="22"/>
        </w:rPr>
        <w:t>ėjimas</w:t>
      </w:r>
      <w:r w:rsidRPr="00FD275B">
        <w:rPr>
          <w:noProof/>
          <w:sz w:val="22"/>
          <w:szCs w:val="22"/>
        </w:rPr>
        <w:t>). Jei taip atsitinka, pasitarkite su gydytoju dėl pradinės dozės mažinimo.</w:t>
      </w:r>
    </w:p>
    <w:p w:rsidR="00DF50D7" w:rsidRPr="00873F27" w:rsidRDefault="00DF50D7" w:rsidP="00DF50D7">
      <w:pPr>
        <w:outlineLvl w:val="0"/>
        <w:rPr>
          <w:noProof/>
          <w:sz w:val="22"/>
          <w:szCs w:val="22"/>
        </w:rPr>
      </w:pPr>
    </w:p>
    <w:p w:rsidR="00DF50D7" w:rsidRPr="00873F27" w:rsidRDefault="00DF50D7" w:rsidP="00DF50D7">
      <w:pPr>
        <w:outlineLvl w:val="0"/>
        <w:rPr>
          <w:noProof/>
          <w:sz w:val="22"/>
          <w:szCs w:val="22"/>
        </w:rPr>
      </w:pPr>
      <w:r w:rsidRPr="00873F27">
        <w:rPr>
          <w:noProof/>
          <w:sz w:val="22"/>
          <w:szCs w:val="22"/>
        </w:rPr>
        <w:t xml:space="preserve">Jei pasireiškė viduriavimas, nedelsiant informuokite gydytoją, nes gali tekti mažinti vaisto dozę ar nutraukti gydymą </w:t>
      </w:r>
      <w:proofErr w:type="spellStart"/>
      <w:r w:rsidRPr="00873F27">
        <w:rPr>
          <w:sz w:val="22"/>
          <w:szCs w:val="22"/>
        </w:rPr>
        <w:t>Ursosan</w:t>
      </w:r>
      <w:proofErr w:type="spellEnd"/>
      <w:r w:rsidRPr="00873F27" w:rsidDel="00EB109D">
        <w:rPr>
          <w:noProof/>
          <w:sz w:val="22"/>
          <w:szCs w:val="22"/>
        </w:rPr>
        <w:t xml:space="preserve"> </w:t>
      </w:r>
      <w:r w:rsidRPr="00873F27">
        <w:rPr>
          <w:noProof/>
          <w:sz w:val="22"/>
          <w:szCs w:val="22"/>
        </w:rPr>
        <w:t>kapsulėmis.</w:t>
      </w:r>
    </w:p>
    <w:p w:rsidR="00DF50D7" w:rsidRPr="00873F27" w:rsidRDefault="00DF50D7" w:rsidP="00DF50D7">
      <w:pPr>
        <w:pStyle w:val="PI-3EMEASMCA"/>
      </w:pPr>
    </w:p>
    <w:p w:rsidR="00DF50D7" w:rsidRPr="00873F27" w:rsidRDefault="00DF50D7" w:rsidP="00DF50D7">
      <w:pPr>
        <w:pStyle w:val="PI-3EMEASMCA"/>
      </w:pPr>
      <w:r w:rsidRPr="00873F27">
        <w:t xml:space="preserve">Kiti vaistai ir </w:t>
      </w:r>
      <w:proofErr w:type="spellStart"/>
      <w:r w:rsidRPr="00873F27">
        <w:t>Ursosan</w:t>
      </w:r>
      <w:proofErr w:type="spellEnd"/>
    </w:p>
    <w:p w:rsidR="00DF50D7" w:rsidRPr="00873F27" w:rsidRDefault="00DF50D7" w:rsidP="00DF50D7">
      <w:pPr>
        <w:rPr>
          <w:sz w:val="22"/>
          <w:szCs w:val="22"/>
        </w:rPr>
      </w:pPr>
      <w:r w:rsidRPr="00873F27">
        <w:rPr>
          <w:noProof/>
          <w:sz w:val="22"/>
          <w:szCs w:val="22"/>
        </w:rPr>
        <w:t xml:space="preserve">Jeigu vartojate ar neseniai vartojote kitų vaistų </w:t>
      </w:r>
      <w:r w:rsidRPr="00873F27">
        <w:rPr>
          <w:sz w:val="22"/>
          <w:szCs w:val="22"/>
        </w:rPr>
        <w:t xml:space="preserve">arba dėl to nesate tikri, apie tai </w:t>
      </w:r>
      <w:r w:rsidRPr="00873F27">
        <w:rPr>
          <w:noProof/>
          <w:sz w:val="22"/>
          <w:szCs w:val="22"/>
        </w:rPr>
        <w:t>pasakykite gydytojui arba vaistininkui</w:t>
      </w:r>
      <w:r w:rsidRPr="00873F27">
        <w:rPr>
          <w:sz w:val="22"/>
          <w:szCs w:val="22"/>
        </w:rPr>
        <w:t>.</w:t>
      </w:r>
    </w:p>
    <w:p w:rsidR="00DF50D7" w:rsidRPr="00873F27" w:rsidRDefault="00DF50D7" w:rsidP="00DF50D7">
      <w:pPr>
        <w:rPr>
          <w:sz w:val="22"/>
        </w:rPr>
      </w:pPr>
    </w:p>
    <w:p w:rsidR="00DF50D7" w:rsidRPr="00873F27" w:rsidRDefault="00DF50D7" w:rsidP="00DF50D7">
      <w:pPr>
        <w:rPr>
          <w:sz w:val="22"/>
          <w:szCs w:val="22"/>
        </w:rPr>
      </w:pPr>
      <w:proofErr w:type="spellStart"/>
      <w:r w:rsidRPr="00873F27">
        <w:rPr>
          <w:sz w:val="22"/>
          <w:szCs w:val="22"/>
        </w:rPr>
        <w:t>Cholestiramino</w:t>
      </w:r>
      <w:proofErr w:type="spellEnd"/>
      <w:r w:rsidRPr="00873F27">
        <w:rPr>
          <w:sz w:val="22"/>
          <w:szCs w:val="22"/>
        </w:rPr>
        <w:t xml:space="preserve"> tipo </w:t>
      </w:r>
      <w:proofErr w:type="spellStart"/>
      <w:r w:rsidRPr="00873F27">
        <w:rPr>
          <w:sz w:val="22"/>
          <w:szCs w:val="22"/>
        </w:rPr>
        <w:t>antilipideminiai</w:t>
      </w:r>
      <w:proofErr w:type="spellEnd"/>
      <w:r w:rsidRPr="00873F27">
        <w:rPr>
          <w:sz w:val="22"/>
          <w:szCs w:val="22"/>
        </w:rPr>
        <w:t xml:space="preserve"> vaistai, </w:t>
      </w:r>
      <w:proofErr w:type="spellStart"/>
      <w:r w:rsidRPr="00873F27">
        <w:rPr>
          <w:sz w:val="22"/>
          <w:szCs w:val="22"/>
        </w:rPr>
        <w:t>kolestipolis</w:t>
      </w:r>
      <w:proofErr w:type="spellEnd"/>
      <w:r>
        <w:rPr>
          <w:sz w:val="22"/>
          <w:szCs w:val="22"/>
        </w:rPr>
        <w:t xml:space="preserve"> </w:t>
      </w:r>
      <w:r w:rsidRPr="00FD275B">
        <w:rPr>
          <w:sz w:val="22"/>
          <w:szCs w:val="22"/>
        </w:rPr>
        <w:t>(mažinantis lipidų kiekį kraujyje</w:t>
      </w:r>
      <w:r>
        <w:rPr>
          <w:sz w:val="22"/>
          <w:szCs w:val="22"/>
        </w:rPr>
        <w:t>)</w:t>
      </w:r>
      <w:r w:rsidRPr="00873F27">
        <w:rPr>
          <w:sz w:val="22"/>
          <w:szCs w:val="22"/>
        </w:rPr>
        <w:t xml:space="preserve"> ir </w:t>
      </w:r>
      <w:proofErr w:type="spellStart"/>
      <w:r w:rsidRPr="00873F27">
        <w:rPr>
          <w:sz w:val="22"/>
          <w:szCs w:val="22"/>
        </w:rPr>
        <w:t>antacidiniai</w:t>
      </w:r>
      <w:proofErr w:type="spellEnd"/>
      <w:r w:rsidRPr="00873F27">
        <w:rPr>
          <w:sz w:val="22"/>
          <w:szCs w:val="22"/>
        </w:rPr>
        <w:t xml:space="preserve"> aliuminio </w:t>
      </w:r>
      <w:proofErr w:type="spellStart"/>
      <w:r w:rsidRPr="00873F27">
        <w:rPr>
          <w:sz w:val="22"/>
          <w:szCs w:val="22"/>
        </w:rPr>
        <w:t>hidroksido</w:t>
      </w:r>
      <w:proofErr w:type="spellEnd"/>
      <w:r w:rsidRPr="00873F27">
        <w:rPr>
          <w:sz w:val="22"/>
          <w:szCs w:val="22"/>
        </w:rPr>
        <w:t xml:space="preserve"> sudėtyje turintys vaistai</w:t>
      </w:r>
      <w:r>
        <w:rPr>
          <w:sz w:val="22"/>
          <w:szCs w:val="22"/>
        </w:rPr>
        <w:t xml:space="preserve"> </w:t>
      </w:r>
      <w:r w:rsidRPr="00FD275B">
        <w:rPr>
          <w:sz w:val="22"/>
          <w:szCs w:val="22"/>
        </w:rPr>
        <w:t>(skrandžio sulčių rūgštingumą neutralizuojantys vaistai</w:t>
      </w:r>
      <w:r>
        <w:rPr>
          <w:sz w:val="22"/>
          <w:szCs w:val="22"/>
        </w:rPr>
        <w:t>)</w:t>
      </w:r>
      <w:r w:rsidRPr="00873F27">
        <w:rPr>
          <w:sz w:val="22"/>
          <w:szCs w:val="22"/>
        </w:rPr>
        <w:t xml:space="preserve"> gali sumažinti </w:t>
      </w:r>
      <w:proofErr w:type="spellStart"/>
      <w:r w:rsidRPr="00873F27">
        <w:rPr>
          <w:sz w:val="22"/>
          <w:szCs w:val="22"/>
        </w:rPr>
        <w:t>ursodeoksicholinės</w:t>
      </w:r>
      <w:proofErr w:type="spellEnd"/>
      <w:r w:rsidRPr="00873F27">
        <w:rPr>
          <w:sz w:val="22"/>
          <w:szCs w:val="22"/>
        </w:rPr>
        <w:t xml:space="preserve"> rūgšties absorbciją ir tuo </w:t>
      </w:r>
      <w:proofErr w:type="spellStart"/>
      <w:r w:rsidRPr="00873F27">
        <w:rPr>
          <w:sz w:val="22"/>
          <w:szCs w:val="22"/>
        </w:rPr>
        <w:t>susilpninti</w:t>
      </w:r>
      <w:proofErr w:type="spellEnd"/>
      <w:r w:rsidRPr="00873F27">
        <w:rPr>
          <w:sz w:val="22"/>
          <w:szCs w:val="22"/>
        </w:rPr>
        <w:t xml:space="preserve"> </w:t>
      </w:r>
      <w:proofErr w:type="spellStart"/>
      <w:r w:rsidRPr="00873F27">
        <w:rPr>
          <w:sz w:val="22"/>
          <w:szCs w:val="22"/>
        </w:rPr>
        <w:t>Ursosan</w:t>
      </w:r>
      <w:proofErr w:type="spellEnd"/>
      <w:r w:rsidRPr="00873F27">
        <w:rPr>
          <w:sz w:val="22"/>
          <w:szCs w:val="22"/>
        </w:rPr>
        <w:t xml:space="preserve"> poveikį. </w:t>
      </w:r>
    </w:p>
    <w:p w:rsidR="00DF50D7" w:rsidRDefault="00DF50D7" w:rsidP="00DF50D7">
      <w:pPr>
        <w:rPr>
          <w:noProof/>
          <w:sz w:val="22"/>
          <w:szCs w:val="22"/>
        </w:rPr>
      </w:pPr>
      <w:r w:rsidRPr="00873F27">
        <w:rPr>
          <w:noProof/>
          <w:sz w:val="22"/>
          <w:szCs w:val="22"/>
        </w:rPr>
        <w:t xml:space="preserve">Ursosan vartojant tulžies pūslės akmenų tirpinimui, pasakykite gydytojui, jei kartu vartojate vaistų, kurių sudėtyje yra estrogeninių hormonų ar cholesterolio kiekį kraujyje mažinančių vaistų, </w:t>
      </w:r>
      <w:r w:rsidRPr="00873F27">
        <w:rPr>
          <w:sz w:val="22"/>
          <w:szCs w:val="22"/>
        </w:rPr>
        <w:t xml:space="preserve">tokių kaip </w:t>
      </w:r>
      <w:r w:rsidRPr="00873F27">
        <w:rPr>
          <w:noProof/>
          <w:sz w:val="22"/>
          <w:szCs w:val="22"/>
        </w:rPr>
        <w:t>klofibratas. Šie vaistai gali skatinti tulžies pūslės akmenų susidarymą. Toks poveikis priešingas Ursosan kapsulių sukeliamam poveikiui.</w:t>
      </w:r>
    </w:p>
    <w:p w:rsidR="00DF50D7" w:rsidRDefault="00DF50D7" w:rsidP="00DF50D7">
      <w:pPr>
        <w:rPr>
          <w:noProof/>
          <w:sz w:val="22"/>
          <w:szCs w:val="22"/>
        </w:rPr>
      </w:pPr>
    </w:p>
    <w:p w:rsidR="00DF50D7" w:rsidRPr="00873F27" w:rsidRDefault="00DF50D7" w:rsidP="00DF50D7">
      <w:pPr>
        <w:rPr>
          <w:noProof/>
          <w:sz w:val="22"/>
          <w:szCs w:val="22"/>
        </w:rPr>
      </w:pPr>
      <w:r w:rsidRPr="00FD275B">
        <w:rPr>
          <w:noProof/>
          <w:sz w:val="22"/>
          <w:szCs w:val="22"/>
        </w:rPr>
        <w:t>Ciprofloksacinas, dapsonas (antimikrobiniai vaistai), nitrendipinas (juo gydomas padidėjęs kraujo spaudimas) ir kiti vaistai, metabolizuojami tuo pačiu būdu. Vartojant šių vaistų kartu, gydytojui gali tekti keisti jų dozavimą</w:t>
      </w:r>
      <w:r>
        <w:rPr>
          <w:noProof/>
          <w:sz w:val="22"/>
          <w:szCs w:val="22"/>
        </w:rPr>
        <w:t>.</w:t>
      </w:r>
    </w:p>
    <w:p w:rsidR="00DF50D7" w:rsidRPr="00873F27" w:rsidRDefault="00DF50D7" w:rsidP="00DF50D7">
      <w:pPr>
        <w:pStyle w:val="PI-3EMEASMCA"/>
      </w:pPr>
    </w:p>
    <w:p w:rsidR="00DF50D7" w:rsidRDefault="00DF50D7" w:rsidP="00DF50D7">
      <w:pPr>
        <w:tabs>
          <w:tab w:val="left" w:pos="0"/>
        </w:tabs>
        <w:rPr>
          <w:sz w:val="22"/>
          <w:szCs w:val="22"/>
        </w:rPr>
      </w:pPr>
      <w:r w:rsidRPr="00873F27">
        <w:rPr>
          <w:noProof/>
          <w:sz w:val="22"/>
          <w:szCs w:val="22"/>
        </w:rPr>
        <w:t xml:space="preserve">Vartojant </w:t>
      </w:r>
      <w:proofErr w:type="spellStart"/>
      <w:r w:rsidRPr="00873F27">
        <w:rPr>
          <w:sz w:val="22"/>
          <w:szCs w:val="22"/>
        </w:rPr>
        <w:t>Ursosan</w:t>
      </w:r>
      <w:proofErr w:type="spellEnd"/>
      <w:r w:rsidRPr="00873F27">
        <w:rPr>
          <w:sz w:val="22"/>
          <w:szCs w:val="22"/>
        </w:rPr>
        <w:t xml:space="preserve"> kapsulių, gali sustiprėti </w:t>
      </w:r>
      <w:proofErr w:type="spellStart"/>
      <w:r w:rsidRPr="00873F27">
        <w:rPr>
          <w:sz w:val="22"/>
          <w:szCs w:val="22"/>
        </w:rPr>
        <w:t>ciklosporino</w:t>
      </w:r>
      <w:proofErr w:type="spellEnd"/>
      <w:r w:rsidRPr="00873F27">
        <w:rPr>
          <w:sz w:val="22"/>
          <w:szCs w:val="22"/>
        </w:rPr>
        <w:t xml:space="preserve"> (imuninės sistemos veiklą slopinančio vaisto) poveikis. Jei Jūs gydomas </w:t>
      </w:r>
      <w:proofErr w:type="spellStart"/>
      <w:r w:rsidRPr="00873F27">
        <w:rPr>
          <w:sz w:val="22"/>
          <w:szCs w:val="22"/>
        </w:rPr>
        <w:t>ciklosporinu</w:t>
      </w:r>
      <w:proofErr w:type="spellEnd"/>
      <w:r w:rsidRPr="00873F27">
        <w:rPr>
          <w:sz w:val="22"/>
          <w:szCs w:val="22"/>
        </w:rPr>
        <w:t xml:space="preserve">, gydytojas turi tikrinti </w:t>
      </w:r>
      <w:proofErr w:type="spellStart"/>
      <w:r w:rsidRPr="00873F27">
        <w:rPr>
          <w:sz w:val="22"/>
          <w:szCs w:val="22"/>
        </w:rPr>
        <w:t>ciklosporino</w:t>
      </w:r>
      <w:proofErr w:type="spellEnd"/>
      <w:r w:rsidRPr="00873F27">
        <w:rPr>
          <w:sz w:val="22"/>
          <w:szCs w:val="22"/>
        </w:rPr>
        <w:t xml:space="preserve"> koncentraciją kraujyje. Jei reikės, gydytojas keis </w:t>
      </w:r>
      <w:proofErr w:type="spellStart"/>
      <w:r w:rsidRPr="00873F27">
        <w:rPr>
          <w:sz w:val="22"/>
          <w:szCs w:val="22"/>
        </w:rPr>
        <w:t>ciklosporino</w:t>
      </w:r>
      <w:proofErr w:type="spellEnd"/>
      <w:r w:rsidRPr="00873F27">
        <w:rPr>
          <w:sz w:val="22"/>
          <w:szCs w:val="22"/>
        </w:rPr>
        <w:t xml:space="preserve"> dozę.</w:t>
      </w:r>
    </w:p>
    <w:p w:rsidR="00DF50D7" w:rsidRPr="00FD275B" w:rsidRDefault="00DF50D7" w:rsidP="00DF50D7">
      <w:pPr>
        <w:tabs>
          <w:tab w:val="left" w:pos="0"/>
        </w:tabs>
        <w:rPr>
          <w:sz w:val="22"/>
          <w:szCs w:val="22"/>
        </w:rPr>
      </w:pPr>
      <w:r w:rsidRPr="00FD275B">
        <w:rPr>
          <w:sz w:val="22"/>
          <w:szCs w:val="22"/>
        </w:rPr>
        <w:t xml:space="preserve">Vartojant </w:t>
      </w:r>
      <w:proofErr w:type="spellStart"/>
      <w:r w:rsidRPr="00FD275B">
        <w:rPr>
          <w:sz w:val="22"/>
          <w:szCs w:val="22"/>
        </w:rPr>
        <w:t>Ursosan</w:t>
      </w:r>
      <w:proofErr w:type="spellEnd"/>
      <w:r w:rsidRPr="00FD275B">
        <w:rPr>
          <w:sz w:val="22"/>
          <w:szCs w:val="22"/>
        </w:rPr>
        <w:t xml:space="preserve">, gali pasikeisti </w:t>
      </w:r>
      <w:proofErr w:type="spellStart"/>
      <w:r w:rsidRPr="00FD275B">
        <w:rPr>
          <w:sz w:val="22"/>
          <w:szCs w:val="22"/>
        </w:rPr>
        <w:t>rozuvastatino</w:t>
      </w:r>
      <w:proofErr w:type="spellEnd"/>
      <w:r w:rsidRPr="00FD275B">
        <w:rPr>
          <w:sz w:val="22"/>
          <w:szCs w:val="22"/>
        </w:rPr>
        <w:t xml:space="preserve"> (vaisto padidėjusiai cholesterolio koncentracijai kraujyje mažinti) poveikis.</w:t>
      </w:r>
    </w:p>
    <w:p w:rsidR="00DF50D7" w:rsidRPr="00FD275B" w:rsidRDefault="00DF50D7" w:rsidP="00DF50D7">
      <w:pPr>
        <w:tabs>
          <w:tab w:val="left" w:pos="0"/>
        </w:tabs>
        <w:rPr>
          <w:sz w:val="22"/>
          <w:szCs w:val="22"/>
        </w:rPr>
      </w:pPr>
    </w:p>
    <w:p w:rsidR="00DF50D7" w:rsidRPr="00873F27" w:rsidRDefault="00DF50D7" w:rsidP="00DF50D7">
      <w:pPr>
        <w:tabs>
          <w:tab w:val="left" w:pos="0"/>
        </w:tabs>
        <w:rPr>
          <w:sz w:val="22"/>
          <w:szCs w:val="22"/>
        </w:rPr>
      </w:pPr>
      <w:proofErr w:type="spellStart"/>
      <w:r w:rsidRPr="00FD275B">
        <w:rPr>
          <w:sz w:val="22"/>
          <w:szCs w:val="22"/>
        </w:rPr>
        <w:t>Ursosan</w:t>
      </w:r>
      <w:proofErr w:type="spellEnd"/>
      <w:r w:rsidRPr="00FD275B">
        <w:rPr>
          <w:sz w:val="22"/>
          <w:szCs w:val="22"/>
        </w:rPr>
        <w:t xml:space="preserve"> vartojant tulžies pūslės akmenų tirpinimui, pasakykite gydytojui, jei kartu vartojate vaistų, kurių sudėtyje yra </w:t>
      </w:r>
      <w:proofErr w:type="spellStart"/>
      <w:r w:rsidRPr="00FD275B">
        <w:rPr>
          <w:sz w:val="22"/>
          <w:szCs w:val="22"/>
        </w:rPr>
        <w:t>estrogeninių</w:t>
      </w:r>
      <w:proofErr w:type="spellEnd"/>
      <w:r w:rsidRPr="00FD275B">
        <w:rPr>
          <w:sz w:val="22"/>
          <w:szCs w:val="22"/>
        </w:rPr>
        <w:t xml:space="preserve"> hormonų ar cholesterolio kiekį kraujyje mažinančių vaistų, tokių kaip </w:t>
      </w:r>
      <w:proofErr w:type="spellStart"/>
      <w:r w:rsidRPr="00FD275B">
        <w:rPr>
          <w:sz w:val="22"/>
          <w:szCs w:val="22"/>
        </w:rPr>
        <w:t>klofibratas</w:t>
      </w:r>
      <w:proofErr w:type="spellEnd"/>
      <w:r w:rsidRPr="00FD275B">
        <w:rPr>
          <w:sz w:val="22"/>
          <w:szCs w:val="22"/>
        </w:rPr>
        <w:t xml:space="preserve">. Šie vaistai gali skatinti tulžies pūslės akmenų susidarymą. Toks poveikis priešingas </w:t>
      </w:r>
      <w:proofErr w:type="spellStart"/>
      <w:r w:rsidRPr="00FD275B">
        <w:rPr>
          <w:sz w:val="22"/>
          <w:szCs w:val="22"/>
        </w:rPr>
        <w:t>Ursosan</w:t>
      </w:r>
      <w:proofErr w:type="spellEnd"/>
      <w:r w:rsidRPr="00FD275B">
        <w:rPr>
          <w:sz w:val="22"/>
          <w:szCs w:val="22"/>
        </w:rPr>
        <w:t xml:space="preserve"> sukeliamam poveikiui</w:t>
      </w:r>
      <w:r>
        <w:rPr>
          <w:sz w:val="22"/>
          <w:szCs w:val="22"/>
        </w:rPr>
        <w:t>.</w:t>
      </w:r>
    </w:p>
    <w:p w:rsidR="00DF50D7" w:rsidRPr="00873F27" w:rsidRDefault="00DF50D7" w:rsidP="00DF50D7">
      <w:pPr>
        <w:pStyle w:val="BTEMEASMCA"/>
      </w:pPr>
    </w:p>
    <w:p w:rsidR="00DF50D7" w:rsidRPr="00873F27" w:rsidRDefault="00DF50D7" w:rsidP="00DF50D7">
      <w:pPr>
        <w:pStyle w:val="PI-3EMEASMCA"/>
      </w:pPr>
      <w:r w:rsidRPr="00873F27">
        <w:t>Nėštumas ir žindymo laikotarpis</w:t>
      </w:r>
    </w:p>
    <w:p w:rsidR="00DF50D7" w:rsidRPr="00873F27" w:rsidRDefault="00DF50D7" w:rsidP="00DF50D7">
      <w:pPr>
        <w:rPr>
          <w:sz w:val="22"/>
          <w:szCs w:val="22"/>
        </w:rPr>
      </w:pPr>
      <w:r w:rsidRPr="00873F27">
        <w:rPr>
          <w:sz w:val="22"/>
          <w:szCs w:val="22"/>
        </w:rPr>
        <w:t xml:space="preserve">Jeigu esate nėščia, žindote kūdikį, manote, kad galbūt esate nėščia arba planuojate pastoti, tai prieš vartodama šį vaistą pasitarkite su gydytoju arba vaistininku. </w:t>
      </w:r>
    </w:p>
    <w:p w:rsidR="00DF50D7" w:rsidRPr="00873F27" w:rsidRDefault="00DF50D7" w:rsidP="00DF50D7">
      <w:pPr>
        <w:rPr>
          <w:sz w:val="22"/>
        </w:rPr>
      </w:pPr>
    </w:p>
    <w:p w:rsidR="00DF50D7" w:rsidRPr="00C637F4" w:rsidRDefault="00DF50D7" w:rsidP="00DF50D7">
      <w:pPr>
        <w:rPr>
          <w:i/>
          <w:iCs/>
          <w:sz w:val="22"/>
          <w:szCs w:val="22"/>
        </w:rPr>
      </w:pPr>
      <w:r w:rsidRPr="00C637F4">
        <w:rPr>
          <w:i/>
          <w:iCs/>
          <w:sz w:val="22"/>
          <w:szCs w:val="22"/>
        </w:rPr>
        <w:t>Nėštumas</w:t>
      </w:r>
    </w:p>
    <w:p w:rsidR="00DF50D7" w:rsidRPr="00FD275B" w:rsidRDefault="00DF50D7" w:rsidP="00DF50D7">
      <w:pPr>
        <w:rPr>
          <w:sz w:val="22"/>
          <w:szCs w:val="22"/>
        </w:rPr>
      </w:pPr>
      <w:r w:rsidRPr="00FD275B">
        <w:rPr>
          <w:sz w:val="22"/>
          <w:szCs w:val="22"/>
        </w:rPr>
        <w:t xml:space="preserve">Nėštumo metu </w:t>
      </w:r>
      <w:proofErr w:type="spellStart"/>
      <w:r w:rsidRPr="00FD275B">
        <w:rPr>
          <w:sz w:val="22"/>
          <w:szCs w:val="22"/>
        </w:rPr>
        <w:t>Ursosan</w:t>
      </w:r>
      <w:proofErr w:type="spellEnd"/>
      <w:r w:rsidRPr="00FD275B">
        <w:rPr>
          <w:sz w:val="22"/>
          <w:szCs w:val="22"/>
        </w:rPr>
        <w:t xml:space="preserve"> vartoti negalima, nebent gydytojas mano, kad tai būtina. </w:t>
      </w:r>
    </w:p>
    <w:p w:rsidR="00DF50D7" w:rsidRPr="00FD275B" w:rsidRDefault="00DF50D7" w:rsidP="00DF50D7">
      <w:pPr>
        <w:rPr>
          <w:sz w:val="22"/>
          <w:szCs w:val="22"/>
        </w:rPr>
      </w:pPr>
      <w:r w:rsidRPr="00FD275B">
        <w:rPr>
          <w:sz w:val="22"/>
          <w:szCs w:val="22"/>
        </w:rPr>
        <w:t>Net jei nesate nėščia, būtina pasitarti su gydytoju, kadangi vaisingos moterys šiuo vaist</w:t>
      </w:r>
      <w:r>
        <w:rPr>
          <w:sz w:val="22"/>
          <w:szCs w:val="22"/>
        </w:rPr>
        <w:t>u</w:t>
      </w:r>
      <w:r w:rsidRPr="00FD275B">
        <w:rPr>
          <w:sz w:val="22"/>
          <w:szCs w:val="22"/>
        </w:rPr>
        <w:t xml:space="preserve"> gali būti gydomos tik tuo atveju, jeigu naudojasi patikimomis apsaugos nuo nėštumo priemonėmis. Rekomenduojama naudotis nehormoninėmis kontracepcijos priemonėmis arba mažai estrogenų turinčiomis kontracepcijos priemonėmis. Jei pacientės </w:t>
      </w:r>
      <w:proofErr w:type="spellStart"/>
      <w:r w:rsidRPr="00FD275B">
        <w:rPr>
          <w:sz w:val="22"/>
          <w:szCs w:val="22"/>
        </w:rPr>
        <w:t>Ursosan</w:t>
      </w:r>
      <w:proofErr w:type="spellEnd"/>
      <w:r w:rsidRPr="00FD275B">
        <w:rPr>
          <w:sz w:val="22"/>
          <w:szCs w:val="22"/>
        </w:rPr>
        <w:t xml:space="preserve"> vartoja tulžies pūslės akmenų tirpinimui, būtina naudoti nehormoninių kontracepcijos priemonių, kadangi hormoniniai kontraceptikai gali skatinti tulžies pūslės akmenų susidarymą.</w:t>
      </w:r>
    </w:p>
    <w:p w:rsidR="00DF50D7" w:rsidRPr="00FD275B" w:rsidRDefault="00DF50D7" w:rsidP="00DF50D7">
      <w:pPr>
        <w:rPr>
          <w:sz w:val="22"/>
          <w:szCs w:val="22"/>
        </w:rPr>
      </w:pPr>
    </w:p>
    <w:p w:rsidR="00DF50D7" w:rsidRPr="00C637F4" w:rsidRDefault="00DF50D7" w:rsidP="00DF50D7">
      <w:pPr>
        <w:rPr>
          <w:i/>
          <w:iCs/>
          <w:sz w:val="22"/>
          <w:szCs w:val="22"/>
        </w:rPr>
      </w:pPr>
      <w:r w:rsidRPr="00C637F4">
        <w:rPr>
          <w:i/>
          <w:iCs/>
          <w:sz w:val="22"/>
          <w:szCs w:val="22"/>
        </w:rPr>
        <w:t>Žindymas</w:t>
      </w:r>
    </w:p>
    <w:p w:rsidR="00DF50D7" w:rsidRPr="00873F27" w:rsidRDefault="00DF50D7" w:rsidP="00DF50D7">
      <w:pPr>
        <w:rPr>
          <w:sz w:val="22"/>
          <w:szCs w:val="22"/>
        </w:rPr>
      </w:pPr>
      <w:r w:rsidRPr="00FD275B">
        <w:rPr>
          <w:sz w:val="22"/>
          <w:szCs w:val="22"/>
        </w:rPr>
        <w:t xml:space="preserve">Užfiksuoti tik keli atvejai apie </w:t>
      </w:r>
      <w:proofErr w:type="spellStart"/>
      <w:r w:rsidRPr="00FD275B">
        <w:rPr>
          <w:sz w:val="22"/>
          <w:szCs w:val="22"/>
        </w:rPr>
        <w:t>ursodeoksicholio</w:t>
      </w:r>
      <w:proofErr w:type="spellEnd"/>
      <w:r w:rsidRPr="00FD275B">
        <w:rPr>
          <w:sz w:val="22"/>
          <w:szCs w:val="22"/>
        </w:rPr>
        <w:t xml:space="preserve"> vartojimą žindymo metu. Į pieną išsiskiria labai mažai </w:t>
      </w:r>
      <w:proofErr w:type="spellStart"/>
      <w:r w:rsidRPr="00FD275B">
        <w:rPr>
          <w:sz w:val="22"/>
          <w:szCs w:val="22"/>
        </w:rPr>
        <w:t>ursodeoksicholio</w:t>
      </w:r>
      <w:proofErr w:type="spellEnd"/>
      <w:r w:rsidRPr="00FD275B">
        <w:rPr>
          <w:sz w:val="22"/>
          <w:szCs w:val="22"/>
        </w:rPr>
        <w:t xml:space="preserve"> ir žindomam kūdikiui neturėtų pasireikšti nepageidaujamų reakcijų</w:t>
      </w:r>
      <w:r w:rsidRPr="00873F27">
        <w:rPr>
          <w:sz w:val="22"/>
          <w:szCs w:val="22"/>
        </w:rPr>
        <w:t>.</w:t>
      </w:r>
    </w:p>
    <w:p w:rsidR="00DF50D7" w:rsidRPr="00873F27" w:rsidRDefault="00DF50D7" w:rsidP="00DF50D7">
      <w:pPr>
        <w:rPr>
          <w:sz w:val="22"/>
        </w:rPr>
      </w:pPr>
    </w:p>
    <w:p w:rsidR="00DF50D7" w:rsidRPr="00873F27" w:rsidRDefault="00DF50D7" w:rsidP="00DF50D7">
      <w:pPr>
        <w:rPr>
          <w:b/>
          <w:sz w:val="22"/>
          <w:szCs w:val="22"/>
        </w:rPr>
      </w:pPr>
      <w:r w:rsidRPr="00873F27">
        <w:rPr>
          <w:b/>
          <w:sz w:val="22"/>
          <w:szCs w:val="22"/>
        </w:rPr>
        <w:t>Vairavimas ir mechanizmų valdymas</w:t>
      </w:r>
    </w:p>
    <w:p w:rsidR="00DF50D7" w:rsidRPr="00873F27" w:rsidRDefault="00DF50D7" w:rsidP="00DF50D7">
      <w:pPr>
        <w:rPr>
          <w:sz w:val="22"/>
          <w:szCs w:val="22"/>
        </w:rPr>
      </w:pPr>
      <w:r w:rsidRPr="00873F27">
        <w:rPr>
          <w:sz w:val="22"/>
          <w:szCs w:val="22"/>
        </w:rPr>
        <w:t>Specialių atsargumo priemonių nereikia.</w:t>
      </w:r>
    </w:p>
    <w:p w:rsidR="00DF50D7" w:rsidRPr="00873F27" w:rsidRDefault="00DF50D7" w:rsidP="00DF50D7">
      <w:pPr>
        <w:pStyle w:val="BTEMEASMCA"/>
      </w:pPr>
    </w:p>
    <w:p w:rsidR="00DF50D7" w:rsidRPr="00873F27" w:rsidRDefault="00DF50D7" w:rsidP="00DF50D7">
      <w:pPr>
        <w:pStyle w:val="BTEMEASMCA"/>
      </w:pPr>
    </w:p>
    <w:p w:rsidR="00DF50D7" w:rsidRPr="00873F27" w:rsidRDefault="00DF50D7" w:rsidP="00DF50D7">
      <w:pPr>
        <w:pStyle w:val="PI-1EMEASMCA"/>
      </w:pPr>
      <w:bookmarkStart w:id="6" w:name="_Toc129243266"/>
      <w:bookmarkStart w:id="7" w:name="_Toc129243141"/>
      <w:r w:rsidRPr="00873F27">
        <w:t>3.</w:t>
      </w:r>
      <w:r w:rsidRPr="00873F27">
        <w:tab/>
        <w:t xml:space="preserve">Kaip vartoti </w:t>
      </w:r>
      <w:proofErr w:type="spellStart"/>
      <w:r w:rsidRPr="00873F27">
        <w:t>Ursosan</w:t>
      </w:r>
      <w:bookmarkEnd w:id="6"/>
      <w:bookmarkEnd w:id="7"/>
      <w:proofErr w:type="spellEnd"/>
    </w:p>
    <w:p w:rsidR="00DF50D7" w:rsidRPr="00873F27" w:rsidRDefault="00DF50D7" w:rsidP="00DF50D7">
      <w:pPr>
        <w:pStyle w:val="BTEMEASMCA"/>
      </w:pPr>
    </w:p>
    <w:p w:rsidR="00DF50D7" w:rsidRPr="00873F27" w:rsidRDefault="00DF50D7" w:rsidP="00DF50D7">
      <w:pPr>
        <w:rPr>
          <w:sz w:val="22"/>
          <w:szCs w:val="22"/>
        </w:rPr>
      </w:pPr>
      <w:r w:rsidRPr="00873F27">
        <w:rPr>
          <w:sz w:val="22"/>
          <w:szCs w:val="22"/>
        </w:rPr>
        <w:t xml:space="preserve">Visada vartokite </w:t>
      </w:r>
      <w:r w:rsidRPr="00873F27">
        <w:rPr>
          <w:noProof/>
        </w:rPr>
        <w:t xml:space="preserve">šį vaistą </w:t>
      </w:r>
      <w:r w:rsidRPr="00873F27">
        <w:rPr>
          <w:sz w:val="22"/>
          <w:szCs w:val="22"/>
        </w:rPr>
        <w:t xml:space="preserve">tiksliai, kaip nurodė gydytojas. Jeigu abejojate, kreipkitės į gydytoją arba vaistininką. </w:t>
      </w:r>
    </w:p>
    <w:p w:rsidR="00DF50D7" w:rsidRPr="00A5483D" w:rsidRDefault="00DF50D7" w:rsidP="00DF50D7">
      <w:pPr>
        <w:rPr>
          <w:sz w:val="22"/>
          <w:szCs w:val="22"/>
        </w:rPr>
      </w:pPr>
    </w:p>
    <w:p w:rsidR="00DF50D7" w:rsidRPr="00C637F4" w:rsidRDefault="00DF50D7" w:rsidP="00DF50D7">
      <w:pPr>
        <w:rPr>
          <w:sz w:val="22"/>
          <w:szCs w:val="22"/>
          <w:u w:val="single"/>
        </w:rPr>
      </w:pPr>
      <w:proofErr w:type="spellStart"/>
      <w:r w:rsidRPr="00C637F4">
        <w:rPr>
          <w:sz w:val="22"/>
          <w:szCs w:val="22"/>
          <w:u w:val="single"/>
        </w:rPr>
        <w:t>Cholesterolinių</w:t>
      </w:r>
      <w:proofErr w:type="spellEnd"/>
      <w:r w:rsidRPr="00C637F4">
        <w:rPr>
          <w:sz w:val="22"/>
          <w:szCs w:val="22"/>
          <w:u w:val="single"/>
        </w:rPr>
        <w:t xml:space="preserve"> tulžies pūslės akmenų tirpinimas</w:t>
      </w:r>
    </w:p>
    <w:p w:rsidR="00DF50D7" w:rsidRPr="00873F27" w:rsidRDefault="00DF50D7" w:rsidP="00DF50D7">
      <w:pPr>
        <w:rPr>
          <w:sz w:val="22"/>
          <w:szCs w:val="22"/>
        </w:rPr>
      </w:pPr>
      <w:proofErr w:type="spellStart"/>
      <w:r w:rsidRPr="00873F27">
        <w:rPr>
          <w:sz w:val="22"/>
          <w:szCs w:val="22"/>
        </w:rPr>
        <w:t>Cholesterolinių</w:t>
      </w:r>
      <w:proofErr w:type="spellEnd"/>
      <w:r w:rsidRPr="00873F27">
        <w:rPr>
          <w:sz w:val="22"/>
          <w:szCs w:val="22"/>
        </w:rPr>
        <w:t xml:space="preserve"> tulžies akmenų tirpdymui ir tulžies sutirštėjimo padarinių gydymui rekomenduojama kasdien vartoti po 2-5 kapsules, priklausomai nuo kūno svorio (10 mg/kg/per dieną). </w:t>
      </w:r>
    </w:p>
    <w:p w:rsidR="00DF50D7" w:rsidRPr="00873F27" w:rsidRDefault="00DF50D7" w:rsidP="00DF50D7">
      <w:pPr>
        <w:rPr>
          <w:sz w:val="22"/>
          <w:szCs w:val="22"/>
        </w:rPr>
      </w:pPr>
      <w:r w:rsidRPr="00873F27">
        <w:rPr>
          <w:sz w:val="22"/>
          <w:szCs w:val="22"/>
        </w:rPr>
        <w:t xml:space="preserve">Visą dozę reikia išgerti vienu kartu vakare prieš miegą. </w:t>
      </w:r>
    </w:p>
    <w:p w:rsidR="00DF50D7" w:rsidRPr="00873F27" w:rsidRDefault="00DF50D7" w:rsidP="00DF50D7">
      <w:pPr>
        <w:rPr>
          <w:sz w:val="22"/>
          <w:szCs w:val="22"/>
        </w:rPr>
      </w:pPr>
    </w:p>
    <w:p w:rsidR="00DF50D7" w:rsidRPr="00873F27" w:rsidRDefault="00DF50D7" w:rsidP="00DF50D7">
      <w:pPr>
        <w:rPr>
          <w:sz w:val="22"/>
          <w:szCs w:val="22"/>
        </w:rPr>
      </w:pPr>
      <w:r w:rsidRPr="00873F27">
        <w:rPr>
          <w:sz w:val="22"/>
          <w:szCs w:val="22"/>
        </w:rPr>
        <w:t>Įprastinė dozė pagal kūno svorį:</w:t>
      </w:r>
    </w:p>
    <w:p w:rsidR="00DF50D7" w:rsidRPr="00873F27" w:rsidRDefault="00DF50D7" w:rsidP="00DF50D7">
      <w:pPr>
        <w:rPr>
          <w:sz w:val="22"/>
          <w:szCs w:val="22"/>
        </w:rPr>
      </w:pPr>
    </w:p>
    <w:tbl>
      <w:tblPr>
        <w:tblW w:w="45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980"/>
        <w:gridCol w:w="1080"/>
      </w:tblGrid>
      <w:tr w:rsidR="00DF50D7" w:rsidRPr="00873F27" w:rsidTr="00293D0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D7" w:rsidRPr="00873F27" w:rsidRDefault="00DF50D7" w:rsidP="00293D0C">
            <w:r w:rsidRPr="00873F27">
              <w:rPr>
                <w:sz w:val="22"/>
                <w:szCs w:val="22"/>
              </w:rPr>
              <w:t>Kūno svoris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D7" w:rsidRPr="00873F27" w:rsidRDefault="00DF50D7" w:rsidP="00293D0C">
            <w:proofErr w:type="spellStart"/>
            <w:r>
              <w:rPr>
                <w:sz w:val="22"/>
                <w:szCs w:val="22"/>
              </w:rPr>
              <w:t>U</w:t>
            </w:r>
            <w:r w:rsidRPr="00873F27">
              <w:rPr>
                <w:sz w:val="22"/>
                <w:szCs w:val="22"/>
              </w:rPr>
              <w:t>rsodeoksicholio</w:t>
            </w:r>
            <w:proofErr w:type="spellEnd"/>
            <w:r w:rsidRPr="00873F27">
              <w:rPr>
                <w:sz w:val="22"/>
                <w:szCs w:val="22"/>
              </w:rPr>
              <w:t xml:space="preserve"> rūgštis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D7" w:rsidRPr="00873F27" w:rsidRDefault="00DF50D7" w:rsidP="00293D0C">
            <w:r w:rsidRPr="00873F27">
              <w:rPr>
                <w:sz w:val="22"/>
                <w:szCs w:val="22"/>
              </w:rPr>
              <w:t>Kapsulių kiekis</w:t>
            </w:r>
          </w:p>
        </w:tc>
      </w:tr>
      <w:tr w:rsidR="00DF50D7" w:rsidRPr="00873F27" w:rsidTr="00293D0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D7" w:rsidRPr="00873F27" w:rsidRDefault="00DF50D7" w:rsidP="00293D0C">
            <w:r w:rsidRPr="00873F27">
              <w:rPr>
                <w:sz w:val="22"/>
                <w:szCs w:val="22"/>
              </w:rPr>
              <w:t>Iki 60 kg</w:t>
            </w:r>
          </w:p>
          <w:p w:rsidR="00DF50D7" w:rsidRPr="00873F27" w:rsidRDefault="00DF50D7" w:rsidP="00293D0C">
            <w:r w:rsidRPr="00873F27">
              <w:rPr>
                <w:sz w:val="22"/>
                <w:szCs w:val="22"/>
              </w:rPr>
              <w:t>Iki 80 kg</w:t>
            </w:r>
          </w:p>
          <w:p w:rsidR="00DF50D7" w:rsidRPr="00873F27" w:rsidRDefault="00DF50D7" w:rsidP="00293D0C">
            <w:r w:rsidRPr="00873F27">
              <w:rPr>
                <w:sz w:val="22"/>
                <w:szCs w:val="22"/>
              </w:rPr>
              <w:t>Iki 100 kg</w:t>
            </w:r>
          </w:p>
          <w:p w:rsidR="00DF50D7" w:rsidRPr="00873F27" w:rsidRDefault="00DF50D7" w:rsidP="00293D0C">
            <w:r w:rsidRPr="00873F27">
              <w:rPr>
                <w:sz w:val="22"/>
                <w:szCs w:val="22"/>
              </w:rPr>
              <w:t>Virš 100 kg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D7" w:rsidRPr="00873F27" w:rsidRDefault="00DF50D7" w:rsidP="00293D0C">
            <w:r w:rsidRPr="00873F27">
              <w:rPr>
                <w:sz w:val="22"/>
                <w:szCs w:val="22"/>
              </w:rPr>
              <w:t>500 mg</w:t>
            </w:r>
          </w:p>
          <w:p w:rsidR="00DF50D7" w:rsidRPr="00873F27" w:rsidRDefault="00DF50D7" w:rsidP="00293D0C">
            <w:r w:rsidRPr="00873F27">
              <w:rPr>
                <w:sz w:val="22"/>
                <w:szCs w:val="22"/>
              </w:rPr>
              <w:t>750 mg</w:t>
            </w:r>
          </w:p>
          <w:p w:rsidR="00DF50D7" w:rsidRPr="00873F27" w:rsidRDefault="00DF50D7" w:rsidP="00293D0C">
            <w:r w:rsidRPr="00873F27">
              <w:rPr>
                <w:sz w:val="22"/>
                <w:szCs w:val="22"/>
              </w:rPr>
              <w:t>1000 mg</w:t>
            </w:r>
          </w:p>
          <w:p w:rsidR="00DF50D7" w:rsidRPr="00873F27" w:rsidRDefault="00DF50D7" w:rsidP="00293D0C">
            <w:r w:rsidRPr="00873F27">
              <w:rPr>
                <w:sz w:val="22"/>
                <w:szCs w:val="22"/>
              </w:rPr>
              <w:t>1250 mg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D7" w:rsidRPr="00873F27" w:rsidRDefault="00DF50D7" w:rsidP="00293D0C">
            <w:r w:rsidRPr="00873F27">
              <w:rPr>
                <w:sz w:val="22"/>
                <w:szCs w:val="22"/>
              </w:rPr>
              <w:t>2</w:t>
            </w:r>
          </w:p>
          <w:p w:rsidR="00DF50D7" w:rsidRPr="00873F27" w:rsidRDefault="00DF50D7" w:rsidP="00293D0C">
            <w:r w:rsidRPr="00873F27">
              <w:rPr>
                <w:sz w:val="22"/>
                <w:szCs w:val="22"/>
              </w:rPr>
              <w:t>3</w:t>
            </w:r>
          </w:p>
          <w:p w:rsidR="00DF50D7" w:rsidRPr="00873F27" w:rsidRDefault="00DF50D7" w:rsidP="00293D0C">
            <w:r w:rsidRPr="00873F27">
              <w:rPr>
                <w:sz w:val="22"/>
                <w:szCs w:val="22"/>
              </w:rPr>
              <w:t>4</w:t>
            </w:r>
          </w:p>
          <w:p w:rsidR="00DF50D7" w:rsidRPr="00873F27" w:rsidRDefault="00DF50D7" w:rsidP="00293D0C">
            <w:r w:rsidRPr="00873F27">
              <w:rPr>
                <w:sz w:val="22"/>
                <w:szCs w:val="22"/>
              </w:rPr>
              <w:t>5</w:t>
            </w:r>
          </w:p>
        </w:tc>
      </w:tr>
    </w:tbl>
    <w:p w:rsidR="00DF50D7" w:rsidRPr="00873F27" w:rsidRDefault="00DF50D7" w:rsidP="00DF50D7">
      <w:pPr>
        <w:rPr>
          <w:sz w:val="22"/>
          <w:szCs w:val="22"/>
        </w:rPr>
      </w:pPr>
    </w:p>
    <w:p w:rsidR="00DF50D7" w:rsidRPr="00873F27" w:rsidRDefault="00DF50D7" w:rsidP="00DF50D7">
      <w:pPr>
        <w:rPr>
          <w:sz w:val="22"/>
          <w:szCs w:val="22"/>
        </w:rPr>
      </w:pPr>
      <w:r w:rsidRPr="00873F27">
        <w:rPr>
          <w:sz w:val="22"/>
          <w:szCs w:val="22"/>
        </w:rPr>
        <w:t xml:space="preserve">Gydymo laikotarpis ir efektyvumas priklauso nuo tulžies akmenų dydžio. Jeigu per vienus gydymo metus akmenys nemažėja, toliau tęsti gydymo nerekomenduojama. Ištirpus akmenims, patariama tęsti gydymą dar 3 mėnesius, kad </w:t>
      </w:r>
      <w:r>
        <w:rPr>
          <w:sz w:val="22"/>
          <w:szCs w:val="22"/>
        </w:rPr>
        <w:t xml:space="preserve">būtų </w:t>
      </w:r>
      <w:r w:rsidRPr="00873F27">
        <w:rPr>
          <w:sz w:val="22"/>
          <w:szCs w:val="22"/>
        </w:rPr>
        <w:t>įsitikint</w:t>
      </w:r>
      <w:r>
        <w:rPr>
          <w:sz w:val="22"/>
          <w:szCs w:val="22"/>
        </w:rPr>
        <w:t>a</w:t>
      </w:r>
      <w:r w:rsidRPr="00873F27">
        <w:rPr>
          <w:sz w:val="22"/>
          <w:szCs w:val="22"/>
        </w:rPr>
        <w:t xml:space="preserve">, </w:t>
      </w:r>
      <w:r>
        <w:rPr>
          <w:sz w:val="22"/>
          <w:szCs w:val="22"/>
        </w:rPr>
        <w:t>jog</w:t>
      </w:r>
      <w:r w:rsidRPr="00873F27">
        <w:rPr>
          <w:sz w:val="22"/>
          <w:szCs w:val="22"/>
        </w:rPr>
        <w:t xml:space="preserve"> akmenų likučiai pilnai pasišalino. Akmenų tirpimo laipsnį Jums nustatys gydytojas echoskopu mažiausiai kas 6 mėnesius. </w:t>
      </w:r>
    </w:p>
    <w:p w:rsidR="00DF50D7" w:rsidRPr="00873F27" w:rsidRDefault="00DF50D7" w:rsidP="00DF50D7">
      <w:pPr>
        <w:rPr>
          <w:sz w:val="22"/>
          <w:szCs w:val="22"/>
        </w:rPr>
      </w:pPr>
    </w:p>
    <w:p w:rsidR="00DF50D7" w:rsidRDefault="00DF50D7" w:rsidP="00DF50D7">
      <w:pPr>
        <w:rPr>
          <w:sz w:val="22"/>
          <w:szCs w:val="22"/>
        </w:rPr>
      </w:pPr>
      <w:r w:rsidRPr="00873F27">
        <w:rPr>
          <w:sz w:val="22"/>
          <w:szCs w:val="22"/>
        </w:rPr>
        <w:t xml:space="preserve">Gydant grįžtamo tulžies tekėjimo sukeltą skrandžio gleivinės uždegimą ir virškinimo sutrikimą rekomenduojama dozė yra 1 kapsulė (250 mg) per dieną. Ji išgeriama vakare prieš miegą. Rekomenduojama gydymo </w:t>
      </w:r>
      <w:proofErr w:type="spellStart"/>
      <w:r w:rsidRPr="00873F27">
        <w:rPr>
          <w:sz w:val="22"/>
          <w:szCs w:val="22"/>
        </w:rPr>
        <w:t>Ursosan</w:t>
      </w:r>
      <w:proofErr w:type="spellEnd"/>
      <w:r w:rsidRPr="00873F27">
        <w:rPr>
          <w:sz w:val="22"/>
          <w:szCs w:val="22"/>
        </w:rPr>
        <w:t xml:space="preserve"> trukmė – 10-14 dienų. </w:t>
      </w:r>
    </w:p>
    <w:p w:rsidR="00DF50D7" w:rsidRDefault="00DF50D7" w:rsidP="00DF50D7">
      <w:pPr>
        <w:rPr>
          <w:sz w:val="22"/>
          <w:szCs w:val="22"/>
        </w:rPr>
      </w:pPr>
    </w:p>
    <w:p w:rsidR="00DF50D7" w:rsidRDefault="00DF50D7" w:rsidP="00DF50D7">
      <w:pPr>
        <w:rPr>
          <w:sz w:val="22"/>
          <w:u w:val="single"/>
        </w:rPr>
      </w:pPr>
      <w:r w:rsidRPr="00A2571D">
        <w:rPr>
          <w:sz w:val="22"/>
          <w:u w:val="single"/>
        </w:rPr>
        <w:t xml:space="preserve">Pirminės </w:t>
      </w:r>
      <w:proofErr w:type="spellStart"/>
      <w:r w:rsidRPr="00A2571D">
        <w:rPr>
          <w:sz w:val="22"/>
          <w:u w:val="single"/>
        </w:rPr>
        <w:t>bilijinės</w:t>
      </w:r>
      <w:proofErr w:type="spellEnd"/>
      <w:r w:rsidRPr="00A2571D">
        <w:rPr>
          <w:sz w:val="22"/>
          <w:u w:val="single"/>
        </w:rPr>
        <w:t xml:space="preserve"> kepenų cirozės gydymas</w:t>
      </w:r>
    </w:p>
    <w:p w:rsidR="00DF50D7" w:rsidRPr="00873F27" w:rsidRDefault="00DF50D7" w:rsidP="00DF50D7">
      <w:pPr>
        <w:widowControl w:val="0"/>
        <w:rPr>
          <w:noProof/>
          <w:sz w:val="22"/>
          <w:szCs w:val="22"/>
        </w:rPr>
      </w:pPr>
      <w:r w:rsidRPr="004A150D">
        <w:rPr>
          <w:noProof/>
          <w:sz w:val="22"/>
          <w:szCs w:val="22"/>
        </w:rPr>
        <w:t>Per pirmuosius tris gydymo mėnesius kapsulių reikia vartoti paros dozę padalijus į lygias dalis</w:t>
      </w:r>
      <w:r w:rsidRPr="00873F27">
        <w:rPr>
          <w:sz w:val="22"/>
          <w:szCs w:val="22"/>
        </w:rPr>
        <w:t xml:space="preserve">. </w:t>
      </w:r>
      <w:r w:rsidRPr="00873F27">
        <w:rPr>
          <w:noProof/>
          <w:sz w:val="22"/>
          <w:szCs w:val="22"/>
        </w:rPr>
        <w:t>Pagerėjus kepenų funkcijos rodmenims, vaist</w:t>
      </w:r>
      <w:r>
        <w:rPr>
          <w:noProof/>
          <w:sz w:val="22"/>
          <w:szCs w:val="22"/>
        </w:rPr>
        <w:t>o</w:t>
      </w:r>
      <w:r w:rsidRPr="00873F27">
        <w:rPr>
          <w:noProof/>
          <w:sz w:val="22"/>
          <w:szCs w:val="22"/>
        </w:rPr>
        <w:t xml:space="preserve"> galima vartoti vieną kartą per parą vakare.</w:t>
      </w:r>
    </w:p>
    <w:p w:rsidR="00DF50D7" w:rsidRPr="00873F27" w:rsidRDefault="00DF50D7" w:rsidP="00DF50D7">
      <w:pPr>
        <w:widowControl w:val="0"/>
        <w:rPr>
          <w:noProof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7"/>
        <w:gridCol w:w="1380"/>
        <w:gridCol w:w="1392"/>
        <w:gridCol w:w="1383"/>
        <w:gridCol w:w="1387"/>
        <w:gridCol w:w="1659"/>
      </w:tblGrid>
      <w:tr w:rsidR="00DF50D7" w:rsidRPr="00873F27" w:rsidTr="00293D0C"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D7" w:rsidRPr="00873F27" w:rsidRDefault="00DF50D7" w:rsidP="00293D0C">
            <w:pPr>
              <w:tabs>
                <w:tab w:val="left" w:pos="720"/>
              </w:tabs>
              <w:autoSpaceDE w:val="0"/>
              <w:autoSpaceDN w:val="0"/>
              <w:jc w:val="center"/>
            </w:pPr>
            <w:r w:rsidRPr="00873F27">
              <w:rPr>
                <w:sz w:val="22"/>
                <w:szCs w:val="22"/>
              </w:rPr>
              <w:t>Kūno svoris (kg)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D7" w:rsidRPr="00873F27" w:rsidRDefault="00DF50D7" w:rsidP="00293D0C">
            <w:pPr>
              <w:tabs>
                <w:tab w:val="left" w:pos="720"/>
              </w:tabs>
              <w:autoSpaceDE w:val="0"/>
              <w:autoSpaceDN w:val="0"/>
              <w:jc w:val="center"/>
            </w:pPr>
            <w:r w:rsidRPr="00873F27">
              <w:rPr>
                <w:sz w:val="22"/>
                <w:szCs w:val="22"/>
              </w:rPr>
              <w:t>Paros dozė</w:t>
            </w:r>
          </w:p>
          <w:p w:rsidR="00DF50D7" w:rsidRPr="00873F27" w:rsidRDefault="00DF50D7" w:rsidP="00293D0C">
            <w:pPr>
              <w:tabs>
                <w:tab w:val="left" w:pos="720"/>
              </w:tabs>
              <w:autoSpaceDE w:val="0"/>
              <w:autoSpaceDN w:val="0"/>
              <w:jc w:val="center"/>
            </w:pPr>
            <w:r w:rsidRPr="00873F27">
              <w:rPr>
                <w:sz w:val="22"/>
                <w:szCs w:val="22"/>
              </w:rPr>
              <w:t>(mg/kg)</w:t>
            </w:r>
          </w:p>
        </w:tc>
        <w:tc>
          <w:tcPr>
            <w:tcW w:w="5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D7" w:rsidRPr="00873F27" w:rsidRDefault="00DF50D7" w:rsidP="00293D0C">
            <w:pPr>
              <w:tabs>
                <w:tab w:val="left" w:pos="720"/>
              </w:tabs>
              <w:autoSpaceDE w:val="0"/>
              <w:autoSpaceDN w:val="0"/>
              <w:jc w:val="center"/>
            </w:pPr>
            <w:proofErr w:type="spellStart"/>
            <w:r w:rsidRPr="00873F27">
              <w:rPr>
                <w:sz w:val="22"/>
                <w:szCs w:val="22"/>
              </w:rPr>
              <w:t>Ursosan</w:t>
            </w:r>
            <w:proofErr w:type="spellEnd"/>
            <w:r w:rsidRPr="00873F27">
              <w:rPr>
                <w:sz w:val="22"/>
                <w:szCs w:val="22"/>
              </w:rPr>
              <w:t xml:space="preserve"> kapsulės</w:t>
            </w:r>
          </w:p>
        </w:tc>
      </w:tr>
      <w:tr w:rsidR="00DF50D7" w:rsidRPr="00873F27" w:rsidTr="00293D0C"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0D7" w:rsidRPr="00873F27" w:rsidRDefault="00DF50D7" w:rsidP="00293D0C"/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0D7" w:rsidRPr="00873F27" w:rsidRDefault="00DF50D7" w:rsidP="00293D0C"/>
        </w:tc>
        <w:tc>
          <w:tcPr>
            <w:tcW w:w="4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D7" w:rsidRPr="00873F27" w:rsidRDefault="00DF50D7" w:rsidP="00293D0C">
            <w:pPr>
              <w:tabs>
                <w:tab w:val="left" w:pos="720"/>
              </w:tabs>
              <w:autoSpaceDE w:val="0"/>
              <w:autoSpaceDN w:val="0"/>
              <w:jc w:val="center"/>
              <w:rPr>
                <w:bCs/>
              </w:rPr>
            </w:pPr>
            <w:r w:rsidRPr="00873F27">
              <w:rPr>
                <w:bCs/>
                <w:sz w:val="22"/>
                <w:szCs w:val="22"/>
              </w:rPr>
              <w:t>3 pirmieji mėnesiai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D7" w:rsidRPr="00873F27" w:rsidRDefault="00DF50D7" w:rsidP="00293D0C">
            <w:r w:rsidRPr="00873F27">
              <w:rPr>
                <w:bCs/>
                <w:sz w:val="22"/>
                <w:szCs w:val="22"/>
              </w:rPr>
              <w:t xml:space="preserve">      Vėliau</w:t>
            </w:r>
          </w:p>
        </w:tc>
      </w:tr>
      <w:tr w:rsidR="00DF50D7" w:rsidRPr="00873F27" w:rsidTr="00293D0C"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0D7" w:rsidRPr="00873F27" w:rsidRDefault="00DF50D7" w:rsidP="00293D0C"/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0D7" w:rsidRPr="00873F27" w:rsidRDefault="00DF50D7" w:rsidP="00293D0C"/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D7" w:rsidRPr="00873F27" w:rsidRDefault="00DF50D7" w:rsidP="00293D0C">
            <w:pPr>
              <w:tabs>
                <w:tab w:val="left" w:pos="720"/>
              </w:tabs>
              <w:autoSpaceDE w:val="0"/>
              <w:autoSpaceDN w:val="0"/>
              <w:jc w:val="center"/>
            </w:pPr>
            <w:r w:rsidRPr="00873F27">
              <w:rPr>
                <w:sz w:val="22"/>
                <w:szCs w:val="22"/>
              </w:rPr>
              <w:t xml:space="preserve">Ryte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D7" w:rsidRPr="00873F27" w:rsidRDefault="00DF50D7" w:rsidP="00293D0C">
            <w:pPr>
              <w:tabs>
                <w:tab w:val="left" w:pos="720"/>
              </w:tabs>
              <w:autoSpaceDE w:val="0"/>
              <w:autoSpaceDN w:val="0"/>
              <w:jc w:val="center"/>
            </w:pPr>
            <w:r w:rsidRPr="00873F27">
              <w:rPr>
                <w:sz w:val="22"/>
                <w:szCs w:val="22"/>
              </w:rPr>
              <w:t>Per pietus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D7" w:rsidRPr="00873F27" w:rsidRDefault="00DF50D7" w:rsidP="00293D0C">
            <w:pPr>
              <w:tabs>
                <w:tab w:val="left" w:pos="720"/>
              </w:tabs>
              <w:autoSpaceDE w:val="0"/>
              <w:autoSpaceDN w:val="0"/>
              <w:jc w:val="center"/>
            </w:pPr>
            <w:r w:rsidRPr="00873F27">
              <w:rPr>
                <w:sz w:val="22"/>
                <w:szCs w:val="22"/>
              </w:rPr>
              <w:t>Vakare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D7" w:rsidRPr="00873F27" w:rsidRDefault="00DF50D7" w:rsidP="00293D0C">
            <w:pPr>
              <w:tabs>
                <w:tab w:val="left" w:pos="720"/>
              </w:tabs>
              <w:autoSpaceDE w:val="0"/>
              <w:autoSpaceDN w:val="0"/>
              <w:jc w:val="center"/>
            </w:pPr>
            <w:r w:rsidRPr="00873F27">
              <w:rPr>
                <w:sz w:val="22"/>
                <w:szCs w:val="22"/>
              </w:rPr>
              <w:t>Vakare</w:t>
            </w:r>
          </w:p>
          <w:p w:rsidR="00DF50D7" w:rsidRPr="00873F27" w:rsidRDefault="00DF50D7" w:rsidP="00293D0C">
            <w:pPr>
              <w:tabs>
                <w:tab w:val="left" w:pos="720"/>
              </w:tabs>
              <w:autoSpaceDE w:val="0"/>
              <w:autoSpaceDN w:val="0"/>
              <w:jc w:val="center"/>
            </w:pPr>
            <w:r w:rsidRPr="00873F27">
              <w:rPr>
                <w:sz w:val="22"/>
                <w:szCs w:val="22"/>
              </w:rPr>
              <w:t>(1 k./d.)</w:t>
            </w:r>
          </w:p>
        </w:tc>
      </w:tr>
      <w:tr w:rsidR="00DF50D7" w:rsidRPr="00873F27" w:rsidTr="00293D0C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D7" w:rsidRPr="00873F27" w:rsidRDefault="00DF50D7" w:rsidP="00293D0C">
            <w:pPr>
              <w:tabs>
                <w:tab w:val="left" w:pos="720"/>
              </w:tabs>
              <w:autoSpaceDE w:val="0"/>
              <w:autoSpaceDN w:val="0"/>
              <w:jc w:val="center"/>
            </w:pPr>
            <w:r w:rsidRPr="00873F27">
              <w:rPr>
                <w:sz w:val="22"/>
                <w:szCs w:val="22"/>
              </w:rPr>
              <w:t>47-62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D7" w:rsidRPr="00873F27" w:rsidRDefault="00DF50D7" w:rsidP="00293D0C">
            <w:pPr>
              <w:tabs>
                <w:tab w:val="left" w:pos="720"/>
              </w:tabs>
              <w:autoSpaceDE w:val="0"/>
              <w:autoSpaceDN w:val="0"/>
              <w:jc w:val="center"/>
            </w:pPr>
            <w:r w:rsidRPr="00873F27">
              <w:rPr>
                <w:sz w:val="22"/>
                <w:szCs w:val="22"/>
              </w:rPr>
              <w:t>12 – 16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D7" w:rsidRPr="00873F27" w:rsidRDefault="00DF50D7" w:rsidP="00293D0C">
            <w:pPr>
              <w:tabs>
                <w:tab w:val="left" w:pos="720"/>
              </w:tabs>
              <w:autoSpaceDE w:val="0"/>
              <w:autoSpaceDN w:val="0"/>
              <w:jc w:val="center"/>
            </w:pPr>
            <w:r w:rsidRPr="00873F27">
              <w:rPr>
                <w:sz w:val="22"/>
                <w:szCs w:val="22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D7" w:rsidRPr="00873F27" w:rsidRDefault="00DF50D7" w:rsidP="00293D0C">
            <w:pPr>
              <w:tabs>
                <w:tab w:val="left" w:pos="720"/>
              </w:tabs>
              <w:autoSpaceDE w:val="0"/>
              <w:autoSpaceDN w:val="0"/>
              <w:jc w:val="center"/>
            </w:pPr>
            <w:r w:rsidRPr="00873F27">
              <w:rPr>
                <w:sz w:val="22"/>
                <w:szCs w:val="22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D7" w:rsidRPr="00873F27" w:rsidRDefault="00DF50D7" w:rsidP="00293D0C">
            <w:pPr>
              <w:tabs>
                <w:tab w:val="left" w:pos="720"/>
              </w:tabs>
              <w:autoSpaceDE w:val="0"/>
              <w:autoSpaceDN w:val="0"/>
              <w:jc w:val="center"/>
            </w:pPr>
            <w:r w:rsidRPr="00873F27">
              <w:rPr>
                <w:sz w:val="22"/>
                <w:szCs w:val="22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D7" w:rsidRPr="00873F27" w:rsidRDefault="00DF50D7" w:rsidP="00293D0C">
            <w:pPr>
              <w:tabs>
                <w:tab w:val="left" w:pos="720"/>
              </w:tabs>
              <w:autoSpaceDE w:val="0"/>
              <w:autoSpaceDN w:val="0"/>
              <w:jc w:val="center"/>
            </w:pPr>
            <w:r w:rsidRPr="00873F27">
              <w:rPr>
                <w:sz w:val="22"/>
                <w:szCs w:val="22"/>
              </w:rPr>
              <w:t>3</w:t>
            </w:r>
          </w:p>
        </w:tc>
      </w:tr>
      <w:tr w:rsidR="00DF50D7" w:rsidRPr="00873F27" w:rsidTr="00293D0C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D7" w:rsidRPr="00873F27" w:rsidRDefault="00DF50D7" w:rsidP="00293D0C">
            <w:pPr>
              <w:tabs>
                <w:tab w:val="left" w:pos="720"/>
              </w:tabs>
              <w:autoSpaceDE w:val="0"/>
              <w:autoSpaceDN w:val="0"/>
              <w:jc w:val="center"/>
            </w:pPr>
            <w:r w:rsidRPr="00873F27">
              <w:rPr>
                <w:sz w:val="22"/>
                <w:szCs w:val="22"/>
              </w:rPr>
              <w:t>63-78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D7" w:rsidRPr="00873F27" w:rsidRDefault="00DF50D7" w:rsidP="00293D0C">
            <w:pPr>
              <w:tabs>
                <w:tab w:val="left" w:pos="720"/>
              </w:tabs>
              <w:autoSpaceDE w:val="0"/>
              <w:autoSpaceDN w:val="0"/>
              <w:jc w:val="center"/>
            </w:pPr>
            <w:r w:rsidRPr="00873F27">
              <w:rPr>
                <w:sz w:val="22"/>
                <w:szCs w:val="22"/>
              </w:rPr>
              <w:t>13 – 16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D7" w:rsidRPr="00873F27" w:rsidRDefault="00DF50D7" w:rsidP="00293D0C">
            <w:pPr>
              <w:tabs>
                <w:tab w:val="left" w:pos="720"/>
              </w:tabs>
              <w:autoSpaceDE w:val="0"/>
              <w:autoSpaceDN w:val="0"/>
              <w:jc w:val="center"/>
            </w:pPr>
            <w:r w:rsidRPr="00873F27">
              <w:rPr>
                <w:sz w:val="22"/>
                <w:szCs w:val="22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D7" w:rsidRPr="00873F27" w:rsidRDefault="00DF50D7" w:rsidP="00293D0C">
            <w:pPr>
              <w:tabs>
                <w:tab w:val="left" w:pos="720"/>
              </w:tabs>
              <w:autoSpaceDE w:val="0"/>
              <w:autoSpaceDN w:val="0"/>
              <w:jc w:val="center"/>
            </w:pPr>
            <w:r w:rsidRPr="00873F27">
              <w:rPr>
                <w:sz w:val="22"/>
                <w:szCs w:val="22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D7" w:rsidRPr="00873F27" w:rsidRDefault="00DF50D7" w:rsidP="00293D0C">
            <w:pPr>
              <w:tabs>
                <w:tab w:val="left" w:pos="720"/>
              </w:tabs>
              <w:autoSpaceDE w:val="0"/>
              <w:autoSpaceDN w:val="0"/>
              <w:jc w:val="center"/>
            </w:pPr>
            <w:r w:rsidRPr="00873F27">
              <w:rPr>
                <w:sz w:val="22"/>
                <w:szCs w:val="22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D7" w:rsidRPr="00873F27" w:rsidRDefault="00DF50D7" w:rsidP="00293D0C">
            <w:pPr>
              <w:tabs>
                <w:tab w:val="left" w:pos="720"/>
              </w:tabs>
              <w:autoSpaceDE w:val="0"/>
              <w:autoSpaceDN w:val="0"/>
              <w:jc w:val="center"/>
            </w:pPr>
            <w:r w:rsidRPr="00873F27">
              <w:rPr>
                <w:sz w:val="22"/>
                <w:szCs w:val="22"/>
              </w:rPr>
              <w:t>4</w:t>
            </w:r>
          </w:p>
        </w:tc>
      </w:tr>
      <w:tr w:rsidR="00DF50D7" w:rsidRPr="00873F27" w:rsidTr="00293D0C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D7" w:rsidRPr="00873F27" w:rsidRDefault="00DF50D7" w:rsidP="00293D0C">
            <w:pPr>
              <w:tabs>
                <w:tab w:val="left" w:pos="720"/>
              </w:tabs>
              <w:autoSpaceDE w:val="0"/>
              <w:autoSpaceDN w:val="0"/>
              <w:jc w:val="center"/>
            </w:pPr>
            <w:r w:rsidRPr="00873F27">
              <w:rPr>
                <w:sz w:val="22"/>
                <w:szCs w:val="22"/>
              </w:rPr>
              <w:t>79-93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D7" w:rsidRPr="00873F27" w:rsidRDefault="00DF50D7" w:rsidP="00293D0C">
            <w:pPr>
              <w:tabs>
                <w:tab w:val="left" w:pos="720"/>
              </w:tabs>
              <w:autoSpaceDE w:val="0"/>
              <w:autoSpaceDN w:val="0"/>
              <w:jc w:val="center"/>
            </w:pPr>
            <w:r w:rsidRPr="00873F27">
              <w:rPr>
                <w:sz w:val="22"/>
                <w:szCs w:val="22"/>
              </w:rPr>
              <w:t>13 – 16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D7" w:rsidRPr="00873F27" w:rsidRDefault="00DF50D7" w:rsidP="00293D0C">
            <w:pPr>
              <w:tabs>
                <w:tab w:val="left" w:pos="720"/>
              </w:tabs>
              <w:autoSpaceDE w:val="0"/>
              <w:autoSpaceDN w:val="0"/>
              <w:jc w:val="center"/>
            </w:pPr>
            <w:r w:rsidRPr="00873F27">
              <w:rPr>
                <w:sz w:val="22"/>
                <w:szCs w:val="22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D7" w:rsidRPr="00873F27" w:rsidRDefault="00DF50D7" w:rsidP="00293D0C">
            <w:pPr>
              <w:tabs>
                <w:tab w:val="left" w:pos="720"/>
              </w:tabs>
              <w:autoSpaceDE w:val="0"/>
              <w:autoSpaceDN w:val="0"/>
              <w:jc w:val="center"/>
            </w:pPr>
            <w:r w:rsidRPr="00873F27">
              <w:rPr>
                <w:sz w:val="22"/>
                <w:szCs w:val="22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D7" w:rsidRPr="00873F27" w:rsidRDefault="00DF50D7" w:rsidP="00293D0C">
            <w:pPr>
              <w:tabs>
                <w:tab w:val="left" w:pos="720"/>
              </w:tabs>
              <w:autoSpaceDE w:val="0"/>
              <w:autoSpaceDN w:val="0"/>
              <w:jc w:val="center"/>
            </w:pPr>
            <w:r w:rsidRPr="00873F27">
              <w:rPr>
                <w:sz w:val="22"/>
                <w:szCs w:val="22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D7" w:rsidRPr="00873F27" w:rsidRDefault="00DF50D7" w:rsidP="00293D0C">
            <w:pPr>
              <w:tabs>
                <w:tab w:val="left" w:pos="720"/>
              </w:tabs>
              <w:autoSpaceDE w:val="0"/>
              <w:autoSpaceDN w:val="0"/>
              <w:jc w:val="center"/>
            </w:pPr>
            <w:r w:rsidRPr="00873F27">
              <w:rPr>
                <w:sz w:val="22"/>
                <w:szCs w:val="22"/>
              </w:rPr>
              <w:t>5</w:t>
            </w:r>
          </w:p>
        </w:tc>
      </w:tr>
      <w:tr w:rsidR="00DF50D7" w:rsidRPr="00873F27" w:rsidTr="00293D0C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D7" w:rsidRPr="00873F27" w:rsidRDefault="00DF50D7" w:rsidP="00293D0C">
            <w:pPr>
              <w:tabs>
                <w:tab w:val="left" w:pos="720"/>
              </w:tabs>
              <w:autoSpaceDE w:val="0"/>
              <w:autoSpaceDN w:val="0"/>
              <w:jc w:val="center"/>
            </w:pPr>
            <w:r w:rsidRPr="00873F27">
              <w:rPr>
                <w:sz w:val="22"/>
                <w:szCs w:val="22"/>
              </w:rPr>
              <w:t>94-109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D7" w:rsidRPr="00873F27" w:rsidRDefault="00DF50D7" w:rsidP="00293D0C">
            <w:pPr>
              <w:tabs>
                <w:tab w:val="left" w:pos="720"/>
              </w:tabs>
              <w:autoSpaceDE w:val="0"/>
              <w:autoSpaceDN w:val="0"/>
              <w:jc w:val="center"/>
            </w:pPr>
            <w:r w:rsidRPr="00873F27">
              <w:rPr>
                <w:sz w:val="22"/>
                <w:szCs w:val="22"/>
              </w:rPr>
              <w:t>14 – 15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D7" w:rsidRPr="00873F27" w:rsidRDefault="00DF50D7" w:rsidP="00293D0C">
            <w:pPr>
              <w:tabs>
                <w:tab w:val="left" w:pos="720"/>
              </w:tabs>
              <w:autoSpaceDE w:val="0"/>
              <w:autoSpaceDN w:val="0"/>
              <w:jc w:val="center"/>
            </w:pPr>
            <w:r w:rsidRPr="00873F27">
              <w:rPr>
                <w:sz w:val="22"/>
                <w:szCs w:val="22"/>
              </w:rPr>
              <w:t>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D7" w:rsidRPr="00873F27" w:rsidRDefault="00DF50D7" w:rsidP="00293D0C">
            <w:pPr>
              <w:tabs>
                <w:tab w:val="left" w:pos="720"/>
              </w:tabs>
              <w:autoSpaceDE w:val="0"/>
              <w:autoSpaceDN w:val="0"/>
              <w:jc w:val="center"/>
            </w:pPr>
            <w:r w:rsidRPr="00873F27">
              <w:rPr>
                <w:sz w:val="22"/>
                <w:szCs w:val="22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D7" w:rsidRPr="00873F27" w:rsidRDefault="00DF50D7" w:rsidP="00293D0C">
            <w:pPr>
              <w:tabs>
                <w:tab w:val="left" w:pos="720"/>
              </w:tabs>
              <w:autoSpaceDE w:val="0"/>
              <w:autoSpaceDN w:val="0"/>
              <w:jc w:val="center"/>
            </w:pPr>
            <w:r w:rsidRPr="00873F27">
              <w:rPr>
                <w:sz w:val="22"/>
                <w:szCs w:val="22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D7" w:rsidRPr="00873F27" w:rsidRDefault="00DF50D7" w:rsidP="00293D0C">
            <w:pPr>
              <w:tabs>
                <w:tab w:val="left" w:pos="720"/>
              </w:tabs>
              <w:autoSpaceDE w:val="0"/>
              <w:autoSpaceDN w:val="0"/>
              <w:jc w:val="center"/>
            </w:pPr>
            <w:r w:rsidRPr="00873F27">
              <w:rPr>
                <w:sz w:val="22"/>
                <w:szCs w:val="22"/>
              </w:rPr>
              <w:t>6</w:t>
            </w:r>
          </w:p>
        </w:tc>
      </w:tr>
      <w:tr w:rsidR="00DF50D7" w:rsidRPr="00873F27" w:rsidTr="00293D0C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D7" w:rsidRPr="00873F27" w:rsidRDefault="00DF50D7" w:rsidP="00293D0C">
            <w:pPr>
              <w:tabs>
                <w:tab w:val="left" w:pos="720"/>
              </w:tabs>
              <w:autoSpaceDE w:val="0"/>
              <w:autoSpaceDN w:val="0"/>
              <w:jc w:val="center"/>
            </w:pPr>
            <w:r w:rsidRPr="00873F27">
              <w:rPr>
                <w:sz w:val="22"/>
                <w:szCs w:val="22"/>
              </w:rPr>
              <w:t xml:space="preserve">Daugiau 110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D7" w:rsidRPr="00873F27" w:rsidRDefault="00DF50D7" w:rsidP="00293D0C">
            <w:pPr>
              <w:tabs>
                <w:tab w:val="left" w:pos="720"/>
              </w:tabs>
              <w:autoSpaceDE w:val="0"/>
              <w:autoSpaceDN w:val="0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D7" w:rsidRPr="00873F27" w:rsidRDefault="00DF50D7" w:rsidP="00293D0C">
            <w:pPr>
              <w:tabs>
                <w:tab w:val="left" w:pos="720"/>
              </w:tabs>
              <w:autoSpaceDE w:val="0"/>
              <w:autoSpaceDN w:val="0"/>
              <w:jc w:val="center"/>
            </w:pPr>
            <w:r w:rsidRPr="00873F27">
              <w:rPr>
                <w:sz w:val="22"/>
                <w:szCs w:val="22"/>
              </w:rPr>
              <w:t>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D7" w:rsidRPr="00873F27" w:rsidRDefault="00DF50D7" w:rsidP="00293D0C">
            <w:pPr>
              <w:tabs>
                <w:tab w:val="left" w:pos="720"/>
              </w:tabs>
              <w:autoSpaceDE w:val="0"/>
              <w:autoSpaceDN w:val="0"/>
              <w:jc w:val="center"/>
            </w:pPr>
            <w:r w:rsidRPr="00873F27">
              <w:rPr>
                <w:sz w:val="22"/>
                <w:szCs w:val="22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D7" w:rsidRPr="00873F27" w:rsidRDefault="00DF50D7" w:rsidP="00293D0C">
            <w:pPr>
              <w:tabs>
                <w:tab w:val="left" w:pos="720"/>
              </w:tabs>
              <w:autoSpaceDE w:val="0"/>
              <w:autoSpaceDN w:val="0"/>
              <w:jc w:val="center"/>
            </w:pPr>
            <w:r w:rsidRPr="00873F27">
              <w:rPr>
                <w:sz w:val="22"/>
                <w:szCs w:val="22"/>
              </w:rPr>
              <w:t>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D7" w:rsidRPr="00873F27" w:rsidRDefault="00DF50D7" w:rsidP="00293D0C">
            <w:pPr>
              <w:tabs>
                <w:tab w:val="left" w:pos="720"/>
              </w:tabs>
              <w:autoSpaceDE w:val="0"/>
              <w:autoSpaceDN w:val="0"/>
              <w:jc w:val="center"/>
            </w:pPr>
            <w:r w:rsidRPr="00873F27">
              <w:rPr>
                <w:sz w:val="22"/>
                <w:szCs w:val="22"/>
              </w:rPr>
              <w:t>7</w:t>
            </w:r>
          </w:p>
        </w:tc>
      </w:tr>
    </w:tbl>
    <w:p w:rsidR="00DF50D7" w:rsidRDefault="00DF50D7" w:rsidP="00DF50D7">
      <w:pPr>
        <w:rPr>
          <w:sz w:val="22"/>
          <w:u w:val="single"/>
        </w:rPr>
      </w:pPr>
    </w:p>
    <w:p w:rsidR="00DF50D7" w:rsidRPr="00C637F4" w:rsidRDefault="00DF50D7" w:rsidP="00DF50D7">
      <w:pPr>
        <w:rPr>
          <w:sz w:val="22"/>
        </w:rPr>
      </w:pPr>
      <w:r w:rsidRPr="00C637F4">
        <w:rPr>
          <w:sz w:val="22"/>
        </w:rPr>
        <w:t xml:space="preserve">Įsitikinkite, kad vaisto vartojate reguliariai. Gydant pirminę </w:t>
      </w:r>
      <w:proofErr w:type="spellStart"/>
      <w:r w:rsidRPr="00C637F4">
        <w:rPr>
          <w:sz w:val="22"/>
        </w:rPr>
        <w:t>bilijinę</w:t>
      </w:r>
      <w:proofErr w:type="spellEnd"/>
      <w:r w:rsidRPr="00C637F4">
        <w:rPr>
          <w:sz w:val="22"/>
        </w:rPr>
        <w:t xml:space="preserve"> kepenų ciroze, </w:t>
      </w:r>
      <w:proofErr w:type="spellStart"/>
      <w:r w:rsidRPr="00C637F4">
        <w:rPr>
          <w:sz w:val="22"/>
        </w:rPr>
        <w:t>Ursosan</w:t>
      </w:r>
      <w:proofErr w:type="spellEnd"/>
      <w:r w:rsidRPr="00C637F4">
        <w:rPr>
          <w:sz w:val="22"/>
        </w:rPr>
        <w:t xml:space="preserve"> kapsulių galima vartoti neribotą laiką.</w:t>
      </w:r>
    </w:p>
    <w:p w:rsidR="00DF50D7" w:rsidRDefault="00DF50D7" w:rsidP="00DF50D7">
      <w:pPr>
        <w:rPr>
          <w:sz w:val="22"/>
          <w:u w:val="single"/>
        </w:rPr>
      </w:pPr>
    </w:p>
    <w:p w:rsidR="00DF50D7" w:rsidRPr="00C637F4" w:rsidRDefault="00DF50D7" w:rsidP="00DF50D7">
      <w:pPr>
        <w:rPr>
          <w:sz w:val="22"/>
        </w:rPr>
      </w:pPr>
      <w:r w:rsidRPr="00C637F4">
        <w:rPr>
          <w:sz w:val="22"/>
        </w:rPr>
        <w:t xml:space="preserve">Pradėjus gydymą retais atvejais, pacientams, sergantiems pirmine </w:t>
      </w:r>
      <w:proofErr w:type="spellStart"/>
      <w:r w:rsidRPr="00C637F4">
        <w:rPr>
          <w:sz w:val="22"/>
        </w:rPr>
        <w:t>bilijine</w:t>
      </w:r>
      <w:proofErr w:type="spellEnd"/>
      <w:r w:rsidRPr="00C637F4">
        <w:rPr>
          <w:sz w:val="22"/>
        </w:rPr>
        <w:t xml:space="preserve"> kepenų ciroze, klinikiniai ligos simptomai gali pablogėti. Pavyzdžiui, gali sustiprėti niež</w:t>
      </w:r>
      <w:r>
        <w:rPr>
          <w:sz w:val="22"/>
        </w:rPr>
        <w:t>ėjimas</w:t>
      </w:r>
      <w:r w:rsidRPr="00C637F4">
        <w:rPr>
          <w:sz w:val="22"/>
        </w:rPr>
        <w:t xml:space="preserve">. Jeigu taip atsitinka, gydymą reikia tęsti vartojant vieną </w:t>
      </w:r>
      <w:proofErr w:type="spellStart"/>
      <w:r w:rsidRPr="00C637F4">
        <w:rPr>
          <w:sz w:val="22"/>
        </w:rPr>
        <w:t>Ursosan</w:t>
      </w:r>
      <w:proofErr w:type="spellEnd"/>
      <w:r w:rsidRPr="00C637F4">
        <w:rPr>
          <w:sz w:val="22"/>
        </w:rPr>
        <w:t xml:space="preserve"> kapsulę vieną kartą per parą ir dozę laipsniškai didinti (po vieną kapsulę kas savaitę) iki įprastinės rekomenduojamos dozės.</w:t>
      </w:r>
    </w:p>
    <w:p w:rsidR="00DF50D7" w:rsidRPr="00873F27" w:rsidRDefault="00DF50D7" w:rsidP="00DF50D7">
      <w:pPr>
        <w:rPr>
          <w:sz w:val="22"/>
          <w:szCs w:val="22"/>
        </w:rPr>
      </w:pPr>
    </w:p>
    <w:p w:rsidR="00DF50D7" w:rsidRDefault="00DF50D7" w:rsidP="00DF50D7">
      <w:pPr>
        <w:rPr>
          <w:sz w:val="22"/>
          <w:szCs w:val="22"/>
        </w:rPr>
      </w:pPr>
      <w:r w:rsidRPr="00EA7D8F">
        <w:rPr>
          <w:sz w:val="22"/>
          <w:szCs w:val="22"/>
        </w:rPr>
        <w:t>Su cistine fibroze susijusių kepenų ligų gydymas (vaikams nuo 6 iki 18 metų)</w:t>
      </w:r>
      <w:r w:rsidRPr="00873F27">
        <w:rPr>
          <w:sz w:val="22"/>
          <w:szCs w:val="22"/>
        </w:rPr>
        <w:t>Cistine fibroze sergantiems 6 metų ir jaunesniems kaip 18 metų vaikams, skiriama 20 mg/kg per parą, dozę padalinant į 2-3 lygias dalis. Jeigu reikia, dozę galima padidinti iki 30 mg/kg per parą.</w:t>
      </w:r>
    </w:p>
    <w:p w:rsidR="00DF50D7" w:rsidRPr="00873F27" w:rsidRDefault="00DF50D7" w:rsidP="00DF50D7">
      <w:pPr>
        <w:rPr>
          <w:sz w:val="22"/>
          <w:szCs w:val="2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286"/>
        <w:gridCol w:w="1176"/>
        <w:gridCol w:w="907"/>
        <w:gridCol w:w="1134"/>
        <w:gridCol w:w="992"/>
      </w:tblGrid>
      <w:tr w:rsidR="00DF50D7" w:rsidRPr="00EA7D8F" w:rsidTr="00293D0C">
        <w:trPr>
          <w:trHeight w:val="350"/>
        </w:trPr>
        <w:tc>
          <w:tcPr>
            <w:tcW w:w="0" w:type="auto"/>
            <w:vMerge w:val="restart"/>
            <w:vAlign w:val="center"/>
          </w:tcPr>
          <w:p w:rsidR="00DF50D7" w:rsidRPr="00EA7D8F" w:rsidRDefault="00DF50D7" w:rsidP="00293D0C">
            <w:pPr>
              <w:rPr>
                <w:sz w:val="22"/>
                <w:szCs w:val="22"/>
                <w:lang w:val="de-DE"/>
              </w:rPr>
            </w:pPr>
            <w:proofErr w:type="spellStart"/>
            <w:r w:rsidRPr="00EA7D8F">
              <w:rPr>
                <w:sz w:val="22"/>
                <w:szCs w:val="22"/>
                <w:lang w:val="de-DE"/>
              </w:rPr>
              <w:t>Kūno</w:t>
            </w:r>
            <w:proofErr w:type="spellEnd"/>
            <w:r w:rsidRPr="00EA7D8F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EA7D8F">
              <w:rPr>
                <w:sz w:val="22"/>
                <w:szCs w:val="22"/>
                <w:lang w:val="de-DE"/>
              </w:rPr>
              <w:t>svoris</w:t>
            </w:r>
            <w:proofErr w:type="spellEnd"/>
          </w:p>
          <w:p w:rsidR="00DF50D7" w:rsidRPr="00EA7D8F" w:rsidRDefault="00DF50D7" w:rsidP="00293D0C">
            <w:pPr>
              <w:rPr>
                <w:b/>
                <w:sz w:val="22"/>
                <w:szCs w:val="22"/>
                <w:lang w:val="de-DE"/>
              </w:rPr>
            </w:pPr>
            <w:r w:rsidRPr="00EA7D8F">
              <w:rPr>
                <w:sz w:val="22"/>
                <w:szCs w:val="22"/>
                <w:lang w:val="de-DE"/>
              </w:rPr>
              <w:t>(kg)</w:t>
            </w:r>
          </w:p>
        </w:tc>
        <w:tc>
          <w:tcPr>
            <w:tcW w:w="0" w:type="auto"/>
            <w:vMerge w:val="restart"/>
            <w:vAlign w:val="center"/>
          </w:tcPr>
          <w:p w:rsidR="00DF50D7" w:rsidRPr="00EA7D8F" w:rsidRDefault="00DF50D7" w:rsidP="00293D0C">
            <w:pPr>
              <w:rPr>
                <w:sz w:val="22"/>
                <w:szCs w:val="22"/>
              </w:rPr>
            </w:pPr>
            <w:r w:rsidRPr="00EA7D8F">
              <w:rPr>
                <w:sz w:val="22"/>
                <w:szCs w:val="22"/>
              </w:rPr>
              <w:t>Paros dozė</w:t>
            </w:r>
          </w:p>
          <w:p w:rsidR="00DF50D7" w:rsidRPr="00EA7D8F" w:rsidRDefault="00DF50D7" w:rsidP="00293D0C">
            <w:pPr>
              <w:rPr>
                <w:sz w:val="22"/>
                <w:szCs w:val="22"/>
              </w:rPr>
            </w:pPr>
            <w:r w:rsidRPr="00EA7D8F">
              <w:rPr>
                <w:sz w:val="22"/>
                <w:szCs w:val="22"/>
              </w:rPr>
              <w:t>(mg/kg )</w:t>
            </w:r>
          </w:p>
        </w:tc>
        <w:tc>
          <w:tcPr>
            <w:tcW w:w="3033" w:type="dxa"/>
            <w:gridSpan w:val="3"/>
            <w:vAlign w:val="center"/>
          </w:tcPr>
          <w:p w:rsidR="00DF50D7" w:rsidRPr="00EA7D8F" w:rsidRDefault="00DF50D7" w:rsidP="00293D0C">
            <w:pPr>
              <w:rPr>
                <w:sz w:val="22"/>
                <w:szCs w:val="22"/>
              </w:rPr>
            </w:pPr>
          </w:p>
          <w:p w:rsidR="00DF50D7" w:rsidRPr="00EA7D8F" w:rsidRDefault="00DF50D7" w:rsidP="00293D0C">
            <w:pPr>
              <w:rPr>
                <w:sz w:val="22"/>
                <w:szCs w:val="22"/>
              </w:rPr>
            </w:pPr>
            <w:proofErr w:type="spellStart"/>
            <w:r w:rsidRPr="00EA7D8F">
              <w:rPr>
                <w:sz w:val="22"/>
                <w:szCs w:val="22"/>
              </w:rPr>
              <w:t>Urso</w:t>
            </w:r>
            <w:r>
              <w:rPr>
                <w:sz w:val="22"/>
                <w:szCs w:val="22"/>
              </w:rPr>
              <w:t>san</w:t>
            </w:r>
            <w:proofErr w:type="spellEnd"/>
            <w:r w:rsidRPr="00EA7D8F">
              <w:rPr>
                <w:sz w:val="22"/>
                <w:szCs w:val="22"/>
              </w:rPr>
              <w:t xml:space="preserve"> 250 mg kietosios kapsulės</w:t>
            </w:r>
          </w:p>
        </w:tc>
      </w:tr>
      <w:tr w:rsidR="00DF50D7" w:rsidRPr="00EA7D8F" w:rsidTr="00293D0C">
        <w:trPr>
          <w:trHeight w:val="350"/>
        </w:trPr>
        <w:tc>
          <w:tcPr>
            <w:tcW w:w="0" w:type="auto"/>
            <w:vMerge/>
            <w:vAlign w:val="center"/>
          </w:tcPr>
          <w:p w:rsidR="00DF50D7" w:rsidRPr="00EA7D8F" w:rsidRDefault="00DF50D7" w:rsidP="00293D0C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F50D7" w:rsidRPr="00EA7D8F" w:rsidRDefault="00DF50D7" w:rsidP="00293D0C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 w:rsidR="00DF50D7" w:rsidRPr="00EA7D8F" w:rsidRDefault="00DF50D7" w:rsidP="00293D0C">
            <w:pPr>
              <w:rPr>
                <w:sz w:val="22"/>
                <w:szCs w:val="22"/>
              </w:rPr>
            </w:pPr>
            <w:r w:rsidRPr="00EA7D8F">
              <w:rPr>
                <w:sz w:val="22"/>
                <w:szCs w:val="22"/>
              </w:rPr>
              <w:t>Ryte</w:t>
            </w:r>
          </w:p>
        </w:tc>
        <w:tc>
          <w:tcPr>
            <w:tcW w:w="1134" w:type="dxa"/>
            <w:vAlign w:val="center"/>
          </w:tcPr>
          <w:p w:rsidR="00DF50D7" w:rsidRPr="00EA7D8F" w:rsidRDefault="00DF50D7" w:rsidP="00293D0C">
            <w:pPr>
              <w:rPr>
                <w:sz w:val="22"/>
                <w:szCs w:val="22"/>
              </w:rPr>
            </w:pPr>
            <w:r w:rsidRPr="00EA7D8F">
              <w:rPr>
                <w:sz w:val="22"/>
                <w:szCs w:val="22"/>
              </w:rPr>
              <w:t>Per pietus</w:t>
            </w:r>
          </w:p>
        </w:tc>
        <w:tc>
          <w:tcPr>
            <w:tcW w:w="992" w:type="dxa"/>
            <w:vAlign w:val="center"/>
          </w:tcPr>
          <w:p w:rsidR="00DF50D7" w:rsidRPr="00EA7D8F" w:rsidRDefault="00DF50D7" w:rsidP="00293D0C">
            <w:pPr>
              <w:rPr>
                <w:sz w:val="22"/>
                <w:szCs w:val="22"/>
              </w:rPr>
            </w:pPr>
            <w:r w:rsidRPr="00EA7D8F">
              <w:rPr>
                <w:sz w:val="22"/>
                <w:szCs w:val="22"/>
              </w:rPr>
              <w:t>Vakare</w:t>
            </w:r>
          </w:p>
        </w:tc>
      </w:tr>
      <w:tr w:rsidR="00DF50D7" w:rsidRPr="00EA7D8F" w:rsidTr="00293D0C">
        <w:trPr>
          <w:trHeight w:val="350"/>
        </w:trPr>
        <w:tc>
          <w:tcPr>
            <w:tcW w:w="0" w:type="auto"/>
            <w:vAlign w:val="center"/>
          </w:tcPr>
          <w:p w:rsidR="00DF50D7" w:rsidRPr="00EA7D8F" w:rsidRDefault="00DF50D7" w:rsidP="00293D0C">
            <w:pPr>
              <w:rPr>
                <w:sz w:val="22"/>
                <w:szCs w:val="22"/>
                <w:lang w:val="de-DE"/>
              </w:rPr>
            </w:pPr>
            <w:r w:rsidRPr="00EA7D8F">
              <w:rPr>
                <w:sz w:val="22"/>
                <w:szCs w:val="22"/>
                <w:lang w:val="de-DE"/>
              </w:rPr>
              <w:t>20 – 29</w:t>
            </w:r>
          </w:p>
        </w:tc>
        <w:tc>
          <w:tcPr>
            <w:tcW w:w="0" w:type="auto"/>
            <w:vAlign w:val="center"/>
          </w:tcPr>
          <w:p w:rsidR="00DF50D7" w:rsidRPr="00EA7D8F" w:rsidRDefault="00DF50D7" w:rsidP="00293D0C">
            <w:pPr>
              <w:rPr>
                <w:sz w:val="22"/>
                <w:szCs w:val="22"/>
                <w:lang w:val="de-DE"/>
              </w:rPr>
            </w:pPr>
            <w:r w:rsidRPr="00EA7D8F">
              <w:rPr>
                <w:sz w:val="22"/>
                <w:szCs w:val="22"/>
                <w:lang w:val="de-DE"/>
              </w:rPr>
              <w:t>17-25</w:t>
            </w:r>
          </w:p>
        </w:tc>
        <w:tc>
          <w:tcPr>
            <w:tcW w:w="907" w:type="dxa"/>
            <w:vAlign w:val="center"/>
          </w:tcPr>
          <w:p w:rsidR="00DF50D7" w:rsidRPr="00EA7D8F" w:rsidRDefault="00DF50D7" w:rsidP="00293D0C">
            <w:pPr>
              <w:rPr>
                <w:sz w:val="22"/>
                <w:szCs w:val="22"/>
                <w:lang w:val="de-DE"/>
              </w:rPr>
            </w:pPr>
            <w:r w:rsidRPr="00EA7D8F">
              <w:rPr>
                <w:sz w:val="22"/>
                <w:szCs w:val="22"/>
                <w:lang w:val="de-DE"/>
              </w:rPr>
              <w:t>1</w:t>
            </w:r>
          </w:p>
        </w:tc>
        <w:tc>
          <w:tcPr>
            <w:tcW w:w="1134" w:type="dxa"/>
            <w:vAlign w:val="center"/>
          </w:tcPr>
          <w:p w:rsidR="00DF50D7" w:rsidRPr="00EA7D8F" w:rsidRDefault="00DF50D7" w:rsidP="00293D0C">
            <w:pPr>
              <w:rPr>
                <w:sz w:val="22"/>
                <w:szCs w:val="22"/>
                <w:lang w:val="de-DE"/>
              </w:rPr>
            </w:pPr>
            <w:r w:rsidRPr="00EA7D8F">
              <w:rPr>
                <w:sz w:val="22"/>
                <w:szCs w:val="22"/>
                <w:lang w:val="de-DE"/>
              </w:rPr>
              <w:t>--</w:t>
            </w:r>
          </w:p>
        </w:tc>
        <w:tc>
          <w:tcPr>
            <w:tcW w:w="992" w:type="dxa"/>
            <w:vAlign w:val="center"/>
          </w:tcPr>
          <w:p w:rsidR="00DF50D7" w:rsidRPr="00EA7D8F" w:rsidRDefault="00DF50D7" w:rsidP="00293D0C">
            <w:pPr>
              <w:rPr>
                <w:sz w:val="22"/>
                <w:szCs w:val="22"/>
                <w:lang w:val="de-DE"/>
              </w:rPr>
            </w:pPr>
            <w:r w:rsidRPr="00EA7D8F">
              <w:rPr>
                <w:sz w:val="22"/>
                <w:szCs w:val="22"/>
                <w:lang w:val="de-DE"/>
              </w:rPr>
              <w:t>1</w:t>
            </w:r>
          </w:p>
        </w:tc>
      </w:tr>
      <w:tr w:rsidR="00DF50D7" w:rsidRPr="00EA7D8F" w:rsidTr="00293D0C">
        <w:trPr>
          <w:trHeight w:val="350"/>
        </w:trPr>
        <w:tc>
          <w:tcPr>
            <w:tcW w:w="0" w:type="auto"/>
            <w:vAlign w:val="center"/>
          </w:tcPr>
          <w:p w:rsidR="00DF50D7" w:rsidRPr="00EA7D8F" w:rsidRDefault="00DF50D7" w:rsidP="00293D0C">
            <w:pPr>
              <w:rPr>
                <w:sz w:val="22"/>
                <w:szCs w:val="22"/>
                <w:lang w:val="en-GB"/>
              </w:rPr>
            </w:pPr>
            <w:r w:rsidRPr="00EA7D8F">
              <w:rPr>
                <w:sz w:val="22"/>
                <w:szCs w:val="22"/>
                <w:lang w:val="de-DE"/>
              </w:rPr>
              <w:t>30 – 39</w:t>
            </w:r>
          </w:p>
        </w:tc>
        <w:tc>
          <w:tcPr>
            <w:tcW w:w="0" w:type="auto"/>
            <w:vAlign w:val="center"/>
          </w:tcPr>
          <w:p w:rsidR="00DF50D7" w:rsidRPr="00EA7D8F" w:rsidRDefault="00DF50D7" w:rsidP="00293D0C">
            <w:pPr>
              <w:rPr>
                <w:sz w:val="22"/>
                <w:szCs w:val="22"/>
                <w:lang w:val="de-DE"/>
              </w:rPr>
            </w:pPr>
            <w:r w:rsidRPr="00EA7D8F">
              <w:rPr>
                <w:sz w:val="22"/>
                <w:szCs w:val="22"/>
                <w:lang w:val="de-DE"/>
              </w:rPr>
              <w:t>19-25</w:t>
            </w:r>
          </w:p>
        </w:tc>
        <w:tc>
          <w:tcPr>
            <w:tcW w:w="907" w:type="dxa"/>
            <w:vAlign w:val="center"/>
          </w:tcPr>
          <w:p w:rsidR="00DF50D7" w:rsidRPr="00EA7D8F" w:rsidRDefault="00DF50D7" w:rsidP="00293D0C">
            <w:pPr>
              <w:rPr>
                <w:sz w:val="22"/>
                <w:szCs w:val="22"/>
                <w:lang w:val="de-DE"/>
              </w:rPr>
            </w:pPr>
            <w:r w:rsidRPr="00EA7D8F">
              <w:rPr>
                <w:sz w:val="22"/>
                <w:szCs w:val="22"/>
                <w:lang w:val="de-DE"/>
              </w:rPr>
              <w:t>1</w:t>
            </w:r>
          </w:p>
        </w:tc>
        <w:tc>
          <w:tcPr>
            <w:tcW w:w="1134" w:type="dxa"/>
            <w:vAlign w:val="center"/>
          </w:tcPr>
          <w:p w:rsidR="00DF50D7" w:rsidRPr="00EA7D8F" w:rsidRDefault="00DF50D7" w:rsidP="00293D0C">
            <w:pPr>
              <w:rPr>
                <w:sz w:val="22"/>
                <w:szCs w:val="22"/>
                <w:lang w:val="de-DE"/>
              </w:rPr>
            </w:pPr>
            <w:r w:rsidRPr="00EA7D8F">
              <w:rPr>
                <w:sz w:val="22"/>
                <w:szCs w:val="22"/>
                <w:lang w:val="de-DE"/>
              </w:rPr>
              <w:t>1</w:t>
            </w:r>
          </w:p>
        </w:tc>
        <w:tc>
          <w:tcPr>
            <w:tcW w:w="992" w:type="dxa"/>
            <w:vAlign w:val="center"/>
          </w:tcPr>
          <w:p w:rsidR="00DF50D7" w:rsidRPr="00EA7D8F" w:rsidRDefault="00DF50D7" w:rsidP="00293D0C">
            <w:pPr>
              <w:rPr>
                <w:sz w:val="22"/>
                <w:szCs w:val="22"/>
                <w:lang w:val="de-DE"/>
              </w:rPr>
            </w:pPr>
            <w:r w:rsidRPr="00EA7D8F">
              <w:rPr>
                <w:sz w:val="22"/>
                <w:szCs w:val="22"/>
                <w:lang w:val="de-DE"/>
              </w:rPr>
              <w:t>1</w:t>
            </w:r>
          </w:p>
        </w:tc>
      </w:tr>
      <w:tr w:rsidR="00DF50D7" w:rsidRPr="00EA7D8F" w:rsidTr="00293D0C">
        <w:trPr>
          <w:trHeight w:val="350"/>
        </w:trPr>
        <w:tc>
          <w:tcPr>
            <w:tcW w:w="0" w:type="auto"/>
            <w:vAlign w:val="center"/>
          </w:tcPr>
          <w:p w:rsidR="00DF50D7" w:rsidRPr="00EA7D8F" w:rsidRDefault="00DF50D7" w:rsidP="00293D0C">
            <w:pPr>
              <w:rPr>
                <w:sz w:val="22"/>
                <w:szCs w:val="22"/>
                <w:lang w:val="en-GB"/>
              </w:rPr>
            </w:pPr>
            <w:r w:rsidRPr="00EA7D8F">
              <w:rPr>
                <w:sz w:val="22"/>
                <w:szCs w:val="22"/>
                <w:lang w:val="de-DE"/>
              </w:rPr>
              <w:t>40 – 49</w:t>
            </w:r>
          </w:p>
        </w:tc>
        <w:tc>
          <w:tcPr>
            <w:tcW w:w="0" w:type="auto"/>
            <w:vAlign w:val="center"/>
          </w:tcPr>
          <w:p w:rsidR="00DF50D7" w:rsidRPr="00EA7D8F" w:rsidRDefault="00DF50D7" w:rsidP="00293D0C">
            <w:pPr>
              <w:rPr>
                <w:sz w:val="22"/>
                <w:szCs w:val="22"/>
                <w:lang w:val="de-DE"/>
              </w:rPr>
            </w:pPr>
            <w:r w:rsidRPr="00EA7D8F">
              <w:rPr>
                <w:sz w:val="22"/>
                <w:szCs w:val="22"/>
                <w:lang w:val="de-DE"/>
              </w:rPr>
              <w:t>20-25</w:t>
            </w:r>
          </w:p>
        </w:tc>
        <w:tc>
          <w:tcPr>
            <w:tcW w:w="907" w:type="dxa"/>
            <w:vAlign w:val="center"/>
          </w:tcPr>
          <w:p w:rsidR="00DF50D7" w:rsidRPr="00EA7D8F" w:rsidRDefault="00DF50D7" w:rsidP="00293D0C">
            <w:pPr>
              <w:rPr>
                <w:b/>
                <w:sz w:val="22"/>
                <w:szCs w:val="22"/>
                <w:lang w:val="de-DE"/>
              </w:rPr>
            </w:pPr>
            <w:r w:rsidRPr="00EA7D8F">
              <w:rPr>
                <w:sz w:val="22"/>
                <w:szCs w:val="22"/>
                <w:lang w:val="de-DE"/>
              </w:rPr>
              <w:t>1</w:t>
            </w:r>
          </w:p>
        </w:tc>
        <w:tc>
          <w:tcPr>
            <w:tcW w:w="1134" w:type="dxa"/>
            <w:vAlign w:val="center"/>
          </w:tcPr>
          <w:p w:rsidR="00DF50D7" w:rsidRPr="00EA7D8F" w:rsidRDefault="00DF50D7" w:rsidP="00293D0C">
            <w:pPr>
              <w:rPr>
                <w:sz w:val="22"/>
                <w:szCs w:val="22"/>
                <w:lang w:val="de-DE"/>
              </w:rPr>
            </w:pPr>
            <w:r w:rsidRPr="00EA7D8F">
              <w:rPr>
                <w:sz w:val="22"/>
                <w:szCs w:val="22"/>
                <w:lang w:val="de-DE"/>
              </w:rPr>
              <w:t>1</w:t>
            </w:r>
          </w:p>
        </w:tc>
        <w:tc>
          <w:tcPr>
            <w:tcW w:w="992" w:type="dxa"/>
            <w:vAlign w:val="center"/>
          </w:tcPr>
          <w:p w:rsidR="00DF50D7" w:rsidRPr="00EA7D8F" w:rsidRDefault="00DF50D7" w:rsidP="00293D0C">
            <w:pPr>
              <w:rPr>
                <w:sz w:val="22"/>
                <w:szCs w:val="22"/>
                <w:lang w:val="de-DE"/>
              </w:rPr>
            </w:pPr>
            <w:r w:rsidRPr="00EA7D8F">
              <w:rPr>
                <w:sz w:val="22"/>
                <w:szCs w:val="22"/>
                <w:lang w:val="de-DE"/>
              </w:rPr>
              <w:t>2</w:t>
            </w:r>
          </w:p>
        </w:tc>
      </w:tr>
      <w:tr w:rsidR="00DF50D7" w:rsidRPr="00EA7D8F" w:rsidTr="00293D0C">
        <w:trPr>
          <w:trHeight w:val="350"/>
        </w:trPr>
        <w:tc>
          <w:tcPr>
            <w:tcW w:w="0" w:type="auto"/>
            <w:vAlign w:val="center"/>
          </w:tcPr>
          <w:p w:rsidR="00DF50D7" w:rsidRPr="00EA7D8F" w:rsidRDefault="00DF50D7" w:rsidP="00293D0C">
            <w:pPr>
              <w:rPr>
                <w:sz w:val="22"/>
                <w:szCs w:val="22"/>
                <w:lang w:val="en-GB"/>
              </w:rPr>
            </w:pPr>
            <w:r w:rsidRPr="00EA7D8F">
              <w:rPr>
                <w:sz w:val="22"/>
                <w:szCs w:val="22"/>
                <w:lang w:val="de-DE"/>
              </w:rPr>
              <w:t>50 – 59</w:t>
            </w:r>
          </w:p>
        </w:tc>
        <w:tc>
          <w:tcPr>
            <w:tcW w:w="0" w:type="auto"/>
            <w:vAlign w:val="center"/>
          </w:tcPr>
          <w:p w:rsidR="00DF50D7" w:rsidRPr="00EA7D8F" w:rsidRDefault="00DF50D7" w:rsidP="00293D0C">
            <w:pPr>
              <w:rPr>
                <w:sz w:val="22"/>
                <w:szCs w:val="22"/>
                <w:lang w:val="de-DE"/>
              </w:rPr>
            </w:pPr>
            <w:r w:rsidRPr="00EA7D8F">
              <w:rPr>
                <w:sz w:val="22"/>
                <w:szCs w:val="22"/>
                <w:lang w:val="de-DE"/>
              </w:rPr>
              <w:t>21-25</w:t>
            </w:r>
          </w:p>
        </w:tc>
        <w:tc>
          <w:tcPr>
            <w:tcW w:w="907" w:type="dxa"/>
            <w:vAlign w:val="center"/>
          </w:tcPr>
          <w:p w:rsidR="00DF50D7" w:rsidRPr="00EA7D8F" w:rsidRDefault="00DF50D7" w:rsidP="00293D0C">
            <w:pPr>
              <w:rPr>
                <w:sz w:val="22"/>
                <w:szCs w:val="22"/>
                <w:lang w:val="de-DE"/>
              </w:rPr>
            </w:pPr>
            <w:r w:rsidRPr="00EA7D8F">
              <w:rPr>
                <w:sz w:val="22"/>
                <w:szCs w:val="22"/>
                <w:lang w:val="de-DE"/>
              </w:rPr>
              <w:t>1</w:t>
            </w:r>
          </w:p>
        </w:tc>
        <w:tc>
          <w:tcPr>
            <w:tcW w:w="1134" w:type="dxa"/>
            <w:vAlign w:val="center"/>
          </w:tcPr>
          <w:p w:rsidR="00DF50D7" w:rsidRPr="00EA7D8F" w:rsidRDefault="00DF50D7" w:rsidP="00293D0C">
            <w:pPr>
              <w:rPr>
                <w:sz w:val="22"/>
                <w:szCs w:val="22"/>
                <w:lang w:val="de-DE"/>
              </w:rPr>
            </w:pPr>
            <w:r w:rsidRPr="00EA7D8F">
              <w:rPr>
                <w:sz w:val="22"/>
                <w:szCs w:val="22"/>
                <w:lang w:val="de-DE"/>
              </w:rPr>
              <w:t>2</w:t>
            </w:r>
          </w:p>
        </w:tc>
        <w:tc>
          <w:tcPr>
            <w:tcW w:w="992" w:type="dxa"/>
            <w:vAlign w:val="center"/>
          </w:tcPr>
          <w:p w:rsidR="00DF50D7" w:rsidRPr="00EA7D8F" w:rsidRDefault="00DF50D7" w:rsidP="00293D0C">
            <w:pPr>
              <w:rPr>
                <w:sz w:val="22"/>
                <w:szCs w:val="22"/>
                <w:lang w:val="de-DE"/>
              </w:rPr>
            </w:pPr>
            <w:r w:rsidRPr="00EA7D8F">
              <w:rPr>
                <w:sz w:val="22"/>
                <w:szCs w:val="22"/>
                <w:lang w:val="de-DE"/>
              </w:rPr>
              <w:t>2</w:t>
            </w:r>
          </w:p>
        </w:tc>
      </w:tr>
      <w:tr w:rsidR="00DF50D7" w:rsidRPr="00EA7D8F" w:rsidTr="00293D0C">
        <w:trPr>
          <w:trHeight w:val="350"/>
        </w:trPr>
        <w:tc>
          <w:tcPr>
            <w:tcW w:w="0" w:type="auto"/>
            <w:vAlign w:val="center"/>
          </w:tcPr>
          <w:p w:rsidR="00DF50D7" w:rsidRPr="00EA7D8F" w:rsidRDefault="00DF50D7" w:rsidP="00293D0C">
            <w:pPr>
              <w:rPr>
                <w:sz w:val="22"/>
                <w:szCs w:val="22"/>
                <w:lang w:val="en-GB"/>
              </w:rPr>
            </w:pPr>
            <w:r w:rsidRPr="00EA7D8F">
              <w:rPr>
                <w:sz w:val="22"/>
                <w:szCs w:val="22"/>
                <w:lang w:val="de-DE"/>
              </w:rPr>
              <w:t>60 – 69</w:t>
            </w:r>
          </w:p>
        </w:tc>
        <w:tc>
          <w:tcPr>
            <w:tcW w:w="0" w:type="auto"/>
            <w:vAlign w:val="center"/>
          </w:tcPr>
          <w:p w:rsidR="00DF50D7" w:rsidRPr="00EA7D8F" w:rsidRDefault="00DF50D7" w:rsidP="00293D0C">
            <w:pPr>
              <w:rPr>
                <w:sz w:val="22"/>
                <w:szCs w:val="22"/>
                <w:lang w:val="de-DE"/>
              </w:rPr>
            </w:pPr>
            <w:r w:rsidRPr="00EA7D8F">
              <w:rPr>
                <w:sz w:val="22"/>
                <w:szCs w:val="22"/>
                <w:lang w:val="de-DE"/>
              </w:rPr>
              <w:t>22-25</w:t>
            </w:r>
          </w:p>
        </w:tc>
        <w:tc>
          <w:tcPr>
            <w:tcW w:w="907" w:type="dxa"/>
            <w:vAlign w:val="center"/>
          </w:tcPr>
          <w:p w:rsidR="00DF50D7" w:rsidRPr="00EA7D8F" w:rsidRDefault="00DF50D7" w:rsidP="00293D0C">
            <w:pPr>
              <w:rPr>
                <w:sz w:val="22"/>
                <w:szCs w:val="22"/>
                <w:lang w:val="de-DE"/>
              </w:rPr>
            </w:pPr>
            <w:r w:rsidRPr="00EA7D8F">
              <w:rPr>
                <w:sz w:val="22"/>
                <w:szCs w:val="22"/>
                <w:lang w:val="de-DE"/>
              </w:rPr>
              <w:t>2</w:t>
            </w:r>
          </w:p>
        </w:tc>
        <w:tc>
          <w:tcPr>
            <w:tcW w:w="1134" w:type="dxa"/>
            <w:vAlign w:val="center"/>
          </w:tcPr>
          <w:p w:rsidR="00DF50D7" w:rsidRPr="00EA7D8F" w:rsidRDefault="00DF50D7" w:rsidP="00293D0C">
            <w:pPr>
              <w:rPr>
                <w:sz w:val="22"/>
                <w:szCs w:val="22"/>
                <w:lang w:val="de-DE"/>
              </w:rPr>
            </w:pPr>
            <w:r w:rsidRPr="00EA7D8F">
              <w:rPr>
                <w:sz w:val="22"/>
                <w:szCs w:val="22"/>
                <w:lang w:val="de-DE"/>
              </w:rPr>
              <w:t>2</w:t>
            </w:r>
          </w:p>
        </w:tc>
        <w:tc>
          <w:tcPr>
            <w:tcW w:w="992" w:type="dxa"/>
            <w:vAlign w:val="center"/>
          </w:tcPr>
          <w:p w:rsidR="00DF50D7" w:rsidRPr="00EA7D8F" w:rsidRDefault="00DF50D7" w:rsidP="00293D0C">
            <w:pPr>
              <w:rPr>
                <w:sz w:val="22"/>
                <w:szCs w:val="22"/>
                <w:lang w:val="de-DE"/>
              </w:rPr>
            </w:pPr>
            <w:r w:rsidRPr="00EA7D8F">
              <w:rPr>
                <w:sz w:val="22"/>
                <w:szCs w:val="22"/>
                <w:lang w:val="de-DE"/>
              </w:rPr>
              <w:t>2</w:t>
            </w:r>
          </w:p>
        </w:tc>
      </w:tr>
      <w:tr w:rsidR="00DF50D7" w:rsidRPr="00EA7D8F" w:rsidTr="00293D0C">
        <w:trPr>
          <w:trHeight w:val="350"/>
        </w:trPr>
        <w:tc>
          <w:tcPr>
            <w:tcW w:w="0" w:type="auto"/>
            <w:vAlign w:val="center"/>
          </w:tcPr>
          <w:p w:rsidR="00DF50D7" w:rsidRPr="00EA7D8F" w:rsidRDefault="00DF50D7" w:rsidP="00293D0C">
            <w:pPr>
              <w:rPr>
                <w:sz w:val="22"/>
                <w:szCs w:val="22"/>
                <w:lang w:val="en-GB"/>
              </w:rPr>
            </w:pPr>
            <w:r w:rsidRPr="00EA7D8F">
              <w:rPr>
                <w:sz w:val="22"/>
                <w:szCs w:val="22"/>
                <w:lang w:val="de-DE"/>
              </w:rPr>
              <w:t>70 – 79</w:t>
            </w:r>
          </w:p>
        </w:tc>
        <w:tc>
          <w:tcPr>
            <w:tcW w:w="0" w:type="auto"/>
            <w:vAlign w:val="center"/>
          </w:tcPr>
          <w:p w:rsidR="00DF50D7" w:rsidRPr="00EA7D8F" w:rsidRDefault="00DF50D7" w:rsidP="00293D0C">
            <w:pPr>
              <w:rPr>
                <w:sz w:val="22"/>
                <w:szCs w:val="22"/>
                <w:lang w:val="de-DE"/>
              </w:rPr>
            </w:pPr>
            <w:r w:rsidRPr="00EA7D8F">
              <w:rPr>
                <w:sz w:val="22"/>
                <w:szCs w:val="22"/>
                <w:lang w:val="de-DE"/>
              </w:rPr>
              <w:t>22-25</w:t>
            </w:r>
          </w:p>
        </w:tc>
        <w:tc>
          <w:tcPr>
            <w:tcW w:w="907" w:type="dxa"/>
            <w:vAlign w:val="center"/>
          </w:tcPr>
          <w:p w:rsidR="00DF50D7" w:rsidRPr="00EA7D8F" w:rsidRDefault="00DF50D7" w:rsidP="00293D0C">
            <w:pPr>
              <w:rPr>
                <w:sz w:val="22"/>
                <w:szCs w:val="22"/>
                <w:lang w:val="de-DE"/>
              </w:rPr>
            </w:pPr>
            <w:r w:rsidRPr="00EA7D8F">
              <w:rPr>
                <w:sz w:val="22"/>
                <w:szCs w:val="22"/>
                <w:lang w:val="de-DE"/>
              </w:rPr>
              <w:t>2</w:t>
            </w:r>
          </w:p>
        </w:tc>
        <w:tc>
          <w:tcPr>
            <w:tcW w:w="1134" w:type="dxa"/>
            <w:vAlign w:val="center"/>
          </w:tcPr>
          <w:p w:rsidR="00DF50D7" w:rsidRPr="00EA7D8F" w:rsidRDefault="00DF50D7" w:rsidP="00293D0C">
            <w:pPr>
              <w:rPr>
                <w:sz w:val="22"/>
                <w:szCs w:val="22"/>
                <w:lang w:val="de-DE"/>
              </w:rPr>
            </w:pPr>
            <w:r w:rsidRPr="00EA7D8F">
              <w:rPr>
                <w:sz w:val="22"/>
                <w:szCs w:val="22"/>
                <w:lang w:val="de-DE"/>
              </w:rPr>
              <w:t>2</w:t>
            </w:r>
          </w:p>
        </w:tc>
        <w:tc>
          <w:tcPr>
            <w:tcW w:w="992" w:type="dxa"/>
            <w:vAlign w:val="center"/>
          </w:tcPr>
          <w:p w:rsidR="00DF50D7" w:rsidRPr="00EA7D8F" w:rsidRDefault="00DF50D7" w:rsidP="00293D0C">
            <w:pPr>
              <w:rPr>
                <w:sz w:val="22"/>
                <w:szCs w:val="22"/>
                <w:lang w:val="de-DE"/>
              </w:rPr>
            </w:pPr>
            <w:r w:rsidRPr="00EA7D8F">
              <w:rPr>
                <w:sz w:val="22"/>
                <w:szCs w:val="22"/>
                <w:lang w:val="de-DE"/>
              </w:rPr>
              <w:t>3</w:t>
            </w:r>
          </w:p>
        </w:tc>
      </w:tr>
      <w:tr w:rsidR="00DF50D7" w:rsidRPr="00EA7D8F" w:rsidTr="00293D0C">
        <w:trPr>
          <w:trHeight w:val="350"/>
        </w:trPr>
        <w:tc>
          <w:tcPr>
            <w:tcW w:w="0" w:type="auto"/>
            <w:vAlign w:val="center"/>
          </w:tcPr>
          <w:p w:rsidR="00DF50D7" w:rsidRPr="00EA7D8F" w:rsidRDefault="00DF50D7" w:rsidP="00293D0C">
            <w:pPr>
              <w:rPr>
                <w:sz w:val="22"/>
                <w:szCs w:val="22"/>
                <w:lang w:val="en-GB"/>
              </w:rPr>
            </w:pPr>
            <w:r w:rsidRPr="00EA7D8F">
              <w:rPr>
                <w:sz w:val="22"/>
                <w:szCs w:val="22"/>
                <w:lang w:val="de-DE"/>
              </w:rPr>
              <w:t>80 – 89</w:t>
            </w:r>
          </w:p>
        </w:tc>
        <w:tc>
          <w:tcPr>
            <w:tcW w:w="0" w:type="auto"/>
            <w:vAlign w:val="center"/>
          </w:tcPr>
          <w:p w:rsidR="00DF50D7" w:rsidRPr="00EA7D8F" w:rsidRDefault="00DF50D7" w:rsidP="00293D0C">
            <w:pPr>
              <w:rPr>
                <w:sz w:val="22"/>
                <w:szCs w:val="22"/>
                <w:lang w:val="de-DE"/>
              </w:rPr>
            </w:pPr>
            <w:r w:rsidRPr="00EA7D8F">
              <w:rPr>
                <w:sz w:val="22"/>
                <w:szCs w:val="22"/>
                <w:lang w:val="de-DE"/>
              </w:rPr>
              <w:t>22-25</w:t>
            </w:r>
          </w:p>
        </w:tc>
        <w:tc>
          <w:tcPr>
            <w:tcW w:w="907" w:type="dxa"/>
            <w:vAlign w:val="center"/>
          </w:tcPr>
          <w:p w:rsidR="00DF50D7" w:rsidRPr="00EA7D8F" w:rsidRDefault="00DF50D7" w:rsidP="00293D0C">
            <w:pPr>
              <w:rPr>
                <w:sz w:val="22"/>
                <w:szCs w:val="22"/>
                <w:lang w:val="de-DE"/>
              </w:rPr>
            </w:pPr>
            <w:r w:rsidRPr="00EA7D8F">
              <w:rPr>
                <w:sz w:val="22"/>
                <w:szCs w:val="22"/>
                <w:lang w:val="de-DE"/>
              </w:rPr>
              <w:t>2</w:t>
            </w:r>
          </w:p>
        </w:tc>
        <w:tc>
          <w:tcPr>
            <w:tcW w:w="1134" w:type="dxa"/>
            <w:vAlign w:val="center"/>
          </w:tcPr>
          <w:p w:rsidR="00DF50D7" w:rsidRPr="00EA7D8F" w:rsidRDefault="00DF50D7" w:rsidP="00293D0C">
            <w:pPr>
              <w:rPr>
                <w:sz w:val="22"/>
                <w:szCs w:val="22"/>
                <w:lang w:val="de-DE"/>
              </w:rPr>
            </w:pPr>
            <w:r w:rsidRPr="00EA7D8F">
              <w:rPr>
                <w:sz w:val="22"/>
                <w:szCs w:val="22"/>
                <w:lang w:val="de-DE"/>
              </w:rPr>
              <w:t>3</w:t>
            </w:r>
          </w:p>
        </w:tc>
        <w:tc>
          <w:tcPr>
            <w:tcW w:w="992" w:type="dxa"/>
            <w:vAlign w:val="center"/>
          </w:tcPr>
          <w:p w:rsidR="00DF50D7" w:rsidRPr="00EA7D8F" w:rsidRDefault="00DF50D7" w:rsidP="00293D0C">
            <w:pPr>
              <w:rPr>
                <w:sz w:val="22"/>
                <w:szCs w:val="22"/>
                <w:lang w:val="de-DE"/>
              </w:rPr>
            </w:pPr>
            <w:r w:rsidRPr="00EA7D8F">
              <w:rPr>
                <w:sz w:val="22"/>
                <w:szCs w:val="22"/>
                <w:lang w:val="de-DE"/>
              </w:rPr>
              <w:t>3</w:t>
            </w:r>
          </w:p>
        </w:tc>
      </w:tr>
      <w:tr w:rsidR="00DF50D7" w:rsidRPr="00EA7D8F" w:rsidTr="00293D0C">
        <w:trPr>
          <w:trHeight w:val="350"/>
        </w:trPr>
        <w:tc>
          <w:tcPr>
            <w:tcW w:w="0" w:type="auto"/>
            <w:vAlign w:val="center"/>
          </w:tcPr>
          <w:p w:rsidR="00DF50D7" w:rsidRPr="00EA7D8F" w:rsidRDefault="00DF50D7" w:rsidP="00293D0C">
            <w:pPr>
              <w:rPr>
                <w:sz w:val="22"/>
                <w:szCs w:val="22"/>
                <w:lang w:val="en-GB"/>
              </w:rPr>
            </w:pPr>
            <w:r w:rsidRPr="00EA7D8F">
              <w:rPr>
                <w:sz w:val="22"/>
                <w:szCs w:val="22"/>
                <w:lang w:val="de-DE"/>
              </w:rPr>
              <w:t>90 – 99</w:t>
            </w:r>
          </w:p>
        </w:tc>
        <w:tc>
          <w:tcPr>
            <w:tcW w:w="0" w:type="auto"/>
            <w:vAlign w:val="center"/>
          </w:tcPr>
          <w:p w:rsidR="00DF50D7" w:rsidRPr="00EA7D8F" w:rsidRDefault="00DF50D7" w:rsidP="00293D0C">
            <w:pPr>
              <w:rPr>
                <w:sz w:val="22"/>
                <w:szCs w:val="22"/>
                <w:lang w:val="de-DE"/>
              </w:rPr>
            </w:pPr>
            <w:r w:rsidRPr="00EA7D8F">
              <w:rPr>
                <w:sz w:val="22"/>
                <w:szCs w:val="22"/>
                <w:lang w:val="de-DE"/>
              </w:rPr>
              <w:t>23-25</w:t>
            </w:r>
          </w:p>
        </w:tc>
        <w:tc>
          <w:tcPr>
            <w:tcW w:w="907" w:type="dxa"/>
            <w:vAlign w:val="center"/>
          </w:tcPr>
          <w:p w:rsidR="00DF50D7" w:rsidRPr="00EA7D8F" w:rsidRDefault="00DF50D7" w:rsidP="00293D0C">
            <w:pPr>
              <w:rPr>
                <w:sz w:val="22"/>
                <w:szCs w:val="22"/>
                <w:lang w:val="de-DE"/>
              </w:rPr>
            </w:pPr>
            <w:r w:rsidRPr="00EA7D8F">
              <w:rPr>
                <w:sz w:val="22"/>
                <w:szCs w:val="22"/>
                <w:lang w:val="de-DE"/>
              </w:rPr>
              <w:t>3</w:t>
            </w:r>
          </w:p>
        </w:tc>
        <w:tc>
          <w:tcPr>
            <w:tcW w:w="1134" w:type="dxa"/>
            <w:vAlign w:val="center"/>
          </w:tcPr>
          <w:p w:rsidR="00DF50D7" w:rsidRPr="00EA7D8F" w:rsidRDefault="00DF50D7" w:rsidP="00293D0C">
            <w:pPr>
              <w:rPr>
                <w:sz w:val="22"/>
                <w:szCs w:val="22"/>
                <w:lang w:val="de-DE"/>
              </w:rPr>
            </w:pPr>
            <w:r w:rsidRPr="00EA7D8F">
              <w:rPr>
                <w:sz w:val="22"/>
                <w:szCs w:val="22"/>
                <w:lang w:val="de-DE"/>
              </w:rPr>
              <w:t>3</w:t>
            </w:r>
          </w:p>
        </w:tc>
        <w:tc>
          <w:tcPr>
            <w:tcW w:w="992" w:type="dxa"/>
            <w:vAlign w:val="center"/>
          </w:tcPr>
          <w:p w:rsidR="00DF50D7" w:rsidRPr="00EA7D8F" w:rsidRDefault="00DF50D7" w:rsidP="00293D0C">
            <w:pPr>
              <w:rPr>
                <w:sz w:val="22"/>
                <w:szCs w:val="22"/>
                <w:lang w:val="de-DE"/>
              </w:rPr>
            </w:pPr>
            <w:r w:rsidRPr="00EA7D8F">
              <w:rPr>
                <w:sz w:val="22"/>
                <w:szCs w:val="22"/>
                <w:lang w:val="de-DE"/>
              </w:rPr>
              <w:t>3</w:t>
            </w:r>
          </w:p>
        </w:tc>
      </w:tr>
      <w:tr w:rsidR="00DF50D7" w:rsidRPr="00EA7D8F" w:rsidTr="00293D0C">
        <w:trPr>
          <w:trHeight w:val="350"/>
        </w:trPr>
        <w:tc>
          <w:tcPr>
            <w:tcW w:w="0" w:type="auto"/>
            <w:vAlign w:val="center"/>
          </w:tcPr>
          <w:p w:rsidR="00DF50D7" w:rsidRPr="00EA7D8F" w:rsidRDefault="00DF50D7" w:rsidP="00293D0C">
            <w:pPr>
              <w:rPr>
                <w:sz w:val="22"/>
                <w:szCs w:val="22"/>
                <w:lang w:val="en-GB"/>
              </w:rPr>
            </w:pPr>
            <w:r w:rsidRPr="00EA7D8F">
              <w:rPr>
                <w:sz w:val="22"/>
                <w:szCs w:val="22"/>
                <w:lang w:val="de-DE"/>
              </w:rPr>
              <w:t>100 – 109</w:t>
            </w:r>
          </w:p>
        </w:tc>
        <w:tc>
          <w:tcPr>
            <w:tcW w:w="0" w:type="auto"/>
            <w:vAlign w:val="center"/>
          </w:tcPr>
          <w:p w:rsidR="00DF50D7" w:rsidRPr="00EA7D8F" w:rsidRDefault="00DF50D7" w:rsidP="00293D0C">
            <w:pPr>
              <w:rPr>
                <w:sz w:val="22"/>
                <w:szCs w:val="22"/>
                <w:lang w:val="de-DE"/>
              </w:rPr>
            </w:pPr>
            <w:r w:rsidRPr="00EA7D8F">
              <w:rPr>
                <w:sz w:val="22"/>
                <w:szCs w:val="22"/>
                <w:lang w:val="de-DE"/>
              </w:rPr>
              <w:t>23-25</w:t>
            </w:r>
          </w:p>
        </w:tc>
        <w:tc>
          <w:tcPr>
            <w:tcW w:w="907" w:type="dxa"/>
            <w:vAlign w:val="center"/>
          </w:tcPr>
          <w:p w:rsidR="00DF50D7" w:rsidRPr="00EA7D8F" w:rsidRDefault="00DF50D7" w:rsidP="00293D0C">
            <w:pPr>
              <w:rPr>
                <w:sz w:val="22"/>
                <w:szCs w:val="22"/>
                <w:lang w:val="de-DE"/>
              </w:rPr>
            </w:pPr>
            <w:r w:rsidRPr="00EA7D8F">
              <w:rPr>
                <w:sz w:val="22"/>
                <w:szCs w:val="22"/>
                <w:lang w:val="de-DE"/>
              </w:rPr>
              <w:t>3</w:t>
            </w:r>
          </w:p>
        </w:tc>
        <w:tc>
          <w:tcPr>
            <w:tcW w:w="1134" w:type="dxa"/>
            <w:vAlign w:val="center"/>
          </w:tcPr>
          <w:p w:rsidR="00DF50D7" w:rsidRPr="00EA7D8F" w:rsidRDefault="00DF50D7" w:rsidP="00293D0C">
            <w:pPr>
              <w:rPr>
                <w:sz w:val="22"/>
                <w:szCs w:val="22"/>
                <w:lang w:val="de-DE"/>
              </w:rPr>
            </w:pPr>
            <w:r w:rsidRPr="00EA7D8F">
              <w:rPr>
                <w:sz w:val="22"/>
                <w:szCs w:val="22"/>
                <w:lang w:val="de-DE"/>
              </w:rPr>
              <w:t>3</w:t>
            </w:r>
          </w:p>
        </w:tc>
        <w:tc>
          <w:tcPr>
            <w:tcW w:w="992" w:type="dxa"/>
            <w:vAlign w:val="center"/>
          </w:tcPr>
          <w:p w:rsidR="00DF50D7" w:rsidRPr="00EA7D8F" w:rsidRDefault="00DF50D7" w:rsidP="00293D0C">
            <w:pPr>
              <w:rPr>
                <w:sz w:val="22"/>
                <w:szCs w:val="22"/>
                <w:lang w:val="de-DE"/>
              </w:rPr>
            </w:pPr>
            <w:r w:rsidRPr="00EA7D8F">
              <w:rPr>
                <w:sz w:val="22"/>
                <w:szCs w:val="22"/>
                <w:lang w:val="de-DE"/>
              </w:rPr>
              <w:t>4</w:t>
            </w:r>
          </w:p>
        </w:tc>
      </w:tr>
      <w:tr w:rsidR="00DF50D7" w:rsidRPr="00EA7D8F" w:rsidTr="00293D0C">
        <w:trPr>
          <w:trHeight w:val="350"/>
        </w:trPr>
        <w:tc>
          <w:tcPr>
            <w:tcW w:w="0" w:type="auto"/>
            <w:vAlign w:val="center"/>
          </w:tcPr>
          <w:p w:rsidR="00DF50D7" w:rsidRPr="00EA7D8F" w:rsidRDefault="00DF50D7" w:rsidP="00293D0C">
            <w:pPr>
              <w:rPr>
                <w:sz w:val="22"/>
                <w:szCs w:val="22"/>
                <w:lang w:val="de-DE"/>
              </w:rPr>
            </w:pPr>
            <w:r w:rsidRPr="00EA7D8F">
              <w:rPr>
                <w:sz w:val="22"/>
                <w:szCs w:val="22"/>
                <w:lang w:val="de-DE"/>
              </w:rPr>
              <w:t>&gt;110</w:t>
            </w:r>
          </w:p>
        </w:tc>
        <w:tc>
          <w:tcPr>
            <w:tcW w:w="0" w:type="auto"/>
            <w:vAlign w:val="center"/>
          </w:tcPr>
          <w:p w:rsidR="00DF50D7" w:rsidRPr="00EA7D8F" w:rsidRDefault="00DF50D7" w:rsidP="00293D0C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907" w:type="dxa"/>
            <w:vAlign w:val="center"/>
          </w:tcPr>
          <w:p w:rsidR="00DF50D7" w:rsidRPr="00EA7D8F" w:rsidRDefault="00DF50D7" w:rsidP="00293D0C">
            <w:pPr>
              <w:rPr>
                <w:sz w:val="22"/>
                <w:szCs w:val="22"/>
                <w:lang w:val="de-DE"/>
              </w:rPr>
            </w:pPr>
            <w:r w:rsidRPr="00EA7D8F">
              <w:rPr>
                <w:sz w:val="22"/>
                <w:szCs w:val="22"/>
                <w:lang w:val="de-DE"/>
              </w:rPr>
              <w:t>3</w:t>
            </w:r>
          </w:p>
        </w:tc>
        <w:tc>
          <w:tcPr>
            <w:tcW w:w="1134" w:type="dxa"/>
            <w:vAlign w:val="center"/>
          </w:tcPr>
          <w:p w:rsidR="00DF50D7" w:rsidRPr="00EA7D8F" w:rsidRDefault="00DF50D7" w:rsidP="00293D0C">
            <w:pPr>
              <w:rPr>
                <w:sz w:val="22"/>
                <w:szCs w:val="22"/>
                <w:lang w:val="de-DE"/>
              </w:rPr>
            </w:pPr>
            <w:r w:rsidRPr="00EA7D8F">
              <w:rPr>
                <w:sz w:val="22"/>
                <w:szCs w:val="22"/>
                <w:lang w:val="de-DE"/>
              </w:rPr>
              <w:t>4</w:t>
            </w:r>
          </w:p>
        </w:tc>
        <w:tc>
          <w:tcPr>
            <w:tcW w:w="992" w:type="dxa"/>
            <w:vAlign w:val="center"/>
          </w:tcPr>
          <w:p w:rsidR="00DF50D7" w:rsidRPr="00EA7D8F" w:rsidRDefault="00DF50D7" w:rsidP="00293D0C">
            <w:pPr>
              <w:rPr>
                <w:sz w:val="22"/>
                <w:szCs w:val="22"/>
                <w:lang w:val="de-DE"/>
              </w:rPr>
            </w:pPr>
            <w:r w:rsidRPr="00EA7D8F">
              <w:rPr>
                <w:sz w:val="22"/>
                <w:szCs w:val="22"/>
                <w:lang w:val="de-DE"/>
              </w:rPr>
              <w:t>4</w:t>
            </w:r>
          </w:p>
        </w:tc>
      </w:tr>
    </w:tbl>
    <w:p w:rsidR="00DF50D7" w:rsidRPr="00873F27" w:rsidRDefault="00DF50D7" w:rsidP="00DF50D7">
      <w:pPr>
        <w:rPr>
          <w:sz w:val="22"/>
          <w:szCs w:val="22"/>
        </w:rPr>
      </w:pPr>
    </w:p>
    <w:p w:rsidR="00DF50D7" w:rsidRPr="00705D42" w:rsidRDefault="00DF50D7" w:rsidP="00DF50D7">
      <w:pPr>
        <w:pStyle w:val="BTEMEASMCA"/>
      </w:pPr>
      <w:r w:rsidRPr="00705D42">
        <w:t>Kapsules reikia nuryti nekramtytas, užsigeriant pakankamu skysčio kiekiu.</w:t>
      </w:r>
    </w:p>
    <w:p w:rsidR="00DF50D7" w:rsidRPr="00705D42" w:rsidRDefault="00DF50D7" w:rsidP="00DF50D7">
      <w:pPr>
        <w:pStyle w:val="BTEMEASMCA"/>
      </w:pPr>
    </w:p>
    <w:p w:rsidR="00DF50D7" w:rsidRPr="00873F27" w:rsidRDefault="00DF50D7" w:rsidP="00DF50D7">
      <w:pPr>
        <w:pStyle w:val="PI-3EMEASMCA"/>
      </w:pPr>
      <w:r w:rsidRPr="00873F27">
        <w:t xml:space="preserve">Ką daryti </w:t>
      </w:r>
      <w:r w:rsidRPr="00873F27">
        <w:rPr>
          <w:noProof/>
        </w:rPr>
        <w:t>p</w:t>
      </w:r>
      <w:r w:rsidRPr="00873F27">
        <w:t xml:space="preserve">avartojus per didelę </w:t>
      </w:r>
      <w:proofErr w:type="spellStart"/>
      <w:r w:rsidRPr="00873F27">
        <w:t>Ursosan</w:t>
      </w:r>
      <w:proofErr w:type="spellEnd"/>
      <w:r w:rsidRPr="00873F27">
        <w:t xml:space="preserve"> dozę</w:t>
      </w:r>
    </w:p>
    <w:p w:rsidR="00DF50D7" w:rsidRPr="00873F27" w:rsidRDefault="00DF50D7" w:rsidP="00DF50D7">
      <w:pPr>
        <w:rPr>
          <w:sz w:val="22"/>
          <w:szCs w:val="22"/>
        </w:rPr>
      </w:pPr>
      <w:r w:rsidRPr="00C963FD">
        <w:rPr>
          <w:sz w:val="22"/>
          <w:szCs w:val="22"/>
        </w:rPr>
        <w:t>Perdozavus galimas viduriavimas. Jei nuolat viduriuojate, tuoj pat praneškite apie tai gydytojui, kadangi gali reikėti mažinti vaisto dozę. Jeigu viduriuojate, gerkite pakankamai skysčių, kad nesutriktų skysčių ir elektrolitų pusiausvyra</w:t>
      </w:r>
      <w:r w:rsidRPr="00873F27">
        <w:rPr>
          <w:sz w:val="22"/>
          <w:szCs w:val="22"/>
        </w:rPr>
        <w:t xml:space="preserve">. </w:t>
      </w:r>
    </w:p>
    <w:p w:rsidR="00DF50D7" w:rsidRPr="00873F27" w:rsidRDefault="00DF50D7" w:rsidP="00DF50D7">
      <w:pPr>
        <w:pStyle w:val="BTEMEASMCA"/>
      </w:pPr>
    </w:p>
    <w:p w:rsidR="00DF50D7" w:rsidRPr="00873F27" w:rsidRDefault="00DF50D7" w:rsidP="00DF50D7">
      <w:pPr>
        <w:pStyle w:val="PI-3EMEASMCA"/>
      </w:pPr>
      <w:r w:rsidRPr="00873F27">
        <w:t xml:space="preserve">Pamiršus pavartoti </w:t>
      </w:r>
      <w:proofErr w:type="spellStart"/>
      <w:r w:rsidRPr="00873F27">
        <w:t>Ursosan</w:t>
      </w:r>
      <w:proofErr w:type="spellEnd"/>
    </w:p>
    <w:p w:rsidR="00DF50D7" w:rsidRPr="00D676F9" w:rsidRDefault="00DF50D7" w:rsidP="00DF50D7">
      <w:pPr>
        <w:pStyle w:val="BTEMEASMCA"/>
      </w:pPr>
      <w:r w:rsidRPr="00D676F9">
        <w:t>Negalima vartoti dvigubos dozės norint kompensuoti praleistą dozę.</w:t>
      </w:r>
    </w:p>
    <w:p w:rsidR="00DF50D7" w:rsidRPr="00873F27" w:rsidRDefault="00DF50D7" w:rsidP="00DF50D7">
      <w:pPr>
        <w:pStyle w:val="BTEMEASMCA"/>
      </w:pPr>
    </w:p>
    <w:p w:rsidR="00DF50D7" w:rsidRPr="00705D42" w:rsidRDefault="00DF50D7" w:rsidP="00DF50D7">
      <w:pPr>
        <w:pStyle w:val="BTEMEASMCA"/>
      </w:pPr>
      <w:r w:rsidRPr="00705D42">
        <w:t>Nustojus vartoti Ursosan</w:t>
      </w:r>
    </w:p>
    <w:p w:rsidR="00DF50D7" w:rsidRPr="00C40458" w:rsidRDefault="00DF50D7" w:rsidP="00DF50D7">
      <w:pPr>
        <w:rPr>
          <w:rFonts w:eastAsia="Calibri"/>
          <w:noProof/>
          <w:sz w:val="22"/>
          <w:szCs w:val="22"/>
          <w:lang w:val="cs-CZ"/>
        </w:rPr>
      </w:pPr>
      <w:r w:rsidRPr="00C40458">
        <w:rPr>
          <w:rFonts w:eastAsia="Calibri"/>
          <w:noProof/>
          <w:sz w:val="22"/>
          <w:szCs w:val="22"/>
          <w:lang w:val="cs-CZ"/>
        </w:rPr>
        <w:t>Visada pasitarkite su savo gydytoju, jei norite nutraukti ar anksčiau baigti gydymą Ursosan kapsulėmis. Jeigu kiltų daugiau klausimų dėl šio vaisto vartojimo, kreipkitės į gydytoją arba vaistininką.</w:t>
      </w:r>
    </w:p>
    <w:p w:rsidR="00DF50D7" w:rsidRPr="00873F27" w:rsidRDefault="00DF50D7" w:rsidP="00DF50D7">
      <w:pPr>
        <w:pStyle w:val="BTEMEASMCA"/>
      </w:pPr>
    </w:p>
    <w:p w:rsidR="00DF50D7" w:rsidRPr="00873F27" w:rsidRDefault="00DF50D7" w:rsidP="00DF50D7">
      <w:pPr>
        <w:pStyle w:val="BTEMEASMCA"/>
      </w:pPr>
    </w:p>
    <w:p w:rsidR="00DF50D7" w:rsidRPr="00873F27" w:rsidRDefault="00DF50D7" w:rsidP="00DF50D7">
      <w:pPr>
        <w:pStyle w:val="PI-1EMEASMCA"/>
      </w:pPr>
      <w:bookmarkStart w:id="8" w:name="_Toc129243267"/>
      <w:bookmarkStart w:id="9" w:name="_Toc129243142"/>
      <w:r w:rsidRPr="00873F27">
        <w:t>4.</w:t>
      </w:r>
      <w:r w:rsidRPr="00873F27">
        <w:tab/>
        <w:t>Galimas šalutinis poveikis</w:t>
      </w:r>
      <w:bookmarkEnd w:id="8"/>
      <w:bookmarkEnd w:id="9"/>
    </w:p>
    <w:p w:rsidR="00DF50D7" w:rsidRPr="00873F27" w:rsidRDefault="00DF50D7" w:rsidP="00DF50D7">
      <w:pPr>
        <w:pStyle w:val="BTEMEASMCA"/>
      </w:pPr>
    </w:p>
    <w:p w:rsidR="00DF50D7" w:rsidRPr="00873F27" w:rsidRDefault="00DF50D7" w:rsidP="00DF50D7">
      <w:pPr>
        <w:pStyle w:val="Pagrindinistekstas"/>
        <w:spacing w:after="0"/>
        <w:rPr>
          <w:szCs w:val="22"/>
        </w:rPr>
      </w:pPr>
      <w:r w:rsidRPr="00873F27">
        <w:rPr>
          <w:noProof/>
        </w:rPr>
        <w:t>Šis vaistas</w:t>
      </w:r>
      <w:r w:rsidRPr="00873F27">
        <w:rPr>
          <w:szCs w:val="22"/>
        </w:rPr>
        <w:t xml:space="preserve">, kaip ir </w:t>
      </w:r>
      <w:r w:rsidRPr="00873F27">
        <w:rPr>
          <w:noProof/>
        </w:rPr>
        <w:t xml:space="preserve">visi </w:t>
      </w:r>
      <w:r w:rsidRPr="00873F27">
        <w:rPr>
          <w:szCs w:val="22"/>
        </w:rPr>
        <w:t xml:space="preserve">kiti, gali sukelti šalutinį poveikį, nors jis </w:t>
      </w:r>
      <w:r w:rsidRPr="00873F27">
        <w:rPr>
          <w:noProof/>
        </w:rPr>
        <w:t>pasireiškia</w:t>
      </w:r>
      <w:r w:rsidRPr="00873F27">
        <w:rPr>
          <w:szCs w:val="22"/>
        </w:rPr>
        <w:t xml:space="preserve"> ne visiems žmonėms.</w:t>
      </w:r>
    </w:p>
    <w:p w:rsidR="00DF50D7" w:rsidRPr="00873F27" w:rsidRDefault="00DF50D7" w:rsidP="00DF50D7">
      <w:pPr>
        <w:autoSpaceDE w:val="0"/>
        <w:autoSpaceDN w:val="0"/>
        <w:rPr>
          <w:bCs/>
          <w:i/>
          <w:iCs/>
          <w:sz w:val="22"/>
          <w:szCs w:val="22"/>
        </w:rPr>
      </w:pPr>
    </w:p>
    <w:p w:rsidR="00DF50D7" w:rsidRPr="00873F27" w:rsidRDefault="00DF50D7" w:rsidP="00DF50D7">
      <w:pPr>
        <w:autoSpaceDE w:val="0"/>
        <w:autoSpaceDN w:val="0"/>
        <w:rPr>
          <w:noProof/>
          <w:sz w:val="22"/>
          <w:szCs w:val="22"/>
          <w:u w:val="single"/>
        </w:rPr>
      </w:pPr>
      <w:r>
        <w:rPr>
          <w:b/>
          <w:bCs/>
          <w:sz w:val="22"/>
          <w:szCs w:val="22"/>
          <w:lang w:eastAsia="lt-LT"/>
        </w:rPr>
        <w:t>Dažni šalutinio poveikio reiškiniai (gali pasireikšti rečiau kaip 1 iš 10 asmenų):</w:t>
      </w:r>
    </w:p>
    <w:p w:rsidR="00DF50D7" w:rsidRPr="00873F27" w:rsidRDefault="00DF50D7" w:rsidP="00DF50D7">
      <w:pPr>
        <w:numPr>
          <w:ilvl w:val="0"/>
          <w:numId w:val="5"/>
        </w:numPr>
        <w:ind w:left="567" w:hanging="567"/>
        <w:rPr>
          <w:noProof/>
          <w:sz w:val="22"/>
          <w:szCs w:val="22"/>
        </w:rPr>
      </w:pPr>
      <w:r w:rsidRPr="00873F27">
        <w:rPr>
          <w:noProof/>
          <w:sz w:val="22"/>
          <w:szCs w:val="22"/>
        </w:rPr>
        <w:t>Išmatų suskystėjmas ar viduriavimas.</w:t>
      </w:r>
    </w:p>
    <w:p w:rsidR="00DF50D7" w:rsidRPr="00873F27" w:rsidRDefault="00DF50D7" w:rsidP="00DF50D7">
      <w:pPr>
        <w:rPr>
          <w:noProof/>
          <w:sz w:val="22"/>
          <w:szCs w:val="22"/>
        </w:rPr>
      </w:pPr>
    </w:p>
    <w:p w:rsidR="00DF50D7" w:rsidRPr="00873F27" w:rsidRDefault="00DF50D7" w:rsidP="00DF50D7">
      <w:pPr>
        <w:autoSpaceDE w:val="0"/>
        <w:autoSpaceDN w:val="0"/>
        <w:rPr>
          <w:noProof/>
          <w:sz w:val="22"/>
          <w:szCs w:val="22"/>
          <w:u w:val="single"/>
        </w:rPr>
      </w:pPr>
      <w:r>
        <w:rPr>
          <w:b/>
          <w:bCs/>
          <w:sz w:val="22"/>
          <w:szCs w:val="22"/>
          <w:lang w:eastAsia="lt-LT"/>
        </w:rPr>
        <w:t>Labai reti šalutinio poveikio reiškiniai (gali pasireikšti rečiau kaip 1 iš 10 000 asmenų):</w:t>
      </w:r>
    </w:p>
    <w:p w:rsidR="00DF50D7" w:rsidRPr="00873F27" w:rsidRDefault="00DF50D7" w:rsidP="00DF50D7">
      <w:pPr>
        <w:pStyle w:val="Sraopastraipa"/>
        <w:numPr>
          <w:ilvl w:val="0"/>
          <w:numId w:val="5"/>
        </w:numPr>
        <w:ind w:left="567" w:hanging="567"/>
        <w:contextualSpacing w:val="0"/>
        <w:rPr>
          <w:noProof/>
          <w:sz w:val="22"/>
          <w:szCs w:val="22"/>
        </w:rPr>
      </w:pPr>
      <w:r w:rsidRPr="00873F27">
        <w:rPr>
          <w:noProof/>
          <w:sz w:val="22"/>
          <w:szCs w:val="22"/>
        </w:rPr>
        <w:t xml:space="preserve">Gydant pirminę bilijinę kepenų cirozę, stipriai skaudėjo viršutinę dešiniąją pilvo dalį, pablogėjo kepenų cirozės eiga (dekompensacija), kuri iš dalies buvo grįžtama, nutraukus gydymą. </w:t>
      </w:r>
    </w:p>
    <w:p w:rsidR="00DF50D7" w:rsidRPr="00873F27" w:rsidRDefault="00DF50D7" w:rsidP="00DF50D7">
      <w:pPr>
        <w:pStyle w:val="Sraopastraipa"/>
        <w:numPr>
          <w:ilvl w:val="0"/>
          <w:numId w:val="5"/>
        </w:numPr>
        <w:ind w:left="567" w:hanging="567"/>
        <w:contextualSpacing w:val="0"/>
        <w:rPr>
          <w:noProof/>
          <w:sz w:val="22"/>
          <w:szCs w:val="22"/>
        </w:rPr>
      </w:pPr>
      <w:r w:rsidRPr="00873F27">
        <w:rPr>
          <w:noProof/>
          <w:sz w:val="22"/>
          <w:szCs w:val="22"/>
        </w:rPr>
        <w:t xml:space="preserve">Tulžies pūslės akmenų sukalkėjimas. </w:t>
      </w:r>
    </w:p>
    <w:p w:rsidR="00DF50D7" w:rsidRPr="00873F27" w:rsidRDefault="00DF50D7" w:rsidP="00DF50D7">
      <w:pPr>
        <w:pStyle w:val="Sraopastraipa"/>
        <w:numPr>
          <w:ilvl w:val="0"/>
          <w:numId w:val="5"/>
        </w:numPr>
        <w:ind w:left="567" w:hanging="567"/>
        <w:contextualSpacing w:val="0"/>
        <w:rPr>
          <w:noProof/>
          <w:sz w:val="22"/>
          <w:szCs w:val="22"/>
        </w:rPr>
      </w:pPr>
      <w:r w:rsidRPr="00873F27">
        <w:rPr>
          <w:noProof/>
          <w:sz w:val="22"/>
          <w:szCs w:val="22"/>
        </w:rPr>
        <w:t>Dilgėlinė (urtikarija).</w:t>
      </w:r>
    </w:p>
    <w:p w:rsidR="00DF50D7" w:rsidRPr="00873F27" w:rsidRDefault="00DF50D7" w:rsidP="00DF50D7">
      <w:pPr>
        <w:pStyle w:val="BTEMEASMCA"/>
      </w:pPr>
    </w:p>
    <w:p w:rsidR="00DF50D7" w:rsidRPr="00873F27" w:rsidRDefault="00DF50D7" w:rsidP="00DF50D7">
      <w:pPr>
        <w:tabs>
          <w:tab w:val="left" w:pos="567"/>
        </w:tabs>
        <w:rPr>
          <w:b/>
          <w:snapToGrid w:val="0"/>
          <w:sz w:val="22"/>
        </w:rPr>
      </w:pPr>
      <w:r w:rsidRPr="00873F27">
        <w:rPr>
          <w:b/>
          <w:noProof/>
          <w:snapToGrid w:val="0"/>
          <w:sz w:val="22"/>
        </w:rPr>
        <w:t>Pranešimas apie šalutinį poveikį</w:t>
      </w:r>
    </w:p>
    <w:p w:rsidR="00DF50D7" w:rsidRPr="00873F27" w:rsidRDefault="00DF50D7" w:rsidP="00DF50D7">
      <w:pPr>
        <w:tabs>
          <w:tab w:val="left" w:pos="567"/>
        </w:tabs>
        <w:spacing w:line="260" w:lineRule="exact"/>
        <w:ind w:right="-449"/>
        <w:rPr>
          <w:noProof/>
          <w:snapToGrid w:val="0"/>
          <w:sz w:val="22"/>
        </w:rPr>
      </w:pPr>
      <w:r w:rsidRPr="00873F27">
        <w:rPr>
          <w:snapToGrid w:val="0"/>
          <w:sz w:val="22"/>
          <w:szCs w:val="20"/>
        </w:rPr>
        <w:t xml:space="preserve">Jeigu pasireiškė šalutinis poveikis, įskaitant šiame lapelyje nenurodytą, pasakykite gydytojui, vaistininkui arba slaugytojui. </w:t>
      </w:r>
      <w:r>
        <w:rPr>
          <w:sz w:val="22"/>
          <w:szCs w:val="22"/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>
        <w:rPr>
          <w:color w:val="0000EE"/>
          <w:sz w:val="22"/>
          <w:szCs w:val="22"/>
          <w:u w:val="single"/>
          <w:lang w:eastAsia="lt-LT"/>
        </w:rPr>
        <w:t>https://vvkt.lrv.lt/lt/</w:t>
      </w:r>
      <w:r>
        <w:rPr>
          <w:sz w:val="22"/>
          <w:szCs w:val="22"/>
          <w:lang w:eastAsia="lt-LT"/>
        </w:rPr>
        <w:t xml:space="preserve"> nurodytais būdais arba paskambinti nemokamu telefonu 8 800 73 568.</w:t>
      </w:r>
      <w:r w:rsidRPr="00873F27">
        <w:rPr>
          <w:snapToGrid w:val="0"/>
          <w:sz w:val="22"/>
          <w:szCs w:val="20"/>
        </w:rPr>
        <w:t xml:space="preserve"> Pranešdami apie šalutinį poveikį galite mums padėti gauti daugiau informacijos apie šio vaisto saugumą.</w:t>
      </w:r>
    </w:p>
    <w:p w:rsidR="00DF50D7" w:rsidRPr="00873F27" w:rsidRDefault="00DF50D7" w:rsidP="00DF50D7">
      <w:pPr>
        <w:pStyle w:val="BTEMEASMCA"/>
      </w:pPr>
    </w:p>
    <w:p w:rsidR="00DF50D7" w:rsidRPr="00873F27" w:rsidRDefault="00DF50D7" w:rsidP="00DF50D7">
      <w:pPr>
        <w:pStyle w:val="BTEMEASMCA"/>
      </w:pPr>
    </w:p>
    <w:p w:rsidR="00DF50D7" w:rsidRPr="00873F27" w:rsidRDefault="00DF50D7" w:rsidP="00DF50D7">
      <w:pPr>
        <w:pStyle w:val="PI-1EMEASMCA"/>
      </w:pPr>
      <w:bookmarkStart w:id="10" w:name="_Toc129243268"/>
      <w:bookmarkStart w:id="11" w:name="_Toc129243143"/>
      <w:r w:rsidRPr="00873F27">
        <w:t>5.</w:t>
      </w:r>
      <w:r w:rsidRPr="00873F27">
        <w:tab/>
      </w:r>
      <w:r w:rsidRPr="00873F27">
        <w:rPr>
          <w:noProof/>
        </w:rPr>
        <w:t>Kaip laikyti Ursosan</w:t>
      </w:r>
      <w:bookmarkEnd w:id="10"/>
      <w:bookmarkEnd w:id="11"/>
    </w:p>
    <w:p w:rsidR="00DF50D7" w:rsidRPr="00873F27" w:rsidRDefault="00DF50D7" w:rsidP="00DF50D7">
      <w:pPr>
        <w:pStyle w:val="BTEMEASMCA"/>
      </w:pPr>
    </w:p>
    <w:p w:rsidR="00DF50D7" w:rsidRPr="00873F27" w:rsidRDefault="00DF50D7" w:rsidP="00DF50D7">
      <w:pPr>
        <w:numPr>
          <w:ilvl w:val="12"/>
          <w:numId w:val="0"/>
        </w:numPr>
        <w:ind w:right="-2"/>
        <w:rPr>
          <w:sz w:val="22"/>
        </w:rPr>
      </w:pPr>
      <w:r w:rsidRPr="00873F27">
        <w:rPr>
          <w:noProof/>
          <w:sz w:val="22"/>
          <w:szCs w:val="22"/>
        </w:rPr>
        <w:t>Šį vaistą laikykite</w:t>
      </w:r>
      <w:r w:rsidRPr="00873F27">
        <w:rPr>
          <w:sz w:val="22"/>
        </w:rPr>
        <w:t xml:space="preserve"> vaikams </w:t>
      </w:r>
      <w:r w:rsidRPr="00873F27">
        <w:rPr>
          <w:noProof/>
          <w:sz w:val="22"/>
          <w:szCs w:val="22"/>
        </w:rPr>
        <w:t xml:space="preserve">nepastebimoje ir </w:t>
      </w:r>
      <w:r w:rsidRPr="00873F27">
        <w:rPr>
          <w:sz w:val="22"/>
        </w:rPr>
        <w:t>nepasiekiamoje vietoje.</w:t>
      </w:r>
    </w:p>
    <w:p w:rsidR="00DF50D7" w:rsidRPr="00873F27" w:rsidRDefault="00DF50D7" w:rsidP="00DF50D7">
      <w:pPr>
        <w:pStyle w:val="BTEMEASMCA"/>
      </w:pPr>
    </w:p>
    <w:p w:rsidR="00DF50D7" w:rsidRPr="00D676F9" w:rsidRDefault="00DF50D7" w:rsidP="00DF50D7">
      <w:pPr>
        <w:pStyle w:val="BTEMEASMCA"/>
      </w:pPr>
      <w:r w:rsidRPr="00D676F9">
        <w:t>Šiam vaistui specialių laikymo sąlygų nereikia.</w:t>
      </w:r>
    </w:p>
    <w:p w:rsidR="00DF50D7" w:rsidRPr="00D676F9" w:rsidRDefault="00DF50D7" w:rsidP="00DF50D7">
      <w:pPr>
        <w:pStyle w:val="BTEMEASMCA"/>
      </w:pPr>
    </w:p>
    <w:p w:rsidR="00DF50D7" w:rsidRPr="00D676F9" w:rsidRDefault="00DF50D7" w:rsidP="00DF50D7">
      <w:pPr>
        <w:pStyle w:val="BTEMEASMCA"/>
      </w:pPr>
      <w:r w:rsidRPr="00D676F9">
        <w:t xml:space="preserve">Ant dėžutės po „EXP“ ir lizdinės plokštelės nurodytam tinkamumo laikui pasibaigus, </w:t>
      </w:r>
      <w:r w:rsidRPr="00D676F9">
        <w:rPr>
          <w:iCs/>
        </w:rPr>
        <w:t>šio vaisto</w:t>
      </w:r>
      <w:r w:rsidRPr="00D676F9">
        <w:t xml:space="preserve"> vartoti negalima. Vaistas tinkamas vartoti iki paskutinės nurodyto mėnesio dienos.</w:t>
      </w:r>
    </w:p>
    <w:p w:rsidR="00DF50D7" w:rsidRPr="00D676F9" w:rsidRDefault="00DF50D7" w:rsidP="00DF50D7">
      <w:pPr>
        <w:pStyle w:val="BTEMEASMCA"/>
      </w:pPr>
    </w:p>
    <w:p w:rsidR="00DF50D7" w:rsidRPr="00D676F9" w:rsidRDefault="00DF50D7" w:rsidP="00DF50D7">
      <w:pPr>
        <w:pStyle w:val="BTEMEASMCA"/>
      </w:pPr>
      <w:r w:rsidRPr="00D676F9">
        <w:t>Vaistų negalima išmesti į kanalizaciją arba su buitinėmis atliekomis. Kaip išmesti nereikalingus vaistus, klauskite vaistininko. Šios priemonės padės apsaugoti aplinką.</w:t>
      </w:r>
    </w:p>
    <w:p w:rsidR="00DF50D7" w:rsidRPr="00873F27" w:rsidRDefault="00DF50D7" w:rsidP="00DF50D7">
      <w:pPr>
        <w:pStyle w:val="BTEMEASMCA"/>
      </w:pPr>
    </w:p>
    <w:p w:rsidR="00DF50D7" w:rsidRPr="00873F27" w:rsidRDefault="00DF50D7" w:rsidP="00DF50D7">
      <w:pPr>
        <w:pStyle w:val="BTEMEASMCA"/>
      </w:pPr>
    </w:p>
    <w:p w:rsidR="00DF50D7" w:rsidRPr="00873F27" w:rsidRDefault="00DF50D7" w:rsidP="00DF50D7">
      <w:pPr>
        <w:pStyle w:val="PI-1EMEASMCA"/>
      </w:pPr>
      <w:bookmarkStart w:id="12" w:name="_Toc129243269"/>
      <w:bookmarkStart w:id="13" w:name="_Toc129243144"/>
      <w:r w:rsidRPr="00873F27">
        <w:t>6.</w:t>
      </w:r>
      <w:r w:rsidRPr="00873F27">
        <w:tab/>
      </w:r>
      <w:r w:rsidRPr="00873F27">
        <w:rPr>
          <w:noProof/>
        </w:rPr>
        <w:t>Pakuotės turinys ir kita informacija</w:t>
      </w:r>
      <w:bookmarkEnd w:id="12"/>
      <w:bookmarkEnd w:id="13"/>
    </w:p>
    <w:p w:rsidR="00DF50D7" w:rsidRPr="00873F27" w:rsidRDefault="00DF50D7" w:rsidP="00DF50D7">
      <w:pPr>
        <w:pStyle w:val="BTEMEASMCA"/>
      </w:pPr>
    </w:p>
    <w:p w:rsidR="00DF50D7" w:rsidRPr="00873F27" w:rsidRDefault="00DF50D7" w:rsidP="00DF50D7">
      <w:pPr>
        <w:pStyle w:val="PI-3EMEASMCA"/>
      </w:pPr>
      <w:proofErr w:type="spellStart"/>
      <w:r w:rsidRPr="00873F27">
        <w:t>Ursosan</w:t>
      </w:r>
      <w:proofErr w:type="spellEnd"/>
      <w:r w:rsidRPr="00873F27">
        <w:t xml:space="preserve"> sudėtis</w:t>
      </w:r>
    </w:p>
    <w:p w:rsidR="00DF50D7" w:rsidRPr="00D676F9" w:rsidRDefault="00DF50D7" w:rsidP="00DF50D7">
      <w:pPr>
        <w:pStyle w:val="BT-EMEASMCA"/>
      </w:pPr>
      <w:r w:rsidRPr="00D676F9">
        <w:t>Veiklioji medžiaga yra ursodeoksicholio rūgštis. Vienoje kapsulėje yra 250 mg ursodeoksicholio rūgšties.</w:t>
      </w:r>
    </w:p>
    <w:p w:rsidR="00DF50D7" w:rsidRPr="00D676F9" w:rsidRDefault="00DF50D7" w:rsidP="00DF50D7">
      <w:pPr>
        <w:pStyle w:val="BT-EMEASMCA"/>
      </w:pPr>
      <w:r w:rsidRPr="00D676F9">
        <w:t>Pagalbinės medžiagos. Kapsulės turinys: kukurūzų krakmolas, pregelifikuotas kukurūzų krakmolas, bevandenis koloidinis silicio dioksidas, magnio stearatas. Kapsulės korpusas: titano dioksidas (E171), želatina.</w:t>
      </w:r>
    </w:p>
    <w:p w:rsidR="00DF50D7" w:rsidRPr="00873F27" w:rsidRDefault="00DF50D7" w:rsidP="00DF50D7">
      <w:pPr>
        <w:pStyle w:val="BTEMEASMCA"/>
      </w:pPr>
    </w:p>
    <w:p w:rsidR="00DF50D7" w:rsidRPr="00873F27" w:rsidRDefault="00DF50D7" w:rsidP="00DF50D7">
      <w:pPr>
        <w:pStyle w:val="PI-3EMEASMCA"/>
      </w:pPr>
      <w:proofErr w:type="spellStart"/>
      <w:r w:rsidRPr="00873F27">
        <w:t>Ursosan</w:t>
      </w:r>
      <w:proofErr w:type="spellEnd"/>
      <w:r w:rsidRPr="00873F27">
        <w:t xml:space="preserve"> išvaizda ir kiekis pakuotėje</w:t>
      </w:r>
    </w:p>
    <w:p w:rsidR="00DF50D7" w:rsidRPr="00873F27" w:rsidRDefault="00DF50D7" w:rsidP="00DF50D7">
      <w:pPr>
        <w:rPr>
          <w:sz w:val="22"/>
          <w:szCs w:val="22"/>
        </w:rPr>
      </w:pPr>
      <w:r w:rsidRPr="00873F27">
        <w:rPr>
          <w:sz w:val="22"/>
          <w:szCs w:val="22"/>
        </w:rPr>
        <w:t>Baltos kapsulės, užpildytos baltomis granulėmis.</w:t>
      </w:r>
    </w:p>
    <w:p w:rsidR="00DF50D7" w:rsidRPr="00D676F9" w:rsidRDefault="00DF50D7" w:rsidP="00DF50D7">
      <w:pPr>
        <w:pStyle w:val="BTEMEASMCA"/>
      </w:pPr>
      <w:r w:rsidRPr="00D676F9">
        <w:t>Dėžutėje yra 10, 20, 30, 40, 50, 60, 80, 90 arba 100 kapsulių.</w:t>
      </w:r>
    </w:p>
    <w:p w:rsidR="00DF50D7" w:rsidRPr="00873F27" w:rsidRDefault="00DF50D7" w:rsidP="00DF50D7">
      <w:pPr>
        <w:pStyle w:val="BTEMEASMCA"/>
      </w:pPr>
    </w:p>
    <w:p w:rsidR="00DF50D7" w:rsidRPr="00873F27" w:rsidRDefault="00DF50D7" w:rsidP="00DF50D7">
      <w:pPr>
        <w:pStyle w:val="PI-3EMEASMCA"/>
      </w:pPr>
      <w:r w:rsidRPr="00873F27">
        <w:t>Registruotojas ir gamintojas</w:t>
      </w:r>
    </w:p>
    <w:p w:rsidR="00DF50D7" w:rsidRPr="00873F27" w:rsidRDefault="00DF50D7" w:rsidP="00DF50D7">
      <w:pPr>
        <w:rPr>
          <w:sz w:val="22"/>
          <w:szCs w:val="22"/>
        </w:rPr>
      </w:pPr>
      <w:r w:rsidRPr="00873F27">
        <w:rPr>
          <w:sz w:val="22"/>
          <w:szCs w:val="22"/>
        </w:rPr>
        <w:t xml:space="preserve">PRO.MED.CS Praha </w:t>
      </w:r>
      <w:proofErr w:type="spellStart"/>
      <w:r w:rsidRPr="00873F27">
        <w:rPr>
          <w:sz w:val="22"/>
          <w:szCs w:val="22"/>
        </w:rPr>
        <w:t>a.s</w:t>
      </w:r>
      <w:proofErr w:type="spellEnd"/>
      <w:r w:rsidRPr="00873F27">
        <w:rPr>
          <w:sz w:val="22"/>
          <w:szCs w:val="22"/>
        </w:rPr>
        <w:t>.</w:t>
      </w:r>
    </w:p>
    <w:p w:rsidR="00DF50D7" w:rsidRPr="00873F27" w:rsidRDefault="00DF50D7" w:rsidP="00DF50D7">
      <w:pPr>
        <w:rPr>
          <w:sz w:val="22"/>
          <w:szCs w:val="22"/>
        </w:rPr>
      </w:pPr>
      <w:proofErr w:type="spellStart"/>
      <w:r w:rsidRPr="00873F27">
        <w:rPr>
          <w:sz w:val="22"/>
          <w:szCs w:val="22"/>
        </w:rPr>
        <w:t>Telčská</w:t>
      </w:r>
      <w:proofErr w:type="spellEnd"/>
      <w:r w:rsidRPr="00873F27">
        <w:rPr>
          <w:sz w:val="22"/>
          <w:szCs w:val="22"/>
        </w:rPr>
        <w:t xml:space="preserve"> 377/1, </w:t>
      </w:r>
      <w:proofErr w:type="spellStart"/>
      <w:r w:rsidRPr="00873F27">
        <w:rPr>
          <w:sz w:val="22"/>
          <w:szCs w:val="22"/>
        </w:rPr>
        <w:t>Michle</w:t>
      </w:r>
      <w:proofErr w:type="spellEnd"/>
      <w:r w:rsidRPr="00873F27">
        <w:rPr>
          <w:sz w:val="22"/>
          <w:szCs w:val="22"/>
        </w:rPr>
        <w:t>, 140 00 Praha 4</w:t>
      </w:r>
    </w:p>
    <w:p w:rsidR="00DF50D7" w:rsidRPr="00873F27" w:rsidRDefault="00DF50D7" w:rsidP="00DF50D7">
      <w:pPr>
        <w:pStyle w:val="BTEMEASMCA"/>
        <w:rPr>
          <w:noProof w:val="0"/>
        </w:rPr>
      </w:pPr>
      <w:r w:rsidRPr="00873F27">
        <w:t>Čekijos Respublika</w:t>
      </w:r>
      <w:r w:rsidRPr="00873F27">
        <w:rPr>
          <w:noProof w:val="0"/>
        </w:rPr>
        <w:t xml:space="preserve"> </w:t>
      </w:r>
    </w:p>
    <w:p w:rsidR="00DF50D7" w:rsidRPr="00873F27" w:rsidRDefault="00DF50D7" w:rsidP="00DF50D7">
      <w:pPr>
        <w:pStyle w:val="BTEMEASMCA"/>
      </w:pPr>
    </w:p>
    <w:p w:rsidR="00DF50D7" w:rsidRPr="00873F27" w:rsidRDefault="00DF50D7" w:rsidP="00DF50D7">
      <w:pPr>
        <w:pStyle w:val="BTEMEASMCA"/>
      </w:pPr>
      <w:r w:rsidRPr="00873F27">
        <w:t>Jeigu apie šį vaistą norite sužinoti daugiau, kreipkitės į vietinį registruotojo atstovą</w:t>
      </w:r>
      <w:r>
        <w:t>:</w:t>
      </w:r>
    </w:p>
    <w:p w:rsidR="00DF50D7" w:rsidRPr="00873F27" w:rsidRDefault="00DF50D7" w:rsidP="00DF50D7">
      <w:pPr>
        <w:rPr>
          <w:sz w:val="22"/>
          <w:szCs w:val="22"/>
        </w:rPr>
      </w:pPr>
    </w:p>
    <w:tbl>
      <w:tblPr>
        <w:tblW w:w="46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80"/>
      </w:tblGrid>
      <w:tr w:rsidR="00DF50D7" w:rsidRPr="00873F27" w:rsidTr="00293D0C">
        <w:tc>
          <w:tcPr>
            <w:tcW w:w="4678" w:type="dxa"/>
            <w:hideMark/>
          </w:tcPr>
          <w:p w:rsidR="00DF50D7" w:rsidRPr="00873F27" w:rsidRDefault="00DF50D7" w:rsidP="00293D0C">
            <w:r w:rsidRPr="00873F27">
              <w:rPr>
                <w:sz w:val="22"/>
                <w:szCs w:val="22"/>
              </w:rPr>
              <w:t xml:space="preserve">PRO.MED.CS Praha </w:t>
            </w:r>
            <w:proofErr w:type="spellStart"/>
            <w:r w:rsidRPr="00873F27">
              <w:rPr>
                <w:sz w:val="22"/>
                <w:szCs w:val="22"/>
              </w:rPr>
              <w:t>a.s</w:t>
            </w:r>
            <w:proofErr w:type="spellEnd"/>
            <w:r w:rsidRPr="00873F27">
              <w:rPr>
                <w:sz w:val="22"/>
                <w:szCs w:val="22"/>
              </w:rPr>
              <w:t>. atstovybė</w:t>
            </w:r>
          </w:p>
          <w:p w:rsidR="00DF50D7" w:rsidRPr="00873F27" w:rsidRDefault="00DF50D7" w:rsidP="00293D0C">
            <w:r w:rsidRPr="00873F27">
              <w:rPr>
                <w:sz w:val="22"/>
                <w:szCs w:val="22"/>
              </w:rPr>
              <w:t>Lukiškių g. 5</w:t>
            </w:r>
            <w:r w:rsidRPr="00873F27">
              <w:rPr>
                <w:sz w:val="22"/>
                <w:szCs w:val="22"/>
              </w:rPr>
              <w:noBreakHyphen/>
              <w:t>205, Vilnius</w:t>
            </w:r>
          </w:p>
          <w:p w:rsidR="00DF50D7" w:rsidRPr="00873F27" w:rsidRDefault="00DF50D7" w:rsidP="00293D0C">
            <w:pPr>
              <w:tabs>
                <w:tab w:val="left" w:pos="-720"/>
              </w:tabs>
              <w:suppressAutoHyphens/>
            </w:pPr>
            <w:r w:rsidRPr="00873F27">
              <w:rPr>
                <w:sz w:val="22"/>
                <w:szCs w:val="22"/>
              </w:rPr>
              <w:t>Tel: +370 5 2151008</w:t>
            </w:r>
          </w:p>
        </w:tc>
      </w:tr>
    </w:tbl>
    <w:p w:rsidR="00DF50D7" w:rsidRPr="00873F27" w:rsidRDefault="00DF50D7" w:rsidP="00DF50D7">
      <w:pPr>
        <w:pStyle w:val="BTEMEASMCA"/>
      </w:pPr>
    </w:p>
    <w:p w:rsidR="00DF50D7" w:rsidRPr="00873F27" w:rsidRDefault="00DF50D7" w:rsidP="00DF50D7">
      <w:pPr>
        <w:pStyle w:val="BTbEMEASMCA"/>
      </w:pPr>
      <w:r w:rsidRPr="00873F27">
        <w:t>Šis pakuotės lapelis paskutinį kartą peržiūrėtas</w:t>
      </w:r>
      <w:r>
        <w:t xml:space="preserve"> 2025-02-27</w:t>
      </w:r>
      <w:r w:rsidRPr="00873F27">
        <w:t>.</w:t>
      </w:r>
    </w:p>
    <w:p w:rsidR="00DF50D7" w:rsidRPr="00873F27" w:rsidRDefault="00DF50D7" w:rsidP="00DF50D7">
      <w:pPr>
        <w:rPr>
          <w:sz w:val="22"/>
          <w:szCs w:val="22"/>
        </w:rPr>
      </w:pPr>
    </w:p>
    <w:p w:rsidR="00DF50D7" w:rsidRDefault="00DF50D7" w:rsidP="00DF50D7">
      <w:pPr>
        <w:numPr>
          <w:ilvl w:val="12"/>
          <w:numId w:val="0"/>
        </w:numPr>
        <w:tabs>
          <w:tab w:val="left" w:pos="567"/>
        </w:tabs>
        <w:ind w:right="-2"/>
        <w:rPr>
          <w:sz w:val="22"/>
        </w:rPr>
      </w:pPr>
      <w:r w:rsidRPr="00873F27">
        <w:rPr>
          <w:snapToGrid w:val="0"/>
          <w:sz w:val="22"/>
          <w:szCs w:val="20"/>
        </w:rPr>
        <w:t xml:space="preserve">Išsami informacija apie šį </w:t>
      </w:r>
      <w:r w:rsidRPr="00873F27">
        <w:rPr>
          <w:snapToGrid w:val="0"/>
          <w:sz w:val="22"/>
        </w:rPr>
        <w:t>vaistą</w:t>
      </w:r>
      <w:r w:rsidRPr="00873F27">
        <w:rPr>
          <w:sz w:val="22"/>
        </w:rPr>
        <w:t xml:space="preserve"> pateikiama Valstybinės vaistų kontrolės tarnybos prie Lietuvos Respublikos sveikatos apsaugos ministerijos </w:t>
      </w:r>
      <w:r w:rsidRPr="00873F27">
        <w:rPr>
          <w:snapToGrid w:val="0"/>
          <w:sz w:val="22"/>
          <w:szCs w:val="20"/>
        </w:rPr>
        <w:t>tinklalapyje</w:t>
      </w:r>
      <w:r w:rsidRPr="00873F27">
        <w:rPr>
          <w:i/>
          <w:sz w:val="22"/>
        </w:rPr>
        <w:t xml:space="preserve"> </w:t>
      </w:r>
      <w:r>
        <w:rPr>
          <w:color w:val="0000EE"/>
          <w:sz w:val="22"/>
          <w:szCs w:val="22"/>
          <w:u w:val="single"/>
          <w:lang w:eastAsia="lt-LT"/>
        </w:rPr>
        <w:t>https://vvkt.lrv.lt/lt/</w:t>
      </w:r>
      <w:r>
        <w:rPr>
          <w:sz w:val="22"/>
          <w:szCs w:val="22"/>
          <w:lang w:eastAsia="lt-LT"/>
        </w:rPr>
        <w:t>.</w:t>
      </w:r>
    </w:p>
    <w:p w:rsidR="00DF50D7" w:rsidRPr="00873F27" w:rsidRDefault="00DF50D7" w:rsidP="00DF50D7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</w:rPr>
      </w:pPr>
    </w:p>
    <w:p w:rsidR="00BA6577" w:rsidRDefault="00BA6577">
      <w:bookmarkStart w:id="14" w:name="_GoBack"/>
      <w:bookmarkEnd w:id="14"/>
    </w:p>
    <w:sectPr w:rsidR="00BA6577" w:rsidSect="00F01167">
      <w:headerReference w:type="default" r:id="rId5"/>
      <w:footerReference w:type="even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2CC" w:rsidRDefault="00DF50D7" w:rsidP="00555CD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2CC" w:rsidRDefault="00DF50D7" w:rsidP="00CC22FA">
    <w:pPr>
      <w:pStyle w:val="Porat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059" w:rsidRDefault="00DF50D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E3858"/>
    <w:multiLevelType w:val="hybridMultilevel"/>
    <w:tmpl w:val="7BA2701C"/>
    <w:lvl w:ilvl="0" w:tplc="E3B672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F2B69"/>
    <w:multiLevelType w:val="hybridMultilevel"/>
    <w:tmpl w:val="27A682EE"/>
    <w:lvl w:ilvl="0" w:tplc="E3B672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02CEA"/>
    <w:multiLevelType w:val="hybridMultilevel"/>
    <w:tmpl w:val="BB4278CE"/>
    <w:lvl w:ilvl="0" w:tplc="0F24304C">
      <w:start w:val="1"/>
      <w:numFmt w:val="bullet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96105"/>
    <w:multiLevelType w:val="singleLevel"/>
    <w:tmpl w:val="D8B63C8A"/>
    <w:lvl w:ilvl="0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627C0DA8"/>
    <w:multiLevelType w:val="hybridMultilevel"/>
    <w:tmpl w:val="0AB62E10"/>
    <w:lvl w:ilvl="0" w:tplc="E3B672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0D7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B4219F"/>
    <w:rsid w:val="00BA6577"/>
    <w:rsid w:val="00C30905"/>
    <w:rsid w:val="00D358F2"/>
    <w:rsid w:val="00DF50D7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177FD-2A34-4B4A-AB3C-2338D89B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F5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F50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F50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DF50D7"/>
    <w:pPr>
      <w:tabs>
        <w:tab w:val="center" w:pos="4153"/>
        <w:tab w:val="right" w:pos="8306"/>
      </w:tabs>
    </w:pPr>
    <w:rPr>
      <w:sz w:val="22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DF50D7"/>
    <w:rPr>
      <w:rFonts w:ascii="Times New Roman" w:eastAsia="Times New Roman" w:hAnsi="Times New Roman" w:cs="Times New Roman"/>
      <w:szCs w:val="20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DF50D7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DF50D7"/>
    <w:rPr>
      <w:rFonts w:ascii="Times New Roman" w:eastAsia="Times New Roman" w:hAnsi="Times New Roman" w:cs="Times New Roman"/>
      <w:szCs w:val="20"/>
      <w:lang w:eastAsia="lt-LT"/>
    </w:rPr>
  </w:style>
  <w:style w:type="paragraph" w:customStyle="1" w:styleId="PI-1EMEASMCA">
    <w:name w:val="PI-1 EMEA_SMCA"/>
    <w:basedOn w:val="Antrat2"/>
    <w:autoRedefine/>
    <w:uiPriority w:val="99"/>
    <w:rsid w:val="00DF50D7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character" w:customStyle="1" w:styleId="BTEMEASMCAChar">
    <w:name w:val="BT EMEA_SMCA Char"/>
    <w:link w:val="BTEMEASMCA"/>
    <w:uiPriority w:val="99"/>
    <w:locked/>
    <w:rsid w:val="00DF50D7"/>
    <w:rPr>
      <w:rFonts w:ascii="Times New Roman" w:hAnsi="Times New Roman"/>
      <w:bCs/>
      <w:noProof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DF50D7"/>
    <w:rPr>
      <w:rFonts w:eastAsiaTheme="minorHAnsi" w:cstheme="minorBidi"/>
      <w:bCs/>
      <w:noProof/>
      <w:sz w:val="22"/>
      <w:szCs w:val="22"/>
    </w:rPr>
  </w:style>
  <w:style w:type="character" w:customStyle="1" w:styleId="TTEMEASMCAChar">
    <w:name w:val="TT EMEA_SMCA Char"/>
    <w:link w:val="TTEMEASMCA"/>
    <w:uiPriority w:val="99"/>
    <w:locked/>
    <w:rsid w:val="00DF50D7"/>
    <w:rPr>
      <w:rFonts w:ascii="Times New Roman" w:hAnsi="Times New Roman"/>
      <w:b/>
      <w:lang w:val="en-US"/>
    </w:rPr>
  </w:style>
  <w:style w:type="paragraph" w:customStyle="1" w:styleId="TTEMEASMCA">
    <w:name w:val="TT EMEA_SMCA"/>
    <w:basedOn w:val="Antrat1"/>
    <w:link w:val="TTEMEASMCAChar"/>
    <w:autoRedefine/>
    <w:uiPriority w:val="99"/>
    <w:rsid w:val="00DF50D7"/>
    <w:pPr>
      <w:keepNext w:val="0"/>
      <w:keepLines w:val="0"/>
      <w:tabs>
        <w:tab w:val="left" w:pos="567"/>
      </w:tabs>
      <w:spacing w:before="0"/>
      <w:jc w:val="center"/>
    </w:pPr>
    <w:rPr>
      <w:rFonts w:ascii="Times New Roman" w:eastAsiaTheme="minorHAnsi" w:hAnsi="Times New Roman" w:cstheme="minorBidi"/>
      <w:b/>
      <w:color w:val="auto"/>
      <w:sz w:val="22"/>
      <w:szCs w:val="22"/>
      <w:lang w:val="en-US"/>
    </w:rPr>
  </w:style>
  <w:style w:type="paragraph" w:customStyle="1" w:styleId="BT-EMEASMCA">
    <w:name w:val="BT- EMEA_SMCA"/>
    <w:basedOn w:val="BTEMEASMCA"/>
    <w:autoRedefine/>
    <w:uiPriority w:val="99"/>
    <w:rsid w:val="00DF50D7"/>
    <w:pPr>
      <w:numPr>
        <w:numId w:val="1"/>
      </w:numPr>
      <w:tabs>
        <w:tab w:val="clear" w:pos="720"/>
        <w:tab w:val="num" w:pos="360"/>
      </w:tabs>
      <w:ind w:left="357" w:hanging="357"/>
    </w:pPr>
  </w:style>
  <w:style w:type="paragraph" w:customStyle="1" w:styleId="PI-3EMEASMCA">
    <w:name w:val="PI-3 EMEA_SMCA"/>
    <w:basedOn w:val="prastasis"/>
    <w:autoRedefine/>
    <w:uiPriority w:val="99"/>
    <w:rsid w:val="00DF50D7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uiPriority w:val="99"/>
    <w:rsid w:val="00DF50D7"/>
    <w:rPr>
      <w:b/>
    </w:rPr>
  </w:style>
  <w:style w:type="paragraph" w:customStyle="1" w:styleId="BTbeEMEASMCA">
    <w:name w:val="BT(be) EMEA_SMCA"/>
    <w:basedOn w:val="BTEMEASMCA"/>
    <w:autoRedefine/>
    <w:uiPriority w:val="99"/>
    <w:rsid w:val="00DF50D7"/>
    <w:pPr>
      <w:jc w:val="center"/>
    </w:pPr>
    <w:rPr>
      <w:b/>
    </w:rPr>
  </w:style>
  <w:style w:type="paragraph" w:styleId="Sraopastraipa">
    <w:name w:val="List Paragraph"/>
    <w:basedOn w:val="prastasis"/>
    <w:uiPriority w:val="34"/>
    <w:qFormat/>
    <w:rsid w:val="00DF50D7"/>
    <w:pPr>
      <w:ind w:left="720"/>
      <w:contextualSpacing/>
    </w:pPr>
  </w:style>
  <w:style w:type="table" w:styleId="Lentelstinklelis">
    <w:name w:val="Table Grid"/>
    <w:basedOn w:val="prastojilentel"/>
    <w:uiPriority w:val="99"/>
    <w:rsid w:val="00DF5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F50D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F50D7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F50D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F50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7968</Words>
  <Characters>4543</Characters>
  <Application>Microsoft Office Word</Application>
  <DocSecurity>0</DocSecurity>
  <Lines>37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17</vt:i4>
      </vt:variant>
    </vt:vector>
  </HeadingPairs>
  <TitlesOfParts>
    <vt:vector size="18" baseType="lpstr">
      <vt:lpstr/>
      <vt:lpstr>Pakuotės lapelis: informacija vartotojui</vt:lpstr>
      <vt:lpstr>    1.	Kas yra Ursosan ir kam jis vartojamas</vt:lpstr>
      <vt:lpstr>    2.	Kas žinotina prieš vartojant Ursosan</vt:lpstr>
      <vt:lpstr>Pasitarkite su gydytoju arba vaistininku, prieš pradėdami vartoti Ursosan.</vt:lpstr>
      <vt:lpstr>Per pirmuosius tris gydymo mėnesius gydytojas turi kas 4 savaites stebėti Jūsų k</vt:lpstr>
      <vt:lpstr/>
      <vt:lpstr>Po 6-10 mėnesių nuo cholesterolinių tulžies pūslės akmenų tirpinimo pradžios gyd</vt:lpstr>
      <vt:lpstr/>
      <vt:lpstr>Jei esate moteris, vartodama Ursosan tulžies pūslės akmenų tirpinimui, turėtumėt</vt:lpstr>
      <vt:lpstr/>
      <vt:lpstr>Retai, pradėjus gydymą, pacientams, sergantiems PBC, ligos simptomai gali pablog</vt:lpstr>
      <vt:lpstr/>
      <vt:lpstr>Jei pasireiškė viduriavimas, nedelsiant informuokite gydytoją, nes gali tekti ma</vt:lpstr>
      <vt:lpstr>    3.	Kaip vartoti Ursosan</vt:lpstr>
      <vt:lpstr>    4.	Galimas šalutinis poveikis</vt:lpstr>
      <vt:lpstr>    5.	Kaip laikyti Ursosan</vt:lpstr>
      <vt:lpstr>    6.	Pakuotės turinys ir kita informacija</vt:lpstr>
    </vt:vector>
  </TitlesOfParts>
  <Company/>
  <LinksUpToDate>false</LinksUpToDate>
  <CharactersWithSpaces>12487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2025-02-27T11:59:00Z</dcterms:created>
  <dcterms:modified xsi:type="dcterms:W3CDTF">2025-02-27T12:00:00Z</dcterms:modified>
</cp:coreProperties>
</file>