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CBE0A" w14:textId="77777777" w:rsidR="00F00A02" w:rsidRDefault="00F00A02">
      <w:pPr>
        <w:widowControl w:val="0"/>
        <w:rPr>
          <w:sz w:val="22"/>
          <w:szCs w:val="22"/>
          <w:lang w:eastAsia="lt-LT"/>
        </w:rPr>
      </w:pPr>
      <w:bookmarkStart w:id="0" w:name="Tab"/>
      <w:bookmarkEnd w:id="0"/>
    </w:p>
    <w:p w14:paraId="3A135F3F" w14:textId="77777777" w:rsidR="00F00A02" w:rsidRDefault="00F00A02">
      <w:pPr>
        <w:widowControl w:val="0"/>
        <w:rPr>
          <w:sz w:val="22"/>
          <w:szCs w:val="22"/>
          <w:lang w:eastAsia="lt-LT"/>
        </w:rPr>
      </w:pPr>
    </w:p>
    <w:p w14:paraId="1439D705" w14:textId="77777777" w:rsidR="00F00A02" w:rsidRDefault="00F00A02">
      <w:pPr>
        <w:widowControl w:val="0"/>
        <w:rPr>
          <w:sz w:val="22"/>
          <w:szCs w:val="22"/>
          <w:lang w:eastAsia="lt-LT"/>
        </w:rPr>
      </w:pPr>
    </w:p>
    <w:p w14:paraId="09FA9A36" w14:textId="77777777" w:rsidR="00F00A02" w:rsidRDefault="00F00A02">
      <w:pPr>
        <w:widowControl w:val="0"/>
        <w:rPr>
          <w:sz w:val="22"/>
          <w:szCs w:val="22"/>
          <w:lang w:eastAsia="lt-LT"/>
        </w:rPr>
      </w:pPr>
    </w:p>
    <w:p w14:paraId="6DFAB05A" w14:textId="77777777" w:rsidR="00F00A02" w:rsidRDefault="00F00A02">
      <w:pPr>
        <w:widowControl w:val="0"/>
        <w:rPr>
          <w:sz w:val="22"/>
          <w:szCs w:val="22"/>
          <w:lang w:eastAsia="lt-LT"/>
        </w:rPr>
      </w:pPr>
    </w:p>
    <w:p w14:paraId="454C6960" w14:textId="77777777" w:rsidR="00F00A02" w:rsidRDefault="00F00A02">
      <w:pPr>
        <w:widowControl w:val="0"/>
        <w:rPr>
          <w:sz w:val="22"/>
          <w:szCs w:val="22"/>
          <w:lang w:eastAsia="lt-LT"/>
        </w:rPr>
      </w:pPr>
    </w:p>
    <w:p w14:paraId="1F736B4F" w14:textId="77777777" w:rsidR="00F00A02" w:rsidRDefault="00F00A02">
      <w:pPr>
        <w:widowControl w:val="0"/>
        <w:rPr>
          <w:sz w:val="22"/>
          <w:szCs w:val="22"/>
          <w:lang w:eastAsia="lt-LT"/>
        </w:rPr>
      </w:pPr>
    </w:p>
    <w:p w14:paraId="29E86A9A" w14:textId="77777777" w:rsidR="00F00A02" w:rsidRDefault="00F00A02">
      <w:pPr>
        <w:widowControl w:val="0"/>
        <w:rPr>
          <w:sz w:val="22"/>
          <w:szCs w:val="22"/>
          <w:lang w:eastAsia="lt-LT"/>
        </w:rPr>
      </w:pPr>
    </w:p>
    <w:p w14:paraId="544E5290" w14:textId="77777777" w:rsidR="00F00A02" w:rsidRDefault="00F00A02">
      <w:pPr>
        <w:widowControl w:val="0"/>
        <w:rPr>
          <w:sz w:val="22"/>
          <w:szCs w:val="22"/>
          <w:lang w:eastAsia="lt-LT"/>
        </w:rPr>
      </w:pPr>
    </w:p>
    <w:p w14:paraId="5BC23621" w14:textId="77777777" w:rsidR="00F00A02" w:rsidRDefault="00F00A02">
      <w:pPr>
        <w:widowControl w:val="0"/>
        <w:rPr>
          <w:sz w:val="22"/>
          <w:szCs w:val="22"/>
          <w:lang w:eastAsia="lt-LT"/>
        </w:rPr>
      </w:pPr>
    </w:p>
    <w:p w14:paraId="44A36555" w14:textId="77777777" w:rsidR="00F00A02" w:rsidRDefault="00F00A02">
      <w:pPr>
        <w:widowControl w:val="0"/>
        <w:rPr>
          <w:sz w:val="22"/>
          <w:szCs w:val="22"/>
          <w:lang w:eastAsia="lt-LT"/>
        </w:rPr>
      </w:pPr>
    </w:p>
    <w:p w14:paraId="4B734372" w14:textId="77777777" w:rsidR="00F00A02" w:rsidRDefault="00F00A02">
      <w:pPr>
        <w:widowControl w:val="0"/>
        <w:rPr>
          <w:sz w:val="22"/>
          <w:szCs w:val="22"/>
          <w:lang w:eastAsia="lt-LT"/>
        </w:rPr>
      </w:pPr>
    </w:p>
    <w:p w14:paraId="1FEF56E4" w14:textId="77777777" w:rsidR="00F00A02" w:rsidRDefault="00F00A02">
      <w:pPr>
        <w:widowControl w:val="0"/>
        <w:rPr>
          <w:sz w:val="22"/>
          <w:szCs w:val="22"/>
          <w:lang w:eastAsia="lt-LT"/>
        </w:rPr>
      </w:pPr>
    </w:p>
    <w:p w14:paraId="3BE52093" w14:textId="77777777" w:rsidR="00F00A02" w:rsidRDefault="00F00A02">
      <w:pPr>
        <w:widowControl w:val="0"/>
        <w:rPr>
          <w:sz w:val="22"/>
          <w:szCs w:val="22"/>
          <w:lang w:eastAsia="lt-LT"/>
        </w:rPr>
      </w:pPr>
    </w:p>
    <w:p w14:paraId="601F86A2" w14:textId="77777777" w:rsidR="00F00A02" w:rsidRDefault="00F00A02">
      <w:pPr>
        <w:widowControl w:val="0"/>
        <w:rPr>
          <w:sz w:val="22"/>
          <w:szCs w:val="22"/>
          <w:lang w:eastAsia="lt-LT"/>
        </w:rPr>
      </w:pPr>
    </w:p>
    <w:p w14:paraId="347CEFE3" w14:textId="77777777" w:rsidR="00F00A02" w:rsidRDefault="00F00A02">
      <w:pPr>
        <w:widowControl w:val="0"/>
        <w:rPr>
          <w:sz w:val="22"/>
          <w:szCs w:val="22"/>
          <w:lang w:eastAsia="lt-LT"/>
        </w:rPr>
      </w:pPr>
    </w:p>
    <w:p w14:paraId="380B94AF" w14:textId="77777777" w:rsidR="00F00A02" w:rsidRDefault="00F00A02">
      <w:pPr>
        <w:widowControl w:val="0"/>
        <w:rPr>
          <w:sz w:val="22"/>
          <w:szCs w:val="22"/>
          <w:lang w:eastAsia="lt-LT"/>
        </w:rPr>
      </w:pPr>
    </w:p>
    <w:p w14:paraId="2F53C069" w14:textId="77777777" w:rsidR="00F00A02" w:rsidRDefault="00F00A02">
      <w:pPr>
        <w:widowControl w:val="0"/>
        <w:rPr>
          <w:sz w:val="22"/>
          <w:szCs w:val="22"/>
          <w:lang w:eastAsia="lt-LT"/>
        </w:rPr>
      </w:pPr>
    </w:p>
    <w:p w14:paraId="3B0956E2" w14:textId="77777777" w:rsidR="00F00A02" w:rsidRDefault="00F00A02">
      <w:pPr>
        <w:widowControl w:val="0"/>
        <w:rPr>
          <w:sz w:val="22"/>
          <w:szCs w:val="22"/>
          <w:lang w:eastAsia="lt-LT"/>
        </w:rPr>
      </w:pPr>
    </w:p>
    <w:p w14:paraId="7056F4AA" w14:textId="77777777" w:rsidR="00F00A02" w:rsidRDefault="00F00A02">
      <w:pPr>
        <w:widowControl w:val="0"/>
        <w:rPr>
          <w:sz w:val="22"/>
          <w:szCs w:val="22"/>
          <w:lang w:eastAsia="lt-LT"/>
        </w:rPr>
      </w:pPr>
    </w:p>
    <w:p w14:paraId="52F5126C" w14:textId="77777777" w:rsidR="00F00A02" w:rsidRDefault="00F00A02">
      <w:pPr>
        <w:widowControl w:val="0"/>
        <w:rPr>
          <w:sz w:val="22"/>
          <w:szCs w:val="22"/>
          <w:lang w:eastAsia="lt-LT"/>
        </w:rPr>
      </w:pPr>
    </w:p>
    <w:p w14:paraId="1ED08C08" w14:textId="77777777" w:rsidR="00F00A02" w:rsidRDefault="00F00A02">
      <w:pPr>
        <w:widowControl w:val="0"/>
        <w:rPr>
          <w:sz w:val="22"/>
          <w:szCs w:val="22"/>
          <w:lang w:eastAsia="lt-LT"/>
        </w:rPr>
      </w:pPr>
    </w:p>
    <w:p w14:paraId="4198DDBB" w14:textId="77777777" w:rsidR="00F00A02" w:rsidRDefault="00F00A02">
      <w:pPr>
        <w:widowControl w:val="0"/>
        <w:rPr>
          <w:sz w:val="22"/>
          <w:szCs w:val="22"/>
          <w:lang w:eastAsia="lt-LT"/>
        </w:rPr>
      </w:pPr>
    </w:p>
    <w:p w14:paraId="207F2C12" w14:textId="77777777" w:rsidR="00F00A02" w:rsidRDefault="0027659F">
      <w:pPr>
        <w:widowControl w:val="0"/>
        <w:jc w:val="center"/>
        <w:outlineLvl w:val="0"/>
        <w:rPr>
          <w:b/>
          <w:bCs/>
          <w:kern w:val="28"/>
          <w:sz w:val="22"/>
          <w:szCs w:val="22"/>
          <w:lang w:eastAsia="lt-LT"/>
        </w:rPr>
      </w:pPr>
      <w:r>
        <w:rPr>
          <w:b/>
          <w:bCs/>
          <w:kern w:val="28"/>
          <w:sz w:val="22"/>
          <w:szCs w:val="22"/>
          <w:lang w:eastAsia="lt-LT"/>
        </w:rPr>
        <w:t>I PRIEDAS</w:t>
      </w:r>
    </w:p>
    <w:p w14:paraId="49CA7FE9" w14:textId="77777777" w:rsidR="00F00A02" w:rsidRDefault="00F00A02">
      <w:pPr>
        <w:widowControl w:val="0"/>
        <w:rPr>
          <w:sz w:val="22"/>
          <w:szCs w:val="22"/>
          <w:lang w:eastAsia="lt-LT"/>
        </w:rPr>
      </w:pPr>
    </w:p>
    <w:p w14:paraId="7899F185" w14:textId="77777777" w:rsidR="00F00A02" w:rsidRDefault="0027659F">
      <w:pPr>
        <w:widowControl w:val="0"/>
        <w:jc w:val="center"/>
        <w:outlineLvl w:val="0"/>
        <w:rPr>
          <w:b/>
          <w:bCs/>
          <w:kern w:val="28"/>
          <w:sz w:val="22"/>
          <w:szCs w:val="22"/>
          <w:lang w:eastAsia="lt-LT"/>
        </w:rPr>
      </w:pPr>
      <w:r>
        <w:rPr>
          <w:b/>
          <w:bCs/>
          <w:kern w:val="28"/>
          <w:sz w:val="22"/>
          <w:szCs w:val="22"/>
          <w:lang w:eastAsia="lt-LT"/>
        </w:rPr>
        <w:t>PREPARATO CHARAKTERISTIKŲ SANTRAUKA</w:t>
      </w:r>
    </w:p>
    <w:p w14:paraId="44D38064" w14:textId="77777777" w:rsidR="00F00A02" w:rsidRDefault="00F00A02">
      <w:pPr>
        <w:widowControl w:val="0"/>
        <w:rPr>
          <w:sz w:val="22"/>
          <w:szCs w:val="22"/>
          <w:lang w:eastAsia="lt-LT"/>
        </w:rPr>
      </w:pPr>
    </w:p>
    <w:p w14:paraId="00F14696" w14:textId="77777777" w:rsidR="00F00A02" w:rsidRDefault="00F00A02">
      <w:pPr>
        <w:widowControl w:val="0"/>
        <w:ind w:left="567" w:hanging="567"/>
        <w:rPr>
          <w:sz w:val="22"/>
          <w:szCs w:val="22"/>
        </w:rPr>
      </w:pPr>
    </w:p>
    <w:p w14:paraId="432D9C31" w14:textId="77777777" w:rsidR="00F00A02" w:rsidRDefault="00F00A02">
      <w:pPr>
        <w:rPr>
          <w:sz w:val="22"/>
          <w:szCs w:val="22"/>
        </w:rPr>
      </w:pPr>
    </w:p>
    <w:p w14:paraId="47CDEA61" w14:textId="77777777" w:rsidR="00F00A02" w:rsidRDefault="00F00A02">
      <w:pPr>
        <w:rPr>
          <w:sz w:val="22"/>
          <w:szCs w:val="22"/>
        </w:rPr>
      </w:pPr>
    </w:p>
    <w:p w14:paraId="41A563BB" w14:textId="77777777" w:rsidR="00F00A02" w:rsidRDefault="00F00A02">
      <w:pPr>
        <w:rPr>
          <w:sz w:val="22"/>
          <w:szCs w:val="22"/>
        </w:rPr>
      </w:pPr>
    </w:p>
    <w:p w14:paraId="00EFC445" w14:textId="77777777" w:rsidR="00F00A02" w:rsidRDefault="00F00A02">
      <w:pPr>
        <w:rPr>
          <w:sz w:val="22"/>
          <w:szCs w:val="22"/>
        </w:rPr>
      </w:pPr>
    </w:p>
    <w:p w14:paraId="09493B8C" w14:textId="77777777" w:rsidR="00F00A02" w:rsidRDefault="00F00A02">
      <w:pPr>
        <w:rPr>
          <w:sz w:val="22"/>
          <w:szCs w:val="22"/>
        </w:rPr>
      </w:pPr>
    </w:p>
    <w:p w14:paraId="597E3157" w14:textId="77777777" w:rsidR="00F00A02" w:rsidRDefault="00F00A02">
      <w:pPr>
        <w:rPr>
          <w:sz w:val="22"/>
          <w:szCs w:val="22"/>
        </w:rPr>
      </w:pPr>
    </w:p>
    <w:p w14:paraId="5937C6E2" w14:textId="77777777" w:rsidR="00F00A02" w:rsidRDefault="00F00A02">
      <w:pPr>
        <w:rPr>
          <w:sz w:val="22"/>
          <w:szCs w:val="22"/>
        </w:rPr>
      </w:pPr>
    </w:p>
    <w:p w14:paraId="4BD5C064" w14:textId="77777777" w:rsidR="00F00A02" w:rsidRDefault="00F00A02">
      <w:pPr>
        <w:rPr>
          <w:sz w:val="22"/>
          <w:szCs w:val="22"/>
        </w:rPr>
      </w:pPr>
    </w:p>
    <w:p w14:paraId="62429292" w14:textId="77777777" w:rsidR="00F00A02" w:rsidRDefault="00F00A02">
      <w:pPr>
        <w:rPr>
          <w:sz w:val="22"/>
          <w:szCs w:val="22"/>
        </w:rPr>
      </w:pPr>
    </w:p>
    <w:p w14:paraId="2EFDC780" w14:textId="77777777" w:rsidR="00F00A02" w:rsidRDefault="00F00A02">
      <w:pPr>
        <w:rPr>
          <w:sz w:val="22"/>
          <w:szCs w:val="22"/>
        </w:rPr>
      </w:pPr>
    </w:p>
    <w:p w14:paraId="58DB58E2" w14:textId="77777777" w:rsidR="00F00A02" w:rsidRDefault="00F00A02">
      <w:pPr>
        <w:rPr>
          <w:sz w:val="22"/>
          <w:szCs w:val="22"/>
        </w:rPr>
      </w:pPr>
    </w:p>
    <w:p w14:paraId="71EDB8B4" w14:textId="77777777" w:rsidR="00F00A02" w:rsidRDefault="00F00A02">
      <w:pPr>
        <w:rPr>
          <w:sz w:val="22"/>
          <w:szCs w:val="22"/>
        </w:rPr>
      </w:pPr>
    </w:p>
    <w:p w14:paraId="47D3D317" w14:textId="77777777" w:rsidR="00F00A02" w:rsidRDefault="00F00A02">
      <w:pPr>
        <w:rPr>
          <w:sz w:val="22"/>
          <w:szCs w:val="22"/>
        </w:rPr>
      </w:pPr>
    </w:p>
    <w:p w14:paraId="24560362" w14:textId="77777777" w:rsidR="00F00A02" w:rsidRDefault="00F00A02">
      <w:pPr>
        <w:rPr>
          <w:sz w:val="22"/>
          <w:szCs w:val="22"/>
        </w:rPr>
      </w:pPr>
    </w:p>
    <w:p w14:paraId="12CC7AE8" w14:textId="77777777" w:rsidR="00F00A02" w:rsidRDefault="00F00A02">
      <w:pPr>
        <w:rPr>
          <w:sz w:val="22"/>
          <w:szCs w:val="22"/>
        </w:rPr>
      </w:pPr>
    </w:p>
    <w:p w14:paraId="4993C184" w14:textId="77777777" w:rsidR="00F00A02" w:rsidRDefault="00F00A02">
      <w:pPr>
        <w:widowControl w:val="0"/>
        <w:ind w:left="567" w:hanging="567"/>
        <w:rPr>
          <w:sz w:val="22"/>
          <w:szCs w:val="22"/>
        </w:rPr>
      </w:pPr>
    </w:p>
    <w:p w14:paraId="4473B760" w14:textId="77777777" w:rsidR="00F00A02" w:rsidRDefault="00F00A02">
      <w:pPr>
        <w:rPr>
          <w:sz w:val="22"/>
          <w:szCs w:val="22"/>
        </w:rPr>
      </w:pPr>
    </w:p>
    <w:p w14:paraId="264EB039" w14:textId="77777777" w:rsidR="00F00A02" w:rsidRDefault="00F00A02">
      <w:pPr>
        <w:widowControl w:val="0"/>
        <w:ind w:left="567" w:hanging="567"/>
        <w:rPr>
          <w:sz w:val="22"/>
          <w:szCs w:val="22"/>
        </w:rPr>
      </w:pPr>
    </w:p>
    <w:p w14:paraId="33CB4616" w14:textId="77777777" w:rsidR="00F00A02" w:rsidRDefault="00F00A02">
      <w:pPr>
        <w:widowControl w:val="0"/>
        <w:ind w:left="567" w:hanging="567"/>
        <w:rPr>
          <w:sz w:val="22"/>
          <w:szCs w:val="22"/>
        </w:rPr>
      </w:pPr>
    </w:p>
    <w:p w14:paraId="184C897E" w14:textId="77777777" w:rsidR="00F00A02" w:rsidRDefault="0027659F">
      <w:pPr>
        <w:widowControl w:val="0"/>
        <w:ind w:left="567" w:hanging="567"/>
        <w:rPr>
          <w:sz w:val="22"/>
          <w:szCs w:val="22"/>
          <w:lang w:eastAsia="lt-LT"/>
        </w:rPr>
      </w:pPr>
      <w:r>
        <w:rPr>
          <w:sz w:val="22"/>
          <w:szCs w:val="22"/>
          <w:lang w:eastAsia="lt-LT"/>
        </w:rPr>
        <w:br w:type="page"/>
      </w:r>
      <w:r>
        <w:rPr>
          <w:b/>
          <w:sz w:val="22"/>
          <w:szCs w:val="22"/>
          <w:lang w:eastAsia="lt-LT"/>
        </w:rPr>
        <w:lastRenderedPageBreak/>
        <w:t>1.</w:t>
      </w:r>
      <w:r>
        <w:rPr>
          <w:b/>
          <w:sz w:val="22"/>
          <w:szCs w:val="22"/>
          <w:lang w:eastAsia="lt-LT"/>
        </w:rPr>
        <w:tab/>
        <w:t>VAISTINIO PREPARATO PAVADINIMAS</w:t>
      </w:r>
    </w:p>
    <w:p w14:paraId="4B4375E6" w14:textId="77777777" w:rsidR="00F00A02" w:rsidRDefault="00F00A02">
      <w:pPr>
        <w:widowControl w:val="0"/>
        <w:ind w:left="567" w:hanging="567"/>
        <w:rPr>
          <w:sz w:val="22"/>
          <w:szCs w:val="22"/>
          <w:lang w:eastAsia="lt-LT"/>
        </w:rPr>
      </w:pPr>
    </w:p>
    <w:p w14:paraId="760ECB33" w14:textId="77777777" w:rsidR="00F00A02" w:rsidRDefault="0027659F">
      <w:pPr>
        <w:widowControl w:val="0"/>
        <w:ind w:left="567" w:hanging="567"/>
        <w:rPr>
          <w:sz w:val="22"/>
          <w:szCs w:val="22"/>
          <w:lang w:eastAsia="lt-LT"/>
        </w:rPr>
      </w:pPr>
      <w:r>
        <w:rPr>
          <w:sz w:val="22"/>
          <w:szCs w:val="22"/>
          <w:lang w:eastAsia="lt-LT"/>
        </w:rPr>
        <w:t>Lorista 50 mg plėvele dengtos tabletės</w:t>
      </w:r>
    </w:p>
    <w:p w14:paraId="30964AC8" w14:textId="77777777" w:rsidR="00F00A02" w:rsidRDefault="00F00A02">
      <w:pPr>
        <w:widowControl w:val="0"/>
        <w:ind w:left="567" w:hanging="567"/>
        <w:rPr>
          <w:sz w:val="22"/>
          <w:szCs w:val="22"/>
          <w:lang w:eastAsia="lt-LT"/>
        </w:rPr>
      </w:pPr>
    </w:p>
    <w:p w14:paraId="10BF99D3" w14:textId="77777777" w:rsidR="00F00A02" w:rsidRDefault="00F00A02">
      <w:pPr>
        <w:widowControl w:val="0"/>
        <w:ind w:left="567" w:hanging="567"/>
        <w:rPr>
          <w:sz w:val="22"/>
          <w:szCs w:val="22"/>
          <w:lang w:eastAsia="lt-LT"/>
        </w:rPr>
      </w:pPr>
    </w:p>
    <w:p w14:paraId="217CEBDA" w14:textId="77777777" w:rsidR="00F00A02" w:rsidRDefault="0027659F">
      <w:pPr>
        <w:widowControl w:val="0"/>
        <w:ind w:left="567" w:hanging="567"/>
        <w:outlineLvl w:val="1"/>
        <w:rPr>
          <w:b/>
          <w:sz w:val="22"/>
          <w:szCs w:val="22"/>
          <w:lang w:val="sv-SE" w:eastAsia="lt-LT"/>
        </w:rPr>
      </w:pPr>
      <w:r>
        <w:rPr>
          <w:b/>
          <w:sz w:val="22"/>
          <w:szCs w:val="22"/>
          <w:lang w:val="sv-SE" w:eastAsia="lt-LT"/>
        </w:rPr>
        <w:t>2.</w:t>
      </w:r>
      <w:r>
        <w:rPr>
          <w:b/>
          <w:sz w:val="22"/>
          <w:szCs w:val="22"/>
          <w:lang w:val="sv-SE" w:eastAsia="lt-LT"/>
        </w:rPr>
        <w:tab/>
        <w:t>KOKYBINĖ IR KIEKYBINĖ SUDĖTIS</w:t>
      </w:r>
    </w:p>
    <w:p w14:paraId="5070C683" w14:textId="77777777" w:rsidR="00F00A02" w:rsidRDefault="00F00A02">
      <w:pPr>
        <w:widowControl w:val="0"/>
        <w:ind w:left="567" w:hanging="567"/>
        <w:rPr>
          <w:sz w:val="22"/>
          <w:szCs w:val="22"/>
          <w:lang w:eastAsia="lt-LT"/>
        </w:rPr>
      </w:pPr>
    </w:p>
    <w:p w14:paraId="117C71E6" w14:textId="77777777" w:rsidR="00F00A02" w:rsidRDefault="0027659F">
      <w:pPr>
        <w:widowControl w:val="0"/>
        <w:ind w:left="567" w:hanging="567"/>
        <w:jc w:val="both"/>
        <w:rPr>
          <w:sz w:val="22"/>
          <w:szCs w:val="22"/>
          <w:lang w:eastAsia="lt-LT"/>
        </w:rPr>
      </w:pPr>
      <w:r>
        <w:rPr>
          <w:sz w:val="22"/>
          <w:szCs w:val="22"/>
          <w:lang w:eastAsia="lt-LT"/>
        </w:rPr>
        <w:t>Kiekvienoje plėvele dengtoje tabletėje yra 50 mg losartano kalio druskos.</w:t>
      </w:r>
    </w:p>
    <w:p w14:paraId="6E2A4404" w14:textId="77777777" w:rsidR="00F00A02" w:rsidRDefault="00F00A02">
      <w:pPr>
        <w:widowControl w:val="0"/>
        <w:ind w:left="567" w:hanging="567"/>
        <w:rPr>
          <w:sz w:val="22"/>
          <w:szCs w:val="22"/>
          <w:lang w:eastAsia="lt-LT"/>
        </w:rPr>
      </w:pPr>
    </w:p>
    <w:p w14:paraId="668047E2" w14:textId="77777777" w:rsidR="00F00A02" w:rsidRDefault="0027659F">
      <w:pPr>
        <w:widowControl w:val="0"/>
        <w:ind w:left="567" w:hanging="567"/>
        <w:rPr>
          <w:sz w:val="22"/>
          <w:szCs w:val="22"/>
          <w:lang w:eastAsia="lt-LT"/>
        </w:rPr>
      </w:pPr>
      <w:r>
        <w:rPr>
          <w:sz w:val="22"/>
          <w:szCs w:val="22"/>
          <w:u w:val="single"/>
          <w:lang w:eastAsia="lt-LT"/>
        </w:rPr>
        <w:t>Pagalbinė medžiaga, kurios poveikis žinomas</w:t>
      </w:r>
      <w:r>
        <w:rPr>
          <w:sz w:val="22"/>
          <w:szCs w:val="22"/>
          <w:lang w:eastAsia="lt-LT"/>
        </w:rPr>
        <w:t>: laktozė (54,7 mg/tabletėje)</w:t>
      </w:r>
    </w:p>
    <w:p w14:paraId="6252A1CF" w14:textId="77777777" w:rsidR="00F00A02" w:rsidRDefault="0027659F">
      <w:pPr>
        <w:widowControl w:val="0"/>
        <w:ind w:left="567" w:hanging="567"/>
        <w:rPr>
          <w:sz w:val="22"/>
          <w:szCs w:val="22"/>
          <w:lang w:eastAsia="lt-LT"/>
        </w:rPr>
      </w:pPr>
      <w:r>
        <w:rPr>
          <w:sz w:val="22"/>
          <w:szCs w:val="22"/>
          <w:lang w:eastAsia="lt-LT"/>
        </w:rPr>
        <w:t>Visos pagalbinės medžiagos išvardytos 6.1 skyriuje.</w:t>
      </w:r>
    </w:p>
    <w:p w14:paraId="171673F1" w14:textId="77777777" w:rsidR="00F00A02" w:rsidRDefault="00F00A02">
      <w:pPr>
        <w:widowControl w:val="0"/>
        <w:ind w:left="567" w:hanging="567"/>
        <w:rPr>
          <w:sz w:val="22"/>
          <w:szCs w:val="22"/>
          <w:lang w:eastAsia="lt-LT"/>
        </w:rPr>
      </w:pPr>
    </w:p>
    <w:p w14:paraId="536AB40D" w14:textId="77777777" w:rsidR="00F00A02" w:rsidRDefault="00F00A02">
      <w:pPr>
        <w:widowControl w:val="0"/>
        <w:ind w:left="567" w:hanging="567"/>
        <w:rPr>
          <w:sz w:val="22"/>
          <w:szCs w:val="22"/>
          <w:lang w:eastAsia="lt-LT"/>
        </w:rPr>
      </w:pPr>
    </w:p>
    <w:p w14:paraId="3F8A25D9" w14:textId="77777777" w:rsidR="00F00A02" w:rsidRDefault="0027659F">
      <w:pPr>
        <w:widowControl w:val="0"/>
        <w:ind w:left="567" w:hanging="567"/>
        <w:outlineLvl w:val="1"/>
        <w:rPr>
          <w:b/>
          <w:sz w:val="22"/>
          <w:szCs w:val="22"/>
          <w:lang w:val="sv-SE" w:eastAsia="lt-LT"/>
        </w:rPr>
      </w:pPr>
      <w:r>
        <w:rPr>
          <w:b/>
          <w:sz w:val="22"/>
          <w:szCs w:val="22"/>
          <w:lang w:val="sv-SE" w:eastAsia="lt-LT"/>
        </w:rPr>
        <w:t>3.</w:t>
      </w:r>
      <w:r>
        <w:rPr>
          <w:b/>
          <w:sz w:val="22"/>
          <w:szCs w:val="22"/>
          <w:lang w:val="sv-SE" w:eastAsia="lt-LT"/>
        </w:rPr>
        <w:tab/>
        <w:t>FARMACINĖ FORMA</w:t>
      </w:r>
    </w:p>
    <w:p w14:paraId="31DAC87B" w14:textId="77777777" w:rsidR="00F00A02" w:rsidRDefault="00F00A02">
      <w:pPr>
        <w:widowControl w:val="0"/>
        <w:ind w:left="567" w:hanging="567"/>
        <w:rPr>
          <w:sz w:val="22"/>
          <w:szCs w:val="22"/>
          <w:lang w:eastAsia="lt-LT"/>
        </w:rPr>
      </w:pPr>
    </w:p>
    <w:p w14:paraId="3149D793" w14:textId="77777777" w:rsidR="00F00A02" w:rsidRDefault="0027659F">
      <w:pPr>
        <w:widowControl w:val="0"/>
        <w:ind w:left="567" w:hanging="567"/>
        <w:jc w:val="both"/>
        <w:rPr>
          <w:sz w:val="22"/>
          <w:szCs w:val="22"/>
          <w:lang w:eastAsia="lt-LT"/>
        </w:rPr>
      </w:pPr>
      <w:r>
        <w:rPr>
          <w:sz w:val="22"/>
          <w:szCs w:val="22"/>
          <w:lang w:eastAsia="lt-LT"/>
        </w:rPr>
        <w:t>Plėvele dengta tabletė</w:t>
      </w:r>
      <w:r>
        <w:rPr>
          <w:sz w:val="22"/>
          <w:szCs w:val="22"/>
        </w:rPr>
        <w:t>.</w:t>
      </w:r>
    </w:p>
    <w:p w14:paraId="78DFE16A" w14:textId="77777777" w:rsidR="00F00A02" w:rsidRDefault="0027659F">
      <w:pPr>
        <w:widowControl w:val="0"/>
        <w:jc w:val="both"/>
        <w:rPr>
          <w:sz w:val="22"/>
          <w:szCs w:val="22"/>
          <w:lang w:eastAsia="lt-LT"/>
        </w:rPr>
      </w:pPr>
      <w:r>
        <w:rPr>
          <w:sz w:val="22"/>
          <w:szCs w:val="22"/>
          <w:lang w:eastAsia="lt-LT"/>
        </w:rPr>
        <w:t>Tabletės yra apvalios, truputį abipus išgaubtos, baltos, su vagele vienoje pusėje, plėvele dengtos tabletės nuožulniais kraštais.</w:t>
      </w:r>
    </w:p>
    <w:p w14:paraId="3FD7967F" w14:textId="77777777" w:rsidR="00F00A02" w:rsidRDefault="00F00A02">
      <w:pPr>
        <w:widowControl w:val="0"/>
        <w:ind w:left="567" w:hanging="567"/>
        <w:jc w:val="both"/>
        <w:rPr>
          <w:sz w:val="22"/>
          <w:szCs w:val="22"/>
          <w:lang w:eastAsia="lt-LT"/>
        </w:rPr>
      </w:pPr>
    </w:p>
    <w:p w14:paraId="4CB54AB2" w14:textId="77777777" w:rsidR="00F00A02" w:rsidRDefault="0027659F">
      <w:pPr>
        <w:widowControl w:val="0"/>
        <w:ind w:left="567" w:hanging="567"/>
        <w:rPr>
          <w:sz w:val="22"/>
          <w:szCs w:val="22"/>
        </w:rPr>
      </w:pPr>
      <w:r>
        <w:rPr>
          <w:sz w:val="22"/>
          <w:szCs w:val="22"/>
        </w:rPr>
        <w:t>Vagelė skirta tik tabletei perlaužti, kad būtų lengviau nuryti, bet ne jai padalyti į lygias dozes.</w:t>
      </w:r>
    </w:p>
    <w:p w14:paraId="61FF7038" w14:textId="77777777" w:rsidR="00F00A02" w:rsidRDefault="00F00A02">
      <w:pPr>
        <w:widowControl w:val="0"/>
        <w:ind w:left="567" w:hanging="567"/>
        <w:rPr>
          <w:sz w:val="22"/>
          <w:szCs w:val="22"/>
          <w:lang w:eastAsia="lt-LT"/>
        </w:rPr>
      </w:pPr>
    </w:p>
    <w:p w14:paraId="1F810138" w14:textId="77777777" w:rsidR="00F00A02" w:rsidRDefault="00F00A02">
      <w:pPr>
        <w:widowControl w:val="0"/>
        <w:ind w:left="567" w:hanging="567"/>
        <w:rPr>
          <w:sz w:val="22"/>
          <w:szCs w:val="22"/>
          <w:lang w:eastAsia="lt-LT"/>
        </w:rPr>
      </w:pPr>
    </w:p>
    <w:p w14:paraId="331871E6" w14:textId="77777777" w:rsidR="00F00A02" w:rsidRDefault="0027659F">
      <w:pPr>
        <w:widowControl w:val="0"/>
        <w:ind w:left="567" w:hanging="567"/>
        <w:rPr>
          <w:b/>
          <w:sz w:val="22"/>
          <w:szCs w:val="22"/>
          <w:lang w:eastAsia="lt-LT"/>
        </w:rPr>
      </w:pPr>
      <w:r>
        <w:rPr>
          <w:b/>
          <w:caps/>
          <w:sz w:val="22"/>
          <w:szCs w:val="22"/>
          <w:lang w:eastAsia="lt-LT"/>
        </w:rPr>
        <w:t>4.</w:t>
      </w:r>
      <w:r>
        <w:rPr>
          <w:b/>
          <w:caps/>
          <w:sz w:val="22"/>
          <w:szCs w:val="22"/>
          <w:lang w:eastAsia="lt-LT"/>
        </w:rPr>
        <w:tab/>
      </w:r>
      <w:r>
        <w:rPr>
          <w:b/>
          <w:sz w:val="22"/>
          <w:szCs w:val="22"/>
          <w:lang w:eastAsia="lt-LT"/>
        </w:rPr>
        <w:t>KLINIKINĖ INFORMACIJA</w:t>
      </w:r>
    </w:p>
    <w:p w14:paraId="4BD65301" w14:textId="77777777" w:rsidR="00F00A02" w:rsidRDefault="00F00A02">
      <w:pPr>
        <w:widowControl w:val="0"/>
        <w:ind w:left="567" w:hanging="567"/>
        <w:rPr>
          <w:sz w:val="22"/>
          <w:szCs w:val="22"/>
          <w:lang w:eastAsia="lt-LT"/>
        </w:rPr>
      </w:pPr>
    </w:p>
    <w:p w14:paraId="783B2E05" w14:textId="77777777" w:rsidR="00F00A02" w:rsidRDefault="0027659F">
      <w:pPr>
        <w:widowControl w:val="0"/>
        <w:ind w:left="567" w:hanging="567"/>
        <w:outlineLvl w:val="2"/>
        <w:rPr>
          <w:b/>
          <w:bCs/>
          <w:sz w:val="22"/>
          <w:szCs w:val="22"/>
          <w:lang w:eastAsia="lt-LT"/>
        </w:rPr>
      </w:pPr>
      <w:r>
        <w:rPr>
          <w:b/>
          <w:bCs/>
          <w:sz w:val="22"/>
          <w:szCs w:val="22"/>
          <w:lang w:eastAsia="lt-LT"/>
        </w:rPr>
        <w:t>4.1</w:t>
      </w:r>
      <w:r>
        <w:rPr>
          <w:b/>
          <w:bCs/>
          <w:sz w:val="22"/>
          <w:szCs w:val="22"/>
          <w:lang w:eastAsia="lt-LT"/>
        </w:rPr>
        <w:tab/>
        <w:t>Terapinės indikacijos</w:t>
      </w:r>
    </w:p>
    <w:p w14:paraId="11615BCC" w14:textId="77777777" w:rsidR="00F00A02" w:rsidRDefault="00F00A02">
      <w:pPr>
        <w:widowControl w:val="0"/>
        <w:rPr>
          <w:sz w:val="22"/>
          <w:szCs w:val="22"/>
          <w:lang w:eastAsia="lt-LT"/>
        </w:rPr>
      </w:pPr>
    </w:p>
    <w:p w14:paraId="5F0B5CD3" w14:textId="77777777" w:rsidR="00F00A02" w:rsidRDefault="0027659F">
      <w:pPr>
        <w:widowControl w:val="0"/>
        <w:numPr>
          <w:ilvl w:val="0"/>
          <w:numId w:val="18"/>
        </w:numPr>
        <w:rPr>
          <w:color w:val="000000"/>
          <w:sz w:val="22"/>
          <w:szCs w:val="22"/>
        </w:rPr>
      </w:pPr>
      <w:r>
        <w:rPr>
          <w:color w:val="000000"/>
          <w:sz w:val="22"/>
          <w:szCs w:val="22"/>
        </w:rPr>
        <w:t>Pirminės hipertenzijos gydymas suaugusiesiems bei 6 - 18 metų vaikams ir paaugliams.</w:t>
      </w:r>
    </w:p>
    <w:p w14:paraId="51F501F0" w14:textId="77777777" w:rsidR="00F00A02" w:rsidRDefault="0027659F">
      <w:pPr>
        <w:widowControl w:val="0"/>
        <w:numPr>
          <w:ilvl w:val="0"/>
          <w:numId w:val="18"/>
        </w:numPr>
        <w:rPr>
          <w:color w:val="000000"/>
          <w:sz w:val="22"/>
          <w:szCs w:val="22"/>
        </w:rPr>
      </w:pPr>
      <w:r>
        <w:rPr>
          <w:sz w:val="22"/>
          <w:szCs w:val="22"/>
        </w:rPr>
        <w:t>Inkstų ligos gydymas, kaip antihipertenzinio gydymo dalis, suaugusiems pacientams, sergantiems hipertenzija ir II tipo cukriniu diabetu, susijusiu su ≥ 0,5 g per parą proteinurija (</w:t>
      </w:r>
      <w:r>
        <w:rPr>
          <w:sz w:val="22"/>
          <w:szCs w:val="22"/>
          <w:lang w:val="lt-LT"/>
        </w:rPr>
        <w:t>žr. 4.3, 4.4, 4.5 ir 5.1 skyrius)</w:t>
      </w:r>
      <w:r>
        <w:rPr>
          <w:sz w:val="22"/>
          <w:szCs w:val="22"/>
        </w:rPr>
        <w:t>.</w:t>
      </w:r>
    </w:p>
    <w:p w14:paraId="3F58349F" w14:textId="77777777" w:rsidR="00F00A02" w:rsidRDefault="0027659F">
      <w:pPr>
        <w:widowControl w:val="0"/>
        <w:numPr>
          <w:ilvl w:val="0"/>
          <w:numId w:val="18"/>
        </w:numPr>
        <w:rPr>
          <w:color w:val="000000"/>
          <w:sz w:val="22"/>
          <w:szCs w:val="22"/>
        </w:rPr>
      </w:pPr>
      <w:r>
        <w:rPr>
          <w:sz w:val="22"/>
          <w:szCs w:val="22"/>
        </w:rPr>
        <w:t xml:space="preserve">Lėtinio širdies nepakankamumo gydymas suaugusiems pacientams, kai tolesnis gydymas angiotenziną konvertuojančio fermento (AKF) inhibitoriais netinka dėl nepageidaujamo poveikio, </w:t>
      </w:r>
      <w:r>
        <w:rPr>
          <w:i/>
          <w:sz w:val="22"/>
          <w:szCs w:val="22"/>
        </w:rPr>
        <w:t>ypač kosulio</w:t>
      </w:r>
      <w:r>
        <w:rPr>
          <w:sz w:val="22"/>
          <w:szCs w:val="22"/>
        </w:rPr>
        <w:t>, arba kontraindikacijų. Širdies nepakankamumu sergantiems pacientams, kurių būklę stabilizavo AKF inhibitoriai, gydymo keisti losartanu nereikia. Pacientų kairiojo skilvelio išstūmimo frakcija turi būti ≤ 40%, būklė turi būti kliniškai stabili ir jie turi gauti nustatytą lėtinio širdies nepakankamumo gydymą.</w:t>
      </w:r>
    </w:p>
    <w:p w14:paraId="35E788D6" w14:textId="77777777" w:rsidR="00F00A02" w:rsidRDefault="0027659F">
      <w:pPr>
        <w:widowControl w:val="0"/>
        <w:numPr>
          <w:ilvl w:val="0"/>
          <w:numId w:val="18"/>
        </w:numPr>
        <w:rPr>
          <w:color w:val="000000"/>
          <w:sz w:val="22"/>
          <w:szCs w:val="22"/>
        </w:rPr>
      </w:pPr>
      <w:r>
        <w:rPr>
          <w:sz w:val="22"/>
          <w:szCs w:val="22"/>
        </w:rPr>
        <w:t>Insulto rizikos mažinimas hipertenzija sergantiems suaugusiems pacientams, kuriems EKG yra dokumentuota kairiojo skilvelio hipertrofija (žr. 5.1 skyrių “LIFE tyrimas”, “Rasė”).</w:t>
      </w:r>
    </w:p>
    <w:p w14:paraId="0E7941C0" w14:textId="77777777" w:rsidR="00F00A02" w:rsidRDefault="00F00A02">
      <w:pPr>
        <w:widowControl w:val="0"/>
        <w:rPr>
          <w:sz w:val="22"/>
          <w:szCs w:val="22"/>
          <w:lang w:eastAsia="lt-LT"/>
        </w:rPr>
      </w:pPr>
    </w:p>
    <w:p w14:paraId="5CDC2B94" w14:textId="77777777" w:rsidR="00F00A02" w:rsidRDefault="0027659F">
      <w:pPr>
        <w:widowControl w:val="0"/>
        <w:tabs>
          <w:tab w:val="left" w:pos="567"/>
        </w:tabs>
        <w:outlineLvl w:val="2"/>
        <w:rPr>
          <w:b/>
          <w:bCs/>
          <w:sz w:val="22"/>
          <w:szCs w:val="22"/>
          <w:lang w:eastAsia="lt-LT"/>
        </w:rPr>
      </w:pPr>
      <w:r>
        <w:rPr>
          <w:b/>
          <w:bCs/>
          <w:sz w:val="22"/>
          <w:szCs w:val="22"/>
          <w:lang w:eastAsia="lt-LT"/>
        </w:rPr>
        <w:t>4.2</w:t>
      </w:r>
      <w:r>
        <w:rPr>
          <w:b/>
          <w:bCs/>
          <w:sz w:val="22"/>
          <w:szCs w:val="22"/>
          <w:lang w:eastAsia="lt-LT"/>
        </w:rPr>
        <w:tab/>
        <w:t>Dozavimas ir vartojimo metodas</w:t>
      </w:r>
    </w:p>
    <w:p w14:paraId="0580BBE3" w14:textId="77777777" w:rsidR="00F00A02" w:rsidRDefault="00F00A02">
      <w:pPr>
        <w:widowControl w:val="0"/>
        <w:rPr>
          <w:sz w:val="22"/>
          <w:szCs w:val="22"/>
          <w:lang w:eastAsia="lt-LT"/>
        </w:rPr>
      </w:pPr>
    </w:p>
    <w:p w14:paraId="36B4B541" w14:textId="77777777" w:rsidR="00F00A02" w:rsidRDefault="0027659F">
      <w:pPr>
        <w:widowControl w:val="0"/>
        <w:rPr>
          <w:color w:val="000000"/>
          <w:sz w:val="22"/>
          <w:szCs w:val="22"/>
          <w:u w:val="single"/>
          <w:lang w:eastAsia="lt-LT"/>
        </w:rPr>
      </w:pPr>
      <w:r>
        <w:rPr>
          <w:color w:val="000000"/>
          <w:sz w:val="22"/>
          <w:szCs w:val="22"/>
          <w:u w:val="single"/>
          <w:lang w:eastAsia="lt-LT"/>
        </w:rPr>
        <w:t>Dozavimas</w:t>
      </w:r>
    </w:p>
    <w:p w14:paraId="4D9A4485" w14:textId="77777777" w:rsidR="00F00A02" w:rsidRDefault="00F00A02">
      <w:pPr>
        <w:widowControl w:val="0"/>
        <w:rPr>
          <w:color w:val="000000"/>
          <w:sz w:val="22"/>
          <w:szCs w:val="22"/>
          <w:lang w:eastAsia="lt-LT"/>
        </w:rPr>
      </w:pPr>
    </w:p>
    <w:p w14:paraId="32438E37" w14:textId="77777777" w:rsidR="00F00A02" w:rsidRDefault="0027659F">
      <w:pPr>
        <w:widowControl w:val="0"/>
        <w:rPr>
          <w:b/>
          <w:color w:val="000000"/>
          <w:sz w:val="22"/>
          <w:szCs w:val="22"/>
          <w:lang w:eastAsia="lt-LT"/>
        </w:rPr>
      </w:pPr>
      <w:r>
        <w:rPr>
          <w:color w:val="000000"/>
          <w:sz w:val="22"/>
          <w:szCs w:val="22"/>
          <w:u w:val="single"/>
          <w:lang w:eastAsia="lt-LT"/>
        </w:rPr>
        <w:t>Hipertenzija</w:t>
      </w:r>
    </w:p>
    <w:p w14:paraId="64B39D09" w14:textId="77777777" w:rsidR="00F00A02" w:rsidRDefault="0027659F">
      <w:pPr>
        <w:widowControl w:val="0"/>
        <w:rPr>
          <w:color w:val="000000"/>
          <w:sz w:val="22"/>
          <w:szCs w:val="22"/>
          <w:lang w:eastAsia="lt-LT"/>
        </w:rPr>
      </w:pPr>
      <w:r>
        <w:rPr>
          <w:color w:val="000000"/>
          <w:sz w:val="22"/>
          <w:szCs w:val="22"/>
          <w:lang w:eastAsia="lt-LT"/>
        </w:rPr>
        <w:t>Daugumai pacientų įprastinė pradinė ir palaikomoji dozė yra 50 mg kartą per parą. Stipriausias antihipertenzinis poveikis pasireiškia po 3 - 6 savaičių nuo gydymo pradžios. Dozę padidinus iki 100 mg kartą per parą (ryte), kai kuriems pacientams galima papildoma nauda.</w:t>
      </w:r>
    </w:p>
    <w:p w14:paraId="599C3FEE" w14:textId="77777777" w:rsidR="00F00A02" w:rsidRDefault="0027659F">
      <w:pPr>
        <w:widowControl w:val="0"/>
        <w:rPr>
          <w:color w:val="000000"/>
          <w:sz w:val="22"/>
          <w:szCs w:val="22"/>
          <w:lang w:eastAsia="lt-LT"/>
        </w:rPr>
      </w:pPr>
      <w:r>
        <w:rPr>
          <w:color w:val="000000"/>
          <w:sz w:val="22"/>
          <w:szCs w:val="22"/>
          <w:lang w:eastAsia="lt-LT"/>
        </w:rPr>
        <w:t>Losartaną galima vartoti kartu su kitais antihipertenziniais vaistiniais preparatais, ypač diuretikais (pvz., hidrochlorotiazidu)</w:t>
      </w:r>
      <w:r>
        <w:rPr>
          <w:sz w:val="22"/>
          <w:szCs w:val="22"/>
        </w:rPr>
        <w:t xml:space="preserve"> </w:t>
      </w:r>
      <w:r>
        <w:rPr>
          <w:color w:val="000000"/>
          <w:sz w:val="22"/>
          <w:szCs w:val="22"/>
          <w:lang w:eastAsia="lt-LT"/>
        </w:rPr>
        <w:t>(žr. 4.3, 4.4, 4.5 ir 5.1 skyrius).</w:t>
      </w:r>
    </w:p>
    <w:p w14:paraId="5A4D693F" w14:textId="77777777" w:rsidR="00F00A02" w:rsidRDefault="00F00A02">
      <w:pPr>
        <w:widowControl w:val="0"/>
        <w:rPr>
          <w:color w:val="000000"/>
          <w:sz w:val="22"/>
          <w:szCs w:val="22"/>
          <w:lang w:eastAsia="lt-LT"/>
        </w:rPr>
      </w:pPr>
    </w:p>
    <w:p w14:paraId="66CB8348" w14:textId="77777777" w:rsidR="00F00A02" w:rsidRDefault="0027659F">
      <w:pPr>
        <w:widowControl w:val="0"/>
        <w:rPr>
          <w:color w:val="000000"/>
          <w:sz w:val="22"/>
          <w:szCs w:val="22"/>
          <w:u w:val="single"/>
          <w:lang w:eastAsia="lt-LT"/>
        </w:rPr>
      </w:pPr>
      <w:r>
        <w:rPr>
          <w:color w:val="000000"/>
          <w:sz w:val="22"/>
          <w:szCs w:val="22"/>
          <w:u w:val="single"/>
          <w:lang w:eastAsia="lt-LT"/>
        </w:rPr>
        <w:t xml:space="preserve">Pacientai, sergantys hipertenzija ir II tipo cukriniu diabetu, susijusiu su </w:t>
      </w:r>
      <w:r>
        <w:rPr>
          <w:iCs/>
          <w:color w:val="000000"/>
          <w:sz w:val="22"/>
          <w:szCs w:val="22"/>
          <w:u w:val="single"/>
          <w:lang w:eastAsia="lt-LT"/>
        </w:rPr>
        <w:t>≥ 0,5 g per parą</w:t>
      </w:r>
      <w:r>
        <w:rPr>
          <w:color w:val="000000"/>
          <w:sz w:val="22"/>
          <w:szCs w:val="22"/>
          <w:u w:val="single"/>
          <w:lang w:eastAsia="lt-LT"/>
        </w:rPr>
        <w:t xml:space="preserve"> proteinurija.</w:t>
      </w:r>
    </w:p>
    <w:p w14:paraId="2878427D" w14:textId="77777777" w:rsidR="00F00A02" w:rsidRDefault="0027659F">
      <w:pPr>
        <w:widowControl w:val="0"/>
        <w:rPr>
          <w:color w:val="000000"/>
          <w:sz w:val="22"/>
          <w:szCs w:val="22"/>
          <w:lang w:eastAsia="lt-LT"/>
        </w:rPr>
      </w:pPr>
      <w:r>
        <w:rPr>
          <w:color w:val="000000"/>
          <w:sz w:val="22"/>
          <w:szCs w:val="22"/>
          <w:lang w:eastAsia="lt-LT"/>
        </w:rPr>
        <w:t xml:space="preserve">Įprastinė pradinė dozė yra 50 mg kartą per parą. Atsižvelgiant į kraujospūdžio reakciją per pirmą mėnesį nuo gydymo pradžios, dozę galima padidinti iki 100 mg kartą per parą. Losartaną galima vartoti kartu su kitais antihipertenziniais vaistiniais preparatais (pvz., diuretikais, kalcio kanalų blokatoriais, alfa ar beta adrenoblokatoriais ir centrinio poveikio vaistais) </w:t>
      </w:r>
      <w:r>
        <w:rPr>
          <w:sz w:val="22"/>
          <w:szCs w:val="22"/>
        </w:rPr>
        <w:t>(</w:t>
      </w:r>
      <w:r>
        <w:rPr>
          <w:sz w:val="22"/>
          <w:szCs w:val="22"/>
          <w:lang w:val="lt-LT"/>
        </w:rPr>
        <w:t>žr. 4.3, 4.4, 4.5 ir 5.1 skyrius)</w:t>
      </w:r>
      <w:r>
        <w:rPr>
          <w:color w:val="000000"/>
          <w:sz w:val="22"/>
          <w:szCs w:val="22"/>
          <w:lang w:eastAsia="lt-LT"/>
        </w:rPr>
        <w:t xml:space="preserve">, insulinu bei kitais vaistiniais preparatais, kurie paprastai vartojami gliukozės </w:t>
      </w:r>
      <w:r>
        <w:rPr>
          <w:color w:val="000000"/>
          <w:sz w:val="22"/>
          <w:szCs w:val="22"/>
          <w:lang w:eastAsia="lt-LT"/>
        </w:rPr>
        <w:lastRenderedPageBreak/>
        <w:t>koncentracijai kraujyje mažinti (pvz., sulfonilurėjos dariniais, glitazonais ir gliukozidazės inhibitoriais).</w:t>
      </w:r>
    </w:p>
    <w:p w14:paraId="289B8D61" w14:textId="77777777" w:rsidR="00F00A02" w:rsidRDefault="00F00A02">
      <w:pPr>
        <w:widowControl w:val="0"/>
        <w:rPr>
          <w:color w:val="000000"/>
          <w:sz w:val="22"/>
          <w:szCs w:val="22"/>
          <w:lang w:eastAsia="lt-LT"/>
        </w:rPr>
      </w:pPr>
    </w:p>
    <w:p w14:paraId="728B7F27" w14:textId="77777777" w:rsidR="00F00A02" w:rsidRDefault="0027659F">
      <w:pPr>
        <w:widowControl w:val="0"/>
        <w:rPr>
          <w:color w:val="000000"/>
          <w:sz w:val="22"/>
          <w:szCs w:val="22"/>
          <w:u w:val="single"/>
          <w:lang w:eastAsia="lt-LT"/>
        </w:rPr>
      </w:pPr>
      <w:r>
        <w:rPr>
          <w:color w:val="000000"/>
          <w:sz w:val="22"/>
          <w:szCs w:val="22"/>
          <w:u w:val="single"/>
          <w:lang w:eastAsia="lt-LT"/>
        </w:rPr>
        <w:t>Širdies nepakankamumas</w:t>
      </w:r>
    </w:p>
    <w:p w14:paraId="6C99EEDB" w14:textId="77777777" w:rsidR="00F00A02" w:rsidRDefault="0027659F">
      <w:pPr>
        <w:widowControl w:val="0"/>
        <w:rPr>
          <w:color w:val="000000"/>
          <w:sz w:val="22"/>
          <w:szCs w:val="22"/>
          <w:lang w:eastAsia="lt-LT"/>
        </w:rPr>
      </w:pPr>
      <w:r>
        <w:rPr>
          <w:color w:val="000000"/>
          <w:sz w:val="22"/>
          <w:szCs w:val="22"/>
          <w:lang w:eastAsia="lt-LT"/>
        </w:rPr>
        <w:t>Pacientams, sergantiems širdies nepakankamumu, įprastinė pradinė losartano dozė yra 12,5 mg kartą per parą. Dozę, atsižvelgiant į tai, kaip pacientas ją toleruoja, paprastai kas savaitę reikia didinti (t. y. 12,5 mg kartą per parą vartojamą dozę pradžioje reikia padidinti iki 25 mg kartą per parą, po to iki 50 mg kartą per parą, po to iki 100 mg kartą per parą, iki didžiausios 150 mg dozės vieną kartą per parą).</w:t>
      </w:r>
    </w:p>
    <w:p w14:paraId="686D32C7" w14:textId="77777777" w:rsidR="00F00A02" w:rsidRDefault="00F00A02">
      <w:pPr>
        <w:widowControl w:val="0"/>
        <w:rPr>
          <w:color w:val="000000"/>
          <w:sz w:val="22"/>
          <w:szCs w:val="22"/>
          <w:lang w:eastAsia="lt-LT"/>
        </w:rPr>
      </w:pPr>
    </w:p>
    <w:p w14:paraId="4041F9CC" w14:textId="77777777" w:rsidR="00F00A02" w:rsidRDefault="0027659F">
      <w:pPr>
        <w:widowControl w:val="0"/>
        <w:rPr>
          <w:color w:val="000000"/>
          <w:sz w:val="22"/>
          <w:szCs w:val="22"/>
          <w:u w:val="single"/>
          <w:lang w:eastAsia="lt-LT"/>
        </w:rPr>
      </w:pPr>
      <w:r>
        <w:rPr>
          <w:color w:val="000000"/>
          <w:sz w:val="22"/>
          <w:szCs w:val="22"/>
          <w:u w:val="single"/>
          <w:lang w:eastAsia="lt-LT"/>
        </w:rPr>
        <w:t>Insulto rizikos mažinimas hipertenzija sergantiems pacientams, kuriems EKG yra dokumentuota kairiojo skilvelio hipertrofija</w:t>
      </w:r>
    </w:p>
    <w:p w14:paraId="3E18EA77" w14:textId="77777777" w:rsidR="00F00A02" w:rsidRDefault="0027659F">
      <w:pPr>
        <w:widowControl w:val="0"/>
        <w:rPr>
          <w:color w:val="000000"/>
          <w:sz w:val="22"/>
          <w:szCs w:val="22"/>
          <w:lang w:eastAsia="lt-LT"/>
        </w:rPr>
      </w:pPr>
      <w:r>
        <w:rPr>
          <w:color w:val="000000"/>
          <w:sz w:val="22"/>
          <w:szCs w:val="22"/>
          <w:lang w:eastAsia="lt-LT"/>
        </w:rPr>
        <w:t>Įprastinė pradinė losartano dozė yra 50 mg kartą per parą. Atsižvelgiant į kraujospūdžio reakciją, galima skirti kartu vartoti mažą hidrochlorotiazido dozę ir (arba) losartano dozę padidinti iki 100 mg kartą per parą.</w:t>
      </w:r>
    </w:p>
    <w:p w14:paraId="5CE7AB86" w14:textId="77777777" w:rsidR="00F00A02" w:rsidRDefault="00F00A02">
      <w:pPr>
        <w:widowControl w:val="0"/>
        <w:rPr>
          <w:color w:val="000000"/>
          <w:sz w:val="22"/>
          <w:szCs w:val="22"/>
          <w:lang w:eastAsia="lt-LT"/>
        </w:rPr>
      </w:pPr>
    </w:p>
    <w:p w14:paraId="3EAC1AC8" w14:textId="77777777" w:rsidR="00F00A02" w:rsidRDefault="0027659F">
      <w:pPr>
        <w:widowControl w:val="0"/>
        <w:rPr>
          <w:i/>
          <w:color w:val="000000"/>
          <w:sz w:val="22"/>
          <w:szCs w:val="22"/>
          <w:u w:val="single"/>
          <w:lang w:eastAsia="lt-LT"/>
        </w:rPr>
      </w:pPr>
      <w:r>
        <w:rPr>
          <w:i/>
          <w:color w:val="000000"/>
          <w:sz w:val="22"/>
          <w:szCs w:val="22"/>
          <w:u w:val="single"/>
          <w:lang w:eastAsia="lt-LT"/>
        </w:rPr>
        <w:t>Ypatingos populiacijos</w:t>
      </w:r>
    </w:p>
    <w:p w14:paraId="6B8C4218" w14:textId="77777777" w:rsidR="00F00A02" w:rsidRDefault="0027659F">
      <w:pPr>
        <w:widowControl w:val="0"/>
        <w:rPr>
          <w:color w:val="000000"/>
          <w:sz w:val="22"/>
          <w:szCs w:val="22"/>
          <w:u w:val="single"/>
          <w:lang w:eastAsia="lt-LT"/>
        </w:rPr>
      </w:pPr>
      <w:r>
        <w:rPr>
          <w:color w:val="000000"/>
          <w:sz w:val="22"/>
          <w:szCs w:val="22"/>
          <w:u w:val="single"/>
          <w:lang w:eastAsia="lt-LT"/>
        </w:rPr>
        <w:t>Vartojimas pacientams, kurių kraujo tūris sumažėjęs</w:t>
      </w:r>
    </w:p>
    <w:p w14:paraId="7ED091F2" w14:textId="77777777" w:rsidR="00F00A02" w:rsidRDefault="0027659F">
      <w:pPr>
        <w:widowControl w:val="0"/>
        <w:rPr>
          <w:color w:val="000000"/>
          <w:sz w:val="22"/>
          <w:szCs w:val="22"/>
          <w:lang w:eastAsia="lt-LT"/>
        </w:rPr>
      </w:pPr>
      <w:r>
        <w:rPr>
          <w:color w:val="000000"/>
          <w:sz w:val="22"/>
          <w:szCs w:val="22"/>
          <w:lang w:eastAsia="lt-LT"/>
        </w:rPr>
        <w:t>Pacientams, kurių kraujo tūris sumažėjęs (pvz., gydytiems didelėmis diuretikų dozėmis), pradinė dozė turi būti 25 mg (viena Lorista 25 mg plėvele dengta tabletė arba dvi Lorista 12,5 mg plėvele dengtos tabletės) kartą per parą (žr. 4.4 skyrių).</w:t>
      </w:r>
    </w:p>
    <w:p w14:paraId="227BDB3D" w14:textId="77777777" w:rsidR="00F00A02" w:rsidRDefault="00F00A02">
      <w:pPr>
        <w:widowControl w:val="0"/>
        <w:rPr>
          <w:color w:val="000000"/>
          <w:sz w:val="22"/>
          <w:szCs w:val="22"/>
          <w:lang w:eastAsia="lt-LT"/>
        </w:rPr>
      </w:pPr>
    </w:p>
    <w:p w14:paraId="0496836A" w14:textId="77777777" w:rsidR="00F00A02" w:rsidRDefault="0027659F">
      <w:pPr>
        <w:widowControl w:val="0"/>
        <w:rPr>
          <w:color w:val="000000"/>
          <w:sz w:val="22"/>
          <w:szCs w:val="22"/>
          <w:u w:val="single"/>
          <w:lang w:eastAsia="lt-LT"/>
        </w:rPr>
      </w:pPr>
      <w:r>
        <w:rPr>
          <w:color w:val="000000"/>
          <w:sz w:val="22"/>
          <w:szCs w:val="22"/>
          <w:u w:val="single"/>
          <w:lang w:eastAsia="lt-LT"/>
        </w:rPr>
        <w:t>Pacientams, kurių inkstų funkcija sutrikusi, ir pacientams, kuriems atliekama hemodializė</w:t>
      </w:r>
    </w:p>
    <w:p w14:paraId="1D3C1B3A" w14:textId="77777777" w:rsidR="00F00A02" w:rsidRDefault="0027659F">
      <w:pPr>
        <w:widowControl w:val="0"/>
        <w:rPr>
          <w:color w:val="000000"/>
          <w:sz w:val="22"/>
          <w:szCs w:val="22"/>
          <w:lang w:eastAsia="lt-LT"/>
        </w:rPr>
      </w:pPr>
      <w:r>
        <w:rPr>
          <w:color w:val="000000"/>
          <w:sz w:val="22"/>
          <w:szCs w:val="22"/>
          <w:lang w:eastAsia="lt-LT"/>
        </w:rPr>
        <w:t>Pacientams, kurių inkstų funkcija sutrikusi ir pacientams, kuriems daroma hemodializė, pradinės dozės koreguoti nereikia.</w:t>
      </w:r>
    </w:p>
    <w:p w14:paraId="25ED4FDF" w14:textId="77777777" w:rsidR="00F00A02" w:rsidRDefault="00F00A02">
      <w:pPr>
        <w:widowControl w:val="0"/>
        <w:rPr>
          <w:color w:val="000000"/>
          <w:sz w:val="22"/>
          <w:szCs w:val="22"/>
          <w:lang w:eastAsia="lt-LT"/>
        </w:rPr>
      </w:pPr>
    </w:p>
    <w:p w14:paraId="1C1DE2A6" w14:textId="77777777" w:rsidR="00F00A02" w:rsidRDefault="0027659F">
      <w:pPr>
        <w:widowControl w:val="0"/>
        <w:rPr>
          <w:color w:val="000000"/>
          <w:sz w:val="22"/>
          <w:szCs w:val="22"/>
          <w:u w:val="single"/>
          <w:lang w:eastAsia="lt-LT"/>
        </w:rPr>
      </w:pPr>
      <w:r>
        <w:rPr>
          <w:color w:val="000000"/>
          <w:sz w:val="22"/>
          <w:szCs w:val="22"/>
          <w:u w:val="single"/>
          <w:lang w:eastAsia="lt-LT"/>
        </w:rPr>
        <w:t>Pacientams, kurių kepenų funkcija sutrikusi</w:t>
      </w:r>
    </w:p>
    <w:p w14:paraId="418CBC77" w14:textId="77777777" w:rsidR="00F00A02" w:rsidRDefault="0027659F">
      <w:pPr>
        <w:widowControl w:val="0"/>
        <w:rPr>
          <w:color w:val="000000"/>
          <w:sz w:val="22"/>
          <w:szCs w:val="22"/>
          <w:lang w:eastAsia="lt-LT"/>
        </w:rPr>
      </w:pPr>
      <w:r>
        <w:rPr>
          <w:color w:val="000000"/>
          <w:sz w:val="22"/>
          <w:szCs w:val="22"/>
          <w:lang w:eastAsia="lt-LT"/>
        </w:rPr>
        <w:t>Pacientams, kurių kepenų funkcija buvo sutrikusi, reikia skirti vartoti mažesnę dozę. Pacientų, kuriems yra sunkus kepenų funkcijos sutrikimas, gydymo šiuo vaistiniu preparatu patirties nėra. Todėl pacientams, kuriems yra sunkus kepenų funkcijos sutrikimas, losartano vartoti negalima (žr. 4.3 ir 4.4 skyrius).</w:t>
      </w:r>
    </w:p>
    <w:p w14:paraId="4F2709FB" w14:textId="77777777" w:rsidR="00F00A02" w:rsidRDefault="00F00A02">
      <w:pPr>
        <w:widowControl w:val="0"/>
        <w:rPr>
          <w:color w:val="000000"/>
          <w:sz w:val="22"/>
          <w:szCs w:val="22"/>
          <w:lang w:eastAsia="lt-LT"/>
        </w:rPr>
      </w:pPr>
    </w:p>
    <w:p w14:paraId="27B6B97A" w14:textId="77777777" w:rsidR="00F00A02" w:rsidRDefault="0027659F">
      <w:pPr>
        <w:widowControl w:val="0"/>
        <w:rPr>
          <w:color w:val="000000"/>
          <w:sz w:val="22"/>
          <w:szCs w:val="22"/>
          <w:u w:val="single"/>
          <w:lang w:eastAsia="lt-LT"/>
        </w:rPr>
      </w:pPr>
      <w:r>
        <w:rPr>
          <w:color w:val="000000"/>
          <w:sz w:val="22"/>
          <w:szCs w:val="22"/>
          <w:u w:val="single"/>
          <w:lang w:eastAsia="lt-LT"/>
        </w:rPr>
        <w:t>Vaikų populiacija</w:t>
      </w:r>
    </w:p>
    <w:p w14:paraId="27F64840" w14:textId="77777777" w:rsidR="00F00A02" w:rsidRDefault="00F00A02">
      <w:pPr>
        <w:widowControl w:val="0"/>
        <w:rPr>
          <w:color w:val="000000"/>
          <w:sz w:val="22"/>
          <w:szCs w:val="22"/>
          <w:lang w:eastAsia="lt-LT"/>
        </w:rPr>
      </w:pPr>
    </w:p>
    <w:p w14:paraId="2E3E8B4E" w14:textId="77777777" w:rsidR="00F00A02" w:rsidRDefault="0027659F">
      <w:pPr>
        <w:tabs>
          <w:tab w:val="left" w:pos="567"/>
        </w:tabs>
        <w:rPr>
          <w:sz w:val="22"/>
          <w:szCs w:val="22"/>
          <w:u w:val="single"/>
          <w:lang w:val="lt-LT" w:eastAsia="lt-LT"/>
        </w:rPr>
      </w:pPr>
      <w:r>
        <w:rPr>
          <w:sz w:val="22"/>
          <w:szCs w:val="22"/>
          <w:u w:val="single"/>
          <w:lang w:val="lt-LT" w:eastAsia="lt-LT"/>
        </w:rPr>
        <w:t>Nuo 6 mėnesių iki mažiau kaip 6 metų</w:t>
      </w:r>
    </w:p>
    <w:p w14:paraId="3072F0D3" w14:textId="77777777" w:rsidR="00F00A02" w:rsidRDefault="0027659F">
      <w:pPr>
        <w:widowControl w:val="0"/>
        <w:tabs>
          <w:tab w:val="left" w:pos="567"/>
        </w:tabs>
        <w:rPr>
          <w:rFonts w:eastAsia="Calibri"/>
          <w:sz w:val="22"/>
          <w:szCs w:val="22"/>
          <w:lang w:val="lt-LT" w:eastAsia="en-US"/>
        </w:rPr>
      </w:pPr>
      <w:r>
        <w:rPr>
          <w:rFonts w:eastAsia="Calibri"/>
          <w:sz w:val="22"/>
          <w:szCs w:val="22"/>
          <w:lang w:val="lt-LT" w:eastAsia="en-US"/>
        </w:rPr>
        <w:t>Saugumas ir veiksmingumas vaikams nuo 6 mėnesių iki mažiau kaip 6 metų neištirti. Turimi duomenys pateikiami 5.1 ir 5.2 skyriuose, tačiau dozavimo rekomendacijų pateikti negalima.</w:t>
      </w:r>
    </w:p>
    <w:p w14:paraId="448D9F0D" w14:textId="77777777" w:rsidR="00F00A02" w:rsidRDefault="00F00A02">
      <w:pPr>
        <w:widowControl w:val="0"/>
        <w:tabs>
          <w:tab w:val="left" w:pos="567"/>
        </w:tabs>
        <w:rPr>
          <w:rFonts w:eastAsia="Calibri"/>
          <w:sz w:val="22"/>
          <w:szCs w:val="22"/>
          <w:lang w:eastAsia="en-US"/>
        </w:rPr>
      </w:pPr>
    </w:p>
    <w:p w14:paraId="081B8BBE" w14:textId="77777777" w:rsidR="00F00A02" w:rsidRDefault="0027659F">
      <w:pPr>
        <w:autoSpaceDE w:val="0"/>
        <w:autoSpaceDN w:val="0"/>
        <w:adjustRightInd w:val="0"/>
        <w:rPr>
          <w:color w:val="000000"/>
          <w:sz w:val="22"/>
          <w:szCs w:val="22"/>
          <w:lang w:eastAsia="lt-LT"/>
        </w:rPr>
      </w:pPr>
      <w:r>
        <w:rPr>
          <w:sz w:val="22"/>
          <w:szCs w:val="22"/>
          <w:u w:val="single"/>
          <w:lang w:val="lt-LT" w:eastAsia="lt-LT"/>
        </w:rPr>
        <w:t>Nuo 6 metų iki 18 metų</w:t>
      </w:r>
    </w:p>
    <w:p w14:paraId="23CCBF95" w14:textId="77777777" w:rsidR="00F00A02" w:rsidRDefault="0027659F">
      <w:pPr>
        <w:widowControl w:val="0"/>
        <w:rPr>
          <w:color w:val="000000"/>
          <w:sz w:val="22"/>
          <w:szCs w:val="22"/>
          <w:lang w:eastAsia="lt-LT"/>
        </w:rPr>
      </w:pPr>
      <w:r>
        <w:rPr>
          <w:color w:val="000000"/>
          <w:sz w:val="22"/>
          <w:szCs w:val="22"/>
          <w:lang w:eastAsia="lt-LT"/>
        </w:rPr>
        <w:t>Daugiau kaip 20 kg, bet mažiau kaip 50 kg,sveriantiems pacientams, kurie gali nuryti tabletes, rekomenduojama dozė yra 25 mg (viena Lorista 25 mg plėvele dengta tabletė arba dvi Lorista 12,5 mg plėvele dengtos tabletės) kartą per parą. (Išskirtiniais atvejais dozę galima padidinti iki didžiausios, t.y. 50 mg, kuri geriama kartą per parą). Dozę reikia nustatyti, atsižvelgiant į kraujospūdžio reakciją.</w:t>
      </w:r>
    </w:p>
    <w:p w14:paraId="00DE7C84" w14:textId="77777777" w:rsidR="00F00A02" w:rsidRDefault="00F00A02">
      <w:pPr>
        <w:widowControl w:val="0"/>
        <w:rPr>
          <w:color w:val="000000"/>
          <w:sz w:val="22"/>
          <w:szCs w:val="22"/>
          <w:lang w:eastAsia="lt-LT"/>
        </w:rPr>
      </w:pPr>
    </w:p>
    <w:p w14:paraId="725B8F12" w14:textId="77777777" w:rsidR="00F00A02" w:rsidRDefault="0027659F">
      <w:pPr>
        <w:widowControl w:val="0"/>
        <w:rPr>
          <w:color w:val="000000"/>
          <w:sz w:val="22"/>
          <w:szCs w:val="22"/>
          <w:lang w:eastAsia="lt-LT"/>
        </w:rPr>
      </w:pPr>
      <w:r>
        <w:rPr>
          <w:color w:val="000000"/>
          <w:sz w:val="22"/>
          <w:szCs w:val="22"/>
          <w:lang w:eastAsia="lt-LT"/>
        </w:rPr>
        <w:t>Daugiau negu 50 kg sveriantiems pacientams įprastinė dozė yra 50 mg kartą per parą. Išskirtiniais atvejais dozę galima padidinti iki didžiausios, t.y. 100 mg, kuri geriama kartą per parą. Didesnių kaip 1,4 mg/kg kūno svorio (arba didesnių nei 100 mg) paros dozių poveikio vaikams tyrimų neatlikta.</w:t>
      </w:r>
    </w:p>
    <w:p w14:paraId="3D8C8B71" w14:textId="77777777" w:rsidR="00F00A02" w:rsidRDefault="00F00A02">
      <w:pPr>
        <w:widowControl w:val="0"/>
        <w:rPr>
          <w:color w:val="000000"/>
          <w:sz w:val="22"/>
          <w:szCs w:val="22"/>
          <w:lang w:eastAsia="lt-LT"/>
        </w:rPr>
      </w:pPr>
    </w:p>
    <w:p w14:paraId="53CE54A0" w14:textId="77777777" w:rsidR="00F00A02" w:rsidRDefault="0027659F">
      <w:pPr>
        <w:widowControl w:val="0"/>
        <w:rPr>
          <w:noProof/>
          <w:color w:val="000000"/>
          <w:sz w:val="22"/>
          <w:szCs w:val="22"/>
          <w:lang w:eastAsia="lt-LT"/>
        </w:rPr>
      </w:pPr>
      <w:r>
        <w:rPr>
          <w:noProof/>
          <w:color w:val="000000"/>
          <w:sz w:val="22"/>
          <w:szCs w:val="22"/>
          <w:lang w:eastAsia="lt-LT"/>
        </w:rPr>
        <w:t>Jaunesniems kaip 6 metų vaikams losartano vartoti nerekomenduojama, nes duomenų apie tokio amžiaus pacientų gydymą šiuo vaistiniu preparatu yra mažai.</w:t>
      </w:r>
    </w:p>
    <w:p w14:paraId="2D917184" w14:textId="77777777" w:rsidR="00F00A02" w:rsidRDefault="00F00A02">
      <w:pPr>
        <w:widowControl w:val="0"/>
        <w:rPr>
          <w:noProof/>
          <w:color w:val="000000"/>
          <w:sz w:val="22"/>
          <w:szCs w:val="22"/>
          <w:lang w:eastAsia="lt-LT"/>
        </w:rPr>
      </w:pPr>
    </w:p>
    <w:p w14:paraId="3FBCA44D" w14:textId="77777777" w:rsidR="00F00A02" w:rsidRDefault="0027659F">
      <w:pPr>
        <w:widowControl w:val="0"/>
        <w:rPr>
          <w:color w:val="000000"/>
          <w:sz w:val="22"/>
          <w:szCs w:val="22"/>
          <w:lang w:eastAsia="lt-LT"/>
        </w:rPr>
      </w:pPr>
      <w:r>
        <w:rPr>
          <w:color w:val="000000"/>
          <w:sz w:val="22"/>
          <w:szCs w:val="22"/>
          <w:lang w:eastAsia="lt-LT"/>
        </w:rPr>
        <w:t>Losartano nerekomenduojama vartoti vaikams, kurių glomerulų filtracijos greitis mažesnis kaip 30 ml/min./1,73 m</w:t>
      </w:r>
      <w:r>
        <w:rPr>
          <w:color w:val="000000"/>
          <w:sz w:val="22"/>
          <w:szCs w:val="22"/>
          <w:vertAlign w:val="superscript"/>
          <w:lang w:eastAsia="lt-LT"/>
        </w:rPr>
        <w:t>2</w:t>
      </w:r>
      <w:r>
        <w:rPr>
          <w:color w:val="000000"/>
          <w:sz w:val="22"/>
          <w:szCs w:val="22"/>
          <w:lang w:eastAsia="lt-LT"/>
        </w:rPr>
        <w:t>, kadangi apie tokių pacientų gydymą šiuo vaistiniu preparatu duomenų nėra (žr. ir 4.4 skyrių).</w:t>
      </w:r>
    </w:p>
    <w:p w14:paraId="42F80586" w14:textId="77777777" w:rsidR="00F00A02" w:rsidRDefault="00F00A02">
      <w:pPr>
        <w:widowControl w:val="0"/>
        <w:rPr>
          <w:color w:val="000000"/>
          <w:sz w:val="22"/>
          <w:szCs w:val="22"/>
          <w:lang w:eastAsia="lt-LT"/>
        </w:rPr>
      </w:pPr>
    </w:p>
    <w:p w14:paraId="3FF8C091" w14:textId="77777777" w:rsidR="00F00A02" w:rsidRDefault="0027659F">
      <w:pPr>
        <w:widowControl w:val="0"/>
        <w:rPr>
          <w:color w:val="000000"/>
          <w:sz w:val="22"/>
          <w:szCs w:val="22"/>
          <w:lang w:eastAsia="lt-LT"/>
        </w:rPr>
      </w:pPr>
      <w:r>
        <w:rPr>
          <w:color w:val="000000"/>
          <w:sz w:val="22"/>
          <w:szCs w:val="22"/>
          <w:lang w:eastAsia="lt-LT"/>
        </w:rPr>
        <w:t>Be to, losartanu nerekomenduojama gydyti vaikų, kurių kepenų funkcija sutrikusi (žr. ir 4.4 skyrių).</w:t>
      </w:r>
    </w:p>
    <w:p w14:paraId="4500612D" w14:textId="77777777" w:rsidR="00F00A02" w:rsidRDefault="00F00A02">
      <w:pPr>
        <w:widowControl w:val="0"/>
        <w:rPr>
          <w:color w:val="000000"/>
          <w:sz w:val="22"/>
          <w:szCs w:val="22"/>
          <w:lang w:eastAsia="lt-LT"/>
        </w:rPr>
      </w:pPr>
    </w:p>
    <w:p w14:paraId="3A9CE7C5" w14:textId="77777777" w:rsidR="00F00A02" w:rsidRDefault="0027659F">
      <w:pPr>
        <w:widowControl w:val="0"/>
        <w:rPr>
          <w:color w:val="000000"/>
          <w:sz w:val="22"/>
          <w:szCs w:val="22"/>
          <w:u w:val="single"/>
          <w:lang w:eastAsia="lt-LT"/>
        </w:rPr>
      </w:pPr>
      <w:r>
        <w:rPr>
          <w:color w:val="000000"/>
          <w:sz w:val="22"/>
          <w:szCs w:val="22"/>
          <w:u w:val="single"/>
          <w:lang w:eastAsia="lt-LT"/>
        </w:rPr>
        <w:t>Senyviems pacientams</w:t>
      </w:r>
    </w:p>
    <w:p w14:paraId="3074440A" w14:textId="77777777" w:rsidR="00F00A02" w:rsidRDefault="0027659F">
      <w:pPr>
        <w:widowControl w:val="0"/>
        <w:rPr>
          <w:color w:val="000000"/>
          <w:sz w:val="22"/>
          <w:szCs w:val="22"/>
          <w:lang w:eastAsia="lt-LT"/>
        </w:rPr>
      </w:pPr>
      <w:r>
        <w:rPr>
          <w:color w:val="000000"/>
          <w:sz w:val="22"/>
          <w:szCs w:val="22"/>
          <w:lang w:eastAsia="lt-LT"/>
        </w:rPr>
        <w:t>Nors senyviems žmonėms dažniausiai dozės koreguoti nereikia, vis dėlto vyresnius negu 75 metų pacientus reikia pradėti gydyti 25 mg doze (vartojama viena Lorista 25 mg plėvele dengta tabletė arba dvi Lorista 12,5 mg plėvele dengtos tabletės).</w:t>
      </w:r>
    </w:p>
    <w:p w14:paraId="7762F471" w14:textId="77777777" w:rsidR="00F00A02" w:rsidRDefault="00F00A02">
      <w:pPr>
        <w:widowControl w:val="0"/>
        <w:rPr>
          <w:sz w:val="22"/>
          <w:szCs w:val="22"/>
          <w:lang w:eastAsia="lt-LT"/>
        </w:rPr>
      </w:pPr>
    </w:p>
    <w:p w14:paraId="2A4897D3" w14:textId="77777777" w:rsidR="00F00A02" w:rsidRDefault="0027659F">
      <w:pPr>
        <w:widowControl w:val="0"/>
        <w:rPr>
          <w:color w:val="000000"/>
          <w:sz w:val="22"/>
          <w:szCs w:val="22"/>
          <w:u w:val="single"/>
          <w:lang w:eastAsia="lt-LT"/>
        </w:rPr>
      </w:pPr>
      <w:r>
        <w:rPr>
          <w:color w:val="000000"/>
          <w:sz w:val="22"/>
          <w:szCs w:val="22"/>
          <w:u w:val="single"/>
          <w:lang w:eastAsia="lt-LT"/>
        </w:rPr>
        <w:t>Vartojimo metodas</w:t>
      </w:r>
    </w:p>
    <w:p w14:paraId="3DF54E66" w14:textId="77777777" w:rsidR="00F00A02" w:rsidRDefault="0027659F">
      <w:pPr>
        <w:widowControl w:val="0"/>
        <w:rPr>
          <w:color w:val="000000"/>
          <w:sz w:val="22"/>
          <w:szCs w:val="22"/>
          <w:lang w:eastAsia="lt-LT"/>
        </w:rPr>
      </w:pPr>
      <w:r>
        <w:rPr>
          <w:color w:val="000000"/>
          <w:sz w:val="22"/>
          <w:szCs w:val="22"/>
          <w:lang w:eastAsia="lt-LT"/>
        </w:rPr>
        <w:t>Losartano tabletes reikia nuryti užgeriant stikline vandens.</w:t>
      </w:r>
    </w:p>
    <w:p w14:paraId="06CD633E" w14:textId="77777777" w:rsidR="00F00A02" w:rsidRDefault="0027659F">
      <w:pPr>
        <w:widowControl w:val="0"/>
        <w:rPr>
          <w:color w:val="000000"/>
          <w:sz w:val="22"/>
          <w:szCs w:val="22"/>
          <w:lang w:eastAsia="lt-LT"/>
        </w:rPr>
      </w:pPr>
      <w:r>
        <w:rPr>
          <w:color w:val="000000"/>
          <w:sz w:val="22"/>
          <w:szCs w:val="22"/>
          <w:lang w:eastAsia="lt-LT"/>
        </w:rPr>
        <w:t>Lorista galima vartoti valgant ar nevalgius.</w:t>
      </w:r>
    </w:p>
    <w:p w14:paraId="1065003E" w14:textId="77777777" w:rsidR="00F00A02" w:rsidRDefault="00F00A02">
      <w:pPr>
        <w:widowControl w:val="0"/>
        <w:rPr>
          <w:sz w:val="22"/>
          <w:szCs w:val="22"/>
          <w:lang w:eastAsia="lt-LT"/>
        </w:rPr>
      </w:pPr>
    </w:p>
    <w:p w14:paraId="0DC6FF47" w14:textId="77777777" w:rsidR="00F00A02" w:rsidRDefault="0027659F">
      <w:pPr>
        <w:widowControl w:val="0"/>
        <w:ind w:left="567" w:hanging="567"/>
        <w:outlineLvl w:val="2"/>
        <w:rPr>
          <w:b/>
          <w:bCs/>
          <w:sz w:val="22"/>
          <w:szCs w:val="22"/>
          <w:lang w:eastAsia="lt-LT"/>
        </w:rPr>
      </w:pPr>
      <w:r>
        <w:rPr>
          <w:b/>
          <w:bCs/>
          <w:sz w:val="22"/>
          <w:szCs w:val="22"/>
          <w:lang w:eastAsia="lt-LT"/>
        </w:rPr>
        <w:t>4.3</w:t>
      </w:r>
      <w:r>
        <w:rPr>
          <w:b/>
          <w:bCs/>
          <w:sz w:val="22"/>
          <w:szCs w:val="22"/>
          <w:lang w:eastAsia="lt-LT"/>
        </w:rPr>
        <w:tab/>
        <w:t>Kontraindikacijos</w:t>
      </w:r>
    </w:p>
    <w:p w14:paraId="263BF57A" w14:textId="77777777" w:rsidR="00F00A02" w:rsidRDefault="00F00A02">
      <w:pPr>
        <w:widowControl w:val="0"/>
        <w:rPr>
          <w:sz w:val="22"/>
          <w:szCs w:val="22"/>
          <w:lang w:eastAsia="lt-LT"/>
        </w:rPr>
      </w:pPr>
    </w:p>
    <w:p w14:paraId="65450303" w14:textId="77777777" w:rsidR="00F00A02" w:rsidRDefault="0027659F">
      <w:pPr>
        <w:pStyle w:val="Sraopastraipa"/>
        <w:widowControl w:val="0"/>
        <w:numPr>
          <w:ilvl w:val="0"/>
          <w:numId w:val="28"/>
        </w:numPr>
        <w:ind w:left="567" w:hanging="567"/>
        <w:rPr>
          <w:color w:val="000000"/>
          <w:szCs w:val="22"/>
        </w:rPr>
      </w:pPr>
      <w:r>
        <w:rPr>
          <w:color w:val="000000"/>
          <w:szCs w:val="22"/>
        </w:rPr>
        <w:t>Padidėjęs jautrumas veikliajai arba bet kuriai 4.4 ir 6.1 skyriuje nurodytai pagalbinei medžiagai.</w:t>
      </w:r>
    </w:p>
    <w:p w14:paraId="2391850D" w14:textId="77777777" w:rsidR="00F00A02" w:rsidRDefault="0027659F">
      <w:pPr>
        <w:pStyle w:val="Sraopastraipa"/>
        <w:widowControl w:val="0"/>
        <w:numPr>
          <w:ilvl w:val="0"/>
          <w:numId w:val="28"/>
        </w:numPr>
        <w:ind w:left="567" w:hanging="567"/>
        <w:rPr>
          <w:color w:val="000000"/>
          <w:szCs w:val="22"/>
        </w:rPr>
      </w:pPr>
      <w:r>
        <w:rPr>
          <w:color w:val="000000"/>
          <w:szCs w:val="22"/>
        </w:rPr>
        <w:t>Antrasis ir trečiasis nėštumo trimestrai (žr. 4.4 ir 4.6 skyrius).</w:t>
      </w:r>
    </w:p>
    <w:p w14:paraId="20A9F9F9" w14:textId="77777777" w:rsidR="00F00A02" w:rsidRDefault="0027659F">
      <w:pPr>
        <w:pStyle w:val="Sraopastraipa"/>
        <w:widowControl w:val="0"/>
        <w:numPr>
          <w:ilvl w:val="0"/>
          <w:numId w:val="28"/>
        </w:numPr>
        <w:ind w:left="567" w:hanging="567"/>
        <w:rPr>
          <w:color w:val="000000"/>
          <w:szCs w:val="22"/>
        </w:rPr>
      </w:pPr>
      <w:r>
        <w:rPr>
          <w:color w:val="000000"/>
          <w:szCs w:val="22"/>
        </w:rPr>
        <w:t>Sunkus kepenų funkcijos sutrikimas.</w:t>
      </w:r>
    </w:p>
    <w:p w14:paraId="33E78C6A" w14:textId="77777777" w:rsidR="00F00A02" w:rsidRDefault="0027659F">
      <w:pPr>
        <w:pStyle w:val="Sraopastraipa"/>
        <w:widowControl w:val="0"/>
        <w:numPr>
          <w:ilvl w:val="0"/>
          <w:numId w:val="28"/>
        </w:numPr>
        <w:ind w:left="567" w:hanging="567"/>
        <w:rPr>
          <w:color w:val="000000"/>
          <w:szCs w:val="22"/>
        </w:rPr>
      </w:pPr>
      <w:r>
        <w:rPr>
          <w:color w:val="000000"/>
          <w:szCs w:val="22"/>
        </w:rPr>
        <w:t>Pacientams, kurie serga cukriniu diabetu arba kurių inkstų funkcija sutrikusi (GFG &lt; 60 ml/min/1,73 m</w:t>
      </w:r>
      <w:r>
        <w:rPr>
          <w:color w:val="000000"/>
          <w:szCs w:val="22"/>
          <w:vertAlign w:val="superscript"/>
        </w:rPr>
        <w:t>2</w:t>
      </w:r>
      <w:r>
        <w:rPr>
          <w:color w:val="000000"/>
          <w:szCs w:val="22"/>
        </w:rPr>
        <w:t xml:space="preserve">), </w:t>
      </w:r>
      <w:proofErr w:type="spellStart"/>
      <w:r>
        <w:rPr>
          <w:color w:val="000000"/>
          <w:szCs w:val="22"/>
        </w:rPr>
        <w:t>Lorista</w:t>
      </w:r>
      <w:proofErr w:type="spellEnd"/>
      <w:r>
        <w:rPr>
          <w:color w:val="000000"/>
          <w:szCs w:val="22"/>
        </w:rPr>
        <w:t xml:space="preserve"> negalima vartoti kartu su vaistiniais preparatais, kurių sudėtyje yra </w:t>
      </w:r>
      <w:proofErr w:type="spellStart"/>
      <w:r>
        <w:rPr>
          <w:color w:val="000000"/>
          <w:szCs w:val="22"/>
        </w:rPr>
        <w:t>aliskireno</w:t>
      </w:r>
      <w:proofErr w:type="spellEnd"/>
      <w:r>
        <w:rPr>
          <w:color w:val="000000"/>
          <w:szCs w:val="22"/>
        </w:rPr>
        <w:t xml:space="preserve"> (žr. 4.5 ir 5.1 skyrius).</w:t>
      </w:r>
    </w:p>
    <w:p w14:paraId="550298DF" w14:textId="77777777" w:rsidR="00F00A02" w:rsidRDefault="00F00A02">
      <w:pPr>
        <w:widowControl w:val="0"/>
        <w:rPr>
          <w:sz w:val="22"/>
          <w:szCs w:val="22"/>
          <w:lang w:eastAsia="lt-LT"/>
        </w:rPr>
      </w:pPr>
    </w:p>
    <w:p w14:paraId="5FAF7F19" w14:textId="77777777" w:rsidR="00F00A02" w:rsidRDefault="0027659F">
      <w:pPr>
        <w:widowControl w:val="0"/>
        <w:ind w:left="567" w:hanging="567"/>
        <w:outlineLvl w:val="2"/>
        <w:rPr>
          <w:b/>
          <w:bCs/>
          <w:sz w:val="22"/>
          <w:szCs w:val="22"/>
          <w:lang w:eastAsia="lt-LT"/>
        </w:rPr>
      </w:pPr>
      <w:r>
        <w:rPr>
          <w:b/>
          <w:bCs/>
          <w:sz w:val="22"/>
          <w:szCs w:val="22"/>
          <w:lang w:eastAsia="lt-LT"/>
        </w:rPr>
        <w:t>4.4</w:t>
      </w:r>
      <w:r>
        <w:rPr>
          <w:b/>
          <w:bCs/>
          <w:sz w:val="22"/>
          <w:szCs w:val="22"/>
          <w:lang w:eastAsia="lt-LT"/>
        </w:rPr>
        <w:tab/>
        <w:t>Specialūs įspėjimai ir atsargumo priemonės</w:t>
      </w:r>
    </w:p>
    <w:p w14:paraId="6AABC4FC" w14:textId="77777777" w:rsidR="00F00A02" w:rsidRDefault="00F00A02">
      <w:pPr>
        <w:widowControl w:val="0"/>
        <w:rPr>
          <w:sz w:val="22"/>
          <w:szCs w:val="22"/>
          <w:lang w:eastAsia="lt-LT"/>
        </w:rPr>
      </w:pPr>
    </w:p>
    <w:p w14:paraId="5AB0EEC2" w14:textId="77777777" w:rsidR="00F00A02" w:rsidRDefault="0027659F">
      <w:pPr>
        <w:widowControl w:val="0"/>
        <w:rPr>
          <w:color w:val="000000"/>
          <w:sz w:val="22"/>
          <w:szCs w:val="22"/>
          <w:lang w:eastAsia="lt-LT"/>
        </w:rPr>
      </w:pPr>
      <w:r>
        <w:rPr>
          <w:color w:val="000000"/>
          <w:sz w:val="22"/>
          <w:szCs w:val="22"/>
          <w:u w:val="single"/>
          <w:lang w:eastAsia="lt-LT"/>
        </w:rPr>
        <w:t>Jautrumo padidėjimas</w:t>
      </w:r>
    </w:p>
    <w:p w14:paraId="50C461F1" w14:textId="77777777" w:rsidR="00F00A02" w:rsidRDefault="0027659F">
      <w:pPr>
        <w:widowControl w:val="0"/>
        <w:rPr>
          <w:color w:val="000000"/>
          <w:sz w:val="22"/>
          <w:szCs w:val="22"/>
          <w:lang w:eastAsia="lt-LT"/>
        </w:rPr>
      </w:pPr>
      <w:r>
        <w:rPr>
          <w:i/>
          <w:color w:val="000000"/>
          <w:sz w:val="22"/>
          <w:szCs w:val="22"/>
          <w:lang w:eastAsia="lt-LT"/>
        </w:rPr>
        <w:t>Angioneurozinė edema</w:t>
      </w:r>
      <w:r>
        <w:rPr>
          <w:color w:val="000000"/>
          <w:sz w:val="22"/>
          <w:szCs w:val="22"/>
          <w:lang w:eastAsia="lt-LT"/>
        </w:rPr>
        <w:t xml:space="preserve"> </w:t>
      </w:r>
    </w:p>
    <w:p w14:paraId="18EE2FBF" w14:textId="77777777" w:rsidR="00F00A02" w:rsidRDefault="0027659F">
      <w:pPr>
        <w:widowControl w:val="0"/>
        <w:rPr>
          <w:color w:val="000000"/>
          <w:sz w:val="22"/>
          <w:szCs w:val="22"/>
          <w:lang w:eastAsia="lt-LT"/>
        </w:rPr>
      </w:pPr>
      <w:r>
        <w:rPr>
          <w:color w:val="000000"/>
          <w:sz w:val="22"/>
          <w:szCs w:val="22"/>
          <w:lang w:eastAsia="lt-LT"/>
        </w:rPr>
        <w:t>Pacientus, kuriems buvo angioneurozinė edema (veido, lūpų, ryklės ir (arba) liežuvio sutinimas) būtina atidžiai stebėti (žr. 4.8 skyrių).</w:t>
      </w:r>
    </w:p>
    <w:p w14:paraId="04AA7A06" w14:textId="77777777" w:rsidR="00F00A02" w:rsidRDefault="00F00A02">
      <w:pPr>
        <w:widowControl w:val="0"/>
        <w:rPr>
          <w:color w:val="000000"/>
          <w:sz w:val="22"/>
          <w:szCs w:val="22"/>
          <w:lang w:eastAsia="lt-LT"/>
        </w:rPr>
      </w:pPr>
    </w:p>
    <w:p w14:paraId="1B17DE2C" w14:textId="77777777" w:rsidR="00F00A02" w:rsidRDefault="0027659F">
      <w:pPr>
        <w:widowControl w:val="0"/>
        <w:rPr>
          <w:color w:val="000000"/>
          <w:sz w:val="22"/>
          <w:szCs w:val="22"/>
          <w:u w:val="single"/>
          <w:lang w:eastAsia="lt-LT"/>
        </w:rPr>
      </w:pPr>
      <w:r>
        <w:rPr>
          <w:color w:val="000000"/>
          <w:sz w:val="22"/>
          <w:szCs w:val="22"/>
          <w:u w:val="single"/>
          <w:lang w:eastAsia="lt-LT"/>
        </w:rPr>
        <w:t>Hipotenzija bei skysčių ir elektrolitų pusiausvyros sutrikimas</w:t>
      </w:r>
    </w:p>
    <w:p w14:paraId="7DB2F4FA" w14:textId="77777777" w:rsidR="00F00A02" w:rsidRDefault="0027659F">
      <w:pPr>
        <w:widowControl w:val="0"/>
        <w:rPr>
          <w:color w:val="000000"/>
          <w:sz w:val="22"/>
          <w:szCs w:val="22"/>
          <w:lang w:eastAsia="lt-LT"/>
        </w:rPr>
      </w:pPr>
      <w:r>
        <w:rPr>
          <w:color w:val="000000"/>
          <w:sz w:val="22"/>
          <w:szCs w:val="22"/>
          <w:lang w:eastAsia="lt-LT"/>
        </w:rPr>
        <w:t>Pacientams, kurių organizme trūksta skysčių ir (arba) natrio dėl gydymo didelėmis diuretikų dozėmis, druskos stokos maiste, viduriavimo ar vėmimo, gali pasireikšti simptominė hipotenzija, ypač po pirmos ar padidintos dozės pavartojimo. Šias būkles reikia koreguoti prieš pradedant gydyti losartanu arba vartoti mažesnę pradinę vaistinio preparato dozę (žr. 4.2 skyrių). Tai taikytina ir vaikams nuo 6 iki 18 metų amžiaus.</w:t>
      </w:r>
    </w:p>
    <w:p w14:paraId="556D2776" w14:textId="77777777" w:rsidR="00F00A02" w:rsidRDefault="00F00A02">
      <w:pPr>
        <w:widowControl w:val="0"/>
        <w:rPr>
          <w:color w:val="000000"/>
          <w:sz w:val="22"/>
          <w:szCs w:val="22"/>
          <w:lang w:eastAsia="lt-LT"/>
        </w:rPr>
      </w:pPr>
    </w:p>
    <w:p w14:paraId="578FB175" w14:textId="77777777" w:rsidR="00F00A02" w:rsidRDefault="0027659F">
      <w:pPr>
        <w:widowControl w:val="0"/>
        <w:rPr>
          <w:color w:val="000000"/>
          <w:sz w:val="22"/>
          <w:szCs w:val="22"/>
          <w:u w:val="single"/>
          <w:lang w:eastAsia="lt-LT"/>
        </w:rPr>
      </w:pPr>
      <w:r>
        <w:rPr>
          <w:color w:val="000000"/>
          <w:sz w:val="22"/>
          <w:szCs w:val="22"/>
          <w:u w:val="single"/>
          <w:lang w:eastAsia="lt-LT"/>
        </w:rPr>
        <w:t>Elektrolitų pusiausvyros sutrikimas</w:t>
      </w:r>
    </w:p>
    <w:p w14:paraId="3E97BC4E" w14:textId="77777777" w:rsidR="00F00A02" w:rsidRDefault="0027659F">
      <w:pPr>
        <w:widowControl w:val="0"/>
        <w:rPr>
          <w:color w:val="000000"/>
          <w:sz w:val="22"/>
          <w:szCs w:val="22"/>
          <w:lang w:eastAsia="lt-LT"/>
        </w:rPr>
      </w:pPr>
      <w:r>
        <w:rPr>
          <w:color w:val="000000"/>
          <w:sz w:val="22"/>
          <w:szCs w:val="22"/>
          <w:lang w:eastAsia="lt-LT"/>
        </w:rPr>
        <w:t>Reikia turėti omenyje, kad cukriniu diabetu sergantiems arba nesergantiems pacientams, kurių inkstai pažeisti, dažnai sutrinka elektrolitų pusiausvyra. Klinikinio tyrimo, kuriame dalyvavo pacientai, sergantys II tipo cukriniu diabetu, susijusiu su nefropatija, metu losartano vartojusiems tiriamiesiems hiperkalemija pasireiškė dažniau, negu vartojusiems placebą (žr. 4.8 skyrių). Reikia atidžiai stebėti kalio koncentraciją plazmoje ir kreatinino klirenso rodiklius, ypač širdies nepakankamumu sergantiems pacientams, kurių kreatinino klirensas yra 30 – 50 ml/min.</w:t>
      </w:r>
    </w:p>
    <w:p w14:paraId="5E1FDE44" w14:textId="77777777" w:rsidR="00F00A02" w:rsidRDefault="0027659F">
      <w:pPr>
        <w:widowControl w:val="0"/>
        <w:rPr>
          <w:color w:val="000000"/>
          <w:sz w:val="22"/>
          <w:szCs w:val="22"/>
          <w:lang w:eastAsia="lt-LT"/>
        </w:rPr>
      </w:pPr>
      <w:r>
        <w:rPr>
          <w:color w:val="000000"/>
          <w:sz w:val="22"/>
          <w:szCs w:val="22"/>
          <w:lang w:eastAsia="lt-LT"/>
        </w:rPr>
        <w:t>Losartano nerekomenduojama vartoti kartu su kalį sulaikančiais diuretikais, kalio papildais ar druskos pakaitalais ar kitais vaistiniais preparatais, kurie gali padidinti kalio koncentraciją serume (pvz., vaistiniai preparatai, kuri</w:t>
      </w:r>
      <w:r>
        <w:rPr>
          <w:color w:val="000000"/>
          <w:sz w:val="22"/>
          <w:szCs w:val="22"/>
          <w:lang w:val="lt-LT" w:eastAsia="lt-LT"/>
        </w:rPr>
        <w:t xml:space="preserve">ų sudėtyje yra </w:t>
      </w:r>
      <w:proofErr w:type="spellStart"/>
      <w:r>
        <w:rPr>
          <w:color w:val="000000"/>
          <w:sz w:val="22"/>
          <w:szCs w:val="22"/>
          <w:lang w:val="lt-LT" w:eastAsia="lt-LT"/>
        </w:rPr>
        <w:t>trimetoprimo</w:t>
      </w:r>
      <w:proofErr w:type="spellEnd"/>
      <w:r>
        <w:rPr>
          <w:color w:val="000000"/>
          <w:sz w:val="22"/>
          <w:szCs w:val="22"/>
          <w:lang w:val="lt-LT" w:eastAsia="lt-LT"/>
        </w:rPr>
        <w:t>)</w:t>
      </w:r>
      <w:r>
        <w:rPr>
          <w:color w:val="000000"/>
          <w:sz w:val="22"/>
          <w:szCs w:val="22"/>
          <w:lang w:eastAsia="lt-LT"/>
        </w:rPr>
        <w:t xml:space="preserve"> (žr. 4.5 skyrių).</w:t>
      </w:r>
    </w:p>
    <w:p w14:paraId="079EC00E" w14:textId="77777777" w:rsidR="00F00A02" w:rsidRDefault="00F00A02">
      <w:pPr>
        <w:widowControl w:val="0"/>
        <w:rPr>
          <w:color w:val="000000"/>
          <w:sz w:val="22"/>
          <w:szCs w:val="22"/>
          <w:lang w:eastAsia="lt-LT"/>
        </w:rPr>
      </w:pPr>
    </w:p>
    <w:p w14:paraId="703A9B65" w14:textId="77777777" w:rsidR="00F00A02" w:rsidRDefault="0027659F">
      <w:pPr>
        <w:widowControl w:val="0"/>
        <w:autoSpaceDE w:val="0"/>
        <w:autoSpaceDN w:val="0"/>
        <w:adjustRightInd w:val="0"/>
        <w:rPr>
          <w:rFonts w:eastAsia="Calibri"/>
          <w:sz w:val="22"/>
          <w:szCs w:val="22"/>
          <w:u w:val="single"/>
          <w:lang w:val="lt-LT"/>
        </w:rPr>
      </w:pPr>
      <w:r>
        <w:rPr>
          <w:rFonts w:eastAsia="Calibri"/>
          <w:sz w:val="22"/>
          <w:szCs w:val="22"/>
          <w:u w:val="single"/>
          <w:lang w:val="lt-LT"/>
        </w:rPr>
        <w:t xml:space="preserve">Žarnyno </w:t>
      </w:r>
      <w:proofErr w:type="spellStart"/>
      <w:r>
        <w:rPr>
          <w:rFonts w:eastAsia="Calibri"/>
          <w:sz w:val="22"/>
          <w:szCs w:val="22"/>
          <w:u w:val="single"/>
          <w:lang w:val="lt-LT"/>
        </w:rPr>
        <w:t>angioneurozinė</w:t>
      </w:r>
      <w:proofErr w:type="spellEnd"/>
      <w:r>
        <w:rPr>
          <w:rFonts w:eastAsia="Calibri"/>
          <w:sz w:val="22"/>
          <w:szCs w:val="22"/>
          <w:u w:val="single"/>
          <w:lang w:val="lt-LT"/>
        </w:rPr>
        <w:t xml:space="preserve"> edema</w:t>
      </w:r>
    </w:p>
    <w:p w14:paraId="13686862" w14:textId="77777777" w:rsidR="00F00A02" w:rsidRDefault="0027659F">
      <w:pPr>
        <w:widowControl w:val="0"/>
        <w:autoSpaceDE w:val="0"/>
        <w:autoSpaceDN w:val="0"/>
        <w:adjustRightInd w:val="0"/>
        <w:rPr>
          <w:rFonts w:eastAsia="Calibri"/>
          <w:sz w:val="22"/>
          <w:szCs w:val="22"/>
          <w:lang w:val="lt-LT"/>
        </w:rPr>
      </w:pPr>
      <w:r>
        <w:rPr>
          <w:rFonts w:eastAsia="Calibri"/>
          <w:sz w:val="22"/>
          <w:szCs w:val="22"/>
          <w:lang w:val="lt-LT"/>
        </w:rPr>
        <w:t xml:space="preserve">Gauta pranešimų apie žarnyno </w:t>
      </w:r>
      <w:proofErr w:type="spellStart"/>
      <w:r>
        <w:rPr>
          <w:rFonts w:eastAsia="Calibri"/>
          <w:sz w:val="22"/>
          <w:szCs w:val="22"/>
          <w:lang w:val="lt-LT"/>
        </w:rPr>
        <w:t>angioneurozinės</w:t>
      </w:r>
      <w:proofErr w:type="spellEnd"/>
      <w:r>
        <w:rPr>
          <w:rFonts w:eastAsia="Calibri"/>
          <w:sz w:val="22"/>
          <w:szCs w:val="22"/>
          <w:lang w:val="lt-LT"/>
        </w:rPr>
        <w:t xml:space="preserve"> edemos atvejus, pasireiškusius pacientams, gydytiems </w:t>
      </w:r>
      <w:proofErr w:type="spellStart"/>
      <w:r>
        <w:rPr>
          <w:rFonts w:eastAsia="Calibri"/>
          <w:sz w:val="22"/>
          <w:szCs w:val="22"/>
          <w:lang w:val="lt-LT"/>
        </w:rPr>
        <w:t>angiotenzino</w:t>
      </w:r>
      <w:proofErr w:type="spellEnd"/>
      <w:r>
        <w:rPr>
          <w:rFonts w:eastAsia="Calibri"/>
          <w:sz w:val="22"/>
          <w:szCs w:val="22"/>
          <w:lang w:val="lt-LT"/>
        </w:rPr>
        <w:t xml:space="preserve"> II receptorių blokatoriais (įskaitant </w:t>
      </w:r>
      <w:proofErr w:type="spellStart"/>
      <w:r>
        <w:rPr>
          <w:rFonts w:eastAsia="Calibri"/>
          <w:sz w:val="22"/>
          <w:szCs w:val="22"/>
          <w:lang w:val="lt-LT"/>
        </w:rPr>
        <w:t>losartaną</w:t>
      </w:r>
      <w:proofErr w:type="spellEnd"/>
      <w:r>
        <w:rPr>
          <w:rFonts w:eastAsia="Calibri"/>
          <w:sz w:val="22"/>
          <w:szCs w:val="22"/>
          <w:lang w:val="lt-LT"/>
        </w:rPr>
        <w:t xml:space="preserve">) (žr. 4.8 skyrių). Šiems pacientams pasireiškė pilvo skausmas, pykinimas, vėmimas ir viduriavimas. Nutraukus </w:t>
      </w:r>
      <w:proofErr w:type="spellStart"/>
      <w:r>
        <w:rPr>
          <w:rFonts w:eastAsia="Calibri"/>
          <w:sz w:val="22"/>
          <w:szCs w:val="22"/>
          <w:lang w:val="lt-LT"/>
        </w:rPr>
        <w:t>angiotenzino</w:t>
      </w:r>
      <w:proofErr w:type="spellEnd"/>
      <w:r>
        <w:rPr>
          <w:rFonts w:eastAsia="Calibri"/>
          <w:sz w:val="22"/>
          <w:szCs w:val="22"/>
          <w:lang w:val="lt-LT"/>
        </w:rPr>
        <w:t xml:space="preserve"> II receptorių antagonistų vartojimą, simptomai išnyko. Diagnozavus žarnyno </w:t>
      </w:r>
      <w:proofErr w:type="spellStart"/>
      <w:r>
        <w:rPr>
          <w:rFonts w:eastAsia="Calibri"/>
          <w:sz w:val="22"/>
          <w:szCs w:val="22"/>
          <w:lang w:val="lt-LT"/>
        </w:rPr>
        <w:t>angioneurozinę</w:t>
      </w:r>
      <w:proofErr w:type="spellEnd"/>
      <w:r>
        <w:rPr>
          <w:rFonts w:eastAsia="Calibri"/>
          <w:sz w:val="22"/>
          <w:szCs w:val="22"/>
          <w:lang w:val="lt-LT"/>
        </w:rPr>
        <w:t xml:space="preserve"> edemą, reikia nutraukti </w:t>
      </w:r>
      <w:proofErr w:type="spellStart"/>
      <w:r>
        <w:rPr>
          <w:rFonts w:eastAsia="Calibri"/>
          <w:sz w:val="22"/>
          <w:szCs w:val="22"/>
          <w:lang w:val="lt-LT"/>
        </w:rPr>
        <w:t>losartano</w:t>
      </w:r>
      <w:proofErr w:type="spellEnd"/>
      <w:r>
        <w:rPr>
          <w:rFonts w:eastAsia="Calibri"/>
          <w:sz w:val="22"/>
          <w:szCs w:val="22"/>
          <w:lang w:val="lt-LT"/>
        </w:rPr>
        <w:t xml:space="preserve"> vartojimą ir pradėti atitinkamą stebėseną, kol simptomai visiškai išnyksta.</w:t>
      </w:r>
    </w:p>
    <w:p w14:paraId="2779204A" w14:textId="77777777" w:rsidR="00F00A02" w:rsidRDefault="00F00A02">
      <w:pPr>
        <w:widowControl w:val="0"/>
        <w:rPr>
          <w:color w:val="000000"/>
          <w:sz w:val="22"/>
          <w:szCs w:val="22"/>
          <w:lang w:eastAsia="lt-LT"/>
        </w:rPr>
      </w:pPr>
    </w:p>
    <w:p w14:paraId="6CD8828F" w14:textId="77777777" w:rsidR="00F00A02" w:rsidRDefault="0027659F">
      <w:pPr>
        <w:widowControl w:val="0"/>
        <w:rPr>
          <w:color w:val="000000"/>
          <w:sz w:val="22"/>
          <w:szCs w:val="22"/>
          <w:u w:val="single"/>
          <w:lang w:eastAsia="lt-LT"/>
        </w:rPr>
      </w:pPr>
      <w:r>
        <w:rPr>
          <w:color w:val="000000"/>
          <w:sz w:val="22"/>
          <w:szCs w:val="22"/>
          <w:u w:val="single"/>
          <w:lang w:eastAsia="lt-LT"/>
        </w:rPr>
        <w:t>Kepenų funkcijos sutrikimas</w:t>
      </w:r>
    </w:p>
    <w:p w14:paraId="49159352" w14:textId="77777777" w:rsidR="00F00A02" w:rsidRDefault="0027659F">
      <w:pPr>
        <w:widowControl w:val="0"/>
        <w:rPr>
          <w:color w:val="000000"/>
          <w:sz w:val="22"/>
          <w:szCs w:val="22"/>
          <w:lang w:eastAsia="lt-LT"/>
        </w:rPr>
      </w:pPr>
      <w:r>
        <w:rPr>
          <w:color w:val="000000"/>
          <w:sz w:val="22"/>
          <w:szCs w:val="22"/>
          <w:lang w:eastAsia="lt-LT"/>
        </w:rPr>
        <w:t xml:space="preserve">Pacientams, kuriems yra buvęs kepenų funkcijos sutrikimas, reikia skirti mažesnę dozę, nes farmakokinetikos tyrimais įrodyta, kad kepenų ciroze sergančių žmonių kraujo plazmoje losartano koncentracija yra reikšmingai didesnė. Pacientų, kuriems yra sunkus kepenų funkcijos sutrikimas, gydymo losartanu patirties nėra, todėl pacientų, kuriems yra sunkus kepenų funkcijos sutrikimas, </w:t>
      </w:r>
      <w:r>
        <w:rPr>
          <w:color w:val="000000"/>
          <w:sz w:val="22"/>
          <w:szCs w:val="22"/>
          <w:lang w:eastAsia="lt-LT"/>
        </w:rPr>
        <w:lastRenderedPageBreak/>
        <w:t>losartanu gydyti negalima (žr. 4.2, 4.3 ir 5.2 skyrius).</w:t>
      </w:r>
    </w:p>
    <w:p w14:paraId="5BC195DE" w14:textId="77777777" w:rsidR="00F00A02" w:rsidRDefault="0027659F">
      <w:pPr>
        <w:widowControl w:val="0"/>
        <w:rPr>
          <w:color w:val="000000"/>
          <w:sz w:val="22"/>
          <w:szCs w:val="22"/>
          <w:lang w:eastAsia="lt-LT"/>
        </w:rPr>
      </w:pPr>
      <w:r>
        <w:rPr>
          <w:color w:val="000000"/>
          <w:sz w:val="22"/>
          <w:szCs w:val="22"/>
          <w:lang w:eastAsia="lt-LT"/>
        </w:rPr>
        <w:t>Losartano nerekomenduojama vartoti vaikams, kurių kepenų funkcija sutrikusi (žr. 4.2 skyrių).</w:t>
      </w:r>
    </w:p>
    <w:p w14:paraId="2C9F40C3" w14:textId="77777777" w:rsidR="00F00A02" w:rsidRDefault="00F00A02">
      <w:pPr>
        <w:widowControl w:val="0"/>
        <w:rPr>
          <w:color w:val="000000"/>
          <w:sz w:val="22"/>
          <w:szCs w:val="22"/>
          <w:lang w:eastAsia="lt-LT"/>
        </w:rPr>
      </w:pPr>
    </w:p>
    <w:p w14:paraId="74844DE1" w14:textId="77777777" w:rsidR="00F00A02" w:rsidRDefault="0027659F">
      <w:pPr>
        <w:widowControl w:val="0"/>
        <w:rPr>
          <w:color w:val="000000"/>
          <w:sz w:val="22"/>
          <w:szCs w:val="22"/>
          <w:u w:val="single"/>
          <w:lang w:eastAsia="lt-LT"/>
        </w:rPr>
      </w:pPr>
      <w:r>
        <w:rPr>
          <w:color w:val="000000"/>
          <w:sz w:val="22"/>
          <w:szCs w:val="22"/>
          <w:u w:val="single"/>
          <w:lang w:eastAsia="lt-LT"/>
        </w:rPr>
        <w:t>Inkstų funkcijos sutrikimas</w:t>
      </w:r>
    </w:p>
    <w:p w14:paraId="12ACB72A" w14:textId="77777777" w:rsidR="00F00A02" w:rsidRDefault="0027659F">
      <w:pPr>
        <w:widowControl w:val="0"/>
        <w:rPr>
          <w:color w:val="000000"/>
          <w:sz w:val="22"/>
          <w:szCs w:val="22"/>
          <w:lang w:eastAsia="lt-LT"/>
        </w:rPr>
      </w:pPr>
      <w:r>
        <w:rPr>
          <w:color w:val="000000"/>
          <w:sz w:val="22"/>
          <w:szCs w:val="22"/>
          <w:lang w:eastAsia="lt-LT"/>
        </w:rPr>
        <w:t>Dėl renino ir angiotenzino sistemos slopinimo pacientams, ypač tiems, kurių inkstų funkcija yra priklausoma nuo renino, angiotenzino ir aldosterono sistemos, pvz., tiems, kurie serga sunkiu širdies nepakankamumu arba kurių inkstų funkcija yra sutrikusi prieš pradedant gydyti, buvo inkstų funkcijos pokyčių, įskaitant inkstų nepakankamumą. Kaip ir vartojant kitų vaistinių preparatų, veikiančių renino, angiotenzino ir aldosterono sistemą, pacientams, kuriems yra abiejų inkstų arba vieno, jeigu tik vienas funkcionuoja, arterijos stenozė, nustatytas šlapalo ir kreatinino koncentracijos kraujyje padidėjimas. Nutraukus gydymą, šie inkstų funkcijos pokyčiai gali išnykti. Pacientus, kuriems yra abiejų inkstų arba vieno, jeigu tik vienas funkcionuoja, arterijos stenozė, losartanu reikia gydyti atsargiai.</w:t>
      </w:r>
    </w:p>
    <w:p w14:paraId="06FB74A4" w14:textId="77777777" w:rsidR="00F00A02" w:rsidRDefault="00F00A02">
      <w:pPr>
        <w:widowControl w:val="0"/>
        <w:rPr>
          <w:b/>
          <w:color w:val="000000"/>
          <w:sz w:val="22"/>
          <w:szCs w:val="22"/>
          <w:lang w:eastAsia="lt-LT"/>
        </w:rPr>
      </w:pPr>
    </w:p>
    <w:p w14:paraId="77B67BC3" w14:textId="77777777" w:rsidR="00F00A02" w:rsidRDefault="0027659F">
      <w:pPr>
        <w:widowControl w:val="0"/>
        <w:rPr>
          <w:i/>
          <w:color w:val="000000"/>
          <w:sz w:val="22"/>
          <w:szCs w:val="22"/>
          <w:lang w:eastAsia="lt-LT"/>
        </w:rPr>
      </w:pPr>
      <w:r>
        <w:rPr>
          <w:i/>
          <w:color w:val="000000"/>
          <w:sz w:val="22"/>
          <w:szCs w:val="22"/>
          <w:lang w:eastAsia="lt-LT"/>
        </w:rPr>
        <w:t>Vartojimas vaikams, kurių inkstų funkcija sutrikusi</w:t>
      </w:r>
    </w:p>
    <w:p w14:paraId="2EB6CCEB" w14:textId="77777777" w:rsidR="00F00A02" w:rsidRDefault="0027659F">
      <w:pPr>
        <w:widowControl w:val="0"/>
        <w:rPr>
          <w:color w:val="000000"/>
          <w:sz w:val="22"/>
          <w:szCs w:val="22"/>
          <w:lang w:eastAsia="lt-LT"/>
        </w:rPr>
      </w:pPr>
      <w:r>
        <w:rPr>
          <w:color w:val="000000"/>
          <w:sz w:val="22"/>
          <w:szCs w:val="22"/>
          <w:lang w:eastAsia="lt-LT"/>
        </w:rPr>
        <w:t>Vaikų, kurių glomerulų filtracijos greitis yra &lt; 30ml/ min/1,73 m</w:t>
      </w:r>
      <w:r>
        <w:rPr>
          <w:color w:val="000000"/>
          <w:sz w:val="22"/>
          <w:szCs w:val="22"/>
          <w:vertAlign w:val="superscript"/>
          <w:lang w:eastAsia="lt-LT"/>
        </w:rPr>
        <w:t>2</w:t>
      </w:r>
      <w:r>
        <w:rPr>
          <w:color w:val="000000"/>
          <w:sz w:val="22"/>
          <w:szCs w:val="22"/>
          <w:lang w:eastAsia="lt-LT"/>
        </w:rPr>
        <w:t>, losartanu gydyti nerekomenduojama, nes duomenų apie jo vartojimą nėra (žr. 4.2 skyrių).</w:t>
      </w:r>
    </w:p>
    <w:p w14:paraId="35E02E8F" w14:textId="77777777" w:rsidR="00F00A02" w:rsidRDefault="0027659F">
      <w:pPr>
        <w:widowControl w:val="0"/>
        <w:rPr>
          <w:color w:val="000000"/>
          <w:sz w:val="22"/>
          <w:szCs w:val="22"/>
          <w:lang w:eastAsia="lt-LT"/>
        </w:rPr>
      </w:pPr>
      <w:r>
        <w:rPr>
          <w:color w:val="000000"/>
          <w:sz w:val="22"/>
          <w:szCs w:val="22"/>
          <w:lang w:eastAsia="lt-LT"/>
        </w:rPr>
        <w:t>Gydymo losartanu metu reikia reguliariai stebėti inkstų funkciją, nes ji gali pablogėti. Tai taikytina ypač tais atvejais, kai losartano vartojama kitų būklių (karščiavimo, dehidracijos), galinčių sutrikdyti inkstų funkciją, metu.</w:t>
      </w:r>
    </w:p>
    <w:p w14:paraId="7466FFF5" w14:textId="77777777" w:rsidR="00F00A02" w:rsidRDefault="00F00A02">
      <w:pPr>
        <w:widowControl w:val="0"/>
        <w:rPr>
          <w:color w:val="000000"/>
          <w:sz w:val="22"/>
          <w:szCs w:val="22"/>
          <w:lang w:eastAsia="lt-LT"/>
        </w:rPr>
      </w:pPr>
    </w:p>
    <w:p w14:paraId="2E765C4E" w14:textId="77777777" w:rsidR="00F00A02" w:rsidRDefault="0027659F">
      <w:pPr>
        <w:widowControl w:val="0"/>
        <w:rPr>
          <w:color w:val="000000"/>
          <w:sz w:val="22"/>
          <w:szCs w:val="22"/>
          <w:lang w:eastAsia="lt-LT"/>
        </w:rPr>
      </w:pPr>
      <w:r>
        <w:rPr>
          <w:color w:val="000000"/>
          <w:sz w:val="22"/>
          <w:szCs w:val="22"/>
          <w:lang w:eastAsia="lt-LT"/>
        </w:rPr>
        <w:t>Įrodyta, kad losartano vartojimas kartu su AKF inhibitoriais sutrikdo inkstų funkciją. Dėl to kartu šių vaistinių preparatų vartoti nerekomenduojama (žr. 4.5 skyrių).</w:t>
      </w:r>
    </w:p>
    <w:p w14:paraId="0DBFF162" w14:textId="77777777" w:rsidR="00F00A02" w:rsidRDefault="00F00A02">
      <w:pPr>
        <w:widowControl w:val="0"/>
        <w:rPr>
          <w:color w:val="000000"/>
          <w:sz w:val="22"/>
          <w:szCs w:val="22"/>
          <w:lang w:eastAsia="lt-LT"/>
        </w:rPr>
      </w:pPr>
    </w:p>
    <w:p w14:paraId="179BF64D" w14:textId="77777777" w:rsidR="00F00A02" w:rsidRDefault="0027659F">
      <w:pPr>
        <w:widowControl w:val="0"/>
        <w:rPr>
          <w:color w:val="000000"/>
          <w:sz w:val="22"/>
          <w:szCs w:val="22"/>
          <w:u w:val="single"/>
          <w:lang w:eastAsia="lt-LT"/>
        </w:rPr>
      </w:pPr>
      <w:r>
        <w:rPr>
          <w:color w:val="000000"/>
          <w:sz w:val="22"/>
          <w:szCs w:val="22"/>
          <w:u w:val="single"/>
          <w:lang w:eastAsia="lt-LT"/>
        </w:rPr>
        <w:t>Inkstų transplantacija</w:t>
      </w:r>
    </w:p>
    <w:p w14:paraId="55449634" w14:textId="77777777" w:rsidR="00F00A02" w:rsidRDefault="0027659F">
      <w:pPr>
        <w:widowControl w:val="0"/>
        <w:rPr>
          <w:color w:val="000000"/>
          <w:sz w:val="22"/>
          <w:szCs w:val="22"/>
          <w:lang w:eastAsia="lt-LT"/>
        </w:rPr>
      </w:pPr>
      <w:r>
        <w:rPr>
          <w:color w:val="000000"/>
          <w:sz w:val="22"/>
          <w:szCs w:val="22"/>
          <w:lang w:eastAsia="lt-LT"/>
        </w:rPr>
        <w:t>Pacientų, kuriems neseniai persodinti inkstai, gydymo šiuo vaistiniu preparatu patirties nėra.</w:t>
      </w:r>
    </w:p>
    <w:p w14:paraId="43432581" w14:textId="77777777" w:rsidR="00F00A02" w:rsidRDefault="00F00A02">
      <w:pPr>
        <w:widowControl w:val="0"/>
        <w:rPr>
          <w:color w:val="000000"/>
          <w:sz w:val="22"/>
          <w:szCs w:val="22"/>
          <w:lang w:eastAsia="lt-LT"/>
        </w:rPr>
      </w:pPr>
    </w:p>
    <w:p w14:paraId="02028CD3" w14:textId="77777777" w:rsidR="00F00A02" w:rsidRDefault="0027659F">
      <w:pPr>
        <w:widowControl w:val="0"/>
        <w:rPr>
          <w:color w:val="000000"/>
          <w:sz w:val="22"/>
          <w:szCs w:val="22"/>
          <w:u w:val="single"/>
          <w:lang w:eastAsia="lt-LT"/>
        </w:rPr>
      </w:pPr>
      <w:r>
        <w:rPr>
          <w:color w:val="000000"/>
          <w:sz w:val="22"/>
          <w:szCs w:val="22"/>
          <w:u w:val="single"/>
          <w:lang w:eastAsia="lt-LT"/>
        </w:rPr>
        <w:t>Pirminis hiperaldoteronizmas</w:t>
      </w:r>
    </w:p>
    <w:p w14:paraId="36E12EA7" w14:textId="77777777" w:rsidR="00F00A02" w:rsidRDefault="0027659F">
      <w:pPr>
        <w:widowControl w:val="0"/>
        <w:rPr>
          <w:color w:val="000000"/>
          <w:sz w:val="22"/>
          <w:szCs w:val="22"/>
          <w:lang w:eastAsia="lt-LT"/>
        </w:rPr>
      </w:pPr>
      <w:r>
        <w:rPr>
          <w:color w:val="000000"/>
          <w:sz w:val="22"/>
          <w:szCs w:val="22"/>
          <w:lang w:eastAsia="lt-LT"/>
        </w:rPr>
        <w:t>Pacientai, sergantys pirminiu hiperaldosteronizmu, į gydymą antihipertenziniais vaistiniais preparatais, kurie veikia slopindami renino ir angiotenzino sistemą, paprastai nereaguoja. Dėl to jų losartanu gydyti nerekomenduojama.</w:t>
      </w:r>
    </w:p>
    <w:p w14:paraId="77C798C1" w14:textId="77777777" w:rsidR="00F00A02" w:rsidRDefault="00F00A02">
      <w:pPr>
        <w:widowControl w:val="0"/>
        <w:rPr>
          <w:color w:val="000000"/>
          <w:sz w:val="22"/>
          <w:szCs w:val="22"/>
          <w:lang w:eastAsia="lt-LT"/>
        </w:rPr>
      </w:pPr>
    </w:p>
    <w:p w14:paraId="3F3C1E06" w14:textId="77777777" w:rsidR="00F00A02" w:rsidRDefault="0027659F">
      <w:pPr>
        <w:widowControl w:val="0"/>
        <w:rPr>
          <w:color w:val="000000"/>
          <w:sz w:val="22"/>
          <w:szCs w:val="22"/>
          <w:u w:val="single"/>
          <w:lang w:eastAsia="lt-LT"/>
        </w:rPr>
      </w:pPr>
      <w:r>
        <w:rPr>
          <w:color w:val="000000"/>
          <w:sz w:val="22"/>
          <w:szCs w:val="22"/>
          <w:u w:val="single"/>
          <w:lang w:eastAsia="lt-LT"/>
        </w:rPr>
        <w:t>Koronarinė širdies liga ir smegenų kraujagyslių liga</w:t>
      </w:r>
    </w:p>
    <w:p w14:paraId="0058940A" w14:textId="77777777" w:rsidR="00F00A02" w:rsidRDefault="0027659F">
      <w:pPr>
        <w:widowControl w:val="0"/>
        <w:rPr>
          <w:color w:val="000000"/>
          <w:sz w:val="22"/>
          <w:szCs w:val="22"/>
          <w:lang w:eastAsia="lt-LT"/>
        </w:rPr>
      </w:pPr>
      <w:r>
        <w:rPr>
          <w:color w:val="000000"/>
          <w:sz w:val="22"/>
          <w:szCs w:val="22"/>
          <w:lang w:eastAsia="lt-LT"/>
        </w:rPr>
        <w:t>Kaip ir vartojant kitų antihipertenzinių vaistinių preparatų, pacientams, sergantiems išemine širdies liga ar smegenų kraujagyslių liga, per didelis kraujospūdžio sumažėjimas gali sukelti miokardo infarktą arba smegenų insultą.</w:t>
      </w:r>
    </w:p>
    <w:p w14:paraId="6133FE86" w14:textId="77777777" w:rsidR="00F00A02" w:rsidRDefault="00F00A02">
      <w:pPr>
        <w:widowControl w:val="0"/>
        <w:rPr>
          <w:color w:val="000000"/>
          <w:sz w:val="22"/>
          <w:szCs w:val="22"/>
          <w:lang w:eastAsia="lt-LT"/>
        </w:rPr>
      </w:pPr>
    </w:p>
    <w:p w14:paraId="22B8520B" w14:textId="77777777" w:rsidR="00F00A02" w:rsidRDefault="0027659F">
      <w:pPr>
        <w:widowControl w:val="0"/>
        <w:rPr>
          <w:color w:val="000000"/>
          <w:sz w:val="22"/>
          <w:szCs w:val="22"/>
          <w:u w:val="single"/>
          <w:lang w:eastAsia="lt-LT"/>
        </w:rPr>
      </w:pPr>
      <w:r>
        <w:rPr>
          <w:color w:val="000000"/>
          <w:sz w:val="22"/>
          <w:szCs w:val="22"/>
          <w:u w:val="single"/>
          <w:lang w:eastAsia="lt-LT"/>
        </w:rPr>
        <w:t>Širdies nepakankamumas</w:t>
      </w:r>
    </w:p>
    <w:p w14:paraId="14303F6C" w14:textId="77777777" w:rsidR="00F00A02" w:rsidRDefault="0027659F">
      <w:pPr>
        <w:widowControl w:val="0"/>
        <w:rPr>
          <w:color w:val="000000"/>
          <w:sz w:val="22"/>
          <w:szCs w:val="22"/>
          <w:lang w:eastAsia="lt-LT"/>
        </w:rPr>
      </w:pPr>
      <w:r>
        <w:rPr>
          <w:color w:val="000000"/>
          <w:sz w:val="22"/>
          <w:szCs w:val="22"/>
          <w:lang w:eastAsia="lt-LT"/>
        </w:rPr>
        <w:t>Kaip ir vartojant kitų vaistinių preparatų, veikiančių renino ir angiotenzino sistemą, pacientams, sergantiems širdies nepakankamumu, susijusiu arba nesusijusiu su inkstų funkcijos sutrikimu, yra sunkios arterinės hipotenzijos ir inkstų funkcijos sutrikimo (dažnai ūminio) rizika.</w:t>
      </w:r>
    </w:p>
    <w:p w14:paraId="19FDDA65" w14:textId="77777777" w:rsidR="00F00A02" w:rsidRDefault="00F00A02">
      <w:pPr>
        <w:widowControl w:val="0"/>
        <w:rPr>
          <w:color w:val="000000"/>
          <w:sz w:val="22"/>
          <w:szCs w:val="22"/>
          <w:lang w:eastAsia="lt-LT"/>
        </w:rPr>
      </w:pPr>
    </w:p>
    <w:p w14:paraId="3AB00519" w14:textId="77777777" w:rsidR="00F00A02" w:rsidRDefault="0027659F">
      <w:pPr>
        <w:widowControl w:val="0"/>
        <w:rPr>
          <w:color w:val="000000"/>
          <w:sz w:val="22"/>
          <w:szCs w:val="22"/>
          <w:lang w:eastAsia="lt-LT"/>
        </w:rPr>
      </w:pPr>
      <w:r>
        <w:rPr>
          <w:color w:val="000000"/>
          <w:sz w:val="22"/>
          <w:szCs w:val="22"/>
          <w:lang w:eastAsia="lt-LT"/>
        </w:rPr>
        <w:t>Pacientų, kuriems yra širdies nepakankamumas, susijęs su sunkiu inkstų funkcijos sutrikimu, sunkus širdies nepakankamumas (IV klasės pagal NYHA) ar širdies nepakankamumas ir simptominė gyvybei grėsminga širdies aritmija, gydymo losartanu patirtis yra nepakankama, todėl šių grupių pacientus losartanu reikia gydyti atsargiai. Losartanu kartu su beta adrenoblokatoriais reikia gydyti atsargiai (žr. 5.1 skyrių).</w:t>
      </w:r>
    </w:p>
    <w:p w14:paraId="0DC05099" w14:textId="77777777" w:rsidR="00F00A02" w:rsidRDefault="00F00A02">
      <w:pPr>
        <w:widowControl w:val="0"/>
        <w:rPr>
          <w:color w:val="000000"/>
          <w:sz w:val="22"/>
          <w:szCs w:val="22"/>
          <w:lang w:eastAsia="lt-LT"/>
        </w:rPr>
      </w:pPr>
    </w:p>
    <w:p w14:paraId="25E0C01F" w14:textId="77777777" w:rsidR="00F00A02" w:rsidRDefault="0027659F">
      <w:pPr>
        <w:widowControl w:val="0"/>
        <w:rPr>
          <w:color w:val="000000"/>
          <w:sz w:val="22"/>
          <w:szCs w:val="22"/>
          <w:u w:val="single"/>
          <w:lang w:eastAsia="lt-LT"/>
        </w:rPr>
      </w:pPr>
      <w:r>
        <w:rPr>
          <w:color w:val="000000"/>
          <w:sz w:val="22"/>
          <w:szCs w:val="22"/>
          <w:u w:val="single"/>
          <w:lang w:eastAsia="lt-LT"/>
        </w:rPr>
        <w:t>Aortos ar mitralinio vožtuvo stenozė, obstrukcinė hipertrofinė kardiomiopatija</w:t>
      </w:r>
    </w:p>
    <w:p w14:paraId="3A372421" w14:textId="77777777" w:rsidR="00F00A02" w:rsidRDefault="0027659F">
      <w:pPr>
        <w:widowControl w:val="0"/>
        <w:rPr>
          <w:color w:val="000000"/>
          <w:sz w:val="22"/>
          <w:szCs w:val="22"/>
          <w:lang w:eastAsia="lt-LT"/>
        </w:rPr>
      </w:pPr>
      <w:r>
        <w:rPr>
          <w:color w:val="000000"/>
          <w:sz w:val="22"/>
          <w:szCs w:val="22"/>
          <w:lang w:eastAsia="lt-LT"/>
        </w:rPr>
        <w:t>Losartanu, kaip ir kitais vazodiliatatoriais, pacientus, kuriems yra aortos ar mitralinio vožtuvo stenozė arba obstrukcinė hipertrofinė kardiomiopatija, rekomenduojama gydyti itin atsargiai.</w:t>
      </w:r>
    </w:p>
    <w:p w14:paraId="7071C8AC" w14:textId="77777777" w:rsidR="00F00A02" w:rsidRDefault="00F00A02">
      <w:pPr>
        <w:widowControl w:val="0"/>
        <w:rPr>
          <w:b/>
          <w:color w:val="000000"/>
          <w:sz w:val="22"/>
          <w:szCs w:val="22"/>
          <w:lang w:eastAsia="lt-LT"/>
        </w:rPr>
      </w:pPr>
    </w:p>
    <w:p w14:paraId="582C61A6" w14:textId="77777777" w:rsidR="00F00A02" w:rsidRDefault="0027659F">
      <w:pPr>
        <w:widowControl w:val="0"/>
        <w:rPr>
          <w:color w:val="000000"/>
          <w:sz w:val="22"/>
          <w:szCs w:val="22"/>
          <w:u w:val="single"/>
          <w:lang w:eastAsia="lt-LT"/>
        </w:rPr>
      </w:pPr>
      <w:r>
        <w:rPr>
          <w:color w:val="000000"/>
          <w:sz w:val="22"/>
          <w:szCs w:val="22"/>
          <w:u w:val="single"/>
          <w:lang w:eastAsia="lt-LT"/>
        </w:rPr>
        <w:t>Nėštumas</w:t>
      </w:r>
    </w:p>
    <w:p w14:paraId="39AAFE30" w14:textId="77777777" w:rsidR="00F00A02" w:rsidRDefault="0027659F">
      <w:pPr>
        <w:widowControl w:val="0"/>
        <w:rPr>
          <w:color w:val="000000"/>
          <w:sz w:val="22"/>
          <w:szCs w:val="22"/>
          <w:lang w:eastAsia="lt-LT"/>
        </w:rPr>
      </w:pPr>
      <w:r>
        <w:rPr>
          <w:color w:val="000000"/>
          <w:sz w:val="22"/>
          <w:szCs w:val="22"/>
          <w:lang w:eastAsia="lt-LT"/>
        </w:rPr>
        <w:t>Nėščių moterų pradėti gydyti losartanu negalima. Išskyrus atvejus, kai tolesnis gydymas losartanu yra būtinas, planuojančioms pastoti moterims jį reikia keisti kitokiais antihipertenziniais vaistiniais preparatais, kurių vartojimo saugumas nėštumo metu ištirtas. Nustačius nėštumą, losartano vartojimą būtina nedelsiant nutraukti ir, jei reikia, skirti kitokį tinkamą gydymą (žr. 4.3 ir 4.6 skyrius).</w:t>
      </w:r>
    </w:p>
    <w:p w14:paraId="6FE64BF4" w14:textId="77777777" w:rsidR="00F00A02" w:rsidRDefault="00F00A02">
      <w:pPr>
        <w:widowControl w:val="0"/>
        <w:rPr>
          <w:color w:val="000000"/>
          <w:sz w:val="22"/>
          <w:szCs w:val="22"/>
          <w:lang w:eastAsia="lt-LT"/>
        </w:rPr>
      </w:pPr>
    </w:p>
    <w:p w14:paraId="70FCCBA5" w14:textId="77777777" w:rsidR="00F00A02" w:rsidRDefault="0027659F">
      <w:pPr>
        <w:widowControl w:val="0"/>
        <w:rPr>
          <w:color w:val="000000"/>
          <w:sz w:val="22"/>
          <w:szCs w:val="22"/>
          <w:u w:val="single"/>
          <w:lang w:eastAsia="lt-LT"/>
        </w:rPr>
      </w:pPr>
      <w:r>
        <w:rPr>
          <w:color w:val="000000"/>
          <w:sz w:val="22"/>
          <w:szCs w:val="22"/>
          <w:u w:val="single"/>
          <w:lang w:eastAsia="lt-LT"/>
        </w:rPr>
        <w:t>Kiti specialūs įspėjimai ir atsargumo priemonės</w:t>
      </w:r>
    </w:p>
    <w:p w14:paraId="2D1D6A76" w14:textId="77777777" w:rsidR="00F00A02" w:rsidRDefault="0027659F">
      <w:pPr>
        <w:widowControl w:val="0"/>
        <w:rPr>
          <w:color w:val="000000"/>
          <w:sz w:val="22"/>
          <w:szCs w:val="22"/>
          <w:lang w:eastAsia="lt-LT"/>
        </w:rPr>
      </w:pPr>
      <w:r>
        <w:rPr>
          <w:color w:val="000000"/>
          <w:sz w:val="22"/>
          <w:szCs w:val="22"/>
          <w:lang w:eastAsia="lt-LT"/>
        </w:rPr>
        <w:t>Nustatyta, kad losartanas bei kiti angiotenzinui II jautrių receptorių blokatoriai, kaip ir angiotenziną konvertuojančio fermento inhibitoriai, juodaodžiams žmonėms kraujospūdį mažina akivaizdžiai silpniau negu nejuodaodžiams, galbūt todėl, kad hipertenzija sergančių juodaodžių pacientų organizme renino kiekis dažniau būna mažas.</w:t>
      </w:r>
    </w:p>
    <w:p w14:paraId="5C89EB89" w14:textId="77777777" w:rsidR="00F00A02" w:rsidRDefault="00F00A02">
      <w:pPr>
        <w:widowControl w:val="0"/>
        <w:rPr>
          <w:b/>
          <w:color w:val="000000"/>
          <w:sz w:val="22"/>
          <w:szCs w:val="22"/>
        </w:rPr>
      </w:pPr>
    </w:p>
    <w:p w14:paraId="321DC93A" w14:textId="77777777" w:rsidR="00F00A02" w:rsidRDefault="0027659F">
      <w:pPr>
        <w:widowControl w:val="0"/>
        <w:rPr>
          <w:color w:val="000000"/>
          <w:sz w:val="22"/>
          <w:szCs w:val="22"/>
          <w:u w:val="single"/>
          <w:lang w:eastAsia="lt-LT"/>
        </w:rPr>
      </w:pPr>
      <w:r>
        <w:rPr>
          <w:color w:val="000000"/>
          <w:sz w:val="22"/>
          <w:szCs w:val="22"/>
          <w:u w:val="single"/>
          <w:lang w:eastAsia="lt-LT"/>
        </w:rPr>
        <w:t>Dvigubas renino, angiotenzino ir aldosterono sistemos (RAAS) nuslopinimas</w:t>
      </w:r>
    </w:p>
    <w:p w14:paraId="3BBD8379" w14:textId="77777777" w:rsidR="00F00A02" w:rsidRDefault="0027659F">
      <w:pPr>
        <w:widowControl w:val="0"/>
        <w:rPr>
          <w:color w:val="000000"/>
          <w:sz w:val="22"/>
          <w:szCs w:val="22"/>
          <w:lang w:eastAsia="lt-LT"/>
        </w:rPr>
      </w:pPr>
      <w:r>
        <w:rPr>
          <w:color w:val="000000"/>
          <w:sz w:val="22"/>
          <w:szCs w:val="22"/>
          <w:lang w:eastAsia="lt-LT"/>
        </w:rPr>
        <w:t>Turima įrodymų, kad kartu vartojant AKF inhibitorių, angiotenzino II receptorių blokatorių ar aliskireną padidėja hipotenzijos, hiperkalemijos ir inkstų funkcijos susilpnėjimo (įskaitant ūminį inkstų nepakankamumą) rizika. Todėl nerekomenduojama dvigubai nuslopinti RAAS, vartojant AKF inhibitorių, angiotenzino II receptorių blokatorių ar aliskireno derinį (žr. 4.5 ir 5.1 skyrius).</w:t>
      </w:r>
    </w:p>
    <w:p w14:paraId="706984C8" w14:textId="77777777" w:rsidR="00F00A02" w:rsidRDefault="0027659F">
      <w:pPr>
        <w:widowControl w:val="0"/>
        <w:rPr>
          <w:color w:val="000000"/>
          <w:sz w:val="22"/>
          <w:szCs w:val="22"/>
          <w:lang w:eastAsia="lt-LT"/>
        </w:rPr>
      </w:pPr>
      <w:r>
        <w:rPr>
          <w:color w:val="000000"/>
          <w:sz w:val="22"/>
          <w:szCs w:val="22"/>
          <w:lang w:eastAsia="lt-LT"/>
        </w:rPr>
        <w:t>Vis dėlto, jei dvigubas nuslopinimas laikomas absoliučiai būtinu, šis gydymas turi būti atliekamas tik prižiūrint specialistams ir dažnai bei atidžiai tiriant inkstų funkciją, elektrolitų koncentracijas bei kraujospūdį.</w:t>
      </w:r>
    </w:p>
    <w:p w14:paraId="1B17E5F8" w14:textId="77777777" w:rsidR="00F00A02" w:rsidRDefault="0027659F">
      <w:pPr>
        <w:widowControl w:val="0"/>
        <w:rPr>
          <w:color w:val="000000"/>
          <w:sz w:val="22"/>
          <w:szCs w:val="22"/>
          <w:lang w:eastAsia="lt-LT"/>
        </w:rPr>
      </w:pPr>
      <w:r>
        <w:rPr>
          <w:color w:val="000000"/>
          <w:sz w:val="22"/>
          <w:szCs w:val="22"/>
          <w:lang w:eastAsia="lt-LT"/>
        </w:rPr>
        <w:t>Pacientams, sergantiems diabetine nefropatija, negalima kartu vartoti AKF inhibitorių ir angiotenzino II receptorių blokatorių.</w:t>
      </w:r>
    </w:p>
    <w:p w14:paraId="7EDE1190" w14:textId="77777777" w:rsidR="00F00A02" w:rsidRDefault="00F00A02">
      <w:pPr>
        <w:widowControl w:val="0"/>
        <w:rPr>
          <w:color w:val="000000"/>
          <w:sz w:val="22"/>
          <w:szCs w:val="22"/>
          <w:u w:val="single"/>
          <w:lang w:eastAsia="lt-LT"/>
        </w:rPr>
      </w:pPr>
    </w:p>
    <w:p w14:paraId="2854C38A" w14:textId="77777777" w:rsidR="00F00A02" w:rsidRDefault="0027659F">
      <w:pPr>
        <w:widowControl w:val="0"/>
        <w:rPr>
          <w:color w:val="000000"/>
          <w:sz w:val="22"/>
          <w:szCs w:val="22"/>
          <w:u w:val="single"/>
          <w:lang w:eastAsia="lt-LT"/>
        </w:rPr>
      </w:pPr>
      <w:r>
        <w:rPr>
          <w:color w:val="000000"/>
          <w:sz w:val="22"/>
          <w:szCs w:val="22"/>
          <w:u w:val="single"/>
          <w:lang w:eastAsia="lt-LT"/>
        </w:rPr>
        <w:t>Pagalbinės medžiagos</w:t>
      </w:r>
    </w:p>
    <w:p w14:paraId="56DE5348" w14:textId="77777777" w:rsidR="00F00A02" w:rsidRDefault="0027659F">
      <w:pPr>
        <w:widowControl w:val="0"/>
        <w:rPr>
          <w:color w:val="000000"/>
          <w:sz w:val="22"/>
          <w:szCs w:val="22"/>
          <w:lang w:eastAsia="lt-LT"/>
        </w:rPr>
      </w:pPr>
      <w:r>
        <w:rPr>
          <w:color w:val="000000"/>
          <w:sz w:val="22"/>
          <w:szCs w:val="22"/>
          <w:lang w:eastAsia="lt-LT"/>
        </w:rPr>
        <w:t>Šio vaistinio preparato sudėtyje yra laktozės. Pacientams, kuriems nustatytas retas paveldimas sutrikimas – visiškas laktazės stygius arba gliukozės ir galaktozės malabsorbcija, jo vartoti negalima.</w:t>
      </w:r>
    </w:p>
    <w:p w14:paraId="2A2DDC4E" w14:textId="77777777" w:rsidR="00F00A02" w:rsidRDefault="00F00A02">
      <w:pPr>
        <w:widowControl w:val="0"/>
        <w:rPr>
          <w:sz w:val="22"/>
          <w:szCs w:val="22"/>
          <w:lang w:eastAsia="lt-LT"/>
        </w:rPr>
      </w:pPr>
    </w:p>
    <w:p w14:paraId="3C696C6F" w14:textId="77777777" w:rsidR="00F00A02" w:rsidRDefault="0027659F">
      <w:pPr>
        <w:widowControl w:val="0"/>
        <w:ind w:left="567" w:hanging="567"/>
        <w:outlineLvl w:val="2"/>
        <w:rPr>
          <w:b/>
          <w:bCs/>
          <w:sz w:val="22"/>
          <w:szCs w:val="22"/>
          <w:lang w:eastAsia="lt-LT"/>
        </w:rPr>
      </w:pPr>
      <w:r>
        <w:rPr>
          <w:b/>
          <w:bCs/>
          <w:sz w:val="22"/>
          <w:szCs w:val="22"/>
          <w:lang w:eastAsia="lt-LT"/>
        </w:rPr>
        <w:t>4.5</w:t>
      </w:r>
      <w:r>
        <w:rPr>
          <w:b/>
          <w:bCs/>
          <w:sz w:val="22"/>
          <w:szCs w:val="22"/>
          <w:lang w:eastAsia="lt-LT"/>
        </w:rPr>
        <w:tab/>
        <w:t>Sąveika su kitais vaistiniais preparatais ir kitokia sąveika</w:t>
      </w:r>
    </w:p>
    <w:p w14:paraId="3371BED5" w14:textId="77777777" w:rsidR="00F00A02" w:rsidRDefault="00F00A02">
      <w:pPr>
        <w:widowControl w:val="0"/>
        <w:rPr>
          <w:sz w:val="22"/>
          <w:szCs w:val="22"/>
          <w:lang w:eastAsia="lt-LT"/>
        </w:rPr>
      </w:pPr>
    </w:p>
    <w:p w14:paraId="2DB2C96C" w14:textId="77777777" w:rsidR="00F00A02" w:rsidRDefault="0027659F">
      <w:pPr>
        <w:widowControl w:val="0"/>
        <w:rPr>
          <w:color w:val="000000"/>
          <w:sz w:val="22"/>
          <w:szCs w:val="22"/>
          <w:lang w:val="it-IT" w:eastAsia="lt-LT"/>
        </w:rPr>
      </w:pPr>
      <w:r>
        <w:rPr>
          <w:color w:val="000000"/>
          <w:sz w:val="22"/>
          <w:szCs w:val="22"/>
          <w:lang w:val="it-IT" w:eastAsia="lt-LT"/>
        </w:rPr>
        <w:t>Losartano hipotenzinį poveikį gali stiprinti kiti antihipertenziniai vaistiniai preparatai. Vartojant kartu su kitomis hipotenziją sukeliančiosmis medžiagomis, į kurias nepageidaujama reakcija gali būti hipotenzija (pvz., tricikliai antidepresantai, vaistiniai preparatai nuo psichozės, baklofenas ir amifostinas), gali padidėti hipotenzijos pavojus.</w:t>
      </w:r>
    </w:p>
    <w:p w14:paraId="3EE5F81F" w14:textId="77777777" w:rsidR="00F00A02" w:rsidRDefault="00F00A02">
      <w:pPr>
        <w:widowControl w:val="0"/>
        <w:rPr>
          <w:color w:val="000000"/>
          <w:sz w:val="22"/>
          <w:szCs w:val="22"/>
          <w:lang w:val="it-IT" w:eastAsia="lt-LT"/>
        </w:rPr>
      </w:pPr>
    </w:p>
    <w:p w14:paraId="176C8678" w14:textId="77777777" w:rsidR="00F00A02" w:rsidRDefault="0027659F">
      <w:pPr>
        <w:widowControl w:val="0"/>
        <w:rPr>
          <w:color w:val="000000"/>
          <w:sz w:val="22"/>
          <w:szCs w:val="22"/>
          <w:lang w:val="it-IT" w:eastAsia="lt-LT"/>
        </w:rPr>
      </w:pPr>
      <w:r>
        <w:rPr>
          <w:color w:val="000000"/>
          <w:sz w:val="22"/>
          <w:szCs w:val="22"/>
          <w:lang w:val="it-IT" w:eastAsia="lt-LT"/>
        </w:rPr>
        <w:t>Losartanas, daugiausia veikiant citochromui P450 (CYP) 2C9, metabolizuojamas į aktyvų karboksirūgšties metabolitą. Klinikinio tyrimo metu nustatyta, kad flukonazolas (CYP2C9 inhibitorius) sumažina aktyvaus metabolito koncentraciją 50 %. Pastebėta, kad gydant losartanu kartu su rifampicinu (metabolizmo fermentų induktorius), aktyvaus metabolito koncentracija kraujo plazmoje sumažėjo 40 %. Šios sąveikos klinikinė reikšmė nežinoma. Losartano vartojant kartu su fluvastatinu (silpnas CYP2C9 inhibitorius), ekspozicijos pokyčių nenustatyta.</w:t>
      </w:r>
    </w:p>
    <w:p w14:paraId="396F6ED4" w14:textId="77777777" w:rsidR="00F00A02" w:rsidRDefault="00F00A02">
      <w:pPr>
        <w:widowControl w:val="0"/>
        <w:rPr>
          <w:color w:val="000000"/>
          <w:sz w:val="22"/>
          <w:szCs w:val="22"/>
          <w:lang w:val="it-IT" w:eastAsia="lt-LT"/>
        </w:rPr>
      </w:pPr>
    </w:p>
    <w:p w14:paraId="02FB8E91" w14:textId="77777777" w:rsidR="00F00A02" w:rsidRDefault="0027659F">
      <w:pPr>
        <w:widowControl w:val="0"/>
        <w:rPr>
          <w:color w:val="000000"/>
          <w:sz w:val="22"/>
          <w:szCs w:val="22"/>
          <w:lang w:val="it-IT" w:eastAsia="lt-LT"/>
        </w:rPr>
      </w:pPr>
      <w:r>
        <w:rPr>
          <w:color w:val="000000"/>
          <w:sz w:val="22"/>
          <w:szCs w:val="22"/>
          <w:lang w:val="it-IT" w:eastAsia="lt-LT"/>
        </w:rPr>
        <w:t xml:space="preserve">Kartu su losartanu, kaip ir su kitais vaistiniais preparatais, slopinančiais angiotenzino II gamybą arba poveikį, vartojami vaistiniai preparatai, kurie sulaiko organizme kalį (pvz., kalį sulaikantys diuretikai: amiloridas, triamterenas, spironolaktonas) ar gali padidinti kalio kiekį (pvz., heparinas, </w:t>
      </w:r>
      <w:r>
        <w:rPr>
          <w:sz w:val="22"/>
          <w:szCs w:val="22"/>
        </w:rPr>
        <w:t xml:space="preserve"> </w:t>
      </w:r>
      <w:r>
        <w:rPr>
          <w:color w:val="000000"/>
          <w:sz w:val="22"/>
          <w:szCs w:val="22"/>
        </w:rPr>
        <w:t>vaistiniai preparatai, kurių sudėtyje yra trimetoprimo</w:t>
      </w:r>
      <w:r>
        <w:rPr>
          <w:color w:val="000000"/>
          <w:sz w:val="22"/>
          <w:szCs w:val="22"/>
          <w:lang w:val="it-IT" w:eastAsia="lt-LT"/>
        </w:rPr>
        <w:t>), kalio papildai ar druskų pakaitalai, kuriuose yra kalio, gali padidinti kalio koncentraciją serume. Šių vaistinių preparatų kartu su losartanu vartoti nerekomenduojama.</w:t>
      </w:r>
    </w:p>
    <w:p w14:paraId="0798F219" w14:textId="77777777" w:rsidR="00F00A02" w:rsidRDefault="00F00A02">
      <w:pPr>
        <w:widowControl w:val="0"/>
        <w:rPr>
          <w:color w:val="000000"/>
          <w:sz w:val="22"/>
          <w:szCs w:val="22"/>
          <w:lang w:val="it-IT" w:eastAsia="lt-LT"/>
        </w:rPr>
      </w:pPr>
    </w:p>
    <w:p w14:paraId="118C5D03" w14:textId="77777777" w:rsidR="00F00A02" w:rsidRDefault="0027659F">
      <w:pPr>
        <w:widowControl w:val="0"/>
        <w:rPr>
          <w:color w:val="000000"/>
          <w:sz w:val="22"/>
          <w:szCs w:val="22"/>
          <w:lang w:val="it-IT" w:eastAsia="lt-LT"/>
        </w:rPr>
      </w:pPr>
      <w:r>
        <w:rPr>
          <w:color w:val="000000"/>
          <w:sz w:val="22"/>
          <w:szCs w:val="22"/>
          <w:lang w:val="it-IT" w:eastAsia="lt-LT"/>
        </w:rPr>
        <w:t>Kartu su AKF inhibitoriais vartojant ličio, pastebėtas laikinas ličio koncentracijos serume padidėjimas ir toksinio poveikio sustiprėjimas. Tokių pokyčių labai retais atvejais pasitaikė ir ličio vartojant kartu su angiotenzinui II jautrių receptorių blokatoriais. Ličiu ir kartu losartanu reikia gydyti atsargiai. Jei tokiu deriniu gydyti būtina, gydymo metu rekomenduojama matuoti ličio koncentraciją serume.</w:t>
      </w:r>
    </w:p>
    <w:p w14:paraId="50D901D7" w14:textId="77777777" w:rsidR="00F00A02" w:rsidRDefault="00F00A02">
      <w:pPr>
        <w:widowControl w:val="0"/>
        <w:rPr>
          <w:color w:val="000000"/>
          <w:sz w:val="22"/>
          <w:szCs w:val="22"/>
          <w:lang w:val="it-IT" w:eastAsia="lt-LT"/>
        </w:rPr>
      </w:pPr>
    </w:p>
    <w:p w14:paraId="302863D2" w14:textId="77777777" w:rsidR="00F00A02" w:rsidRDefault="0027659F">
      <w:pPr>
        <w:widowControl w:val="0"/>
        <w:rPr>
          <w:color w:val="000000"/>
          <w:sz w:val="22"/>
          <w:szCs w:val="22"/>
          <w:lang w:val="it-IT" w:eastAsia="lt-LT"/>
        </w:rPr>
      </w:pPr>
      <w:r>
        <w:rPr>
          <w:color w:val="000000"/>
          <w:sz w:val="22"/>
          <w:szCs w:val="22"/>
          <w:lang w:val="it-IT" w:eastAsia="lt-LT"/>
        </w:rPr>
        <w:t>Angiotenzinui II jautrių receptorių blokatorių vartojant kartu su nesteroidiniais vaistiniais preparatais nuo uždegimo (NVPNU), t.y. selektyviais COX-2 inhibitoriais, priešuždegiminėmis acetilsalicilo rūgšties dozėmis ar neselektyviais NVPNU, gali susilpnėti antihipertenzinis poveikis. Angiotenzinui II jautrių receptorių blokatorių arba diuretikų ir NVPNU vartojant kartu, gali padidėti inkstų funkcijos silpnėjimo, įskaitant galimą ūminį inkstų nepakankamumą, rizika ir kalio koncentracija serume, ypač pacientams, kurių inkstų funkcija yra silpna prieš pradedant gydyti. Šių vaistinių preparatų deriniu reikia gydyti atsargiai, ypač senyvus pacientus. Pacientus būtina tinkamai hidruoti ir stebėti inkstų funkciją, pradėjus taikyti kompleksinį gydymą bei periodiškai jo metu.</w:t>
      </w:r>
    </w:p>
    <w:p w14:paraId="188A2ED5" w14:textId="77777777" w:rsidR="00F00A02" w:rsidRDefault="00F00A02">
      <w:pPr>
        <w:widowControl w:val="0"/>
        <w:rPr>
          <w:color w:val="000000"/>
          <w:sz w:val="22"/>
          <w:szCs w:val="22"/>
          <w:lang w:val="it-IT" w:eastAsia="lt-LT"/>
        </w:rPr>
      </w:pPr>
    </w:p>
    <w:p w14:paraId="0833560F" w14:textId="77777777" w:rsidR="00F00A02" w:rsidRDefault="0027659F">
      <w:pPr>
        <w:widowControl w:val="0"/>
        <w:rPr>
          <w:color w:val="000000"/>
          <w:sz w:val="22"/>
          <w:szCs w:val="22"/>
          <w:lang w:val="it-IT" w:eastAsia="lt-LT"/>
        </w:rPr>
      </w:pPr>
      <w:r>
        <w:rPr>
          <w:color w:val="000000"/>
          <w:sz w:val="22"/>
          <w:szCs w:val="22"/>
          <w:lang w:val="it-IT" w:eastAsia="lt-LT"/>
        </w:rPr>
        <w:t>Klinikinių tyrimų duomenys parodė, kad, palyginti su vieno RAAS veikiančio vaistinio preparato vartojimu, dvigubas renino, angiotenzino ir aldosterono sistemos (RAAS) nuslopinimas, kai vartojamas AKF inhibitorių, angiotenzino II receptorių blokatorių ar aliskireno derinys, siejamas su dažniau pasitaikančiais nepageidaujamais reiškiniais, tokiais kaip hipotenzija, hiperkalemija ir inkstų funkcijos pablogėjimas (įskaitant ūminį inkstų nepakankamumą).(žr. 4.3, 4.4 ir 5.1 skyrius).</w:t>
      </w:r>
    </w:p>
    <w:p w14:paraId="3479252A" w14:textId="77777777" w:rsidR="00F00A02" w:rsidRDefault="00F00A02">
      <w:pPr>
        <w:tabs>
          <w:tab w:val="left" w:pos="567"/>
        </w:tabs>
        <w:rPr>
          <w:sz w:val="22"/>
          <w:lang w:val="lt-LT" w:eastAsia="lt-LT"/>
        </w:rPr>
      </w:pPr>
      <w:bookmarkStart w:id="1" w:name="_Hlk127352648"/>
    </w:p>
    <w:p w14:paraId="26937A13" w14:textId="77777777" w:rsidR="00F00A02" w:rsidRDefault="0027659F">
      <w:pPr>
        <w:tabs>
          <w:tab w:val="left" w:pos="567"/>
        </w:tabs>
        <w:rPr>
          <w:sz w:val="22"/>
          <w:lang w:val="lt-LT" w:eastAsia="lt-LT"/>
        </w:rPr>
      </w:pPr>
      <w:r>
        <w:rPr>
          <w:sz w:val="22"/>
          <w:lang w:val="lt-LT" w:eastAsia="lt-LT"/>
        </w:rPr>
        <w:t xml:space="preserve">Greipfrutų sultyse yra komponentų, kurie slopina CYP450 fermentus ir gali sumažinti aktyvaus </w:t>
      </w:r>
      <w:proofErr w:type="spellStart"/>
      <w:r>
        <w:rPr>
          <w:sz w:val="22"/>
          <w:lang w:val="lt-LT" w:eastAsia="lt-LT"/>
        </w:rPr>
        <w:t>losartano</w:t>
      </w:r>
      <w:proofErr w:type="spellEnd"/>
      <w:r>
        <w:rPr>
          <w:sz w:val="22"/>
          <w:lang w:val="lt-LT" w:eastAsia="lt-LT"/>
        </w:rPr>
        <w:t xml:space="preserve"> metabolito koncentraciją, todėl gali sumažėti vaistinio preparato terapinis poveikis. Vartojant </w:t>
      </w:r>
      <w:proofErr w:type="spellStart"/>
      <w:r>
        <w:rPr>
          <w:sz w:val="22"/>
          <w:lang w:val="lt-LT" w:eastAsia="lt-LT"/>
        </w:rPr>
        <w:t>losartano</w:t>
      </w:r>
      <w:proofErr w:type="spellEnd"/>
      <w:r>
        <w:rPr>
          <w:sz w:val="22"/>
          <w:lang w:val="lt-LT" w:eastAsia="lt-LT"/>
        </w:rPr>
        <w:t xml:space="preserve"> tabletes, reikia vengti vartoti greipfrutų sulčių.</w:t>
      </w:r>
    </w:p>
    <w:bookmarkEnd w:id="1"/>
    <w:p w14:paraId="02BEFF20" w14:textId="77777777" w:rsidR="00F00A02" w:rsidRDefault="00F00A02">
      <w:pPr>
        <w:widowControl w:val="0"/>
        <w:rPr>
          <w:sz w:val="22"/>
          <w:szCs w:val="22"/>
          <w:lang w:eastAsia="lt-LT"/>
        </w:rPr>
      </w:pPr>
    </w:p>
    <w:p w14:paraId="744E2864" w14:textId="77777777" w:rsidR="00F00A02" w:rsidRDefault="0027659F">
      <w:pPr>
        <w:widowControl w:val="0"/>
        <w:ind w:left="567" w:hanging="567"/>
        <w:outlineLvl w:val="2"/>
        <w:rPr>
          <w:b/>
          <w:bCs/>
          <w:sz w:val="22"/>
          <w:szCs w:val="22"/>
          <w:lang w:eastAsia="lt-LT"/>
        </w:rPr>
      </w:pPr>
      <w:r>
        <w:rPr>
          <w:b/>
          <w:bCs/>
          <w:sz w:val="22"/>
          <w:szCs w:val="22"/>
          <w:lang w:eastAsia="lt-LT"/>
        </w:rPr>
        <w:t>4.6</w:t>
      </w:r>
      <w:r>
        <w:rPr>
          <w:b/>
          <w:bCs/>
          <w:sz w:val="22"/>
          <w:szCs w:val="22"/>
          <w:lang w:eastAsia="lt-LT"/>
        </w:rPr>
        <w:tab/>
        <w:t>Vaisingumas, nėštumo ir žindymo laikotarpis</w:t>
      </w:r>
    </w:p>
    <w:p w14:paraId="75708641" w14:textId="77777777" w:rsidR="00F00A02" w:rsidRDefault="00F00A02">
      <w:pPr>
        <w:widowControl w:val="0"/>
        <w:rPr>
          <w:sz w:val="22"/>
          <w:szCs w:val="22"/>
          <w:lang w:eastAsia="lt-LT"/>
        </w:rPr>
      </w:pPr>
    </w:p>
    <w:p w14:paraId="78DB5B2E" w14:textId="77777777" w:rsidR="00F00A02" w:rsidRDefault="0027659F">
      <w:pPr>
        <w:widowControl w:val="0"/>
        <w:rPr>
          <w:color w:val="000000"/>
          <w:sz w:val="22"/>
          <w:szCs w:val="22"/>
          <w:u w:val="single"/>
          <w:lang w:eastAsia="lt-LT"/>
        </w:rPr>
      </w:pPr>
      <w:r>
        <w:rPr>
          <w:color w:val="000000"/>
          <w:sz w:val="22"/>
          <w:szCs w:val="22"/>
          <w:u w:val="single"/>
          <w:lang w:eastAsia="lt-LT"/>
        </w:rPr>
        <w:t>Nėštumas</w:t>
      </w:r>
    </w:p>
    <w:p w14:paraId="1245DF63" w14:textId="77777777" w:rsidR="00F00A02" w:rsidRDefault="0027659F">
      <w:pPr>
        <w:widowControl w:val="0"/>
        <w:rPr>
          <w:color w:val="000000"/>
          <w:sz w:val="22"/>
          <w:szCs w:val="22"/>
          <w:lang w:eastAsia="lt-LT"/>
        </w:rPr>
      </w:pPr>
      <w:r>
        <w:rPr>
          <w:color w:val="000000"/>
          <w:sz w:val="22"/>
          <w:szCs w:val="22"/>
          <w:lang w:eastAsia="lt-LT"/>
        </w:rPr>
        <w:t>Pirmuoju nėštumo trimestru losartano vartoti nerekomenduojama (žr. 4.4 skyrių). Antruoju ir trečiuoju nėštumo trimestrais jo vartoti draudžiama (žr. 4.3 ir 4.4 skyrius).</w:t>
      </w:r>
    </w:p>
    <w:p w14:paraId="1D978D31" w14:textId="77777777" w:rsidR="00F00A02" w:rsidRDefault="00F00A02">
      <w:pPr>
        <w:widowControl w:val="0"/>
        <w:rPr>
          <w:color w:val="000000"/>
          <w:sz w:val="22"/>
          <w:szCs w:val="22"/>
          <w:lang w:eastAsia="lt-LT"/>
        </w:rPr>
      </w:pPr>
    </w:p>
    <w:p w14:paraId="5A105B6E" w14:textId="77777777" w:rsidR="00F00A02" w:rsidRDefault="0027659F">
      <w:pPr>
        <w:widowControl w:val="0"/>
        <w:outlineLvl w:val="0"/>
        <w:rPr>
          <w:color w:val="000000"/>
          <w:kern w:val="28"/>
          <w:sz w:val="22"/>
          <w:szCs w:val="22"/>
          <w:lang w:eastAsia="lt-LT"/>
        </w:rPr>
      </w:pPr>
      <w:r>
        <w:rPr>
          <w:color w:val="000000"/>
          <w:kern w:val="28"/>
          <w:sz w:val="22"/>
          <w:szCs w:val="22"/>
          <w:lang w:eastAsia="lt-LT"/>
        </w:rPr>
        <w:t>Epidemiologinių tyrimų duomenys dėl pirmuoju nėštumo trimestru vartojamų AKF inhibitorių teratogeninio poveikio rizikos nėra galutiniai, tačiau nedidelio rizikos padidėjimo atmesti negalima. Nors kontrolinių epidemiologinių tyrimų duomenų apie angiotenzino II jautrių receptorių blokatorių (AIIRB) keliamą riziką nėra, tačiau tačiau ji gali būti tokia pati, kaip gydymo kitais šios klasės vaistiniais preparatais metu. Išskyrus atvejus, kai tolesnis gydymas AIIRB yra būtinas, pastoti planuojančioms moterims juos reikia keisti kitokiais antihipertenziniais vaistiniais preparatais, kurių vartojimo saugumas nėštumo metu ištirtas. Nustačius nėštumą, gydymą losartanu būtina nedelsiant nutraukti ir, jei reikia, skirti kitokį tinkamą gydymą.</w:t>
      </w:r>
    </w:p>
    <w:p w14:paraId="40906181" w14:textId="77777777" w:rsidR="00F00A02" w:rsidRDefault="00F00A02">
      <w:pPr>
        <w:widowControl w:val="0"/>
        <w:rPr>
          <w:color w:val="000000"/>
          <w:sz w:val="22"/>
          <w:szCs w:val="22"/>
        </w:rPr>
      </w:pPr>
    </w:p>
    <w:p w14:paraId="7DF963D5" w14:textId="77777777" w:rsidR="00F00A02" w:rsidRDefault="0027659F">
      <w:pPr>
        <w:widowControl w:val="0"/>
        <w:rPr>
          <w:color w:val="000000"/>
          <w:sz w:val="22"/>
          <w:szCs w:val="22"/>
        </w:rPr>
      </w:pPr>
      <w:r>
        <w:rPr>
          <w:color w:val="000000"/>
          <w:sz w:val="22"/>
          <w:szCs w:val="22"/>
        </w:rPr>
        <w:t>Žinoma, kad antruoju arba trečiuoju nėštumo trimestru vartojami AIIRB sukelia toksinį poveikį žmogaus vaisiui (inkstų funkcijos susilpnėjimą, oligohidramnioną, kaukolės kaulėjimo sulėtėjimą) ir naujagimiui (inkstų nepakankamumą, hipotenziją, hiperkalemiją) (žr. ir 5.3 skyrių "Ikiklinikinių saugumo tyrimų duomenys").</w:t>
      </w:r>
    </w:p>
    <w:p w14:paraId="6377D7A4" w14:textId="77777777" w:rsidR="00F00A02" w:rsidRDefault="0027659F">
      <w:pPr>
        <w:widowControl w:val="0"/>
        <w:rPr>
          <w:color w:val="000000"/>
          <w:sz w:val="22"/>
          <w:szCs w:val="22"/>
          <w:lang w:eastAsia="lt-LT"/>
        </w:rPr>
      </w:pPr>
      <w:r>
        <w:rPr>
          <w:color w:val="000000"/>
          <w:sz w:val="22"/>
          <w:szCs w:val="22"/>
          <w:lang w:eastAsia="lt-LT"/>
        </w:rPr>
        <w:t>Jei moteris losartano vartoja antruoju arba trečiuoju nėštumo trimestru, rekomenduojama ultragarsu stebėti jos vaisiaus inkstų funkciją ir kaukolę.</w:t>
      </w:r>
    </w:p>
    <w:p w14:paraId="079892C3" w14:textId="77777777" w:rsidR="00F00A02" w:rsidRDefault="00F00A02">
      <w:pPr>
        <w:widowControl w:val="0"/>
        <w:rPr>
          <w:color w:val="000000"/>
          <w:sz w:val="22"/>
          <w:szCs w:val="22"/>
          <w:lang w:eastAsia="lt-LT"/>
        </w:rPr>
      </w:pPr>
    </w:p>
    <w:p w14:paraId="0342F0B3" w14:textId="77777777" w:rsidR="00F00A02" w:rsidRDefault="0027659F">
      <w:pPr>
        <w:widowControl w:val="0"/>
        <w:rPr>
          <w:color w:val="000000"/>
          <w:sz w:val="22"/>
          <w:szCs w:val="22"/>
          <w:u w:val="single"/>
          <w:lang w:eastAsia="lt-LT"/>
        </w:rPr>
      </w:pPr>
      <w:r>
        <w:rPr>
          <w:color w:val="000000"/>
          <w:sz w:val="22"/>
          <w:szCs w:val="22"/>
          <w:lang w:eastAsia="lt-LT"/>
        </w:rPr>
        <w:t>Reikia atidžiai stebėti, ar kūdikiams, kurių motinos nuo antro nėštumo trimestro vartojo losartano, nepasireiškia hipotenzija (žr. ir 4.3 ir 4.4 skyrius).</w:t>
      </w:r>
    </w:p>
    <w:p w14:paraId="3A18BCCC" w14:textId="77777777" w:rsidR="00F00A02" w:rsidRDefault="00F00A02">
      <w:pPr>
        <w:widowControl w:val="0"/>
        <w:rPr>
          <w:color w:val="000000"/>
          <w:sz w:val="22"/>
          <w:szCs w:val="22"/>
          <w:u w:val="single"/>
          <w:lang w:eastAsia="lt-LT"/>
        </w:rPr>
      </w:pPr>
    </w:p>
    <w:p w14:paraId="620FB9AC" w14:textId="77777777" w:rsidR="00F00A02" w:rsidRDefault="0027659F">
      <w:pPr>
        <w:widowControl w:val="0"/>
        <w:rPr>
          <w:color w:val="000000"/>
          <w:sz w:val="22"/>
          <w:szCs w:val="22"/>
          <w:u w:val="single"/>
          <w:lang w:eastAsia="lt-LT"/>
        </w:rPr>
      </w:pPr>
      <w:r>
        <w:rPr>
          <w:color w:val="000000"/>
          <w:sz w:val="22"/>
          <w:szCs w:val="22"/>
          <w:u w:val="single"/>
          <w:lang w:eastAsia="lt-LT"/>
        </w:rPr>
        <w:t>Žindymo laikotarpis</w:t>
      </w:r>
    </w:p>
    <w:p w14:paraId="1052EAFB" w14:textId="77777777" w:rsidR="00F00A02" w:rsidRDefault="0027659F">
      <w:pPr>
        <w:widowControl w:val="0"/>
        <w:rPr>
          <w:color w:val="000000"/>
          <w:sz w:val="22"/>
          <w:szCs w:val="22"/>
          <w:lang w:eastAsia="lt-LT"/>
        </w:rPr>
      </w:pPr>
      <w:r>
        <w:rPr>
          <w:color w:val="000000"/>
          <w:sz w:val="22"/>
          <w:szCs w:val="22"/>
          <w:lang w:eastAsia="lt-LT"/>
        </w:rPr>
        <w:t>Kadangi informacijos apie losartano vartojimą žindymo laikotarpiu nėra, jo skirti nerekomenduojama, o reikia pasirinkti alternatyvų gydymą, kurio saugumo pobūdis vartojant žindymo laikotarpiu yra geriau ištirtas, ypač jei krūtimi yra maitinamas naujagimis ar prieš laiką gimęs kūdikis.</w:t>
      </w:r>
    </w:p>
    <w:p w14:paraId="580D5D73" w14:textId="77777777" w:rsidR="00F00A02" w:rsidRDefault="00F00A02">
      <w:pPr>
        <w:widowControl w:val="0"/>
        <w:rPr>
          <w:sz w:val="22"/>
          <w:szCs w:val="22"/>
          <w:lang w:eastAsia="lt-LT"/>
        </w:rPr>
      </w:pPr>
    </w:p>
    <w:p w14:paraId="13C6DC72" w14:textId="77777777" w:rsidR="00F00A02" w:rsidRDefault="0027659F">
      <w:pPr>
        <w:widowControl w:val="0"/>
        <w:ind w:left="567" w:hanging="567"/>
        <w:outlineLvl w:val="2"/>
        <w:rPr>
          <w:b/>
          <w:bCs/>
          <w:sz w:val="22"/>
          <w:szCs w:val="22"/>
          <w:lang w:eastAsia="lt-LT"/>
        </w:rPr>
      </w:pPr>
      <w:r>
        <w:rPr>
          <w:b/>
          <w:bCs/>
          <w:sz w:val="22"/>
          <w:szCs w:val="22"/>
          <w:lang w:eastAsia="lt-LT"/>
        </w:rPr>
        <w:t>4.7</w:t>
      </w:r>
      <w:r>
        <w:rPr>
          <w:b/>
          <w:bCs/>
          <w:sz w:val="22"/>
          <w:szCs w:val="22"/>
          <w:lang w:eastAsia="lt-LT"/>
        </w:rPr>
        <w:tab/>
        <w:t>Poveikis gebėjimui vairuoti ir valdyti mechanizmus</w:t>
      </w:r>
    </w:p>
    <w:p w14:paraId="4F03C8D2" w14:textId="77777777" w:rsidR="00F00A02" w:rsidRDefault="00F00A02">
      <w:pPr>
        <w:widowControl w:val="0"/>
        <w:rPr>
          <w:sz w:val="22"/>
          <w:szCs w:val="22"/>
          <w:lang w:eastAsia="lt-LT"/>
        </w:rPr>
      </w:pPr>
    </w:p>
    <w:p w14:paraId="5F3BFE19" w14:textId="77777777" w:rsidR="00F00A02" w:rsidRDefault="0027659F">
      <w:pPr>
        <w:widowControl w:val="0"/>
        <w:rPr>
          <w:color w:val="000000"/>
          <w:sz w:val="22"/>
          <w:szCs w:val="22"/>
          <w:lang w:eastAsia="lt-LT"/>
        </w:rPr>
      </w:pPr>
      <w:r>
        <w:rPr>
          <w:noProof/>
          <w:color w:val="000000"/>
          <w:sz w:val="22"/>
          <w:szCs w:val="22"/>
          <w:lang w:eastAsia="lt-LT"/>
        </w:rPr>
        <w:t>Poveikio gebėjimui vairuoti ir valdyti mechanizmus tyrimų neatlikta. Vis dėlto vairuojant ar valdant mechanizmus reikia prisiminti, kad vartojant antihipertenzinių vaistinių preparatų kartais gali pasireikšti svaigulys ar mieguistumas, ypač gydymo pradžioje ar padidinus dozę.</w:t>
      </w:r>
    </w:p>
    <w:p w14:paraId="1B8FEECF" w14:textId="77777777" w:rsidR="00F00A02" w:rsidRDefault="00F00A02">
      <w:pPr>
        <w:widowControl w:val="0"/>
        <w:rPr>
          <w:sz w:val="22"/>
          <w:szCs w:val="22"/>
          <w:lang w:eastAsia="lt-LT"/>
        </w:rPr>
      </w:pPr>
    </w:p>
    <w:p w14:paraId="7BC939FC" w14:textId="77777777" w:rsidR="00F00A02" w:rsidRDefault="0027659F">
      <w:pPr>
        <w:widowControl w:val="0"/>
        <w:ind w:left="567" w:hanging="567"/>
        <w:outlineLvl w:val="2"/>
        <w:rPr>
          <w:b/>
          <w:bCs/>
          <w:sz w:val="22"/>
          <w:szCs w:val="22"/>
          <w:lang w:eastAsia="lt-LT"/>
        </w:rPr>
      </w:pPr>
      <w:r>
        <w:rPr>
          <w:b/>
          <w:bCs/>
          <w:sz w:val="22"/>
          <w:szCs w:val="22"/>
          <w:lang w:eastAsia="lt-LT"/>
        </w:rPr>
        <w:t>4.8</w:t>
      </w:r>
      <w:r>
        <w:rPr>
          <w:b/>
          <w:bCs/>
          <w:sz w:val="22"/>
          <w:szCs w:val="22"/>
          <w:lang w:eastAsia="lt-LT"/>
        </w:rPr>
        <w:tab/>
        <w:t>Nepageidaujamas poveikis</w:t>
      </w:r>
    </w:p>
    <w:p w14:paraId="71C280FD" w14:textId="77777777" w:rsidR="00F00A02" w:rsidRDefault="00F00A02">
      <w:pPr>
        <w:widowControl w:val="0"/>
        <w:rPr>
          <w:sz w:val="22"/>
          <w:szCs w:val="22"/>
          <w:lang w:eastAsia="lt-LT"/>
        </w:rPr>
      </w:pPr>
    </w:p>
    <w:p w14:paraId="4DDB6145" w14:textId="77777777" w:rsidR="00F00A02" w:rsidRDefault="0027659F">
      <w:pPr>
        <w:widowControl w:val="0"/>
        <w:autoSpaceDE w:val="0"/>
        <w:autoSpaceDN w:val="0"/>
        <w:adjustRightInd w:val="0"/>
        <w:rPr>
          <w:color w:val="000000"/>
          <w:sz w:val="22"/>
          <w:szCs w:val="22"/>
        </w:rPr>
      </w:pPr>
      <w:r>
        <w:rPr>
          <w:color w:val="000000"/>
          <w:sz w:val="22"/>
          <w:szCs w:val="22"/>
        </w:rPr>
        <w:t>Buvo atlikti toliau išvardyti klinikiniai losartano tyrimai.</w:t>
      </w:r>
    </w:p>
    <w:p w14:paraId="742F7B8A" w14:textId="77777777" w:rsidR="00F00A02" w:rsidRDefault="0027659F">
      <w:pPr>
        <w:widowControl w:val="0"/>
        <w:numPr>
          <w:ilvl w:val="0"/>
          <w:numId w:val="19"/>
        </w:numPr>
        <w:tabs>
          <w:tab w:val="clear" w:pos="720"/>
        </w:tabs>
        <w:ind w:left="567" w:hanging="567"/>
        <w:rPr>
          <w:sz w:val="22"/>
          <w:szCs w:val="22"/>
          <w:lang w:eastAsia="lt-LT"/>
        </w:rPr>
      </w:pPr>
      <w:r>
        <w:rPr>
          <w:sz w:val="22"/>
          <w:szCs w:val="22"/>
        </w:rPr>
        <w:t>Kontroliuojamas klinikinis tyrimas</w:t>
      </w:r>
      <w:r>
        <w:rPr>
          <w:sz w:val="22"/>
          <w:szCs w:val="22"/>
          <w:lang w:eastAsia="lt-LT"/>
        </w:rPr>
        <w:t xml:space="preserve">, kuriame dalyvavo </w:t>
      </w:r>
      <w:r>
        <w:rPr>
          <w:sz w:val="22"/>
          <w:szCs w:val="22"/>
        </w:rPr>
        <w:t>&gt; </w:t>
      </w:r>
      <w:r>
        <w:rPr>
          <w:sz w:val="22"/>
          <w:szCs w:val="22"/>
          <w:lang w:eastAsia="lt-LT"/>
        </w:rPr>
        <w:t>3000</w:t>
      </w:r>
      <w:r>
        <w:rPr>
          <w:sz w:val="22"/>
          <w:szCs w:val="22"/>
        </w:rPr>
        <w:t xml:space="preserve"> </w:t>
      </w:r>
      <w:r>
        <w:rPr>
          <w:sz w:val="22"/>
          <w:szCs w:val="22"/>
          <w:lang w:eastAsia="lt-LT"/>
        </w:rPr>
        <w:t>suaugusių (18</w:t>
      </w:r>
      <w:r>
        <w:rPr>
          <w:sz w:val="22"/>
          <w:szCs w:val="22"/>
        </w:rPr>
        <w:t> </w:t>
      </w:r>
      <w:r>
        <w:rPr>
          <w:sz w:val="22"/>
          <w:szCs w:val="22"/>
          <w:lang w:eastAsia="lt-LT"/>
        </w:rPr>
        <w:t>metų ir vyresnių) pirmine hipertenzija</w:t>
      </w:r>
      <w:r>
        <w:rPr>
          <w:sz w:val="22"/>
          <w:szCs w:val="22"/>
        </w:rPr>
        <w:t xml:space="preserve"> sirgusių pacientų.</w:t>
      </w:r>
    </w:p>
    <w:p w14:paraId="5CA3576A" w14:textId="77777777" w:rsidR="00F00A02" w:rsidRDefault="0027659F">
      <w:pPr>
        <w:widowControl w:val="0"/>
        <w:numPr>
          <w:ilvl w:val="0"/>
          <w:numId w:val="19"/>
        </w:numPr>
        <w:tabs>
          <w:tab w:val="clear" w:pos="720"/>
        </w:tabs>
        <w:ind w:left="567" w:hanging="567"/>
        <w:rPr>
          <w:sz w:val="22"/>
          <w:szCs w:val="22"/>
          <w:lang w:eastAsia="lt-LT"/>
        </w:rPr>
      </w:pPr>
      <w:r>
        <w:rPr>
          <w:sz w:val="22"/>
          <w:szCs w:val="22"/>
        </w:rPr>
        <w:t>Kontroliuojamas klinikinis tyrimas</w:t>
      </w:r>
      <w:r>
        <w:rPr>
          <w:sz w:val="22"/>
          <w:szCs w:val="22"/>
          <w:lang w:eastAsia="lt-LT"/>
        </w:rPr>
        <w:t>, kuriame dalyvavo 177 hipertenzija sirgę 6</w:t>
      </w:r>
      <w:r>
        <w:rPr>
          <w:sz w:val="22"/>
          <w:szCs w:val="22"/>
        </w:rPr>
        <w:noBreakHyphen/>
      </w:r>
      <w:r>
        <w:rPr>
          <w:sz w:val="22"/>
          <w:szCs w:val="22"/>
          <w:lang w:eastAsia="lt-LT"/>
        </w:rPr>
        <w:t>16</w:t>
      </w:r>
      <w:r>
        <w:rPr>
          <w:sz w:val="22"/>
          <w:szCs w:val="22"/>
        </w:rPr>
        <w:t> </w:t>
      </w:r>
      <w:r>
        <w:rPr>
          <w:sz w:val="22"/>
          <w:szCs w:val="22"/>
          <w:lang w:eastAsia="lt-LT"/>
        </w:rPr>
        <w:t xml:space="preserve">metų </w:t>
      </w:r>
      <w:r>
        <w:rPr>
          <w:sz w:val="22"/>
          <w:szCs w:val="22"/>
        </w:rPr>
        <w:t>vaikai.</w:t>
      </w:r>
    </w:p>
    <w:p w14:paraId="015D6823" w14:textId="77777777" w:rsidR="00F00A02" w:rsidRDefault="0027659F">
      <w:pPr>
        <w:widowControl w:val="0"/>
        <w:numPr>
          <w:ilvl w:val="0"/>
          <w:numId w:val="19"/>
        </w:numPr>
        <w:tabs>
          <w:tab w:val="clear" w:pos="720"/>
        </w:tabs>
        <w:ind w:left="567" w:hanging="567"/>
        <w:rPr>
          <w:sz w:val="22"/>
          <w:szCs w:val="22"/>
          <w:lang w:eastAsia="lt-LT"/>
        </w:rPr>
      </w:pPr>
      <w:r>
        <w:rPr>
          <w:sz w:val="22"/>
          <w:szCs w:val="22"/>
        </w:rPr>
        <w:t>Kontroliuojamas klinikinis tyrimas</w:t>
      </w:r>
      <w:r>
        <w:rPr>
          <w:sz w:val="22"/>
          <w:szCs w:val="22"/>
          <w:lang w:eastAsia="lt-LT"/>
        </w:rPr>
        <w:t xml:space="preserve">, kuriame dalyvavo </w:t>
      </w:r>
      <w:r>
        <w:rPr>
          <w:sz w:val="22"/>
          <w:szCs w:val="22"/>
        </w:rPr>
        <w:t>&gt; </w:t>
      </w:r>
      <w:r>
        <w:rPr>
          <w:sz w:val="22"/>
          <w:szCs w:val="22"/>
          <w:lang w:eastAsia="lt-LT"/>
        </w:rPr>
        <w:t>9000 hipertenzija sirgusių 55</w:t>
      </w:r>
      <w:r>
        <w:rPr>
          <w:sz w:val="22"/>
          <w:szCs w:val="22"/>
        </w:rPr>
        <w:noBreakHyphen/>
      </w:r>
      <w:r>
        <w:rPr>
          <w:sz w:val="22"/>
          <w:szCs w:val="22"/>
          <w:lang w:eastAsia="lt-LT"/>
        </w:rPr>
        <w:t>80</w:t>
      </w:r>
      <w:r>
        <w:rPr>
          <w:sz w:val="22"/>
          <w:szCs w:val="22"/>
        </w:rPr>
        <w:t> </w:t>
      </w:r>
      <w:r>
        <w:rPr>
          <w:sz w:val="22"/>
          <w:szCs w:val="22"/>
          <w:lang w:eastAsia="lt-LT"/>
        </w:rPr>
        <w:t xml:space="preserve">metų </w:t>
      </w:r>
      <w:r>
        <w:rPr>
          <w:sz w:val="22"/>
          <w:szCs w:val="22"/>
        </w:rPr>
        <w:t>pacientų</w:t>
      </w:r>
      <w:r>
        <w:rPr>
          <w:sz w:val="22"/>
          <w:szCs w:val="22"/>
          <w:lang w:eastAsia="lt-LT"/>
        </w:rPr>
        <w:t xml:space="preserve">, kuriems buvo kairiojo skilvelio hipertrofija (žr. 5.1 skyriaus informaciją apie </w:t>
      </w:r>
      <w:r>
        <w:rPr>
          <w:i/>
          <w:iCs/>
          <w:sz w:val="22"/>
          <w:szCs w:val="22"/>
          <w:lang w:eastAsia="lt-LT"/>
        </w:rPr>
        <w:t>LIFE</w:t>
      </w:r>
      <w:r>
        <w:rPr>
          <w:sz w:val="22"/>
          <w:szCs w:val="22"/>
          <w:lang w:eastAsia="lt-LT"/>
        </w:rPr>
        <w:t xml:space="preserve"> tyrimą</w:t>
      </w:r>
      <w:r>
        <w:rPr>
          <w:sz w:val="22"/>
          <w:szCs w:val="22"/>
        </w:rPr>
        <w:t>).</w:t>
      </w:r>
    </w:p>
    <w:p w14:paraId="7770A608" w14:textId="77777777" w:rsidR="00F00A02" w:rsidRDefault="0027659F">
      <w:pPr>
        <w:widowControl w:val="0"/>
        <w:numPr>
          <w:ilvl w:val="0"/>
          <w:numId w:val="19"/>
        </w:numPr>
        <w:tabs>
          <w:tab w:val="clear" w:pos="720"/>
        </w:tabs>
        <w:ind w:left="567" w:hanging="567"/>
        <w:rPr>
          <w:sz w:val="22"/>
          <w:szCs w:val="22"/>
          <w:lang w:eastAsia="lt-LT"/>
        </w:rPr>
      </w:pPr>
      <w:r>
        <w:rPr>
          <w:sz w:val="22"/>
          <w:szCs w:val="22"/>
        </w:rPr>
        <w:lastRenderedPageBreak/>
        <w:t>Kontroliuojami klinikiniai tyrimai</w:t>
      </w:r>
      <w:r>
        <w:rPr>
          <w:sz w:val="22"/>
          <w:szCs w:val="22"/>
          <w:lang w:eastAsia="lt-LT"/>
        </w:rPr>
        <w:t xml:space="preserve">, kuriuose dalyvavo </w:t>
      </w:r>
      <w:r>
        <w:rPr>
          <w:sz w:val="22"/>
          <w:szCs w:val="22"/>
        </w:rPr>
        <w:t>&gt;</w:t>
      </w:r>
      <w:r>
        <w:rPr>
          <w:sz w:val="22"/>
          <w:szCs w:val="22"/>
          <w:lang w:eastAsia="lt-LT"/>
        </w:rPr>
        <w:t> 7700</w:t>
      </w:r>
      <w:r>
        <w:rPr>
          <w:sz w:val="22"/>
          <w:szCs w:val="22"/>
        </w:rPr>
        <w:t xml:space="preserve"> </w:t>
      </w:r>
      <w:r>
        <w:rPr>
          <w:sz w:val="22"/>
          <w:szCs w:val="22"/>
          <w:lang w:eastAsia="lt-LT"/>
        </w:rPr>
        <w:t>suaugusių</w:t>
      </w:r>
      <w:r>
        <w:rPr>
          <w:sz w:val="22"/>
          <w:szCs w:val="22"/>
        </w:rPr>
        <w:t xml:space="preserve"> lėtiniu</w:t>
      </w:r>
      <w:r>
        <w:rPr>
          <w:sz w:val="22"/>
          <w:szCs w:val="22"/>
          <w:lang w:eastAsia="lt-LT"/>
        </w:rPr>
        <w:t xml:space="preserve"> širdies </w:t>
      </w:r>
      <w:r>
        <w:rPr>
          <w:sz w:val="22"/>
          <w:szCs w:val="22"/>
        </w:rPr>
        <w:t>nepakankamumu sirgusių pacientų</w:t>
      </w:r>
      <w:r>
        <w:rPr>
          <w:sz w:val="22"/>
          <w:szCs w:val="22"/>
          <w:lang w:eastAsia="lt-LT"/>
        </w:rPr>
        <w:t xml:space="preserve"> (žr. 5.1</w:t>
      </w:r>
      <w:r>
        <w:rPr>
          <w:sz w:val="22"/>
          <w:szCs w:val="22"/>
        </w:rPr>
        <w:t> </w:t>
      </w:r>
      <w:r>
        <w:rPr>
          <w:sz w:val="22"/>
          <w:szCs w:val="22"/>
          <w:lang w:eastAsia="lt-LT"/>
        </w:rPr>
        <w:t xml:space="preserve">skyriaus informaciją apie </w:t>
      </w:r>
      <w:r>
        <w:rPr>
          <w:i/>
          <w:iCs/>
          <w:sz w:val="22"/>
          <w:szCs w:val="22"/>
          <w:lang w:eastAsia="lt-LT"/>
        </w:rPr>
        <w:t>ELITE I, ELITE II</w:t>
      </w:r>
      <w:r>
        <w:rPr>
          <w:sz w:val="22"/>
          <w:szCs w:val="22"/>
          <w:lang w:eastAsia="lt-LT"/>
        </w:rPr>
        <w:t xml:space="preserve"> ir </w:t>
      </w:r>
      <w:r>
        <w:rPr>
          <w:i/>
          <w:iCs/>
          <w:sz w:val="22"/>
          <w:szCs w:val="22"/>
          <w:lang w:eastAsia="lt-LT"/>
        </w:rPr>
        <w:t>HEAAL</w:t>
      </w:r>
      <w:r>
        <w:rPr>
          <w:sz w:val="22"/>
          <w:szCs w:val="22"/>
          <w:lang w:eastAsia="lt-LT"/>
        </w:rPr>
        <w:t xml:space="preserve"> </w:t>
      </w:r>
      <w:r>
        <w:rPr>
          <w:sz w:val="22"/>
          <w:szCs w:val="22"/>
        </w:rPr>
        <w:t>tyrimai).</w:t>
      </w:r>
    </w:p>
    <w:p w14:paraId="379E7E43" w14:textId="77777777" w:rsidR="00F00A02" w:rsidRDefault="0027659F">
      <w:pPr>
        <w:widowControl w:val="0"/>
        <w:numPr>
          <w:ilvl w:val="0"/>
          <w:numId w:val="19"/>
        </w:numPr>
        <w:tabs>
          <w:tab w:val="clear" w:pos="720"/>
        </w:tabs>
        <w:ind w:left="567" w:hanging="567"/>
        <w:rPr>
          <w:sz w:val="22"/>
          <w:szCs w:val="22"/>
          <w:lang w:eastAsia="lt-LT"/>
        </w:rPr>
      </w:pPr>
      <w:r>
        <w:rPr>
          <w:sz w:val="22"/>
          <w:szCs w:val="22"/>
        </w:rPr>
        <w:t>Kontroliuojamas klinikinis tyrimas</w:t>
      </w:r>
      <w:r>
        <w:rPr>
          <w:sz w:val="22"/>
          <w:szCs w:val="22"/>
          <w:lang w:eastAsia="lt-LT"/>
        </w:rPr>
        <w:t xml:space="preserve">, kuriame dalyvavo </w:t>
      </w:r>
      <w:r>
        <w:rPr>
          <w:sz w:val="22"/>
          <w:szCs w:val="22"/>
        </w:rPr>
        <w:t>&gt; 1500 antrojo</w:t>
      </w:r>
      <w:r>
        <w:rPr>
          <w:sz w:val="22"/>
          <w:szCs w:val="22"/>
          <w:lang w:eastAsia="lt-LT"/>
        </w:rPr>
        <w:t xml:space="preserve"> tipo cukriniu diabetu </w:t>
      </w:r>
      <w:r>
        <w:rPr>
          <w:sz w:val="22"/>
          <w:szCs w:val="22"/>
        </w:rPr>
        <w:t>sirgusių 31 metų ir vyresnių pacientų, kuriems buvo proteinurija</w:t>
      </w:r>
      <w:r>
        <w:rPr>
          <w:sz w:val="22"/>
          <w:szCs w:val="22"/>
          <w:lang w:eastAsia="lt-LT"/>
        </w:rPr>
        <w:t xml:space="preserve"> (žr. 5.1 skyriaus informaciją apie </w:t>
      </w:r>
      <w:r>
        <w:rPr>
          <w:i/>
          <w:iCs/>
          <w:sz w:val="22"/>
          <w:szCs w:val="22"/>
          <w:lang w:eastAsia="lt-LT"/>
        </w:rPr>
        <w:t>RENAAL</w:t>
      </w:r>
      <w:r>
        <w:rPr>
          <w:sz w:val="22"/>
          <w:szCs w:val="22"/>
          <w:lang w:eastAsia="lt-LT"/>
        </w:rPr>
        <w:t xml:space="preserve"> tyrimą).</w:t>
      </w:r>
    </w:p>
    <w:p w14:paraId="565EB15F" w14:textId="77777777" w:rsidR="00F00A02" w:rsidRDefault="00F00A02">
      <w:pPr>
        <w:widowControl w:val="0"/>
        <w:rPr>
          <w:sz w:val="22"/>
          <w:szCs w:val="22"/>
          <w:lang w:eastAsia="lt-LT"/>
        </w:rPr>
      </w:pPr>
    </w:p>
    <w:p w14:paraId="09C76BF9" w14:textId="77777777" w:rsidR="00F00A02" w:rsidRDefault="0027659F">
      <w:pPr>
        <w:widowControl w:val="0"/>
        <w:tabs>
          <w:tab w:val="left" w:pos="360"/>
        </w:tabs>
        <w:ind w:left="360" w:hanging="360"/>
        <w:outlineLvl w:val="0"/>
        <w:rPr>
          <w:sz w:val="22"/>
          <w:szCs w:val="22"/>
          <w:lang w:eastAsia="lt-LT"/>
        </w:rPr>
      </w:pPr>
      <w:r>
        <w:rPr>
          <w:sz w:val="22"/>
          <w:szCs w:val="22"/>
          <w:lang w:eastAsia="lt-LT"/>
        </w:rPr>
        <w:t xml:space="preserve">Šių klinikinių tyrimų metu dažniausiai stebėta nepageidaujama reakcija buvo </w:t>
      </w:r>
      <w:r>
        <w:rPr>
          <w:sz w:val="22"/>
          <w:szCs w:val="22"/>
        </w:rPr>
        <w:t>svaigulys</w:t>
      </w:r>
      <w:r>
        <w:rPr>
          <w:sz w:val="22"/>
          <w:szCs w:val="22"/>
          <w:lang w:eastAsia="lt-LT"/>
        </w:rPr>
        <w:t>.</w:t>
      </w:r>
    </w:p>
    <w:p w14:paraId="4285D67F" w14:textId="77777777" w:rsidR="00F00A02" w:rsidRDefault="00F00A02">
      <w:pPr>
        <w:widowControl w:val="0"/>
        <w:rPr>
          <w:color w:val="000000"/>
          <w:sz w:val="22"/>
          <w:szCs w:val="22"/>
          <w:lang w:eastAsia="lt-LT"/>
        </w:rPr>
      </w:pPr>
    </w:p>
    <w:p w14:paraId="238291F7" w14:textId="77777777" w:rsidR="00F00A02" w:rsidRDefault="0027659F">
      <w:pPr>
        <w:widowControl w:val="0"/>
        <w:rPr>
          <w:noProof/>
          <w:color w:val="000000"/>
          <w:sz w:val="22"/>
          <w:szCs w:val="22"/>
          <w:lang w:eastAsia="lt-LT"/>
        </w:rPr>
      </w:pPr>
      <w:r>
        <w:rPr>
          <w:snapToGrid w:val="0"/>
          <w:sz w:val="22"/>
          <w:szCs w:val="22"/>
        </w:rPr>
        <w:t>Nepageidaujamo poveikio dažnis apibūdinamas taip: labai dažnas (≥ 1/10), dažnas (nuo ≥ 1/100 iki &lt; 1/10), nedažnas (nuo ≥ 1/1 000 iki &lt; 1/100), retas (nuo ≥ 1/10 000 iki &lt; 1/1000), labai retas (&lt; 1/10 000) ir nežinomas (negali būti apskaičiuotas pagal turimus duomenis)</w:t>
      </w:r>
      <w:r>
        <w:rPr>
          <w:noProof/>
          <w:color w:val="000000"/>
          <w:sz w:val="22"/>
          <w:szCs w:val="22"/>
          <w:lang w:eastAsia="lt-LT"/>
        </w:rPr>
        <w:t>.</w:t>
      </w:r>
    </w:p>
    <w:p w14:paraId="632683AD" w14:textId="77777777" w:rsidR="00F00A02" w:rsidRDefault="00F00A02">
      <w:pPr>
        <w:widowControl w:val="0"/>
        <w:rPr>
          <w:color w:val="000000"/>
          <w:sz w:val="22"/>
          <w:szCs w:val="22"/>
          <w:lang w:eastAsia="lt-LT"/>
        </w:rPr>
      </w:pPr>
    </w:p>
    <w:p w14:paraId="5796609C" w14:textId="77777777" w:rsidR="00F00A02" w:rsidRDefault="0027659F">
      <w:pPr>
        <w:widowControl w:val="0"/>
        <w:tabs>
          <w:tab w:val="left" w:pos="567"/>
        </w:tabs>
        <w:rPr>
          <w:bCs/>
          <w:color w:val="000000"/>
          <w:sz w:val="22"/>
          <w:szCs w:val="22"/>
          <w:u w:val="single"/>
        </w:rPr>
      </w:pPr>
      <w:r>
        <w:rPr>
          <w:bCs/>
          <w:color w:val="000000"/>
          <w:sz w:val="22"/>
          <w:szCs w:val="22"/>
          <w:u w:val="single"/>
        </w:rPr>
        <w:t>1 lentelė. Nepageidaujamų reakcijų, nustatytų placebo kontroliuojamų klinikinių tyrimų metų ir po vaistinio preparato pateikimo į rinką, pasireiškimo dažnis.</w:t>
      </w:r>
    </w:p>
    <w:p w14:paraId="3F051591" w14:textId="77777777" w:rsidR="00F00A02" w:rsidRDefault="00F00A02">
      <w:pPr>
        <w:widowControl w:val="0"/>
        <w:tabs>
          <w:tab w:val="left" w:pos="567"/>
        </w:tabs>
        <w:rPr>
          <w:color w:val="000000"/>
          <w:sz w:val="22"/>
          <w:szCs w:val="22"/>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6"/>
        <w:gridCol w:w="1304"/>
        <w:gridCol w:w="1304"/>
        <w:gridCol w:w="1793"/>
        <w:gridCol w:w="1304"/>
        <w:gridCol w:w="1170"/>
      </w:tblGrid>
      <w:tr w:rsidR="00F00A02" w14:paraId="45922271" w14:textId="77777777">
        <w:tc>
          <w:tcPr>
            <w:tcW w:w="2390" w:type="dxa"/>
            <w:tcBorders>
              <w:top w:val="single" w:sz="4" w:space="0" w:color="auto"/>
              <w:left w:val="single" w:sz="4" w:space="0" w:color="auto"/>
              <w:bottom w:val="single" w:sz="4" w:space="0" w:color="auto"/>
              <w:right w:val="single" w:sz="4" w:space="0" w:color="auto"/>
            </w:tcBorders>
            <w:hideMark/>
          </w:tcPr>
          <w:p w14:paraId="41192DCC" w14:textId="77777777" w:rsidR="00F00A02" w:rsidRDefault="0027659F">
            <w:pPr>
              <w:widowControl w:val="0"/>
              <w:tabs>
                <w:tab w:val="left" w:pos="567"/>
              </w:tabs>
              <w:rPr>
                <w:bCs/>
                <w:color w:val="000000"/>
                <w:sz w:val="22"/>
                <w:szCs w:val="22"/>
              </w:rPr>
            </w:pPr>
            <w:r>
              <w:rPr>
                <w:bCs/>
                <w:color w:val="000000"/>
                <w:sz w:val="22"/>
                <w:szCs w:val="22"/>
              </w:rPr>
              <w:t>Nepageidaujama reakcija</w:t>
            </w:r>
          </w:p>
        </w:tc>
        <w:tc>
          <w:tcPr>
            <w:tcW w:w="5752" w:type="dxa"/>
            <w:gridSpan w:val="4"/>
            <w:tcBorders>
              <w:top w:val="single" w:sz="4" w:space="0" w:color="auto"/>
              <w:left w:val="single" w:sz="4" w:space="0" w:color="auto"/>
              <w:bottom w:val="single" w:sz="4" w:space="0" w:color="auto"/>
              <w:right w:val="single" w:sz="4" w:space="0" w:color="auto"/>
            </w:tcBorders>
            <w:hideMark/>
          </w:tcPr>
          <w:p w14:paraId="7DFEC7F1" w14:textId="77777777" w:rsidR="00F00A02" w:rsidRDefault="0027659F">
            <w:pPr>
              <w:widowControl w:val="0"/>
              <w:tabs>
                <w:tab w:val="left" w:pos="567"/>
              </w:tabs>
              <w:rPr>
                <w:bCs/>
                <w:color w:val="000000"/>
                <w:sz w:val="22"/>
                <w:szCs w:val="22"/>
              </w:rPr>
            </w:pPr>
            <w:r>
              <w:rPr>
                <w:bCs/>
                <w:color w:val="000000"/>
                <w:sz w:val="22"/>
                <w:szCs w:val="22"/>
              </w:rPr>
              <w:t>Nepageidaujamų reakcijų dažnis pagal indikaciją</w:t>
            </w:r>
          </w:p>
        </w:tc>
        <w:tc>
          <w:tcPr>
            <w:tcW w:w="1145" w:type="dxa"/>
            <w:tcBorders>
              <w:top w:val="single" w:sz="4" w:space="0" w:color="auto"/>
              <w:left w:val="single" w:sz="4" w:space="0" w:color="auto"/>
              <w:bottom w:val="single" w:sz="4" w:space="0" w:color="auto"/>
              <w:right w:val="single" w:sz="4" w:space="0" w:color="auto"/>
            </w:tcBorders>
            <w:hideMark/>
          </w:tcPr>
          <w:p w14:paraId="32496AC7" w14:textId="77777777" w:rsidR="00F00A02" w:rsidRDefault="0027659F">
            <w:pPr>
              <w:widowControl w:val="0"/>
              <w:tabs>
                <w:tab w:val="left" w:pos="567"/>
              </w:tabs>
              <w:rPr>
                <w:bCs/>
                <w:color w:val="000000"/>
                <w:sz w:val="22"/>
                <w:szCs w:val="22"/>
              </w:rPr>
            </w:pPr>
            <w:r>
              <w:rPr>
                <w:bCs/>
                <w:color w:val="000000"/>
                <w:sz w:val="22"/>
                <w:szCs w:val="22"/>
              </w:rPr>
              <w:t>Kita</w:t>
            </w:r>
          </w:p>
        </w:tc>
      </w:tr>
      <w:tr w:rsidR="00F00A02" w14:paraId="7254E08D" w14:textId="77777777">
        <w:tc>
          <w:tcPr>
            <w:tcW w:w="2390" w:type="dxa"/>
            <w:tcBorders>
              <w:top w:val="single" w:sz="4" w:space="0" w:color="auto"/>
              <w:left w:val="single" w:sz="4" w:space="0" w:color="auto"/>
              <w:bottom w:val="single" w:sz="4" w:space="0" w:color="auto"/>
              <w:right w:val="single" w:sz="4" w:space="0" w:color="auto"/>
            </w:tcBorders>
          </w:tcPr>
          <w:p w14:paraId="12403434" w14:textId="77777777" w:rsidR="00F00A02" w:rsidRDefault="00F00A02">
            <w:pPr>
              <w:widowControl w:val="0"/>
              <w:tabs>
                <w:tab w:val="left" w:pos="567"/>
              </w:tabs>
              <w:rPr>
                <w:bCs/>
                <w:i/>
                <w:color w:val="000000"/>
                <w:sz w:val="22"/>
                <w:szCs w:val="22"/>
              </w:rPr>
            </w:pPr>
          </w:p>
        </w:tc>
        <w:tc>
          <w:tcPr>
            <w:tcW w:w="1326" w:type="dxa"/>
            <w:tcBorders>
              <w:top w:val="single" w:sz="4" w:space="0" w:color="auto"/>
              <w:left w:val="single" w:sz="4" w:space="0" w:color="auto"/>
              <w:bottom w:val="single" w:sz="4" w:space="0" w:color="auto"/>
              <w:right w:val="single" w:sz="4" w:space="0" w:color="auto"/>
            </w:tcBorders>
            <w:hideMark/>
          </w:tcPr>
          <w:p w14:paraId="441F58A0" w14:textId="77777777" w:rsidR="00F00A02" w:rsidRDefault="0027659F">
            <w:pPr>
              <w:widowControl w:val="0"/>
              <w:tabs>
                <w:tab w:val="left" w:pos="567"/>
              </w:tabs>
              <w:rPr>
                <w:bCs/>
                <w:color w:val="000000"/>
                <w:sz w:val="22"/>
                <w:szCs w:val="22"/>
              </w:rPr>
            </w:pPr>
            <w:r>
              <w:rPr>
                <w:bCs/>
                <w:color w:val="000000"/>
                <w:sz w:val="22"/>
                <w:szCs w:val="22"/>
              </w:rPr>
              <w:t>Hipertenzija</w:t>
            </w:r>
          </w:p>
        </w:tc>
        <w:tc>
          <w:tcPr>
            <w:tcW w:w="1310" w:type="dxa"/>
            <w:tcBorders>
              <w:top w:val="single" w:sz="4" w:space="0" w:color="auto"/>
              <w:left w:val="single" w:sz="4" w:space="0" w:color="auto"/>
              <w:bottom w:val="single" w:sz="4" w:space="0" w:color="auto"/>
              <w:right w:val="single" w:sz="4" w:space="0" w:color="auto"/>
            </w:tcBorders>
            <w:hideMark/>
          </w:tcPr>
          <w:p w14:paraId="0197D2A3" w14:textId="77777777" w:rsidR="00F00A02" w:rsidRDefault="0027659F">
            <w:pPr>
              <w:widowControl w:val="0"/>
              <w:tabs>
                <w:tab w:val="left" w:pos="567"/>
              </w:tabs>
              <w:rPr>
                <w:bCs/>
                <w:color w:val="000000"/>
                <w:sz w:val="22"/>
                <w:szCs w:val="22"/>
              </w:rPr>
            </w:pPr>
            <w:r>
              <w:rPr>
                <w:bCs/>
                <w:color w:val="000000"/>
                <w:sz w:val="22"/>
                <w:szCs w:val="22"/>
              </w:rPr>
              <w:t>Hipertenzija sergantys pacientai kuriems yra kairiojo skilvelio hipertrofija</w:t>
            </w:r>
          </w:p>
        </w:tc>
        <w:tc>
          <w:tcPr>
            <w:tcW w:w="1806" w:type="dxa"/>
            <w:tcBorders>
              <w:top w:val="single" w:sz="4" w:space="0" w:color="auto"/>
              <w:left w:val="single" w:sz="4" w:space="0" w:color="auto"/>
              <w:bottom w:val="single" w:sz="4" w:space="0" w:color="auto"/>
              <w:right w:val="single" w:sz="4" w:space="0" w:color="auto"/>
            </w:tcBorders>
            <w:hideMark/>
          </w:tcPr>
          <w:p w14:paraId="387868E5" w14:textId="77777777" w:rsidR="00F00A02" w:rsidRDefault="0027659F">
            <w:pPr>
              <w:widowControl w:val="0"/>
              <w:tabs>
                <w:tab w:val="left" w:pos="567"/>
              </w:tabs>
              <w:rPr>
                <w:bCs/>
                <w:color w:val="000000"/>
                <w:sz w:val="22"/>
                <w:szCs w:val="22"/>
              </w:rPr>
            </w:pPr>
            <w:r>
              <w:rPr>
                <w:bCs/>
                <w:color w:val="000000"/>
                <w:sz w:val="22"/>
                <w:szCs w:val="22"/>
              </w:rPr>
              <w:t>Lėtinis širdies nepakankamumas</w:t>
            </w:r>
          </w:p>
        </w:tc>
        <w:tc>
          <w:tcPr>
            <w:tcW w:w="1310" w:type="dxa"/>
            <w:tcBorders>
              <w:top w:val="single" w:sz="4" w:space="0" w:color="auto"/>
              <w:left w:val="single" w:sz="4" w:space="0" w:color="auto"/>
              <w:bottom w:val="single" w:sz="4" w:space="0" w:color="auto"/>
              <w:right w:val="single" w:sz="4" w:space="0" w:color="auto"/>
            </w:tcBorders>
            <w:hideMark/>
          </w:tcPr>
          <w:p w14:paraId="7E5CDD13" w14:textId="77777777" w:rsidR="00F00A02" w:rsidRDefault="0027659F">
            <w:pPr>
              <w:widowControl w:val="0"/>
              <w:tabs>
                <w:tab w:val="left" w:pos="567"/>
              </w:tabs>
              <w:rPr>
                <w:bCs/>
                <w:color w:val="000000"/>
                <w:sz w:val="22"/>
                <w:szCs w:val="22"/>
              </w:rPr>
            </w:pPr>
            <w:r>
              <w:rPr>
                <w:bCs/>
                <w:color w:val="000000"/>
                <w:sz w:val="22"/>
                <w:szCs w:val="22"/>
              </w:rPr>
              <w:t>Hipertenzija ir II tipo cukrinis diabetas, susijęs su inkstų liga</w:t>
            </w:r>
          </w:p>
        </w:tc>
        <w:tc>
          <w:tcPr>
            <w:tcW w:w="1145" w:type="dxa"/>
            <w:tcBorders>
              <w:top w:val="single" w:sz="4" w:space="0" w:color="auto"/>
              <w:left w:val="single" w:sz="4" w:space="0" w:color="auto"/>
              <w:bottom w:val="single" w:sz="4" w:space="0" w:color="auto"/>
              <w:right w:val="single" w:sz="4" w:space="0" w:color="auto"/>
            </w:tcBorders>
            <w:hideMark/>
          </w:tcPr>
          <w:p w14:paraId="4B9A1CEF" w14:textId="77777777" w:rsidR="00F00A02" w:rsidRDefault="0027659F">
            <w:pPr>
              <w:widowControl w:val="0"/>
              <w:tabs>
                <w:tab w:val="left" w:pos="567"/>
              </w:tabs>
              <w:rPr>
                <w:bCs/>
                <w:color w:val="000000"/>
                <w:sz w:val="22"/>
                <w:szCs w:val="22"/>
              </w:rPr>
            </w:pPr>
            <w:r>
              <w:rPr>
                <w:bCs/>
                <w:color w:val="000000"/>
                <w:sz w:val="22"/>
                <w:szCs w:val="22"/>
              </w:rPr>
              <w:t>Duomenys gauti po vaistinio preparato pateikimo į rinką</w:t>
            </w:r>
          </w:p>
        </w:tc>
      </w:tr>
      <w:tr w:rsidR="00F00A02" w14:paraId="14113412" w14:textId="77777777">
        <w:tc>
          <w:tcPr>
            <w:tcW w:w="9287" w:type="dxa"/>
            <w:gridSpan w:val="6"/>
            <w:tcBorders>
              <w:top w:val="single" w:sz="4" w:space="0" w:color="auto"/>
              <w:left w:val="single" w:sz="4" w:space="0" w:color="auto"/>
              <w:bottom w:val="single" w:sz="4" w:space="0" w:color="auto"/>
              <w:right w:val="single" w:sz="4" w:space="0" w:color="auto"/>
            </w:tcBorders>
            <w:hideMark/>
          </w:tcPr>
          <w:p w14:paraId="3D37785C" w14:textId="77777777" w:rsidR="00F00A02" w:rsidRDefault="0027659F">
            <w:pPr>
              <w:widowControl w:val="0"/>
              <w:tabs>
                <w:tab w:val="left" w:pos="567"/>
              </w:tabs>
              <w:rPr>
                <w:bCs/>
                <w:color w:val="000000"/>
                <w:sz w:val="22"/>
                <w:szCs w:val="22"/>
              </w:rPr>
            </w:pPr>
            <w:r>
              <w:rPr>
                <w:bCs/>
                <w:i/>
                <w:color w:val="000000"/>
                <w:sz w:val="22"/>
                <w:szCs w:val="22"/>
              </w:rPr>
              <w:t>Kraujo ir limfinės sistemos sutrikimai</w:t>
            </w:r>
          </w:p>
        </w:tc>
      </w:tr>
      <w:tr w:rsidR="00F00A02" w14:paraId="7F766FBE" w14:textId="77777777">
        <w:tc>
          <w:tcPr>
            <w:tcW w:w="2390" w:type="dxa"/>
            <w:tcBorders>
              <w:top w:val="single" w:sz="4" w:space="0" w:color="auto"/>
              <w:left w:val="single" w:sz="4" w:space="0" w:color="auto"/>
              <w:bottom w:val="single" w:sz="4" w:space="0" w:color="auto"/>
              <w:right w:val="single" w:sz="4" w:space="0" w:color="auto"/>
            </w:tcBorders>
            <w:hideMark/>
          </w:tcPr>
          <w:p w14:paraId="7307576D" w14:textId="77777777" w:rsidR="00F00A02" w:rsidRDefault="0027659F">
            <w:pPr>
              <w:widowControl w:val="0"/>
              <w:tabs>
                <w:tab w:val="left" w:pos="567"/>
              </w:tabs>
              <w:rPr>
                <w:color w:val="000000"/>
                <w:sz w:val="22"/>
                <w:szCs w:val="22"/>
              </w:rPr>
            </w:pPr>
            <w:r>
              <w:rPr>
                <w:color w:val="000000"/>
                <w:sz w:val="22"/>
                <w:szCs w:val="22"/>
              </w:rPr>
              <w:t>Anemija</w:t>
            </w:r>
          </w:p>
        </w:tc>
        <w:tc>
          <w:tcPr>
            <w:tcW w:w="1326" w:type="dxa"/>
            <w:tcBorders>
              <w:top w:val="single" w:sz="4" w:space="0" w:color="auto"/>
              <w:left w:val="single" w:sz="4" w:space="0" w:color="auto"/>
              <w:bottom w:val="single" w:sz="4" w:space="0" w:color="auto"/>
              <w:right w:val="single" w:sz="4" w:space="0" w:color="auto"/>
            </w:tcBorders>
          </w:tcPr>
          <w:p w14:paraId="7BB1D5F9"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706AA884"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hideMark/>
          </w:tcPr>
          <w:p w14:paraId="46CFC1EB" w14:textId="77777777" w:rsidR="00F00A02" w:rsidRDefault="0027659F">
            <w:pPr>
              <w:widowControl w:val="0"/>
              <w:tabs>
                <w:tab w:val="left" w:pos="567"/>
              </w:tabs>
              <w:rPr>
                <w:color w:val="000000"/>
                <w:sz w:val="22"/>
                <w:szCs w:val="22"/>
              </w:rPr>
            </w:pPr>
            <w:r>
              <w:rPr>
                <w:color w:val="000000"/>
                <w:sz w:val="22"/>
                <w:szCs w:val="22"/>
              </w:rPr>
              <w:t>Dažnas</w:t>
            </w:r>
          </w:p>
        </w:tc>
        <w:tc>
          <w:tcPr>
            <w:tcW w:w="1310" w:type="dxa"/>
            <w:tcBorders>
              <w:top w:val="single" w:sz="4" w:space="0" w:color="auto"/>
              <w:left w:val="single" w:sz="4" w:space="0" w:color="auto"/>
              <w:bottom w:val="single" w:sz="4" w:space="0" w:color="auto"/>
              <w:right w:val="single" w:sz="4" w:space="0" w:color="auto"/>
            </w:tcBorders>
          </w:tcPr>
          <w:p w14:paraId="2B4F38DA"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hideMark/>
          </w:tcPr>
          <w:p w14:paraId="1944CCED" w14:textId="77777777" w:rsidR="00F00A02" w:rsidRDefault="0027659F">
            <w:pPr>
              <w:widowControl w:val="0"/>
              <w:tabs>
                <w:tab w:val="left" w:pos="567"/>
              </w:tabs>
              <w:rPr>
                <w:color w:val="000000"/>
                <w:sz w:val="22"/>
                <w:szCs w:val="22"/>
              </w:rPr>
            </w:pPr>
            <w:r>
              <w:rPr>
                <w:color w:val="000000"/>
                <w:sz w:val="22"/>
                <w:szCs w:val="22"/>
              </w:rPr>
              <w:t>Dažnis nežinomas</w:t>
            </w:r>
          </w:p>
        </w:tc>
      </w:tr>
      <w:tr w:rsidR="00F00A02" w14:paraId="00AF0DF1" w14:textId="77777777">
        <w:tc>
          <w:tcPr>
            <w:tcW w:w="2390" w:type="dxa"/>
            <w:tcBorders>
              <w:top w:val="single" w:sz="4" w:space="0" w:color="auto"/>
              <w:left w:val="single" w:sz="4" w:space="0" w:color="auto"/>
              <w:bottom w:val="single" w:sz="4" w:space="0" w:color="auto"/>
              <w:right w:val="single" w:sz="4" w:space="0" w:color="auto"/>
            </w:tcBorders>
            <w:hideMark/>
          </w:tcPr>
          <w:p w14:paraId="7DA9CF72" w14:textId="77777777" w:rsidR="00F00A02" w:rsidRDefault="0027659F">
            <w:pPr>
              <w:widowControl w:val="0"/>
              <w:tabs>
                <w:tab w:val="left" w:pos="567"/>
              </w:tabs>
              <w:rPr>
                <w:color w:val="000000"/>
                <w:sz w:val="22"/>
                <w:szCs w:val="22"/>
              </w:rPr>
            </w:pPr>
            <w:r>
              <w:rPr>
                <w:color w:val="000000"/>
                <w:sz w:val="22"/>
                <w:szCs w:val="22"/>
              </w:rPr>
              <w:t>Trombocitopenija</w:t>
            </w:r>
          </w:p>
        </w:tc>
        <w:tc>
          <w:tcPr>
            <w:tcW w:w="1326" w:type="dxa"/>
            <w:tcBorders>
              <w:top w:val="single" w:sz="4" w:space="0" w:color="auto"/>
              <w:left w:val="single" w:sz="4" w:space="0" w:color="auto"/>
              <w:bottom w:val="single" w:sz="4" w:space="0" w:color="auto"/>
              <w:right w:val="single" w:sz="4" w:space="0" w:color="auto"/>
            </w:tcBorders>
          </w:tcPr>
          <w:p w14:paraId="76883954"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630C4187"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tcPr>
          <w:p w14:paraId="683AB52D"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2F457716"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hideMark/>
          </w:tcPr>
          <w:p w14:paraId="16F64483" w14:textId="77777777" w:rsidR="00F00A02" w:rsidRDefault="0027659F">
            <w:pPr>
              <w:widowControl w:val="0"/>
              <w:tabs>
                <w:tab w:val="left" w:pos="567"/>
              </w:tabs>
              <w:rPr>
                <w:color w:val="000000"/>
                <w:sz w:val="22"/>
                <w:szCs w:val="22"/>
              </w:rPr>
            </w:pPr>
            <w:r>
              <w:rPr>
                <w:color w:val="000000"/>
                <w:sz w:val="22"/>
                <w:szCs w:val="22"/>
              </w:rPr>
              <w:t>Dažnis nežinomas</w:t>
            </w:r>
          </w:p>
        </w:tc>
      </w:tr>
      <w:tr w:rsidR="00F00A02" w14:paraId="31841B1E" w14:textId="77777777">
        <w:tc>
          <w:tcPr>
            <w:tcW w:w="9287" w:type="dxa"/>
            <w:gridSpan w:val="6"/>
            <w:tcBorders>
              <w:top w:val="single" w:sz="4" w:space="0" w:color="auto"/>
              <w:left w:val="single" w:sz="4" w:space="0" w:color="auto"/>
              <w:bottom w:val="single" w:sz="4" w:space="0" w:color="auto"/>
              <w:right w:val="single" w:sz="4" w:space="0" w:color="auto"/>
            </w:tcBorders>
            <w:hideMark/>
          </w:tcPr>
          <w:p w14:paraId="56B67A71" w14:textId="77777777" w:rsidR="00F00A02" w:rsidRDefault="0027659F">
            <w:pPr>
              <w:widowControl w:val="0"/>
              <w:tabs>
                <w:tab w:val="left" w:pos="567"/>
              </w:tabs>
              <w:rPr>
                <w:bCs/>
                <w:i/>
                <w:iCs/>
                <w:color w:val="000000"/>
                <w:sz w:val="22"/>
                <w:szCs w:val="22"/>
              </w:rPr>
            </w:pPr>
            <w:r>
              <w:rPr>
                <w:bCs/>
                <w:i/>
                <w:iCs/>
                <w:color w:val="000000"/>
                <w:sz w:val="22"/>
                <w:szCs w:val="22"/>
              </w:rPr>
              <w:t>Imuninės sistemos sutrikimai</w:t>
            </w:r>
          </w:p>
        </w:tc>
      </w:tr>
      <w:tr w:rsidR="00F00A02" w14:paraId="14AE5C41" w14:textId="77777777">
        <w:tc>
          <w:tcPr>
            <w:tcW w:w="2390" w:type="dxa"/>
            <w:tcBorders>
              <w:top w:val="single" w:sz="4" w:space="0" w:color="auto"/>
              <w:left w:val="single" w:sz="4" w:space="0" w:color="auto"/>
              <w:bottom w:val="single" w:sz="4" w:space="0" w:color="auto"/>
              <w:right w:val="single" w:sz="4" w:space="0" w:color="auto"/>
            </w:tcBorders>
            <w:hideMark/>
          </w:tcPr>
          <w:p w14:paraId="34111994" w14:textId="77777777" w:rsidR="00F00A02" w:rsidRDefault="0027659F">
            <w:pPr>
              <w:widowControl w:val="0"/>
              <w:tabs>
                <w:tab w:val="left" w:pos="567"/>
              </w:tabs>
              <w:rPr>
                <w:color w:val="000000"/>
                <w:sz w:val="22"/>
                <w:szCs w:val="22"/>
              </w:rPr>
            </w:pPr>
            <w:r>
              <w:rPr>
                <w:color w:val="000000"/>
                <w:sz w:val="22"/>
                <w:szCs w:val="22"/>
              </w:rPr>
              <w:t>Padidėjusio jautrumo reakcijos, anafilaksinės reakcijos, angioneurozinė edema</w:t>
            </w:r>
            <w:r>
              <w:rPr>
                <w:sz w:val="22"/>
                <w:szCs w:val="22"/>
                <w:vertAlign w:val="superscript"/>
              </w:rPr>
              <w:sym w:font="Symbol" w:char="F02A"/>
            </w:r>
            <w:r>
              <w:rPr>
                <w:color w:val="000000"/>
                <w:sz w:val="22"/>
                <w:szCs w:val="22"/>
              </w:rPr>
              <w:t xml:space="preserve"> ir vaskulitas</w:t>
            </w:r>
            <w:r>
              <w:rPr>
                <w:sz w:val="22"/>
                <w:szCs w:val="22"/>
                <w:vertAlign w:val="superscript"/>
              </w:rPr>
              <w:sym w:font="Symbol" w:char="F02A"/>
            </w:r>
            <w:r>
              <w:rPr>
                <w:sz w:val="22"/>
                <w:szCs w:val="22"/>
                <w:vertAlign w:val="superscript"/>
              </w:rPr>
              <w:sym w:font="Symbol" w:char="F02A"/>
            </w:r>
          </w:p>
        </w:tc>
        <w:tc>
          <w:tcPr>
            <w:tcW w:w="1326" w:type="dxa"/>
            <w:tcBorders>
              <w:top w:val="single" w:sz="4" w:space="0" w:color="auto"/>
              <w:left w:val="single" w:sz="4" w:space="0" w:color="auto"/>
              <w:bottom w:val="single" w:sz="4" w:space="0" w:color="auto"/>
              <w:right w:val="single" w:sz="4" w:space="0" w:color="auto"/>
            </w:tcBorders>
          </w:tcPr>
          <w:p w14:paraId="0F0F07C7"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4EAA1BEF"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tcPr>
          <w:p w14:paraId="6EFE73F7"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32B3CA42"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hideMark/>
          </w:tcPr>
          <w:p w14:paraId="366325D0" w14:textId="77777777" w:rsidR="00F00A02" w:rsidRDefault="0027659F">
            <w:pPr>
              <w:widowControl w:val="0"/>
              <w:tabs>
                <w:tab w:val="left" w:pos="567"/>
              </w:tabs>
              <w:rPr>
                <w:color w:val="000000"/>
                <w:sz w:val="22"/>
                <w:szCs w:val="22"/>
              </w:rPr>
            </w:pPr>
            <w:r>
              <w:rPr>
                <w:color w:val="000000"/>
                <w:sz w:val="22"/>
                <w:szCs w:val="22"/>
              </w:rPr>
              <w:t>Retas</w:t>
            </w:r>
          </w:p>
        </w:tc>
      </w:tr>
      <w:tr w:rsidR="00F00A02" w14:paraId="641432E7" w14:textId="77777777">
        <w:tc>
          <w:tcPr>
            <w:tcW w:w="9287" w:type="dxa"/>
            <w:gridSpan w:val="6"/>
            <w:tcBorders>
              <w:top w:val="single" w:sz="4" w:space="0" w:color="auto"/>
              <w:left w:val="single" w:sz="4" w:space="0" w:color="auto"/>
              <w:bottom w:val="single" w:sz="4" w:space="0" w:color="auto"/>
              <w:right w:val="single" w:sz="4" w:space="0" w:color="auto"/>
            </w:tcBorders>
            <w:hideMark/>
          </w:tcPr>
          <w:p w14:paraId="0015EC3B" w14:textId="77777777" w:rsidR="00F00A02" w:rsidRDefault="0027659F">
            <w:pPr>
              <w:widowControl w:val="0"/>
              <w:tabs>
                <w:tab w:val="left" w:pos="567"/>
              </w:tabs>
              <w:rPr>
                <w:bCs/>
                <w:i/>
                <w:iCs/>
                <w:color w:val="000000"/>
                <w:sz w:val="22"/>
                <w:szCs w:val="22"/>
              </w:rPr>
            </w:pPr>
            <w:r>
              <w:rPr>
                <w:bCs/>
                <w:i/>
                <w:iCs/>
                <w:color w:val="000000"/>
                <w:sz w:val="22"/>
                <w:szCs w:val="22"/>
              </w:rPr>
              <w:t>Psichikos sutrikimai</w:t>
            </w:r>
          </w:p>
        </w:tc>
      </w:tr>
      <w:tr w:rsidR="00F00A02" w14:paraId="46561C06" w14:textId="77777777">
        <w:tc>
          <w:tcPr>
            <w:tcW w:w="2390" w:type="dxa"/>
            <w:tcBorders>
              <w:top w:val="single" w:sz="4" w:space="0" w:color="auto"/>
              <w:left w:val="single" w:sz="4" w:space="0" w:color="auto"/>
              <w:bottom w:val="single" w:sz="4" w:space="0" w:color="auto"/>
              <w:right w:val="single" w:sz="4" w:space="0" w:color="auto"/>
            </w:tcBorders>
            <w:hideMark/>
          </w:tcPr>
          <w:p w14:paraId="75F1ACD8" w14:textId="77777777" w:rsidR="00F00A02" w:rsidRDefault="0027659F">
            <w:pPr>
              <w:widowControl w:val="0"/>
              <w:tabs>
                <w:tab w:val="left" w:pos="567"/>
              </w:tabs>
              <w:rPr>
                <w:color w:val="000000"/>
                <w:sz w:val="22"/>
                <w:szCs w:val="22"/>
              </w:rPr>
            </w:pPr>
            <w:r>
              <w:rPr>
                <w:color w:val="000000"/>
                <w:sz w:val="22"/>
                <w:szCs w:val="22"/>
              </w:rPr>
              <w:t>Depresija</w:t>
            </w:r>
          </w:p>
        </w:tc>
        <w:tc>
          <w:tcPr>
            <w:tcW w:w="1326" w:type="dxa"/>
            <w:tcBorders>
              <w:top w:val="single" w:sz="4" w:space="0" w:color="auto"/>
              <w:left w:val="single" w:sz="4" w:space="0" w:color="auto"/>
              <w:bottom w:val="single" w:sz="4" w:space="0" w:color="auto"/>
              <w:right w:val="single" w:sz="4" w:space="0" w:color="auto"/>
            </w:tcBorders>
          </w:tcPr>
          <w:p w14:paraId="5380DBA5"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1177287A"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tcPr>
          <w:p w14:paraId="23589A80"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192BF399"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hideMark/>
          </w:tcPr>
          <w:p w14:paraId="462CF8EB" w14:textId="77777777" w:rsidR="00F00A02" w:rsidRDefault="0027659F">
            <w:pPr>
              <w:widowControl w:val="0"/>
              <w:tabs>
                <w:tab w:val="left" w:pos="567"/>
              </w:tabs>
              <w:rPr>
                <w:color w:val="000000"/>
                <w:sz w:val="22"/>
                <w:szCs w:val="22"/>
              </w:rPr>
            </w:pPr>
            <w:r>
              <w:rPr>
                <w:color w:val="000000"/>
                <w:sz w:val="22"/>
                <w:szCs w:val="22"/>
              </w:rPr>
              <w:t>Dažnis nežinomas</w:t>
            </w:r>
          </w:p>
        </w:tc>
      </w:tr>
      <w:tr w:rsidR="00F00A02" w14:paraId="28C8F984" w14:textId="77777777">
        <w:tc>
          <w:tcPr>
            <w:tcW w:w="9287" w:type="dxa"/>
            <w:gridSpan w:val="6"/>
            <w:tcBorders>
              <w:top w:val="single" w:sz="4" w:space="0" w:color="auto"/>
              <w:left w:val="single" w:sz="4" w:space="0" w:color="auto"/>
              <w:bottom w:val="single" w:sz="4" w:space="0" w:color="auto"/>
              <w:right w:val="single" w:sz="4" w:space="0" w:color="auto"/>
            </w:tcBorders>
            <w:hideMark/>
          </w:tcPr>
          <w:p w14:paraId="707DE50C" w14:textId="77777777" w:rsidR="00F00A02" w:rsidRDefault="0027659F">
            <w:pPr>
              <w:widowControl w:val="0"/>
              <w:tabs>
                <w:tab w:val="left" w:pos="567"/>
              </w:tabs>
              <w:rPr>
                <w:bCs/>
                <w:i/>
                <w:iCs/>
                <w:color w:val="000000"/>
                <w:sz w:val="22"/>
                <w:szCs w:val="22"/>
              </w:rPr>
            </w:pPr>
            <w:r>
              <w:rPr>
                <w:bCs/>
                <w:i/>
                <w:iCs/>
                <w:color w:val="000000"/>
                <w:sz w:val="22"/>
                <w:szCs w:val="22"/>
              </w:rPr>
              <w:t>Nervų sistemos sutrikimai</w:t>
            </w:r>
          </w:p>
        </w:tc>
      </w:tr>
      <w:tr w:rsidR="00F00A02" w14:paraId="39BF00BB" w14:textId="77777777">
        <w:trPr>
          <w:trHeight w:val="68"/>
        </w:trPr>
        <w:tc>
          <w:tcPr>
            <w:tcW w:w="2390" w:type="dxa"/>
            <w:tcBorders>
              <w:top w:val="single" w:sz="4" w:space="0" w:color="auto"/>
              <w:left w:val="single" w:sz="4" w:space="0" w:color="auto"/>
              <w:bottom w:val="single" w:sz="4" w:space="0" w:color="auto"/>
              <w:right w:val="single" w:sz="4" w:space="0" w:color="auto"/>
            </w:tcBorders>
            <w:hideMark/>
          </w:tcPr>
          <w:p w14:paraId="4119160B" w14:textId="77777777" w:rsidR="00F00A02" w:rsidRDefault="0027659F">
            <w:pPr>
              <w:widowControl w:val="0"/>
              <w:tabs>
                <w:tab w:val="left" w:pos="567"/>
              </w:tabs>
              <w:rPr>
                <w:color w:val="000000"/>
                <w:sz w:val="22"/>
                <w:szCs w:val="22"/>
              </w:rPr>
            </w:pPr>
            <w:r>
              <w:rPr>
                <w:color w:val="000000"/>
                <w:sz w:val="22"/>
                <w:szCs w:val="22"/>
              </w:rPr>
              <w:t>Svaigulys</w:t>
            </w:r>
          </w:p>
        </w:tc>
        <w:tc>
          <w:tcPr>
            <w:tcW w:w="1326" w:type="dxa"/>
            <w:tcBorders>
              <w:top w:val="single" w:sz="4" w:space="0" w:color="auto"/>
              <w:left w:val="single" w:sz="4" w:space="0" w:color="auto"/>
              <w:bottom w:val="single" w:sz="4" w:space="0" w:color="auto"/>
              <w:right w:val="single" w:sz="4" w:space="0" w:color="auto"/>
            </w:tcBorders>
            <w:hideMark/>
          </w:tcPr>
          <w:p w14:paraId="7A6F7CB5" w14:textId="77777777" w:rsidR="00F00A02" w:rsidRDefault="0027659F">
            <w:pPr>
              <w:widowControl w:val="0"/>
              <w:tabs>
                <w:tab w:val="left" w:pos="567"/>
              </w:tabs>
              <w:rPr>
                <w:color w:val="000000"/>
                <w:sz w:val="22"/>
                <w:szCs w:val="22"/>
              </w:rPr>
            </w:pPr>
            <w:r>
              <w:rPr>
                <w:color w:val="000000"/>
                <w:sz w:val="22"/>
                <w:szCs w:val="22"/>
              </w:rPr>
              <w:t>Dažnas</w:t>
            </w:r>
          </w:p>
        </w:tc>
        <w:tc>
          <w:tcPr>
            <w:tcW w:w="1310" w:type="dxa"/>
            <w:tcBorders>
              <w:top w:val="single" w:sz="4" w:space="0" w:color="auto"/>
              <w:left w:val="single" w:sz="4" w:space="0" w:color="auto"/>
              <w:bottom w:val="single" w:sz="4" w:space="0" w:color="auto"/>
              <w:right w:val="single" w:sz="4" w:space="0" w:color="auto"/>
            </w:tcBorders>
            <w:hideMark/>
          </w:tcPr>
          <w:p w14:paraId="22102E5B" w14:textId="77777777" w:rsidR="00F00A02" w:rsidRDefault="0027659F">
            <w:pPr>
              <w:widowControl w:val="0"/>
              <w:tabs>
                <w:tab w:val="left" w:pos="567"/>
              </w:tabs>
              <w:rPr>
                <w:color w:val="000000"/>
                <w:sz w:val="22"/>
                <w:szCs w:val="22"/>
              </w:rPr>
            </w:pPr>
            <w:r>
              <w:rPr>
                <w:color w:val="000000"/>
                <w:sz w:val="22"/>
                <w:szCs w:val="22"/>
              </w:rPr>
              <w:t>Dažnas</w:t>
            </w:r>
          </w:p>
        </w:tc>
        <w:tc>
          <w:tcPr>
            <w:tcW w:w="1806" w:type="dxa"/>
            <w:tcBorders>
              <w:top w:val="single" w:sz="4" w:space="0" w:color="auto"/>
              <w:left w:val="single" w:sz="4" w:space="0" w:color="auto"/>
              <w:bottom w:val="single" w:sz="4" w:space="0" w:color="auto"/>
              <w:right w:val="single" w:sz="4" w:space="0" w:color="auto"/>
            </w:tcBorders>
            <w:hideMark/>
          </w:tcPr>
          <w:p w14:paraId="61CF239C" w14:textId="77777777" w:rsidR="00F00A02" w:rsidRDefault="0027659F">
            <w:pPr>
              <w:widowControl w:val="0"/>
              <w:tabs>
                <w:tab w:val="left" w:pos="567"/>
              </w:tabs>
              <w:rPr>
                <w:color w:val="000000"/>
                <w:sz w:val="22"/>
                <w:szCs w:val="22"/>
              </w:rPr>
            </w:pPr>
            <w:r>
              <w:rPr>
                <w:color w:val="000000"/>
                <w:sz w:val="22"/>
                <w:szCs w:val="22"/>
              </w:rPr>
              <w:t>Dažnas</w:t>
            </w:r>
          </w:p>
        </w:tc>
        <w:tc>
          <w:tcPr>
            <w:tcW w:w="1310" w:type="dxa"/>
            <w:tcBorders>
              <w:top w:val="single" w:sz="4" w:space="0" w:color="auto"/>
              <w:left w:val="single" w:sz="4" w:space="0" w:color="auto"/>
              <w:bottom w:val="single" w:sz="4" w:space="0" w:color="auto"/>
              <w:right w:val="single" w:sz="4" w:space="0" w:color="auto"/>
            </w:tcBorders>
            <w:hideMark/>
          </w:tcPr>
          <w:p w14:paraId="62960D9B" w14:textId="77777777" w:rsidR="00F00A02" w:rsidRDefault="0027659F">
            <w:pPr>
              <w:widowControl w:val="0"/>
              <w:tabs>
                <w:tab w:val="left" w:pos="567"/>
              </w:tabs>
              <w:rPr>
                <w:color w:val="000000"/>
                <w:sz w:val="22"/>
                <w:szCs w:val="22"/>
              </w:rPr>
            </w:pPr>
            <w:r>
              <w:rPr>
                <w:color w:val="000000"/>
                <w:sz w:val="22"/>
                <w:szCs w:val="22"/>
              </w:rPr>
              <w:t>Dažnas</w:t>
            </w:r>
          </w:p>
        </w:tc>
        <w:tc>
          <w:tcPr>
            <w:tcW w:w="1145" w:type="dxa"/>
            <w:tcBorders>
              <w:top w:val="single" w:sz="4" w:space="0" w:color="auto"/>
              <w:left w:val="single" w:sz="4" w:space="0" w:color="auto"/>
              <w:bottom w:val="single" w:sz="4" w:space="0" w:color="auto"/>
              <w:right w:val="single" w:sz="4" w:space="0" w:color="auto"/>
            </w:tcBorders>
          </w:tcPr>
          <w:p w14:paraId="3194EFC4" w14:textId="77777777" w:rsidR="00F00A02" w:rsidRDefault="00F00A02">
            <w:pPr>
              <w:widowControl w:val="0"/>
              <w:tabs>
                <w:tab w:val="left" w:pos="567"/>
              </w:tabs>
              <w:rPr>
                <w:color w:val="000000"/>
                <w:sz w:val="22"/>
                <w:szCs w:val="22"/>
              </w:rPr>
            </w:pPr>
          </w:p>
        </w:tc>
      </w:tr>
      <w:tr w:rsidR="00F00A02" w14:paraId="1AD63EA9" w14:textId="77777777">
        <w:tc>
          <w:tcPr>
            <w:tcW w:w="2390" w:type="dxa"/>
            <w:tcBorders>
              <w:top w:val="single" w:sz="4" w:space="0" w:color="auto"/>
              <w:left w:val="single" w:sz="4" w:space="0" w:color="auto"/>
              <w:bottom w:val="single" w:sz="4" w:space="0" w:color="auto"/>
              <w:right w:val="single" w:sz="4" w:space="0" w:color="auto"/>
            </w:tcBorders>
            <w:hideMark/>
          </w:tcPr>
          <w:p w14:paraId="6F8BC732" w14:textId="77777777" w:rsidR="00F00A02" w:rsidRDefault="0027659F">
            <w:pPr>
              <w:widowControl w:val="0"/>
              <w:tabs>
                <w:tab w:val="left" w:pos="567"/>
              </w:tabs>
              <w:rPr>
                <w:color w:val="000000"/>
                <w:sz w:val="22"/>
                <w:szCs w:val="22"/>
              </w:rPr>
            </w:pPr>
            <w:r>
              <w:rPr>
                <w:color w:val="000000"/>
                <w:sz w:val="22"/>
                <w:szCs w:val="22"/>
              </w:rPr>
              <w:t>Somnolencija</w:t>
            </w:r>
          </w:p>
        </w:tc>
        <w:tc>
          <w:tcPr>
            <w:tcW w:w="1326" w:type="dxa"/>
            <w:tcBorders>
              <w:top w:val="single" w:sz="4" w:space="0" w:color="auto"/>
              <w:left w:val="single" w:sz="4" w:space="0" w:color="auto"/>
              <w:bottom w:val="single" w:sz="4" w:space="0" w:color="auto"/>
              <w:right w:val="single" w:sz="4" w:space="0" w:color="auto"/>
            </w:tcBorders>
            <w:hideMark/>
          </w:tcPr>
          <w:p w14:paraId="6065AB05" w14:textId="77777777" w:rsidR="00F00A02" w:rsidRDefault="0027659F">
            <w:pPr>
              <w:widowControl w:val="0"/>
              <w:tabs>
                <w:tab w:val="left" w:pos="567"/>
              </w:tabs>
              <w:rPr>
                <w:color w:val="000000"/>
                <w:sz w:val="22"/>
                <w:szCs w:val="22"/>
              </w:rPr>
            </w:pPr>
            <w:r>
              <w:rPr>
                <w:color w:val="000000"/>
                <w:sz w:val="22"/>
                <w:szCs w:val="22"/>
              </w:rPr>
              <w:t>Nedažnas</w:t>
            </w:r>
          </w:p>
        </w:tc>
        <w:tc>
          <w:tcPr>
            <w:tcW w:w="1310" w:type="dxa"/>
            <w:tcBorders>
              <w:top w:val="single" w:sz="4" w:space="0" w:color="auto"/>
              <w:left w:val="single" w:sz="4" w:space="0" w:color="auto"/>
              <w:bottom w:val="single" w:sz="4" w:space="0" w:color="auto"/>
              <w:right w:val="single" w:sz="4" w:space="0" w:color="auto"/>
            </w:tcBorders>
          </w:tcPr>
          <w:p w14:paraId="375EC159"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tcPr>
          <w:p w14:paraId="492C47B3"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42C78C19"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tcPr>
          <w:p w14:paraId="7C566E66" w14:textId="77777777" w:rsidR="00F00A02" w:rsidRDefault="00F00A02">
            <w:pPr>
              <w:widowControl w:val="0"/>
              <w:tabs>
                <w:tab w:val="left" w:pos="567"/>
              </w:tabs>
              <w:rPr>
                <w:color w:val="000000"/>
                <w:sz w:val="22"/>
                <w:szCs w:val="22"/>
              </w:rPr>
            </w:pPr>
          </w:p>
        </w:tc>
      </w:tr>
      <w:tr w:rsidR="00F00A02" w14:paraId="00A01498" w14:textId="77777777">
        <w:tc>
          <w:tcPr>
            <w:tcW w:w="2390" w:type="dxa"/>
            <w:tcBorders>
              <w:top w:val="single" w:sz="4" w:space="0" w:color="auto"/>
              <w:left w:val="single" w:sz="4" w:space="0" w:color="auto"/>
              <w:bottom w:val="single" w:sz="4" w:space="0" w:color="auto"/>
              <w:right w:val="single" w:sz="4" w:space="0" w:color="auto"/>
            </w:tcBorders>
            <w:hideMark/>
          </w:tcPr>
          <w:p w14:paraId="282E99C2" w14:textId="77777777" w:rsidR="00F00A02" w:rsidRDefault="0027659F">
            <w:pPr>
              <w:widowControl w:val="0"/>
              <w:tabs>
                <w:tab w:val="left" w:pos="567"/>
              </w:tabs>
              <w:rPr>
                <w:color w:val="000000"/>
                <w:sz w:val="22"/>
                <w:szCs w:val="22"/>
              </w:rPr>
            </w:pPr>
            <w:r>
              <w:rPr>
                <w:color w:val="000000"/>
                <w:sz w:val="22"/>
                <w:szCs w:val="22"/>
              </w:rPr>
              <w:t>Galvos skausmas</w:t>
            </w:r>
          </w:p>
        </w:tc>
        <w:tc>
          <w:tcPr>
            <w:tcW w:w="1326" w:type="dxa"/>
            <w:tcBorders>
              <w:top w:val="single" w:sz="4" w:space="0" w:color="auto"/>
              <w:left w:val="single" w:sz="4" w:space="0" w:color="auto"/>
              <w:bottom w:val="single" w:sz="4" w:space="0" w:color="auto"/>
              <w:right w:val="single" w:sz="4" w:space="0" w:color="auto"/>
            </w:tcBorders>
            <w:hideMark/>
          </w:tcPr>
          <w:p w14:paraId="1ECD8271" w14:textId="77777777" w:rsidR="00F00A02" w:rsidRDefault="0027659F">
            <w:pPr>
              <w:widowControl w:val="0"/>
              <w:tabs>
                <w:tab w:val="left" w:pos="567"/>
              </w:tabs>
              <w:rPr>
                <w:color w:val="000000"/>
                <w:sz w:val="22"/>
                <w:szCs w:val="22"/>
              </w:rPr>
            </w:pPr>
            <w:r>
              <w:rPr>
                <w:color w:val="000000"/>
                <w:sz w:val="22"/>
                <w:szCs w:val="22"/>
              </w:rPr>
              <w:t>Nedažnas</w:t>
            </w:r>
          </w:p>
        </w:tc>
        <w:tc>
          <w:tcPr>
            <w:tcW w:w="1310" w:type="dxa"/>
            <w:tcBorders>
              <w:top w:val="single" w:sz="4" w:space="0" w:color="auto"/>
              <w:left w:val="single" w:sz="4" w:space="0" w:color="auto"/>
              <w:bottom w:val="single" w:sz="4" w:space="0" w:color="auto"/>
              <w:right w:val="single" w:sz="4" w:space="0" w:color="auto"/>
            </w:tcBorders>
          </w:tcPr>
          <w:p w14:paraId="4D11F028"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hideMark/>
          </w:tcPr>
          <w:p w14:paraId="443716D5" w14:textId="77777777" w:rsidR="00F00A02" w:rsidRDefault="0027659F">
            <w:pPr>
              <w:widowControl w:val="0"/>
              <w:tabs>
                <w:tab w:val="left" w:pos="567"/>
              </w:tabs>
              <w:rPr>
                <w:color w:val="000000"/>
                <w:sz w:val="22"/>
                <w:szCs w:val="22"/>
              </w:rPr>
            </w:pPr>
            <w:r>
              <w:rPr>
                <w:color w:val="000000"/>
                <w:sz w:val="22"/>
                <w:szCs w:val="22"/>
              </w:rPr>
              <w:t>Nedažnas</w:t>
            </w:r>
          </w:p>
        </w:tc>
        <w:tc>
          <w:tcPr>
            <w:tcW w:w="1310" w:type="dxa"/>
            <w:tcBorders>
              <w:top w:val="single" w:sz="4" w:space="0" w:color="auto"/>
              <w:left w:val="single" w:sz="4" w:space="0" w:color="auto"/>
              <w:bottom w:val="single" w:sz="4" w:space="0" w:color="auto"/>
              <w:right w:val="single" w:sz="4" w:space="0" w:color="auto"/>
            </w:tcBorders>
          </w:tcPr>
          <w:p w14:paraId="1073BD3A"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tcPr>
          <w:p w14:paraId="432F175D" w14:textId="77777777" w:rsidR="00F00A02" w:rsidRDefault="00F00A02">
            <w:pPr>
              <w:widowControl w:val="0"/>
              <w:tabs>
                <w:tab w:val="left" w:pos="567"/>
              </w:tabs>
              <w:rPr>
                <w:color w:val="000000"/>
                <w:sz w:val="22"/>
                <w:szCs w:val="22"/>
              </w:rPr>
            </w:pPr>
          </w:p>
        </w:tc>
      </w:tr>
      <w:tr w:rsidR="00F00A02" w14:paraId="3B13DBE6" w14:textId="77777777">
        <w:tc>
          <w:tcPr>
            <w:tcW w:w="2390" w:type="dxa"/>
            <w:tcBorders>
              <w:top w:val="single" w:sz="4" w:space="0" w:color="auto"/>
              <w:left w:val="single" w:sz="4" w:space="0" w:color="auto"/>
              <w:bottom w:val="single" w:sz="4" w:space="0" w:color="auto"/>
              <w:right w:val="single" w:sz="4" w:space="0" w:color="auto"/>
            </w:tcBorders>
            <w:hideMark/>
          </w:tcPr>
          <w:p w14:paraId="1842BB7A" w14:textId="77777777" w:rsidR="00F00A02" w:rsidRDefault="0027659F">
            <w:pPr>
              <w:widowControl w:val="0"/>
              <w:tabs>
                <w:tab w:val="left" w:pos="567"/>
              </w:tabs>
              <w:rPr>
                <w:color w:val="000000"/>
                <w:sz w:val="22"/>
                <w:szCs w:val="22"/>
              </w:rPr>
            </w:pPr>
            <w:r>
              <w:rPr>
                <w:color w:val="000000"/>
                <w:sz w:val="22"/>
                <w:szCs w:val="22"/>
              </w:rPr>
              <w:t>Miego sutrikimai</w:t>
            </w:r>
          </w:p>
        </w:tc>
        <w:tc>
          <w:tcPr>
            <w:tcW w:w="1326" w:type="dxa"/>
            <w:tcBorders>
              <w:top w:val="single" w:sz="4" w:space="0" w:color="auto"/>
              <w:left w:val="single" w:sz="4" w:space="0" w:color="auto"/>
              <w:bottom w:val="single" w:sz="4" w:space="0" w:color="auto"/>
              <w:right w:val="single" w:sz="4" w:space="0" w:color="auto"/>
            </w:tcBorders>
            <w:hideMark/>
          </w:tcPr>
          <w:p w14:paraId="531EE9E6" w14:textId="77777777" w:rsidR="00F00A02" w:rsidRDefault="0027659F">
            <w:pPr>
              <w:widowControl w:val="0"/>
              <w:tabs>
                <w:tab w:val="left" w:pos="567"/>
              </w:tabs>
              <w:rPr>
                <w:color w:val="000000"/>
                <w:sz w:val="22"/>
                <w:szCs w:val="22"/>
              </w:rPr>
            </w:pPr>
            <w:r>
              <w:rPr>
                <w:color w:val="000000"/>
                <w:sz w:val="22"/>
                <w:szCs w:val="22"/>
              </w:rPr>
              <w:t>Nedažnas</w:t>
            </w:r>
          </w:p>
        </w:tc>
        <w:tc>
          <w:tcPr>
            <w:tcW w:w="1310" w:type="dxa"/>
            <w:tcBorders>
              <w:top w:val="single" w:sz="4" w:space="0" w:color="auto"/>
              <w:left w:val="single" w:sz="4" w:space="0" w:color="auto"/>
              <w:bottom w:val="single" w:sz="4" w:space="0" w:color="auto"/>
              <w:right w:val="single" w:sz="4" w:space="0" w:color="auto"/>
            </w:tcBorders>
          </w:tcPr>
          <w:p w14:paraId="63FFF2D5"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tcPr>
          <w:p w14:paraId="6D13C877"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2AFE7D6F"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tcPr>
          <w:p w14:paraId="001EDD13" w14:textId="77777777" w:rsidR="00F00A02" w:rsidRDefault="00F00A02">
            <w:pPr>
              <w:widowControl w:val="0"/>
              <w:tabs>
                <w:tab w:val="left" w:pos="567"/>
              </w:tabs>
              <w:rPr>
                <w:color w:val="000000"/>
                <w:sz w:val="22"/>
                <w:szCs w:val="22"/>
              </w:rPr>
            </w:pPr>
          </w:p>
        </w:tc>
      </w:tr>
      <w:tr w:rsidR="00F00A02" w14:paraId="5D3BDFE9" w14:textId="77777777">
        <w:tc>
          <w:tcPr>
            <w:tcW w:w="2390" w:type="dxa"/>
            <w:tcBorders>
              <w:top w:val="single" w:sz="4" w:space="0" w:color="auto"/>
              <w:left w:val="single" w:sz="4" w:space="0" w:color="auto"/>
              <w:bottom w:val="single" w:sz="4" w:space="0" w:color="auto"/>
              <w:right w:val="single" w:sz="4" w:space="0" w:color="auto"/>
            </w:tcBorders>
            <w:hideMark/>
          </w:tcPr>
          <w:p w14:paraId="03E7D0AA" w14:textId="77777777" w:rsidR="00F00A02" w:rsidRDefault="0027659F">
            <w:pPr>
              <w:widowControl w:val="0"/>
              <w:tabs>
                <w:tab w:val="left" w:pos="567"/>
              </w:tabs>
              <w:rPr>
                <w:color w:val="000000"/>
                <w:sz w:val="22"/>
                <w:szCs w:val="22"/>
              </w:rPr>
            </w:pPr>
            <w:r>
              <w:rPr>
                <w:color w:val="000000"/>
                <w:sz w:val="22"/>
                <w:szCs w:val="22"/>
              </w:rPr>
              <w:t>Parestezija</w:t>
            </w:r>
          </w:p>
        </w:tc>
        <w:tc>
          <w:tcPr>
            <w:tcW w:w="1326" w:type="dxa"/>
            <w:tcBorders>
              <w:top w:val="single" w:sz="4" w:space="0" w:color="auto"/>
              <w:left w:val="single" w:sz="4" w:space="0" w:color="auto"/>
              <w:bottom w:val="single" w:sz="4" w:space="0" w:color="auto"/>
              <w:right w:val="single" w:sz="4" w:space="0" w:color="auto"/>
            </w:tcBorders>
          </w:tcPr>
          <w:p w14:paraId="6F3CBDE8"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084E574F"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hideMark/>
          </w:tcPr>
          <w:p w14:paraId="40782613" w14:textId="77777777" w:rsidR="00F00A02" w:rsidRDefault="0027659F">
            <w:pPr>
              <w:widowControl w:val="0"/>
              <w:tabs>
                <w:tab w:val="left" w:pos="567"/>
              </w:tabs>
              <w:rPr>
                <w:color w:val="000000"/>
                <w:sz w:val="22"/>
                <w:szCs w:val="22"/>
              </w:rPr>
            </w:pPr>
            <w:r>
              <w:rPr>
                <w:color w:val="000000"/>
                <w:sz w:val="22"/>
                <w:szCs w:val="22"/>
              </w:rPr>
              <w:t>Retas</w:t>
            </w:r>
          </w:p>
        </w:tc>
        <w:tc>
          <w:tcPr>
            <w:tcW w:w="1310" w:type="dxa"/>
            <w:tcBorders>
              <w:top w:val="single" w:sz="4" w:space="0" w:color="auto"/>
              <w:left w:val="single" w:sz="4" w:space="0" w:color="auto"/>
              <w:bottom w:val="single" w:sz="4" w:space="0" w:color="auto"/>
              <w:right w:val="single" w:sz="4" w:space="0" w:color="auto"/>
            </w:tcBorders>
          </w:tcPr>
          <w:p w14:paraId="5C597F77"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tcPr>
          <w:p w14:paraId="707BECE4" w14:textId="77777777" w:rsidR="00F00A02" w:rsidRDefault="00F00A02">
            <w:pPr>
              <w:widowControl w:val="0"/>
              <w:tabs>
                <w:tab w:val="left" w:pos="567"/>
              </w:tabs>
              <w:rPr>
                <w:color w:val="000000"/>
                <w:sz w:val="22"/>
                <w:szCs w:val="22"/>
              </w:rPr>
            </w:pPr>
          </w:p>
        </w:tc>
      </w:tr>
      <w:tr w:rsidR="00F00A02" w14:paraId="6D546D5D" w14:textId="77777777">
        <w:tc>
          <w:tcPr>
            <w:tcW w:w="2390" w:type="dxa"/>
            <w:tcBorders>
              <w:top w:val="single" w:sz="4" w:space="0" w:color="auto"/>
              <w:left w:val="single" w:sz="4" w:space="0" w:color="auto"/>
              <w:bottom w:val="single" w:sz="4" w:space="0" w:color="auto"/>
              <w:right w:val="single" w:sz="4" w:space="0" w:color="auto"/>
            </w:tcBorders>
            <w:hideMark/>
          </w:tcPr>
          <w:p w14:paraId="5D09DBDD" w14:textId="77777777" w:rsidR="00F00A02" w:rsidRDefault="0027659F">
            <w:pPr>
              <w:widowControl w:val="0"/>
              <w:tabs>
                <w:tab w:val="left" w:pos="567"/>
              </w:tabs>
              <w:rPr>
                <w:color w:val="000000"/>
                <w:sz w:val="22"/>
                <w:szCs w:val="22"/>
              </w:rPr>
            </w:pPr>
            <w:r>
              <w:rPr>
                <w:color w:val="000000"/>
                <w:sz w:val="22"/>
                <w:szCs w:val="22"/>
              </w:rPr>
              <w:t>Migrena</w:t>
            </w:r>
          </w:p>
        </w:tc>
        <w:tc>
          <w:tcPr>
            <w:tcW w:w="1326" w:type="dxa"/>
            <w:tcBorders>
              <w:top w:val="single" w:sz="4" w:space="0" w:color="auto"/>
              <w:left w:val="single" w:sz="4" w:space="0" w:color="auto"/>
              <w:bottom w:val="single" w:sz="4" w:space="0" w:color="auto"/>
              <w:right w:val="single" w:sz="4" w:space="0" w:color="auto"/>
            </w:tcBorders>
          </w:tcPr>
          <w:p w14:paraId="5E448E8A"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071D3B7F"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tcPr>
          <w:p w14:paraId="0780382E"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5CF7E34C"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hideMark/>
          </w:tcPr>
          <w:p w14:paraId="2CD7C95B" w14:textId="77777777" w:rsidR="00F00A02" w:rsidRDefault="0027659F">
            <w:pPr>
              <w:widowControl w:val="0"/>
              <w:tabs>
                <w:tab w:val="left" w:pos="567"/>
              </w:tabs>
              <w:rPr>
                <w:color w:val="000000"/>
                <w:sz w:val="22"/>
                <w:szCs w:val="22"/>
              </w:rPr>
            </w:pPr>
            <w:r>
              <w:rPr>
                <w:color w:val="000000"/>
                <w:sz w:val="22"/>
                <w:szCs w:val="22"/>
              </w:rPr>
              <w:t>Dažnis nežinomas</w:t>
            </w:r>
          </w:p>
        </w:tc>
      </w:tr>
      <w:tr w:rsidR="00F00A02" w14:paraId="5EC65ABF" w14:textId="77777777">
        <w:tc>
          <w:tcPr>
            <w:tcW w:w="2390" w:type="dxa"/>
            <w:tcBorders>
              <w:top w:val="single" w:sz="4" w:space="0" w:color="auto"/>
              <w:left w:val="single" w:sz="4" w:space="0" w:color="auto"/>
              <w:bottom w:val="single" w:sz="4" w:space="0" w:color="auto"/>
              <w:right w:val="single" w:sz="4" w:space="0" w:color="auto"/>
            </w:tcBorders>
            <w:hideMark/>
          </w:tcPr>
          <w:p w14:paraId="5AF489A9" w14:textId="77777777" w:rsidR="00F00A02" w:rsidRDefault="0027659F">
            <w:pPr>
              <w:widowControl w:val="0"/>
              <w:tabs>
                <w:tab w:val="left" w:pos="567"/>
              </w:tabs>
              <w:rPr>
                <w:color w:val="000000"/>
                <w:sz w:val="22"/>
                <w:szCs w:val="22"/>
              </w:rPr>
            </w:pPr>
            <w:r>
              <w:rPr>
                <w:color w:val="000000"/>
                <w:sz w:val="22"/>
                <w:szCs w:val="22"/>
              </w:rPr>
              <w:t>Skonio pojūčio sutrikimas</w:t>
            </w:r>
          </w:p>
        </w:tc>
        <w:tc>
          <w:tcPr>
            <w:tcW w:w="1326" w:type="dxa"/>
            <w:tcBorders>
              <w:top w:val="single" w:sz="4" w:space="0" w:color="auto"/>
              <w:left w:val="single" w:sz="4" w:space="0" w:color="auto"/>
              <w:bottom w:val="single" w:sz="4" w:space="0" w:color="auto"/>
              <w:right w:val="single" w:sz="4" w:space="0" w:color="auto"/>
            </w:tcBorders>
          </w:tcPr>
          <w:p w14:paraId="7252026A"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4F339D89"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tcPr>
          <w:p w14:paraId="0A2F6285"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56E3424F"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hideMark/>
          </w:tcPr>
          <w:p w14:paraId="6773C12A" w14:textId="77777777" w:rsidR="00F00A02" w:rsidRDefault="0027659F">
            <w:pPr>
              <w:widowControl w:val="0"/>
              <w:tabs>
                <w:tab w:val="left" w:pos="567"/>
              </w:tabs>
              <w:rPr>
                <w:color w:val="000000"/>
                <w:sz w:val="22"/>
                <w:szCs w:val="22"/>
              </w:rPr>
            </w:pPr>
            <w:r>
              <w:rPr>
                <w:color w:val="000000"/>
                <w:sz w:val="22"/>
                <w:szCs w:val="22"/>
              </w:rPr>
              <w:t>Dažnis nežinomas</w:t>
            </w:r>
          </w:p>
        </w:tc>
      </w:tr>
      <w:tr w:rsidR="00F00A02" w14:paraId="246FFD88" w14:textId="77777777">
        <w:tc>
          <w:tcPr>
            <w:tcW w:w="9287" w:type="dxa"/>
            <w:gridSpan w:val="6"/>
            <w:tcBorders>
              <w:top w:val="single" w:sz="4" w:space="0" w:color="auto"/>
              <w:left w:val="single" w:sz="4" w:space="0" w:color="auto"/>
              <w:bottom w:val="single" w:sz="4" w:space="0" w:color="auto"/>
              <w:right w:val="single" w:sz="4" w:space="0" w:color="auto"/>
            </w:tcBorders>
            <w:hideMark/>
          </w:tcPr>
          <w:p w14:paraId="7A944034" w14:textId="77777777" w:rsidR="00F00A02" w:rsidRDefault="0027659F">
            <w:pPr>
              <w:widowControl w:val="0"/>
              <w:tabs>
                <w:tab w:val="left" w:pos="567"/>
              </w:tabs>
              <w:rPr>
                <w:bCs/>
                <w:i/>
                <w:iCs/>
                <w:color w:val="000000"/>
                <w:sz w:val="22"/>
                <w:szCs w:val="22"/>
              </w:rPr>
            </w:pPr>
            <w:r>
              <w:rPr>
                <w:bCs/>
                <w:i/>
                <w:iCs/>
                <w:color w:val="000000"/>
                <w:sz w:val="22"/>
                <w:szCs w:val="22"/>
              </w:rPr>
              <w:t>Ausų ir labirintų sutrikimai</w:t>
            </w:r>
          </w:p>
        </w:tc>
      </w:tr>
      <w:tr w:rsidR="00F00A02" w14:paraId="43357A49" w14:textId="77777777">
        <w:tc>
          <w:tcPr>
            <w:tcW w:w="2390" w:type="dxa"/>
            <w:tcBorders>
              <w:top w:val="single" w:sz="4" w:space="0" w:color="auto"/>
              <w:left w:val="single" w:sz="4" w:space="0" w:color="auto"/>
              <w:bottom w:val="single" w:sz="4" w:space="0" w:color="auto"/>
              <w:right w:val="single" w:sz="4" w:space="0" w:color="auto"/>
            </w:tcBorders>
            <w:hideMark/>
          </w:tcPr>
          <w:p w14:paraId="775E20F2" w14:textId="77777777" w:rsidR="00F00A02" w:rsidRDefault="0027659F">
            <w:pPr>
              <w:widowControl w:val="0"/>
              <w:tabs>
                <w:tab w:val="left" w:pos="567"/>
              </w:tabs>
              <w:rPr>
                <w:color w:val="000000"/>
                <w:sz w:val="22"/>
                <w:szCs w:val="22"/>
              </w:rPr>
            </w:pPr>
            <w:r>
              <w:rPr>
                <w:color w:val="000000"/>
                <w:sz w:val="22"/>
                <w:szCs w:val="22"/>
              </w:rPr>
              <w:t>Svaigimas (</w:t>
            </w:r>
            <w:r>
              <w:rPr>
                <w:i/>
                <w:color w:val="000000"/>
                <w:sz w:val="22"/>
                <w:szCs w:val="22"/>
              </w:rPr>
              <w:t>vertigo</w:t>
            </w:r>
            <w:r>
              <w:rPr>
                <w:color w:val="000000"/>
                <w:sz w:val="22"/>
                <w:szCs w:val="22"/>
              </w:rPr>
              <w:t>)</w:t>
            </w:r>
          </w:p>
        </w:tc>
        <w:tc>
          <w:tcPr>
            <w:tcW w:w="1326" w:type="dxa"/>
            <w:tcBorders>
              <w:top w:val="single" w:sz="4" w:space="0" w:color="auto"/>
              <w:left w:val="single" w:sz="4" w:space="0" w:color="auto"/>
              <w:bottom w:val="single" w:sz="4" w:space="0" w:color="auto"/>
              <w:right w:val="single" w:sz="4" w:space="0" w:color="auto"/>
            </w:tcBorders>
            <w:hideMark/>
          </w:tcPr>
          <w:p w14:paraId="7122DC3F" w14:textId="77777777" w:rsidR="00F00A02" w:rsidRDefault="0027659F">
            <w:pPr>
              <w:widowControl w:val="0"/>
              <w:tabs>
                <w:tab w:val="left" w:pos="567"/>
              </w:tabs>
              <w:rPr>
                <w:color w:val="000000"/>
                <w:sz w:val="22"/>
                <w:szCs w:val="22"/>
              </w:rPr>
            </w:pPr>
            <w:r>
              <w:rPr>
                <w:color w:val="000000"/>
                <w:sz w:val="22"/>
                <w:szCs w:val="22"/>
              </w:rPr>
              <w:t>Dažnas</w:t>
            </w:r>
          </w:p>
        </w:tc>
        <w:tc>
          <w:tcPr>
            <w:tcW w:w="1310" w:type="dxa"/>
            <w:tcBorders>
              <w:top w:val="single" w:sz="4" w:space="0" w:color="auto"/>
              <w:left w:val="single" w:sz="4" w:space="0" w:color="auto"/>
              <w:bottom w:val="single" w:sz="4" w:space="0" w:color="auto"/>
              <w:right w:val="single" w:sz="4" w:space="0" w:color="auto"/>
            </w:tcBorders>
            <w:hideMark/>
          </w:tcPr>
          <w:p w14:paraId="6168524C" w14:textId="77777777" w:rsidR="00F00A02" w:rsidRDefault="0027659F">
            <w:pPr>
              <w:widowControl w:val="0"/>
              <w:tabs>
                <w:tab w:val="left" w:pos="567"/>
              </w:tabs>
              <w:rPr>
                <w:color w:val="000000"/>
                <w:sz w:val="22"/>
                <w:szCs w:val="22"/>
              </w:rPr>
            </w:pPr>
            <w:r>
              <w:rPr>
                <w:color w:val="000000"/>
                <w:sz w:val="22"/>
                <w:szCs w:val="22"/>
              </w:rPr>
              <w:t>Dažnas</w:t>
            </w:r>
          </w:p>
        </w:tc>
        <w:tc>
          <w:tcPr>
            <w:tcW w:w="1806" w:type="dxa"/>
            <w:tcBorders>
              <w:top w:val="single" w:sz="4" w:space="0" w:color="auto"/>
              <w:left w:val="single" w:sz="4" w:space="0" w:color="auto"/>
              <w:bottom w:val="single" w:sz="4" w:space="0" w:color="auto"/>
              <w:right w:val="single" w:sz="4" w:space="0" w:color="auto"/>
            </w:tcBorders>
          </w:tcPr>
          <w:p w14:paraId="7A2A1FB9"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3D0FEE8C"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tcPr>
          <w:p w14:paraId="273F51E5" w14:textId="77777777" w:rsidR="00F00A02" w:rsidRDefault="00F00A02">
            <w:pPr>
              <w:widowControl w:val="0"/>
              <w:tabs>
                <w:tab w:val="left" w:pos="567"/>
              </w:tabs>
              <w:rPr>
                <w:color w:val="000000"/>
                <w:sz w:val="22"/>
                <w:szCs w:val="22"/>
              </w:rPr>
            </w:pPr>
          </w:p>
        </w:tc>
      </w:tr>
      <w:tr w:rsidR="00F00A02" w14:paraId="4BF0F397" w14:textId="77777777">
        <w:tc>
          <w:tcPr>
            <w:tcW w:w="2390" w:type="dxa"/>
            <w:tcBorders>
              <w:top w:val="single" w:sz="4" w:space="0" w:color="auto"/>
              <w:left w:val="single" w:sz="4" w:space="0" w:color="auto"/>
              <w:bottom w:val="single" w:sz="4" w:space="0" w:color="auto"/>
              <w:right w:val="single" w:sz="4" w:space="0" w:color="auto"/>
            </w:tcBorders>
            <w:hideMark/>
          </w:tcPr>
          <w:p w14:paraId="75A10FEB" w14:textId="77777777" w:rsidR="00F00A02" w:rsidRDefault="0027659F">
            <w:pPr>
              <w:widowControl w:val="0"/>
              <w:tabs>
                <w:tab w:val="left" w:pos="567"/>
              </w:tabs>
              <w:rPr>
                <w:color w:val="000000"/>
                <w:sz w:val="22"/>
                <w:szCs w:val="22"/>
              </w:rPr>
            </w:pPr>
            <w:r>
              <w:rPr>
                <w:color w:val="000000"/>
                <w:sz w:val="22"/>
                <w:szCs w:val="22"/>
              </w:rPr>
              <w:t>Ūžesys (</w:t>
            </w:r>
            <w:r>
              <w:rPr>
                <w:i/>
                <w:iCs/>
                <w:color w:val="000000"/>
                <w:sz w:val="22"/>
                <w:szCs w:val="22"/>
              </w:rPr>
              <w:t>tinnitus</w:t>
            </w:r>
            <w:r>
              <w:rPr>
                <w:color w:val="000000"/>
                <w:sz w:val="22"/>
                <w:szCs w:val="22"/>
              </w:rPr>
              <w:t>)</w:t>
            </w:r>
          </w:p>
        </w:tc>
        <w:tc>
          <w:tcPr>
            <w:tcW w:w="1326" w:type="dxa"/>
            <w:tcBorders>
              <w:top w:val="single" w:sz="4" w:space="0" w:color="auto"/>
              <w:left w:val="single" w:sz="4" w:space="0" w:color="auto"/>
              <w:bottom w:val="single" w:sz="4" w:space="0" w:color="auto"/>
              <w:right w:val="single" w:sz="4" w:space="0" w:color="auto"/>
            </w:tcBorders>
          </w:tcPr>
          <w:p w14:paraId="3EEC9C90"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163F1343"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tcPr>
          <w:p w14:paraId="0CD2A7BE"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0879D28F"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hideMark/>
          </w:tcPr>
          <w:p w14:paraId="448F63B5" w14:textId="77777777" w:rsidR="00F00A02" w:rsidRDefault="0027659F">
            <w:pPr>
              <w:widowControl w:val="0"/>
              <w:tabs>
                <w:tab w:val="left" w:pos="567"/>
              </w:tabs>
              <w:rPr>
                <w:color w:val="000000"/>
                <w:sz w:val="22"/>
                <w:szCs w:val="22"/>
              </w:rPr>
            </w:pPr>
            <w:r>
              <w:rPr>
                <w:color w:val="000000"/>
                <w:sz w:val="22"/>
                <w:szCs w:val="22"/>
              </w:rPr>
              <w:t>Dažnis nežinomas</w:t>
            </w:r>
          </w:p>
        </w:tc>
      </w:tr>
      <w:tr w:rsidR="00F00A02" w14:paraId="0C0A37D9" w14:textId="77777777">
        <w:tc>
          <w:tcPr>
            <w:tcW w:w="9287" w:type="dxa"/>
            <w:gridSpan w:val="6"/>
            <w:tcBorders>
              <w:top w:val="single" w:sz="4" w:space="0" w:color="auto"/>
              <w:left w:val="single" w:sz="4" w:space="0" w:color="auto"/>
              <w:bottom w:val="single" w:sz="4" w:space="0" w:color="auto"/>
              <w:right w:val="single" w:sz="4" w:space="0" w:color="auto"/>
            </w:tcBorders>
            <w:hideMark/>
          </w:tcPr>
          <w:p w14:paraId="75BDC3B7" w14:textId="77777777" w:rsidR="00F00A02" w:rsidRDefault="0027659F">
            <w:pPr>
              <w:widowControl w:val="0"/>
              <w:tabs>
                <w:tab w:val="left" w:pos="567"/>
              </w:tabs>
              <w:rPr>
                <w:bCs/>
                <w:i/>
                <w:iCs/>
                <w:color w:val="000000"/>
                <w:sz w:val="22"/>
                <w:szCs w:val="22"/>
              </w:rPr>
            </w:pPr>
            <w:r>
              <w:rPr>
                <w:bCs/>
                <w:i/>
                <w:iCs/>
                <w:color w:val="000000"/>
                <w:sz w:val="22"/>
                <w:szCs w:val="22"/>
              </w:rPr>
              <w:t>Širdies sutrikimai</w:t>
            </w:r>
          </w:p>
        </w:tc>
      </w:tr>
      <w:tr w:rsidR="00F00A02" w14:paraId="641F95D8" w14:textId="77777777">
        <w:tc>
          <w:tcPr>
            <w:tcW w:w="2390" w:type="dxa"/>
            <w:tcBorders>
              <w:top w:val="single" w:sz="4" w:space="0" w:color="auto"/>
              <w:left w:val="single" w:sz="4" w:space="0" w:color="auto"/>
              <w:bottom w:val="single" w:sz="4" w:space="0" w:color="auto"/>
              <w:right w:val="single" w:sz="4" w:space="0" w:color="auto"/>
            </w:tcBorders>
            <w:hideMark/>
          </w:tcPr>
          <w:p w14:paraId="7F0D36C0" w14:textId="77777777" w:rsidR="00F00A02" w:rsidRDefault="0027659F">
            <w:pPr>
              <w:widowControl w:val="0"/>
              <w:tabs>
                <w:tab w:val="left" w:pos="567"/>
              </w:tabs>
              <w:rPr>
                <w:color w:val="000000"/>
                <w:sz w:val="22"/>
                <w:szCs w:val="22"/>
              </w:rPr>
            </w:pPr>
            <w:r>
              <w:rPr>
                <w:color w:val="000000"/>
                <w:sz w:val="22"/>
                <w:szCs w:val="22"/>
              </w:rPr>
              <w:t xml:space="preserve">Širdies plakimai, </w:t>
            </w:r>
            <w:r>
              <w:rPr>
                <w:color w:val="000000"/>
                <w:sz w:val="22"/>
                <w:szCs w:val="22"/>
              </w:rPr>
              <w:lastRenderedPageBreak/>
              <w:t>perplakimai (palpitacijos)</w:t>
            </w:r>
          </w:p>
        </w:tc>
        <w:tc>
          <w:tcPr>
            <w:tcW w:w="1326" w:type="dxa"/>
            <w:tcBorders>
              <w:top w:val="single" w:sz="4" w:space="0" w:color="auto"/>
              <w:left w:val="single" w:sz="4" w:space="0" w:color="auto"/>
              <w:bottom w:val="single" w:sz="4" w:space="0" w:color="auto"/>
              <w:right w:val="single" w:sz="4" w:space="0" w:color="auto"/>
            </w:tcBorders>
            <w:hideMark/>
          </w:tcPr>
          <w:p w14:paraId="38FA696C" w14:textId="77777777" w:rsidR="00F00A02" w:rsidRDefault="0027659F">
            <w:pPr>
              <w:widowControl w:val="0"/>
              <w:tabs>
                <w:tab w:val="left" w:pos="567"/>
              </w:tabs>
              <w:rPr>
                <w:color w:val="000000"/>
                <w:sz w:val="22"/>
                <w:szCs w:val="22"/>
              </w:rPr>
            </w:pPr>
            <w:r>
              <w:rPr>
                <w:color w:val="000000"/>
                <w:sz w:val="22"/>
                <w:szCs w:val="22"/>
              </w:rPr>
              <w:lastRenderedPageBreak/>
              <w:t>Nedažnas</w:t>
            </w:r>
          </w:p>
        </w:tc>
        <w:tc>
          <w:tcPr>
            <w:tcW w:w="1310" w:type="dxa"/>
            <w:tcBorders>
              <w:top w:val="single" w:sz="4" w:space="0" w:color="auto"/>
              <w:left w:val="single" w:sz="4" w:space="0" w:color="auto"/>
              <w:bottom w:val="single" w:sz="4" w:space="0" w:color="auto"/>
              <w:right w:val="single" w:sz="4" w:space="0" w:color="auto"/>
            </w:tcBorders>
          </w:tcPr>
          <w:p w14:paraId="79AB2FDE"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tcPr>
          <w:p w14:paraId="37585D79"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5406AE51"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tcPr>
          <w:p w14:paraId="1F5A3E95" w14:textId="77777777" w:rsidR="00F00A02" w:rsidRDefault="00F00A02">
            <w:pPr>
              <w:widowControl w:val="0"/>
              <w:tabs>
                <w:tab w:val="left" w:pos="567"/>
              </w:tabs>
              <w:rPr>
                <w:color w:val="000000"/>
                <w:sz w:val="22"/>
                <w:szCs w:val="22"/>
              </w:rPr>
            </w:pPr>
          </w:p>
        </w:tc>
      </w:tr>
      <w:tr w:rsidR="00F00A02" w14:paraId="2E75EDBD" w14:textId="77777777">
        <w:tc>
          <w:tcPr>
            <w:tcW w:w="2390" w:type="dxa"/>
            <w:tcBorders>
              <w:top w:val="single" w:sz="4" w:space="0" w:color="auto"/>
              <w:left w:val="single" w:sz="4" w:space="0" w:color="auto"/>
              <w:bottom w:val="single" w:sz="4" w:space="0" w:color="auto"/>
              <w:right w:val="single" w:sz="4" w:space="0" w:color="auto"/>
            </w:tcBorders>
            <w:hideMark/>
          </w:tcPr>
          <w:p w14:paraId="2AC476C2" w14:textId="77777777" w:rsidR="00F00A02" w:rsidRDefault="0027659F">
            <w:pPr>
              <w:widowControl w:val="0"/>
              <w:tabs>
                <w:tab w:val="left" w:pos="567"/>
              </w:tabs>
              <w:rPr>
                <w:color w:val="000000"/>
                <w:sz w:val="22"/>
                <w:szCs w:val="22"/>
              </w:rPr>
            </w:pPr>
            <w:r>
              <w:rPr>
                <w:color w:val="000000"/>
                <w:sz w:val="22"/>
                <w:szCs w:val="22"/>
              </w:rPr>
              <w:t>Krūtinės angina</w:t>
            </w:r>
          </w:p>
        </w:tc>
        <w:tc>
          <w:tcPr>
            <w:tcW w:w="1326" w:type="dxa"/>
            <w:tcBorders>
              <w:top w:val="single" w:sz="4" w:space="0" w:color="auto"/>
              <w:left w:val="single" w:sz="4" w:space="0" w:color="auto"/>
              <w:bottom w:val="single" w:sz="4" w:space="0" w:color="auto"/>
              <w:right w:val="single" w:sz="4" w:space="0" w:color="auto"/>
            </w:tcBorders>
            <w:hideMark/>
          </w:tcPr>
          <w:p w14:paraId="4E0CAA8C" w14:textId="77777777" w:rsidR="00F00A02" w:rsidRDefault="0027659F">
            <w:pPr>
              <w:widowControl w:val="0"/>
              <w:tabs>
                <w:tab w:val="left" w:pos="567"/>
              </w:tabs>
              <w:rPr>
                <w:color w:val="000000"/>
                <w:sz w:val="22"/>
                <w:szCs w:val="22"/>
              </w:rPr>
            </w:pPr>
            <w:r>
              <w:rPr>
                <w:color w:val="000000"/>
                <w:sz w:val="22"/>
                <w:szCs w:val="22"/>
              </w:rPr>
              <w:t>Nedažnas</w:t>
            </w:r>
          </w:p>
        </w:tc>
        <w:tc>
          <w:tcPr>
            <w:tcW w:w="1310" w:type="dxa"/>
            <w:tcBorders>
              <w:top w:val="single" w:sz="4" w:space="0" w:color="auto"/>
              <w:left w:val="single" w:sz="4" w:space="0" w:color="auto"/>
              <w:bottom w:val="single" w:sz="4" w:space="0" w:color="auto"/>
              <w:right w:val="single" w:sz="4" w:space="0" w:color="auto"/>
            </w:tcBorders>
          </w:tcPr>
          <w:p w14:paraId="56F78DEE"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tcPr>
          <w:p w14:paraId="720CD1D4"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70DAA135"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tcPr>
          <w:p w14:paraId="0E675D60" w14:textId="77777777" w:rsidR="00F00A02" w:rsidRDefault="00F00A02">
            <w:pPr>
              <w:widowControl w:val="0"/>
              <w:tabs>
                <w:tab w:val="left" w:pos="567"/>
              </w:tabs>
              <w:rPr>
                <w:color w:val="000000"/>
                <w:sz w:val="22"/>
                <w:szCs w:val="22"/>
              </w:rPr>
            </w:pPr>
          </w:p>
        </w:tc>
      </w:tr>
      <w:tr w:rsidR="00F00A02" w14:paraId="76371E98" w14:textId="77777777">
        <w:tc>
          <w:tcPr>
            <w:tcW w:w="2390" w:type="dxa"/>
            <w:tcBorders>
              <w:top w:val="single" w:sz="4" w:space="0" w:color="auto"/>
              <w:left w:val="single" w:sz="4" w:space="0" w:color="auto"/>
              <w:bottom w:val="single" w:sz="4" w:space="0" w:color="auto"/>
              <w:right w:val="single" w:sz="4" w:space="0" w:color="auto"/>
            </w:tcBorders>
            <w:hideMark/>
          </w:tcPr>
          <w:p w14:paraId="7D2E3888" w14:textId="77777777" w:rsidR="00F00A02" w:rsidRDefault="0027659F">
            <w:pPr>
              <w:widowControl w:val="0"/>
              <w:tabs>
                <w:tab w:val="left" w:pos="567"/>
              </w:tabs>
              <w:rPr>
                <w:color w:val="000000"/>
                <w:sz w:val="22"/>
                <w:szCs w:val="22"/>
              </w:rPr>
            </w:pPr>
            <w:r>
              <w:rPr>
                <w:color w:val="000000"/>
                <w:sz w:val="22"/>
                <w:szCs w:val="22"/>
              </w:rPr>
              <w:t>Apalpimas</w:t>
            </w:r>
          </w:p>
        </w:tc>
        <w:tc>
          <w:tcPr>
            <w:tcW w:w="1326" w:type="dxa"/>
            <w:tcBorders>
              <w:top w:val="single" w:sz="4" w:space="0" w:color="auto"/>
              <w:left w:val="single" w:sz="4" w:space="0" w:color="auto"/>
              <w:bottom w:val="single" w:sz="4" w:space="0" w:color="auto"/>
              <w:right w:val="single" w:sz="4" w:space="0" w:color="auto"/>
            </w:tcBorders>
          </w:tcPr>
          <w:p w14:paraId="713BC78B"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1D630F5E"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hideMark/>
          </w:tcPr>
          <w:p w14:paraId="7C5143F7" w14:textId="77777777" w:rsidR="00F00A02" w:rsidRDefault="0027659F">
            <w:pPr>
              <w:widowControl w:val="0"/>
              <w:tabs>
                <w:tab w:val="left" w:pos="567"/>
              </w:tabs>
              <w:rPr>
                <w:color w:val="000000"/>
                <w:sz w:val="22"/>
                <w:szCs w:val="22"/>
              </w:rPr>
            </w:pPr>
            <w:r>
              <w:rPr>
                <w:color w:val="000000"/>
                <w:sz w:val="22"/>
                <w:szCs w:val="22"/>
              </w:rPr>
              <w:t>Retas</w:t>
            </w:r>
          </w:p>
        </w:tc>
        <w:tc>
          <w:tcPr>
            <w:tcW w:w="1310" w:type="dxa"/>
            <w:tcBorders>
              <w:top w:val="single" w:sz="4" w:space="0" w:color="auto"/>
              <w:left w:val="single" w:sz="4" w:space="0" w:color="auto"/>
              <w:bottom w:val="single" w:sz="4" w:space="0" w:color="auto"/>
              <w:right w:val="single" w:sz="4" w:space="0" w:color="auto"/>
            </w:tcBorders>
          </w:tcPr>
          <w:p w14:paraId="54A94B1F"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tcPr>
          <w:p w14:paraId="7DB3CFC8" w14:textId="77777777" w:rsidR="00F00A02" w:rsidRDefault="00F00A02">
            <w:pPr>
              <w:widowControl w:val="0"/>
              <w:tabs>
                <w:tab w:val="left" w:pos="567"/>
              </w:tabs>
              <w:rPr>
                <w:color w:val="000000"/>
                <w:sz w:val="22"/>
                <w:szCs w:val="22"/>
              </w:rPr>
            </w:pPr>
          </w:p>
        </w:tc>
      </w:tr>
      <w:tr w:rsidR="00F00A02" w14:paraId="15B8DE48" w14:textId="77777777">
        <w:tc>
          <w:tcPr>
            <w:tcW w:w="2390" w:type="dxa"/>
            <w:tcBorders>
              <w:top w:val="single" w:sz="4" w:space="0" w:color="auto"/>
              <w:left w:val="single" w:sz="4" w:space="0" w:color="auto"/>
              <w:bottom w:val="single" w:sz="4" w:space="0" w:color="auto"/>
              <w:right w:val="single" w:sz="4" w:space="0" w:color="auto"/>
            </w:tcBorders>
            <w:hideMark/>
          </w:tcPr>
          <w:p w14:paraId="3B9D9FA3" w14:textId="77777777" w:rsidR="00F00A02" w:rsidRDefault="0027659F">
            <w:pPr>
              <w:widowControl w:val="0"/>
              <w:tabs>
                <w:tab w:val="left" w:pos="567"/>
              </w:tabs>
              <w:rPr>
                <w:color w:val="000000"/>
                <w:sz w:val="22"/>
                <w:szCs w:val="22"/>
              </w:rPr>
            </w:pPr>
            <w:r>
              <w:rPr>
                <w:color w:val="000000"/>
                <w:sz w:val="22"/>
                <w:szCs w:val="22"/>
              </w:rPr>
              <w:t>Prieširdžių virpėjimas</w:t>
            </w:r>
          </w:p>
        </w:tc>
        <w:tc>
          <w:tcPr>
            <w:tcW w:w="1326" w:type="dxa"/>
            <w:tcBorders>
              <w:top w:val="single" w:sz="4" w:space="0" w:color="auto"/>
              <w:left w:val="single" w:sz="4" w:space="0" w:color="auto"/>
              <w:bottom w:val="single" w:sz="4" w:space="0" w:color="auto"/>
              <w:right w:val="single" w:sz="4" w:space="0" w:color="auto"/>
            </w:tcBorders>
          </w:tcPr>
          <w:p w14:paraId="2901F1C7"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4AA536A9"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hideMark/>
          </w:tcPr>
          <w:p w14:paraId="3F2EC34B" w14:textId="77777777" w:rsidR="00F00A02" w:rsidRDefault="0027659F">
            <w:pPr>
              <w:widowControl w:val="0"/>
              <w:tabs>
                <w:tab w:val="left" w:pos="567"/>
              </w:tabs>
              <w:rPr>
                <w:color w:val="000000"/>
                <w:sz w:val="22"/>
                <w:szCs w:val="22"/>
              </w:rPr>
            </w:pPr>
            <w:r>
              <w:rPr>
                <w:color w:val="000000"/>
                <w:sz w:val="22"/>
                <w:szCs w:val="22"/>
              </w:rPr>
              <w:t>Retas</w:t>
            </w:r>
          </w:p>
        </w:tc>
        <w:tc>
          <w:tcPr>
            <w:tcW w:w="1310" w:type="dxa"/>
            <w:tcBorders>
              <w:top w:val="single" w:sz="4" w:space="0" w:color="auto"/>
              <w:left w:val="single" w:sz="4" w:space="0" w:color="auto"/>
              <w:bottom w:val="single" w:sz="4" w:space="0" w:color="auto"/>
              <w:right w:val="single" w:sz="4" w:space="0" w:color="auto"/>
            </w:tcBorders>
          </w:tcPr>
          <w:p w14:paraId="0006DC2E"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tcPr>
          <w:p w14:paraId="22399293" w14:textId="77777777" w:rsidR="00F00A02" w:rsidRDefault="00F00A02">
            <w:pPr>
              <w:widowControl w:val="0"/>
              <w:tabs>
                <w:tab w:val="left" w:pos="567"/>
              </w:tabs>
              <w:rPr>
                <w:color w:val="000000"/>
                <w:sz w:val="22"/>
                <w:szCs w:val="22"/>
              </w:rPr>
            </w:pPr>
          </w:p>
        </w:tc>
      </w:tr>
      <w:tr w:rsidR="00F00A02" w14:paraId="1420EA85" w14:textId="77777777">
        <w:tc>
          <w:tcPr>
            <w:tcW w:w="2390" w:type="dxa"/>
            <w:tcBorders>
              <w:top w:val="single" w:sz="4" w:space="0" w:color="auto"/>
              <w:left w:val="single" w:sz="4" w:space="0" w:color="auto"/>
              <w:bottom w:val="single" w:sz="4" w:space="0" w:color="auto"/>
              <w:right w:val="single" w:sz="4" w:space="0" w:color="auto"/>
            </w:tcBorders>
            <w:hideMark/>
          </w:tcPr>
          <w:p w14:paraId="70343F34" w14:textId="77777777" w:rsidR="00F00A02" w:rsidRDefault="0027659F">
            <w:pPr>
              <w:widowControl w:val="0"/>
              <w:tabs>
                <w:tab w:val="left" w:pos="567"/>
              </w:tabs>
              <w:rPr>
                <w:color w:val="000000"/>
                <w:sz w:val="22"/>
                <w:szCs w:val="22"/>
              </w:rPr>
            </w:pPr>
            <w:r>
              <w:rPr>
                <w:color w:val="000000"/>
                <w:sz w:val="22"/>
                <w:szCs w:val="22"/>
              </w:rPr>
              <w:t>Smegenų kraujagyslių sutrikimas (insultas)</w:t>
            </w:r>
          </w:p>
        </w:tc>
        <w:tc>
          <w:tcPr>
            <w:tcW w:w="1326" w:type="dxa"/>
            <w:tcBorders>
              <w:top w:val="single" w:sz="4" w:space="0" w:color="auto"/>
              <w:left w:val="single" w:sz="4" w:space="0" w:color="auto"/>
              <w:bottom w:val="single" w:sz="4" w:space="0" w:color="auto"/>
              <w:right w:val="single" w:sz="4" w:space="0" w:color="auto"/>
            </w:tcBorders>
          </w:tcPr>
          <w:p w14:paraId="1F699FEF"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322958FC"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hideMark/>
          </w:tcPr>
          <w:p w14:paraId="7747881F" w14:textId="77777777" w:rsidR="00F00A02" w:rsidRDefault="0027659F">
            <w:pPr>
              <w:widowControl w:val="0"/>
              <w:tabs>
                <w:tab w:val="left" w:pos="567"/>
              </w:tabs>
              <w:rPr>
                <w:color w:val="000000"/>
                <w:sz w:val="22"/>
                <w:szCs w:val="22"/>
              </w:rPr>
            </w:pPr>
            <w:r>
              <w:rPr>
                <w:color w:val="000000"/>
                <w:sz w:val="22"/>
                <w:szCs w:val="22"/>
              </w:rPr>
              <w:t>Retas</w:t>
            </w:r>
          </w:p>
        </w:tc>
        <w:tc>
          <w:tcPr>
            <w:tcW w:w="1310" w:type="dxa"/>
            <w:tcBorders>
              <w:top w:val="single" w:sz="4" w:space="0" w:color="auto"/>
              <w:left w:val="single" w:sz="4" w:space="0" w:color="auto"/>
              <w:bottom w:val="single" w:sz="4" w:space="0" w:color="auto"/>
              <w:right w:val="single" w:sz="4" w:space="0" w:color="auto"/>
            </w:tcBorders>
          </w:tcPr>
          <w:p w14:paraId="0E3DFF88"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tcPr>
          <w:p w14:paraId="7B80B807" w14:textId="77777777" w:rsidR="00F00A02" w:rsidRDefault="00F00A02">
            <w:pPr>
              <w:widowControl w:val="0"/>
              <w:tabs>
                <w:tab w:val="left" w:pos="567"/>
              </w:tabs>
              <w:rPr>
                <w:color w:val="000000"/>
                <w:sz w:val="22"/>
                <w:szCs w:val="22"/>
              </w:rPr>
            </w:pPr>
          </w:p>
        </w:tc>
      </w:tr>
      <w:tr w:rsidR="00F00A02" w14:paraId="7D38036B" w14:textId="77777777">
        <w:tc>
          <w:tcPr>
            <w:tcW w:w="9287" w:type="dxa"/>
            <w:gridSpan w:val="6"/>
            <w:tcBorders>
              <w:top w:val="single" w:sz="4" w:space="0" w:color="auto"/>
              <w:left w:val="single" w:sz="4" w:space="0" w:color="auto"/>
              <w:bottom w:val="single" w:sz="4" w:space="0" w:color="auto"/>
              <w:right w:val="single" w:sz="4" w:space="0" w:color="auto"/>
            </w:tcBorders>
            <w:hideMark/>
          </w:tcPr>
          <w:p w14:paraId="4DD19B1A" w14:textId="77777777" w:rsidR="00F00A02" w:rsidRDefault="0027659F">
            <w:pPr>
              <w:widowControl w:val="0"/>
              <w:tabs>
                <w:tab w:val="left" w:pos="567"/>
              </w:tabs>
              <w:rPr>
                <w:bCs/>
                <w:i/>
                <w:iCs/>
                <w:color w:val="000000"/>
                <w:sz w:val="22"/>
                <w:szCs w:val="22"/>
              </w:rPr>
            </w:pPr>
            <w:r>
              <w:rPr>
                <w:bCs/>
                <w:i/>
                <w:iCs/>
                <w:color w:val="000000"/>
                <w:sz w:val="22"/>
                <w:szCs w:val="22"/>
              </w:rPr>
              <w:t>Kraujagyslių sutrikimai</w:t>
            </w:r>
          </w:p>
        </w:tc>
      </w:tr>
      <w:tr w:rsidR="00F00A02" w14:paraId="05F73174" w14:textId="77777777">
        <w:tc>
          <w:tcPr>
            <w:tcW w:w="2390" w:type="dxa"/>
            <w:tcBorders>
              <w:top w:val="single" w:sz="4" w:space="0" w:color="auto"/>
              <w:left w:val="single" w:sz="4" w:space="0" w:color="auto"/>
              <w:bottom w:val="single" w:sz="4" w:space="0" w:color="auto"/>
              <w:right w:val="single" w:sz="4" w:space="0" w:color="auto"/>
            </w:tcBorders>
            <w:hideMark/>
          </w:tcPr>
          <w:p w14:paraId="68E80AF1" w14:textId="77777777" w:rsidR="00F00A02" w:rsidRDefault="0027659F">
            <w:pPr>
              <w:widowControl w:val="0"/>
              <w:tabs>
                <w:tab w:val="left" w:pos="567"/>
              </w:tabs>
              <w:rPr>
                <w:color w:val="000000"/>
                <w:sz w:val="22"/>
                <w:szCs w:val="22"/>
              </w:rPr>
            </w:pPr>
            <w:r>
              <w:rPr>
                <w:color w:val="000000"/>
                <w:sz w:val="22"/>
                <w:szCs w:val="22"/>
              </w:rPr>
              <w:t>(ortostatinė) hipotenzija (įskaitant nuo dozės priklausantį ortostatinį poveikį)</w:t>
            </w:r>
            <w:r>
              <w:rPr>
                <w:sz w:val="22"/>
                <w:szCs w:val="22"/>
                <w:vertAlign w:val="superscript"/>
              </w:rPr>
              <w:t xml:space="preserve"> ║</w:t>
            </w:r>
          </w:p>
        </w:tc>
        <w:tc>
          <w:tcPr>
            <w:tcW w:w="1326" w:type="dxa"/>
            <w:tcBorders>
              <w:top w:val="single" w:sz="4" w:space="0" w:color="auto"/>
              <w:left w:val="single" w:sz="4" w:space="0" w:color="auto"/>
              <w:bottom w:val="single" w:sz="4" w:space="0" w:color="auto"/>
              <w:right w:val="single" w:sz="4" w:space="0" w:color="auto"/>
            </w:tcBorders>
            <w:hideMark/>
          </w:tcPr>
          <w:p w14:paraId="28F8AF1F" w14:textId="77777777" w:rsidR="00F00A02" w:rsidRDefault="0027659F">
            <w:pPr>
              <w:widowControl w:val="0"/>
              <w:tabs>
                <w:tab w:val="left" w:pos="567"/>
              </w:tabs>
              <w:rPr>
                <w:color w:val="000000"/>
                <w:sz w:val="22"/>
                <w:szCs w:val="22"/>
              </w:rPr>
            </w:pPr>
            <w:r>
              <w:rPr>
                <w:color w:val="000000"/>
                <w:sz w:val="22"/>
                <w:szCs w:val="22"/>
              </w:rPr>
              <w:t>Nedažnas</w:t>
            </w:r>
          </w:p>
        </w:tc>
        <w:tc>
          <w:tcPr>
            <w:tcW w:w="1310" w:type="dxa"/>
            <w:tcBorders>
              <w:top w:val="single" w:sz="4" w:space="0" w:color="auto"/>
              <w:left w:val="single" w:sz="4" w:space="0" w:color="auto"/>
              <w:bottom w:val="single" w:sz="4" w:space="0" w:color="auto"/>
              <w:right w:val="single" w:sz="4" w:space="0" w:color="auto"/>
            </w:tcBorders>
          </w:tcPr>
          <w:p w14:paraId="6762FD7E"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hideMark/>
          </w:tcPr>
          <w:p w14:paraId="5BA3C4AE" w14:textId="77777777" w:rsidR="00F00A02" w:rsidRDefault="0027659F">
            <w:pPr>
              <w:widowControl w:val="0"/>
              <w:tabs>
                <w:tab w:val="left" w:pos="567"/>
              </w:tabs>
              <w:rPr>
                <w:color w:val="000000"/>
                <w:sz w:val="22"/>
                <w:szCs w:val="22"/>
              </w:rPr>
            </w:pPr>
            <w:r>
              <w:rPr>
                <w:color w:val="000000"/>
                <w:sz w:val="22"/>
                <w:szCs w:val="22"/>
              </w:rPr>
              <w:t>Dažnas</w:t>
            </w:r>
          </w:p>
        </w:tc>
        <w:tc>
          <w:tcPr>
            <w:tcW w:w="1310" w:type="dxa"/>
            <w:tcBorders>
              <w:top w:val="single" w:sz="4" w:space="0" w:color="auto"/>
              <w:left w:val="single" w:sz="4" w:space="0" w:color="auto"/>
              <w:bottom w:val="single" w:sz="4" w:space="0" w:color="auto"/>
              <w:right w:val="single" w:sz="4" w:space="0" w:color="auto"/>
            </w:tcBorders>
            <w:hideMark/>
          </w:tcPr>
          <w:p w14:paraId="34BD355B" w14:textId="77777777" w:rsidR="00F00A02" w:rsidRDefault="0027659F">
            <w:pPr>
              <w:widowControl w:val="0"/>
              <w:tabs>
                <w:tab w:val="left" w:pos="567"/>
              </w:tabs>
              <w:rPr>
                <w:color w:val="000000"/>
                <w:sz w:val="22"/>
                <w:szCs w:val="22"/>
              </w:rPr>
            </w:pPr>
            <w:r>
              <w:rPr>
                <w:color w:val="000000"/>
                <w:sz w:val="22"/>
                <w:szCs w:val="22"/>
              </w:rPr>
              <w:t>Dažnas</w:t>
            </w:r>
          </w:p>
        </w:tc>
        <w:tc>
          <w:tcPr>
            <w:tcW w:w="1145" w:type="dxa"/>
            <w:tcBorders>
              <w:top w:val="single" w:sz="4" w:space="0" w:color="auto"/>
              <w:left w:val="single" w:sz="4" w:space="0" w:color="auto"/>
              <w:bottom w:val="single" w:sz="4" w:space="0" w:color="auto"/>
              <w:right w:val="single" w:sz="4" w:space="0" w:color="auto"/>
            </w:tcBorders>
          </w:tcPr>
          <w:p w14:paraId="59B4BE59" w14:textId="77777777" w:rsidR="00F00A02" w:rsidRDefault="00F00A02">
            <w:pPr>
              <w:widowControl w:val="0"/>
              <w:tabs>
                <w:tab w:val="left" w:pos="567"/>
              </w:tabs>
              <w:rPr>
                <w:color w:val="000000"/>
                <w:sz w:val="22"/>
                <w:szCs w:val="22"/>
              </w:rPr>
            </w:pPr>
          </w:p>
        </w:tc>
      </w:tr>
      <w:tr w:rsidR="00F00A02" w14:paraId="2B6C824F" w14:textId="77777777">
        <w:tc>
          <w:tcPr>
            <w:tcW w:w="9287" w:type="dxa"/>
            <w:gridSpan w:val="6"/>
            <w:tcBorders>
              <w:top w:val="single" w:sz="4" w:space="0" w:color="auto"/>
              <w:left w:val="single" w:sz="4" w:space="0" w:color="auto"/>
              <w:bottom w:val="single" w:sz="4" w:space="0" w:color="auto"/>
              <w:right w:val="single" w:sz="4" w:space="0" w:color="auto"/>
            </w:tcBorders>
            <w:hideMark/>
          </w:tcPr>
          <w:p w14:paraId="7730EFCD" w14:textId="77777777" w:rsidR="00F00A02" w:rsidRDefault="0027659F">
            <w:pPr>
              <w:widowControl w:val="0"/>
              <w:tabs>
                <w:tab w:val="left" w:pos="567"/>
              </w:tabs>
              <w:rPr>
                <w:bCs/>
                <w:i/>
                <w:iCs/>
                <w:color w:val="000000"/>
                <w:sz w:val="22"/>
                <w:szCs w:val="22"/>
              </w:rPr>
            </w:pPr>
            <w:r>
              <w:rPr>
                <w:bCs/>
                <w:i/>
                <w:iCs/>
                <w:color w:val="000000"/>
                <w:sz w:val="22"/>
                <w:szCs w:val="22"/>
              </w:rPr>
              <w:t>Kvėpavimo sistemos, krūtinės ląstos ir tarpuplaučio sutrikimai</w:t>
            </w:r>
          </w:p>
        </w:tc>
      </w:tr>
      <w:tr w:rsidR="00F00A02" w14:paraId="2DC2990A" w14:textId="77777777">
        <w:tc>
          <w:tcPr>
            <w:tcW w:w="2390" w:type="dxa"/>
            <w:tcBorders>
              <w:top w:val="single" w:sz="4" w:space="0" w:color="auto"/>
              <w:left w:val="single" w:sz="4" w:space="0" w:color="auto"/>
              <w:bottom w:val="single" w:sz="4" w:space="0" w:color="auto"/>
              <w:right w:val="single" w:sz="4" w:space="0" w:color="auto"/>
            </w:tcBorders>
            <w:hideMark/>
          </w:tcPr>
          <w:p w14:paraId="7CCFEDD5" w14:textId="77777777" w:rsidR="00F00A02" w:rsidRDefault="0027659F">
            <w:pPr>
              <w:widowControl w:val="0"/>
              <w:tabs>
                <w:tab w:val="left" w:pos="567"/>
              </w:tabs>
              <w:rPr>
                <w:color w:val="000000"/>
                <w:sz w:val="22"/>
                <w:szCs w:val="22"/>
              </w:rPr>
            </w:pPr>
            <w:r>
              <w:rPr>
                <w:color w:val="000000"/>
                <w:sz w:val="22"/>
                <w:szCs w:val="22"/>
              </w:rPr>
              <w:t>Dusulys</w:t>
            </w:r>
          </w:p>
        </w:tc>
        <w:tc>
          <w:tcPr>
            <w:tcW w:w="1326" w:type="dxa"/>
            <w:tcBorders>
              <w:top w:val="single" w:sz="4" w:space="0" w:color="auto"/>
              <w:left w:val="single" w:sz="4" w:space="0" w:color="auto"/>
              <w:bottom w:val="single" w:sz="4" w:space="0" w:color="auto"/>
              <w:right w:val="single" w:sz="4" w:space="0" w:color="auto"/>
            </w:tcBorders>
          </w:tcPr>
          <w:p w14:paraId="4FE3FC1D"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784BC890"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hideMark/>
          </w:tcPr>
          <w:p w14:paraId="0E5A28F6" w14:textId="77777777" w:rsidR="00F00A02" w:rsidRDefault="0027659F">
            <w:pPr>
              <w:widowControl w:val="0"/>
              <w:tabs>
                <w:tab w:val="left" w:pos="567"/>
              </w:tabs>
              <w:rPr>
                <w:color w:val="000000"/>
                <w:sz w:val="22"/>
                <w:szCs w:val="22"/>
              </w:rPr>
            </w:pPr>
            <w:r>
              <w:rPr>
                <w:color w:val="000000"/>
                <w:sz w:val="22"/>
                <w:szCs w:val="22"/>
              </w:rPr>
              <w:t>Nedažnas</w:t>
            </w:r>
          </w:p>
        </w:tc>
        <w:tc>
          <w:tcPr>
            <w:tcW w:w="1310" w:type="dxa"/>
            <w:tcBorders>
              <w:top w:val="single" w:sz="4" w:space="0" w:color="auto"/>
              <w:left w:val="single" w:sz="4" w:space="0" w:color="auto"/>
              <w:bottom w:val="single" w:sz="4" w:space="0" w:color="auto"/>
              <w:right w:val="single" w:sz="4" w:space="0" w:color="auto"/>
            </w:tcBorders>
          </w:tcPr>
          <w:p w14:paraId="33E22788"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tcPr>
          <w:p w14:paraId="06134ECC" w14:textId="77777777" w:rsidR="00F00A02" w:rsidRDefault="00F00A02">
            <w:pPr>
              <w:widowControl w:val="0"/>
              <w:tabs>
                <w:tab w:val="left" w:pos="567"/>
              </w:tabs>
              <w:rPr>
                <w:color w:val="000000"/>
                <w:sz w:val="22"/>
                <w:szCs w:val="22"/>
              </w:rPr>
            </w:pPr>
          </w:p>
        </w:tc>
      </w:tr>
      <w:tr w:rsidR="00F00A02" w14:paraId="01D54354" w14:textId="77777777">
        <w:tc>
          <w:tcPr>
            <w:tcW w:w="2390" w:type="dxa"/>
            <w:tcBorders>
              <w:top w:val="single" w:sz="4" w:space="0" w:color="auto"/>
              <w:left w:val="single" w:sz="4" w:space="0" w:color="auto"/>
              <w:bottom w:val="single" w:sz="4" w:space="0" w:color="auto"/>
              <w:right w:val="single" w:sz="4" w:space="0" w:color="auto"/>
            </w:tcBorders>
            <w:hideMark/>
          </w:tcPr>
          <w:p w14:paraId="1D75DF90" w14:textId="77777777" w:rsidR="00F00A02" w:rsidRDefault="0027659F">
            <w:pPr>
              <w:widowControl w:val="0"/>
              <w:tabs>
                <w:tab w:val="left" w:pos="567"/>
              </w:tabs>
              <w:rPr>
                <w:color w:val="000000"/>
                <w:sz w:val="22"/>
                <w:szCs w:val="22"/>
              </w:rPr>
            </w:pPr>
            <w:r>
              <w:rPr>
                <w:color w:val="000000"/>
                <w:sz w:val="22"/>
                <w:szCs w:val="22"/>
              </w:rPr>
              <w:t>Kosulys</w:t>
            </w:r>
          </w:p>
        </w:tc>
        <w:tc>
          <w:tcPr>
            <w:tcW w:w="1326" w:type="dxa"/>
            <w:tcBorders>
              <w:top w:val="single" w:sz="4" w:space="0" w:color="auto"/>
              <w:left w:val="single" w:sz="4" w:space="0" w:color="auto"/>
              <w:bottom w:val="single" w:sz="4" w:space="0" w:color="auto"/>
              <w:right w:val="single" w:sz="4" w:space="0" w:color="auto"/>
            </w:tcBorders>
          </w:tcPr>
          <w:p w14:paraId="4E0E635D"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1906CEA3"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hideMark/>
          </w:tcPr>
          <w:p w14:paraId="3532139D" w14:textId="77777777" w:rsidR="00F00A02" w:rsidRDefault="0027659F">
            <w:pPr>
              <w:widowControl w:val="0"/>
              <w:tabs>
                <w:tab w:val="left" w:pos="567"/>
              </w:tabs>
              <w:rPr>
                <w:color w:val="000000"/>
                <w:sz w:val="22"/>
                <w:szCs w:val="22"/>
              </w:rPr>
            </w:pPr>
            <w:r>
              <w:rPr>
                <w:color w:val="000000"/>
                <w:sz w:val="22"/>
                <w:szCs w:val="22"/>
              </w:rPr>
              <w:t>Nedažnas</w:t>
            </w:r>
          </w:p>
        </w:tc>
        <w:tc>
          <w:tcPr>
            <w:tcW w:w="1310" w:type="dxa"/>
            <w:tcBorders>
              <w:top w:val="single" w:sz="4" w:space="0" w:color="auto"/>
              <w:left w:val="single" w:sz="4" w:space="0" w:color="auto"/>
              <w:bottom w:val="single" w:sz="4" w:space="0" w:color="auto"/>
              <w:right w:val="single" w:sz="4" w:space="0" w:color="auto"/>
            </w:tcBorders>
          </w:tcPr>
          <w:p w14:paraId="5D27440D"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hideMark/>
          </w:tcPr>
          <w:p w14:paraId="466A94A4" w14:textId="77777777" w:rsidR="00F00A02" w:rsidRDefault="0027659F">
            <w:pPr>
              <w:widowControl w:val="0"/>
              <w:tabs>
                <w:tab w:val="left" w:pos="567"/>
              </w:tabs>
              <w:rPr>
                <w:color w:val="000000"/>
                <w:sz w:val="22"/>
                <w:szCs w:val="22"/>
              </w:rPr>
            </w:pPr>
            <w:r>
              <w:rPr>
                <w:color w:val="000000"/>
                <w:sz w:val="22"/>
                <w:szCs w:val="22"/>
              </w:rPr>
              <w:t>Dažnis nežinomas</w:t>
            </w:r>
          </w:p>
        </w:tc>
      </w:tr>
      <w:tr w:rsidR="00F00A02" w14:paraId="154634C2" w14:textId="77777777">
        <w:tc>
          <w:tcPr>
            <w:tcW w:w="9287" w:type="dxa"/>
            <w:gridSpan w:val="6"/>
            <w:tcBorders>
              <w:top w:val="single" w:sz="4" w:space="0" w:color="auto"/>
              <w:left w:val="single" w:sz="4" w:space="0" w:color="auto"/>
              <w:bottom w:val="single" w:sz="4" w:space="0" w:color="auto"/>
              <w:right w:val="single" w:sz="4" w:space="0" w:color="auto"/>
            </w:tcBorders>
            <w:hideMark/>
          </w:tcPr>
          <w:p w14:paraId="6D84A8A2" w14:textId="77777777" w:rsidR="00F00A02" w:rsidRDefault="0027659F">
            <w:pPr>
              <w:widowControl w:val="0"/>
              <w:tabs>
                <w:tab w:val="left" w:pos="567"/>
              </w:tabs>
              <w:rPr>
                <w:bCs/>
                <w:i/>
                <w:iCs/>
                <w:color w:val="000000"/>
                <w:sz w:val="22"/>
                <w:szCs w:val="22"/>
              </w:rPr>
            </w:pPr>
            <w:r>
              <w:rPr>
                <w:bCs/>
                <w:i/>
                <w:iCs/>
                <w:color w:val="000000"/>
                <w:sz w:val="22"/>
                <w:szCs w:val="22"/>
              </w:rPr>
              <w:t>Virškinimo trakto sutrikimai</w:t>
            </w:r>
          </w:p>
        </w:tc>
      </w:tr>
      <w:tr w:rsidR="00F00A02" w14:paraId="3A93131E" w14:textId="77777777">
        <w:tc>
          <w:tcPr>
            <w:tcW w:w="2390" w:type="dxa"/>
            <w:tcBorders>
              <w:top w:val="single" w:sz="4" w:space="0" w:color="auto"/>
              <w:left w:val="single" w:sz="4" w:space="0" w:color="auto"/>
              <w:bottom w:val="single" w:sz="4" w:space="0" w:color="auto"/>
              <w:right w:val="single" w:sz="4" w:space="0" w:color="auto"/>
            </w:tcBorders>
            <w:hideMark/>
          </w:tcPr>
          <w:p w14:paraId="4162C23B" w14:textId="77777777" w:rsidR="00F00A02" w:rsidRDefault="0027659F">
            <w:pPr>
              <w:widowControl w:val="0"/>
              <w:tabs>
                <w:tab w:val="left" w:pos="567"/>
              </w:tabs>
              <w:rPr>
                <w:color w:val="000000"/>
                <w:sz w:val="22"/>
                <w:szCs w:val="22"/>
              </w:rPr>
            </w:pPr>
            <w:r>
              <w:rPr>
                <w:color w:val="000000"/>
                <w:sz w:val="22"/>
                <w:szCs w:val="22"/>
              </w:rPr>
              <w:t>Pilvo skausmas</w:t>
            </w:r>
          </w:p>
        </w:tc>
        <w:tc>
          <w:tcPr>
            <w:tcW w:w="1326" w:type="dxa"/>
            <w:tcBorders>
              <w:top w:val="single" w:sz="4" w:space="0" w:color="auto"/>
              <w:left w:val="single" w:sz="4" w:space="0" w:color="auto"/>
              <w:bottom w:val="single" w:sz="4" w:space="0" w:color="auto"/>
              <w:right w:val="single" w:sz="4" w:space="0" w:color="auto"/>
            </w:tcBorders>
            <w:hideMark/>
          </w:tcPr>
          <w:p w14:paraId="04C21D6A" w14:textId="77777777" w:rsidR="00F00A02" w:rsidRDefault="0027659F">
            <w:pPr>
              <w:widowControl w:val="0"/>
              <w:tabs>
                <w:tab w:val="left" w:pos="567"/>
              </w:tabs>
              <w:rPr>
                <w:color w:val="000000"/>
                <w:sz w:val="22"/>
                <w:szCs w:val="22"/>
              </w:rPr>
            </w:pPr>
            <w:r>
              <w:rPr>
                <w:color w:val="000000"/>
                <w:sz w:val="22"/>
                <w:szCs w:val="22"/>
              </w:rPr>
              <w:t>Nedažnas</w:t>
            </w:r>
          </w:p>
        </w:tc>
        <w:tc>
          <w:tcPr>
            <w:tcW w:w="1310" w:type="dxa"/>
            <w:tcBorders>
              <w:top w:val="single" w:sz="4" w:space="0" w:color="auto"/>
              <w:left w:val="single" w:sz="4" w:space="0" w:color="auto"/>
              <w:bottom w:val="single" w:sz="4" w:space="0" w:color="auto"/>
              <w:right w:val="single" w:sz="4" w:space="0" w:color="auto"/>
            </w:tcBorders>
          </w:tcPr>
          <w:p w14:paraId="25EF2607"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tcPr>
          <w:p w14:paraId="6292AF0F"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3052CE75"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tcPr>
          <w:p w14:paraId="73C72994" w14:textId="77777777" w:rsidR="00F00A02" w:rsidRDefault="00F00A02">
            <w:pPr>
              <w:widowControl w:val="0"/>
              <w:tabs>
                <w:tab w:val="left" w:pos="567"/>
              </w:tabs>
              <w:rPr>
                <w:color w:val="000000"/>
                <w:sz w:val="22"/>
                <w:szCs w:val="22"/>
              </w:rPr>
            </w:pPr>
          </w:p>
        </w:tc>
      </w:tr>
      <w:tr w:rsidR="00F00A02" w14:paraId="500F5DC0" w14:textId="77777777">
        <w:tc>
          <w:tcPr>
            <w:tcW w:w="2390" w:type="dxa"/>
            <w:tcBorders>
              <w:top w:val="single" w:sz="4" w:space="0" w:color="auto"/>
              <w:left w:val="single" w:sz="4" w:space="0" w:color="auto"/>
              <w:bottom w:val="single" w:sz="4" w:space="0" w:color="auto"/>
              <w:right w:val="single" w:sz="4" w:space="0" w:color="auto"/>
            </w:tcBorders>
            <w:hideMark/>
          </w:tcPr>
          <w:p w14:paraId="37514595" w14:textId="77777777" w:rsidR="00F00A02" w:rsidRDefault="0027659F">
            <w:pPr>
              <w:widowControl w:val="0"/>
              <w:tabs>
                <w:tab w:val="left" w:pos="567"/>
              </w:tabs>
              <w:rPr>
                <w:color w:val="000000"/>
                <w:sz w:val="22"/>
                <w:szCs w:val="22"/>
              </w:rPr>
            </w:pPr>
            <w:r>
              <w:rPr>
                <w:color w:val="000000"/>
                <w:sz w:val="22"/>
                <w:szCs w:val="22"/>
              </w:rPr>
              <w:t>Vidurių užkietėjimas</w:t>
            </w:r>
          </w:p>
        </w:tc>
        <w:tc>
          <w:tcPr>
            <w:tcW w:w="1326" w:type="dxa"/>
            <w:tcBorders>
              <w:top w:val="single" w:sz="4" w:space="0" w:color="auto"/>
              <w:left w:val="single" w:sz="4" w:space="0" w:color="auto"/>
              <w:bottom w:val="single" w:sz="4" w:space="0" w:color="auto"/>
              <w:right w:val="single" w:sz="4" w:space="0" w:color="auto"/>
            </w:tcBorders>
            <w:hideMark/>
          </w:tcPr>
          <w:p w14:paraId="43E73D3F" w14:textId="77777777" w:rsidR="00F00A02" w:rsidRDefault="0027659F">
            <w:pPr>
              <w:widowControl w:val="0"/>
              <w:tabs>
                <w:tab w:val="left" w:pos="567"/>
              </w:tabs>
              <w:rPr>
                <w:color w:val="000000"/>
                <w:sz w:val="22"/>
                <w:szCs w:val="22"/>
              </w:rPr>
            </w:pPr>
            <w:r>
              <w:rPr>
                <w:color w:val="000000"/>
                <w:sz w:val="22"/>
                <w:szCs w:val="22"/>
              </w:rPr>
              <w:t>Nedažnas</w:t>
            </w:r>
          </w:p>
        </w:tc>
        <w:tc>
          <w:tcPr>
            <w:tcW w:w="1310" w:type="dxa"/>
            <w:tcBorders>
              <w:top w:val="single" w:sz="4" w:space="0" w:color="auto"/>
              <w:left w:val="single" w:sz="4" w:space="0" w:color="auto"/>
              <w:bottom w:val="single" w:sz="4" w:space="0" w:color="auto"/>
              <w:right w:val="single" w:sz="4" w:space="0" w:color="auto"/>
            </w:tcBorders>
          </w:tcPr>
          <w:p w14:paraId="192564BE"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tcPr>
          <w:p w14:paraId="4A96921B"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0D7001C9"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tcPr>
          <w:p w14:paraId="1D0125AF" w14:textId="77777777" w:rsidR="00F00A02" w:rsidRDefault="00F00A02">
            <w:pPr>
              <w:widowControl w:val="0"/>
              <w:tabs>
                <w:tab w:val="left" w:pos="567"/>
              </w:tabs>
              <w:rPr>
                <w:color w:val="000000"/>
                <w:sz w:val="22"/>
                <w:szCs w:val="22"/>
              </w:rPr>
            </w:pPr>
          </w:p>
        </w:tc>
      </w:tr>
      <w:tr w:rsidR="00F00A02" w14:paraId="1F1B0B27" w14:textId="77777777">
        <w:tc>
          <w:tcPr>
            <w:tcW w:w="2390" w:type="dxa"/>
            <w:tcBorders>
              <w:top w:val="single" w:sz="4" w:space="0" w:color="auto"/>
              <w:left w:val="single" w:sz="4" w:space="0" w:color="auto"/>
              <w:bottom w:val="single" w:sz="4" w:space="0" w:color="auto"/>
              <w:right w:val="single" w:sz="4" w:space="0" w:color="auto"/>
            </w:tcBorders>
            <w:hideMark/>
          </w:tcPr>
          <w:p w14:paraId="788C6AE9" w14:textId="77777777" w:rsidR="00F00A02" w:rsidRDefault="0027659F">
            <w:pPr>
              <w:widowControl w:val="0"/>
              <w:tabs>
                <w:tab w:val="left" w:pos="567"/>
              </w:tabs>
              <w:rPr>
                <w:color w:val="000000"/>
                <w:sz w:val="22"/>
                <w:szCs w:val="22"/>
              </w:rPr>
            </w:pPr>
            <w:r>
              <w:rPr>
                <w:color w:val="000000"/>
                <w:sz w:val="22"/>
                <w:szCs w:val="22"/>
              </w:rPr>
              <w:t>Viduriavimas</w:t>
            </w:r>
          </w:p>
        </w:tc>
        <w:tc>
          <w:tcPr>
            <w:tcW w:w="1326" w:type="dxa"/>
            <w:tcBorders>
              <w:top w:val="single" w:sz="4" w:space="0" w:color="auto"/>
              <w:left w:val="single" w:sz="4" w:space="0" w:color="auto"/>
              <w:bottom w:val="single" w:sz="4" w:space="0" w:color="auto"/>
              <w:right w:val="single" w:sz="4" w:space="0" w:color="auto"/>
            </w:tcBorders>
          </w:tcPr>
          <w:p w14:paraId="3DEE5685"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7B79F91D"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hideMark/>
          </w:tcPr>
          <w:p w14:paraId="1156D4B5" w14:textId="77777777" w:rsidR="00F00A02" w:rsidRDefault="0027659F">
            <w:pPr>
              <w:widowControl w:val="0"/>
              <w:tabs>
                <w:tab w:val="left" w:pos="567"/>
              </w:tabs>
              <w:rPr>
                <w:color w:val="000000"/>
                <w:sz w:val="22"/>
                <w:szCs w:val="22"/>
              </w:rPr>
            </w:pPr>
            <w:r>
              <w:rPr>
                <w:color w:val="000000"/>
                <w:sz w:val="22"/>
                <w:szCs w:val="22"/>
              </w:rPr>
              <w:t>Nedažnas</w:t>
            </w:r>
          </w:p>
        </w:tc>
        <w:tc>
          <w:tcPr>
            <w:tcW w:w="1310" w:type="dxa"/>
            <w:tcBorders>
              <w:top w:val="single" w:sz="4" w:space="0" w:color="auto"/>
              <w:left w:val="single" w:sz="4" w:space="0" w:color="auto"/>
              <w:bottom w:val="single" w:sz="4" w:space="0" w:color="auto"/>
              <w:right w:val="single" w:sz="4" w:space="0" w:color="auto"/>
            </w:tcBorders>
          </w:tcPr>
          <w:p w14:paraId="4B2AF14E"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hideMark/>
          </w:tcPr>
          <w:p w14:paraId="4978171A" w14:textId="77777777" w:rsidR="00F00A02" w:rsidRDefault="0027659F">
            <w:pPr>
              <w:widowControl w:val="0"/>
              <w:tabs>
                <w:tab w:val="left" w:pos="567"/>
              </w:tabs>
              <w:rPr>
                <w:color w:val="000000"/>
                <w:sz w:val="22"/>
                <w:szCs w:val="22"/>
              </w:rPr>
            </w:pPr>
            <w:r>
              <w:rPr>
                <w:color w:val="000000"/>
                <w:sz w:val="22"/>
                <w:szCs w:val="22"/>
              </w:rPr>
              <w:t>Dažnis nežinomas</w:t>
            </w:r>
          </w:p>
        </w:tc>
      </w:tr>
      <w:tr w:rsidR="00F00A02" w14:paraId="660B212A" w14:textId="77777777">
        <w:tc>
          <w:tcPr>
            <w:tcW w:w="2390" w:type="dxa"/>
            <w:tcBorders>
              <w:top w:val="single" w:sz="4" w:space="0" w:color="auto"/>
              <w:left w:val="single" w:sz="4" w:space="0" w:color="auto"/>
              <w:bottom w:val="single" w:sz="4" w:space="0" w:color="auto"/>
              <w:right w:val="single" w:sz="4" w:space="0" w:color="auto"/>
            </w:tcBorders>
            <w:hideMark/>
          </w:tcPr>
          <w:p w14:paraId="6B878E50" w14:textId="77777777" w:rsidR="00F00A02" w:rsidRDefault="0027659F">
            <w:pPr>
              <w:widowControl w:val="0"/>
              <w:tabs>
                <w:tab w:val="left" w:pos="567"/>
              </w:tabs>
              <w:rPr>
                <w:color w:val="000000"/>
                <w:sz w:val="22"/>
                <w:szCs w:val="22"/>
              </w:rPr>
            </w:pPr>
            <w:r>
              <w:rPr>
                <w:color w:val="000000"/>
                <w:sz w:val="22"/>
                <w:szCs w:val="22"/>
              </w:rPr>
              <w:t>Pykinimas</w:t>
            </w:r>
          </w:p>
        </w:tc>
        <w:tc>
          <w:tcPr>
            <w:tcW w:w="1326" w:type="dxa"/>
            <w:tcBorders>
              <w:top w:val="single" w:sz="4" w:space="0" w:color="auto"/>
              <w:left w:val="single" w:sz="4" w:space="0" w:color="auto"/>
              <w:bottom w:val="single" w:sz="4" w:space="0" w:color="auto"/>
              <w:right w:val="single" w:sz="4" w:space="0" w:color="auto"/>
            </w:tcBorders>
          </w:tcPr>
          <w:p w14:paraId="4A6B8747"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1A317E25"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hideMark/>
          </w:tcPr>
          <w:p w14:paraId="77C112A0" w14:textId="77777777" w:rsidR="00F00A02" w:rsidRDefault="0027659F">
            <w:pPr>
              <w:widowControl w:val="0"/>
              <w:tabs>
                <w:tab w:val="left" w:pos="567"/>
              </w:tabs>
              <w:rPr>
                <w:color w:val="000000"/>
                <w:sz w:val="22"/>
                <w:szCs w:val="22"/>
              </w:rPr>
            </w:pPr>
            <w:r>
              <w:rPr>
                <w:color w:val="000000"/>
                <w:sz w:val="22"/>
                <w:szCs w:val="22"/>
              </w:rPr>
              <w:t>Nedažnas</w:t>
            </w:r>
          </w:p>
        </w:tc>
        <w:tc>
          <w:tcPr>
            <w:tcW w:w="1310" w:type="dxa"/>
            <w:tcBorders>
              <w:top w:val="single" w:sz="4" w:space="0" w:color="auto"/>
              <w:left w:val="single" w:sz="4" w:space="0" w:color="auto"/>
              <w:bottom w:val="single" w:sz="4" w:space="0" w:color="auto"/>
              <w:right w:val="single" w:sz="4" w:space="0" w:color="auto"/>
            </w:tcBorders>
          </w:tcPr>
          <w:p w14:paraId="44F48560"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tcPr>
          <w:p w14:paraId="73AD9A73" w14:textId="77777777" w:rsidR="00F00A02" w:rsidRDefault="00F00A02">
            <w:pPr>
              <w:widowControl w:val="0"/>
              <w:tabs>
                <w:tab w:val="left" w:pos="567"/>
              </w:tabs>
              <w:rPr>
                <w:color w:val="000000"/>
                <w:sz w:val="22"/>
                <w:szCs w:val="22"/>
              </w:rPr>
            </w:pPr>
          </w:p>
        </w:tc>
      </w:tr>
      <w:tr w:rsidR="00F00A02" w14:paraId="3912E625" w14:textId="77777777">
        <w:tc>
          <w:tcPr>
            <w:tcW w:w="2390" w:type="dxa"/>
            <w:tcBorders>
              <w:top w:val="single" w:sz="4" w:space="0" w:color="auto"/>
              <w:left w:val="single" w:sz="4" w:space="0" w:color="auto"/>
              <w:bottom w:val="single" w:sz="4" w:space="0" w:color="auto"/>
              <w:right w:val="single" w:sz="4" w:space="0" w:color="auto"/>
            </w:tcBorders>
            <w:hideMark/>
          </w:tcPr>
          <w:p w14:paraId="54043DF8" w14:textId="77777777" w:rsidR="00F00A02" w:rsidRDefault="0027659F">
            <w:pPr>
              <w:widowControl w:val="0"/>
              <w:tabs>
                <w:tab w:val="left" w:pos="567"/>
              </w:tabs>
              <w:rPr>
                <w:color w:val="000000"/>
                <w:sz w:val="22"/>
                <w:szCs w:val="22"/>
              </w:rPr>
            </w:pPr>
            <w:r>
              <w:rPr>
                <w:color w:val="000000"/>
                <w:sz w:val="22"/>
                <w:szCs w:val="22"/>
              </w:rPr>
              <w:t>Vėmimas</w:t>
            </w:r>
          </w:p>
        </w:tc>
        <w:tc>
          <w:tcPr>
            <w:tcW w:w="1326" w:type="dxa"/>
            <w:tcBorders>
              <w:top w:val="single" w:sz="4" w:space="0" w:color="auto"/>
              <w:left w:val="single" w:sz="4" w:space="0" w:color="auto"/>
              <w:bottom w:val="single" w:sz="4" w:space="0" w:color="auto"/>
              <w:right w:val="single" w:sz="4" w:space="0" w:color="auto"/>
            </w:tcBorders>
          </w:tcPr>
          <w:p w14:paraId="41CA3AA5"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0638A6D5"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hideMark/>
          </w:tcPr>
          <w:p w14:paraId="4664F984" w14:textId="77777777" w:rsidR="00F00A02" w:rsidRDefault="0027659F">
            <w:pPr>
              <w:widowControl w:val="0"/>
              <w:tabs>
                <w:tab w:val="left" w:pos="567"/>
              </w:tabs>
              <w:rPr>
                <w:color w:val="000000"/>
                <w:sz w:val="22"/>
                <w:szCs w:val="22"/>
              </w:rPr>
            </w:pPr>
            <w:r>
              <w:rPr>
                <w:color w:val="000000"/>
                <w:sz w:val="22"/>
                <w:szCs w:val="22"/>
              </w:rPr>
              <w:t>Nedažnas</w:t>
            </w:r>
          </w:p>
        </w:tc>
        <w:tc>
          <w:tcPr>
            <w:tcW w:w="1310" w:type="dxa"/>
            <w:tcBorders>
              <w:top w:val="single" w:sz="4" w:space="0" w:color="auto"/>
              <w:left w:val="single" w:sz="4" w:space="0" w:color="auto"/>
              <w:bottom w:val="single" w:sz="4" w:space="0" w:color="auto"/>
              <w:right w:val="single" w:sz="4" w:space="0" w:color="auto"/>
            </w:tcBorders>
          </w:tcPr>
          <w:p w14:paraId="2AC52960"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tcPr>
          <w:p w14:paraId="68D11B58" w14:textId="77777777" w:rsidR="00F00A02" w:rsidRDefault="00F00A02">
            <w:pPr>
              <w:widowControl w:val="0"/>
              <w:tabs>
                <w:tab w:val="left" w:pos="567"/>
              </w:tabs>
              <w:rPr>
                <w:color w:val="000000"/>
                <w:sz w:val="22"/>
                <w:szCs w:val="22"/>
              </w:rPr>
            </w:pPr>
          </w:p>
        </w:tc>
      </w:tr>
      <w:tr w:rsidR="00F00A02" w14:paraId="18CA13B4" w14:textId="77777777">
        <w:tc>
          <w:tcPr>
            <w:tcW w:w="2390" w:type="dxa"/>
            <w:tcBorders>
              <w:top w:val="single" w:sz="4" w:space="0" w:color="auto"/>
              <w:left w:val="single" w:sz="4" w:space="0" w:color="auto"/>
              <w:bottom w:val="single" w:sz="4" w:space="0" w:color="auto"/>
              <w:right w:val="single" w:sz="4" w:space="0" w:color="auto"/>
            </w:tcBorders>
          </w:tcPr>
          <w:p w14:paraId="2513F7DA" w14:textId="77777777" w:rsidR="00F00A02" w:rsidRDefault="0027659F">
            <w:pPr>
              <w:widowControl w:val="0"/>
              <w:tabs>
                <w:tab w:val="left" w:pos="567"/>
              </w:tabs>
              <w:rPr>
                <w:color w:val="000000"/>
                <w:sz w:val="22"/>
                <w:szCs w:val="22"/>
              </w:rPr>
            </w:pPr>
            <w:r>
              <w:rPr>
                <w:rFonts w:eastAsia="Calibri"/>
                <w:color w:val="000000"/>
                <w:sz w:val="22"/>
                <w:szCs w:val="22"/>
                <w:lang w:eastAsia="en-US"/>
              </w:rPr>
              <w:t>Žarnyno angioneurozinė edema</w:t>
            </w:r>
          </w:p>
        </w:tc>
        <w:tc>
          <w:tcPr>
            <w:tcW w:w="1326" w:type="dxa"/>
            <w:tcBorders>
              <w:top w:val="single" w:sz="4" w:space="0" w:color="auto"/>
              <w:left w:val="single" w:sz="4" w:space="0" w:color="auto"/>
              <w:bottom w:val="single" w:sz="4" w:space="0" w:color="auto"/>
              <w:right w:val="single" w:sz="4" w:space="0" w:color="auto"/>
            </w:tcBorders>
          </w:tcPr>
          <w:p w14:paraId="0A183AF1"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5E99F3BC"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tcPr>
          <w:p w14:paraId="53285860"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4DD335FD"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tcPr>
          <w:p w14:paraId="3ACAFFF4" w14:textId="77777777" w:rsidR="00F00A02" w:rsidRDefault="0027659F">
            <w:pPr>
              <w:widowControl w:val="0"/>
              <w:tabs>
                <w:tab w:val="left" w:pos="567"/>
              </w:tabs>
              <w:rPr>
                <w:color w:val="000000"/>
                <w:sz w:val="22"/>
                <w:szCs w:val="22"/>
              </w:rPr>
            </w:pPr>
            <w:r>
              <w:rPr>
                <w:rFonts w:eastAsia="Calibri"/>
                <w:color w:val="000000"/>
                <w:sz w:val="22"/>
                <w:szCs w:val="22"/>
                <w:lang w:eastAsia="en-US"/>
              </w:rPr>
              <w:t>Retas</w:t>
            </w:r>
          </w:p>
        </w:tc>
      </w:tr>
      <w:tr w:rsidR="00F00A02" w14:paraId="2F064660" w14:textId="77777777">
        <w:tc>
          <w:tcPr>
            <w:tcW w:w="9287" w:type="dxa"/>
            <w:gridSpan w:val="6"/>
            <w:tcBorders>
              <w:top w:val="single" w:sz="4" w:space="0" w:color="auto"/>
              <w:left w:val="single" w:sz="4" w:space="0" w:color="auto"/>
              <w:bottom w:val="single" w:sz="4" w:space="0" w:color="auto"/>
              <w:right w:val="single" w:sz="4" w:space="0" w:color="auto"/>
            </w:tcBorders>
            <w:hideMark/>
          </w:tcPr>
          <w:p w14:paraId="1B628EA0" w14:textId="77777777" w:rsidR="00F00A02" w:rsidRDefault="0027659F">
            <w:pPr>
              <w:widowControl w:val="0"/>
              <w:tabs>
                <w:tab w:val="left" w:pos="567"/>
              </w:tabs>
              <w:rPr>
                <w:bCs/>
                <w:i/>
                <w:iCs/>
                <w:color w:val="000000"/>
                <w:sz w:val="22"/>
                <w:szCs w:val="22"/>
              </w:rPr>
            </w:pPr>
            <w:r>
              <w:rPr>
                <w:bCs/>
                <w:i/>
                <w:iCs/>
                <w:color w:val="000000"/>
                <w:sz w:val="22"/>
                <w:szCs w:val="22"/>
              </w:rPr>
              <w:t>Kepenų, tulžies pūslės ir latakų sutrikimai</w:t>
            </w:r>
          </w:p>
        </w:tc>
      </w:tr>
      <w:tr w:rsidR="00F00A02" w14:paraId="74943D31" w14:textId="77777777">
        <w:tc>
          <w:tcPr>
            <w:tcW w:w="2390" w:type="dxa"/>
            <w:tcBorders>
              <w:top w:val="single" w:sz="4" w:space="0" w:color="auto"/>
              <w:left w:val="single" w:sz="4" w:space="0" w:color="auto"/>
              <w:bottom w:val="single" w:sz="4" w:space="0" w:color="auto"/>
              <w:right w:val="single" w:sz="4" w:space="0" w:color="auto"/>
            </w:tcBorders>
            <w:hideMark/>
          </w:tcPr>
          <w:p w14:paraId="1EC697D6" w14:textId="77777777" w:rsidR="00F00A02" w:rsidRDefault="0027659F">
            <w:pPr>
              <w:widowControl w:val="0"/>
              <w:tabs>
                <w:tab w:val="left" w:pos="567"/>
              </w:tabs>
              <w:rPr>
                <w:color w:val="000000"/>
                <w:sz w:val="22"/>
                <w:szCs w:val="22"/>
              </w:rPr>
            </w:pPr>
            <w:r>
              <w:rPr>
                <w:color w:val="000000"/>
                <w:sz w:val="22"/>
                <w:szCs w:val="22"/>
              </w:rPr>
              <w:t>Pankreatitas</w:t>
            </w:r>
          </w:p>
        </w:tc>
        <w:tc>
          <w:tcPr>
            <w:tcW w:w="1326" w:type="dxa"/>
            <w:tcBorders>
              <w:top w:val="single" w:sz="4" w:space="0" w:color="auto"/>
              <w:left w:val="single" w:sz="4" w:space="0" w:color="auto"/>
              <w:bottom w:val="single" w:sz="4" w:space="0" w:color="auto"/>
              <w:right w:val="single" w:sz="4" w:space="0" w:color="auto"/>
            </w:tcBorders>
          </w:tcPr>
          <w:p w14:paraId="43BBA0BE"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1012751D"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tcPr>
          <w:p w14:paraId="2F239614"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03414E1E"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hideMark/>
          </w:tcPr>
          <w:p w14:paraId="7B5E87FF" w14:textId="77777777" w:rsidR="00F00A02" w:rsidRDefault="0027659F">
            <w:pPr>
              <w:widowControl w:val="0"/>
              <w:tabs>
                <w:tab w:val="left" w:pos="567"/>
              </w:tabs>
              <w:rPr>
                <w:color w:val="000000"/>
                <w:sz w:val="22"/>
                <w:szCs w:val="22"/>
              </w:rPr>
            </w:pPr>
            <w:r>
              <w:rPr>
                <w:color w:val="000000"/>
                <w:sz w:val="22"/>
                <w:szCs w:val="22"/>
              </w:rPr>
              <w:t>Dažnis nežinomas</w:t>
            </w:r>
          </w:p>
        </w:tc>
      </w:tr>
      <w:tr w:rsidR="00F00A02" w14:paraId="4354E5B5" w14:textId="77777777">
        <w:tc>
          <w:tcPr>
            <w:tcW w:w="2390" w:type="dxa"/>
            <w:tcBorders>
              <w:top w:val="single" w:sz="4" w:space="0" w:color="auto"/>
              <w:left w:val="single" w:sz="4" w:space="0" w:color="auto"/>
              <w:bottom w:val="single" w:sz="4" w:space="0" w:color="auto"/>
              <w:right w:val="single" w:sz="4" w:space="0" w:color="auto"/>
            </w:tcBorders>
            <w:hideMark/>
          </w:tcPr>
          <w:p w14:paraId="75FC85CC" w14:textId="77777777" w:rsidR="00F00A02" w:rsidRDefault="0027659F">
            <w:pPr>
              <w:widowControl w:val="0"/>
              <w:tabs>
                <w:tab w:val="left" w:pos="567"/>
              </w:tabs>
              <w:rPr>
                <w:color w:val="000000"/>
                <w:sz w:val="22"/>
                <w:szCs w:val="22"/>
              </w:rPr>
            </w:pPr>
            <w:r>
              <w:rPr>
                <w:color w:val="000000"/>
                <w:sz w:val="22"/>
                <w:szCs w:val="22"/>
              </w:rPr>
              <w:t>Hepatitas</w:t>
            </w:r>
          </w:p>
        </w:tc>
        <w:tc>
          <w:tcPr>
            <w:tcW w:w="1326" w:type="dxa"/>
            <w:tcBorders>
              <w:top w:val="single" w:sz="4" w:space="0" w:color="auto"/>
              <w:left w:val="single" w:sz="4" w:space="0" w:color="auto"/>
              <w:bottom w:val="single" w:sz="4" w:space="0" w:color="auto"/>
              <w:right w:val="single" w:sz="4" w:space="0" w:color="auto"/>
            </w:tcBorders>
          </w:tcPr>
          <w:p w14:paraId="73A5CCD5"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3AAFEC9C"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tcPr>
          <w:p w14:paraId="0A14DF70"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5DCC7918"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hideMark/>
          </w:tcPr>
          <w:p w14:paraId="084E6A69" w14:textId="77777777" w:rsidR="00F00A02" w:rsidRDefault="0027659F">
            <w:pPr>
              <w:widowControl w:val="0"/>
              <w:tabs>
                <w:tab w:val="left" w:pos="567"/>
              </w:tabs>
              <w:rPr>
                <w:color w:val="000000"/>
                <w:sz w:val="22"/>
                <w:szCs w:val="22"/>
              </w:rPr>
            </w:pPr>
            <w:r>
              <w:rPr>
                <w:color w:val="000000"/>
                <w:sz w:val="22"/>
                <w:szCs w:val="22"/>
              </w:rPr>
              <w:t>Retas</w:t>
            </w:r>
          </w:p>
        </w:tc>
      </w:tr>
      <w:tr w:rsidR="00F00A02" w14:paraId="3E3BA9AD" w14:textId="77777777">
        <w:tc>
          <w:tcPr>
            <w:tcW w:w="2390" w:type="dxa"/>
            <w:tcBorders>
              <w:top w:val="single" w:sz="4" w:space="0" w:color="auto"/>
              <w:left w:val="single" w:sz="4" w:space="0" w:color="auto"/>
              <w:bottom w:val="single" w:sz="4" w:space="0" w:color="auto"/>
              <w:right w:val="single" w:sz="4" w:space="0" w:color="auto"/>
            </w:tcBorders>
            <w:hideMark/>
          </w:tcPr>
          <w:p w14:paraId="2AFD26FF" w14:textId="77777777" w:rsidR="00F00A02" w:rsidRDefault="0027659F">
            <w:pPr>
              <w:widowControl w:val="0"/>
              <w:tabs>
                <w:tab w:val="left" w:pos="567"/>
              </w:tabs>
              <w:rPr>
                <w:color w:val="000000"/>
                <w:sz w:val="22"/>
                <w:szCs w:val="22"/>
              </w:rPr>
            </w:pPr>
            <w:r>
              <w:rPr>
                <w:color w:val="000000"/>
                <w:sz w:val="22"/>
                <w:szCs w:val="22"/>
              </w:rPr>
              <w:t>Kepenų funkcijos sutrikimas</w:t>
            </w:r>
          </w:p>
        </w:tc>
        <w:tc>
          <w:tcPr>
            <w:tcW w:w="1326" w:type="dxa"/>
            <w:tcBorders>
              <w:top w:val="single" w:sz="4" w:space="0" w:color="auto"/>
              <w:left w:val="single" w:sz="4" w:space="0" w:color="auto"/>
              <w:bottom w:val="single" w:sz="4" w:space="0" w:color="auto"/>
              <w:right w:val="single" w:sz="4" w:space="0" w:color="auto"/>
            </w:tcBorders>
          </w:tcPr>
          <w:p w14:paraId="4CCDE119"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11415B78"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tcPr>
          <w:p w14:paraId="135EC6D7"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35FEDB15"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hideMark/>
          </w:tcPr>
          <w:p w14:paraId="0D277838" w14:textId="77777777" w:rsidR="00F00A02" w:rsidRDefault="0027659F">
            <w:pPr>
              <w:widowControl w:val="0"/>
              <w:tabs>
                <w:tab w:val="left" w:pos="567"/>
              </w:tabs>
              <w:rPr>
                <w:color w:val="000000"/>
                <w:sz w:val="22"/>
                <w:szCs w:val="22"/>
              </w:rPr>
            </w:pPr>
            <w:r>
              <w:rPr>
                <w:color w:val="000000"/>
                <w:sz w:val="22"/>
                <w:szCs w:val="22"/>
              </w:rPr>
              <w:t>Dažnis nežinomas</w:t>
            </w:r>
          </w:p>
        </w:tc>
      </w:tr>
      <w:tr w:rsidR="00F00A02" w14:paraId="389FB7B9" w14:textId="77777777">
        <w:tc>
          <w:tcPr>
            <w:tcW w:w="9287" w:type="dxa"/>
            <w:gridSpan w:val="6"/>
            <w:tcBorders>
              <w:top w:val="single" w:sz="4" w:space="0" w:color="auto"/>
              <w:left w:val="single" w:sz="4" w:space="0" w:color="auto"/>
              <w:bottom w:val="single" w:sz="4" w:space="0" w:color="auto"/>
              <w:right w:val="single" w:sz="4" w:space="0" w:color="auto"/>
            </w:tcBorders>
            <w:hideMark/>
          </w:tcPr>
          <w:p w14:paraId="11E92792" w14:textId="77777777" w:rsidR="00F00A02" w:rsidRDefault="0027659F">
            <w:pPr>
              <w:widowControl w:val="0"/>
              <w:tabs>
                <w:tab w:val="left" w:pos="567"/>
              </w:tabs>
              <w:rPr>
                <w:bCs/>
                <w:i/>
                <w:iCs/>
                <w:color w:val="000000"/>
                <w:sz w:val="22"/>
                <w:szCs w:val="22"/>
              </w:rPr>
            </w:pPr>
            <w:r>
              <w:rPr>
                <w:bCs/>
                <w:i/>
                <w:iCs/>
                <w:color w:val="000000"/>
                <w:sz w:val="22"/>
                <w:szCs w:val="22"/>
              </w:rPr>
              <w:t>Odos ir poodinio audinio sutrikimai</w:t>
            </w:r>
          </w:p>
        </w:tc>
      </w:tr>
      <w:tr w:rsidR="00F00A02" w14:paraId="210CE021" w14:textId="77777777">
        <w:tc>
          <w:tcPr>
            <w:tcW w:w="2390" w:type="dxa"/>
            <w:tcBorders>
              <w:top w:val="single" w:sz="4" w:space="0" w:color="auto"/>
              <w:left w:val="single" w:sz="4" w:space="0" w:color="auto"/>
              <w:bottom w:val="single" w:sz="4" w:space="0" w:color="auto"/>
              <w:right w:val="single" w:sz="4" w:space="0" w:color="auto"/>
            </w:tcBorders>
            <w:hideMark/>
          </w:tcPr>
          <w:p w14:paraId="62580A13" w14:textId="77777777" w:rsidR="00F00A02" w:rsidRDefault="0027659F">
            <w:pPr>
              <w:widowControl w:val="0"/>
              <w:tabs>
                <w:tab w:val="left" w:pos="567"/>
              </w:tabs>
              <w:rPr>
                <w:color w:val="000000"/>
                <w:sz w:val="22"/>
                <w:szCs w:val="22"/>
              </w:rPr>
            </w:pPr>
            <w:r>
              <w:rPr>
                <w:color w:val="000000"/>
                <w:sz w:val="22"/>
                <w:szCs w:val="22"/>
              </w:rPr>
              <w:t>Dilgėlinė</w:t>
            </w:r>
          </w:p>
        </w:tc>
        <w:tc>
          <w:tcPr>
            <w:tcW w:w="1326" w:type="dxa"/>
            <w:tcBorders>
              <w:top w:val="single" w:sz="4" w:space="0" w:color="auto"/>
              <w:left w:val="single" w:sz="4" w:space="0" w:color="auto"/>
              <w:bottom w:val="single" w:sz="4" w:space="0" w:color="auto"/>
              <w:right w:val="single" w:sz="4" w:space="0" w:color="auto"/>
            </w:tcBorders>
          </w:tcPr>
          <w:p w14:paraId="66875AE2"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71B68416"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hideMark/>
          </w:tcPr>
          <w:p w14:paraId="01F64718" w14:textId="77777777" w:rsidR="00F00A02" w:rsidRDefault="0027659F">
            <w:pPr>
              <w:widowControl w:val="0"/>
              <w:tabs>
                <w:tab w:val="left" w:pos="567"/>
              </w:tabs>
              <w:rPr>
                <w:color w:val="000000"/>
                <w:sz w:val="22"/>
                <w:szCs w:val="22"/>
              </w:rPr>
            </w:pPr>
            <w:r>
              <w:rPr>
                <w:color w:val="000000"/>
                <w:sz w:val="22"/>
                <w:szCs w:val="22"/>
              </w:rPr>
              <w:t>Nedažnas</w:t>
            </w:r>
          </w:p>
        </w:tc>
        <w:tc>
          <w:tcPr>
            <w:tcW w:w="1310" w:type="dxa"/>
            <w:tcBorders>
              <w:top w:val="single" w:sz="4" w:space="0" w:color="auto"/>
              <w:left w:val="single" w:sz="4" w:space="0" w:color="auto"/>
              <w:bottom w:val="single" w:sz="4" w:space="0" w:color="auto"/>
              <w:right w:val="single" w:sz="4" w:space="0" w:color="auto"/>
            </w:tcBorders>
          </w:tcPr>
          <w:p w14:paraId="60120403"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hideMark/>
          </w:tcPr>
          <w:p w14:paraId="2E30CBF2" w14:textId="77777777" w:rsidR="00F00A02" w:rsidRDefault="0027659F">
            <w:pPr>
              <w:widowControl w:val="0"/>
              <w:tabs>
                <w:tab w:val="left" w:pos="567"/>
              </w:tabs>
              <w:rPr>
                <w:color w:val="000000"/>
                <w:sz w:val="22"/>
                <w:szCs w:val="22"/>
              </w:rPr>
            </w:pPr>
            <w:r>
              <w:rPr>
                <w:color w:val="000000"/>
                <w:sz w:val="22"/>
                <w:szCs w:val="22"/>
              </w:rPr>
              <w:t>Dažnis nežinomas</w:t>
            </w:r>
          </w:p>
        </w:tc>
      </w:tr>
      <w:tr w:rsidR="00F00A02" w14:paraId="035F3DC8" w14:textId="77777777">
        <w:tc>
          <w:tcPr>
            <w:tcW w:w="2390" w:type="dxa"/>
            <w:tcBorders>
              <w:top w:val="single" w:sz="4" w:space="0" w:color="auto"/>
              <w:left w:val="single" w:sz="4" w:space="0" w:color="auto"/>
              <w:bottom w:val="single" w:sz="4" w:space="0" w:color="auto"/>
              <w:right w:val="single" w:sz="4" w:space="0" w:color="auto"/>
            </w:tcBorders>
            <w:hideMark/>
          </w:tcPr>
          <w:p w14:paraId="05FF03F8" w14:textId="77777777" w:rsidR="00F00A02" w:rsidRDefault="0027659F">
            <w:pPr>
              <w:widowControl w:val="0"/>
              <w:tabs>
                <w:tab w:val="left" w:pos="567"/>
              </w:tabs>
              <w:rPr>
                <w:color w:val="000000"/>
                <w:sz w:val="22"/>
                <w:szCs w:val="22"/>
              </w:rPr>
            </w:pPr>
            <w:r>
              <w:rPr>
                <w:color w:val="000000"/>
                <w:sz w:val="22"/>
                <w:szCs w:val="22"/>
              </w:rPr>
              <w:t>Niežėjimas</w:t>
            </w:r>
          </w:p>
        </w:tc>
        <w:tc>
          <w:tcPr>
            <w:tcW w:w="1326" w:type="dxa"/>
            <w:tcBorders>
              <w:top w:val="single" w:sz="4" w:space="0" w:color="auto"/>
              <w:left w:val="single" w:sz="4" w:space="0" w:color="auto"/>
              <w:bottom w:val="single" w:sz="4" w:space="0" w:color="auto"/>
              <w:right w:val="single" w:sz="4" w:space="0" w:color="auto"/>
            </w:tcBorders>
          </w:tcPr>
          <w:p w14:paraId="2347FA7E"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1B616C7F"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hideMark/>
          </w:tcPr>
          <w:p w14:paraId="038C0ADF" w14:textId="77777777" w:rsidR="00F00A02" w:rsidRDefault="0027659F">
            <w:pPr>
              <w:widowControl w:val="0"/>
              <w:tabs>
                <w:tab w:val="left" w:pos="567"/>
              </w:tabs>
              <w:rPr>
                <w:color w:val="000000"/>
                <w:sz w:val="22"/>
                <w:szCs w:val="22"/>
              </w:rPr>
            </w:pPr>
            <w:r>
              <w:rPr>
                <w:color w:val="000000"/>
                <w:sz w:val="22"/>
                <w:szCs w:val="22"/>
              </w:rPr>
              <w:t>Nedažnas</w:t>
            </w:r>
          </w:p>
        </w:tc>
        <w:tc>
          <w:tcPr>
            <w:tcW w:w="1310" w:type="dxa"/>
            <w:tcBorders>
              <w:top w:val="single" w:sz="4" w:space="0" w:color="auto"/>
              <w:left w:val="single" w:sz="4" w:space="0" w:color="auto"/>
              <w:bottom w:val="single" w:sz="4" w:space="0" w:color="auto"/>
              <w:right w:val="single" w:sz="4" w:space="0" w:color="auto"/>
            </w:tcBorders>
          </w:tcPr>
          <w:p w14:paraId="2E89D279"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hideMark/>
          </w:tcPr>
          <w:p w14:paraId="785C2E0A" w14:textId="77777777" w:rsidR="00F00A02" w:rsidRDefault="0027659F">
            <w:pPr>
              <w:widowControl w:val="0"/>
              <w:tabs>
                <w:tab w:val="left" w:pos="567"/>
              </w:tabs>
              <w:rPr>
                <w:color w:val="000000"/>
                <w:sz w:val="22"/>
                <w:szCs w:val="22"/>
              </w:rPr>
            </w:pPr>
            <w:r>
              <w:rPr>
                <w:color w:val="000000"/>
                <w:sz w:val="22"/>
                <w:szCs w:val="22"/>
              </w:rPr>
              <w:t>Dažnis nežinomas</w:t>
            </w:r>
          </w:p>
        </w:tc>
      </w:tr>
      <w:tr w:rsidR="00F00A02" w14:paraId="1F7BCFBF" w14:textId="77777777">
        <w:tc>
          <w:tcPr>
            <w:tcW w:w="2390" w:type="dxa"/>
            <w:tcBorders>
              <w:top w:val="single" w:sz="4" w:space="0" w:color="auto"/>
              <w:left w:val="single" w:sz="4" w:space="0" w:color="auto"/>
              <w:bottom w:val="single" w:sz="4" w:space="0" w:color="auto"/>
              <w:right w:val="single" w:sz="4" w:space="0" w:color="auto"/>
            </w:tcBorders>
            <w:hideMark/>
          </w:tcPr>
          <w:p w14:paraId="77D1D6C7" w14:textId="77777777" w:rsidR="00F00A02" w:rsidRDefault="0027659F">
            <w:pPr>
              <w:widowControl w:val="0"/>
              <w:tabs>
                <w:tab w:val="left" w:pos="567"/>
              </w:tabs>
              <w:rPr>
                <w:color w:val="000000"/>
                <w:sz w:val="22"/>
                <w:szCs w:val="22"/>
              </w:rPr>
            </w:pPr>
            <w:r>
              <w:rPr>
                <w:color w:val="000000"/>
                <w:sz w:val="22"/>
                <w:szCs w:val="22"/>
              </w:rPr>
              <w:t>Išbėrimas</w:t>
            </w:r>
          </w:p>
        </w:tc>
        <w:tc>
          <w:tcPr>
            <w:tcW w:w="1326" w:type="dxa"/>
            <w:tcBorders>
              <w:top w:val="single" w:sz="4" w:space="0" w:color="auto"/>
              <w:left w:val="single" w:sz="4" w:space="0" w:color="auto"/>
              <w:bottom w:val="single" w:sz="4" w:space="0" w:color="auto"/>
              <w:right w:val="single" w:sz="4" w:space="0" w:color="auto"/>
            </w:tcBorders>
            <w:hideMark/>
          </w:tcPr>
          <w:p w14:paraId="4829882E" w14:textId="77777777" w:rsidR="00F00A02" w:rsidRDefault="0027659F">
            <w:pPr>
              <w:widowControl w:val="0"/>
              <w:tabs>
                <w:tab w:val="left" w:pos="567"/>
              </w:tabs>
              <w:rPr>
                <w:color w:val="000000"/>
                <w:sz w:val="22"/>
                <w:szCs w:val="22"/>
              </w:rPr>
            </w:pPr>
            <w:r>
              <w:rPr>
                <w:color w:val="000000"/>
                <w:sz w:val="22"/>
                <w:szCs w:val="22"/>
              </w:rPr>
              <w:t>Nedažnas</w:t>
            </w:r>
          </w:p>
        </w:tc>
        <w:tc>
          <w:tcPr>
            <w:tcW w:w="1310" w:type="dxa"/>
            <w:tcBorders>
              <w:top w:val="single" w:sz="4" w:space="0" w:color="auto"/>
              <w:left w:val="single" w:sz="4" w:space="0" w:color="auto"/>
              <w:bottom w:val="single" w:sz="4" w:space="0" w:color="auto"/>
              <w:right w:val="single" w:sz="4" w:space="0" w:color="auto"/>
            </w:tcBorders>
          </w:tcPr>
          <w:p w14:paraId="7C5A1829"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hideMark/>
          </w:tcPr>
          <w:p w14:paraId="275DD9BA" w14:textId="77777777" w:rsidR="00F00A02" w:rsidRDefault="0027659F">
            <w:pPr>
              <w:widowControl w:val="0"/>
              <w:tabs>
                <w:tab w:val="left" w:pos="567"/>
              </w:tabs>
              <w:rPr>
                <w:color w:val="000000"/>
                <w:sz w:val="22"/>
                <w:szCs w:val="22"/>
              </w:rPr>
            </w:pPr>
            <w:r>
              <w:rPr>
                <w:color w:val="000000"/>
                <w:sz w:val="22"/>
                <w:szCs w:val="22"/>
              </w:rPr>
              <w:t>Nedažnas</w:t>
            </w:r>
          </w:p>
        </w:tc>
        <w:tc>
          <w:tcPr>
            <w:tcW w:w="1310" w:type="dxa"/>
            <w:tcBorders>
              <w:top w:val="single" w:sz="4" w:space="0" w:color="auto"/>
              <w:left w:val="single" w:sz="4" w:space="0" w:color="auto"/>
              <w:bottom w:val="single" w:sz="4" w:space="0" w:color="auto"/>
              <w:right w:val="single" w:sz="4" w:space="0" w:color="auto"/>
            </w:tcBorders>
          </w:tcPr>
          <w:p w14:paraId="56767FB9"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hideMark/>
          </w:tcPr>
          <w:p w14:paraId="1B0EBD2B" w14:textId="77777777" w:rsidR="00F00A02" w:rsidRDefault="0027659F">
            <w:pPr>
              <w:widowControl w:val="0"/>
              <w:tabs>
                <w:tab w:val="left" w:pos="567"/>
              </w:tabs>
              <w:rPr>
                <w:color w:val="000000"/>
                <w:sz w:val="22"/>
                <w:szCs w:val="22"/>
              </w:rPr>
            </w:pPr>
            <w:r>
              <w:rPr>
                <w:color w:val="000000"/>
                <w:sz w:val="22"/>
                <w:szCs w:val="22"/>
              </w:rPr>
              <w:t>Dažnis nežinomas</w:t>
            </w:r>
          </w:p>
        </w:tc>
      </w:tr>
      <w:tr w:rsidR="00F00A02" w14:paraId="07B853EB" w14:textId="77777777">
        <w:tc>
          <w:tcPr>
            <w:tcW w:w="2390" w:type="dxa"/>
            <w:tcBorders>
              <w:top w:val="single" w:sz="4" w:space="0" w:color="auto"/>
              <w:left w:val="single" w:sz="4" w:space="0" w:color="auto"/>
              <w:bottom w:val="single" w:sz="4" w:space="0" w:color="auto"/>
              <w:right w:val="single" w:sz="4" w:space="0" w:color="auto"/>
            </w:tcBorders>
            <w:hideMark/>
          </w:tcPr>
          <w:p w14:paraId="6BDDA3E8" w14:textId="77777777" w:rsidR="00F00A02" w:rsidRDefault="0027659F">
            <w:pPr>
              <w:widowControl w:val="0"/>
              <w:tabs>
                <w:tab w:val="left" w:pos="567"/>
              </w:tabs>
              <w:rPr>
                <w:color w:val="000000"/>
                <w:sz w:val="22"/>
                <w:szCs w:val="22"/>
              </w:rPr>
            </w:pPr>
            <w:r>
              <w:rPr>
                <w:color w:val="000000"/>
                <w:sz w:val="22"/>
                <w:szCs w:val="22"/>
              </w:rPr>
              <w:t>Jautrumas šviesai</w:t>
            </w:r>
          </w:p>
        </w:tc>
        <w:tc>
          <w:tcPr>
            <w:tcW w:w="1326" w:type="dxa"/>
            <w:tcBorders>
              <w:top w:val="single" w:sz="4" w:space="0" w:color="auto"/>
              <w:left w:val="single" w:sz="4" w:space="0" w:color="auto"/>
              <w:bottom w:val="single" w:sz="4" w:space="0" w:color="auto"/>
              <w:right w:val="single" w:sz="4" w:space="0" w:color="auto"/>
            </w:tcBorders>
          </w:tcPr>
          <w:p w14:paraId="30E5ED19"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7FC5AE9F"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tcPr>
          <w:p w14:paraId="5DC90218"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03624823"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hideMark/>
          </w:tcPr>
          <w:p w14:paraId="6C760C07" w14:textId="77777777" w:rsidR="00F00A02" w:rsidRDefault="0027659F">
            <w:pPr>
              <w:widowControl w:val="0"/>
              <w:tabs>
                <w:tab w:val="left" w:pos="567"/>
              </w:tabs>
              <w:rPr>
                <w:color w:val="000000"/>
                <w:sz w:val="22"/>
                <w:szCs w:val="22"/>
              </w:rPr>
            </w:pPr>
            <w:r>
              <w:rPr>
                <w:color w:val="000000"/>
                <w:sz w:val="22"/>
                <w:szCs w:val="22"/>
              </w:rPr>
              <w:t>Dažnis nežinomas</w:t>
            </w:r>
          </w:p>
        </w:tc>
      </w:tr>
      <w:tr w:rsidR="00F00A02" w14:paraId="2C00B01B" w14:textId="77777777">
        <w:tc>
          <w:tcPr>
            <w:tcW w:w="9287" w:type="dxa"/>
            <w:gridSpan w:val="6"/>
            <w:tcBorders>
              <w:top w:val="single" w:sz="4" w:space="0" w:color="auto"/>
              <w:left w:val="single" w:sz="4" w:space="0" w:color="auto"/>
              <w:bottom w:val="single" w:sz="4" w:space="0" w:color="auto"/>
              <w:right w:val="single" w:sz="4" w:space="0" w:color="auto"/>
            </w:tcBorders>
            <w:hideMark/>
          </w:tcPr>
          <w:p w14:paraId="45781D16" w14:textId="77777777" w:rsidR="00F00A02" w:rsidRDefault="0027659F">
            <w:pPr>
              <w:widowControl w:val="0"/>
              <w:tabs>
                <w:tab w:val="left" w:pos="567"/>
              </w:tabs>
              <w:rPr>
                <w:bCs/>
                <w:i/>
                <w:iCs/>
                <w:color w:val="000000"/>
                <w:sz w:val="22"/>
                <w:szCs w:val="22"/>
              </w:rPr>
            </w:pPr>
            <w:r>
              <w:rPr>
                <w:bCs/>
                <w:i/>
                <w:iCs/>
                <w:color w:val="000000"/>
                <w:sz w:val="22"/>
                <w:szCs w:val="22"/>
              </w:rPr>
              <w:t>Skeleto, raumenų ir jungiamojo audinio sutrikimai</w:t>
            </w:r>
          </w:p>
        </w:tc>
      </w:tr>
      <w:tr w:rsidR="00F00A02" w14:paraId="2F7CC709" w14:textId="77777777">
        <w:tc>
          <w:tcPr>
            <w:tcW w:w="2390" w:type="dxa"/>
            <w:tcBorders>
              <w:top w:val="single" w:sz="4" w:space="0" w:color="auto"/>
              <w:left w:val="single" w:sz="4" w:space="0" w:color="auto"/>
              <w:bottom w:val="single" w:sz="4" w:space="0" w:color="auto"/>
              <w:right w:val="single" w:sz="4" w:space="0" w:color="auto"/>
            </w:tcBorders>
            <w:hideMark/>
          </w:tcPr>
          <w:p w14:paraId="3170D0DA" w14:textId="77777777" w:rsidR="00F00A02" w:rsidRDefault="0027659F">
            <w:pPr>
              <w:widowControl w:val="0"/>
              <w:tabs>
                <w:tab w:val="left" w:pos="567"/>
              </w:tabs>
              <w:rPr>
                <w:color w:val="000000"/>
                <w:sz w:val="22"/>
                <w:szCs w:val="22"/>
              </w:rPr>
            </w:pPr>
            <w:r>
              <w:rPr>
                <w:color w:val="000000"/>
                <w:sz w:val="22"/>
                <w:szCs w:val="22"/>
              </w:rPr>
              <w:t>Mialgija</w:t>
            </w:r>
          </w:p>
        </w:tc>
        <w:tc>
          <w:tcPr>
            <w:tcW w:w="1326" w:type="dxa"/>
            <w:tcBorders>
              <w:top w:val="single" w:sz="4" w:space="0" w:color="auto"/>
              <w:left w:val="single" w:sz="4" w:space="0" w:color="auto"/>
              <w:bottom w:val="single" w:sz="4" w:space="0" w:color="auto"/>
              <w:right w:val="single" w:sz="4" w:space="0" w:color="auto"/>
            </w:tcBorders>
          </w:tcPr>
          <w:p w14:paraId="50091B41"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08676136"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tcPr>
          <w:p w14:paraId="01090ADF"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52F2AD9B"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hideMark/>
          </w:tcPr>
          <w:p w14:paraId="42FAEDAC" w14:textId="77777777" w:rsidR="00F00A02" w:rsidRDefault="0027659F">
            <w:pPr>
              <w:widowControl w:val="0"/>
              <w:tabs>
                <w:tab w:val="left" w:pos="567"/>
              </w:tabs>
              <w:rPr>
                <w:color w:val="000000"/>
                <w:sz w:val="22"/>
                <w:szCs w:val="22"/>
              </w:rPr>
            </w:pPr>
            <w:r>
              <w:rPr>
                <w:color w:val="000000"/>
                <w:sz w:val="22"/>
                <w:szCs w:val="22"/>
              </w:rPr>
              <w:t>Dažnis nežinomas</w:t>
            </w:r>
          </w:p>
        </w:tc>
      </w:tr>
      <w:tr w:rsidR="00F00A02" w14:paraId="5C62AB16" w14:textId="77777777">
        <w:tc>
          <w:tcPr>
            <w:tcW w:w="2390" w:type="dxa"/>
            <w:tcBorders>
              <w:top w:val="single" w:sz="4" w:space="0" w:color="auto"/>
              <w:left w:val="single" w:sz="4" w:space="0" w:color="auto"/>
              <w:bottom w:val="single" w:sz="4" w:space="0" w:color="auto"/>
              <w:right w:val="single" w:sz="4" w:space="0" w:color="auto"/>
            </w:tcBorders>
            <w:hideMark/>
          </w:tcPr>
          <w:p w14:paraId="60EC7F28" w14:textId="77777777" w:rsidR="00F00A02" w:rsidRDefault="0027659F">
            <w:pPr>
              <w:widowControl w:val="0"/>
              <w:tabs>
                <w:tab w:val="left" w:pos="567"/>
              </w:tabs>
              <w:rPr>
                <w:color w:val="000000"/>
                <w:sz w:val="22"/>
                <w:szCs w:val="22"/>
              </w:rPr>
            </w:pPr>
            <w:r>
              <w:rPr>
                <w:color w:val="000000"/>
                <w:sz w:val="22"/>
                <w:szCs w:val="22"/>
              </w:rPr>
              <w:t>Atralgija</w:t>
            </w:r>
          </w:p>
        </w:tc>
        <w:tc>
          <w:tcPr>
            <w:tcW w:w="1326" w:type="dxa"/>
            <w:tcBorders>
              <w:top w:val="single" w:sz="4" w:space="0" w:color="auto"/>
              <w:left w:val="single" w:sz="4" w:space="0" w:color="auto"/>
              <w:bottom w:val="single" w:sz="4" w:space="0" w:color="auto"/>
              <w:right w:val="single" w:sz="4" w:space="0" w:color="auto"/>
            </w:tcBorders>
          </w:tcPr>
          <w:p w14:paraId="6BD70808"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335C0754"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tcPr>
          <w:p w14:paraId="6C91F50F"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36732E98"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hideMark/>
          </w:tcPr>
          <w:p w14:paraId="7BCF57A7" w14:textId="77777777" w:rsidR="00F00A02" w:rsidRDefault="0027659F">
            <w:pPr>
              <w:widowControl w:val="0"/>
              <w:tabs>
                <w:tab w:val="left" w:pos="567"/>
              </w:tabs>
              <w:rPr>
                <w:color w:val="000000"/>
                <w:sz w:val="22"/>
                <w:szCs w:val="22"/>
              </w:rPr>
            </w:pPr>
            <w:r>
              <w:rPr>
                <w:color w:val="000000"/>
                <w:sz w:val="22"/>
                <w:szCs w:val="22"/>
              </w:rPr>
              <w:t>Dažnis nežinomas</w:t>
            </w:r>
          </w:p>
        </w:tc>
      </w:tr>
      <w:tr w:rsidR="00F00A02" w14:paraId="0B2CDB8E" w14:textId="77777777">
        <w:tc>
          <w:tcPr>
            <w:tcW w:w="2390" w:type="dxa"/>
            <w:tcBorders>
              <w:top w:val="single" w:sz="4" w:space="0" w:color="auto"/>
              <w:left w:val="single" w:sz="4" w:space="0" w:color="auto"/>
              <w:bottom w:val="single" w:sz="4" w:space="0" w:color="auto"/>
              <w:right w:val="single" w:sz="4" w:space="0" w:color="auto"/>
            </w:tcBorders>
            <w:hideMark/>
          </w:tcPr>
          <w:p w14:paraId="504A49ED" w14:textId="77777777" w:rsidR="00F00A02" w:rsidRDefault="0027659F">
            <w:pPr>
              <w:widowControl w:val="0"/>
              <w:tabs>
                <w:tab w:val="left" w:pos="567"/>
              </w:tabs>
              <w:rPr>
                <w:color w:val="000000"/>
                <w:sz w:val="22"/>
                <w:szCs w:val="22"/>
              </w:rPr>
            </w:pPr>
            <w:r>
              <w:rPr>
                <w:color w:val="000000"/>
                <w:sz w:val="22"/>
                <w:szCs w:val="22"/>
              </w:rPr>
              <w:t>Rabdomiolizė</w:t>
            </w:r>
          </w:p>
        </w:tc>
        <w:tc>
          <w:tcPr>
            <w:tcW w:w="1326" w:type="dxa"/>
            <w:tcBorders>
              <w:top w:val="single" w:sz="4" w:space="0" w:color="auto"/>
              <w:left w:val="single" w:sz="4" w:space="0" w:color="auto"/>
              <w:bottom w:val="single" w:sz="4" w:space="0" w:color="auto"/>
              <w:right w:val="single" w:sz="4" w:space="0" w:color="auto"/>
            </w:tcBorders>
          </w:tcPr>
          <w:p w14:paraId="4D02E842"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0394F9AE"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tcPr>
          <w:p w14:paraId="053B498D"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4E8168AF"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hideMark/>
          </w:tcPr>
          <w:p w14:paraId="5599DFD5" w14:textId="77777777" w:rsidR="00F00A02" w:rsidRDefault="0027659F">
            <w:pPr>
              <w:widowControl w:val="0"/>
              <w:tabs>
                <w:tab w:val="left" w:pos="567"/>
              </w:tabs>
              <w:rPr>
                <w:color w:val="000000"/>
                <w:sz w:val="22"/>
                <w:szCs w:val="22"/>
              </w:rPr>
            </w:pPr>
            <w:r>
              <w:rPr>
                <w:color w:val="000000"/>
                <w:sz w:val="22"/>
                <w:szCs w:val="22"/>
              </w:rPr>
              <w:t>Dažnis nežinomas</w:t>
            </w:r>
          </w:p>
        </w:tc>
      </w:tr>
      <w:tr w:rsidR="00F00A02" w14:paraId="488DD0A2" w14:textId="77777777">
        <w:tc>
          <w:tcPr>
            <w:tcW w:w="9287" w:type="dxa"/>
            <w:gridSpan w:val="6"/>
            <w:tcBorders>
              <w:top w:val="single" w:sz="4" w:space="0" w:color="auto"/>
              <w:left w:val="single" w:sz="4" w:space="0" w:color="auto"/>
              <w:bottom w:val="single" w:sz="4" w:space="0" w:color="auto"/>
              <w:right w:val="single" w:sz="4" w:space="0" w:color="auto"/>
            </w:tcBorders>
            <w:hideMark/>
          </w:tcPr>
          <w:p w14:paraId="52EF7CA6" w14:textId="77777777" w:rsidR="00F00A02" w:rsidRDefault="0027659F">
            <w:pPr>
              <w:widowControl w:val="0"/>
              <w:tabs>
                <w:tab w:val="left" w:pos="567"/>
              </w:tabs>
              <w:rPr>
                <w:bCs/>
                <w:i/>
                <w:iCs/>
                <w:color w:val="000000"/>
                <w:sz w:val="22"/>
                <w:szCs w:val="22"/>
              </w:rPr>
            </w:pPr>
            <w:r>
              <w:rPr>
                <w:bCs/>
                <w:i/>
                <w:iCs/>
                <w:color w:val="000000"/>
                <w:sz w:val="22"/>
                <w:szCs w:val="22"/>
              </w:rPr>
              <w:t>Inkstų ir šlapimo takų sutrikimai</w:t>
            </w:r>
          </w:p>
        </w:tc>
      </w:tr>
      <w:tr w:rsidR="00F00A02" w14:paraId="19C96AAE" w14:textId="77777777">
        <w:tc>
          <w:tcPr>
            <w:tcW w:w="2390" w:type="dxa"/>
            <w:tcBorders>
              <w:top w:val="single" w:sz="4" w:space="0" w:color="auto"/>
              <w:left w:val="single" w:sz="4" w:space="0" w:color="auto"/>
              <w:bottom w:val="single" w:sz="4" w:space="0" w:color="auto"/>
              <w:right w:val="single" w:sz="4" w:space="0" w:color="auto"/>
            </w:tcBorders>
            <w:hideMark/>
          </w:tcPr>
          <w:p w14:paraId="0389B903" w14:textId="77777777" w:rsidR="00F00A02" w:rsidRDefault="0027659F">
            <w:pPr>
              <w:widowControl w:val="0"/>
              <w:tabs>
                <w:tab w:val="left" w:pos="567"/>
              </w:tabs>
              <w:rPr>
                <w:color w:val="000000"/>
                <w:sz w:val="22"/>
                <w:szCs w:val="22"/>
              </w:rPr>
            </w:pPr>
            <w:r>
              <w:rPr>
                <w:color w:val="000000"/>
                <w:sz w:val="22"/>
                <w:szCs w:val="22"/>
              </w:rPr>
              <w:t>Inkstų funkcijos sutrikimas</w:t>
            </w:r>
          </w:p>
        </w:tc>
        <w:tc>
          <w:tcPr>
            <w:tcW w:w="1326" w:type="dxa"/>
            <w:tcBorders>
              <w:top w:val="single" w:sz="4" w:space="0" w:color="auto"/>
              <w:left w:val="single" w:sz="4" w:space="0" w:color="auto"/>
              <w:bottom w:val="single" w:sz="4" w:space="0" w:color="auto"/>
              <w:right w:val="single" w:sz="4" w:space="0" w:color="auto"/>
            </w:tcBorders>
          </w:tcPr>
          <w:p w14:paraId="558B599E"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5DF9DEB5"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hideMark/>
          </w:tcPr>
          <w:p w14:paraId="55E1BD90" w14:textId="77777777" w:rsidR="00F00A02" w:rsidRDefault="0027659F">
            <w:pPr>
              <w:widowControl w:val="0"/>
              <w:tabs>
                <w:tab w:val="left" w:pos="567"/>
              </w:tabs>
              <w:rPr>
                <w:color w:val="000000"/>
                <w:sz w:val="22"/>
                <w:szCs w:val="22"/>
              </w:rPr>
            </w:pPr>
            <w:r>
              <w:rPr>
                <w:color w:val="000000"/>
                <w:sz w:val="22"/>
                <w:szCs w:val="22"/>
              </w:rPr>
              <w:t>Dažnas</w:t>
            </w:r>
          </w:p>
        </w:tc>
        <w:tc>
          <w:tcPr>
            <w:tcW w:w="1310" w:type="dxa"/>
            <w:tcBorders>
              <w:top w:val="single" w:sz="4" w:space="0" w:color="auto"/>
              <w:left w:val="single" w:sz="4" w:space="0" w:color="auto"/>
              <w:bottom w:val="single" w:sz="4" w:space="0" w:color="auto"/>
              <w:right w:val="single" w:sz="4" w:space="0" w:color="auto"/>
            </w:tcBorders>
          </w:tcPr>
          <w:p w14:paraId="50322829"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tcPr>
          <w:p w14:paraId="2F3B877C" w14:textId="77777777" w:rsidR="00F00A02" w:rsidRDefault="00F00A02">
            <w:pPr>
              <w:widowControl w:val="0"/>
              <w:tabs>
                <w:tab w:val="left" w:pos="567"/>
              </w:tabs>
              <w:rPr>
                <w:color w:val="000000"/>
                <w:sz w:val="22"/>
                <w:szCs w:val="22"/>
              </w:rPr>
            </w:pPr>
          </w:p>
        </w:tc>
      </w:tr>
      <w:tr w:rsidR="00F00A02" w14:paraId="6B28FA81" w14:textId="77777777">
        <w:tc>
          <w:tcPr>
            <w:tcW w:w="2390" w:type="dxa"/>
            <w:tcBorders>
              <w:top w:val="single" w:sz="4" w:space="0" w:color="auto"/>
              <w:left w:val="single" w:sz="4" w:space="0" w:color="auto"/>
              <w:bottom w:val="single" w:sz="4" w:space="0" w:color="auto"/>
              <w:right w:val="single" w:sz="4" w:space="0" w:color="auto"/>
            </w:tcBorders>
            <w:hideMark/>
          </w:tcPr>
          <w:p w14:paraId="5F0E4563" w14:textId="77777777" w:rsidR="00F00A02" w:rsidRDefault="0027659F">
            <w:pPr>
              <w:widowControl w:val="0"/>
              <w:tabs>
                <w:tab w:val="left" w:pos="567"/>
              </w:tabs>
              <w:rPr>
                <w:color w:val="000000"/>
                <w:sz w:val="22"/>
                <w:szCs w:val="22"/>
              </w:rPr>
            </w:pPr>
            <w:r>
              <w:rPr>
                <w:color w:val="000000"/>
                <w:sz w:val="22"/>
                <w:szCs w:val="22"/>
              </w:rPr>
              <w:t>Inkstų nepakankamumas</w:t>
            </w:r>
          </w:p>
        </w:tc>
        <w:tc>
          <w:tcPr>
            <w:tcW w:w="1326" w:type="dxa"/>
            <w:tcBorders>
              <w:top w:val="single" w:sz="4" w:space="0" w:color="auto"/>
              <w:left w:val="single" w:sz="4" w:space="0" w:color="auto"/>
              <w:bottom w:val="single" w:sz="4" w:space="0" w:color="auto"/>
              <w:right w:val="single" w:sz="4" w:space="0" w:color="auto"/>
            </w:tcBorders>
          </w:tcPr>
          <w:p w14:paraId="4188DF4D"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3AEB5BDF"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hideMark/>
          </w:tcPr>
          <w:p w14:paraId="72305E1D" w14:textId="77777777" w:rsidR="00F00A02" w:rsidRDefault="0027659F">
            <w:pPr>
              <w:widowControl w:val="0"/>
              <w:tabs>
                <w:tab w:val="left" w:pos="567"/>
              </w:tabs>
              <w:rPr>
                <w:color w:val="000000"/>
                <w:sz w:val="22"/>
                <w:szCs w:val="22"/>
              </w:rPr>
            </w:pPr>
            <w:r>
              <w:rPr>
                <w:color w:val="000000"/>
                <w:sz w:val="22"/>
                <w:szCs w:val="22"/>
              </w:rPr>
              <w:t>Dažnas</w:t>
            </w:r>
          </w:p>
        </w:tc>
        <w:tc>
          <w:tcPr>
            <w:tcW w:w="1310" w:type="dxa"/>
            <w:tcBorders>
              <w:top w:val="single" w:sz="4" w:space="0" w:color="auto"/>
              <w:left w:val="single" w:sz="4" w:space="0" w:color="auto"/>
              <w:bottom w:val="single" w:sz="4" w:space="0" w:color="auto"/>
              <w:right w:val="single" w:sz="4" w:space="0" w:color="auto"/>
            </w:tcBorders>
          </w:tcPr>
          <w:p w14:paraId="44977226"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tcPr>
          <w:p w14:paraId="01030023" w14:textId="77777777" w:rsidR="00F00A02" w:rsidRDefault="00F00A02">
            <w:pPr>
              <w:widowControl w:val="0"/>
              <w:tabs>
                <w:tab w:val="left" w:pos="567"/>
              </w:tabs>
              <w:rPr>
                <w:color w:val="000000"/>
                <w:sz w:val="22"/>
                <w:szCs w:val="22"/>
              </w:rPr>
            </w:pPr>
          </w:p>
        </w:tc>
      </w:tr>
      <w:tr w:rsidR="00F00A02" w14:paraId="2BDFD7D3" w14:textId="77777777">
        <w:tc>
          <w:tcPr>
            <w:tcW w:w="9287" w:type="dxa"/>
            <w:gridSpan w:val="6"/>
            <w:tcBorders>
              <w:top w:val="single" w:sz="4" w:space="0" w:color="auto"/>
              <w:left w:val="single" w:sz="4" w:space="0" w:color="auto"/>
              <w:bottom w:val="single" w:sz="4" w:space="0" w:color="auto"/>
              <w:right w:val="single" w:sz="4" w:space="0" w:color="auto"/>
            </w:tcBorders>
            <w:hideMark/>
          </w:tcPr>
          <w:p w14:paraId="1E1F251F" w14:textId="77777777" w:rsidR="00F00A02" w:rsidRDefault="0027659F">
            <w:pPr>
              <w:widowControl w:val="0"/>
              <w:tabs>
                <w:tab w:val="left" w:pos="567"/>
              </w:tabs>
              <w:rPr>
                <w:bCs/>
                <w:i/>
                <w:iCs/>
                <w:color w:val="000000"/>
                <w:sz w:val="22"/>
                <w:szCs w:val="22"/>
              </w:rPr>
            </w:pPr>
            <w:r>
              <w:rPr>
                <w:bCs/>
                <w:i/>
                <w:iCs/>
                <w:color w:val="000000"/>
                <w:sz w:val="22"/>
                <w:szCs w:val="22"/>
              </w:rPr>
              <w:t>Lytinės sistemos ir krūties sutrikimai</w:t>
            </w:r>
          </w:p>
        </w:tc>
      </w:tr>
      <w:tr w:rsidR="00F00A02" w14:paraId="45900A74" w14:textId="77777777">
        <w:tc>
          <w:tcPr>
            <w:tcW w:w="2390" w:type="dxa"/>
            <w:tcBorders>
              <w:top w:val="single" w:sz="4" w:space="0" w:color="auto"/>
              <w:left w:val="single" w:sz="4" w:space="0" w:color="auto"/>
              <w:bottom w:val="single" w:sz="4" w:space="0" w:color="auto"/>
              <w:right w:val="single" w:sz="4" w:space="0" w:color="auto"/>
            </w:tcBorders>
            <w:hideMark/>
          </w:tcPr>
          <w:p w14:paraId="45679105" w14:textId="77777777" w:rsidR="00F00A02" w:rsidRDefault="0027659F">
            <w:pPr>
              <w:widowControl w:val="0"/>
              <w:tabs>
                <w:tab w:val="left" w:pos="567"/>
              </w:tabs>
              <w:rPr>
                <w:color w:val="000000"/>
                <w:sz w:val="22"/>
                <w:szCs w:val="22"/>
              </w:rPr>
            </w:pPr>
            <w:r>
              <w:rPr>
                <w:color w:val="000000"/>
                <w:sz w:val="22"/>
                <w:szCs w:val="22"/>
              </w:rPr>
              <w:t>Erekcijos sutrikimas/ impotencija</w:t>
            </w:r>
          </w:p>
        </w:tc>
        <w:tc>
          <w:tcPr>
            <w:tcW w:w="1326" w:type="dxa"/>
            <w:tcBorders>
              <w:top w:val="single" w:sz="4" w:space="0" w:color="auto"/>
              <w:left w:val="single" w:sz="4" w:space="0" w:color="auto"/>
              <w:bottom w:val="single" w:sz="4" w:space="0" w:color="auto"/>
              <w:right w:val="single" w:sz="4" w:space="0" w:color="auto"/>
            </w:tcBorders>
          </w:tcPr>
          <w:p w14:paraId="31333EB7"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15F9BA6A"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tcPr>
          <w:p w14:paraId="2871365F"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1A3FA764"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hideMark/>
          </w:tcPr>
          <w:p w14:paraId="170568BE" w14:textId="77777777" w:rsidR="00F00A02" w:rsidRDefault="0027659F">
            <w:pPr>
              <w:widowControl w:val="0"/>
              <w:tabs>
                <w:tab w:val="left" w:pos="567"/>
              </w:tabs>
              <w:rPr>
                <w:color w:val="000000"/>
                <w:sz w:val="22"/>
                <w:szCs w:val="22"/>
              </w:rPr>
            </w:pPr>
            <w:r>
              <w:rPr>
                <w:color w:val="000000"/>
                <w:sz w:val="22"/>
                <w:szCs w:val="22"/>
              </w:rPr>
              <w:t>Dažnis nežinomas</w:t>
            </w:r>
          </w:p>
        </w:tc>
      </w:tr>
      <w:tr w:rsidR="00F00A02" w14:paraId="5D753756" w14:textId="77777777">
        <w:tc>
          <w:tcPr>
            <w:tcW w:w="9287" w:type="dxa"/>
            <w:gridSpan w:val="6"/>
            <w:tcBorders>
              <w:top w:val="single" w:sz="4" w:space="0" w:color="auto"/>
              <w:left w:val="single" w:sz="4" w:space="0" w:color="auto"/>
              <w:bottom w:val="single" w:sz="4" w:space="0" w:color="auto"/>
              <w:right w:val="single" w:sz="4" w:space="0" w:color="auto"/>
            </w:tcBorders>
            <w:hideMark/>
          </w:tcPr>
          <w:p w14:paraId="41EDDE48" w14:textId="77777777" w:rsidR="00F00A02" w:rsidRDefault="0027659F">
            <w:pPr>
              <w:widowControl w:val="0"/>
              <w:tabs>
                <w:tab w:val="left" w:pos="567"/>
              </w:tabs>
              <w:rPr>
                <w:bCs/>
                <w:i/>
                <w:iCs/>
                <w:color w:val="000000"/>
                <w:sz w:val="22"/>
                <w:szCs w:val="22"/>
              </w:rPr>
            </w:pPr>
            <w:r>
              <w:rPr>
                <w:bCs/>
                <w:i/>
                <w:iCs/>
                <w:color w:val="000000"/>
                <w:sz w:val="22"/>
                <w:szCs w:val="22"/>
              </w:rPr>
              <w:t>Bendrieji sutrikimai ir vartojimo vietos pažeidimai</w:t>
            </w:r>
          </w:p>
        </w:tc>
      </w:tr>
      <w:tr w:rsidR="00F00A02" w14:paraId="0AA5BE7A" w14:textId="77777777">
        <w:tc>
          <w:tcPr>
            <w:tcW w:w="2390" w:type="dxa"/>
            <w:tcBorders>
              <w:top w:val="single" w:sz="4" w:space="0" w:color="auto"/>
              <w:left w:val="single" w:sz="4" w:space="0" w:color="auto"/>
              <w:bottom w:val="single" w:sz="4" w:space="0" w:color="auto"/>
              <w:right w:val="single" w:sz="4" w:space="0" w:color="auto"/>
            </w:tcBorders>
            <w:hideMark/>
          </w:tcPr>
          <w:p w14:paraId="74D8CD82" w14:textId="77777777" w:rsidR="00F00A02" w:rsidRDefault="0027659F">
            <w:pPr>
              <w:widowControl w:val="0"/>
              <w:tabs>
                <w:tab w:val="left" w:pos="567"/>
              </w:tabs>
              <w:rPr>
                <w:color w:val="000000"/>
                <w:sz w:val="22"/>
                <w:szCs w:val="22"/>
              </w:rPr>
            </w:pPr>
            <w:r>
              <w:rPr>
                <w:color w:val="000000"/>
                <w:sz w:val="22"/>
                <w:szCs w:val="22"/>
              </w:rPr>
              <w:lastRenderedPageBreak/>
              <w:t>Astenija</w:t>
            </w:r>
          </w:p>
        </w:tc>
        <w:tc>
          <w:tcPr>
            <w:tcW w:w="1326" w:type="dxa"/>
            <w:tcBorders>
              <w:top w:val="single" w:sz="4" w:space="0" w:color="auto"/>
              <w:left w:val="single" w:sz="4" w:space="0" w:color="auto"/>
              <w:bottom w:val="single" w:sz="4" w:space="0" w:color="auto"/>
              <w:right w:val="single" w:sz="4" w:space="0" w:color="auto"/>
            </w:tcBorders>
            <w:hideMark/>
          </w:tcPr>
          <w:p w14:paraId="3C50EA50" w14:textId="77777777" w:rsidR="00F00A02" w:rsidRDefault="0027659F">
            <w:pPr>
              <w:widowControl w:val="0"/>
              <w:tabs>
                <w:tab w:val="left" w:pos="567"/>
              </w:tabs>
              <w:rPr>
                <w:color w:val="000000"/>
                <w:sz w:val="22"/>
                <w:szCs w:val="22"/>
              </w:rPr>
            </w:pPr>
            <w:r>
              <w:rPr>
                <w:color w:val="000000"/>
                <w:sz w:val="22"/>
                <w:szCs w:val="22"/>
              </w:rPr>
              <w:t>Nedažnas</w:t>
            </w:r>
          </w:p>
        </w:tc>
        <w:tc>
          <w:tcPr>
            <w:tcW w:w="1310" w:type="dxa"/>
            <w:tcBorders>
              <w:top w:val="single" w:sz="4" w:space="0" w:color="auto"/>
              <w:left w:val="single" w:sz="4" w:space="0" w:color="auto"/>
              <w:bottom w:val="single" w:sz="4" w:space="0" w:color="auto"/>
              <w:right w:val="single" w:sz="4" w:space="0" w:color="auto"/>
            </w:tcBorders>
            <w:hideMark/>
          </w:tcPr>
          <w:p w14:paraId="0739E318" w14:textId="77777777" w:rsidR="00F00A02" w:rsidRDefault="0027659F">
            <w:pPr>
              <w:widowControl w:val="0"/>
              <w:tabs>
                <w:tab w:val="left" w:pos="567"/>
              </w:tabs>
              <w:rPr>
                <w:color w:val="000000"/>
                <w:sz w:val="22"/>
                <w:szCs w:val="22"/>
              </w:rPr>
            </w:pPr>
            <w:r>
              <w:rPr>
                <w:color w:val="000000"/>
                <w:sz w:val="22"/>
                <w:szCs w:val="22"/>
              </w:rPr>
              <w:t>Dažnas</w:t>
            </w:r>
          </w:p>
        </w:tc>
        <w:tc>
          <w:tcPr>
            <w:tcW w:w="1806" w:type="dxa"/>
            <w:tcBorders>
              <w:top w:val="single" w:sz="4" w:space="0" w:color="auto"/>
              <w:left w:val="single" w:sz="4" w:space="0" w:color="auto"/>
              <w:bottom w:val="single" w:sz="4" w:space="0" w:color="auto"/>
              <w:right w:val="single" w:sz="4" w:space="0" w:color="auto"/>
            </w:tcBorders>
            <w:hideMark/>
          </w:tcPr>
          <w:p w14:paraId="52C9D600" w14:textId="77777777" w:rsidR="00F00A02" w:rsidRDefault="0027659F">
            <w:pPr>
              <w:widowControl w:val="0"/>
              <w:tabs>
                <w:tab w:val="left" w:pos="567"/>
              </w:tabs>
              <w:rPr>
                <w:color w:val="000000"/>
                <w:sz w:val="22"/>
                <w:szCs w:val="22"/>
              </w:rPr>
            </w:pPr>
            <w:r>
              <w:rPr>
                <w:color w:val="000000"/>
                <w:sz w:val="22"/>
                <w:szCs w:val="22"/>
              </w:rPr>
              <w:t>Nedažnas</w:t>
            </w:r>
          </w:p>
        </w:tc>
        <w:tc>
          <w:tcPr>
            <w:tcW w:w="1310" w:type="dxa"/>
            <w:tcBorders>
              <w:top w:val="single" w:sz="4" w:space="0" w:color="auto"/>
              <w:left w:val="single" w:sz="4" w:space="0" w:color="auto"/>
              <w:bottom w:val="single" w:sz="4" w:space="0" w:color="auto"/>
              <w:right w:val="single" w:sz="4" w:space="0" w:color="auto"/>
            </w:tcBorders>
            <w:hideMark/>
          </w:tcPr>
          <w:p w14:paraId="2423A661" w14:textId="77777777" w:rsidR="00F00A02" w:rsidRDefault="0027659F">
            <w:pPr>
              <w:widowControl w:val="0"/>
              <w:tabs>
                <w:tab w:val="left" w:pos="567"/>
              </w:tabs>
              <w:rPr>
                <w:color w:val="000000"/>
                <w:sz w:val="22"/>
                <w:szCs w:val="22"/>
              </w:rPr>
            </w:pPr>
            <w:r>
              <w:rPr>
                <w:color w:val="000000"/>
                <w:sz w:val="22"/>
                <w:szCs w:val="22"/>
              </w:rPr>
              <w:t>Dažnas</w:t>
            </w:r>
          </w:p>
        </w:tc>
        <w:tc>
          <w:tcPr>
            <w:tcW w:w="1145" w:type="dxa"/>
            <w:tcBorders>
              <w:top w:val="single" w:sz="4" w:space="0" w:color="auto"/>
              <w:left w:val="single" w:sz="4" w:space="0" w:color="auto"/>
              <w:bottom w:val="single" w:sz="4" w:space="0" w:color="auto"/>
              <w:right w:val="single" w:sz="4" w:space="0" w:color="auto"/>
            </w:tcBorders>
          </w:tcPr>
          <w:p w14:paraId="06B28BB1" w14:textId="77777777" w:rsidR="00F00A02" w:rsidRDefault="00F00A02">
            <w:pPr>
              <w:widowControl w:val="0"/>
              <w:tabs>
                <w:tab w:val="left" w:pos="567"/>
              </w:tabs>
              <w:rPr>
                <w:color w:val="000000"/>
                <w:sz w:val="22"/>
                <w:szCs w:val="22"/>
              </w:rPr>
            </w:pPr>
          </w:p>
        </w:tc>
      </w:tr>
      <w:tr w:rsidR="00F00A02" w14:paraId="68B514E2" w14:textId="77777777">
        <w:tc>
          <w:tcPr>
            <w:tcW w:w="2390" w:type="dxa"/>
            <w:tcBorders>
              <w:top w:val="single" w:sz="4" w:space="0" w:color="auto"/>
              <w:left w:val="single" w:sz="4" w:space="0" w:color="auto"/>
              <w:bottom w:val="single" w:sz="4" w:space="0" w:color="auto"/>
              <w:right w:val="single" w:sz="4" w:space="0" w:color="auto"/>
            </w:tcBorders>
            <w:hideMark/>
          </w:tcPr>
          <w:p w14:paraId="1388F224" w14:textId="77777777" w:rsidR="00F00A02" w:rsidRDefault="0027659F">
            <w:pPr>
              <w:widowControl w:val="0"/>
              <w:tabs>
                <w:tab w:val="left" w:pos="567"/>
              </w:tabs>
              <w:rPr>
                <w:color w:val="000000"/>
                <w:sz w:val="22"/>
                <w:szCs w:val="22"/>
              </w:rPr>
            </w:pPr>
            <w:r>
              <w:rPr>
                <w:color w:val="000000"/>
                <w:sz w:val="22"/>
                <w:szCs w:val="22"/>
              </w:rPr>
              <w:t>Nuovargis</w:t>
            </w:r>
          </w:p>
        </w:tc>
        <w:tc>
          <w:tcPr>
            <w:tcW w:w="1326" w:type="dxa"/>
            <w:tcBorders>
              <w:top w:val="single" w:sz="4" w:space="0" w:color="auto"/>
              <w:left w:val="single" w:sz="4" w:space="0" w:color="auto"/>
              <w:bottom w:val="single" w:sz="4" w:space="0" w:color="auto"/>
              <w:right w:val="single" w:sz="4" w:space="0" w:color="auto"/>
            </w:tcBorders>
            <w:hideMark/>
          </w:tcPr>
          <w:p w14:paraId="07BDFBD0" w14:textId="77777777" w:rsidR="00F00A02" w:rsidRDefault="0027659F">
            <w:pPr>
              <w:widowControl w:val="0"/>
              <w:tabs>
                <w:tab w:val="left" w:pos="567"/>
              </w:tabs>
              <w:rPr>
                <w:color w:val="000000"/>
                <w:sz w:val="22"/>
                <w:szCs w:val="22"/>
              </w:rPr>
            </w:pPr>
            <w:r>
              <w:rPr>
                <w:color w:val="000000"/>
                <w:sz w:val="22"/>
                <w:szCs w:val="22"/>
              </w:rPr>
              <w:t>Nedažnas</w:t>
            </w:r>
          </w:p>
        </w:tc>
        <w:tc>
          <w:tcPr>
            <w:tcW w:w="1310" w:type="dxa"/>
            <w:tcBorders>
              <w:top w:val="single" w:sz="4" w:space="0" w:color="auto"/>
              <w:left w:val="single" w:sz="4" w:space="0" w:color="auto"/>
              <w:bottom w:val="single" w:sz="4" w:space="0" w:color="auto"/>
              <w:right w:val="single" w:sz="4" w:space="0" w:color="auto"/>
            </w:tcBorders>
            <w:hideMark/>
          </w:tcPr>
          <w:p w14:paraId="1E721EE6" w14:textId="77777777" w:rsidR="00F00A02" w:rsidRDefault="0027659F">
            <w:pPr>
              <w:widowControl w:val="0"/>
              <w:tabs>
                <w:tab w:val="left" w:pos="567"/>
              </w:tabs>
              <w:rPr>
                <w:color w:val="000000"/>
                <w:sz w:val="22"/>
                <w:szCs w:val="22"/>
              </w:rPr>
            </w:pPr>
            <w:r>
              <w:rPr>
                <w:color w:val="000000"/>
                <w:sz w:val="22"/>
                <w:szCs w:val="22"/>
              </w:rPr>
              <w:t>Dažnas</w:t>
            </w:r>
          </w:p>
        </w:tc>
        <w:tc>
          <w:tcPr>
            <w:tcW w:w="1806" w:type="dxa"/>
            <w:tcBorders>
              <w:top w:val="single" w:sz="4" w:space="0" w:color="auto"/>
              <w:left w:val="single" w:sz="4" w:space="0" w:color="auto"/>
              <w:bottom w:val="single" w:sz="4" w:space="0" w:color="auto"/>
              <w:right w:val="single" w:sz="4" w:space="0" w:color="auto"/>
            </w:tcBorders>
            <w:hideMark/>
          </w:tcPr>
          <w:p w14:paraId="1B182A35" w14:textId="77777777" w:rsidR="00F00A02" w:rsidRDefault="0027659F">
            <w:pPr>
              <w:widowControl w:val="0"/>
              <w:tabs>
                <w:tab w:val="left" w:pos="567"/>
              </w:tabs>
              <w:rPr>
                <w:color w:val="000000"/>
                <w:sz w:val="22"/>
                <w:szCs w:val="22"/>
              </w:rPr>
            </w:pPr>
            <w:r>
              <w:rPr>
                <w:color w:val="000000"/>
                <w:sz w:val="22"/>
                <w:szCs w:val="22"/>
              </w:rPr>
              <w:t>Nedažnas</w:t>
            </w:r>
          </w:p>
        </w:tc>
        <w:tc>
          <w:tcPr>
            <w:tcW w:w="1310" w:type="dxa"/>
            <w:tcBorders>
              <w:top w:val="single" w:sz="4" w:space="0" w:color="auto"/>
              <w:left w:val="single" w:sz="4" w:space="0" w:color="auto"/>
              <w:bottom w:val="single" w:sz="4" w:space="0" w:color="auto"/>
              <w:right w:val="single" w:sz="4" w:space="0" w:color="auto"/>
            </w:tcBorders>
            <w:hideMark/>
          </w:tcPr>
          <w:p w14:paraId="09180621" w14:textId="77777777" w:rsidR="00F00A02" w:rsidRDefault="0027659F">
            <w:pPr>
              <w:widowControl w:val="0"/>
              <w:tabs>
                <w:tab w:val="left" w:pos="567"/>
              </w:tabs>
              <w:rPr>
                <w:color w:val="000000"/>
                <w:sz w:val="22"/>
                <w:szCs w:val="22"/>
              </w:rPr>
            </w:pPr>
            <w:r>
              <w:rPr>
                <w:color w:val="000000"/>
                <w:sz w:val="22"/>
                <w:szCs w:val="22"/>
              </w:rPr>
              <w:t>Dažnas</w:t>
            </w:r>
          </w:p>
        </w:tc>
        <w:tc>
          <w:tcPr>
            <w:tcW w:w="1145" w:type="dxa"/>
            <w:tcBorders>
              <w:top w:val="single" w:sz="4" w:space="0" w:color="auto"/>
              <w:left w:val="single" w:sz="4" w:space="0" w:color="auto"/>
              <w:bottom w:val="single" w:sz="4" w:space="0" w:color="auto"/>
              <w:right w:val="single" w:sz="4" w:space="0" w:color="auto"/>
            </w:tcBorders>
          </w:tcPr>
          <w:p w14:paraId="79AFCF6A" w14:textId="77777777" w:rsidR="00F00A02" w:rsidRDefault="00F00A02">
            <w:pPr>
              <w:widowControl w:val="0"/>
              <w:tabs>
                <w:tab w:val="left" w:pos="567"/>
              </w:tabs>
              <w:rPr>
                <w:color w:val="000000"/>
                <w:sz w:val="22"/>
                <w:szCs w:val="22"/>
              </w:rPr>
            </w:pPr>
          </w:p>
        </w:tc>
      </w:tr>
      <w:tr w:rsidR="00F00A02" w14:paraId="19D1B12F" w14:textId="77777777">
        <w:tc>
          <w:tcPr>
            <w:tcW w:w="2390" w:type="dxa"/>
            <w:tcBorders>
              <w:top w:val="single" w:sz="4" w:space="0" w:color="auto"/>
              <w:left w:val="single" w:sz="4" w:space="0" w:color="auto"/>
              <w:bottom w:val="single" w:sz="4" w:space="0" w:color="auto"/>
              <w:right w:val="single" w:sz="4" w:space="0" w:color="auto"/>
            </w:tcBorders>
            <w:hideMark/>
          </w:tcPr>
          <w:p w14:paraId="05EF1A37" w14:textId="77777777" w:rsidR="00F00A02" w:rsidRDefault="0027659F">
            <w:pPr>
              <w:widowControl w:val="0"/>
              <w:tabs>
                <w:tab w:val="left" w:pos="567"/>
              </w:tabs>
              <w:rPr>
                <w:color w:val="000000"/>
                <w:sz w:val="22"/>
                <w:szCs w:val="22"/>
              </w:rPr>
            </w:pPr>
            <w:r>
              <w:rPr>
                <w:color w:val="000000"/>
                <w:sz w:val="22"/>
                <w:szCs w:val="22"/>
              </w:rPr>
              <w:t>Edema</w:t>
            </w:r>
          </w:p>
        </w:tc>
        <w:tc>
          <w:tcPr>
            <w:tcW w:w="1326" w:type="dxa"/>
            <w:tcBorders>
              <w:top w:val="single" w:sz="4" w:space="0" w:color="auto"/>
              <w:left w:val="single" w:sz="4" w:space="0" w:color="auto"/>
              <w:bottom w:val="single" w:sz="4" w:space="0" w:color="auto"/>
              <w:right w:val="single" w:sz="4" w:space="0" w:color="auto"/>
            </w:tcBorders>
            <w:hideMark/>
          </w:tcPr>
          <w:p w14:paraId="40CD69FA" w14:textId="77777777" w:rsidR="00F00A02" w:rsidRDefault="0027659F">
            <w:pPr>
              <w:widowControl w:val="0"/>
              <w:tabs>
                <w:tab w:val="left" w:pos="567"/>
              </w:tabs>
              <w:rPr>
                <w:color w:val="000000"/>
                <w:sz w:val="22"/>
                <w:szCs w:val="22"/>
              </w:rPr>
            </w:pPr>
            <w:r>
              <w:rPr>
                <w:color w:val="000000"/>
                <w:sz w:val="22"/>
                <w:szCs w:val="22"/>
              </w:rPr>
              <w:t>Nedažnas</w:t>
            </w:r>
          </w:p>
        </w:tc>
        <w:tc>
          <w:tcPr>
            <w:tcW w:w="1310" w:type="dxa"/>
            <w:tcBorders>
              <w:top w:val="single" w:sz="4" w:space="0" w:color="auto"/>
              <w:left w:val="single" w:sz="4" w:space="0" w:color="auto"/>
              <w:bottom w:val="single" w:sz="4" w:space="0" w:color="auto"/>
              <w:right w:val="single" w:sz="4" w:space="0" w:color="auto"/>
            </w:tcBorders>
          </w:tcPr>
          <w:p w14:paraId="236765ED"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tcPr>
          <w:p w14:paraId="50BE0139"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2441D687"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tcPr>
          <w:p w14:paraId="0CCFC553" w14:textId="77777777" w:rsidR="00F00A02" w:rsidRDefault="00F00A02">
            <w:pPr>
              <w:widowControl w:val="0"/>
              <w:tabs>
                <w:tab w:val="left" w:pos="567"/>
              </w:tabs>
              <w:rPr>
                <w:color w:val="000000"/>
                <w:sz w:val="22"/>
                <w:szCs w:val="22"/>
              </w:rPr>
            </w:pPr>
          </w:p>
        </w:tc>
      </w:tr>
      <w:tr w:rsidR="00F00A02" w14:paraId="4D48675D" w14:textId="77777777">
        <w:tc>
          <w:tcPr>
            <w:tcW w:w="2390" w:type="dxa"/>
            <w:tcBorders>
              <w:top w:val="single" w:sz="4" w:space="0" w:color="auto"/>
              <w:left w:val="single" w:sz="4" w:space="0" w:color="auto"/>
              <w:bottom w:val="single" w:sz="4" w:space="0" w:color="auto"/>
              <w:right w:val="single" w:sz="4" w:space="0" w:color="auto"/>
            </w:tcBorders>
            <w:hideMark/>
          </w:tcPr>
          <w:p w14:paraId="1C871C1D" w14:textId="77777777" w:rsidR="00F00A02" w:rsidRDefault="0027659F">
            <w:pPr>
              <w:widowControl w:val="0"/>
              <w:tabs>
                <w:tab w:val="left" w:pos="567"/>
              </w:tabs>
              <w:rPr>
                <w:color w:val="000000"/>
                <w:sz w:val="22"/>
                <w:szCs w:val="22"/>
              </w:rPr>
            </w:pPr>
            <w:r>
              <w:rPr>
                <w:color w:val="000000"/>
                <w:sz w:val="22"/>
                <w:szCs w:val="22"/>
              </w:rPr>
              <w:t>Negalavimas</w:t>
            </w:r>
          </w:p>
        </w:tc>
        <w:tc>
          <w:tcPr>
            <w:tcW w:w="1326" w:type="dxa"/>
            <w:tcBorders>
              <w:top w:val="single" w:sz="4" w:space="0" w:color="auto"/>
              <w:left w:val="single" w:sz="4" w:space="0" w:color="auto"/>
              <w:bottom w:val="single" w:sz="4" w:space="0" w:color="auto"/>
              <w:right w:val="single" w:sz="4" w:space="0" w:color="auto"/>
            </w:tcBorders>
          </w:tcPr>
          <w:p w14:paraId="064E3551"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0160216C"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tcPr>
          <w:p w14:paraId="5FEEDA2A"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6934645C"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hideMark/>
          </w:tcPr>
          <w:p w14:paraId="19FB0054" w14:textId="77777777" w:rsidR="00F00A02" w:rsidRDefault="0027659F">
            <w:pPr>
              <w:widowControl w:val="0"/>
              <w:tabs>
                <w:tab w:val="left" w:pos="567"/>
              </w:tabs>
              <w:rPr>
                <w:color w:val="000000"/>
                <w:sz w:val="22"/>
                <w:szCs w:val="22"/>
              </w:rPr>
            </w:pPr>
            <w:r>
              <w:rPr>
                <w:color w:val="000000"/>
                <w:sz w:val="22"/>
                <w:szCs w:val="22"/>
              </w:rPr>
              <w:t>Dažnis nežinomas</w:t>
            </w:r>
          </w:p>
        </w:tc>
      </w:tr>
      <w:tr w:rsidR="00F00A02" w14:paraId="688B5071" w14:textId="77777777">
        <w:tc>
          <w:tcPr>
            <w:tcW w:w="9287" w:type="dxa"/>
            <w:gridSpan w:val="6"/>
            <w:tcBorders>
              <w:top w:val="single" w:sz="4" w:space="0" w:color="auto"/>
              <w:left w:val="single" w:sz="4" w:space="0" w:color="auto"/>
              <w:bottom w:val="single" w:sz="4" w:space="0" w:color="auto"/>
              <w:right w:val="single" w:sz="4" w:space="0" w:color="auto"/>
            </w:tcBorders>
            <w:hideMark/>
          </w:tcPr>
          <w:p w14:paraId="6DB2343F" w14:textId="77777777" w:rsidR="00F00A02" w:rsidRDefault="0027659F">
            <w:pPr>
              <w:widowControl w:val="0"/>
              <w:tabs>
                <w:tab w:val="left" w:pos="567"/>
              </w:tabs>
              <w:rPr>
                <w:bCs/>
                <w:i/>
                <w:iCs/>
                <w:color w:val="000000"/>
                <w:sz w:val="22"/>
                <w:szCs w:val="22"/>
              </w:rPr>
            </w:pPr>
            <w:r>
              <w:rPr>
                <w:bCs/>
                <w:i/>
                <w:iCs/>
                <w:color w:val="000000"/>
                <w:sz w:val="22"/>
                <w:szCs w:val="22"/>
              </w:rPr>
              <w:t>Tyrimai</w:t>
            </w:r>
          </w:p>
        </w:tc>
      </w:tr>
      <w:tr w:rsidR="00F00A02" w14:paraId="32DA1CA6" w14:textId="77777777">
        <w:tc>
          <w:tcPr>
            <w:tcW w:w="2390" w:type="dxa"/>
            <w:tcBorders>
              <w:top w:val="single" w:sz="4" w:space="0" w:color="auto"/>
              <w:left w:val="single" w:sz="4" w:space="0" w:color="auto"/>
              <w:bottom w:val="single" w:sz="4" w:space="0" w:color="auto"/>
              <w:right w:val="single" w:sz="4" w:space="0" w:color="auto"/>
            </w:tcBorders>
            <w:hideMark/>
          </w:tcPr>
          <w:p w14:paraId="4399ED1F" w14:textId="77777777" w:rsidR="00F00A02" w:rsidRDefault="0027659F">
            <w:pPr>
              <w:widowControl w:val="0"/>
              <w:tabs>
                <w:tab w:val="left" w:pos="567"/>
              </w:tabs>
              <w:rPr>
                <w:color w:val="000000"/>
                <w:sz w:val="22"/>
                <w:szCs w:val="22"/>
              </w:rPr>
            </w:pPr>
            <w:r>
              <w:rPr>
                <w:color w:val="000000"/>
                <w:sz w:val="22"/>
                <w:szCs w:val="22"/>
              </w:rPr>
              <w:t>Hiperkalemija</w:t>
            </w:r>
          </w:p>
        </w:tc>
        <w:tc>
          <w:tcPr>
            <w:tcW w:w="1326" w:type="dxa"/>
            <w:tcBorders>
              <w:top w:val="single" w:sz="4" w:space="0" w:color="auto"/>
              <w:left w:val="single" w:sz="4" w:space="0" w:color="auto"/>
              <w:bottom w:val="single" w:sz="4" w:space="0" w:color="auto"/>
              <w:right w:val="single" w:sz="4" w:space="0" w:color="auto"/>
            </w:tcBorders>
            <w:hideMark/>
          </w:tcPr>
          <w:p w14:paraId="032A9196" w14:textId="77777777" w:rsidR="00F00A02" w:rsidRDefault="0027659F">
            <w:pPr>
              <w:widowControl w:val="0"/>
              <w:tabs>
                <w:tab w:val="left" w:pos="567"/>
              </w:tabs>
              <w:rPr>
                <w:color w:val="000000"/>
                <w:sz w:val="22"/>
                <w:szCs w:val="22"/>
              </w:rPr>
            </w:pPr>
            <w:r>
              <w:rPr>
                <w:color w:val="000000"/>
                <w:sz w:val="22"/>
                <w:szCs w:val="22"/>
              </w:rPr>
              <w:t>Dažnas</w:t>
            </w:r>
          </w:p>
        </w:tc>
        <w:tc>
          <w:tcPr>
            <w:tcW w:w="1310" w:type="dxa"/>
            <w:tcBorders>
              <w:top w:val="single" w:sz="4" w:space="0" w:color="auto"/>
              <w:left w:val="single" w:sz="4" w:space="0" w:color="auto"/>
              <w:bottom w:val="single" w:sz="4" w:space="0" w:color="auto"/>
              <w:right w:val="single" w:sz="4" w:space="0" w:color="auto"/>
            </w:tcBorders>
          </w:tcPr>
          <w:p w14:paraId="131FDA5F"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hideMark/>
          </w:tcPr>
          <w:p w14:paraId="48092ECD" w14:textId="77777777" w:rsidR="00F00A02" w:rsidRDefault="0027659F">
            <w:pPr>
              <w:widowControl w:val="0"/>
              <w:tabs>
                <w:tab w:val="left" w:pos="567"/>
              </w:tabs>
              <w:rPr>
                <w:color w:val="000000"/>
                <w:sz w:val="22"/>
                <w:szCs w:val="22"/>
              </w:rPr>
            </w:pPr>
            <w:r>
              <w:rPr>
                <w:color w:val="000000"/>
                <w:sz w:val="22"/>
                <w:szCs w:val="22"/>
              </w:rPr>
              <w:t>Nedažnas</w:t>
            </w:r>
            <w:r>
              <w:rPr>
                <w:sz w:val="22"/>
                <w:szCs w:val="22"/>
                <w:vertAlign w:val="superscript"/>
                <w:lang w:val="en-GB"/>
              </w:rPr>
              <w:t>†</w:t>
            </w:r>
          </w:p>
        </w:tc>
        <w:tc>
          <w:tcPr>
            <w:tcW w:w="1310" w:type="dxa"/>
            <w:tcBorders>
              <w:top w:val="single" w:sz="4" w:space="0" w:color="auto"/>
              <w:left w:val="single" w:sz="4" w:space="0" w:color="auto"/>
              <w:bottom w:val="single" w:sz="4" w:space="0" w:color="auto"/>
              <w:right w:val="single" w:sz="4" w:space="0" w:color="auto"/>
            </w:tcBorders>
            <w:hideMark/>
          </w:tcPr>
          <w:p w14:paraId="23555979" w14:textId="77777777" w:rsidR="00F00A02" w:rsidRDefault="0027659F">
            <w:pPr>
              <w:widowControl w:val="0"/>
              <w:tabs>
                <w:tab w:val="left" w:pos="567"/>
              </w:tabs>
              <w:rPr>
                <w:color w:val="000000"/>
                <w:sz w:val="22"/>
                <w:szCs w:val="22"/>
              </w:rPr>
            </w:pPr>
            <w:r>
              <w:rPr>
                <w:color w:val="000000"/>
                <w:sz w:val="22"/>
                <w:szCs w:val="22"/>
              </w:rPr>
              <w:t>Dažnas</w:t>
            </w:r>
            <w:r>
              <w:rPr>
                <w:sz w:val="22"/>
                <w:szCs w:val="22"/>
                <w:vertAlign w:val="superscript"/>
                <w:lang w:val="en-GB"/>
              </w:rPr>
              <w:t>‡</w:t>
            </w:r>
          </w:p>
        </w:tc>
        <w:tc>
          <w:tcPr>
            <w:tcW w:w="1145" w:type="dxa"/>
            <w:tcBorders>
              <w:top w:val="single" w:sz="4" w:space="0" w:color="auto"/>
              <w:left w:val="single" w:sz="4" w:space="0" w:color="auto"/>
              <w:bottom w:val="single" w:sz="4" w:space="0" w:color="auto"/>
              <w:right w:val="single" w:sz="4" w:space="0" w:color="auto"/>
            </w:tcBorders>
          </w:tcPr>
          <w:p w14:paraId="1C56391F" w14:textId="77777777" w:rsidR="00F00A02" w:rsidRDefault="00F00A02">
            <w:pPr>
              <w:widowControl w:val="0"/>
              <w:tabs>
                <w:tab w:val="left" w:pos="567"/>
              </w:tabs>
              <w:rPr>
                <w:color w:val="000000"/>
                <w:sz w:val="22"/>
                <w:szCs w:val="22"/>
              </w:rPr>
            </w:pPr>
          </w:p>
        </w:tc>
      </w:tr>
      <w:tr w:rsidR="00F00A02" w14:paraId="294CE064" w14:textId="77777777">
        <w:tc>
          <w:tcPr>
            <w:tcW w:w="2390" w:type="dxa"/>
            <w:tcBorders>
              <w:top w:val="single" w:sz="4" w:space="0" w:color="auto"/>
              <w:left w:val="single" w:sz="4" w:space="0" w:color="auto"/>
              <w:bottom w:val="single" w:sz="4" w:space="0" w:color="auto"/>
              <w:right w:val="single" w:sz="4" w:space="0" w:color="auto"/>
            </w:tcBorders>
            <w:hideMark/>
          </w:tcPr>
          <w:p w14:paraId="7489E398" w14:textId="77777777" w:rsidR="00F00A02" w:rsidRDefault="0027659F">
            <w:pPr>
              <w:widowControl w:val="0"/>
              <w:tabs>
                <w:tab w:val="left" w:pos="567"/>
              </w:tabs>
              <w:rPr>
                <w:color w:val="000000"/>
                <w:sz w:val="22"/>
                <w:szCs w:val="22"/>
              </w:rPr>
            </w:pPr>
            <w:r>
              <w:rPr>
                <w:color w:val="000000"/>
                <w:sz w:val="22"/>
                <w:szCs w:val="22"/>
              </w:rPr>
              <w:t>Alaninaminotransferazės (ALT</w:t>
            </w:r>
            <w:r>
              <w:rPr>
                <w:sz w:val="22"/>
                <w:szCs w:val="22"/>
                <w:vertAlign w:val="superscript"/>
              </w:rPr>
              <w:t>§</w:t>
            </w:r>
            <w:r>
              <w:rPr>
                <w:color w:val="000000"/>
                <w:sz w:val="22"/>
                <w:szCs w:val="22"/>
              </w:rPr>
              <w:t>) aktyvumo padidėjimas</w:t>
            </w:r>
          </w:p>
        </w:tc>
        <w:tc>
          <w:tcPr>
            <w:tcW w:w="1326" w:type="dxa"/>
            <w:tcBorders>
              <w:top w:val="single" w:sz="4" w:space="0" w:color="auto"/>
              <w:left w:val="single" w:sz="4" w:space="0" w:color="auto"/>
              <w:bottom w:val="single" w:sz="4" w:space="0" w:color="auto"/>
              <w:right w:val="single" w:sz="4" w:space="0" w:color="auto"/>
            </w:tcBorders>
            <w:hideMark/>
          </w:tcPr>
          <w:p w14:paraId="68ED2F82" w14:textId="77777777" w:rsidR="00F00A02" w:rsidRDefault="0027659F">
            <w:pPr>
              <w:widowControl w:val="0"/>
              <w:tabs>
                <w:tab w:val="left" w:pos="567"/>
              </w:tabs>
              <w:rPr>
                <w:color w:val="000000"/>
                <w:sz w:val="22"/>
                <w:szCs w:val="22"/>
              </w:rPr>
            </w:pPr>
            <w:r>
              <w:rPr>
                <w:color w:val="000000"/>
                <w:sz w:val="22"/>
                <w:szCs w:val="22"/>
              </w:rPr>
              <w:t>Retas</w:t>
            </w:r>
          </w:p>
        </w:tc>
        <w:tc>
          <w:tcPr>
            <w:tcW w:w="1310" w:type="dxa"/>
            <w:tcBorders>
              <w:top w:val="single" w:sz="4" w:space="0" w:color="auto"/>
              <w:left w:val="single" w:sz="4" w:space="0" w:color="auto"/>
              <w:bottom w:val="single" w:sz="4" w:space="0" w:color="auto"/>
              <w:right w:val="single" w:sz="4" w:space="0" w:color="auto"/>
            </w:tcBorders>
          </w:tcPr>
          <w:p w14:paraId="6E4480A4"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tcPr>
          <w:p w14:paraId="5507FB6E"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2E457B83"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tcPr>
          <w:p w14:paraId="3AA00E2E" w14:textId="77777777" w:rsidR="00F00A02" w:rsidRDefault="00F00A02">
            <w:pPr>
              <w:widowControl w:val="0"/>
              <w:tabs>
                <w:tab w:val="left" w:pos="567"/>
              </w:tabs>
              <w:rPr>
                <w:color w:val="000000"/>
                <w:sz w:val="22"/>
                <w:szCs w:val="22"/>
              </w:rPr>
            </w:pPr>
          </w:p>
        </w:tc>
      </w:tr>
      <w:tr w:rsidR="00F00A02" w14:paraId="240D025D" w14:textId="77777777">
        <w:tc>
          <w:tcPr>
            <w:tcW w:w="2390" w:type="dxa"/>
            <w:tcBorders>
              <w:top w:val="single" w:sz="4" w:space="0" w:color="auto"/>
              <w:left w:val="single" w:sz="4" w:space="0" w:color="auto"/>
              <w:bottom w:val="single" w:sz="4" w:space="0" w:color="auto"/>
              <w:right w:val="single" w:sz="4" w:space="0" w:color="auto"/>
            </w:tcBorders>
            <w:hideMark/>
          </w:tcPr>
          <w:p w14:paraId="05492277" w14:textId="77777777" w:rsidR="00F00A02" w:rsidRDefault="0027659F">
            <w:pPr>
              <w:widowControl w:val="0"/>
              <w:tabs>
                <w:tab w:val="left" w:pos="567"/>
              </w:tabs>
              <w:rPr>
                <w:color w:val="000000"/>
                <w:sz w:val="22"/>
                <w:szCs w:val="22"/>
              </w:rPr>
            </w:pPr>
            <w:r>
              <w:rPr>
                <w:color w:val="000000"/>
                <w:sz w:val="22"/>
                <w:szCs w:val="22"/>
              </w:rPr>
              <w:t xml:space="preserve">Šlapalo kiekio padidėjimas kraujyje, kreatinino ir kalio kiekio padidėjimas serume </w:t>
            </w:r>
          </w:p>
        </w:tc>
        <w:tc>
          <w:tcPr>
            <w:tcW w:w="1326" w:type="dxa"/>
            <w:tcBorders>
              <w:top w:val="single" w:sz="4" w:space="0" w:color="auto"/>
              <w:left w:val="single" w:sz="4" w:space="0" w:color="auto"/>
              <w:bottom w:val="single" w:sz="4" w:space="0" w:color="auto"/>
              <w:right w:val="single" w:sz="4" w:space="0" w:color="auto"/>
            </w:tcBorders>
          </w:tcPr>
          <w:p w14:paraId="61BBE34E"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000C0A65"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hideMark/>
          </w:tcPr>
          <w:p w14:paraId="68F77D1C" w14:textId="77777777" w:rsidR="00F00A02" w:rsidRDefault="0027659F">
            <w:pPr>
              <w:widowControl w:val="0"/>
              <w:tabs>
                <w:tab w:val="left" w:pos="567"/>
              </w:tabs>
              <w:rPr>
                <w:color w:val="000000"/>
                <w:sz w:val="22"/>
                <w:szCs w:val="22"/>
              </w:rPr>
            </w:pPr>
            <w:r>
              <w:rPr>
                <w:color w:val="000000"/>
                <w:sz w:val="22"/>
                <w:szCs w:val="22"/>
              </w:rPr>
              <w:t>Dažnas</w:t>
            </w:r>
          </w:p>
        </w:tc>
        <w:tc>
          <w:tcPr>
            <w:tcW w:w="1310" w:type="dxa"/>
            <w:tcBorders>
              <w:top w:val="single" w:sz="4" w:space="0" w:color="auto"/>
              <w:left w:val="single" w:sz="4" w:space="0" w:color="auto"/>
              <w:bottom w:val="single" w:sz="4" w:space="0" w:color="auto"/>
              <w:right w:val="single" w:sz="4" w:space="0" w:color="auto"/>
            </w:tcBorders>
          </w:tcPr>
          <w:p w14:paraId="798792C1"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tcPr>
          <w:p w14:paraId="6116000E" w14:textId="77777777" w:rsidR="00F00A02" w:rsidRDefault="00F00A02">
            <w:pPr>
              <w:widowControl w:val="0"/>
              <w:tabs>
                <w:tab w:val="left" w:pos="567"/>
              </w:tabs>
              <w:rPr>
                <w:color w:val="000000"/>
                <w:sz w:val="22"/>
                <w:szCs w:val="22"/>
              </w:rPr>
            </w:pPr>
          </w:p>
        </w:tc>
      </w:tr>
      <w:tr w:rsidR="00F00A02" w14:paraId="20146402" w14:textId="77777777">
        <w:tc>
          <w:tcPr>
            <w:tcW w:w="2390" w:type="dxa"/>
            <w:tcBorders>
              <w:top w:val="single" w:sz="4" w:space="0" w:color="auto"/>
              <w:left w:val="single" w:sz="4" w:space="0" w:color="auto"/>
              <w:bottom w:val="single" w:sz="4" w:space="0" w:color="auto"/>
              <w:right w:val="single" w:sz="4" w:space="0" w:color="auto"/>
            </w:tcBorders>
            <w:hideMark/>
          </w:tcPr>
          <w:p w14:paraId="22206521" w14:textId="77777777" w:rsidR="00F00A02" w:rsidRDefault="0027659F">
            <w:pPr>
              <w:widowControl w:val="0"/>
              <w:tabs>
                <w:tab w:val="left" w:pos="567"/>
              </w:tabs>
              <w:rPr>
                <w:color w:val="000000"/>
                <w:sz w:val="22"/>
                <w:szCs w:val="22"/>
              </w:rPr>
            </w:pPr>
            <w:r>
              <w:rPr>
                <w:color w:val="000000"/>
                <w:sz w:val="22"/>
                <w:szCs w:val="22"/>
              </w:rPr>
              <w:t>Hiponatremija</w:t>
            </w:r>
          </w:p>
        </w:tc>
        <w:tc>
          <w:tcPr>
            <w:tcW w:w="1326" w:type="dxa"/>
            <w:tcBorders>
              <w:top w:val="single" w:sz="4" w:space="0" w:color="auto"/>
              <w:left w:val="single" w:sz="4" w:space="0" w:color="auto"/>
              <w:bottom w:val="single" w:sz="4" w:space="0" w:color="auto"/>
              <w:right w:val="single" w:sz="4" w:space="0" w:color="auto"/>
            </w:tcBorders>
          </w:tcPr>
          <w:p w14:paraId="4FD4776F"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24F6AC00"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tcPr>
          <w:p w14:paraId="26314B33"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4C1EBD24" w14:textId="77777777" w:rsidR="00F00A02" w:rsidRDefault="00F00A02">
            <w:pPr>
              <w:widowControl w:val="0"/>
              <w:tabs>
                <w:tab w:val="left" w:pos="567"/>
              </w:tabs>
              <w:rPr>
                <w:color w:val="000000"/>
                <w:sz w:val="22"/>
                <w:szCs w:val="22"/>
              </w:rPr>
            </w:pPr>
          </w:p>
        </w:tc>
        <w:tc>
          <w:tcPr>
            <w:tcW w:w="1145" w:type="dxa"/>
            <w:tcBorders>
              <w:top w:val="single" w:sz="4" w:space="0" w:color="auto"/>
              <w:left w:val="single" w:sz="4" w:space="0" w:color="auto"/>
              <w:bottom w:val="single" w:sz="4" w:space="0" w:color="auto"/>
              <w:right w:val="single" w:sz="4" w:space="0" w:color="auto"/>
            </w:tcBorders>
            <w:hideMark/>
          </w:tcPr>
          <w:p w14:paraId="524AF135" w14:textId="77777777" w:rsidR="00F00A02" w:rsidRDefault="0027659F">
            <w:pPr>
              <w:widowControl w:val="0"/>
              <w:tabs>
                <w:tab w:val="left" w:pos="567"/>
              </w:tabs>
              <w:rPr>
                <w:color w:val="000000"/>
                <w:sz w:val="22"/>
                <w:szCs w:val="22"/>
              </w:rPr>
            </w:pPr>
            <w:r>
              <w:rPr>
                <w:color w:val="000000"/>
                <w:sz w:val="22"/>
                <w:szCs w:val="22"/>
              </w:rPr>
              <w:t>Dažnis nežinomas</w:t>
            </w:r>
          </w:p>
        </w:tc>
      </w:tr>
      <w:tr w:rsidR="00F00A02" w14:paraId="458A1618" w14:textId="77777777">
        <w:tc>
          <w:tcPr>
            <w:tcW w:w="2390" w:type="dxa"/>
            <w:tcBorders>
              <w:top w:val="single" w:sz="4" w:space="0" w:color="auto"/>
              <w:left w:val="single" w:sz="4" w:space="0" w:color="auto"/>
              <w:bottom w:val="single" w:sz="4" w:space="0" w:color="auto"/>
              <w:right w:val="single" w:sz="4" w:space="0" w:color="auto"/>
            </w:tcBorders>
            <w:hideMark/>
          </w:tcPr>
          <w:p w14:paraId="494D6DD4" w14:textId="77777777" w:rsidR="00F00A02" w:rsidRDefault="0027659F">
            <w:pPr>
              <w:widowControl w:val="0"/>
              <w:tabs>
                <w:tab w:val="left" w:pos="567"/>
              </w:tabs>
              <w:rPr>
                <w:color w:val="000000"/>
                <w:sz w:val="22"/>
                <w:szCs w:val="22"/>
              </w:rPr>
            </w:pPr>
            <w:r>
              <w:rPr>
                <w:color w:val="000000"/>
                <w:sz w:val="22"/>
                <w:szCs w:val="22"/>
              </w:rPr>
              <w:t>Hipoglikemija</w:t>
            </w:r>
          </w:p>
        </w:tc>
        <w:tc>
          <w:tcPr>
            <w:tcW w:w="1326" w:type="dxa"/>
            <w:tcBorders>
              <w:top w:val="single" w:sz="4" w:space="0" w:color="auto"/>
              <w:left w:val="single" w:sz="4" w:space="0" w:color="auto"/>
              <w:bottom w:val="single" w:sz="4" w:space="0" w:color="auto"/>
              <w:right w:val="single" w:sz="4" w:space="0" w:color="auto"/>
            </w:tcBorders>
          </w:tcPr>
          <w:p w14:paraId="3A7B3455"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tcPr>
          <w:p w14:paraId="23938450" w14:textId="77777777" w:rsidR="00F00A02" w:rsidRDefault="00F00A02">
            <w:pPr>
              <w:widowControl w:val="0"/>
              <w:tabs>
                <w:tab w:val="left" w:pos="567"/>
              </w:tabs>
              <w:rPr>
                <w:color w:val="000000"/>
                <w:sz w:val="22"/>
                <w:szCs w:val="22"/>
              </w:rPr>
            </w:pPr>
          </w:p>
        </w:tc>
        <w:tc>
          <w:tcPr>
            <w:tcW w:w="1806" w:type="dxa"/>
            <w:tcBorders>
              <w:top w:val="single" w:sz="4" w:space="0" w:color="auto"/>
              <w:left w:val="single" w:sz="4" w:space="0" w:color="auto"/>
              <w:bottom w:val="single" w:sz="4" w:space="0" w:color="auto"/>
              <w:right w:val="single" w:sz="4" w:space="0" w:color="auto"/>
            </w:tcBorders>
          </w:tcPr>
          <w:p w14:paraId="6D47A5F6" w14:textId="77777777" w:rsidR="00F00A02" w:rsidRDefault="00F00A02">
            <w:pPr>
              <w:widowControl w:val="0"/>
              <w:tabs>
                <w:tab w:val="left" w:pos="567"/>
              </w:tabs>
              <w:rPr>
                <w:color w:val="000000"/>
                <w:sz w:val="22"/>
                <w:szCs w:val="22"/>
              </w:rPr>
            </w:pPr>
          </w:p>
        </w:tc>
        <w:tc>
          <w:tcPr>
            <w:tcW w:w="1310" w:type="dxa"/>
            <w:tcBorders>
              <w:top w:val="single" w:sz="4" w:space="0" w:color="auto"/>
              <w:left w:val="single" w:sz="4" w:space="0" w:color="auto"/>
              <w:bottom w:val="single" w:sz="4" w:space="0" w:color="auto"/>
              <w:right w:val="single" w:sz="4" w:space="0" w:color="auto"/>
            </w:tcBorders>
            <w:hideMark/>
          </w:tcPr>
          <w:p w14:paraId="70B6B158" w14:textId="77777777" w:rsidR="00F00A02" w:rsidRDefault="0027659F">
            <w:pPr>
              <w:widowControl w:val="0"/>
              <w:tabs>
                <w:tab w:val="left" w:pos="567"/>
              </w:tabs>
              <w:rPr>
                <w:color w:val="000000"/>
                <w:sz w:val="22"/>
                <w:szCs w:val="22"/>
              </w:rPr>
            </w:pPr>
            <w:r>
              <w:rPr>
                <w:color w:val="000000"/>
                <w:sz w:val="22"/>
                <w:szCs w:val="22"/>
              </w:rPr>
              <w:t>Dažnas</w:t>
            </w:r>
          </w:p>
        </w:tc>
        <w:tc>
          <w:tcPr>
            <w:tcW w:w="1145" w:type="dxa"/>
            <w:tcBorders>
              <w:top w:val="single" w:sz="4" w:space="0" w:color="auto"/>
              <w:left w:val="single" w:sz="4" w:space="0" w:color="auto"/>
              <w:bottom w:val="single" w:sz="4" w:space="0" w:color="auto"/>
              <w:right w:val="single" w:sz="4" w:space="0" w:color="auto"/>
            </w:tcBorders>
          </w:tcPr>
          <w:p w14:paraId="2BBE7B39" w14:textId="77777777" w:rsidR="00F00A02" w:rsidRDefault="00F00A02">
            <w:pPr>
              <w:widowControl w:val="0"/>
              <w:tabs>
                <w:tab w:val="left" w:pos="567"/>
              </w:tabs>
              <w:rPr>
                <w:color w:val="000000"/>
                <w:sz w:val="22"/>
                <w:szCs w:val="22"/>
              </w:rPr>
            </w:pPr>
          </w:p>
        </w:tc>
      </w:tr>
    </w:tbl>
    <w:p w14:paraId="5D7E6F22" w14:textId="77777777" w:rsidR="00F00A02" w:rsidRDefault="00F00A02">
      <w:pPr>
        <w:widowControl w:val="0"/>
        <w:tabs>
          <w:tab w:val="left" w:pos="567"/>
        </w:tabs>
        <w:rPr>
          <w:i/>
          <w:color w:val="000000"/>
          <w:sz w:val="22"/>
          <w:szCs w:val="22"/>
        </w:rPr>
      </w:pPr>
    </w:p>
    <w:p w14:paraId="567A5214" w14:textId="77777777" w:rsidR="00F00A02" w:rsidRDefault="0027659F">
      <w:pPr>
        <w:widowControl w:val="0"/>
        <w:tabs>
          <w:tab w:val="left" w:pos="567"/>
        </w:tabs>
        <w:rPr>
          <w:color w:val="000000"/>
          <w:sz w:val="22"/>
          <w:szCs w:val="22"/>
        </w:rPr>
      </w:pPr>
      <w:r>
        <w:rPr>
          <w:sz w:val="22"/>
          <w:szCs w:val="22"/>
          <w:vertAlign w:val="superscript"/>
        </w:rPr>
        <w:sym w:font="Symbol" w:char="F02A"/>
      </w:r>
      <w:r>
        <w:rPr>
          <w:color w:val="000000"/>
          <w:sz w:val="22"/>
          <w:szCs w:val="22"/>
        </w:rPr>
        <w:t xml:space="preserve"> Įskaitant gerklų, balso klosčių, veido, lūpų, ryklės ir/ arba liežuvio patinimą (sukeliantį kvėpavimo takų obstrukciją); kai kuriems šių pacientų jau ankščiau buvo pasireiškusi su kitų vaistinių preparatų, įskaitant AKF inhibitorius, vartojimu susijusi angioneurozinė edema.</w:t>
      </w:r>
    </w:p>
    <w:p w14:paraId="2DABA43B" w14:textId="77777777" w:rsidR="00F00A02" w:rsidRDefault="0027659F">
      <w:pPr>
        <w:widowControl w:val="0"/>
        <w:tabs>
          <w:tab w:val="left" w:pos="567"/>
        </w:tabs>
        <w:rPr>
          <w:color w:val="000000"/>
          <w:sz w:val="22"/>
          <w:szCs w:val="22"/>
        </w:rPr>
      </w:pPr>
      <w:r>
        <w:rPr>
          <w:sz w:val="22"/>
          <w:szCs w:val="22"/>
          <w:vertAlign w:val="superscript"/>
        </w:rPr>
        <w:sym w:font="Symbol" w:char="F02A"/>
      </w:r>
      <w:r>
        <w:rPr>
          <w:sz w:val="22"/>
          <w:szCs w:val="22"/>
          <w:vertAlign w:val="superscript"/>
        </w:rPr>
        <w:sym w:font="Symbol" w:char="F02A"/>
      </w:r>
      <w:r>
        <w:rPr>
          <w:color w:val="000000"/>
          <w:sz w:val="22"/>
          <w:szCs w:val="22"/>
        </w:rPr>
        <w:t xml:space="preserve"> Įskaitant </w:t>
      </w:r>
      <w:r>
        <w:rPr>
          <w:i/>
          <w:color w:val="000000"/>
          <w:sz w:val="22"/>
          <w:szCs w:val="22"/>
        </w:rPr>
        <w:t>Henoch-Sch</w:t>
      </w:r>
      <w:r>
        <w:rPr>
          <w:i/>
          <w:sz w:val="22"/>
          <w:szCs w:val="22"/>
        </w:rPr>
        <w:t>ö</w:t>
      </w:r>
      <w:r>
        <w:rPr>
          <w:i/>
          <w:color w:val="000000"/>
          <w:sz w:val="22"/>
          <w:szCs w:val="22"/>
        </w:rPr>
        <w:t>nlein</w:t>
      </w:r>
      <w:r>
        <w:rPr>
          <w:color w:val="000000"/>
          <w:sz w:val="22"/>
          <w:szCs w:val="22"/>
        </w:rPr>
        <w:t xml:space="preserve"> purpurą.</w:t>
      </w:r>
    </w:p>
    <w:p w14:paraId="2CC8328B" w14:textId="77777777" w:rsidR="00F00A02" w:rsidRDefault="0027659F">
      <w:pPr>
        <w:widowControl w:val="0"/>
        <w:tabs>
          <w:tab w:val="left" w:pos="567"/>
        </w:tabs>
        <w:rPr>
          <w:color w:val="000000"/>
          <w:sz w:val="22"/>
          <w:szCs w:val="22"/>
        </w:rPr>
      </w:pPr>
      <w:r>
        <w:rPr>
          <w:sz w:val="22"/>
          <w:szCs w:val="22"/>
          <w:vertAlign w:val="superscript"/>
        </w:rPr>
        <w:t>║</w:t>
      </w:r>
      <w:r>
        <w:rPr>
          <w:color w:val="000000"/>
          <w:sz w:val="22"/>
          <w:szCs w:val="22"/>
        </w:rPr>
        <w:t xml:space="preserve"> Ypač pacientams, kurių kraujo tūris sumažėjęs, pvz., sergantiems sunkiu širdies nepakankamumu arba vartojantiems dideles diuretikų dozes.</w:t>
      </w:r>
    </w:p>
    <w:p w14:paraId="1747C070" w14:textId="77777777" w:rsidR="00F00A02" w:rsidRDefault="0027659F">
      <w:pPr>
        <w:widowControl w:val="0"/>
        <w:tabs>
          <w:tab w:val="left" w:pos="567"/>
        </w:tabs>
        <w:rPr>
          <w:color w:val="000000"/>
          <w:sz w:val="22"/>
          <w:szCs w:val="22"/>
        </w:rPr>
      </w:pPr>
      <w:r>
        <w:rPr>
          <w:sz w:val="22"/>
          <w:szCs w:val="22"/>
          <w:vertAlign w:val="superscript"/>
        </w:rPr>
        <w:t>†</w:t>
      </w:r>
      <w:r>
        <w:rPr>
          <w:color w:val="000000"/>
          <w:sz w:val="22"/>
          <w:szCs w:val="22"/>
        </w:rPr>
        <w:t>150 mg (o ne 50 mg) losartano dozę vartojusiems pacientams atsirado dažnai</w:t>
      </w:r>
    </w:p>
    <w:p w14:paraId="36AE362B" w14:textId="77777777" w:rsidR="00F00A02" w:rsidRDefault="0027659F">
      <w:pPr>
        <w:widowControl w:val="0"/>
        <w:tabs>
          <w:tab w:val="left" w:pos="567"/>
        </w:tabs>
        <w:rPr>
          <w:color w:val="000000"/>
          <w:sz w:val="22"/>
          <w:szCs w:val="22"/>
        </w:rPr>
      </w:pPr>
      <w:r>
        <w:rPr>
          <w:sz w:val="22"/>
          <w:szCs w:val="22"/>
          <w:vertAlign w:val="superscript"/>
        </w:rPr>
        <w:t>‡</w:t>
      </w:r>
      <w:r>
        <w:rPr>
          <w:color w:val="000000"/>
          <w:sz w:val="22"/>
          <w:szCs w:val="22"/>
        </w:rPr>
        <w:t>Klinikinio tyrimo, kuriame dalyvavo 2 tipo cukriniu diabetu sirgę pacientai, kuriems buvo nefropatija, metu hiperkalemija &gt;5,5 mmol/l atsirado 9,9 % losartanu gydytų pacientų ir 3,4 % placebo vartojusių pacientų.</w:t>
      </w:r>
    </w:p>
    <w:p w14:paraId="5460F346" w14:textId="77777777" w:rsidR="00F00A02" w:rsidRDefault="0027659F">
      <w:pPr>
        <w:widowControl w:val="0"/>
        <w:tabs>
          <w:tab w:val="left" w:pos="567"/>
        </w:tabs>
        <w:rPr>
          <w:color w:val="000000"/>
          <w:sz w:val="22"/>
          <w:szCs w:val="22"/>
        </w:rPr>
      </w:pPr>
      <w:r>
        <w:rPr>
          <w:sz w:val="22"/>
          <w:szCs w:val="22"/>
          <w:vertAlign w:val="superscript"/>
        </w:rPr>
        <w:t>§</w:t>
      </w:r>
      <w:r>
        <w:rPr>
          <w:color w:val="000000"/>
          <w:sz w:val="22"/>
          <w:szCs w:val="22"/>
        </w:rPr>
        <w:t>Gydymą nutraukus, toks poveikis paprastai išnykdavo.</w:t>
      </w:r>
    </w:p>
    <w:p w14:paraId="2661B499" w14:textId="77777777" w:rsidR="00F00A02" w:rsidRDefault="00F00A02">
      <w:pPr>
        <w:widowControl w:val="0"/>
        <w:tabs>
          <w:tab w:val="left" w:pos="567"/>
        </w:tabs>
        <w:rPr>
          <w:color w:val="000000"/>
          <w:sz w:val="22"/>
          <w:szCs w:val="22"/>
        </w:rPr>
      </w:pPr>
    </w:p>
    <w:p w14:paraId="0D5A2834" w14:textId="77777777" w:rsidR="00F00A02" w:rsidRDefault="0027659F">
      <w:pPr>
        <w:widowControl w:val="0"/>
        <w:tabs>
          <w:tab w:val="left" w:pos="567"/>
        </w:tabs>
        <w:rPr>
          <w:color w:val="000000"/>
          <w:sz w:val="22"/>
          <w:szCs w:val="22"/>
        </w:rPr>
      </w:pPr>
      <w:r>
        <w:rPr>
          <w:color w:val="000000"/>
          <w:sz w:val="22"/>
          <w:szCs w:val="22"/>
        </w:rPr>
        <w:t>Toliau išvardytos nepageidaujamos reakcijos, kurios losartanu gydytiems pacientams pasireiškė dažniau, negu vartojusiems placebo (šių reiškinių dažnis nežinomas): nugaros skausmas, šlapimo takų infekcijos ir į gripą panašūs simptomai.</w:t>
      </w:r>
    </w:p>
    <w:p w14:paraId="56C50577" w14:textId="77777777" w:rsidR="00F00A02" w:rsidRDefault="00F00A02">
      <w:pPr>
        <w:widowControl w:val="0"/>
        <w:tabs>
          <w:tab w:val="left" w:pos="567"/>
        </w:tabs>
        <w:rPr>
          <w:i/>
          <w:color w:val="000000"/>
          <w:sz w:val="22"/>
          <w:szCs w:val="22"/>
        </w:rPr>
      </w:pPr>
    </w:p>
    <w:p w14:paraId="5F6F975F" w14:textId="77777777" w:rsidR="00F00A02" w:rsidRDefault="0027659F">
      <w:pPr>
        <w:widowControl w:val="0"/>
        <w:tabs>
          <w:tab w:val="left" w:pos="567"/>
        </w:tabs>
        <w:rPr>
          <w:i/>
          <w:color w:val="000000"/>
          <w:sz w:val="22"/>
          <w:szCs w:val="22"/>
        </w:rPr>
      </w:pPr>
      <w:r>
        <w:rPr>
          <w:i/>
          <w:color w:val="000000"/>
          <w:sz w:val="22"/>
          <w:szCs w:val="22"/>
        </w:rPr>
        <w:t>Inkstų ir šlapimo takų sutrikimai</w:t>
      </w:r>
    </w:p>
    <w:p w14:paraId="570EFBFD" w14:textId="77777777" w:rsidR="00F00A02" w:rsidRDefault="0027659F">
      <w:pPr>
        <w:widowControl w:val="0"/>
        <w:rPr>
          <w:color w:val="000000"/>
          <w:sz w:val="22"/>
          <w:szCs w:val="22"/>
          <w:lang w:val="sv-SE" w:eastAsia="lt-LT"/>
        </w:rPr>
      </w:pPr>
      <w:r>
        <w:rPr>
          <w:color w:val="000000"/>
          <w:sz w:val="22"/>
          <w:szCs w:val="22"/>
          <w:lang w:val="sv-SE" w:eastAsia="lt-LT"/>
        </w:rPr>
        <w:t>Dėl renino, angiotenzino ir aldosterono sistemos slopinimo, rizikos grupių pacientams buvo inkstų funkcijos pokyčių, įskaitant inkstų nepakankamumą, atvejų. Nutraukus gydymą, šie inkstų funkcijos pokyčiai gali išnykti (žr. 4.4 skyrių).</w:t>
      </w:r>
    </w:p>
    <w:p w14:paraId="74E60900" w14:textId="77777777" w:rsidR="00F00A02" w:rsidRDefault="00F00A02">
      <w:pPr>
        <w:widowControl w:val="0"/>
        <w:rPr>
          <w:color w:val="000000"/>
          <w:sz w:val="22"/>
          <w:szCs w:val="22"/>
          <w:lang w:val="sv-SE" w:eastAsia="lt-LT"/>
        </w:rPr>
      </w:pPr>
    </w:p>
    <w:p w14:paraId="37F43B03" w14:textId="77777777" w:rsidR="00F00A02" w:rsidRDefault="0027659F">
      <w:pPr>
        <w:widowControl w:val="0"/>
        <w:rPr>
          <w:color w:val="000000"/>
          <w:sz w:val="22"/>
          <w:szCs w:val="22"/>
          <w:u w:val="single"/>
          <w:lang w:val="sv-SE" w:eastAsia="lt-LT"/>
        </w:rPr>
      </w:pPr>
      <w:r>
        <w:rPr>
          <w:color w:val="000000"/>
          <w:sz w:val="22"/>
          <w:szCs w:val="22"/>
          <w:u w:val="single"/>
          <w:lang w:val="sv-SE" w:eastAsia="lt-LT"/>
        </w:rPr>
        <w:t>Vaikų populiacija</w:t>
      </w:r>
    </w:p>
    <w:p w14:paraId="2F88BF3A" w14:textId="77777777" w:rsidR="00F00A02" w:rsidRDefault="0027659F">
      <w:pPr>
        <w:widowControl w:val="0"/>
        <w:rPr>
          <w:color w:val="000000"/>
          <w:sz w:val="22"/>
          <w:szCs w:val="22"/>
          <w:lang w:val="sv-SE" w:eastAsia="lt-LT"/>
        </w:rPr>
      </w:pPr>
      <w:r>
        <w:rPr>
          <w:color w:val="000000"/>
          <w:sz w:val="22"/>
          <w:szCs w:val="22"/>
          <w:lang w:val="sv-SE" w:eastAsia="lt-LT"/>
        </w:rPr>
        <w:t>Nustatytos nepageidaujamos reakcijos vaikams yra panašios į stebėtas suaugusiems pacientams. Vaikų populiacijos tyrimų duomenų yra nedaug.</w:t>
      </w:r>
    </w:p>
    <w:p w14:paraId="2C1CE572" w14:textId="77777777" w:rsidR="00F00A02" w:rsidRDefault="00F00A02">
      <w:pPr>
        <w:widowControl w:val="0"/>
        <w:tabs>
          <w:tab w:val="left" w:pos="567"/>
        </w:tabs>
        <w:autoSpaceDE w:val="0"/>
        <w:autoSpaceDN w:val="0"/>
        <w:adjustRightInd w:val="0"/>
        <w:jc w:val="both"/>
        <w:rPr>
          <w:snapToGrid w:val="0"/>
          <w:sz w:val="22"/>
          <w:szCs w:val="22"/>
          <w:u w:val="single"/>
        </w:rPr>
      </w:pPr>
    </w:p>
    <w:p w14:paraId="6B9B03EE" w14:textId="77777777" w:rsidR="00F00A02" w:rsidRDefault="0027659F">
      <w:pPr>
        <w:widowControl w:val="0"/>
        <w:tabs>
          <w:tab w:val="left" w:pos="567"/>
        </w:tabs>
        <w:autoSpaceDE w:val="0"/>
        <w:autoSpaceDN w:val="0"/>
        <w:adjustRightInd w:val="0"/>
        <w:jc w:val="both"/>
        <w:rPr>
          <w:snapToGrid w:val="0"/>
          <w:sz w:val="22"/>
          <w:szCs w:val="22"/>
          <w:u w:val="single"/>
        </w:rPr>
      </w:pPr>
      <w:r>
        <w:rPr>
          <w:noProof/>
          <w:snapToGrid w:val="0"/>
          <w:sz w:val="22"/>
          <w:szCs w:val="22"/>
          <w:u w:val="single"/>
        </w:rPr>
        <w:t>Pranešimas apie įtariamas nepageidaujamas reakcijas</w:t>
      </w:r>
    </w:p>
    <w:p w14:paraId="34F2A02C" w14:textId="77777777" w:rsidR="00F00A02" w:rsidRDefault="0027659F">
      <w:pPr>
        <w:widowControl w:val="0"/>
        <w:rPr>
          <w:sz w:val="22"/>
          <w:szCs w:val="22"/>
          <w:lang w:eastAsia="lt-LT"/>
        </w:rPr>
      </w:pPr>
      <w:r>
        <w:rPr>
          <w:sz w:val="22"/>
          <w:szCs w:val="22"/>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w:t>
      </w:r>
    </w:p>
    <w:p w14:paraId="5AF7823D" w14:textId="77777777" w:rsidR="00F00A02" w:rsidRDefault="00F00A02">
      <w:pPr>
        <w:widowControl w:val="0"/>
        <w:ind w:left="567" w:hanging="567"/>
        <w:outlineLvl w:val="2"/>
        <w:rPr>
          <w:sz w:val="22"/>
          <w:szCs w:val="22"/>
          <w:lang w:eastAsia="lt-LT"/>
        </w:rPr>
      </w:pPr>
    </w:p>
    <w:p w14:paraId="644C3839" w14:textId="77777777" w:rsidR="00F00A02" w:rsidRDefault="0027659F">
      <w:pPr>
        <w:widowControl w:val="0"/>
        <w:ind w:left="567" w:hanging="567"/>
        <w:outlineLvl w:val="2"/>
        <w:rPr>
          <w:b/>
          <w:bCs/>
          <w:sz w:val="22"/>
          <w:szCs w:val="22"/>
          <w:lang w:eastAsia="lt-LT"/>
        </w:rPr>
      </w:pPr>
      <w:r>
        <w:rPr>
          <w:b/>
          <w:bCs/>
          <w:sz w:val="22"/>
          <w:szCs w:val="22"/>
          <w:lang w:eastAsia="lt-LT"/>
        </w:rPr>
        <w:t>4.9</w:t>
      </w:r>
      <w:r>
        <w:rPr>
          <w:b/>
          <w:bCs/>
          <w:sz w:val="22"/>
          <w:szCs w:val="22"/>
          <w:lang w:eastAsia="lt-LT"/>
        </w:rPr>
        <w:tab/>
        <w:t>Perdozavimas</w:t>
      </w:r>
    </w:p>
    <w:p w14:paraId="5B15C948" w14:textId="77777777" w:rsidR="00F00A02" w:rsidRDefault="00F00A02">
      <w:pPr>
        <w:widowControl w:val="0"/>
        <w:rPr>
          <w:sz w:val="22"/>
          <w:szCs w:val="22"/>
          <w:lang w:eastAsia="lt-LT"/>
        </w:rPr>
      </w:pPr>
    </w:p>
    <w:p w14:paraId="6DD7C28B" w14:textId="77777777" w:rsidR="00F00A02" w:rsidRDefault="0027659F">
      <w:pPr>
        <w:widowControl w:val="0"/>
        <w:rPr>
          <w:i/>
          <w:color w:val="000000"/>
          <w:sz w:val="22"/>
          <w:szCs w:val="22"/>
          <w:lang w:val="sv-SE" w:eastAsia="lt-LT"/>
        </w:rPr>
      </w:pPr>
      <w:r>
        <w:rPr>
          <w:i/>
          <w:color w:val="000000"/>
          <w:sz w:val="22"/>
          <w:szCs w:val="22"/>
          <w:lang w:val="sv-SE" w:eastAsia="lt-LT"/>
        </w:rPr>
        <w:t>Apsinuodijimo simptomai</w:t>
      </w:r>
    </w:p>
    <w:p w14:paraId="094F4436" w14:textId="77777777" w:rsidR="00F00A02" w:rsidRDefault="0027659F">
      <w:pPr>
        <w:widowControl w:val="0"/>
        <w:rPr>
          <w:color w:val="000000"/>
          <w:sz w:val="22"/>
          <w:szCs w:val="22"/>
          <w:lang w:val="sv-SE" w:eastAsia="lt-LT"/>
        </w:rPr>
      </w:pPr>
      <w:r>
        <w:rPr>
          <w:color w:val="000000"/>
          <w:sz w:val="22"/>
          <w:szCs w:val="22"/>
          <w:lang w:val="sv-SE" w:eastAsia="lt-LT"/>
        </w:rPr>
        <w:t>Duomenų apie perdozavimo atvejus žmogui yra nedaug. Labiausiai tikėtini perdozavimo simptomai yra hipotenzija ir tachikardija. Dėl parasimpatinės (klajoklio nervo) stimuliacijos gali pasireikšti bradikardija.</w:t>
      </w:r>
    </w:p>
    <w:p w14:paraId="40F88CE1" w14:textId="77777777" w:rsidR="00F00A02" w:rsidRDefault="00F00A02">
      <w:pPr>
        <w:widowControl w:val="0"/>
        <w:rPr>
          <w:color w:val="000000"/>
          <w:sz w:val="22"/>
          <w:szCs w:val="22"/>
          <w:lang w:val="sv-SE" w:eastAsia="lt-LT"/>
        </w:rPr>
      </w:pPr>
    </w:p>
    <w:p w14:paraId="1A417599" w14:textId="77777777" w:rsidR="00F00A02" w:rsidRDefault="0027659F">
      <w:pPr>
        <w:widowControl w:val="0"/>
        <w:rPr>
          <w:i/>
          <w:color w:val="000000"/>
          <w:sz w:val="22"/>
          <w:szCs w:val="22"/>
          <w:lang w:val="sv-SE" w:eastAsia="lt-LT"/>
        </w:rPr>
      </w:pPr>
      <w:r>
        <w:rPr>
          <w:i/>
          <w:color w:val="000000"/>
          <w:sz w:val="22"/>
          <w:szCs w:val="22"/>
          <w:lang w:val="sv-SE" w:eastAsia="lt-LT"/>
        </w:rPr>
        <w:t>Apsinuodijimo gydymas</w:t>
      </w:r>
    </w:p>
    <w:p w14:paraId="5C492A99" w14:textId="77777777" w:rsidR="00F00A02" w:rsidRDefault="0027659F">
      <w:pPr>
        <w:widowControl w:val="0"/>
        <w:rPr>
          <w:color w:val="000000"/>
          <w:sz w:val="22"/>
          <w:szCs w:val="22"/>
          <w:lang w:val="sv-SE" w:eastAsia="lt-LT"/>
        </w:rPr>
      </w:pPr>
      <w:r>
        <w:rPr>
          <w:color w:val="000000"/>
          <w:sz w:val="22"/>
          <w:szCs w:val="22"/>
          <w:lang w:val="sv-SE" w:eastAsia="lt-LT"/>
        </w:rPr>
        <w:t>Pasireiškus simptominei hipotenzijai reikia pradėti palaikomąjį gydymą.</w:t>
      </w:r>
    </w:p>
    <w:p w14:paraId="7DF41C60" w14:textId="77777777" w:rsidR="00F00A02" w:rsidRDefault="0027659F">
      <w:pPr>
        <w:widowControl w:val="0"/>
        <w:rPr>
          <w:color w:val="000000"/>
          <w:sz w:val="22"/>
          <w:szCs w:val="22"/>
          <w:lang w:val="sv-SE" w:eastAsia="lt-LT"/>
        </w:rPr>
      </w:pPr>
      <w:r>
        <w:rPr>
          <w:color w:val="000000"/>
          <w:sz w:val="22"/>
          <w:szCs w:val="22"/>
          <w:lang w:val="sv-SE" w:eastAsia="lt-LT"/>
        </w:rPr>
        <w:t xml:space="preserve">Gydymas priklauso nuo laiko, praėjusio po vaistinio preparato vartojimo, ir simptomų pobūdžio bei sunkumo. Pirmiausia reikia stabilizuoti širdies ir kraujagyslių sistemą. Jeigu vaistinio preparato buvo pavartota per burną, reikia duoti gerti pakankamą aktyvintos anglies dozę. Būtina atidžiai stebėti gyvybinių funkcijų parametrus, prireikus </w:t>
      </w:r>
      <w:r>
        <w:rPr>
          <w:color w:val="000000"/>
          <w:sz w:val="22"/>
          <w:szCs w:val="22"/>
          <w:lang w:eastAsia="lt-LT"/>
        </w:rPr>
        <w:sym w:font="Symbol" w:char="F02D"/>
      </w:r>
      <w:r>
        <w:rPr>
          <w:color w:val="000000"/>
          <w:sz w:val="22"/>
          <w:szCs w:val="22"/>
          <w:lang w:val="sv-SE" w:eastAsia="lt-LT"/>
        </w:rPr>
        <w:t xml:space="preserve"> juos koreguoti.</w:t>
      </w:r>
    </w:p>
    <w:p w14:paraId="18F18531" w14:textId="77777777" w:rsidR="00F00A02" w:rsidRDefault="0027659F">
      <w:pPr>
        <w:widowControl w:val="0"/>
        <w:rPr>
          <w:color w:val="000000"/>
          <w:sz w:val="22"/>
          <w:szCs w:val="22"/>
          <w:lang w:val="sv-SE" w:eastAsia="lt-LT"/>
        </w:rPr>
      </w:pPr>
      <w:r>
        <w:rPr>
          <w:color w:val="000000"/>
          <w:sz w:val="22"/>
          <w:szCs w:val="22"/>
          <w:lang w:val="sv-SE" w:eastAsia="lt-LT"/>
        </w:rPr>
        <w:t>Hemodialize neįmanoma pašalinti nei losartano, nei aktyvaus jo metabolito.</w:t>
      </w:r>
    </w:p>
    <w:p w14:paraId="048F5516" w14:textId="77777777" w:rsidR="00F00A02" w:rsidRDefault="00F00A02">
      <w:pPr>
        <w:widowControl w:val="0"/>
        <w:rPr>
          <w:sz w:val="22"/>
          <w:szCs w:val="22"/>
          <w:lang w:eastAsia="lt-LT"/>
        </w:rPr>
      </w:pPr>
    </w:p>
    <w:p w14:paraId="09BFEDE2" w14:textId="77777777" w:rsidR="00F00A02" w:rsidRDefault="00F00A02">
      <w:pPr>
        <w:widowControl w:val="0"/>
        <w:rPr>
          <w:sz w:val="22"/>
          <w:szCs w:val="22"/>
          <w:lang w:eastAsia="lt-LT"/>
        </w:rPr>
      </w:pPr>
    </w:p>
    <w:p w14:paraId="2315B61E" w14:textId="77777777" w:rsidR="00F00A02" w:rsidRDefault="0027659F">
      <w:pPr>
        <w:widowControl w:val="0"/>
        <w:ind w:left="567" w:hanging="567"/>
        <w:outlineLvl w:val="1"/>
        <w:rPr>
          <w:b/>
          <w:sz w:val="22"/>
          <w:szCs w:val="22"/>
          <w:lang w:val="sv-SE" w:eastAsia="lt-LT"/>
        </w:rPr>
      </w:pPr>
      <w:r>
        <w:rPr>
          <w:b/>
          <w:sz w:val="22"/>
          <w:szCs w:val="22"/>
          <w:lang w:val="sv-SE" w:eastAsia="lt-LT"/>
        </w:rPr>
        <w:t>5.</w:t>
      </w:r>
      <w:r>
        <w:rPr>
          <w:b/>
          <w:sz w:val="22"/>
          <w:szCs w:val="22"/>
          <w:lang w:val="sv-SE" w:eastAsia="lt-LT"/>
        </w:rPr>
        <w:tab/>
        <w:t>FARMAKOLOGINĖS savybės</w:t>
      </w:r>
    </w:p>
    <w:p w14:paraId="12F86D86" w14:textId="77777777" w:rsidR="00F00A02" w:rsidRDefault="00F00A02">
      <w:pPr>
        <w:widowControl w:val="0"/>
        <w:ind w:left="567" w:hanging="567"/>
        <w:rPr>
          <w:bCs/>
          <w:color w:val="000000"/>
          <w:sz w:val="22"/>
          <w:szCs w:val="22"/>
          <w:lang w:val="sv-SE" w:eastAsia="lt-LT"/>
        </w:rPr>
      </w:pPr>
    </w:p>
    <w:p w14:paraId="5F8E723D" w14:textId="77777777" w:rsidR="00F00A02" w:rsidRDefault="0027659F">
      <w:pPr>
        <w:widowControl w:val="0"/>
        <w:ind w:left="567" w:hanging="567"/>
        <w:outlineLvl w:val="2"/>
        <w:rPr>
          <w:b/>
          <w:bCs/>
          <w:sz w:val="22"/>
          <w:szCs w:val="22"/>
          <w:lang w:eastAsia="lt-LT"/>
        </w:rPr>
      </w:pPr>
      <w:r>
        <w:rPr>
          <w:b/>
          <w:bCs/>
          <w:sz w:val="22"/>
          <w:szCs w:val="22"/>
          <w:lang w:eastAsia="lt-LT"/>
        </w:rPr>
        <w:t>5.1</w:t>
      </w:r>
      <w:r>
        <w:rPr>
          <w:b/>
          <w:bCs/>
          <w:sz w:val="22"/>
          <w:szCs w:val="22"/>
          <w:lang w:eastAsia="lt-LT"/>
        </w:rPr>
        <w:tab/>
        <w:t>Farmakodinaminės savybės</w:t>
      </w:r>
    </w:p>
    <w:p w14:paraId="76C16FB7" w14:textId="77777777" w:rsidR="00F00A02" w:rsidRDefault="00F00A02">
      <w:pPr>
        <w:widowControl w:val="0"/>
        <w:ind w:left="567" w:hanging="567"/>
        <w:rPr>
          <w:color w:val="000000"/>
          <w:sz w:val="22"/>
          <w:szCs w:val="22"/>
          <w:lang w:val="sv-SE"/>
        </w:rPr>
      </w:pPr>
    </w:p>
    <w:p w14:paraId="75E7AC59" w14:textId="77777777" w:rsidR="00F00A02" w:rsidRDefault="0027659F">
      <w:pPr>
        <w:widowControl w:val="0"/>
        <w:ind w:left="567" w:hanging="567"/>
        <w:rPr>
          <w:color w:val="000000"/>
          <w:sz w:val="22"/>
          <w:szCs w:val="22"/>
          <w:lang w:val="sv-SE" w:eastAsia="lt-LT"/>
        </w:rPr>
      </w:pPr>
      <w:r>
        <w:rPr>
          <w:bCs/>
          <w:color w:val="000000"/>
          <w:sz w:val="22"/>
          <w:szCs w:val="22"/>
          <w:lang w:val="sv-SE" w:eastAsia="lt-LT"/>
        </w:rPr>
        <w:t>Farmakoterapinė grupė</w:t>
      </w:r>
      <w:r>
        <w:rPr>
          <w:b/>
          <w:bCs/>
          <w:color w:val="000000"/>
          <w:sz w:val="22"/>
          <w:szCs w:val="22"/>
          <w:lang w:val="sv-SE" w:eastAsia="lt-LT"/>
        </w:rPr>
        <w:t xml:space="preserve"> </w:t>
      </w:r>
      <w:r>
        <w:rPr>
          <w:b/>
          <w:bCs/>
          <w:color w:val="000000"/>
          <w:sz w:val="22"/>
          <w:szCs w:val="22"/>
          <w:lang w:eastAsia="lt-LT"/>
        </w:rPr>
        <w:sym w:font="Symbol" w:char="F02D"/>
      </w:r>
      <w:r>
        <w:rPr>
          <w:b/>
          <w:bCs/>
          <w:color w:val="000000"/>
          <w:sz w:val="22"/>
          <w:szCs w:val="22"/>
          <w:lang w:val="sv-SE" w:eastAsia="lt-LT"/>
        </w:rPr>
        <w:t xml:space="preserve"> </w:t>
      </w:r>
      <w:r>
        <w:rPr>
          <w:color w:val="000000"/>
          <w:sz w:val="22"/>
          <w:szCs w:val="22"/>
          <w:lang w:val="sv-SE" w:eastAsia="lt-LT"/>
        </w:rPr>
        <w:t xml:space="preserve">angiotenzino II receptorių antagonistai, gryni. ATC kodas </w:t>
      </w:r>
      <w:r>
        <w:rPr>
          <w:color w:val="000000"/>
          <w:sz w:val="22"/>
          <w:szCs w:val="22"/>
          <w:lang w:eastAsia="lt-LT"/>
        </w:rPr>
        <w:sym w:font="Symbol" w:char="F02D"/>
      </w:r>
      <w:r>
        <w:rPr>
          <w:color w:val="000000"/>
          <w:sz w:val="22"/>
          <w:szCs w:val="22"/>
          <w:lang w:val="sv-SE" w:eastAsia="lt-LT"/>
        </w:rPr>
        <w:t xml:space="preserve"> </w:t>
      </w:r>
      <w:r>
        <w:rPr>
          <w:color w:val="000000"/>
          <w:spacing w:val="-3"/>
          <w:sz w:val="22"/>
          <w:szCs w:val="22"/>
          <w:lang w:val="sv-SE" w:eastAsia="lt-LT"/>
        </w:rPr>
        <w:t>C09CA01</w:t>
      </w:r>
      <w:r>
        <w:rPr>
          <w:color w:val="000000"/>
          <w:sz w:val="22"/>
          <w:szCs w:val="22"/>
          <w:lang w:val="sv-SE" w:eastAsia="lt-LT"/>
        </w:rPr>
        <w:t>.</w:t>
      </w:r>
    </w:p>
    <w:p w14:paraId="53CBCFB0" w14:textId="77777777" w:rsidR="00F00A02" w:rsidRDefault="00F00A02">
      <w:pPr>
        <w:widowControl w:val="0"/>
        <w:rPr>
          <w:sz w:val="22"/>
          <w:szCs w:val="22"/>
          <w:lang w:eastAsia="lt-LT"/>
        </w:rPr>
      </w:pPr>
    </w:p>
    <w:p w14:paraId="4CEB686E" w14:textId="77777777" w:rsidR="00F00A02" w:rsidRDefault="0027659F">
      <w:pPr>
        <w:widowControl w:val="0"/>
        <w:rPr>
          <w:color w:val="000000"/>
          <w:sz w:val="22"/>
          <w:szCs w:val="22"/>
          <w:lang w:val="sv-SE" w:eastAsia="lt-LT"/>
        </w:rPr>
      </w:pPr>
      <w:r>
        <w:rPr>
          <w:color w:val="000000"/>
          <w:sz w:val="22"/>
          <w:szCs w:val="22"/>
          <w:lang w:val="sv-SE" w:eastAsia="lt-LT"/>
        </w:rPr>
        <w:t>Losartanas yra sintetinis geriamasis angiotenzinui II jautrių receptorių (AT</w:t>
      </w:r>
      <w:r>
        <w:rPr>
          <w:color w:val="000000"/>
          <w:sz w:val="22"/>
          <w:szCs w:val="22"/>
          <w:vertAlign w:val="subscript"/>
          <w:lang w:val="sv-SE" w:eastAsia="lt-LT"/>
        </w:rPr>
        <w:t>1</w:t>
      </w:r>
      <w:r>
        <w:rPr>
          <w:color w:val="000000"/>
          <w:sz w:val="22"/>
          <w:szCs w:val="22"/>
          <w:lang w:val="sv-SE" w:eastAsia="lt-LT"/>
        </w:rPr>
        <w:t xml:space="preserve"> tipo) blokatorius. Stiprus vazokonstriktorius angiotenzinas II yra svarbiausias aktyvus renino ir angiotenzino sistemos hormonas ir svarbus hipertenzijos patofiziologiją lemiantis veiksnys. Angiotenzinas II prisijungia prie AT</w:t>
      </w:r>
      <w:r>
        <w:rPr>
          <w:color w:val="000000"/>
          <w:sz w:val="22"/>
          <w:szCs w:val="22"/>
          <w:vertAlign w:val="subscript"/>
          <w:lang w:val="sv-SE" w:eastAsia="lt-LT"/>
        </w:rPr>
        <w:t>1</w:t>
      </w:r>
      <w:r>
        <w:rPr>
          <w:color w:val="000000"/>
          <w:sz w:val="22"/>
          <w:szCs w:val="22"/>
          <w:lang w:val="sv-SE" w:eastAsia="lt-LT"/>
        </w:rPr>
        <w:t xml:space="preserve"> receptorių, kurių yra daugelyje audinių (pvz., lygiuosiuose kraujagyslių raumenyse, antinksčiuose, inkstuose ir širdyje), todėl sukelia tam tikrą biologinį poveikį, įskaitant vazokonstrikciją bei aldosterono išsiskyrimą. Be to, angiotenzinas II stimuliuoja lygiųjų raumenų ląstelių proliferaciją.</w:t>
      </w:r>
    </w:p>
    <w:p w14:paraId="7E122776" w14:textId="77777777" w:rsidR="00F00A02" w:rsidRDefault="00F00A02">
      <w:pPr>
        <w:widowControl w:val="0"/>
        <w:rPr>
          <w:color w:val="000000"/>
          <w:sz w:val="22"/>
          <w:szCs w:val="22"/>
          <w:lang w:val="sv-SE" w:eastAsia="lt-LT"/>
        </w:rPr>
      </w:pPr>
    </w:p>
    <w:p w14:paraId="1980E277" w14:textId="77777777" w:rsidR="00F00A02" w:rsidRDefault="0027659F">
      <w:pPr>
        <w:widowControl w:val="0"/>
        <w:rPr>
          <w:color w:val="000000"/>
          <w:sz w:val="22"/>
          <w:szCs w:val="22"/>
          <w:lang w:val="sv-SE" w:eastAsia="lt-LT"/>
        </w:rPr>
      </w:pPr>
      <w:r>
        <w:rPr>
          <w:color w:val="000000"/>
          <w:sz w:val="22"/>
          <w:szCs w:val="22"/>
          <w:lang w:val="sv-SE" w:eastAsia="lt-LT"/>
        </w:rPr>
        <w:t>Losartanas selektyviai blokuoja AT</w:t>
      </w:r>
      <w:r>
        <w:rPr>
          <w:color w:val="000000"/>
          <w:sz w:val="22"/>
          <w:szCs w:val="22"/>
          <w:vertAlign w:val="subscript"/>
          <w:lang w:val="sv-SE" w:eastAsia="lt-LT"/>
        </w:rPr>
        <w:t>1</w:t>
      </w:r>
      <w:r>
        <w:rPr>
          <w:color w:val="000000"/>
          <w:sz w:val="22"/>
          <w:szCs w:val="22"/>
          <w:lang w:val="sv-SE" w:eastAsia="lt-LT"/>
        </w:rPr>
        <w:t xml:space="preserve"> receptorius. Tiek losartanas, tiek jo farmakologiškai aktyvus karboksirūgšties metabolitas (E-3174) </w:t>
      </w:r>
      <w:r>
        <w:rPr>
          <w:i/>
          <w:color w:val="000000"/>
          <w:sz w:val="22"/>
          <w:szCs w:val="22"/>
          <w:lang w:val="sv-SE" w:eastAsia="lt-LT"/>
        </w:rPr>
        <w:t>in vitro</w:t>
      </w:r>
      <w:r>
        <w:rPr>
          <w:color w:val="000000"/>
          <w:sz w:val="22"/>
          <w:szCs w:val="22"/>
          <w:lang w:val="sv-SE" w:eastAsia="lt-LT"/>
        </w:rPr>
        <w:t xml:space="preserve"> ir </w:t>
      </w:r>
      <w:r>
        <w:rPr>
          <w:i/>
          <w:color w:val="000000"/>
          <w:sz w:val="22"/>
          <w:szCs w:val="22"/>
          <w:lang w:val="sv-SE" w:eastAsia="lt-LT"/>
        </w:rPr>
        <w:t>in vivo</w:t>
      </w:r>
      <w:r>
        <w:rPr>
          <w:color w:val="000000"/>
          <w:sz w:val="22"/>
          <w:szCs w:val="22"/>
          <w:lang w:val="sv-SE" w:eastAsia="lt-LT"/>
        </w:rPr>
        <w:t xml:space="preserve"> blokuoja visą fiziologiškai reikšmingą angiotenzino II poveikį, nesvarbu, koks jo sintezės būdas ir šaltinis.</w:t>
      </w:r>
    </w:p>
    <w:p w14:paraId="007CA7CE" w14:textId="77777777" w:rsidR="00F00A02" w:rsidRDefault="00F00A02">
      <w:pPr>
        <w:widowControl w:val="0"/>
        <w:rPr>
          <w:color w:val="000000"/>
          <w:sz w:val="22"/>
          <w:szCs w:val="22"/>
          <w:lang w:val="sv-SE" w:eastAsia="lt-LT"/>
        </w:rPr>
      </w:pPr>
    </w:p>
    <w:p w14:paraId="493E42A2" w14:textId="77777777" w:rsidR="00F00A02" w:rsidRDefault="0027659F">
      <w:pPr>
        <w:widowControl w:val="0"/>
        <w:rPr>
          <w:color w:val="000000"/>
          <w:sz w:val="22"/>
          <w:szCs w:val="22"/>
          <w:lang w:val="sv-SE" w:eastAsia="lt-LT"/>
        </w:rPr>
      </w:pPr>
      <w:r>
        <w:rPr>
          <w:color w:val="000000"/>
          <w:sz w:val="22"/>
          <w:szCs w:val="22"/>
          <w:lang w:val="sv-SE" w:eastAsia="lt-LT"/>
        </w:rPr>
        <w:t>Losartanas nedaro agonistinio poveikio ir neblokuoja kitų kardiovaskulinės sistemos reguliacijai svarbių hormonų receptorių ar jonų kanalų. Be to, losartanas neslopina AKF (kininazės II) – fermento, kuris skaldo bradikininą. Dėl to neskatinamas bradikinino medijuojamas nepageidaujamas poveikis.</w:t>
      </w:r>
    </w:p>
    <w:p w14:paraId="748F0E8D" w14:textId="77777777" w:rsidR="00F00A02" w:rsidRDefault="00F00A02">
      <w:pPr>
        <w:widowControl w:val="0"/>
        <w:rPr>
          <w:color w:val="000000"/>
          <w:sz w:val="22"/>
          <w:szCs w:val="22"/>
          <w:lang w:val="sv-SE" w:eastAsia="lt-LT"/>
        </w:rPr>
      </w:pPr>
    </w:p>
    <w:p w14:paraId="2F2E2A64" w14:textId="77777777" w:rsidR="00F00A02" w:rsidRDefault="0027659F">
      <w:pPr>
        <w:widowControl w:val="0"/>
        <w:rPr>
          <w:color w:val="000000"/>
          <w:sz w:val="22"/>
          <w:szCs w:val="22"/>
          <w:lang w:val="sv-SE" w:eastAsia="lt-LT"/>
        </w:rPr>
      </w:pPr>
      <w:r>
        <w:rPr>
          <w:color w:val="000000"/>
          <w:sz w:val="22"/>
          <w:szCs w:val="22"/>
          <w:lang w:val="sv-SE" w:eastAsia="lt-LT"/>
        </w:rPr>
        <w:t>Kai vartojama losartano, kraujo plazmoje padidėja renino aktyvumas, nes nefunkcionuoja neigiamas grįžtamasis ryšys tarp angiotenzino II koncentracijos ir renino sekrecijos. Padidėjus renino aktyvumui kraujo plazmoje, padidėja angiotenzino II koncentracija plazmoje. Nepaisant jos padidėjimo, antihipertenzinis aktyvumas bei aldosterono koncentracijos mažinimas išlieka, vadinasi, angiotenzinui II jautrių receptorių blokada yra veiksminga. Nutraukus losartano vartojimą kraujo plazmoje renino aktyvumas ir angiotenzino II kiekis per tris paras sumažėja iki pradinių reikšmių.</w:t>
      </w:r>
    </w:p>
    <w:p w14:paraId="191CF8DA" w14:textId="77777777" w:rsidR="00F00A02" w:rsidRDefault="00F00A02">
      <w:pPr>
        <w:widowControl w:val="0"/>
        <w:rPr>
          <w:color w:val="000000"/>
          <w:sz w:val="22"/>
          <w:szCs w:val="22"/>
          <w:lang w:val="sv-SE" w:eastAsia="lt-LT"/>
        </w:rPr>
      </w:pPr>
    </w:p>
    <w:p w14:paraId="0783715B" w14:textId="77777777" w:rsidR="00F00A02" w:rsidRDefault="0027659F">
      <w:pPr>
        <w:widowControl w:val="0"/>
        <w:rPr>
          <w:color w:val="000000"/>
          <w:sz w:val="22"/>
          <w:szCs w:val="22"/>
          <w:lang w:val="sv-SE" w:eastAsia="lt-LT"/>
        </w:rPr>
      </w:pPr>
      <w:r>
        <w:rPr>
          <w:color w:val="000000"/>
          <w:sz w:val="22"/>
          <w:szCs w:val="22"/>
          <w:lang w:val="sv-SE" w:eastAsia="lt-LT"/>
        </w:rPr>
        <w:t>Tiek losartano, tiek svarbiausio aktyvaus jo metabolito afinitetas AT</w:t>
      </w:r>
      <w:r>
        <w:rPr>
          <w:color w:val="000000"/>
          <w:sz w:val="22"/>
          <w:szCs w:val="22"/>
          <w:vertAlign w:val="subscript"/>
          <w:lang w:val="sv-SE" w:eastAsia="lt-LT"/>
        </w:rPr>
        <w:t>1</w:t>
      </w:r>
      <w:r>
        <w:rPr>
          <w:color w:val="000000"/>
          <w:sz w:val="22"/>
          <w:szCs w:val="22"/>
          <w:lang w:val="sv-SE" w:eastAsia="lt-LT"/>
        </w:rPr>
        <w:t xml:space="preserve"> receptoriams yra daug didesnis nei AT</w:t>
      </w:r>
      <w:r>
        <w:rPr>
          <w:color w:val="000000"/>
          <w:sz w:val="22"/>
          <w:szCs w:val="22"/>
          <w:vertAlign w:val="subscript"/>
          <w:lang w:val="sv-SE" w:eastAsia="lt-LT"/>
        </w:rPr>
        <w:t>2</w:t>
      </w:r>
      <w:r>
        <w:rPr>
          <w:color w:val="000000"/>
          <w:sz w:val="22"/>
          <w:szCs w:val="22"/>
          <w:lang w:val="sv-SE" w:eastAsia="lt-LT"/>
        </w:rPr>
        <w:t xml:space="preserve"> receptoriams. Aktyvaus metabolito poveikis yra 10 - 40 kartų stipresnis nei losartano, vertinant atititinkamu svorio santykiu.</w:t>
      </w:r>
    </w:p>
    <w:p w14:paraId="58A05F56" w14:textId="77777777" w:rsidR="00F00A02" w:rsidRDefault="00F00A02">
      <w:pPr>
        <w:widowControl w:val="0"/>
        <w:rPr>
          <w:color w:val="000000"/>
          <w:sz w:val="22"/>
          <w:szCs w:val="22"/>
          <w:lang w:val="sv-SE" w:eastAsia="lt-LT"/>
        </w:rPr>
      </w:pPr>
    </w:p>
    <w:p w14:paraId="1B7657B0" w14:textId="77777777" w:rsidR="00F00A02" w:rsidRDefault="0027659F">
      <w:pPr>
        <w:widowControl w:val="0"/>
        <w:tabs>
          <w:tab w:val="left" w:pos="0"/>
          <w:tab w:val="left" w:pos="567"/>
        </w:tabs>
        <w:rPr>
          <w:rFonts w:eastAsia="Calibri"/>
          <w:spacing w:val="-3"/>
          <w:sz w:val="22"/>
          <w:szCs w:val="22"/>
          <w:lang w:eastAsia="en-US"/>
        </w:rPr>
      </w:pPr>
      <w:r>
        <w:rPr>
          <w:rFonts w:eastAsia="Calibri"/>
          <w:spacing w:val="-3"/>
          <w:sz w:val="22"/>
          <w:szCs w:val="22"/>
          <w:lang w:eastAsia="en-US"/>
        </w:rPr>
        <w:t>Tyrime, specialiai skirtame įvertinti kosulio dažnį pacientams, gydytiems losartanu, palyginti su pacientais, gydytais AKF inhibitoriais, kosulio dažnis pacientams, vartojusiems losartaną arba hidrochlorotiazidą, buvo panašus ir reikšmingai mažesnis nei pacientams, gydytiems AKF inhibitoriais. Be to, bendroje 16 dvigubai aklų klinikinių tyrimų, kuriuose dalyvavo 4 131 pacientas, analizėje spontaniškai pranešto kosulio dažnis pacientams, gydytiems losartanu (3,1 %), buvo panašus į tų, kurie gavo placebą (2,6 %) arba hidrochlorotiazidą (4,1 %), tuo tarpu pacientams, gydytiems AKF inhibitoriais, kosulio dažnis buvo 8,8 %.</w:t>
      </w:r>
    </w:p>
    <w:p w14:paraId="260EAE91" w14:textId="77777777" w:rsidR="00F00A02" w:rsidRDefault="00F00A02">
      <w:pPr>
        <w:widowControl w:val="0"/>
        <w:tabs>
          <w:tab w:val="left" w:pos="0"/>
          <w:tab w:val="left" w:pos="567"/>
        </w:tabs>
        <w:rPr>
          <w:rFonts w:eastAsia="Calibri"/>
          <w:spacing w:val="-3"/>
          <w:sz w:val="22"/>
          <w:szCs w:val="22"/>
          <w:lang w:eastAsia="en-US"/>
        </w:rPr>
      </w:pPr>
    </w:p>
    <w:p w14:paraId="1C4BA9EC" w14:textId="3671424F" w:rsidR="00F00A02" w:rsidRPr="00824162" w:rsidRDefault="0027659F" w:rsidP="00824162">
      <w:pPr>
        <w:widowControl w:val="0"/>
        <w:tabs>
          <w:tab w:val="left" w:pos="0"/>
          <w:tab w:val="left" w:pos="567"/>
        </w:tabs>
        <w:rPr>
          <w:rFonts w:eastAsia="Calibri"/>
          <w:spacing w:val="-3"/>
          <w:sz w:val="22"/>
          <w:szCs w:val="22"/>
          <w:lang w:eastAsia="en-US"/>
        </w:rPr>
      </w:pPr>
      <w:r>
        <w:rPr>
          <w:rFonts w:eastAsia="Calibri"/>
          <w:spacing w:val="-3"/>
          <w:sz w:val="22"/>
          <w:szCs w:val="22"/>
          <w:lang w:eastAsia="en-US"/>
        </w:rPr>
        <w:t xml:space="preserve">Pacientams, sergantiems hipertenzija ir turintiems proteinuriją, bet nesergantiems cukriniu diabetu, losartano kalio skyrimas reikšmingai sumažina proteinuriją, albumino ir IgG frakcinę ekskreciją. Losartanas palaiko glomerulų filtracijos greitį ir mažina filtracijos frakciją. Apskritai losartanas mažina šlapimo rūgšties kiekį serume (paprastai &lt; 0,4 mg/dl), ir šis poveikis išlieka ilgalaikio gydymo metu. Losartanas neveikia autonominių refleksų ir nesukelia ilgalaikio poveikio plazmos norepinefrino kiekiui. Pacientams, sergantiems kairiojo skilvelio nepakankamumu, 25 mg ir 50 mg losartano dozės sukėlė </w:t>
      </w:r>
      <w:r>
        <w:rPr>
          <w:rFonts w:eastAsia="Calibri"/>
          <w:spacing w:val="-3"/>
          <w:sz w:val="22"/>
          <w:szCs w:val="22"/>
          <w:lang w:eastAsia="en-US"/>
        </w:rPr>
        <w:lastRenderedPageBreak/>
        <w:t xml:space="preserve">teigiamą hemodinaminį ir neurohormoninį poveikį, pasireiškiantį padidėjusiu širdies indeksu ir sumažėjusiu plaučių kapiliarų </w:t>
      </w:r>
      <w:r w:rsidR="00AE72CE">
        <w:rPr>
          <w:rFonts w:eastAsia="Calibri"/>
          <w:spacing w:val="-3"/>
          <w:sz w:val="22"/>
          <w:szCs w:val="22"/>
          <w:lang w:eastAsia="en-US"/>
        </w:rPr>
        <w:t>pleištiniu</w:t>
      </w:r>
      <w:r>
        <w:rPr>
          <w:rFonts w:eastAsia="Calibri"/>
          <w:spacing w:val="-3"/>
          <w:sz w:val="22"/>
          <w:szCs w:val="22"/>
          <w:lang w:eastAsia="en-US"/>
        </w:rPr>
        <w:t xml:space="preserve"> spaudimu, sisteminiu kraujagyslių pasipriešinimu, vidutiniu sisteminiu arteriniu kraujospūdžiu, širdies susitraukimų dažniu bei sumažėjusiu cirkuliuojančio aldosterono ir norepinefrino kiekiu. Šių širdies nepakankamumu sergančių pacientų hipotenzijos pasireiškimas buvo susijęs su vartojamos dozės dydžiu.</w:t>
      </w:r>
    </w:p>
    <w:p w14:paraId="1DC293E2" w14:textId="77777777" w:rsidR="00F00A02" w:rsidRDefault="00F00A02">
      <w:pPr>
        <w:widowControl w:val="0"/>
        <w:rPr>
          <w:color w:val="000000"/>
          <w:sz w:val="22"/>
          <w:szCs w:val="22"/>
          <w:lang w:val="sv-SE" w:eastAsia="lt-LT"/>
        </w:rPr>
      </w:pPr>
    </w:p>
    <w:p w14:paraId="4CB01413" w14:textId="77777777" w:rsidR="00F00A02" w:rsidRDefault="0027659F">
      <w:pPr>
        <w:widowControl w:val="0"/>
        <w:ind w:left="567" w:hanging="567"/>
        <w:outlineLvl w:val="1"/>
        <w:rPr>
          <w:b/>
          <w:sz w:val="22"/>
          <w:szCs w:val="22"/>
          <w:lang w:val="sv-SE" w:eastAsia="lt-LT"/>
        </w:rPr>
      </w:pPr>
      <w:r>
        <w:rPr>
          <w:b/>
          <w:sz w:val="22"/>
          <w:szCs w:val="22"/>
          <w:lang w:val="sv-SE" w:eastAsia="lt-LT"/>
        </w:rPr>
        <w:t>Hipertenzijos tyrimai</w:t>
      </w:r>
    </w:p>
    <w:p w14:paraId="19FF07FA" w14:textId="77777777" w:rsidR="00F00A02" w:rsidRDefault="00F00A02">
      <w:pPr>
        <w:widowControl w:val="0"/>
        <w:rPr>
          <w:color w:val="000000"/>
          <w:sz w:val="22"/>
          <w:szCs w:val="22"/>
          <w:lang w:val="sv-SE" w:eastAsia="lt-LT"/>
        </w:rPr>
      </w:pPr>
    </w:p>
    <w:p w14:paraId="67E1CAF3" w14:textId="77777777" w:rsidR="00F00A02" w:rsidRDefault="0027659F">
      <w:pPr>
        <w:widowControl w:val="0"/>
        <w:rPr>
          <w:color w:val="000000"/>
          <w:sz w:val="22"/>
          <w:szCs w:val="22"/>
          <w:lang w:val="sv-SE" w:eastAsia="lt-LT"/>
        </w:rPr>
      </w:pPr>
      <w:r>
        <w:rPr>
          <w:color w:val="000000"/>
          <w:sz w:val="22"/>
          <w:szCs w:val="22"/>
          <w:lang w:val="sv-SE" w:eastAsia="lt-LT"/>
        </w:rPr>
        <w:t>Kontroliuojamų klinikinių tyrimų metu pacientams, sergantiems lengva ar vidutinio sunkumo pirmine hipertenzija, kartą per parą geriama losartano dozė statistiškai reikšmingai sumažino sistolinį ir diastolinį kraujospūdį. Kraujospūdžio matavimo, praėjus 24 val. ir 5 – 6 val. po dozės pavartojimo, duomenų palyginimas rodo, kad kraujospūdis mažėja 24 valandų laikotarpiu. Natūralus kraujospūdžio svyravimas paros metu išliko. Intervalo tarp dozių pabaigoje kraujospūdžio sumažėjimas atitiko maždaug 70-80 % to sumažėjimo, kuris pasireiškė praėjus 5 - 6 val. po preparato pavartojimo.</w:t>
      </w:r>
    </w:p>
    <w:p w14:paraId="5C33B0E8" w14:textId="77777777" w:rsidR="00F00A02" w:rsidRDefault="00F00A02">
      <w:pPr>
        <w:widowControl w:val="0"/>
        <w:rPr>
          <w:color w:val="000000"/>
          <w:sz w:val="22"/>
          <w:szCs w:val="22"/>
          <w:lang w:val="sv-SE" w:eastAsia="lt-LT"/>
        </w:rPr>
      </w:pPr>
    </w:p>
    <w:p w14:paraId="46168BF3" w14:textId="77777777" w:rsidR="00F00A02" w:rsidRDefault="0027659F">
      <w:pPr>
        <w:widowControl w:val="0"/>
        <w:rPr>
          <w:color w:val="000000"/>
          <w:sz w:val="22"/>
          <w:szCs w:val="22"/>
          <w:lang w:val="sv-SE" w:eastAsia="lt-LT"/>
        </w:rPr>
      </w:pPr>
      <w:r>
        <w:rPr>
          <w:color w:val="000000"/>
          <w:sz w:val="22"/>
          <w:szCs w:val="22"/>
          <w:lang w:val="sv-SE" w:eastAsia="lt-LT"/>
        </w:rPr>
        <w:t>Losartano vartojimą nutraukus, hipertenzija sergantiems pacientams kraujospūdis staiga nepadidėjo. Nors losartanas ženkliai sumažina kraujospūdį, bet klinikai reikšmingai neveikia širdies susitraukimų dažnio.</w:t>
      </w:r>
    </w:p>
    <w:p w14:paraId="6A03B0AF" w14:textId="77777777" w:rsidR="00F00A02" w:rsidRDefault="00F00A02">
      <w:pPr>
        <w:widowControl w:val="0"/>
        <w:rPr>
          <w:color w:val="000000"/>
          <w:sz w:val="22"/>
          <w:szCs w:val="22"/>
          <w:lang w:val="sv-SE" w:eastAsia="lt-LT"/>
        </w:rPr>
      </w:pPr>
    </w:p>
    <w:p w14:paraId="2A9E0763" w14:textId="77777777" w:rsidR="00F00A02" w:rsidRDefault="0027659F">
      <w:pPr>
        <w:widowControl w:val="0"/>
        <w:rPr>
          <w:color w:val="000000"/>
          <w:sz w:val="22"/>
          <w:szCs w:val="22"/>
          <w:lang w:val="sv-SE" w:eastAsia="lt-LT"/>
        </w:rPr>
      </w:pPr>
      <w:r>
        <w:rPr>
          <w:color w:val="000000"/>
          <w:sz w:val="22"/>
          <w:szCs w:val="22"/>
          <w:lang w:val="sv-SE" w:eastAsia="lt-LT"/>
        </w:rPr>
        <w:t>Losartanas vienodai veiksmingas vyrams ir moterims, jaunesniems kaip 65 metų ir vyresniems pacientams, sergantiems hipertenzija.</w:t>
      </w:r>
    </w:p>
    <w:p w14:paraId="0B8E2454" w14:textId="77777777" w:rsidR="00F00A02" w:rsidRDefault="00F00A02">
      <w:pPr>
        <w:widowControl w:val="0"/>
        <w:rPr>
          <w:color w:val="000000"/>
          <w:sz w:val="22"/>
          <w:szCs w:val="22"/>
          <w:lang w:val="sv-SE" w:eastAsia="lt-LT"/>
        </w:rPr>
      </w:pPr>
    </w:p>
    <w:p w14:paraId="6714694E" w14:textId="77777777" w:rsidR="00F00A02" w:rsidRDefault="0027659F">
      <w:pPr>
        <w:widowControl w:val="0"/>
        <w:rPr>
          <w:color w:val="000000"/>
          <w:sz w:val="22"/>
          <w:szCs w:val="22"/>
          <w:u w:val="single"/>
          <w:lang w:val="sv-SE" w:eastAsia="lt-LT"/>
        </w:rPr>
      </w:pPr>
      <w:r>
        <w:rPr>
          <w:i/>
          <w:iCs/>
          <w:color w:val="000000"/>
          <w:sz w:val="22"/>
          <w:szCs w:val="22"/>
          <w:u w:val="single"/>
          <w:lang w:val="sv-SE" w:eastAsia="lt-LT"/>
        </w:rPr>
        <w:t>LIFE</w:t>
      </w:r>
      <w:r>
        <w:rPr>
          <w:color w:val="000000"/>
          <w:sz w:val="22"/>
          <w:szCs w:val="22"/>
          <w:u w:val="single"/>
          <w:lang w:val="sv-SE" w:eastAsia="lt-LT"/>
        </w:rPr>
        <w:t xml:space="preserve"> tyrimas</w:t>
      </w:r>
    </w:p>
    <w:p w14:paraId="1518B76C" w14:textId="77777777" w:rsidR="00F00A02" w:rsidRDefault="0027659F">
      <w:pPr>
        <w:widowControl w:val="0"/>
        <w:rPr>
          <w:color w:val="000000"/>
          <w:sz w:val="22"/>
          <w:szCs w:val="22"/>
          <w:lang w:val="sv-SE" w:eastAsia="lt-LT"/>
        </w:rPr>
      </w:pPr>
      <w:r>
        <w:rPr>
          <w:color w:val="000000"/>
          <w:sz w:val="22"/>
          <w:szCs w:val="22"/>
          <w:lang w:val="sv-SE" w:eastAsia="lt-LT"/>
        </w:rPr>
        <w:t xml:space="preserve">Losartano poveikio hipertenzijos vertinamąjai baigčiai mažinti tyrimas (angl.The Losartan Intervention For Endpoint reduction in hypertension </w:t>
      </w:r>
      <w:r>
        <w:rPr>
          <w:i/>
          <w:iCs/>
          <w:color w:val="000000"/>
          <w:sz w:val="22"/>
          <w:szCs w:val="22"/>
          <w:lang w:val="sv-SE" w:eastAsia="lt-LT"/>
        </w:rPr>
        <w:t>(LIFE</w:t>
      </w:r>
      <w:r>
        <w:rPr>
          <w:color w:val="000000"/>
          <w:sz w:val="22"/>
          <w:szCs w:val="22"/>
          <w:lang w:val="sv-SE" w:eastAsia="lt-LT"/>
        </w:rPr>
        <w:t>)) buvo atsitiktinių imčių, trigubai aklas, aktyviu vaistiniu preparatu kontroliuojamas tyrimas, kuriame dalyvavo 9193 hipertenzija sergantys 55 - 80 metų pacientai, kuriems EKG tyrimu buvo nustatyta kairiojo skilvelio hipertrofija. Tiriamieji atsitiktinių imčių būdu buvo atrinkti vartoti 50 mg losartano arba 50 mg atenololio kartą per parą. Jei kraujospūdis reikiamai nemažėjo (t. y. netapo &lt; 140/90 mm Hg), pirmiausia buvo skirta papildomai vartoti 12,5 mg hidrochlorotiazido paros dozę, vėliau prireikus losartano ar atenololio dozė buvo didinama iki 100 mg kartą per parą. Kad kraujospūdis mažėtų tiek, kiek reikia, prireikus buvo skiriama papildomai vartoti kitokių antihipertenzinių vaistinių preparatų, išskyrus AKF inhibitorius, angiotenzinui II jautrių receptorių blokatorius ir beta adrenoblokatorius.</w:t>
      </w:r>
    </w:p>
    <w:p w14:paraId="704154CB" w14:textId="77777777" w:rsidR="00F00A02" w:rsidRDefault="00F00A02">
      <w:pPr>
        <w:widowControl w:val="0"/>
        <w:rPr>
          <w:color w:val="000000"/>
          <w:sz w:val="22"/>
          <w:szCs w:val="22"/>
          <w:lang w:val="sv-SE" w:eastAsia="lt-LT"/>
        </w:rPr>
      </w:pPr>
    </w:p>
    <w:p w14:paraId="155ED02F" w14:textId="77777777" w:rsidR="00F00A02" w:rsidRDefault="0027659F">
      <w:pPr>
        <w:widowControl w:val="0"/>
        <w:rPr>
          <w:color w:val="000000"/>
          <w:sz w:val="22"/>
          <w:szCs w:val="22"/>
          <w:lang w:val="sv-SE" w:eastAsia="lt-LT"/>
        </w:rPr>
      </w:pPr>
      <w:r>
        <w:rPr>
          <w:color w:val="000000"/>
          <w:sz w:val="22"/>
          <w:szCs w:val="22"/>
          <w:lang w:val="sv-SE" w:eastAsia="lt-LT"/>
        </w:rPr>
        <w:t>Pacientai stebėti vidutiniškai 4,8 metus.</w:t>
      </w:r>
    </w:p>
    <w:p w14:paraId="716545DB" w14:textId="77777777" w:rsidR="00F00A02" w:rsidRDefault="00F00A02">
      <w:pPr>
        <w:widowControl w:val="0"/>
        <w:rPr>
          <w:color w:val="000000"/>
          <w:sz w:val="22"/>
          <w:szCs w:val="22"/>
          <w:lang w:val="sv-SE" w:eastAsia="lt-LT"/>
        </w:rPr>
      </w:pPr>
    </w:p>
    <w:p w14:paraId="5535D7E5" w14:textId="77777777" w:rsidR="00F00A02" w:rsidRDefault="0027659F">
      <w:pPr>
        <w:widowControl w:val="0"/>
        <w:rPr>
          <w:color w:val="000000"/>
          <w:sz w:val="22"/>
          <w:szCs w:val="22"/>
          <w:lang w:val="sv-SE" w:eastAsia="lt-LT"/>
        </w:rPr>
      </w:pPr>
      <w:r>
        <w:rPr>
          <w:color w:val="000000"/>
          <w:sz w:val="22"/>
          <w:szCs w:val="22"/>
          <w:lang w:val="sv-SE" w:eastAsia="lt-LT"/>
        </w:rPr>
        <w:t>Pirmaeilė vertinamoji baigtis buvo bendra, t. y. kardiovaskulinis mirštamumas ir ligotumas, nustatytas atsižvelgiant į bendrą kardiovaskulinės mirties, smegenų insulto ir miokardo infarkto dažnį. Abiejų grupių tiriamiesiems kraujospūdis mažėjo reikšmingai ir tiek pat. Pacientams, kuriems bendra vertinamoji baigtis buvo nustatyta, riziką losartanas sumažino 13 % (p = 0,021, 95 % PI: 0,77 - 0,98) daugiau negu atenololis. Tai daugiausiai priklausė nuo insulto dažnio sumažėjimo. Insulto riziką losartanas sumažino 25 % daugiau negu atenololis (p = 0,001, 95 % PI: 0,63 - 0,89). Kardiovaskulinės mirties ir miokardo infarkto dažnis abiejų grupių pacientams reikšmingai nesiskyrė.</w:t>
      </w:r>
    </w:p>
    <w:p w14:paraId="0DA8576B" w14:textId="77777777" w:rsidR="00F00A02" w:rsidRDefault="00F00A02">
      <w:pPr>
        <w:widowControl w:val="0"/>
        <w:rPr>
          <w:color w:val="000000"/>
          <w:sz w:val="22"/>
          <w:szCs w:val="22"/>
          <w:lang w:val="sv-SE" w:eastAsia="lt-LT"/>
        </w:rPr>
      </w:pPr>
    </w:p>
    <w:p w14:paraId="0E2E5494" w14:textId="77777777" w:rsidR="00F00A02" w:rsidRDefault="0027659F">
      <w:pPr>
        <w:widowControl w:val="0"/>
        <w:rPr>
          <w:i/>
          <w:color w:val="000000"/>
          <w:sz w:val="22"/>
          <w:szCs w:val="22"/>
          <w:lang w:val="sv-SE" w:eastAsia="lt-LT"/>
        </w:rPr>
      </w:pPr>
      <w:r>
        <w:rPr>
          <w:i/>
          <w:color w:val="000000"/>
          <w:sz w:val="22"/>
          <w:szCs w:val="22"/>
          <w:lang w:val="sv-SE" w:eastAsia="lt-LT"/>
        </w:rPr>
        <w:t>Rasė</w:t>
      </w:r>
    </w:p>
    <w:p w14:paraId="226F67CB" w14:textId="77777777" w:rsidR="00F00A02" w:rsidRDefault="0027659F">
      <w:pPr>
        <w:widowControl w:val="0"/>
        <w:rPr>
          <w:color w:val="000000"/>
          <w:sz w:val="22"/>
          <w:szCs w:val="22"/>
          <w:lang w:val="sv-SE" w:eastAsia="lt-LT"/>
        </w:rPr>
      </w:pPr>
      <w:r>
        <w:rPr>
          <w:i/>
          <w:iCs/>
          <w:color w:val="000000"/>
          <w:sz w:val="22"/>
          <w:szCs w:val="22"/>
          <w:lang w:val="sv-SE" w:eastAsia="lt-LT"/>
        </w:rPr>
        <w:t>LIFE</w:t>
      </w:r>
      <w:r>
        <w:rPr>
          <w:color w:val="000000"/>
          <w:sz w:val="22"/>
          <w:szCs w:val="22"/>
          <w:lang w:val="sv-SE" w:eastAsia="lt-LT"/>
        </w:rPr>
        <w:t xml:space="preserve"> tyrimo metu losartanu gydytiems juodaodžiams pacientams pirmaeilės bendros vertinamosios baigties, t.y., širdies ir kraujagyslių sistemos sutrikimų (pvz., miokardo infarkto ir kardiovaskulinės mirties) ir ypač insulto, rizika buvo didesnė, negu gydytiems atenololiu. Vadinasi, </w:t>
      </w:r>
      <w:r>
        <w:rPr>
          <w:i/>
          <w:iCs/>
          <w:color w:val="000000"/>
          <w:sz w:val="22"/>
          <w:szCs w:val="22"/>
          <w:lang w:val="sv-SE" w:eastAsia="lt-LT"/>
        </w:rPr>
        <w:t>LIFE</w:t>
      </w:r>
      <w:r>
        <w:rPr>
          <w:color w:val="000000"/>
          <w:sz w:val="22"/>
          <w:szCs w:val="22"/>
          <w:lang w:val="sv-SE" w:eastAsia="lt-LT"/>
        </w:rPr>
        <w:t xml:space="preserve"> tyrimo metu gauti duomenys apie losartano ir atenololio įtaką kardiovaskuliniam mirštamumui ir ligotumui netaikytini juodaodžiams pacientams, sergantiems hipertenzija ir kairiojo skilvelio hipertrofija.</w:t>
      </w:r>
    </w:p>
    <w:p w14:paraId="26ED88CD" w14:textId="77777777" w:rsidR="00F00A02" w:rsidRDefault="00F00A02">
      <w:pPr>
        <w:widowControl w:val="0"/>
        <w:rPr>
          <w:color w:val="000000"/>
          <w:sz w:val="22"/>
          <w:szCs w:val="22"/>
          <w:lang w:val="sv-SE" w:eastAsia="lt-LT"/>
        </w:rPr>
      </w:pPr>
    </w:p>
    <w:p w14:paraId="01A5E0D7" w14:textId="77777777" w:rsidR="00F00A02" w:rsidRDefault="0027659F">
      <w:pPr>
        <w:widowControl w:val="0"/>
        <w:rPr>
          <w:color w:val="000000"/>
          <w:sz w:val="22"/>
          <w:szCs w:val="22"/>
          <w:u w:val="single"/>
          <w:lang w:val="sv-SE" w:eastAsia="lt-LT"/>
        </w:rPr>
      </w:pPr>
      <w:r>
        <w:rPr>
          <w:i/>
          <w:iCs/>
          <w:color w:val="000000"/>
          <w:sz w:val="22"/>
          <w:szCs w:val="22"/>
          <w:u w:val="single"/>
          <w:lang w:val="sv-SE" w:eastAsia="lt-LT"/>
        </w:rPr>
        <w:t>RENAAL</w:t>
      </w:r>
      <w:r>
        <w:rPr>
          <w:color w:val="000000"/>
          <w:sz w:val="22"/>
          <w:szCs w:val="22"/>
          <w:u w:val="single"/>
          <w:lang w:val="sv-SE" w:eastAsia="lt-LT"/>
        </w:rPr>
        <w:t xml:space="preserve"> tyrimas</w:t>
      </w:r>
    </w:p>
    <w:p w14:paraId="53AF4CB4" w14:textId="77777777" w:rsidR="00F00A02" w:rsidRDefault="0027659F">
      <w:pPr>
        <w:widowControl w:val="0"/>
        <w:rPr>
          <w:color w:val="000000"/>
          <w:sz w:val="22"/>
          <w:szCs w:val="22"/>
          <w:lang w:val="sv-SE" w:eastAsia="lt-LT"/>
        </w:rPr>
      </w:pPr>
      <w:r>
        <w:rPr>
          <w:color w:val="000000"/>
          <w:sz w:val="22"/>
          <w:szCs w:val="22"/>
          <w:lang w:val="sv-SE" w:eastAsia="lt-LT"/>
        </w:rPr>
        <w:t>Angiotenzinui II jautrių receptorių blokatoriaus losartano įtaka nuo insulino nepriklausomo diabeto vertinamosios baigties mažėjimui tyrimas (angl.</w:t>
      </w:r>
      <w:r>
        <w:rPr>
          <w:i/>
          <w:color w:val="000000"/>
          <w:sz w:val="22"/>
          <w:szCs w:val="22"/>
          <w:lang w:val="sv-SE" w:eastAsia="lt-LT"/>
        </w:rPr>
        <w:t>The Reduction of Endpoints in NIDDM with the Angiotensin II Receptor Losartan (RENAAL)</w:t>
      </w:r>
      <w:r>
        <w:rPr>
          <w:color w:val="000000"/>
          <w:sz w:val="22"/>
          <w:szCs w:val="22"/>
          <w:lang w:val="sv-SE" w:eastAsia="lt-LT"/>
        </w:rPr>
        <w:t xml:space="preserve">) buvo kontroliuojamas klinikinis tyrimas, atliktas visame pasaulyje su 1513 II tipo cukriniu diabetu sergančių pacientų, kuriems buvo proteinurija ir hipertenzija </w:t>
      </w:r>
      <w:r>
        <w:rPr>
          <w:color w:val="000000"/>
          <w:sz w:val="22"/>
          <w:szCs w:val="22"/>
          <w:lang w:val="sv-SE" w:eastAsia="lt-LT"/>
        </w:rPr>
        <w:lastRenderedPageBreak/>
        <w:t>arba pastarosios ligos nebuvo. Tyrimo metu losartanu buvo gydytas 751 pacientas.</w:t>
      </w:r>
    </w:p>
    <w:p w14:paraId="071E82DE" w14:textId="77777777" w:rsidR="00F00A02" w:rsidRDefault="00F00A02">
      <w:pPr>
        <w:widowControl w:val="0"/>
        <w:rPr>
          <w:color w:val="000000"/>
          <w:sz w:val="22"/>
          <w:szCs w:val="22"/>
          <w:lang w:val="sv-SE" w:eastAsia="lt-LT"/>
        </w:rPr>
      </w:pPr>
    </w:p>
    <w:p w14:paraId="388F25B0" w14:textId="77777777" w:rsidR="00F00A02" w:rsidRDefault="0027659F">
      <w:pPr>
        <w:widowControl w:val="0"/>
        <w:rPr>
          <w:color w:val="000000"/>
          <w:sz w:val="22"/>
          <w:szCs w:val="22"/>
          <w:lang w:val="sv-SE" w:eastAsia="lt-LT"/>
        </w:rPr>
      </w:pPr>
      <w:r>
        <w:rPr>
          <w:color w:val="000000"/>
          <w:sz w:val="22"/>
          <w:szCs w:val="22"/>
          <w:lang w:val="sv-SE" w:eastAsia="lt-LT"/>
        </w:rPr>
        <w:t xml:space="preserve">Tyrimo tikslas </w:t>
      </w:r>
      <w:r>
        <w:rPr>
          <w:color w:val="000000"/>
          <w:sz w:val="22"/>
          <w:szCs w:val="22"/>
          <w:lang w:eastAsia="lt-LT"/>
        </w:rPr>
        <w:sym w:font="Symbol" w:char="F02D"/>
      </w:r>
      <w:r>
        <w:rPr>
          <w:color w:val="000000"/>
          <w:sz w:val="22"/>
          <w:szCs w:val="22"/>
          <w:lang w:val="sv-SE" w:eastAsia="lt-LT"/>
        </w:rPr>
        <w:t xml:space="preserve"> įrodyti, kad be naudingo kraujospūdį mažinančio poveikio, losartano kalio druska sukelia ir inkstus saugantį poveikį.</w:t>
      </w:r>
    </w:p>
    <w:p w14:paraId="66A59CC3" w14:textId="77777777" w:rsidR="00F00A02" w:rsidRDefault="00F00A02">
      <w:pPr>
        <w:widowControl w:val="0"/>
        <w:rPr>
          <w:color w:val="000000"/>
          <w:sz w:val="22"/>
          <w:szCs w:val="22"/>
          <w:lang w:val="sv-SE" w:eastAsia="lt-LT"/>
        </w:rPr>
      </w:pPr>
    </w:p>
    <w:p w14:paraId="7A7BDE25" w14:textId="77777777" w:rsidR="00F00A02" w:rsidRDefault="0027659F">
      <w:pPr>
        <w:widowControl w:val="0"/>
        <w:rPr>
          <w:color w:val="000000"/>
          <w:sz w:val="22"/>
          <w:szCs w:val="22"/>
          <w:lang w:val="sv-SE" w:eastAsia="lt-LT"/>
        </w:rPr>
      </w:pPr>
      <w:r>
        <w:rPr>
          <w:color w:val="000000"/>
          <w:sz w:val="22"/>
          <w:szCs w:val="22"/>
          <w:lang w:val="sv-SE" w:eastAsia="lt-LT"/>
        </w:rPr>
        <w:t xml:space="preserve">Pacientams, kuriems buvo proteinurija ir 1,3-3,0 mg/dl kreatinino koncentracija serume, atsitiktinių imčių būdu buvo suskirstyti į dvi grupes. Vienos grupės tiriamiesiems kartu su jau vartojamais antihipertenziniais medikamentais, išskyrus AKF inhibitorius ir angiotenzinui II jautrių receptorių blokatorius, buvo skirta kartą per parą gerti 50 mg losartano dozę, kuri prireikus buvo didinama, kad pasireikštų kraujospūdžio reakcija, kitos grupės </w:t>
      </w:r>
      <w:r>
        <w:rPr>
          <w:color w:val="000000"/>
          <w:sz w:val="22"/>
          <w:szCs w:val="22"/>
          <w:lang w:eastAsia="lt-LT"/>
        </w:rPr>
        <w:sym w:font="Symbol" w:char="F02D"/>
      </w:r>
      <w:r>
        <w:rPr>
          <w:color w:val="000000"/>
          <w:sz w:val="22"/>
          <w:szCs w:val="22"/>
          <w:lang w:val="sv-SE" w:eastAsia="lt-LT"/>
        </w:rPr>
        <w:t xml:space="preserve"> placebo.</w:t>
      </w:r>
    </w:p>
    <w:p w14:paraId="7D063490" w14:textId="77777777" w:rsidR="00F00A02" w:rsidRDefault="00F00A02">
      <w:pPr>
        <w:widowControl w:val="0"/>
        <w:rPr>
          <w:color w:val="000000"/>
          <w:sz w:val="22"/>
          <w:szCs w:val="22"/>
          <w:lang w:val="sv-SE" w:eastAsia="lt-LT"/>
        </w:rPr>
      </w:pPr>
    </w:p>
    <w:p w14:paraId="721B73B7" w14:textId="77777777" w:rsidR="00F00A02" w:rsidRDefault="0027659F">
      <w:pPr>
        <w:widowControl w:val="0"/>
        <w:rPr>
          <w:color w:val="000000"/>
          <w:sz w:val="22"/>
          <w:szCs w:val="22"/>
          <w:lang w:val="sv-SE" w:eastAsia="lt-LT"/>
        </w:rPr>
      </w:pPr>
      <w:r>
        <w:rPr>
          <w:color w:val="000000"/>
          <w:sz w:val="22"/>
          <w:szCs w:val="22"/>
          <w:lang w:val="sv-SE" w:eastAsia="lt-LT"/>
        </w:rPr>
        <w:t>Tyrėjams buvo nurodyta, kad prireikus kartą per parą vartojamą losartano dozę galima didinti iki 100 mg. 72 % pacientų didžiają tyrimo laikotarpio dalį vartojo 100 mg dozę kartą per parą. Abiejų grupių pacientams prireikus buvo leista papildomai vartoti kitų antihipertenzinių medikamentų (diuretikų, kalcio kanalų blokatorių, alfa ar beta adrenoblokatorių, centrinio poveikio vaistinių preparatų). Pacientai stebėti ne ilgiau kaip 4,6 metų (vidutiniškai 3,4 metų).</w:t>
      </w:r>
    </w:p>
    <w:p w14:paraId="223339FB" w14:textId="77777777" w:rsidR="00F00A02" w:rsidRDefault="0027659F">
      <w:pPr>
        <w:widowControl w:val="0"/>
        <w:rPr>
          <w:color w:val="000000"/>
          <w:sz w:val="22"/>
          <w:szCs w:val="22"/>
          <w:lang w:val="sv-SE" w:eastAsia="lt-LT"/>
        </w:rPr>
      </w:pPr>
      <w:r>
        <w:rPr>
          <w:color w:val="000000"/>
          <w:sz w:val="22"/>
          <w:szCs w:val="22"/>
          <w:lang w:val="sv-SE" w:eastAsia="lt-LT"/>
        </w:rPr>
        <w:t>Pirmaeilė vertinamoji baigtis buvo sudėtinė, t. y. kreatinino koncentracijos serume padvigubėjimas ir galutinė inkstų nepakankamumo stadija (dializės arba inkstų persodinimo būtinumas) arba mirtis.</w:t>
      </w:r>
    </w:p>
    <w:p w14:paraId="22440776" w14:textId="77777777" w:rsidR="00F00A02" w:rsidRDefault="00F00A02">
      <w:pPr>
        <w:widowControl w:val="0"/>
        <w:rPr>
          <w:color w:val="000000"/>
          <w:sz w:val="22"/>
          <w:szCs w:val="22"/>
          <w:lang w:val="sv-SE" w:eastAsia="lt-LT"/>
        </w:rPr>
      </w:pPr>
    </w:p>
    <w:p w14:paraId="26DEF2F7" w14:textId="77777777" w:rsidR="00F00A02" w:rsidRDefault="0027659F">
      <w:pPr>
        <w:widowControl w:val="0"/>
        <w:rPr>
          <w:color w:val="000000"/>
          <w:sz w:val="22"/>
          <w:szCs w:val="22"/>
          <w:lang w:val="sv-SE" w:eastAsia="lt-LT"/>
        </w:rPr>
      </w:pPr>
      <w:r>
        <w:rPr>
          <w:color w:val="000000"/>
          <w:sz w:val="22"/>
          <w:szCs w:val="22"/>
          <w:lang w:val="sv-SE" w:eastAsia="lt-LT"/>
        </w:rPr>
        <w:t xml:space="preserve">Gauti rezultatai rodo, kad pacientams, kuriems pirmaeilė vertinamoji baigtis buvo nustatyta, losartanas (327 reiškiniai), palyginti su placebu (359 reiškiniai), riziką sumažino 16,1 % (p= 0,022). Tyrimo rezultatai rodo, kad losartanu gydytiems pacientams reikšmingai sumažėjo atskirų vertinamosios baigties komponentų ir jų derinių rizika: kreatinino koncentracijos serume padvigubėjimo rizika sumažėjo 25,3 % (p = 0,006), galutinės inkstų nepakankamumo stadijos rizika </w:t>
      </w:r>
      <w:r>
        <w:rPr>
          <w:color w:val="000000"/>
          <w:sz w:val="22"/>
          <w:szCs w:val="22"/>
          <w:lang w:eastAsia="lt-LT"/>
        </w:rPr>
        <w:sym w:font="Symbol" w:char="F02D"/>
      </w:r>
      <w:r>
        <w:rPr>
          <w:color w:val="000000"/>
          <w:sz w:val="22"/>
          <w:szCs w:val="22"/>
          <w:lang w:val="sv-SE" w:eastAsia="lt-LT"/>
        </w:rPr>
        <w:t xml:space="preserve"> 28,6 % (p = 0,002), galutinės inkstų nepakankamumo stadijos arba mirties rizika </w:t>
      </w:r>
      <w:r>
        <w:rPr>
          <w:color w:val="000000"/>
          <w:sz w:val="22"/>
          <w:szCs w:val="22"/>
          <w:lang w:eastAsia="lt-LT"/>
        </w:rPr>
        <w:sym w:font="Symbol" w:char="F02D"/>
      </w:r>
      <w:r>
        <w:rPr>
          <w:color w:val="000000"/>
          <w:sz w:val="22"/>
          <w:szCs w:val="22"/>
          <w:lang w:val="sv-SE" w:eastAsia="lt-LT"/>
        </w:rPr>
        <w:t xml:space="preserve"> 19,9 % (p = 0,009), kreatinino koncentracijos serume padvigubėjimo arba galutinės inkstų nepakankamumo stadijos rizika </w:t>
      </w:r>
      <w:r>
        <w:rPr>
          <w:color w:val="000000"/>
          <w:sz w:val="22"/>
          <w:szCs w:val="22"/>
          <w:lang w:eastAsia="lt-LT"/>
        </w:rPr>
        <w:sym w:font="Symbol" w:char="F02D"/>
      </w:r>
      <w:r>
        <w:rPr>
          <w:color w:val="000000"/>
          <w:sz w:val="22"/>
          <w:szCs w:val="22"/>
          <w:lang w:val="sv-SE" w:eastAsia="lt-LT"/>
        </w:rPr>
        <w:t xml:space="preserve"> 21,0 % (p = 0,010).</w:t>
      </w:r>
    </w:p>
    <w:p w14:paraId="521BB0F1" w14:textId="77777777" w:rsidR="00F00A02" w:rsidRDefault="0027659F">
      <w:pPr>
        <w:widowControl w:val="0"/>
        <w:rPr>
          <w:color w:val="000000"/>
          <w:sz w:val="22"/>
          <w:szCs w:val="22"/>
          <w:lang w:val="sv-SE" w:eastAsia="lt-LT"/>
        </w:rPr>
      </w:pPr>
      <w:r>
        <w:rPr>
          <w:color w:val="000000"/>
          <w:sz w:val="22"/>
          <w:szCs w:val="22"/>
          <w:lang w:val="sv-SE" w:eastAsia="lt-LT"/>
        </w:rPr>
        <w:t>Mirtingumo dėl visų priežasčių dažnis abiejų grupių pacientams reikšmingai nesiskyrė.</w:t>
      </w:r>
    </w:p>
    <w:p w14:paraId="0B5FE4C5" w14:textId="77777777" w:rsidR="00F00A02" w:rsidRDefault="0027659F">
      <w:pPr>
        <w:widowControl w:val="0"/>
        <w:rPr>
          <w:color w:val="000000"/>
          <w:sz w:val="22"/>
          <w:szCs w:val="22"/>
          <w:lang w:val="sv-SE" w:eastAsia="lt-LT"/>
        </w:rPr>
      </w:pPr>
      <w:r>
        <w:rPr>
          <w:color w:val="000000"/>
          <w:sz w:val="22"/>
          <w:szCs w:val="22"/>
          <w:lang w:val="sv-SE" w:eastAsia="lt-LT"/>
        </w:rPr>
        <w:t>Šio tyrimo metu losartaną tiriamieji paprastai toleravo gerai, dėl nepageidaujamų reakcijų losartano ir placebo vartojimo nutraukimo dažnis buvo panašus.</w:t>
      </w:r>
    </w:p>
    <w:p w14:paraId="78D81D86" w14:textId="77777777" w:rsidR="00F00A02" w:rsidRDefault="00F00A02">
      <w:pPr>
        <w:widowControl w:val="0"/>
        <w:rPr>
          <w:color w:val="000000"/>
          <w:sz w:val="22"/>
          <w:szCs w:val="22"/>
          <w:lang w:val="sv-SE" w:eastAsia="lt-LT"/>
        </w:rPr>
      </w:pPr>
    </w:p>
    <w:p w14:paraId="15F19438" w14:textId="77777777" w:rsidR="00F00A02" w:rsidRDefault="0027659F">
      <w:pPr>
        <w:widowControl w:val="0"/>
        <w:rPr>
          <w:color w:val="000000"/>
          <w:sz w:val="22"/>
          <w:szCs w:val="22"/>
          <w:u w:val="single"/>
          <w:lang w:val="sv-SE" w:eastAsia="lt-LT"/>
        </w:rPr>
      </w:pPr>
      <w:r>
        <w:rPr>
          <w:i/>
          <w:iCs/>
          <w:color w:val="000000"/>
          <w:sz w:val="22"/>
          <w:szCs w:val="22"/>
          <w:u w:val="single"/>
          <w:lang w:val="sv-SE" w:eastAsia="lt-LT"/>
        </w:rPr>
        <w:t>HEAAL</w:t>
      </w:r>
      <w:r>
        <w:rPr>
          <w:color w:val="000000"/>
          <w:sz w:val="22"/>
          <w:szCs w:val="22"/>
          <w:u w:val="single"/>
          <w:lang w:val="sv-SE" w:eastAsia="lt-LT"/>
        </w:rPr>
        <w:t xml:space="preserve"> tyrimas</w:t>
      </w:r>
    </w:p>
    <w:p w14:paraId="6FCFE99B" w14:textId="77777777" w:rsidR="00F00A02" w:rsidRDefault="0027659F">
      <w:pPr>
        <w:widowControl w:val="0"/>
        <w:rPr>
          <w:color w:val="000000"/>
          <w:sz w:val="22"/>
          <w:szCs w:val="22"/>
          <w:lang w:val="sv-SE" w:eastAsia="lt-LT"/>
        </w:rPr>
      </w:pPr>
      <w:r>
        <w:rPr>
          <w:color w:val="000000"/>
          <w:sz w:val="22"/>
          <w:szCs w:val="22"/>
          <w:lang w:val="sv-SE" w:eastAsia="lt-LT"/>
        </w:rPr>
        <w:t xml:space="preserve">Širdies nepakankamumo, kaip tyrimo tikslo, vertinimo tiriant gydymą angiotenzino II antagonistu losartanu (angl. </w:t>
      </w:r>
      <w:r>
        <w:rPr>
          <w:i/>
          <w:color w:val="000000"/>
          <w:sz w:val="22"/>
          <w:szCs w:val="22"/>
          <w:lang w:val="sv-SE" w:eastAsia="lt-LT"/>
        </w:rPr>
        <w:t>The Heart Failure Endpoint Evaluation of Angiotensin II Antagonist Losartan</w:t>
      </w:r>
      <w:r>
        <w:rPr>
          <w:color w:val="000000"/>
          <w:sz w:val="22"/>
          <w:szCs w:val="22"/>
          <w:lang w:val="sv-SE" w:eastAsia="lt-LT"/>
        </w:rPr>
        <w:t xml:space="preserve"> (</w:t>
      </w:r>
      <w:r>
        <w:rPr>
          <w:i/>
          <w:iCs/>
          <w:color w:val="000000"/>
          <w:sz w:val="22"/>
          <w:szCs w:val="22"/>
          <w:lang w:val="sv-SE" w:eastAsia="lt-LT"/>
        </w:rPr>
        <w:t>HEAA</w:t>
      </w:r>
      <w:r>
        <w:rPr>
          <w:color w:val="000000"/>
          <w:sz w:val="22"/>
          <w:szCs w:val="22"/>
          <w:lang w:val="sv-SE" w:eastAsia="lt-LT"/>
        </w:rPr>
        <w:t>L) tyrimas buvo kontroliuojamas klinikinis tyrimas, atliktas visame pasaulyje su 3834 pacientais nuo 18 iki 98 metų amžiaus, kuriems buvo širdies nepakankamumas (II – IV klasės pagal NYHA), netoleravusiais gydymo AKF inhibitoriais. Pacientams atsitiktine tvarka buvo paskirta vartoti arba losartano 50 mg, arba losartano 150 mg dozė vieną kartą per parą papildomai prie įprasto gydymo, išskyrus AKF-inhibitorius.</w:t>
      </w:r>
    </w:p>
    <w:p w14:paraId="1641C12B" w14:textId="77777777" w:rsidR="00F00A02" w:rsidRDefault="00F00A02">
      <w:pPr>
        <w:widowControl w:val="0"/>
        <w:rPr>
          <w:color w:val="000000"/>
          <w:sz w:val="22"/>
          <w:szCs w:val="22"/>
          <w:lang w:val="sv-SE" w:eastAsia="lt-LT"/>
        </w:rPr>
      </w:pPr>
    </w:p>
    <w:p w14:paraId="739C4AC9" w14:textId="77777777" w:rsidR="00F00A02" w:rsidRDefault="0027659F">
      <w:pPr>
        <w:widowControl w:val="0"/>
        <w:rPr>
          <w:color w:val="000000"/>
          <w:sz w:val="22"/>
          <w:szCs w:val="22"/>
          <w:lang w:val="sv-SE" w:eastAsia="lt-LT"/>
        </w:rPr>
      </w:pPr>
      <w:r>
        <w:rPr>
          <w:color w:val="000000"/>
          <w:sz w:val="22"/>
          <w:szCs w:val="22"/>
          <w:lang w:val="sv-SE" w:eastAsia="lt-LT"/>
        </w:rPr>
        <w:t>Pacientai buvo stebimi ilgiau kaip 4 metus (mediana – 4,7 metų). Pagrindinė tyrimo vertinamoji baigtis buvo sudėtinis tyrimo tikslas iš mirties dėl bet kokios priežasties ir hospitalizacijos dėl širdies nepakankamumo.</w:t>
      </w:r>
    </w:p>
    <w:p w14:paraId="4DEDFBC0" w14:textId="77777777" w:rsidR="00F00A02" w:rsidRDefault="00F00A02">
      <w:pPr>
        <w:widowControl w:val="0"/>
        <w:rPr>
          <w:color w:val="000000"/>
          <w:sz w:val="22"/>
          <w:szCs w:val="22"/>
          <w:lang w:val="sv-SE" w:eastAsia="lt-LT"/>
        </w:rPr>
      </w:pPr>
    </w:p>
    <w:p w14:paraId="3DDFE2F8" w14:textId="77777777" w:rsidR="00F00A02" w:rsidRDefault="0027659F">
      <w:pPr>
        <w:widowControl w:val="0"/>
        <w:rPr>
          <w:color w:val="000000"/>
          <w:sz w:val="22"/>
          <w:szCs w:val="22"/>
          <w:lang w:val="sv-SE" w:eastAsia="lt-LT"/>
        </w:rPr>
      </w:pPr>
      <w:r>
        <w:rPr>
          <w:color w:val="000000"/>
          <w:sz w:val="22"/>
          <w:szCs w:val="22"/>
          <w:lang w:val="sv-SE" w:eastAsia="lt-LT"/>
        </w:rPr>
        <w:t>Rezultatai įrodė, kad gydymas 150 mg losartano doze (828 reiškiniai), lyginant su 50 mg losartano doze (889 reiškiniai), lėmė 10,1 % mažesnį pavojų (p = 0,027; 95 % pasikliautinasis intervalas 0,82 – 0,99) daugumai pagrindinį sudėtinį tyrimo tikslą pasiekusių pacientų. Tai daugiausia priskirtina hospitalizacijos dėl širdies nepakankamumo dažnio sumažėjimui. Gydymas 150 mg losartano doze sumažino hospitalizacijos dėl širdies nepakankamumo riziką 13,5 % santykinai labiau, nei 50 mg losartano dozė (p = 0,025; 95 % pasikliautinasis intervalas 0,76 – 0,98). Mirčių dėl bet kokios priežasties dažnis tarp gydymo grupių reikšmingai nesiskyrė. Inkstų pažeidimas, hipotenzija ir hiperkalemija buvo dažnesni 150 mg grupėje, nei 50 mg grupėje, tačiau šie nepageidaujami reiškiniai reikšmingai dažnesnio gydymo nutraukimo 150 mg grupėje nenulėmė.</w:t>
      </w:r>
    </w:p>
    <w:p w14:paraId="5113255A" w14:textId="77777777" w:rsidR="00F00A02" w:rsidRDefault="00F00A02">
      <w:pPr>
        <w:widowControl w:val="0"/>
        <w:rPr>
          <w:color w:val="000000"/>
          <w:sz w:val="22"/>
          <w:szCs w:val="22"/>
          <w:lang w:val="sv-SE" w:eastAsia="lt-LT"/>
        </w:rPr>
      </w:pPr>
    </w:p>
    <w:p w14:paraId="668CBEB1" w14:textId="77777777" w:rsidR="00F00A02" w:rsidRDefault="0027659F">
      <w:pPr>
        <w:widowControl w:val="0"/>
        <w:rPr>
          <w:color w:val="000000"/>
          <w:sz w:val="22"/>
          <w:szCs w:val="22"/>
          <w:u w:val="single"/>
          <w:lang w:val="sv-SE" w:eastAsia="lt-LT"/>
        </w:rPr>
      </w:pPr>
      <w:r>
        <w:rPr>
          <w:i/>
          <w:iCs/>
          <w:color w:val="000000"/>
          <w:sz w:val="22"/>
          <w:szCs w:val="22"/>
          <w:u w:val="single"/>
          <w:lang w:val="sv-SE" w:eastAsia="lt-LT"/>
        </w:rPr>
        <w:t>ELITE I ir ELITE II</w:t>
      </w:r>
      <w:r>
        <w:rPr>
          <w:color w:val="000000"/>
          <w:sz w:val="22"/>
          <w:szCs w:val="22"/>
          <w:u w:val="single"/>
          <w:lang w:val="sv-SE" w:eastAsia="lt-LT"/>
        </w:rPr>
        <w:t xml:space="preserve"> tyrimai</w:t>
      </w:r>
    </w:p>
    <w:p w14:paraId="407C73B4" w14:textId="77777777" w:rsidR="00F00A02" w:rsidRDefault="0027659F">
      <w:pPr>
        <w:widowControl w:val="0"/>
        <w:rPr>
          <w:color w:val="000000"/>
          <w:sz w:val="22"/>
          <w:szCs w:val="22"/>
          <w:lang w:val="sv-SE" w:eastAsia="lt-LT"/>
        </w:rPr>
      </w:pPr>
      <w:r>
        <w:rPr>
          <w:color w:val="000000"/>
          <w:sz w:val="22"/>
          <w:szCs w:val="22"/>
          <w:lang w:val="sv-SE" w:eastAsia="lt-LT"/>
        </w:rPr>
        <w:t>48 savaites trukusio tyrimo</w:t>
      </w:r>
      <w:r>
        <w:rPr>
          <w:i/>
          <w:iCs/>
          <w:color w:val="000000"/>
          <w:sz w:val="22"/>
          <w:szCs w:val="22"/>
          <w:lang w:val="sv-SE" w:eastAsia="lt-LT"/>
        </w:rPr>
        <w:t xml:space="preserve"> ELITE</w:t>
      </w:r>
      <w:r>
        <w:rPr>
          <w:color w:val="000000"/>
          <w:sz w:val="22"/>
          <w:szCs w:val="22"/>
          <w:lang w:val="sv-SE" w:eastAsia="lt-LT"/>
        </w:rPr>
        <w:t xml:space="preserve">, kuriame dalyvavo 722 širdies nepakankamumu (II-IV klasės pagal </w:t>
      </w:r>
      <w:r>
        <w:rPr>
          <w:color w:val="000000"/>
          <w:sz w:val="22"/>
          <w:szCs w:val="22"/>
          <w:lang w:val="sv-SE" w:eastAsia="lt-LT"/>
        </w:rPr>
        <w:lastRenderedPageBreak/>
        <w:t xml:space="preserve">NYHA) sergantys pacientai, metu losartano ir kaptoprilio įtakos pirmaeilei veiksmingumo vertinamajai baigčiai, t. y. ilgalaikiui inkstų funkcijos pokyčiui, skirtumo nepastebėta. </w:t>
      </w:r>
      <w:r>
        <w:rPr>
          <w:i/>
          <w:iCs/>
          <w:color w:val="000000"/>
          <w:sz w:val="22"/>
          <w:szCs w:val="22"/>
          <w:lang w:val="sv-SE" w:eastAsia="lt-LT"/>
        </w:rPr>
        <w:t>ELITE I</w:t>
      </w:r>
      <w:r>
        <w:rPr>
          <w:color w:val="000000"/>
          <w:sz w:val="22"/>
          <w:szCs w:val="22"/>
          <w:lang w:val="sv-SE" w:eastAsia="lt-LT"/>
        </w:rPr>
        <w:t xml:space="preserve"> tyrimo metu nustatyto rezultato, kad losartanas, palyginti su kaptopriliu, mažina mirtingumą, vėlesnis </w:t>
      </w:r>
      <w:r>
        <w:rPr>
          <w:i/>
          <w:iCs/>
          <w:color w:val="000000"/>
          <w:sz w:val="22"/>
          <w:szCs w:val="22"/>
          <w:lang w:val="sv-SE" w:eastAsia="lt-LT"/>
        </w:rPr>
        <w:t xml:space="preserve">ELITE </w:t>
      </w:r>
      <w:r>
        <w:rPr>
          <w:color w:val="000000"/>
          <w:sz w:val="22"/>
          <w:szCs w:val="22"/>
          <w:lang w:val="sv-SE" w:eastAsia="lt-LT"/>
        </w:rPr>
        <w:t>II tyrimas, aprašytas žemiau, nepatvirtino.</w:t>
      </w:r>
    </w:p>
    <w:p w14:paraId="016F8D59" w14:textId="77777777" w:rsidR="00F00A02" w:rsidRDefault="00F00A02">
      <w:pPr>
        <w:widowControl w:val="0"/>
        <w:rPr>
          <w:color w:val="000000"/>
          <w:sz w:val="22"/>
          <w:szCs w:val="22"/>
          <w:lang w:val="sv-SE" w:eastAsia="lt-LT"/>
        </w:rPr>
      </w:pPr>
    </w:p>
    <w:p w14:paraId="2F8E315A" w14:textId="77777777" w:rsidR="00F00A02" w:rsidRDefault="0027659F">
      <w:pPr>
        <w:widowControl w:val="0"/>
        <w:rPr>
          <w:color w:val="000000"/>
          <w:sz w:val="22"/>
          <w:szCs w:val="22"/>
          <w:lang w:val="sv-SE" w:eastAsia="lt-LT"/>
        </w:rPr>
      </w:pPr>
      <w:r>
        <w:rPr>
          <w:i/>
          <w:iCs/>
          <w:color w:val="000000"/>
          <w:sz w:val="22"/>
          <w:szCs w:val="22"/>
          <w:lang w:val="sv-SE" w:eastAsia="lt-LT"/>
        </w:rPr>
        <w:t>ELITE II</w:t>
      </w:r>
      <w:r>
        <w:rPr>
          <w:color w:val="000000"/>
          <w:sz w:val="22"/>
          <w:szCs w:val="22"/>
          <w:lang w:val="sv-SE" w:eastAsia="lt-LT"/>
        </w:rPr>
        <w:t xml:space="preserve"> tyrimo metu buvo lygintas losartano, vartojamo po 50 mg kartą per parą (kartą per parą geriama pradinė 12,5 mg dozė iš pradžių buvo padidinta iki 25 mg, vėliau </w:t>
      </w:r>
      <w:r>
        <w:rPr>
          <w:color w:val="000000"/>
          <w:sz w:val="22"/>
          <w:szCs w:val="22"/>
          <w:lang w:eastAsia="lt-LT"/>
        </w:rPr>
        <w:sym w:font="Symbol" w:char="F02D"/>
      </w:r>
      <w:r>
        <w:rPr>
          <w:color w:val="000000"/>
          <w:sz w:val="22"/>
          <w:szCs w:val="22"/>
          <w:lang w:val="sv-SE" w:eastAsia="lt-LT"/>
        </w:rPr>
        <w:t xml:space="preserve"> iki 50 mg), ir kaptoprilio, vartojamo po 50 mg 3 kartus per parą (tris kartus per parą geriama pradinė 12,5 mg dozė iš pradžių buvo padidinta iki 25 mg, vėliau </w:t>
      </w:r>
      <w:r>
        <w:rPr>
          <w:color w:val="000000"/>
          <w:sz w:val="22"/>
          <w:szCs w:val="22"/>
          <w:lang w:eastAsia="lt-LT"/>
        </w:rPr>
        <w:sym w:font="Symbol" w:char="F02D"/>
      </w:r>
      <w:r>
        <w:rPr>
          <w:color w:val="000000"/>
          <w:sz w:val="22"/>
          <w:szCs w:val="22"/>
          <w:lang w:val="sv-SE" w:eastAsia="lt-LT"/>
        </w:rPr>
        <w:t xml:space="preserve"> iki 50 mg), poveikis. Pirmaeilė veiksmingumo vertinamoji baigtis šio žvalgomojo tyrimo metu buvo mirtingumas dėl visų priežasčių.</w:t>
      </w:r>
    </w:p>
    <w:p w14:paraId="7D080F00" w14:textId="77777777" w:rsidR="00F00A02" w:rsidRDefault="00F00A02">
      <w:pPr>
        <w:widowControl w:val="0"/>
        <w:rPr>
          <w:color w:val="000000"/>
          <w:sz w:val="22"/>
          <w:szCs w:val="22"/>
          <w:lang w:val="sv-SE" w:eastAsia="lt-LT"/>
        </w:rPr>
      </w:pPr>
    </w:p>
    <w:p w14:paraId="39347F61" w14:textId="77777777" w:rsidR="00F00A02" w:rsidRDefault="0027659F">
      <w:pPr>
        <w:widowControl w:val="0"/>
        <w:rPr>
          <w:color w:val="000000"/>
          <w:sz w:val="22"/>
          <w:szCs w:val="22"/>
          <w:lang w:val="sv-SE" w:eastAsia="lt-LT"/>
        </w:rPr>
      </w:pPr>
      <w:r>
        <w:rPr>
          <w:color w:val="000000"/>
          <w:sz w:val="22"/>
          <w:szCs w:val="22"/>
          <w:lang w:val="sv-SE" w:eastAsia="lt-LT"/>
        </w:rPr>
        <w:t>Per šią studiją pacientai (n= 3152), kuriems buvo širdies nepakankamumas (II-IV klasės pagal NYHA), buvo stebėti apie dvejus metus (mediana 1,5 metų), kad būtų galima nustatyti, ar losartanas ryškiau negu kaptoprilis mažina bendrąjį mirtingumą. Vertinant pirminį tikslą, statistiškai reikšmingo skirtumo tarp losartano ir kaptoprilio poveikio mažinant bendrą mirčių skaičių nebuvo.</w:t>
      </w:r>
    </w:p>
    <w:p w14:paraId="2E077E96" w14:textId="77777777" w:rsidR="00F00A02" w:rsidRDefault="00F00A02">
      <w:pPr>
        <w:widowControl w:val="0"/>
        <w:rPr>
          <w:color w:val="000000"/>
          <w:sz w:val="22"/>
          <w:szCs w:val="22"/>
          <w:lang w:val="sv-SE" w:eastAsia="lt-LT"/>
        </w:rPr>
      </w:pPr>
    </w:p>
    <w:p w14:paraId="70900BDE" w14:textId="77777777" w:rsidR="00F00A02" w:rsidRDefault="0027659F">
      <w:pPr>
        <w:widowControl w:val="0"/>
        <w:rPr>
          <w:color w:val="000000"/>
          <w:sz w:val="22"/>
          <w:szCs w:val="22"/>
          <w:lang w:val="sv-SE" w:eastAsia="lt-LT"/>
        </w:rPr>
      </w:pPr>
      <w:r>
        <w:rPr>
          <w:color w:val="000000"/>
          <w:sz w:val="22"/>
          <w:szCs w:val="22"/>
          <w:lang w:val="sv-SE" w:eastAsia="lt-LT"/>
        </w:rPr>
        <w:t>Šių abiejų kontroliuojamu lyginamųjų (poveikis lygintas ne su placebo) klinikinių tyrimų metu širdies nepakankamumu sergantys pacientai losartaną toleravo geriau negu kaptoprilį: vartojimo nutraukimo dėl nepageidaujamo poveikio bei kosulio dažnis buvo reikšmingai mažaesnis.</w:t>
      </w:r>
    </w:p>
    <w:p w14:paraId="61243982" w14:textId="77777777" w:rsidR="00F00A02" w:rsidRDefault="00F00A02">
      <w:pPr>
        <w:widowControl w:val="0"/>
        <w:jc w:val="both"/>
        <w:rPr>
          <w:color w:val="000000"/>
          <w:sz w:val="22"/>
          <w:szCs w:val="22"/>
          <w:lang w:val="sv-SE" w:eastAsia="lt-LT"/>
        </w:rPr>
      </w:pPr>
    </w:p>
    <w:p w14:paraId="45BF25CA" w14:textId="77777777" w:rsidR="00F00A02" w:rsidRDefault="0027659F">
      <w:pPr>
        <w:widowControl w:val="0"/>
        <w:jc w:val="both"/>
        <w:rPr>
          <w:color w:val="000000"/>
          <w:sz w:val="22"/>
          <w:szCs w:val="22"/>
          <w:lang w:val="sv-SE" w:eastAsia="lt-LT"/>
        </w:rPr>
      </w:pPr>
      <w:r>
        <w:rPr>
          <w:color w:val="000000"/>
          <w:sz w:val="22"/>
          <w:szCs w:val="22"/>
          <w:lang w:val="sv-SE" w:eastAsia="lt-LT"/>
        </w:rPr>
        <w:t>ELITE II tyrimo metu mažam tiriamųjų skaičiui (22 % visų širdies nepakankamumu sergančių pacientų), kurie pradžioje buvo gydyti beta adrenoblokatoriais, mirtingumo dažnis padidėjo.</w:t>
      </w:r>
    </w:p>
    <w:p w14:paraId="51198FFF" w14:textId="77777777" w:rsidR="00F00A02" w:rsidRDefault="00F00A02">
      <w:pPr>
        <w:widowControl w:val="0"/>
        <w:jc w:val="both"/>
        <w:rPr>
          <w:color w:val="000000"/>
          <w:sz w:val="22"/>
          <w:szCs w:val="22"/>
          <w:lang w:val="sv-SE"/>
        </w:rPr>
      </w:pPr>
    </w:p>
    <w:p w14:paraId="5CB60CC4" w14:textId="77777777" w:rsidR="00F00A02" w:rsidRDefault="0027659F">
      <w:pPr>
        <w:widowControl w:val="0"/>
        <w:jc w:val="both"/>
        <w:rPr>
          <w:color w:val="000000"/>
          <w:sz w:val="22"/>
          <w:szCs w:val="22"/>
          <w:u w:val="single"/>
          <w:lang w:val="sv-SE" w:eastAsia="lt-LT"/>
        </w:rPr>
      </w:pPr>
      <w:r>
        <w:rPr>
          <w:color w:val="000000"/>
          <w:sz w:val="22"/>
          <w:szCs w:val="22"/>
          <w:u w:val="single"/>
          <w:lang w:val="sv-SE" w:eastAsia="lt-LT"/>
        </w:rPr>
        <w:t>Dvigubas renino, angiotenzino ir aldosterono sistemos (RAAS) nuslopinimas</w:t>
      </w:r>
    </w:p>
    <w:p w14:paraId="4F14A0F5" w14:textId="77777777" w:rsidR="00F00A02" w:rsidRDefault="0027659F">
      <w:pPr>
        <w:widowControl w:val="0"/>
        <w:jc w:val="both"/>
        <w:rPr>
          <w:color w:val="000000"/>
          <w:sz w:val="22"/>
          <w:szCs w:val="22"/>
          <w:lang w:val="sv-SE" w:eastAsia="lt-LT"/>
        </w:rPr>
      </w:pPr>
      <w:r>
        <w:rPr>
          <w:color w:val="000000"/>
          <w:sz w:val="22"/>
          <w:szCs w:val="22"/>
          <w:lang w:val="sv-SE" w:eastAsia="lt-LT"/>
        </w:rPr>
        <w:t>Dviem dideliais atsitiktinės atrankos, kontroliuojamais tyrimais (</w:t>
      </w:r>
      <w:r>
        <w:rPr>
          <w:i/>
          <w:iCs/>
          <w:color w:val="000000"/>
          <w:sz w:val="22"/>
          <w:szCs w:val="22"/>
          <w:lang w:val="sv-SE" w:eastAsia="lt-LT"/>
        </w:rPr>
        <w:t>ONTARGET</w:t>
      </w:r>
      <w:r>
        <w:rPr>
          <w:color w:val="000000"/>
          <w:sz w:val="22"/>
          <w:szCs w:val="22"/>
          <w:lang w:val="sv-SE" w:eastAsia="lt-LT"/>
        </w:rPr>
        <w:t xml:space="preserve"> (</w:t>
      </w:r>
      <w:r>
        <w:rPr>
          <w:i/>
          <w:iCs/>
          <w:color w:val="000000"/>
          <w:sz w:val="22"/>
          <w:szCs w:val="22"/>
          <w:lang w:val="sv-SE" w:eastAsia="lt-LT"/>
        </w:rPr>
        <w:t>angl. „ONgoing Telmisartan Alone and in combination with Ramipril Global Endpoint Trial“)</w:t>
      </w:r>
      <w:r>
        <w:rPr>
          <w:color w:val="000000"/>
          <w:sz w:val="22"/>
          <w:szCs w:val="22"/>
          <w:lang w:val="sv-SE" w:eastAsia="lt-LT"/>
        </w:rPr>
        <w:t xml:space="preserve"> ir </w:t>
      </w:r>
      <w:r>
        <w:rPr>
          <w:i/>
          <w:iCs/>
          <w:color w:val="000000"/>
          <w:sz w:val="22"/>
          <w:szCs w:val="22"/>
          <w:lang w:val="sv-SE" w:eastAsia="lt-LT"/>
        </w:rPr>
        <w:t>VA NEPHRON-D</w:t>
      </w:r>
      <w:r>
        <w:rPr>
          <w:color w:val="000000"/>
          <w:sz w:val="22"/>
          <w:szCs w:val="22"/>
          <w:lang w:val="sv-SE" w:eastAsia="lt-LT"/>
        </w:rPr>
        <w:t xml:space="preserve"> (</w:t>
      </w:r>
      <w:r>
        <w:rPr>
          <w:i/>
          <w:iCs/>
          <w:color w:val="000000"/>
          <w:sz w:val="22"/>
          <w:szCs w:val="22"/>
          <w:lang w:val="sv-SE" w:eastAsia="lt-LT"/>
        </w:rPr>
        <w:t>angl. „The Veterans Affairs Nephropathy in Diabetes“))</w:t>
      </w:r>
      <w:r>
        <w:rPr>
          <w:color w:val="000000"/>
          <w:sz w:val="22"/>
          <w:szCs w:val="22"/>
          <w:lang w:val="sv-SE" w:eastAsia="lt-LT"/>
        </w:rPr>
        <w:t xml:space="preserve"> buvo ištirtas AKF inhibitoriaus ir angiotenzino II receptorių blokatoriaus derinio vartojimas.</w:t>
      </w:r>
    </w:p>
    <w:p w14:paraId="656FA41A" w14:textId="77777777" w:rsidR="00F00A02" w:rsidRDefault="0027659F">
      <w:pPr>
        <w:widowControl w:val="0"/>
        <w:jc w:val="both"/>
        <w:rPr>
          <w:color w:val="000000"/>
          <w:sz w:val="22"/>
          <w:szCs w:val="22"/>
          <w:lang w:val="sv-SE" w:eastAsia="lt-LT"/>
        </w:rPr>
      </w:pPr>
      <w:r>
        <w:rPr>
          <w:i/>
          <w:iCs/>
          <w:color w:val="000000"/>
          <w:sz w:val="22"/>
          <w:szCs w:val="22"/>
          <w:lang w:val="sv-SE" w:eastAsia="lt-LT"/>
        </w:rPr>
        <w:t xml:space="preserve">ONTARGET </w:t>
      </w:r>
      <w:r>
        <w:rPr>
          <w:color w:val="000000"/>
          <w:sz w:val="22"/>
          <w:szCs w:val="22"/>
          <w:lang w:val="sv-SE" w:eastAsia="lt-LT"/>
        </w:rPr>
        <w:t xml:space="preserve">tyrime dalyvavo pacientai, kurių anamnezėje buvo širdies ir kraujagyslių ar smegenų kraujagyslių liga arba 2 tipo cukrinis diabetas ir susijusi akivaizdi organų-taikinių pažaida. </w:t>
      </w:r>
      <w:r>
        <w:rPr>
          <w:i/>
          <w:iCs/>
          <w:color w:val="000000"/>
          <w:sz w:val="22"/>
          <w:szCs w:val="22"/>
          <w:lang w:val="sv-SE" w:eastAsia="lt-LT"/>
        </w:rPr>
        <w:t>VA NEPHRON-D</w:t>
      </w:r>
      <w:r>
        <w:rPr>
          <w:color w:val="000000"/>
          <w:sz w:val="22"/>
          <w:szCs w:val="22"/>
          <w:lang w:val="sv-SE" w:eastAsia="lt-LT"/>
        </w:rPr>
        <w:t xml:space="preserve"> tyrimas buvo atliekamas su pacientais, sergančiais 2 tipo cukriniu diabetu ir diabetine nefropatija.</w:t>
      </w:r>
    </w:p>
    <w:p w14:paraId="06F77621" w14:textId="77777777" w:rsidR="00F00A02" w:rsidRDefault="0027659F">
      <w:pPr>
        <w:widowControl w:val="0"/>
        <w:jc w:val="both"/>
        <w:rPr>
          <w:color w:val="000000"/>
          <w:sz w:val="22"/>
          <w:szCs w:val="22"/>
          <w:lang w:val="sv-SE" w:eastAsia="lt-LT"/>
        </w:rPr>
      </w:pPr>
      <w:r>
        <w:rPr>
          <w:color w:val="000000"/>
          <w:sz w:val="22"/>
          <w:szCs w:val="22"/>
          <w:lang w:val="sv-SE" w:eastAsia="lt-LT"/>
        </w:rPr>
        <w:t>Šie tyrimai neparodė reikšmingo teigiamo poveikio inkstų ir (arba) širdies ir kraujagyslių ligų baigtims ir mirštamumui, bet, palyginti su monoterapija, buvo pastebėta didesnė hiperkalemijos, ūminio inkstų pažeidimo ir (arba) hipotenzijos rizika. Atsižvelgiant į panašias farmakodinamines savybes, šie rezultatai taip pat galioja kitiems AKF inhibitoriams ir angiotenzino II receptorių blokatoriams.</w:t>
      </w:r>
    </w:p>
    <w:p w14:paraId="5E7B8D0E" w14:textId="77777777" w:rsidR="00F00A02" w:rsidRDefault="0027659F">
      <w:pPr>
        <w:widowControl w:val="0"/>
        <w:jc w:val="both"/>
        <w:rPr>
          <w:color w:val="000000"/>
          <w:sz w:val="22"/>
          <w:szCs w:val="22"/>
          <w:lang w:val="sv-SE" w:eastAsia="lt-LT"/>
        </w:rPr>
      </w:pPr>
      <w:r>
        <w:rPr>
          <w:color w:val="000000"/>
          <w:sz w:val="22"/>
          <w:szCs w:val="22"/>
          <w:lang w:val="sv-SE" w:eastAsia="lt-LT"/>
        </w:rPr>
        <w:t>Todėl pacientams, sergantiems diabetine nefropatija, negalima kartu vartoti AKF inhibitorių ir angiotenzino II receptorių blokatorių.</w:t>
      </w:r>
    </w:p>
    <w:p w14:paraId="44DF2D59" w14:textId="77777777" w:rsidR="00F00A02" w:rsidRDefault="0027659F">
      <w:pPr>
        <w:widowControl w:val="0"/>
        <w:jc w:val="both"/>
        <w:rPr>
          <w:color w:val="000000"/>
          <w:sz w:val="22"/>
          <w:szCs w:val="22"/>
          <w:lang w:val="sv-SE" w:eastAsia="lt-LT"/>
        </w:rPr>
      </w:pPr>
      <w:r>
        <w:rPr>
          <w:i/>
          <w:iCs/>
          <w:color w:val="000000"/>
          <w:sz w:val="22"/>
          <w:szCs w:val="22"/>
          <w:lang w:val="sv-SE" w:eastAsia="lt-LT"/>
        </w:rPr>
        <w:t>ALTITUDE</w:t>
      </w:r>
      <w:r>
        <w:rPr>
          <w:color w:val="000000"/>
          <w:sz w:val="22"/>
          <w:szCs w:val="22"/>
          <w:lang w:val="sv-SE" w:eastAsia="lt-LT"/>
        </w:rPr>
        <w:t xml:space="preserve"> (angl. „</w:t>
      </w:r>
      <w:r>
        <w:rPr>
          <w:i/>
          <w:iCs/>
          <w:color w:val="000000"/>
          <w:sz w:val="22"/>
          <w:szCs w:val="22"/>
          <w:lang w:val="sv-SE" w:eastAsia="lt-LT"/>
        </w:rPr>
        <w:t>Aliskiren Trial in Type 2 Diabetes Using Cardiovascular and Renal Disease Endpoints</w:t>
      </w:r>
      <w:r>
        <w:rPr>
          <w:color w:val="000000"/>
          <w:sz w:val="22"/>
          <w:szCs w:val="22"/>
          <w:lang w:val="sv-SE" w:eastAsia="lt-LT"/>
        </w:rPr>
        <w:t>“) tyrimu buvo siekiama ištirti, ar būtų naudingas aliskireno įtraukimas į standartinį pacientų, sergančių 2 tipo cukriniu diabetu ir lėtine inkstų liga, širdies ir kraujagyslių liga arba abiem ligomis, gydymą AKF inhibitoriumi arba angiotenzino II receptorių blokatoriumi. Tyrimas buvo nutrauktas pirma laiko, nes padidėjo nepageidaujamų baigčių rizika. Mirčių nuo širdies ir kraujagyslių ligų ir insulto atvejų skaičius aliskireno grupėje buvo didesnis nei placebo grupėje, o nepageidaujami reiškiniai ir sunkūs nepageidaujami reiškiniai (hiperkalemija, hipotenzija ir inkstų funkcijos sutrikimai) aliskireno grupėje taip pat pasireiškė dažniau nei placebo grupėje.</w:t>
      </w:r>
    </w:p>
    <w:p w14:paraId="40DB9250" w14:textId="77777777" w:rsidR="00F00A02" w:rsidRDefault="00F00A02">
      <w:pPr>
        <w:widowControl w:val="0"/>
        <w:jc w:val="both"/>
        <w:rPr>
          <w:color w:val="000000"/>
          <w:sz w:val="22"/>
          <w:szCs w:val="22"/>
          <w:lang w:val="sv-SE" w:eastAsia="lt-LT"/>
        </w:rPr>
      </w:pPr>
    </w:p>
    <w:p w14:paraId="4288DEE1" w14:textId="77777777" w:rsidR="00F00A02" w:rsidRDefault="0027659F">
      <w:pPr>
        <w:widowControl w:val="0"/>
        <w:jc w:val="both"/>
        <w:rPr>
          <w:color w:val="000000"/>
          <w:sz w:val="22"/>
          <w:szCs w:val="22"/>
          <w:u w:val="single"/>
          <w:lang w:val="sv-SE" w:eastAsia="lt-LT"/>
        </w:rPr>
      </w:pPr>
      <w:r>
        <w:rPr>
          <w:color w:val="000000"/>
          <w:sz w:val="22"/>
          <w:szCs w:val="22"/>
          <w:u w:val="single"/>
          <w:lang w:val="sv-SE" w:eastAsia="lt-LT"/>
        </w:rPr>
        <w:t>Vaikų populiacija</w:t>
      </w:r>
    </w:p>
    <w:p w14:paraId="17DB3316" w14:textId="77777777" w:rsidR="00F00A02" w:rsidRDefault="00F00A02">
      <w:pPr>
        <w:widowControl w:val="0"/>
        <w:jc w:val="both"/>
        <w:rPr>
          <w:color w:val="000000"/>
          <w:sz w:val="22"/>
          <w:szCs w:val="22"/>
          <w:u w:val="single"/>
          <w:lang w:val="sv-SE" w:eastAsia="lt-LT"/>
        </w:rPr>
      </w:pPr>
    </w:p>
    <w:p w14:paraId="4F438232" w14:textId="77777777" w:rsidR="00F00A02" w:rsidRDefault="0027659F">
      <w:pPr>
        <w:widowControl w:val="0"/>
        <w:jc w:val="both"/>
        <w:rPr>
          <w:color w:val="000000"/>
          <w:sz w:val="22"/>
          <w:szCs w:val="22"/>
          <w:u w:val="single"/>
          <w:lang w:val="sv-SE" w:eastAsia="lt-LT"/>
        </w:rPr>
      </w:pPr>
      <w:r>
        <w:rPr>
          <w:color w:val="000000"/>
          <w:sz w:val="22"/>
          <w:szCs w:val="22"/>
          <w:u w:val="single"/>
          <w:lang w:val="sv-SE" w:eastAsia="lt-LT"/>
        </w:rPr>
        <w:t>Vaikų hipertenzija</w:t>
      </w:r>
    </w:p>
    <w:p w14:paraId="6BE6A2A3" w14:textId="77777777" w:rsidR="00F00A02" w:rsidRDefault="0027659F">
      <w:pPr>
        <w:widowControl w:val="0"/>
        <w:rPr>
          <w:color w:val="000000"/>
          <w:sz w:val="22"/>
          <w:szCs w:val="22"/>
          <w:lang w:val="sv-SE" w:eastAsia="lt-LT"/>
        </w:rPr>
      </w:pPr>
      <w:r>
        <w:rPr>
          <w:color w:val="000000"/>
          <w:sz w:val="22"/>
          <w:szCs w:val="22"/>
          <w:lang w:val="sv-SE" w:eastAsia="lt-LT"/>
        </w:rPr>
        <w:t xml:space="preserve">Antihipertenzinis losartano poveikis nustatinėtas klinikiniu tyrimu, kuriame dalyvavo 177 hipertenzija sergantys 6 - 16 metų vaikai, kurių kūno svoris buvo didesnis negu 20 kg, glomerulų filtracijos greitis </w:t>
      </w:r>
      <w:r>
        <w:rPr>
          <w:color w:val="000000"/>
          <w:sz w:val="22"/>
          <w:szCs w:val="22"/>
          <w:lang w:eastAsia="lt-LT"/>
        </w:rPr>
        <w:sym w:font="Symbol" w:char="F02D"/>
      </w:r>
      <w:r>
        <w:rPr>
          <w:color w:val="000000"/>
          <w:sz w:val="22"/>
          <w:szCs w:val="22"/>
          <w:lang w:val="sv-SE" w:eastAsia="lt-LT"/>
        </w:rPr>
        <w:t xml:space="preserve"> didesnis negu 30 ml/min./1,73m</w:t>
      </w:r>
      <w:r>
        <w:rPr>
          <w:color w:val="000000"/>
          <w:sz w:val="22"/>
          <w:szCs w:val="22"/>
          <w:vertAlign w:val="superscript"/>
          <w:lang w:val="sv-SE" w:eastAsia="lt-LT"/>
        </w:rPr>
        <w:t>2</w:t>
      </w:r>
      <w:r>
        <w:rPr>
          <w:color w:val="000000"/>
          <w:sz w:val="22"/>
          <w:szCs w:val="22"/>
          <w:lang w:val="sv-SE" w:eastAsia="lt-LT"/>
        </w:rPr>
        <w:t xml:space="preserve">. Pacientams, sveriantiems daugiau kaip 20 kg, bet mažiau kaip 50 kg, buvo skirta vartoti 2,5 mg, 25 mg arba 50 mg losartano dozę kartą per parą, daugiau negu 50 kg svėrusiems pacientams </w:t>
      </w:r>
      <w:r>
        <w:rPr>
          <w:color w:val="000000"/>
          <w:sz w:val="22"/>
          <w:szCs w:val="22"/>
          <w:lang w:eastAsia="lt-LT"/>
        </w:rPr>
        <w:sym w:font="Symbol" w:char="F02D"/>
      </w:r>
      <w:r>
        <w:rPr>
          <w:color w:val="000000"/>
          <w:sz w:val="22"/>
          <w:szCs w:val="22"/>
          <w:lang w:val="sv-SE" w:eastAsia="lt-LT"/>
        </w:rPr>
        <w:t xml:space="preserve"> 5 mg, 50 mg arba 100 mg losartano dozę kartą per parą. Po trijų savaičių gydymo kartą per parą vartojama losartano doze, kraujospūdžio sumažėjimas prieš kitos dozės </w:t>
      </w:r>
      <w:r>
        <w:rPr>
          <w:color w:val="000000"/>
          <w:sz w:val="22"/>
          <w:szCs w:val="22"/>
          <w:lang w:val="sv-SE" w:eastAsia="lt-LT"/>
        </w:rPr>
        <w:lastRenderedPageBreak/>
        <w:t>vartojimą priklausė nuo dozės dydžio.</w:t>
      </w:r>
    </w:p>
    <w:p w14:paraId="09FA2554" w14:textId="77777777" w:rsidR="00F00A02" w:rsidRDefault="00F00A02">
      <w:pPr>
        <w:widowControl w:val="0"/>
        <w:rPr>
          <w:color w:val="000000"/>
          <w:sz w:val="22"/>
          <w:szCs w:val="22"/>
          <w:lang w:val="sv-SE" w:eastAsia="lt-LT"/>
        </w:rPr>
      </w:pPr>
    </w:p>
    <w:p w14:paraId="5C76C063" w14:textId="77777777" w:rsidR="00F00A02" w:rsidRDefault="0027659F">
      <w:pPr>
        <w:widowControl w:val="0"/>
        <w:rPr>
          <w:color w:val="000000"/>
          <w:sz w:val="22"/>
          <w:szCs w:val="22"/>
          <w:lang w:val="sv-SE" w:eastAsia="lt-LT"/>
        </w:rPr>
      </w:pPr>
      <w:r>
        <w:rPr>
          <w:color w:val="000000"/>
          <w:sz w:val="22"/>
          <w:szCs w:val="22"/>
          <w:lang w:val="sv-SE" w:eastAsia="lt-LT"/>
        </w:rPr>
        <w:t>Apskritai, atsakas priklausė nuo dozės dydžio. Mažą dozę vartojusių tiriamųjų grupę palyginus su vidutinę dozę vartojusių grupe, dozės ir atsako ryšys buvo labai akivaizdus (I etapas: -6,2 mm Hg, palyginti su -11,65 mm Hg), tačiau vidutinę dozę vartojusių tiriamųjų grupę palyginus su didelę dozę vartojusių grupe, šis ryšys buvo mažesnis (I etapas: -11,65 mm Hg, palyginti su -12,21 mm Hg). Panašu, kad tirtos mažiausios dozės (2,5 mg ir 5 mg), atitinkančios vidutinę 0,07 mg/kg kūno svorio paros dozę, neužtikrina pastovaus antihipertenzinio veiksmingumo.</w:t>
      </w:r>
    </w:p>
    <w:p w14:paraId="52BF6AA2" w14:textId="77777777" w:rsidR="00F00A02" w:rsidRDefault="00F00A02">
      <w:pPr>
        <w:widowControl w:val="0"/>
        <w:rPr>
          <w:color w:val="000000"/>
          <w:sz w:val="22"/>
          <w:szCs w:val="22"/>
          <w:lang w:val="sv-SE" w:eastAsia="lt-LT"/>
        </w:rPr>
      </w:pPr>
    </w:p>
    <w:p w14:paraId="146AAC6F" w14:textId="77777777" w:rsidR="00F00A02" w:rsidRDefault="0027659F">
      <w:pPr>
        <w:widowControl w:val="0"/>
        <w:rPr>
          <w:color w:val="000000"/>
          <w:sz w:val="22"/>
          <w:szCs w:val="22"/>
          <w:lang w:val="sv-SE" w:eastAsia="lt-LT"/>
        </w:rPr>
      </w:pPr>
      <w:r>
        <w:rPr>
          <w:color w:val="000000"/>
          <w:sz w:val="22"/>
          <w:szCs w:val="22"/>
          <w:lang w:val="sv-SE" w:eastAsia="lt-LT"/>
        </w:rPr>
        <w:t xml:space="preserve">Šie rezultatai buvo patvirtinti tyrimo II etapu, kurio metu pacientai po trijų gydymo savaičių atsitiktinių imčių būdu buvo atrinkti toliau vartoti losartano arba placebo. Palyginti su vartojusiais placebo, kraujospūdžio padidėjimo skirtumas buvo didžiausias vartojusiems vidutinę losartano dozę,(vartojusiems vidutinę dozę </w:t>
      </w:r>
      <w:r>
        <w:rPr>
          <w:color w:val="000000"/>
          <w:sz w:val="22"/>
          <w:szCs w:val="22"/>
          <w:lang w:eastAsia="lt-LT"/>
        </w:rPr>
        <w:sym w:font="Symbol" w:char="F02D"/>
      </w:r>
      <w:r>
        <w:rPr>
          <w:color w:val="000000"/>
          <w:sz w:val="22"/>
          <w:szCs w:val="22"/>
          <w:lang w:val="sv-SE" w:eastAsia="lt-LT"/>
        </w:rPr>
        <w:t xml:space="preserve">6,70 mm Hg, vartojusiems didelę dozę </w:t>
      </w:r>
      <w:r>
        <w:rPr>
          <w:color w:val="000000"/>
          <w:sz w:val="22"/>
          <w:szCs w:val="22"/>
          <w:lang w:eastAsia="lt-LT"/>
        </w:rPr>
        <w:sym w:font="Symbol" w:char="F02D"/>
      </w:r>
      <w:r>
        <w:rPr>
          <w:color w:val="000000"/>
          <w:sz w:val="22"/>
          <w:szCs w:val="22"/>
          <w:lang w:val="sv-SE" w:eastAsia="lt-LT"/>
        </w:rPr>
        <w:t xml:space="preserve"> 5,38 mm Hg). Tiek placebo vartojusiems pacientams, tiek tęstinio tyrimo metu vartojusiems mažiausią tirtą losartano dozę, mažiausio diastolinio kraujospūdžio padidėjimas buvo vienodas. Tai patvirtina, kad mažiausios losartano dozės kiekvienos grupės pacientams reikšmingo antihipertenzinio poveikio nedarė.</w:t>
      </w:r>
    </w:p>
    <w:p w14:paraId="5B65E129" w14:textId="77777777" w:rsidR="00F00A02" w:rsidRDefault="00F00A02">
      <w:pPr>
        <w:widowControl w:val="0"/>
        <w:rPr>
          <w:color w:val="000000"/>
          <w:sz w:val="22"/>
          <w:szCs w:val="22"/>
          <w:lang w:val="sv-SE" w:eastAsia="lt-LT"/>
        </w:rPr>
      </w:pPr>
    </w:p>
    <w:p w14:paraId="6E7BBCA1" w14:textId="77777777" w:rsidR="00F00A02" w:rsidRDefault="0027659F">
      <w:pPr>
        <w:widowControl w:val="0"/>
        <w:rPr>
          <w:color w:val="000000"/>
          <w:sz w:val="22"/>
          <w:szCs w:val="22"/>
          <w:lang w:val="sv-SE" w:eastAsia="lt-LT"/>
        </w:rPr>
      </w:pPr>
      <w:r>
        <w:rPr>
          <w:color w:val="000000"/>
          <w:sz w:val="22"/>
          <w:szCs w:val="22"/>
          <w:lang w:val="sv-SE" w:eastAsia="lt-LT"/>
        </w:rPr>
        <w:t>Ilgalaikis losartano poveikis augimui, brendimui ir bendrajam vystymuisi netirtas. Antihipertenzinio gydymo losartanu ilgalaikis veiksmingumas mažinant vaikų kardiovaskulinį mirštamumą ir ligotumą netirtas.</w:t>
      </w:r>
    </w:p>
    <w:p w14:paraId="1C006B6B" w14:textId="77777777" w:rsidR="00F00A02" w:rsidRDefault="00F00A02">
      <w:pPr>
        <w:widowControl w:val="0"/>
        <w:rPr>
          <w:color w:val="000000"/>
          <w:sz w:val="22"/>
          <w:szCs w:val="22"/>
          <w:lang w:val="sv-SE" w:eastAsia="lt-LT"/>
        </w:rPr>
      </w:pPr>
    </w:p>
    <w:p w14:paraId="5725B652" w14:textId="77777777" w:rsidR="00F00A02" w:rsidRDefault="0027659F">
      <w:pPr>
        <w:widowControl w:val="0"/>
        <w:rPr>
          <w:sz w:val="22"/>
          <w:szCs w:val="22"/>
          <w:lang w:val="sv-SE" w:eastAsia="lt-LT"/>
        </w:rPr>
      </w:pPr>
      <w:r>
        <w:rPr>
          <w:color w:val="000000"/>
          <w:sz w:val="22"/>
          <w:szCs w:val="22"/>
          <w:lang w:val="sv-SE" w:eastAsia="lt-LT"/>
        </w:rPr>
        <w:t xml:space="preserve">Klinikinio 12 savaičių trukmės placebu ir veikliąja medžiaga (amlodipinu) kontroliuojamo tyrimo, kuriame dalyvavo vaikai, </w:t>
      </w:r>
      <w:r>
        <w:rPr>
          <w:sz w:val="22"/>
          <w:szCs w:val="22"/>
          <w:lang w:val="sv-SE" w:eastAsia="lt-LT"/>
        </w:rPr>
        <w:t xml:space="preserve">kuriems buvo proteinurija ir hipertenzija </w:t>
      </w:r>
      <w:r>
        <w:rPr>
          <w:color w:val="000000"/>
          <w:sz w:val="22"/>
          <w:szCs w:val="22"/>
          <w:lang w:val="sv-SE" w:eastAsia="lt-LT"/>
        </w:rPr>
        <w:t>(</w:t>
      </w:r>
      <w:r>
        <w:rPr>
          <w:sz w:val="22"/>
          <w:szCs w:val="22"/>
          <w:lang w:val="sv-SE" w:eastAsia="lt-LT"/>
        </w:rPr>
        <w:t>N= 60</w:t>
      </w:r>
      <w:r>
        <w:rPr>
          <w:color w:val="000000"/>
          <w:sz w:val="22"/>
          <w:szCs w:val="22"/>
          <w:lang w:val="sv-SE" w:eastAsia="lt-LT"/>
        </w:rPr>
        <w:t xml:space="preserve">) </w:t>
      </w:r>
      <w:r>
        <w:rPr>
          <w:sz w:val="22"/>
          <w:szCs w:val="22"/>
          <w:lang w:val="sv-SE" w:eastAsia="lt-LT"/>
        </w:rPr>
        <w:t>arba</w:t>
      </w:r>
      <w:r>
        <w:rPr>
          <w:color w:val="000000"/>
          <w:sz w:val="22"/>
          <w:szCs w:val="22"/>
          <w:lang w:val="sv-SE" w:eastAsia="lt-LT"/>
        </w:rPr>
        <w:t xml:space="preserve"> kraujospūdis buvo normalus </w:t>
      </w:r>
      <w:r>
        <w:rPr>
          <w:sz w:val="22"/>
          <w:szCs w:val="22"/>
          <w:lang w:val="sv-SE" w:eastAsia="lt-LT"/>
        </w:rPr>
        <w:t>(N= 246)</w:t>
      </w:r>
      <w:r>
        <w:rPr>
          <w:color w:val="000000"/>
          <w:sz w:val="22"/>
          <w:szCs w:val="22"/>
          <w:lang w:val="sv-SE" w:eastAsia="lt-LT"/>
        </w:rPr>
        <w:t xml:space="preserve">, metu buvo vertinamas losartano poveikis proteinurijai. Proteinurija buvo nustatoma, kai baltymo kiekio šlapime ir kreatinino santykis buvo 0,3 arba daugiau. Hipertenzija sergantiems pacientams (nuo 6 iki 18 metų) atsitiktinės atrankos būdu buvo skiriamas arba losartanas </w:t>
      </w:r>
      <w:r>
        <w:rPr>
          <w:sz w:val="22"/>
          <w:szCs w:val="22"/>
          <w:lang w:val="sv-SE" w:eastAsia="lt-LT"/>
        </w:rPr>
        <w:t>(n= 30), arba amlodipinas (n=</w:t>
      </w:r>
      <w:r>
        <w:rPr>
          <w:sz w:val="22"/>
          <w:szCs w:val="22"/>
          <w:lang w:eastAsia="lt-LT"/>
        </w:rPr>
        <w:t>3 0</w:t>
      </w:r>
      <w:r>
        <w:rPr>
          <w:sz w:val="22"/>
          <w:szCs w:val="22"/>
          <w:lang w:val="sv-SE" w:eastAsia="lt-LT"/>
        </w:rPr>
        <w:t xml:space="preserve">). Pacientams </w:t>
      </w:r>
      <w:r>
        <w:rPr>
          <w:color w:val="000000"/>
          <w:sz w:val="22"/>
          <w:szCs w:val="22"/>
          <w:lang w:val="sv-SE" w:eastAsia="lt-LT"/>
        </w:rPr>
        <w:t>(nuo 1 iki 18 metų)</w:t>
      </w:r>
      <w:r>
        <w:rPr>
          <w:sz w:val="22"/>
          <w:szCs w:val="22"/>
          <w:lang w:val="sv-SE" w:eastAsia="lt-LT"/>
        </w:rPr>
        <w:t xml:space="preserve">, kuriems kraujospūdis buvo normalus, </w:t>
      </w:r>
      <w:r>
        <w:rPr>
          <w:color w:val="000000"/>
          <w:sz w:val="22"/>
          <w:szCs w:val="22"/>
          <w:lang w:val="sv-SE" w:eastAsia="lt-LT"/>
        </w:rPr>
        <w:t xml:space="preserve">atsitiktinės atrankos būdu buvo skiriamas arba losartanas </w:t>
      </w:r>
      <w:r>
        <w:rPr>
          <w:sz w:val="22"/>
          <w:szCs w:val="22"/>
          <w:lang w:val="sv-SE" w:eastAsia="lt-LT"/>
        </w:rPr>
        <w:t>(n= 122), arba placebas (n= </w:t>
      </w:r>
      <w:r>
        <w:rPr>
          <w:sz w:val="22"/>
          <w:szCs w:val="22"/>
          <w:lang w:eastAsia="lt-LT"/>
        </w:rPr>
        <w:t>124</w:t>
      </w:r>
      <w:r>
        <w:rPr>
          <w:sz w:val="22"/>
          <w:szCs w:val="22"/>
          <w:lang w:val="sv-SE" w:eastAsia="lt-LT"/>
        </w:rPr>
        <w:t>). Losartano buvo skiriamos nuo 0,7 mg/kg iki 1,4 mg/kg dozės (iki didžiausios 100 mg per parą dozės). Amlodipino buvo skiriamos nuo 0,05 mg/kg iki 0,2 mg/kg dozės (iki didžiausios 5 mg per parą dozės).</w:t>
      </w:r>
    </w:p>
    <w:p w14:paraId="5CD04872" w14:textId="77777777" w:rsidR="00F00A02" w:rsidRDefault="00F00A02">
      <w:pPr>
        <w:widowControl w:val="0"/>
        <w:rPr>
          <w:sz w:val="22"/>
          <w:szCs w:val="22"/>
          <w:lang w:val="sv-SE" w:eastAsia="lt-LT"/>
        </w:rPr>
      </w:pPr>
    </w:p>
    <w:p w14:paraId="3D782364" w14:textId="77777777" w:rsidR="00F00A02" w:rsidRDefault="0027659F">
      <w:pPr>
        <w:widowControl w:val="0"/>
        <w:rPr>
          <w:sz w:val="22"/>
          <w:szCs w:val="22"/>
          <w:lang w:val="sv-SE" w:eastAsia="lt-LT"/>
        </w:rPr>
      </w:pPr>
      <w:r>
        <w:rPr>
          <w:color w:val="000000"/>
          <w:sz w:val="22"/>
          <w:szCs w:val="22"/>
          <w:lang w:val="sv-SE" w:eastAsia="lt-LT"/>
        </w:rPr>
        <w:t>Apskritai, po 12 savaičių gydymo pacientams, vartojusiems losartano, nustatytas statistiškai reikšmingas proteinurijos sumažėjimas 36 % nuo pradinio lygio</w:t>
      </w:r>
      <w:r>
        <w:rPr>
          <w:color w:val="000000"/>
          <w:sz w:val="22"/>
          <w:szCs w:val="22"/>
          <w:lang w:eastAsia="lt-LT"/>
        </w:rPr>
        <w:t>, palyginti su 1</w:t>
      </w:r>
      <w:r>
        <w:rPr>
          <w:color w:val="000000"/>
          <w:sz w:val="22"/>
          <w:szCs w:val="22"/>
          <w:lang w:val="sv-SE" w:eastAsia="lt-LT"/>
        </w:rPr>
        <w:t> %</w:t>
      </w:r>
      <w:r>
        <w:rPr>
          <w:color w:val="000000"/>
          <w:sz w:val="22"/>
          <w:szCs w:val="22"/>
          <w:lang w:eastAsia="lt-LT"/>
        </w:rPr>
        <w:t xml:space="preserve"> padidėjimu placebo arba amlodipino grupės pacientams </w:t>
      </w:r>
      <w:r>
        <w:rPr>
          <w:sz w:val="22"/>
          <w:szCs w:val="22"/>
          <w:lang w:val="sv-SE" w:eastAsia="lt-LT"/>
        </w:rPr>
        <w:t>(p≤ 0,001). Hipertenzija sergantiems pacientams, vartojusiems losartano, proteinurija nuo pradinio lygio sumažėjo -41,5 % (95 % PI -29,9;-51,1), palyginti su +2,4 % (95 % PI -22,2; 14,1) padidėjimu vartojusiems amlodipino. Tiek sistolinio, tiek diastolinio kraujospūdžių sumažėjimas buvo didesnis losartano grupėje (-5,5 ir -3,8 mm Hg), palyginti su amlodipino grupe (-0,1 ir +0,8 mm Hg). Vaikams, kuriems kraujospūdis buvo normalus, nustatytas nežymus krauspūdžio sumažėjimas losartano grupėje (-3,7 ir -3,4 mm Hg), palyginti su placebo grupe. Reikšmingos koreliacijos tarp proteinurijos ir kraujospūdžio sumažėjimo nebuvo pastebėta, tačiau yra galimybė, kad dėl kraujospūdžio sumažėjimo iš dalies sumažėjo proteinurija losartanu gydytiems pacientams.</w:t>
      </w:r>
    </w:p>
    <w:p w14:paraId="44F29556" w14:textId="77777777" w:rsidR="00F00A02" w:rsidRDefault="00F00A02">
      <w:pPr>
        <w:widowControl w:val="0"/>
        <w:rPr>
          <w:sz w:val="22"/>
          <w:szCs w:val="22"/>
          <w:lang w:eastAsia="lt-LT"/>
        </w:rPr>
      </w:pPr>
    </w:p>
    <w:p w14:paraId="2957CE33" w14:textId="77777777" w:rsidR="00F00A02" w:rsidRDefault="0027659F">
      <w:pPr>
        <w:tabs>
          <w:tab w:val="left" w:pos="567"/>
        </w:tabs>
        <w:rPr>
          <w:bCs/>
          <w:sz w:val="22"/>
          <w:szCs w:val="22"/>
          <w:lang w:val="lt-LT" w:eastAsia="lt-LT"/>
        </w:rPr>
      </w:pPr>
      <w:r>
        <w:rPr>
          <w:sz w:val="22"/>
          <w:szCs w:val="22"/>
          <w:lang w:val="lt-LT" w:eastAsia="lt-LT"/>
        </w:rPr>
        <w:t xml:space="preserve">Ilgalaikiai </w:t>
      </w:r>
      <w:proofErr w:type="spellStart"/>
      <w:r>
        <w:rPr>
          <w:sz w:val="22"/>
          <w:szCs w:val="22"/>
          <w:lang w:val="lt-LT" w:eastAsia="lt-LT"/>
        </w:rPr>
        <w:t>losartano</w:t>
      </w:r>
      <w:proofErr w:type="spellEnd"/>
      <w:r>
        <w:rPr>
          <w:sz w:val="22"/>
          <w:szCs w:val="22"/>
          <w:lang w:val="lt-LT" w:eastAsia="lt-LT"/>
        </w:rPr>
        <w:t xml:space="preserve"> poveikiai </w:t>
      </w:r>
      <w:proofErr w:type="spellStart"/>
      <w:r>
        <w:rPr>
          <w:sz w:val="22"/>
          <w:szCs w:val="22"/>
          <w:lang w:val="lt-LT" w:eastAsia="lt-LT"/>
        </w:rPr>
        <w:t>proteinurija</w:t>
      </w:r>
      <w:proofErr w:type="spellEnd"/>
      <w:r>
        <w:rPr>
          <w:sz w:val="22"/>
          <w:szCs w:val="22"/>
          <w:lang w:val="lt-LT" w:eastAsia="lt-LT"/>
        </w:rPr>
        <w:t xml:space="preserve"> sirgusiems vaikams buvo tirti iki 3 metų trukmės atviroje to paties tyrimo pratęsimo saugumo fazėje, kurioje buvo pakviesti dalyvauti visi 12 savaičių bazinį tyrimą užbaigę pacientai. Atviroje tyrimo pratęsimo fazėje pradėję dalyvauti iš viso 268 pacientai buvo pakartotinai atsitiktinai paskirti vartoti </w:t>
      </w:r>
      <w:proofErr w:type="spellStart"/>
      <w:r>
        <w:rPr>
          <w:sz w:val="22"/>
          <w:szCs w:val="22"/>
          <w:lang w:val="lt-LT" w:eastAsia="lt-LT"/>
        </w:rPr>
        <w:t>losartaną</w:t>
      </w:r>
      <w:proofErr w:type="spellEnd"/>
      <w:r>
        <w:rPr>
          <w:sz w:val="22"/>
          <w:szCs w:val="22"/>
          <w:lang w:val="lt-LT" w:eastAsia="lt-LT"/>
        </w:rPr>
        <w:t xml:space="preserve"> (N = 134) arba </w:t>
      </w:r>
      <w:proofErr w:type="spellStart"/>
      <w:r>
        <w:rPr>
          <w:sz w:val="22"/>
          <w:szCs w:val="22"/>
          <w:lang w:val="lt-LT" w:eastAsia="lt-LT"/>
        </w:rPr>
        <w:t>enalaprilį</w:t>
      </w:r>
      <w:proofErr w:type="spellEnd"/>
      <w:r>
        <w:rPr>
          <w:sz w:val="22"/>
          <w:szCs w:val="22"/>
          <w:lang w:val="lt-LT" w:eastAsia="lt-LT"/>
        </w:rPr>
        <w:t xml:space="preserve"> (N = 134), o 109 pacientų stebėsena truko 3 metus ar ilgiau (buvo iš anksto numatyta pratęsimo laikotarpio pabaiga, kai daugiau kaip 100 pacientų užbaigia 3 metų ar ilgesnį stebėsenos laikotarpį).</w:t>
      </w:r>
      <w:r>
        <w:rPr>
          <w:bCs/>
          <w:sz w:val="22"/>
          <w:szCs w:val="22"/>
          <w:lang w:val="lt-LT" w:eastAsia="lt-LT"/>
        </w:rPr>
        <w:t xml:space="preserve"> </w:t>
      </w:r>
      <w:proofErr w:type="spellStart"/>
      <w:r>
        <w:rPr>
          <w:bCs/>
          <w:sz w:val="22"/>
          <w:szCs w:val="22"/>
          <w:lang w:val="lt-LT" w:eastAsia="lt-LT"/>
        </w:rPr>
        <w:t>Losartano</w:t>
      </w:r>
      <w:proofErr w:type="spellEnd"/>
      <w:r>
        <w:rPr>
          <w:bCs/>
          <w:sz w:val="22"/>
          <w:szCs w:val="22"/>
          <w:lang w:val="lt-LT" w:eastAsia="lt-LT"/>
        </w:rPr>
        <w:t xml:space="preserve"> ir </w:t>
      </w:r>
      <w:proofErr w:type="spellStart"/>
      <w:r>
        <w:rPr>
          <w:bCs/>
          <w:sz w:val="22"/>
          <w:szCs w:val="22"/>
          <w:lang w:val="lt-LT" w:eastAsia="lt-LT"/>
        </w:rPr>
        <w:t>enalaprilio</w:t>
      </w:r>
      <w:proofErr w:type="spellEnd"/>
      <w:r>
        <w:rPr>
          <w:bCs/>
          <w:sz w:val="22"/>
          <w:szCs w:val="22"/>
          <w:lang w:val="lt-LT" w:eastAsia="lt-LT"/>
        </w:rPr>
        <w:t xml:space="preserve"> dozių ribos, skiriant juos tyrėjo nuožiūra, buvo atitinkamai nuo 0,30 iki 4,42 mg/kg per parą ir nuo 0,02 iki 1,13 mg/kg per parą. Tyrimo pratęsimo fazės metu daugumai pacientų buvo neviršyta didžiausia paros dozė 50 mg mažiau kaip 50 kg sveriantiems pacientams ir 100 mg daugiau kaip 50 kg sveriantiems pacientams.</w:t>
      </w:r>
    </w:p>
    <w:p w14:paraId="288E38B8" w14:textId="77777777" w:rsidR="00F00A02" w:rsidRDefault="00F00A02">
      <w:pPr>
        <w:tabs>
          <w:tab w:val="left" w:pos="567"/>
        </w:tabs>
        <w:rPr>
          <w:bCs/>
          <w:sz w:val="22"/>
          <w:szCs w:val="22"/>
          <w:lang w:val="lt-LT" w:eastAsia="lt-LT"/>
        </w:rPr>
      </w:pPr>
    </w:p>
    <w:p w14:paraId="7322BB8A" w14:textId="77777777" w:rsidR="00F00A02" w:rsidRDefault="0027659F">
      <w:pPr>
        <w:autoSpaceDE w:val="0"/>
        <w:autoSpaceDN w:val="0"/>
        <w:adjustRightInd w:val="0"/>
        <w:rPr>
          <w:sz w:val="22"/>
          <w:szCs w:val="22"/>
          <w:lang w:val="lt-LT" w:eastAsia="lt-LT"/>
        </w:rPr>
      </w:pPr>
      <w:r>
        <w:rPr>
          <w:bCs/>
          <w:sz w:val="22"/>
          <w:szCs w:val="22"/>
          <w:lang w:val="lt-LT" w:eastAsia="lt-LT"/>
        </w:rPr>
        <w:t xml:space="preserve">Apibendrinant, saugumo pratęsimo rezultatai parodė, kad visus 3 metus </w:t>
      </w:r>
      <w:proofErr w:type="spellStart"/>
      <w:r>
        <w:rPr>
          <w:bCs/>
          <w:sz w:val="22"/>
          <w:szCs w:val="22"/>
          <w:lang w:val="lt-LT" w:eastAsia="lt-LT"/>
        </w:rPr>
        <w:t>losartanas</w:t>
      </w:r>
      <w:proofErr w:type="spellEnd"/>
      <w:r>
        <w:rPr>
          <w:bCs/>
          <w:sz w:val="22"/>
          <w:szCs w:val="22"/>
          <w:lang w:val="lt-LT" w:eastAsia="lt-LT"/>
        </w:rPr>
        <w:t xml:space="preserve"> buvo gerai toleruojamas ir sąlygojo pastovų </w:t>
      </w:r>
      <w:proofErr w:type="spellStart"/>
      <w:r>
        <w:rPr>
          <w:bCs/>
          <w:sz w:val="22"/>
          <w:szCs w:val="22"/>
          <w:lang w:val="lt-LT" w:eastAsia="lt-LT"/>
        </w:rPr>
        <w:t>proteinurijos</w:t>
      </w:r>
      <w:proofErr w:type="spellEnd"/>
      <w:r>
        <w:rPr>
          <w:bCs/>
          <w:sz w:val="22"/>
          <w:szCs w:val="22"/>
          <w:lang w:val="lt-LT" w:eastAsia="lt-LT"/>
        </w:rPr>
        <w:t xml:space="preserve"> sumažėjimą pastebimai nekintant </w:t>
      </w:r>
      <w:proofErr w:type="spellStart"/>
      <w:r>
        <w:rPr>
          <w:bCs/>
          <w:sz w:val="22"/>
          <w:szCs w:val="22"/>
          <w:lang w:val="lt-LT" w:eastAsia="lt-LT"/>
        </w:rPr>
        <w:t>glomerulų</w:t>
      </w:r>
      <w:proofErr w:type="spellEnd"/>
      <w:r>
        <w:rPr>
          <w:bCs/>
          <w:sz w:val="22"/>
          <w:szCs w:val="22"/>
          <w:lang w:val="lt-LT" w:eastAsia="lt-LT"/>
        </w:rPr>
        <w:t xml:space="preserve"> filtracijos </w:t>
      </w:r>
      <w:r>
        <w:rPr>
          <w:bCs/>
          <w:sz w:val="22"/>
          <w:szCs w:val="22"/>
          <w:lang w:val="lt-LT" w:eastAsia="lt-LT"/>
        </w:rPr>
        <w:lastRenderedPageBreak/>
        <w:t>greičiui (GFG). P</w:t>
      </w:r>
      <w:r>
        <w:rPr>
          <w:sz w:val="22"/>
          <w:szCs w:val="22"/>
          <w:lang w:val="lt-LT" w:eastAsia="lt-LT"/>
        </w:rPr>
        <w:t xml:space="preserve">acientams, kurių kraujospūdis buvo normalus (n = 205), už </w:t>
      </w:r>
      <w:proofErr w:type="spellStart"/>
      <w:r>
        <w:rPr>
          <w:bCs/>
          <w:sz w:val="22"/>
          <w:szCs w:val="22"/>
          <w:lang w:val="lt-LT" w:eastAsia="lt-LT"/>
        </w:rPr>
        <w:t>losartano</w:t>
      </w:r>
      <w:proofErr w:type="spellEnd"/>
      <w:r>
        <w:rPr>
          <w:bCs/>
          <w:sz w:val="22"/>
          <w:szCs w:val="22"/>
          <w:lang w:val="lt-LT" w:eastAsia="lt-LT"/>
        </w:rPr>
        <w:t xml:space="preserve"> poveikį</w:t>
      </w:r>
      <w:r>
        <w:rPr>
          <w:sz w:val="22"/>
          <w:szCs w:val="22"/>
          <w:lang w:val="lt-LT" w:eastAsia="lt-LT"/>
        </w:rPr>
        <w:t xml:space="preserve"> </w:t>
      </w:r>
      <w:r>
        <w:rPr>
          <w:bCs/>
          <w:sz w:val="22"/>
          <w:szCs w:val="22"/>
          <w:lang w:val="lt-LT" w:eastAsia="lt-LT"/>
        </w:rPr>
        <w:t xml:space="preserve">skaitine reikšme didesnis </w:t>
      </w:r>
      <w:proofErr w:type="spellStart"/>
      <w:r>
        <w:rPr>
          <w:sz w:val="22"/>
          <w:szCs w:val="22"/>
          <w:lang w:val="lt-LT" w:eastAsia="lt-LT"/>
        </w:rPr>
        <w:t>e</w:t>
      </w:r>
      <w:r>
        <w:rPr>
          <w:bCs/>
          <w:sz w:val="22"/>
          <w:szCs w:val="22"/>
          <w:lang w:val="lt-LT" w:eastAsia="lt-LT"/>
        </w:rPr>
        <w:t>nalaprilio</w:t>
      </w:r>
      <w:proofErr w:type="spellEnd"/>
      <w:r>
        <w:rPr>
          <w:bCs/>
          <w:sz w:val="22"/>
          <w:szCs w:val="22"/>
          <w:lang w:val="lt-LT" w:eastAsia="lt-LT"/>
        </w:rPr>
        <w:t xml:space="preserve"> poveikis buvo </w:t>
      </w:r>
      <w:proofErr w:type="spellStart"/>
      <w:r>
        <w:rPr>
          <w:bCs/>
          <w:sz w:val="22"/>
          <w:szCs w:val="22"/>
          <w:lang w:val="lt-LT" w:eastAsia="lt-LT"/>
        </w:rPr>
        <w:t>proteinurijai</w:t>
      </w:r>
      <w:proofErr w:type="spellEnd"/>
      <w:r>
        <w:rPr>
          <w:bCs/>
          <w:sz w:val="22"/>
          <w:szCs w:val="22"/>
          <w:lang w:val="lt-LT" w:eastAsia="lt-LT"/>
        </w:rPr>
        <w:t xml:space="preserve"> </w:t>
      </w:r>
      <w:r>
        <w:rPr>
          <w:sz w:val="22"/>
          <w:szCs w:val="22"/>
          <w:lang w:val="lt-LT" w:eastAsia="lt-LT"/>
        </w:rPr>
        <w:t>(-33,0 % (95 % PI: -47,2;-15,0), lyginant su -16,6 % (95 % PI: -34,9; 6,8)) ir GFG (9,4 (95 % PI: 0,4; 18,4), lyginant su -4,0 (95 % PI: -13,1; 5,0) ml/min/1,73m</w:t>
      </w:r>
      <w:r>
        <w:rPr>
          <w:sz w:val="22"/>
          <w:szCs w:val="22"/>
          <w:vertAlign w:val="superscript"/>
          <w:lang w:val="lt-LT" w:eastAsia="lt-LT"/>
        </w:rPr>
        <w:t>2</w:t>
      </w:r>
      <w:r>
        <w:rPr>
          <w:sz w:val="22"/>
          <w:szCs w:val="22"/>
          <w:lang w:val="lt-LT" w:eastAsia="lt-LT"/>
        </w:rPr>
        <w:t xml:space="preserve">)). </w:t>
      </w:r>
      <w:r>
        <w:rPr>
          <w:bCs/>
          <w:sz w:val="22"/>
          <w:szCs w:val="22"/>
          <w:lang w:val="lt-LT" w:eastAsia="lt-LT"/>
        </w:rPr>
        <w:t>P</w:t>
      </w:r>
      <w:r>
        <w:rPr>
          <w:sz w:val="22"/>
          <w:szCs w:val="22"/>
          <w:lang w:val="lt-LT" w:eastAsia="lt-LT"/>
        </w:rPr>
        <w:t xml:space="preserve">acientams, kurių kraujospūdis buvo padidėjęs (n = 49), </w:t>
      </w:r>
      <w:proofErr w:type="spellStart"/>
      <w:r>
        <w:rPr>
          <w:bCs/>
          <w:sz w:val="22"/>
          <w:szCs w:val="22"/>
          <w:lang w:val="lt-LT" w:eastAsia="lt-LT"/>
        </w:rPr>
        <w:t>losartano</w:t>
      </w:r>
      <w:proofErr w:type="spellEnd"/>
      <w:r>
        <w:rPr>
          <w:bCs/>
          <w:sz w:val="22"/>
          <w:szCs w:val="22"/>
          <w:lang w:val="lt-LT" w:eastAsia="lt-LT"/>
        </w:rPr>
        <w:t xml:space="preserve"> poveikis </w:t>
      </w:r>
      <w:proofErr w:type="spellStart"/>
      <w:r>
        <w:rPr>
          <w:bCs/>
          <w:sz w:val="22"/>
          <w:szCs w:val="22"/>
          <w:lang w:val="lt-LT" w:eastAsia="lt-LT"/>
        </w:rPr>
        <w:t>proteinurijai</w:t>
      </w:r>
      <w:proofErr w:type="spellEnd"/>
      <w:r>
        <w:rPr>
          <w:sz w:val="22"/>
          <w:szCs w:val="22"/>
          <w:lang w:val="lt-LT" w:eastAsia="lt-LT"/>
        </w:rPr>
        <w:t xml:space="preserve"> (-44,5 % (95 % PI: -64,8; -12,4), lyginant su -39,5 % (95 % PI -62,5; -2,2)) ir GFG (18,9 (95 % PI: 5,2; 32,5), lyginant su -13,4 (95 % PI: -27,3; 0,6) ml/min/1,73m</w:t>
      </w:r>
      <w:r>
        <w:rPr>
          <w:sz w:val="22"/>
          <w:szCs w:val="22"/>
          <w:vertAlign w:val="superscript"/>
          <w:lang w:val="lt-LT" w:eastAsia="lt-LT"/>
        </w:rPr>
        <w:t>2</w:t>
      </w:r>
      <w:r>
        <w:rPr>
          <w:bCs/>
          <w:sz w:val="22"/>
          <w:szCs w:val="22"/>
          <w:lang w:val="lt-LT" w:eastAsia="lt-LT"/>
        </w:rPr>
        <w:t>) skaitine reikšme buvo didesnis</w:t>
      </w:r>
      <w:r>
        <w:rPr>
          <w:sz w:val="22"/>
          <w:szCs w:val="22"/>
          <w:lang w:val="lt-LT" w:eastAsia="lt-LT"/>
        </w:rPr>
        <w:t>.</w:t>
      </w:r>
    </w:p>
    <w:p w14:paraId="16818F07" w14:textId="77777777" w:rsidR="00F00A02" w:rsidRDefault="00F00A02">
      <w:pPr>
        <w:autoSpaceDE w:val="0"/>
        <w:autoSpaceDN w:val="0"/>
        <w:adjustRightInd w:val="0"/>
        <w:rPr>
          <w:b/>
          <w:sz w:val="22"/>
          <w:szCs w:val="22"/>
          <w:lang w:val="lt-LT" w:eastAsia="lt-LT"/>
        </w:rPr>
      </w:pPr>
    </w:p>
    <w:p w14:paraId="0358B69F" w14:textId="77777777" w:rsidR="00F00A02" w:rsidRDefault="0027659F">
      <w:pPr>
        <w:tabs>
          <w:tab w:val="left" w:pos="567"/>
        </w:tabs>
        <w:rPr>
          <w:rFonts w:eastAsia="Calibri"/>
          <w:color w:val="000000"/>
          <w:sz w:val="22"/>
          <w:szCs w:val="22"/>
          <w:lang w:val="lt-LT" w:eastAsia="en-US"/>
        </w:rPr>
      </w:pPr>
      <w:r>
        <w:rPr>
          <w:rFonts w:eastAsia="Calibri"/>
          <w:color w:val="000000"/>
          <w:sz w:val="22"/>
          <w:szCs w:val="22"/>
          <w:lang w:val="lt-LT" w:eastAsia="en-US"/>
        </w:rPr>
        <w:t xml:space="preserve">Norint ištirti </w:t>
      </w:r>
      <w:proofErr w:type="spellStart"/>
      <w:r>
        <w:rPr>
          <w:rFonts w:eastAsia="Calibri"/>
          <w:color w:val="000000"/>
          <w:sz w:val="22"/>
          <w:szCs w:val="22"/>
          <w:lang w:val="lt-LT" w:eastAsia="en-US"/>
        </w:rPr>
        <w:t>losartano</w:t>
      </w:r>
      <w:proofErr w:type="spellEnd"/>
      <w:r>
        <w:rPr>
          <w:rFonts w:eastAsia="Calibri"/>
          <w:color w:val="000000"/>
          <w:sz w:val="22"/>
          <w:szCs w:val="22"/>
          <w:lang w:val="lt-LT" w:eastAsia="en-US"/>
        </w:rPr>
        <w:t xml:space="preserve"> saugumą ir veiksmingumą arterine hipertenzija sergantiems vaikams nuo 6 mėnesių iki 6 metų, buvo atliktas atviras, įvairių dozių klinikinis tyrimas. Iš viso 101 pacientui atsitiktine tvarka buvo paskirta viena iš trijų skirtingų, dar neįteisinto vartojimo, pradinių </w:t>
      </w:r>
      <w:proofErr w:type="spellStart"/>
      <w:r>
        <w:rPr>
          <w:rFonts w:eastAsia="Calibri"/>
          <w:color w:val="000000"/>
          <w:sz w:val="22"/>
          <w:szCs w:val="22"/>
          <w:lang w:val="lt-LT" w:eastAsia="en-US"/>
        </w:rPr>
        <w:t>losartano</w:t>
      </w:r>
      <w:proofErr w:type="spellEnd"/>
      <w:r>
        <w:rPr>
          <w:rFonts w:eastAsia="Calibri"/>
          <w:color w:val="000000"/>
          <w:sz w:val="22"/>
          <w:szCs w:val="22"/>
          <w:lang w:val="lt-LT" w:eastAsia="en-US"/>
        </w:rPr>
        <w:t xml:space="preserve"> dozių: maža, 0,1 mg/kg/per parą dozė (n = 33), vidutinė, 0,3 mg/kg/per parą dozė (n = 34) arba didelė, 0,7 mg/kg/per parą dozė (n = 34). Iš jų 27 buvo kūdikiai, kurie buvo apibrėžiami kaip nuo 6 iki 23 mėnesių amžiaus vaikai. Tiriamojo vaistinio preparato dozė buvo laipsniškai didinama iki kito dozės dydžio 3</w:t>
      </w:r>
      <w:r>
        <w:rPr>
          <w:rFonts w:eastAsia="Calibri"/>
          <w:color w:val="000000"/>
          <w:sz w:val="22"/>
          <w:szCs w:val="22"/>
          <w:lang w:val="lt-LT" w:eastAsia="en-US"/>
        </w:rPr>
        <w:noBreakHyphen/>
        <w:t>iąją, 6</w:t>
      </w:r>
      <w:r>
        <w:rPr>
          <w:rFonts w:eastAsia="Calibri"/>
          <w:color w:val="000000"/>
          <w:sz w:val="22"/>
          <w:szCs w:val="22"/>
          <w:lang w:val="lt-LT" w:eastAsia="en-US"/>
        </w:rPr>
        <w:noBreakHyphen/>
        <w:t>ąją ir 9</w:t>
      </w:r>
      <w:r>
        <w:rPr>
          <w:rFonts w:eastAsia="Calibri"/>
          <w:color w:val="000000"/>
          <w:sz w:val="22"/>
          <w:szCs w:val="22"/>
          <w:lang w:val="lt-LT" w:eastAsia="en-US"/>
        </w:rPr>
        <w:noBreakHyphen/>
        <w:t xml:space="preserve">ąją savaitę pacientams, kurie nebūdavo pasiekę kraujospūdžio tikslo ir dar nevartojo maksimalios </w:t>
      </w:r>
      <w:proofErr w:type="spellStart"/>
      <w:r>
        <w:rPr>
          <w:rFonts w:eastAsia="Calibri"/>
          <w:color w:val="000000"/>
          <w:sz w:val="22"/>
          <w:szCs w:val="22"/>
          <w:lang w:val="lt-LT" w:eastAsia="en-US"/>
        </w:rPr>
        <w:t>losartano</w:t>
      </w:r>
      <w:proofErr w:type="spellEnd"/>
      <w:r>
        <w:rPr>
          <w:rFonts w:eastAsia="Calibri"/>
          <w:color w:val="000000"/>
          <w:sz w:val="22"/>
          <w:szCs w:val="22"/>
          <w:lang w:val="lt-LT" w:eastAsia="en-US"/>
        </w:rPr>
        <w:t xml:space="preserve"> dozės (1,4 mg/kg/per parą, bet ne daugiau kaip 100 mg per parą).</w:t>
      </w:r>
    </w:p>
    <w:p w14:paraId="7D629247" w14:textId="77777777" w:rsidR="00F00A02" w:rsidRDefault="00F00A02">
      <w:pPr>
        <w:tabs>
          <w:tab w:val="left" w:pos="567"/>
        </w:tabs>
        <w:rPr>
          <w:rFonts w:eastAsia="Calibri"/>
          <w:color w:val="000000"/>
          <w:sz w:val="22"/>
          <w:szCs w:val="22"/>
          <w:lang w:val="lt-LT" w:eastAsia="en-US"/>
        </w:rPr>
      </w:pPr>
    </w:p>
    <w:p w14:paraId="4992A78D" w14:textId="77777777" w:rsidR="00F00A02" w:rsidRDefault="0027659F">
      <w:pPr>
        <w:tabs>
          <w:tab w:val="left" w:pos="567"/>
        </w:tabs>
        <w:rPr>
          <w:rFonts w:eastAsia="Calibri"/>
          <w:color w:val="000000"/>
          <w:sz w:val="22"/>
          <w:szCs w:val="22"/>
          <w:lang w:val="lt-LT" w:eastAsia="en-US"/>
        </w:rPr>
      </w:pPr>
      <w:r>
        <w:rPr>
          <w:rFonts w:eastAsia="Calibri"/>
          <w:color w:val="000000"/>
          <w:sz w:val="22"/>
          <w:szCs w:val="22"/>
          <w:lang w:val="lt-LT" w:eastAsia="en-US"/>
        </w:rPr>
        <w:t>Iš 99 tiriamuoju vaistiniu preparatu gydytų pacientų, 90 (90,9 %) pacientų toliau dalyvavo šio tyrimo pratęsime, kurio metu stebėsenos apsilankymai vyko kas 3 mėnesius. Vidutinė gydymo trukmė buvo 264 dienos.</w:t>
      </w:r>
    </w:p>
    <w:p w14:paraId="1A32AC82" w14:textId="77777777" w:rsidR="00F00A02" w:rsidRDefault="00F00A02">
      <w:pPr>
        <w:tabs>
          <w:tab w:val="left" w:pos="567"/>
        </w:tabs>
        <w:rPr>
          <w:rFonts w:eastAsia="Calibri"/>
          <w:color w:val="000000"/>
          <w:sz w:val="22"/>
          <w:szCs w:val="22"/>
          <w:lang w:val="lt-LT" w:eastAsia="en-US"/>
        </w:rPr>
      </w:pPr>
    </w:p>
    <w:p w14:paraId="2510BA5D" w14:textId="77777777" w:rsidR="00F00A02" w:rsidRDefault="0027659F">
      <w:pPr>
        <w:tabs>
          <w:tab w:val="left" w:pos="567"/>
        </w:tabs>
        <w:rPr>
          <w:rFonts w:eastAsia="Calibri"/>
          <w:color w:val="000000"/>
          <w:sz w:val="22"/>
          <w:szCs w:val="22"/>
          <w:lang w:val="lt-LT" w:eastAsia="en-US"/>
        </w:rPr>
      </w:pPr>
      <w:r>
        <w:rPr>
          <w:rFonts w:eastAsia="Calibri"/>
          <w:color w:val="000000"/>
          <w:sz w:val="22"/>
          <w:szCs w:val="22"/>
          <w:lang w:val="lt-LT" w:eastAsia="en-US"/>
        </w:rPr>
        <w:t>Apibendrinant, vidutinis kraujospūdžio sumažėjimas, lyginant su pradiniu, visose pacientų grupėse buvo panašus (SKS pokytis nuo pradinio 3</w:t>
      </w:r>
      <w:r>
        <w:rPr>
          <w:rFonts w:eastAsia="Calibri"/>
          <w:color w:val="000000"/>
          <w:sz w:val="22"/>
          <w:szCs w:val="22"/>
          <w:lang w:val="lt-LT" w:eastAsia="en-US"/>
        </w:rPr>
        <w:noBreakHyphen/>
        <w:t>iąją savaitę buvo -7,3, -7,6 ir -6,7 mm </w:t>
      </w:r>
      <w:proofErr w:type="spellStart"/>
      <w:r>
        <w:rPr>
          <w:rFonts w:eastAsia="Calibri"/>
          <w:color w:val="000000"/>
          <w:sz w:val="22"/>
          <w:szCs w:val="22"/>
          <w:lang w:val="lt-LT" w:eastAsia="en-US"/>
        </w:rPr>
        <w:t>Hg</w:t>
      </w:r>
      <w:proofErr w:type="spellEnd"/>
      <w:r>
        <w:rPr>
          <w:rFonts w:eastAsia="Calibri"/>
          <w:color w:val="000000"/>
          <w:sz w:val="22"/>
          <w:szCs w:val="22"/>
          <w:lang w:val="lt-LT" w:eastAsia="en-US"/>
        </w:rPr>
        <w:t>, atitinkamai, mažos, vidutinės ir didelės dozės grupėse; DKS sumažėjimas nuo pradinio 3</w:t>
      </w:r>
      <w:r>
        <w:rPr>
          <w:rFonts w:eastAsia="Calibri"/>
          <w:color w:val="000000"/>
          <w:sz w:val="22"/>
          <w:szCs w:val="22"/>
          <w:lang w:val="lt-LT" w:eastAsia="en-US"/>
        </w:rPr>
        <w:noBreakHyphen/>
        <w:t>iąją savaitę buvo -8,2, -5,1 ir -6,7 mm </w:t>
      </w:r>
      <w:proofErr w:type="spellStart"/>
      <w:r>
        <w:rPr>
          <w:rFonts w:eastAsia="Calibri"/>
          <w:color w:val="000000"/>
          <w:sz w:val="22"/>
          <w:szCs w:val="22"/>
          <w:lang w:val="lt-LT" w:eastAsia="en-US"/>
        </w:rPr>
        <w:t>Hg</w:t>
      </w:r>
      <w:proofErr w:type="spellEnd"/>
      <w:r>
        <w:rPr>
          <w:rFonts w:eastAsia="Calibri"/>
          <w:color w:val="000000"/>
          <w:sz w:val="22"/>
          <w:szCs w:val="22"/>
          <w:lang w:val="lt-LT" w:eastAsia="en-US"/>
        </w:rPr>
        <w:t>, atitinkamai, mažos, vidutinės ir didelės dozės grupėse). Vis dėlto statistiškai reikšmingo nuo dozės priklausančio poveikio SKS ir DKS nebuvo.</w:t>
      </w:r>
    </w:p>
    <w:p w14:paraId="0DCA5209" w14:textId="77777777" w:rsidR="00F00A02" w:rsidRDefault="00F00A02">
      <w:pPr>
        <w:tabs>
          <w:tab w:val="left" w:pos="567"/>
        </w:tabs>
        <w:rPr>
          <w:rFonts w:eastAsia="Calibri"/>
          <w:color w:val="000000"/>
          <w:sz w:val="22"/>
          <w:szCs w:val="22"/>
          <w:lang w:val="lt-LT" w:eastAsia="en-US"/>
        </w:rPr>
      </w:pPr>
    </w:p>
    <w:p w14:paraId="25B9EB5A" w14:textId="77777777" w:rsidR="00F00A02" w:rsidRDefault="0027659F">
      <w:pPr>
        <w:autoSpaceDE w:val="0"/>
        <w:autoSpaceDN w:val="0"/>
        <w:adjustRightInd w:val="0"/>
        <w:rPr>
          <w:rFonts w:eastAsia="Calibri"/>
          <w:color w:val="000000"/>
          <w:sz w:val="22"/>
          <w:szCs w:val="22"/>
          <w:lang w:val="lt-LT" w:eastAsia="en-US"/>
        </w:rPr>
      </w:pPr>
      <w:r>
        <w:rPr>
          <w:rFonts w:eastAsia="Calibri"/>
          <w:color w:val="000000"/>
          <w:sz w:val="22"/>
          <w:szCs w:val="22"/>
          <w:lang w:val="lt-LT" w:eastAsia="en-US"/>
        </w:rPr>
        <w:t xml:space="preserve">Arterine hipertenzija sirgę vaikai nuo 6 mėnesių iki 6 metų amžiaus po 12 gydymo savaičių </w:t>
      </w:r>
      <w:proofErr w:type="spellStart"/>
      <w:r>
        <w:rPr>
          <w:rFonts w:eastAsia="Calibri"/>
          <w:color w:val="000000"/>
          <w:sz w:val="22"/>
          <w:szCs w:val="22"/>
          <w:lang w:val="lt-LT" w:eastAsia="en-US"/>
        </w:rPr>
        <w:t>losartaną</w:t>
      </w:r>
      <w:proofErr w:type="spellEnd"/>
      <w:r>
        <w:rPr>
          <w:rFonts w:eastAsia="Calibri"/>
          <w:color w:val="000000"/>
          <w:sz w:val="22"/>
          <w:szCs w:val="22"/>
          <w:lang w:val="lt-LT" w:eastAsia="en-US"/>
        </w:rPr>
        <w:t>, vartojamą ne didesnėmis kaip 1,4 mg/kg dozėmis, įprastai toleravo gerai. Bendrasis saugumo pobūdis tarp gydymo grupių pasirodė panašus.</w:t>
      </w:r>
    </w:p>
    <w:p w14:paraId="6886AB7E" w14:textId="77777777" w:rsidR="00F00A02" w:rsidRDefault="00F00A02">
      <w:pPr>
        <w:widowControl w:val="0"/>
        <w:rPr>
          <w:sz w:val="22"/>
          <w:szCs w:val="22"/>
          <w:lang w:eastAsia="lt-LT"/>
        </w:rPr>
      </w:pPr>
    </w:p>
    <w:p w14:paraId="116DEBC6" w14:textId="77777777" w:rsidR="00F00A02" w:rsidRDefault="0027659F">
      <w:pPr>
        <w:widowControl w:val="0"/>
        <w:ind w:left="567" w:hanging="567"/>
        <w:outlineLvl w:val="2"/>
        <w:rPr>
          <w:b/>
          <w:bCs/>
          <w:sz w:val="22"/>
          <w:szCs w:val="22"/>
          <w:lang w:eastAsia="lt-LT"/>
        </w:rPr>
      </w:pPr>
      <w:r>
        <w:rPr>
          <w:b/>
          <w:bCs/>
          <w:sz w:val="22"/>
          <w:szCs w:val="22"/>
          <w:lang w:eastAsia="lt-LT"/>
        </w:rPr>
        <w:t>5.2</w:t>
      </w:r>
      <w:r>
        <w:rPr>
          <w:b/>
          <w:bCs/>
          <w:sz w:val="22"/>
          <w:szCs w:val="22"/>
          <w:lang w:eastAsia="lt-LT"/>
        </w:rPr>
        <w:tab/>
        <w:t>Farmakokinetinės savybės</w:t>
      </w:r>
    </w:p>
    <w:p w14:paraId="40FACD17" w14:textId="77777777" w:rsidR="00F00A02" w:rsidRDefault="00F00A02">
      <w:pPr>
        <w:widowControl w:val="0"/>
        <w:rPr>
          <w:sz w:val="22"/>
          <w:szCs w:val="22"/>
          <w:lang w:eastAsia="lt-LT"/>
        </w:rPr>
      </w:pPr>
    </w:p>
    <w:p w14:paraId="709AD41A" w14:textId="77777777" w:rsidR="00F00A02" w:rsidRDefault="0027659F">
      <w:pPr>
        <w:widowControl w:val="0"/>
        <w:rPr>
          <w:color w:val="000000"/>
          <w:sz w:val="22"/>
          <w:szCs w:val="22"/>
          <w:u w:val="single"/>
          <w:lang w:val="sv-SE" w:eastAsia="lt-LT"/>
        </w:rPr>
      </w:pPr>
      <w:r>
        <w:rPr>
          <w:color w:val="000000"/>
          <w:sz w:val="22"/>
          <w:szCs w:val="22"/>
          <w:u w:val="single"/>
          <w:lang w:val="sv-SE" w:eastAsia="lt-LT"/>
        </w:rPr>
        <w:t>Absorbcija</w:t>
      </w:r>
    </w:p>
    <w:p w14:paraId="7EC7E719" w14:textId="77777777" w:rsidR="00F00A02" w:rsidRDefault="0027659F">
      <w:pPr>
        <w:widowControl w:val="0"/>
        <w:rPr>
          <w:color w:val="000000"/>
          <w:sz w:val="22"/>
          <w:szCs w:val="22"/>
          <w:lang w:val="sv-SE" w:eastAsia="lt-LT"/>
        </w:rPr>
      </w:pPr>
      <w:r>
        <w:rPr>
          <w:color w:val="000000"/>
          <w:sz w:val="22"/>
          <w:szCs w:val="22"/>
          <w:lang w:val="sv-SE" w:eastAsia="lt-LT"/>
        </w:rPr>
        <w:t>Vartojamas per burną losartanas gerai absorbuojamas ir pirmo prasiskverbimo per kepenis metu metabolizuojamas į aktyvų karboksirūgšties metabolitą bei neaktyvius metabolitus. Sisteminis biologinis losartano tablečių prieinamumas yra 33 %. Losartano ir jo aktyvaus metabolito vidutinė didžiausia koncentracija kraujyje atsiranda atitinkamai po 1 val. ir 3 - 4 val.</w:t>
      </w:r>
    </w:p>
    <w:p w14:paraId="55F99B73" w14:textId="77777777" w:rsidR="00F00A02" w:rsidRDefault="00F00A02">
      <w:pPr>
        <w:widowControl w:val="0"/>
        <w:rPr>
          <w:color w:val="000000"/>
          <w:sz w:val="22"/>
          <w:szCs w:val="22"/>
          <w:lang w:val="sv-SE" w:eastAsia="lt-LT"/>
        </w:rPr>
      </w:pPr>
    </w:p>
    <w:p w14:paraId="63CD5DDF" w14:textId="77777777" w:rsidR="00F00A02" w:rsidRDefault="0027659F">
      <w:pPr>
        <w:widowControl w:val="0"/>
        <w:rPr>
          <w:color w:val="000000"/>
          <w:sz w:val="22"/>
          <w:szCs w:val="22"/>
          <w:u w:val="single"/>
          <w:lang w:val="sv-SE" w:eastAsia="lt-LT"/>
        </w:rPr>
      </w:pPr>
      <w:r>
        <w:rPr>
          <w:color w:val="000000"/>
          <w:sz w:val="22"/>
          <w:szCs w:val="22"/>
          <w:u w:val="single"/>
          <w:lang w:val="sv-SE" w:eastAsia="lt-LT"/>
        </w:rPr>
        <w:t>Pasiskirstymas</w:t>
      </w:r>
    </w:p>
    <w:p w14:paraId="58971EB5" w14:textId="77777777" w:rsidR="00F00A02" w:rsidRDefault="0027659F">
      <w:pPr>
        <w:widowControl w:val="0"/>
        <w:rPr>
          <w:color w:val="000000"/>
          <w:sz w:val="22"/>
          <w:szCs w:val="22"/>
          <w:lang w:val="sv-SE" w:eastAsia="lt-LT"/>
        </w:rPr>
      </w:pPr>
      <w:r>
        <w:rPr>
          <w:color w:val="000000"/>
          <w:sz w:val="22"/>
          <w:szCs w:val="22"/>
          <w:lang w:val="sv-SE" w:eastAsia="lt-LT"/>
        </w:rPr>
        <w:sym w:font="Symbol" w:char="F0B3"/>
      </w:r>
      <w:r>
        <w:rPr>
          <w:color w:val="000000"/>
          <w:sz w:val="22"/>
          <w:szCs w:val="22"/>
          <w:lang w:val="sv-SE" w:eastAsia="lt-LT"/>
        </w:rPr>
        <w:t> 99 % losartano ir jo aktyvaus metabolito prisijungia prie plazmos baltymų, visų pirma albumino. Losartano pasiskirstymo tūris yra 34 litrai.</w:t>
      </w:r>
    </w:p>
    <w:p w14:paraId="3881F8C5" w14:textId="77777777" w:rsidR="00F00A02" w:rsidRDefault="00F00A02">
      <w:pPr>
        <w:widowControl w:val="0"/>
        <w:rPr>
          <w:color w:val="000000"/>
          <w:sz w:val="22"/>
          <w:szCs w:val="22"/>
          <w:lang w:val="sv-SE" w:eastAsia="lt-LT"/>
        </w:rPr>
      </w:pPr>
    </w:p>
    <w:p w14:paraId="6D31706F" w14:textId="77777777" w:rsidR="00F00A02" w:rsidRDefault="0027659F">
      <w:pPr>
        <w:widowControl w:val="0"/>
        <w:rPr>
          <w:color w:val="000000"/>
          <w:sz w:val="22"/>
          <w:szCs w:val="22"/>
          <w:u w:val="single"/>
          <w:lang w:val="sv-SE" w:eastAsia="lt-LT"/>
        </w:rPr>
      </w:pPr>
      <w:r>
        <w:rPr>
          <w:color w:val="000000"/>
          <w:sz w:val="22"/>
          <w:szCs w:val="22"/>
          <w:u w:val="single"/>
          <w:lang w:val="sv-SE" w:eastAsia="lt-LT"/>
        </w:rPr>
        <w:t>Biotransformacija</w:t>
      </w:r>
    </w:p>
    <w:p w14:paraId="1CB34E7C" w14:textId="77777777" w:rsidR="00F00A02" w:rsidRDefault="0027659F">
      <w:pPr>
        <w:widowControl w:val="0"/>
        <w:rPr>
          <w:color w:val="000000"/>
          <w:sz w:val="22"/>
          <w:szCs w:val="22"/>
          <w:lang w:val="sv-SE" w:eastAsia="lt-LT"/>
        </w:rPr>
      </w:pPr>
      <w:r>
        <w:rPr>
          <w:color w:val="000000"/>
          <w:sz w:val="22"/>
          <w:szCs w:val="22"/>
          <w:lang w:val="sv-SE" w:eastAsia="lt-LT"/>
        </w:rPr>
        <w:t xml:space="preserve">Apie 14 % į veną arba per burną pavartoto losartano verčiama aktyviu metabolitu. </w:t>
      </w:r>
      <w:r>
        <w:rPr>
          <w:color w:val="000000"/>
          <w:sz w:val="22"/>
          <w:szCs w:val="22"/>
          <w:vertAlign w:val="superscript"/>
          <w:lang w:val="sv-SE" w:eastAsia="lt-LT"/>
        </w:rPr>
        <w:t>14</w:t>
      </w:r>
      <w:r>
        <w:rPr>
          <w:color w:val="000000"/>
          <w:sz w:val="22"/>
          <w:szCs w:val="22"/>
          <w:lang w:val="sv-SE" w:eastAsia="lt-LT"/>
        </w:rPr>
        <w:t>C žymėto losartano pavartojus per burną arba suleidus į veną, daugiausia plazmoje cirkuliuojančios radioaktyviosios medžiagos būna susijusio su losartanu ir jo aktyviu metabolitu. Mažiau negu 1 % tiriamųjų organizme losartano virtimas aktyviu metabolitu buvo minimalus.</w:t>
      </w:r>
    </w:p>
    <w:p w14:paraId="25D69DC6" w14:textId="77777777" w:rsidR="00F00A02" w:rsidRDefault="00F00A02">
      <w:pPr>
        <w:widowControl w:val="0"/>
        <w:rPr>
          <w:color w:val="000000"/>
          <w:sz w:val="22"/>
          <w:szCs w:val="22"/>
          <w:lang w:val="sv-SE" w:eastAsia="lt-LT"/>
        </w:rPr>
      </w:pPr>
    </w:p>
    <w:p w14:paraId="356F8DA5" w14:textId="77777777" w:rsidR="00F00A02" w:rsidRDefault="0027659F">
      <w:pPr>
        <w:widowControl w:val="0"/>
        <w:rPr>
          <w:color w:val="000000"/>
          <w:sz w:val="22"/>
          <w:szCs w:val="22"/>
          <w:lang w:val="sv-SE" w:eastAsia="lt-LT"/>
        </w:rPr>
      </w:pPr>
      <w:r>
        <w:rPr>
          <w:color w:val="000000"/>
          <w:sz w:val="22"/>
          <w:szCs w:val="22"/>
          <w:lang w:val="sv-SE" w:eastAsia="lt-LT"/>
        </w:rPr>
        <w:t>Be aktyvaus metabolito, atsiranda neaktyvių metabolitų.</w:t>
      </w:r>
    </w:p>
    <w:p w14:paraId="1399CF2E" w14:textId="77777777" w:rsidR="00F00A02" w:rsidRDefault="00F00A02">
      <w:pPr>
        <w:widowControl w:val="0"/>
        <w:rPr>
          <w:color w:val="000000"/>
          <w:sz w:val="22"/>
          <w:szCs w:val="22"/>
          <w:lang w:val="sv-SE" w:eastAsia="lt-LT"/>
        </w:rPr>
      </w:pPr>
    </w:p>
    <w:p w14:paraId="0EADE231" w14:textId="77777777" w:rsidR="00F00A02" w:rsidRDefault="0027659F">
      <w:pPr>
        <w:widowControl w:val="0"/>
        <w:rPr>
          <w:color w:val="000000"/>
          <w:sz w:val="22"/>
          <w:szCs w:val="22"/>
          <w:u w:val="single"/>
          <w:lang w:val="sv-SE" w:eastAsia="lt-LT"/>
        </w:rPr>
      </w:pPr>
      <w:r>
        <w:rPr>
          <w:color w:val="000000"/>
          <w:sz w:val="22"/>
          <w:szCs w:val="22"/>
          <w:u w:val="single"/>
          <w:lang w:val="sv-SE" w:eastAsia="lt-LT"/>
        </w:rPr>
        <w:t>Eliminacija</w:t>
      </w:r>
    </w:p>
    <w:p w14:paraId="3FCB3A68" w14:textId="77777777" w:rsidR="00F00A02" w:rsidRDefault="0027659F">
      <w:pPr>
        <w:widowControl w:val="0"/>
        <w:tabs>
          <w:tab w:val="left" w:pos="284"/>
        </w:tabs>
        <w:rPr>
          <w:color w:val="000000"/>
          <w:sz w:val="22"/>
          <w:szCs w:val="22"/>
          <w:lang w:val="sv-SE" w:eastAsia="lt-LT"/>
        </w:rPr>
      </w:pPr>
      <w:r>
        <w:rPr>
          <w:color w:val="000000"/>
          <w:sz w:val="22"/>
          <w:szCs w:val="22"/>
          <w:lang w:val="sv-SE" w:eastAsia="lt-LT"/>
        </w:rPr>
        <w:t xml:space="preserve">Losartano ir jo aktyvaus metabolito klirensas plazmoje yra atitinkamai apie 600 ml/min. ir 50 ml/min. Losartano ir jo aktyvaus metabolito klirensas inkstuose yra atitinkamai apie 74 ml/min. ir 26 ml/min. Losartano pavartojus per burną, apie 4 % dozės išsiskiria nepakitusio vaistinio preparato pavidalu ir maždaug 6 % dozės aktyvaus metabolito pavidalu su šlapimu. Išgėrus nedidesnę kaip 200 mg </w:t>
      </w:r>
      <w:r>
        <w:rPr>
          <w:color w:val="000000"/>
          <w:sz w:val="22"/>
          <w:szCs w:val="22"/>
          <w:lang w:val="sv-SE" w:eastAsia="lt-LT"/>
        </w:rPr>
        <w:lastRenderedPageBreak/>
        <w:t>losartano kalio druskos dozę, losartano ir aktyvaus jo metabolito farmakokinetika yra tiesinė.</w:t>
      </w:r>
    </w:p>
    <w:p w14:paraId="728C81FE" w14:textId="77777777" w:rsidR="00F00A02" w:rsidRDefault="00F00A02">
      <w:pPr>
        <w:widowControl w:val="0"/>
        <w:rPr>
          <w:color w:val="000000"/>
          <w:sz w:val="22"/>
          <w:szCs w:val="22"/>
          <w:lang w:val="sv-SE" w:eastAsia="lt-LT"/>
        </w:rPr>
      </w:pPr>
    </w:p>
    <w:p w14:paraId="1363E1CA" w14:textId="77777777" w:rsidR="00F00A02" w:rsidRDefault="0027659F">
      <w:pPr>
        <w:widowControl w:val="0"/>
        <w:rPr>
          <w:color w:val="000000"/>
          <w:sz w:val="22"/>
          <w:szCs w:val="22"/>
          <w:lang w:val="sv-SE" w:eastAsia="lt-LT"/>
        </w:rPr>
      </w:pPr>
      <w:r>
        <w:rPr>
          <w:color w:val="000000"/>
          <w:sz w:val="22"/>
          <w:szCs w:val="22"/>
          <w:lang w:val="sv-SE" w:eastAsia="lt-LT"/>
        </w:rPr>
        <w:t>Per burną pavartoto losartano ir aktyvaus jo metabolito koncentracija plazmoje mažėja polieksponentiškai, galutinės pusinės eliminacijos laikas yra atitinkamai apie 2 val. ir 6 - 9 val. Vartojant 100 mg dozę kartą per parą, nei losartano, nei aktyvaus jo metabolito kraujo plazmoje beveik nesikaupia.</w:t>
      </w:r>
    </w:p>
    <w:p w14:paraId="79D9C73D" w14:textId="77777777" w:rsidR="00F00A02" w:rsidRDefault="00F00A02">
      <w:pPr>
        <w:widowControl w:val="0"/>
        <w:rPr>
          <w:color w:val="000000"/>
          <w:sz w:val="22"/>
          <w:szCs w:val="22"/>
          <w:lang w:val="sv-SE" w:eastAsia="lt-LT"/>
        </w:rPr>
      </w:pPr>
    </w:p>
    <w:p w14:paraId="32BD6C97" w14:textId="77777777" w:rsidR="00F00A02" w:rsidRDefault="0027659F">
      <w:pPr>
        <w:widowControl w:val="0"/>
        <w:rPr>
          <w:color w:val="000000"/>
          <w:sz w:val="22"/>
          <w:szCs w:val="22"/>
          <w:lang w:val="sv-SE" w:eastAsia="lt-LT"/>
        </w:rPr>
      </w:pPr>
      <w:r>
        <w:rPr>
          <w:color w:val="000000"/>
          <w:sz w:val="22"/>
          <w:szCs w:val="22"/>
          <w:lang w:val="sv-SE" w:eastAsia="lt-LT"/>
        </w:rPr>
        <w:t xml:space="preserve">Losartano ir jo metabolitų eliminacijai yra svarbus išsiskyrimas su tulžimi ir pro inkstus. </w:t>
      </w:r>
      <w:r>
        <w:rPr>
          <w:color w:val="000000"/>
          <w:sz w:val="22"/>
          <w:szCs w:val="22"/>
          <w:vertAlign w:val="superscript"/>
          <w:lang w:val="sv-SE" w:eastAsia="lt-LT"/>
        </w:rPr>
        <w:t>14</w:t>
      </w:r>
      <w:r>
        <w:rPr>
          <w:color w:val="000000"/>
          <w:sz w:val="22"/>
          <w:szCs w:val="22"/>
          <w:lang w:val="sv-SE" w:eastAsia="lt-LT"/>
        </w:rPr>
        <w:t>C žymėto losartano pvartojus per burną, iš žmogaus organizmo 35 % radioaktyviosios medžiagos išsiskyrė su šlapimu, 58 % - su išmatomis, suleidus į veną – atitinkamai 43 % ir 50 %.</w:t>
      </w:r>
    </w:p>
    <w:p w14:paraId="27FBB965" w14:textId="77777777" w:rsidR="00F00A02" w:rsidRDefault="00F00A02">
      <w:pPr>
        <w:widowControl w:val="0"/>
        <w:rPr>
          <w:b/>
          <w:color w:val="000000"/>
          <w:sz w:val="22"/>
          <w:szCs w:val="22"/>
          <w:lang w:val="sv-SE" w:eastAsia="lt-LT"/>
        </w:rPr>
      </w:pPr>
    </w:p>
    <w:p w14:paraId="7F0417AD" w14:textId="77777777" w:rsidR="00F00A02" w:rsidRDefault="0027659F">
      <w:pPr>
        <w:widowControl w:val="0"/>
        <w:rPr>
          <w:color w:val="000000"/>
          <w:sz w:val="22"/>
          <w:szCs w:val="22"/>
          <w:u w:val="single"/>
          <w:lang w:val="sv-SE" w:eastAsia="lt-LT"/>
        </w:rPr>
      </w:pPr>
      <w:r>
        <w:rPr>
          <w:color w:val="000000"/>
          <w:sz w:val="22"/>
          <w:szCs w:val="22"/>
          <w:u w:val="single"/>
          <w:lang w:val="sv-SE" w:eastAsia="lt-LT"/>
        </w:rPr>
        <w:t>Ypatingos populiacijos</w:t>
      </w:r>
    </w:p>
    <w:p w14:paraId="5B0D4CB2" w14:textId="77777777" w:rsidR="00F00A02" w:rsidRDefault="00F00A02">
      <w:pPr>
        <w:widowControl w:val="0"/>
        <w:rPr>
          <w:color w:val="000000"/>
          <w:sz w:val="22"/>
          <w:szCs w:val="22"/>
          <w:lang w:val="sv-SE" w:eastAsia="lt-LT"/>
        </w:rPr>
      </w:pPr>
    </w:p>
    <w:p w14:paraId="28442474" w14:textId="77777777" w:rsidR="00F00A02" w:rsidRDefault="0027659F">
      <w:pPr>
        <w:widowControl w:val="0"/>
        <w:rPr>
          <w:color w:val="000000"/>
          <w:sz w:val="22"/>
          <w:szCs w:val="22"/>
          <w:lang w:val="sv-SE" w:eastAsia="lt-LT"/>
        </w:rPr>
      </w:pPr>
      <w:r>
        <w:rPr>
          <w:color w:val="000000"/>
          <w:sz w:val="22"/>
          <w:szCs w:val="22"/>
          <w:lang w:val="sv-SE" w:eastAsia="lt-LT"/>
        </w:rPr>
        <w:t>Senyvų hipertenzija sergančių pacientų kraujo plazmoje losartano ir aktyvaus jo metabolito koncentracija iš esmės nesiskiria nuo koncentracijos jaunesnių hipertenzija sergančių pacientų plazmoje.</w:t>
      </w:r>
    </w:p>
    <w:p w14:paraId="59373D2C" w14:textId="77777777" w:rsidR="00F00A02" w:rsidRDefault="00F00A02">
      <w:pPr>
        <w:widowControl w:val="0"/>
        <w:rPr>
          <w:color w:val="000000"/>
          <w:sz w:val="22"/>
          <w:szCs w:val="22"/>
          <w:lang w:val="sv-SE" w:eastAsia="lt-LT"/>
        </w:rPr>
      </w:pPr>
    </w:p>
    <w:p w14:paraId="3732A251" w14:textId="77777777" w:rsidR="00F00A02" w:rsidRDefault="0027659F">
      <w:pPr>
        <w:widowControl w:val="0"/>
        <w:rPr>
          <w:color w:val="000000"/>
          <w:sz w:val="22"/>
          <w:szCs w:val="22"/>
          <w:lang w:val="sv-SE" w:eastAsia="lt-LT"/>
        </w:rPr>
      </w:pPr>
      <w:r>
        <w:rPr>
          <w:color w:val="000000"/>
          <w:sz w:val="22"/>
          <w:szCs w:val="22"/>
          <w:lang w:val="sv-SE" w:eastAsia="lt-LT"/>
        </w:rPr>
        <w:t>Hipertenzija sergančių moterų kraujo plazmoje losartano koncentracija buvo net dvigubai didesnė negu hipertenzija sergančių vyrų, tačiau aktyvaus metabolito koncentracija vyrų ir moterų kraujo plazmoje nesiskyrė.</w:t>
      </w:r>
    </w:p>
    <w:p w14:paraId="2C89D565" w14:textId="77777777" w:rsidR="00F00A02" w:rsidRDefault="00F00A02">
      <w:pPr>
        <w:widowControl w:val="0"/>
        <w:rPr>
          <w:color w:val="000000"/>
          <w:sz w:val="22"/>
          <w:szCs w:val="22"/>
          <w:lang w:val="sv-SE" w:eastAsia="lt-LT"/>
        </w:rPr>
      </w:pPr>
    </w:p>
    <w:p w14:paraId="3ECC409C" w14:textId="77777777" w:rsidR="00F00A02" w:rsidRDefault="0027659F">
      <w:pPr>
        <w:widowControl w:val="0"/>
        <w:rPr>
          <w:color w:val="000000"/>
          <w:sz w:val="22"/>
          <w:szCs w:val="22"/>
          <w:lang w:val="sv-SE" w:eastAsia="lt-LT"/>
        </w:rPr>
      </w:pPr>
      <w:r>
        <w:rPr>
          <w:color w:val="000000"/>
          <w:sz w:val="22"/>
          <w:szCs w:val="22"/>
          <w:lang w:val="sv-SE" w:eastAsia="lt-LT"/>
        </w:rPr>
        <w:t>Losartano pavartojus per burną, pacientų, kuriems buvo lengva ar vidutinio sunkumo alkoholinė kepenų cirozė, kraujo plazmoje losartano ir aktyvaus jo metabolito koncentracija buvo atitinkamai 5 kartus ir 1,7 karto didesnė, negu jaunų savanorių vyrų kraujo plazmoje (žr. 4.2 ir 4.4 skyrius).</w:t>
      </w:r>
    </w:p>
    <w:p w14:paraId="3CD76E00" w14:textId="77777777" w:rsidR="00F00A02" w:rsidRDefault="00F00A02">
      <w:pPr>
        <w:widowControl w:val="0"/>
        <w:rPr>
          <w:color w:val="000000"/>
          <w:sz w:val="22"/>
          <w:szCs w:val="22"/>
          <w:lang w:val="sv-SE" w:eastAsia="lt-LT"/>
        </w:rPr>
      </w:pPr>
    </w:p>
    <w:p w14:paraId="2FA3BADC" w14:textId="77777777" w:rsidR="00F00A02" w:rsidRDefault="0027659F">
      <w:pPr>
        <w:widowControl w:val="0"/>
        <w:rPr>
          <w:color w:val="000000"/>
          <w:sz w:val="22"/>
          <w:szCs w:val="22"/>
          <w:lang w:val="sv-SE" w:eastAsia="lt-LT"/>
        </w:rPr>
      </w:pPr>
      <w:r>
        <w:rPr>
          <w:color w:val="000000"/>
          <w:sz w:val="22"/>
          <w:szCs w:val="22"/>
          <w:lang w:val="sv-SE" w:eastAsia="lt-LT"/>
        </w:rPr>
        <w:t>Pacientų, kurių kreatinino klirensas yra didesnis negu 10 ml/min., losartano koncentracija kraujo plazmoje nekito. Pacientų, kuriems atliekama hemodializė, organizme losartano plotas po koncentracijos kraujyje priklausomai nuo laiko kreive (</w:t>
      </w:r>
      <w:r>
        <w:rPr>
          <w:i/>
          <w:iCs/>
          <w:color w:val="000000"/>
          <w:sz w:val="22"/>
          <w:szCs w:val="22"/>
          <w:lang w:val="sv-SE" w:eastAsia="lt-LT"/>
        </w:rPr>
        <w:t>angl. AUC</w:t>
      </w:r>
      <w:r>
        <w:rPr>
          <w:color w:val="000000"/>
          <w:sz w:val="22"/>
          <w:szCs w:val="22"/>
          <w:lang w:val="sv-SE" w:eastAsia="lt-LT"/>
        </w:rPr>
        <w:t>) yra dvigubai didesnis, negu pacientų, kurių inkstų funkcija normali.</w:t>
      </w:r>
    </w:p>
    <w:p w14:paraId="374460FD" w14:textId="77777777" w:rsidR="00F00A02" w:rsidRDefault="0027659F">
      <w:pPr>
        <w:widowControl w:val="0"/>
        <w:rPr>
          <w:color w:val="000000"/>
          <w:sz w:val="22"/>
          <w:szCs w:val="22"/>
          <w:lang w:val="sv-SE" w:eastAsia="lt-LT"/>
        </w:rPr>
      </w:pPr>
      <w:r>
        <w:rPr>
          <w:color w:val="000000"/>
          <w:sz w:val="22"/>
          <w:szCs w:val="22"/>
          <w:lang w:val="sv-SE" w:eastAsia="lt-LT"/>
        </w:rPr>
        <w:t>Pacientų, kurių inkstų funkcija sutrikusi arba kuriems atliekama hemodializė, kraujo plazmoje aktyvaus metabolito koncentracija nekinta.</w:t>
      </w:r>
    </w:p>
    <w:p w14:paraId="5549A64C" w14:textId="77777777" w:rsidR="00F00A02" w:rsidRDefault="00F00A02">
      <w:pPr>
        <w:widowControl w:val="0"/>
        <w:rPr>
          <w:color w:val="000000"/>
          <w:sz w:val="22"/>
          <w:szCs w:val="22"/>
          <w:lang w:val="sv-SE" w:eastAsia="lt-LT"/>
        </w:rPr>
      </w:pPr>
    </w:p>
    <w:p w14:paraId="057D8A07" w14:textId="77777777" w:rsidR="00F00A02" w:rsidRDefault="0027659F">
      <w:pPr>
        <w:widowControl w:val="0"/>
        <w:rPr>
          <w:color w:val="000000"/>
          <w:sz w:val="22"/>
          <w:szCs w:val="22"/>
          <w:lang w:val="sv-SE" w:eastAsia="lt-LT"/>
        </w:rPr>
      </w:pPr>
      <w:r>
        <w:rPr>
          <w:color w:val="000000"/>
          <w:sz w:val="22"/>
          <w:szCs w:val="22"/>
          <w:lang w:val="sv-SE" w:eastAsia="lt-LT"/>
        </w:rPr>
        <w:t>Hemodialize losartano ir aktyvaus jo metabolito iš organizmo pašalinti neįmanoma.</w:t>
      </w:r>
    </w:p>
    <w:p w14:paraId="3C24EEE8" w14:textId="77777777" w:rsidR="00F00A02" w:rsidRDefault="00F00A02">
      <w:pPr>
        <w:widowControl w:val="0"/>
        <w:rPr>
          <w:color w:val="000000"/>
          <w:sz w:val="22"/>
          <w:szCs w:val="22"/>
          <w:u w:val="single"/>
          <w:lang w:val="sv-SE" w:eastAsia="lt-LT"/>
        </w:rPr>
      </w:pPr>
    </w:p>
    <w:p w14:paraId="6FEE153E" w14:textId="77777777" w:rsidR="00F00A02" w:rsidRDefault="0027659F">
      <w:pPr>
        <w:widowControl w:val="0"/>
        <w:rPr>
          <w:color w:val="000000"/>
          <w:sz w:val="22"/>
          <w:szCs w:val="22"/>
          <w:u w:val="single"/>
          <w:lang w:val="sv-SE" w:eastAsia="lt-LT"/>
        </w:rPr>
      </w:pPr>
      <w:r>
        <w:rPr>
          <w:color w:val="000000"/>
          <w:sz w:val="22"/>
          <w:szCs w:val="22"/>
          <w:u w:val="single"/>
          <w:lang w:val="sv-SE" w:eastAsia="lt-LT"/>
        </w:rPr>
        <w:t>Farmakokinetika vaikų organizme</w:t>
      </w:r>
    </w:p>
    <w:p w14:paraId="1BB1D8FF" w14:textId="77777777" w:rsidR="00F00A02" w:rsidRDefault="0027659F">
      <w:pPr>
        <w:widowControl w:val="0"/>
        <w:rPr>
          <w:color w:val="000000"/>
          <w:sz w:val="22"/>
          <w:szCs w:val="22"/>
          <w:lang w:val="sv-SE" w:eastAsia="lt-LT"/>
        </w:rPr>
      </w:pPr>
      <w:r>
        <w:rPr>
          <w:color w:val="000000"/>
          <w:sz w:val="22"/>
          <w:szCs w:val="22"/>
          <w:lang w:val="sv-SE" w:eastAsia="lt-LT"/>
        </w:rPr>
        <w:t>Losartano farmakokinetika tirta 50 hipertenzija sergančių vyresnių negu mėnesio, bet jaunesnių negu 16 metų vaikų, kurie kartą per parą gėrė maždaug 0,54 - 0,77 mg/kg kūno svorio (vidutinė dozė) losartano dozę.</w:t>
      </w:r>
    </w:p>
    <w:p w14:paraId="10DE70A7" w14:textId="77777777" w:rsidR="00F00A02" w:rsidRDefault="0027659F">
      <w:pPr>
        <w:widowControl w:val="0"/>
        <w:rPr>
          <w:color w:val="000000"/>
          <w:sz w:val="22"/>
          <w:szCs w:val="22"/>
          <w:lang w:val="sv-SE" w:eastAsia="lt-LT"/>
        </w:rPr>
      </w:pPr>
      <w:r>
        <w:rPr>
          <w:color w:val="000000"/>
          <w:sz w:val="22"/>
          <w:szCs w:val="22"/>
          <w:lang w:val="sv-SE" w:eastAsia="lt-LT"/>
        </w:rPr>
        <w:t>Nustatyta, kad aktyvus losartano metabolitas formuojasi visų amžiaus grupių vaikų organizme. Gauti rezultatai rodo, kad kūdikių, pradedančių vaikšioti, ikimokyklinio amžiaus bei mokyklinio amžiaus vaikų ir paauglių organizme per burną pavartoto losartano farmakokinetikos parametrai yra maždaug panašūs. Metabolito farmakokinetikos parametrai minėtųjų grupių tiriamųjų organizme skyrėsi labiau. Palyginus ikimokyklinio amžiaus vaikus ir paauglius, šis skirtumas buvo statistiškai reikšmingas. Kūdikių ir (arba) pradedančių vaikšioti vaikų organizme ekspozcija buvo palyginti didelė.</w:t>
      </w:r>
    </w:p>
    <w:p w14:paraId="40946B1E" w14:textId="77777777" w:rsidR="00F00A02" w:rsidRDefault="00F00A02">
      <w:pPr>
        <w:widowControl w:val="0"/>
        <w:rPr>
          <w:sz w:val="22"/>
          <w:szCs w:val="22"/>
          <w:lang w:eastAsia="lt-LT"/>
        </w:rPr>
      </w:pPr>
    </w:p>
    <w:p w14:paraId="18DE3D6F" w14:textId="77777777" w:rsidR="00F00A02" w:rsidRDefault="0027659F">
      <w:pPr>
        <w:widowControl w:val="0"/>
        <w:ind w:left="567" w:hanging="567"/>
        <w:outlineLvl w:val="2"/>
        <w:rPr>
          <w:b/>
          <w:bCs/>
          <w:sz w:val="22"/>
          <w:szCs w:val="22"/>
          <w:lang w:eastAsia="lt-LT"/>
        </w:rPr>
      </w:pPr>
      <w:r>
        <w:rPr>
          <w:b/>
          <w:bCs/>
          <w:sz w:val="22"/>
          <w:szCs w:val="22"/>
          <w:lang w:eastAsia="lt-LT"/>
        </w:rPr>
        <w:t>5.3</w:t>
      </w:r>
      <w:r>
        <w:rPr>
          <w:b/>
          <w:bCs/>
          <w:sz w:val="22"/>
          <w:szCs w:val="22"/>
          <w:lang w:eastAsia="lt-LT"/>
        </w:rPr>
        <w:tab/>
        <w:t>Ikiklinikinių saugumo tyrimų duomenys</w:t>
      </w:r>
    </w:p>
    <w:p w14:paraId="20E79581" w14:textId="77777777" w:rsidR="00F00A02" w:rsidRDefault="00F00A02">
      <w:pPr>
        <w:widowControl w:val="0"/>
        <w:ind w:left="567" w:hanging="567"/>
        <w:rPr>
          <w:sz w:val="22"/>
          <w:szCs w:val="22"/>
          <w:lang w:eastAsia="lt-LT"/>
        </w:rPr>
      </w:pPr>
    </w:p>
    <w:p w14:paraId="6F5F48F5" w14:textId="77777777" w:rsidR="00F00A02" w:rsidRDefault="0027659F">
      <w:pPr>
        <w:widowControl w:val="0"/>
        <w:rPr>
          <w:color w:val="000000"/>
          <w:sz w:val="22"/>
          <w:szCs w:val="22"/>
          <w:lang w:val="sv-SE" w:eastAsia="lt-LT"/>
        </w:rPr>
      </w:pPr>
      <w:r>
        <w:rPr>
          <w:color w:val="000000"/>
          <w:sz w:val="22"/>
          <w:szCs w:val="22"/>
          <w:lang w:val="sv-SE" w:eastAsia="lt-LT"/>
        </w:rPr>
        <w:t xml:space="preserve">Įprastų farmakologinio saugumo, genotoksiškumo ir galimo kancerogeniškumo ikiklinikinių tyrimų duomenys specifinio pavojaus žmogui nerodo. Kartotinių dozių toksinio poveikio tyrimų metu losartano vartojimas sukėlė raudonųjų kraujo ląstelių parametrų (eritrocitų, hemaglobino, hematokrito kiekio) sumažėjimą, šlapalo kiekio padidėjimą kraujo serume, retkarčiais </w:t>
      </w:r>
      <w:r>
        <w:rPr>
          <w:color w:val="000000"/>
          <w:sz w:val="22"/>
          <w:szCs w:val="22"/>
          <w:lang w:eastAsia="lt-LT"/>
        </w:rPr>
        <w:sym w:font="Symbol" w:char="F02D"/>
      </w:r>
      <w:r>
        <w:rPr>
          <w:color w:val="000000"/>
          <w:sz w:val="22"/>
          <w:szCs w:val="22"/>
          <w:lang w:val="sv-SE" w:eastAsia="lt-LT"/>
        </w:rPr>
        <w:t xml:space="preserve"> kreatinino kiekio padidėjimą kraujo serume, širdies svorio sumažėjimą (histologinių pokyčių koreliacijos nenustatyta) ir virškinimo trakto pokyčius (gleivinės pažaidą, opas, erozijas, hemoragiją). Įrodyta, kad losartanas, kaip ir kitos medžiagos, tiesiogiai veikiančios renino ir angiotenzino sistemą, vėlyvuoju vaisiaus vystymosi laikotarpiu skatina nepageidaujamas reakcijas, lemiančias vaisiaus mirtį arba apsigimimą.</w:t>
      </w:r>
    </w:p>
    <w:p w14:paraId="357EC9B4" w14:textId="77777777" w:rsidR="00F00A02" w:rsidRDefault="00F00A02">
      <w:pPr>
        <w:widowControl w:val="0"/>
        <w:ind w:left="567" w:hanging="567"/>
        <w:rPr>
          <w:sz w:val="22"/>
          <w:szCs w:val="22"/>
          <w:lang w:eastAsia="lt-LT"/>
        </w:rPr>
      </w:pPr>
    </w:p>
    <w:p w14:paraId="5C0CCB0A" w14:textId="77777777" w:rsidR="00F00A02" w:rsidRDefault="00F00A02">
      <w:pPr>
        <w:widowControl w:val="0"/>
        <w:ind w:left="567" w:hanging="567"/>
        <w:rPr>
          <w:sz w:val="22"/>
          <w:szCs w:val="22"/>
          <w:lang w:eastAsia="lt-LT"/>
        </w:rPr>
      </w:pPr>
    </w:p>
    <w:p w14:paraId="71D637DD" w14:textId="77777777" w:rsidR="00F00A02" w:rsidRDefault="0027659F">
      <w:pPr>
        <w:widowControl w:val="0"/>
        <w:ind w:left="567" w:hanging="567"/>
        <w:outlineLvl w:val="1"/>
        <w:rPr>
          <w:b/>
          <w:sz w:val="22"/>
          <w:szCs w:val="22"/>
          <w:lang w:val="sv-SE" w:eastAsia="lt-LT"/>
        </w:rPr>
      </w:pPr>
      <w:r>
        <w:rPr>
          <w:b/>
          <w:sz w:val="22"/>
          <w:szCs w:val="22"/>
          <w:lang w:val="sv-SE" w:eastAsia="lt-LT"/>
        </w:rPr>
        <w:t>6.</w:t>
      </w:r>
      <w:r>
        <w:rPr>
          <w:b/>
          <w:sz w:val="22"/>
          <w:szCs w:val="22"/>
          <w:lang w:val="sv-SE" w:eastAsia="lt-LT"/>
        </w:rPr>
        <w:tab/>
        <w:t>FARMACINĖ INFORMACIJA</w:t>
      </w:r>
    </w:p>
    <w:p w14:paraId="422A1571" w14:textId="77777777" w:rsidR="00F00A02" w:rsidRDefault="00F00A02">
      <w:pPr>
        <w:widowControl w:val="0"/>
        <w:ind w:left="567" w:hanging="567"/>
        <w:rPr>
          <w:b/>
          <w:sz w:val="22"/>
          <w:szCs w:val="22"/>
          <w:lang w:eastAsia="lt-LT"/>
        </w:rPr>
      </w:pPr>
    </w:p>
    <w:p w14:paraId="63856924" w14:textId="77777777" w:rsidR="00F00A02" w:rsidRDefault="0027659F">
      <w:pPr>
        <w:widowControl w:val="0"/>
        <w:ind w:left="567" w:hanging="567"/>
        <w:outlineLvl w:val="2"/>
        <w:rPr>
          <w:b/>
          <w:bCs/>
          <w:sz w:val="22"/>
          <w:szCs w:val="22"/>
          <w:lang w:eastAsia="lt-LT"/>
        </w:rPr>
      </w:pPr>
      <w:r>
        <w:rPr>
          <w:b/>
          <w:bCs/>
          <w:sz w:val="22"/>
          <w:szCs w:val="22"/>
          <w:lang w:eastAsia="lt-LT"/>
        </w:rPr>
        <w:t>6.1</w:t>
      </w:r>
      <w:r>
        <w:rPr>
          <w:b/>
          <w:bCs/>
          <w:sz w:val="22"/>
          <w:szCs w:val="22"/>
          <w:lang w:eastAsia="lt-LT"/>
        </w:rPr>
        <w:tab/>
        <w:t>Pagalbinių medžiagų sąrašas</w:t>
      </w:r>
    </w:p>
    <w:p w14:paraId="101F62CC" w14:textId="77777777" w:rsidR="00F00A02" w:rsidRDefault="00F00A02">
      <w:pPr>
        <w:widowControl w:val="0"/>
        <w:rPr>
          <w:sz w:val="22"/>
          <w:szCs w:val="22"/>
          <w:lang w:eastAsia="lt-LT"/>
        </w:rPr>
      </w:pPr>
    </w:p>
    <w:p w14:paraId="1F1DE1FC" w14:textId="77777777" w:rsidR="00F00A02" w:rsidRDefault="0027659F">
      <w:pPr>
        <w:widowControl w:val="0"/>
        <w:jc w:val="both"/>
        <w:rPr>
          <w:i/>
          <w:sz w:val="22"/>
          <w:szCs w:val="22"/>
          <w:lang w:eastAsia="lt-LT"/>
        </w:rPr>
      </w:pPr>
      <w:r>
        <w:rPr>
          <w:i/>
          <w:sz w:val="22"/>
          <w:szCs w:val="22"/>
          <w:lang w:eastAsia="lt-LT"/>
        </w:rPr>
        <w:t>Tabletės branduolys</w:t>
      </w:r>
    </w:p>
    <w:p w14:paraId="58734B06" w14:textId="77777777" w:rsidR="00F00A02" w:rsidRDefault="0027659F">
      <w:pPr>
        <w:widowControl w:val="0"/>
        <w:jc w:val="both"/>
        <w:rPr>
          <w:sz w:val="22"/>
          <w:szCs w:val="22"/>
          <w:lang w:eastAsia="lt-LT"/>
        </w:rPr>
      </w:pPr>
      <w:r>
        <w:rPr>
          <w:sz w:val="22"/>
          <w:szCs w:val="22"/>
          <w:lang w:eastAsia="lt-LT"/>
        </w:rPr>
        <w:t>Kukurūzų krakmolas</w:t>
      </w:r>
    </w:p>
    <w:p w14:paraId="5A121426" w14:textId="77777777" w:rsidR="00F00A02" w:rsidRDefault="0027659F">
      <w:pPr>
        <w:widowControl w:val="0"/>
        <w:jc w:val="both"/>
        <w:rPr>
          <w:sz w:val="22"/>
          <w:szCs w:val="22"/>
          <w:lang w:eastAsia="lt-LT"/>
        </w:rPr>
      </w:pPr>
      <w:r>
        <w:rPr>
          <w:sz w:val="22"/>
          <w:szCs w:val="22"/>
          <w:lang w:eastAsia="lt-LT"/>
        </w:rPr>
        <w:t>Pregelifikuotas krakmolas</w:t>
      </w:r>
    </w:p>
    <w:p w14:paraId="029BD006" w14:textId="77777777" w:rsidR="00F00A02" w:rsidRDefault="0027659F">
      <w:pPr>
        <w:widowControl w:val="0"/>
        <w:jc w:val="both"/>
        <w:rPr>
          <w:sz w:val="22"/>
          <w:szCs w:val="22"/>
          <w:lang w:eastAsia="lt-LT"/>
        </w:rPr>
      </w:pPr>
      <w:r>
        <w:rPr>
          <w:sz w:val="22"/>
          <w:szCs w:val="22"/>
          <w:lang w:eastAsia="lt-LT"/>
        </w:rPr>
        <w:t>Mikrokristalinė celiuliozė</w:t>
      </w:r>
    </w:p>
    <w:p w14:paraId="2E881DF8" w14:textId="77777777" w:rsidR="00F00A02" w:rsidRDefault="0027659F">
      <w:pPr>
        <w:widowControl w:val="0"/>
        <w:jc w:val="both"/>
        <w:rPr>
          <w:sz w:val="22"/>
          <w:szCs w:val="22"/>
          <w:lang w:eastAsia="lt-LT"/>
        </w:rPr>
      </w:pPr>
      <w:r>
        <w:rPr>
          <w:sz w:val="22"/>
          <w:szCs w:val="22"/>
          <w:lang w:eastAsia="lt-LT"/>
        </w:rPr>
        <w:t>Laktozė monohidratas</w:t>
      </w:r>
    </w:p>
    <w:p w14:paraId="36F277E2" w14:textId="77777777" w:rsidR="00F00A02" w:rsidRDefault="0027659F">
      <w:pPr>
        <w:widowControl w:val="0"/>
        <w:jc w:val="both"/>
        <w:rPr>
          <w:sz w:val="22"/>
          <w:szCs w:val="22"/>
          <w:lang w:eastAsia="lt-LT"/>
        </w:rPr>
      </w:pPr>
      <w:r>
        <w:rPr>
          <w:sz w:val="22"/>
          <w:szCs w:val="22"/>
          <w:lang w:eastAsia="lt-LT"/>
        </w:rPr>
        <w:t>Koloidinis bevandenis silicio dioksidas</w:t>
      </w:r>
    </w:p>
    <w:p w14:paraId="0EEDD9D8" w14:textId="77777777" w:rsidR="00F00A02" w:rsidRDefault="0027659F">
      <w:pPr>
        <w:widowControl w:val="0"/>
        <w:jc w:val="both"/>
        <w:rPr>
          <w:sz w:val="22"/>
          <w:szCs w:val="22"/>
          <w:lang w:eastAsia="lt-LT"/>
        </w:rPr>
      </w:pPr>
      <w:r>
        <w:rPr>
          <w:sz w:val="22"/>
          <w:szCs w:val="22"/>
          <w:lang w:eastAsia="lt-LT"/>
        </w:rPr>
        <w:t>Magnio stearatas</w:t>
      </w:r>
    </w:p>
    <w:p w14:paraId="55CAE48C" w14:textId="77777777" w:rsidR="00F00A02" w:rsidRDefault="00F00A02">
      <w:pPr>
        <w:widowControl w:val="0"/>
        <w:jc w:val="both"/>
        <w:rPr>
          <w:sz w:val="22"/>
          <w:szCs w:val="22"/>
          <w:lang w:eastAsia="lt-LT"/>
        </w:rPr>
      </w:pPr>
    </w:p>
    <w:p w14:paraId="63AEA7B9" w14:textId="77777777" w:rsidR="00F00A02" w:rsidRDefault="0027659F">
      <w:pPr>
        <w:widowControl w:val="0"/>
        <w:jc w:val="both"/>
        <w:rPr>
          <w:i/>
          <w:sz w:val="22"/>
          <w:szCs w:val="22"/>
          <w:lang w:eastAsia="lt-LT"/>
        </w:rPr>
      </w:pPr>
      <w:r>
        <w:rPr>
          <w:i/>
          <w:sz w:val="22"/>
          <w:szCs w:val="22"/>
          <w:lang w:eastAsia="lt-LT"/>
        </w:rPr>
        <w:t>Tabletės plėvelė</w:t>
      </w:r>
    </w:p>
    <w:p w14:paraId="3E654E61" w14:textId="77777777" w:rsidR="00F00A02" w:rsidRDefault="0027659F">
      <w:pPr>
        <w:widowControl w:val="0"/>
        <w:jc w:val="both"/>
        <w:rPr>
          <w:sz w:val="22"/>
          <w:szCs w:val="22"/>
          <w:lang w:eastAsia="lt-LT"/>
        </w:rPr>
      </w:pPr>
      <w:r>
        <w:rPr>
          <w:sz w:val="22"/>
          <w:szCs w:val="22"/>
          <w:lang w:eastAsia="lt-LT"/>
        </w:rPr>
        <w:t>Hipromeliozė</w:t>
      </w:r>
    </w:p>
    <w:p w14:paraId="4F7CC7D6" w14:textId="77777777" w:rsidR="00F00A02" w:rsidRDefault="0027659F">
      <w:pPr>
        <w:widowControl w:val="0"/>
        <w:jc w:val="both"/>
        <w:rPr>
          <w:sz w:val="22"/>
          <w:szCs w:val="22"/>
          <w:lang w:eastAsia="lt-LT"/>
        </w:rPr>
      </w:pPr>
      <w:r>
        <w:rPr>
          <w:sz w:val="22"/>
          <w:szCs w:val="22"/>
          <w:lang w:eastAsia="lt-LT"/>
        </w:rPr>
        <w:t>Talkas</w:t>
      </w:r>
    </w:p>
    <w:p w14:paraId="010B4C77" w14:textId="77777777" w:rsidR="00F00A02" w:rsidRDefault="0027659F">
      <w:pPr>
        <w:widowControl w:val="0"/>
        <w:jc w:val="both"/>
        <w:rPr>
          <w:sz w:val="22"/>
          <w:szCs w:val="22"/>
          <w:lang w:eastAsia="lt-LT"/>
        </w:rPr>
      </w:pPr>
      <w:r>
        <w:rPr>
          <w:sz w:val="22"/>
          <w:szCs w:val="22"/>
          <w:lang w:eastAsia="lt-LT"/>
        </w:rPr>
        <w:t>Propilenglikolis</w:t>
      </w:r>
    </w:p>
    <w:p w14:paraId="29811E0A" w14:textId="77777777" w:rsidR="00F00A02" w:rsidRDefault="0027659F">
      <w:pPr>
        <w:widowControl w:val="0"/>
        <w:jc w:val="both"/>
        <w:rPr>
          <w:sz w:val="22"/>
          <w:szCs w:val="22"/>
          <w:lang w:eastAsia="lt-LT"/>
        </w:rPr>
      </w:pPr>
      <w:r>
        <w:rPr>
          <w:sz w:val="22"/>
          <w:szCs w:val="22"/>
          <w:lang w:eastAsia="lt-LT"/>
        </w:rPr>
        <w:t>Titano dioksidas (E171)</w:t>
      </w:r>
    </w:p>
    <w:p w14:paraId="596A30F0" w14:textId="77777777" w:rsidR="00F00A02" w:rsidRDefault="00F00A02">
      <w:pPr>
        <w:widowControl w:val="0"/>
        <w:jc w:val="both"/>
        <w:rPr>
          <w:sz w:val="22"/>
          <w:szCs w:val="22"/>
          <w:lang w:eastAsia="lt-LT"/>
        </w:rPr>
      </w:pPr>
    </w:p>
    <w:p w14:paraId="59E43B38" w14:textId="77777777" w:rsidR="00F00A02" w:rsidRDefault="0027659F">
      <w:pPr>
        <w:widowControl w:val="0"/>
        <w:ind w:left="567" w:hanging="567"/>
        <w:outlineLvl w:val="2"/>
        <w:rPr>
          <w:b/>
          <w:bCs/>
          <w:sz w:val="22"/>
          <w:szCs w:val="22"/>
          <w:lang w:eastAsia="lt-LT"/>
        </w:rPr>
      </w:pPr>
      <w:r>
        <w:rPr>
          <w:b/>
          <w:bCs/>
          <w:sz w:val="22"/>
          <w:szCs w:val="22"/>
          <w:lang w:eastAsia="lt-LT"/>
        </w:rPr>
        <w:t>6.2</w:t>
      </w:r>
      <w:r>
        <w:rPr>
          <w:b/>
          <w:bCs/>
          <w:sz w:val="22"/>
          <w:szCs w:val="22"/>
          <w:lang w:eastAsia="lt-LT"/>
        </w:rPr>
        <w:tab/>
        <w:t>Nesuderinamumas</w:t>
      </w:r>
    </w:p>
    <w:p w14:paraId="23C0B534" w14:textId="77777777" w:rsidR="00F00A02" w:rsidRDefault="00F00A02">
      <w:pPr>
        <w:widowControl w:val="0"/>
        <w:rPr>
          <w:sz w:val="22"/>
          <w:szCs w:val="22"/>
          <w:lang w:eastAsia="lt-LT"/>
        </w:rPr>
      </w:pPr>
    </w:p>
    <w:p w14:paraId="32F447E9" w14:textId="77777777" w:rsidR="00F00A02" w:rsidRDefault="0027659F">
      <w:pPr>
        <w:widowControl w:val="0"/>
        <w:jc w:val="both"/>
        <w:rPr>
          <w:b/>
          <w:sz w:val="22"/>
          <w:szCs w:val="22"/>
          <w:lang w:eastAsia="lt-LT"/>
        </w:rPr>
      </w:pPr>
      <w:r>
        <w:rPr>
          <w:sz w:val="22"/>
          <w:szCs w:val="22"/>
          <w:lang w:eastAsia="lt-LT"/>
        </w:rPr>
        <w:t>Duomenys nebūtini.</w:t>
      </w:r>
    </w:p>
    <w:p w14:paraId="60777C13" w14:textId="77777777" w:rsidR="00F00A02" w:rsidRDefault="00F00A02">
      <w:pPr>
        <w:widowControl w:val="0"/>
        <w:jc w:val="both"/>
        <w:rPr>
          <w:b/>
          <w:sz w:val="22"/>
          <w:szCs w:val="22"/>
          <w:lang w:eastAsia="lt-LT"/>
        </w:rPr>
      </w:pPr>
    </w:p>
    <w:p w14:paraId="62DFDB36" w14:textId="77777777" w:rsidR="00F00A02" w:rsidRDefault="0027659F">
      <w:pPr>
        <w:widowControl w:val="0"/>
        <w:ind w:left="567" w:hanging="567"/>
        <w:outlineLvl w:val="2"/>
        <w:rPr>
          <w:b/>
          <w:bCs/>
          <w:sz w:val="22"/>
          <w:szCs w:val="22"/>
          <w:lang w:eastAsia="lt-LT"/>
        </w:rPr>
      </w:pPr>
      <w:r>
        <w:rPr>
          <w:b/>
          <w:bCs/>
          <w:sz w:val="22"/>
          <w:szCs w:val="22"/>
          <w:lang w:eastAsia="lt-LT"/>
        </w:rPr>
        <w:t>6.3</w:t>
      </w:r>
      <w:r>
        <w:rPr>
          <w:b/>
          <w:bCs/>
          <w:sz w:val="22"/>
          <w:szCs w:val="22"/>
          <w:lang w:eastAsia="lt-LT"/>
        </w:rPr>
        <w:tab/>
        <w:t>Tinkamumo laikas</w:t>
      </w:r>
    </w:p>
    <w:p w14:paraId="40E99F8D" w14:textId="77777777" w:rsidR="00F00A02" w:rsidRDefault="00F00A02">
      <w:pPr>
        <w:widowControl w:val="0"/>
        <w:ind w:left="567" w:hanging="567"/>
        <w:rPr>
          <w:sz w:val="22"/>
          <w:szCs w:val="22"/>
          <w:lang w:eastAsia="lt-LT"/>
        </w:rPr>
      </w:pPr>
    </w:p>
    <w:p w14:paraId="5D9AC481" w14:textId="77777777" w:rsidR="00F00A02" w:rsidRDefault="0027659F">
      <w:pPr>
        <w:widowControl w:val="0"/>
        <w:ind w:left="567" w:hanging="567"/>
        <w:jc w:val="both"/>
        <w:rPr>
          <w:sz w:val="22"/>
          <w:szCs w:val="22"/>
          <w:lang w:eastAsia="lt-LT"/>
        </w:rPr>
      </w:pPr>
      <w:r>
        <w:rPr>
          <w:sz w:val="22"/>
          <w:szCs w:val="22"/>
          <w:lang w:eastAsia="lt-LT"/>
        </w:rPr>
        <w:t>5 metai.</w:t>
      </w:r>
    </w:p>
    <w:p w14:paraId="1571725E" w14:textId="77777777" w:rsidR="00F00A02" w:rsidRDefault="00F00A02">
      <w:pPr>
        <w:widowControl w:val="0"/>
        <w:ind w:left="567" w:hanging="567"/>
        <w:rPr>
          <w:sz w:val="22"/>
          <w:szCs w:val="22"/>
          <w:lang w:eastAsia="lt-LT"/>
        </w:rPr>
      </w:pPr>
    </w:p>
    <w:p w14:paraId="3C3D2A09" w14:textId="77777777" w:rsidR="00F00A02" w:rsidRDefault="0027659F">
      <w:pPr>
        <w:widowControl w:val="0"/>
        <w:ind w:left="567" w:hanging="567"/>
        <w:outlineLvl w:val="2"/>
        <w:rPr>
          <w:b/>
          <w:bCs/>
          <w:sz w:val="22"/>
          <w:szCs w:val="22"/>
          <w:lang w:eastAsia="lt-LT"/>
        </w:rPr>
      </w:pPr>
      <w:r>
        <w:rPr>
          <w:b/>
          <w:bCs/>
          <w:sz w:val="22"/>
          <w:szCs w:val="22"/>
          <w:lang w:eastAsia="lt-LT"/>
        </w:rPr>
        <w:t>6.4</w:t>
      </w:r>
      <w:r>
        <w:rPr>
          <w:b/>
          <w:bCs/>
          <w:sz w:val="22"/>
          <w:szCs w:val="22"/>
          <w:lang w:eastAsia="lt-LT"/>
        </w:rPr>
        <w:tab/>
        <w:t>Specialios laikymo sąlygos</w:t>
      </w:r>
    </w:p>
    <w:p w14:paraId="1182635B" w14:textId="77777777" w:rsidR="00F00A02" w:rsidRDefault="00F00A02">
      <w:pPr>
        <w:widowControl w:val="0"/>
        <w:ind w:left="567" w:hanging="567"/>
        <w:rPr>
          <w:sz w:val="22"/>
          <w:szCs w:val="22"/>
          <w:lang w:eastAsia="lt-LT"/>
        </w:rPr>
      </w:pPr>
    </w:p>
    <w:p w14:paraId="522A437E" w14:textId="77777777" w:rsidR="00F00A02" w:rsidRDefault="0027659F">
      <w:pPr>
        <w:widowControl w:val="0"/>
        <w:ind w:left="567" w:hanging="567"/>
        <w:jc w:val="both"/>
        <w:rPr>
          <w:sz w:val="22"/>
          <w:szCs w:val="22"/>
          <w:lang w:eastAsia="lt-LT"/>
        </w:rPr>
      </w:pPr>
      <w:r>
        <w:rPr>
          <w:sz w:val="22"/>
          <w:szCs w:val="22"/>
          <w:lang w:eastAsia="lt-LT"/>
        </w:rPr>
        <w:t>Laikyti ne aukštesnėje kaip 30 </w:t>
      </w:r>
      <w:r>
        <w:rPr>
          <w:sz w:val="22"/>
          <w:szCs w:val="22"/>
          <w:lang w:eastAsia="lt-LT"/>
        </w:rPr>
        <w:sym w:font="Symbol" w:char="F0B0"/>
      </w:r>
      <w:r>
        <w:rPr>
          <w:sz w:val="22"/>
          <w:szCs w:val="22"/>
          <w:lang w:eastAsia="lt-LT"/>
        </w:rPr>
        <w:t>C temperatūroje.</w:t>
      </w:r>
    </w:p>
    <w:p w14:paraId="3A6C23C6" w14:textId="77777777" w:rsidR="00F00A02" w:rsidRDefault="0027659F">
      <w:pPr>
        <w:widowControl w:val="0"/>
        <w:ind w:left="567" w:hanging="567"/>
        <w:jc w:val="both"/>
        <w:rPr>
          <w:sz w:val="22"/>
          <w:szCs w:val="22"/>
          <w:lang w:eastAsia="lt-LT"/>
        </w:rPr>
      </w:pPr>
      <w:r>
        <w:rPr>
          <w:sz w:val="22"/>
          <w:szCs w:val="22"/>
          <w:lang w:eastAsia="lt-LT"/>
        </w:rPr>
        <w:t>Laikyti gamintojo pakuotėje, kad vaistinis preparatas būtų apsaugotas nuo drėgmės.</w:t>
      </w:r>
    </w:p>
    <w:p w14:paraId="61A52517" w14:textId="77777777" w:rsidR="00F00A02" w:rsidRDefault="00F00A02">
      <w:pPr>
        <w:widowControl w:val="0"/>
        <w:ind w:left="567" w:hanging="567"/>
        <w:rPr>
          <w:sz w:val="22"/>
          <w:szCs w:val="22"/>
          <w:lang w:eastAsia="lt-LT"/>
        </w:rPr>
      </w:pPr>
    </w:p>
    <w:p w14:paraId="178CCC1C" w14:textId="77777777" w:rsidR="00F00A02" w:rsidRDefault="0027659F">
      <w:pPr>
        <w:widowControl w:val="0"/>
        <w:ind w:left="567" w:hanging="567"/>
        <w:outlineLvl w:val="2"/>
        <w:rPr>
          <w:b/>
          <w:bCs/>
          <w:sz w:val="22"/>
          <w:szCs w:val="22"/>
          <w:lang w:eastAsia="lt-LT"/>
        </w:rPr>
      </w:pPr>
      <w:r>
        <w:rPr>
          <w:b/>
          <w:bCs/>
          <w:sz w:val="22"/>
          <w:szCs w:val="22"/>
          <w:lang w:eastAsia="lt-LT"/>
        </w:rPr>
        <w:t>6.5</w:t>
      </w:r>
      <w:r>
        <w:rPr>
          <w:b/>
          <w:bCs/>
          <w:sz w:val="22"/>
          <w:szCs w:val="22"/>
          <w:lang w:eastAsia="lt-LT"/>
        </w:rPr>
        <w:tab/>
        <w:t>Talpyklės pobūdis ir jos turinys</w:t>
      </w:r>
    </w:p>
    <w:p w14:paraId="0F7EFF1A" w14:textId="77777777" w:rsidR="00F00A02" w:rsidRDefault="00F00A02">
      <w:pPr>
        <w:widowControl w:val="0"/>
        <w:ind w:left="567" w:hanging="567"/>
        <w:rPr>
          <w:sz w:val="22"/>
          <w:szCs w:val="22"/>
          <w:lang w:eastAsia="lt-LT"/>
        </w:rPr>
      </w:pPr>
    </w:p>
    <w:p w14:paraId="160D5360" w14:textId="77777777" w:rsidR="00F00A02" w:rsidRDefault="0027659F">
      <w:pPr>
        <w:widowControl w:val="0"/>
        <w:jc w:val="both"/>
        <w:rPr>
          <w:sz w:val="22"/>
          <w:szCs w:val="22"/>
          <w:lang w:eastAsia="lt-LT"/>
        </w:rPr>
      </w:pPr>
      <w:r>
        <w:rPr>
          <w:sz w:val="22"/>
          <w:szCs w:val="22"/>
          <w:lang w:eastAsia="lt-LT"/>
        </w:rPr>
        <w:t>PVC/PVDC/Al lizdinės plokštelės, kurių kiekvienoje 7 plėvele dengtos tabletės.</w:t>
      </w:r>
    </w:p>
    <w:p w14:paraId="184455EE" w14:textId="77777777" w:rsidR="00F00A02" w:rsidRDefault="0027659F">
      <w:pPr>
        <w:widowControl w:val="0"/>
        <w:jc w:val="both"/>
        <w:rPr>
          <w:sz w:val="22"/>
          <w:szCs w:val="22"/>
          <w:lang w:eastAsia="lt-LT"/>
        </w:rPr>
      </w:pPr>
      <w:r>
        <w:rPr>
          <w:sz w:val="22"/>
          <w:szCs w:val="22"/>
          <w:lang w:eastAsia="lt-LT"/>
        </w:rPr>
        <w:t>Kartono dėžutėje yra 28, 56 arba 84 plėvele dengtos tabletės.</w:t>
      </w:r>
    </w:p>
    <w:p w14:paraId="10A14CF4" w14:textId="77777777" w:rsidR="00F00A02" w:rsidRDefault="0027659F">
      <w:pPr>
        <w:widowControl w:val="0"/>
        <w:rPr>
          <w:sz w:val="22"/>
          <w:szCs w:val="22"/>
          <w:lang w:eastAsia="lt-LT"/>
        </w:rPr>
      </w:pPr>
      <w:r>
        <w:rPr>
          <w:sz w:val="22"/>
          <w:szCs w:val="22"/>
          <w:lang w:eastAsia="lt-LT"/>
        </w:rPr>
        <w:t>Gali būti tiekiamos ne visų dydžių pakuotės.</w:t>
      </w:r>
    </w:p>
    <w:p w14:paraId="1711D6AE" w14:textId="77777777" w:rsidR="00F00A02" w:rsidRDefault="00F00A02">
      <w:pPr>
        <w:widowControl w:val="0"/>
        <w:rPr>
          <w:sz w:val="22"/>
          <w:szCs w:val="22"/>
          <w:lang w:eastAsia="lt-LT"/>
        </w:rPr>
      </w:pPr>
    </w:p>
    <w:p w14:paraId="226580DE" w14:textId="77777777" w:rsidR="00F00A02" w:rsidRDefault="0027659F">
      <w:pPr>
        <w:widowControl w:val="0"/>
        <w:tabs>
          <w:tab w:val="left" w:pos="567"/>
        </w:tabs>
        <w:ind w:left="567" w:hanging="567"/>
        <w:outlineLvl w:val="2"/>
        <w:rPr>
          <w:b/>
          <w:kern w:val="28"/>
          <w:sz w:val="22"/>
          <w:szCs w:val="22"/>
        </w:rPr>
      </w:pPr>
      <w:bookmarkStart w:id="2" w:name="_Toc129243246"/>
      <w:bookmarkStart w:id="3" w:name="_Toc129243121"/>
      <w:r>
        <w:rPr>
          <w:b/>
          <w:kern w:val="28"/>
          <w:sz w:val="22"/>
          <w:szCs w:val="22"/>
        </w:rPr>
        <w:t>6.6</w:t>
      </w:r>
      <w:r>
        <w:rPr>
          <w:b/>
          <w:kern w:val="28"/>
          <w:sz w:val="22"/>
          <w:szCs w:val="22"/>
        </w:rPr>
        <w:tab/>
        <w:t>Specialūs reikalavimai atliekoms tvarkyti</w:t>
      </w:r>
      <w:bookmarkEnd w:id="2"/>
      <w:bookmarkEnd w:id="3"/>
    </w:p>
    <w:p w14:paraId="2B0D8C35" w14:textId="77777777" w:rsidR="00F00A02" w:rsidRDefault="00F00A02">
      <w:pPr>
        <w:widowControl w:val="0"/>
        <w:rPr>
          <w:sz w:val="22"/>
          <w:szCs w:val="22"/>
          <w:lang w:eastAsia="lt-LT"/>
        </w:rPr>
      </w:pPr>
    </w:p>
    <w:p w14:paraId="41C892A3" w14:textId="77777777" w:rsidR="00F00A02" w:rsidRDefault="0027659F">
      <w:pPr>
        <w:widowControl w:val="0"/>
        <w:rPr>
          <w:sz w:val="22"/>
          <w:szCs w:val="22"/>
          <w:lang w:eastAsia="lt-LT"/>
        </w:rPr>
      </w:pPr>
      <w:r>
        <w:rPr>
          <w:sz w:val="22"/>
          <w:szCs w:val="22"/>
          <w:lang w:eastAsia="lt-LT"/>
        </w:rPr>
        <w:t>Specialių reikalavimų nėra.</w:t>
      </w:r>
    </w:p>
    <w:p w14:paraId="46AE58B2" w14:textId="77777777" w:rsidR="00F00A02" w:rsidRDefault="00F00A02">
      <w:pPr>
        <w:widowControl w:val="0"/>
        <w:rPr>
          <w:sz w:val="22"/>
          <w:szCs w:val="22"/>
          <w:lang w:eastAsia="lt-LT"/>
        </w:rPr>
      </w:pPr>
    </w:p>
    <w:p w14:paraId="298D8A91" w14:textId="77777777" w:rsidR="00F00A02" w:rsidRDefault="00F00A02">
      <w:pPr>
        <w:widowControl w:val="0"/>
        <w:rPr>
          <w:sz w:val="22"/>
          <w:szCs w:val="22"/>
          <w:lang w:eastAsia="lt-LT"/>
        </w:rPr>
      </w:pPr>
    </w:p>
    <w:p w14:paraId="3609B7B7" w14:textId="77777777" w:rsidR="00F00A02" w:rsidRDefault="0027659F">
      <w:pPr>
        <w:widowControl w:val="0"/>
        <w:tabs>
          <w:tab w:val="left" w:pos="567"/>
        </w:tabs>
        <w:ind w:left="567" w:hanging="567"/>
        <w:outlineLvl w:val="1"/>
        <w:rPr>
          <w:sz w:val="22"/>
          <w:szCs w:val="22"/>
        </w:rPr>
      </w:pPr>
      <w:bookmarkStart w:id="4" w:name="_Toc129243247"/>
      <w:bookmarkStart w:id="5" w:name="_Toc129243122"/>
      <w:r>
        <w:rPr>
          <w:b/>
          <w:sz w:val="22"/>
          <w:szCs w:val="22"/>
          <w:lang w:val="sv-SE"/>
        </w:rPr>
        <w:t>7.</w:t>
      </w:r>
      <w:r>
        <w:rPr>
          <w:b/>
          <w:sz w:val="22"/>
          <w:szCs w:val="22"/>
          <w:lang w:val="sv-SE"/>
        </w:rPr>
        <w:tab/>
        <w:t>REGISTRUOTOJAS</w:t>
      </w:r>
    </w:p>
    <w:bookmarkEnd w:id="4"/>
    <w:bookmarkEnd w:id="5"/>
    <w:p w14:paraId="2DD9B58F" w14:textId="77777777" w:rsidR="00F00A02" w:rsidRDefault="00F00A02">
      <w:pPr>
        <w:widowControl w:val="0"/>
        <w:rPr>
          <w:sz w:val="22"/>
          <w:szCs w:val="22"/>
          <w:lang w:eastAsia="lt-LT"/>
        </w:rPr>
      </w:pPr>
    </w:p>
    <w:p w14:paraId="1416ECC5" w14:textId="77777777" w:rsidR="00F00A02" w:rsidRDefault="0027659F">
      <w:pPr>
        <w:widowControl w:val="0"/>
        <w:rPr>
          <w:sz w:val="22"/>
          <w:szCs w:val="22"/>
          <w:lang w:eastAsia="lt-LT"/>
        </w:rPr>
      </w:pPr>
      <w:r>
        <w:rPr>
          <w:sz w:val="22"/>
          <w:szCs w:val="22"/>
          <w:lang w:eastAsia="lt-LT"/>
        </w:rPr>
        <w:t>KRKA, d.d., Novo mesto, Šmarješka cesta 6, 8501 Novo mesto, Slovėnija.</w:t>
      </w:r>
    </w:p>
    <w:p w14:paraId="4E85EF6C" w14:textId="77777777" w:rsidR="00F00A02" w:rsidRDefault="00F00A02">
      <w:pPr>
        <w:widowControl w:val="0"/>
        <w:rPr>
          <w:sz w:val="22"/>
          <w:szCs w:val="22"/>
          <w:lang w:eastAsia="lt-LT"/>
        </w:rPr>
      </w:pPr>
    </w:p>
    <w:p w14:paraId="033EE25F" w14:textId="77777777" w:rsidR="00F00A02" w:rsidRDefault="00F00A02">
      <w:pPr>
        <w:widowControl w:val="0"/>
        <w:rPr>
          <w:sz w:val="22"/>
          <w:szCs w:val="22"/>
          <w:lang w:eastAsia="lt-LT"/>
        </w:rPr>
      </w:pPr>
    </w:p>
    <w:p w14:paraId="1E7F0BB7" w14:textId="77777777" w:rsidR="00F00A02" w:rsidRDefault="0027659F">
      <w:pPr>
        <w:widowControl w:val="0"/>
        <w:tabs>
          <w:tab w:val="left" w:pos="567"/>
        </w:tabs>
        <w:ind w:left="567" w:hanging="567"/>
        <w:outlineLvl w:val="1"/>
        <w:rPr>
          <w:b/>
          <w:sz w:val="22"/>
          <w:szCs w:val="22"/>
          <w:lang w:val="sv-SE"/>
        </w:rPr>
      </w:pPr>
      <w:bookmarkStart w:id="6" w:name="_Toc129243248"/>
      <w:bookmarkStart w:id="7" w:name="_Toc129243123"/>
      <w:r>
        <w:rPr>
          <w:b/>
          <w:sz w:val="22"/>
          <w:szCs w:val="22"/>
          <w:lang w:val="sv-SE"/>
        </w:rPr>
        <w:t>8.</w:t>
      </w:r>
      <w:r>
        <w:rPr>
          <w:b/>
          <w:sz w:val="22"/>
          <w:szCs w:val="22"/>
          <w:lang w:val="sv-SE"/>
        </w:rPr>
        <w:tab/>
        <w:t xml:space="preserve">REGISTRACIJOS </w:t>
      </w:r>
      <w:r>
        <w:rPr>
          <w:b/>
          <w:sz w:val="22"/>
          <w:szCs w:val="22"/>
        </w:rPr>
        <w:t xml:space="preserve">PAŽYMĖJIMO </w:t>
      </w:r>
      <w:r>
        <w:rPr>
          <w:b/>
          <w:sz w:val="22"/>
          <w:szCs w:val="22"/>
          <w:lang w:val="sv-SE"/>
        </w:rPr>
        <w:t>NUMERIS</w:t>
      </w:r>
      <w:bookmarkEnd w:id="6"/>
      <w:bookmarkEnd w:id="7"/>
      <w:r>
        <w:rPr>
          <w:b/>
          <w:sz w:val="22"/>
          <w:szCs w:val="22"/>
          <w:lang w:val="sv-SE"/>
        </w:rPr>
        <w:t xml:space="preserve"> (-IAI)</w:t>
      </w:r>
    </w:p>
    <w:p w14:paraId="0AF11D9D" w14:textId="77777777" w:rsidR="00F00A02" w:rsidRDefault="00F00A02">
      <w:pPr>
        <w:widowControl w:val="0"/>
        <w:rPr>
          <w:sz w:val="22"/>
          <w:szCs w:val="22"/>
          <w:lang w:eastAsia="lt-LT"/>
        </w:rPr>
      </w:pPr>
    </w:p>
    <w:p w14:paraId="5F09C801" w14:textId="77777777" w:rsidR="00F00A02" w:rsidRDefault="0027659F">
      <w:pPr>
        <w:widowControl w:val="0"/>
        <w:rPr>
          <w:bCs/>
          <w:sz w:val="22"/>
          <w:szCs w:val="22"/>
          <w:lang w:eastAsia="lt-LT"/>
        </w:rPr>
      </w:pPr>
      <w:r>
        <w:rPr>
          <w:bCs/>
          <w:sz w:val="22"/>
          <w:szCs w:val="22"/>
          <w:lang w:eastAsia="lt-LT"/>
        </w:rPr>
        <w:t>LT/1/01/2983/001 – N28</w:t>
      </w:r>
    </w:p>
    <w:p w14:paraId="154AC281" w14:textId="77777777" w:rsidR="00F00A02" w:rsidRDefault="0027659F">
      <w:pPr>
        <w:widowControl w:val="0"/>
        <w:rPr>
          <w:bCs/>
          <w:sz w:val="22"/>
          <w:szCs w:val="22"/>
          <w:lang w:eastAsia="lt-LT"/>
        </w:rPr>
      </w:pPr>
      <w:r>
        <w:rPr>
          <w:bCs/>
          <w:sz w:val="22"/>
          <w:szCs w:val="22"/>
          <w:lang w:eastAsia="lt-LT"/>
        </w:rPr>
        <w:t>LT/1/01/2983/002 – N56</w:t>
      </w:r>
    </w:p>
    <w:p w14:paraId="7014972B" w14:textId="77777777" w:rsidR="00F00A02" w:rsidRDefault="0027659F">
      <w:pPr>
        <w:widowControl w:val="0"/>
        <w:rPr>
          <w:bCs/>
          <w:sz w:val="22"/>
          <w:szCs w:val="22"/>
          <w:lang w:eastAsia="lt-LT"/>
        </w:rPr>
      </w:pPr>
      <w:r>
        <w:rPr>
          <w:bCs/>
          <w:sz w:val="22"/>
          <w:szCs w:val="22"/>
          <w:lang w:eastAsia="lt-LT"/>
        </w:rPr>
        <w:t>LT/1/01/2983/003 – N84</w:t>
      </w:r>
    </w:p>
    <w:p w14:paraId="60F83153" w14:textId="77777777" w:rsidR="00F00A02" w:rsidRDefault="00F00A02">
      <w:pPr>
        <w:widowControl w:val="0"/>
        <w:rPr>
          <w:sz w:val="22"/>
          <w:szCs w:val="22"/>
          <w:lang w:eastAsia="lt-LT"/>
        </w:rPr>
      </w:pPr>
    </w:p>
    <w:p w14:paraId="2C891BCA" w14:textId="77777777" w:rsidR="00F00A02" w:rsidRDefault="00F00A02">
      <w:pPr>
        <w:widowControl w:val="0"/>
        <w:rPr>
          <w:sz w:val="22"/>
          <w:szCs w:val="22"/>
          <w:lang w:eastAsia="lt-LT"/>
        </w:rPr>
      </w:pPr>
    </w:p>
    <w:p w14:paraId="22FBD7AC" w14:textId="77777777" w:rsidR="00F00A02" w:rsidRDefault="0027659F">
      <w:pPr>
        <w:widowControl w:val="0"/>
        <w:tabs>
          <w:tab w:val="left" w:pos="567"/>
        </w:tabs>
        <w:ind w:left="567" w:hanging="567"/>
        <w:outlineLvl w:val="1"/>
        <w:rPr>
          <w:b/>
          <w:sz w:val="22"/>
          <w:szCs w:val="22"/>
          <w:lang w:val="sv-SE"/>
        </w:rPr>
      </w:pPr>
      <w:bookmarkStart w:id="8" w:name="_Toc129243249"/>
      <w:bookmarkStart w:id="9" w:name="_Toc129243124"/>
      <w:r>
        <w:rPr>
          <w:b/>
          <w:sz w:val="22"/>
          <w:szCs w:val="22"/>
          <w:lang w:val="sv-SE"/>
        </w:rPr>
        <w:t>9.</w:t>
      </w:r>
      <w:r>
        <w:rPr>
          <w:b/>
          <w:sz w:val="22"/>
          <w:szCs w:val="22"/>
          <w:lang w:val="sv-SE"/>
        </w:rPr>
        <w:tab/>
        <w:t>REGISTRAVIMO / PERREGISTRAVIMO DATA</w:t>
      </w:r>
      <w:bookmarkEnd w:id="8"/>
      <w:bookmarkEnd w:id="9"/>
    </w:p>
    <w:p w14:paraId="328D994F" w14:textId="77777777" w:rsidR="00F00A02" w:rsidRDefault="00F00A02">
      <w:pPr>
        <w:widowControl w:val="0"/>
        <w:rPr>
          <w:sz w:val="22"/>
          <w:szCs w:val="22"/>
          <w:lang w:eastAsia="lt-LT"/>
        </w:rPr>
      </w:pPr>
    </w:p>
    <w:p w14:paraId="7D3F2B89" w14:textId="32099F73" w:rsidR="00F00A02" w:rsidRDefault="0027659F">
      <w:pPr>
        <w:widowControl w:val="0"/>
        <w:rPr>
          <w:sz w:val="22"/>
          <w:szCs w:val="22"/>
          <w:lang w:eastAsia="lt-LT"/>
        </w:rPr>
      </w:pPr>
      <w:r>
        <w:rPr>
          <w:noProof/>
          <w:snapToGrid w:val="0"/>
          <w:sz w:val="22"/>
          <w:szCs w:val="22"/>
        </w:rPr>
        <w:t xml:space="preserve">Registravimo data </w:t>
      </w:r>
      <w:r>
        <w:rPr>
          <w:sz w:val="22"/>
          <w:szCs w:val="22"/>
          <w:lang w:eastAsia="lt-LT"/>
        </w:rPr>
        <w:t>2001 m. spalio 8 d.</w:t>
      </w:r>
    </w:p>
    <w:p w14:paraId="7B761DAD" w14:textId="3636D4F2" w:rsidR="00F00A02" w:rsidRDefault="0027659F">
      <w:pPr>
        <w:widowControl w:val="0"/>
        <w:rPr>
          <w:sz w:val="22"/>
          <w:szCs w:val="22"/>
          <w:lang w:eastAsia="lt-LT"/>
        </w:rPr>
      </w:pPr>
      <w:r>
        <w:rPr>
          <w:noProof/>
          <w:snapToGrid w:val="0"/>
          <w:sz w:val="22"/>
          <w:szCs w:val="22"/>
        </w:rPr>
        <w:t xml:space="preserve">Paskutinio perregistravimo data </w:t>
      </w:r>
      <w:r>
        <w:rPr>
          <w:sz w:val="22"/>
          <w:szCs w:val="22"/>
          <w:lang w:eastAsia="lt-LT"/>
        </w:rPr>
        <w:t>2012 m. birželio 15 d.</w:t>
      </w:r>
    </w:p>
    <w:p w14:paraId="7D5D803D" w14:textId="77777777" w:rsidR="00F00A02" w:rsidRDefault="00F00A02">
      <w:pPr>
        <w:widowControl w:val="0"/>
        <w:rPr>
          <w:sz w:val="22"/>
          <w:szCs w:val="22"/>
          <w:lang w:eastAsia="lt-LT"/>
        </w:rPr>
      </w:pPr>
    </w:p>
    <w:p w14:paraId="070D90E3" w14:textId="77777777" w:rsidR="00F00A02" w:rsidRDefault="00F00A02">
      <w:pPr>
        <w:widowControl w:val="0"/>
        <w:rPr>
          <w:sz w:val="22"/>
          <w:szCs w:val="22"/>
          <w:lang w:eastAsia="lt-LT"/>
        </w:rPr>
      </w:pPr>
    </w:p>
    <w:p w14:paraId="2E7BF728" w14:textId="77777777" w:rsidR="00F00A02" w:rsidRDefault="0027659F">
      <w:pPr>
        <w:widowControl w:val="0"/>
        <w:ind w:left="567" w:hanging="567"/>
        <w:outlineLvl w:val="1"/>
        <w:rPr>
          <w:b/>
          <w:sz w:val="22"/>
          <w:szCs w:val="22"/>
          <w:lang w:val="sv-SE" w:eastAsia="lt-LT"/>
        </w:rPr>
      </w:pPr>
      <w:r>
        <w:rPr>
          <w:b/>
          <w:sz w:val="22"/>
          <w:szCs w:val="22"/>
          <w:lang w:val="sv-SE" w:eastAsia="lt-LT"/>
        </w:rPr>
        <w:t>10.</w:t>
      </w:r>
      <w:r>
        <w:rPr>
          <w:b/>
          <w:sz w:val="22"/>
          <w:szCs w:val="22"/>
          <w:lang w:val="sv-SE" w:eastAsia="lt-LT"/>
        </w:rPr>
        <w:tab/>
        <w:t>TEKSTO PERŽIŪROS DATA</w:t>
      </w:r>
    </w:p>
    <w:p w14:paraId="64C59731" w14:textId="77777777" w:rsidR="00F00A02" w:rsidRDefault="00F00A02">
      <w:pPr>
        <w:widowControl w:val="0"/>
        <w:rPr>
          <w:sz w:val="22"/>
          <w:szCs w:val="22"/>
          <w:lang w:eastAsia="lt-LT"/>
        </w:rPr>
      </w:pPr>
    </w:p>
    <w:p w14:paraId="0B460E97" w14:textId="70941D68" w:rsidR="00F00A02" w:rsidRDefault="0027659F">
      <w:pPr>
        <w:widowControl w:val="0"/>
        <w:rPr>
          <w:sz w:val="22"/>
          <w:szCs w:val="22"/>
          <w:lang w:eastAsia="lt-LT"/>
        </w:rPr>
      </w:pPr>
      <w:r>
        <w:rPr>
          <w:sz w:val="22"/>
          <w:szCs w:val="22"/>
        </w:rPr>
        <w:t>202</w:t>
      </w:r>
      <w:r w:rsidR="00F87CD8">
        <w:rPr>
          <w:sz w:val="22"/>
          <w:szCs w:val="22"/>
        </w:rPr>
        <w:t>6</w:t>
      </w:r>
      <w:r>
        <w:rPr>
          <w:sz w:val="22"/>
          <w:szCs w:val="22"/>
        </w:rPr>
        <w:t> m baland</w:t>
      </w:r>
      <w:proofErr w:type="spellStart"/>
      <w:r>
        <w:rPr>
          <w:sz w:val="22"/>
          <w:szCs w:val="22"/>
          <w:lang w:val="lt-LT"/>
        </w:rPr>
        <w:t>žio</w:t>
      </w:r>
      <w:proofErr w:type="spellEnd"/>
      <w:r>
        <w:rPr>
          <w:sz w:val="22"/>
          <w:szCs w:val="22"/>
          <w:lang w:val="lt-LT"/>
        </w:rPr>
        <w:t xml:space="preserve"> 24 d</w:t>
      </w:r>
      <w:r>
        <w:rPr>
          <w:sz w:val="22"/>
          <w:szCs w:val="22"/>
        </w:rPr>
        <w:t>.</w:t>
      </w:r>
    </w:p>
    <w:p w14:paraId="19AA7DE4" w14:textId="77777777" w:rsidR="00F00A02" w:rsidRDefault="00F00A02">
      <w:pPr>
        <w:widowControl w:val="0"/>
        <w:rPr>
          <w:sz w:val="22"/>
          <w:szCs w:val="22"/>
          <w:lang w:eastAsia="lt-LT"/>
        </w:rPr>
      </w:pPr>
    </w:p>
    <w:p w14:paraId="3CAC4ECC" w14:textId="77777777" w:rsidR="00F00A02" w:rsidRDefault="0027659F">
      <w:pPr>
        <w:widowControl w:val="0"/>
        <w:rPr>
          <w:color w:val="0000FF"/>
          <w:sz w:val="22"/>
          <w:szCs w:val="22"/>
        </w:rPr>
      </w:pPr>
      <w:r>
        <w:rPr>
          <w:noProof/>
          <w:snapToGrid w:val="0"/>
          <w:sz w:val="22"/>
          <w:szCs w:val="22"/>
        </w:rPr>
        <w:t>Išsami informacija apie šį vaistinį preparatą pateikiama Valstybinės vaistų kontrolės tarnybos prie Lietuvos Respublikos sveikatos apsaugos ministerijos tinklalapyje</w:t>
      </w:r>
      <w:r>
        <w:rPr>
          <w:sz w:val="22"/>
          <w:szCs w:val="22"/>
        </w:rPr>
        <w:t xml:space="preserve"> </w:t>
      </w:r>
      <w:r>
        <w:rPr>
          <w:color w:val="0000EE"/>
          <w:sz w:val="22"/>
          <w:szCs w:val="22"/>
          <w:u w:val="single"/>
          <w:lang w:eastAsia="lt-LT"/>
        </w:rPr>
        <w:t>https://vvkt.lrv.lt/lt/</w:t>
      </w:r>
      <w:r>
        <w:rPr>
          <w:sz w:val="22"/>
          <w:szCs w:val="22"/>
          <w:lang w:eastAsia="lt-LT"/>
        </w:rPr>
        <w:t>.</w:t>
      </w:r>
    </w:p>
    <w:p w14:paraId="3957C013" w14:textId="77777777" w:rsidR="00F00A02" w:rsidRDefault="0027659F">
      <w:pPr>
        <w:widowControl w:val="0"/>
        <w:rPr>
          <w:sz w:val="22"/>
          <w:szCs w:val="22"/>
        </w:rPr>
      </w:pPr>
      <w:r>
        <w:rPr>
          <w:sz w:val="22"/>
          <w:szCs w:val="22"/>
        </w:rPr>
        <w:br w:type="page"/>
      </w:r>
    </w:p>
    <w:p w14:paraId="76707C2E" w14:textId="77777777" w:rsidR="00F00A02" w:rsidRDefault="00F00A02">
      <w:pPr>
        <w:widowControl w:val="0"/>
        <w:rPr>
          <w:sz w:val="22"/>
          <w:szCs w:val="22"/>
          <w:lang w:eastAsia="lt-LT"/>
        </w:rPr>
      </w:pPr>
    </w:p>
    <w:p w14:paraId="5458E466" w14:textId="77777777" w:rsidR="00F00A02" w:rsidRDefault="00F00A02">
      <w:pPr>
        <w:widowControl w:val="0"/>
        <w:rPr>
          <w:sz w:val="22"/>
          <w:szCs w:val="22"/>
          <w:lang w:eastAsia="lt-LT"/>
        </w:rPr>
      </w:pPr>
    </w:p>
    <w:p w14:paraId="713F0846" w14:textId="77777777" w:rsidR="00F00A02" w:rsidRDefault="00F00A02">
      <w:pPr>
        <w:widowControl w:val="0"/>
        <w:rPr>
          <w:sz w:val="22"/>
          <w:szCs w:val="22"/>
          <w:lang w:eastAsia="lt-LT"/>
        </w:rPr>
      </w:pPr>
    </w:p>
    <w:p w14:paraId="1A2D62DD" w14:textId="77777777" w:rsidR="00F00A02" w:rsidRDefault="00F00A02">
      <w:pPr>
        <w:widowControl w:val="0"/>
        <w:rPr>
          <w:sz w:val="22"/>
          <w:szCs w:val="22"/>
          <w:lang w:eastAsia="lt-LT"/>
        </w:rPr>
      </w:pPr>
    </w:p>
    <w:p w14:paraId="5A366E75" w14:textId="77777777" w:rsidR="00F00A02" w:rsidRDefault="00F00A02">
      <w:pPr>
        <w:widowControl w:val="0"/>
        <w:rPr>
          <w:sz w:val="22"/>
          <w:szCs w:val="22"/>
          <w:lang w:eastAsia="lt-LT"/>
        </w:rPr>
      </w:pPr>
    </w:p>
    <w:p w14:paraId="753864DA" w14:textId="77777777" w:rsidR="00F00A02" w:rsidRDefault="00F00A02">
      <w:pPr>
        <w:widowControl w:val="0"/>
        <w:rPr>
          <w:sz w:val="22"/>
          <w:szCs w:val="22"/>
          <w:lang w:eastAsia="lt-LT"/>
        </w:rPr>
      </w:pPr>
    </w:p>
    <w:p w14:paraId="0F82040C" w14:textId="77777777" w:rsidR="00F00A02" w:rsidRDefault="00F00A02">
      <w:pPr>
        <w:widowControl w:val="0"/>
        <w:rPr>
          <w:sz w:val="22"/>
          <w:szCs w:val="22"/>
          <w:lang w:eastAsia="lt-LT"/>
        </w:rPr>
      </w:pPr>
    </w:p>
    <w:p w14:paraId="09E1F5C9" w14:textId="77777777" w:rsidR="00F00A02" w:rsidRDefault="00F00A02">
      <w:pPr>
        <w:widowControl w:val="0"/>
        <w:rPr>
          <w:sz w:val="22"/>
          <w:szCs w:val="22"/>
          <w:lang w:eastAsia="lt-LT"/>
        </w:rPr>
      </w:pPr>
    </w:p>
    <w:p w14:paraId="3C9EE70D" w14:textId="77777777" w:rsidR="00F00A02" w:rsidRDefault="00F00A02">
      <w:pPr>
        <w:widowControl w:val="0"/>
        <w:rPr>
          <w:sz w:val="22"/>
          <w:szCs w:val="22"/>
          <w:lang w:eastAsia="lt-LT"/>
        </w:rPr>
      </w:pPr>
    </w:p>
    <w:p w14:paraId="3712BF0E" w14:textId="77777777" w:rsidR="00F00A02" w:rsidRDefault="00F00A02">
      <w:pPr>
        <w:widowControl w:val="0"/>
        <w:rPr>
          <w:sz w:val="22"/>
          <w:szCs w:val="22"/>
          <w:lang w:eastAsia="lt-LT"/>
        </w:rPr>
      </w:pPr>
    </w:p>
    <w:p w14:paraId="6538540D" w14:textId="77777777" w:rsidR="00F00A02" w:rsidRDefault="00F00A02">
      <w:pPr>
        <w:widowControl w:val="0"/>
        <w:rPr>
          <w:sz w:val="22"/>
          <w:szCs w:val="22"/>
          <w:lang w:eastAsia="lt-LT"/>
        </w:rPr>
      </w:pPr>
    </w:p>
    <w:p w14:paraId="3CFD5A01" w14:textId="77777777" w:rsidR="00F00A02" w:rsidRDefault="00F00A02">
      <w:pPr>
        <w:widowControl w:val="0"/>
        <w:rPr>
          <w:sz w:val="22"/>
          <w:szCs w:val="22"/>
          <w:lang w:eastAsia="lt-LT"/>
        </w:rPr>
      </w:pPr>
    </w:p>
    <w:p w14:paraId="5E72A5B0" w14:textId="77777777" w:rsidR="00F00A02" w:rsidRDefault="00F00A02">
      <w:pPr>
        <w:widowControl w:val="0"/>
        <w:rPr>
          <w:sz w:val="22"/>
          <w:szCs w:val="22"/>
          <w:lang w:eastAsia="lt-LT"/>
        </w:rPr>
      </w:pPr>
    </w:p>
    <w:p w14:paraId="6F4B3C28" w14:textId="77777777" w:rsidR="00F00A02" w:rsidRDefault="00F00A02">
      <w:pPr>
        <w:widowControl w:val="0"/>
        <w:rPr>
          <w:sz w:val="22"/>
          <w:szCs w:val="22"/>
          <w:lang w:eastAsia="lt-LT"/>
        </w:rPr>
      </w:pPr>
    </w:p>
    <w:p w14:paraId="344FC7F6" w14:textId="77777777" w:rsidR="00F00A02" w:rsidRDefault="00F00A02">
      <w:pPr>
        <w:widowControl w:val="0"/>
        <w:rPr>
          <w:sz w:val="22"/>
          <w:szCs w:val="22"/>
          <w:lang w:eastAsia="lt-LT"/>
        </w:rPr>
      </w:pPr>
    </w:p>
    <w:p w14:paraId="73B704E7" w14:textId="77777777" w:rsidR="00F00A02" w:rsidRDefault="00F00A02">
      <w:pPr>
        <w:widowControl w:val="0"/>
        <w:rPr>
          <w:sz w:val="22"/>
          <w:szCs w:val="22"/>
          <w:lang w:eastAsia="lt-LT"/>
        </w:rPr>
      </w:pPr>
    </w:p>
    <w:p w14:paraId="4F43F845" w14:textId="77777777" w:rsidR="00F00A02" w:rsidRDefault="00F00A02">
      <w:pPr>
        <w:widowControl w:val="0"/>
        <w:rPr>
          <w:sz w:val="22"/>
          <w:szCs w:val="22"/>
          <w:lang w:eastAsia="lt-LT"/>
        </w:rPr>
      </w:pPr>
    </w:p>
    <w:p w14:paraId="7D984DB3" w14:textId="77777777" w:rsidR="00F00A02" w:rsidRDefault="00F00A02">
      <w:pPr>
        <w:widowControl w:val="0"/>
        <w:rPr>
          <w:sz w:val="22"/>
          <w:szCs w:val="22"/>
          <w:lang w:eastAsia="lt-LT"/>
        </w:rPr>
      </w:pPr>
    </w:p>
    <w:p w14:paraId="56E9B5AD" w14:textId="77777777" w:rsidR="00F00A02" w:rsidRDefault="00F00A02">
      <w:pPr>
        <w:widowControl w:val="0"/>
        <w:rPr>
          <w:sz w:val="22"/>
          <w:szCs w:val="22"/>
          <w:lang w:eastAsia="lt-LT"/>
        </w:rPr>
      </w:pPr>
    </w:p>
    <w:p w14:paraId="5EEB8C2E" w14:textId="77777777" w:rsidR="00F00A02" w:rsidRDefault="00F00A02">
      <w:pPr>
        <w:widowControl w:val="0"/>
        <w:rPr>
          <w:sz w:val="22"/>
          <w:szCs w:val="22"/>
          <w:lang w:eastAsia="lt-LT"/>
        </w:rPr>
      </w:pPr>
    </w:p>
    <w:p w14:paraId="0D6DB4DA" w14:textId="77777777" w:rsidR="00F00A02" w:rsidRDefault="00F00A02">
      <w:pPr>
        <w:widowControl w:val="0"/>
        <w:rPr>
          <w:sz w:val="22"/>
          <w:szCs w:val="22"/>
          <w:lang w:eastAsia="lt-LT"/>
        </w:rPr>
      </w:pPr>
    </w:p>
    <w:p w14:paraId="44BFD780" w14:textId="77777777" w:rsidR="00F00A02" w:rsidRDefault="00F00A02">
      <w:pPr>
        <w:widowControl w:val="0"/>
        <w:rPr>
          <w:sz w:val="22"/>
          <w:szCs w:val="22"/>
          <w:lang w:eastAsia="lt-LT"/>
        </w:rPr>
      </w:pPr>
    </w:p>
    <w:p w14:paraId="0EBB2E35" w14:textId="77777777" w:rsidR="00F00A02" w:rsidRDefault="00F00A02">
      <w:pPr>
        <w:widowControl w:val="0"/>
        <w:jc w:val="center"/>
        <w:outlineLvl w:val="0"/>
        <w:rPr>
          <w:b/>
          <w:kern w:val="28"/>
          <w:sz w:val="22"/>
          <w:szCs w:val="22"/>
        </w:rPr>
      </w:pPr>
    </w:p>
    <w:p w14:paraId="3DE85F87" w14:textId="77777777" w:rsidR="00F00A02" w:rsidRDefault="0027659F">
      <w:pPr>
        <w:widowControl w:val="0"/>
        <w:jc w:val="center"/>
        <w:outlineLvl w:val="0"/>
        <w:rPr>
          <w:b/>
          <w:bCs/>
          <w:kern w:val="28"/>
          <w:sz w:val="22"/>
          <w:szCs w:val="22"/>
          <w:lang w:eastAsia="lt-LT"/>
        </w:rPr>
      </w:pPr>
      <w:r>
        <w:rPr>
          <w:b/>
          <w:bCs/>
          <w:kern w:val="28"/>
          <w:sz w:val="22"/>
          <w:szCs w:val="22"/>
          <w:lang w:eastAsia="lt-LT"/>
        </w:rPr>
        <w:t>II PRIEDAS</w:t>
      </w:r>
    </w:p>
    <w:p w14:paraId="16A58155" w14:textId="77777777" w:rsidR="00F00A02" w:rsidRDefault="00F00A02">
      <w:pPr>
        <w:widowControl w:val="0"/>
        <w:tabs>
          <w:tab w:val="left" w:pos="567"/>
        </w:tabs>
        <w:ind w:left="567" w:hanging="567"/>
        <w:jc w:val="center"/>
        <w:outlineLvl w:val="0"/>
        <w:rPr>
          <w:b/>
          <w:caps/>
          <w:sz w:val="22"/>
          <w:szCs w:val="22"/>
        </w:rPr>
      </w:pPr>
    </w:p>
    <w:p w14:paraId="665F51B3" w14:textId="77777777" w:rsidR="00F00A02" w:rsidRDefault="0027659F">
      <w:pPr>
        <w:widowControl w:val="0"/>
        <w:tabs>
          <w:tab w:val="left" w:pos="567"/>
        </w:tabs>
        <w:ind w:left="567" w:hanging="567"/>
        <w:jc w:val="center"/>
        <w:outlineLvl w:val="0"/>
        <w:rPr>
          <w:b/>
          <w:caps/>
          <w:sz w:val="22"/>
          <w:szCs w:val="22"/>
        </w:rPr>
      </w:pPr>
      <w:r>
        <w:rPr>
          <w:b/>
          <w:caps/>
          <w:sz w:val="22"/>
          <w:szCs w:val="22"/>
        </w:rPr>
        <w:t>REGISTRACIJOS SĄLYGOS</w:t>
      </w:r>
    </w:p>
    <w:p w14:paraId="71CE263A" w14:textId="77777777" w:rsidR="00F00A02" w:rsidRDefault="00F00A02">
      <w:pPr>
        <w:widowControl w:val="0"/>
        <w:rPr>
          <w:sz w:val="22"/>
          <w:szCs w:val="22"/>
          <w:lang w:eastAsia="lt-LT"/>
        </w:rPr>
      </w:pPr>
    </w:p>
    <w:p w14:paraId="0C9D75FC" w14:textId="77777777" w:rsidR="00F00A02" w:rsidRDefault="0027659F">
      <w:pPr>
        <w:widowControl w:val="0"/>
        <w:ind w:left="1701" w:hanging="567"/>
        <w:outlineLvl w:val="0"/>
        <w:rPr>
          <w:b/>
          <w:bCs/>
          <w:kern w:val="32"/>
          <w:sz w:val="22"/>
          <w:szCs w:val="22"/>
          <w:lang w:eastAsia="lt-LT"/>
        </w:rPr>
      </w:pPr>
      <w:r>
        <w:rPr>
          <w:b/>
          <w:bCs/>
          <w:kern w:val="32"/>
          <w:sz w:val="22"/>
          <w:szCs w:val="22"/>
          <w:lang w:eastAsia="lt-LT"/>
        </w:rPr>
        <w:t>A.</w:t>
      </w:r>
      <w:r>
        <w:rPr>
          <w:b/>
          <w:bCs/>
          <w:kern w:val="32"/>
          <w:sz w:val="22"/>
          <w:szCs w:val="22"/>
          <w:lang w:eastAsia="lt-LT"/>
        </w:rPr>
        <w:tab/>
      </w:r>
      <w:r>
        <w:rPr>
          <w:b/>
          <w:snapToGrid w:val="0"/>
          <w:sz w:val="22"/>
          <w:szCs w:val="22"/>
        </w:rPr>
        <w:t>GAMINTOJAS</w:t>
      </w:r>
      <w:r>
        <w:rPr>
          <w:b/>
          <w:bCs/>
          <w:kern w:val="32"/>
          <w:sz w:val="22"/>
          <w:szCs w:val="22"/>
          <w:lang w:eastAsia="lt-LT"/>
        </w:rPr>
        <w:t>, ATSAKINGAS UŽ SERIJŲ IŠLEIDIMĄ</w:t>
      </w:r>
    </w:p>
    <w:p w14:paraId="0FC40237" w14:textId="77777777" w:rsidR="00F00A02" w:rsidRDefault="00F00A02">
      <w:pPr>
        <w:widowControl w:val="0"/>
        <w:ind w:left="1701" w:hanging="567"/>
        <w:rPr>
          <w:sz w:val="22"/>
          <w:szCs w:val="22"/>
          <w:lang w:eastAsia="lt-LT"/>
        </w:rPr>
      </w:pPr>
    </w:p>
    <w:p w14:paraId="6D95BE43" w14:textId="77777777" w:rsidR="00F00A02" w:rsidRDefault="0027659F">
      <w:pPr>
        <w:widowControl w:val="0"/>
        <w:ind w:left="1701" w:hanging="567"/>
        <w:outlineLvl w:val="0"/>
        <w:rPr>
          <w:b/>
          <w:bCs/>
          <w:kern w:val="32"/>
          <w:sz w:val="22"/>
          <w:szCs w:val="22"/>
          <w:lang w:eastAsia="lt-LT"/>
        </w:rPr>
      </w:pPr>
      <w:r>
        <w:rPr>
          <w:b/>
          <w:bCs/>
          <w:kern w:val="32"/>
          <w:sz w:val="22"/>
          <w:szCs w:val="22"/>
          <w:lang w:eastAsia="lt-LT"/>
        </w:rPr>
        <w:t>B.</w:t>
      </w:r>
      <w:r>
        <w:rPr>
          <w:b/>
          <w:bCs/>
          <w:kern w:val="32"/>
          <w:sz w:val="22"/>
          <w:szCs w:val="22"/>
          <w:lang w:eastAsia="lt-LT"/>
        </w:rPr>
        <w:tab/>
        <w:t xml:space="preserve"> TIEKIMO IR VARTOJIMO SĄLYGOS AR APRIBOJIMAI</w:t>
      </w:r>
    </w:p>
    <w:p w14:paraId="24B0F8B8" w14:textId="77777777" w:rsidR="00F00A02" w:rsidRDefault="00F00A02">
      <w:pPr>
        <w:widowControl w:val="0"/>
        <w:rPr>
          <w:sz w:val="22"/>
          <w:szCs w:val="22"/>
          <w:lang w:eastAsia="lt-LT"/>
        </w:rPr>
      </w:pPr>
    </w:p>
    <w:p w14:paraId="34425F5F" w14:textId="77777777" w:rsidR="00F00A02" w:rsidRDefault="0027659F">
      <w:pPr>
        <w:widowControl w:val="0"/>
        <w:tabs>
          <w:tab w:val="left" w:pos="567"/>
        </w:tabs>
        <w:ind w:left="567" w:hanging="567"/>
        <w:outlineLvl w:val="1"/>
        <w:rPr>
          <w:b/>
          <w:sz w:val="22"/>
          <w:szCs w:val="22"/>
          <w:lang w:val="sv-SE"/>
        </w:rPr>
      </w:pPr>
      <w:r>
        <w:rPr>
          <w:sz w:val="22"/>
          <w:szCs w:val="22"/>
          <w:lang w:val="sv-SE"/>
        </w:rPr>
        <w:br w:type="page"/>
      </w:r>
      <w:r>
        <w:rPr>
          <w:b/>
          <w:sz w:val="22"/>
          <w:szCs w:val="22"/>
          <w:lang w:val="sv-SE"/>
        </w:rPr>
        <w:lastRenderedPageBreak/>
        <w:t>A.</w:t>
      </w:r>
      <w:r>
        <w:rPr>
          <w:b/>
          <w:sz w:val="22"/>
          <w:szCs w:val="22"/>
          <w:lang w:val="sv-SE"/>
        </w:rPr>
        <w:tab/>
        <w:t xml:space="preserve"> </w:t>
      </w:r>
      <w:r>
        <w:rPr>
          <w:b/>
          <w:sz w:val="22"/>
          <w:szCs w:val="22"/>
        </w:rPr>
        <w:t xml:space="preserve">GAMINTOJAS </w:t>
      </w:r>
      <w:r>
        <w:rPr>
          <w:b/>
          <w:sz w:val="22"/>
          <w:szCs w:val="22"/>
          <w:lang w:val="sv-SE"/>
        </w:rPr>
        <w:t>(-AI), ATSAKINGAS (-I) UŽ SERIJŲ IŠLEIDIMĄ</w:t>
      </w:r>
    </w:p>
    <w:p w14:paraId="71517FA6" w14:textId="77777777" w:rsidR="00F00A02" w:rsidRDefault="00F00A02">
      <w:pPr>
        <w:widowControl w:val="0"/>
        <w:rPr>
          <w:sz w:val="22"/>
          <w:szCs w:val="22"/>
          <w:highlight w:val="yellow"/>
        </w:rPr>
      </w:pPr>
    </w:p>
    <w:p w14:paraId="5E9AEFB9" w14:textId="77777777" w:rsidR="00F00A02" w:rsidRDefault="0027659F">
      <w:pPr>
        <w:widowControl w:val="0"/>
        <w:tabs>
          <w:tab w:val="left" w:pos="567"/>
        </w:tabs>
        <w:rPr>
          <w:noProof/>
          <w:sz w:val="22"/>
          <w:szCs w:val="22"/>
          <w:u w:val="single"/>
        </w:rPr>
      </w:pPr>
      <w:r>
        <w:rPr>
          <w:noProof/>
          <w:sz w:val="22"/>
          <w:szCs w:val="22"/>
          <w:u w:val="single"/>
        </w:rPr>
        <w:t>Gamintojo (-ų), atsakingo (-ų) už serijų išleidimą, pavadinimas (-ai) ir adresas (-ai)</w:t>
      </w:r>
    </w:p>
    <w:p w14:paraId="78EB861D" w14:textId="77777777" w:rsidR="00F00A02" w:rsidRDefault="00F00A02">
      <w:pPr>
        <w:widowControl w:val="0"/>
        <w:rPr>
          <w:sz w:val="22"/>
          <w:szCs w:val="22"/>
        </w:rPr>
      </w:pPr>
    </w:p>
    <w:p w14:paraId="7E84F4AD" w14:textId="77777777" w:rsidR="00F00A02" w:rsidRDefault="0027659F">
      <w:pPr>
        <w:widowControl w:val="0"/>
        <w:rPr>
          <w:sz w:val="22"/>
          <w:szCs w:val="22"/>
          <w:lang w:eastAsia="lt-LT"/>
        </w:rPr>
      </w:pPr>
      <w:r>
        <w:rPr>
          <w:sz w:val="22"/>
          <w:szCs w:val="22"/>
          <w:lang w:eastAsia="lt-LT"/>
        </w:rPr>
        <w:t>KRKA, d.d.</w:t>
      </w:r>
    </w:p>
    <w:p w14:paraId="4DAB91A6" w14:textId="77777777" w:rsidR="00F00A02" w:rsidRDefault="0027659F">
      <w:pPr>
        <w:widowControl w:val="0"/>
        <w:rPr>
          <w:sz w:val="22"/>
          <w:szCs w:val="22"/>
          <w:lang w:eastAsia="lt-LT"/>
        </w:rPr>
      </w:pPr>
      <w:r>
        <w:rPr>
          <w:sz w:val="22"/>
          <w:szCs w:val="22"/>
          <w:lang w:eastAsia="lt-LT"/>
        </w:rPr>
        <w:t>Novo mesto</w:t>
      </w:r>
    </w:p>
    <w:p w14:paraId="49FF706F" w14:textId="77777777" w:rsidR="00F00A02" w:rsidRDefault="0027659F">
      <w:pPr>
        <w:widowControl w:val="0"/>
        <w:rPr>
          <w:sz w:val="22"/>
          <w:szCs w:val="22"/>
          <w:lang w:eastAsia="lt-LT"/>
        </w:rPr>
      </w:pPr>
      <w:r>
        <w:rPr>
          <w:sz w:val="22"/>
          <w:szCs w:val="22"/>
          <w:lang w:eastAsia="lt-LT"/>
        </w:rPr>
        <w:t>Šmarješka cesta 6</w:t>
      </w:r>
    </w:p>
    <w:p w14:paraId="67893813" w14:textId="77777777" w:rsidR="00F00A02" w:rsidRDefault="0027659F">
      <w:pPr>
        <w:widowControl w:val="0"/>
        <w:rPr>
          <w:sz w:val="22"/>
          <w:szCs w:val="22"/>
          <w:lang w:eastAsia="lt-LT"/>
        </w:rPr>
      </w:pPr>
      <w:r>
        <w:rPr>
          <w:sz w:val="22"/>
          <w:szCs w:val="22"/>
          <w:lang w:eastAsia="lt-LT"/>
        </w:rPr>
        <w:t>8501 Novo mesto</w:t>
      </w:r>
    </w:p>
    <w:p w14:paraId="1639245F" w14:textId="77777777" w:rsidR="00F00A02" w:rsidRDefault="0027659F">
      <w:pPr>
        <w:widowControl w:val="0"/>
        <w:rPr>
          <w:sz w:val="22"/>
          <w:szCs w:val="22"/>
          <w:lang w:eastAsia="lt-LT"/>
        </w:rPr>
      </w:pPr>
      <w:r>
        <w:rPr>
          <w:sz w:val="22"/>
          <w:szCs w:val="22"/>
          <w:lang w:eastAsia="lt-LT"/>
        </w:rPr>
        <w:t>Slovėnija</w:t>
      </w:r>
    </w:p>
    <w:p w14:paraId="29350078" w14:textId="77777777" w:rsidR="00F00A02" w:rsidRDefault="00F00A02">
      <w:pPr>
        <w:widowControl w:val="0"/>
        <w:rPr>
          <w:sz w:val="22"/>
          <w:szCs w:val="22"/>
          <w:highlight w:val="yellow"/>
        </w:rPr>
      </w:pPr>
    </w:p>
    <w:p w14:paraId="715FB8A8" w14:textId="77777777" w:rsidR="00F00A02" w:rsidRDefault="0027659F">
      <w:pPr>
        <w:widowControl w:val="0"/>
        <w:rPr>
          <w:sz w:val="22"/>
          <w:szCs w:val="22"/>
          <w:lang w:eastAsia="lt-LT"/>
        </w:rPr>
      </w:pPr>
      <w:r>
        <w:rPr>
          <w:sz w:val="22"/>
          <w:szCs w:val="22"/>
          <w:lang w:eastAsia="lt-LT"/>
        </w:rPr>
        <w:t>TAD Pharma GmbH</w:t>
      </w:r>
    </w:p>
    <w:p w14:paraId="003C06A9" w14:textId="77777777" w:rsidR="00F00A02" w:rsidRDefault="0027659F">
      <w:pPr>
        <w:widowControl w:val="0"/>
        <w:rPr>
          <w:sz w:val="22"/>
          <w:szCs w:val="22"/>
          <w:lang w:eastAsia="lt-LT"/>
        </w:rPr>
      </w:pPr>
      <w:r>
        <w:rPr>
          <w:sz w:val="22"/>
          <w:szCs w:val="22"/>
          <w:lang w:eastAsia="lt-LT"/>
        </w:rPr>
        <w:t>Heinz Lohmann Straße 5,</w:t>
      </w:r>
    </w:p>
    <w:p w14:paraId="19D83E2A" w14:textId="77777777" w:rsidR="00F00A02" w:rsidRDefault="0027659F">
      <w:pPr>
        <w:widowControl w:val="0"/>
        <w:rPr>
          <w:sz w:val="22"/>
          <w:szCs w:val="22"/>
          <w:lang w:eastAsia="lt-LT"/>
        </w:rPr>
      </w:pPr>
      <w:r>
        <w:rPr>
          <w:sz w:val="22"/>
          <w:szCs w:val="22"/>
          <w:lang w:eastAsia="lt-LT"/>
        </w:rPr>
        <w:t>27472 Cuxhaven</w:t>
      </w:r>
    </w:p>
    <w:p w14:paraId="17D590A7" w14:textId="77777777" w:rsidR="00F00A02" w:rsidRDefault="0027659F">
      <w:pPr>
        <w:widowControl w:val="0"/>
        <w:rPr>
          <w:sz w:val="22"/>
          <w:szCs w:val="22"/>
          <w:lang w:eastAsia="lt-LT"/>
        </w:rPr>
      </w:pPr>
      <w:r>
        <w:rPr>
          <w:sz w:val="22"/>
          <w:szCs w:val="22"/>
          <w:lang w:eastAsia="lt-LT"/>
        </w:rPr>
        <w:t>Vokietija</w:t>
      </w:r>
    </w:p>
    <w:p w14:paraId="771B0BC5" w14:textId="77777777" w:rsidR="00F00A02" w:rsidRDefault="00F00A02">
      <w:pPr>
        <w:widowControl w:val="0"/>
        <w:rPr>
          <w:sz w:val="22"/>
          <w:szCs w:val="22"/>
          <w:highlight w:val="yellow"/>
        </w:rPr>
      </w:pPr>
    </w:p>
    <w:p w14:paraId="639F844C" w14:textId="77777777" w:rsidR="00F00A02" w:rsidRDefault="0027659F">
      <w:pPr>
        <w:widowControl w:val="0"/>
        <w:rPr>
          <w:sz w:val="22"/>
          <w:szCs w:val="22"/>
        </w:rPr>
      </w:pPr>
      <w:r>
        <w:rPr>
          <w:sz w:val="22"/>
          <w:szCs w:val="22"/>
        </w:rPr>
        <w:t>Su pakuote pateikiamame lapelyje nurodomas gamintojo, atsakingo už konkrečios serijos išleidimą, pavadinimas ir adresas.</w:t>
      </w:r>
    </w:p>
    <w:p w14:paraId="79A35410" w14:textId="77777777" w:rsidR="00F00A02" w:rsidRDefault="00F00A02">
      <w:pPr>
        <w:widowControl w:val="0"/>
        <w:rPr>
          <w:sz w:val="22"/>
          <w:szCs w:val="22"/>
          <w:highlight w:val="yellow"/>
        </w:rPr>
      </w:pPr>
    </w:p>
    <w:p w14:paraId="09DCDEB4" w14:textId="77777777" w:rsidR="00F00A02" w:rsidRDefault="0027659F">
      <w:pPr>
        <w:widowControl w:val="0"/>
        <w:tabs>
          <w:tab w:val="left" w:pos="567"/>
        </w:tabs>
        <w:ind w:left="567" w:hanging="567"/>
        <w:outlineLvl w:val="1"/>
        <w:rPr>
          <w:b/>
          <w:sz w:val="22"/>
          <w:szCs w:val="22"/>
          <w:lang w:val="sv-SE"/>
        </w:rPr>
      </w:pPr>
      <w:bookmarkStart w:id="10" w:name="_Toc129243254"/>
      <w:bookmarkStart w:id="11" w:name="_Toc129243129"/>
      <w:bookmarkStart w:id="12" w:name="_Toc129243130"/>
      <w:bookmarkStart w:id="13" w:name="_Toc129243255"/>
      <w:r>
        <w:rPr>
          <w:b/>
          <w:sz w:val="22"/>
          <w:szCs w:val="22"/>
          <w:lang w:val="sv-SE"/>
        </w:rPr>
        <w:t>B.</w:t>
      </w:r>
      <w:r>
        <w:rPr>
          <w:b/>
          <w:sz w:val="22"/>
          <w:szCs w:val="22"/>
          <w:lang w:val="sv-SE"/>
        </w:rPr>
        <w:tab/>
      </w:r>
      <w:r>
        <w:rPr>
          <w:b/>
          <w:sz w:val="22"/>
          <w:szCs w:val="22"/>
        </w:rPr>
        <w:t>TIEKIMO IR VARTOJIMO SĄLYGOS AR APRIBOJIMAI</w:t>
      </w:r>
      <w:bookmarkEnd w:id="10"/>
      <w:bookmarkEnd w:id="11"/>
      <w:bookmarkEnd w:id="12"/>
      <w:bookmarkEnd w:id="13"/>
    </w:p>
    <w:p w14:paraId="795860A6" w14:textId="77777777" w:rsidR="00F00A02" w:rsidRDefault="00F00A02">
      <w:pPr>
        <w:widowControl w:val="0"/>
        <w:rPr>
          <w:sz w:val="22"/>
          <w:szCs w:val="22"/>
        </w:rPr>
      </w:pPr>
    </w:p>
    <w:p w14:paraId="4E80C886" w14:textId="77777777" w:rsidR="00F00A02" w:rsidRDefault="0027659F">
      <w:pPr>
        <w:widowControl w:val="0"/>
        <w:rPr>
          <w:sz w:val="22"/>
          <w:szCs w:val="22"/>
        </w:rPr>
      </w:pPr>
      <w:r>
        <w:rPr>
          <w:sz w:val="22"/>
          <w:szCs w:val="22"/>
        </w:rPr>
        <w:t>Receptinis vaistinis preparatas</w:t>
      </w:r>
    </w:p>
    <w:p w14:paraId="3D999F36" w14:textId="77777777" w:rsidR="00F00A02" w:rsidRDefault="0027659F">
      <w:pPr>
        <w:widowControl w:val="0"/>
        <w:ind w:left="567" w:hanging="567"/>
        <w:rPr>
          <w:sz w:val="22"/>
          <w:szCs w:val="22"/>
          <w:lang w:eastAsia="lt-LT"/>
        </w:rPr>
      </w:pPr>
      <w:r>
        <w:rPr>
          <w:sz w:val="22"/>
          <w:szCs w:val="22"/>
          <w:lang w:eastAsia="lt-LT"/>
        </w:rPr>
        <w:br w:type="page"/>
      </w:r>
    </w:p>
    <w:p w14:paraId="497DAEFC" w14:textId="77777777" w:rsidR="00F00A02" w:rsidRDefault="00F00A02">
      <w:pPr>
        <w:widowControl w:val="0"/>
        <w:rPr>
          <w:sz w:val="22"/>
          <w:szCs w:val="22"/>
          <w:lang w:eastAsia="lt-LT"/>
        </w:rPr>
      </w:pPr>
    </w:p>
    <w:p w14:paraId="75AEE79D" w14:textId="77777777" w:rsidR="00F00A02" w:rsidRDefault="00F00A02">
      <w:pPr>
        <w:widowControl w:val="0"/>
        <w:rPr>
          <w:sz w:val="22"/>
          <w:szCs w:val="22"/>
          <w:lang w:eastAsia="lt-LT"/>
        </w:rPr>
      </w:pPr>
    </w:p>
    <w:p w14:paraId="51F86BB8" w14:textId="77777777" w:rsidR="00F00A02" w:rsidRDefault="00F00A02">
      <w:pPr>
        <w:widowControl w:val="0"/>
        <w:rPr>
          <w:sz w:val="22"/>
          <w:szCs w:val="22"/>
          <w:lang w:eastAsia="lt-LT"/>
        </w:rPr>
      </w:pPr>
    </w:p>
    <w:p w14:paraId="42494B15" w14:textId="77777777" w:rsidR="00F00A02" w:rsidRDefault="00F00A02">
      <w:pPr>
        <w:widowControl w:val="0"/>
        <w:rPr>
          <w:sz w:val="22"/>
          <w:szCs w:val="22"/>
          <w:lang w:eastAsia="lt-LT"/>
        </w:rPr>
      </w:pPr>
    </w:p>
    <w:p w14:paraId="10D24B49" w14:textId="77777777" w:rsidR="00F00A02" w:rsidRDefault="00F00A02">
      <w:pPr>
        <w:widowControl w:val="0"/>
        <w:rPr>
          <w:sz w:val="22"/>
          <w:szCs w:val="22"/>
          <w:lang w:eastAsia="lt-LT"/>
        </w:rPr>
      </w:pPr>
    </w:p>
    <w:p w14:paraId="6E9EDD26" w14:textId="77777777" w:rsidR="00F00A02" w:rsidRDefault="00F00A02">
      <w:pPr>
        <w:widowControl w:val="0"/>
        <w:rPr>
          <w:sz w:val="22"/>
          <w:szCs w:val="22"/>
          <w:lang w:eastAsia="lt-LT"/>
        </w:rPr>
      </w:pPr>
    </w:p>
    <w:p w14:paraId="5F96EC65" w14:textId="77777777" w:rsidR="00F00A02" w:rsidRDefault="00F00A02">
      <w:pPr>
        <w:widowControl w:val="0"/>
        <w:rPr>
          <w:sz w:val="22"/>
          <w:szCs w:val="22"/>
          <w:lang w:eastAsia="lt-LT"/>
        </w:rPr>
      </w:pPr>
    </w:p>
    <w:p w14:paraId="3BF7C69E" w14:textId="77777777" w:rsidR="00F00A02" w:rsidRDefault="00F00A02">
      <w:pPr>
        <w:widowControl w:val="0"/>
        <w:rPr>
          <w:sz w:val="22"/>
          <w:szCs w:val="22"/>
          <w:lang w:eastAsia="lt-LT"/>
        </w:rPr>
      </w:pPr>
    </w:p>
    <w:p w14:paraId="2B8B72C4" w14:textId="77777777" w:rsidR="00F00A02" w:rsidRDefault="00F00A02">
      <w:pPr>
        <w:widowControl w:val="0"/>
        <w:rPr>
          <w:sz w:val="22"/>
          <w:szCs w:val="22"/>
          <w:lang w:eastAsia="lt-LT"/>
        </w:rPr>
      </w:pPr>
    </w:p>
    <w:p w14:paraId="1FBE9B1A" w14:textId="77777777" w:rsidR="00F00A02" w:rsidRDefault="00F00A02">
      <w:pPr>
        <w:widowControl w:val="0"/>
        <w:rPr>
          <w:sz w:val="22"/>
          <w:szCs w:val="22"/>
          <w:lang w:eastAsia="lt-LT"/>
        </w:rPr>
      </w:pPr>
    </w:p>
    <w:p w14:paraId="6E50FC60" w14:textId="77777777" w:rsidR="00F00A02" w:rsidRDefault="00F00A02">
      <w:pPr>
        <w:widowControl w:val="0"/>
        <w:rPr>
          <w:sz w:val="22"/>
          <w:szCs w:val="22"/>
          <w:lang w:eastAsia="lt-LT"/>
        </w:rPr>
      </w:pPr>
    </w:p>
    <w:p w14:paraId="33EED71A" w14:textId="77777777" w:rsidR="00F00A02" w:rsidRDefault="00F00A02">
      <w:pPr>
        <w:widowControl w:val="0"/>
        <w:rPr>
          <w:sz w:val="22"/>
          <w:szCs w:val="22"/>
          <w:lang w:eastAsia="lt-LT"/>
        </w:rPr>
      </w:pPr>
    </w:p>
    <w:p w14:paraId="6CBECD65" w14:textId="77777777" w:rsidR="00F00A02" w:rsidRDefault="00F00A02">
      <w:pPr>
        <w:widowControl w:val="0"/>
        <w:rPr>
          <w:sz w:val="22"/>
          <w:szCs w:val="22"/>
          <w:lang w:eastAsia="lt-LT"/>
        </w:rPr>
      </w:pPr>
    </w:p>
    <w:p w14:paraId="6EDA8A6F" w14:textId="77777777" w:rsidR="00F00A02" w:rsidRDefault="00F00A02">
      <w:pPr>
        <w:widowControl w:val="0"/>
        <w:rPr>
          <w:sz w:val="22"/>
          <w:szCs w:val="22"/>
          <w:lang w:eastAsia="lt-LT"/>
        </w:rPr>
      </w:pPr>
    </w:p>
    <w:p w14:paraId="50FDB025" w14:textId="77777777" w:rsidR="00F00A02" w:rsidRDefault="00F00A02">
      <w:pPr>
        <w:widowControl w:val="0"/>
        <w:rPr>
          <w:sz w:val="22"/>
          <w:szCs w:val="22"/>
          <w:lang w:eastAsia="lt-LT"/>
        </w:rPr>
      </w:pPr>
    </w:p>
    <w:p w14:paraId="2F5B63F8" w14:textId="77777777" w:rsidR="00F00A02" w:rsidRDefault="00F00A02">
      <w:pPr>
        <w:widowControl w:val="0"/>
        <w:rPr>
          <w:sz w:val="22"/>
          <w:szCs w:val="22"/>
          <w:lang w:eastAsia="lt-LT"/>
        </w:rPr>
      </w:pPr>
    </w:p>
    <w:p w14:paraId="6016E37B" w14:textId="77777777" w:rsidR="00F00A02" w:rsidRDefault="00F00A02">
      <w:pPr>
        <w:widowControl w:val="0"/>
        <w:rPr>
          <w:sz w:val="22"/>
          <w:szCs w:val="22"/>
          <w:lang w:eastAsia="lt-LT"/>
        </w:rPr>
      </w:pPr>
    </w:p>
    <w:p w14:paraId="6921BCF9" w14:textId="77777777" w:rsidR="00F00A02" w:rsidRDefault="00F00A02">
      <w:pPr>
        <w:widowControl w:val="0"/>
        <w:rPr>
          <w:sz w:val="22"/>
          <w:szCs w:val="22"/>
          <w:lang w:eastAsia="lt-LT"/>
        </w:rPr>
      </w:pPr>
    </w:p>
    <w:p w14:paraId="4E5B8DC0" w14:textId="77777777" w:rsidR="00F00A02" w:rsidRDefault="00F00A02">
      <w:pPr>
        <w:widowControl w:val="0"/>
        <w:rPr>
          <w:sz w:val="22"/>
          <w:szCs w:val="22"/>
          <w:lang w:eastAsia="lt-LT"/>
        </w:rPr>
      </w:pPr>
    </w:p>
    <w:p w14:paraId="2959CACE" w14:textId="77777777" w:rsidR="00F00A02" w:rsidRDefault="00F00A02">
      <w:pPr>
        <w:widowControl w:val="0"/>
        <w:rPr>
          <w:sz w:val="22"/>
          <w:szCs w:val="22"/>
          <w:lang w:eastAsia="lt-LT"/>
        </w:rPr>
      </w:pPr>
    </w:p>
    <w:p w14:paraId="74C60252" w14:textId="77777777" w:rsidR="00F00A02" w:rsidRDefault="00F00A02">
      <w:pPr>
        <w:widowControl w:val="0"/>
        <w:rPr>
          <w:sz w:val="22"/>
          <w:szCs w:val="22"/>
          <w:lang w:eastAsia="lt-LT"/>
        </w:rPr>
      </w:pPr>
    </w:p>
    <w:p w14:paraId="6B53FA8C" w14:textId="77777777" w:rsidR="00F00A02" w:rsidRDefault="00F00A02">
      <w:pPr>
        <w:widowControl w:val="0"/>
        <w:rPr>
          <w:sz w:val="22"/>
          <w:szCs w:val="22"/>
          <w:lang w:eastAsia="lt-LT"/>
        </w:rPr>
      </w:pPr>
    </w:p>
    <w:p w14:paraId="0FBFC952" w14:textId="77777777" w:rsidR="00F00A02" w:rsidRDefault="00F00A02">
      <w:pPr>
        <w:widowControl w:val="0"/>
        <w:jc w:val="center"/>
        <w:outlineLvl w:val="0"/>
        <w:rPr>
          <w:b/>
          <w:kern w:val="28"/>
          <w:sz w:val="22"/>
          <w:szCs w:val="22"/>
        </w:rPr>
      </w:pPr>
    </w:p>
    <w:p w14:paraId="4B9AF706" w14:textId="77777777" w:rsidR="00F00A02" w:rsidRDefault="0027659F">
      <w:pPr>
        <w:widowControl w:val="0"/>
        <w:jc w:val="center"/>
        <w:outlineLvl w:val="0"/>
        <w:rPr>
          <w:b/>
          <w:bCs/>
          <w:kern w:val="28"/>
          <w:sz w:val="22"/>
          <w:szCs w:val="22"/>
          <w:lang w:eastAsia="lt-LT"/>
        </w:rPr>
      </w:pPr>
      <w:r>
        <w:rPr>
          <w:b/>
          <w:bCs/>
          <w:kern w:val="28"/>
          <w:sz w:val="22"/>
          <w:szCs w:val="22"/>
          <w:lang w:eastAsia="lt-LT"/>
        </w:rPr>
        <w:t>III PRIEDAS</w:t>
      </w:r>
    </w:p>
    <w:p w14:paraId="13038FC7" w14:textId="77777777" w:rsidR="00F00A02" w:rsidRDefault="00F00A02">
      <w:pPr>
        <w:widowControl w:val="0"/>
        <w:rPr>
          <w:sz w:val="22"/>
          <w:szCs w:val="22"/>
          <w:lang w:eastAsia="lt-LT"/>
        </w:rPr>
      </w:pPr>
    </w:p>
    <w:p w14:paraId="0AAF7CAB" w14:textId="77777777" w:rsidR="00F00A02" w:rsidRDefault="0027659F">
      <w:pPr>
        <w:widowControl w:val="0"/>
        <w:jc w:val="center"/>
        <w:rPr>
          <w:b/>
          <w:sz w:val="22"/>
          <w:szCs w:val="22"/>
          <w:lang w:eastAsia="lt-LT"/>
        </w:rPr>
      </w:pPr>
      <w:r>
        <w:rPr>
          <w:b/>
          <w:sz w:val="22"/>
          <w:szCs w:val="22"/>
          <w:lang w:eastAsia="lt-LT"/>
        </w:rPr>
        <w:t>ŽENKLINIMAS IR PAKUOTĖS LAPELIS</w:t>
      </w:r>
    </w:p>
    <w:p w14:paraId="094E6884" w14:textId="77777777" w:rsidR="00F00A02" w:rsidRDefault="0027659F">
      <w:pPr>
        <w:widowControl w:val="0"/>
        <w:rPr>
          <w:sz w:val="22"/>
          <w:szCs w:val="22"/>
          <w:lang w:eastAsia="lt-LT"/>
        </w:rPr>
      </w:pPr>
      <w:r>
        <w:rPr>
          <w:sz w:val="22"/>
          <w:szCs w:val="22"/>
          <w:lang w:eastAsia="lt-LT"/>
        </w:rPr>
        <w:br w:type="page"/>
      </w:r>
    </w:p>
    <w:p w14:paraId="200C52DE" w14:textId="77777777" w:rsidR="00F00A02" w:rsidRDefault="00F00A02">
      <w:pPr>
        <w:widowControl w:val="0"/>
        <w:rPr>
          <w:sz w:val="22"/>
          <w:szCs w:val="22"/>
          <w:lang w:eastAsia="lt-LT"/>
        </w:rPr>
      </w:pPr>
    </w:p>
    <w:p w14:paraId="13D3C9FF" w14:textId="77777777" w:rsidR="00F00A02" w:rsidRDefault="00F00A02">
      <w:pPr>
        <w:widowControl w:val="0"/>
        <w:rPr>
          <w:sz w:val="22"/>
          <w:szCs w:val="22"/>
          <w:lang w:eastAsia="lt-LT"/>
        </w:rPr>
      </w:pPr>
    </w:p>
    <w:p w14:paraId="3EF8E9B8" w14:textId="77777777" w:rsidR="00F00A02" w:rsidRDefault="00F00A02">
      <w:pPr>
        <w:widowControl w:val="0"/>
        <w:rPr>
          <w:sz w:val="22"/>
          <w:szCs w:val="22"/>
          <w:lang w:eastAsia="lt-LT"/>
        </w:rPr>
      </w:pPr>
    </w:p>
    <w:p w14:paraId="6E2B0684" w14:textId="77777777" w:rsidR="00F00A02" w:rsidRDefault="00F00A02">
      <w:pPr>
        <w:widowControl w:val="0"/>
        <w:rPr>
          <w:sz w:val="22"/>
          <w:szCs w:val="22"/>
          <w:lang w:eastAsia="lt-LT"/>
        </w:rPr>
      </w:pPr>
    </w:p>
    <w:p w14:paraId="03A5EB85" w14:textId="77777777" w:rsidR="00F00A02" w:rsidRDefault="00F00A02">
      <w:pPr>
        <w:widowControl w:val="0"/>
        <w:rPr>
          <w:sz w:val="22"/>
          <w:szCs w:val="22"/>
          <w:lang w:eastAsia="lt-LT"/>
        </w:rPr>
      </w:pPr>
    </w:p>
    <w:p w14:paraId="0F4900A5" w14:textId="77777777" w:rsidR="00F00A02" w:rsidRDefault="00F00A02">
      <w:pPr>
        <w:widowControl w:val="0"/>
        <w:rPr>
          <w:sz w:val="22"/>
          <w:szCs w:val="22"/>
          <w:lang w:eastAsia="lt-LT"/>
        </w:rPr>
      </w:pPr>
    </w:p>
    <w:p w14:paraId="7EAA7DAC" w14:textId="77777777" w:rsidR="00F00A02" w:rsidRDefault="00F00A02">
      <w:pPr>
        <w:widowControl w:val="0"/>
        <w:rPr>
          <w:sz w:val="22"/>
          <w:szCs w:val="22"/>
          <w:lang w:eastAsia="lt-LT"/>
        </w:rPr>
      </w:pPr>
    </w:p>
    <w:p w14:paraId="6DA4377A" w14:textId="77777777" w:rsidR="00F00A02" w:rsidRDefault="00F00A02">
      <w:pPr>
        <w:widowControl w:val="0"/>
        <w:rPr>
          <w:sz w:val="22"/>
          <w:szCs w:val="22"/>
          <w:lang w:eastAsia="lt-LT"/>
        </w:rPr>
      </w:pPr>
    </w:p>
    <w:p w14:paraId="4FF1373C" w14:textId="77777777" w:rsidR="00F00A02" w:rsidRDefault="00F00A02">
      <w:pPr>
        <w:widowControl w:val="0"/>
        <w:rPr>
          <w:sz w:val="22"/>
          <w:szCs w:val="22"/>
          <w:lang w:eastAsia="lt-LT"/>
        </w:rPr>
      </w:pPr>
    </w:p>
    <w:p w14:paraId="73E0D2A2" w14:textId="77777777" w:rsidR="00F00A02" w:rsidRDefault="00F00A02">
      <w:pPr>
        <w:widowControl w:val="0"/>
        <w:rPr>
          <w:sz w:val="22"/>
          <w:szCs w:val="22"/>
          <w:lang w:eastAsia="lt-LT"/>
        </w:rPr>
      </w:pPr>
    </w:p>
    <w:p w14:paraId="12FD88E4" w14:textId="77777777" w:rsidR="00F00A02" w:rsidRDefault="00F00A02">
      <w:pPr>
        <w:widowControl w:val="0"/>
        <w:rPr>
          <w:sz w:val="22"/>
          <w:szCs w:val="22"/>
          <w:lang w:eastAsia="lt-LT"/>
        </w:rPr>
      </w:pPr>
    </w:p>
    <w:p w14:paraId="23794602" w14:textId="77777777" w:rsidR="00F00A02" w:rsidRDefault="00F00A02">
      <w:pPr>
        <w:widowControl w:val="0"/>
        <w:rPr>
          <w:sz w:val="22"/>
          <w:szCs w:val="22"/>
          <w:lang w:eastAsia="lt-LT"/>
        </w:rPr>
      </w:pPr>
    </w:p>
    <w:p w14:paraId="7E7F7086" w14:textId="77777777" w:rsidR="00F00A02" w:rsidRDefault="00F00A02">
      <w:pPr>
        <w:widowControl w:val="0"/>
        <w:rPr>
          <w:sz w:val="22"/>
          <w:szCs w:val="22"/>
          <w:lang w:eastAsia="lt-LT"/>
        </w:rPr>
      </w:pPr>
    </w:p>
    <w:p w14:paraId="7A0CAE8D" w14:textId="77777777" w:rsidR="00F00A02" w:rsidRDefault="00F00A02">
      <w:pPr>
        <w:widowControl w:val="0"/>
        <w:rPr>
          <w:sz w:val="22"/>
          <w:szCs w:val="22"/>
          <w:lang w:eastAsia="lt-LT"/>
        </w:rPr>
      </w:pPr>
    </w:p>
    <w:p w14:paraId="53914A63" w14:textId="77777777" w:rsidR="00F00A02" w:rsidRDefault="00F00A02">
      <w:pPr>
        <w:widowControl w:val="0"/>
        <w:rPr>
          <w:sz w:val="22"/>
          <w:szCs w:val="22"/>
          <w:lang w:eastAsia="lt-LT"/>
        </w:rPr>
      </w:pPr>
    </w:p>
    <w:p w14:paraId="07DF98DA" w14:textId="77777777" w:rsidR="00F00A02" w:rsidRDefault="00F00A02">
      <w:pPr>
        <w:widowControl w:val="0"/>
        <w:rPr>
          <w:sz w:val="22"/>
          <w:szCs w:val="22"/>
          <w:lang w:eastAsia="lt-LT"/>
        </w:rPr>
      </w:pPr>
    </w:p>
    <w:p w14:paraId="27F7915A" w14:textId="77777777" w:rsidR="00F00A02" w:rsidRDefault="00F00A02">
      <w:pPr>
        <w:widowControl w:val="0"/>
        <w:rPr>
          <w:sz w:val="22"/>
          <w:szCs w:val="22"/>
          <w:lang w:eastAsia="lt-LT"/>
        </w:rPr>
      </w:pPr>
    </w:p>
    <w:p w14:paraId="5F8FFF56" w14:textId="77777777" w:rsidR="00F00A02" w:rsidRDefault="00F00A02">
      <w:pPr>
        <w:widowControl w:val="0"/>
        <w:rPr>
          <w:sz w:val="22"/>
          <w:szCs w:val="22"/>
          <w:lang w:eastAsia="lt-LT"/>
        </w:rPr>
      </w:pPr>
    </w:p>
    <w:p w14:paraId="324377AF" w14:textId="77777777" w:rsidR="00F00A02" w:rsidRDefault="00F00A02">
      <w:pPr>
        <w:widowControl w:val="0"/>
        <w:rPr>
          <w:sz w:val="22"/>
          <w:szCs w:val="22"/>
          <w:lang w:eastAsia="lt-LT"/>
        </w:rPr>
      </w:pPr>
    </w:p>
    <w:p w14:paraId="61534E90" w14:textId="77777777" w:rsidR="00F00A02" w:rsidRDefault="00F00A02">
      <w:pPr>
        <w:widowControl w:val="0"/>
        <w:rPr>
          <w:sz w:val="22"/>
          <w:szCs w:val="22"/>
          <w:lang w:eastAsia="lt-LT"/>
        </w:rPr>
      </w:pPr>
    </w:p>
    <w:p w14:paraId="53F9C9EC" w14:textId="77777777" w:rsidR="00F00A02" w:rsidRDefault="00F00A02">
      <w:pPr>
        <w:widowControl w:val="0"/>
        <w:rPr>
          <w:sz w:val="22"/>
          <w:szCs w:val="22"/>
          <w:lang w:eastAsia="lt-LT"/>
        </w:rPr>
      </w:pPr>
    </w:p>
    <w:p w14:paraId="30C433E2" w14:textId="77777777" w:rsidR="00F00A02" w:rsidRDefault="00F00A02">
      <w:pPr>
        <w:widowControl w:val="0"/>
        <w:rPr>
          <w:sz w:val="22"/>
          <w:szCs w:val="22"/>
          <w:lang w:eastAsia="lt-LT"/>
        </w:rPr>
      </w:pPr>
    </w:p>
    <w:p w14:paraId="72073413" w14:textId="77777777" w:rsidR="00F00A02" w:rsidRDefault="00F00A02">
      <w:pPr>
        <w:widowControl w:val="0"/>
        <w:jc w:val="center"/>
        <w:outlineLvl w:val="0"/>
        <w:rPr>
          <w:b/>
          <w:kern w:val="28"/>
          <w:sz w:val="22"/>
          <w:szCs w:val="22"/>
        </w:rPr>
      </w:pPr>
    </w:p>
    <w:p w14:paraId="1965A7FA" w14:textId="77777777" w:rsidR="00F00A02" w:rsidRDefault="0027659F">
      <w:pPr>
        <w:widowControl w:val="0"/>
        <w:jc w:val="center"/>
        <w:outlineLvl w:val="0"/>
        <w:rPr>
          <w:b/>
          <w:bCs/>
          <w:kern w:val="28"/>
          <w:sz w:val="22"/>
          <w:szCs w:val="22"/>
          <w:lang w:eastAsia="lt-LT"/>
        </w:rPr>
      </w:pPr>
      <w:r>
        <w:rPr>
          <w:b/>
          <w:bCs/>
          <w:kern w:val="28"/>
          <w:sz w:val="22"/>
          <w:szCs w:val="22"/>
          <w:lang w:eastAsia="lt-LT"/>
        </w:rPr>
        <w:t>A. ŽENKLINIMAS</w:t>
      </w:r>
    </w:p>
    <w:p w14:paraId="6BE9EB06" w14:textId="77777777" w:rsidR="00F00A02" w:rsidRDefault="0027659F">
      <w:pPr>
        <w:widowControl w:val="0"/>
        <w:pBdr>
          <w:top w:val="single" w:sz="4" w:space="1" w:color="auto"/>
          <w:left w:val="single" w:sz="4" w:space="1" w:color="auto"/>
          <w:bottom w:val="single" w:sz="4" w:space="1" w:color="auto"/>
          <w:right w:val="single" w:sz="4" w:space="1" w:color="auto"/>
        </w:pBdr>
        <w:ind w:left="567" w:hanging="567"/>
        <w:outlineLvl w:val="1"/>
        <w:rPr>
          <w:sz w:val="22"/>
          <w:szCs w:val="22"/>
        </w:rPr>
      </w:pPr>
      <w:r>
        <w:rPr>
          <w:sz w:val="22"/>
          <w:szCs w:val="22"/>
          <w:lang w:val="sv-SE" w:eastAsia="lt-LT"/>
        </w:rPr>
        <w:br w:type="page"/>
      </w:r>
    </w:p>
    <w:p w14:paraId="07EA30C8" w14:textId="77777777" w:rsidR="00F00A02" w:rsidRDefault="0027659F">
      <w:pPr>
        <w:widowControl w:val="0"/>
        <w:pBdr>
          <w:top w:val="single" w:sz="4" w:space="1" w:color="auto"/>
          <w:left w:val="single" w:sz="4" w:space="1" w:color="auto"/>
          <w:bottom w:val="single" w:sz="4" w:space="1" w:color="auto"/>
          <w:right w:val="single" w:sz="4" w:space="1" w:color="auto"/>
        </w:pBdr>
        <w:ind w:left="567" w:hanging="567"/>
        <w:outlineLvl w:val="1"/>
        <w:rPr>
          <w:b/>
          <w:sz w:val="22"/>
          <w:szCs w:val="22"/>
          <w:lang w:val="sv-SE" w:eastAsia="lt-LT"/>
        </w:rPr>
      </w:pPr>
      <w:r>
        <w:rPr>
          <w:b/>
          <w:sz w:val="22"/>
          <w:szCs w:val="22"/>
          <w:lang w:val="sv-SE" w:eastAsia="lt-LT"/>
        </w:rPr>
        <w:lastRenderedPageBreak/>
        <w:t>INFORMACIJA ANT IŠORINĖS PAKUOTĖS</w:t>
      </w:r>
    </w:p>
    <w:p w14:paraId="3E5E15D7" w14:textId="77777777" w:rsidR="00F00A02" w:rsidRDefault="0027659F">
      <w:pPr>
        <w:widowControl w:val="0"/>
        <w:pBdr>
          <w:top w:val="single" w:sz="4" w:space="1" w:color="auto"/>
          <w:left w:val="single" w:sz="4" w:space="1" w:color="auto"/>
          <w:bottom w:val="single" w:sz="4" w:space="1" w:color="auto"/>
          <w:right w:val="single" w:sz="4" w:space="1" w:color="auto"/>
        </w:pBdr>
        <w:rPr>
          <w:b/>
          <w:sz w:val="22"/>
          <w:szCs w:val="22"/>
          <w:lang w:eastAsia="lt-LT"/>
        </w:rPr>
      </w:pPr>
      <w:r>
        <w:rPr>
          <w:b/>
          <w:sz w:val="22"/>
          <w:szCs w:val="22"/>
          <w:lang w:eastAsia="lt-LT"/>
        </w:rPr>
        <w:t>KARTONINĖ DĖŽUTĖ</w:t>
      </w:r>
    </w:p>
    <w:p w14:paraId="3A78A0E3" w14:textId="77777777" w:rsidR="00F00A02" w:rsidRDefault="00F00A02">
      <w:pPr>
        <w:numPr>
          <w:ilvl w:val="12"/>
          <w:numId w:val="0"/>
        </w:numPr>
        <w:tabs>
          <w:tab w:val="left" w:pos="8505"/>
        </w:tabs>
        <w:ind w:right="-2"/>
        <w:rPr>
          <w:sz w:val="22"/>
          <w:szCs w:val="22"/>
        </w:rPr>
      </w:pPr>
    </w:p>
    <w:p w14:paraId="40C0FEC1" w14:textId="77777777" w:rsidR="00F00A02" w:rsidRDefault="00F00A02">
      <w:pPr>
        <w:widowControl w:val="0"/>
        <w:rPr>
          <w:sz w:val="22"/>
          <w:szCs w:val="22"/>
          <w:lang w:eastAsia="lt-LT"/>
        </w:rPr>
      </w:pPr>
    </w:p>
    <w:p w14:paraId="46FA073B" w14:textId="77777777" w:rsidR="00F00A02" w:rsidRDefault="0027659F">
      <w:pPr>
        <w:widowControl w:val="0"/>
        <w:pBdr>
          <w:top w:val="single" w:sz="4" w:space="1" w:color="auto"/>
          <w:left w:val="single" w:sz="4" w:space="4" w:color="auto"/>
          <w:bottom w:val="single" w:sz="4" w:space="1" w:color="auto"/>
          <w:right w:val="single" w:sz="4" w:space="4" w:color="auto"/>
        </w:pBdr>
        <w:ind w:left="567" w:hanging="567"/>
        <w:outlineLvl w:val="2"/>
        <w:rPr>
          <w:b/>
          <w:bCs/>
          <w:sz w:val="22"/>
          <w:szCs w:val="22"/>
          <w:lang w:eastAsia="lt-LT"/>
        </w:rPr>
      </w:pPr>
      <w:r>
        <w:rPr>
          <w:b/>
          <w:bCs/>
          <w:sz w:val="22"/>
          <w:szCs w:val="22"/>
          <w:lang w:eastAsia="lt-LT"/>
        </w:rPr>
        <w:t>1.</w:t>
      </w:r>
      <w:r>
        <w:rPr>
          <w:b/>
          <w:bCs/>
          <w:sz w:val="22"/>
          <w:szCs w:val="22"/>
          <w:lang w:eastAsia="lt-LT"/>
        </w:rPr>
        <w:tab/>
        <w:t>VAISTINIO PREPARATO PAVADINIMAS</w:t>
      </w:r>
    </w:p>
    <w:p w14:paraId="00F44977" w14:textId="77777777" w:rsidR="00F00A02" w:rsidRDefault="00F00A02">
      <w:pPr>
        <w:widowControl w:val="0"/>
        <w:ind w:left="567" w:hanging="567"/>
        <w:rPr>
          <w:sz w:val="22"/>
          <w:szCs w:val="22"/>
          <w:lang w:eastAsia="lt-LT"/>
        </w:rPr>
      </w:pPr>
    </w:p>
    <w:p w14:paraId="36B30457" w14:textId="77777777" w:rsidR="00F00A02" w:rsidRDefault="0027659F">
      <w:pPr>
        <w:widowControl w:val="0"/>
        <w:ind w:left="567" w:hanging="567"/>
        <w:rPr>
          <w:sz w:val="22"/>
          <w:szCs w:val="22"/>
          <w:lang w:eastAsia="lt-LT"/>
        </w:rPr>
      </w:pPr>
      <w:r>
        <w:rPr>
          <w:sz w:val="22"/>
          <w:szCs w:val="22"/>
          <w:lang w:eastAsia="lt-LT"/>
        </w:rPr>
        <w:t>Lorista 50 mg plėvele dengtos tabletės</w:t>
      </w:r>
    </w:p>
    <w:p w14:paraId="0CBA5A99" w14:textId="77777777" w:rsidR="00F00A02" w:rsidRDefault="0027659F">
      <w:pPr>
        <w:numPr>
          <w:ilvl w:val="12"/>
          <w:numId w:val="0"/>
        </w:numPr>
        <w:tabs>
          <w:tab w:val="left" w:pos="8505"/>
        </w:tabs>
        <w:ind w:left="567" w:right="-2" w:hanging="567"/>
        <w:rPr>
          <w:sz w:val="22"/>
          <w:szCs w:val="22"/>
        </w:rPr>
      </w:pPr>
      <w:r>
        <w:rPr>
          <w:sz w:val="22"/>
          <w:szCs w:val="22"/>
        </w:rPr>
        <w:t>losartano kalio druska</w:t>
      </w:r>
    </w:p>
    <w:p w14:paraId="6432481E" w14:textId="77777777" w:rsidR="00F00A02" w:rsidRDefault="00F00A02">
      <w:pPr>
        <w:widowControl w:val="0"/>
        <w:ind w:left="567" w:hanging="567"/>
        <w:rPr>
          <w:sz w:val="22"/>
          <w:szCs w:val="22"/>
          <w:lang w:eastAsia="lt-LT"/>
        </w:rPr>
      </w:pPr>
    </w:p>
    <w:p w14:paraId="78058B00" w14:textId="77777777" w:rsidR="00F00A02" w:rsidRDefault="00F00A02">
      <w:pPr>
        <w:widowControl w:val="0"/>
        <w:ind w:left="567" w:hanging="567"/>
        <w:rPr>
          <w:sz w:val="22"/>
          <w:szCs w:val="22"/>
          <w:lang w:eastAsia="lt-LT"/>
        </w:rPr>
      </w:pPr>
    </w:p>
    <w:p w14:paraId="07B2729E" w14:textId="77777777" w:rsidR="00F00A02" w:rsidRDefault="0027659F">
      <w:pPr>
        <w:widowControl w:val="0"/>
        <w:pBdr>
          <w:top w:val="single" w:sz="4" w:space="1" w:color="auto"/>
          <w:left w:val="single" w:sz="4" w:space="4" w:color="auto"/>
          <w:bottom w:val="single" w:sz="4" w:space="1" w:color="auto"/>
          <w:right w:val="single" w:sz="4" w:space="4" w:color="auto"/>
        </w:pBdr>
        <w:ind w:left="567" w:hanging="567"/>
        <w:outlineLvl w:val="2"/>
        <w:rPr>
          <w:b/>
          <w:bCs/>
          <w:sz w:val="22"/>
          <w:szCs w:val="22"/>
          <w:lang w:eastAsia="lt-LT"/>
        </w:rPr>
      </w:pPr>
      <w:r>
        <w:rPr>
          <w:b/>
          <w:bCs/>
          <w:sz w:val="22"/>
          <w:szCs w:val="22"/>
          <w:lang w:eastAsia="lt-LT"/>
        </w:rPr>
        <w:t>2.</w:t>
      </w:r>
      <w:r>
        <w:rPr>
          <w:b/>
          <w:bCs/>
          <w:sz w:val="22"/>
          <w:szCs w:val="22"/>
          <w:lang w:eastAsia="lt-LT"/>
        </w:rPr>
        <w:tab/>
        <w:t>VEIKLIOJI (-IOS) MEDŽIAGA (-OS) IR JOS (-Ų) KIEKIS (-IAI)</w:t>
      </w:r>
    </w:p>
    <w:p w14:paraId="63E3D55D" w14:textId="77777777" w:rsidR="00F00A02" w:rsidRDefault="00F00A02">
      <w:pPr>
        <w:widowControl w:val="0"/>
        <w:ind w:left="567" w:hanging="567"/>
        <w:rPr>
          <w:sz w:val="22"/>
          <w:szCs w:val="22"/>
          <w:lang w:eastAsia="lt-LT"/>
        </w:rPr>
      </w:pPr>
    </w:p>
    <w:p w14:paraId="367D32F1" w14:textId="77777777" w:rsidR="00F00A02" w:rsidRDefault="0027659F">
      <w:pPr>
        <w:widowControl w:val="0"/>
        <w:ind w:left="567" w:hanging="567"/>
        <w:rPr>
          <w:sz w:val="22"/>
          <w:szCs w:val="22"/>
          <w:lang w:eastAsia="lt-LT"/>
        </w:rPr>
      </w:pPr>
      <w:r>
        <w:rPr>
          <w:sz w:val="22"/>
          <w:szCs w:val="22"/>
          <w:lang w:eastAsia="lt-LT"/>
        </w:rPr>
        <w:t>Kiekvienoje plėvele dengtoje tabletėje yra 50 mg losartano kalio druskos.</w:t>
      </w:r>
    </w:p>
    <w:p w14:paraId="7C181F70" w14:textId="77777777" w:rsidR="00F00A02" w:rsidRDefault="00F00A02">
      <w:pPr>
        <w:widowControl w:val="0"/>
        <w:ind w:left="567" w:hanging="567"/>
        <w:rPr>
          <w:sz w:val="22"/>
          <w:szCs w:val="22"/>
          <w:lang w:eastAsia="lt-LT"/>
        </w:rPr>
      </w:pPr>
    </w:p>
    <w:p w14:paraId="447B0E5D" w14:textId="77777777" w:rsidR="00F00A02" w:rsidRDefault="00F00A02">
      <w:pPr>
        <w:widowControl w:val="0"/>
        <w:ind w:left="567" w:hanging="567"/>
        <w:rPr>
          <w:sz w:val="22"/>
          <w:szCs w:val="22"/>
          <w:lang w:eastAsia="lt-LT"/>
        </w:rPr>
      </w:pPr>
    </w:p>
    <w:p w14:paraId="3FE2D73C" w14:textId="77777777" w:rsidR="00F00A02" w:rsidRDefault="0027659F">
      <w:pPr>
        <w:widowControl w:val="0"/>
        <w:pBdr>
          <w:top w:val="single" w:sz="4" w:space="1" w:color="auto"/>
          <w:left w:val="single" w:sz="4" w:space="4" w:color="auto"/>
          <w:bottom w:val="single" w:sz="4" w:space="1" w:color="auto"/>
          <w:right w:val="single" w:sz="4" w:space="4" w:color="auto"/>
        </w:pBdr>
        <w:ind w:left="567" w:hanging="567"/>
        <w:outlineLvl w:val="2"/>
        <w:rPr>
          <w:b/>
          <w:bCs/>
          <w:sz w:val="22"/>
          <w:szCs w:val="22"/>
          <w:lang w:eastAsia="lt-LT"/>
        </w:rPr>
      </w:pPr>
      <w:r>
        <w:rPr>
          <w:b/>
          <w:bCs/>
          <w:sz w:val="22"/>
          <w:szCs w:val="22"/>
          <w:lang w:eastAsia="lt-LT"/>
        </w:rPr>
        <w:t>3.</w:t>
      </w:r>
      <w:r>
        <w:rPr>
          <w:b/>
          <w:bCs/>
          <w:sz w:val="22"/>
          <w:szCs w:val="22"/>
          <w:lang w:eastAsia="lt-LT"/>
        </w:rPr>
        <w:tab/>
        <w:t>PAGALBINIŲ MEDŽIAGŲ SĄRAŠAS</w:t>
      </w:r>
    </w:p>
    <w:p w14:paraId="7C67DD47" w14:textId="77777777" w:rsidR="00F00A02" w:rsidRDefault="00F00A02">
      <w:pPr>
        <w:widowControl w:val="0"/>
        <w:ind w:left="567" w:hanging="567"/>
        <w:rPr>
          <w:sz w:val="22"/>
          <w:szCs w:val="22"/>
          <w:lang w:eastAsia="lt-LT"/>
        </w:rPr>
      </w:pPr>
    </w:p>
    <w:p w14:paraId="37A0EDBF" w14:textId="77777777" w:rsidR="00F00A02" w:rsidRDefault="0027659F">
      <w:pPr>
        <w:widowControl w:val="0"/>
        <w:ind w:left="567" w:hanging="567"/>
        <w:rPr>
          <w:sz w:val="22"/>
          <w:szCs w:val="22"/>
          <w:lang w:eastAsia="lt-LT"/>
        </w:rPr>
      </w:pPr>
      <w:r>
        <w:rPr>
          <w:sz w:val="22"/>
          <w:szCs w:val="22"/>
          <w:lang w:eastAsia="lt-LT"/>
        </w:rPr>
        <w:t>Sudėtyje yra laktozės.</w:t>
      </w:r>
    </w:p>
    <w:p w14:paraId="33CD8317" w14:textId="77777777" w:rsidR="00F00A02" w:rsidRDefault="0027659F">
      <w:pPr>
        <w:widowControl w:val="0"/>
        <w:ind w:left="567" w:hanging="567"/>
        <w:rPr>
          <w:sz w:val="22"/>
          <w:szCs w:val="22"/>
          <w:lang w:eastAsia="lt-LT"/>
        </w:rPr>
      </w:pPr>
      <w:r>
        <w:rPr>
          <w:sz w:val="22"/>
          <w:szCs w:val="22"/>
          <w:lang w:eastAsia="lt-LT"/>
        </w:rPr>
        <w:t>Daugiau informacijos pateikta pakuotės lapelyje.</w:t>
      </w:r>
    </w:p>
    <w:p w14:paraId="6E2AE6DD" w14:textId="77777777" w:rsidR="00F00A02" w:rsidRDefault="00F00A02">
      <w:pPr>
        <w:widowControl w:val="0"/>
        <w:ind w:left="567" w:hanging="567"/>
        <w:rPr>
          <w:sz w:val="22"/>
          <w:szCs w:val="22"/>
          <w:lang w:eastAsia="lt-LT"/>
        </w:rPr>
      </w:pPr>
    </w:p>
    <w:p w14:paraId="7EE7A07F" w14:textId="77777777" w:rsidR="00F00A02" w:rsidRDefault="00F00A02">
      <w:pPr>
        <w:widowControl w:val="0"/>
        <w:ind w:left="567" w:hanging="567"/>
        <w:rPr>
          <w:sz w:val="22"/>
          <w:szCs w:val="22"/>
          <w:lang w:eastAsia="lt-LT"/>
        </w:rPr>
      </w:pPr>
    </w:p>
    <w:p w14:paraId="17051DDA" w14:textId="77777777" w:rsidR="00F00A02" w:rsidRDefault="0027659F">
      <w:pPr>
        <w:widowControl w:val="0"/>
        <w:pBdr>
          <w:top w:val="single" w:sz="4" w:space="1" w:color="auto"/>
          <w:left w:val="single" w:sz="4" w:space="4" w:color="auto"/>
          <w:bottom w:val="single" w:sz="4" w:space="1" w:color="auto"/>
          <w:right w:val="single" w:sz="4" w:space="4" w:color="auto"/>
        </w:pBdr>
        <w:ind w:left="567" w:hanging="567"/>
        <w:outlineLvl w:val="2"/>
        <w:rPr>
          <w:b/>
          <w:bCs/>
          <w:sz w:val="22"/>
          <w:szCs w:val="22"/>
          <w:lang w:eastAsia="lt-LT"/>
        </w:rPr>
      </w:pPr>
      <w:r>
        <w:rPr>
          <w:b/>
          <w:bCs/>
          <w:sz w:val="22"/>
          <w:szCs w:val="22"/>
          <w:lang w:eastAsia="lt-LT"/>
        </w:rPr>
        <w:t>4.</w:t>
      </w:r>
      <w:r>
        <w:rPr>
          <w:b/>
          <w:bCs/>
          <w:sz w:val="22"/>
          <w:szCs w:val="22"/>
          <w:lang w:eastAsia="lt-LT"/>
        </w:rPr>
        <w:tab/>
        <w:t>FARMACINĖ FORMA IR KIEKIS PAKUOTĖJE</w:t>
      </w:r>
    </w:p>
    <w:p w14:paraId="3A56F575" w14:textId="77777777" w:rsidR="00F00A02" w:rsidRDefault="00F00A02">
      <w:pPr>
        <w:widowControl w:val="0"/>
        <w:ind w:left="567" w:hanging="567"/>
        <w:rPr>
          <w:sz w:val="22"/>
          <w:szCs w:val="22"/>
          <w:lang w:eastAsia="lt-LT"/>
        </w:rPr>
      </w:pPr>
    </w:p>
    <w:p w14:paraId="35136B5C" w14:textId="77777777" w:rsidR="00F00A02" w:rsidRDefault="0027659F">
      <w:pPr>
        <w:widowControl w:val="0"/>
        <w:ind w:left="567" w:hanging="567"/>
        <w:rPr>
          <w:sz w:val="22"/>
          <w:szCs w:val="22"/>
          <w:lang w:eastAsia="lt-LT"/>
        </w:rPr>
      </w:pPr>
      <w:r>
        <w:rPr>
          <w:sz w:val="22"/>
          <w:szCs w:val="22"/>
          <w:highlight w:val="lightGray"/>
          <w:lang w:eastAsia="lt-LT"/>
        </w:rPr>
        <w:t>Plėvele dengtos tabletės</w:t>
      </w:r>
    </w:p>
    <w:p w14:paraId="450A8ACE" w14:textId="77777777" w:rsidR="00F00A02" w:rsidRDefault="00F00A02">
      <w:pPr>
        <w:widowControl w:val="0"/>
        <w:ind w:left="567" w:hanging="567"/>
        <w:rPr>
          <w:sz w:val="22"/>
          <w:szCs w:val="22"/>
          <w:lang w:eastAsia="lt-LT"/>
        </w:rPr>
      </w:pPr>
    </w:p>
    <w:p w14:paraId="407BC745" w14:textId="77777777" w:rsidR="00F00A02" w:rsidRDefault="0027659F">
      <w:pPr>
        <w:widowControl w:val="0"/>
        <w:ind w:left="567" w:hanging="567"/>
        <w:rPr>
          <w:sz w:val="22"/>
          <w:szCs w:val="22"/>
          <w:lang w:eastAsia="lt-LT"/>
        </w:rPr>
      </w:pPr>
      <w:r>
        <w:rPr>
          <w:sz w:val="22"/>
          <w:szCs w:val="22"/>
          <w:lang w:eastAsia="lt-LT"/>
        </w:rPr>
        <w:t xml:space="preserve">28 </w:t>
      </w:r>
      <w:r>
        <w:rPr>
          <w:sz w:val="22"/>
          <w:szCs w:val="22"/>
        </w:rPr>
        <w:t xml:space="preserve">plėvele dengtos </w:t>
      </w:r>
      <w:r>
        <w:rPr>
          <w:sz w:val="22"/>
          <w:szCs w:val="22"/>
          <w:lang w:eastAsia="lt-LT"/>
        </w:rPr>
        <w:t>tabletės</w:t>
      </w:r>
    </w:p>
    <w:p w14:paraId="67987203" w14:textId="77777777" w:rsidR="00F00A02" w:rsidRDefault="0027659F">
      <w:pPr>
        <w:widowControl w:val="0"/>
        <w:ind w:left="567" w:hanging="567"/>
        <w:rPr>
          <w:sz w:val="22"/>
          <w:szCs w:val="22"/>
          <w:highlight w:val="lightGray"/>
          <w:lang w:eastAsia="lt-LT"/>
        </w:rPr>
      </w:pPr>
      <w:r>
        <w:rPr>
          <w:sz w:val="22"/>
          <w:szCs w:val="22"/>
          <w:highlight w:val="lightGray"/>
          <w:lang w:eastAsia="lt-LT"/>
        </w:rPr>
        <w:t>56 plėvele dengtos tabletės</w:t>
      </w:r>
    </w:p>
    <w:p w14:paraId="5E5AD606" w14:textId="77777777" w:rsidR="00F00A02" w:rsidRDefault="0027659F">
      <w:pPr>
        <w:widowControl w:val="0"/>
        <w:ind w:left="567" w:hanging="567"/>
        <w:rPr>
          <w:sz w:val="22"/>
          <w:szCs w:val="22"/>
          <w:highlight w:val="lightGray"/>
          <w:lang w:eastAsia="lt-LT"/>
        </w:rPr>
      </w:pPr>
      <w:r>
        <w:rPr>
          <w:sz w:val="22"/>
          <w:szCs w:val="22"/>
          <w:highlight w:val="lightGray"/>
          <w:lang w:eastAsia="lt-LT"/>
        </w:rPr>
        <w:t>84 plėvele dengtos tabletės</w:t>
      </w:r>
    </w:p>
    <w:p w14:paraId="5DD18476" w14:textId="77777777" w:rsidR="00F00A02" w:rsidRDefault="00F00A02">
      <w:pPr>
        <w:widowControl w:val="0"/>
        <w:ind w:left="567" w:hanging="567"/>
        <w:rPr>
          <w:sz w:val="22"/>
          <w:szCs w:val="22"/>
          <w:lang w:eastAsia="lt-LT"/>
        </w:rPr>
      </w:pPr>
    </w:p>
    <w:p w14:paraId="49D38C5E" w14:textId="77777777" w:rsidR="00F00A02" w:rsidRDefault="00F00A02">
      <w:pPr>
        <w:widowControl w:val="0"/>
        <w:ind w:left="567" w:hanging="567"/>
        <w:rPr>
          <w:sz w:val="22"/>
          <w:szCs w:val="22"/>
          <w:lang w:eastAsia="lt-LT"/>
        </w:rPr>
      </w:pPr>
    </w:p>
    <w:p w14:paraId="53BCC265" w14:textId="77777777" w:rsidR="00F00A02" w:rsidRDefault="0027659F">
      <w:pPr>
        <w:widowControl w:val="0"/>
        <w:pBdr>
          <w:top w:val="single" w:sz="4" w:space="1" w:color="auto"/>
          <w:left w:val="single" w:sz="4" w:space="4" w:color="auto"/>
          <w:bottom w:val="single" w:sz="4" w:space="1" w:color="auto"/>
          <w:right w:val="single" w:sz="4" w:space="4" w:color="auto"/>
        </w:pBdr>
        <w:ind w:left="567" w:hanging="567"/>
        <w:outlineLvl w:val="2"/>
        <w:rPr>
          <w:b/>
          <w:bCs/>
          <w:sz w:val="22"/>
          <w:szCs w:val="22"/>
          <w:lang w:eastAsia="lt-LT"/>
        </w:rPr>
      </w:pPr>
      <w:r>
        <w:rPr>
          <w:b/>
          <w:bCs/>
          <w:sz w:val="22"/>
          <w:szCs w:val="22"/>
          <w:lang w:eastAsia="lt-LT"/>
        </w:rPr>
        <w:t>5.</w:t>
      </w:r>
      <w:r>
        <w:rPr>
          <w:b/>
          <w:bCs/>
          <w:sz w:val="22"/>
          <w:szCs w:val="22"/>
          <w:lang w:eastAsia="lt-LT"/>
        </w:rPr>
        <w:tab/>
        <w:t>VARTOJIMO METODAS IR BŪDAS (-AI)</w:t>
      </w:r>
    </w:p>
    <w:p w14:paraId="0B7A8B24" w14:textId="77777777" w:rsidR="00F00A02" w:rsidRDefault="00F00A02">
      <w:pPr>
        <w:widowControl w:val="0"/>
        <w:ind w:left="567" w:hanging="567"/>
        <w:rPr>
          <w:sz w:val="22"/>
          <w:szCs w:val="22"/>
          <w:lang w:eastAsia="lt-LT"/>
        </w:rPr>
      </w:pPr>
    </w:p>
    <w:p w14:paraId="77388D83" w14:textId="77777777" w:rsidR="00F00A02" w:rsidRDefault="0027659F">
      <w:pPr>
        <w:widowControl w:val="0"/>
        <w:ind w:left="567" w:hanging="567"/>
        <w:rPr>
          <w:sz w:val="22"/>
          <w:szCs w:val="22"/>
          <w:lang w:eastAsia="lt-LT"/>
        </w:rPr>
      </w:pPr>
      <w:r>
        <w:rPr>
          <w:sz w:val="22"/>
          <w:szCs w:val="22"/>
          <w:lang w:eastAsia="lt-LT"/>
        </w:rPr>
        <w:t>Vartoti per burną.</w:t>
      </w:r>
    </w:p>
    <w:p w14:paraId="4F99C596" w14:textId="77777777" w:rsidR="00F00A02" w:rsidRDefault="0027659F">
      <w:pPr>
        <w:widowControl w:val="0"/>
        <w:ind w:left="567" w:hanging="567"/>
        <w:rPr>
          <w:sz w:val="22"/>
          <w:szCs w:val="22"/>
          <w:lang w:eastAsia="lt-LT"/>
        </w:rPr>
      </w:pPr>
      <w:r>
        <w:rPr>
          <w:sz w:val="22"/>
          <w:szCs w:val="22"/>
          <w:lang w:eastAsia="lt-LT"/>
        </w:rPr>
        <w:t>Prieš vartojimą perskaitykite pakuotės lapelį.</w:t>
      </w:r>
    </w:p>
    <w:p w14:paraId="593DF404" w14:textId="77777777" w:rsidR="00F00A02" w:rsidRDefault="00F00A02">
      <w:pPr>
        <w:widowControl w:val="0"/>
        <w:ind w:left="567" w:hanging="567"/>
        <w:rPr>
          <w:sz w:val="22"/>
          <w:szCs w:val="22"/>
          <w:lang w:eastAsia="lt-LT"/>
        </w:rPr>
      </w:pPr>
    </w:p>
    <w:p w14:paraId="38C72634" w14:textId="77777777" w:rsidR="00F00A02" w:rsidRDefault="00F00A02">
      <w:pPr>
        <w:widowControl w:val="0"/>
        <w:ind w:left="567" w:hanging="567"/>
        <w:rPr>
          <w:sz w:val="22"/>
          <w:szCs w:val="22"/>
          <w:lang w:eastAsia="lt-LT"/>
        </w:rPr>
      </w:pPr>
    </w:p>
    <w:p w14:paraId="4B11702F" w14:textId="77777777" w:rsidR="00F00A02" w:rsidRDefault="0027659F">
      <w:pPr>
        <w:widowControl w:val="0"/>
        <w:pBdr>
          <w:top w:val="single" w:sz="4" w:space="1" w:color="auto"/>
          <w:left w:val="single" w:sz="4" w:space="4" w:color="auto"/>
          <w:bottom w:val="single" w:sz="4" w:space="1" w:color="auto"/>
          <w:right w:val="single" w:sz="4" w:space="4" w:color="auto"/>
        </w:pBdr>
        <w:ind w:left="567" w:hanging="567"/>
        <w:outlineLvl w:val="2"/>
        <w:rPr>
          <w:b/>
          <w:bCs/>
          <w:sz w:val="22"/>
          <w:szCs w:val="22"/>
          <w:lang w:eastAsia="lt-LT"/>
        </w:rPr>
      </w:pPr>
      <w:r>
        <w:rPr>
          <w:b/>
          <w:bCs/>
          <w:sz w:val="22"/>
          <w:szCs w:val="22"/>
          <w:lang w:eastAsia="lt-LT"/>
        </w:rPr>
        <w:t>6.</w:t>
      </w:r>
      <w:r>
        <w:rPr>
          <w:b/>
          <w:bCs/>
          <w:sz w:val="22"/>
          <w:szCs w:val="22"/>
          <w:lang w:eastAsia="lt-LT"/>
        </w:rPr>
        <w:tab/>
        <w:t>SPECIALUS ĮSPĖJIMAS, KAD VAISTINĮ PREPARATĄ BŪTINA LAIKYTI VAIKAMS NEPASTEBIMOJE IR NEPASIEKIAMOJE VIETOJE</w:t>
      </w:r>
    </w:p>
    <w:p w14:paraId="77098600" w14:textId="77777777" w:rsidR="00F00A02" w:rsidRDefault="00F00A02">
      <w:pPr>
        <w:widowControl w:val="0"/>
        <w:ind w:left="567" w:hanging="567"/>
        <w:rPr>
          <w:sz w:val="22"/>
          <w:szCs w:val="22"/>
          <w:lang w:eastAsia="lt-LT"/>
        </w:rPr>
      </w:pPr>
    </w:p>
    <w:p w14:paraId="4366A06A" w14:textId="77777777" w:rsidR="00F00A02" w:rsidRDefault="0027659F">
      <w:pPr>
        <w:widowControl w:val="0"/>
        <w:ind w:left="567" w:hanging="567"/>
        <w:rPr>
          <w:sz w:val="22"/>
          <w:szCs w:val="22"/>
          <w:lang w:eastAsia="lt-LT"/>
        </w:rPr>
      </w:pPr>
      <w:r>
        <w:rPr>
          <w:sz w:val="22"/>
          <w:szCs w:val="22"/>
          <w:lang w:eastAsia="lt-LT"/>
        </w:rPr>
        <w:t>Laikyti vaikams nepastebimoje ir nepasiekiamoje vietoje.</w:t>
      </w:r>
    </w:p>
    <w:p w14:paraId="5324EA6F" w14:textId="77777777" w:rsidR="00F00A02" w:rsidRDefault="00F00A02">
      <w:pPr>
        <w:widowControl w:val="0"/>
        <w:ind w:left="567" w:hanging="567"/>
        <w:rPr>
          <w:sz w:val="22"/>
          <w:szCs w:val="22"/>
          <w:lang w:eastAsia="lt-LT"/>
        </w:rPr>
      </w:pPr>
    </w:p>
    <w:p w14:paraId="4A427BB1" w14:textId="77777777" w:rsidR="00F00A02" w:rsidRDefault="00F00A02">
      <w:pPr>
        <w:widowControl w:val="0"/>
        <w:ind w:left="567" w:hanging="567"/>
        <w:rPr>
          <w:sz w:val="22"/>
          <w:szCs w:val="22"/>
          <w:lang w:eastAsia="lt-LT"/>
        </w:rPr>
      </w:pPr>
    </w:p>
    <w:p w14:paraId="73900732" w14:textId="77777777" w:rsidR="00F00A02" w:rsidRDefault="0027659F">
      <w:pPr>
        <w:widowControl w:val="0"/>
        <w:pBdr>
          <w:top w:val="single" w:sz="4" w:space="1" w:color="auto"/>
          <w:left w:val="single" w:sz="4" w:space="4" w:color="auto"/>
          <w:bottom w:val="single" w:sz="4" w:space="1" w:color="auto"/>
          <w:right w:val="single" w:sz="4" w:space="4" w:color="auto"/>
        </w:pBdr>
        <w:ind w:left="567" w:hanging="567"/>
        <w:outlineLvl w:val="2"/>
        <w:rPr>
          <w:b/>
          <w:bCs/>
          <w:sz w:val="22"/>
          <w:szCs w:val="22"/>
          <w:lang w:eastAsia="lt-LT"/>
        </w:rPr>
      </w:pPr>
      <w:r>
        <w:rPr>
          <w:b/>
          <w:bCs/>
          <w:sz w:val="22"/>
          <w:szCs w:val="22"/>
          <w:lang w:eastAsia="lt-LT"/>
        </w:rPr>
        <w:t>7.</w:t>
      </w:r>
      <w:r>
        <w:rPr>
          <w:b/>
          <w:bCs/>
          <w:sz w:val="22"/>
          <w:szCs w:val="22"/>
          <w:lang w:eastAsia="lt-LT"/>
        </w:rPr>
        <w:tab/>
        <w:t>KITAS SPECIALUS ĮSPĖJIMAS (JEI REIKIA)</w:t>
      </w:r>
    </w:p>
    <w:p w14:paraId="7770F775" w14:textId="77777777" w:rsidR="00F00A02" w:rsidRDefault="00F00A02">
      <w:pPr>
        <w:widowControl w:val="0"/>
        <w:ind w:left="567" w:hanging="567"/>
        <w:rPr>
          <w:sz w:val="22"/>
          <w:szCs w:val="22"/>
          <w:lang w:eastAsia="lt-LT"/>
        </w:rPr>
      </w:pPr>
    </w:p>
    <w:p w14:paraId="43D22BBB" w14:textId="77777777" w:rsidR="00F00A02" w:rsidRDefault="00F00A02">
      <w:pPr>
        <w:widowControl w:val="0"/>
        <w:ind w:left="567" w:hanging="567"/>
        <w:rPr>
          <w:sz w:val="22"/>
          <w:szCs w:val="22"/>
          <w:lang w:eastAsia="lt-LT"/>
        </w:rPr>
      </w:pPr>
    </w:p>
    <w:p w14:paraId="70E471E2" w14:textId="77777777" w:rsidR="00F00A02" w:rsidRDefault="0027659F">
      <w:pPr>
        <w:widowControl w:val="0"/>
        <w:pBdr>
          <w:top w:val="single" w:sz="4" w:space="1" w:color="auto"/>
          <w:left w:val="single" w:sz="4" w:space="4" w:color="auto"/>
          <w:bottom w:val="single" w:sz="4" w:space="1" w:color="auto"/>
          <w:right w:val="single" w:sz="4" w:space="4" w:color="auto"/>
        </w:pBdr>
        <w:ind w:left="567" w:hanging="567"/>
        <w:outlineLvl w:val="2"/>
        <w:rPr>
          <w:b/>
          <w:bCs/>
          <w:sz w:val="22"/>
          <w:szCs w:val="22"/>
          <w:lang w:eastAsia="lt-LT"/>
        </w:rPr>
      </w:pPr>
      <w:r>
        <w:rPr>
          <w:b/>
          <w:bCs/>
          <w:sz w:val="22"/>
          <w:szCs w:val="22"/>
          <w:lang w:eastAsia="lt-LT"/>
        </w:rPr>
        <w:t>8.</w:t>
      </w:r>
      <w:r>
        <w:rPr>
          <w:b/>
          <w:bCs/>
          <w:sz w:val="22"/>
          <w:szCs w:val="22"/>
          <w:lang w:eastAsia="lt-LT"/>
        </w:rPr>
        <w:tab/>
        <w:t>TINKAMUMO LAIKAS</w:t>
      </w:r>
    </w:p>
    <w:p w14:paraId="06F1D9D9" w14:textId="77777777" w:rsidR="00F00A02" w:rsidRDefault="00F00A02">
      <w:pPr>
        <w:widowControl w:val="0"/>
        <w:ind w:left="567" w:hanging="567"/>
        <w:rPr>
          <w:sz w:val="22"/>
          <w:szCs w:val="22"/>
          <w:lang w:eastAsia="lt-LT"/>
        </w:rPr>
      </w:pPr>
    </w:p>
    <w:p w14:paraId="073F1F4B" w14:textId="77777777" w:rsidR="00F00A02" w:rsidRDefault="0027659F">
      <w:pPr>
        <w:widowControl w:val="0"/>
        <w:ind w:left="567" w:hanging="567"/>
        <w:rPr>
          <w:sz w:val="22"/>
          <w:szCs w:val="22"/>
          <w:lang w:eastAsia="lt-LT"/>
        </w:rPr>
      </w:pPr>
      <w:r>
        <w:rPr>
          <w:sz w:val="22"/>
          <w:szCs w:val="22"/>
          <w:lang w:eastAsia="lt-LT"/>
        </w:rPr>
        <w:t>EXP</w:t>
      </w:r>
    </w:p>
    <w:p w14:paraId="1BA04256" w14:textId="77777777" w:rsidR="00F00A02" w:rsidRDefault="0027659F">
      <w:pPr>
        <w:widowControl w:val="0"/>
        <w:ind w:left="567" w:hanging="567"/>
        <w:rPr>
          <w:sz w:val="22"/>
          <w:szCs w:val="22"/>
          <w:lang w:eastAsia="lt-LT"/>
        </w:rPr>
      </w:pPr>
      <w:r>
        <w:rPr>
          <w:sz w:val="22"/>
          <w:szCs w:val="22"/>
          <w:highlight w:val="lightGray"/>
          <w:lang w:eastAsia="lt-LT"/>
        </w:rPr>
        <w:t>Tinka iki {mm/MMMM}</w:t>
      </w:r>
    </w:p>
    <w:p w14:paraId="6E1D98A8" w14:textId="77777777" w:rsidR="00F00A02" w:rsidRDefault="00F00A02">
      <w:pPr>
        <w:widowControl w:val="0"/>
        <w:ind w:left="567" w:hanging="567"/>
        <w:rPr>
          <w:sz w:val="22"/>
          <w:szCs w:val="22"/>
          <w:lang w:eastAsia="lt-LT"/>
        </w:rPr>
      </w:pPr>
    </w:p>
    <w:p w14:paraId="007666D0" w14:textId="77777777" w:rsidR="00F00A02" w:rsidRDefault="00F00A02">
      <w:pPr>
        <w:widowControl w:val="0"/>
        <w:ind w:left="567" w:hanging="567"/>
        <w:rPr>
          <w:sz w:val="22"/>
          <w:szCs w:val="22"/>
          <w:lang w:eastAsia="lt-LT"/>
        </w:rPr>
      </w:pPr>
    </w:p>
    <w:p w14:paraId="5952DDC0" w14:textId="77777777" w:rsidR="00F00A02" w:rsidRDefault="0027659F">
      <w:pPr>
        <w:widowControl w:val="0"/>
        <w:pBdr>
          <w:top w:val="single" w:sz="4" w:space="1" w:color="auto"/>
          <w:left w:val="single" w:sz="4" w:space="4" w:color="auto"/>
          <w:bottom w:val="single" w:sz="4" w:space="1" w:color="auto"/>
          <w:right w:val="single" w:sz="4" w:space="4" w:color="auto"/>
        </w:pBdr>
        <w:ind w:left="567" w:hanging="567"/>
        <w:outlineLvl w:val="2"/>
        <w:rPr>
          <w:b/>
          <w:bCs/>
          <w:sz w:val="22"/>
          <w:szCs w:val="22"/>
          <w:lang w:eastAsia="lt-LT"/>
        </w:rPr>
      </w:pPr>
      <w:r>
        <w:rPr>
          <w:b/>
          <w:bCs/>
          <w:sz w:val="22"/>
          <w:szCs w:val="22"/>
          <w:lang w:eastAsia="lt-LT"/>
        </w:rPr>
        <w:t>9.</w:t>
      </w:r>
      <w:r>
        <w:rPr>
          <w:b/>
          <w:bCs/>
          <w:sz w:val="22"/>
          <w:szCs w:val="22"/>
          <w:lang w:eastAsia="lt-LT"/>
        </w:rPr>
        <w:tab/>
        <w:t>SPECIALIOS LAIKYMO SĄLYGOS</w:t>
      </w:r>
    </w:p>
    <w:p w14:paraId="5B1204B0" w14:textId="77777777" w:rsidR="00F00A02" w:rsidRDefault="00F00A02">
      <w:pPr>
        <w:widowControl w:val="0"/>
        <w:ind w:left="567" w:hanging="567"/>
        <w:rPr>
          <w:sz w:val="22"/>
          <w:szCs w:val="22"/>
          <w:lang w:eastAsia="lt-LT"/>
        </w:rPr>
      </w:pPr>
    </w:p>
    <w:p w14:paraId="5D4AB57E" w14:textId="77777777" w:rsidR="00F00A02" w:rsidRDefault="0027659F">
      <w:pPr>
        <w:widowControl w:val="0"/>
        <w:rPr>
          <w:sz w:val="22"/>
          <w:szCs w:val="22"/>
          <w:lang w:eastAsia="lt-LT"/>
        </w:rPr>
      </w:pPr>
      <w:r>
        <w:rPr>
          <w:sz w:val="22"/>
          <w:szCs w:val="22"/>
          <w:lang w:eastAsia="lt-LT"/>
        </w:rPr>
        <w:t>Laikyti ne aukštesnėje kaip 30 </w:t>
      </w:r>
      <w:r>
        <w:rPr>
          <w:sz w:val="22"/>
          <w:szCs w:val="22"/>
          <w:lang w:eastAsia="lt-LT"/>
        </w:rPr>
        <w:sym w:font="Symbol" w:char="F0B0"/>
      </w:r>
      <w:r>
        <w:rPr>
          <w:sz w:val="22"/>
          <w:szCs w:val="22"/>
          <w:lang w:eastAsia="lt-LT"/>
        </w:rPr>
        <w:t>C temperatūroje.</w:t>
      </w:r>
    </w:p>
    <w:p w14:paraId="16218FA6" w14:textId="77777777" w:rsidR="00F00A02" w:rsidRDefault="0027659F">
      <w:pPr>
        <w:widowControl w:val="0"/>
        <w:rPr>
          <w:sz w:val="22"/>
          <w:szCs w:val="22"/>
          <w:lang w:eastAsia="lt-LT"/>
        </w:rPr>
      </w:pPr>
      <w:r>
        <w:rPr>
          <w:sz w:val="22"/>
          <w:szCs w:val="22"/>
          <w:lang w:eastAsia="lt-LT"/>
        </w:rPr>
        <w:lastRenderedPageBreak/>
        <w:t>Laikyti gamintojo pakuotėje, kad vaistas būtų apsaugotas nuo drėgmės.</w:t>
      </w:r>
    </w:p>
    <w:p w14:paraId="209083DC" w14:textId="77777777" w:rsidR="00F00A02" w:rsidRDefault="00F00A02">
      <w:pPr>
        <w:widowControl w:val="0"/>
        <w:rPr>
          <w:sz w:val="22"/>
          <w:szCs w:val="22"/>
          <w:lang w:eastAsia="lt-LT"/>
        </w:rPr>
      </w:pPr>
    </w:p>
    <w:p w14:paraId="631F5D5F" w14:textId="77777777" w:rsidR="00F00A02" w:rsidRDefault="00F00A02">
      <w:pPr>
        <w:widowControl w:val="0"/>
        <w:rPr>
          <w:sz w:val="22"/>
          <w:szCs w:val="22"/>
          <w:lang w:eastAsia="lt-LT"/>
        </w:rPr>
      </w:pPr>
    </w:p>
    <w:p w14:paraId="454DE62B" w14:textId="77777777" w:rsidR="00F00A02" w:rsidRDefault="0027659F">
      <w:pPr>
        <w:widowControl w:val="0"/>
        <w:pBdr>
          <w:top w:val="single" w:sz="4" w:space="1" w:color="auto"/>
          <w:left w:val="single" w:sz="4" w:space="4" w:color="auto"/>
          <w:bottom w:val="single" w:sz="4" w:space="1" w:color="auto"/>
          <w:right w:val="single" w:sz="4" w:space="4" w:color="auto"/>
        </w:pBdr>
        <w:ind w:left="567" w:hanging="567"/>
        <w:outlineLvl w:val="2"/>
        <w:rPr>
          <w:b/>
          <w:bCs/>
          <w:sz w:val="22"/>
          <w:szCs w:val="22"/>
          <w:lang w:eastAsia="lt-LT"/>
        </w:rPr>
      </w:pPr>
      <w:r>
        <w:rPr>
          <w:b/>
          <w:bCs/>
          <w:sz w:val="22"/>
          <w:szCs w:val="22"/>
          <w:lang w:eastAsia="lt-LT"/>
        </w:rPr>
        <w:t>10.</w:t>
      </w:r>
      <w:r>
        <w:rPr>
          <w:b/>
          <w:bCs/>
          <w:sz w:val="22"/>
          <w:szCs w:val="22"/>
          <w:lang w:eastAsia="lt-LT"/>
        </w:rPr>
        <w:tab/>
        <w:t>SPECIALIOS ATSARGUMO PRIEMONĖS DĖL NESUVARTOTO VAISTINIO PREPARATO AR JO ATLIEKŲ (JEI REIKIA)</w:t>
      </w:r>
    </w:p>
    <w:p w14:paraId="5883E599" w14:textId="77777777" w:rsidR="00F00A02" w:rsidRDefault="00F00A02">
      <w:pPr>
        <w:widowControl w:val="0"/>
        <w:ind w:left="567" w:hanging="567"/>
        <w:rPr>
          <w:sz w:val="22"/>
          <w:szCs w:val="22"/>
          <w:lang w:eastAsia="lt-LT"/>
        </w:rPr>
      </w:pPr>
    </w:p>
    <w:p w14:paraId="570C0096" w14:textId="77777777" w:rsidR="00F00A02" w:rsidRDefault="00F00A02">
      <w:pPr>
        <w:widowControl w:val="0"/>
        <w:ind w:left="567" w:hanging="567"/>
        <w:rPr>
          <w:sz w:val="22"/>
          <w:szCs w:val="22"/>
          <w:lang w:eastAsia="lt-LT"/>
        </w:rPr>
      </w:pPr>
    </w:p>
    <w:p w14:paraId="027F6AD0" w14:textId="77777777" w:rsidR="00F00A02" w:rsidRDefault="0027659F">
      <w:pPr>
        <w:widowControl w:val="0"/>
        <w:pBdr>
          <w:top w:val="single" w:sz="4" w:space="1" w:color="auto"/>
          <w:left w:val="single" w:sz="4" w:space="4" w:color="auto"/>
          <w:bottom w:val="single" w:sz="4" w:space="1" w:color="auto"/>
          <w:right w:val="single" w:sz="4" w:space="4" w:color="auto"/>
        </w:pBdr>
        <w:ind w:left="567" w:hanging="567"/>
        <w:outlineLvl w:val="2"/>
        <w:rPr>
          <w:b/>
          <w:bCs/>
          <w:sz w:val="22"/>
          <w:szCs w:val="22"/>
          <w:lang w:eastAsia="lt-LT"/>
        </w:rPr>
      </w:pPr>
      <w:r>
        <w:rPr>
          <w:b/>
          <w:bCs/>
          <w:sz w:val="22"/>
          <w:szCs w:val="22"/>
          <w:lang w:eastAsia="lt-LT"/>
        </w:rPr>
        <w:t>11.</w:t>
      </w:r>
      <w:r>
        <w:rPr>
          <w:b/>
          <w:bCs/>
          <w:sz w:val="22"/>
          <w:szCs w:val="22"/>
          <w:lang w:eastAsia="lt-LT"/>
        </w:rPr>
        <w:tab/>
      </w:r>
      <w:r>
        <w:rPr>
          <w:b/>
          <w:sz w:val="22"/>
          <w:szCs w:val="22"/>
        </w:rPr>
        <w:t>REGISTRUOTOJO</w:t>
      </w:r>
      <w:r>
        <w:rPr>
          <w:b/>
          <w:bCs/>
          <w:sz w:val="22"/>
          <w:szCs w:val="22"/>
          <w:lang w:eastAsia="lt-LT"/>
        </w:rPr>
        <w:t xml:space="preserve"> PAVADINIMAS IR ADRESAS</w:t>
      </w:r>
    </w:p>
    <w:p w14:paraId="6D316BC0" w14:textId="77777777" w:rsidR="00F00A02" w:rsidRDefault="00F00A02">
      <w:pPr>
        <w:widowControl w:val="0"/>
        <w:ind w:left="567" w:hanging="567"/>
        <w:rPr>
          <w:sz w:val="22"/>
          <w:szCs w:val="22"/>
          <w:lang w:eastAsia="lt-LT"/>
        </w:rPr>
      </w:pPr>
    </w:p>
    <w:p w14:paraId="1BFF9BD1" w14:textId="77777777" w:rsidR="00F00A02" w:rsidRDefault="0027659F">
      <w:pPr>
        <w:widowControl w:val="0"/>
        <w:ind w:left="567" w:hanging="567"/>
        <w:rPr>
          <w:sz w:val="22"/>
          <w:szCs w:val="22"/>
          <w:lang w:eastAsia="lt-LT"/>
        </w:rPr>
      </w:pPr>
      <w:r>
        <w:rPr>
          <w:bCs/>
          <w:sz w:val="22"/>
          <w:szCs w:val="22"/>
          <w:lang w:eastAsia="lt-LT"/>
        </w:rPr>
        <w:t xml:space="preserve">KRKA, d.d., Novo mesto, Šmarješka cesta 6, </w:t>
      </w:r>
      <w:r>
        <w:rPr>
          <w:sz w:val="22"/>
          <w:szCs w:val="22"/>
          <w:lang w:eastAsia="lt-LT"/>
        </w:rPr>
        <w:t xml:space="preserve">8501 Novo mesto, </w:t>
      </w:r>
      <w:r>
        <w:rPr>
          <w:bCs/>
          <w:sz w:val="22"/>
          <w:szCs w:val="22"/>
          <w:lang w:eastAsia="lt-LT"/>
        </w:rPr>
        <w:t>Slovėnija</w:t>
      </w:r>
    </w:p>
    <w:p w14:paraId="38095D18" w14:textId="77777777" w:rsidR="00F00A02" w:rsidRDefault="00F00A02">
      <w:pPr>
        <w:widowControl w:val="0"/>
        <w:ind w:left="567" w:hanging="567"/>
        <w:rPr>
          <w:sz w:val="22"/>
          <w:szCs w:val="22"/>
          <w:lang w:eastAsia="lt-LT"/>
        </w:rPr>
      </w:pPr>
    </w:p>
    <w:p w14:paraId="5A453616" w14:textId="77777777" w:rsidR="00F00A02" w:rsidRDefault="00F00A02">
      <w:pPr>
        <w:widowControl w:val="0"/>
        <w:ind w:left="567" w:hanging="567"/>
        <w:rPr>
          <w:sz w:val="22"/>
          <w:szCs w:val="22"/>
          <w:lang w:eastAsia="lt-LT"/>
        </w:rPr>
      </w:pPr>
    </w:p>
    <w:p w14:paraId="2C38D810" w14:textId="77777777" w:rsidR="00F00A02" w:rsidRDefault="0027659F">
      <w:pPr>
        <w:widowControl w:val="0"/>
        <w:pBdr>
          <w:top w:val="single" w:sz="4" w:space="1" w:color="auto"/>
          <w:left w:val="single" w:sz="4" w:space="4" w:color="auto"/>
          <w:bottom w:val="single" w:sz="4" w:space="1" w:color="auto"/>
          <w:right w:val="single" w:sz="4" w:space="4" w:color="auto"/>
        </w:pBdr>
        <w:ind w:left="567" w:hanging="567"/>
        <w:outlineLvl w:val="2"/>
        <w:rPr>
          <w:b/>
          <w:bCs/>
          <w:sz w:val="22"/>
          <w:szCs w:val="22"/>
          <w:lang w:eastAsia="lt-LT"/>
        </w:rPr>
      </w:pPr>
      <w:r>
        <w:rPr>
          <w:b/>
          <w:bCs/>
          <w:sz w:val="22"/>
          <w:szCs w:val="22"/>
          <w:lang w:eastAsia="lt-LT"/>
        </w:rPr>
        <w:t>12.</w:t>
      </w:r>
      <w:r>
        <w:rPr>
          <w:b/>
          <w:bCs/>
          <w:sz w:val="22"/>
          <w:szCs w:val="22"/>
          <w:lang w:eastAsia="lt-LT"/>
        </w:rPr>
        <w:tab/>
      </w:r>
      <w:r>
        <w:rPr>
          <w:b/>
          <w:sz w:val="22"/>
          <w:szCs w:val="22"/>
        </w:rPr>
        <w:t>REGISTRACIJOS</w:t>
      </w:r>
      <w:r>
        <w:rPr>
          <w:b/>
          <w:bCs/>
          <w:sz w:val="22"/>
          <w:szCs w:val="22"/>
          <w:lang w:eastAsia="lt-LT"/>
        </w:rPr>
        <w:t xml:space="preserve"> PAŽYMĖJIMO NUMERIS (-IAI)</w:t>
      </w:r>
    </w:p>
    <w:p w14:paraId="1BC5B123" w14:textId="77777777" w:rsidR="00F00A02" w:rsidRDefault="00F00A02">
      <w:pPr>
        <w:widowControl w:val="0"/>
        <w:ind w:left="567" w:hanging="567"/>
        <w:rPr>
          <w:sz w:val="22"/>
          <w:szCs w:val="22"/>
          <w:lang w:eastAsia="lt-LT"/>
        </w:rPr>
      </w:pPr>
    </w:p>
    <w:p w14:paraId="0A293E98" w14:textId="77777777" w:rsidR="00F00A02" w:rsidRDefault="0027659F">
      <w:pPr>
        <w:widowControl w:val="0"/>
        <w:rPr>
          <w:bCs/>
          <w:sz w:val="22"/>
          <w:szCs w:val="22"/>
          <w:lang w:eastAsia="lt-LT"/>
        </w:rPr>
      </w:pPr>
      <w:r>
        <w:rPr>
          <w:bCs/>
          <w:sz w:val="22"/>
          <w:szCs w:val="22"/>
          <w:lang w:eastAsia="lt-LT"/>
        </w:rPr>
        <w:t xml:space="preserve">LT/1/01/2983/001 </w:t>
      </w:r>
      <w:r>
        <w:rPr>
          <w:bCs/>
          <w:sz w:val="22"/>
          <w:szCs w:val="22"/>
          <w:highlight w:val="lightGray"/>
          <w:lang w:eastAsia="lt-LT"/>
        </w:rPr>
        <w:t>– N28</w:t>
      </w:r>
    </w:p>
    <w:p w14:paraId="6B530D81" w14:textId="77777777" w:rsidR="00F00A02" w:rsidRDefault="0027659F">
      <w:pPr>
        <w:widowControl w:val="0"/>
        <w:rPr>
          <w:bCs/>
          <w:sz w:val="22"/>
          <w:szCs w:val="22"/>
          <w:highlight w:val="lightGray"/>
          <w:lang w:eastAsia="lt-LT"/>
        </w:rPr>
      </w:pPr>
      <w:r>
        <w:rPr>
          <w:bCs/>
          <w:sz w:val="22"/>
          <w:szCs w:val="22"/>
          <w:highlight w:val="lightGray"/>
          <w:lang w:eastAsia="lt-LT"/>
        </w:rPr>
        <w:t>LT/1/01/2983/002 – N56</w:t>
      </w:r>
    </w:p>
    <w:p w14:paraId="6C3A0838" w14:textId="77777777" w:rsidR="00F00A02" w:rsidRDefault="0027659F">
      <w:pPr>
        <w:widowControl w:val="0"/>
        <w:rPr>
          <w:bCs/>
          <w:sz w:val="22"/>
          <w:szCs w:val="22"/>
          <w:lang w:eastAsia="lt-LT"/>
        </w:rPr>
      </w:pPr>
      <w:r>
        <w:rPr>
          <w:bCs/>
          <w:sz w:val="22"/>
          <w:szCs w:val="22"/>
          <w:highlight w:val="lightGray"/>
          <w:lang w:eastAsia="lt-LT"/>
        </w:rPr>
        <w:t>LT/1/01/2983/003 – N84</w:t>
      </w:r>
    </w:p>
    <w:p w14:paraId="095A3E03" w14:textId="77777777" w:rsidR="00F00A02" w:rsidRDefault="00F00A02">
      <w:pPr>
        <w:widowControl w:val="0"/>
        <w:ind w:left="567" w:hanging="567"/>
        <w:rPr>
          <w:sz w:val="22"/>
          <w:szCs w:val="22"/>
          <w:lang w:eastAsia="lt-LT"/>
        </w:rPr>
      </w:pPr>
    </w:p>
    <w:p w14:paraId="6609C1B2" w14:textId="77777777" w:rsidR="00F00A02" w:rsidRDefault="00F00A02">
      <w:pPr>
        <w:widowControl w:val="0"/>
        <w:ind w:left="567" w:hanging="567"/>
        <w:rPr>
          <w:sz w:val="22"/>
          <w:szCs w:val="22"/>
          <w:lang w:eastAsia="lt-LT"/>
        </w:rPr>
      </w:pPr>
    </w:p>
    <w:p w14:paraId="1F58A3E1" w14:textId="77777777" w:rsidR="00F00A02" w:rsidRDefault="0027659F">
      <w:pPr>
        <w:widowControl w:val="0"/>
        <w:pBdr>
          <w:top w:val="single" w:sz="4" w:space="1" w:color="auto"/>
          <w:left w:val="single" w:sz="4" w:space="4" w:color="auto"/>
          <w:bottom w:val="single" w:sz="4" w:space="1" w:color="auto"/>
          <w:right w:val="single" w:sz="4" w:space="4" w:color="auto"/>
        </w:pBdr>
        <w:ind w:left="567" w:hanging="567"/>
        <w:outlineLvl w:val="2"/>
        <w:rPr>
          <w:b/>
          <w:bCs/>
          <w:sz w:val="22"/>
          <w:szCs w:val="22"/>
          <w:lang w:eastAsia="lt-LT"/>
        </w:rPr>
      </w:pPr>
      <w:r>
        <w:rPr>
          <w:b/>
          <w:bCs/>
          <w:sz w:val="22"/>
          <w:szCs w:val="22"/>
          <w:lang w:eastAsia="lt-LT"/>
        </w:rPr>
        <w:t>13.</w:t>
      </w:r>
      <w:r>
        <w:rPr>
          <w:b/>
          <w:bCs/>
          <w:sz w:val="22"/>
          <w:szCs w:val="22"/>
          <w:lang w:eastAsia="lt-LT"/>
        </w:rPr>
        <w:tab/>
        <w:t>SERIJOS NUMERIS</w:t>
      </w:r>
    </w:p>
    <w:p w14:paraId="2693BCE4" w14:textId="77777777" w:rsidR="00F00A02" w:rsidRDefault="00F00A02">
      <w:pPr>
        <w:widowControl w:val="0"/>
        <w:ind w:left="567" w:hanging="567"/>
        <w:rPr>
          <w:sz w:val="22"/>
          <w:szCs w:val="22"/>
          <w:lang w:eastAsia="lt-LT"/>
        </w:rPr>
      </w:pPr>
    </w:p>
    <w:p w14:paraId="0CC23B9E" w14:textId="77777777" w:rsidR="00F00A02" w:rsidRDefault="0027659F">
      <w:pPr>
        <w:widowControl w:val="0"/>
        <w:ind w:left="567" w:hanging="567"/>
        <w:rPr>
          <w:sz w:val="22"/>
          <w:szCs w:val="22"/>
          <w:lang w:eastAsia="lt-LT"/>
        </w:rPr>
      </w:pPr>
      <w:r>
        <w:rPr>
          <w:sz w:val="22"/>
          <w:szCs w:val="22"/>
          <w:lang w:eastAsia="lt-LT"/>
        </w:rPr>
        <w:t>Lot</w:t>
      </w:r>
    </w:p>
    <w:p w14:paraId="1275C623" w14:textId="77777777" w:rsidR="00F00A02" w:rsidRDefault="0027659F">
      <w:pPr>
        <w:widowControl w:val="0"/>
        <w:ind w:left="567" w:hanging="567"/>
        <w:rPr>
          <w:sz w:val="22"/>
          <w:szCs w:val="22"/>
          <w:lang w:eastAsia="lt-LT"/>
        </w:rPr>
      </w:pPr>
      <w:r>
        <w:rPr>
          <w:sz w:val="22"/>
          <w:szCs w:val="22"/>
          <w:highlight w:val="lightGray"/>
          <w:lang w:eastAsia="lt-LT"/>
        </w:rPr>
        <w:t>Serija (numeris)</w:t>
      </w:r>
    </w:p>
    <w:p w14:paraId="4B3EE6DC" w14:textId="77777777" w:rsidR="00F00A02" w:rsidRDefault="00F00A02">
      <w:pPr>
        <w:widowControl w:val="0"/>
        <w:ind w:left="567" w:hanging="567"/>
        <w:rPr>
          <w:sz w:val="22"/>
          <w:szCs w:val="22"/>
          <w:lang w:eastAsia="lt-LT"/>
        </w:rPr>
      </w:pPr>
    </w:p>
    <w:p w14:paraId="472B5DF6" w14:textId="77777777" w:rsidR="00F00A02" w:rsidRDefault="00F00A02">
      <w:pPr>
        <w:widowControl w:val="0"/>
        <w:ind w:left="567" w:hanging="567"/>
        <w:rPr>
          <w:sz w:val="22"/>
          <w:szCs w:val="22"/>
          <w:lang w:eastAsia="lt-LT"/>
        </w:rPr>
      </w:pPr>
    </w:p>
    <w:p w14:paraId="65C0909D" w14:textId="77777777" w:rsidR="00F00A02" w:rsidRDefault="0027659F">
      <w:pPr>
        <w:widowControl w:val="0"/>
        <w:pBdr>
          <w:top w:val="single" w:sz="4" w:space="1" w:color="auto"/>
          <w:left w:val="single" w:sz="4" w:space="4" w:color="auto"/>
          <w:bottom w:val="single" w:sz="4" w:space="1" w:color="auto"/>
          <w:right w:val="single" w:sz="4" w:space="4" w:color="auto"/>
        </w:pBdr>
        <w:ind w:left="567" w:hanging="567"/>
        <w:outlineLvl w:val="2"/>
        <w:rPr>
          <w:b/>
          <w:bCs/>
          <w:sz w:val="22"/>
          <w:szCs w:val="22"/>
          <w:lang w:eastAsia="lt-LT"/>
        </w:rPr>
      </w:pPr>
      <w:r>
        <w:rPr>
          <w:b/>
          <w:bCs/>
          <w:sz w:val="22"/>
          <w:szCs w:val="22"/>
          <w:lang w:eastAsia="lt-LT"/>
        </w:rPr>
        <w:t>14.</w:t>
      </w:r>
      <w:r>
        <w:rPr>
          <w:b/>
          <w:bCs/>
          <w:sz w:val="22"/>
          <w:szCs w:val="22"/>
          <w:lang w:eastAsia="lt-LT"/>
        </w:rPr>
        <w:tab/>
        <w:t>PARDAVIMO (IŠDAVIMO) TVARKA</w:t>
      </w:r>
    </w:p>
    <w:p w14:paraId="2778C69B" w14:textId="77777777" w:rsidR="00F00A02" w:rsidRDefault="00F00A02">
      <w:pPr>
        <w:widowControl w:val="0"/>
        <w:ind w:left="567" w:hanging="567"/>
        <w:rPr>
          <w:sz w:val="22"/>
          <w:szCs w:val="22"/>
          <w:lang w:eastAsia="lt-LT"/>
        </w:rPr>
      </w:pPr>
    </w:p>
    <w:p w14:paraId="5F67ED8A" w14:textId="77777777" w:rsidR="00F00A02" w:rsidRDefault="0027659F">
      <w:pPr>
        <w:widowControl w:val="0"/>
        <w:ind w:left="567" w:hanging="567"/>
        <w:rPr>
          <w:sz w:val="22"/>
          <w:szCs w:val="22"/>
          <w:lang w:eastAsia="lt-LT"/>
        </w:rPr>
      </w:pPr>
      <w:r>
        <w:rPr>
          <w:sz w:val="22"/>
          <w:szCs w:val="22"/>
          <w:lang w:eastAsia="lt-LT"/>
        </w:rPr>
        <w:t xml:space="preserve">Receptinis </w:t>
      </w:r>
      <w:r>
        <w:rPr>
          <w:sz w:val="22"/>
          <w:szCs w:val="22"/>
        </w:rPr>
        <w:t>vaistas</w:t>
      </w:r>
      <w:r>
        <w:rPr>
          <w:sz w:val="22"/>
          <w:szCs w:val="22"/>
          <w:lang w:eastAsia="lt-LT"/>
        </w:rPr>
        <w:t>.</w:t>
      </w:r>
    </w:p>
    <w:p w14:paraId="3110C10B" w14:textId="77777777" w:rsidR="00F00A02" w:rsidRDefault="00F00A02">
      <w:pPr>
        <w:widowControl w:val="0"/>
        <w:ind w:left="567" w:hanging="567"/>
        <w:rPr>
          <w:sz w:val="22"/>
          <w:szCs w:val="22"/>
          <w:lang w:eastAsia="lt-LT"/>
        </w:rPr>
      </w:pPr>
    </w:p>
    <w:p w14:paraId="6ACA8AC6" w14:textId="77777777" w:rsidR="00F00A02" w:rsidRDefault="00F00A02">
      <w:pPr>
        <w:widowControl w:val="0"/>
        <w:ind w:left="567" w:hanging="567"/>
        <w:rPr>
          <w:sz w:val="22"/>
          <w:szCs w:val="22"/>
          <w:lang w:eastAsia="lt-LT"/>
        </w:rPr>
      </w:pPr>
    </w:p>
    <w:p w14:paraId="773ACE94" w14:textId="77777777" w:rsidR="00F00A02" w:rsidRDefault="0027659F">
      <w:pPr>
        <w:widowControl w:val="0"/>
        <w:pBdr>
          <w:top w:val="single" w:sz="4" w:space="1" w:color="auto"/>
          <w:left w:val="single" w:sz="4" w:space="4" w:color="auto"/>
          <w:bottom w:val="single" w:sz="4" w:space="1" w:color="auto"/>
          <w:right w:val="single" w:sz="4" w:space="4" w:color="auto"/>
        </w:pBdr>
        <w:ind w:left="567" w:hanging="567"/>
        <w:outlineLvl w:val="2"/>
        <w:rPr>
          <w:b/>
          <w:bCs/>
          <w:sz w:val="22"/>
          <w:szCs w:val="22"/>
          <w:lang w:eastAsia="lt-LT"/>
        </w:rPr>
      </w:pPr>
      <w:r>
        <w:rPr>
          <w:b/>
          <w:bCs/>
          <w:sz w:val="22"/>
          <w:szCs w:val="22"/>
          <w:lang w:eastAsia="lt-LT"/>
        </w:rPr>
        <w:t>15.</w:t>
      </w:r>
      <w:r>
        <w:rPr>
          <w:b/>
          <w:bCs/>
          <w:sz w:val="22"/>
          <w:szCs w:val="22"/>
          <w:lang w:eastAsia="lt-LT"/>
        </w:rPr>
        <w:tab/>
        <w:t>VARTOJIMO INSTRUKCIJA</w:t>
      </w:r>
    </w:p>
    <w:p w14:paraId="2613FF53" w14:textId="77777777" w:rsidR="00F00A02" w:rsidRDefault="00F00A02">
      <w:pPr>
        <w:widowControl w:val="0"/>
        <w:ind w:left="567" w:hanging="567"/>
        <w:rPr>
          <w:sz w:val="22"/>
          <w:szCs w:val="22"/>
          <w:lang w:eastAsia="lt-LT"/>
        </w:rPr>
      </w:pPr>
    </w:p>
    <w:p w14:paraId="6836DADB" w14:textId="77777777" w:rsidR="00F00A02" w:rsidRDefault="00F00A02">
      <w:pPr>
        <w:widowControl w:val="0"/>
        <w:ind w:left="567" w:hanging="567"/>
        <w:rPr>
          <w:sz w:val="22"/>
          <w:szCs w:val="22"/>
          <w:lang w:eastAsia="lt-LT"/>
        </w:rPr>
      </w:pPr>
    </w:p>
    <w:p w14:paraId="1B76FD3F" w14:textId="77777777" w:rsidR="00F00A02" w:rsidRDefault="0027659F">
      <w:pPr>
        <w:widowControl w:val="0"/>
        <w:pBdr>
          <w:top w:val="single" w:sz="4" w:space="1" w:color="auto"/>
          <w:left w:val="single" w:sz="4" w:space="4" w:color="auto"/>
          <w:bottom w:val="single" w:sz="4" w:space="1" w:color="auto"/>
          <w:right w:val="single" w:sz="4" w:space="4" w:color="auto"/>
        </w:pBdr>
        <w:ind w:left="567" w:hanging="567"/>
        <w:outlineLvl w:val="2"/>
        <w:rPr>
          <w:b/>
          <w:bCs/>
          <w:sz w:val="22"/>
          <w:szCs w:val="22"/>
          <w:lang w:eastAsia="lt-LT"/>
        </w:rPr>
      </w:pPr>
      <w:r>
        <w:rPr>
          <w:b/>
          <w:bCs/>
          <w:sz w:val="22"/>
          <w:szCs w:val="22"/>
          <w:lang w:eastAsia="lt-LT"/>
        </w:rPr>
        <w:t>16.</w:t>
      </w:r>
      <w:r>
        <w:rPr>
          <w:b/>
          <w:bCs/>
          <w:sz w:val="22"/>
          <w:szCs w:val="22"/>
          <w:lang w:eastAsia="lt-LT"/>
        </w:rPr>
        <w:tab/>
        <w:t>INFORMACIJA BRAILIO RAŠTU</w:t>
      </w:r>
    </w:p>
    <w:p w14:paraId="3EDE0CC3" w14:textId="77777777" w:rsidR="00F00A02" w:rsidRDefault="00F00A02">
      <w:pPr>
        <w:widowControl w:val="0"/>
        <w:rPr>
          <w:sz w:val="22"/>
          <w:szCs w:val="22"/>
          <w:lang w:eastAsia="lt-LT"/>
        </w:rPr>
      </w:pPr>
    </w:p>
    <w:p w14:paraId="679C7B7D" w14:textId="77777777" w:rsidR="00F00A02" w:rsidRDefault="0027659F">
      <w:pPr>
        <w:widowControl w:val="0"/>
        <w:rPr>
          <w:sz w:val="22"/>
          <w:szCs w:val="22"/>
          <w:lang w:eastAsia="lt-LT"/>
        </w:rPr>
      </w:pPr>
      <w:r>
        <w:rPr>
          <w:sz w:val="22"/>
          <w:szCs w:val="22"/>
          <w:lang w:eastAsia="lt-LT"/>
        </w:rPr>
        <w:t>lorista 50 mg</w:t>
      </w:r>
    </w:p>
    <w:p w14:paraId="793A64C4" w14:textId="77777777" w:rsidR="00F00A02" w:rsidRDefault="00F00A02">
      <w:pPr>
        <w:widowControl w:val="0"/>
        <w:rPr>
          <w:sz w:val="22"/>
          <w:szCs w:val="22"/>
          <w:lang w:eastAsia="lt-LT"/>
        </w:rPr>
      </w:pPr>
    </w:p>
    <w:p w14:paraId="5038A4CB" w14:textId="77777777" w:rsidR="00F00A02" w:rsidRDefault="00F00A02">
      <w:pPr>
        <w:widowControl w:val="0"/>
        <w:rPr>
          <w:sz w:val="22"/>
          <w:szCs w:val="22"/>
        </w:rPr>
      </w:pPr>
    </w:p>
    <w:p w14:paraId="2816E7AC" w14:textId="77777777" w:rsidR="00F00A02" w:rsidRPr="00824162" w:rsidRDefault="0027659F">
      <w:pPr>
        <w:pBdr>
          <w:top w:val="single" w:sz="4" w:space="1" w:color="auto"/>
          <w:left w:val="single" w:sz="4" w:space="4" w:color="auto"/>
          <w:bottom w:val="single" w:sz="4" w:space="0" w:color="auto"/>
          <w:right w:val="single" w:sz="4" w:space="4" w:color="auto"/>
        </w:pBdr>
        <w:tabs>
          <w:tab w:val="left" w:pos="567"/>
        </w:tabs>
        <w:rPr>
          <w:i/>
          <w:noProof/>
          <w:sz w:val="22"/>
          <w:szCs w:val="22"/>
        </w:rPr>
      </w:pPr>
      <w:r w:rsidRPr="00824162">
        <w:rPr>
          <w:b/>
          <w:noProof/>
          <w:sz w:val="22"/>
          <w:szCs w:val="22"/>
        </w:rPr>
        <w:t>17.</w:t>
      </w:r>
      <w:r w:rsidRPr="00824162">
        <w:rPr>
          <w:b/>
          <w:noProof/>
          <w:sz w:val="22"/>
          <w:szCs w:val="22"/>
        </w:rPr>
        <w:tab/>
        <w:t>UNIKALUS IDENTIFIKATORIUS – 2D BRŪKŠNINIS KODAS</w:t>
      </w:r>
    </w:p>
    <w:p w14:paraId="11C288DB" w14:textId="77777777" w:rsidR="00F00A02" w:rsidRDefault="00F00A02">
      <w:pPr>
        <w:widowControl w:val="0"/>
        <w:rPr>
          <w:rFonts w:eastAsia="Calibri"/>
          <w:sz w:val="22"/>
          <w:szCs w:val="22"/>
        </w:rPr>
      </w:pPr>
    </w:p>
    <w:p w14:paraId="6F08E517" w14:textId="77777777" w:rsidR="00F00A02" w:rsidRDefault="0027659F">
      <w:pPr>
        <w:widowControl w:val="0"/>
        <w:rPr>
          <w:rFonts w:eastAsia="Calibri"/>
          <w:sz w:val="22"/>
          <w:szCs w:val="22"/>
          <w:highlight w:val="lightGray"/>
        </w:rPr>
      </w:pPr>
      <w:r>
        <w:rPr>
          <w:rFonts w:eastAsia="Calibri"/>
          <w:sz w:val="22"/>
          <w:szCs w:val="22"/>
          <w:highlight w:val="lightGray"/>
        </w:rPr>
        <w:t>2D brūkšninis kodas su nurodytu unikaliu identifikatoriumi.</w:t>
      </w:r>
    </w:p>
    <w:p w14:paraId="434991A6" w14:textId="77777777" w:rsidR="00F00A02" w:rsidRDefault="00F00A02">
      <w:pPr>
        <w:widowControl w:val="0"/>
        <w:tabs>
          <w:tab w:val="left" w:pos="567"/>
        </w:tabs>
        <w:rPr>
          <w:snapToGrid w:val="0"/>
          <w:sz w:val="22"/>
          <w:szCs w:val="22"/>
          <w:lang w:eastAsia="zh-CN"/>
        </w:rPr>
      </w:pPr>
    </w:p>
    <w:p w14:paraId="78657587" w14:textId="77777777" w:rsidR="00F00A02" w:rsidRDefault="00F00A02">
      <w:pPr>
        <w:widowControl w:val="0"/>
        <w:tabs>
          <w:tab w:val="left" w:pos="567"/>
        </w:tabs>
        <w:rPr>
          <w:snapToGrid w:val="0"/>
          <w:sz w:val="22"/>
          <w:szCs w:val="22"/>
          <w:lang w:eastAsia="zh-CN"/>
        </w:rPr>
      </w:pPr>
    </w:p>
    <w:p w14:paraId="675AAF48" w14:textId="77777777" w:rsidR="00F00A02" w:rsidRDefault="0027659F">
      <w:pPr>
        <w:pBdr>
          <w:top w:val="single" w:sz="4" w:space="1" w:color="auto"/>
          <w:left w:val="single" w:sz="4" w:space="4" w:color="auto"/>
          <w:bottom w:val="single" w:sz="4" w:space="0" w:color="auto"/>
          <w:right w:val="single" w:sz="4" w:space="4" w:color="auto"/>
        </w:pBdr>
        <w:tabs>
          <w:tab w:val="left" w:pos="567"/>
        </w:tabs>
        <w:rPr>
          <w:i/>
          <w:noProof/>
          <w:sz w:val="22"/>
          <w:szCs w:val="22"/>
          <w:lang w:val="en-GB"/>
        </w:rPr>
      </w:pPr>
      <w:r>
        <w:rPr>
          <w:b/>
          <w:noProof/>
          <w:sz w:val="22"/>
          <w:szCs w:val="22"/>
          <w:lang w:val="en-GB"/>
        </w:rPr>
        <w:t>18.</w:t>
      </w:r>
      <w:r>
        <w:rPr>
          <w:b/>
          <w:noProof/>
          <w:sz w:val="22"/>
          <w:szCs w:val="22"/>
          <w:lang w:val="en-GB"/>
        </w:rPr>
        <w:tab/>
        <w:t xml:space="preserve">UNIKALUS IDENTIFIKATORIUS – </w:t>
      </w:r>
      <w:r>
        <w:rPr>
          <w:b/>
          <w:noProof/>
          <w:sz w:val="22"/>
          <w:szCs w:val="22"/>
          <w:lang w:val="en-US"/>
        </w:rPr>
        <w:t>ŽMONĖMS SUPRANTAMI DUOMENYS</w:t>
      </w:r>
    </w:p>
    <w:p w14:paraId="1D034516" w14:textId="77777777" w:rsidR="00F00A02" w:rsidRDefault="00F00A02">
      <w:pPr>
        <w:widowControl w:val="0"/>
        <w:rPr>
          <w:rFonts w:eastAsia="Calibri"/>
          <w:sz w:val="22"/>
          <w:szCs w:val="22"/>
        </w:rPr>
      </w:pPr>
    </w:p>
    <w:p w14:paraId="217E0DFF" w14:textId="77777777" w:rsidR="00F00A02" w:rsidRDefault="0027659F">
      <w:pPr>
        <w:widowControl w:val="0"/>
        <w:rPr>
          <w:rFonts w:eastAsia="Calibri"/>
          <w:sz w:val="22"/>
          <w:szCs w:val="22"/>
        </w:rPr>
      </w:pPr>
      <w:r>
        <w:rPr>
          <w:rFonts w:eastAsia="Calibri"/>
          <w:sz w:val="22"/>
          <w:szCs w:val="22"/>
        </w:rPr>
        <w:t>PC</w:t>
      </w:r>
    </w:p>
    <w:p w14:paraId="7BEBC188" w14:textId="77777777" w:rsidR="00F00A02" w:rsidRDefault="0027659F">
      <w:pPr>
        <w:widowControl w:val="0"/>
        <w:rPr>
          <w:rFonts w:eastAsia="Calibri"/>
          <w:sz w:val="22"/>
          <w:szCs w:val="22"/>
        </w:rPr>
      </w:pPr>
      <w:r>
        <w:rPr>
          <w:rFonts w:eastAsia="Calibri"/>
          <w:sz w:val="22"/>
          <w:szCs w:val="22"/>
        </w:rPr>
        <w:t>SN</w:t>
      </w:r>
    </w:p>
    <w:p w14:paraId="1E6C6CB4" w14:textId="77777777" w:rsidR="00F00A02" w:rsidRDefault="0027659F">
      <w:pPr>
        <w:widowControl w:val="0"/>
        <w:rPr>
          <w:rFonts w:eastAsia="Calibri"/>
          <w:sz w:val="22"/>
          <w:szCs w:val="22"/>
          <w:highlight w:val="lightGray"/>
        </w:rPr>
      </w:pPr>
      <w:r>
        <w:rPr>
          <w:rFonts w:eastAsia="Calibri"/>
          <w:sz w:val="22"/>
          <w:szCs w:val="22"/>
          <w:highlight w:val="lightGray"/>
        </w:rPr>
        <w:t>NN</w:t>
      </w:r>
    </w:p>
    <w:p w14:paraId="4092F741" w14:textId="77777777" w:rsidR="00F00A02" w:rsidRDefault="00F00A02">
      <w:pPr>
        <w:widowControl w:val="0"/>
        <w:rPr>
          <w:rFonts w:eastAsia="Calibri"/>
          <w:sz w:val="22"/>
          <w:szCs w:val="22"/>
        </w:rPr>
      </w:pPr>
    </w:p>
    <w:p w14:paraId="6124457D" w14:textId="77777777" w:rsidR="00F00A02" w:rsidRDefault="00F00A02">
      <w:pPr>
        <w:widowControl w:val="0"/>
        <w:rPr>
          <w:sz w:val="22"/>
          <w:szCs w:val="22"/>
        </w:rPr>
      </w:pPr>
    </w:p>
    <w:p w14:paraId="478AB430" w14:textId="77777777" w:rsidR="00F00A02" w:rsidRDefault="0027659F">
      <w:pPr>
        <w:widowControl w:val="0"/>
        <w:pBdr>
          <w:top w:val="single" w:sz="4" w:space="1" w:color="auto"/>
          <w:left w:val="single" w:sz="4" w:space="1" w:color="auto"/>
          <w:bottom w:val="single" w:sz="4" w:space="1" w:color="auto"/>
          <w:right w:val="single" w:sz="4" w:space="1" w:color="auto"/>
        </w:pBdr>
        <w:outlineLvl w:val="1"/>
        <w:rPr>
          <w:b/>
          <w:sz w:val="22"/>
          <w:szCs w:val="22"/>
          <w:lang w:val="sv-SE" w:eastAsia="lt-LT"/>
        </w:rPr>
      </w:pPr>
      <w:r>
        <w:rPr>
          <w:sz w:val="22"/>
          <w:szCs w:val="22"/>
          <w:lang w:val="sv-SE" w:eastAsia="lt-LT"/>
        </w:rPr>
        <w:br w:type="page"/>
      </w:r>
      <w:r>
        <w:rPr>
          <w:b/>
          <w:sz w:val="22"/>
          <w:szCs w:val="22"/>
          <w:lang w:val="sv-SE" w:eastAsia="lt-LT"/>
        </w:rPr>
        <w:lastRenderedPageBreak/>
        <w:t>MINIMALI INFORMACIJA ANT LIZDINIŲ PLOKŠTELIŲ ARBA DVISLUOKSNIŲ JUOSTELIŲ</w:t>
      </w:r>
    </w:p>
    <w:p w14:paraId="2F2F5EDE" w14:textId="77777777" w:rsidR="00F00A02" w:rsidRDefault="00F00A02">
      <w:pPr>
        <w:widowControl w:val="0"/>
        <w:pBdr>
          <w:top w:val="single" w:sz="4" w:space="1" w:color="auto"/>
          <w:left w:val="single" w:sz="4" w:space="1" w:color="auto"/>
          <w:bottom w:val="single" w:sz="4" w:space="1" w:color="auto"/>
          <w:right w:val="single" w:sz="4" w:space="1" w:color="auto"/>
        </w:pBdr>
        <w:rPr>
          <w:sz w:val="22"/>
          <w:szCs w:val="22"/>
          <w:lang w:eastAsia="lt-LT"/>
        </w:rPr>
      </w:pPr>
    </w:p>
    <w:p w14:paraId="475744C9" w14:textId="77777777" w:rsidR="00F00A02" w:rsidRDefault="0027659F">
      <w:pPr>
        <w:widowControl w:val="0"/>
        <w:pBdr>
          <w:top w:val="single" w:sz="4" w:space="1" w:color="auto"/>
          <w:left w:val="single" w:sz="4" w:space="1" w:color="auto"/>
          <w:bottom w:val="single" w:sz="4" w:space="1" w:color="auto"/>
          <w:right w:val="single" w:sz="4" w:space="1" w:color="auto"/>
        </w:pBdr>
        <w:rPr>
          <w:b/>
          <w:sz w:val="22"/>
          <w:szCs w:val="22"/>
          <w:lang w:eastAsia="lt-LT"/>
        </w:rPr>
      </w:pPr>
      <w:r>
        <w:rPr>
          <w:b/>
          <w:sz w:val="22"/>
          <w:szCs w:val="22"/>
          <w:lang w:eastAsia="lt-LT"/>
        </w:rPr>
        <w:t>LIZDINĖ PLOKŠTELĖ</w:t>
      </w:r>
    </w:p>
    <w:p w14:paraId="79F6C090" w14:textId="77777777" w:rsidR="00F00A02" w:rsidRDefault="00F00A02">
      <w:pPr>
        <w:widowControl w:val="0"/>
        <w:rPr>
          <w:sz w:val="22"/>
          <w:szCs w:val="22"/>
          <w:lang w:eastAsia="lt-LT"/>
        </w:rPr>
      </w:pPr>
    </w:p>
    <w:p w14:paraId="0A464396" w14:textId="77777777" w:rsidR="00F00A02" w:rsidRDefault="0027659F">
      <w:pPr>
        <w:widowControl w:val="0"/>
        <w:pBdr>
          <w:top w:val="single" w:sz="4" w:space="1" w:color="auto"/>
          <w:left w:val="single" w:sz="4" w:space="4" w:color="auto"/>
          <w:bottom w:val="single" w:sz="4" w:space="1" w:color="auto"/>
          <w:right w:val="single" w:sz="4" w:space="4" w:color="auto"/>
        </w:pBdr>
        <w:ind w:left="567" w:hanging="567"/>
        <w:outlineLvl w:val="2"/>
        <w:rPr>
          <w:b/>
          <w:bCs/>
          <w:sz w:val="22"/>
          <w:szCs w:val="22"/>
          <w:lang w:eastAsia="lt-LT"/>
        </w:rPr>
      </w:pPr>
      <w:r>
        <w:rPr>
          <w:b/>
          <w:bCs/>
          <w:sz w:val="22"/>
          <w:szCs w:val="22"/>
          <w:lang w:eastAsia="lt-LT"/>
        </w:rPr>
        <w:t>1.</w:t>
      </w:r>
      <w:r>
        <w:rPr>
          <w:b/>
          <w:bCs/>
          <w:sz w:val="22"/>
          <w:szCs w:val="22"/>
          <w:lang w:eastAsia="lt-LT"/>
        </w:rPr>
        <w:tab/>
        <w:t>VAISTINIO PREPARATO PAVADINIMAS</w:t>
      </w:r>
    </w:p>
    <w:p w14:paraId="449B7AED" w14:textId="77777777" w:rsidR="00F00A02" w:rsidRDefault="00F00A02">
      <w:pPr>
        <w:widowControl w:val="0"/>
        <w:ind w:left="567" w:hanging="567"/>
        <w:rPr>
          <w:sz w:val="22"/>
          <w:szCs w:val="22"/>
          <w:lang w:eastAsia="lt-LT"/>
        </w:rPr>
      </w:pPr>
    </w:p>
    <w:p w14:paraId="1BC7C119" w14:textId="77777777" w:rsidR="00F00A02" w:rsidRDefault="0027659F">
      <w:pPr>
        <w:widowControl w:val="0"/>
        <w:ind w:left="567" w:hanging="567"/>
        <w:rPr>
          <w:sz w:val="22"/>
          <w:szCs w:val="22"/>
          <w:lang w:eastAsia="lt-LT"/>
        </w:rPr>
      </w:pPr>
      <w:r>
        <w:rPr>
          <w:sz w:val="22"/>
          <w:szCs w:val="22"/>
          <w:lang w:eastAsia="lt-LT"/>
        </w:rPr>
        <w:t>Lorista 50 mg plėvele dengtos tabletės</w:t>
      </w:r>
    </w:p>
    <w:p w14:paraId="59479E3E" w14:textId="77777777" w:rsidR="00F00A02" w:rsidRDefault="0027659F">
      <w:pPr>
        <w:widowControl w:val="0"/>
        <w:ind w:left="567" w:hanging="567"/>
        <w:rPr>
          <w:sz w:val="22"/>
          <w:szCs w:val="22"/>
        </w:rPr>
      </w:pPr>
      <w:r>
        <w:rPr>
          <w:sz w:val="22"/>
          <w:szCs w:val="22"/>
        </w:rPr>
        <w:t>losartano kalio druska</w:t>
      </w:r>
    </w:p>
    <w:p w14:paraId="2B8E9946" w14:textId="77777777" w:rsidR="00F00A02" w:rsidRDefault="00F00A02">
      <w:pPr>
        <w:widowControl w:val="0"/>
        <w:ind w:left="567" w:hanging="567"/>
        <w:rPr>
          <w:sz w:val="22"/>
          <w:szCs w:val="22"/>
        </w:rPr>
      </w:pPr>
    </w:p>
    <w:p w14:paraId="189AE9B9" w14:textId="77777777" w:rsidR="00F00A02" w:rsidRDefault="00F00A02">
      <w:pPr>
        <w:widowControl w:val="0"/>
        <w:ind w:left="567" w:hanging="567"/>
        <w:rPr>
          <w:sz w:val="22"/>
          <w:szCs w:val="22"/>
        </w:rPr>
      </w:pPr>
    </w:p>
    <w:p w14:paraId="0A052924" w14:textId="77777777" w:rsidR="00F00A02" w:rsidRDefault="0027659F">
      <w:pPr>
        <w:widowControl w:val="0"/>
        <w:pBdr>
          <w:top w:val="single" w:sz="4" w:space="1" w:color="auto"/>
          <w:left w:val="single" w:sz="4" w:space="4" w:color="auto"/>
          <w:bottom w:val="single" w:sz="4" w:space="1" w:color="auto"/>
          <w:right w:val="single" w:sz="4" w:space="4" w:color="auto"/>
        </w:pBdr>
        <w:ind w:left="567" w:hanging="567"/>
        <w:outlineLvl w:val="2"/>
        <w:rPr>
          <w:b/>
          <w:bCs/>
          <w:sz w:val="22"/>
          <w:szCs w:val="22"/>
          <w:lang w:eastAsia="lt-LT"/>
        </w:rPr>
      </w:pPr>
      <w:r>
        <w:rPr>
          <w:b/>
          <w:bCs/>
          <w:sz w:val="22"/>
          <w:szCs w:val="22"/>
          <w:lang w:eastAsia="lt-LT"/>
        </w:rPr>
        <w:t>2.</w:t>
      </w:r>
      <w:r>
        <w:rPr>
          <w:b/>
          <w:bCs/>
          <w:sz w:val="22"/>
          <w:szCs w:val="22"/>
          <w:lang w:eastAsia="lt-LT"/>
        </w:rPr>
        <w:tab/>
      </w:r>
      <w:r>
        <w:rPr>
          <w:b/>
          <w:sz w:val="22"/>
          <w:szCs w:val="22"/>
        </w:rPr>
        <w:t>REGISTRUOTOJO</w:t>
      </w:r>
      <w:r>
        <w:rPr>
          <w:b/>
          <w:bCs/>
          <w:sz w:val="22"/>
          <w:szCs w:val="22"/>
          <w:lang w:eastAsia="lt-LT"/>
        </w:rPr>
        <w:t xml:space="preserve"> PAVADINIMAS</w:t>
      </w:r>
    </w:p>
    <w:p w14:paraId="0307EFC5" w14:textId="77777777" w:rsidR="00F00A02" w:rsidRDefault="00F00A02">
      <w:pPr>
        <w:widowControl w:val="0"/>
        <w:ind w:left="567" w:hanging="567"/>
        <w:rPr>
          <w:sz w:val="22"/>
          <w:szCs w:val="22"/>
          <w:lang w:eastAsia="lt-LT"/>
        </w:rPr>
      </w:pPr>
    </w:p>
    <w:p w14:paraId="62861A0D" w14:textId="77777777" w:rsidR="00F00A02" w:rsidRDefault="0027659F">
      <w:pPr>
        <w:widowControl w:val="0"/>
        <w:ind w:left="567" w:hanging="567"/>
        <w:rPr>
          <w:sz w:val="22"/>
          <w:szCs w:val="22"/>
          <w:lang w:eastAsia="lt-LT"/>
        </w:rPr>
      </w:pPr>
      <w:r>
        <w:rPr>
          <w:sz w:val="22"/>
          <w:szCs w:val="22"/>
          <w:lang w:eastAsia="lt-LT"/>
        </w:rPr>
        <w:t>KRKA</w:t>
      </w:r>
    </w:p>
    <w:p w14:paraId="4DA25B7C" w14:textId="77777777" w:rsidR="00F00A02" w:rsidRDefault="00F00A02">
      <w:pPr>
        <w:widowControl w:val="0"/>
        <w:ind w:left="567" w:hanging="567"/>
        <w:rPr>
          <w:sz w:val="22"/>
          <w:szCs w:val="22"/>
          <w:lang w:eastAsia="lt-LT"/>
        </w:rPr>
      </w:pPr>
    </w:p>
    <w:p w14:paraId="689C9111" w14:textId="77777777" w:rsidR="00F00A02" w:rsidRDefault="00F00A02">
      <w:pPr>
        <w:widowControl w:val="0"/>
        <w:ind w:left="567" w:hanging="567"/>
        <w:rPr>
          <w:sz w:val="22"/>
          <w:szCs w:val="22"/>
          <w:lang w:eastAsia="lt-LT"/>
        </w:rPr>
      </w:pPr>
    </w:p>
    <w:p w14:paraId="59761E07" w14:textId="77777777" w:rsidR="00F00A02" w:rsidRDefault="0027659F">
      <w:pPr>
        <w:widowControl w:val="0"/>
        <w:pBdr>
          <w:top w:val="single" w:sz="4" w:space="1" w:color="auto"/>
          <w:left w:val="single" w:sz="4" w:space="4" w:color="auto"/>
          <w:bottom w:val="single" w:sz="4" w:space="1" w:color="auto"/>
          <w:right w:val="single" w:sz="4" w:space="4" w:color="auto"/>
        </w:pBdr>
        <w:ind w:left="567" w:hanging="567"/>
        <w:outlineLvl w:val="2"/>
        <w:rPr>
          <w:b/>
          <w:bCs/>
          <w:sz w:val="22"/>
          <w:szCs w:val="22"/>
          <w:lang w:eastAsia="lt-LT"/>
        </w:rPr>
      </w:pPr>
      <w:r>
        <w:rPr>
          <w:b/>
          <w:bCs/>
          <w:sz w:val="22"/>
          <w:szCs w:val="22"/>
          <w:lang w:eastAsia="lt-LT"/>
        </w:rPr>
        <w:t>3.</w:t>
      </w:r>
      <w:r>
        <w:rPr>
          <w:b/>
          <w:bCs/>
          <w:sz w:val="22"/>
          <w:szCs w:val="22"/>
          <w:lang w:eastAsia="lt-LT"/>
        </w:rPr>
        <w:tab/>
        <w:t>TINKAMUMO LAIKAS</w:t>
      </w:r>
    </w:p>
    <w:p w14:paraId="236ADF1E" w14:textId="77777777" w:rsidR="00F00A02" w:rsidRDefault="00F00A02">
      <w:pPr>
        <w:widowControl w:val="0"/>
        <w:ind w:left="567" w:hanging="567"/>
        <w:rPr>
          <w:sz w:val="22"/>
          <w:szCs w:val="22"/>
          <w:lang w:eastAsia="lt-LT"/>
        </w:rPr>
      </w:pPr>
    </w:p>
    <w:p w14:paraId="55FE3CF1" w14:textId="77777777" w:rsidR="00F00A02" w:rsidRDefault="0027659F">
      <w:pPr>
        <w:widowControl w:val="0"/>
        <w:ind w:left="567" w:hanging="567"/>
        <w:rPr>
          <w:sz w:val="22"/>
          <w:szCs w:val="22"/>
          <w:lang w:eastAsia="lt-LT"/>
        </w:rPr>
      </w:pPr>
      <w:r>
        <w:rPr>
          <w:sz w:val="22"/>
          <w:szCs w:val="22"/>
          <w:lang w:eastAsia="lt-LT"/>
        </w:rPr>
        <w:t>EXP {mm/MMMM}</w:t>
      </w:r>
    </w:p>
    <w:p w14:paraId="1574C87D" w14:textId="77777777" w:rsidR="00F00A02" w:rsidRDefault="00F00A02">
      <w:pPr>
        <w:widowControl w:val="0"/>
        <w:ind w:left="567" w:hanging="567"/>
        <w:rPr>
          <w:sz w:val="22"/>
          <w:szCs w:val="22"/>
          <w:lang w:eastAsia="lt-LT"/>
        </w:rPr>
      </w:pPr>
    </w:p>
    <w:p w14:paraId="3C3C1C35" w14:textId="77777777" w:rsidR="00F00A02" w:rsidRDefault="00F00A02">
      <w:pPr>
        <w:widowControl w:val="0"/>
        <w:ind w:left="567" w:hanging="567"/>
        <w:rPr>
          <w:sz w:val="22"/>
          <w:szCs w:val="22"/>
          <w:lang w:eastAsia="lt-LT"/>
        </w:rPr>
      </w:pPr>
    </w:p>
    <w:p w14:paraId="6912EAF4" w14:textId="77777777" w:rsidR="00F00A02" w:rsidRDefault="0027659F">
      <w:pPr>
        <w:widowControl w:val="0"/>
        <w:pBdr>
          <w:top w:val="single" w:sz="4" w:space="1" w:color="auto"/>
          <w:left w:val="single" w:sz="4" w:space="4" w:color="auto"/>
          <w:bottom w:val="single" w:sz="4" w:space="1" w:color="auto"/>
          <w:right w:val="single" w:sz="4" w:space="4" w:color="auto"/>
        </w:pBdr>
        <w:ind w:left="567" w:hanging="567"/>
        <w:outlineLvl w:val="2"/>
        <w:rPr>
          <w:b/>
          <w:bCs/>
          <w:sz w:val="22"/>
          <w:szCs w:val="22"/>
          <w:lang w:eastAsia="lt-LT"/>
        </w:rPr>
      </w:pPr>
      <w:r>
        <w:rPr>
          <w:b/>
          <w:bCs/>
          <w:sz w:val="22"/>
          <w:szCs w:val="22"/>
          <w:lang w:eastAsia="lt-LT"/>
        </w:rPr>
        <w:t>4.</w:t>
      </w:r>
      <w:r>
        <w:rPr>
          <w:b/>
          <w:bCs/>
          <w:sz w:val="22"/>
          <w:szCs w:val="22"/>
          <w:lang w:eastAsia="lt-LT"/>
        </w:rPr>
        <w:tab/>
        <w:t>SERIJOS NUMERIS</w:t>
      </w:r>
    </w:p>
    <w:p w14:paraId="15CC7A58" w14:textId="77777777" w:rsidR="00F00A02" w:rsidRDefault="00F00A02">
      <w:pPr>
        <w:widowControl w:val="0"/>
        <w:ind w:left="567" w:hanging="567"/>
        <w:rPr>
          <w:sz w:val="22"/>
          <w:szCs w:val="22"/>
          <w:lang w:eastAsia="lt-LT"/>
        </w:rPr>
      </w:pPr>
    </w:p>
    <w:p w14:paraId="607E446E" w14:textId="77777777" w:rsidR="00F00A02" w:rsidRDefault="0027659F">
      <w:pPr>
        <w:widowControl w:val="0"/>
        <w:ind w:left="567" w:hanging="567"/>
        <w:rPr>
          <w:sz w:val="22"/>
          <w:szCs w:val="22"/>
          <w:lang w:eastAsia="lt-LT"/>
        </w:rPr>
      </w:pPr>
      <w:r>
        <w:rPr>
          <w:sz w:val="22"/>
          <w:szCs w:val="22"/>
          <w:lang w:eastAsia="lt-LT"/>
        </w:rPr>
        <w:t>Lot {numeris}</w:t>
      </w:r>
    </w:p>
    <w:p w14:paraId="67140E38" w14:textId="77777777" w:rsidR="00F00A02" w:rsidRDefault="00F00A02">
      <w:pPr>
        <w:widowControl w:val="0"/>
        <w:ind w:left="567" w:hanging="567"/>
        <w:rPr>
          <w:sz w:val="22"/>
          <w:szCs w:val="22"/>
          <w:lang w:eastAsia="lt-LT"/>
        </w:rPr>
      </w:pPr>
    </w:p>
    <w:p w14:paraId="07726785" w14:textId="77777777" w:rsidR="00F00A02" w:rsidRDefault="00F00A02">
      <w:pPr>
        <w:widowControl w:val="0"/>
        <w:ind w:left="567" w:hanging="567"/>
        <w:rPr>
          <w:sz w:val="22"/>
          <w:szCs w:val="22"/>
          <w:lang w:eastAsia="lt-LT"/>
        </w:rPr>
      </w:pPr>
    </w:p>
    <w:p w14:paraId="4AF9FF61" w14:textId="77777777" w:rsidR="00F00A02" w:rsidRDefault="0027659F">
      <w:pPr>
        <w:widowControl w:val="0"/>
        <w:pBdr>
          <w:top w:val="single" w:sz="4" w:space="1" w:color="auto"/>
          <w:left w:val="single" w:sz="4" w:space="4" w:color="auto"/>
          <w:bottom w:val="single" w:sz="4" w:space="1" w:color="auto"/>
          <w:right w:val="single" w:sz="4" w:space="4" w:color="auto"/>
        </w:pBdr>
        <w:ind w:left="567" w:hanging="567"/>
        <w:outlineLvl w:val="2"/>
        <w:rPr>
          <w:b/>
          <w:bCs/>
          <w:sz w:val="22"/>
          <w:szCs w:val="22"/>
          <w:lang w:eastAsia="lt-LT"/>
        </w:rPr>
      </w:pPr>
      <w:r>
        <w:rPr>
          <w:b/>
          <w:bCs/>
          <w:sz w:val="22"/>
          <w:szCs w:val="22"/>
          <w:lang w:eastAsia="lt-LT"/>
        </w:rPr>
        <w:t>5.</w:t>
      </w:r>
      <w:r>
        <w:rPr>
          <w:b/>
          <w:bCs/>
          <w:sz w:val="22"/>
          <w:szCs w:val="22"/>
          <w:lang w:eastAsia="lt-LT"/>
        </w:rPr>
        <w:tab/>
        <w:t>KITA</w:t>
      </w:r>
    </w:p>
    <w:p w14:paraId="73C71090" w14:textId="77777777" w:rsidR="00F00A02" w:rsidRDefault="00F00A02">
      <w:pPr>
        <w:widowControl w:val="0"/>
        <w:rPr>
          <w:sz w:val="22"/>
          <w:szCs w:val="22"/>
          <w:lang w:eastAsia="lt-LT"/>
        </w:rPr>
      </w:pPr>
    </w:p>
    <w:p w14:paraId="36D36CD5" w14:textId="77777777" w:rsidR="00F00A02" w:rsidRDefault="00F00A02">
      <w:pPr>
        <w:widowControl w:val="0"/>
        <w:rPr>
          <w:sz w:val="22"/>
          <w:szCs w:val="22"/>
          <w:lang w:eastAsia="lt-LT"/>
        </w:rPr>
      </w:pPr>
    </w:p>
    <w:p w14:paraId="6802FF6B" w14:textId="77777777" w:rsidR="00F00A02" w:rsidRDefault="0027659F">
      <w:pPr>
        <w:widowControl w:val="0"/>
        <w:rPr>
          <w:sz w:val="22"/>
          <w:szCs w:val="22"/>
          <w:lang w:eastAsia="lt-LT"/>
        </w:rPr>
      </w:pPr>
      <w:r>
        <w:rPr>
          <w:sz w:val="22"/>
          <w:szCs w:val="22"/>
          <w:lang w:eastAsia="lt-LT"/>
        </w:rPr>
        <w:br w:type="page"/>
      </w:r>
    </w:p>
    <w:p w14:paraId="560D961E" w14:textId="77777777" w:rsidR="00F00A02" w:rsidRPr="00824162" w:rsidRDefault="00F00A02">
      <w:pPr>
        <w:widowControl w:val="0"/>
        <w:tabs>
          <w:tab w:val="left" w:pos="567"/>
        </w:tabs>
        <w:ind w:left="567" w:hanging="567"/>
        <w:jc w:val="center"/>
        <w:outlineLvl w:val="0"/>
        <w:rPr>
          <w:b/>
          <w:caps/>
          <w:sz w:val="22"/>
          <w:szCs w:val="22"/>
          <w:lang w:val="pt-PT"/>
        </w:rPr>
      </w:pPr>
      <w:bookmarkStart w:id="14" w:name="_Toc129243262"/>
      <w:bookmarkStart w:id="15" w:name="_Toc129243137"/>
    </w:p>
    <w:p w14:paraId="6244EC77" w14:textId="77777777" w:rsidR="00F00A02" w:rsidRPr="00824162" w:rsidRDefault="00F00A02">
      <w:pPr>
        <w:widowControl w:val="0"/>
        <w:tabs>
          <w:tab w:val="left" w:pos="567"/>
        </w:tabs>
        <w:ind w:left="567" w:hanging="567"/>
        <w:jc w:val="center"/>
        <w:outlineLvl w:val="0"/>
        <w:rPr>
          <w:b/>
          <w:caps/>
          <w:sz w:val="22"/>
          <w:szCs w:val="22"/>
          <w:lang w:val="pt-PT"/>
        </w:rPr>
      </w:pPr>
    </w:p>
    <w:p w14:paraId="09307CD5" w14:textId="77777777" w:rsidR="00F00A02" w:rsidRPr="00824162" w:rsidRDefault="00F00A02">
      <w:pPr>
        <w:widowControl w:val="0"/>
        <w:tabs>
          <w:tab w:val="left" w:pos="567"/>
        </w:tabs>
        <w:ind w:left="567" w:hanging="567"/>
        <w:jc w:val="center"/>
        <w:outlineLvl w:val="0"/>
        <w:rPr>
          <w:b/>
          <w:caps/>
          <w:sz w:val="22"/>
          <w:szCs w:val="22"/>
          <w:lang w:val="pt-PT"/>
        </w:rPr>
      </w:pPr>
    </w:p>
    <w:p w14:paraId="2431A490" w14:textId="77777777" w:rsidR="00F00A02" w:rsidRPr="00824162" w:rsidRDefault="00F00A02">
      <w:pPr>
        <w:widowControl w:val="0"/>
        <w:tabs>
          <w:tab w:val="left" w:pos="567"/>
        </w:tabs>
        <w:ind w:left="567" w:hanging="567"/>
        <w:jc w:val="center"/>
        <w:outlineLvl w:val="0"/>
        <w:rPr>
          <w:b/>
          <w:caps/>
          <w:sz w:val="22"/>
          <w:szCs w:val="22"/>
          <w:lang w:val="pt-PT"/>
        </w:rPr>
      </w:pPr>
    </w:p>
    <w:p w14:paraId="1F82F019" w14:textId="77777777" w:rsidR="00F00A02" w:rsidRPr="00824162" w:rsidRDefault="00F00A02">
      <w:pPr>
        <w:widowControl w:val="0"/>
        <w:tabs>
          <w:tab w:val="left" w:pos="567"/>
        </w:tabs>
        <w:ind w:left="567" w:hanging="567"/>
        <w:jc w:val="center"/>
        <w:outlineLvl w:val="0"/>
        <w:rPr>
          <w:b/>
          <w:caps/>
          <w:sz w:val="22"/>
          <w:szCs w:val="22"/>
          <w:lang w:val="pt-PT"/>
        </w:rPr>
      </w:pPr>
    </w:p>
    <w:p w14:paraId="7D41A301" w14:textId="77777777" w:rsidR="00F00A02" w:rsidRPr="00824162" w:rsidRDefault="00F00A02">
      <w:pPr>
        <w:widowControl w:val="0"/>
        <w:tabs>
          <w:tab w:val="left" w:pos="567"/>
        </w:tabs>
        <w:ind w:left="567" w:hanging="567"/>
        <w:jc w:val="center"/>
        <w:outlineLvl w:val="0"/>
        <w:rPr>
          <w:b/>
          <w:caps/>
          <w:sz w:val="22"/>
          <w:szCs w:val="22"/>
          <w:lang w:val="pt-PT"/>
        </w:rPr>
      </w:pPr>
    </w:p>
    <w:p w14:paraId="5A1758D8" w14:textId="77777777" w:rsidR="00F00A02" w:rsidRPr="00824162" w:rsidRDefault="00F00A02">
      <w:pPr>
        <w:widowControl w:val="0"/>
        <w:tabs>
          <w:tab w:val="left" w:pos="567"/>
        </w:tabs>
        <w:ind w:left="567" w:hanging="567"/>
        <w:jc w:val="center"/>
        <w:outlineLvl w:val="0"/>
        <w:rPr>
          <w:b/>
          <w:caps/>
          <w:sz w:val="22"/>
          <w:szCs w:val="22"/>
          <w:lang w:val="pt-PT"/>
        </w:rPr>
      </w:pPr>
    </w:p>
    <w:p w14:paraId="4CB83D7F" w14:textId="77777777" w:rsidR="00F00A02" w:rsidRPr="00824162" w:rsidRDefault="00F00A02">
      <w:pPr>
        <w:widowControl w:val="0"/>
        <w:tabs>
          <w:tab w:val="left" w:pos="567"/>
        </w:tabs>
        <w:ind w:left="567" w:hanging="567"/>
        <w:jc w:val="center"/>
        <w:outlineLvl w:val="0"/>
        <w:rPr>
          <w:b/>
          <w:caps/>
          <w:sz w:val="22"/>
          <w:szCs w:val="22"/>
          <w:lang w:val="pt-PT"/>
        </w:rPr>
      </w:pPr>
    </w:p>
    <w:p w14:paraId="531C019C" w14:textId="77777777" w:rsidR="00F00A02" w:rsidRPr="00824162" w:rsidRDefault="00F00A02">
      <w:pPr>
        <w:widowControl w:val="0"/>
        <w:tabs>
          <w:tab w:val="left" w:pos="567"/>
        </w:tabs>
        <w:ind w:left="567" w:hanging="567"/>
        <w:jc w:val="center"/>
        <w:outlineLvl w:val="0"/>
        <w:rPr>
          <w:b/>
          <w:caps/>
          <w:sz w:val="22"/>
          <w:szCs w:val="22"/>
          <w:lang w:val="pt-PT"/>
        </w:rPr>
      </w:pPr>
    </w:p>
    <w:p w14:paraId="74769AA8" w14:textId="77777777" w:rsidR="00F00A02" w:rsidRPr="00824162" w:rsidRDefault="00F00A02">
      <w:pPr>
        <w:widowControl w:val="0"/>
        <w:tabs>
          <w:tab w:val="left" w:pos="567"/>
        </w:tabs>
        <w:ind w:left="567" w:hanging="567"/>
        <w:jc w:val="center"/>
        <w:outlineLvl w:val="0"/>
        <w:rPr>
          <w:b/>
          <w:caps/>
          <w:sz w:val="22"/>
          <w:szCs w:val="22"/>
          <w:lang w:val="pt-PT"/>
        </w:rPr>
      </w:pPr>
    </w:p>
    <w:p w14:paraId="051808D5" w14:textId="77777777" w:rsidR="00F00A02" w:rsidRPr="00824162" w:rsidRDefault="00F00A02">
      <w:pPr>
        <w:widowControl w:val="0"/>
        <w:tabs>
          <w:tab w:val="left" w:pos="567"/>
        </w:tabs>
        <w:ind w:left="567" w:hanging="567"/>
        <w:jc w:val="center"/>
        <w:outlineLvl w:val="0"/>
        <w:rPr>
          <w:b/>
          <w:caps/>
          <w:sz w:val="22"/>
          <w:szCs w:val="22"/>
          <w:lang w:val="pt-PT"/>
        </w:rPr>
      </w:pPr>
    </w:p>
    <w:p w14:paraId="06179924" w14:textId="77777777" w:rsidR="00F00A02" w:rsidRPr="00824162" w:rsidRDefault="00F00A02">
      <w:pPr>
        <w:widowControl w:val="0"/>
        <w:tabs>
          <w:tab w:val="left" w:pos="567"/>
        </w:tabs>
        <w:ind w:left="567" w:hanging="567"/>
        <w:jc w:val="center"/>
        <w:outlineLvl w:val="0"/>
        <w:rPr>
          <w:b/>
          <w:caps/>
          <w:sz w:val="22"/>
          <w:szCs w:val="22"/>
          <w:lang w:val="pt-PT"/>
        </w:rPr>
      </w:pPr>
    </w:p>
    <w:p w14:paraId="525AB1AD" w14:textId="77777777" w:rsidR="00F00A02" w:rsidRPr="00824162" w:rsidRDefault="00F00A02">
      <w:pPr>
        <w:widowControl w:val="0"/>
        <w:tabs>
          <w:tab w:val="left" w:pos="567"/>
        </w:tabs>
        <w:ind w:left="567" w:hanging="567"/>
        <w:jc w:val="center"/>
        <w:outlineLvl w:val="0"/>
        <w:rPr>
          <w:b/>
          <w:caps/>
          <w:sz w:val="22"/>
          <w:szCs w:val="22"/>
          <w:lang w:val="pt-PT"/>
        </w:rPr>
      </w:pPr>
    </w:p>
    <w:p w14:paraId="7C5F0B24" w14:textId="77777777" w:rsidR="00F00A02" w:rsidRPr="00824162" w:rsidRDefault="00F00A02">
      <w:pPr>
        <w:widowControl w:val="0"/>
        <w:tabs>
          <w:tab w:val="left" w:pos="567"/>
        </w:tabs>
        <w:ind w:left="567" w:hanging="567"/>
        <w:jc w:val="center"/>
        <w:outlineLvl w:val="0"/>
        <w:rPr>
          <w:b/>
          <w:caps/>
          <w:sz w:val="22"/>
          <w:szCs w:val="22"/>
          <w:lang w:val="pt-PT"/>
        </w:rPr>
      </w:pPr>
    </w:p>
    <w:p w14:paraId="653B675A" w14:textId="77777777" w:rsidR="00F00A02" w:rsidRPr="00824162" w:rsidRDefault="00F00A02">
      <w:pPr>
        <w:widowControl w:val="0"/>
        <w:tabs>
          <w:tab w:val="left" w:pos="567"/>
        </w:tabs>
        <w:ind w:left="567" w:hanging="567"/>
        <w:jc w:val="center"/>
        <w:outlineLvl w:val="0"/>
        <w:rPr>
          <w:b/>
          <w:caps/>
          <w:sz w:val="22"/>
          <w:szCs w:val="22"/>
          <w:lang w:val="pt-PT"/>
        </w:rPr>
      </w:pPr>
    </w:p>
    <w:p w14:paraId="32F8CA87" w14:textId="77777777" w:rsidR="00F00A02" w:rsidRPr="00824162" w:rsidRDefault="00F00A02">
      <w:pPr>
        <w:widowControl w:val="0"/>
        <w:tabs>
          <w:tab w:val="left" w:pos="567"/>
        </w:tabs>
        <w:ind w:left="567" w:hanging="567"/>
        <w:jc w:val="center"/>
        <w:outlineLvl w:val="0"/>
        <w:rPr>
          <w:b/>
          <w:caps/>
          <w:sz w:val="22"/>
          <w:szCs w:val="22"/>
          <w:lang w:val="pt-PT"/>
        </w:rPr>
      </w:pPr>
    </w:p>
    <w:p w14:paraId="0D7E66ED" w14:textId="77777777" w:rsidR="00F00A02" w:rsidRPr="00824162" w:rsidRDefault="00F00A02">
      <w:pPr>
        <w:widowControl w:val="0"/>
        <w:tabs>
          <w:tab w:val="left" w:pos="567"/>
        </w:tabs>
        <w:ind w:left="567" w:hanging="567"/>
        <w:jc w:val="center"/>
        <w:outlineLvl w:val="0"/>
        <w:rPr>
          <w:b/>
          <w:caps/>
          <w:sz w:val="22"/>
          <w:szCs w:val="22"/>
          <w:lang w:val="pt-PT"/>
        </w:rPr>
      </w:pPr>
    </w:p>
    <w:p w14:paraId="453F4952" w14:textId="77777777" w:rsidR="00F00A02" w:rsidRPr="00824162" w:rsidRDefault="00F00A02">
      <w:pPr>
        <w:widowControl w:val="0"/>
        <w:tabs>
          <w:tab w:val="left" w:pos="567"/>
        </w:tabs>
        <w:ind w:left="567" w:hanging="567"/>
        <w:jc w:val="center"/>
        <w:outlineLvl w:val="0"/>
        <w:rPr>
          <w:b/>
          <w:caps/>
          <w:sz w:val="22"/>
          <w:szCs w:val="22"/>
          <w:lang w:val="pt-PT"/>
        </w:rPr>
      </w:pPr>
    </w:p>
    <w:p w14:paraId="27ECA39C" w14:textId="77777777" w:rsidR="00F00A02" w:rsidRPr="00824162" w:rsidRDefault="00F00A02">
      <w:pPr>
        <w:widowControl w:val="0"/>
        <w:tabs>
          <w:tab w:val="left" w:pos="567"/>
        </w:tabs>
        <w:ind w:left="567" w:hanging="567"/>
        <w:jc w:val="center"/>
        <w:outlineLvl w:val="0"/>
        <w:rPr>
          <w:b/>
          <w:caps/>
          <w:sz w:val="22"/>
          <w:szCs w:val="22"/>
          <w:lang w:val="pt-PT"/>
        </w:rPr>
      </w:pPr>
    </w:p>
    <w:p w14:paraId="3C4D62D3" w14:textId="77777777" w:rsidR="00F00A02" w:rsidRPr="00824162" w:rsidRDefault="00F00A02">
      <w:pPr>
        <w:widowControl w:val="0"/>
        <w:tabs>
          <w:tab w:val="left" w:pos="567"/>
        </w:tabs>
        <w:ind w:left="567" w:hanging="567"/>
        <w:jc w:val="center"/>
        <w:outlineLvl w:val="0"/>
        <w:rPr>
          <w:b/>
          <w:caps/>
          <w:sz w:val="22"/>
          <w:szCs w:val="22"/>
          <w:lang w:val="pt-PT"/>
        </w:rPr>
      </w:pPr>
    </w:p>
    <w:p w14:paraId="7FD5199B" w14:textId="77777777" w:rsidR="00F00A02" w:rsidRPr="00824162" w:rsidRDefault="00F00A02">
      <w:pPr>
        <w:widowControl w:val="0"/>
        <w:tabs>
          <w:tab w:val="left" w:pos="567"/>
        </w:tabs>
        <w:ind w:left="567" w:hanging="567"/>
        <w:jc w:val="center"/>
        <w:outlineLvl w:val="0"/>
        <w:rPr>
          <w:b/>
          <w:caps/>
          <w:sz w:val="22"/>
          <w:szCs w:val="22"/>
          <w:lang w:val="pt-PT"/>
        </w:rPr>
      </w:pPr>
    </w:p>
    <w:p w14:paraId="2D445129" w14:textId="77777777" w:rsidR="00F00A02" w:rsidRPr="00824162" w:rsidRDefault="00F00A02">
      <w:pPr>
        <w:widowControl w:val="0"/>
        <w:tabs>
          <w:tab w:val="left" w:pos="567"/>
        </w:tabs>
        <w:ind w:left="567" w:hanging="567"/>
        <w:jc w:val="center"/>
        <w:outlineLvl w:val="0"/>
        <w:rPr>
          <w:b/>
          <w:caps/>
          <w:sz w:val="22"/>
          <w:szCs w:val="22"/>
          <w:lang w:val="pt-PT"/>
        </w:rPr>
      </w:pPr>
    </w:p>
    <w:p w14:paraId="30EA637E" w14:textId="77777777" w:rsidR="00F00A02" w:rsidRPr="00824162" w:rsidRDefault="00F00A02">
      <w:pPr>
        <w:widowControl w:val="0"/>
        <w:tabs>
          <w:tab w:val="left" w:pos="567"/>
        </w:tabs>
        <w:ind w:left="567" w:hanging="567"/>
        <w:jc w:val="center"/>
        <w:outlineLvl w:val="0"/>
        <w:rPr>
          <w:b/>
          <w:caps/>
          <w:sz w:val="22"/>
          <w:szCs w:val="22"/>
          <w:lang w:val="pt-PT"/>
        </w:rPr>
      </w:pPr>
    </w:p>
    <w:p w14:paraId="2AF7AB32" w14:textId="77777777" w:rsidR="00F00A02" w:rsidRDefault="0027659F">
      <w:pPr>
        <w:widowControl w:val="0"/>
        <w:tabs>
          <w:tab w:val="left" w:pos="567"/>
        </w:tabs>
        <w:ind w:left="567" w:hanging="567"/>
        <w:jc w:val="center"/>
        <w:outlineLvl w:val="0"/>
        <w:rPr>
          <w:b/>
          <w:caps/>
          <w:sz w:val="22"/>
          <w:szCs w:val="22"/>
        </w:rPr>
      </w:pPr>
      <w:r w:rsidRPr="00824162">
        <w:rPr>
          <w:b/>
          <w:caps/>
          <w:sz w:val="22"/>
          <w:szCs w:val="22"/>
          <w:lang w:val="pt-PT"/>
        </w:rPr>
        <w:t xml:space="preserve">B. </w:t>
      </w:r>
      <w:r>
        <w:rPr>
          <w:b/>
          <w:caps/>
          <w:sz w:val="22"/>
          <w:szCs w:val="22"/>
        </w:rPr>
        <w:t>PAKUOTĖS LAPELIS</w:t>
      </w:r>
      <w:bookmarkEnd w:id="14"/>
      <w:bookmarkEnd w:id="15"/>
    </w:p>
    <w:p w14:paraId="7A6F6F82" w14:textId="77777777" w:rsidR="00F00A02" w:rsidRDefault="0027659F">
      <w:pPr>
        <w:widowControl w:val="0"/>
        <w:tabs>
          <w:tab w:val="left" w:pos="567"/>
        </w:tabs>
        <w:ind w:left="567" w:hanging="567"/>
        <w:jc w:val="center"/>
        <w:outlineLvl w:val="0"/>
        <w:rPr>
          <w:b/>
          <w:caps/>
          <w:sz w:val="22"/>
          <w:szCs w:val="22"/>
        </w:rPr>
      </w:pPr>
      <w:r w:rsidRPr="00824162">
        <w:rPr>
          <w:sz w:val="22"/>
          <w:szCs w:val="22"/>
          <w:lang w:val="pt-PT"/>
        </w:rPr>
        <w:br w:type="page"/>
      </w:r>
      <w:bookmarkStart w:id="16" w:name="_Toc129243263"/>
      <w:bookmarkStart w:id="17" w:name="_Toc129243138"/>
      <w:r>
        <w:rPr>
          <w:b/>
          <w:sz w:val="22"/>
          <w:szCs w:val="22"/>
        </w:rPr>
        <w:lastRenderedPageBreak/>
        <w:t>Pakuotės lapelis: informacija vartotojui</w:t>
      </w:r>
      <w:bookmarkEnd w:id="16"/>
      <w:bookmarkEnd w:id="17"/>
    </w:p>
    <w:p w14:paraId="2015BFF8" w14:textId="77777777" w:rsidR="00F00A02" w:rsidRDefault="00F00A02">
      <w:pPr>
        <w:widowControl w:val="0"/>
        <w:rPr>
          <w:sz w:val="22"/>
          <w:szCs w:val="22"/>
        </w:rPr>
      </w:pPr>
    </w:p>
    <w:p w14:paraId="7D725CBD" w14:textId="77777777" w:rsidR="00F00A02" w:rsidRDefault="0027659F">
      <w:pPr>
        <w:widowControl w:val="0"/>
        <w:jc w:val="center"/>
        <w:rPr>
          <w:b/>
          <w:sz w:val="22"/>
          <w:szCs w:val="22"/>
          <w:lang w:eastAsia="lt-LT"/>
        </w:rPr>
      </w:pPr>
      <w:r>
        <w:rPr>
          <w:b/>
          <w:sz w:val="22"/>
          <w:szCs w:val="22"/>
          <w:lang w:eastAsia="lt-LT"/>
        </w:rPr>
        <w:t>Lorista 50 mg plėvele dengtos tabletės</w:t>
      </w:r>
    </w:p>
    <w:p w14:paraId="275CC216" w14:textId="77777777" w:rsidR="00F00A02" w:rsidRDefault="0027659F">
      <w:pPr>
        <w:widowControl w:val="0"/>
        <w:jc w:val="center"/>
        <w:rPr>
          <w:sz w:val="22"/>
          <w:szCs w:val="22"/>
          <w:lang w:eastAsia="lt-LT"/>
        </w:rPr>
      </w:pPr>
      <w:r>
        <w:rPr>
          <w:sz w:val="22"/>
          <w:szCs w:val="22"/>
          <w:lang w:eastAsia="lt-LT"/>
        </w:rPr>
        <w:t>losartano kalio druska</w:t>
      </w:r>
    </w:p>
    <w:p w14:paraId="2C8E908C" w14:textId="77777777" w:rsidR="00F00A02" w:rsidRDefault="00F00A02">
      <w:pPr>
        <w:widowControl w:val="0"/>
        <w:jc w:val="center"/>
        <w:rPr>
          <w:vanish/>
          <w:sz w:val="22"/>
          <w:szCs w:val="22"/>
          <w:lang w:eastAsia="lt-LT"/>
        </w:rPr>
      </w:pPr>
    </w:p>
    <w:p w14:paraId="744C1A6E" w14:textId="77777777" w:rsidR="00F00A02" w:rsidRDefault="0027659F">
      <w:pPr>
        <w:widowControl w:val="0"/>
        <w:rPr>
          <w:b/>
          <w:sz w:val="22"/>
          <w:szCs w:val="22"/>
          <w:lang w:eastAsia="lt-LT"/>
        </w:rPr>
      </w:pPr>
      <w:r>
        <w:rPr>
          <w:b/>
          <w:sz w:val="22"/>
          <w:szCs w:val="22"/>
          <w:lang w:eastAsia="lt-LT"/>
        </w:rPr>
        <w:t>Atidžiai perskaitykite visą šį lapelį, prieš pradėdami vartoti vaistą, nes jame pateikiama Jums svarbi informacija.</w:t>
      </w:r>
    </w:p>
    <w:p w14:paraId="269EEA6B" w14:textId="77777777" w:rsidR="00F00A02" w:rsidRDefault="0027659F">
      <w:pPr>
        <w:widowControl w:val="0"/>
        <w:numPr>
          <w:ilvl w:val="0"/>
          <w:numId w:val="27"/>
        </w:numPr>
        <w:ind w:left="567" w:hanging="567"/>
        <w:contextualSpacing/>
        <w:rPr>
          <w:sz w:val="22"/>
          <w:szCs w:val="22"/>
          <w:lang w:eastAsia="lt-LT"/>
        </w:rPr>
      </w:pPr>
      <w:r>
        <w:rPr>
          <w:sz w:val="22"/>
          <w:szCs w:val="22"/>
          <w:lang w:eastAsia="lt-LT"/>
        </w:rPr>
        <w:t>Neišmeskite šio lapelio, nes vėl gali prireikti jį perskaityti.</w:t>
      </w:r>
    </w:p>
    <w:p w14:paraId="3993D979" w14:textId="77777777" w:rsidR="00F00A02" w:rsidRDefault="0027659F">
      <w:pPr>
        <w:widowControl w:val="0"/>
        <w:numPr>
          <w:ilvl w:val="0"/>
          <w:numId w:val="27"/>
        </w:numPr>
        <w:ind w:left="567" w:hanging="567"/>
        <w:contextualSpacing/>
        <w:rPr>
          <w:sz w:val="22"/>
          <w:szCs w:val="22"/>
          <w:lang w:eastAsia="lt-LT"/>
        </w:rPr>
      </w:pPr>
      <w:r>
        <w:rPr>
          <w:sz w:val="22"/>
          <w:szCs w:val="22"/>
          <w:lang w:eastAsia="lt-LT"/>
        </w:rPr>
        <w:t>Jeigu kiltų daugiau klausimų, kreipkitės į gydytoją arba vaistininką.</w:t>
      </w:r>
    </w:p>
    <w:p w14:paraId="780ABF2F" w14:textId="77777777" w:rsidR="00F00A02" w:rsidRDefault="0027659F">
      <w:pPr>
        <w:widowControl w:val="0"/>
        <w:numPr>
          <w:ilvl w:val="0"/>
          <w:numId w:val="27"/>
        </w:numPr>
        <w:ind w:left="567" w:hanging="567"/>
        <w:contextualSpacing/>
        <w:rPr>
          <w:sz w:val="22"/>
          <w:szCs w:val="22"/>
          <w:lang w:eastAsia="lt-LT"/>
        </w:rPr>
      </w:pPr>
      <w:r>
        <w:rPr>
          <w:sz w:val="22"/>
          <w:szCs w:val="22"/>
          <w:lang w:eastAsia="lt-LT"/>
        </w:rPr>
        <w:t>Šis vaistas skirtas tik Jums, todėl kitiems žmonėms jo duoti negalima. Vaistas gali jiems pakenkti (net tiems, kurių ligos požymiai yra tokie patys kaip Jūsų).</w:t>
      </w:r>
    </w:p>
    <w:p w14:paraId="4F55722C" w14:textId="77777777" w:rsidR="00F00A02" w:rsidRDefault="0027659F">
      <w:pPr>
        <w:widowControl w:val="0"/>
        <w:numPr>
          <w:ilvl w:val="0"/>
          <w:numId w:val="27"/>
        </w:numPr>
        <w:ind w:left="567" w:hanging="567"/>
        <w:contextualSpacing/>
        <w:rPr>
          <w:sz w:val="22"/>
          <w:szCs w:val="22"/>
          <w:lang w:eastAsia="lt-LT"/>
        </w:rPr>
      </w:pPr>
      <w:r>
        <w:rPr>
          <w:sz w:val="22"/>
          <w:szCs w:val="22"/>
          <w:lang w:eastAsia="lt-LT"/>
        </w:rPr>
        <w:t>Jeigu pasireiškė šalutinis poveikis (net jeigu jis šiame lapelyje nenurodytas), kreipkitės į gydytoją arba vaistininką. Žr. 4 skyrių.</w:t>
      </w:r>
    </w:p>
    <w:p w14:paraId="1C09E4D1" w14:textId="77777777" w:rsidR="00F00A02" w:rsidRDefault="00F00A02">
      <w:pPr>
        <w:widowControl w:val="0"/>
        <w:rPr>
          <w:sz w:val="22"/>
          <w:szCs w:val="22"/>
          <w:lang w:eastAsia="lt-LT"/>
        </w:rPr>
      </w:pPr>
    </w:p>
    <w:p w14:paraId="429BEFCE" w14:textId="77777777" w:rsidR="00F00A02" w:rsidRDefault="00F00A02">
      <w:pPr>
        <w:widowControl w:val="0"/>
        <w:rPr>
          <w:sz w:val="22"/>
          <w:szCs w:val="22"/>
          <w:lang w:eastAsia="lt-LT"/>
        </w:rPr>
      </w:pPr>
    </w:p>
    <w:p w14:paraId="734B8F6B" w14:textId="77777777" w:rsidR="00F00A02" w:rsidRDefault="0027659F">
      <w:pPr>
        <w:widowControl w:val="0"/>
        <w:tabs>
          <w:tab w:val="left" w:pos="567"/>
        </w:tabs>
        <w:jc w:val="both"/>
        <w:outlineLvl w:val="3"/>
        <w:rPr>
          <w:b/>
          <w:bCs/>
          <w:snapToGrid w:val="0"/>
          <w:sz w:val="22"/>
          <w:szCs w:val="22"/>
          <w:lang w:eastAsia="x-none"/>
        </w:rPr>
      </w:pPr>
      <w:r>
        <w:rPr>
          <w:b/>
          <w:bCs/>
          <w:snapToGrid w:val="0"/>
          <w:sz w:val="22"/>
          <w:szCs w:val="22"/>
          <w:lang w:eastAsia="x-none"/>
        </w:rPr>
        <w:t>Apie ką rašoma šiame lapelyje?</w:t>
      </w:r>
    </w:p>
    <w:p w14:paraId="34C9F70E" w14:textId="77777777" w:rsidR="00F00A02" w:rsidRDefault="00F00A02">
      <w:pPr>
        <w:widowControl w:val="0"/>
        <w:rPr>
          <w:b/>
          <w:sz w:val="22"/>
          <w:szCs w:val="22"/>
          <w:lang w:eastAsia="lt-LT"/>
        </w:rPr>
      </w:pPr>
    </w:p>
    <w:p w14:paraId="43179F3D" w14:textId="77777777" w:rsidR="00F00A02" w:rsidRDefault="0027659F">
      <w:pPr>
        <w:widowControl w:val="0"/>
        <w:ind w:left="540" w:hanging="540"/>
        <w:rPr>
          <w:sz w:val="22"/>
          <w:szCs w:val="22"/>
          <w:lang w:eastAsia="lt-LT"/>
        </w:rPr>
      </w:pPr>
      <w:r>
        <w:rPr>
          <w:sz w:val="22"/>
          <w:szCs w:val="22"/>
          <w:lang w:eastAsia="lt-LT"/>
        </w:rPr>
        <w:t>1.</w:t>
      </w:r>
      <w:r>
        <w:rPr>
          <w:sz w:val="22"/>
          <w:szCs w:val="22"/>
          <w:lang w:eastAsia="lt-LT"/>
        </w:rPr>
        <w:tab/>
        <w:t>Kas yra Lorista ir kam jis vartojamas</w:t>
      </w:r>
    </w:p>
    <w:p w14:paraId="7C44C81D" w14:textId="77777777" w:rsidR="00F00A02" w:rsidRDefault="0027659F">
      <w:pPr>
        <w:widowControl w:val="0"/>
        <w:ind w:left="540" w:hanging="540"/>
        <w:rPr>
          <w:sz w:val="22"/>
          <w:szCs w:val="22"/>
          <w:lang w:eastAsia="lt-LT"/>
        </w:rPr>
      </w:pPr>
      <w:r>
        <w:rPr>
          <w:sz w:val="22"/>
          <w:szCs w:val="22"/>
          <w:lang w:eastAsia="lt-LT"/>
        </w:rPr>
        <w:t>2.</w:t>
      </w:r>
      <w:r>
        <w:rPr>
          <w:sz w:val="22"/>
          <w:szCs w:val="22"/>
          <w:lang w:eastAsia="lt-LT"/>
        </w:rPr>
        <w:tab/>
        <w:t>Kas žinotina prieš vartojant Lorista</w:t>
      </w:r>
    </w:p>
    <w:p w14:paraId="75BE0262" w14:textId="77777777" w:rsidR="00F00A02" w:rsidRDefault="0027659F">
      <w:pPr>
        <w:widowControl w:val="0"/>
        <w:ind w:left="540" w:hanging="540"/>
        <w:rPr>
          <w:sz w:val="22"/>
          <w:szCs w:val="22"/>
          <w:lang w:eastAsia="lt-LT"/>
        </w:rPr>
      </w:pPr>
      <w:r>
        <w:rPr>
          <w:sz w:val="22"/>
          <w:szCs w:val="22"/>
          <w:lang w:eastAsia="lt-LT"/>
        </w:rPr>
        <w:t>3.</w:t>
      </w:r>
      <w:r>
        <w:rPr>
          <w:sz w:val="22"/>
          <w:szCs w:val="22"/>
          <w:lang w:eastAsia="lt-LT"/>
        </w:rPr>
        <w:tab/>
        <w:t>Kaip vartoti Lorista</w:t>
      </w:r>
    </w:p>
    <w:p w14:paraId="156E6191" w14:textId="77777777" w:rsidR="00F00A02" w:rsidRDefault="0027659F">
      <w:pPr>
        <w:widowControl w:val="0"/>
        <w:ind w:left="540" w:hanging="540"/>
        <w:rPr>
          <w:sz w:val="22"/>
          <w:szCs w:val="22"/>
          <w:lang w:eastAsia="lt-LT"/>
        </w:rPr>
      </w:pPr>
      <w:r>
        <w:rPr>
          <w:sz w:val="22"/>
          <w:szCs w:val="22"/>
          <w:lang w:eastAsia="lt-LT"/>
        </w:rPr>
        <w:t>4.</w:t>
      </w:r>
      <w:r>
        <w:rPr>
          <w:sz w:val="22"/>
          <w:szCs w:val="22"/>
          <w:lang w:eastAsia="lt-LT"/>
        </w:rPr>
        <w:tab/>
        <w:t>Galimas šalutinis poveikis</w:t>
      </w:r>
    </w:p>
    <w:p w14:paraId="46A1A3CF" w14:textId="77777777" w:rsidR="00F00A02" w:rsidRDefault="0027659F">
      <w:pPr>
        <w:widowControl w:val="0"/>
        <w:ind w:left="540" w:hanging="540"/>
        <w:rPr>
          <w:sz w:val="22"/>
          <w:szCs w:val="22"/>
          <w:lang w:eastAsia="lt-LT"/>
        </w:rPr>
      </w:pPr>
      <w:r>
        <w:rPr>
          <w:sz w:val="22"/>
          <w:szCs w:val="22"/>
          <w:lang w:eastAsia="lt-LT"/>
        </w:rPr>
        <w:t>5.</w:t>
      </w:r>
      <w:r>
        <w:rPr>
          <w:sz w:val="22"/>
          <w:szCs w:val="22"/>
          <w:lang w:eastAsia="lt-LT"/>
        </w:rPr>
        <w:tab/>
        <w:t>Kaip laikyti Lorista</w:t>
      </w:r>
    </w:p>
    <w:p w14:paraId="42161584" w14:textId="77777777" w:rsidR="00F00A02" w:rsidRDefault="0027659F">
      <w:pPr>
        <w:widowControl w:val="0"/>
        <w:ind w:left="540" w:hanging="540"/>
        <w:rPr>
          <w:sz w:val="22"/>
          <w:szCs w:val="22"/>
          <w:lang w:eastAsia="lt-LT"/>
        </w:rPr>
      </w:pPr>
      <w:r>
        <w:rPr>
          <w:sz w:val="22"/>
          <w:szCs w:val="22"/>
          <w:lang w:eastAsia="lt-LT"/>
        </w:rPr>
        <w:t>6.</w:t>
      </w:r>
      <w:r>
        <w:rPr>
          <w:sz w:val="22"/>
          <w:szCs w:val="22"/>
          <w:lang w:eastAsia="lt-LT"/>
        </w:rPr>
        <w:tab/>
        <w:t>Pakuotės turinys ir kita informacija</w:t>
      </w:r>
    </w:p>
    <w:p w14:paraId="64443035" w14:textId="77777777" w:rsidR="00F00A02" w:rsidRDefault="00F00A02">
      <w:pPr>
        <w:widowControl w:val="0"/>
        <w:rPr>
          <w:sz w:val="22"/>
          <w:szCs w:val="22"/>
          <w:lang w:eastAsia="lt-LT"/>
        </w:rPr>
      </w:pPr>
    </w:p>
    <w:p w14:paraId="26FA577E" w14:textId="77777777" w:rsidR="00F00A02" w:rsidRDefault="00F00A02">
      <w:pPr>
        <w:widowControl w:val="0"/>
        <w:rPr>
          <w:sz w:val="22"/>
          <w:szCs w:val="22"/>
          <w:lang w:eastAsia="lt-LT"/>
        </w:rPr>
      </w:pPr>
    </w:p>
    <w:p w14:paraId="6CFB4860" w14:textId="77777777" w:rsidR="00F00A02" w:rsidRDefault="0027659F">
      <w:pPr>
        <w:widowControl w:val="0"/>
        <w:ind w:left="567" w:hanging="567"/>
        <w:outlineLvl w:val="1"/>
        <w:rPr>
          <w:b/>
          <w:sz w:val="22"/>
          <w:szCs w:val="22"/>
          <w:lang w:val="sv-SE" w:eastAsia="lt-LT"/>
        </w:rPr>
      </w:pPr>
      <w:r>
        <w:rPr>
          <w:b/>
          <w:sz w:val="22"/>
          <w:szCs w:val="22"/>
          <w:lang w:val="sv-SE" w:eastAsia="lt-LT"/>
        </w:rPr>
        <w:t>1.</w:t>
      </w:r>
      <w:r>
        <w:rPr>
          <w:b/>
          <w:sz w:val="22"/>
          <w:szCs w:val="22"/>
          <w:lang w:val="sv-SE" w:eastAsia="lt-LT"/>
        </w:rPr>
        <w:tab/>
      </w:r>
      <w:r>
        <w:rPr>
          <w:b/>
          <w:sz w:val="22"/>
          <w:szCs w:val="22"/>
          <w:lang w:eastAsia="lt-LT"/>
        </w:rPr>
        <w:t>Kas yra Lorista ir kam jis vartojamas</w:t>
      </w:r>
    </w:p>
    <w:p w14:paraId="7F146F46" w14:textId="77777777" w:rsidR="00F00A02" w:rsidRDefault="00F00A02">
      <w:pPr>
        <w:widowControl w:val="0"/>
        <w:rPr>
          <w:sz w:val="22"/>
          <w:szCs w:val="22"/>
          <w:lang w:eastAsia="lt-LT"/>
        </w:rPr>
      </w:pPr>
    </w:p>
    <w:p w14:paraId="4DFDDFEB" w14:textId="77777777" w:rsidR="00F00A02" w:rsidRDefault="0027659F">
      <w:pPr>
        <w:widowControl w:val="0"/>
        <w:rPr>
          <w:color w:val="000000"/>
          <w:sz w:val="22"/>
          <w:szCs w:val="22"/>
          <w:lang w:eastAsia="lt-LT"/>
        </w:rPr>
      </w:pPr>
      <w:r>
        <w:rPr>
          <w:color w:val="000000"/>
          <w:sz w:val="22"/>
          <w:szCs w:val="22"/>
          <w:lang w:eastAsia="lt-LT"/>
        </w:rPr>
        <w:t>Losartanas (Lorista) priklauso kraujospūdį mažinančių vaistų, žinomų angiotenzino II receptorių antagonistų pavadinimu, grupei. Angiotenzinas II yra organizme gaminama medžiaga, kuri prisijungia prie kraujagyslėse esančių receptorių ir jas susiaurina. Tai sukelia kraujospūdžio padidėjimą. Losartanas neleidžia angiotenzinui II prisijungti prie šių receptorių, todėl sukelia kraujagyslių atsipalaidavimą, dėl kurio mažinamas kraujospūdis. Losartanas lėtina inkstų funkcijos silpnėjimą pacientams, kuriems yra didelio kraujospūdžio liga ir II tipo cukrinis diabetas.</w:t>
      </w:r>
    </w:p>
    <w:p w14:paraId="1F840E38" w14:textId="77777777" w:rsidR="00F00A02" w:rsidRDefault="00F00A02">
      <w:pPr>
        <w:widowControl w:val="0"/>
        <w:rPr>
          <w:color w:val="000000"/>
          <w:sz w:val="22"/>
          <w:szCs w:val="22"/>
          <w:lang w:eastAsia="lt-LT"/>
        </w:rPr>
      </w:pPr>
    </w:p>
    <w:p w14:paraId="282237A3" w14:textId="77777777" w:rsidR="00F00A02" w:rsidRDefault="0027659F">
      <w:pPr>
        <w:widowControl w:val="0"/>
        <w:rPr>
          <w:color w:val="000000"/>
          <w:sz w:val="22"/>
          <w:szCs w:val="22"/>
          <w:lang w:eastAsia="lt-LT"/>
        </w:rPr>
      </w:pPr>
      <w:r>
        <w:rPr>
          <w:color w:val="000000"/>
          <w:sz w:val="22"/>
          <w:szCs w:val="22"/>
          <w:lang w:eastAsia="lt-LT"/>
        </w:rPr>
        <w:t>Lorista vartojamas:</w:t>
      </w:r>
    </w:p>
    <w:p w14:paraId="43BD3205" w14:textId="77777777" w:rsidR="00F00A02" w:rsidRDefault="0027659F">
      <w:pPr>
        <w:widowControl w:val="0"/>
        <w:numPr>
          <w:ilvl w:val="0"/>
          <w:numId w:val="20"/>
        </w:numPr>
        <w:tabs>
          <w:tab w:val="clear" w:pos="720"/>
        </w:tabs>
        <w:ind w:left="567" w:hanging="567"/>
        <w:rPr>
          <w:color w:val="000000"/>
          <w:sz w:val="22"/>
          <w:szCs w:val="22"/>
          <w:lang w:eastAsia="lt-LT"/>
        </w:rPr>
      </w:pPr>
      <w:r>
        <w:rPr>
          <w:color w:val="000000"/>
          <w:sz w:val="22"/>
          <w:szCs w:val="22"/>
          <w:lang w:eastAsia="lt-LT"/>
        </w:rPr>
        <w:t>gydyti suaugusiuosius, 6 – 18 metų vaikus ir paauglius, kuriems yra padidėjęs kraujo spaudimas (hipertenzija);</w:t>
      </w:r>
    </w:p>
    <w:p w14:paraId="4C34C06F" w14:textId="77777777" w:rsidR="00F00A02" w:rsidRDefault="0027659F">
      <w:pPr>
        <w:widowControl w:val="0"/>
        <w:numPr>
          <w:ilvl w:val="0"/>
          <w:numId w:val="20"/>
        </w:numPr>
        <w:tabs>
          <w:tab w:val="clear" w:pos="720"/>
        </w:tabs>
        <w:ind w:left="567" w:hanging="567"/>
        <w:rPr>
          <w:color w:val="000000"/>
          <w:sz w:val="22"/>
          <w:szCs w:val="22"/>
          <w:lang w:eastAsia="lt-LT"/>
        </w:rPr>
      </w:pPr>
      <w:r>
        <w:rPr>
          <w:color w:val="000000"/>
          <w:sz w:val="22"/>
          <w:szCs w:val="22"/>
          <w:lang w:eastAsia="lt-LT"/>
        </w:rPr>
        <w:t>saugoti inkstus hipertenzija ir II tipo cukriniu diabetu sergantiems pacientams, kuriems yra laboratorinių inkstų funkcijos sutrikimo įrodymų ir 0,5 g per parą ar didesnė proteinurija (būklė, kurios metu šlapime padidėja baltymo kiekis);</w:t>
      </w:r>
    </w:p>
    <w:p w14:paraId="1EC73B44" w14:textId="77777777" w:rsidR="00F00A02" w:rsidRDefault="0027659F">
      <w:pPr>
        <w:widowControl w:val="0"/>
        <w:numPr>
          <w:ilvl w:val="0"/>
          <w:numId w:val="20"/>
        </w:numPr>
        <w:tabs>
          <w:tab w:val="clear" w:pos="720"/>
        </w:tabs>
        <w:ind w:left="567" w:hanging="567"/>
        <w:rPr>
          <w:color w:val="000000"/>
          <w:sz w:val="22"/>
          <w:szCs w:val="22"/>
          <w:lang w:eastAsia="lt-LT"/>
        </w:rPr>
      </w:pPr>
      <w:r>
        <w:rPr>
          <w:color w:val="000000"/>
          <w:sz w:val="22"/>
          <w:szCs w:val="22"/>
          <w:lang w:eastAsia="lt-LT"/>
        </w:rPr>
        <w:t>gydyti lėtiniu širdies nepakankamumu sergančius pacientus, jei gydytojas mano, kad gydymas specifiniais vaistais, vadinamais angiotenziną konvertuojančio fermento inhibitoriais (AKF inhibitoriais, t. y. vaistais nuo aukšto kraujospūdžio ligos), netinka. Jeigu širdies nepakankamumą stabilizavo AKF inhibitoriai, gydymo jais keisti losartanu nereikia;</w:t>
      </w:r>
    </w:p>
    <w:p w14:paraId="5C396A7B" w14:textId="77777777" w:rsidR="00F00A02" w:rsidRDefault="0027659F">
      <w:pPr>
        <w:widowControl w:val="0"/>
        <w:numPr>
          <w:ilvl w:val="0"/>
          <w:numId w:val="20"/>
        </w:numPr>
        <w:tabs>
          <w:tab w:val="clear" w:pos="720"/>
        </w:tabs>
        <w:ind w:left="567" w:hanging="567"/>
        <w:rPr>
          <w:color w:val="000000"/>
          <w:sz w:val="22"/>
          <w:szCs w:val="22"/>
          <w:lang w:eastAsia="lt-LT"/>
        </w:rPr>
      </w:pPr>
      <w:r>
        <w:rPr>
          <w:color w:val="000000"/>
          <w:sz w:val="22"/>
          <w:szCs w:val="22"/>
          <w:lang w:eastAsia="lt-LT"/>
        </w:rPr>
        <w:t>pacientams, kuriems yra aukšto kraujospūdžio liga ir sustorėjusi kairiojo širdies skilvelio sienelė, nes įrodyta, kad Lorista mažina insulto riziką ("</w:t>
      </w:r>
      <w:r>
        <w:rPr>
          <w:i/>
          <w:iCs/>
          <w:color w:val="000000"/>
          <w:sz w:val="22"/>
          <w:szCs w:val="22"/>
          <w:lang w:eastAsia="lt-LT"/>
        </w:rPr>
        <w:t xml:space="preserve">LIFE </w:t>
      </w:r>
      <w:r>
        <w:rPr>
          <w:color w:val="000000"/>
          <w:sz w:val="22"/>
          <w:szCs w:val="22"/>
          <w:lang w:eastAsia="lt-LT"/>
        </w:rPr>
        <w:t>tyrimas").</w:t>
      </w:r>
    </w:p>
    <w:p w14:paraId="21B6D52A" w14:textId="77777777" w:rsidR="00F00A02" w:rsidRDefault="00F00A02">
      <w:pPr>
        <w:widowControl w:val="0"/>
        <w:rPr>
          <w:sz w:val="22"/>
          <w:szCs w:val="22"/>
          <w:lang w:eastAsia="lt-LT"/>
        </w:rPr>
      </w:pPr>
    </w:p>
    <w:p w14:paraId="7E1C75FC" w14:textId="77777777" w:rsidR="00F00A02" w:rsidRDefault="00F00A02">
      <w:pPr>
        <w:widowControl w:val="0"/>
        <w:rPr>
          <w:sz w:val="22"/>
          <w:szCs w:val="22"/>
          <w:lang w:eastAsia="lt-LT"/>
        </w:rPr>
      </w:pPr>
    </w:p>
    <w:p w14:paraId="24E73A90" w14:textId="77777777" w:rsidR="00F00A02" w:rsidRDefault="0027659F">
      <w:pPr>
        <w:widowControl w:val="0"/>
        <w:ind w:left="567" w:hanging="567"/>
        <w:outlineLvl w:val="1"/>
        <w:rPr>
          <w:b/>
          <w:sz w:val="22"/>
          <w:szCs w:val="22"/>
          <w:lang w:val="sv-SE" w:eastAsia="lt-LT"/>
        </w:rPr>
      </w:pPr>
      <w:r>
        <w:rPr>
          <w:b/>
          <w:sz w:val="22"/>
          <w:szCs w:val="22"/>
          <w:lang w:val="sv-SE" w:eastAsia="lt-LT"/>
        </w:rPr>
        <w:t>2.</w:t>
      </w:r>
      <w:r>
        <w:rPr>
          <w:b/>
          <w:sz w:val="22"/>
          <w:szCs w:val="22"/>
          <w:lang w:val="sv-SE" w:eastAsia="lt-LT"/>
        </w:rPr>
        <w:tab/>
      </w:r>
      <w:r>
        <w:rPr>
          <w:b/>
          <w:sz w:val="22"/>
          <w:szCs w:val="22"/>
          <w:lang w:eastAsia="lt-LT"/>
        </w:rPr>
        <w:t>Kas žinotina prieš vartojant Lorista</w:t>
      </w:r>
    </w:p>
    <w:p w14:paraId="55BE5D16" w14:textId="77777777" w:rsidR="00F00A02" w:rsidRDefault="00F00A02">
      <w:pPr>
        <w:widowControl w:val="0"/>
        <w:rPr>
          <w:sz w:val="22"/>
          <w:szCs w:val="22"/>
          <w:lang w:eastAsia="lt-LT"/>
        </w:rPr>
      </w:pPr>
    </w:p>
    <w:p w14:paraId="0305E65E" w14:textId="77777777" w:rsidR="00F00A02" w:rsidRDefault="0027659F">
      <w:pPr>
        <w:widowControl w:val="0"/>
        <w:rPr>
          <w:b/>
          <w:color w:val="000000"/>
          <w:sz w:val="22"/>
          <w:szCs w:val="22"/>
          <w:lang w:eastAsia="lt-LT"/>
        </w:rPr>
      </w:pPr>
      <w:r>
        <w:rPr>
          <w:b/>
          <w:color w:val="000000"/>
          <w:sz w:val="22"/>
          <w:szCs w:val="22"/>
          <w:lang w:eastAsia="lt-LT"/>
        </w:rPr>
        <w:t>Lorista vartoti draudžiama</w:t>
      </w:r>
    </w:p>
    <w:p w14:paraId="146361AB" w14:textId="77777777" w:rsidR="00F00A02" w:rsidRDefault="0027659F">
      <w:pPr>
        <w:widowControl w:val="0"/>
        <w:numPr>
          <w:ilvl w:val="0"/>
          <w:numId w:val="21"/>
        </w:numPr>
        <w:tabs>
          <w:tab w:val="clear" w:pos="720"/>
        </w:tabs>
        <w:ind w:left="567" w:hanging="567"/>
        <w:rPr>
          <w:color w:val="000000"/>
          <w:sz w:val="22"/>
          <w:szCs w:val="22"/>
          <w:lang w:eastAsia="lt-LT"/>
        </w:rPr>
      </w:pPr>
      <w:r>
        <w:rPr>
          <w:color w:val="000000"/>
          <w:sz w:val="22"/>
          <w:szCs w:val="22"/>
          <w:lang w:eastAsia="lt-LT"/>
        </w:rPr>
        <w:t>jeigu yra alergija losartano kalio druskai arba bet kuriai pagalbinei šio vaisto medžiagai (jos išvardytos 6 skyriuje);</w:t>
      </w:r>
    </w:p>
    <w:p w14:paraId="43A69578" w14:textId="77777777" w:rsidR="00F00A02" w:rsidRDefault="0027659F">
      <w:pPr>
        <w:widowControl w:val="0"/>
        <w:numPr>
          <w:ilvl w:val="0"/>
          <w:numId w:val="21"/>
        </w:numPr>
        <w:tabs>
          <w:tab w:val="clear" w:pos="720"/>
        </w:tabs>
        <w:ind w:left="567" w:hanging="567"/>
        <w:rPr>
          <w:color w:val="000000"/>
          <w:sz w:val="22"/>
          <w:szCs w:val="22"/>
          <w:lang w:eastAsia="lt-LT"/>
        </w:rPr>
      </w:pPr>
      <w:r>
        <w:rPr>
          <w:color w:val="000000"/>
          <w:sz w:val="22"/>
          <w:szCs w:val="22"/>
          <w:lang w:eastAsia="lt-LT"/>
        </w:rPr>
        <w:t>jeigu yra sunkus kepenų funkcijos sutrikimas;</w:t>
      </w:r>
    </w:p>
    <w:p w14:paraId="68C0FDD9" w14:textId="77777777" w:rsidR="00F00A02" w:rsidRDefault="0027659F">
      <w:pPr>
        <w:widowControl w:val="0"/>
        <w:numPr>
          <w:ilvl w:val="0"/>
          <w:numId w:val="21"/>
        </w:numPr>
        <w:tabs>
          <w:tab w:val="clear" w:pos="720"/>
        </w:tabs>
        <w:ind w:left="567" w:hanging="567"/>
        <w:rPr>
          <w:color w:val="000000"/>
          <w:sz w:val="22"/>
          <w:szCs w:val="22"/>
          <w:lang w:eastAsia="lt-LT"/>
        </w:rPr>
      </w:pPr>
      <w:r>
        <w:rPr>
          <w:color w:val="000000"/>
          <w:sz w:val="22"/>
          <w:szCs w:val="22"/>
          <w:lang w:eastAsia="lt-LT"/>
        </w:rPr>
        <w:t>jeigu esate ilgiau kaip 3 mėnesius nėščia. Be to, geriau vengti Lorista vartoti ir pačioje nėštumo pradžioje (žr. poskyrį "Nėštumas");</w:t>
      </w:r>
    </w:p>
    <w:p w14:paraId="4ED76531" w14:textId="77777777" w:rsidR="00F00A02" w:rsidRDefault="0027659F">
      <w:pPr>
        <w:widowControl w:val="0"/>
        <w:numPr>
          <w:ilvl w:val="0"/>
          <w:numId w:val="21"/>
        </w:numPr>
        <w:tabs>
          <w:tab w:val="clear" w:pos="720"/>
        </w:tabs>
        <w:ind w:left="567" w:hanging="567"/>
        <w:rPr>
          <w:color w:val="000000"/>
          <w:sz w:val="22"/>
          <w:szCs w:val="22"/>
          <w:lang w:eastAsia="lt-LT"/>
        </w:rPr>
      </w:pPr>
      <w:r>
        <w:rPr>
          <w:rFonts w:eastAsia="Batang"/>
          <w:sz w:val="22"/>
          <w:szCs w:val="22"/>
        </w:rPr>
        <w:t>j</w:t>
      </w:r>
      <w:r>
        <w:rPr>
          <w:color w:val="000000"/>
          <w:sz w:val="22"/>
          <w:szCs w:val="22"/>
          <w:lang w:eastAsia="lt-LT"/>
        </w:rPr>
        <w:t xml:space="preserve">eigu Jūs sergate cukriniu diabetu arba Jūsų inkstų veikla sutrikusi ir Jums skirtas kraujospūdį </w:t>
      </w:r>
      <w:r>
        <w:rPr>
          <w:color w:val="000000"/>
          <w:sz w:val="22"/>
          <w:szCs w:val="22"/>
          <w:lang w:eastAsia="lt-LT"/>
        </w:rPr>
        <w:lastRenderedPageBreak/>
        <w:t>mažinantis vaistas, kurio sudėtyje yra aliskireno.</w:t>
      </w:r>
    </w:p>
    <w:p w14:paraId="3851F034" w14:textId="77777777" w:rsidR="00F00A02" w:rsidRDefault="00F00A02">
      <w:pPr>
        <w:widowControl w:val="0"/>
        <w:rPr>
          <w:b/>
          <w:color w:val="000000"/>
          <w:sz w:val="22"/>
          <w:szCs w:val="22"/>
          <w:lang w:eastAsia="lt-LT"/>
        </w:rPr>
      </w:pPr>
    </w:p>
    <w:p w14:paraId="3A78C7D8" w14:textId="77777777" w:rsidR="00F00A02" w:rsidRDefault="0027659F">
      <w:pPr>
        <w:widowControl w:val="0"/>
        <w:tabs>
          <w:tab w:val="left" w:pos="567"/>
        </w:tabs>
        <w:jc w:val="both"/>
        <w:outlineLvl w:val="3"/>
        <w:rPr>
          <w:b/>
          <w:bCs/>
          <w:snapToGrid w:val="0"/>
          <w:sz w:val="22"/>
          <w:szCs w:val="22"/>
          <w:lang w:eastAsia="x-none"/>
        </w:rPr>
      </w:pPr>
      <w:r>
        <w:rPr>
          <w:b/>
          <w:bCs/>
          <w:snapToGrid w:val="0"/>
          <w:sz w:val="22"/>
          <w:szCs w:val="22"/>
          <w:lang w:eastAsia="x-none"/>
        </w:rPr>
        <w:t>Įspėjimai ir atsargumo priemonės</w:t>
      </w:r>
    </w:p>
    <w:p w14:paraId="469771D9" w14:textId="77777777" w:rsidR="00F00A02" w:rsidRDefault="0027659F">
      <w:pPr>
        <w:widowControl w:val="0"/>
        <w:numPr>
          <w:ilvl w:val="12"/>
          <w:numId w:val="0"/>
        </w:numPr>
        <w:ind w:right="-2"/>
        <w:rPr>
          <w:snapToGrid w:val="0"/>
          <w:sz w:val="22"/>
          <w:szCs w:val="22"/>
        </w:rPr>
      </w:pPr>
      <w:r>
        <w:rPr>
          <w:noProof/>
          <w:snapToGrid w:val="0"/>
          <w:sz w:val="22"/>
          <w:szCs w:val="22"/>
        </w:rPr>
        <w:t>Pasitarkite su gydytoju arba vaistininku, prieš pradėdami vartoti Lorista.</w:t>
      </w:r>
    </w:p>
    <w:p w14:paraId="3AF77D81" w14:textId="77777777" w:rsidR="00F00A02" w:rsidRDefault="00F00A02">
      <w:pPr>
        <w:widowControl w:val="0"/>
        <w:rPr>
          <w:color w:val="000000"/>
          <w:sz w:val="22"/>
          <w:szCs w:val="22"/>
          <w:lang w:eastAsia="lt-LT"/>
        </w:rPr>
      </w:pPr>
    </w:p>
    <w:p w14:paraId="43969860" w14:textId="77777777" w:rsidR="00F00A02" w:rsidRDefault="0027659F">
      <w:pPr>
        <w:widowControl w:val="0"/>
        <w:rPr>
          <w:color w:val="000000"/>
          <w:sz w:val="22"/>
          <w:szCs w:val="22"/>
          <w:lang w:eastAsia="lt-LT"/>
        </w:rPr>
      </w:pPr>
      <w:r>
        <w:rPr>
          <w:color w:val="000000"/>
          <w:sz w:val="22"/>
          <w:szCs w:val="22"/>
          <w:lang w:eastAsia="lt-LT"/>
        </w:rPr>
        <w:t>Jeigu manote, kad esate (arba galite tapti) nėščia, turite apie tai pasakyti savo gydytojui. Ankstyvuoju nėštumo laikotarpiu Lorista vartoti nerekomenduojama. Po trečio nėštumo mėnesio šio vaisto vartoti negalima, nes jis gali padaryti didžiulės žalos Jūsų kūdikiui, žr. poskyrį “Nėštumas ir žindymo laikotarpis“.</w:t>
      </w:r>
    </w:p>
    <w:p w14:paraId="036084E7" w14:textId="77777777" w:rsidR="00F00A02" w:rsidRDefault="00F00A02">
      <w:pPr>
        <w:widowControl w:val="0"/>
        <w:rPr>
          <w:color w:val="000000"/>
          <w:sz w:val="22"/>
          <w:szCs w:val="22"/>
          <w:lang w:eastAsia="lt-LT"/>
        </w:rPr>
      </w:pPr>
    </w:p>
    <w:p w14:paraId="28D74638" w14:textId="77777777" w:rsidR="00F00A02" w:rsidRDefault="0027659F">
      <w:pPr>
        <w:widowControl w:val="0"/>
        <w:rPr>
          <w:color w:val="000000"/>
          <w:sz w:val="22"/>
          <w:szCs w:val="22"/>
          <w:lang w:eastAsia="lt-LT"/>
        </w:rPr>
      </w:pPr>
      <w:r>
        <w:rPr>
          <w:color w:val="000000"/>
          <w:sz w:val="22"/>
          <w:szCs w:val="22"/>
          <w:lang w:eastAsia="lt-LT"/>
        </w:rPr>
        <w:t>Svarbu, kad prieš pradėdami vartoti Lorista pasakytumėte gydytojui:</w:t>
      </w:r>
    </w:p>
    <w:p w14:paraId="65ADA3F0" w14:textId="77777777" w:rsidR="00F00A02" w:rsidRDefault="0027659F">
      <w:pPr>
        <w:widowControl w:val="0"/>
        <w:numPr>
          <w:ilvl w:val="0"/>
          <w:numId w:val="22"/>
        </w:numPr>
        <w:tabs>
          <w:tab w:val="clear" w:pos="720"/>
        </w:tabs>
        <w:ind w:left="567" w:hanging="567"/>
        <w:rPr>
          <w:color w:val="000000"/>
          <w:sz w:val="22"/>
          <w:szCs w:val="22"/>
          <w:lang w:eastAsia="lt-LT"/>
        </w:rPr>
      </w:pPr>
      <w:r>
        <w:rPr>
          <w:color w:val="000000"/>
          <w:sz w:val="22"/>
          <w:szCs w:val="22"/>
          <w:lang w:eastAsia="lt-LT"/>
        </w:rPr>
        <w:t>jeigu Jums yra buvusi angioneurozinė edema (veido, lūpų, ryklės ir (arba) liežuvio sutinimas) (žr. ir 4 skyrių „Galimas šalutinis poveikis“);</w:t>
      </w:r>
    </w:p>
    <w:p w14:paraId="517726F9" w14:textId="77777777" w:rsidR="00F00A02" w:rsidRDefault="0027659F">
      <w:pPr>
        <w:widowControl w:val="0"/>
        <w:numPr>
          <w:ilvl w:val="0"/>
          <w:numId w:val="22"/>
        </w:numPr>
        <w:tabs>
          <w:tab w:val="clear" w:pos="720"/>
        </w:tabs>
        <w:ind w:left="567" w:hanging="567"/>
        <w:rPr>
          <w:color w:val="000000"/>
          <w:sz w:val="22"/>
          <w:szCs w:val="22"/>
          <w:lang w:eastAsia="lt-LT"/>
        </w:rPr>
      </w:pPr>
      <w:r>
        <w:rPr>
          <w:color w:val="000000"/>
          <w:sz w:val="22"/>
          <w:szCs w:val="22"/>
          <w:lang w:eastAsia="lt-LT"/>
        </w:rPr>
        <w:t>jeigu Jus kamuoja gausus vėmimas arba viduriavimas ir dėl to organizmas neteko nepaprastai daug skysčių ir (arba) druskų;</w:t>
      </w:r>
    </w:p>
    <w:p w14:paraId="631EF0CD" w14:textId="77777777" w:rsidR="00F00A02" w:rsidRDefault="0027659F">
      <w:pPr>
        <w:widowControl w:val="0"/>
        <w:numPr>
          <w:ilvl w:val="0"/>
          <w:numId w:val="22"/>
        </w:numPr>
        <w:tabs>
          <w:tab w:val="clear" w:pos="720"/>
        </w:tabs>
        <w:ind w:left="567" w:hanging="567"/>
        <w:rPr>
          <w:color w:val="000000"/>
          <w:sz w:val="22"/>
          <w:szCs w:val="22"/>
          <w:lang w:eastAsia="lt-LT"/>
        </w:rPr>
      </w:pPr>
      <w:r>
        <w:rPr>
          <w:color w:val="000000"/>
          <w:sz w:val="22"/>
          <w:szCs w:val="22"/>
          <w:lang w:eastAsia="lt-LT"/>
        </w:rPr>
        <w:t>jeigu vartojate diuretikų (vaistų, didinančių pro inkstus išskiriamo vandens kiekį) arba laikotės druskos kiekį ribojančios dietos ir dėl to Jūsų organizmas neteko nepaprastai daug skysčių ir druskų (žr. 3 skyrių "Dozavimas specialių grupių pacientams");</w:t>
      </w:r>
    </w:p>
    <w:p w14:paraId="3508DA37" w14:textId="77777777" w:rsidR="00F00A02" w:rsidRDefault="0027659F">
      <w:pPr>
        <w:widowControl w:val="0"/>
        <w:numPr>
          <w:ilvl w:val="0"/>
          <w:numId w:val="22"/>
        </w:numPr>
        <w:tabs>
          <w:tab w:val="clear" w:pos="720"/>
        </w:tabs>
        <w:ind w:left="567" w:hanging="567"/>
        <w:rPr>
          <w:color w:val="000000"/>
          <w:sz w:val="22"/>
          <w:szCs w:val="22"/>
          <w:lang w:eastAsia="lt-LT"/>
        </w:rPr>
      </w:pPr>
      <w:r>
        <w:rPr>
          <w:color w:val="000000"/>
          <w:sz w:val="22"/>
          <w:szCs w:val="22"/>
          <w:lang w:eastAsia="lt-LT"/>
        </w:rPr>
        <w:t>jeigu žinote, kad yra susiaurėjusios arba užsikimšusios Jūsų inkstų kraujagyslės, arba jeigu neseniai persodintas inkstas;</w:t>
      </w:r>
    </w:p>
    <w:p w14:paraId="2FA83F7B" w14:textId="77777777" w:rsidR="00F00A02" w:rsidRDefault="0027659F">
      <w:pPr>
        <w:widowControl w:val="0"/>
        <w:numPr>
          <w:ilvl w:val="0"/>
          <w:numId w:val="22"/>
        </w:numPr>
        <w:tabs>
          <w:tab w:val="clear" w:pos="720"/>
        </w:tabs>
        <w:ind w:left="567" w:hanging="567"/>
        <w:rPr>
          <w:color w:val="000000"/>
          <w:sz w:val="22"/>
          <w:szCs w:val="22"/>
          <w:lang w:eastAsia="lt-LT"/>
        </w:rPr>
      </w:pPr>
      <w:r>
        <w:rPr>
          <w:color w:val="000000"/>
          <w:sz w:val="22"/>
          <w:szCs w:val="22"/>
          <w:lang w:eastAsia="lt-LT"/>
        </w:rPr>
        <w:t>jeigu sutrikusi kepenų funkcija (žr. 2 skyrių "Lorista vartoti draudžiama" ir 3 skyrių "Dozavimas specialių grupių pacientams");</w:t>
      </w:r>
    </w:p>
    <w:p w14:paraId="649820CE" w14:textId="77777777" w:rsidR="00F00A02" w:rsidRDefault="0027659F">
      <w:pPr>
        <w:widowControl w:val="0"/>
        <w:numPr>
          <w:ilvl w:val="0"/>
          <w:numId w:val="22"/>
        </w:numPr>
        <w:tabs>
          <w:tab w:val="clear" w:pos="720"/>
        </w:tabs>
        <w:ind w:left="567" w:hanging="567"/>
        <w:rPr>
          <w:color w:val="000000"/>
          <w:sz w:val="22"/>
          <w:szCs w:val="22"/>
          <w:lang w:eastAsia="lt-LT"/>
        </w:rPr>
      </w:pPr>
      <w:r>
        <w:rPr>
          <w:color w:val="000000"/>
          <w:sz w:val="22"/>
          <w:szCs w:val="22"/>
          <w:lang w:eastAsia="lt-LT"/>
        </w:rPr>
        <w:t>jeigu sergate širdies nepakankamumu, susijusiu arba nesusijusiu su inkstų funkcijos sutrikimu, arba susijusiu su sunkiu, gyvybei grėsmingu širdies ritmo sutrikimu. Jeigu kartu esate gydomas beta adrenoblokatoriais, būtinas specialus atsargumas;</w:t>
      </w:r>
    </w:p>
    <w:p w14:paraId="3B2F77D9" w14:textId="77777777" w:rsidR="00F00A02" w:rsidRDefault="0027659F">
      <w:pPr>
        <w:widowControl w:val="0"/>
        <w:numPr>
          <w:ilvl w:val="0"/>
          <w:numId w:val="22"/>
        </w:numPr>
        <w:tabs>
          <w:tab w:val="clear" w:pos="720"/>
        </w:tabs>
        <w:ind w:left="567" w:hanging="567"/>
        <w:rPr>
          <w:color w:val="000000"/>
          <w:sz w:val="22"/>
          <w:szCs w:val="22"/>
          <w:lang w:eastAsia="lt-LT"/>
        </w:rPr>
      </w:pPr>
      <w:r>
        <w:rPr>
          <w:color w:val="000000"/>
          <w:sz w:val="22"/>
          <w:szCs w:val="22"/>
          <w:lang w:eastAsia="lt-LT"/>
        </w:rPr>
        <w:t>jeigu yra širdies vožtuvų arba širdies raumens sutrikimų;</w:t>
      </w:r>
    </w:p>
    <w:p w14:paraId="271580B9" w14:textId="77777777" w:rsidR="00F00A02" w:rsidRDefault="0027659F">
      <w:pPr>
        <w:widowControl w:val="0"/>
        <w:numPr>
          <w:ilvl w:val="0"/>
          <w:numId w:val="22"/>
        </w:numPr>
        <w:tabs>
          <w:tab w:val="clear" w:pos="720"/>
        </w:tabs>
        <w:ind w:left="567" w:hanging="567"/>
        <w:rPr>
          <w:color w:val="000000"/>
          <w:sz w:val="22"/>
          <w:szCs w:val="22"/>
          <w:lang w:eastAsia="lt-LT"/>
        </w:rPr>
      </w:pPr>
      <w:r>
        <w:rPr>
          <w:color w:val="000000"/>
          <w:sz w:val="22"/>
          <w:szCs w:val="22"/>
          <w:lang w:eastAsia="lt-LT"/>
        </w:rPr>
        <w:t>jeigu sergate išemine širdies liga (ją sukelia kraujo tėkmės širdies kraujagyslėmis sumažėjimas) arba smegenų kraujagyslių liga (ją sukelia smegenų kraujotakos susilpnėjimas);</w:t>
      </w:r>
    </w:p>
    <w:p w14:paraId="7EF7F838" w14:textId="77777777" w:rsidR="00F00A02" w:rsidRDefault="0027659F">
      <w:pPr>
        <w:widowControl w:val="0"/>
        <w:numPr>
          <w:ilvl w:val="0"/>
          <w:numId w:val="22"/>
        </w:numPr>
        <w:tabs>
          <w:tab w:val="clear" w:pos="720"/>
        </w:tabs>
        <w:ind w:left="567" w:hanging="567"/>
        <w:rPr>
          <w:color w:val="000000"/>
          <w:sz w:val="22"/>
          <w:szCs w:val="22"/>
          <w:lang w:eastAsia="lt-LT"/>
        </w:rPr>
      </w:pPr>
      <w:r>
        <w:rPr>
          <w:color w:val="000000"/>
          <w:sz w:val="22"/>
          <w:szCs w:val="22"/>
          <w:lang w:eastAsia="lt-LT"/>
        </w:rPr>
        <w:t>jeigu kamuoja pirminis hiperaldosteronizmas (su padidėjusia antinksčių hormono aldosterono sekrecija susijęs sindromas, kurį sukelia šios liaukos sutrikimas);</w:t>
      </w:r>
    </w:p>
    <w:p w14:paraId="09FA7355" w14:textId="77777777" w:rsidR="00F00A02" w:rsidRDefault="0027659F">
      <w:pPr>
        <w:widowControl w:val="0"/>
        <w:numPr>
          <w:ilvl w:val="0"/>
          <w:numId w:val="22"/>
        </w:numPr>
        <w:tabs>
          <w:tab w:val="clear" w:pos="720"/>
        </w:tabs>
        <w:ind w:left="567" w:hanging="567"/>
        <w:rPr>
          <w:color w:val="000000"/>
          <w:sz w:val="22"/>
          <w:szCs w:val="22"/>
          <w:lang w:eastAsia="lt-LT"/>
        </w:rPr>
      </w:pPr>
      <w:r>
        <w:rPr>
          <w:rFonts w:eastAsia="Calibri"/>
          <w:sz w:val="22"/>
          <w:szCs w:val="22"/>
        </w:rPr>
        <w:t>jeigu vartojate kitus vaistus, kurie gali padi</w:t>
      </w:r>
      <w:r>
        <w:rPr>
          <w:sz w:val="22"/>
          <w:szCs w:val="22"/>
        </w:rPr>
        <w:t>dinti kalio koncentraciją serume (žr. 2 </w:t>
      </w:r>
      <w:r>
        <w:rPr>
          <w:rFonts w:eastAsia="Calibri"/>
          <w:sz w:val="22"/>
          <w:szCs w:val="22"/>
        </w:rPr>
        <w:t>skyrių „Kiti vaistai ir Lorista“).</w:t>
      </w:r>
    </w:p>
    <w:p w14:paraId="68274870" w14:textId="77777777" w:rsidR="00F00A02" w:rsidRDefault="0027659F">
      <w:pPr>
        <w:widowControl w:val="0"/>
        <w:numPr>
          <w:ilvl w:val="0"/>
          <w:numId w:val="22"/>
        </w:numPr>
        <w:tabs>
          <w:tab w:val="clear" w:pos="720"/>
        </w:tabs>
        <w:ind w:left="567" w:hanging="567"/>
        <w:rPr>
          <w:color w:val="000000"/>
          <w:sz w:val="22"/>
          <w:szCs w:val="22"/>
          <w:lang w:eastAsia="lt-LT"/>
        </w:rPr>
      </w:pPr>
      <w:r>
        <w:rPr>
          <w:color w:val="000000"/>
          <w:sz w:val="22"/>
          <w:szCs w:val="22"/>
          <w:lang w:eastAsia="lt-LT"/>
        </w:rPr>
        <w:t>jeigu vartojate kurį nors iš šių vaistų padidėjusiam kraujospūdžiui gydyti:</w:t>
      </w:r>
    </w:p>
    <w:p w14:paraId="4612D23E" w14:textId="77777777" w:rsidR="00F00A02" w:rsidRDefault="0027659F">
      <w:pPr>
        <w:widowControl w:val="0"/>
        <w:ind w:left="1134" w:hanging="567"/>
        <w:rPr>
          <w:rFonts w:eastAsia="Batang"/>
          <w:sz w:val="22"/>
          <w:szCs w:val="22"/>
        </w:rPr>
      </w:pPr>
      <w:r>
        <w:rPr>
          <w:rFonts w:eastAsia="Batang"/>
          <w:sz w:val="22"/>
          <w:szCs w:val="22"/>
        </w:rPr>
        <w:t>-</w:t>
      </w:r>
      <w:r>
        <w:rPr>
          <w:rFonts w:eastAsia="Batang"/>
          <w:sz w:val="22"/>
          <w:szCs w:val="22"/>
        </w:rPr>
        <w:tab/>
        <w:t>AKF inhibitorių (pavyzdžiui, enalaprilį, lizinoprilį, ramiprilį), ypač jei turite su cukriniu diabetu susijusių inkstų sutrikimų;</w:t>
      </w:r>
    </w:p>
    <w:p w14:paraId="5B188165" w14:textId="77777777" w:rsidR="00F00A02" w:rsidRDefault="0027659F">
      <w:pPr>
        <w:widowControl w:val="0"/>
        <w:ind w:left="1134" w:hanging="567"/>
        <w:rPr>
          <w:rFonts w:eastAsia="Batang"/>
          <w:sz w:val="22"/>
          <w:szCs w:val="22"/>
        </w:rPr>
      </w:pPr>
      <w:r>
        <w:rPr>
          <w:rFonts w:eastAsia="Batang"/>
          <w:sz w:val="22"/>
          <w:szCs w:val="22"/>
        </w:rPr>
        <w:t>-</w:t>
      </w:r>
      <w:r>
        <w:rPr>
          <w:rFonts w:eastAsia="Batang"/>
          <w:sz w:val="22"/>
          <w:szCs w:val="22"/>
        </w:rPr>
        <w:tab/>
        <w:t>aliskireną.</w:t>
      </w:r>
    </w:p>
    <w:p w14:paraId="5628D69B" w14:textId="77777777" w:rsidR="00F00A02" w:rsidRDefault="00F00A02">
      <w:pPr>
        <w:widowControl w:val="0"/>
        <w:rPr>
          <w:sz w:val="22"/>
          <w:szCs w:val="22"/>
        </w:rPr>
      </w:pPr>
    </w:p>
    <w:p w14:paraId="77BDED1E" w14:textId="77777777" w:rsidR="00F00A02" w:rsidRDefault="0027659F">
      <w:pPr>
        <w:widowControl w:val="0"/>
        <w:rPr>
          <w:rFonts w:eastAsia="Batang"/>
          <w:sz w:val="22"/>
          <w:szCs w:val="22"/>
        </w:rPr>
      </w:pPr>
      <w:r>
        <w:rPr>
          <w:rFonts w:eastAsia="Batang"/>
          <w:sz w:val="22"/>
          <w:szCs w:val="22"/>
        </w:rPr>
        <w:t>Jūsų gydytojas gali reguliariai ištirti Jūsų inkstų funkciją, kraujospūdį ir elektrolitų (pvz., kalio) kiekį kraujyje.</w:t>
      </w:r>
    </w:p>
    <w:p w14:paraId="4C3E9EEB" w14:textId="77777777" w:rsidR="00F00A02" w:rsidRDefault="00F00A02">
      <w:pPr>
        <w:widowControl w:val="0"/>
        <w:rPr>
          <w:sz w:val="22"/>
          <w:szCs w:val="22"/>
        </w:rPr>
      </w:pPr>
    </w:p>
    <w:p w14:paraId="19638380" w14:textId="77777777" w:rsidR="00F00A02" w:rsidRDefault="0027659F">
      <w:pPr>
        <w:widowControl w:val="0"/>
        <w:rPr>
          <w:rFonts w:eastAsia="Batang"/>
          <w:sz w:val="22"/>
          <w:szCs w:val="22"/>
        </w:rPr>
      </w:pPr>
      <w:r>
        <w:rPr>
          <w:rFonts w:eastAsia="Batang"/>
          <w:sz w:val="22"/>
          <w:szCs w:val="22"/>
        </w:rPr>
        <w:t>Taip pat žiūrėkite informaciją, pateiktą poskyryje „Lorista vartoti draudžiama“.</w:t>
      </w:r>
    </w:p>
    <w:p w14:paraId="19B88F15" w14:textId="77777777" w:rsidR="00F00A02" w:rsidRDefault="00F00A02">
      <w:pPr>
        <w:widowControl w:val="0"/>
        <w:rPr>
          <w:color w:val="000000"/>
          <w:sz w:val="22"/>
          <w:szCs w:val="22"/>
          <w:lang w:eastAsia="lt-LT"/>
        </w:rPr>
      </w:pPr>
    </w:p>
    <w:p w14:paraId="5855DA57" w14:textId="77777777" w:rsidR="00F00A02" w:rsidRDefault="0027659F">
      <w:pPr>
        <w:widowControl w:val="0"/>
        <w:tabs>
          <w:tab w:val="left" w:pos="567"/>
        </w:tabs>
        <w:rPr>
          <w:rFonts w:eastAsia="Calibri"/>
          <w:sz w:val="22"/>
          <w:szCs w:val="22"/>
          <w:lang w:val="lt-LT"/>
        </w:rPr>
      </w:pPr>
      <w:r>
        <w:rPr>
          <w:rFonts w:eastAsia="Calibri"/>
          <w:sz w:val="22"/>
          <w:szCs w:val="22"/>
          <w:lang w:val="lt-LT"/>
        </w:rPr>
        <w:t xml:space="preserve">Pasitarkite su gydytoju, jei pavartojus </w:t>
      </w:r>
      <w:proofErr w:type="spellStart"/>
      <w:r>
        <w:rPr>
          <w:rFonts w:eastAsia="Calibri"/>
          <w:sz w:val="22"/>
          <w:szCs w:val="22"/>
          <w:lang w:val="lt-LT"/>
        </w:rPr>
        <w:t>Lorista</w:t>
      </w:r>
      <w:proofErr w:type="spellEnd"/>
      <w:r>
        <w:rPr>
          <w:rFonts w:eastAsia="Calibri"/>
          <w:sz w:val="22"/>
          <w:szCs w:val="22"/>
          <w:lang w:val="lt-LT"/>
        </w:rPr>
        <w:t xml:space="preserve"> jaučiate pilvo skausmą, pykinimą, vėmimą arba viduriavimą. Dėl tolesnio gydymo nuspręs Jūsų gydytojas. Nenustokite vartoti </w:t>
      </w:r>
      <w:proofErr w:type="spellStart"/>
      <w:r>
        <w:rPr>
          <w:rFonts w:eastAsia="Calibri"/>
          <w:sz w:val="22"/>
          <w:szCs w:val="22"/>
          <w:lang w:val="lt-LT"/>
        </w:rPr>
        <w:t>Lorista</w:t>
      </w:r>
      <w:proofErr w:type="spellEnd"/>
      <w:r>
        <w:rPr>
          <w:rFonts w:eastAsia="Calibri"/>
          <w:sz w:val="22"/>
          <w:szCs w:val="22"/>
          <w:lang w:val="lt-LT"/>
        </w:rPr>
        <w:t xml:space="preserve"> patys.</w:t>
      </w:r>
    </w:p>
    <w:p w14:paraId="70A620E8" w14:textId="77777777" w:rsidR="00F00A02" w:rsidRDefault="00F00A02">
      <w:pPr>
        <w:widowControl w:val="0"/>
        <w:rPr>
          <w:color w:val="000000"/>
          <w:sz w:val="22"/>
          <w:szCs w:val="22"/>
          <w:lang w:eastAsia="lt-LT"/>
        </w:rPr>
      </w:pPr>
    </w:p>
    <w:p w14:paraId="3049544D" w14:textId="77777777" w:rsidR="00F00A02" w:rsidRDefault="0027659F">
      <w:pPr>
        <w:widowControl w:val="0"/>
        <w:rPr>
          <w:b/>
          <w:color w:val="000000"/>
          <w:sz w:val="22"/>
          <w:szCs w:val="22"/>
          <w:u w:val="single"/>
          <w:lang w:eastAsia="lt-LT"/>
        </w:rPr>
      </w:pPr>
      <w:r>
        <w:rPr>
          <w:b/>
          <w:color w:val="000000"/>
          <w:sz w:val="22"/>
          <w:szCs w:val="22"/>
          <w:u w:val="single"/>
          <w:lang w:eastAsia="lt-LT"/>
        </w:rPr>
        <w:t>Vaikams ir paaugliams</w:t>
      </w:r>
    </w:p>
    <w:p w14:paraId="0833D6BB" w14:textId="77777777" w:rsidR="00F00A02" w:rsidRDefault="0027659F">
      <w:pPr>
        <w:widowControl w:val="0"/>
        <w:rPr>
          <w:color w:val="000000"/>
          <w:sz w:val="22"/>
          <w:szCs w:val="22"/>
          <w:lang w:eastAsia="lt-LT"/>
        </w:rPr>
      </w:pPr>
      <w:r>
        <w:rPr>
          <w:color w:val="000000"/>
          <w:sz w:val="22"/>
          <w:szCs w:val="22"/>
          <w:lang w:eastAsia="lt-LT"/>
        </w:rPr>
        <w:t>Lorista poveikio vaikams tyrimai buvo atlikti. Daugiau informacijos teiraukitės savo gydytojo.</w:t>
      </w:r>
    </w:p>
    <w:p w14:paraId="47C185B8" w14:textId="77777777" w:rsidR="00F00A02" w:rsidRDefault="0027659F">
      <w:pPr>
        <w:rPr>
          <w:color w:val="000000"/>
          <w:sz w:val="22"/>
          <w:szCs w:val="22"/>
          <w:lang w:val="lt-LT" w:eastAsia="lt-LT"/>
        </w:rPr>
      </w:pPr>
      <w:proofErr w:type="spellStart"/>
      <w:r>
        <w:rPr>
          <w:color w:val="000000"/>
          <w:sz w:val="22"/>
          <w:szCs w:val="22"/>
          <w:lang w:val="lt-LT" w:eastAsia="lt-LT"/>
        </w:rPr>
        <w:t>Losartano</w:t>
      </w:r>
      <w:proofErr w:type="spellEnd"/>
      <w:r>
        <w:rPr>
          <w:color w:val="000000"/>
          <w:sz w:val="22"/>
          <w:szCs w:val="22"/>
          <w:lang w:val="lt-LT" w:eastAsia="lt-LT"/>
        </w:rPr>
        <w:t xml:space="preserve"> nerekomenduojama skirti inkstų ar kepenų ligomis sergantiems vaikams, nes duomenų apie tokius pacientus yra nedaug. </w:t>
      </w:r>
      <w:proofErr w:type="spellStart"/>
      <w:r>
        <w:rPr>
          <w:color w:val="000000"/>
          <w:sz w:val="22"/>
          <w:szCs w:val="22"/>
          <w:lang w:val="lt-LT" w:eastAsia="lt-LT"/>
        </w:rPr>
        <w:t>Losartano</w:t>
      </w:r>
      <w:proofErr w:type="spellEnd"/>
      <w:r>
        <w:rPr>
          <w:color w:val="000000"/>
          <w:sz w:val="22"/>
          <w:szCs w:val="22"/>
          <w:lang w:val="lt-LT" w:eastAsia="lt-LT"/>
        </w:rPr>
        <w:t xml:space="preserve"> nerekomenduojama skirti jaunesniems kaip 6 metų vaikams, nes nėra įrodyta, kad jis veiktų šios amžiaus grupės pacientams.</w:t>
      </w:r>
    </w:p>
    <w:p w14:paraId="6633D01D" w14:textId="77777777" w:rsidR="00F00A02" w:rsidRDefault="00F00A02">
      <w:pPr>
        <w:widowControl w:val="0"/>
        <w:rPr>
          <w:color w:val="000000"/>
          <w:sz w:val="22"/>
          <w:szCs w:val="22"/>
        </w:rPr>
      </w:pPr>
    </w:p>
    <w:p w14:paraId="6CC3D46E" w14:textId="77777777" w:rsidR="00F00A02" w:rsidRDefault="0027659F">
      <w:pPr>
        <w:widowControl w:val="0"/>
        <w:outlineLvl w:val="2"/>
        <w:rPr>
          <w:b/>
          <w:bCs/>
          <w:sz w:val="22"/>
          <w:szCs w:val="22"/>
          <w:lang w:eastAsia="lt-LT"/>
        </w:rPr>
      </w:pPr>
      <w:r>
        <w:rPr>
          <w:b/>
          <w:bCs/>
          <w:sz w:val="22"/>
          <w:szCs w:val="22"/>
          <w:lang w:eastAsia="lt-LT"/>
        </w:rPr>
        <w:t>Kiti vaistai ir Lorista</w:t>
      </w:r>
    </w:p>
    <w:p w14:paraId="2FB96F61" w14:textId="77777777" w:rsidR="00F00A02" w:rsidRDefault="0027659F">
      <w:pPr>
        <w:widowControl w:val="0"/>
        <w:rPr>
          <w:color w:val="000000"/>
          <w:sz w:val="22"/>
          <w:szCs w:val="22"/>
          <w:lang w:eastAsia="lt-LT"/>
        </w:rPr>
      </w:pPr>
      <w:r>
        <w:rPr>
          <w:color w:val="000000"/>
          <w:sz w:val="22"/>
          <w:szCs w:val="22"/>
          <w:lang w:eastAsia="lt-LT"/>
        </w:rPr>
        <w:t>Jeigu vartojate arba neseniai vartojote kitų vaistų arba dėl to nesate tikri, apie tai pasakykite gydytojui arba vaistininkui.</w:t>
      </w:r>
    </w:p>
    <w:p w14:paraId="77F2B9F8" w14:textId="77777777" w:rsidR="00F00A02" w:rsidRDefault="00F00A02">
      <w:pPr>
        <w:widowControl w:val="0"/>
        <w:rPr>
          <w:color w:val="000000"/>
          <w:sz w:val="22"/>
          <w:szCs w:val="22"/>
          <w:lang w:eastAsia="lt-LT"/>
        </w:rPr>
      </w:pPr>
    </w:p>
    <w:p w14:paraId="35D56837" w14:textId="77777777" w:rsidR="00F00A02" w:rsidRDefault="0027659F">
      <w:pPr>
        <w:widowControl w:val="0"/>
        <w:rPr>
          <w:sz w:val="22"/>
          <w:szCs w:val="22"/>
        </w:rPr>
      </w:pPr>
      <w:r>
        <w:rPr>
          <w:sz w:val="22"/>
          <w:szCs w:val="22"/>
        </w:rPr>
        <w:t xml:space="preserve">Pasakykite savo gydytojui, jei vartojate kalio papildų, kalio turinčių druskos pakaitalų, kalį organizme </w:t>
      </w:r>
      <w:r>
        <w:rPr>
          <w:sz w:val="22"/>
          <w:szCs w:val="22"/>
        </w:rPr>
        <w:lastRenderedPageBreak/>
        <w:t>sulaikančių vaistų, pvz., tam tikrų diuretikų (pvz., amilorido, triamtereno, spironolaktono), ar kitų vaistų, galinčių padidinti kalio koncentraciją serume (pvz., heparino, vaistų, kurių sudėtyje yra trimetoprimo), nes vartoti kartu su Lorista nerekomenduojama.</w:t>
      </w:r>
    </w:p>
    <w:p w14:paraId="570BC90A" w14:textId="77777777" w:rsidR="00F00A02" w:rsidRDefault="00F00A02">
      <w:pPr>
        <w:widowControl w:val="0"/>
        <w:rPr>
          <w:color w:val="000000"/>
          <w:sz w:val="22"/>
          <w:szCs w:val="22"/>
          <w:lang w:eastAsia="lt-LT"/>
        </w:rPr>
      </w:pPr>
    </w:p>
    <w:p w14:paraId="7A2C7446" w14:textId="77777777" w:rsidR="00F00A02" w:rsidRDefault="0027659F">
      <w:pPr>
        <w:widowControl w:val="0"/>
        <w:rPr>
          <w:color w:val="000000"/>
          <w:sz w:val="22"/>
          <w:szCs w:val="22"/>
          <w:lang w:eastAsia="lt-LT"/>
        </w:rPr>
      </w:pPr>
      <w:r>
        <w:rPr>
          <w:color w:val="000000"/>
          <w:sz w:val="22"/>
          <w:szCs w:val="22"/>
          <w:lang w:eastAsia="lt-LT"/>
        </w:rPr>
        <w:t>Jūsų gydytojui gali tekti pakeisti Jūsų dozę ir (arba) imtis kitų atsargumo priemonių:</w:t>
      </w:r>
    </w:p>
    <w:p w14:paraId="167593FF" w14:textId="77777777" w:rsidR="00F00A02" w:rsidRDefault="0027659F">
      <w:pPr>
        <w:widowControl w:val="0"/>
        <w:numPr>
          <w:ilvl w:val="0"/>
          <w:numId w:val="23"/>
        </w:numPr>
        <w:tabs>
          <w:tab w:val="clear" w:pos="720"/>
        </w:tabs>
        <w:ind w:left="567" w:hanging="567"/>
        <w:rPr>
          <w:color w:val="000000"/>
          <w:sz w:val="22"/>
          <w:szCs w:val="22"/>
          <w:lang w:eastAsia="lt-LT"/>
        </w:rPr>
      </w:pPr>
      <w:r>
        <w:rPr>
          <w:color w:val="000000"/>
          <w:sz w:val="22"/>
          <w:szCs w:val="22"/>
          <w:lang w:eastAsia="lt-LT"/>
        </w:rPr>
        <w:t>jeigu vartojate AKF inhibitorių arba aliskireną (taip pat žiūrėkite informaciją, pateiktą poskyriuose „Lorista vartoti draudžiama“ ir „Įspėjimai ir atsargumo priemonės“).</w:t>
      </w:r>
    </w:p>
    <w:p w14:paraId="37BB6D23" w14:textId="77777777" w:rsidR="00F00A02" w:rsidRDefault="00F00A02">
      <w:pPr>
        <w:widowControl w:val="0"/>
        <w:rPr>
          <w:color w:val="000000"/>
          <w:sz w:val="22"/>
          <w:szCs w:val="22"/>
          <w:lang w:eastAsia="lt-LT"/>
        </w:rPr>
      </w:pPr>
    </w:p>
    <w:p w14:paraId="2C56A6D7" w14:textId="77777777" w:rsidR="00F00A02" w:rsidRDefault="0027659F">
      <w:pPr>
        <w:widowControl w:val="0"/>
        <w:rPr>
          <w:color w:val="000000"/>
          <w:sz w:val="22"/>
          <w:szCs w:val="22"/>
          <w:lang w:eastAsia="lt-LT"/>
        </w:rPr>
      </w:pPr>
      <w:r>
        <w:rPr>
          <w:color w:val="000000"/>
          <w:sz w:val="22"/>
          <w:szCs w:val="22"/>
          <w:lang w:eastAsia="lt-LT"/>
        </w:rPr>
        <w:t>Būkite ypatingai atsargūs, jeigu gydymo Lorista metu vartojate šių vaistų:</w:t>
      </w:r>
    </w:p>
    <w:p w14:paraId="134B58C1" w14:textId="77777777" w:rsidR="00F00A02" w:rsidRDefault="0027659F">
      <w:pPr>
        <w:widowControl w:val="0"/>
        <w:numPr>
          <w:ilvl w:val="0"/>
          <w:numId w:val="23"/>
        </w:numPr>
        <w:tabs>
          <w:tab w:val="clear" w:pos="720"/>
        </w:tabs>
        <w:ind w:left="567" w:hanging="567"/>
        <w:rPr>
          <w:color w:val="000000"/>
          <w:sz w:val="22"/>
          <w:szCs w:val="22"/>
          <w:lang w:eastAsia="lt-LT"/>
        </w:rPr>
      </w:pPr>
      <w:r>
        <w:rPr>
          <w:color w:val="000000"/>
          <w:sz w:val="22"/>
          <w:szCs w:val="22"/>
          <w:lang w:eastAsia="lt-LT"/>
        </w:rPr>
        <w:t>kitų kraujospūdį mažinančių vaistų, nes jie gali dar labiau sumažinti kraujospūdį. Taip pat kraujospūdį gali sumažinti bet kuris iš šių vaistų ar vaistų klasė: tricikliai antidepresantai, vaistai nuo psichozės, baklofenas, amifostinas;</w:t>
      </w:r>
    </w:p>
    <w:p w14:paraId="4C98A500" w14:textId="77777777" w:rsidR="00F00A02" w:rsidRDefault="0027659F">
      <w:pPr>
        <w:widowControl w:val="0"/>
        <w:numPr>
          <w:ilvl w:val="0"/>
          <w:numId w:val="23"/>
        </w:numPr>
        <w:tabs>
          <w:tab w:val="clear" w:pos="720"/>
        </w:tabs>
        <w:ind w:left="567" w:hanging="567"/>
        <w:rPr>
          <w:color w:val="000000"/>
          <w:sz w:val="22"/>
          <w:szCs w:val="22"/>
          <w:lang w:eastAsia="lt-LT"/>
        </w:rPr>
      </w:pPr>
      <w:r>
        <w:rPr>
          <w:color w:val="000000"/>
          <w:sz w:val="22"/>
          <w:szCs w:val="22"/>
          <w:lang w:eastAsia="lt-LT"/>
        </w:rPr>
        <w:t>nesteroidinių vaistų nuo uždegimo, pavyzdžiui, indometacino, įskaitant cox-2 inhibitorius (vaistus, kurie mažina uždegimą ir kurių galima vartoti skausmui malšinti), nes jie gali susilpninti losartano kraujospūdį mažinantį poveikį.</w:t>
      </w:r>
    </w:p>
    <w:p w14:paraId="16FED661" w14:textId="77777777" w:rsidR="00F00A02" w:rsidRDefault="00F00A02">
      <w:pPr>
        <w:widowControl w:val="0"/>
        <w:rPr>
          <w:color w:val="000000"/>
          <w:sz w:val="22"/>
          <w:szCs w:val="22"/>
          <w:lang w:eastAsia="lt-LT"/>
        </w:rPr>
      </w:pPr>
    </w:p>
    <w:p w14:paraId="497317DC" w14:textId="77777777" w:rsidR="00F00A02" w:rsidRDefault="0027659F">
      <w:pPr>
        <w:widowControl w:val="0"/>
        <w:rPr>
          <w:color w:val="000000"/>
          <w:sz w:val="22"/>
          <w:szCs w:val="22"/>
          <w:lang w:eastAsia="lt-LT"/>
        </w:rPr>
      </w:pPr>
      <w:r>
        <w:rPr>
          <w:color w:val="000000"/>
          <w:sz w:val="22"/>
          <w:szCs w:val="22"/>
          <w:lang w:eastAsia="lt-LT"/>
        </w:rPr>
        <w:t>Jeigu Jūsų inkstų funkcija sutrikusi, šie vaistai ją gali susilpninti.</w:t>
      </w:r>
    </w:p>
    <w:p w14:paraId="5F673DD8" w14:textId="77777777" w:rsidR="00F00A02" w:rsidRDefault="00F00A02">
      <w:pPr>
        <w:widowControl w:val="0"/>
        <w:rPr>
          <w:color w:val="000000"/>
          <w:sz w:val="22"/>
          <w:szCs w:val="22"/>
          <w:lang w:eastAsia="lt-LT"/>
        </w:rPr>
      </w:pPr>
    </w:p>
    <w:p w14:paraId="16BC6907" w14:textId="77777777" w:rsidR="00F00A02" w:rsidRDefault="0027659F">
      <w:pPr>
        <w:widowControl w:val="0"/>
        <w:rPr>
          <w:sz w:val="22"/>
          <w:szCs w:val="22"/>
          <w:lang w:eastAsia="lt-LT"/>
        </w:rPr>
      </w:pPr>
      <w:r>
        <w:rPr>
          <w:color w:val="000000"/>
          <w:sz w:val="22"/>
          <w:szCs w:val="22"/>
          <w:lang w:eastAsia="lt-LT"/>
        </w:rPr>
        <w:t>Vaistų, kurių sudėtyje yra ličio, kartu su losartanu vartoti negalima, jeigu to atidžiai neprižiūri gydytojas. Gali reikėti specialių atsargumo priemonių (pvz., kraujo tyrimų).</w:t>
      </w:r>
    </w:p>
    <w:p w14:paraId="5515F80D" w14:textId="77777777" w:rsidR="00F00A02" w:rsidRDefault="00F00A02">
      <w:pPr>
        <w:widowControl w:val="0"/>
        <w:rPr>
          <w:b/>
          <w:bCs/>
          <w:sz w:val="22"/>
          <w:szCs w:val="22"/>
        </w:rPr>
      </w:pPr>
    </w:p>
    <w:p w14:paraId="46D9E1A4" w14:textId="77777777" w:rsidR="00F00A02" w:rsidRDefault="0027659F">
      <w:pPr>
        <w:widowControl w:val="0"/>
        <w:rPr>
          <w:b/>
          <w:color w:val="000000"/>
          <w:sz w:val="22"/>
          <w:szCs w:val="22"/>
          <w:lang w:eastAsia="lt-LT"/>
        </w:rPr>
      </w:pPr>
      <w:r>
        <w:rPr>
          <w:b/>
          <w:color w:val="000000"/>
          <w:sz w:val="22"/>
          <w:szCs w:val="22"/>
          <w:lang w:eastAsia="lt-LT"/>
        </w:rPr>
        <w:t>Lorista vartojimas su maistu ir gėrimais</w:t>
      </w:r>
    </w:p>
    <w:p w14:paraId="2FB21F08" w14:textId="77777777" w:rsidR="00F00A02" w:rsidRDefault="0027659F">
      <w:pPr>
        <w:widowControl w:val="0"/>
        <w:rPr>
          <w:color w:val="000000"/>
          <w:sz w:val="22"/>
          <w:szCs w:val="22"/>
          <w:lang w:eastAsia="lt-LT"/>
        </w:rPr>
      </w:pPr>
      <w:r>
        <w:rPr>
          <w:color w:val="000000"/>
          <w:sz w:val="22"/>
          <w:szCs w:val="22"/>
          <w:lang w:eastAsia="lt-LT"/>
        </w:rPr>
        <w:t>Lorista galima vartoti valgio metu ar nevalgius.</w:t>
      </w:r>
    </w:p>
    <w:p w14:paraId="5F5D3033" w14:textId="77777777" w:rsidR="00F00A02" w:rsidRDefault="00F00A02">
      <w:pPr>
        <w:widowControl w:val="0"/>
        <w:rPr>
          <w:b/>
          <w:bCs/>
          <w:sz w:val="22"/>
          <w:szCs w:val="22"/>
        </w:rPr>
      </w:pPr>
    </w:p>
    <w:p w14:paraId="150EFA82" w14:textId="77777777" w:rsidR="00F00A02" w:rsidRDefault="0027659F">
      <w:pPr>
        <w:widowControl w:val="0"/>
        <w:rPr>
          <w:b/>
          <w:bCs/>
          <w:sz w:val="22"/>
          <w:szCs w:val="22"/>
        </w:rPr>
      </w:pPr>
      <w:r>
        <w:rPr>
          <w:sz w:val="22"/>
          <w:szCs w:val="22"/>
          <w:lang w:val="lt-LT" w:eastAsia="lt-LT"/>
        </w:rPr>
        <w:t xml:space="preserve">Vartojant </w:t>
      </w:r>
      <w:proofErr w:type="spellStart"/>
      <w:r>
        <w:rPr>
          <w:sz w:val="22"/>
          <w:szCs w:val="22"/>
          <w:lang w:val="lt-LT" w:eastAsia="lt-LT"/>
        </w:rPr>
        <w:t>Lorista</w:t>
      </w:r>
      <w:proofErr w:type="spellEnd"/>
      <w:r>
        <w:rPr>
          <w:sz w:val="22"/>
          <w:szCs w:val="22"/>
          <w:lang w:val="lt-LT" w:eastAsia="lt-LT"/>
        </w:rPr>
        <w:t xml:space="preserve"> reikia vengti greipfrutų sulčių.</w:t>
      </w:r>
    </w:p>
    <w:p w14:paraId="7AAD08DE" w14:textId="77777777" w:rsidR="00F00A02" w:rsidRDefault="00F00A02">
      <w:pPr>
        <w:widowControl w:val="0"/>
        <w:rPr>
          <w:b/>
          <w:bCs/>
          <w:sz w:val="22"/>
          <w:szCs w:val="22"/>
        </w:rPr>
      </w:pPr>
    </w:p>
    <w:p w14:paraId="5B3A1CF7" w14:textId="77777777" w:rsidR="00F00A02" w:rsidRDefault="0027659F">
      <w:pPr>
        <w:widowControl w:val="0"/>
        <w:rPr>
          <w:b/>
          <w:bCs/>
          <w:sz w:val="22"/>
          <w:szCs w:val="22"/>
        </w:rPr>
      </w:pPr>
      <w:r>
        <w:rPr>
          <w:b/>
          <w:bCs/>
          <w:sz w:val="22"/>
          <w:szCs w:val="22"/>
        </w:rPr>
        <w:t>Nėštumas ir žindymo laikotarpis</w:t>
      </w:r>
    </w:p>
    <w:p w14:paraId="5F76145C" w14:textId="77777777" w:rsidR="00F00A02" w:rsidRDefault="0027659F">
      <w:pPr>
        <w:widowControl w:val="0"/>
        <w:rPr>
          <w:color w:val="000000"/>
          <w:sz w:val="22"/>
          <w:szCs w:val="22"/>
          <w:lang w:eastAsia="lt-LT"/>
        </w:rPr>
      </w:pPr>
      <w:r>
        <w:rPr>
          <w:color w:val="000000"/>
          <w:sz w:val="22"/>
          <w:szCs w:val="22"/>
          <w:lang w:eastAsia="lt-LT"/>
        </w:rPr>
        <w:t>Jeigu esate nėščia, žindote kūdikį, manote, kad galbūt esate nėščia, arba planuojate pastoti, tai prieš vartodama šį vaistą, pasitarkite su gydytoju arba vaistininku.</w:t>
      </w:r>
    </w:p>
    <w:p w14:paraId="4FF7E516" w14:textId="77777777" w:rsidR="00F00A02" w:rsidRDefault="00F00A02">
      <w:pPr>
        <w:rPr>
          <w:sz w:val="22"/>
          <w:szCs w:val="22"/>
          <w:lang w:eastAsia="lt-LT"/>
        </w:rPr>
      </w:pPr>
    </w:p>
    <w:p w14:paraId="741C6AC2" w14:textId="77777777" w:rsidR="00F00A02" w:rsidRDefault="0027659F">
      <w:pPr>
        <w:widowControl w:val="0"/>
        <w:rPr>
          <w:b/>
          <w:color w:val="000000"/>
          <w:sz w:val="22"/>
          <w:szCs w:val="22"/>
          <w:lang w:eastAsia="lt-LT"/>
        </w:rPr>
      </w:pPr>
      <w:r>
        <w:rPr>
          <w:b/>
          <w:color w:val="000000"/>
          <w:sz w:val="22"/>
          <w:szCs w:val="22"/>
          <w:lang w:eastAsia="lt-LT"/>
        </w:rPr>
        <w:t>Nėštumo laikotarpis</w:t>
      </w:r>
    </w:p>
    <w:p w14:paraId="013898A7" w14:textId="77777777" w:rsidR="00F00A02" w:rsidRDefault="0027659F">
      <w:pPr>
        <w:widowControl w:val="0"/>
        <w:rPr>
          <w:color w:val="000000"/>
          <w:sz w:val="22"/>
          <w:szCs w:val="22"/>
          <w:lang w:eastAsia="lt-LT"/>
        </w:rPr>
      </w:pPr>
      <w:r>
        <w:rPr>
          <w:color w:val="000000"/>
          <w:sz w:val="22"/>
          <w:szCs w:val="22"/>
          <w:lang w:eastAsia="lt-LT"/>
        </w:rPr>
        <w:t>Jeigu manote, kad esate nėščia (arba galėtumėte būti nėščia), privalote apie tai pasakyti savo gydytojui. Jūsų gydytojas patars Jums nutraukti Lorista vartojimą prieš pastojant arba kai tik sužinosite, kad esate nėščia, bei vietoje Lorista paskirs Jums vartoti kitokius vaistus. Nėštumo pradžioje Lorista vartoti nerekomenduojama, o nuo 3</w:t>
      </w:r>
      <w:r>
        <w:rPr>
          <w:color w:val="000000"/>
          <w:sz w:val="22"/>
          <w:szCs w:val="22"/>
          <w:lang w:eastAsia="lt-LT"/>
        </w:rPr>
        <w:noBreakHyphen/>
        <w:t>iojo nėštumo mėnesio jį vartoti draudžiama, nes tuo metu vartojamas jis gali rimtai pakenkti Jūsų vaisiui.</w:t>
      </w:r>
    </w:p>
    <w:p w14:paraId="73450207" w14:textId="77777777" w:rsidR="00F00A02" w:rsidRDefault="00F00A02">
      <w:pPr>
        <w:widowControl w:val="0"/>
        <w:rPr>
          <w:color w:val="000000"/>
          <w:sz w:val="22"/>
          <w:szCs w:val="22"/>
          <w:lang w:eastAsia="lt-LT"/>
        </w:rPr>
      </w:pPr>
    </w:p>
    <w:p w14:paraId="396BABB3" w14:textId="77777777" w:rsidR="00F00A02" w:rsidRDefault="0027659F">
      <w:pPr>
        <w:widowControl w:val="0"/>
        <w:rPr>
          <w:b/>
          <w:color w:val="000000"/>
          <w:sz w:val="22"/>
          <w:szCs w:val="22"/>
          <w:lang w:eastAsia="lt-LT"/>
        </w:rPr>
      </w:pPr>
      <w:r>
        <w:rPr>
          <w:b/>
          <w:color w:val="000000"/>
          <w:sz w:val="22"/>
          <w:szCs w:val="22"/>
          <w:lang w:eastAsia="lt-LT"/>
        </w:rPr>
        <w:t>Žindymo laikotarpis</w:t>
      </w:r>
    </w:p>
    <w:p w14:paraId="72A6B948" w14:textId="77777777" w:rsidR="00F00A02" w:rsidRDefault="0027659F">
      <w:pPr>
        <w:widowControl w:val="0"/>
        <w:rPr>
          <w:color w:val="000000"/>
          <w:sz w:val="22"/>
          <w:szCs w:val="22"/>
          <w:lang w:eastAsia="lt-LT"/>
        </w:rPr>
      </w:pPr>
      <w:r>
        <w:rPr>
          <w:color w:val="000000"/>
          <w:sz w:val="22"/>
          <w:szCs w:val="22"/>
          <w:lang w:eastAsia="lt-LT"/>
        </w:rPr>
        <w:t>Jeigu maitinate krūtimi ar ketinate tai daryti, pasakykite savo gydytojui. Krūtimi maitinančioms motinoms Lorista vartoti nerekomenduojama, todėl, jeigu norite žindyti, gydytojas Jums gali paskirti kitokį gydymą. Tai ypač svarbu, jei žindysite naujagimį ar prieš laiką gimusį kūdikį.</w:t>
      </w:r>
    </w:p>
    <w:p w14:paraId="011EF566" w14:textId="77777777" w:rsidR="00F00A02" w:rsidRDefault="00F00A02">
      <w:pPr>
        <w:widowControl w:val="0"/>
        <w:rPr>
          <w:color w:val="000000"/>
          <w:sz w:val="22"/>
          <w:szCs w:val="22"/>
          <w:lang w:eastAsia="lt-LT"/>
        </w:rPr>
      </w:pPr>
    </w:p>
    <w:p w14:paraId="1BB8EF72" w14:textId="77777777" w:rsidR="00F00A02" w:rsidRDefault="0027659F">
      <w:pPr>
        <w:widowControl w:val="0"/>
        <w:outlineLvl w:val="2"/>
        <w:rPr>
          <w:b/>
          <w:bCs/>
          <w:sz w:val="22"/>
          <w:szCs w:val="22"/>
          <w:lang w:eastAsia="lt-LT"/>
        </w:rPr>
      </w:pPr>
      <w:r>
        <w:rPr>
          <w:b/>
          <w:bCs/>
          <w:sz w:val="22"/>
          <w:szCs w:val="22"/>
          <w:lang w:eastAsia="lt-LT"/>
        </w:rPr>
        <w:t>Vairavimas ir mechanizmų valdymas</w:t>
      </w:r>
    </w:p>
    <w:p w14:paraId="20C6B465" w14:textId="77777777" w:rsidR="00F00A02" w:rsidRDefault="0027659F">
      <w:pPr>
        <w:widowControl w:val="0"/>
        <w:rPr>
          <w:color w:val="000000"/>
          <w:sz w:val="22"/>
          <w:szCs w:val="22"/>
          <w:lang w:eastAsia="lt-LT"/>
        </w:rPr>
      </w:pPr>
      <w:r>
        <w:rPr>
          <w:color w:val="000000"/>
          <w:sz w:val="22"/>
          <w:szCs w:val="22"/>
          <w:lang w:eastAsia="lt-LT"/>
        </w:rPr>
        <w:t>Poveikio gebėjimui vairuoti ir valdyti mechanizmus tyrimų neatlikta.</w:t>
      </w:r>
    </w:p>
    <w:p w14:paraId="02034CB7" w14:textId="77777777" w:rsidR="00F00A02" w:rsidRDefault="0027659F">
      <w:pPr>
        <w:widowControl w:val="0"/>
        <w:rPr>
          <w:color w:val="000000"/>
          <w:sz w:val="22"/>
          <w:szCs w:val="22"/>
          <w:lang w:eastAsia="lt-LT"/>
        </w:rPr>
      </w:pPr>
      <w:r>
        <w:rPr>
          <w:color w:val="000000"/>
          <w:sz w:val="22"/>
          <w:szCs w:val="22"/>
          <w:lang w:eastAsia="lt-LT"/>
        </w:rPr>
        <w:t>Nesitikima, kad Lorista paveiks Jūsų gebėjimą vairuoti ar valdyti mechanizmus. Vis dėlto kai kuriems žmonėms losartanas, kaip ir kiti vaistai nuo aukšto kraujospūdžio ligos, gali sukelti galvos svaigimą ir mieguistumą. Jeigu Jums pasireiškė galvos svaigimas arba mieguistumas, pasitarkite su gydytoju prieš užsiimdami tokia veikla.</w:t>
      </w:r>
    </w:p>
    <w:p w14:paraId="53A2C549" w14:textId="77777777" w:rsidR="00F00A02" w:rsidRDefault="00F00A02">
      <w:pPr>
        <w:widowControl w:val="0"/>
        <w:rPr>
          <w:sz w:val="22"/>
          <w:szCs w:val="22"/>
          <w:lang w:eastAsia="lt-LT"/>
        </w:rPr>
      </w:pPr>
    </w:p>
    <w:p w14:paraId="26775794" w14:textId="77777777" w:rsidR="00F00A02" w:rsidRDefault="0027659F">
      <w:pPr>
        <w:widowControl w:val="0"/>
        <w:outlineLvl w:val="2"/>
        <w:rPr>
          <w:b/>
          <w:bCs/>
          <w:sz w:val="22"/>
          <w:szCs w:val="22"/>
          <w:lang w:eastAsia="lt-LT"/>
        </w:rPr>
      </w:pPr>
      <w:r>
        <w:rPr>
          <w:b/>
          <w:bCs/>
          <w:sz w:val="22"/>
          <w:szCs w:val="22"/>
          <w:lang w:eastAsia="lt-LT"/>
        </w:rPr>
        <w:t>Lorista sudėtyje yra laktozės</w:t>
      </w:r>
    </w:p>
    <w:p w14:paraId="4B679797" w14:textId="77777777" w:rsidR="00F00A02" w:rsidRDefault="0027659F">
      <w:pPr>
        <w:widowControl w:val="0"/>
        <w:rPr>
          <w:sz w:val="22"/>
          <w:szCs w:val="22"/>
          <w:lang w:eastAsia="lt-LT"/>
        </w:rPr>
      </w:pPr>
      <w:r>
        <w:rPr>
          <w:sz w:val="22"/>
          <w:szCs w:val="22"/>
          <w:lang w:eastAsia="lt-LT"/>
        </w:rPr>
        <w:t>Jeigu gydytojas Jums yra sakęs, kad netoleruojate kokių nors angliavandenių, kreipkitės į jį prieš pradėdami vartoti šį vaistą.</w:t>
      </w:r>
    </w:p>
    <w:p w14:paraId="602F58FD" w14:textId="77777777" w:rsidR="00F00A02" w:rsidRDefault="00F00A02">
      <w:pPr>
        <w:widowControl w:val="0"/>
        <w:rPr>
          <w:sz w:val="22"/>
          <w:szCs w:val="22"/>
          <w:lang w:eastAsia="lt-LT"/>
        </w:rPr>
      </w:pPr>
    </w:p>
    <w:p w14:paraId="1375D9A6" w14:textId="77777777" w:rsidR="00F00A02" w:rsidRDefault="00F00A02">
      <w:pPr>
        <w:widowControl w:val="0"/>
        <w:rPr>
          <w:sz w:val="22"/>
          <w:szCs w:val="22"/>
          <w:lang w:eastAsia="lt-LT"/>
        </w:rPr>
      </w:pPr>
    </w:p>
    <w:p w14:paraId="2B2B72D3" w14:textId="77777777" w:rsidR="00F00A02" w:rsidRDefault="0027659F">
      <w:pPr>
        <w:widowControl w:val="0"/>
        <w:ind w:left="567" w:hanging="567"/>
        <w:outlineLvl w:val="1"/>
        <w:rPr>
          <w:b/>
          <w:sz w:val="22"/>
          <w:szCs w:val="22"/>
          <w:lang w:val="sv-SE" w:eastAsia="lt-LT"/>
        </w:rPr>
      </w:pPr>
      <w:r>
        <w:rPr>
          <w:b/>
          <w:sz w:val="22"/>
          <w:szCs w:val="22"/>
          <w:lang w:val="sv-SE" w:eastAsia="lt-LT"/>
        </w:rPr>
        <w:t>3.</w:t>
      </w:r>
      <w:r>
        <w:rPr>
          <w:b/>
          <w:sz w:val="22"/>
          <w:szCs w:val="22"/>
          <w:lang w:val="sv-SE" w:eastAsia="lt-LT"/>
        </w:rPr>
        <w:tab/>
      </w:r>
      <w:r>
        <w:rPr>
          <w:b/>
          <w:sz w:val="22"/>
          <w:szCs w:val="22"/>
          <w:lang w:eastAsia="lt-LT"/>
        </w:rPr>
        <w:t>Kaip vartoti Lorista</w:t>
      </w:r>
    </w:p>
    <w:p w14:paraId="3CE0C100" w14:textId="77777777" w:rsidR="00F00A02" w:rsidRDefault="00F00A02">
      <w:pPr>
        <w:widowControl w:val="0"/>
        <w:rPr>
          <w:sz w:val="22"/>
          <w:szCs w:val="22"/>
          <w:lang w:eastAsia="lt-LT"/>
        </w:rPr>
      </w:pPr>
    </w:p>
    <w:p w14:paraId="1558E742" w14:textId="77777777" w:rsidR="00F00A02" w:rsidRDefault="0027659F">
      <w:pPr>
        <w:widowControl w:val="0"/>
        <w:rPr>
          <w:color w:val="000000"/>
          <w:sz w:val="22"/>
          <w:szCs w:val="22"/>
          <w:lang w:eastAsia="lt-LT"/>
        </w:rPr>
      </w:pPr>
      <w:r>
        <w:rPr>
          <w:color w:val="000000"/>
          <w:sz w:val="22"/>
          <w:szCs w:val="22"/>
          <w:lang w:eastAsia="lt-LT"/>
        </w:rPr>
        <w:lastRenderedPageBreak/>
        <w:t>Visada vartokite šį vaistą tiksliai kaip nurodė gydytojas arba vaistininkas. Jeigu abejojate, kreipkitės į gydytoją arba vaistininką. Tikslią dozę nustatys gydytojas, įvertinęs Jūsų būklę ir išsiaiškinęs, ar vartojate kitų vaistų. Svarbu Lorista vartoti tiek laiko, kiek gydytojo skirta, kad galėtumėte tinkamai kontroliuoti savo kraujospūdį.</w:t>
      </w:r>
    </w:p>
    <w:p w14:paraId="0EAC82AE" w14:textId="77777777" w:rsidR="00F00A02" w:rsidRDefault="00F00A02">
      <w:pPr>
        <w:widowControl w:val="0"/>
        <w:rPr>
          <w:color w:val="000000"/>
          <w:sz w:val="22"/>
          <w:szCs w:val="22"/>
          <w:lang w:eastAsia="lt-LT"/>
        </w:rPr>
      </w:pPr>
    </w:p>
    <w:p w14:paraId="0B1E0D6E" w14:textId="77777777" w:rsidR="00F00A02" w:rsidRDefault="0027659F">
      <w:pPr>
        <w:widowControl w:val="0"/>
        <w:rPr>
          <w:color w:val="000000"/>
          <w:sz w:val="22"/>
          <w:szCs w:val="22"/>
          <w:u w:val="single"/>
          <w:lang w:eastAsia="lt-LT"/>
        </w:rPr>
      </w:pPr>
      <w:r>
        <w:rPr>
          <w:color w:val="000000"/>
          <w:sz w:val="22"/>
          <w:szCs w:val="22"/>
          <w:u w:val="single"/>
          <w:lang w:eastAsia="lt-LT"/>
        </w:rPr>
        <w:t>Suaugusieji, sergantys aukšto kraujospūdžio liga</w:t>
      </w:r>
    </w:p>
    <w:p w14:paraId="1AF5DBA0" w14:textId="77777777" w:rsidR="00F00A02" w:rsidRDefault="0027659F">
      <w:pPr>
        <w:widowControl w:val="0"/>
        <w:rPr>
          <w:color w:val="000000"/>
          <w:sz w:val="22"/>
          <w:szCs w:val="22"/>
          <w:lang w:eastAsia="lt-LT"/>
        </w:rPr>
      </w:pPr>
      <w:r>
        <w:rPr>
          <w:color w:val="000000"/>
          <w:sz w:val="22"/>
          <w:szCs w:val="22"/>
          <w:lang w:eastAsia="lt-LT"/>
        </w:rPr>
        <w:t>Gydyti dažniausiai pradedama 50 mg losartano doze (viena Lorista 50 mg plėvele dengta tablete), vartojama kartą per parą. Daugiausiai kraujospūdis sumažėja po 3 – 6 gydymo savaičių. Vėliau kai kuriems pacientams dozę galima padidinti iki 100 mg losartano (dviejų Lorista 50 mg tablečių) vieną kartą per parą.</w:t>
      </w:r>
    </w:p>
    <w:p w14:paraId="64F75879" w14:textId="77777777" w:rsidR="00F00A02" w:rsidRDefault="0027659F">
      <w:pPr>
        <w:widowControl w:val="0"/>
        <w:rPr>
          <w:color w:val="000000"/>
          <w:sz w:val="22"/>
          <w:szCs w:val="22"/>
          <w:lang w:eastAsia="lt-LT"/>
        </w:rPr>
      </w:pPr>
      <w:r>
        <w:rPr>
          <w:color w:val="000000"/>
          <w:sz w:val="22"/>
          <w:szCs w:val="22"/>
          <w:lang w:eastAsia="lt-LT"/>
        </w:rPr>
        <w:t>Jeigu manote, kad losartano poveikis yra per stiprus arba per silpnas, pasitarkite su gydytoju arba vaistininku.</w:t>
      </w:r>
    </w:p>
    <w:p w14:paraId="000A0183" w14:textId="77777777" w:rsidR="00F00A02" w:rsidRDefault="00F00A02">
      <w:pPr>
        <w:widowControl w:val="0"/>
        <w:rPr>
          <w:color w:val="000000"/>
          <w:sz w:val="22"/>
          <w:szCs w:val="22"/>
          <w:lang w:eastAsia="lt-LT"/>
        </w:rPr>
      </w:pPr>
    </w:p>
    <w:p w14:paraId="1AE8B31E" w14:textId="77777777" w:rsidR="00F00A02" w:rsidRDefault="0027659F">
      <w:pPr>
        <w:widowControl w:val="0"/>
        <w:rPr>
          <w:b/>
          <w:color w:val="000000"/>
          <w:sz w:val="22"/>
          <w:szCs w:val="22"/>
          <w:lang w:eastAsia="lt-LT"/>
        </w:rPr>
      </w:pPr>
      <w:r>
        <w:rPr>
          <w:b/>
          <w:color w:val="000000"/>
          <w:sz w:val="22"/>
          <w:szCs w:val="22"/>
          <w:lang w:eastAsia="lt-LT"/>
        </w:rPr>
        <w:t>Vartojimas vaikams ir paaugliams</w:t>
      </w:r>
    </w:p>
    <w:p w14:paraId="6C2C4609" w14:textId="77777777" w:rsidR="00F00A02" w:rsidRDefault="00F00A02">
      <w:pPr>
        <w:widowControl w:val="0"/>
        <w:rPr>
          <w:color w:val="000000"/>
          <w:sz w:val="22"/>
          <w:szCs w:val="22"/>
          <w:lang w:eastAsia="lt-LT"/>
        </w:rPr>
      </w:pPr>
    </w:p>
    <w:p w14:paraId="7987C153" w14:textId="77777777" w:rsidR="00F00A02" w:rsidRDefault="0027659F">
      <w:pPr>
        <w:autoSpaceDE w:val="0"/>
        <w:autoSpaceDN w:val="0"/>
        <w:adjustRightInd w:val="0"/>
        <w:rPr>
          <w:sz w:val="22"/>
          <w:szCs w:val="22"/>
          <w:u w:val="single"/>
          <w:lang w:val="lt-LT" w:eastAsia="lt-LT"/>
        </w:rPr>
      </w:pPr>
      <w:r>
        <w:rPr>
          <w:sz w:val="22"/>
          <w:szCs w:val="22"/>
          <w:u w:val="single"/>
          <w:lang w:val="lt-LT" w:eastAsia="lt-LT"/>
        </w:rPr>
        <w:t>Jaunesni kaip 6 metų vaikai</w:t>
      </w:r>
    </w:p>
    <w:p w14:paraId="6810894E" w14:textId="77777777" w:rsidR="00F00A02" w:rsidRDefault="0027659F">
      <w:pPr>
        <w:widowControl w:val="0"/>
        <w:rPr>
          <w:rFonts w:eastAsia="Calibri"/>
          <w:color w:val="000000"/>
          <w:sz w:val="22"/>
          <w:szCs w:val="22"/>
          <w:u w:val="single"/>
          <w:lang w:eastAsia="en-US"/>
        </w:rPr>
      </w:pPr>
      <w:proofErr w:type="spellStart"/>
      <w:r>
        <w:rPr>
          <w:sz w:val="22"/>
          <w:szCs w:val="22"/>
          <w:lang w:val="lt-LT" w:eastAsia="lt-LT"/>
        </w:rPr>
        <w:t>Lorista</w:t>
      </w:r>
      <w:proofErr w:type="spellEnd"/>
      <w:r>
        <w:rPr>
          <w:sz w:val="22"/>
          <w:szCs w:val="22"/>
          <w:lang w:val="lt-LT" w:eastAsia="lt-LT"/>
        </w:rPr>
        <w:t xml:space="preserve"> nerekomenduojama skirti jaunesniems kaip 6 metų vaikams, nes nėra įrodyta, kad jis veiktų šios amžiaus grupės pacientams</w:t>
      </w:r>
      <w:r>
        <w:rPr>
          <w:rFonts w:eastAsia="Calibri"/>
          <w:color w:val="000000"/>
          <w:sz w:val="22"/>
          <w:szCs w:val="22"/>
          <w:lang w:eastAsia="en-US"/>
        </w:rPr>
        <w:t>.</w:t>
      </w:r>
    </w:p>
    <w:p w14:paraId="5D7074CA" w14:textId="77777777" w:rsidR="00F00A02" w:rsidRDefault="00F00A02">
      <w:pPr>
        <w:widowControl w:val="0"/>
        <w:rPr>
          <w:color w:val="000000"/>
          <w:sz w:val="22"/>
          <w:szCs w:val="22"/>
          <w:lang w:eastAsia="lt-LT"/>
        </w:rPr>
      </w:pPr>
    </w:p>
    <w:p w14:paraId="3E3D4219" w14:textId="77777777" w:rsidR="00F00A02" w:rsidRDefault="0027659F">
      <w:pPr>
        <w:widowControl w:val="0"/>
        <w:rPr>
          <w:color w:val="000000"/>
          <w:sz w:val="22"/>
          <w:szCs w:val="22"/>
          <w:u w:val="single"/>
          <w:lang w:eastAsia="lt-LT"/>
        </w:rPr>
      </w:pPr>
      <w:r>
        <w:rPr>
          <w:color w:val="000000"/>
          <w:sz w:val="22"/>
          <w:szCs w:val="22"/>
          <w:u w:val="single"/>
          <w:lang w:eastAsia="lt-LT"/>
        </w:rPr>
        <w:t>Nuo 6 iki 18 metų vaikai</w:t>
      </w:r>
    </w:p>
    <w:p w14:paraId="4F1D9551" w14:textId="77777777" w:rsidR="00F00A02" w:rsidRDefault="0027659F">
      <w:pPr>
        <w:widowControl w:val="0"/>
        <w:rPr>
          <w:color w:val="000000"/>
          <w:sz w:val="22"/>
          <w:szCs w:val="22"/>
          <w:lang w:eastAsia="lt-LT"/>
        </w:rPr>
      </w:pPr>
      <w:r>
        <w:rPr>
          <w:color w:val="000000"/>
          <w:sz w:val="22"/>
          <w:szCs w:val="22"/>
          <w:lang w:eastAsia="lt-LT"/>
        </w:rPr>
        <w:t>Pacientams, kurių kūno svoris nuo 20 iki 50 kg, rekomenduojama pradinė dozė yra 0,7 mg losartano kg kūno svorio, ji vartojama vieną kartą per parą (iki 25 mg Lorista). Gydytojas gali padidinti dozę, jeigu kraujospūdis nėra kontroliuojamas.</w:t>
      </w:r>
    </w:p>
    <w:p w14:paraId="3CF63545" w14:textId="77777777" w:rsidR="00F00A02" w:rsidRDefault="00F00A02">
      <w:pPr>
        <w:widowControl w:val="0"/>
        <w:rPr>
          <w:color w:val="000000"/>
          <w:sz w:val="22"/>
          <w:szCs w:val="22"/>
          <w:lang w:eastAsia="lt-LT"/>
        </w:rPr>
      </w:pPr>
    </w:p>
    <w:p w14:paraId="4C6660AC" w14:textId="77777777" w:rsidR="00F00A02" w:rsidRDefault="0027659F">
      <w:pPr>
        <w:widowControl w:val="0"/>
        <w:rPr>
          <w:color w:val="000000"/>
          <w:sz w:val="22"/>
          <w:szCs w:val="22"/>
          <w:u w:val="single"/>
          <w:lang w:eastAsia="lt-LT"/>
        </w:rPr>
      </w:pPr>
      <w:r>
        <w:rPr>
          <w:color w:val="000000"/>
          <w:sz w:val="22"/>
          <w:szCs w:val="22"/>
          <w:u w:val="single"/>
          <w:lang w:eastAsia="lt-LT"/>
        </w:rPr>
        <w:t>Suaugusieji, sergantys aukšto kraujospūdžio liga ir II tipo cukriniu diabetu</w:t>
      </w:r>
    </w:p>
    <w:p w14:paraId="0E9780B4" w14:textId="77777777" w:rsidR="00F00A02" w:rsidRDefault="0027659F">
      <w:pPr>
        <w:widowControl w:val="0"/>
        <w:rPr>
          <w:color w:val="000000"/>
          <w:sz w:val="22"/>
          <w:szCs w:val="22"/>
          <w:lang w:eastAsia="lt-LT"/>
        </w:rPr>
      </w:pPr>
      <w:r>
        <w:rPr>
          <w:color w:val="000000"/>
          <w:sz w:val="22"/>
          <w:szCs w:val="22"/>
          <w:lang w:eastAsia="lt-LT"/>
        </w:rPr>
        <w:t>Gydyti dažniausiai pradedama 50 mg losartano doze (viena Lorista 50 mg plėvele dengta tablete), vartojama kartą per parą. Atsižvelgiant į kraujospūdžio reakciją, vėliau dozę galima padidinti iki 100 mg losartano (dviejų Lorista 50 mg tablečių) kartą per parą.</w:t>
      </w:r>
    </w:p>
    <w:p w14:paraId="6531212D" w14:textId="77777777" w:rsidR="00F00A02" w:rsidRDefault="0027659F">
      <w:pPr>
        <w:widowControl w:val="0"/>
        <w:rPr>
          <w:color w:val="000000"/>
          <w:sz w:val="22"/>
          <w:szCs w:val="22"/>
          <w:lang w:eastAsia="de-DE"/>
        </w:rPr>
      </w:pPr>
      <w:r>
        <w:rPr>
          <w:color w:val="000000"/>
          <w:sz w:val="22"/>
          <w:szCs w:val="22"/>
          <w:lang w:eastAsia="de-DE"/>
        </w:rPr>
        <w:t>Losartano galima vartoti kartu su kitais kraujospūdį mažinančiais vaistais (pvz., diuretikais, kalcio kanalų blokatoriais, alfa arba beta adrenoblokatoriais ir centrinio poveikio vaistais), insulinu ar kitais vaistais, paprastai vartojamais gliukozės kiekiui kraujyje mažinti (pvz., sulfonilurėjos dariniais, glitazonais ir gliukozidazės inhibitoriais).</w:t>
      </w:r>
    </w:p>
    <w:p w14:paraId="28D2A67F" w14:textId="77777777" w:rsidR="00F00A02" w:rsidRDefault="00F00A02">
      <w:pPr>
        <w:widowControl w:val="0"/>
        <w:rPr>
          <w:color w:val="000000"/>
          <w:sz w:val="22"/>
          <w:szCs w:val="22"/>
          <w:lang w:eastAsia="de-DE"/>
        </w:rPr>
      </w:pPr>
    </w:p>
    <w:p w14:paraId="344A263C" w14:textId="77777777" w:rsidR="00F00A02" w:rsidRDefault="0027659F">
      <w:pPr>
        <w:widowControl w:val="0"/>
        <w:rPr>
          <w:bCs/>
          <w:iCs/>
          <w:color w:val="000000"/>
          <w:sz w:val="22"/>
          <w:szCs w:val="22"/>
          <w:u w:val="single"/>
          <w:lang w:eastAsia="lt-LT"/>
        </w:rPr>
      </w:pPr>
      <w:r>
        <w:rPr>
          <w:bCs/>
          <w:iCs/>
          <w:color w:val="000000"/>
          <w:sz w:val="22"/>
          <w:szCs w:val="22"/>
          <w:u w:val="single"/>
          <w:lang w:eastAsia="lt-LT"/>
        </w:rPr>
        <w:t>Širdies nepakankamumu sergantys suaugusieji</w:t>
      </w:r>
    </w:p>
    <w:p w14:paraId="1BA9AC4F" w14:textId="77777777" w:rsidR="00F00A02" w:rsidRDefault="0027659F">
      <w:pPr>
        <w:widowControl w:val="0"/>
        <w:rPr>
          <w:color w:val="000000"/>
          <w:sz w:val="22"/>
          <w:szCs w:val="22"/>
          <w:lang w:eastAsia="lt-LT"/>
        </w:rPr>
      </w:pPr>
      <w:r>
        <w:rPr>
          <w:color w:val="000000"/>
          <w:sz w:val="22"/>
          <w:szCs w:val="22"/>
          <w:lang w:eastAsia="lt-LT"/>
        </w:rPr>
        <w:t xml:space="preserve">Gydyti dažniausiai pradedama 12,5 mg losartano doze (viena Lorista 12,5 mg plėvele dengta tablete), vartojama kartą per parą. </w:t>
      </w:r>
      <w:r>
        <w:rPr>
          <w:bCs/>
          <w:iCs/>
          <w:color w:val="000000"/>
          <w:sz w:val="22"/>
          <w:szCs w:val="22"/>
          <w:lang w:eastAsia="lt-LT"/>
        </w:rPr>
        <w:t>Paprastai</w:t>
      </w:r>
      <w:r>
        <w:rPr>
          <w:color w:val="000000"/>
          <w:sz w:val="22"/>
          <w:szCs w:val="22"/>
          <w:lang w:eastAsia="lt-LT"/>
        </w:rPr>
        <w:t xml:space="preserve"> dozė </w:t>
      </w:r>
      <w:r>
        <w:rPr>
          <w:bCs/>
          <w:iCs/>
          <w:color w:val="000000"/>
          <w:sz w:val="22"/>
          <w:szCs w:val="22"/>
          <w:lang w:eastAsia="lt-LT"/>
        </w:rPr>
        <w:t xml:space="preserve">kas savaitė </w:t>
      </w:r>
      <w:r>
        <w:rPr>
          <w:color w:val="000000"/>
          <w:sz w:val="22"/>
          <w:szCs w:val="22"/>
          <w:lang w:eastAsia="lt-LT"/>
        </w:rPr>
        <w:t xml:space="preserve">palaipsniui </w:t>
      </w:r>
      <w:r>
        <w:rPr>
          <w:bCs/>
          <w:iCs/>
          <w:color w:val="000000"/>
          <w:sz w:val="22"/>
          <w:szCs w:val="22"/>
          <w:lang w:eastAsia="lt-LT"/>
        </w:rPr>
        <w:t xml:space="preserve">didinama </w:t>
      </w:r>
      <w:r>
        <w:rPr>
          <w:color w:val="000000"/>
          <w:sz w:val="22"/>
          <w:szCs w:val="22"/>
          <w:lang w:eastAsia="lt-LT"/>
        </w:rPr>
        <w:t>(t.y. pirmą savaitę</w:t>
      </w:r>
      <w:r>
        <w:rPr>
          <w:bCs/>
          <w:iCs/>
          <w:color w:val="000000"/>
          <w:sz w:val="22"/>
          <w:szCs w:val="22"/>
          <w:lang w:eastAsia="lt-LT"/>
        </w:rPr>
        <w:t xml:space="preserve"> vartojama 12,5 mg dozė</w:t>
      </w:r>
      <w:r>
        <w:rPr>
          <w:color w:val="000000"/>
          <w:sz w:val="22"/>
          <w:szCs w:val="22"/>
          <w:lang w:eastAsia="lt-LT"/>
        </w:rPr>
        <w:t xml:space="preserve"> vieną kartą per parą, antrą savaitę</w:t>
      </w:r>
      <w:r>
        <w:rPr>
          <w:bCs/>
          <w:iCs/>
          <w:color w:val="000000"/>
          <w:sz w:val="22"/>
          <w:szCs w:val="22"/>
          <w:lang w:eastAsia="lt-LT"/>
        </w:rPr>
        <w:t xml:space="preserve"> didinama iki 25 mg </w:t>
      </w:r>
      <w:r>
        <w:rPr>
          <w:color w:val="000000"/>
          <w:sz w:val="22"/>
          <w:szCs w:val="22"/>
          <w:lang w:eastAsia="lt-LT"/>
        </w:rPr>
        <w:t xml:space="preserve">(viena Lorista 25 mg plėvele dengta tabletė arba dvi Lorista 12,5 mg plėvele dengtos tabletės) </w:t>
      </w:r>
      <w:r>
        <w:rPr>
          <w:bCs/>
          <w:iCs/>
          <w:color w:val="000000"/>
          <w:sz w:val="22"/>
          <w:szCs w:val="22"/>
          <w:lang w:eastAsia="lt-LT"/>
        </w:rPr>
        <w:t>vieną kartą per parą,</w:t>
      </w:r>
      <w:r>
        <w:rPr>
          <w:color w:val="000000"/>
          <w:sz w:val="22"/>
          <w:szCs w:val="22"/>
          <w:lang w:eastAsia="lt-LT"/>
        </w:rPr>
        <w:t xml:space="preserve"> trečią savaitę</w:t>
      </w:r>
      <w:r>
        <w:rPr>
          <w:bCs/>
          <w:iCs/>
          <w:color w:val="000000"/>
          <w:sz w:val="22"/>
          <w:szCs w:val="22"/>
          <w:lang w:eastAsia="lt-LT"/>
        </w:rPr>
        <w:t xml:space="preserve"> </w:t>
      </w:r>
      <w:r>
        <w:rPr>
          <w:bCs/>
          <w:iCs/>
          <w:color w:val="000000"/>
          <w:sz w:val="22"/>
          <w:szCs w:val="22"/>
          <w:lang w:eastAsia="lt-LT"/>
        </w:rPr>
        <w:sym w:font="Symbol" w:char="F02D"/>
      </w:r>
      <w:r>
        <w:rPr>
          <w:bCs/>
          <w:iCs/>
          <w:color w:val="000000"/>
          <w:sz w:val="22"/>
          <w:szCs w:val="22"/>
          <w:lang w:eastAsia="lt-LT"/>
        </w:rPr>
        <w:t xml:space="preserve"> iki 50 mg, ketvirtą savaitę – iki 100 mg, penktą savaitę – iki 150 mg vieną kartą per parą</w:t>
      </w:r>
      <w:r>
        <w:rPr>
          <w:color w:val="000000"/>
          <w:sz w:val="22"/>
          <w:szCs w:val="22"/>
          <w:lang w:eastAsia="lt-LT"/>
        </w:rPr>
        <w:t>) iki įprastinės palaikomosios dozės</w:t>
      </w:r>
      <w:r>
        <w:rPr>
          <w:bCs/>
          <w:iCs/>
          <w:color w:val="000000"/>
          <w:sz w:val="22"/>
          <w:szCs w:val="22"/>
          <w:lang w:eastAsia="lt-LT"/>
        </w:rPr>
        <w:t xml:space="preserve">, kurią nustatys Jūsų gydytojas. Gali būti skiriama ir didžiausia </w:t>
      </w:r>
      <w:r>
        <w:rPr>
          <w:color w:val="000000"/>
          <w:sz w:val="22"/>
          <w:szCs w:val="22"/>
          <w:lang w:eastAsia="lt-LT"/>
        </w:rPr>
        <w:t xml:space="preserve">150 mg losartano </w:t>
      </w:r>
      <w:r>
        <w:rPr>
          <w:bCs/>
          <w:iCs/>
          <w:color w:val="000000"/>
          <w:sz w:val="22"/>
          <w:szCs w:val="22"/>
          <w:lang w:eastAsia="lt-LT"/>
        </w:rPr>
        <w:t>dozė (pavyzdžiui, trys</w:t>
      </w:r>
      <w:r>
        <w:rPr>
          <w:color w:val="000000"/>
          <w:sz w:val="22"/>
          <w:szCs w:val="22"/>
          <w:lang w:eastAsia="lt-LT"/>
        </w:rPr>
        <w:t xml:space="preserve"> Lorista 50 mg plėvele dengtos tabletė</w:t>
      </w:r>
      <w:r>
        <w:rPr>
          <w:bCs/>
          <w:iCs/>
          <w:color w:val="000000"/>
          <w:sz w:val="22"/>
          <w:szCs w:val="22"/>
          <w:lang w:eastAsia="lt-LT"/>
        </w:rPr>
        <w:t xml:space="preserve">s arba po vieną 50 mg ir 100 mg Lorista </w:t>
      </w:r>
      <w:r>
        <w:rPr>
          <w:color w:val="000000"/>
          <w:sz w:val="22"/>
          <w:szCs w:val="22"/>
          <w:lang w:eastAsia="lt-LT"/>
        </w:rPr>
        <w:t xml:space="preserve">plėvele dengtą </w:t>
      </w:r>
      <w:r>
        <w:rPr>
          <w:bCs/>
          <w:iCs/>
          <w:color w:val="000000"/>
          <w:sz w:val="22"/>
          <w:szCs w:val="22"/>
          <w:lang w:eastAsia="lt-LT"/>
        </w:rPr>
        <w:t>tabletę)</w:t>
      </w:r>
      <w:r>
        <w:rPr>
          <w:color w:val="000000"/>
          <w:sz w:val="22"/>
          <w:szCs w:val="22"/>
          <w:lang w:eastAsia="lt-LT"/>
        </w:rPr>
        <w:t>.</w:t>
      </w:r>
    </w:p>
    <w:p w14:paraId="57440460" w14:textId="77777777" w:rsidR="00F00A02" w:rsidRDefault="0027659F">
      <w:pPr>
        <w:widowControl w:val="0"/>
        <w:rPr>
          <w:color w:val="000000"/>
          <w:sz w:val="22"/>
          <w:szCs w:val="22"/>
          <w:lang w:eastAsia="lt-LT"/>
        </w:rPr>
      </w:pPr>
      <w:r>
        <w:rPr>
          <w:color w:val="000000"/>
          <w:sz w:val="22"/>
          <w:szCs w:val="22"/>
          <w:lang w:eastAsia="lt-LT"/>
        </w:rPr>
        <w:t>Vartojant Lorista 50 mg plėvele dengtas tabletes mažiausia galima dozė – 50 mg. Norint gauti mažesnę dozę vartojamos kito stiprumo Lorista tabletės: Lorista 12,5 mg plėvele dengtos tabletės ar Lorista 25 mg plėvele dengtos tabletės.</w:t>
      </w:r>
    </w:p>
    <w:p w14:paraId="6768C11F" w14:textId="77777777" w:rsidR="00F00A02" w:rsidRDefault="0027659F">
      <w:pPr>
        <w:widowControl w:val="0"/>
        <w:rPr>
          <w:color w:val="000000"/>
          <w:sz w:val="22"/>
          <w:szCs w:val="22"/>
          <w:lang w:eastAsia="lt-LT"/>
        </w:rPr>
      </w:pPr>
      <w:r>
        <w:rPr>
          <w:color w:val="000000"/>
          <w:sz w:val="22"/>
          <w:szCs w:val="22"/>
          <w:lang w:eastAsia="lt-LT"/>
        </w:rPr>
        <w:t xml:space="preserve">Širdies nepakankamumo gydymo metu losartanas dažniausiai vartojamas kartu su diuretikais (vaistais, kurie didina pro inkstus pašalinamo vandens kiekį) ir (arba) </w:t>
      </w:r>
      <w:r>
        <w:rPr>
          <w:bCs/>
          <w:iCs/>
          <w:color w:val="000000"/>
          <w:sz w:val="22"/>
          <w:szCs w:val="22"/>
          <w:lang w:eastAsia="lt-LT"/>
        </w:rPr>
        <w:t xml:space="preserve">rusmenės preparatais (vaistais, padedančiais </w:t>
      </w:r>
      <w:r>
        <w:rPr>
          <w:color w:val="000000"/>
          <w:sz w:val="22"/>
          <w:szCs w:val="22"/>
          <w:lang w:eastAsia="lt-LT"/>
        </w:rPr>
        <w:t>stiprinti širdį ir didinti jos veiksmingumą</w:t>
      </w:r>
      <w:r>
        <w:rPr>
          <w:bCs/>
          <w:iCs/>
          <w:color w:val="000000"/>
          <w:sz w:val="22"/>
          <w:szCs w:val="22"/>
          <w:lang w:eastAsia="lt-LT"/>
        </w:rPr>
        <w:t xml:space="preserve">) </w:t>
      </w:r>
      <w:r>
        <w:rPr>
          <w:color w:val="000000"/>
          <w:sz w:val="22"/>
          <w:szCs w:val="22"/>
          <w:lang w:eastAsia="lt-LT"/>
        </w:rPr>
        <w:t>arba</w:t>
      </w:r>
      <w:r>
        <w:rPr>
          <w:bCs/>
          <w:iCs/>
          <w:color w:val="000000"/>
          <w:sz w:val="22"/>
          <w:szCs w:val="22"/>
          <w:lang w:eastAsia="lt-LT"/>
        </w:rPr>
        <w:t xml:space="preserve"> (ir</w:t>
      </w:r>
      <w:r>
        <w:rPr>
          <w:color w:val="000000"/>
          <w:sz w:val="22"/>
          <w:szCs w:val="22"/>
          <w:lang w:eastAsia="lt-LT"/>
        </w:rPr>
        <w:t xml:space="preserve">) beta </w:t>
      </w:r>
      <w:r>
        <w:rPr>
          <w:bCs/>
          <w:iCs/>
          <w:color w:val="000000"/>
          <w:sz w:val="22"/>
          <w:szCs w:val="22"/>
          <w:lang w:eastAsia="lt-LT"/>
        </w:rPr>
        <w:t>adreno</w:t>
      </w:r>
      <w:r>
        <w:rPr>
          <w:color w:val="000000"/>
          <w:sz w:val="22"/>
          <w:szCs w:val="22"/>
          <w:lang w:eastAsia="lt-LT"/>
        </w:rPr>
        <w:t>blokatoriais.</w:t>
      </w:r>
    </w:p>
    <w:p w14:paraId="38C5B1D5" w14:textId="77777777" w:rsidR="00F00A02" w:rsidRDefault="00F00A02">
      <w:pPr>
        <w:widowControl w:val="0"/>
        <w:rPr>
          <w:b/>
          <w:color w:val="000000"/>
          <w:sz w:val="22"/>
          <w:szCs w:val="22"/>
          <w:lang w:eastAsia="lt-LT"/>
        </w:rPr>
      </w:pPr>
    </w:p>
    <w:p w14:paraId="1343FD9E" w14:textId="77777777" w:rsidR="00F00A02" w:rsidRDefault="0027659F">
      <w:pPr>
        <w:widowControl w:val="0"/>
        <w:rPr>
          <w:b/>
          <w:color w:val="000000"/>
          <w:sz w:val="22"/>
          <w:szCs w:val="22"/>
          <w:lang w:eastAsia="lt-LT"/>
        </w:rPr>
      </w:pPr>
      <w:r>
        <w:rPr>
          <w:b/>
          <w:color w:val="000000"/>
          <w:sz w:val="22"/>
          <w:szCs w:val="22"/>
          <w:lang w:eastAsia="lt-LT"/>
        </w:rPr>
        <w:t>Dozavimas specialių grupių pacientams</w:t>
      </w:r>
    </w:p>
    <w:p w14:paraId="32654395" w14:textId="77777777" w:rsidR="00F00A02" w:rsidRDefault="0027659F">
      <w:pPr>
        <w:widowControl w:val="0"/>
        <w:rPr>
          <w:color w:val="000000"/>
          <w:sz w:val="22"/>
          <w:szCs w:val="22"/>
          <w:lang w:eastAsia="lt-LT"/>
        </w:rPr>
      </w:pPr>
      <w:r>
        <w:rPr>
          <w:color w:val="000000"/>
          <w:sz w:val="22"/>
          <w:szCs w:val="22"/>
          <w:lang w:eastAsia="lt-LT"/>
        </w:rPr>
        <w:t xml:space="preserve">Tam tikriems pacientams, pavyzdžiui, gydytiems didelėmis diuretikų dozėmis, kurių kepenų funkcija sutrikusi arba kurie yra vyresni kaip 75 metų, gydytojas gali patarti vartoti mažesnę dozę, ypač gydymo pradžioje. Pacientams, kuriems yra sunkus kepenų funkcijos sutrikimas, losartano vartoti draudžiama (žr. skyrių </w:t>
      </w:r>
      <w:r>
        <w:rPr>
          <w:sz w:val="22"/>
          <w:szCs w:val="22"/>
          <w:lang w:val="lt-LT"/>
        </w:rPr>
        <w:t>„</w:t>
      </w:r>
      <w:r>
        <w:rPr>
          <w:color w:val="000000"/>
          <w:sz w:val="22"/>
          <w:szCs w:val="22"/>
          <w:lang w:eastAsia="lt-LT"/>
        </w:rPr>
        <w:t>Lorista vartoti draudžiama</w:t>
      </w:r>
      <w:r>
        <w:rPr>
          <w:sz w:val="22"/>
          <w:szCs w:val="22"/>
          <w:lang w:val="lt-LT"/>
        </w:rPr>
        <w:t>“</w:t>
      </w:r>
      <w:r>
        <w:rPr>
          <w:color w:val="000000"/>
          <w:sz w:val="22"/>
          <w:szCs w:val="22"/>
        </w:rPr>
        <w:t>).</w:t>
      </w:r>
    </w:p>
    <w:p w14:paraId="71DE72E8" w14:textId="77777777" w:rsidR="00F00A02" w:rsidRDefault="00F00A02">
      <w:pPr>
        <w:widowControl w:val="0"/>
        <w:rPr>
          <w:color w:val="000000"/>
          <w:sz w:val="22"/>
          <w:szCs w:val="22"/>
          <w:lang w:eastAsia="lt-LT"/>
        </w:rPr>
      </w:pPr>
    </w:p>
    <w:p w14:paraId="7DEB2EEE" w14:textId="77777777" w:rsidR="00F00A02" w:rsidRDefault="0027659F">
      <w:pPr>
        <w:widowControl w:val="0"/>
        <w:autoSpaceDE w:val="0"/>
        <w:autoSpaceDN w:val="0"/>
        <w:adjustRightInd w:val="0"/>
        <w:rPr>
          <w:b/>
          <w:bCs/>
          <w:color w:val="000000"/>
          <w:sz w:val="22"/>
          <w:szCs w:val="22"/>
          <w:lang w:val="sv-SE" w:eastAsia="de-DE"/>
        </w:rPr>
      </w:pPr>
      <w:r>
        <w:rPr>
          <w:b/>
          <w:bCs/>
          <w:color w:val="000000"/>
          <w:sz w:val="22"/>
          <w:szCs w:val="22"/>
          <w:lang w:val="sv-SE" w:eastAsia="de-DE"/>
        </w:rPr>
        <w:t>Vartojimo būdas</w:t>
      </w:r>
    </w:p>
    <w:p w14:paraId="42745C05" w14:textId="77777777" w:rsidR="00F00A02" w:rsidRDefault="0027659F">
      <w:pPr>
        <w:widowControl w:val="0"/>
        <w:autoSpaceDE w:val="0"/>
        <w:autoSpaceDN w:val="0"/>
        <w:adjustRightInd w:val="0"/>
        <w:rPr>
          <w:color w:val="000000"/>
          <w:sz w:val="22"/>
          <w:szCs w:val="22"/>
          <w:lang w:val="sv-SE" w:eastAsia="lt-LT"/>
        </w:rPr>
      </w:pPr>
      <w:r>
        <w:rPr>
          <w:color w:val="000000"/>
          <w:sz w:val="22"/>
          <w:szCs w:val="22"/>
          <w:lang w:val="sv-SE" w:eastAsia="lt-LT"/>
        </w:rPr>
        <w:lastRenderedPageBreak/>
        <w:t>Tabletes reikia nuryti užgeriant stikline vandens. Stenkitės Lorista išgerti kasdien tokiu pačiu laiku. Svarbu Lorista vartoti tol, kol gydytojas lieps jo vartojimą nutraukti.</w:t>
      </w:r>
    </w:p>
    <w:p w14:paraId="04FAF387" w14:textId="77777777" w:rsidR="00F00A02" w:rsidRDefault="00F00A02">
      <w:pPr>
        <w:widowControl w:val="0"/>
        <w:autoSpaceDE w:val="0"/>
        <w:autoSpaceDN w:val="0"/>
        <w:adjustRightInd w:val="0"/>
        <w:rPr>
          <w:color w:val="000000"/>
          <w:sz w:val="22"/>
          <w:szCs w:val="22"/>
          <w:lang w:val="sv-SE" w:eastAsia="de-DE"/>
        </w:rPr>
      </w:pPr>
    </w:p>
    <w:p w14:paraId="2A5D2F00" w14:textId="77777777" w:rsidR="00F00A02" w:rsidRDefault="0027659F">
      <w:pPr>
        <w:widowControl w:val="0"/>
        <w:outlineLvl w:val="2"/>
        <w:rPr>
          <w:b/>
          <w:bCs/>
          <w:sz w:val="22"/>
          <w:szCs w:val="22"/>
          <w:lang w:eastAsia="lt-LT"/>
        </w:rPr>
      </w:pPr>
      <w:r>
        <w:rPr>
          <w:b/>
          <w:bCs/>
          <w:sz w:val="22"/>
          <w:szCs w:val="22"/>
          <w:lang w:eastAsia="lt-LT"/>
        </w:rPr>
        <w:t>Ką daryti pavartojus per didelę Lorista dozę</w:t>
      </w:r>
    </w:p>
    <w:p w14:paraId="53E0EC3D" w14:textId="77777777" w:rsidR="00F00A02" w:rsidRDefault="0027659F">
      <w:pPr>
        <w:widowControl w:val="0"/>
        <w:rPr>
          <w:color w:val="000000"/>
          <w:sz w:val="22"/>
          <w:szCs w:val="22"/>
          <w:lang w:val="sv-SE" w:eastAsia="lt-LT"/>
        </w:rPr>
      </w:pPr>
      <w:r>
        <w:rPr>
          <w:color w:val="000000"/>
          <w:sz w:val="22"/>
          <w:szCs w:val="22"/>
          <w:lang w:val="sv-SE" w:eastAsia="lt-LT"/>
        </w:rPr>
        <w:t>Jeigu Jūs atsitiktinai pavartojote per daug tablečių, nedelsdami kreipkitės į gydytoją. Perdozavimo simptomai yra žemas kraujospūdis, padažnėjęs arba net suretėjęs širdies plakimas.</w:t>
      </w:r>
    </w:p>
    <w:p w14:paraId="76D3C6CF" w14:textId="77777777" w:rsidR="00F00A02" w:rsidRDefault="00F00A02">
      <w:pPr>
        <w:widowControl w:val="0"/>
        <w:rPr>
          <w:color w:val="000000"/>
          <w:sz w:val="22"/>
          <w:szCs w:val="22"/>
          <w:lang w:val="sv-SE" w:eastAsia="lt-LT"/>
        </w:rPr>
      </w:pPr>
    </w:p>
    <w:p w14:paraId="357EED8F" w14:textId="77777777" w:rsidR="00F00A02" w:rsidRDefault="0027659F">
      <w:pPr>
        <w:widowControl w:val="0"/>
        <w:outlineLvl w:val="2"/>
        <w:rPr>
          <w:b/>
          <w:bCs/>
          <w:sz w:val="22"/>
          <w:szCs w:val="22"/>
          <w:lang w:eastAsia="lt-LT"/>
        </w:rPr>
      </w:pPr>
      <w:r>
        <w:rPr>
          <w:b/>
          <w:bCs/>
          <w:sz w:val="22"/>
          <w:szCs w:val="22"/>
          <w:lang w:eastAsia="lt-LT"/>
        </w:rPr>
        <w:t>Pamiršus pavartoti Lorista</w:t>
      </w:r>
    </w:p>
    <w:p w14:paraId="616C5240" w14:textId="77777777" w:rsidR="00F00A02" w:rsidRDefault="0027659F">
      <w:pPr>
        <w:widowControl w:val="0"/>
        <w:rPr>
          <w:noProof/>
          <w:color w:val="000000"/>
          <w:sz w:val="22"/>
          <w:szCs w:val="22"/>
          <w:lang w:val="sv-SE" w:eastAsia="lt-LT"/>
        </w:rPr>
      </w:pPr>
      <w:r>
        <w:rPr>
          <w:color w:val="000000"/>
          <w:sz w:val="22"/>
          <w:szCs w:val="22"/>
          <w:lang w:val="sv-SE" w:eastAsia="lt-LT"/>
        </w:rPr>
        <w:t xml:space="preserve">Jeigu atsitiktinai pamiršote pavartoti paros dozę, kitą dozę gerkite įprastu laiku. Negalima vartoti dvigubos dozės norint kompensuoti praleistą dozę. </w:t>
      </w:r>
    </w:p>
    <w:p w14:paraId="139C5026" w14:textId="77777777" w:rsidR="00F00A02" w:rsidRDefault="00F00A02">
      <w:pPr>
        <w:widowControl w:val="0"/>
        <w:rPr>
          <w:sz w:val="22"/>
          <w:szCs w:val="22"/>
          <w:lang w:eastAsia="lt-LT"/>
        </w:rPr>
      </w:pPr>
    </w:p>
    <w:p w14:paraId="6EBB6EAF" w14:textId="77777777" w:rsidR="00F00A02" w:rsidRDefault="0027659F">
      <w:pPr>
        <w:widowControl w:val="0"/>
        <w:rPr>
          <w:sz w:val="22"/>
          <w:szCs w:val="22"/>
          <w:lang w:eastAsia="lt-LT"/>
        </w:rPr>
      </w:pPr>
      <w:r>
        <w:rPr>
          <w:sz w:val="22"/>
          <w:szCs w:val="22"/>
          <w:lang w:eastAsia="lt-LT"/>
        </w:rPr>
        <w:t>Jeigu kiltų daugiau klausimų dėl šio vaisto vartojimo, kreipkitės į gydytoją arba vaistininką.</w:t>
      </w:r>
    </w:p>
    <w:p w14:paraId="27922836" w14:textId="77777777" w:rsidR="00F00A02" w:rsidRDefault="00F00A02">
      <w:pPr>
        <w:widowControl w:val="0"/>
        <w:rPr>
          <w:sz w:val="22"/>
          <w:szCs w:val="22"/>
          <w:lang w:eastAsia="lt-LT"/>
        </w:rPr>
      </w:pPr>
    </w:p>
    <w:p w14:paraId="2D1D642E" w14:textId="77777777" w:rsidR="00F00A02" w:rsidRDefault="00F00A02">
      <w:pPr>
        <w:widowControl w:val="0"/>
        <w:rPr>
          <w:sz w:val="22"/>
          <w:szCs w:val="22"/>
          <w:lang w:eastAsia="lt-LT"/>
        </w:rPr>
      </w:pPr>
    </w:p>
    <w:p w14:paraId="5B98F3E7" w14:textId="77777777" w:rsidR="00F00A02" w:rsidRDefault="0027659F">
      <w:pPr>
        <w:widowControl w:val="0"/>
        <w:ind w:left="567" w:hanging="567"/>
        <w:outlineLvl w:val="1"/>
        <w:rPr>
          <w:b/>
          <w:sz w:val="22"/>
          <w:szCs w:val="22"/>
          <w:lang w:val="sv-SE" w:eastAsia="lt-LT"/>
        </w:rPr>
      </w:pPr>
      <w:r>
        <w:rPr>
          <w:b/>
          <w:sz w:val="22"/>
          <w:szCs w:val="22"/>
          <w:lang w:val="sv-SE" w:eastAsia="lt-LT"/>
        </w:rPr>
        <w:t>4.</w:t>
      </w:r>
      <w:r>
        <w:rPr>
          <w:b/>
          <w:sz w:val="22"/>
          <w:szCs w:val="22"/>
          <w:lang w:val="sv-SE" w:eastAsia="lt-LT"/>
        </w:rPr>
        <w:tab/>
      </w:r>
      <w:r>
        <w:rPr>
          <w:b/>
          <w:sz w:val="22"/>
          <w:szCs w:val="22"/>
          <w:lang w:eastAsia="lt-LT"/>
        </w:rPr>
        <w:t>Galimas šalutinis poveikis</w:t>
      </w:r>
    </w:p>
    <w:p w14:paraId="15D1D1CB" w14:textId="77777777" w:rsidR="00F00A02" w:rsidRDefault="00F00A02">
      <w:pPr>
        <w:widowControl w:val="0"/>
        <w:rPr>
          <w:sz w:val="22"/>
          <w:szCs w:val="22"/>
          <w:lang w:eastAsia="lt-LT"/>
        </w:rPr>
      </w:pPr>
    </w:p>
    <w:p w14:paraId="2D6A094D" w14:textId="77777777" w:rsidR="00F00A02" w:rsidRDefault="0027659F">
      <w:pPr>
        <w:widowControl w:val="0"/>
        <w:rPr>
          <w:color w:val="000000"/>
          <w:sz w:val="22"/>
          <w:szCs w:val="22"/>
          <w:lang w:val="sv-SE" w:eastAsia="lt-LT"/>
        </w:rPr>
      </w:pPr>
      <w:r>
        <w:rPr>
          <w:color w:val="000000"/>
          <w:sz w:val="22"/>
          <w:szCs w:val="22"/>
          <w:lang w:eastAsia="lt-LT"/>
        </w:rPr>
        <w:t>Šis vaistas</w:t>
      </w:r>
      <w:r>
        <w:rPr>
          <w:color w:val="000000"/>
          <w:sz w:val="22"/>
          <w:szCs w:val="22"/>
          <w:lang w:val="sv-SE" w:eastAsia="lt-LT"/>
        </w:rPr>
        <w:t>, kaip ir kiti, gali sukelti šalutinį poveikį, nors jis pasireiškia ne visiems žmonėms.</w:t>
      </w:r>
    </w:p>
    <w:p w14:paraId="57F39D6C" w14:textId="77777777" w:rsidR="00F00A02" w:rsidRDefault="00F00A02">
      <w:pPr>
        <w:widowControl w:val="0"/>
        <w:rPr>
          <w:color w:val="000000"/>
          <w:sz w:val="22"/>
          <w:szCs w:val="22"/>
          <w:lang w:val="sv-SE" w:eastAsia="lt-LT"/>
        </w:rPr>
      </w:pPr>
    </w:p>
    <w:p w14:paraId="37EB18E5" w14:textId="77777777" w:rsidR="00F00A02" w:rsidRDefault="0027659F">
      <w:pPr>
        <w:widowControl w:val="0"/>
        <w:rPr>
          <w:color w:val="000000"/>
          <w:sz w:val="22"/>
          <w:szCs w:val="22"/>
          <w:lang w:val="sv-SE" w:eastAsia="lt-LT"/>
        </w:rPr>
      </w:pPr>
      <w:r>
        <w:rPr>
          <w:color w:val="000000"/>
          <w:sz w:val="22"/>
          <w:szCs w:val="22"/>
          <w:lang w:val="sv-SE" w:eastAsia="lt-LT"/>
        </w:rPr>
        <w:t>Jeigu Jums pasireiškė toliau išvardytas poveikis, losartano tablečių nebevartokite ir nedelsdami pasakykite gydytojui arba kreipkitės į artimiausios ligoninės skubios medicinos pagalbos skyrių:</w:t>
      </w:r>
    </w:p>
    <w:p w14:paraId="5126C8CE" w14:textId="77777777" w:rsidR="00F00A02" w:rsidRDefault="00F00A02">
      <w:pPr>
        <w:widowControl w:val="0"/>
        <w:rPr>
          <w:color w:val="000000"/>
          <w:sz w:val="22"/>
          <w:szCs w:val="22"/>
          <w:lang w:val="sv-SE" w:eastAsia="lt-LT"/>
        </w:rPr>
      </w:pPr>
    </w:p>
    <w:p w14:paraId="57F268D7" w14:textId="77777777" w:rsidR="00F00A02" w:rsidRDefault="0027659F">
      <w:pPr>
        <w:widowControl w:val="0"/>
        <w:rPr>
          <w:color w:val="000000"/>
          <w:sz w:val="22"/>
          <w:szCs w:val="22"/>
          <w:lang w:val="sv-SE" w:eastAsia="lt-LT"/>
        </w:rPr>
      </w:pPr>
      <w:r>
        <w:rPr>
          <w:color w:val="000000"/>
          <w:sz w:val="22"/>
          <w:szCs w:val="22"/>
          <w:lang w:val="sv-SE" w:eastAsia="lt-LT"/>
        </w:rPr>
        <w:t xml:space="preserve">Sunki alerginė reakcija (išbėrimas, niežėjimas, veido, lūpų, burnos ar ryklės sutinimas, kuris gali pasunkinti </w:t>
      </w:r>
      <w:r>
        <w:rPr>
          <w:color w:val="000000"/>
          <w:sz w:val="22"/>
          <w:szCs w:val="22"/>
          <w:lang w:val="sv-SE"/>
        </w:rPr>
        <w:t>rijimą</w:t>
      </w:r>
      <w:r>
        <w:rPr>
          <w:color w:val="000000"/>
          <w:sz w:val="22"/>
          <w:szCs w:val="22"/>
          <w:lang w:val="sv-SE" w:eastAsia="lt-LT"/>
        </w:rPr>
        <w:t xml:space="preserve"> ar kvėpavimą).</w:t>
      </w:r>
    </w:p>
    <w:p w14:paraId="09ACF06D" w14:textId="77777777" w:rsidR="00F00A02" w:rsidRDefault="0027659F">
      <w:pPr>
        <w:widowControl w:val="0"/>
        <w:rPr>
          <w:color w:val="000000"/>
          <w:sz w:val="22"/>
          <w:szCs w:val="22"/>
          <w:lang w:val="sv-SE" w:eastAsia="lt-LT"/>
        </w:rPr>
      </w:pPr>
      <w:r>
        <w:rPr>
          <w:color w:val="000000"/>
          <w:sz w:val="22"/>
          <w:szCs w:val="22"/>
          <w:lang w:val="sv-SE" w:eastAsia="lt-LT"/>
        </w:rPr>
        <w:t>Tai sunkus, bet retas šalutinis poveikis, kuris pasireiškia daugiau kaip 1 iš 10 000 pacientų, bet mažiau kaip 1 iš 1 000 pacientų. Jums gali prireikti skubios gydytojo pagalbos arba guldymo į ligoninę.</w:t>
      </w:r>
    </w:p>
    <w:p w14:paraId="4A9043CA" w14:textId="77777777" w:rsidR="00F00A02" w:rsidRDefault="00F00A02">
      <w:pPr>
        <w:widowControl w:val="0"/>
        <w:rPr>
          <w:color w:val="000000"/>
          <w:sz w:val="22"/>
          <w:szCs w:val="22"/>
          <w:lang w:val="sv-SE" w:eastAsia="lt-LT"/>
        </w:rPr>
      </w:pPr>
    </w:p>
    <w:p w14:paraId="1B856D15" w14:textId="77777777" w:rsidR="00F00A02" w:rsidRDefault="0027659F">
      <w:pPr>
        <w:widowControl w:val="0"/>
        <w:rPr>
          <w:sz w:val="22"/>
          <w:szCs w:val="22"/>
        </w:rPr>
      </w:pPr>
      <w:r>
        <w:rPr>
          <w:sz w:val="22"/>
          <w:szCs w:val="22"/>
        </w:rPr>
        <w:t>Toliau išvardytas šalutinis poveikis buvo nustatytas, vartojant Lorista.</w:t>
      </w:r>
    </w:p>
    <w:p w14:paraId="68B68A28" w14:textId="77777777" w:rsidR="00F00A02" w:rsidRDefault="00F00A02">
      <w:pPr>
        <w:widowControl w:val="0"/>
        <w:rPr>
          <w:sz w:val="22"/>
          <w:szCs w:val="22"/>
        </w:rPr>
      </w:pPr>
    </w:p>
    <w:p w14:paraId="3DDEFDF8" w14:textId="77777777" w:rsidR="00F00A02" w:rsidRDefault="0027659F">
      <w:pPr>
        <w:widowControl w:val="0"/>
        <w:autoSpaceDE w:val="0"/>
        <w:autoSpaceDN w:val="0"/>
        <w:adjustRightInd w:val="0"/>
        <w:rPr>
          <w:color w:val="000000"/>
          <w:sz w:val="22"/>
          <w:szCs w:val="22"/>
          <w:lang w:eastAsia="de-DE"/>
        </w:rPr>
      </w:pPr>
      <w:r>
        <w:rPr>
          <w:i/>
          <w:color w:val="000000"/>
          <w:sz w:val="22"/>
          <w:szCs w:val="22"/>
          <w:lang w:eastAsia="de-DE"/>
        </w:rPr>
        <w:t>Dažni šalutinio poveikio reiškiniai (gali atsirasti rečiau kaip 1 iš 10 asmenų):</w:t>
      </w:r>
    </w:p>
    <w:p w14:paraId="2EC1D9FA" w14:textId="77777777" w:rsidR="00F00A02" w:rsidRDefault="0027659F">
      <w:pPr>
        <w:widowControl w:val="0"/>
        <w:numPr>
          <w:ilvl w:val="0"/>
          <w:numId w:val="24"/>
        </w:numPr>
        <w:ind w:left="567" w:hanging="567"/>
        <w:rPr>
          <w:color w:val="000000"/>
          <w:sz w:val="22"/>
          <w:szCs w:val="22"/>
        </w:rPr>
      </w:pPr>
      <w:r>
        <w:rPr>
          <w:color w:val="000000"/>
          <w:sz w:val="22"/>
          <w:szCs w:val="22"/>
          <w:lang w:eastAsia="lt-LT"/>
        </w:rPr>
        <w:t>galvos svaigimas</w:t>
      </w:r>
      <w:r>
        <w:rPr>
          <w:color w:val="000000"/>
          <w:sz w:val="22"/>
          <w:szCs w:val="22"/>
        </w:rPr>
        <w:t xml:space="preserve"> (sukimasis);</w:t>
      </w:r>
    </w:p>
    <w:p w14:paraId="5DD41F37" w14:textId="77777777" w:rsidR="00F00A02" w:rsidRPr="00824162" w:rsidRDefault="0027659F">
      <w:pPr>
        <w:widowControl w:val="0"/>
        <w:numPr>
          <w:ilvl w:val="0"/>
          <w:numId w:val="24"/>
        </w:numPr>
        <w:ind w:left="567" w:hanging="567"/>
        <w:rPr>
          <w:color w:val="000000"/>
          <w:sz w:val="22"/>
          <w:szCs w:val="22"/>
          <w:lang w:eastAsia="lt-LT"/>
        </w:rPr>
      </w:pPr>
      <w:r w:rsidRPr="00824162">
        <w:rPr>
          <w:color w:val="000000"/>
          <w:sz w:val="22"/>
          <w:szCs w:val="22"/>
          <w:lang w:eastAsia="lt-LT"/>
        </w:rPr>
        <w:t xml:space="preserve">žemas kraujospūdis (ypač organizmui netekus daug </w:t>
      </w:r>
      <w:r w:rsidRPr="00824162">
        <w:rPr>
          <w:color w:val="000000"/>
          <w:sz w:val="22"/>
          <w:szCs w:val="22"/>
        </w:rPr>
        <w:t xml:space="preserve">kraujagyslėse būnančio </w:t>
      </w:r>
      <w:r w:rsidRPr="00824162">
        <w:rPr>
          <w:color w:val="000000"/>
          <w:sz w:val="22"/>
          <w:szCs w:val="22"/>
          <w:lang w:eastAsia="lt-LT"/>
        </w:rPr>
        <w:t>vandens, pvz., pacientams, kurie serga sunkiu širdies nepakankamumu arba yra gydomi didelėmis diuretikų dozėmis);</w:t>
      </w:r>
    </w:p>
    <w:p w14:paraId="2DBE6131" w14:textId="77777777" w:rsidR="00F00A02" w:rsidRPr="00824162" w:rsidRDefault="0027659F">
      <w:pPr>
        <w:widowControl w:val="0"/>
        <w:numPr>
          <w:ilvl w:val="0"/>
          <w:numId w:val="24"/>
        </w:numPr>
        <w:ind w:left="567" w:hanging="567"/>
        <w:rPr>
          <w:color w:val="000000"/>
          <w:sz w:val="22"/>
          <w:szCs w:val="22"/>
          <w:lang w:eastAsia="lt-LT"/>
        </w:rPr>
      </w:pPr>
      <w:r w:rsidRPr="00824162">
        <w:rPr>
          <w:color w:val="000000"/>
          <w:sz w:val="22"/>
          <w:szCs w:val="22"/>
          <w:lang w:eastAsia="lt-LT"/>
        </w:rPr>
        <w:t>nuo dozės dydžio priklausomas ortostatinis poveikis, pavyzdžiui, kraujospūdžio sumažėjimas, pasireiškiantis stojantis iš gulimos ar sėdimos padėties;</w:t>
      </w:r>
    </w:p>
    <w:p w14:paraId="7BA350F7" w14:textId="77777777" w:rsidR="00F00A02" w:rsidRDefault="0027659F">
      <w:pPr>
        <w:widowControl w:val="0"/>
        <w:numPr>
          <w:ilvl w:val="0"/>
          <w:numId w:val="24"/>
        </w:numPr>
        <w:ind w:left="567" w:hanging="567"/>
        <w:rPr>
          <w:color w:val="000000"/>
          <w:sz w:val="22"/>
          <w:szCs w:val="22"/>
          <w:lang w:eastAsia="lt-LT"/>
        </w:rPr>
      </w:pPr>
      <w:r>
        <w:rPr>
          <w:color w:val="000000"/>
          <w:sz w:val="22"/>
          <w:szCs w:val="22"/>
          <w:lang w:eastAsia="lt-LT"/>
        </w:rPr>
        <w:t>silpnumas;</w:t>
      </w:r>
    </w:p>
    <w:p w14:paraId="43660E77" w14:textId="77777777" w:rsidR="00F00A02" w:rsidRDefault="0027659F">
      <w:pPr>
        <w:widowControl w:val="0"/>
        <w:numPr>
          <w:ilvl w:val="0"/>
          <w:numId w:val="24"/>
        </w:numPr>
        <w:ind w:left="567" w:hanging="567"/>
        <w:rPr>
          <w:color w:val="000000"/>
          <w:sz w:val="22"/>
          <w:szCs w:val="22"/>
          <w:lang w:eastAsia="lt-LT"/>
        </w:rPr>
      </w:pPr>
      <w:r>
        <w:rPr>
          <w:color w:val="000000"/>
          <w:sz w:val="22"/>
          <w:szCs w:val="22"/>
          <w:lang w:eastAsia="lt-LT"/>
        </w:rPr>
        <w:t>nuovargis;</w:t>
      </w:r>
    </w:p>
    <w:p w14:paraId="3D45B316" w14:textId="77777777" w:rsidR="00F00A02" w:rsidRDefault="0027659F">
      <w:pPr>
        <w:widowControl w:val="0"/>
        <w:numPr>
          <w:ilvl w:val="0"/>
          <w:numId w:val="24"/>
        </w:numPr>
        <w:ind w:left="567" w:hanging="567"/>
        <w:rPr>
          <w:color w:val="000000"/>
          <w:sz w:val="22"/>
          <w:szCs w:val="22"/>
          <w:lang w:eastAsia="lt-LT"/>
        </w:rPr>
      </w:pPr>
      <w:r>
        <w:rPr>
          <w:color w:val="000000"/>
          <w:sz w:val="22"/>
          <w:szCs w:val="22"/>
          <w:lang w:eastAsia="lt-LT"/>
        </w:rPr>
        <w:t>per mažas cukraus kiekis kraujyje (hipoglikemija);</w:t>
      </w:r>
    </w:p>
    <w:p w14:paraId="35F43440" w14:textId="77777777" w:rsidR="00F00A02" w:rsidRDefault="0027659F">
      <w:pPr>
        <w:widowControl w:val="0"/>
        <w:numPr>
          <w:ilvl w:val="0"/>
          <w:numId w:val="24"/>
        </w:numPr>
        <w:ind w:left="567" w:hanging="567"/>
        <w:rPr>
          <w:color w:val="000000"/>
          <w:sz w:val="22"/>
          <w:szCs w:val="22"/>
          <w:lang w:val="fi-FI" w:eastAsia="lt-LT"/>
        </w:rPr>
      </w:pPr>
      <w:r>
        <w:rPr>
          <w:color w:val="000000"/>
          <w:sz w:val="22"/>
          <w:szCs w:val="22"/>
          <w:lang w:val="fi-FI" w:eastAsia="lt-LT"/>
        </w:rPr>
        <w:t>per didelis kalio kiekis kraujyje (hiperkalemija);</w:t>
      </w:r>
    </w:p>
    <w:p w14:paraId="74854C3F" w14:textId="77777777" w:rsidR="00F00A02" w:rsidRDefault="0027659F">
      <w:pPr>
        <w:widowControl w:val="0"/>
        <w:numPr>
          <w:ilvl w:val="0"/>
          <w:numId w:val="24"/>
        </w:numPr>
        <w:ind w:left="567" w:hanging="567"/>
        <w:rPr>
          <w:color w:val="000000"/>
          <w:sz w:val="22"/>
          <w:szCs w:val="22"/>
          <w:lang w:val="fi-FI" w:eastAsia="lt-LT"/>
        </w:rPr>
      </w:pPr>
      <w:r>
        <w:rPr>
          <w:color w:val="000000"/>
          <w:sz w:val="22"/>
          <w:szCs w:val="22"/>
          <w:lang w:val="fi-FI" w:eastAsia="lt-LT"/>
        </w:rPr>
        <w:t>inkstų veiklos pokyčiai, įskaitant inkstų nepakankamumą;</w:t>
      </w:r>
    </w:p>
    <w:p w14:paraId="38CAF44A" w14:textId="77777777" w:rsidR="00F00A02" w:rsidRDefault="0027659F">
      <w:pPr>
        <w:widowControl w:val="0"/>
        <w:numPr>
          <w:ilvl w:val="0"/>
          <w:numId w:val="24"/>
        </w:numPr>
        <w:ind w:left="567" w:hanging="567"/>
        <w:rPr>
          <w:color w:val="000000"/>
          <w:sz w:val="22"/>
          <w:szCs w:val="22"/>
          <w:lang w:val="fi-FI" w:eastAsia="lt-LT"/>
        </w:rPr>
      </w:pPr>
      <w:r>
        <w:rPr>
          <w:color w:val="000000"/>
          <w:sz w:val="22"/>
          <w:szCs w:val="22"/>
          <w:lang w:val="fi-FI" w:eastAsia="lt-LT"/>
        </w:rPr>
        <w:t>raudonųjų kraujo ląstelių kiekio sumažėjimas (</w:t>
      </w:r>
      <w:r>
        <w:rPr>
          <w:color w:val="000000"/>
          <w:sz w:val="22"/>
          <w:szCs w:val="22"/>
          <w:lang w:val="fi-FI"/>
        </w:rPr>
        <w:t>mažakraujystė</w:t>
      </w:r>
      <w:r>
        <w:rPr>
          <w:color w:val="000000"/>
          <w:sz w:val="22"/>
          <w:szCs w:val="22"/>
          <w:lang w:val="fi-FI" w:eastAsia="lt-LT"/>
        </w:rPr>
        <w:t>);</w:t>
      </w:r>
    </w:p>
    <w:p w14:paraId="5D0A87D5" w14:textId="77777777" w:rsidR="00F00A02" w:rsidRDefault="0027659F">
      <w:pPr>
        <w:widowControl w:val="0"/>
        <w:numPr>
          <w:ilvl w:val="0"/>
          <w:numId w:val="24"/>
        </w:numPr>
        <w:ind w:left="567" w:hanging="567"/>
        <w:rPr>
          <w:color w:val="000000"/>
          <w:sz w:val="22"/>
          <w:szCs w:val="22"/>
          <w:lang w:val="fi-FI" w:eastAsia="lt-LT"/>
        </w:rPr>
      </w:pPr>
      <w:r>
        <w:rPr>
          <w:color w:val="000000"/>
          <w:sz w:val="22"/>
          <w:szCs w:val="22"/>
          <w:lang w:val="fi-FI" w:eastAsia="lt-LT"/>
        </w:rPr>
        <w:t>pacientams, sergantiems širdies nepakankamumu, kreatinino ir kalio kiekio kraujo serume ir šlapalo kiekio kraujyje padidėjimas.</w:t>
      </w:r>
    </w:p>
    <w:p w14:paraId="7809E51F" w14:textId="77777777" w:rsidR="00F00A02" w:rsidRDefault="00F00A02">
      <w:pPr>
        <w:widowControl w:val="0"/>
        <w:autoSpaceDE w:val="0"/>
        <w:autoSpaceDN w:val="0"/>
        <w:adjustRightInd w:val="0"/>
        <w:rPr>
          <w:i/>
          <w:color w:val="000000"/>
          <w:sz w:val="22"/>
          <w:szCs w:val="22"/>
          <w:lang w:eastAsia="de-DE"/>
        </w:rPr>
      </w:pPr>
    </w:p>
    <w:p w14:paraId="2EA7C1EF" w14:textId="77777777" w:rsidR="00F00A02" w:rsidRDefault="0027659F">
      <w:pPr>
        <w:widowControl w:val="0"/>
        <w:autoSpaceDE w:val="0"/>
        <w:autoSpaceDN w:val="0"/>
        <w:adjustRightInd w:val="0"/>
        <w:rPr>
          <w:b/>
          <w:color w:val="000000"/>
          <w:sz w:val="22"/>
          <w:szCs w:val="22"/>
          <w:lang w:eastAsia="de-DE"/>
        </w:rPr>
      </w:pPr>
      <w:r>
        <w:rPr>
          <w:i/>
          <w:color w:val="000000"/>
          <w:sz w:val="22"/>
          <w:szCs w:val="22"/>
          <w:lang w:eastAsia="de-DE"/>
        </w:rPr>
        <w:t>Nedažni šalutinio poveikio reiškiniai (gali atsirasti rečiau kaip 1 iš 100 asmenų)</w:t>
      </w:r>
      <w:r>
        <w:rPr>
          <w:b/>
          <w:color w:val="000000"/>
          <w:sz w:val="22"/>
          <w:szCs w:val="22"/>
          <w:lang w:eastAsia="de-DE"/>
        </w:rPr>
        <w:t>:</w:t>
      </w:r>
    </w:p>
    <w:p w14:paraId="74C7C869"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mieguistumas;</w:t>
      </w:r>
    </w:p>
    <w:p w14:paraId="2F605523"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galvos skausmas;</w:t>
      </w:r>
    </w:p>
    <w:p w14:paraId="1DAEF642"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miegos sutrikimas;</w:t>
      </w:r>
    </w:p>
    <w:p w14:paraId="5C2A13F2" w14:textId="77777777" w:rsidR="00F00A02" w:rsidRDefault="0027659F">
      <w:pPr>
        <w:widowControl w:val="0"/>
        <w:numPr>
          <w:ilvl w:val="0"/>
          <w:numId w:val="25"/>
        </w:numPr>
        <w:tabs>
          <w:tab w:val="clear" w:pos="720"/>
        </w:tabs>
        <w:ind w:left="567" w:hanging="567"/>
        <w:rPr>
          <w:color w:val="000000"/>
          <w:sz w:val="22"/>
          <w:szCs w:val="22"/>
          <w:lang w:val="pt-BR" w:eastAsia="lt-LT"/>
        </w:rPr>
      </w:pPr>
      <w:r>
        <w:rPr>
          <w:color w:val="000000"/>
          <w:sz w:val="22"/>
          <w:szCs w:val="22"/>
          <w:lang w:val="pt-BR" w:eastAsia="lt-LT"/>
        </w:rPr>
        <w:t>pernelyg dažnas juntamas širdies plakimas (palpitacija);</w:t>
      </w:r>
    </w:p>
    <w:p w14:paraId="554C202D" w14:textId="77777777" w:rsidR="00F00A02" w:rsidRPr="00824162" w:rsidRDefault="0027659F">
      <w:pPr>
        <w:widowControl w:val="0"/>
        <w:numPr>
          <w:ilvl w:val="0"/>
          <w:numId w:val="25"/>
        </w:numPr>
        <w:tabs>
          <w:tab w:val="clear" w:pos="720"/>
        </w:tabs>
        <w:ind w:left="567" w:hanging="567"/>
        <w:rPr>
          <w:color w:val="000000"/>
          <w:sz w:val="22"/>
          <w:szCs w:val="22"/>
          <w:lang w:val="en-US" w:eastAsia="lt-LT"/>
        </w:rPr>
      </w:pPr>
      <w:proofErr w:type="spellStart"/>
      <w:r w:rsidRPr="00824162">
        <w:rPr>
          <w:color w:val="000000"/>
          <w:sz w:val="22"/>
          <w:szCs w:val="22"/>
          <w:lang w:val="en-US" w:eastAsia="lt-LT"/>
        </w:rPr>
        <w:t>stiprus</w:t>
      </w:r>
      <w:proofErr w:type="spellEnd"/>
      <w:r w:rsidRPr="00824162">
        <w:rPr>
          <w:color w:val="000000"/>
          <w:sz w:val="22"/>
          <w:szCs w:val="22"/>
          <w:lang w:val="en-US" w:eastAsia="lt-LT"/>
        </w:rPr>
        <w:t xml:space="preserve"> </w:t>
      </w:r>
      <w:proofErr w:type="spellStart"/>
      <w:r w:rsidRPr="00824162">
        <w:rPr>
          <w:color w:val="000000"/>
          <w:sz w:val="22"/>
          <w:szCs w:val="22"/>
          <w:lang w:val="en-US" w:eastAsia="lt-LT"/>
        </w:rPr>
        <w:t>krūtinės</w:t>
      </w:r>
      <w:proofErr w:type="spellEnd"/>
      <w:r w:rsidRPr="00824162">
        <w:rPr>
          <w:color w:val="000000"/>
          <w:sz w:val="22"/>
          <w:szCs w:val="22"/>
          <w:lang w:val="en-US" w:eastAsia="lt-LT"/>
        </w:rPr>
        <w:t xml:space="preserve"> </w:t>
      </w:r>
      <w:proofErr w:type="spellStart"/>
      <w:r w:rsidRPr="00824162">
        <w:rPr>
          <w:color w:val="000000"/>
          <w:sz w:val="22"/>
          <w:szCs w:val="22"/>
          <w:lang w:val="en-US" w:eastAsia="lt-LT"/>
        </w:rPr>
        <w:t>skausmas</w:t>
      </w:r>
      <w:proofErr w:type="spellEnd"/>
      <w:r w:rsidRPr="00824162">
        <w:rPr>
          <w:color w:val="000000"/>
          <w:sz w:val="22"/>
          <w:szCs w:val="22"/>
          <w:lang w:val="en-US" w:eastAsia="lt-LT"/>
        </w:rPr>
        <w:t xml:space="preserve"> (</w:t>
      </w:r>
      <w:proofErr w:type="spellStart"/>
      <w:r w:rsidRPr="00824162">
        <w:rPr>
          <w:color w:val="000000"/>
          <w:sz w:val="22"/>
          <w:szCs w:val="22"/>
          <w:lang w:val="en-US" w:eastAsia="lt-LT"/>
        </w:rPr>
        <w:t>krūtinės</w:t>
      </w:r>
      <w:proofErr w:type="spellEnd"/>
      <w:r w:rsidRPr="00824162">
        <w:rPr>
          <w:color w:val="000000"/>
          <w:sz w:val="22"/>
          <w:szCs w:val="22"/>
          <w:lang w:val="en-US" w:eastAsia="lt-LT"/>
        </w:rPr>
        <w:t xml:space="preserve"> angina);</w:t>
      </w:r>
    </w:p>
    <w:p w14:paraId="647B4273"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oro trūkumas (dusulys);</w:t>
      </w:r>
    </w:p>
    <w:p w14:paraId="67B12964"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pilvo skausmas;</w:t>
      </w:r>
    </w:p>
    <w:p w14:paraId="128DC596"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vidurių užkietėjimas;</w:t>
      </w:r>
    </w:p>
    <w:p w14:paraId="63E1C051"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viduriavimas;</w:t>
      </w:r>
    </w:p>
    <w:p w14:paraId="669BBF70"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pykinimas;</w:t>
      </w:r>
    </w:p>
    <w:p w14:paraId="000C07A1"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vėmimas;</w:t>
      </w:r>
    </w:p>
    <w:p w14:paraId="688D5A17"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lastRenderedPageBreak/>
        <w:t>dilgėlinė;</w:t>
      </w:r>
    </w:p>
    <w:p w14:paraId="11C623D0"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niežėjimas;</w:t>
      </w:r>
    </w:p>
    <w:p w14:paraId="7958A28C"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išbėrimas;</w:t>
      </w:r>
    </w:p>
    <w:p w14:paraId="5860D9B5"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lokalizuotas patinimas (edema);</w:t>
      </w:r>
    </w:p>
    <w:p w14:paraId="168CD08B"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kosulys.</w:t>
      </w:r>
    </w:p>
    <w:p w14:paraId="33292B87" w14:textId="77777777" w:rsidR="00F00A02" w:rsidRDefault="00F00A02">
      <w:pPr>
        <w:widowControl w:val="0"/>
        <w:autoSpaceDE w:val="0"/>
        <w:autoSpaceDN w:val="0"/>
        <w:adjustRightInd w:val="0"/>
        <w:rPr>
          <w:color w:val="000000"/>
          <w:sz w:val="22"/>
          <w:szCs w:val="22"/>
          <w:lang w:eastAsia="lt-LT"/>
        </w:rPr>
      </w:pPr>
    </w:p>
    <w:p w14:paraId="4D77BB60" w14:textId="77777777" w:rsidR="00F00A02" w:rsidRDefault="0027659F">
      <w:pPr>
        <w:widowControl w:val="0"/>
        <w:autoSpaceDE w:val="0"/>
        <w:autoSpaceDN w:val="0"/>
        <w:adjustRightInd w:val="0"/>
        <w:rPr>
          <w:i/>
          <w:color w:val="000000"/>
          <w:sz w:val="22"/>
          <w:szCs w:val="22"/>
          <w:lang w:eastAsia="lt-LT"/>
        </w:rPr>
      </w:pPr>
      <w:r>
        <w:rPr>
          <w:i/>
          <w:color w:val="000000"/>
          <w:sz w:val="22"/>
          <w:szCs w:val="22"/>
          <w:lang w:eastAsia="lt-LT"/>
        </w:rPr>
        <w:t>Reti šalutinio poveikio reiškiniai (gali atsirasti rečiau kaip 1 iš 1 000 asmenų):</w:t>
      </w:r>
    </w:p>
    <w:p w14:paraId="055C29D8"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padidėjęs jautrumas;</w:t>
      </w:r>
    </w:p>
    <w:p w14:paraId="3BBE0063"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angioneurozinė edema;</w:t>
      </w:r>
    </w:p>
    <w:p w14:paraId="0321A34B"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 xml:space="preserve">kraujagyslių uždegimas (vaskulitas, įskaitant </w:t>
      </w:r>
      <w:r>
        <w:rPr>
          <w:color w:val="000000"/>
          <w:sz w:val="22"/>
          <w:szCs w:val="22"/>
        </w:rPr>
        <w:t>Henoko-Šionlaino (</w:t>
      </w:r>
      <w:r>
        <w:rPr>
          <w:i/>
          <w:iCs/>
          <w:color w:val="000000"/>
          <w:sz w:val="22"/>
          <w:szCs w:val="22"/>
          <w:lang w:eastAsia="lt-LT"/>
        </w:rPr>
        <w:t>Henoch-</w:t>
      </w:r>
      <w:r>
        <w:rPr>
          <w:i/>
          <w:color w:val="000000"/>
          <w:sz w:val="22"/>
          <w:szCs w:val="22"/>
        </w:rPr>
        <w:t>Schönlein</w:t>
      </w:r>
      <w:r>
        <w:rPr>
          <w:color w:val="000000"/>
          <w:sz w:val="22"/>
          <w:szCs w:val="22"/>
        </w:rPr>
        <w:t>)</w:t>
      </w:r>
      <w:r>
        <w:rPr>
          <w:color w:val="000000"/>
          <w:sz w:val="22"/>
          <w:szCs w:val="22"/>
          <w:lang w:eastAsia="lt-LT"/>
        </w:rPr>
        <w:t xml:space="preserve"> purpurą);</w:t>
      </w:r>
    </w:p>
    <w:p w14:paraId="3C82391B"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tirpulio arba dilgčiojimo pojūtis (parestezija);</w:t>
      </w:r>
    </w:p>
    <w:p w14:paraId="6AD597E0"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rPr>
        <w:t>apalpimas</w:t>
      </w:r>
      <w:r>
        <w:rPr>
          <w:color w:val="000000"/>
          <w:sz w:val="22"/>
          <w:szCs w:val="22"/>
          <w:lang w:eastAsia="lt-LT"/>
        </w:rPr>
        <w:t xml:space="preserve"> (sinkopė);</w:t>
      </w:r>
    </w:p>
    <w:p w14:paraId="1F305FC4"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labai dažnas ir nereguliarus širdies plakimas (prieširdžių virpėjimas);</w:t>
      </w:r>
    </w:p>
    <w:p w14:paraId="1DD6B18E"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 xml:space="preserve">smegenų </w:t>
      </w:r>
      <w:r>
        <w:rPr>
          <w:color w:val="000000"/>
          <w:sz w:val="22"/>
          <w:szCs w:val="22"/>
        </w:rPr>
        <w:t>priepuolis (</w:t>
      </w:r>
      <w:r>
        <w:rPr>
          <w:color w:val="000000"/>
          <w:sz w:val="22"/>
          <w:szCs w:val="22"/>
          <w:lang w:eastAsia="lt-LT"/>
        </w:rPr>
        <w:t>insultas</w:t>
      </w:r>
      <w:r>
        <w:rPr>
          <w:color w:val="000000"/>
          <w:sz w:val="22"/>
          <w:szCs w:val="22"/>
        </w:rPr>
        <w:t>);</w:t>
      </w:r>
    </w:p>
    <w:p w14:paraId="506655C6" w14:textId="77777777" w:rsidR="00F00A02" w:rsidRDefault="0027659F">
      <w:pPr>
        <w:widowControl w:val="0"/>
        <w:numPr>
          <w:ilvl w:val="0"/>
          <w:numId w:val="29"/>
        </w:numPr>
        <w:tabs>
          <w:tab w:val="clear" w:pos="717"/>
        </w:tabs>
        <w:autoSpaceDE w:val="0"/>
        <w:autoSpaceDN w:val="0"/>
        <w:adjustRightInd w:val="0"/>
        <w:spacing w:line="256" w:lineRule="auto"/>
        <w:ind w:left="567" w:hanging="567"/>
        <w:rPr>
          <w:rFonts w:eastAsia="Calibri"/>
          <w:sz w:val="22"/>
          <w:szCs w:val="22"/>
          <w:lang w:val="lt-LT"/>
        </w:rPr>
      </w:pPr>
      <w:r>
        <w:rPr>
          <w:rFonts w:eastAsia="Calibri"/>
          <w:sz w:val="22"/>
          <w:szCs w:val="22"/>
        </w:rPr>
        <w:t>žarnyno angioneurozinė edema: tinimas žarnyne, pasireiškiantis tokiais simptomais kaip pilvo skausmas, pykinimas, vėmimas ir viduriavimas;</w:t>
      </w:r>
    </w:p>
    <w:p w14:paraId="00F567D2"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kepenų uždegimas (hepatitas);</w:t>
      </w:r>
    </w:p>
    <w:p w14:paraId="619CA36D"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alaninaminotransferazės (ALT) aktyvumo kraujyje padidėjimas, kuris nutraukus gydymą dažniausiai išnyksta.</w:t>
      </w:r>
    </w:p>
    <w:p w14:paraId="51367905" w14:textId="77777777" w:rsidR="00F00A02" w:rsidRDefault="00F00A02">
      <w:pPr>
        <w:widowControl w:val="0"/>
        <w:autoSpaceDE w:val="0"/>
        <w:autoSpaceDN w:val="0"/>
        <w:adjustRightInd w:val="0"/>
        <w:rPr>
          <w:color w:val="000000"/>
          <w:sz w:val="22"/>
          <w:szCs w:val="22"/>
          <w:lang w:eastAsia="lt-LT"/>
        </w:rPr>
      </w:pPr>
    </w:p>
    <w:p w14:paraId="31CD93C0" w14:textId="77777777" w:rsidR="00F00A02" w:rsidRDefault="0027659F">
      <w:pPr>
        <w:widowControl w:val="0"/>
        <w:autoSpaceDE w:val="0"/>
        <w:autoSpaceDN w:val="0"/>
        <w:adjustRightInd w:val="0"/>
        <w:rPr>
          <w:color w:val="000000"/>
          <w:sz w:val="22"/>
          <w:szCs w:val="22"/>
          <w:lang w:eastAsia="lt-LT"/>
        </w:rPr>
      </w:pPr>
      <w:r>
        <w:rPr>
          <w:i/>
          <w:color w:val="000000"/>
          <w:sz w:val="22"/>
          <w:szCs w:val="22"/>
          <w:lang w:eastAsia="lt-LT"/>
        </w:rPr>
        <w:t>Šalutinio poveikio reiškiniai, kurių dažnis nežinomas (negali būti apskaičiuotas pagal turimus duomenis):</w:t>
      </w:r>
    </w:p>
    <w:p w14:paraId="36AA0BE9"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kraujo plokštelių kiekio sumažėjimas;</w:t>
      </w:r>
    </w:p>
    <w:p w14:paraId="3497B759"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migrena;</w:t>
      </w:r>
    </w:p>
    <w:p w14:paraId="3B6192AC"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kepenų funkcijos sutrikimas;</w:t>
      </w:r>
    </w:p>
    <w:p w14:paraId="294492F3"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raumenų ir sąnarių skausmas;</w:t>
      </w:r>
    </w:p>
    <w:p w14:paraId="46C62C2C"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į gripo panašūs simptomai;</w:t>
      </w:r>
    </w:p>
    <w:p w14:paraId="3B998128"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nugaros skausmas ir šlapimo takų infekcija;</w:t>
      </w:r>
    </w:p>
    <w:p w14:paraId="0AFCA7F6"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padidėjęs jautrumas saulei (jautrumas šviesai);</w:t>
      </w:r>
    </w:p>
    <w:p w14:paraId="19C44656"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nepaaiškinami raumenų skausmai ir tamsus (arbatos spalvos) šlapimas (rabdomiolizė);</w:t>
      </w:r>
    </w:p>
    <w:p w14:paraId="19CB0D0A"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impotencija;</w:t>
      </w:r>
    </w:p>
    <w:p w14:paraId="1DBFEA2A"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kasos uždegimas (pankreatitas);</w:t>
      </w:r>
    </w:p>
    <w:p w14:paraId="66870334"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mažas natrio kiekis kraujyje (hiponatremija);</w:t>
      </w:r>
    </w:p>
    <w:p w14:paraId="6492D9B3"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depresija;</w:t>
      </w:r>
    </w:p>
    <w:p w14:paraId="70B692DF"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bendrai bloga savijauta (negalavimas);</w:t>
      </w:r>
    </w:p>
    <w:p w14:paraId="272D75F7"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skambėjimas, zyzimas, ūžimas ar traškėjimas ausyse (</w:t>
      </w:r>
      <w:r>
        <w:rPr>
          <w:i/>
          <w:iCs/>
          <w:color w:val="000000"/>
          <w:sz w:val="22"/>
          <w:szCs w:val="22"/>
          <w:lang w:eastAsia="lt-LT"/>
        </w:rPr>
        <w:t>tinnitus</w:t>
      </w:r>
      <w:r>
        <w:rPr>
          <w:color w:val="000000"/>
          <w:sz w:val="22"/>
          <w:szCs w:val="22"/>
          <w:lang w:eastAsia="lt-LT"/>
        </w:rPr>
        <w:t>);</w:t>
      </w:r>
    </w:p>
    <w:p w14:paraId="16134F70" w14:textId="77777777" w:rsidR="00F00A02" w:rsidRDefault="0027659F">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skonio pojūčio sutrikimas (disgeuzija).</w:t>
      </w:r>
    </w:p>
    <w:p w14:paraId="7DDB32D5" w14:textId="77777777" w:rsidR="00F00A02" w:rsidRDefault="00F00A02">
      <w:pPr>
        <w:widowControl w:val="0"/>
        <w:autoSpaceDE w:val="0"/>
        <w:autoSpaceDN w:val="0"/>
        <w:adjustRightInd w:val="0"/>
        <w:rPr>
          <w:color w:val="000000"/>
          <w:sz w:val="22"/>
          <w:szCs w:val="22"/>
          <w:lang w:eastAsia="lt-LT"/>
        </w:rPr>
      </w:pPr>
    </w:p>
    <w:p w14:paraId="5D3A0997" w14:textId="77777777" w:rsidR="00F00A02" w:rsidRDefault="0027659F">
      <w:pPr>
        <w:widowControl w:val="0"/>
        <w:rPr>
          <w:sz w:val="22"/>
          <w:szCs w:val="22"/>
        </w:rPr>
      </w:pPr>
      <w:r>
        <w:rPr>
          <w:sz w:val="22"/>
          <w:szCs w:val="22"/>
        </w:rPr>
        <w:t>Šalutiniai poveikiai vaikams buvo panašūs į stebėtus suaugusiesiems.</w:t>
      </w:r>
    </w:p>
    <w:p w14:paraId="168EDB92" w14:textId="77777777" w:rsidR="00F00A02" w:rsidRDefault="00F00A02">
      <w:pPr>
        <w:widowControl w:val="0"/>
        <w:rPr>
          <w:sz w:val="22"/>
          <w:szCs w:val="22"/>
        </w:rPr>
      </w:pPr>
    </w:p>
    <w:p w14:paraId="018A313B" w14:textId="77777777" w:rsidR="00F00A02" w:rsidRDefault="0027659F">
      <w:pPr>
        <w:widowControl w:val="0"/>
        <w:tabs>
          <w:tab w:val="left" w:pos="567"/>
        </w:tabs>
        <w:rPr>
          <w:b/>
          <w:snapToGrid w:val="0"/>
          <w:sz w:val="22"/>
          <w:szCs w:val="22"/>
        </w:rPr>
      </w:pPr>
      <w:r>
        <w:rPr>
          <w:b/>
          <w:noProof/>
          <w:snapToGrid w:val="0"/>
          <w:sz w:val="22"/>
          <w:szCs w:val="22"/>
        </w:rPr>
        <w:t>Pranešimas apie šalutinį poveikį</w:t>
      </w:r>
    </w:p>
    <w:p w14:paraId="2D8F58F6" w14:textId="77777777" w:rsidR="00F00A02" w:rsidRDefault="0027659F">
      <w:pPr>
        <w:widowControl w:val="0"/>
        <w:rPr>
          <w:sz w:val="22"/>
          <w:szCs w:val="22"/>
          <w:lang w:eastAsia="lt-LT"/>
        </w:rPr>
      </w:pPr>
      <w:r>
        <w:rPr>
          <w:sz w:val="22"/>
          <w:szCs w:val="22"/>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+370 800 73 568. Pranešdami apie šalutinį poveikį galite mums padėti gauti daugiau informacijos apie šio vaisto saugumą. </w:t>
      </w:r>
    </w:p>
    <w:p w14:paraId="6F549581" w14:textId="77777777" w:rsidR="00F00A02" w:rsidRDefault="00F00A02">
      <w:pPr>
        <w:widowControl w:val="0"/>
        <w:rPr>
          <w:sz w:val="22"/>
          <w:szCs w:val="22"/>
          <w:lang w:eastAsia="lt-LT"/>
        </w:rPr>
      </w:pPr>
    </w:p>
    <w:p w14:paraId="1AF86DCA" w14:textId="77777777" w:rsidR="00F00A02" w:rsidRDefault="0027659F">
      <w:pPr>
        <w:widowControl w:val="0"/>
        <w:tabs>
          <w:tab w:val="left" w:pos="567"/>
        </w:tabs>
        <w:ind w:left="567" w:hanging="567"/>
        <w:outlineLvl w:val="1"/>
        <w:rPr>
          <w:b/>
          <w:sz w:val="22"/>
          <w:szCs w:val="22"/>
          <w:lang w:val="sv-SE"/>
        </w:rPr>
      </w:pPr>
      <w:bookmarkStart w:id="18" w:name="_Toc129243268"/>
      <w:bookmarkStart w:id="19" w:name="_Toc129243143"/>
      <w:r>
        <w:rPr>
          <w:b/>
          <w:sz w:val="22"/>
          <w:szCs w:val="22"/>
          <w:lang w:val="sv-SE"/>
        </w:rPr>
        <w:t>5.</w:t>
      </w:r>
      <w:r>
        <w:rPr>
          <w:b/>
          <w:sz w:val="22"/>
          <w:szCs w:val="22"/>
          <w:lang w:val="sv-SE"/>
        </w:rPr>
        <w:tab/>
      </w:r>
      <w:r>
        <w:rPr>
          <w:b/>
          <w:sz w:val="22"/>
          <w:szCs w:val="22"/>
        </w:rPr>
        <w:t>Kaip laikyti Lorista</w:t>
      </w:r>
      <w:bookmarkEnd w:id="18"/>
      <w:bookmarkEnd w:id="19"/>
    </w:p>
    <w:p w14:paraId="47989A40" w14:textId="77777777" w:rsidR="00F00A02" w:rsidRDefault="00F00A02">
      <w:pPr>
        <w:widowControl w:val="0"/>
        <w:rPr>
          <w:sz w:val="22"/>
          <w:szCs w:val="22"/>
          <w:lang w:eastAsia="lt-LT"/>
        </w:rPr>
      </w:pPr>
    </w:p>
    <w:p w14:paraId="4462681C" w14:textId="77777777" w:rsidR="00F00A02" w:rsidRDefault="0027659F">
      <w:pPr>
        <w:widowControl w:val="0"/>
        <w:rPr>
          <w:sz w:val="22"/>
          <w:szCs w:val="22"/>
          <w:lang w:eastAsia="lt-LT"/>
        </w:rPr>
      </w:pPr>
      <w:r>
        <w:rPr>
          <w:sz w:val="22"/>
          <w:szCs w:val="22"/>
          <w:lang w:eastAsia="lt-LT"/>
        </w:rPr>
        <w:t>Šį vaistą laikykite vaikams nepastebimoje ir nepasiekiamoje vietoje.</w:t>
      </w:r>
    </w:p>
    <w:p w14:paraId="0E40D25E" w14:textId="77777777" w:rsidR="00F00A02" w:rsidRDefault="00F00A02">
      <w:pPr>
        <w:widowControl w:val="0"/>
        <w:rPr>
          <w:color w:val="000000"/>
          <w:sz w:val="22"/>
          <w:szCs w:val="22"/>
          <w:lang w:eastAsia="lt-LT"/>
        </w:rPr>
      </w:pPr>
    </w:p>
    <w:p w14:paraId="67D30B9B" w14:textId="77777777" w:rsidR="00F00A02" w:rsidRDefault="0027659F">
      <w:pPr>
        <w:widowControl w:val="0"/>
        <w:rPr>
          <w:color w:val="000000"/>
          <w:sz w:val="22"/>
          <w:szCs w:val="22"/>
          <w:lang w:eastAsia="lt-LT"/>
        </w:rPr>
      </w:pPr>
      <w:r>
        <w:rPr>
          <w:color w:val="000000"/>
          <w:sz w:val="22"/>
          <w:szCs w:val="22"/>
          <w:lang w:eastAsia="lt-LT"/>
        </w:rPr>
        <w:t xml:space="preserve">Ant dėžutės </w:t>
      </w:r>
      <w:r>
        <w:rPr>
          <w:sz w:val="22"/>
          <w:szCs w:val="22"/>
          <w:lang w:eastAsia="lt-LT"/>
        </w:rPr>
        <w:t>ir lizdinės plokštelės</w:t>
      </w:r>
      <w:r>
        <w:rPr>
          <w:color w:val="000000"/>
          <w:sz w:val="22"/>
          <w:szCs w:val="22"/>
        </w:rPr>
        <w:t xml:space="preserve"> po „Tinka iki/EXP“</w:t>
      </w:r>
      <w:r>
        <w:rPr>
          <w:sz w:val="22"/>
          <w:szCs w:val="22"/>
          <w:lang w:eastAsia="lt-LT"/>
        </w:rPr>
        <w:t xml:space="preserve"> </w:t>
      </w:r>
      <w:r>
        <w:rPr>
          <w:color w:val="000000"/>
          <w:sz w:val="22"/>
          <w:szCs w:val="22"/>
          <w:lang w:eastAsia="lt-LT"/>
        </w:rPr>
        <w:t>nurodytam laikui pasibaigus, šio vaisto vartoti negalima. Vaistas tinkamas vartoti iki paskutinės nurodyto mėnesio dienos.</w:t>
      </w:r>
    </w:p>
    <w:p w14:paraId="267120A3" w14:textId="77777777" w:rsidR="00F00A02" w:rsidRDefault="00F00A02">
      <w:pPr>
        <w:widowControl w:val="0"/>
        <w:rPr>
          <w:color w:val="000000"/>
          <w:sz w:val="22"/>
          <w:szCs w:val="22"/>
          <w:lang w:eastAsia="lt-LT"/>
        </w:rPr>
      </w:pPr>
    </w:p>
    <w:p w14:paraId="5CFDD332" w14:textId="77777777" w:rsidR="00F00A02" w:rsidRDefault="0027659F">
      <w:pPr>
        <w:widowControl w:val="0"/>
        <w:rPr>
          <w:color w:val="000000"/>
          <w:sz w:val="22"/>
          <w:szCs w:val="22"/>
          <w:lang w:eastAsia="lt-LT"/>
        </w:rPr>
      </w:pPr>
      <w:r>
        <w:rPr>
          <w:color w:val="000000"/>
          <w:sz w:val="22"/>
          <w:szCs w:val="22"/>
          <w:lang w:eastAsia="lt-LT"/>
        </w:rPr>
        <w:t>Laikyti ne aukštesnėje nei 30 </w:t>
      </w:r>
      <w:r>
        <w:rPr>
          <w:sz w:val="22"/>
          <w:szCs w:val="22"/>
        </w:rPr>
        <w:sym w:font="Symbol" w:char="F0B0"/>
      </w:r>
      <w:r>
        <w:rPr>
          <w:sz w:val="22"/>
          <w:szCs w:val="22"/>
        </w:rPr>
        <w:t>C</w:t>
      </w:r>
      <w:r>
        <w:rPr>
          <w:color w:val="000000"/>
          <w:sz w:val="22"/>
          <w:szCs w:val="22"/>
          <w:lang w:eastAsia="lt-LT"/>
        </w:rPr>
        <w:t xml:space="preserve"> temperatūroje.</w:t>
      </w:r>
    </w:p>
    <w:p w14:paraId="109C1808" w14:textId="77777777" w:rsidR="00F00A02" w:rsidRDefault="0027659F">
      <w:pPr>
        <w:widowControl w:val="0"/>
        <w:rPr>
          <w:color w:val="000000"/>
          <w:sz w:val="22"/>
          <w:szCs w:val="22"/>
          <w:lang w:eastAsia="lt-LT"/>
        </w:rPr>
      </w:pPr>
      <w:r>
        <w:rPr>
          <w:color w:val="000000"/>
          <w:sz w:val="22"/>
          <w:szCs w:val="22"/>
          <w:lang w:eastAsia="lt-LT"/>
        </w:rPr>
        <w:lastRenderedPageBreak/>
        <w:t>Vaistą laikykite gamintojo pakuotėje, kad vaistas būtų apsaugotas nuo drėgmės.</w:t>
      </w:r>
    </w:p>
    <w:p w14:paraId="4F52AFD7" w14:textId="77777777" w:rsidR="00F00A02" w:rsidRDefault="00F00A02">
      <w:pPr>
        <w:widowControl w:val="0"/>
        <w:rPr>
          <w:color w:val="000000"/>
          <w:sz w:val="22"/>
          <w:szCs w:val="22"/>
          <w:lang w:eastAsia="lt-LT"/>
        </w:rPr>
      </w:pPr>
    </w:p>
    <w:p w14:paraId="3230A924" w14:textId="77777777" w:rsidR="00F00A02" w:rsidRDefault="0027659F">
      <w:pPr>
        <w:widowControl w:val="0"/>
        <w:rPr>
          <w:color w:val="000000"/>
          <w:sz w:val="22"/>
          <w:szCs w:val="22"/>
          <w:lang w:eastAsia="lt-LT"/>
        </w:rPr>
      </w:pPr>
      <w:r>
        <w:rPr>
          <w:color w:val="000000"/>
          <w:sz w:val="22"/>
          <w:szCs w:val="22"/>
          <w:lang w:eastAsia="lt-LT"/>
        </w:rPr>
        <w:t>Vaistų negalima išmesti į kanalizaciją arba su buitinėmis atliekomis. Kaip išmesti nereikalingus vaistus, klauskite vaistininko. Šios priemonės padės apsaugoti aplinką.</w:t>
      </w:r>
    </w:p>
    <w:p w14:paraId="0FD5A259" w14:textId="77777777" w:rsidR="00F00A02" w:rsidRDefault="00F00A02">
      <w:pPr>
        <w:widowControl w:val="0"/>
        <w:rPr>
          <w:sz w:val="22"/>
          <w:szCs w:val="22"/>
          <w:lang w:eastAsia="lt-LT"/>
        </w:rPr>
      </w:pPr>
    </w:p>
    <w:p w14:paraId="11C1E2C3" w14:textId="77777777" w:rsidR="00F00A02" w:rsidRDefault="00F00A02">
      <w:pPr>
        <w:widowControl w:val="0"/>
        <w:rPr>
          <w:sz w:val="22"/>
          <w:szCs w:val="22"/>
          <w:lang w:eastAsia="lt-LT"/>
        </w:rPr>
      </w:pPr>
    </w:p>
    <w:p w14:paraId="56250FAE" w14:textId="77777777" w:rsidR="00F00A02" w:rsidRDefault="0027659F">
      <w:pPr>
        <w:widowControl w:val="0"/>
        <w:ind w:left="567" w:hanging="567"/>
        <w:outlineLvl w:val="1"/>
        <w:rPr>
          <w:b/>
          <w:sz w:val="22"/>
          <w:szCs w:val="22"/>
          <w:lang w:val="sv-SE" w:eastAsia="lt-LT"/>
        </w:rPr>
      </w:pPr>
      <w:r>
        <w:rPr>
          <w:b/>
          <w:sz w:val="22"/>
          <w:szCs w:val="22"/>
          <w:lang w:val="sv-SE" w:eastAsia="lt-LT"/>
        </w:rPr>
        <w:t>6.</w:t>
      </w:r>
      <w:r>
        <w:rPr>
          <w:b/>
          <w:sz w:val="22"/>
          <w:szCs w:val="22"/>
          <w:lang w:val="sv-SE" w:eastAsia="lt-LT"/>
        </w:rPr>
        <w:tab/>
      </w:r>
      <w:r>
        <w:rPr>
          <w:b/>
          <w:sz w:val="22"/>
          <w:szCs w:val="22"/>
          <w:lang w:eastAsia="lt-LT"/>
        </w:rPr>
        <w:t>Pakuotės turinys ir kita informacija</w:t>
      </w:r>
    </w:p>
    <w:p w14:paraId="66D772EE" w14:textId="77777777" w:rsidR="00F00A02" w:rsidRDefault="00F00A02">
      <w:pPr>
        <w:widowControl w:val="0"/>
        <w:rPr>
          <w:sz w:val="22"/>
          <w:szCs w:val="22"/>
          <w:lang w:eastAsia="lt-LT"/>
        </w:rPr>
      </w:pPr>
    </w:p>
    <w:p w14:paraId="726103CD" w14:textId="77777777" w:rsidR="00F00A02" w:rsidRDefault="0027659F">
      <w:pPr>
        <w:widowControl w:val="0"/>
        <w:rPr>
          <w:b/>
          <w:bCs/>
          <w:sz w:val="22"/>
          <w:szCs w:val="22"/>
        </w:rPr>
      </w:pPr>
      <w:r>
        <w:rPr>
          <w:b/>
          <w:bCs/>
          <w:sz w:val="22"/>
          <w:szCs w:val="22"/>
        </w:rPr>
        <w:t>Lorista sudėtis</w:t>
      </w:r>
    </w:p>
    <w:p w14:paraId="0EDBCC88" w14:textId="77777777" w:rsidR="00F00A02" w:rsidRDefault="0027659F">
      <w:pPr>
        <w:widowControl w:val="0"/>
        <w:numPr>
          <w:ilvl w:val="0"/>
          <w:numId w:val="26"/>
        </w:numPr>
        <w:ind w:left="567" w:hanging="567"/>
        <w:jc w:val="both"/>
        <w:rPr>
          <w:sz w:val="22"/>
          <w:szCs w:val="22"/>
          <w:lang w:eastAsia="lt-LT"/>
        </w:rPr>
      </w:pPr>
      <w:r>
        <w:rPr>
          <w:sz w:val="22"/>
          <w:szCs w:val="22"/>
          <w:lang w:eastAsia="lt-LT"/>
        </w:rPr>
        <w:t>Veiklioji medžiaga yra losartano kalio druska. Kiekvienoje plėvele dengtoje tabletėje yra 50 mg losartano kalio druskos.</w:t>
      </w:r>
    </w:p>
    <w:p w14:paraId="21423707" w14:textId="77777777" w:rsidR="00F00A02" w:rsidRDefault="0027659F">
      <w:pPr>
        <w:widowControl w:val="0"/>
        <w:autoSpaceDE w:val="0"/>
        <w:autoSpaceDN w:val="0"/>
        <w:rPr>
          <w:rFonts w:eastAsia="TimesNewRoman"/>
          <w:sz w:val="22"/>
          <w:szCs w:val="22"/>
          <w:lang w:val="lt-LT" w:eastAsia="en-US"/>
        </w:rPr>
      </w:pPr>
      <w:r>
        <w:rPr>
          <w:sz w:val="22"/>
          <w:szCs w:val="22"/>
          <w:lang w:eastAsia="lt-LT"/>
        </w:rPr>
        <w:t xml:space="preserve">Pagalbinės medžiagos yra: tabletės branduolyje - kukurūzų krakmolas, pregelifikuotas krakmolas, mikrokristalinė celiuliozė, laktozė monohidratas, koloidinis bevandenis silicio dioksidas, magnio stearatas; tabletės plėvelėje - hipromeliozė, talkas, propilenglikolis, titano dioksidas (E171). </w:t>
      </w:r>
      <w:r>
        <w:rPr>
          <w:rFonts w:eastAsia="TimesNewRoman"/>
          <w:sz w:val="22"/>
          <w:szCs w:val="22"/>
          <w:lang w:val="lt-LT" w:eastAsia="en-US"/>
        </w:rPr>
        <w:t>Žr. 2 skyrių „</w:t>
      </w:r>
      <w:proofErr w:type="spellStart"/>
      <w:r>
        <w:rPr>
          <w:rFonts w:eastAsia="TimesNewRoman"/>
          <w:sz w:val="22"/>
          <w:szCs w:val="22"/>
          <w:lang w:val="lt-LT" w:eastAsia="en-US"/>
        </w:rPr>
        <w:t>Lorista</w:t>
      </w:r>
      <w:proofErr w:type="spellEnd"/>
      <w:r>
        <w:rPr>
          <w:rFonts w:eastAsia="TimesNewRoman"/>
          <w:sz w:val="22"/>
          <w:szCs w:val="22"/>
          <w:lang w:val="lt-LT" w:eastAsia="en-US"/>
        </w:rPr>
        <w:t xml:space="preserve"> sudėtyje yra laktozės“.</w:t>
      </w:r>
    </w:p>
    <w:p w14:paraId="0445D52C" w14:textId="77777777" w:rsidR="00F00A02" w:rsidRDefault="00F00A02">
      <w:pPr>
        <w:widowControl w:val="0"/>
        <w:ind w:left="540" w:hanging="540"/>
        <w:rPr>
          <w:sz w:val="22"/>
          <w:szCs w:val="22"/>
          <w:lang w:eastAsia="lt-LT"/>
        </w:rPr>
      </w:pPr>
    </w:p>
    <w:p w14:paraId="060FB35B" w14:textId="77777777" w:rsidR="00F00A02" w:rsidRDefault="0027659F">
      <w:pPr>
        <w:widowControl w:val="0"/>
        <w:rPr>
          <w:b/>
          <w:bCs/>
          <w:sz w:val="22"/>
          <w:szCs w:val="22"/>
        </w:rPr>
      </w:pPr>
      <w:r>
        <w:rPr>
          <w:b/>
          <w:bCs/>
          <w:sz w:val="22"/>
          <w:szCs w:val="22"/>
        </w:rPr>
        <w:t>Lorista išvaizda ir kiekis pakuotėje</w:t>
      </w:r>
    </w:p>
    <w:p w14:paraId="236070A5" w14:textId="77777777" w:rsidR="00F00A02" w:rsidRDefault="0027659F">
      <w:pPr>
        <w:widowControl w:val="0"/>
        <w:jc w:val="both"/>
        <w:rPr>
          <w:sz w:val="22"/>
          <w:szCs w:val="22"/>
          <w:lang w:eastAsia="lt-LT"/>
        </w:rPr>
      </w:pPr>
      <w:r>
        <w:rPr>
          <w:sz w:val="22"/>
          <w:szCs w:val="22"/>
          <w:lang w:eastAsia="lt-LT"/>
        </w:rPr>
        <w:t>Apvalios, truputį abipus išgaubtos, baltos, su vagele vienoje pusėje, plėvele dengtos tabletės nuožulniais kraštais.</w:t>
      </w:r>
    </w:p>
    <w:p w14:paraId="45CE2177" w14:textId="77777777" w:rsidR="00F00A02" w:rsidRDefault="0027659F">
      <w:pPr>
        <w:widowControl w:val="0"/>
        <w:jc w:val="both"/>
        <w:rPr>
          <w:sz w:val="22"/>
          <w:szCs w:val="22"/>
          <w:lang w:eastAsia="lt-LT"/>
        </w:rPr>
      </w:pPr>
      <w:r>
        <w:rPr>
          <w:sz w:val="22"/>
          <w:szCs w:val="22"/>
          <w:lang w:eastAsia="lt-LT"/>
        </w:rPr>
        <w:t>Vagelė skirta tik tabletei perlaužti, kad būtų lengviau nuryti, bet ne jai padalyti į lygias dozes.</w:t>
      </w:r>
    </w:p>
    <w:p w14:paraId="0FE69C90" w14:textId="77777777" w:rsidR="00F00A02" w:rsidRDefault="00F00A02">
      <w:pPr>
        <w:widowControl w:val="0"/>
        <w:jc w:val="both"/>
        <w:rPr>
          <w:sz w:val="22"/>
          <w:szCs w:val="22"/>
          <w:lang w:eastAsia="lt-LT"/>
        </w:rPr>
      </w:pPr>
    </w:p>
    <w:p w14:paraId="1D10FAFC" w14:textId="77777777" w:rsidR="00F00A02" w:rsidRDefault="0027659F">
      <w:pPr>
        <w:widowControl w:val="0"/>
        <w:jc w:val="both"/>
        <w:rPr>
          <w:sz w:val="22"/>
          <w:szCs w:val="22"/>
          <w:lang w:eastAsia="lt-LT"/>
        </w:rPr>
      </w:pPr>
      <w:r>
        <w:rPr>
          <w:sz w:val="22"/>
          <w:szCs w:val="22"/>
          <w:lang w:eastAsia="lt-LT"/>
        </w:rPr>
        <w:t>Dėžutė, kurioje yra 28, 56 arba 84 plėvele dengtos tabletės PVC/PVDC/aliuminio lizdinėse plokštelėse.</w:t>
      </w:r>
    </w:p>
    <w:p w14:paraId="2F7951A4" w14:textId="77777777" w:rsidR="00F00A02" w:rsidRDefault="00F00A02">
      <w:pPr>
        <w:widowControl w:val="0"/>
        <w:rPr>
          <w:sz w:val="22"/>
          <w:szCs w:val="22"/>
        </w:rPr>
      </w:pPr>
    </w:p>
    <w:p w14:paraId="5C3DCDFA" w14:textId="77777777" w:rsidR="00F00A02" w:rsidRDefault="0027659F">
      <w:pPr>
        <w:widowControl w:val="0"/>
        <w:rPr>
          <w:sz w:val="22"/>
          <w:szCs w:val="22"/>
        </w:rPr>
      </w:pPr>
      <w:r>
        <w:rPr>
          <w:sz w:val="22"/>
          <w:szCs w:val="22"/>
        </w:rPr>
        <w:t>Gali būti tiekiamos ne visų dydžių pakuotės.</w:t>
      </w:r>
    </w:p>
    <w:p w14:paraId="4A13E203" w14:textId="77777777" w:rsidR="00F00A02" w:rsidRDefault="00F00A02">
      <w:pPr>
        <w:widowControl w:val="0"/>
        <w:rPr>
          <w:sz w:val="22"/>
          <w:szCs w:val="22"/>
        </w:rPr>
      </w:pPr>
    </w:p>
    <w:p w14:paraId="77D26008" w14:textId="77777777" w:rsidR="00F00A02" w:rsidRDefault="0027659F">
      <w:pPr>
        <w:widowControl w:val="0"/>
        <w:rPr>
          <w:sz w:val="22"/>
          <w:szCs w:val="22"/>
        </w:rPr>
      </w:pPr>
      <w:r>
        <w:rPr>
          <w:b/>
          <w:sz w:val="22"/>
          <w:szCs w:val="22"/>
        </w:rPr>
        <w:t>Registruotojas</w:t>
      </w:r>
    </w:p>
    <w:p w14:paraId="5CBB1608" w14:textId="77777777" w:rsidR="00F00A02" w:rsidRDefault="0027659F">
      <w:pPr>
        <w:widowControl w:val="0"/>
        <w:rPr>
          <w:bCs/>
          <w:sz w:val="22"/>
          <w:szCs w:val="22"/>
          <w:lang w:eastAsia="lt-LT"/>
        </w:rPr>
      </w:pPr>
      <w:r>
        <w:rPr>
          <w:bCs/>
          <w:sz w:val="22"/>
          <w:szCs w:val="22"/>
          <w:lang w:eastAsia="lt-LT"/>
        </w:rPr>
        <w:t xml:space="preserve">KRKA, d.d., Novo mesto, Šmarješka cesta 6, </w:t>
      </w:r>
      <w:r>
        <w:rPr>
          <w:sz w:val="22"/>
          <w:szCs w:val="22"/>
          <w:lang w:eastAsia="lt-LT"/>
        </w:rPr>
        <w:t xml:space="preserve">8501 Novo mesto, </w:t>
      </w:r>
      <w:r>
        <w:rPr>
          <w:bCs/>
          <w:sz w:val="22"/>
          <w:szCs w:val="22"/>
          <w:lang w:eastAsia="lt-LT"/>
        </w:rPr>
        <w:t>Slovėnija</w:t>
      </w:r>
    </w:p>
    <w:p w14:paraId="104905F4" w14:textId="77777777" w:rsidR="00F00A02" w:rsidRDefault="00F00A02">
      <w:pPr>
        <w:widowControl w:val="0"/>
        <w:rPr>
          <w:sz w:val="22"/>
          <w:szCs w:val="22"/>
          <w:lang w:eastAsia="lt-LT"/>
        </w:rPr>
      </w:pPr>
    </w:p>
    <w:p w14:paraId="5C761B56" w14:textId="77777777" w:rsidR="00F00A02" w:rsidRDefault="0027659F">
      <w:pPr>
        <w:widowControl w:val="0"/>
        <w:rPr>
          <w:b/>
          <w:sz w:val="22"/>
          <w:szCs w:val="22"/>
          <w:lang w:eastAsia="lt-LT"/>
        </w:rPr>
      </w:pPr>
      <w:r>
        <w:rPr>
          <w:b/>
          <w:sz w:val="22"/>
          <w:szCs w:val="22"/>
          <w:lang w:eastAsia="lt-LT"/>
        </w:rPr>
        <w:t>Gamintojas</w:t>
      </w:r>
    </w:p>
    <w:p w14:paraId="3A0386D6" w14:textId="77777777" w:rsidR="00F00A02" w:rsidRDefault="0027659F">
      <w:pPr>
        <w:widowControl w:val="0"/>
        <w:rPr>
          <w:bCs/>
          <w:sz w:val="22"/>
          <w:szCs w:val="22"/>
          <w:lang w:eastAsia="lt-LT"/>
        </w:rPr>
      </w:pPr>
      <w:r>
        <w:rPr>
          <w:bCs/>
          <w:sz w:val="22"/>
          <w:szCs w:val="22"/>
          <w:lang w:eastAsia="lt-LT"/>
        </w:rPr>
        <w:t xml:space="preserve">KRKA, d.d., Novo mesto, Šmarješka cesta 6, </w:t>
      </w:r>
      <w:r>
        <w:rPr>
          <w:sz w:val="22"/>
          <w:szCs w:val="22"/>
          <w:lang w:eastAsia="lt-LT"/>
        </w:rPr>
        <w:t xml:space="preserve">8501 Novo mesto, </w:t>
      </w:r>
      <w:r>
        <w:rPr>
          <w:bCs/>
          <w:sz w:val="22"/>
          <w:szCs w:val="22"/>
          <w:lang w:eastAsia="lt-LT"/>
        </w:rPr>
        <w:t>Slovėnija</w:t>
      </w:r>
    </w:p>
    <w:p w14:paraId="34589C5B" w14:textId="77777777" w:rsidR="00F00A02" w:rsidRDefault="0027659F">
      <w:pPr>
        <w:widowControl w:val="0"/>
        <w:rPr>
          <w:sz w:val="22"/>
          <w:szCs w:val="22"/>
          <w:lang w:eastAsia="lt-LT"/>
        </w:rPr>
      </w:pPr>
      <w:r>
        <w:rPr>
          <w:sz w:val="22"/>
          <w:szCs w:val="22"/>
          <w:lang w:eastAsia="lt-LT"/>
        </w:rPr>
        <w:t>arba</w:t>
      </w:r>
    </w:p>
    <w:p w14:paraId="46731604" w14:textId="77777777" w:rsidR="00F00A02" w:rsidRDefault="0027659F">
      <w:pPr>
        <w:widowControl w:val="0"/>
        <w:rPr>
          <w:sz w:val="22"/>
          <w:szCs w:val="22"/>
          <w:lang w:eastAsia="lt-LT"/>
        </w:rPr>
      </w:pPr>
      <w:r>
        <w:rPr>
          <w:sz w:val="22"/>
          <w:szCs w:val="22"/>
          <w:lang w:eastAsia="lt-LT"/>
        </w:rPr>
        <w:t>TAD Pharma GmbH, Heinz Lohmann Straße 5, D-27472 Cuxhaven, Vokietija</w:t>
      </w:r>
    </w:p>
    <w:p w14:paraId="482071D1" w14:textId="77777777" w:rsidR="00F00A02" w:rsidRDefault="00F00A02">
      <w:pPr>
        <w:widowControl w:val="0"/>
        <w:rPr>
          <w:sz w:val="22"/>
          <w:szCs w:val="22"/>
          <w:lang w:eastAsia="lt-LT"/>
        </w:rPr>
      </w:pPr>
    </w:p>
    <w:p w14:paraId="1FBB3B04" w14:textId="77777777" w:rsidR="00F00A02" w:rsidRDefault="0027659F">
      <w:pPr>
        <w:widowControl w:val="0"/>
        <w:rPr>
          <w:sz w:val="22"/>
          <w:szCs w:val="22"/>
          <w:lang w:eastAsia="lt-LT"/>
        </w:rPr>
      </w:pPr>
      <w:r>
        <w:rPr>
          <w:sz w:val="22"/>
          <w:szCs w:val="22"/>
          <w:lang w:eastAsia="lt-LT"/>
        </w:rPr>
        <w:t xml:space="preserve">Jeigu apie šį vaistą norite sužinoti daugiau, kreipkitės į vietinį </w:t>
      </w:r>
      <w:r>
        <w:rPr>
          <w:sz w:val="22"/>
          <w:szCs w:val="22"/>
        </w:rPr>
        <w:t>registruotojo</w:t>
      </w:r>
      <w:r>
        <w:rPr>
          <w:sz w:val="22"/>
          <w:szCs w:val="22"/>
          <w:lang w:eastAsia="lt-LT"/>
        </w:rPr>
        <w:t xml:space="preserve"> atstovą.</w:t>
      </w:r>
    </w:p>
    <w:p w14:paraId="6CD3C4FE" w14:textId="77777777" w:rsidR="00F00A02" w:rsidRDefault="00F00A02">
      <w:pPr>
        <w:widowControl w:val="0"/>
        <w:rPr>
          <w:sz w:val="22"/>
          <w:szCs w:val="22"/>
          <w:lang w:eastAsia="lt-LT"/>
        </w:rPr>
      </w:pPr>
    </w:p>
    <w:tbl>
      <w:tblPr>
        <w:tblW w:w="0" w:type="auto"/>
        <w:tblLook w:val="04A0" w:firstRow="1" w:lastRow="0" w:firstColumn="1" w:lastColumn="0" w:noHBand="0" w:noVBand="1"/>
      </w:tblPr>
      <w:tblGrid>
        <w:gridCol w:w="4678"/>
      </w:tblGrid>
      <w:tr w:rsidR="00F00A02" w14:paraId="534A4C7E" w14:textId="77777777">
        <w:tc>
          <w:tcPr>
            <w:tcW w:w="4678" w:type="dxa"/>
            <w:hideMark/>
          </w:tcPr>
          <w:p w14:paraId="13393B7D" w14:textId="77777777" w:rsidR="00F00A02" w:rsidRDefault="0027659F">
            <w:pPr>
              <w:widowControl w:val="0"/>
              <w:rPr>
                <w:sz w:val="22"/>
                <w:szCs w:val="22"/>
                <w:lang w:eastAsia="lt-LT"/>
              </w:rPr>
            </w:pPr>
            <w:r>
              <w:rPr>
                <w:sz w:val="22"/>
                <w:szCs w:val="22"/>
                <w:lang w:eastAsia="lt-LT"/>
              </w:rPr>
              <w:t>UAB KRKA Lietuva</w:t>
            </w:r>
          </w:p>
          <w:p w14:paraId="15ABDD97" w14:textId="77777777" w:rsidR="00F00A02" w:rsidRDefault="0027659F">
            <w:pPr>
              <w:widowControl w:val="0"/>
              <w:rPr>
                <w:sz w:val="22"/>
                <w:szCs w:val="22"/>
                <w:lang w:eastAsia="lt-LT"/>
              </w:rPr>
            </w:pPr>
            <w:r>
              <w:rPr>
                <w:sz w:val="22"/>
                <w:szCs w:val="22"/>
                <w:lang w:eastAsia="lt-LT"/>
              </w:rPr>
              <w:t>Senasis Ukmergės kelias 4,</w:t>
            </w:r>
          </w:p>
          <w:p w14:paraId="7D609FA7" w14:textId="77777777" w:rsidR="00F00A02" w:rsidRDefault="0027659F">
            <w:pPr>
              <w:widowControl w:val="0"/>
              <w:rPr>
                <w:sz w:val="22"/>
                <w:szCs w:val="22"/>
                <w:lang w:eastAsia="lt-LT"/>
              </w:rPr>
            </w:pPr>
            <w:r>
              <w:rPr>
                <w:sz w:val="22"/>
                <w:szCs w:val="22"/>
                <w:lang w:eastAsia="lt-LT"/>
              </w:rPr>
              <w:t>Vilniaus raj., Užubalių k.</w:t>
            </w:r>
          </w:p>
          <w:p w14:paraId="7ED9B38A" w14:textId="77777777" w:rsidR="00F00A02" w:rsidRDefault="0027659F">
            <w:pPr>
              <w:widowControl w:val="0"/>
              <w:rPr>
                <w:sz w:val="22"/>
                <w:szCs w:val="22"/>
                <w:lang w:eastAsia="lt-LT"/>
              </w:rPr>
            </w:pPr>
            <w:r>
              <w:rPr>
                <w:sz w:val="22"/>
                <w:szCs w:val="22"/>
                <w:lang w:eastAsia="lt-LT"/>
              </w:rPr>
              <w:t>LT - 14013</w:t>
            </w:r>
          </w:p>
          <w:p w14:paraId="00C9A84D" w14:textId="77777777" w:rsidR="00F00A02" w:rsidRDefault="0027659F">
            <w:pPr>
              <w:widowControl w:val="0"/>
              <w:rPr>
                <w:sz w:val="22"/>
                <w:szCs w:val="22"/>
                <w:lang w:eastAsia="lt-LT"/>
              </w:rPr>
            </w:pPr>
            <w:r>
              <w:rPr>
                <w:sz w:val="22"/>
                <w:szCs w:val="22"/>
                <w:lang w:eastAsia="lt-LT"/>
              </w:rPr>
              <w:t>Tel. + 370 5 236 27 40</w:t>
            </w:r>
          </w:p>
        </w:tc>
      </w:tr>
    </w:tbl>
    <w:p w14:paraId="6465524B" w14:textId="77777777" w:rsidR="00F00A02" w:rsidRDefault="00F00A02">
      <w:pPr>
        <w:widowControl w:val="0"/>
        <w:rPr>
          <w:sz w:val="22"/>
          <w:szCs w:val="22"/>
          <w:lang w:eastAsia="lt-LT"/>
        </w:rPr>
      </w:pPr>
    </w:p>
    <w:p w14:paraId="1E12E85B" w14:textId="77777777" w:rsidR="00F00A02" w:rsidRDefault="0027659F">
      <w:pPr>
        <w:widowControl w:val="0"/>
        <w:rPr>
          <w:b/>
          <w:sz w:val="22"/>
          <w:szCs w:val="22"/>
          <w:lang w:eastAsia="lt-LT"/>
        </w:rPr>
      </w:pPr>
      <w:r>
        <w:rPr>
          <w:b/>
          <w:bCs/>
          <w:sz w:val="22"/>
          <w:szCs w:val="22"/>
          <w:lang w:eastAsia="lt-LT"/>
        </w:rPr>
        <w:t>Šis pakuotės</w:t>
      </w:r>
      <w:r>
        <w:rPr>
          <w:b/>
          <w:sz w:val="22"/>
          <w:szCs w:val="22"/>
          <w:lang w:eastAsia="lt-LT"/>
        </w:rPr>
        <w:t xml:space="preserve"> lapelis paskutinį kartą peržiūrėtas 2025-05-22.</w:t>
      </w:r>
    </w:p>
    <w:p w14:paraId="5668AE1E" w14:textId="77777777" w:rsidR="00F00A02" w:rsidRDefault="00F00A02">
      <w:pPr>
        <w:widowControl w:val="0"/>
        <w:rPr>
          <w:sz w:val="22"/>
          <w:szCs w:val="22"/>
          <w:lang w:eastAsia="lt-LT"/>
        </w:rPr>
      </w:pPr>
    </w:p>
    <w:p w14:paraId="08ECA48C" w14:textId="77777777" w:rsidR="00F00A02" w:rsidRDefault="0027659F">
      <w:pPr>
        <w:widowControl w:val="0"/>
        <w:rPr>
          <w:color w:val="0000FF"/>
          <w:sz w:val="22"/>
          <w:szCs w:val="22"/>
          <w:u w:val="single"/>
          <w:lang w:eastAsia="lt-LT"/>
        </w:rPr>
      </w:pPr>
      <w:r>
        <w:rPr>
          <w:sz w:val="22"/>
          <w:szCs w:val="22"/>
          <w:lang w:eastAsia="lt-LT"/>
        </w:rPr>
        <w:t>Išsami informacija apie šį vaistą pateikiama Valstybinės vaistų kontrolės tarnybos prie Lietuvos Respublikos sveikatos apsaugos ministerijos tinklalapyje</w:t>
      </w:r>
      <w:r>
        <w:rPr>
          <w:i/>
          <w:sz w:val="22"/>
          <w:szCs w:val="22"/>
          <w:lang w:eastAsia="lt-LT"/>
        </w:rPr>
        <w:t xml:space="preserve"> </w:t>
      </w:r>
      <w:r>
        <w:rPr>
          <w:color w:val="0000EE"/>
          <w:sz w:val="22"/>
          <w:szCs w:val="22"/>
          <w:u w:val="single"/>
          <w:lang w:eastAsia="lt-LT"/>
        </w:rPr>
        <w:t>https://vvkt.lrv.lt/lt/</w:t>
      </w:r>
      <w:r>
        <w:rPr>
          <w:sz w:val="22"/>
          <w:szCs w:val="22"/>
          <w:lang w:eastAsia="lt-LT"/>
        </w:rPr>
        <w:t>.</w:t>
      </w:r>
    </w:p>
    <w:p w14:paraId="797134B2" w14:textId="77777777" w:rsidR="00F00A02" w:rsidRDefault="00F00A02">
      <w:pPr>
        <w:widowControl w:val="0"/>
        <w:rPr>
          <w:color w:val="0000FF"/>
          <w:sz w:val="22"/>
          <w:szCs w:val="22"/>
          <w:u w:val="single"/>
          <w:lang w:eastAsia="lt-LT"/>
        </w:rPr>
      </w:pPr>
    </w:p>
    <w:sectPr w:rsidR="00F00A02">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1134" w:right="1418" w:bottom="1134" w:left="1418" w:header="1021"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E9F08" w14:textId="77777777" w:rsidR="001E0B0B" w:rsidRDefault="001E0B0B">
      <w:r>
        <w:separator/>
      </w:r>
    </w:p>
  </w:endnote>
  <w:endnote w:type="continuationSeparator" w:id="0">
    <w:p w14:paraId="18B110C0" w14:textId="77777777" w:rsidR="001E0B0B" w:rsidRDefault="001E0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TimesNewRoman">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663B3" w14:textId="77777777" w:rsidR="00F00A02" w:rsidRDefault="0027659F">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8AB8DC3" w14:textId="77777777" w:rsidR="00F00A02" w:rsidRDefault="00F00A0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1166F" w14:textId="77777777" w:rsidR="00F00A02" w:rsidRDefault="00F00A02">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6FB5D" w14:textId="77777777" w:rsidR="00F00A02" w:rsidRDefault="00F00A0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85ECC" w14:textId="77777777" w:rsidR="001E0B0B" w:rsidRDefault="001E0B0B">
      <w:r>
        <w:separator/>
      </w:r>
    </w:p>
  </w:footnote>
  <w:footnote w:type="continuationSeparator" w:id="0">
    <w:p w14:paraId="75078ABE" w14:textId="77777777" w:rsidR="001E0B0B" w:rsidRDefault="001E0B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F363E" w14:textId="77777777" w:rsidR="00F00A02" w:rsidRDefault="00F00A0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43004" w14:textId="77777777" w:rsidR="00F00A02" w:rsidRDefault="00F00A02">
    <w:pPr>
      <w:spacing w:line="20" w:lineRule="exact"/>
    </w:pPr>
  </w:p>
  <w:p w14:paraId="02B30C48" w14:textId="77777777" w:rsidR="00F00A02" w:rsidRDefault="00F00A02">
    <w:pPr>
      <w:pStyle w:val="Antrats"/>
    </w:pPr>
    <w:bookmarkStart w:id="20" w:name="TableTag1"/>
    <w:bookmarkEnd w:id="2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B3B16" w14:textId="77777777" w:rsidR="00F00A02" w:rsidRDefault="00F00A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7366FE"/>
    <w:multiLevelType w:val="hybridMultilevel"/>
    <w:tmpl w:val="B59A7832"/>
    <w:lvl w:ilvl="0" w:tplc="5712EA54">
      <w:start w:val="1"/>
      <w:numFmt w:val="bullet"/>
      <w:lvlText w:val=""/>
      <w:lvlJc w:val="left"/>
      <w:pPr>
        <w:tabs>
          <w:tab w:val="num" w:pos="567"/>
        </w:tabs>
        <w:ind w:left="567" w:hanging="567"/>
      </w:pPr>
      <w:rPr>
        <w:rFonts w:ascii="Symbol" w:hAnsi="Symbol"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2" w15:restartNumberingAfterBreak="0">
    <w:nsid w:val="08CB7760"/>
    <w:multiLevelType w:val="hybridMultilevel"/>
    <w:tmpl w:val="BA5250F0"/>
    <w:lvl w:ilvl="0" w:tplc="110E895C">
      <w:start w:val="1"/>
      <w:numFmt w:val="bullet"/>
      <w:lvlText w:val="-"/>
      <w:lvlJc w:val="left"/>
      <w:pPr>
        <w:tabs>
          <w:tab w:val="num" w:pos="717"/>
        </w:tabs>
        <w:ind w:left="717"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4B2666"/>
    <w:multiLevelType w:val="hybridMultilevel"/>
    <w:tmpl w:val="EFA4F8F0"/>
    <w:lvl w:ilvl="0" w:tplc="644E8E56">
      <w:start w:val="10"/>
      <w:numFmt w:val="decimal"/>
      <w:lvlText w:val="%1."/>
      <w:lvlJc w:val="left"/>
      <w:pPr>
        <w:tabs>
          <w:tab w:val="num" w:pos="930"/>
        </w:tabs>
        <w:ind w:left="930" w:hanging="57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18576DA0"/>
    <w:multiLevelType w:val="hybridMultilevel"/>
    <w:tmpl w:val="A9BC228A"/>
    <w:lvl w:ilvl="0" w:tplc="528A0AD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843137"/>
    <w:multiLevelType w:val="hybridMultilevel"/>
    <w:tmpl w:val="B1EC28BA"/>
    <w:lvl w:ilvl="0" w:tplc="04F80370">
      <w:start w:val="1"/>
      <w:numFmt w:val="bullet"/>
      <w:lvlText w:val="-"/>
      <w:lvlJc w:val="left"/>
      <w:pPr>
        <w:tabs>
          <w:tab w:val="num" w:pos="720"/>
        </w:tabs>
        <w:ind w:left="720" w:hanging="360"/>
      </w:pPr>
      <w:rPr>
        <w:rFonts w:ascii="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cs="Times New Roman"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Times New Roman"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Times New Roman"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8F5A8A"/>
    <w:multiLevelType w:val="hybridMultilevel"/>
    <w:tmpl w:val="6FA0D8B2"/>
    <w:lvl w:ilvl="0" w:tplc="A50E79C0">
      <w:start w:val="2"/>
      <w:numFmt w:val="bullet"/>
      <w:lvlText w:val="-"/>
      <w:lvlJc w:val="left"/>
      <w:pPr>
        <w:tabs>
          <w:tab w:val="num" w:pos="567"/>
        </w:tabs>
        <w:ind w:left="567" w:hanging="56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7F4BC1"/>
    <w:multiLevelType w:val="hybridMultilevel"/>
    <w:tmpl w:val="DCF89B42"/>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2B3A5E"/>
    <w:multiLevelType w:val="multilevel"/>
    <w:tmpl w:val="76263460"/>
    <w:lvl w:ilvl="0">
      <w:start w:val="1"/>
      <w:numFmt w:val="upperRoman"/>
      <w:pStyle w:val="EMEABodyText"/>
      <w:lvlText w:val="%1"/>
      <w:lvlJc w:val="left"/>
      <w:pPr>
        <w:tabs>
          <w:tab w:val="num" w:pos="720"/>
        </w:tabs>
        <w:ind w:left="284" w:hanging="284"/>
      </w:pPr>
      <w:rPr>
        <w:rFonts w:ascii="Arial" w:hAnsi="Arial" w:cs="Times New Roman" w:hint="default"/>
        <w:b/>
        <w:i w:val="0"/>
        <w:sz w:val="24"/>
      </w:rPr>
    </w:lvl>
    <w:lvl w:ilvl="1">
      <w:start w:val="1"/>
      <w:numFmt w:val="decimal"/>
      <w:pStyle w:val="EMEATableCentered"/>
      <w:lvlText w:val="%1.%2"/>
      <w:lvlJc w:val="left"/>
      <w:pPr>
        <w:tabs>
          <w:tab w:val="num" w:pos="709"/>
        </w:tabs>
        <w:ind w:left="709" w:hanging="425"/>
      </w:pPr>
      <w:rPr>
        <w:rFonts w:ascii="Arial" w:hAnsi="Arial" w:cs="Times New Roman" w:hint="default"/>
        <w:b/>
        <w:i w:val="0"/>
        <w:sz w:val="22"/>
      </w:rPr>
    </w:lvl>
    <w:lvl w:ilvl="2">
      <w:start w:val="1"/>
      <w:numFmt w:val="decimal"/>
      <w:pStyle w:val="EMEAHeading1NoIndent"/>
      <w:lvlText w:val="%1.%2.%3"/>
      <w:lvlJc w:val="left"/>
      <w:pPr>
        <w:tabs>
          <w:tab w:val="num" w:pos="1276"/>
        </w:tabs>
        <w:ind w:left="1276" w:hanging="567"/>
      </w:pPr>
      <w:rPr>
        <w:rFonts w:ascii="Arial" w:hAnsi="Arial" w:cs="Times New Roman" w:hint="default"/>
        <w:b/>
        <w:i w:val="0"/>
        <w:sz w:val="22"/>
      </w:rPr>
    </w:lvl>
    <w:lvl w:ilvl="3">
      <w:start w:val="1"/>
      <w:numFmt w:val="lowerLetter"/>
      <w:pStyle w:val="Dokumentoinaostekstas"/>
      <w:lvlText w:val="%4)"/>
      <w:lvlJc w:val="left"/>
      <w:pPr>
        <w:tabs>
          <w:tab w:val="num" w:pos="1276"/>
        </w:tabs>
        <w:ind w:left="1276" w:hanging="567"/>
      </w:pPr>
      <w:rPr>
        <w:rFonts w:ascii="Arial" w:hAnsi="Arial" w:cs="Times New Roman" w:hint="default"/>
        <w:b w:val="0"/>
        <w:i w:val="0"/>
        <w:sz w:val="22"/>
      </w:rPr>
    </w:lvl>
    <w:lvl w:ilvl="4">
      <w:start w:val="1"/>
      <w:numFmt w:val="lowerLetter"/>
      <w:lvlRestart w:val="0"/>
      <w:lvlText w:val="%5)"/>
      <w:lvlJc w:val="left"/>
      <w:pPr>
        <w:tabs>
          <w:tab w:val="num" w:pos="1701"/>
        </w:tabs>
        <w:ind w:left="1701" w:hanging="425"/>
      </w:pPr>
      <w:rPr>
        <w:rFonts w:cs="Times New Roman"/>
      </w:rPr>
    </w:lvl>
    <w:lvl w:ilvl="5">
      <w:start w:val="1"/>
      <w:numFmt w:val="lowerLetter"/>
      <w:lvlText w:val="%6)"/>
      <w:lvlJc w:val="left"/>
      <w:pPr>
        <w:tabs>
          <w:tab w:val="num" w:pos="1663"/>
        </w:tabs>
        <w:ind w:left="1663" w:hanging="432"/>
      </w:pPr>
      <w:rPr>
        <w:rFonts w:cs="Times New Roman"/>
      </w:rPr>
    </w:lvl>
    <w:lvl w:ilvl="6">
      <w:start w:val="1"/>
      <w:numFmt w:val="lowerRoman"/>
      <w:lvlText w:val="%7)"/>
      <w:lvlJc w:val="right"/>
      <w:pPr>
        <w:tabs>
          <w:tab w:val="num" w:pos="1807"/>
        </w:tabs>
        <w:ind w:left="1807" w:hanging="288"/>
      </w:pPr>
      <w:rPr>
        <w:rFonts w:cs="Times New Roman"/>
      </w:rPr>
    </w:lvl>
    <w:lvl w:ilvl="7">
      <w:start w:val="1"/>
      <w:numFmt w:val="lowerLetter"/>
      <w:lvlText w:val="%8."/>
      <w:lvlJc w:val="left"/>
      <w:pPr>
        <w:tabs>
          <w:tab w:val="num" w:pos="1951"/>
        </w:tabs>
        <w:ind w:left="1951" w:hanging="432"/>
      </w:pPr>
      <w:rPr>
        <w:rFonts w:cs="Times New Roman"/>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9" w15:restartNumberingAfterBreak="0">
    <w:nsid w:val="26DC6CB2"/>
    <w:multiLevelType w:val="hybridMultilevel"/>
    <w:tmpl w:val="7148673E"/>
    <w:lvl w:ilvl="0" w:tplc="7BEED6E4">
      <w:start w:val="12"/>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0" w15:restartNumberingAfterBreak="0">
    <w:nsid w:val="290314E2"/>
    <w:multiLevelType w:val="hybridMultilevel"/>
    <w:tmpl w:val="9CEC9144"/>
    <w:lvl w:ilvl="0" w:tplc="04F80370">
      <w:start w:val="1"/>
      <w:numFmt w:val="bullet"/>
      <w:lvlText w:val="-"/>
      <w:lvlJc w:val="left"/>
      <w:pPr>
        <w:ind w:left="720" w:hanging="360"/>
      </w:pPr>
      <w:rPr>
        <w:rFonts w:ascii="Times New Roman" w:hAnsi="Times New Roman" w:cs="Times New Roman"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1" w15:restartNumberingAfterBreak="0">
    <w:nsid w:val="29C52315"/>
    <w:multiLevelType w:val="hybridMultilevel"/>
    <w:tmpl w:val="3E3AB2AC"/>
    <w:lvl w:ilvl="0" w:tplc="04F80370">
      <w:start w:val="1"/>
      <w:numFmt w:val="bullet"/>
      <w:lvlText w:val="-"/>
      <w:lvlJc w:val="left"/>
      <w:pPr>
        <w:tabs>
          <w:tab w:val="num" w:pos="720"/>
        </w:tabs>
        <w:ind w:left="72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BDB1F59"/>
    <w:multiLevelType w:val="hybridMultilevel"/>
    <w:tmpl w:val="80D02438"/>
    <w:lvl w:ilvl="0" w:tplc="E2D8FEBE">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C0C1310"/>
    <w:multiLevelType w:val="hybridMultilevel"/>
    <w:tmpl w:val="E8A498BC"/>
    <w:lvl w:ilvl="0" w:tplc="04F80370">
      <w:start w:val="1"/>
      <w:numFmt w:val="bullet"/>
      <w:lvlText w:val="-"/>
      <w:lvlJc w:val="left"/>
      <w:pPr>
        <w:tabs>
          <w:tab w:val="num" w:pos="720"/>
        </w:tabs>
        <w:ind w:left="72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35A06650"/>
    <w:multiLevelType w:val="hybridMultilevel"/>
    <w:tmpl w:val="C2BC4E56"/>
    <w:lvl w:ilvl="0" w:tplc="04F80370">
      <w:start w:val="1"/>
      <w:numFmt w:val="bullet"/>
      <w:lvlText w:val="-"/>
      <w:lvlJc w:val="left"/>
      <w:pPr>
        <w:tabs>
          <w:tab w:val="num" w:pos="720"/>
        </w:tabs>
        <w:ind w:left="72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6964572"/>
    <w:multiLevelType w:val="hybridMultilevel"/>
    <w:tmpl w:val="1F4C18AA"/>
    <w:lvl w:ilvl="0" w:tplc="E2D8FEBE">
      <w:start w:val="1"/>
      <w:numFmt w:val="bullet"/>
      <w:lvlText w:val="-"/>
      <w:lvlJc w:val="left"/>
      <w:pPr>
        <w:tabs>
          <w:tab w:val="num" w:pos="567"/>
        </w:tabs>
        <w:ind w:left="567" w:hanging="567"/>
      </w:pPr>
      <w:rPr>
        <w:rFonts w:hint="default"/>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C649DC"/>
    <w:multiLevelType w:val="hybridMultilevel"/>
    <w:tmpl w:val="6EC4CA84"/>
    <w:lvl w:ilvl="0" w:tplc="04F80370">
      <w:start w:val="1"/>
      <w:numFmt w:val="bullet"/>
      <w:lvlText w:val="-"/>
      <w:lvlJc w:val="left"/>
      <w:pPr>
        <w:tabs>
          <w:tab w:val="num" w:pos="720"/>
        </w:tabs>
        <w:ind w:left="72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A213992"/>
    <w:multiLevelType w:val="hybridMultilevel"/>
    <w:tmpl w:val="C6FC2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BC5415"/>
    <w:multiLevelType w:val="hybridMultilevel"/>
    <w:tmpl w:val="075A5F7C"/>
    <w:lvl w:ilvl="0" w:tplc="71B0FED2">
      <w:start w:val="1"/>
      <w:numFmt w:val="bullet"/>
      <w:lvlText w:val="-"/>
      <w:lvlJc w:val="left"/>
      <w:pPr>
        <w:tabs>
          <w:tab w:val="num" w:pos="567"/>
        </w:tabs>
        <w:ind w:left="567" w:hanging="567"/>
      </w:pPr>
      <w:rPr>
        <w:rFonts w:hAnsi="Arial" w:hint="default"/>
      </w:rPr>
    </w:lvl>
    <w:lvl w:ilvl="1" w:tplc="ACFA8BC2">
      <w:start w:val="2"/>
      <w:numFmt w:val="bullet"/>
      <w:lvlText w:val="-"/>
      <w:lvlJc w:val="left"/>
      <w:pPr>
        <w:tabs>
          <w:tab w:val="num" w:pos="1647"/>
        </w:tabs>
        <w:ind w:left="1647" w:hanging="567"/>
      </w:pPr>
      <w:rPr>
        <w:rFonts w:ascii="Times New Roman" w:eastAsia="Times New Roman" w:hAnsi="Times New Roman"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045798"/>
    <w:multiLevelType w:val="hybridMultilevel"/>
    <w:tmpl w:val="51A6B80E"/>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6B4713"/>
    <w:multiLevelType w:val="hybridMultilevel"/>
    <w:tmpl w:val="E544063E"/>
    <w:lvl w:ilvl="0" w:tplc="04F80370">
      <w:start w:val="1"/>
      <w:numFmt w:val="bullet"/>
      <w:lvlText w:val="-"/>
      <w:lvlJc w:val="left"/>
      <w:pPr>
        <w:tabs>
          <w:tab w:val="num" w:pos="567"/>
        </w:tabs>
        <w:ind w:left="567" w:hanging="567"/>
      </w:pPr>
      <w:rPr>
        <w:rFonts w:ascii="Times New Roman" w:hAnsi="Times New Roman" w:cs="Times New Roman"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23"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5BD832DE"/>
    <w:multiLevelType w:val="hybridMultilevel"/>
    <w:tmpl w:val="732830D6"/>
    <w:lvl w:ilvl="0" w:tplc="04F80370">
      <w:start w:val="1"/>
      <w:numFmt w:val="bullet"/>
      <w:lvlText w:val="-"/>
      <w:lvlJc w:val="left"/>
      <w:pPr>
        <w:tabs>
          <w:tab w:val="num" w:pos="720"/>
        </w:tabs>
        <w:ind w:left="72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2FB7B33"/>
    <w:multiLevelType w:val="hybridMultilevel"/>
    <w:tmpl w:val="D3109422"/>
    <w:lvl w:ilvl="0" w:tplc="0409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Times New Roman"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Times New Roman"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Times New Roman"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7"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744402581">
    <w:abstractNumId w:val="20"/>
  </w:num>
  <w:num w:numId="2" w16cid:durableId="2010600713">
    <w:abstractNumId w:val="6"/>
  </w:num>
  <w:num w:numId="3" w16cid:durableId="1231189205">
    <w:abstractNumId w:val="3"/>
  </w:num>
  <w:num w:numId="4" w16cid:durableId="327559868">
    <w:abstractNumId w:val="0"/>
    <w:lvlOverride w:ilvl="0">
      <w:lvl w:ilvl="0">
        <w:start w:val="1"/>
        <w:numFmt w:val="bullet"/>
        <w:lvlText w:val="-"/>
        <w:legacy w:legacy="1" w:legacySpace="0" w:legacyIndent="360"/>
        <w:lvlJc w:val="left"/>
        <w:pPr>
          <w:ind w:left="360" w:hanging="360"/>
        </w:pPr>
      </w:lvl>
    </w:lvlOverride>
  </w:num>
  <w:num w:numId="5" w16cid:durableId="977344655">
    <w:abstractNumId w:val="26"/>
  </w:num>
  <w:num w:numId="6" w16cid:durableId="1180775605">
    <w:abstractNumId w:val="27"/>
  </w:num>
  <w:num w:numId="7" w16cid:durableId="1561868460">
    <w:abstractNumId w:val="16"/>
  </w:num>
  <w:num w:numId="8" w16cid:durableId="1539775983">
    <w:abstractNumId w:val="23"/>
  </w:num>
  <w:num w:numId="9" w16cid:durableId="2055692631">
    <w:abstractNumId w:val="14"/>
  </w:num>
  <w:num w:numId="10" w16cid:durableId="833447608">
    <w:abstractNumId w:val="17"/>
  </w:num>
  <w:num w:numId="11" w16cid:durableId="320159029">
    <w:abstractNumId w:val="8"/>
  </w:num>
  <w:num w:numId="12" w16cid:durableId="9705992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19029628">
    <w:abstractNumId w:val="1"/>
  </w:num>
  <w:num w:numId="14" w16cid:durableId="1828665452">
    <w:abstractNumId w:val="25"/>
  </w:num>
  <w:num w:numId="15" w16cid:durableId="1151094900">
    <w:abstractNumId w:val="9"/>
  </w:num>
  <w:num w:numId="16" w16cid:durableId="1358236572">
    <w:abstractNumId w:val="4"/>
  </w:num>
  <w:num w:numId="17" w16cid:durableId="1553924111">
    <w:abstractNumId w:val="19"/>
  </w:num>
  <w:num w:numId="18" w16cid:durableId="1679771531">
    <w:abstractNumId w:val="22"/>
  </w:num>
  <w:num w:numId="19" w16cid:durableId="1455716219">
    <w:abstractNumId w:val="5"/>
  </w:num>
  <w:num w:numId="20" w16cid:durableId="1114400629">
    <w:abstractNumId w:val="11"/>
  </w:num>
  <w:num w:numId="21" w16cid:durableId="1940019268">
    <w:abstractNumId w:val="13"/>
  </w:num>
  <w:num w:numId="22" w16cid:durableId="76637818">
    <w:abstractNumId w:val="24"/>
  </w:num>
  <w:num w:numId="23" w16cid:durableId="654720817">
    <w:abstractNumId w:val="15"/>
  </w:num>
  <w:num w:numId="24" w16cid:durableId="2070807184">
    <w:abstractNumId w:val="7"/>
  </w:num>
  <w:num w:numId="25" w16cid:durableId="1349059222">
    <w:abstractNumId w:val="18"/>
  </w:num>
  <w:num w:numId="26" w16cid:durableId="951979409">
    <w:abstractNumId w:val="21"/>
  </w:num>
  <w:num w:numId="27" w16cid:durableId="1764377084">
    <w:abstractNumId w:val="10"/>
  </w:num>
  <w:num w:numId="28" w16cid:durableId="245458799">
    <w:abstractNumId w:val="12"/>
  </w:num>
  <w:num w:numId="29" w16cid:durableId="10912458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A02"/>
    <w:rsid w:val="00040E13"/>
    <w:rsid w:val="00193FA1"/>
    <w:rsid w:val="001E0B0B"/>
    <w:rsid w:val="0027659F"/>
    <w:rsid w:val="00692B06"/>
    <w:rsid w:val="00824162"/>
    <w:rsid w:val="00842C8B"/>
    <w:rsid w:val="00917B18"/>
    <w:rsid w:val="00AE72CE"/>
    <w:rsid w:val="00B21F58"/>
    <w:rsid w:val="00C24D27"/>
    <w:rsid w:val="00F00A02"/>
    <w:rsid w:val="00F21697"/>
    <w:rsid w:val="00F64DA8"/>
    <w:rsid w:val="00F87CD8"/>
    <w:rsid w:val="00FF013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3EA7D9"/>
  <w15:chartTrackingRefBased/>
  <w15:docId w15:val="{6C2C7D0D-D67F-4F0A-ACD0-3759F8D4F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semiHidden="1" w:uiPriority="99"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endnote text" w:uiPriority="99"/>
    <w:lsdException w:name="Title" w:uiPriority="99" w:qFormat="1"/>
    <w:lsdException w:name="Body Text" w:uiPriority="99"/>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lang w:val="sl-SI" w:eastAsia="sl-SI"/>
    </w:rPr>
  </w:style>
  <w:style w:type="paragraph" w:styleId="Antrat1">
    <w:name w:val="heading 1"/>
    <w:basedOn w:val="prastasis"/>
    <w:next w:val="prastasis"/>
    <w:link w:val="Antrat1Diagrama"/>
    <w:uiPriority w:val="99"/>
    <w:qFormat/>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uiPriority w:val="99"/>
    <w:qFormat/>
    <w:pPr>
      <w:keepNext/>
      <w:tabs>
        <w:tab w:val="left" w:pos="4300"/>
        <w:tab w:val="left" w:pos="5940"/>
        <w:tab w:val="left" w:pos="8180"/>
      </w:tabs>
      <w:spacing w:line="360" w:lineRule="atLeast"/>
      <w:outlineLvl w:val="1"/>
    </w:pPr>
    <w:rPr>
      <w:b/>
      <w:u w:val="single"/>
      <w:lang w:val="en-US"/>
    </w:rPr>
  </w:style>
  <w:style w:type="paragraph" w:styleId="Antrat3">
    <w:name w:val="heading 3"/>
    <w:basedOn w:val="prastasis"/>
    <w:next w:val="prastasis"/>
    <w:link w:val="Antrat3Diagrama"/>
    <w:uiPriority w:val="99"/>
    <w:qFormat/>
    <w:pPr>
      <w:keepNext/>
      <w:tabs>
        <w:tab w:val="decimal" w:pos="6760"/>
      </w:tabs>
      <w:spacing w:line="480" w:lineRule="atLeast"/>
      <w:outlineLvl w:val="2"/>
    </w:pPr>
    <w:rPr>
      <w:b/>
      <w:lang w:val="en-US"/>
    </w:rPr>
  </w:style>
  <w:style w:type="paragraph" w:styleId="Antrat4">
    <w:name w:val="heading 4"/>
    <w:basedOn w:val="prastasis"/>
    <w:next w:val="prastasis"/>
    <w:link w:val="Antrat4Diagrama"/>
    <w:uiPriority w:val="99"/>
    <w:qFormat/>
    <w:pPr>
      <w:keepNext/>
      <w:spacing w:before="240" w:after="60"/>
      <w:outlineLvl w:val="3"/>
    </w:pPr>
    <w:rPr>
      <w:b/>
      <w:bCs/>
      <w:sz w:val="28"/>
      <w:szCs w:val="28"/>
    </w:rPr>
  </w:style>
  <w:style w:type="paragraph" w:styleId="Antrat5">
    <w:name w:val="heading 5"/>
    <w:basedOn w:val="prastasis"/>
    <w:next w:val="prastasis"/>
    <w:link w:val="Antrat5Diagrama"/>
    <w:uiPriority w:val="99"/>
    <w:semiHidden/>
    <w:unhideWhenUsed/>
    <w:qFormat/>
    <w:pPr>
      <w:keepNext/>
      <w:spacing w:line="360" w:lineRule="auto"/>
      <w:outlineLvl w:val="4"/>
    </w:pPr>
    <w:rPr>
      <w:rFonts w:ascii="Calibri" w:hAnsi="Calibri"/>
      <w:b/>
      <w:bCs/>
      <w:i/>
      <w:iCs/>
      <w:sz w:val="26"/>
      <w:szCs w:val="26"/>
      <w:lang w:val="lt-LT" w:eastAsia="lt-LT"/>
    </w:rPr>
  </w:style>
  <w:style w:type="paragraph" w:styleId="Antrat6">
    <w:name w:val="heading 6"/>
    <w:basedOn w:val="prastasis"/>
    <w:next w:val="prastasis"/>
    <w:qFormat/>
    <w:pPr>
      <w:keepNext/>
      <w:keepLines/>
      <w:tabs>
        <w:tab w:val="right" w:pos="4536"/>
        <w:tab w:val="left" w:pos="5180"/>
        <w:tab w:val="left" w:pos="5380"/>
        <w:tab w:val="left" w:pos="8222"/>
      </w:tabs>
      <w:outlineLvl w:val="5"/>
    </w:pPr>
    <w:rPr>
      <w:b/>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320"/>
        <w:tab w:val="right" w:pos="8640"/>
      </w:tabs>
    </w:pPr>
  </w:style>
  <w:style w:type="paragraph" w:styleId="Porat">
    <w:name w:val="footer"/>
    <w:basedOn w:val="prastasis"/>
    <w:link w:val="PoratDiagrama"/>
    <w:uiPriority w:val="99"/>
    <w:pPr>
      <w:tabs>
        <w:tab w:val="center" w:pos="4320"/>
        <w:tab w:val="right" w:pos="8640"/>
      </w:tabs>
    </w:pPr>
  </w:style>
  <w:style w:type="table" w:styleId="Lentelstinklelis">
    <w:name w:val="Table Grid"/>
    <w:basedOn w:val="prastojilent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uiPriority w:val="99"/>
  </w:style>
  <w:style w:type="character" w:styleId="Hipersaitas">
    <w:name w:val="Hyperlink"/>
    <w:uiPriority w:val="99"/>
    <w:rPr>
      <w:rFonts w:ascii="Times New Roman" w:hAnsi="Times New Roman"/>
      <w:color w:val="auto"/>
      <w:sz w:val="24"/>
      <w:szCs w:val="24"/>
      <w:u w:val="single"/>
      <w:lang w:val="en-US"/>
    </w:rPr>
  </w:style>
  <w:style w:type="character" w:styleId="Perirtashipersaitas">
    <w:name w:val="FollowedHyperlink"/>
    <w:rPr>
      <w:color w:val="800080"/>
      <w:u w:val="single"/>
    </w:rPr>
  </w:style>
  <w:style w:type="paragraph" w:styleId="Paprastasistekstas">
    <w:name w:val="Plain Text"/>
    <w:basedOn w:val="prastasis"/>
    <w:rPr>
      <w:rFonts w:ascii="Courier New" w:hAnsi="Courier New"/>
      <w:sz w:val="20"/>
      <w:lang w:val="en-GB"/>
    </w:rPr>
  </w:style>
  <w:style w:type="paragraph" w:styleId="Antrat">
    <w:name w:val="caption"/>
    <w:basedOn w:val="prastasis"/>
    <w:next w:val="prastasis"/>
    <w:qFormat/>
    <w:pPr>
      <w:jc w:val="both"/>
    </w:pPr>
    <w:rPr>
      <w:lang w:val="en-GB"/>
    </w:rPr>
  </w:style>
  <w:style w:type="paragraph" w:customStyle="1" w:styleId="Naslov1">
    <w:name w:val="Naslov1"/>
    <w:basedOn w:val="Antrat1"/>
    <w:pPr>
      <w:spacing w:before="0" w:after="0"/>
    </w:pPr>
    <w:rPr>
      <w:rFonts w:ascii="Times New Roman" w:hAnsi="Times New Roman" w:cs="Times New Roman"/>
      <w:bCs w:val="0"/>
      <w:kern w:val="0"/>
      <w:sz w:val="22"/>
      <w:szCs w:val="20"/>
      <w:u w:val="single"/>
    </w:rPr>
  </w:style>
  <w:style w:type="paragraph" w:styleId="Turinys1">
    <w:name w:val="toc 1"/>
    <w:basedOn w:val="prastasis"/>
    <w:next w:val="prastasis"/>
    <w:autoRedefine/>
    <w:semiHidden/>
    <w:pPr>
      <w:spacing w:before="120"/>
    </w:pPr>
    <w:rPr>
      <w:b/>
      <w:bCs/>
      <w:i/>
      <w:iCs/>
      <w:szCs w:val="28"/>
    </w:rPr>
  </w:style>
  <w:style w:type="paragraph" w:styleId="Pagrindinistekstas">
    <w:name w:val="Body Text"/>
    <w:basedOn w:val="prastasis"/>
    <w:link w:val="PagrindinistekstasDiagrama"/>
    <w:uiPriority w:val="99"/>
    <w:pPr>
      <w:numPr>
        <w:ilvl w:val="12"/>
      </w:numPr>
      <w:tabs>
        <w:tab w:val="left" w:pos="8505"/>
      </w:tabs>
      <w:ind w:right="-2"/>
    </w:pPr>
    <w:rPr>
      <w:sz w:val="22"/>
    </w:rPr>
  </w:style>
  <w:style w:type="paragraph" w:styleId="Pagrindinistekstas2">
    <w:name w:val="Body Text 2"/>
    <w:basedOn w:val="prastasis"/>
    <w:pPr>
      <w:spacing w:after="120" w:line="480" w:lineRule="auto"/>
    </w:pPr>
  </w:style>
  <w:style w:type="paragraph" w:customStyle="1" w:styleId="EMEAEnBodyText">
    <w:name w:val="EMEA En Body Text"/>
    <w:basedOn w:val="prastasis"/>
    <w:pPr>
      <w:spacing w:before="120" w:after="120"/>
      <w:jc w:val="both"/>
    </w:pPr>
    <w:rPr>
      <w:sz w:val="22"/>
      <w:lang w:val="en-US" w:eastAsia="en-US"/>
    </w:rPr>
  </w:style>
  <w:style w:type="paragraph" w:customStyle="1" w:styleId="Default">
    <w:name w:val="Default"/>
    <w:pPr>
      <w:autoSpaceDE w:val="0"/>
      <w:autoSpaceDN w:val="0"/>
      <w:adjustRightInd w:val="0"/>
    </w:pPr>
    <w:rPr>
      <w:color w:val="000000"/>
      <w:sz w:val="24"/>
      <w:szCs w:val="24"/>
      <w:lang w:val="sl-SI" w:eastAsia="sl-SI"/>
    </w:rPr>
  </w:style>
  <w:style w:type="character" w:customStyle="1" w:styleId="Antrat5Diagrama">
    <w:name w:val="Antraštė 5 Diagrama"/>
    <w:link w:val="Antrat5"/>
    <w:uiPriority w:val="99"/>
    <w:semiHidden/>
    <w:rPr>
      <w:rFonts w:ascii="Calibri" w:hAnsi="Calibri"/>
      <w:b/>
      <w:bCs/>
      <w:i/>
      <w:iCs/>
      <w:sz w:val="26"/>
      <w:szCs w:val="26"/>
      <w:lang w:val="lt-LT" w:eastAsia="lt-LT"/>
    </w:rPr>
  </w:style>
  <w:style w:type="character" w:customStyle="1" w:styleId="Antrat1Diagrama">
    <w:name w:val="Antraštė 1 Diagrama"/>
    <w:link w:val="Antrat1"/>
    <w:uiPriority w:val="99"/>
    <w:rPr>
      <w:rFonts w:ascii="Arial" w:hAnsi="Arial" w:cs="Arial"/>
      <w:b/>
      <w:bCs/>
      <w:kern w:val="32"/>
      <w:sz w:val="32"/>
      <w:szCs w:val="32"/>
      <w:lang w:val="sl-SI" w:eastAsia="sl-SI"/>
    </w:rPr>
  </w:style>
  <w:style w:type="character" w:customStyle="1" w:styleId="Antrat2Diagrama">
    <w:name w:val="Antraštė 2 Diagrama"/>
    <w:link w:val="Antrat2"/>
    <w:uiPriority w:val="99"/>
    <w:rPr>
      <w:b/>
      <w:sz w:val="24"/>
      <w:u w:val="single"/>
      <w:lang w:val="en-US" w:eastAsia="sl-SI"/>
    </w:rPr>
  </w:style>
  <w:style w:type="character" w:customStyle="1" w:styleId="Antrat3Diagrama">
    <w:name w:val="Antraštė 3 Diagrama"/>
    <w:link w:val="Antrat3"/>
    <w:uiPriority w:val="99"/>
    <w:rPr>
      <w:b/>
      <w:sz w:val="24"/>
      <w:lang w:val="en-US" w:eastAsia="sl-SI"/>
    </w:rPr>
  </w:style>
  <w:style w:type="character" w:customStyle="1" w:styleId="Antrat4Diagrama">
    <w:name w:val="Antraštė 4 Diagrama"/>
    <w:link w:val="Antrat4"/>
    <w:uiPriority w:val="99"/>
    <w:rPr>
      <w:b/>
      <w:bCs/>
      <w:sz w:val="28"/>
      <w:szCs w:val="28"/>
      <w:lang w:val="sl-SI" w:eastAsia="sl-SI"/>
    </w:rPr>
  </w:style>
  <w:style w:type="numbering" w:customStyle="1" w:styleId="Sraonra1">
    <w:name w:val="Sąrašo nėra1"/>
    <w:next w:val="Sraonra"/>
    <w:uiPriority w:val="99"/>
    <w:semiHidden/>
    <w:unhideWhenUsed/>
  </w:style>
  <w:style w:type="paragraph" w:styleId="Komentarotekstas">
    <w:name w:val="annotation text"/>
    <w:basedOn w:val="prastasis"/>
    <w:link w:val="KomentarotekstasDiagrama"/>
    <w:uiPriority w:val="99"/>
    <w:unhideWhenUsed/>
    <w:rPr>
      <w:sz w:val="20"/>
      <w:lang w:val="lt-LT" w:eastAsia="lt-LT"/>
    </w:rPr>
  </w:style>
  <w:style w:type="character" w:customStyle="1" w:styleId="KomentarotekstasDiagrama">
    <w:name w:val="Komentaro tekstas Diagrama"/>
    <w:link w:val="Komentarotekstas"/>
    <w:uiPriority w:val="99"/>
    <w:rPr>
      <w:lang w:val="lt-LT" w:eastAsia="lt-LT"/>
    </w:rPr>
  </w:style>
  <w:style w:type="character" w:customStyle="1" w:styleId="AntratsDiagrama">
    <w:name w:val="Antraštės Diagrama"/>
    <w:link w:val="Antrats"/>
    <w:uiPriority w:val="99"/>
    <w:rPr>
      <w:sz w:val="24"/>
      <w:lang w:val="sl-SI" w:eastAsia="sl-SI"/>
    </w:rPr>
  </w:style>
  <w:style w:type="character" w:customStyle="1" w:styleId="PoratDiagrama">
    <w:name w:val="Poraštė Diagrama"/>
    <w:link w:val="Porat"/>
    <w:uiPriority w:val="99"/>
    <w:rPr>
      <w:sz w:val="24"/>
      <w:lang w:val="sl-SI" w:eastAsia="sl-SI"/>
    </w:rPr>
  </w:style>
  <w:style w:type="paragraph" w:styleId="Dokumentoinaostekstas">
    <w:name w:val="endnote text"/>
    <w:basedOn w:val="prastasis"/>
    <w:next w:val="prastasis"/>
    <w:link w:val="DokumentoinaostekstasDiagrama"/>
    <w:uiPriority w:val="99"/>
    <w:unhideWhenUsed/>
    <w:pPr>
      <w:numPr>
        <w:ilvl w:val="3"/>
        <w:numId w:val="11"/>
      </w:numPr>
      <w:tabs>
        <w:tab w:val="left" w:pos="567"/>
      </w:tabs>
      <w:ind w:left="0" w:firstLine="0"/>
    </w:pPr>
    <w:rPr>
      <w:sz w:val="22"/>
      <w:lang w:val="cs-CZ" w:eastAsia="en-US"/>
    </w:rPr>
  </w:style>
  <w:style w:type="character" w:customStyle="1" w:styleId="DokumentoinaostekstasDiagrama">
    <w:name w:val="Dokumento išnašos tekstas Diagrama"/>
    <w:link w:val="Dokumentoinaostekstas"/>
    <w:uiPriority w:val="99"/>
    <w:rPr>
      <w:sz w:val="22"/>
      <w:lang w:val="cs-CZ" w:eastAsia="en-US"/>
    </w:rPr>
  </w:style>
  <w:style w:type="paragraph" w:styleId="Pavadinimas">
    <w:name w:val="Title"/>
    <w:basedOn w:val="prastasis"/>
    <w:link w:val="PavadinimasDiagrama"/>
    <w:autoRedefine/>
    <w:uiPriority w:val="99"/>
    <w:qFormat/>
    <w:pPr>
      <w:jc w:val="center"/>
      <w:outlineLvl w:val="0"/>
    </w:pPr>
    <w:rPr>
      <w:rFonts w:ascii="Cambria" w:hAnsi="Cambria"/>
      <w:b/>
      <w:bCs/>
      <w:kern w:val="28"/>
      <w:sz w:val="32"/>
      <w:szCs w:val="32"/>
      <w:lang w:val="lt-LT" w:eastAsia="lt-LT"/>
    </w:rPr>
  </w:style>
  <w:style w:type="character" w:customStyle="1" w:styleId="PavadinimasDiagrama">
    <w:name w:val="Pavadinimas Diagrama"/>
    <w:link w:val="Pavadinimas"/>
    <w:uiPriority w:val="99"/>
    <w:rPr>
      <w:rFonts w:ascii="Cambria" w:hAnsi="Cambria"/>
      <w:b/>
      <w:bCs/>
      <w:kern w:val="28"/>
      <w:sz w:val="32"/>
      <w:szCs w:val="32"/>
      <w:lang w:val="lt-LT" w:eastAsia="lt-LT"/>
    </w:rPr>
  </w:style>
  <w:style w:type="character" w:customStyle="1" w:styleId="PagrindinistekstasDiagrama">
    <w:name w:val="Pagrindinis tekstas Diagrama"/>
    <w:link w:val="Pagrindinistekstas"/>
    <w:uiPriority w:val="99"/>
    <w:rPr>
      <w:sz w:val="22"/>
      <w:lang w:val="sl-SI" w:eastAsia="sl-SI"/>
    </w:rPr>
  </w:style>
  <w:style w:type="paragraph" w:styleId="Komentarotema">
    <w:name w:val="annotation subject"/>
    <w:basedOn w:val="Komentarotekstas"/>
    <w:next w:val="Komentarotekstas"/>
    <w:link w:val="KomentarotemaDiagrama"/>
    <w:uiPriority w:val="99"/>
    <w:unhideWhenUsed/>
    <w:rPr>
      <w:b/>
      <w:bCs/>
    </w:rPr>
  </w:style>
  <w:style w:type="character" w:customStyle="1" w:styleId="KomentarotemaDiagrama">
    <w:name w:val="Komentaro tema Diagrama"/>
    <w:link w:val="Komentarotema"/>
    <w:uiPriority w:val="99"/>
    <w:rPr>
      <w:b/>
      <w:bCs/>
      <w:lang w:val="lt-LT" w:eastAsia="lt-LT"/>
    </w:rPr>
  </w:style>
  <w:style w:type="paragraph" w:styleId="Debesliotekstas">
    <w:name w:val="Balloon Text"/>
    <w:basedOn w:val="prastasis"/>
    <w:link w:val="DebesliotekstasDiagrama"/>
    <w:uiPriority w:val="99"/>
    <w:unhideWhenUsed/>
    <w:rPr>
      <w:rFonts w:ascii="Tahoma" w:hAnsi="Tahoma" w:cs="Tahoma"/>
      <w:sz w:val="16"/>
      <w:szCs w:val="16"/>
      <w:lang w:val="lt-LT" w:eastAsia="lt-LT"/>
    </w:rPr>
  </w:style>
  <w:style w:type="character" w:customStyle="1" w:styleId="DebesliotekstasDiagrama">
    <w:name w:val="Debesėlio tekstas Diagrama"/>
    <w:link w:val="Debesliotekstas"/>
    <w:uiPriority w:val="99"/>
    <w:rPr>
      <w:rFonts w:ascii="Tahoma" w:hAnsi="Tahoma" w:cs="Tahoma"/>
      <w:sz w:val="16"/>
      <w:szCs w:val="16"/>
      <w:lang w:val="lt-LT" w:eastAsia="lt-LT"/>
    </w:rPr>
  </w:style>
  <w:style w:type="paragraph" w:styleId="Sraopastraipa">
    <w:name w:val="List Paragraph"/>
    <w:basedOn w:val="prastasis"/>
    <w:uiPriority w:val="99"/>
    <w:qFormat/>
    <w:pPr>
      <w:ind w:left="720"/>
      <w:contextualSpacing/>
    </w:pPr>
    <w:rPr>
      <w:sz w:val="22"/>
      <w:lang w:val="lt-LT" w:eastAsia="lt-LT"/>
    </w:rPr>
  </w:style>
  <w:style w:type="paragraph" w:customStyle="1" w:styleId="PI-2EMEASMCA">
    <w:name w:val="PI-2 EMEA_SMCA"/>
    <w:basedOn w:val="Antrat3"/>
    <w:autoRedefine/>
    <w:uiPriority w:val="99"/>
    <w:pPr>
      <w:keepLines/>
      <w:tabs>
        <w:tab w:val="clear" w:pos="6760"/>
        <w:tab w:val="left" w:pos="567"/>
      </w:tabs>
      <w:spacing w:line="240" w:lineRule="auto"/>
      <w:ind w:left="567" w:hanging="567"/>
    </w:pPr>
    <w:rPr>
      <w:kern w:val="28"/>
      <w:sz w:val="22"/>
      <w:szCs w:val="22"/>
      <w:lang w:val="lt-LT" w:eastAsia="en-US"/>
    </w:rPr>
  </w:style>
  <w:style w:type="paragraph" w:customStyle="1" w:styleId="PI-1EMEASMCA">
    <w:name w:val="PI-1 EMEA_SMCA"/>
    <w:basedOn w:val="Antrat2"/>
    <w:autoRedefine/>
    <w:uiPriority w:val="99"/>
    <w:pPr>
      <w:tabs>
        <w:tab w:val="clear" w:pos="4300"/>
        <w:tab w:val="clear" w:pos="5940"/>
        <w:tab w:val="clear" w:pos="8180"/>
        <w:tab w:val="left" w:pos="567"/>
      </w:tabs>
      <w:spacing w:line="240" w:lineRule="auto"/>
      <w:ind w:left="567" w:hanging="567"/>
    </w:pPr>
    <w:rPr>
      <w:sz w:val="22"/>
      <w:szCs w:val="22"/>
      <w:u w:val="none"/>
      <w:lang w:val="sv-SE" w:eastAsia="en-US"/>
    </w:rPr>
  </w:style>
  <w:style w:type="character" w:customStyle="1" w:styleId="BTEMEASMCAChar">
    <w:name w:val="BT EMEA_SMCA Char"/>
    <w:link w:val="BTEMEASMCA"/>
    <w:locked/>
  </w:style>
  <w:style w:type="paragraph" w:customStyle="1" w:styleId="BTEMEASMCA">
    <w:name w:val="BT EMEA_SMCA"/>
    <w:basedOn w:val="prastasis"/>
    <w:link w:val="BTEMEASMCAChar"/>
    <w:autoRedefine/>
    <w:rPr>
      <w:sz w:val="20"/>
      <w:lang w:val="en-GB" w:eastAsia="en-GB"/>
    </w:rPr>
  </w:style>
  <w:style w:type="character" w:customStyle="1" w:styleId="TTEMEASMCAChar">
    <w:name w:val="TT EMEA_SMCA Char"/>
    <w:link w:val="TTEMEASMCA"/>
    <w:uiPriority w:val="99"/>
    <w:locked/>
    <w:rPr>
      <w:b/>
      <w:caps/>
      <w:lang w:val="en-US"/>
    </w:rPr>
  </w:style>
  <w:style w:type="paragraph" w:customStyle="1" w:styleId="TTEMEASMCA">
    <w:name w:val="TT EMEA_SMCA"/>
    <w:basedOn w:val="Antrat1"/>
    <w:link w:val="TTEMEASMCAChar"/>
    <w:autoRedefine/>
    <w:uiPriority w:val="99"/>
    <w:pPr>
      <w:keepNext w:val="0"/>
      <w:tabs>
        <w:tab w:val="left" w:pos="567"/>
      </w:tabs>
      <w:spacing w:before="0" w:after="0"/>
      <w:ind w:left="567" w:hanging="567"/>
      <w:jc w:val="center"/>
    </w:pPr>
    <w:rPr>
      <w:rFonts w:ascii="Times New Roman" w:hAnsi="Times New Roman" w:cs="Times New Roman"/>
      <w:bCs w:val="0"/>
      <w:caps/>
      <w:kern w:val="0"/>
      <w:sz w:val="20"/>
      <w:szCs w:val="20"/>
      <w:lang w:val="en-US" w:eastAsia="en-GB"/>
    </w:rPr>
  </w:style>
  <w:style w:type="paragraph" w:customStyle="1" w:styleId="PI-3EMEASMCA">
    <w:name w:val="PI-3 EMEA_SMCA"/>
    <w:basedOn w:val="prastasis"/>
    <w:autoRedefine/>
    <w:uiPriority w:val="99"/>
    <w:pPr>
      <w:spacing w:line="220" w:lineRule="exact"/>
    </w:pPr>
    <w:rPr>
      <w:b/>
      <w:bCs/>
      <w:sz w:val="22"/>
      <w:szCs w:val="22"/>
      <w:lang w:val="lt-LT" w:eastAsia="en-US"/>
    </w:rPr>
  </w:style>
  <w:style w:type="paragraph" w:customStyle="1" w:styleId="MGGTextLeft">
    <w:name w:val="MGG Text Left"/>
    <w:basedOn w:val="Pagrindinistekstas"/>
    <w:uiPriority w:val="99"/>
    <w:pPr>
      <w:numPr>
        <w:ilvl w:val="0"/>
      </w:numPr>
      <w:tabs>
        <w:tab w:val="clear" w:pos="8505"/>
      </w:tabs>
      <w:ind w:right="0"/>
    </w:pPr>
    <w:rPr>
      <w:sz w:val="24"/>
      <w:szCs w:val="24"/>
      <w:lang w:val="en-GB" w:eastAsia="en-US"/>
    </w:rPr>
  </w:style>
  <w:style w:type="character" w:customStyle="1" w:styleId="EMEABodyTextChar">
    <w:name w:val="EMEA Body Text Char"/>
    <w:link w:val="EMEABodyText"/>
    <w:uiPriority w:val="99"/>
    <w:locked/>
  </w:style>
  <w:style w:type="paragraph" w:customStyle="1" w:styleId="EMEABodyText">
    <w:name w:val="EMEA Body Text"/>
    <w:basedOn w:val="prastasis"/>
    <w:link w:val="EMEABodyTextChar"/>
    <w:uiPriority w:val="99"/>
    <w:pPr>
      <w:numPr>
        <w:numId w:val="11"/>
      </w:numPr>
      <w:ind w:left="0" w:firstLine="0"/>
    </w:pPr>
    <w:rPr>
      <w:sz w:val="20"/>
      <w:lang w:val="en-GB" w:eastAsia="en-GB"/>
    </w:rPr>
  </w:style>
  <w:style w:type="paragraph" w:customStyle="1" w:styleId="EMEATableCentered">
    <w:name w:val="EMEA Table Centered"/>
    <w:basedOn w:val="prastasis"/>
    <w:next w:val="prastasis"/>
    <w:uiPriority w:val="99"/>
    <w:pPr>
      <w:keepNext/>
      <w:keepLines/>
      <w:numPr>
        <w:ilvl w:val="1"/>
        <w:numId w:val="11"/>
      </w:numPr>
      <w:ind w:left="0" w:firstLine="0"/>
      <w:jc w:val="center"/>
    </w:pPr>
    <w:rPr>
      <w:sz w:val="22"/>
      <w:lang w:val="en-GB" w:eastAsia="en-US"/>
    </w:rPr>
  </w:style>
  <w:style w:type="paragraph" w:customStyle="1" w:styleId="EMEAHeading1NoIndent">
    <w:name w:val="EMEA Heading 1 No Indent"/>
    <w:basedOn w:val="prastasis"/>
    <w:next w:val="prastasis"/>
    <w:uiPriority w:val="99"/>
    <w:pPr>
      <w:keepNext/>
      <w:keepLines/>
      <w:numPr>
        <w:ilvl w:val="2"/>
        <w:numId w:val="11"/>
      </w:numPr>
      <w:ind w:left="0" w:firstLine="0"/>
      <w:outlineLvl w:val="0"/>
    </w:pPr>
    <w:rPr>
      <w:b/>
      <w:caps/>
      <w:sz w:val="22"/>
      <w:lang w:val="en-GB" w:eastAsia="en-US"/>
    </w:rPr>
  </w:style>
  <w:style w:type="paragraph" w:customStyle="1" w:styleId="Title1">
    <w:name w:val="Title1"/>
    <w:basedOn w:val="Pavadinimas"/>
    <w:uiPriority w:val="99"/>
    <w:rPr>
      <w:rFonts w:ascii="Times New Roman" w:hAnsi="Times New Roman"/>
      <w:bCs w:val="0"/>
      <w:sz w:val="22"/>
      <w:szCs w:val="22"/>
    </w:rPr>
  </w:style>
  <w:style w:type="paragraph" w:customStyle="1" w:styleId="BTuEMEASMCA">
    <w:name w:val="BT(u) EMEA_SMCA"/>
    <w:basedOn w:val="BTEMEASMCA"/>
    <w:autoRedefine/>
    <w:uiPriority w:val="99"/>
    <w:pPr>
      <w:tabs>
        <w:tab w:val="left" w:pos="567"/>
      </w:tabs>
    </w:pPr>
    <w:rPr>
      <w:rFonts w:ascii="Calibri" w:eastAsia="Calibri" w:hAnsi="Calibri"/>
      <w:noProof/>
      <w:u w:val="single"/>
    </w:rPr>
  </w:style>
  <w:style w:type="character" w:styleId="Komentaronuoroda">
    <w:name w:val="annotation reference"/>
    <w:uiPriority w:val="99"/>
    <w:unhideWhenUsed/>
    <w:rPr>
      <w:rFonts w:ascii="Times New Roman" w:hAnsi="Times New Roman" w:cs="Times New Roman" w:hint="default"/>
      <w:sz w:val="16"/>
      <w:szCs w:val="16"/>
    </w:rPr>
  </w:style>
  <w:style w:type="character" w:customStyle="1" w:styleId="BTEMEASMCADiagrama">
    <w:name w:val="BT EMEA_SMCA Diagrama"/>
    <w:uiPriority w:val="99"/>
    <w:rPr>
      <w:color w:val="000000"/>
      <w:sz w:val="22"/>
    </w:rPr>
  </w:style>
  <w:style w:type="paragraph" w:styleId="Pataisymai">
    <w:name w:val="Revision"/>
    <w:hidden/>
    <w:uiPriority w:val="99"/>
    <w:semiHidden/>
    <w:rPr>
      <w:sz w:val="24"/>
      <w:lang w:val="sl-SI" w:eastAsia="sl-SI"/>
    </w:rPr>
  </w:style>
  <w:style w:type="character" w:customStyle="1" w:styleId="Neapdorotaspaminjimas1">
    <w:name w:val="Neapdorotas paminėjimas1"/>
    <w:basedOn w:val="Numatytasispastraiposriftas"/>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34</Pages>
  <Words>50097</Words>
  <Characters>28556</Characters>
  <Application>Microsoft Office Word</Application>
  <DocSecurity>0</DocSecurity>
  <Lines>237</Lines>
  <Paragraphs>156</Paragraphs>
  <ScaleCrop>false</ScaleCrop>
  <HeadingPairs>
    <vt:vector size="6" baseType="variant">
      <vt:variant>
        <vt:lpstr>Pavadinimas</vt:lpstr>
      </vt:variant>
      <vt:variant>
        <vt:i4>1</vt:i4>
      </vt:variant>
      <vt:variant>
        <vt:lpstr>Title</vt:lpstr>
      </vt:variant>
      <vt:variant>
        <vt:i4>1</vt:i4>
      </vt:variant>
      <vt:variant>
        <vt:lpstr>Naslov</vt:lpstr>
      </vt:variant>
      <vt:variant>
        <vt:i4>1</vt:i4>
      </vt:variant>
    </vt:vector>
  </HeadingPairs>
  <TitlesOfParts>
    <vt:vector size="3" baseType="lpstr">
      <vt:lpstr>PARTICULARS TO APPEAR ON &lt;THE OUTER PACKAGING&gt; &lt;AND&gt; &lt;THE IMMEDIATE PACKAGING&gt;</vt:lpstr>
      <vt:lpstr>PARTICULARS TO APPEAR ON &lt;THE OUTER PACKAGING&gt; &lt;AND&gt; &lt;THE IMMEDIATE PACKAGING&gt;</vt:lpstr>
      <vt:lpstr>PARTICULARS TO APPEAR ON &lt;THE OUTER PACKAGING&gt; &lt;AND&gt; &lt;THE IMMEDIATE PACKAGING&gt;</vt:lpstr>
    </vt:vector>
  </TitlesOfParts>
  <Company>Krka, d.d.</Company>
  <LinksUpToDate>false</LinksUpToDate>
  <CharactersWithSpaces>78497</CharactersWithSpaces>
  <SharedDoc>false</SharedDoc>
  <HLinks>
    <vt:vector size="30" baseType="variant">
      <vt:variant>
        <vt:i4>7077950</vt:i4>
      </vt:variant>
      <vt:variant>
        <vt:i4>12</vt:i4>
      </vt:variant>
      <vt:variant>
        <vt:i4>0</vt:i4>
      </vt:variant>
      <vt:variant>
        <vt:i4>5</vt:i4>
      </vt:variant>
      <vt:variant>
        <vt:lpwstr>http://www.vvkt.lt/</vt:lpwstr>
      </vt:variant>
      <vt:variant>
        <vt:lpwstr/>
      </vt:variant>
      <vt:variant>
        <vt:i4>2162708</vt:i4>
      </vt:variant>
      <vt:variant>
        <vt:i4>9</vt:i4>
      </vt:variant>
      <vt:variant>
        <vt:i4>0</vt:i4>
      </vt:variant>
      <vt:variant>
        <vt:i4>5</vt:i4>
      </vt:variant>
      <vt:variant>
        <vt:lpwstr>mailto:NepageidaujamaR@vvkt.lt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PARTICULARS TO APPEAR ON &lt;THE OUTER PACKAGING&gt; &lt;AND&gt; &lt;THE IMMEDIATE PACKAGING&gt;</dc:title>
  <dc:subject/>
  <dc:creator>karmen</dc:creator>
  <cp:keywords/>
  <cp:lastModifiedBy>Albina Burkauskaitė</cp:lastModifiedBy>
  <cp:revision>3</cp:revision>
  <dcterms:created xsi:type="dcterms:W3CDTF">2026-05-22T08:01:00Z</dcterms:created>
  <dcterms:modified xsi:type="dcterms:W3CDTF">2026-05-22T08:02:00Z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p_title">
    <vt:lpwstr/>
  </property>
  <property fmtid="{D5CDD505-2E9C-101B-9397-08002B2CF9AE}" pid="3" name="ph_inn_name">
    <vt:lpwstr/>
  </property>
  <property fmtid="{D5CDD505-2E9C-101B-9397-08002B2CF9AE}" pid="4" name="ph_pharm_form">
    <vt:lpwstr/>
  </property>
  <property fmtid="{D5CDD505-2E9C-101B-9397-08002B2CF9AE}" pid="5" name="ph_unit_measure">
    <vt:lpwstr/>
  </property>
  <property fmtid="{D5CDD505-2E9C-101B-9397-08002B2CF9AE}" pid="6" name="mp_first_effective_date">
    <vt:lpwstr/>
  </property>
  <property fmtid="{D5CDD505-2E9C-101B-9397-08002B2CF9AE}" pid="7" name="mp_updated_effective_date">
    <vt:lpwstr/>
  </property>
  <property fmtid="{D5CDD505-2E9C-101B-9397-08002B2CF9AE}" pid="8" name="object_name">
    <vt:lpwstr>PI_Text107252_1</vt:lpwstr>
  </property>
  <property fmtid="{D5CDD505-2E9C-101B-9397-08002B2CF9AE}" pid="9" name="ph_strength_custom">
    <vt:lpwstr/>
  </property>
  <property fmtid="{D5CDD505-2E9C-101B-9397-08002B2CF9AE}" pid="10" name="mp_document_code">
    <vt:lpwstr/>
  </property>
  <property fmtid="{D5CDD505-2E9C-101B-9397-08002B2CF9AE}" pid="11" name="drz1">
    <vt:lpwstr/>
  </property>
  <property fmtid="{D5CDD505-2E9C-101B-9397-08002B2CF9AE}" pid="12" name="drz2">
    <vt:lpwstr/>
  </property>
  <property fmtid="{D5CDD505-2E9C-101B-9397-08002B2CF9AE}" pid="13" name="drz3">
    <vt:lpwstr/>
  </property>
  <property fmtid="{D5CDD505-2E9C-101B-9397-08002B2CF9AE}" pid="14" name="drz4">
    <vt:lpwstr/>
  </property>
  <property fmtid="{D5CDD505-2E9C-101B-9397-08002B2CF9AE}" pid="15" name="drz5">
    <vt:lpwstr/>
  </property>
  <property fmtid="{D5CDD505-2E9C-101B-9397-08002B2CF9AE}" pid="16" name="drz6">
    <vt:lpwstr/>
  </property>
  <property fmtid="{D5CDD505-2E9C-101B-9397-08002B2CF9AE}" pid="17" name="drz7">
    <vt:lpwstr/>
  </property>
  <property fmtid="{D5CDD505-2E9C-101B-9397-08002B2CF9AE}" pid="18" name="drz8">
    <vt:lpwstr/>
  </property>
  <property fmtid="{D5CDD505-2E9C-101B-9397-08002B2CF9AE}" pid="19" name="drz9">
    <vt:lpwstr/>
  </property>
  <property fmtid="{D5CDD505-2E9C-101B-9397-08002B2CF9AE}" pid="20" name="drz10">
    <vt:lpwstr/>
  </property>
  <property fmtid="{D5CDD505-2E9C-101B-9397-08002B2CF9AE}" pid="21" name="RMS_drz1">
    <vt:lpwstr/>
  </property>
  <property fmtid="{D5CDD505-2E9C-101B-9397-08002B2CF9AE}" pid="22" name="RMS_drz2">
    <vt:lpwstr/>
  </property>
  <property fmtid="{D5CDD505-2E9C-101B-9397-08002B2CF9AE}" pid="23" name="RMS_drz3">
    <vt:lpwstr/>
  </property>
  <property fmtid="{D5CDD505-2E9C-101B-9397-08002B2CF9AE}" pid="24" name="RMS_drz4">
    <vt:lpwstr/>
  </property>
  <property fmtid="{D5CDD505-2E9C-101B-9397-08002B2CF9AE}" pid="25" name="RMS_drz5">
    <vt:lpwstr/>
  </property>
</Properties>
</file>