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36" w:rsidRDefault="00A73E36" w:rsidP="00A73E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Pakuotės lapelis: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>informacija vartotojui</w:t>
      </w:r>
    </w:p>
    <w:p w:rsidR="00A73E36" w:rsidRDefault="00A73E36" w:rsidP="00A73E36">
      <w:pPr>
        <w:spacing w:after="0" w:line="240" w:lineRule="auto"/>
        <w:jc w:val="center"/>
        <w:rPr>
          <w:rFonts w:ascii="Times New Roman" w:hAnsi="Times New Roman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proofErr w:type="spellStart"/>
      <w:r>
        <w:rPr>
          <w:rFonts w:ascii="Times New Roman" w:hAnsi="Times New Roman"/>
          <w:b/>
          <w:lang w:eastAsia="lt-LT"/>
        </w:rPr>
        <w:t>Mediran</w:t>
      </w:r>
      <w:proofErr w:type="spellEnd"/>
      <w:r>
        <w:rPr>
          <w:rFonts w:ascii="Times New Roman" w:hAnsi="Times New Roman"/>
          <w:b/>
          <w:lang w:eastAsia="lt-LT"/>
        </w:rPr>
        <w:t xml:space="preserve"> 150 mg plėvele dengtos tabletės</w:t>
      </w:r>
    </w:p>
    <w:p w:rsidR="00A73E36" w:rsidRDefault="00A73E36" w:rsidP="00A73E36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Ranitidinas</w:t>
      </w:r>
    </w:p>
    <w:p w:rsidR="00A73E36" w:rsidRDefault="00A73E36" w:rsidP="00A73E36">
      <w:pPr>
        <w:spacing w:after="0" w:line="240" w:lineRule="auto"/>
        <w:jc w:val="center"/>
        <w:rPr>
          <w:rFonts w:ascii="Times New Roman" w:hAnsi="Times New Roman"/>
        </w:rPr>
      </w:pPr>
    </w:p>
    <w:p w:rsidR="00A73E36" w:rsidRDefault="00A73E36" w:rsidP="00A73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:rsidR="00A73E36" w:rsidRDefault="00A73E36" w:rsidP="00A73E36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t>Visada vartokite šį vaistą tiksliai kaip aprašyta šiame lapelyje arba kaip nurodė gydytojas arba vaistininkas.</w:t>
      </w:r>
    </w:p>
    <w:p w:rsidR="00A73E36" w:rsidRDefault="00A73E36" w:rsidP="00A73E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t>Neišmeskite šio lapelio, nes vėl gali prireikti jį perskaityti.</w:t>
      </w:r>
      <w:r>
        <w:rPr>
          <w:rFonts w:ascii="Times New Roman" w:hAnsi="Times New Roman"/>
          <w:snapToGrid w:val="0"/>
        </w:rPr>
        <w:t xml:space="preserve"> </w:t>
      </w:r>
    </w:p>
    <w:p w:rsidR="00A73E36" w:rsidRDefault="00A73E36" w:rsidP="00A73E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t>Jeigu norite sužinoti daugiau arba pasitarti, kreipkitės į vaistininką.</w:t>
      </w:r>
    </w:p>
    <w:p w:rsidR="00A73E36" w:rsidRDefault="00A73E36" w:rsidP="00A73E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  <w:szCs w:val="24"/>
        </w:rPr>
        <w:t>Šis vaistas skirtas tik Jums, todėl kitiems žmonėms jo duoti negalima.</w:t>
      </w:r>
      <w:r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noProof/>
          <w:snapToGrid w:val="0"/>
          <w:szCs w:val="24"/>
        </w:rPr>
        <w:t>Vaistas gali jiems pakenkti (net tiems, kurių ligos požymiai yra tokie patys kaip Jūsų).</w:t>
      </w:r>
    </w:p>
    <w:p w:rsidR="00A73E36" w:rsidRDefault="00A73E36" w:rsidP="00A73E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pStyle w:val="Antrat4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Mediran</w:t>
      </w:r>
      <w:proofErr w:type="spellEnd"/>
      <w:r>
        <w:rPr>
          <w:rFonts w:ascii="Times New Roman" w:hAnsi="Times New Roman"/>
        </w:rPr>
        <w:t xml:space="preserve"> ir kam jis vartojamas</w:t>
      </w: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Mediran</w:t>
      </w:r>
      <w:proofErr w:type="spellEnd"/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Mediran</w:t>
      </w:r>
      <w:proofErr w:type="spellEnd"/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Galimas šalutinis poveikis</w:t>
      </w: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Mediran</w:t>
      </w:r>
      <w:proofErr w:type="spellEnd"/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bookmarkStart w:id="0" w:name="_Toc129243264"/>
      <w:bookmarkStart w:id="1" w:name="_Toc129243139"/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Mediran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bookmarkEnd w:id="0"/>
    <w:bookmarkEnd w:id="1"/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 xml:space="preserve"> sudėtyje yra veikliosios medžiagos </w:t>
      </w:r>
      <w:proofErr w:type="spellStart"/>
      <w:r>
        <w:rPr>
          <w:rFonts w:ascii="Times New Roman" w:hAnsi="Times New Roman"/>
          <w:lang w:eastAsia="lt-LT"/>
        </w:rPr>
        <w:t>ranitidino</w:t>
      </w:r>
      <w:proofErr w:type="spellEnd"/>
      <w:r>
        <w:rPr>
          <w:rFonts w:ascii="Times New Roman" w:hAnsi="Times New Roman"/>
          <w:lang w:eastAsia="lt-LT"/>
        </w:rPr>
        <w:t xml:space="preserve">, kuris priklauso vaistų, vadinamų H2 receptorių antagonistais, grupei. Šis vaistas veikia apsaugodamas skrandį nuo perteklinės rūgšties gamybos. 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Suaugusiems (įskaitant senyvo amžiaus) pacientams </w:t>
      </w: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 xml:space="preserve"> vartojamas: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skrandžio veiklos sutrikimo ir rėmens gydymui bei profilaktikai;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bookmarkStart w:id="2" w:name="_Hlk16709423"/>
      <w:r>
        <w:rPr>
          <w:rFonts w:ascii="Times New Roman" w:hAnsi="Times New Roman"/>
          <w:lang w:eastAsia="lt-LT"/>
        </w:rPr>
        <w:t xml:space="preserve">skrandžio bei žarnyno dalies, į kurią maistas iš skrandžio patenka pirmiausia (dvylikapirštės žarnos) opų gydymui ir </w:t>
      </w:r>
      <w:bookmarkEnd w:id="2"/>
      <w:r>
        <w:rPr>
          <w:rFonts w:ascii="Times New Roman" w:hAnsi="Times New Roman"/>
          <w:lang w:eastAsia="lt-LT"/>
        </w:rPr>
        <w:t>profilaktikai;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skrandžio infekcinės ligos gydymui, vartojant kartu su antibiotikais (vaistais, skirtais mikroorganizmų naikinimui);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skrandžio opų, atsirandančių dėl kai kurių vaistų šalutinio poveikio, profilaktikai;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kraujavimo iš opų profilaktikai;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sutrikimų, kurie gali kilti, kai stemplėje (virškinimo trakto dalyje, į kurią maistas iš burnos patenka pirmiausia) yra rūgšties arba kai skrandyje susidaro per daug rūgšties, lengvinimui; abiem atvejais gali atsirasti skausmas arba diskomforto jausmas, kurie dar kartais vadinami „</w:t>
      </w:r>
      <w:proofErr w:type="spellStart"/>
      <w:r>
        <w:rPr>
          <w:rFonts w:ascii="Times New Roman" w:hAnsi="Times New Roman"/>
          <w:lang w:eastAsia="lt-LT"/>
        </w:rPr>
        <w:t>nevirškinimu</w:t>
      </w:r>
      <w:proofErr w:type="spellEnd"/>
      <w:r>
        <w:rPr>
          <w:rFonts w:ascii="Times New Roman" w:hAnsi="Times New Roman"/>
          <w:lang w:eastAsia="lt-LT"/>
        </w:rPr>
        <w:t>“, „virškinimo sutrikimu“ arba „ rėmeniu“;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rūgšties ištekėjimo iš skrandžio profilaktikai</w:t>
      </w:r>
      <w:r>
        <w:t xml:space="preserve"> </w:t>
      </w:r>
      <w:r>
        <w:rPr>
          <w:rFonts w:ascii="Times New Roman" w:hAnsi="Times New Roman"/>
          <w:lang w:eastAsia="lt-LT"/>
        </w:rPr>
        <w:t>anestezijos metu (atliekant chirurginę operaciją).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en-US" w:eastAsia="lt-LT"/>
        </w:rPr>
      </w:pPr>
    </w:p>
    <w:p w:rsidR="00A73E36" w:rsidRDefault="00A73E36" w:rsidP="00A73E36">
      <w:pPr>
        <w:pStyle w:val="Sraopastraipa"/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Vaikams (3-18 metų amžiaus) </w:t>
      </w: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t xml:space="preserve"> </w:t>
      </w:r>
      <w:r>
        <w:rPr>
          <w:rFonts w:ascii="Times New Roman" w:hAnsi="Times New Roman"/>
          <w:lang w:eastAsia="lt-LT"/>
        </w:rPr>
        <w:t>vartojamas:</w:t>
      </w:r>
    </w:p>
    <w:p w:rsidR="00A73E36" w:rsidRDefault="00A73E36" w:rsidP="00A73E3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skrandžio bei žarnyno dalies, į kurią maistas iš skrandžio patenka pirmiausia (dvylikapirštės žarnos) opų gydymui;</w:t>
      </w:r>
    </w:p>
    <w:p w:rsidR="00A73E36" w:rsidRDefault="00A73E36" w:rsidP="00A73E36">
      <w:pPr>
        <w:pStyle w:val="Sraopastraipa"/>
        <w:numPr>
          <w:ilvl w:val="0"/>
          <w:numId w:val="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sutrikimų, kurie gali kilti, kai stemplėje (virškinimo trakto dalyje, į kurią maistas iš burnos patenka pirmiausia) yra rūgšties arba kai skrandyje susidaro per daug rūgšties, gydymui ir profilaktikai; abiem atvejais gali atsirasti skausmas arba diskomforto jausmas, kurie dar kartais vadinami „</w:t>
      </w:r>
      <w:proofErr w:type="spellStart"/>
      <w:r>
        <w:rPr>
          <w:rFonts w:ascii="Times New Roman" w:hAnsi="Times New Roman"/>
          <w:lang w:eastAsia="lt-LT"/>
        </w:rPr>
        <w:t>nevirškinimu</w:t>
      </w:r>
      <w:proofErr w:type="spellEnd"/>
      <w:r>
        <w:rPr>
          <w:rFonts w:ascii="Times New Roman" w:hAnsi="Times New Roman"/>
          <w:lang w:eastAsia="lt-LT"/>
        </w:rPr>
        <w:t>“, „virškinimo sutrikimu“ arba „ rėmeniu“.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noProof/>
          <w:szCs w:val="24"/>
        </w:rPr>
        <w:t>Jeigu per 14 dienų Jūsų savijauta nepagerėjo arba net pablogėjo, kreipkitės į gydytoją.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bookmarkStart w:id="3" w:name="_Toc129243265"/>
      <w:bookmarkStart w:id="4" w:name="_Toc129243140"/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Mediran</w:t>
      </w:r>
      <w:proofErr w:type="spellEnd"/>
    </w:p>
    <w:bookmarkEnd w:id="3"/>
    <w:bookmarkEnd w:id="4"/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Mediran</w:t>
      </w:r>
      <w:proofErr w:type="spellEnd"/>
      <w:r>
        <w:rPr>
          <w:rFonts w:ascii="Times New Roman" w:hAnsi="Times New Roman"/>
          <w:b/>
        </w:rPr>
        <w:t xml:space="preserve"> vartoti negalima</w:t>
      </w:r>
      <w:r>
        <w:rPr>
          <w:rFonts w:ascii="Times New Roman" w:hAnsi="Times New Roman"/>
        </w:rPr>
        <w:t>: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jeigu yra alergija </w:t>
      </w:r>
      <w:proofErr w:type="spellStart"/>
      <w:r>
        <w:rPr>
          <w:rFonts w:ascii="Times New Roman" w:hAnsi="Times New Roman"/>
        </w:rPr>
        <w:t>ranitidinui</w:t>
      </w:r>
      <w:proofErr w:type="spellEnd"/>
      <w:r>
        <w:rPr>
          <w:rFonts w:ascii="Times New Roman" w:hAnsi="Times New Roman"/>
        </w:rPr>
        <w:t xml:space="preserve"> arba bet kuriai pagalbinei šio vaisto medžiagai (jos išvardytos 6 skyriuje).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Jeigu abejojate, prieš pradėdami vartoti </w:t>
      </w: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 xml:space="preserve"> kreipkitės į gydytoją arba vaistininką.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Pasitarkite su gydytoju arba vaistininku prieš pradėdami vartoti </w:t>
      </w:r>
      <w:proofErr w:type="spellStart"/>
      <w:r>
        <w:rPr>
          <w:rFonts w:ascii="Times New Roman" w:hAnsi="Times New Roman"/>
        </w:rPr>
        <w:t>Mediran</w:t>
      </w:r>
      <w:proofErr w:type="spellEnd"/>
      <w:r>
        <w:rPr>
          <w:rFonts w:ascii="Times New Roman" w:hAnsi="Times New Roman"/>
        </w:rPr>
        <w:t>, jeigu: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jums diagnozuotas skrandžio vėžys;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jums yra inkstų funkcijos sutrikimų; jums reikės vartoti kitokią </w:t>
      </w:r>
      <w:proofErr w:type="spellStart"/>
      <w:r>
        <w:rPr>
          <w:rFonts w:ascii="Times New Roman" w:hAnsi="Times New Roman"/>
        </w:rPr>
        <w:t>Mediran</w:t>
      </w:r>
      <w:proofErr w:type="spellEnd"/>
      <w:r>
        <w:rPr>
          <w:rFonts w:ascii="Times New Roman" w:hAnsi="Times New Roman"/>
        </w:rPr>
        <w:t xml:space="preserve"> dozę;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yra buvę skrandžio opų ir vartojate vaistų, vadinamųjų nesteroidinių vaistų nuo uždegimo (NVNU);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sergate reta liga, vaidinama ūmine </w:t>
      </w:r>
      <w:proofErr w:type="spellStart"/>
      <w:r>
        <w:rPr>
          <w:rFonts w:ascii="Times New Roman" w:hAnsi="Times New Roman"/>
        </w:rPr>
        <w:t>porfirija</w:t>
      </w:r>
      <w:proofErr w:type="spellEnd"/>
      <w:r>
        <w:rPr>
          <w:rFonts w:ascii="Times New Roman" w:hAnsi="Times New Roman"/>
        </w:rPr>
        <w:t>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esate vyresnis kaip 65 metų amžiaus;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sergate plaučių liga;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sergate cukriniu diabetu;</w:t>
      </w:r>
    </w:p>
    <w:p w:rsidR="00A73E36" w:rsidRDefault="00A73E36" w:rsidP="00A73E36">
      <w:pPr>
        <w:pStyle w:val="MediumShading1-Accent21"/>
        <w:numPr>
          <w:ilvl w:val="0"/>
          <w:numId w:val="3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jums yra imuninės sistemos sutrikimų.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</w:rPr>
        <w:t>Jeigu abejojate, ar Jums tinka bet kuris iš aukščiau nurodytų įspėjimų, pasitarkite su gydytoju arba vaistininku.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" w:hAnsi="Times New Roman"/>
          <w:b/>
        </w:rPr>
        <w:t>Mediran</w:t>
      </w:r>
      <w:proofErr w:type="spellEnd"/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noProof/>
        </w:rPr>
        <w:t>Jeigu vartojate ar neseniai vartojote kitų vaistų, įskaitant įsigytus be recepto bei augalinius vaistus, arba dėl to nesate tikri, apie tai pasakykite gydytojui arba vaistininkui.</w:t>
      </w:r>
      <w:r>
        <w:rPr>
          <w:rFonts w:ascii="Times New Roman" w:hAnsi="Times New Roman"/>
          <w:lang w:eastAsia="lt-LT"/>
        </w:rPr>
        <w:t xml:space="preserve"> Taip yra todėl, kad </w:t>
      </w: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 xml:space="preserve"> tabletės gali pakeisti kitų vaistų poveikį. Kai kurie kiti vaistai taip pat gali pakeisti </w:t>
      </w: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 xml:space="preserve"> tablečių poveikį. 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Ypatingai svarbu  pranešti gydytojui arba vaistininkui, jeigu vartojate toliau išvardytų vaistų: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skausmą arba uždegimą malšinančių nesteroidinių vaistų nuo uždegimo (NVNU);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lokalaus anestetiko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>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propranololio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prokainamido</w:t>
      </w:r>
      <w:proofErr w:type="spellEnd"/>
      <w:r>
        <w:rPr>
          <w:rFonts w:ascii="Times New Roman" w:hAnsi="Times New Roman"/>
        </w:rPr>
        <w:t xml:space="preserve"> arba n-</w:t>
      </w:r>
      <w:proofErr w:type="spellStart"/>
      <w:r>
        <w:rPr>
          <w:rFonts w:ascii="Times New Roman" w:hAnsi="Times New Roman"/>
        </w:rPr>
        <w:t>acetilprokainamido</w:t>
      </w:r>
      <w:proofErr w:type="spellEnd"/>
      <w:r>
        <w:rPr>
          <w:rFonts w:ascii="Times New Roman" w:hAnsi="Times New Roman"/>
        </w:rPr>
        <w:t xml:space="preserve"> širdies sutrikimams gydyti;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diazepamo</w:t>
      </w:r>
      <w:proofErr w:type="spellEnd"/>
      <w:r>
        <w:rPr>
          <w:rFonts w:ascii="Times New Roman" w:hAnsi="Times New Roman"/>
        </w:rPr>
        <w:t xml:space="preserve"> jaudulio ar nerimo malšinimui;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fenitoino</w:t>
      </w:r>
      <w:proofErr w:type="spellEnd"/>
      <w:r>
        <w:rPr>
          <w:rFonts w:ascii="Times New Roman" w:hAnsi="Times New Roman"/>
        </w:rPr>
        <w:t xml:space="preserve"> epilepsijos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teofilino</w:t>
      </w:r>
      <w:proofErr w:type="spellEnd"/>
      <w:r>
        <w:rPr>
          <w:rFonts w:ascii="Times New Roman" w:hAnsi="Times New Roman"/>
        </w:rPr>
        <w:t xml:space="preserve"> kvėpavimo sutrikimų (astmos)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varfarino</w:t>
      </w:r>
      <w:proofErr w:type="spellEnd"/>
      <w:r>
        <w:rPr>
          <w:rFonts w:ascii="Times New Roman" w:hAnsi="Times New Roman"/>
        </w:rPr>
        <w:t xml:space="preserve"> kraujo krešėjimui mažinti;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glipizido</w:t>
      </w:r>
      <w:proofErr w:type="spellEnd"/>
      <w:r>
        <w:rPr>
          <w:rFonts w:ascii="Times New Roman" w:hAnsi="Times New Roman"/>
        </w:rPr>
        <w:t xml:space="preserve"> gliukozės kiekio kraujyje mažinimui;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atazanaviro</w:t>
      </w:r>
      <w:proofErr w:type="spellEnd"/>
      <w:r>
        <w:rPr>
          <w:rFonts w:ascii="Times New Roman" w:hAnsi="Times New Roman"/>
        </w:rPr>
        <w:t xml:space="preserve"> arba </w:t>
      </w:r>
      <w:proofErr w:type="spellStart"/>
      <w:r>
        <w:rPr>
          <w:rFonts w:ascii="Times New Roman" w:hAnsi="Times New Roman"/>
        </w:rPr>
        <w:t>delaviridino</w:t>
      </w:r>
      <w:proofErr w:type="spellEnd"/>
      <w:r>
        <w:rPr>
          <w:rFonts w:ascii="Times New Roman" w:hAnsi="Times New Roman"/>
        </w:rPr>
        <w:t xml:space="preserve"> ŽIV infekcijos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triazolamo</w:t>
      </w:r>
      <w:proofErr w:type="spellEnd"/>
      <w:r>
        <w:rPr>
          <w:rFonts w:ascii="Times New Roman" w:hAnsi="Times New Roman"/>
        </w:rPr>
        <w:t xml:space="preserve"> nemigos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gefitnibo</w:t>
      </w:r>
      <w:proofErr w:type="spellEnd"/>
      <w:r>
        <w:rPr>
          <w:rFonts w:ascii="Times New Roman" w:hAnsi="Times New Roman"/>
        </w:rPr>
        <w:t xml:space="preserve"> plaučių vėžio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ketokonazolo</w:t>
      </w:r>
      <w:proofErr w:type="spellEnd"/>
      <w:r>
        <w:rPr>
          <w:rFonts w:ascii="Times New Roman" w:hAnsi="Times New Roman"/>
        </w:rPr>
        <w:t>, priešgrybelinio vaisto, kartais vartojamo pienligės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sukralfato</w:t>
      </w:r>
      <w:proofErr w:type="spellEnd"/>
      <w:r>
        <w:rPr>
          <w:rFonts w:ascii="Times New Roman" w:hAnsi="Times New Roman"/>
        </w:rPr>
        <w:t xml:space="preserve"> skrandžio opų gydymui;</w:t>
      </w:r>
    </w:p>
    <w:p w:rsidR="00A73E36" w:rsidRDefault="00A73E36" w:rsidP="00A73E36">
      <w:pPr>
        <w:pStyle w:val="MediumShading1-Accent21"/>
        <w:numPr>
          <w:ilvl w:val="0"/>
          <w:numId w:val="4"/>
        </w:numPr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midazolamo</w:t>
      </w:r>
      <w:proofErr w:type="spellEnd"/>
      <w:r>
        <w:rPr>
          <w:rFonts w:ascii="Times New Roman" w:hAnsi="Times New Roman"/>
        </w:rPr>
        <w:t xml:space="preserve">, vaisto, kuris skiriamas prieš pat atliekant chirurginę operaciją. Pasakykite gydytojui, jeigu vartojate </w:t>
      </w:r>
      <w:proofErr w:type="spellStart"/>
      <w:r>
        <w:rPr>
          <w:rFonts w:ascii="Times New Roman" w:hAnsi="Times New Roman"/>
        </w:rPr>
        <w:t>Mediran</w:t>
      </w:r>
      <w:proofErr w:type="spellEnd"/>
      <w:r>
        <w:rPr>
          <w:rFonts w:ascii="Times New Roman" w:hAnsi="Times New Roman"/>
        </w:rPr>
        <w:t xml:space="preserve"> prieš operaciją, tuo atveju jeigu jis/ji nuspręstų Jums paskirti</w:t>
      </w:r>
      <w:r>
        <w:t xml:space="preserve"> </w:t>
      </w:r>
      <w:proofErr w:type="spellStart"/>
      <w:r>
        <w:rPr>
          <w:rFonts w:ascii="Times New Roman" w:hAnsi="Times New Roman"/>
        </w:rPr>
        <w:t>midazolamo</w:t>
      </w:r>
      <w:proofErr w:type="spellEnd"/>
      <w:r>
        <w:rPr>
          <w:rFonts w:ascii="Times New Roman" w:hAnsi="Times New Roman"/>
        </w:rPr>
        <w:t>.</w:t>
      </w:r>
    </w:p>
    <w:p w:rsidR="00A73E36" w:rsidRDefault="00A73E36" w:rsidP="00A73E36">
      <w:pPr>
        <w:pStyle w:val="MediumShading1-Accent21"/>
        <w:ind w:left="720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abejojate, ar vartojate bet kurio iš aukščiau nurodytų vaistų, prieš pradėdami vartoti </w:t>
      </w:r>
      <w:proofErr w:type="spellStart"/>
      <w:r>
        <w:rPr>
          <w:rFonts w:ascii="Times New Roman" w:hAnsi="Times New Roman"/>
        </w:rPr>
        <w:t>Mediran</w:t>
      </w:r>
      <w:proofErr w:type="spellEnd"/>
      <w:r>
        <w:rPr>
          <w:rFonts w:ascii="Times New Roman" w:hAnsi="Times New Roman"/>
        </w:rPr>
        <w:t xml:space="preserve"> pasitarkite su gydytoju arba vaistininku.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Nėštumas, žindymo laikotarpis ir vaisingumas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eastAsia="lt-LT"/>
        </w:rPr>
        <w:t>Jeigu esate nėščia, žindote kūdikį, manote, kad galbūt esate nėščia, arba planuojate pastoti, tai prieš vartodama šį vaistą, pasitarkite su gydytoju arba vaistininku</w:t>
      </w:r>
      <w:r>
        <w:rPr>
          <w:rFonts w:ascii="Times New Roman" w:hAnsi="Times New Roman"/>
          <w:szCs w:val="24"/>
        </w:rPr>
        <w:t>. Šio vaisto nėštumo metu galima vartoti tik tuo atveju, jeigu gydytojas patars, kad tai neabejotinai būtina.</w:t>
      </w:r>
      <w:r>
        <w:rPr>
          <w:rFonts w:ascii="Times New Roman" w:hAnsi="Times New Roman"/>
          <w:szCs w:val="24"/>
        </w:rPr>
        <w:br/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 xml:space="preserve"> gebėjimo vairuoti ir valdyti mechanizmus neveikia arba veikia nereikšmingai.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bookmarkStart w:id="5" w:name="_Toc129243266"/>
      <w:bookmarkStart w:id="6" w:name="_Toc129243141"/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Mediran</w:t>
      </w:r>
      <w:proofErr w:type="spellEnd"/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 kaip nurodė gydytojas arba vaistininkas. Jeigu abejojate, kreipkitės į gydytoją arba vaistininką. </w:t>
      </w:r>
    </w:p>
    <w:bookmarkEnd w:id="5"/>
    <w:bookmarkEnd w:id="6"/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Vartojimo metodas</w:t>
      </w:r>
    </w:p>
    <w:p w:rsidR="00A73E36" w:rsidRDefault="00A73E36" w:rsidP="00A73E36">
      <w:pPr>
        <w:pStyle w:val="MediumShading1-Accent2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Šį vaistą reikia gerti.</w:t>
      </w:r>
    </w:p>
    <w:p w:rsidR="00A73E36" w:rsidRDefault="00A73E36" w:rsidP="00A73E36">
      <w:pPr>
        <w:pStyle w:val="MediumShading1-Accent2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Nurykite tabletes užgerdami vandeniu. </w:t>
      </w:r>
    </w:p>
    <w:p w:rsidR="00A73E36" w:rsidRDefault="00A73E36" w:rsidP="00A73E36">
      <w:pPr>
        <w:pStyle w:val="MediumShading1-Accent21"/>
        <w:ind w:left="720"/>
        <w:rPr>
          <w:rFonts w:ascii="Times New Roman" w:hAnsi="Times New Roman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Įprasta dozė suaugusiems (įskaitant senyvo amžiaus) žmonėms yra:</w:t>
      </w:r>
    </w:p>
    <w:p w:rsidR="00A73E36" w:rsidRDefault="00A73E36" w:rsidP="00A73E36">
      <w:pPr>
        <w:pStyle w:val="MediumShading1-Accent21"/>
        <w:numPr>
          <w:ilvl w:val="0"/>
          <w:numId w:val="6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150 mg iš ryto ir 150 mg vakare arba </w:t>
      </w:r>
    </w:p>
    <w:p w:rsidR="00A73E36" w:rsidRDefault="00A73E36" w:rsidP="00A73E36">
      <w:pPr>
        <w:pStyle w:val="MediumShading1-Accent21"/>
        <w:numPr>
          <w:ilvl w:val="0"/>
          <w:numId w:val="6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300 mg kartą per parą prieš miegą.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Tiksli dozė priklauso nuo konkrečios skrandžio būklės ir Jūsų gydytojas nurodys, kokią dozę ir kiek laiko vartoti.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Vartojimas vyresniems kaip 12 metų vaikams: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Vartojama tokia pati dozė kaip suaugusiems.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Vartojimas vaikams nuo 3 iki 11 metų, kurių kūno masė yra didesnė kaip 30 kg: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Reikiamą dozę, atsižvelgdamas į vaiko kūno masę, apskaičiuos gydytojas.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Skrandžio ir dvylikapirštės (plonosios) žarnos opų gydymas: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Įprastinė dozė yra 2 mg kiekvienam kilogramui kūno masės du kartus per parą keturias savaites. Šią dozę galima padidinti iki 4 mg kiekvienam kilogramui kūno masės du kartus per parą. Dozes reikia gerti maždaug kas 12 valandų. Gydymo trukmę galima pailginti iki 8 savaičių.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Rėmens, kuris pasireiškia dėl per didelio rūgšties kiekio, gydymas: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Įprastinė dozė yra 2,5 mg kiekvienam kilogramui kūno masės du kartus per parą dvi savaites. Šią dozę 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galima padidinti iki 5 mg kiekvienam kilogramui kūno masės du kartus per parą. Dozes reikia gerti maždaug kas 12 valandų.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lt-LT"/>
        </w:rPr>
      </w:pPr>
      <w:r>
        <w:rPr>
          <w:rFonts w:ascii="Times New Roman" w:hAnsi="Times New Roman"/>
          <w:b/>
          <w:lang w:eastAsia="lt-LT"/>
        </w:rPr>
        <w:t xml:space="preserve">Ką daryti pavartojus per didelę </w:t>
      </w:r>
      <w:proofErr w:type="spellStart"/>
      <w:r>
        <w:rPr>
          <w:rFonts w:ascii="Times New Roman" w:hAnsi="Times New Roman"/>
          <w:b/>
          <w:bCs/>
          <w:lang w:eastAsia="lt-LT"/>
        </w:rPr>
        <w:t>Mediran</w:t>
      </w:r>
      <w:proofErr w:type="spellEnd"/>
      <w:r>
        <w:rPr>
          <w:rFonts w:ascii="Times New Roman" w:hAnsi="Times New Roman"/>
          <w:b/>
          <w:lang w:eastAsia="lt-LT"/>
        </w:rPr>
        <w:t xml:space="preserve"> dozę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Mediran</w:t>
      </w:r>
      <w:proofErr w:type="spellEnd"/>
      <w:r>
        <w:rPr>
          <w:rFonts w:ascii="Times New Roman" w:hAnsi="Times New Roman"/>
        </w:rPr>
        <w:t xml:space="preserve"> perdozavimas neturėtų sukelti pavojaus, nebent vienu metu išgeriama labai daug tablečių.</w:t>
      </w:r>
      <w:r>
        <w:rPr>
          <w:rFonts w:ascii="Times New Roman" w:hAnsi="Times New Roman"/>
          <w:lang w:eastAsia="lt-LT"/>
        </w:rPr>
        <w:t xml:space="preserve"> </w:t>
      </w:r>
      <w:r>
        <w:rPr>
          <w:rFonts w:ascii="Times New Roman" w:hAnsi="Times New Roman"/>
        </w:rPr>
        <w:t>Jeigu išgėrėte per didelę dozę (arba kitas žmogus išgėrė per didelę dozę), nedelsdami kreipkitės į gydytoją arba artimiausios ligoninės skubios pagalbos skyrių. Su savimi pasiimkite tabletes ir pakuotę, kad gydytojas žinotų, ko buvo perdozuota.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73E36" w:rsidRDefault="00A73E36" w:rsidP="00A73E36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b/>
        </w:rPr>
        <w:t xml:space="preserve">Pamiršus pavartoti </w:t>
      </w:r>
      <w:proofErr w:type="spellStart"/>
      <w:r>
        <w:rPr>
          <w:rFonts w:ascii="Times New Roman" w:eastAsia="SimSun" w:hAnsi="Times New Roman"/>
          <w:b/>
        </w:rPr>
        <w:t>Mediran</w:t>
      </w:r>
      <w:proofErr w:type="spellEnd"/>
    </w:p>
    <w:p w:rsidR="00A73E36" w:rsidRDefault="00A73E36" w:rsidP="00A73E36">
      <w:pPr>
        <w:pStyle w:val="MediumShading1-Accent21"/>
        <w:numPr>
          <w:ilvl w:val="0"/>
          <w:numId w:val="7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praleidote dozę, išgerkite ją kiek galima greičiau. Vis dėlto, jeigu jau beveik laikas gerti kitą dozę, pamirštąją dozę praleiskite ir toliau vartokite vaistus pagal normalų dozavimo planą.</w:t>
      </w:r>
    </w:p>
    <w:p w:rsidR="00A73E36" w:rsidRDefault="00A73E36" w:rsidP="00A73E36">
      <w:pPr>
        <w:pStyle w:val="MediumShading1-Accent21"/>
        <w:numPr>
          <w:ilvl w:val="0"/>
          <w:numId w:val="7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Negalima vartoti dvigubos dozės norint kompensuoti praleistą dozę.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Nustojus vartoti </w:t>
      </w:r>
      <w:proofErr w:type="spellStart"/>
      <w:r>
        <w:rPr>
          <w:rFonts w:ascii="Times New Roman" w:hAnsi="Times New Roman"/>
          <w:b/>
          <w:bCs/>
        </w:rPr>
        <w:t>Mediran</w:t>
      </w:r>
      <w:proofErr w:type="spellEnd"/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</w:rPr>
        <w:t>Praėjus kelioms dienoms nuo vaisto vartojimo pradžios turėtume pasijusti geriau, tačiau nenutraukite vartojimo nepasitarę</w:t>
      </w:r>
      <w:r>
        <w:t xml:space="preserve"> </w:t>
      </w:r>
      <w:r>
        <w:rPr>
          <w:rFonts w:ascii="Times New Roman" w:hAnsi="Times New Roman"/>
        </w:rPr>
        <w:t xml:space="preserve">su gydytoju arba vaistininku, nes skausmas ir diskomfortas gali vėl atsirasti. 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bookmarkStart w:id="7" w:name="_Toc129243267"/>
      <w:bookmarkStart w:id="8" w:name="_Toc129243142"/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Galimas šalutinis poveikis</w:t>
      </w:r>
    </w:p>
    <w:bookmarkEnd w:id="7"/>
    <w:bookmarkEnd w:id="8"/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noProof/>
          <w:snapToGrid w:val="0"/>
        </w:rPr>
      </w:pPr>
      <w:r>
        <w:rPr>
          <w:rFonts w:ascii="Times New Roman" w:hAnsi="Times New Roman"/>
          <w:noProof/>
          <w:snapToGrid w:val="0"/>
        </w:rPr>
        <w:t>Šis vaistas, kaip ir visi kiti, gali sukelti šalutinį poveikį, nors jis pasireiškia ne visiems žmonėms.</w:t>
      </w:r>
    </w:p>
    <w:p w:rsidR="00A73E36" w:rsidRDefault="00A73E36" w:rsidP="00A73E36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snapToGrid w:val="0"/>
        </w:rPr>
      </w:pPr>
      <w:r>
        <w:rPr>
          <w:rFonts w:ascii="Times New Roman" w:hAnsi="Times New Roman"/>
          <w:lang w:eastAsia="lt-LT"/>
        </w:rPr>
        <w:lastRenderedPageBreak/>
        <w:t xml:space="preserve">Vartojant </w:t>
      </w:r>
      <w:proofErr w:type="spellStart"/>
      <w:r>
        <w:rPr>
          <w:rFonts w:ascii="Times New Roman" w:hAnsi="Times New Roman"/>
          <w:lang w:eastAsia="lt-LT"/>
        </w:rPr>
        <w:t>Mediran</w:t>
      </w:r>
      <w:proofErr w:type="spellEnd"/>
      <w:r>
        <w:rPr>
          <w:rFonts w:ascii="Times New Roman" w:hAnsi="Times New Roman"/>
          <w:lang w:eastAsia="lt-LT"/>
        </w:rPr>
        <w:t>, pasireiškia toliau išvardytas šalutinis poveikis.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Jeigu pasireiškė kuris nors iš toliau nurodytų sunkių šalutinių poveikių, nedelsdami praneškite gydytojui, nes Jums gali prireikti skubios medicininės pagalbos:</w:t>
      </w:r>
    </w:p>
    <w:p w:rsidR="00A73E36" w:rsidRDefault="00A73E36" w:rsidP="00A73E36">
      <w:pPr>
        <w:pStyle w:val="MediumShading1-Accent21"/>
        <w:numPr>
          <w:ilvl w:val="0"/>
          <w:numId w:val="8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alerginės reakcijos, kurių simptomai yra:</w:t>
      </w:r>
    </w:p>
    <w:p w:rsidR="00A73E36" w:rsidRDefault="00A73E36" w:rsidP="00A73E36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odos išbėrimas, niežulys ar dilgėlinė;</w:t>
      </w:r>
    </w:p>
    <w:p w:rsidR="00A73E36" w:rsidRDefault="00A73E36" w:rsidP="00A73E36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veido, lūpų, liežuvio ar kitų kūno dalių tinimas;</w:t>
      </w:r>
    </w:p>
    <w:p w:rsidR="00A73E36" w:rsidRDefault="00A73E36" w:rsidP="00A73E36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skausmas krūtinėje, dusulys, švokštimas ar pasunkėjęs kvėpavimas;</w:t>
      </w:r>
    </w:p>
    <w:p w:rsidR="00A73E36" w:rsidRDefault="00A73E36" w:rsidP="00A73E36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netikėtas karščiavimas ir svaigulys, ypač atsistojus;</w:t>
      </w:r>
    </w:p>
    <w:p w:rsidR="00A73E36" w:rsidRDefault="00A73E36" w:rsidP="00A73E36">
      <w:pPr>
        <w:pStyle w:val="MediumShading1-Accent21"/>
        <w:numPr>
          <w:ilvl w:val="0"/>
          <w:numId w:val="8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inkstų veiklos sutrikimai, dėl kurių gali atsirasti nugaros skausmas, karščiavimas, skausmas šlapinantis, kraujas šlapime ir kraujo tyrimų pakitimai;</w:t>
      </w:r>
    </w:p>
    <w:p w:rsidR="00A73E36" w:rsidRDefault="00A73E36" w:rsidP="00A73E36">
      <w:pPr>
        <w:pStyle w:val="MediumShading1-Accent21"/>
        <w:numPr>
          <w:ilvl w:val="0"/>
          <w:numId w:val="8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stiprus skrandžio skausmas, tai gali būti sutrikimo, vadinamo „pankreatitu“, požymis;</w:t>
      </w:r>
    </w:p>
    <w:p w:rsidR="00A73E36" w:rsidRDefault="00A73E36" w:rsidP="00A73E36">
      <w:pPr>
        <w:pStyle w:val="MediumShading1-Accent21"/>
        <w:numPr>
          <w:ilvl w:val="0"/>
          <w:numId w:val="8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lėtas arba nereguliarus širdies plakimas.</w:t>
      </w:r>
    </w:p>
    <w:p w:rsidR="00A73E36" w:rsidRDefault="00A73E36" w:rsidP="00A73E36">
      <w:pPr>
        <w:pStyle w:val="MediumShading1-Accent21"/>
        <w:rPr>
          <w:rFonts w:ascii="Times New Roman" w:hAnsi="Times New Roman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Pasakykite savo gydytojui, jeigu pastebėjote kurį nors iš toliau nurodytų šalutinių poveikių: </w:t>
      </w:r>
    </w:p>
    <w:p w:rsidR="00A73E36" w:rsidRDefault="00A73E36" w:rsidP="00A73E36">
      <w:pPr>
        <w:pStyle w:val="MediumShading1-Accent21"/>
        <w:rPr>
          <w:rFonts w:ascii="Times New Roman" w:hAnsi="Times New Roman"/>
          <w:b/>
          <w:bCs/>
          <w:lang w:eastAsia="lt-LT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b/>
          <w:bCs/>
          <w:lang w:eastAsia="lt-LT"/>
        </w:rPr>
        <w:t>Nedažni</w:t>
      </w:r>
      <w:r>
        <w:rPr>
          <w:rFonts w:ascii="Times New Roman" w:hAnsi="Times New Roman"/>
          <w:lang w:eastAsia="lt-LT"/>
        </w:rPr>
        <w:t xml:space="preserve"> (gali pasireikšti mažiau kaip 1 iš 100 žmonių):</w:t>
      </w:r>
    </w:p>
    <w:p w:rsidR="00A73E36" w:rsidRDefault="00A73E36" w:rsidP="00A73E36">
      <w:pPr>
        <w:pStyle w:val="MediumShading1-Accent21"/>
        <w:numPr>
          <w:ilvl w:val="0"/>
          <w:numId w:val="9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pilvo skausmas;</w:t>
      </w:r>
    </w:p>
    <w:p w:rsidR="00A73E36" w:rsidRDefault="00A73E36" w:rsidP="00A73E36">
      <w:pPr>
        <w:pStyle w:val="MediumShading1-Accent21"/>
        <w:numPr>
          <w:ilvl w:val="0"/>
          <w:numId w:val="9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vidurių užkietėjimas;</w:t>
      </w:r>
    </w:p>
    <w:p w:rsidR="00A73E36" w:rsidRDefault="00A73E36" w:rsidP="00A73E36">
      <w:pPr>
        <w:pStyle w:val="MediumShading1-Accent21"/>
        <w:numPr>
          <w:ilvl w:val="0"/>
          <w:numId w:val="9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šleikštulys (pykinimas).</w:t>
      </w: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b/>
          <w:bCs/>
          <w:lang w:eastAsia="lt-LT"/>
        </w:rPr>
        <w:t>Reti</w:t>
      </w:r>
      <w:r>
        <w:rPr>
          <w:rFonts w:ascii="Times New Roman" w:hAnsi="Times New Roman"/>
          <w:lang w:eastAsia="lt-LT"/>
        </w:rPr>
        <w:t xml:space="preserve"> (gali pasireikšti mažiau kaip 1 iš 1000 žmonių):</w:t>
      </w:r>
    </w:p>
    <w:p w:rsidR="00A73E36" w:rsidRDefault="00A73E36" w:rsidP="00A73E36">
      <w:pPr>
        <w:pStyle w:val="MediumShading1-Accent21"/>
        <w:numPr>
          <w:ilvl w:val="1"/>
          <w:numId w:val="10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odos išbėrimas.</w:t>
      </w: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b/>
          <w:bCs/>
          <w:lang w:eastAsia="lt-LT"/>
        </w:rPr>
      </w:pPr>
      <w:r>
        <w:rPr>
          <w:rFonts w:ascii="Times New Roman" w:hAnsi="Times New Roman"/>
          <w:b/>
          <w:bCs/>
          <w:lang w:eastAsia="lt-LT"/>
        </w:rPr>
        <w:t>Reti šalutiniai poveikiai, kurie gali būti nustatyti atliekant kraujo tyrimus:</w:t>
      </w:r>
    </w:p>
    <w:p w:rsidR="00A73E36" w:rsidRDefault="00A73E36" w:rsidP="00A73E36">
      <w:pPr>
        <w:pStyle w:val="MediumShading1-Accent21"/>
        <w:numPr>
          <w:ilvl w:val="1"/>
          <w:numId w:val="11"/>
        </w:numPr>
        <w:ind w:left="567" w:hanging="567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kreatinino</w:t>
      </w:r>
      <w:proofErr w:type="spellEnd"/>
      <w:r>
        <w:rPr>
          <w:rFonts w:ascii="Times New Roman" w:hAnsi="Times New Roman"/>
          <w:lang w:eastAsia="lt-LT"/>
        </w:rPr>
        <w:t xml:space="preserve"> koncentracijos plazmoje padidėjimas (inkstų funkcijos tyrimas);</w:t>
      </w:r>
    </w:p>
    <w:p w:rsidR="00A73E36" w:rsidRDefault="00A73E36" w:rsidP="00A73E36">
      <w:pPr>
        <w:pStyle w:val="MediumShading1-Accent21"/>
        <w:numPr>
          <w:ilvl w:val="1"/>
          <w:numId w:val="11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kepenų funkcijos pokyčiai.</w:t>
      </w: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Nedelsdami pasakykite savo gydytojui, jeigu pastebėjote kurį nors iš toliau nurodytų šalutinių poveikių:</w:t>
      </w:r>
    </w:p>
    <w:p w:rsidR="00A73E36" w:rsidRDefault="00A73E36" w:rsidP="00A73E36">
      <w:pPr>
        <w:pStyle w:val="MediumShading1-Accent21"/>
        <w:rPr>
          <w:rFonts w:ascii="Times New Roman" w:hAnsi="Times New Roman"/>
          <w:b/>
          <w:bCs/>
          <w:lang w:eastAsia="lt-LT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b/>
          <w:bCs/>
          <w:lang w:eastAsia="lt-LT"/>
        </w:rPr>
        <w:t>Labai reti</w:t>
      </w:r>
      <w:r>
        <w:rPr>
          <w:rFonts w:ascii="Times New Roman" w:hAnsi="Times New Roman"/>
          <w:lang w:eastAsia="lt-LT"/>
        </w:rPr>
        <w:t xml:space="preserve"> (gali pasireikšti mažiau kaip 1 iš 10 000 žmonių):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tam tikrų kraujo rodmenų pakitimai, dėl kurių gali pasireikšti neįprastas nuovargis, dusulys, lengviau susidaro kraujosruvos ar dažniau nei įprastai pasireiškia infekcijos; 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depresija, sumišimas, nepaaiškinamų garsų girdėjimas ir vaizdinių matymas (haliucinacijos); 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galvos skausmas (kartais sunkus);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svaigulys arba neryškus matymas; 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sąnarių ar raumenų skausmas, tinimas arba nekontroliuojami judesiai; 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smulkiųjų kraujagyslių patinimas (</w:t>
      </w:r>
      <w:proofErr w:type="spellStart"/>
      <w:r>
        <w:rPr>
          <w:rFonts w:ascii="Times New Roman" w:hAnsi="Times New Roman"/>
          <w:lang w:eastAsia="lt-LT"/>
        </w:rPr>
        <w:t>vaskulitas</w:t>
      </w:r>
      <w:proofErr w:type="spellEnd"/>
      <w:r>
        <w:rPr>
          <w:rFonts w:ascii="Times New Roman" w:hAnsi="Times New Roman"/>
          <w:lang w:eastAsia="lt-LT"/>
        </w:rPr>
        <w:t>); požymiai gali būti: išbėrimas, ištinę sąnariai, inkstų veiklos sutrikimai;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kepenų patinimas; dėl to gali pasireikšti pykinimas arba vėmimas, apetito stoka, bendras negalavimas, niežulys, karščiavimas, geltonas odos ir akių atspalvis arba patamsėjęs šlapimas;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paraudimas ar raudonos dėmės ant odos;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nepaaiškinamas plaukų slinkimas;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viduriavimas;</w:t>
      </w:r>
    </w:p>
    <w:p w:rsidR="00A73E36" w:rsidRDefault="00A73E36" w:rsidP="00A73E36">
      <w:pPr>
        <w:pStyle w:val="Sraopastraipa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impotencija;</w:t>
      </w:r>
    </w:p>
    <w:p w:rsidR="00A73E36" w:rsidRDefault="00A73E36" w:rsidP="00A73E36">
      <w:pPr>
        <w:pStyle w:val="Sraopastraipa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krūtų jautrumas ir (arba) padidėjimas;</w:t>
      </w:r>
    </w:p>
    <w:p w:rsidR="00A73E36" w:rsidRDefault="00A73E36" w:rsidP="00A73E36">
      <w:pPr>
        <w:pStyle w:val="Sraopastraipa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išskyros iš krūtų;</w:t>
      </w:r>
    </w:p>
    <w:p w:rsidR="00A73E36" w:rsidRDefault="00A73E36" w:rsidP="00A73E36">
      <w:pPr>
        <w:pStyle w:val="MediumShading1-Accent21"/>
        <w:numPr>
          <w:ilvl w:val="1"/>
          <w:numId w:val="12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juntamas širdies plakimas ir (arba) pagreitėjęs širdies ritmas.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pStyle w:val="MediumShading1-Accent21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b/>
          <w:bCs/>
          <w:lang w:eastAsia="lt-LT"/>
        </w:rPr>
        <w:t>Dažnis nežinomas</w:t>
      </w:r>
      <w:r>
        <w:rPr>
          <w:rFonts w:ascii="Times New Roman" w:hAnsi="Times New Roman"/>
          <w:lang w:eastAsia="lt-LT"/>
        </w:rPr>
        <w:t xml:space="preserve"> (negali būti įvertintas pagal turimus duomenis):</w:t>
      </w:r>
    </w:p>
    <w:p w:rsidR="00A73E36" w:rsidRDefault="00A73E36" w:rsidP="00A73E36">
      <w:pPr>
        <w:pStyle w:val="MediumShading1-Accent21"/>
        <w:numPr>
          <w:ilvl w:val="1"/>
          <w:numId w:val="13"/>
        </w:numPr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pasunkėjęs kvėpavimas.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noProof/>
          <w:snapToGrid w:val="0"/>
        </w:rPr>
        <w:t>Pranešimas apie šalutinį poveikį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napToGrid w:val="0"/>
        </w:rPr>
        <w:t xml:space="preserve">Jeigu pasireiškė šalutinis poveikis, įskaitant šiame lapelyje nenurodytą, pasakykite gydytojui arba vaistininkui. Apie šalutinį poveikį taip pat galite pranešti Valstybinei vaistų kontrolės tarnybai prie Lietuvos </w:t>
      </w:r>
      <w:r>
        <w:rPr>
          <w:rFonts w:ascii="Times New Roman" w:hAnsi="Times New Roman"/>
          <w:noProof/>
          <w:snapToGrid w:val="0"/>
        </w:rPr>
        <w:lastRenderedPageBreak/>
        <w:t xml:space="preserve">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 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bookmarkStart w:id="9" w:name="_Toc129243268"/>
      <w:bookmarkStart w:id="10" w:name="_Toc129243143"/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Mediran</w:t>
      </w:r>
      <w:proofErr w:type="spellEnd"/>
    </w:p>
    <w:bookmarkEnd w:id="9"/>
    <w:bookmarkEnd w:id="10"/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Šį vaistą laikykite vaikams nepastebimoje ir nepasiekiamoje vietoje.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Laikyti ne aukštesnėje kaip 25 </w:t>
      </w:r>
      <w:r>
        <w:rPr>
          <w:rFonts w:ascii="Times New Roman" w:hAnsi="Times New Roman"/>
          <w:lang w:eastAsia="lt-LT"/>
        </w:rPr>
        <w:sym w:font="Symbol" w:char="F0B0"/>
      </w:r>
      <w:r>
        <w:rPr>
          <w:rFonts w:ascii="Times New Roman" w:hAnsi="Times New Roman"/>
          <w:lang w:eastAsia="lt-LT"/>
        </w:rPr>
        <w:t>C temperatūroje.</w:t>
      </w:r>
    </w:p>
    <w:p w:rsidR="00A73E36" w:rsidRDefault="00A73E36" w:rsidP="00A73E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Laikyti gamintojo pakuotėje, kad vaistas būtų apsaugotas nuo šviesos ir drėgmės.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  <w:snapToGrid w:val="0"/>
        </w:rPr>
        <w:t>Ant dėžutės ir lizdinės plokštelės po „EXP“ nurodytam tinkamumo laikui pasibaigus, šio vaisto vartoti negalima.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noProof/>
          <w:snapToGrid w:val="0"/>
        </w:rPr>
        <w:t>Vaistas tinkamas vartoti iki paskutinės nurodyto mėnesio dienos.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noProof/>
          <w:snapToGrid w:val="0"/>
        </w:rPr>
        <w:t>Vaistų negalima išmesti į kanalizaciją arba su buitinėmis atliekomis.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noProof/>
          <w:snapToGrid w:val="0"/>
        </w:rPr>
        <w:t>Kaip išmesti nereikalingus vaistus, klauskite vaistininko.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noProof/>
          <w:snapToGrid w:val="0"/>
        </w:rPr>
        <w:t>Šios priemonės padės apsaugoti aplinką.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11" w:name="_Toc129243269"/>
      <w:bookmarkStart w:id="12" w:name="_Toc129243144"/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Pakuotės turinys ir kita informacija</w:t>
      </w:r>
    </w:p>
    <w:bookmarkEnd w:id="11"/>
    <w:bookmarkEnd w:id="12"/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Mediran</w:t>
      </w:r>
      <w:proofErr w:type="spellEnd"/>
      <w:r>
        <w:rPr>
          <w:rFonts w:ascii="Times New Roman" w:hAnsi="Times New Roman"/>
          <w:b/>
        </w:rPr>
        <w:t xml:space="preserve"> sudėtis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u w:val="single"/>
        </w:rPr>
      </w:pPr>
    </w:p>
    <w:p w:rsidR="00A73E36" w:rsidRDefault="00A73E36" w:rsidP="00A73E36">
      <w:pPr>
        <w:tabs>
          <w:tab w:val="num" w:pos="567"/>
          <w:tab w:val="num" w:pos="1998"/>
        </w:tabs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Veiklioji medžiaga yra ranitidinas. Kiekvienoje plėvele dengtoje tabletėje yra 150 mg ranitidino (hidrochlorido pavidalu).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noProof/>
        </w:rPr>
      </w:pPr>
    </w:p>
    <w:p w:rsidR="00A73E36" w:rsidRDefault="00A73E36" w:rsidP="00A73E36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Pagalbinės medžiagos. Tabletės branduolys: mikrokristalinė celiuliozė, koloidinis bevandenis silicio dioksidas, magnio stearatas, talkas, kroskarmeliozės natrio druska. </w:t>
      </w:r>
      <w:r>
        <w:rPr>
          <w:rFonts w:ascii="Times New Roman" w:hAnsi="Times New Roman"/>
        </w:rPr>
        <w:t>Tabletės plėvelė: ricinos aliejus</w:t>
      </w:r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Opadry</w:t>
      </w:r>
      <w:proofErr w:type="spellEnd"/>
      <w:r>
        <w:rPr>
          <w:rFonts w:ascii="Times New Roman" w:hAnsi="Times New Roman"/>
          <w:i/>
        </w:rPr>
        <w:t xml:space="preserve"> 02A58907 </w:t>
      </w:r>
      <w:proofErr w:type="spellStart"/>
      <w:r>
        <w:rPr>
          <w:rFonts w:ascii="Times New Roman" w:hAnsi="Times New Roman"/>
          <w:i/>
        </w:rPr>
        <w:t>White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(sudėtyje yra </w:t>
      </w:r>
      <w:proofErr w:type="spellStart"/>
      <w:r>
        <w:rPr>
          <w:rFonts w:ascii="Times New Roman" w:hAnsi="Times New Roman"/>
        </w:rPr>
        <w:t>hipromeliozė</w:t>
      </w:r>
      <w:proofErr w:type="spellEnd"/>
      <w:r>
        <w:rPr>
          <w:rFonts w:ascii="Times New Roman" w:hAnsi="Times New Roman"/>
        </w:rPr>
        <w:t xml:space="preserve">, titano dioksidas (E171) ir talkas). Spausdinimo rašalas: </w:t>
      </w:r>
      <w:r>
        <w:rPr>
          <w:rFonts w:ascii="Times New Roman" w:hAnsi="Times New Roman"/>
          <w:i/>
          <w:noProof/>
        </w:rPr>
        <w:t xml:space="preserve">Opacode S-1-17823 Black  </w:t>
      </w:r>
      <w:r>
        <w:rPr>
          <w:rFonts w:ascii="Times New Roman" w:hAnsi="Times New Roman"/>
          <w:noProof/>
        </w:rPr>
        <w:t>(sudėtyje yra šelako glazūra, juodasis geležies oksidas (E172),  propilenglikolis.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  <w:bCs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Mediran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Plėvele dengtos tabletės yra baltos ar beveik baltos spalvos, apvalios, abipusiai išgaubtos, juodu rašalu paženklintos „RAN 150”.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Lizdinėje plokštelėje yra 10  plėvele dengtų tablečių. Kartoninėje dėžutėje yra dvi lizdinės plokštelės po 10 tablečių.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Registruotojas ir gamintojas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  <w:lang w:eastAsia="lt-LT"/>
        </w:rPr>
      </w:pPr>
      <w:r>
        <w:rPr>
          <w:rFonts w:ascii="Times New Roman" w:hAnsi="Times New Roman"/>
          <w:b/>
          <w:lang w:eastAsia="lt-LT"/>
        </w:rPr>
        <w:t>Registruotojas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Sun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Pharmaceutical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Industries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Europe</w:t>
      </w:r>
      <w:proofErr w:type="spellEnd"/>
      <w:r>
        <w:rPr>
          <w:rFonts w:ascii="Times New Roman" w:hAnsi="Times New Roman"/>
          <w:lang w:eastAsia="lt-LT"/>
        </w:rPr>
        <w:t xml:space="preserve"> B.V.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Polarisavenue</w:t>
      </w:r>
      <w:proofErr w:type="spellEnd"/>
      <w:r>
        <w:rPr>
          <w:rFonts w:ascii="Times New Roman" w:hAnsi="Times New Roman"/>
          <w:lang w:eastAsia="lt-LT"/>
        </w:rPr>
        <w:t xml:space="preserve"> 87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2132JH </w:t>
      </w:r>
      <w:proofErr w:type="spellStart"/>
      <w:r>
        <w:rPr>
          <w:rFonts w:ascii="Times New Roman" w:hAnsi="Times New Roman"/>
          <w:lang w:eastAsia="lt-LT"/>
        </w:rPr>
        <w:t>Hoofddorp</w:t>
      </w:r>
      <w:proofErr w:type="spellEnd"/>
    </w:p>
    <w:p w:rsidR="00A73E36" w:rsidRDefault="00A73E36" w:rsidP="00A73E36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Nyderlandai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lt-LT"/>
        </w:rPr>
      </w:pPr>
      <w:r>
        <w:rPr>
          <w:rFonts w:ascii="Times New Roman" w:hAnsi="Times New Roman"/>
          <w:b/>
          <w:lang w:eastAsia="lt-LT"/>
        </w:rPr>
        <w:t>Gamintojai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Sun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Pharmaceutical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Industries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Europe</w:t>
      </w:r>
      <w:proofErr w:type="spellEnd"/>
      <w:r>
        <w:rPr>
          <w:rFonts w:ascii="Times New Roman" w:hAnsi="Times New Roman"/>
          <w:lang w:eastAsia="lt-LT"/>
        </w:rPr>
        <w:t xml:space="preserve"> B.V.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Polarisavenue</w:t>
      </w:r>
      <w:proofErr w:type="spellEnd"/>
      <w:r>
        <w:rPr>
          <w:rFonts w:ascii="Times New Roman" w:hAnsi="Times New Roman"/>
          <w:lang w:eastAsia="lt-LT"/>
        </w:rPr>
        <w:t xml:space="preserve"> 87, 2132JH, </w:t>
      </w:r>
      <w:proofErr w:type="spellStart"/>
      <w:r>
        <w:rPr>
          <w:rFonts w:ascii="Times New Roman" w:hAnsi="Times New Roman"/>
          <w:lang w:eastAsia="lt-LT"/>
        </w:rPr>
        <w:t>Hoofddorp</w:t>
      </w:r>
      <w:proofErr w:type="spellEnd"/>
      <w:r>
        <w:rPr>
          <w:rFonts w:ascii="Times New Roman" w:hAnsi="Times New Roman"/>
          <w:lang w:eastAsia="lt-LT"/>
        </w:rPr>
        <w:t>, Nyderlandai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TERAPIA S.A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124 </w:t>
      </w:r>
      <w:proofErr w:type="spellStart"/>
      <w:r>
        <w:rPr>
          <w:rFonts w:ascii="Times New Roman" w:hAnsi="Times New Roman"/>
          <w:lang w:eastAsia="lt-LT"/>
        </w:rPr>
        <w:t>Fabricii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Street</w:t>
      </w:r>
      <w:proofErr w:type="spellEnd"/>
      <w:r>
        <w:rPr>
          <w:rFonts w:ascii="Times New Roman" w:hAnsi="Times New Roman"/>
          <w:lang w:eastAsia="lt-LT"/>
        </w:rPr>
        <w:t xml:space="preserve">, 400632 </w:t>
      </w:r>
      <w:proofErr w:type="spellStart"/>
      <w:r>
        <w:rPr>
          <w:rFonts w:ascii="Times New Roman" w:hAnsi="Times New Roman"/>
          <w:lang w:eastAsia="lt-LT"/>
        </w:rPr>
        <w:t>Cluj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Napoca</w:t>
      </w:r>
      <w:proofErr w:type="spellEnd"/>
      <w:r>
        <w:rPr>
          <w:rFonts w:ascii="Times New Roman" w:hAnsi="Times New Roman"/>
          <w:lang w:eastAsia="lt-LT"/>
        </w:rPr>
        <w:t>, Rumunija</w:t>
      </w: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apie šį vaistą norite sužinoti daugiau, kreipkitės į vietinį registruotojo atstovą.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A73E36" w:rsidTr="00A73E36">
        <w:tc>
          <w:tcPr>
            <w:tcW w:w="4678" w:type="dxa"/>
            <w:hideMark/>
          </w:tcPr>
          <w:p w:rsidR="00A73E36" w:rsidRDefault="00A7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lt-LT"/>
              </w:rPr>
            </w:pPr>
            <w:r>
              <w:rPr>
                <w:rFonts w:ascii="Times New Roman" w:hAnsi="Times New Roman"/>
                <w:lang w:val="en-US" w:eastAsia="lt-LT"/>
              </w:rPr>
              <w:t xml:space="preserve">Sun Pharmaceutical Industries Limited </w:t>
            </w:r>
            <w:proofErr w:type="spellStart"/>
            <w:r>
              <w:rPr>
                <w:rFonts w:ascii="Times New Roman" w:hAnsi="Times New Roman"/>
                <w:lang w:val="en-US" w:eastAsia="lt-LT"/>
              </w:rPr>
              <w:t>atstovybė</w:t>
            </w:r>
            <w:proofErr w:type="spellEnd"/>
          </w:p>
          <w:p w:rsidR="00A73E36" w:rsidRDefault="00A7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lang w:val="en-US" w:eastAsia="lt-LT"/>
              </w:rPr>
              <w:t>Karaliaus</w:t>
            </w:r>
            <w:proofErr w:type="spellEnd"/>
            <w:r>
              <w:rPr>
                <w:rFonts w:ascii="Times New Roman" w:hAnsi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lt-LT"/>
              </w:rPr>
              <w:t>Mindaugo</w:t>
            </w:r>
            <w:proofErr w:type="spellEnd"/>
            <w:r>
              <w:rPr>
                <w:rFonts w:ascii="Times New Roman" w:hAnsi="Times New Roman"/>
                <w:lang w:val="en-US" w:eastAsia="lt-LT"/>
              </w:rPr>
              <w:t xml:space="preserve"> pr. 68-3, Kaunas</w:t>
            </w:r>
          </w:p>
          <w:p w:rsidR="00A73E36" w:rsidRDefault="00A7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lt-LT"/>
              </w:rPr>
            </w:pPr>
            <w:r>
              <w:rPr>
                <w:rFonts w:ascii="Times New Roman" w:hAnsi="Times New Roman"/>
                <w:lang w:val="en-US" w:eastAsia="lt-LT"/>
              </w:rPr>
              <w:t>Tel. +370-37-311843</w:t>
            </w:r>
            <w:r>
              <w:rPr>
                <w:lang w:val="en-US"/>
              </w:rPr>
              <w:t xml:space="preserve"> </w:t>
            </w:r>
          </w:p>
        </w:tc>
      </w:tr>
    </w:tbl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</w:rPr>
      </w:pPr>
    </w:p>
    <w:p w:rsidR="00A73E36" w:rsidRDefault="00A73E36" w:rsidP="00A73E36">
      <w:pPr>
        <w:spacing w:after="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Šis pakuotės lapelis paskutinį kartą peržiūrėtas 2019-10-17.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  <w:snapToGrid w:val="0"/>
        </w:rPr>
        <w:t xml:space="preserve"> </w:t>
      </w:r>
      <w:hyperlink r:id="rId5" w:history="1">
        <w:r>
          <w:rPr>
            <w:rStyle w:val="Hipersaitas"/>
            <w:rFonts w:ascii="Times New Roman" w:eastAsia="SimSun" w:hAnsi="Times New Roman"/>
            <w:snapToGrid w:val="0"/>
          </w:rPr>
          <w:t>http://www.vvkt.lt/</w:t>
        </w:r>
      </w:hyperlink>
      <w:r>
        <w:rPr>
          <w:rFonts w:ascii="Times New Roman" w:hAnsi="Times New Roman"/>
          <w:snapToGrid w:val="0"/>
        </w:rPr>
        <w:t>.</w:t>
      </w: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permStart w:id="1021602684" w:edGrp="everyone"/>
      <w:permEnd w:id="1021602684"/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:rsidR="00A73E36" w:rsidRDefault="00A73E36" w:rsidP="00A73E36">
      <w:pPr>
        <w:rPr>
          <w:rFonts w:ascii="Times New Roman" w:hAnsi="Times New Roman"/>
        </w:rPr>
      </w:pPr>
    </w:p>
    <w:p w:rsidR="00A73E36" w:rsidRDefault="00A73E36" w:rsidP="00A73E36"/>
    <w:p w:rsidR="00A73E36" w:rsidRDefault="00A73E36" w:rsidP="00A73E36"/>
    <w:p w:rsidR="00AA1D8D" w:rsidRDefault="00AA1D8D">
      <w:bookmarkStart w:id="13" w:name="_GoBack"/>
      <w:bookmarkEnd w:id="13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7275FA1"/>
    <w:multiLevelType w:val="hybridMultilevel"/>
    <w:tmpl w:val="15C210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A1B634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2E17"/>
    <w:multiLevelType w:val="hybridMultilevel"/>
    <w:tmpl w:val="CA26AAE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5DAB"/>
    <w:multiLevelType w:val="hybridMultilevel"/>
    <w:tmpl w:val="7F4E4F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59C"/>
    <w:multiLevelType w:val="hybridMultilevel"/>
    <w:tmpl w:val="076AAF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53C92"/>
    <w:multiLevelType w:val="hybridMultilevel"/>
    <w:tmpl w:val="FA8C81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71F18"/>
    <w:multiLevelType w:val="hybridMultilevel"/>
    <w:tmpl w:val="3050DE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B19BD"/>
    <w:multiLevelType w:val="hybridMultilevel"/>
    <w:tmpl w:val="25C685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027ED"/>
    <w:multiLevelType w:val="hybridMultilevel"/>
    <w:tmpl w:val="DA8245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B7AD9"/>
    <w:multiLevelType w:val="hybridMultilevel"/>
    <w:tmpl w:val="4EB874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11473"/>
    <w:multiLevelType w:val="hybridMultilevel"/>
    <w:tmpl w:val="578604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228C9"/>
    <w:multiLevelType w:val="hybridMultilevel"/>
    <w:tmpl w:val="A3C2B6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2030D"/>
    <w:multiLevelType w:val="hybridMultilevel"/>
    <w:tmpl w:val="912E11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36"/>
    <w:rsid w:val="007D2E28"/>
    <w:rsid w:val="00A73E36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DF54-89F6-4635-949A-51EA2BD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3E36"/>
    <w:pPr>
      <w:spacing w:after="200" w:line="276" w:lineRule="auto"/>
    </w:pPr>
    <w:rPr>
      <w:rFonts w:ascii="Calibri" w:eastAsia="Times New Roman" w:hAnsi="Calibri" w:cs="Times New Roman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A73E36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b/>
      <w:bCs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A73E36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Sraopastraipa">
    <w:name w:val="List Paragraph"/>
    <w:basedOn w:val="prastasis"/>
    <w:uiPriority w:val="34"/>
    <w:qFormat/>
    <w:rsid w:val="00A73E36"/>
    <w:pPr>
      <w:ind w:left="720"/>
      <w:contextualSpacing/>
    </w:pPr>
  </w:style>
  <w:style w:type="paragraph" w:customStyle="1" w:styleId="MediumShading1-Accent21">
    <w:name w:val="Medium Shading 1 - Accent 21"/>
    <w:uiPriority w:val="1"/>
    <w:qFormat/>
    <w:rsid w:val="00A73E36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A73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8648</Words>
  <Characters>4930</Characters>
  <Application>Microsoft Office Word</Application>
  <DocSecurity>0</DocSecurity>
  <Lines>41</Lines>
  <Paragraphs>27</Paragraphs>
  <ScaleCrop>false</ScaleCrop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2019-10-18T08:05:00Z</dcterms:created>
  <dcterms:modified xsi:type="dcterms:W3CDTF">2019-10-18T08:05:00Z</dcterms:modified>
</cp:coreProperties>
</file>