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4C0C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3F954114"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BEE767A"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6441AD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DC6488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AD9332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98BCC97"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3346E89"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D8141A8"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2C0933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0DD506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562063E"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C9619F2"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56E0CD7"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9EF693A"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0A496BB"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5377AC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C6DB48D"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7B46F0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013FEF0"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A281B38"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FA931F8"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8EEF66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26F71E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I PRIEDAS</w:t>
      </w:r>
    </w:p>
    <w:p w14:paraId="5871BCBA" w14:textId="77777777" w:rsidR="002B00E3" w:rsidRPr="002B00E3" w:rsidRDefault="002B00E3" w:rsidP="002B00E3">
      <w:pPr>
        <w:spacing w:after="0" w:line="240" w:lineRule="auto"/>
        <w:contextualSpacing/>
        <w:jc w:val="center"/>
        <w:rPr>
          <w:rFonts w:ascii="Times New Roman" w:eastAsia="Times New Roman" w:hAnsi="Times New Roman" w:cs="Times New Roman"/>
          <w:b/>
          <w:lang w:val="lt-LT" w:eastAsia="x-none"/>
        </w:rPr>
      </w:pPr>
    </w:p>
    <w:p w14:paraId="1E62178B"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PREPARATO CHARAKTERISTIKŲ SANTRAUKA</w:t>
      </w:r>
    </w:p>
    <w:p w14:paraId="342DFF85"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bCs/>
          <w:lang w:val="lt-LT"/>
        </w:rPr>
        <w:br w:type="page"/>
      </w:r>
      <w:r w:rsidRPr="002B00E3">
        <w:rPr>
          <w:rFonts w:ascii="Times New Roman" w:eastAsia="Times New Roman" w:hAnsi="Times New Roman" w:cs="Times New Roman"/>
          <w:b/>
          <w:lang w:val="lt-LT"/>
        </w:rPr>
        <w:lastRenderedPageBreak/>
        <w:t>1.</w:t>
      </w:r>
      <w:r w:rsidRPr="002B00E3">
        <w:rPr>
          <w:rFonts w:ascii="Times New Roman" w:eastAsia="Times New Roman" w:hAnsi="Times New Roman" w:cs="Times New Roman"/>
          <w:b/>
          <w:lang w:val="lt-LT"/>
        </w:rPr>
        <w:tab/>
        <w:t>VAISTINIO PREPARATO PAVADINIMAS</w:t>
      </w:r>
    </w:p>
    <w:p w14:paraId="63B06ADB" w14:textId="77777777" w:rsidR="002B00E3" w:rsidRPr="002B00E3" w:rsidRDefault="002B00E3" w:rsidP="002B00E3">
      <w:pPr>
        <w:spacing w:after="0" w:line="240" w:lineRule="auto"/>
        <w:ind w:left="360"/>
        <w:contextualSpacing/>
        <w:rPr>
          <w:rFonts w:ascii="Times New Roman" w:eastAsia="Times New Roman" w:hAnsi="Times New Roman" w:cs="Times New Roman"/>
          <w:b/>
          <w:bCs/>
          <w:lang w:val="lt-LT"/>
        </w:rPr>
      </w:pPr>
    </w:p>
    <w:p w14:paraId="02002FB9"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23,75 mg pailginto atpalaidavimo tabletės</w:t>
      </w:r>
    </w:p>
    <w:p w14:paraId="5C338FB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47,5 mg pailginto atpalaidavimo tabletės</w:t>
      </w:r>
    </w:p>
    <w:p w14:paraId="411D529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95 mg pailginto atpalaidavimo tabletės</w:t>
      </w:r>
    </w:p>
    <w:p w14:paraId="1CF59BE2"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569F5B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D03FAF8"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2. </w:t>
      </w:r>
      <w:r w:rsidRPr="002B00E3">
        <w:rPr>
          <w:rFonts w:ascii="Times New Roman" w:eastAsia="Times New Roman" w:hAnsi="Times New Roman" w:cs="Times New Roman"/>
          <w:b/>
          <w:lang w:val="lt-LT"/>
        </w:rPr>
        <w:tab/>
        <w:t>KOKYBINĖ IR KIEKYBINĖ SUDĖTIS</w:t>
      </w:r>
    </w:p>
    <w:p w14:paraId="3CBFCA3F" w14:textId="77777777" w:rsidR="002B00E3" w:rsidRPr="002B00E3" w:rsidRDefault="002B00E3" w:rsidP="002B00E3">
      <w:pPr>
        <w:spacing w:after="0" w:line="240" w:lineRule="auto"/>
        <w:ind w:left="360"/>
        <w:contextualSpacing/>
        <w:rPr>
          <w:rFonts w:ascii="Times New Roman" w:eastAsia="Times New Roman" w:hAnsi="Times New Roman" w:cs="Times New Roman"/>
          <w:b/>
          <w:bCs/>
          <w:lang w:val="lt-LT"/>
        </w:rPr>
      </w:pPr>
    </w:p>
    <w:p w14:paraId="24BE97A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Kiekvienoje pailginto atpalaidavimo tabletėje yra 23,75 mg, 47,5 mg arba 95 mg metoprololio sukcinato.</w:t>
      </w:r>
    </w:p>
    <w:p w14:paraId="3ECD7195"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A8B41A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Visos pagalbinės medžiagos išvardytos 6.1 </w:t>
      </w:r>
      <w:r w:rsidRPr="002B00E3">
        <w:rPr>
          <w:rFonts w:ascii="Times New Roman" w:eastAsia="Times New Roman" w:hAnsi="Times New Roman" w:cs="Times New Roman"/>
          <w:bCs/>
          <w:lang w:val="lt-LT"/>
        </w:rPr>
        <w:t>skyriuje.</w:t>
      </w:r>
    </w:p>
    <w:p w14:paraId="7B61E24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531C1D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0E704A5"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3. </w:t>
      </w:r>
      <w:r w:rsidRPr="002B00E3">
        <w:rPr>
          <w:rFonts w:ascii="Times New Roman" w:eastAsia="Times New Roman" w:hAnsi="Times New Roman" w:cs="Times New Roman"/>
          <w:b/>
          <w:lang w:val="lt-LT"/>
        </w:rPr>
        <w:tab/>
        <w:t>FARMACINĖ FORMA</w:t>
      </w:r>
    </w:p>
    <w:p w14:paraId="09A9DAD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43CA2EC"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Pailginto atpalaidavimo tabletė</w:t>
      </w:r>
    </w:p>
    <w:p w14:paraId="35432282"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B8FA8D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23,75 mg pailginto atpalaidavimo tabletė yra balta, ovali, 5,5 </w:t>
      </w:r>
      <w:r w:rsidRPr="002B00E3">
        <w:rPr>
          <w:rFonts w:ascii="Times New Roman" w:eastAsia="Times New Roman" w:hAnsi="Times New Roman" w:cs="Times New Roman"/>
          <w:lang w:val="lt-LT"/>
        </w:rPr>
        <w:sym w:font="Symbol" w:char="F0B4"/>
      </w:r>
      <w:r w:rsidRPr="002B00E3">
        <w:rPr>
          <w:rFonts w:ascii="Times New Roman" w:eastAsia="Times New Roman" w:hAnsi="Times New Roman" w:cs="Times New Roman"/>
          <w:lang w:val="lt-LT"/>
        </w:rPr>
        <w:t xml:space="preserve"> 10 mm dydžio, turi žymą “A/</w:t>
      </w:r>
      <w:r w:rsidRPr="002B00E3">
        <w:rPr>
          <w:rFonts w:ascii="Times New Roman" w:eastAsia="Times New Roman" w:hAnsi="Times New Roman" w:cs="Times New Roman"/>
          <w:lang w:val="lt-LT"/>
        </w:rPr>
        <w:sym w:font="Symbol" w:char="F062"/>
      </w:r>
      <w:r w:rsidRPr="002B00E3">
        <w:rPr>
          <w:rFonts w:ascii="Times New Roman" w:eastAsia="Times New Roman" w:hAnsi="Times New Roman" w:cs="Times New Roman"/>
          <w:lang w:val="lt-LT"/>
        </w:rPr>
        <w:t>” ir (abejose pusėse) po vagelę perlaužimui. Tabletę galima padalyti į dvi lygias dozes.</w:t>
      </w:r>
    </w:p>
    <w:p w14:paraId="014D5B9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47,5 mg pailginto atpalaidavimo tabletė yra balta, apvali, </w:t>
      </w:r>
      <w:smartTag w:uri="schemas-tilde-lv/tildestengine" w:element="metric2">
        <w:smartTagPr>
          <w:attr w:name="metric_text" w:val="mm"/>
          <w:attr w:name="metric_value" w:val="9"/>
        </w:smartTagPr>
        <w:r w:rsidRPr="002B00E3">
          <w:rPr>
            <w:rFonts w:ascii="Times New Roman" w:eastAsia="Times New Roman" w:hAnsi="Times New Roman" w:cs="Times New Roman"/>
            <w:lang w:val="lt-LT"/>
          </w:rPr>
          <w:t>9 mm</w:t>
        </w:r>
      </w:smartTag>
      <w:r w:rsidRPr="002B00E3">
        <w:rPr>
          <w:rFonts w:ascii="Times New Roman" w:eastAsia="Times New Roman" w:hAnsi="Times New Roman" w:cs="Times New Roman"/>
          <w:lang w:val="lt-LT"/>
        </w:rPr>
        <w:t xml:space="preserve"> skersmens, turi žymą “A/mO” ir (vienoje pusėje) vagelę perlaužimui. </w:t>
      </w:r>
      <w:r w:rsidRPr="002B00E3">
        <w:rPr>
          <w:rFonts w:ascii="Times New Roman" w:eastAsia="Times New Roman" w:hAnsi="Times New Roman" w:cs="Times New Roman"/>
          <w:bCs/>
          <w:lang w:val="lt-LT"/>
        </w:rPr>
        <w:t>Vagelė skirta tik tabletei perlaužti, kad būtų lengviau nuryti, bet ne jai padalyti į lygias dozes.</w:t>
      </w:r>
    </w:p>
    <w:p w14:paraId="0FBF3960"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95 mg pailginto atpalaidavimo tabletė yra balta, apvali, </w:t>
      </w:r>
      <w:smartTag w:uri="schemas-tilde-lv/tildestengine" w:element="metric2">
        <w:smartTagPr>
          <w:attr w:name="metric_text" w:val="mm"/>
          <w:attr w:name="metric_value" w:val="10"/>
        </w:smartTagPr>
        <w:r w:rsidRPr="002B00E3">
          <w:rPr>
            <w:rFonts w:ascii="Times New Roman" w:eastAsia="Times New Roman" w:hAnsi="Times New Roman" w:cs="Times New Roman"/>
            <w:lang w:val="lt-LT"/>
          </w:rPr>
          <w:t>10 mm</w:t>
        </w:r>
      </w:smartTag>
      <w:r w:rsidRPr="002B00E3">
        <w:rPr>
          <w:rFonts w:ascii="Times New Roman" w:eastAsia="Times New Roman" w:hAnsi="Times New Roman" w:cs="Times New Roman"/>
          <w:lang w:val="lt-LT"/>
        </w:rPr>
        <w:t xml:space="preserve"> skersmens, turi žymą “A/mS” ir (vienoje pusėje) vagelę perlaužimui. </w:t>
      </w:r>
      <w:r w:rsidRPr="002B00E3">
        <w:rPr>
          <w:rFonts w:ascii="Times New Roman" w:eastAsia="Times New Roman" w:hAnsi="Times New Roman" w:cs="Times New Roman"/>
          <w:bCs/>
          <w:lang w:val="lt-LT"/>
        </w:rPr>
        <w:t xml:space="preserve"> Vagelė skirta tik tabletei perlaužti, kad būtų lengviau nuryti, bet ne jai padalyti į lygias dozes.</w:t>
      </w:r>
    </w:p>
    <w:p w14:paraId="3608CDF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AD2B459"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05D5EE5"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4. </w:t>
      </w:r>
      <w:r w:rsidRPr="002B00E3">
        <w:rPr>
          <w:rFonts w:ascii="Times New Roman" w:eastAsia="Times New Roman" w:hAnsi="Times New Roman" w:cs="Times New Roman"/>
          <w:b/>
          <w:lang w:val="lt-LT"/>
        </w:rPr>
        <w:tab/>
        <w:t>KLINIKINĖ INFORMACIJA</w:t>
      </w:r>
    </w:p>
    <w:p w14:paraId="290E699C"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28F64729"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4.1 </w:t>
      </w:r>
      <w:r w:rsidRPr="002B00E3">
        <w:rPr>
          <w:rFonts w:ascii="Times New Roman" w:eastAsia="Times New Roman" w:hAnsi="Times New Roman" w:cs="Times New Roman"/>
          <w:b/>
          <w:lang w:val="lt-LT"/>
        </w:rPr>
        <w:tab/>
        <w:t>Terapinės indikacijos</w:t>
      </w:r>
    </w:p>
    <w:p w14:paraId="0B14C04C" w14:textId="77777777" w:rsidR="002B00E3" w:rsidRPr="002B00E3" w:rsidRDefault="002B00E3" w:rsidP="002B00E3">
      <w:pPr>
        <w:spacing w:after="0" w:line="240" w:lineRule="auto"/>
        <w:contextualSpacing/>
        <w:rPr>
          <w:rFonts w:ascii="Times New Roman" w:eastAsia="Times New Roman" w:hAnsi="Times New Roman" w:cs="Times New Roman"/>
          <w:b/>
          <w:bCs/>
          <w:i/>
          <w:lang w:val="lt-LT"/>
        </w:rPr>
      </w:pPr>
    </w:p>
    <w:p w14:paraId="3621D344"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Suaugusiesiems</w:t>
      </w:r>
    </w:p>
    <w:p w14:paraId="4AB29F42"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Arterinės hipertenzijos gydymas.</w:t>
      </w:r>
    </w:p>
    <w:p w14:paraId="419492B9"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Lėtinės stabiliosios krūtinės anginos gydymas.</w:t>
      </w:r>
    </w:p>
    <w:p w14:paraId="7BCDA4AF" w14:textId="2B78CC01"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Stabilaus simptomus sukeliančio širdies nepakankamumo (II–IV klasės pagal </w:t>
      </w:r>
      <w:r w:rsidRPr="002B00E3">
        <w:rPr>
          <w:rFonts w:ascii="Times New Roman" w:eastAsia="Times New Roman" w:hAnsi="Times New Roman" w:cs="Times New Roman"/>
          <w:bCs/>
          <w:i/>
          <w:lang w:val="lt-LT"/>
        </w:rPr>
        <w:t>NYHA</w:t>
      </w:r>
      <w:r w:rsidRPr="002B00E3">
        <w:rPr>
          <w:rFonts w:ascii="Times New Roman" w:eastAsia="Times New Roman" w:hAnsi="Times New Roman" w:cs="Times New Roman"/>
          <w:bCs/>
          <w:lang w:val="lt-LT"/>
        </w:rPr>
        <w:t>, kairiojo skilvelio išvarymo frakcija &lt; 40</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 xml:space="preserve">%) gydymas, vartojant kartu su kitais vaistiniais preparatais nuo širdies nepakankamumo. </w:t>
      </w:r>
    </w:p>
    <w:p w14:paraId="1B33D9D8"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Kardialinės mirties ir pakartotinio miokardo infarkto profilaktika po ūminės miokardo infarkto fazės.</w:t>
      </w:r>
    </w:p>
    <w:p w14:paraId="2F38E825"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Širdies aritmijų, ypač supraventrikulinės tachikardijos gydymas.</w:t>
      </w:r>
    </w:p>
    <w:p w14:paraId="352EA185"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Funkcinio širdies sutrikimo sukeltos palpitacijos gydymas. </w:t>
      </w:r>
    </w:p>
    <w:p w14:paraId="58F72922" w14:textId="77777777" w:rsidR="002B00E3" w:rsidRPr="002B00E3" w:rsidRDefault="002B00E3" w:rsidP="002B00E3">
      <w:pPr>
        <w:numPr>
          <w:ilvl w:val="0"/>
          <w:numId w:val="1"/>
        </w:numPr>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Migrenos priepuolio profilaktika.</w:t>
      </w:r>
    </w:p>
    <w:p w14:paraId="1CF1D193" w14:textId="77777777" w:rsidR="002B00E3" w:rsidRPr="002B00E3" w:rsidRDefault="002B00E3" w:rsidP="002B00E3">
      <w:pPr>
        <w:spacing w:after="0" w:line="240" w:lineRule="auto"/>
        <w:contextualSpacing/>
        <w:rPr>
          <w:rFonts w:ascii="Times New Roman" w:eastAsia="Calibri" w:hAnsi="Times New Roman" w:cs="Times New Roman"/>
          <w:i/>
          <w:iCs/>
          <w:u w:val="single"/>
          <w:lang w:val="lt-LT"/>
        </w:rPr>
      </w:pPr>
    </w:p>
    <w:p w14:paraId="0401AE2D" w14:textId="19326F86" w:rsidR="002B00E3" w:rsidRPr="002B00E3" w:rsidRDefault="002B00E3" w:rsidP="002B00E3">
      <w:pPr>
        <w:spacing w:after="0" w:line="240" w:lineRule="auto"/>
        <w:contextualSpacing/>
        <w:outlineLvl w:val="0"/>
        <w:rPr>
          <w:rFonts w:ascii="Times New Roman" w:eastAsia="Calibri" w:hAnsi="Times New Roman" w:cs="Times New Roman"/>
          <w:iCs/>
          <w:lang w:val="lt-LT"/>
        </w:rPr>
      </w:pPr>
      <w:r w:rsidRPr="002B00E3">
        <w:rPr>
          <w:rFonts w:ascii="Times New Roman" w:eastAsia="Calibri" w:hAnsi="Times New Roman" w:cs="Times New Roman"/>
          <w:iCs/>
          <w:lang w:val="lt-LT"/>
        </w:rPr>
        <w:t>6</w:t>
      </w:r>
      <w:r w:rsidRPr="002B00E3">
        <w:rPr>
          <w:rFonts w:ascii="Times New Roman" w:eastAsia="Calibri" w:hAnsi="Times New Roman" w:cs="Times New Roman"/>
          <w:iCs/>
          <w:lang w:val="lt-LT"/>
        </w:rPr>
        <w:noBreakHyphen/>
        <w:t>18</w:t>
      </w:r>
      <w:r w:rsidR="00992E00">
        <w:rPr>
          <w:rFonts w:ascii="Times New Roman" w:eastAsia="Calibri" w:hAnsi="Times New Roman" w:cs="Times New Roman"/>
          <w:iCs/>
          <w:lang w:val="lt-LT"/>
        </w:rPr>
        <w:t> </w:t>
      </w:r>
      <w:r w:rsidRPr="002B00E3">
        <w:rPr>
          <w:rFonts w:ascii="Times New Roman" w:eastAsia="Calibri" w:hAnsi="Times New Roman" w:cs="Times New Roman"/>
          <w:iCs/>
          <w:lang w:val="lt-LT"/>
        </w:rPr>
        <w:t>metų vaikams ir paaugliams</w:t>
      </w:r>
    </w:p>
    <w:p w14:paraId="4F83A98C" w14:textId="77777777" w:rsidR="002B00E3" w:rsidRPr="002B00E3" w:rsidRDefault="002B00E3" w:rsidP="002B00E3">
      <w:pPr>
        <w:numPr>
          <w:ilvl w:val="0"/>
          <w:numId w:val="1"/>
        </w:numPr>
        <w:spacing w:after="0" w:line="240" w:lineRule="auto"/>
        <w:contextualSpacing/>
        <w:rPr>
          <w:rFonts w:ascii="Times New Roman" w:eastAsia="Calibri" w:hAnsi="Times New Roman" w:cs="Times New Roman"/>
          <w:i/>
          <w:iCs/>
          <w:lang w:val="lt-LT"/>
        </w:rPr>
      </w:pPr>
      <w:r w:rsidRPr="002B00E3">
        <w:rPr>
          <w:rFonts w:ascii="Times New Roman" w:eastAsia="Calibri" w:hAnsi="Times New Roman" w:cs="Times New Roman"/>
          <w:iCs/>
          <w:lang w:val="lt-LT"/>
        </w:rPr>
        <w:t>Arterinės hipertenzijos gydymas.</w:t>
      </w:r>
    </w:p>
    <w:p w14:paraId="090C385A"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34DA9C07"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4.2 </w:t>
      </w:r>
      <w:r w:rsidRPr="002B00E3">
        <w:rPr>
          <w:rFonts w:ascii="Times New Roman" w:eastAsia="Times New Roman" w:hAnsi="Times New Roman" w:cs="Times New Roman"/>
          <w:b/>
          <w:lang w:val="lt-LT"/>
        </w:rPr>
        <w:tab/>
        <w:t>Dozavimas ir vartojimo metodas</w:t>
      </w:r>
    </w:p>
    <w:p w14:paraId="41A08F63"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7A99072" w14:textId="77777777" w:rsidR="002B00E3" w:rsidRPr="002B00E3" w:rsidRDefault="002B00E3" w:rsidP="002B00E3">
      <w:pPr>
        <w:spacing w:after="0" w:line="240" w:lineRule="auto"/>
        <w:contextualSpacing/>
        <w:outlineLvl w:val="0"/>
        <w:rPr>
          <w:rFonts w:ascii="Times New Roman" w:eastAsia="Times New Roman" w:hAnsi="Times New Roman" w:cs="Times New Roman"/>
          <w:bCs/>
          <w:u w:val="single"/>
          <w:lang w:val="lt-LT"/>
        </w:rPr>
      </w:pPr>
      <w:r w:rsidRPr="002B00E3">
        <w:rPr>
          <w:rFonts w:ascii="Times New Roman" w:eastAsia="Times New Roman" w:hAnsi="Times New Roman" w:cs="Times New Roman"/>
          <w:bCs/>
          <w:u w:val="single"/>
          <w:lang w:val="lt-LT"/>
        </w:rPr>
        <w:t>Dozavimas</w:t>
      </w:r>
    </w:p>
    <w:p w14:paraId="4F174A31"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4B861F67"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Hipertenzija</w:t>
      </w:r>
    </w:p>
    <w:p w14:paraId="736F97F1" w14:textId="5B047961"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47,5</w:t>
      </w:r>
      <w:r w:rsidRPr="002B00E3">
        <w:rPr>
          <w:rFonts w:ascii="Times New Roman" w:eastAsia="Times New Roman" w:hAnsi="Times New Roman" w:cs="Times New Roman"/>
          <w:lang w:val="lt-LT"/>
        </w:rPr>
        <w:noBreakHyphen/>
        <w:t>95 mg 1 kartą per parą. Jei 95 mg dozė neveiksminga, galima ją didinti iki 190 mg per parą arba kartu skirti kitų antihipertenzinių vaist</w:t>
      </w:r>
      <w:r w:rsidR="002360CC">
        <w:rPr>
          <w:rFonts w:ascii="Times New Roman" w:eastAsia="Times New Roman" w:hAnsi="Times New Roman" w:cs="Times New Roman"/>
          <w:lang w:val="lt-LT"/>
        </w:rPr>
        <w:t>inių preparat</w:t>
      </w:r>
      <w:r w:rsidRPr="002B00E3">
        <w:rPr>
          <w:rFonts w:ascii="Times New Roman" w:eastAsia="Times New Roman" w:hAnsi="Times New Roman" w:cs="Times New Roman"/>
          <w:lang w:val="lt-LT"/>
        </w:rPr>
        <w:t>ų, ypač diuretikų arba dihidropiridinų grupės kalcio kanalų blokatorių.</w:t>
      </w:r>
    </w:p>
    <w:p w14:paraId="1B24FD7A"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751CEDC9"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Krūtinės angina</w:t>
      </w:r>
    </w:p>
    <w:p w14:paraId="71DB2842"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lastRenderedPageBreak/>
        <w:t>95</w:t>
      </w:r>
      <w:r w:rsidRPr="002B00E3">
        <w:rPr>
          <w:rFonts w:ascii="Times New Roman" w:eastAsia="Times New Roman" w:hAnsi="Times New Roman" w:cs="Times New Roman"/>
          <w:lang w:val="lt-LT"/>
        </w:rPr>
        <w:noBreakHyphen/>
        <w:t>190 mg 1 kartą per parą. Prireikus galima didinti dozę, kartu skirti nitratų.</w:t>
      </w:r>
    </w:p>
    <w:p w14:paraId="7FA47012"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26C6BBB"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Stabilus simptominis širdies nepakankamumas (AKF inhibitorių, diuretikų ir galbūt širdies glikozidų poveikiui papildyti)</w:t>
      </w:r>
    </w:p>
    <w:p w14:paraId="746DD540" w14:textId="52B08222"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Šio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o galima skirti tik kai lėtinis širdies nepakankamumas yra stabilus, bent 6 paskutines savaites nebuvo ūminio širdies nepakankamumo ir bent 2 paskutines savaites iš esmės nekeistas pagrindinis gydymas.</w:t>
      </w:r>
    </w:p>
    <w:p w14:paraId="349ADCCE" w14:textId="665AD04A"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Širdies nepakankamumui gydyti vartojami β blokatoriai kartais gali sukelti laikiną ligos simptomų paūmėjimą. Vienais atvejais būna galimybė gydymo nekeisti ar sumažinti dozę, kitais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 xml:space="preserve">o vartojimą gali tekti nutraukti. Sunkaus (IV klasės pagal </w:t>
      </w:r>
      <w:r w:rsidRPr="002B00E3">
        <w:rPr>
          <w:rFonts w:ascii="Times New Roman" w:eastAsia="Times New Roman" w:hAnsi="Times New Roman" w:cs="Times New Roman"/>
          <w:i/>
          <w:lang w:val="lt-LT"/>
        </w:rPr>
        <w:t>NYHA</w:t>
      </w:r>
      <w:r w:rsidRPr="002B00E3">
        <w:rPr>
          <w:rFonts w:ascii="Times New Roman" w:eastAsia="Times New Roman" w:hAnsi="Times New Roman" w:cs="Times New Roman"/>
          <w:lang w:val="lt-LT"/>
        </w:rPr>
        <w:t>) širdies nepakankamumo gydymą šiuo vaist</w:t>
      </w:r>
      <w:r w:rsidR="002360CC">
        <w:rPr>
          <w:rFonts w:ascii="Times New Roman" w:eastAsia="Times New Roman" w:hAnsi="Times New Roman" w:cs="Times New Roman"/>
          <w:lang w:val="lt-LT"/>
        </w:rPr>
        <w:t>iniu preparat</w:t>
      </w:r>
      <w:r w:rsidRPr="002B00E3">
        <w:rPr>
          <w:rFonts w:ascii="Times New Roman" w:eastAsia="Times New Roman" w:hAnsi="Times New Roman" w:cs="Times New Roman"/>
          <w:lang w:val="lt-LT"/>
        </w:rPr>
        <w:t>u gali pradėti tik gydytojas, turintis labai daug širdies nepakankamumo gydymo patirties (žr. 4.4 skyrių).</w:t>
      </w:r>
    </w:p>
    <w:p w14:paraId="34159BAF"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C02620A"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Dozavimas pacientams, sergantiems stabiliu II funkcinės klasės širdies nepakankamumu</w:t>
      </w:r>
    </w:p>
    <w:p w14:paraId="4277EED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Rekomenduojama dozė pirmąsias 2 savaites – 23,75 mg 1 kartą per parą. Joms praėjus, dozę galima padidinti iki 47,5 mg 1 kartą per parą, o paskui kas 2 savaites – dvigubinti. Palaikomoji ilgalaikio gydymo dozė – 190 mg 1 kartą per parą.</w:t>
      </w:r>
    </w:p>
    <w:p w14:paraId="0E1202A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3FC66A8"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Dozavimas pacientams, sergantiems stabiliu III arba IV funkcinės klasės širdies nepakankamumu</w:t>
      </w:r>
    </w:p>
    <w:p w14:paraId="64FB186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Rekomenduojama pradinė dozė –11,725 mg (pusė 23,75 mg tabletės) 1 kartą per parą. Dozę reikėtų parinkti individualiai. Pacientą, kuriam dozė didinama, reikėtų atidžiai stebėti, kadangi gali pasunkėti širdies nepakankamumo simptomai. Po 1</w:t>
      </w:r>
      <w:r w:rsidRPr="002B00E3">
        <w:rPr>
          <w:rFonts w:ascii="Times New Roman" w:eastAsia="Times New Roman" w:hAnsi="Times New Roman" w:cs="Times New Roman"/>
          <w:lang w:val="lt-LT"/>
        </w:rPr>
        <w:noBreakHyphen/>
        <w:t>2 savaičių dozę galima padidinti iki 23,75 mg 1 kartą per parą, dar po 2 savaičių – iki 47,5 mg 1 kartą per parą. Jei pacientas toleruoja pastarąją dozę, tai kas 2 savaites ją galima dvigubinti, kol bus pasiekta didžiausia – 190 mg per parą.</w:t>
      </w:r>
    </w:p>
    <w:p w14:paraId="0FE39A9C" w14:textId="0A8DEFCB"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Pasireiškus hipotenzijai ir (arba) bradikardijai, gali tekti mažinti kartu vartojamų vaist</w:t>
      </w:r>
      <w:r w:rsidR="002360CC">
        <w:rPr>
          <w:rFonts w:ascii="Times New Roman" w:eastAsia="Times New Roman" w:hAnsi="Times New Roman" w:cs="Times New Roman"/>
          <w:lang w:val="lt-LT"/>
        </w:rPr>
        <w:t>inių preparat</w:t>
      </w:r>
      <w:r w:rsidRPr="002B00E3">
        <w:rPr>
          <w:rFonts w:ascii="Times New Roman" w:eastAsia="Times New Roman" w:hAnsi="Times New Roman" w:cs="Times New Roman"/>
          <w:lang w:val="lt-LT"/>
        </w:rPr>
        <w:t>ų arba Betaloc ZOK dozę. Iš pradžių pasireiškusi hipotenzija gali nerodyti, kad ją sukėlusios dozės pacientas netoleruos ir vėliau, tačiau ši dozė nedidinama tol, kol stabilizuosis paciento būklė. Be to, gali tekti atidžiau stebėti inkstų funkciją.</w:t>
      </w:r>
    </w:p>
    <w:p w14:paraId="29AF03D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A32957C"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Širdies aritmijos</w:t>
      </w:r>
      <w:r w:rsidRPr="002B00E3">
        <w:rPr>
          <w:rFonts w:ascii="Times New Roman" w:eastAsia="Times New Roman" w:hAnsi="Times New Roman" w:cs="Times New Roman"/>
          <w:lang w:val="lt-LT"/>
        </w:rPr>
        <w:t xml:space="preserve"> </w:t>
      </w:r>
    </w:p>
    <w:p w14:paraId="419D9C19"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95-190 mg 1 kartą per parą, prireikus dozę galima didinti.</w:t>
      </w:r>
    </w:p>
    <w:p w14:paraId="567A540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2DF78949"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Profilaktika po miokardo infarkto</w:t>
      </w:r>
    </w:p>
    <w:p w14:paraId="0C5A741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Palaikomoji dozė – 190 mg 1 kartą per parą.</w:t>
      </w:r>
    </w:p>
    <w:p w14:paraId="05243D2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5A4B77E8"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Funkciniai širdies sutrikimai su palpitacija</w:t>
      </w:r>
    </w:p>
    <w:p w14:paraId="1C43DE9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95 mg 1 kartą per parą, prireikus dozę galima didinti.</w:t>
      </w:r>
    </w:p>
    <w:p w14:paraId="72BF227D" w14:textId="77777777" w:rsidR="002B00E3" w:rsidRPr="002B00E3" w:rsidRDefault="002B00E3" w:rsidP="002B00E3">
      <w:pPr>
        <w:spacing w:after="0" w:line="240" w:lineRule="auto"/>
        <w:contextualSpacing/>
        <w:rPr>
          <w:rFonts w:ascii="Times New Roman" w:eastAsia="Times New Roman" w:hAnsi="Times New Roman" w:cs="Times New Roman"/>
          <w:i/>
          <w:lang w:val="lt-LT"/>
        </w:rPr>
      </w:pPr>
    </w:p>
    <w:p w14:paraId="299B1B3C"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Migrenos profilaktika</w:t>
      </w:r>
    </w:p>
    <w:p w14:paraId="3E70902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95-190 mg 1 kartą per parą.</w:t>
      </w:r>
    </w:p>
    <w:p w14:paraId="7F5733A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4F66A2A8"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bCs/>
          <w:i/>
          <w:iCs/>
          <w:lang w:val="lt-LT"/>
        </w:rPr>
        <w:t>Pacientams, kurių inkstų funkcija sutrikusi</w:t>
      </w:r>
      <w:r w:rsidRPr="002B00E3">
        <w:rPr>
          <w:rFonts w:ascii="Times New Roman" w:eastAsia="Times New Roman" w:hAnsi="Times New Roman" w:cs="Times New Roman"/>
          <w:i/>
          <w:lang w:val="lt-LT"/>
        </w:rPr>
        <w:t xml:space="preserve"> </w:t>
      </w:r>
    </w:p>
    <w:p w14:paraId="2F7AD80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Inkstų funkcija neturi reikšmingos įtakos metoprololio eliminacijos greičiui, todėl, jai sutrikus, dozės koreguoti nereikia.</w:t>
      </w:r>
    </w:p>
    <w:p w14:paraId="16BE6BF2"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223FEFDE"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bCs/>
          <w:i/>
          <w:iCs/>
          <w:lang w:val="lt-LT"/>
        </w:rPr>
        <w:t>Pacientams, kurių kepenų funkcija sutrikusi</w:t>
      </w:r>
      <w:r w:rsidRPr="002B00E3">
        <w:rPr>
          <w:rFonts w:ascii="Times New Roman" w:eastAsia="Times New Roman" w:hAnsi="Times New Roman" w:cs="Times New Roman"/>
          <w:i/>
          <w:lang w:val="lt-LT"/>
        </w:rPr>
        <w:t xml:space="preserve"> </w:t>
      </w:r>
    </w:p>
    <w:p w14:paraId="09E1E00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Pacientams, sergantiems kepenų ciroze, Betaloc ZOK paprastai skiriama tokiomis pačiomis dozėmis kaip tiems, kurių kepenų funkcija normali. Dozę gali būti tikslinga mažinti tik kai yra sunkaus kepenų nepakankamumo požymių (pvz., pacientams, kuriems operaciniu būdu padaryta anastomozė).</w:t>
      </w:r>
    </w:p>
    <w:p w14:paraId="395C583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26B1107F"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i/>
          <w:lang w:val="lt-LT"/>
        </w:rPr>
        <w:t>Senyviems pacientams</w:t>
      </w:r>
    </w:p>
    <w:p w14:paraId="71D29BCB"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Senyviems pacientams dozės koreguoti nereikia.</w:t>
      </w:r>
    </w:p>
    <w:p w14:paraId="37AFBBC6" w14:textId="77777777" w:rsidR="002B00E3" w:rsidRPr="002B00E3" w:rsidRDefault="002B00E3" w:rsidP="002B00E3">
      <w:pPr>
        <w:spacing w:after="0" w:line="240" w:lineRule="auto"/>
        <w:contextualSpacing/>
        <w:rPr>
          <w:rFonts w:ascii="Times New Roman" w:eastAsia="Times New Roman" w:hAnsi="Times New Roman" w:cs="Times New Roman"/>
          <w:i/>
          <w:iCs/>
          <w:lang w:val="lt-LT"/>
        </w:rPr>
      </w:pPr>
    </w:p>
    <w:p w14:paraId="6BC36CAD" w14:textId="77777777" w:rsidR="002B00E3" w:rsidRPr="002B00E3" w:rsidRDefault="002B00E3" w:rsidP="002B00E3">
      <w:pPr>
        <w:spacing w:after="0" w:line="240" w:lineRule="auto"/>
        <w:contextualSpacing/>
        <w:outlineLvl w:val="0"/>
        <w:rPr>
          <w:rFonts w:ascii="Times New Roman" w:eastAsia="Times New Roman" w:hAnsi="Times New Roman" w:cs="Times New Roman"/>
          <w:i/>
          <w:iCs/>
          <w:lang w:val="lt-LT"/>
        </w:rPr>
      </w:pPr>
      <w:r w:rsidRPr="002B00E3">
        <w:rPr>
          <w:rFonts w:ascii="Times New Roman" w:eastAsia="Times New Roman" w:hAnsi="Times New Roman" w:cs="Times New Roman"/>
          <w:i/>
          <w:iCs/>
          <w:lang w:val="lt-LT"/>
        </w:rPr>
        <w:t>Vaikų ir paauglių populiacija</w:t>
      </w:r>
    </w:p>
    <w:p w14:paraId="432D0935" w14:textId="3F6E83BF"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Calibri" w:hAnsi="Times New Roman" w:cs="Times New Roman"/>
          <w:iCs/>
          <w:lang w:val="lt-LT" w:eastAsia="nl-NL"/>
        </w:rPr>
        <w:t>Rekomenduojama pradinė dozė 6</w:t>
      </w:r>
      <w:r w:rsidR="00992E00">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 xml:space="preserve">metų ir vyresniems </w:t>
      </w:r>
      <w:r w:rsidRPr="002B00E3">
        <w:rPr>
          <w:rFonts w:ascii="Times New Roman" w:eastAsia="Calibri" w:hAnsi="Times New Roman" w:cs="Times New Roman"/>
          <w:iCs/>
          <w:lang w:val="lt-LT"/>
        </w:rPr>
        <w:t xml:space="preserve">hipertenzija sergantiems pacientams yra </w:t>
      </w:r>
      <w:r w:rsidRPr="002B00E3">
        <w:rPr>
          <w:rFonts w:ascii="Times New Roman" w:eastAsia="Calibri" w:hAnsi="Times New Roman" w:cs="Times New Roman"/>
          <w:iCs/>
          <w:lang w:val="lt-LT" w:eastAsia="nl-NL"/>
        </w:rPr>
        <w:t xml:space="preserve">0,48 mg/kg metoprololio sukcinato 1 kartą per parą. Vartojama dozė miligramais turi būti artimiausia apskaičiuotai mg/kg. Jeigu 0,48 mg/kg reikiamo poveikio nesukelia, dozę galima padidinti iki </w:t>
      </w:r>
      <w:r w:rsidRPr="002B00E3">
        <w:rPr>
          <w:rFonts w:ascii="Times New Roman" w:eastAsia="Calibri" w:hAnsi="Times New Roman" w:cs="Times New Roman"/>
          <w:iCs/>
          <w:lang w:val="lt-LT" w:eastAsia="nl-NL"/>
        </w:rPr>
        <w:lastRenderedPageBreak/>
        <w:t xml:space="preserve">0,95 mg/kg metoprololio sukcinato, bet ne didesnės kaip 47,5 mg metoprololio sukcinato. Jeigu reikiamo poveikio nesukelia ir 0,95 mg/kg, dozę galima didinti iki didžiausios – 1,9 mg/kg metoprololio sukcinato per parą. </w:t>
      </w:r>
      <w:r w:rsidRPr="002B00E3">
        <w:rPr>
          <w:rFonts w:ascii="Times New Roman" w:eastAsia="Times New Roman" w:hAnsi="Times New Roman" w:cs="Times New Roman"/>
          <w:lang w:val="lt-LT"/>
        </w:rPr>
        <w:t xml:space="preserve">Didesnių kaip </w:t>
      </w:r>
      <w:r w:rsidRPr="002B00E3">
        <w:rPr>
          <w:rFonts w:ascii="Times New Roman" w:eastAsia="Calibri" w:hAnsi="Times New Roman" w:cs="Times New Roman"/>
          <w:iCs/>
          <w:lang w:val="lt-LT" w:eastAsia="nl-NL"/>
        </w:rPr>
        <w:t xml:space="preserve">190 mg metoprololio sukcinato </w:t>
      </w:r>
      <w:r w:rsidRPr="002B00E3">
        <w:rPr>
          <w:rFonts w:ascii="Times New Roman" w:eastAsia="Times New Roman" w:hAnsi="Times New Roman" w:cs="Times New Roman"/>
          <w:lang w:val="lt-LT"/>
        </w:rPr>
        <w:t>1 kartą per parą dozių poveikis vaikams ir paaugliams netirtas.</w:t>
      </w:r>
    </w:p>
    <w:p w14:paraId="31C70082"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A6B554B" w14:textId="176B422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Veiksmingumas ir saugumas jaunesniems kaip 6</w:t>
      </w:r>
      <w:r w:rsidR="00992E00">
        <w:rPr>
          <w:rFonts w:ascii="Times New Roman" w:eastAsia="Times New Roman" w:hAnsi="Times New Roman" w:cs="Times New Roman"/>
          <w:lang w:val="lt-LT"/>
        </w:rPr>
        <w:t> </w:t>
      </w:r>
      <w:r w:rsidRPr="002B00E3">
        <w:rPr>
          <w:rFonts w:ascii="Times New Roman" w:eastAsia="Times New Roman" w:hAnsi="Times New Roman" w:cs="Times New Roman"/>
          <w:lang w:val="lt-LT"/>
        </w:rPr>
        <w:t>metų vaikams netirti.</w:t>
      </w:r>
      <w:r w:rsidRPr="002B00E3">
        <w:rPr>
          <w:rFonts w:ascii="Times New Roman" w:eastAsia="Calibri" w:hAnsi="Times New Roman" w:cs="Times New Roman"/>
          <w:iCs/>
          <w:lang w:val="lt-LT" w:eastAsia="nl-NL"/>
        </w:rPr>
        <w:t xml:space="preserve"> Dėl to jiems Betaloc ZOK vartoti nerekomenduojama.</w:t>
      </w:r>
    </w:p>
    <w:p w14:paraId="42B3DE7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096A21E6"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eastAsia="x-none"/>
        </w:rPr>
      </w:pPr>
      <w:r w:rsidRPr="002B00E3">
        <w:rPr>
          <w:rFonts w:ascii="Times New Roman" w:eastAsia="Times New Roman" w:hAnsi="Times New Roman" w:cs="Times New Roman"/>
          <w:u w:val="single"/>
          <w:lang w:val="lt-LT" w:eastAsia="x-none"/>
        </w:rPr>
        <w:t>Vartojimo metodas</w:t>
      </w:r>
    </w:p>
    <w:p w14:paraId="47A31D8A"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57B11EAF"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pailginto atpalaidavimo tabletės geriamos 1 kartą per parą, geriausiai – rytą. Tabletę galima perskelti, tačiau negalima jos kramtyti ar traiškyti. Tabletė užgeriama bent puse stiklinės skysčio. Kartu vartojamas maistas metoprololio biologinio prieinamumo neveikia.</w:t>
      </w:r>
    </w:p>
    <w:p w14:paraId="40F2FA76"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rPr>
      </w:pPr>
      <w:r w:rsidRPr="002B00E3">
        <w:rPr>
          <w:rFonts w:ascii="Times New Roman" w:eastAsia="Times New Roman" w:hAnsi="Times New Roman" w:cs="Times New Roman"/>
          <w:lang w:val="lt-LT"/>
        </w:rPr>
        <w:t xml:space="preserve">Dozė parenkama individualiai, kad nepasireikštų bradikardija. </w:t>
      </w:r>
    </w:p>
    <w:p w14:paraId="447F675F"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6AD6D91" w14:textId="77777777" w:rsidR="002B00E3" w:rsidRPr="002B00E3" w:rsidRDefault="002B00E3" w:rsidP="002B00E3">
      <w:pPr>
        <w:tabs>
          <w:tab w:val="left" w:pos="567"/>
        </w:tabs>
        <w:spacing w:after="0" w:line="240" w:lineRule="auto"/>
        <w:contextualSpacing/>
        <w:jc w:val="both"/>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 xml:space="preserve">4.3 </w:t>
      </w:r>
      <w:r w:rsidRPr="002B00E3">
        <w:rPr>
          <w:rFonts w:ascii="Times New Roman" w:eastAsia="Times New Roman" w:hAnsi="Times New Roman" w:cs="Times New Roman"/>
          <w:b/>
          <w:bCs/>
          <w:lang w:val="lt-LT"/>
        </w:rPr>
        <w:tab/>
        <w:t>Kontraindikacijos</w:t>
      </w:r>
    </w:p>
    <w:p w14:paraId="26514D8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18175B68" w14:textId="77777777" w:rsidR="002B00E3" w:rsidRPr="002B00E3" w:rsidRDefault="002B00E3" w:rsidP="002B00E3">
      <w:pPr>
        <w:numPr>
          <w:ilvl w:val="0"/>
          <w:numId w:val="37"/>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bCs/>
          <w:lang w:val="lt-LT"/>
        </w:rPr>
        <w:t>Padidėjęs jautrumas veikliajai arba bet kuriai 6.1 skyriuje nurodytai pagalbinei medžiagai arba kitiems beta  adrenoblokatoriams.</w:t>
      </w:r>
    </w:p>
    <w:p w14:paraId="531A5CD4"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Kardiogeninis šokas. </w:t>
      </w:r>
    </w:p>
    <w:p w14:paraId="356805C3"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Sinusinio mazgo silpnumo sindromas (išskyrus atvejį, kai yra nuolatinis elektrinis širdies stimuliatorius).</w:t>
      </w:r>
    </w:p>
    <w:p w14:paraId="72B1CE06"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Metabolinė acidozė.</w:t>
      </w:r>
    </w:p>
    <w:p w14:paraId="2A39A142"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Monoaminooksidazės (MAO) inhibitorių (išskyrus MAO-B inhibitorius) vartojimas.</w:t>
      </w:r>
    </w:p>
    <w:p w14:paraId="7FEC3C29"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II ar III laipsnio atrioventrikulinė blokada.</w:t>
      </w:r>
    </w:p>
    <w:p w14:paraId="24CCF346" w14:textId="77777777" w:rsidR="002B00E3" w:rsidRPr="002B00E3" w:rsidRDefault="002B00E3" w:rsidP="002B00E3">
      <w:pPr>
        <w:numPr>
          <w:ilvl w:val="0"/>
          <w:numId w:val="37"/>
        </w:numPr>
        <w:tabs>
          <w:tab w:val="left" w:pos="567"/>
        </w:tabs>
        <w:spacing w:after="0" w:line="240" w:lineRule="auto"/>
        <w:ind w:left="567" w:hanging="567"/>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Nestabilus ir nekompensuotas širdies nepakankamumas (plaučių edema, sutrikusi kraujotaka arba hipotenzija) ir širdies susitraukimus stiprinančių β receptorių agonistų vartojimas (nuolat arba su pertraukomis)</w:t>
      </w:r>
    </w:p>
    <w:p w14:paraId="659D7A00"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Simptominė bradikardija ar hipotenzija. </w:t>
      </w:r>
    </w:p>
    <w:p w14:paraId="655E4D54" w14:textId="77777777"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Sunki periferinių kraujagyslių liga gresiant gangrenai.</w:t>
      </w:r>
    </w:p>
    <w:p w14:paraId="6DC98EF7" w14:textId="1018AB78" w:rsidR="002B00E3" w:rsidRPr="002B00E3" w:rsidRDefault="002B00E3" w:rsidP="002B00E3">
      <w:pPr>
        <w:numPr>
          <w:ilvl w:val="0"/>
          <w:numId w:val="37"/>
        </w:num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Jei įtariamas ūminis miokardo infarktas, metoprololio nereikėtų skirti tol, kol širdies susitraukimų dažnis mažesnis kaip 45 kartai per minutę, PQ intervalas ilgesnis kaip 0,24 sek. arba sistolinis kraujospūdis mažesnis kaip 100</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mm</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 xml:space="preserve">Hg. </w:t>
      </w:r>
    </w:p>
    <w:p w14:paraId="687E98CF" w14:textId="77777777" w:rsidR="002B00E3" w:rsidRPr="002B00E3" w:rsidRDefault="002B00E3" w:rsidP="002B00E3">
      <w:p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 </w:t>
      </w:r>
      <w:r w:rsidRPr="002B00E3">
        <w:rPr>
          <w:rFonts w:ascii="Times New Roman" w:eastAsia="Times New Roman" w:hAnsi="Times New Roman" w:cs="Times New Roman"/>
          <w:bCs/>
          <w:lang w:val="lt-LT"/>
        </w:rPr>
        <w:tab/>
        <w:t>Sunki bronchinė astma ar lėtinė obstrukcinė plaučių liga.</w:t>
      </w:r>
    </w:p>
    <w:p w14:paraId="5BB9196F" w14:textId="77777777" w:rsidR="002B00E3" w:rsidRPr="002B00E3" w:rsidRDefault="002B00E3" w:rsidP="002B00E3">
      <w:pPr>
        <w:tabs>
          <w:tab w:val="left" w:pos="567"/>
        </w:tabs>
        <w:spacing w:after="0" w:line="240" w:lineRule="auto"/>
        <w:ind w:left="567" w:hanging="567"/>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 </w:t>
      </w:r>
      <w:r w:rsidRPr="002B00E3">
        <w:rPr>
          <w:rFonts w:ascii="Times New Roman" w:eastAsia="Times New Roman" w:hAnsi="Times New Roman" w:cs="Times New Roman"/>
          <w:bCs/>
          <w:lang w:val="lt-LT"/>
        </w:rPr>
        <w:tab/>
        <w:t>Negydyta feochromocitoma.</w:t>
      </w:r>
    </w:p>
    <w:p w14:paraId="6711A82A" w14:textId="77777777" w:rsidR="002B00E3" w:rsidRPr="002B00E3" w:rsidRDefault="002B00E3" w:rsidP="002B00E3">
      <w:pPr>
        <w:spacing w:after="0" w:line="240" w:lineRule="auto"/>
        <w:contextualSpacing/>
        <w:jc w:val="both"/>
        <w:rPr>
          <w:rFonts w:ascii="Times New Roman" w:eastAsia="Times New Roman" w:hAnsi="Times New Roman" w:cs="Times New Roman"/>
          <w:bCs/>
          <w:lang w:val="lt-LT"/>
        </w:rPr>
      </w:pPr>
    </w:p>
    <w:p w14:paraId="2B6D423A"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4.4 </w:t>
      </w:r>
      <w:r w:rsidRPr="002B00E3">
        <w:rPr>
          <w:rFonts w:ascii="Times New Roman" w:eastAsia="Times New Roman" w:hAnsi="Times New Roman" w:cs="Times New Roman"/>
          <w:b/>
          <w:lang w:val="lt-LT"/>
        </w:rPr>
        <w:tab/>
        <w:t>Specialūs įspėjimai ir atsargumo priemonės</w:t>
      </w:r>
    </w:p>
    <w:p w14:paraId="19928549"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5100FAC" w14:textId="6BD825A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Metoprololis gali apsunkinti periferinės arterinės kraujotakos sutrikimų simptomus, pvz., protarpinį šlubumą. Šio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o atsargiai skiriama pacientams, sergantiems sunkiu inkstų nepakankamumu, sunkiomis ūminėmis ligomis su metaboline acidoze, taip pat kartu su širdies glikozidais.</w:t>
      </w:r>
    </w:p>
    <w:p w14:paraId="7435FE4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Dėl α adrenoreceptorių stimuliacijos sukeliamo vainikinių arterijų susiaurėjimo gali padažnėti ir pasunkėti vazospazminės (</w:t>
      </w:r>
      <w:r w:rsidRPr="002B00E3">
        <w:rPr>
          <w:rFonts w:ascii="Times New Roman" w:eastAsia="Times New Roman" w:hAnsi="Times New Roman" w:cs="Times New Roman"/>
          <w:i/>
          <w:lang w:val="lt-LT"/>
        </w:rPr>
        <w:t>Prinzmetal</w:t>
      </w:r>
      <w:r w:rsidRPr="002B00E3">
        <w:rPr>
          <w:rFonts w:ascii="Times New Roman" w:eastAsia="Times New Roman" w:hAnsi="Times New Roman" w:cs="Times New Roman"/>
          <w:lang w:val="lt-LT"/>
        </w:rPr>
        <w:t>) krūtinės anginos priepuoliai, todėl šia liga sergantiems pacientams neselektyvių β blokatorių neskiriama, o β</w:t>
      </w:r>
      <w:r w:rsidRPr="002B00E3">
        <w:rPr>
          <w:rFonts w:ascii="Times New Roman" w:eastAsia="Times New Roman" w:hAnsi="Times New Roman" w:cs="Times New Roman"/>
          <w:vertAlign w:val="subscript"/>
          <w:lang w:val="lt-LT"/>
        </w:rPr>
        <w:t>1</w:t>
      </w:r>
      <w:r w:rsidRPr="002B00E3">
        <w:rPr>
          <w:rFonts w:ascii="Times New Roman" w:eastAsia="Times New Roman" w:hAnsi="Times New Roman" w:cs="Times New Roman"/>
          <w:color w:val="0000FF"/>
          <w:lang w:val="lt-LT"/>
        </w:rPr>
        <w:t xml:space="preserve"> </w:t>
      </w:r>
      <w:r w:rsidRPr="002B00E3">
        <w:rPr>
          <w:rFonts w:ascii="Times New Roman" w:eastAsia="Times New Roman" w:hAnsi="Times New Roman" w:cs="Times New Roman"/>
          <w:lang w:val="lt-LT"/>
        </w:rPr>
        <w:t>selektyvių skiriama atsargiai.</w:t>
      </w:r>
    </w:p>
    <w:p w14:paraId="56686D2A" w14:textId="12638B8B"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Pacientams, sergantiems bronchų astma ar kita lėtine obstrukcine plaučių liga, kartu su Betaloc ZOK reikėtų skirti bronchus plečiančių vaist</w:t>
      </w:r>
      <w:r w:rsidR="002360CC">
        <w:rPr>
          <w:rFonts w:ascii="Times New Roman" w:eastAsia="Times New Roman" w:hAnsi="Times New Roman" w:cs="Times New Roman"/>
          <w:lang w:val="lt-LT"/>
        </w:rPr>
        <w:t>inių preparat</w:t>
      </w:r>
      <w:r w:rsidRPr="002B00E3">
        <w:rPr>
          <w:rFonts w:ascii="Times New Roman" w:eastAsia="Times New Roman" w:hAnsi="Times New Roman" w:cs="Times New Roman"/>
          <w:lang w:val="lt-LT"/>
        </w:rPr>
        <w:t>ų. β</w:t>
      </w:r>
      <w:r w:rsidRPr="002B00E3">
        <w:rPr>
          <w:rFonts w:ascii="Times New Roman" w:eastAsia="Times New Roman" w:hAnsi="Times New Roman" w:cs="Times New Roman"/>
          <w:vertAlign w:val="subscript"/>
          <w:lang w:val="lt-LT"/>
        </w:rPr>
        <w:t>2</w:t>
      </w:r>
      <w:r w:rsidRPr="002B00E3">
        <w:rPr>
          <w:rFonts w:ascii="Times New Roman" w:eastAsia="Times New Roman" w:hAnsi="Times New Roman" w:cs="Times New Roman"/>
          <w:lang w:val="lt-LT"/>
        </w:rPr>
        <w:t xml:space="preserve"> agonistų dozes gali tekti padidinti. </w:t>
      </w:r>
    </w:p>
    <w:p w14:paraId="7F30C4D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Palyginus su neselektyviais β blokatoriais, metoprololis kelia mažesnį angliavandenių metabolizmo sutrikimų ir hipoglikemijos maskavimo pavojų.</w:t>
      </w:r>
    </w:p>
    <w:p w14:paraId="0CFC4B1E" w14:textId="5AEDEEAB"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Labai retai šis vaist</w:t>
      </w:r>
      <w:r w:rsidR="002360CC">
        <w:rPr>
          <w:rFonts w:ascii="Times New Roman" w:eastAsia="Times New Roman" w:hAnsi="Times New Roman" w:cs="Times New Roman"/>
          <w:lang w:val="lt-LT"/>
        </w:rPr>
        <w:t>inis preparat</w:t>
      </w:r>
      <w:r w:rsidRPr="002B00E3">
        <w:rPr>
          <w:rFonts w:ascii="Times New Roman" w:eastAsia="Times New Roman" w:hAnsi="Times New Roman" w:cs="Times New Roman"/>
          <w:lang w:val="lt-LT"/>
        </w:rPr>
        <w:t>as gali apsunkinti vidutinio laipsnio atrioventrikulinio laidumo sutrikimą, todėl gali pasireikšti atrioventrikulinė blokada.</w:t>
      </w:r>
    </w:p>
    <w:p w14:paraId="45DA7DAA"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β blokatorių vartojimas gali apsunkinti anafilaksinės reakcijos gydymą, įprastinės epinefrino (adrenalino) dozės ne visada sukelia laukiamą gydomąjį poveikį. Jei Betaloc ZOK skiriama feochromocitoma sergančiam pacientui, reikėtų apsvarstyti, ar nebūtų tikslinga kartu skirti α blokatorių.</w:t>
      </w:r>
    </w:p>
    <w:p w14:paraId="6A13AC56" w14:textId="46D29A9F"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Kontroliuojamų klinikinių tyrimų duomenų apie šio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 xml:space="preserve">o veiksmingumą ir saugumą sunkiu stabiliu simptominiu (IV klasės pagal </w:t>
      </w:r>
      <w:r w:rsidRPr="002B00E3">
        <w:rPr>
          <w:rFonts w:ascii="Times New Roman" w:eastAsia="Times New Roman" w:hAnsi="Times New Roman" w:cs="Times New Roman"/>
          <w:i/>
          <w:lang w:val="lt-LT"/>
        </w:rPr>
        <w:t>NYHA</w:t>
      </w:r>
      <w:r w:rsidRPr="002B00E3">
        <w:rPr>
          <w:rFonts w:ascii="Times New Roman" w:eastAsia="Times New Roman" w:hAnsi="Times New Roman" w:cs="Times New Roman"/>
          <w:lang w:val="lt-LT"/>
        </w:rPr>
        <w:t xml:space="preserve">) širdies nepakankamumu sergantiems pacientams </w:t>
      </w:r>
      <w:r w:rsidRPr="002B00E3">
        <w:rPr>
          <w:rFonts w:ascii="Times New Roman" w:eastAsia="Times New Roman" w:hAnsi="Times New Roman" w:cs="Times New Roman"/>
          <w:lang w:val="lt-LT"/>
        </w:rPr>
        <w:lastRenderedPageBreak/>
        <w:t>yra nedaug, todėl jo gydymą šiuo vaist</w:t>
      </w:r>
      <w:r w:rsidR="002360CC">
        <w:rPr>
          <w:rFonts w:ascii="Times New Roman" w:eastAsia="Times New Roman" w:hAnsi="Times New Roman" w:cs="Times New Roman"/>
          <w:lang w:val="lt-LT"/>
        </w:rPr>
        <w:t>iniu preparat</w:t>
      </w:r>
      <w:r w:rsidRPr="002B00E3">
        <w:rPr>
          <w:rFonts w:ascii="Times New Roman" w:eastAsia="Times New Roman" w:hAnsi="Times New Roman" w:cs="Times New Roman"/>
          <w:lang w:val="lt-LT"/>
        </w:rPr>
        <w:t>u gali pradėti tik gydytojas, turintis labai daug širdies nepakankamumo gydymo patirties (žr.</w:t>
      </w:r>
      <w:r w:rsidR="00992E00">
        <w:rPr>
          <w:rFonts w:ascii="Times New Roman" w:eastAsia="Times New Roman" w:hAnsi="Times New Roman" w:cs="Times New Roman"/>
          <w:lang w:val="lt-LT"/>
        </w:rPr>
        <w:t xml:space="preserve"> </w:t>
      </w:r>
      <w:r w:rsidRPr="002B00E3">
        <w:rPr>
          <w:rFonts w:ascii="Times New Roman" w:eastAsia="Times New Roman" w:hAnsi="Times New Roman" w:cs="Times New Roman"/>
          <w:lang w:val="lt-LT"/>
        </w:rPr>
        <w:t xml:space="preserve">4.2. </w:t>
      </w:r>
      <w:r w:rsidR="00992E00">
        <w:rPr>
          <w:rFonts w:ascii="Times New Roman" w:eastAsia="Times New Roman" w:hAnsi="Times New Roman" w:cs="Times New Roman"/>
          <w:lang w:val="lt-LT"/>
        </w:rPr>
        <w:t>skyriuje</w:t>
      </w:r>
      <w:r w:rsidRPr="002B00E3">
        <w:rPr>
          <w:rFonts w:ascii="Times New Roman" w:eastAsia="Times New Roman" w:hAnsi="Times New Roman" w:cs="Times New Roman"/>
          <w:lang w:val="lt-LT"/>
        </w:rPr>
        <w:t>).</w:t>
      </w:r>
    </w:p>
    <w:p w14:paraId="0FC74752" w14:textId="2257563B"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Tyrime, kurio metu nustatyta, kad širdies nepakankamumas yra indikacija metoprololiui vartoti, nedalyvavo simptominiu širdies nepakankamumu sergantys pacientai, ištikti ūminio miokardo infarkto arba nestabilios krūtinės anginos. Duomenų apie ūminio miokardo infarkto, susijusio su širdies nepakankamumu, gydymo šiuo vaist</w:t>
      </w:r>
      <w:r w:rsidR="002360CC">
        <w:rPr>
          <w:rFonts w:ascii="Times New Roman" w:eastAsia="Times New Roman" w:hAnsi="Times New Roman" w:cs="Times New Roman"/>
          <w:lang w:val="lt-LT"/>
        </w:rPr>
        <w:t>iniu preparat</w:t>
      </w:r>
      <w:r w:rsidRPr="002B00E3">
        <w:rPr>
          <w:rFonts w:ascii="Times New Roman" w:eastAsia="Times New Roman" w:hAnsi="Times New Roman" w:cs="Times New Roman"/>
          <w:lang w:val="lt-LT"/>
        </w:rPr>
        <w:t>u veiksmingumą ir saugumą, nėra. Pacientams, sergantiems nestabiliu ir nekompensuotu širdies nepakankamumu, Betaloc ZOK skirti negalima (žr.</w:t>
      </w:r>
      <w:r w:rsidR="00992E00">
        <w:rPr>
          <w:rFonts w:ascii="Times New Roman" w:eastAsia="Times New Roman" w:hAnsi="Times New Roman" w:cs="Times New Roman"/>
          <w:lang w:val="lt-LT"/>
        </w:rPr>
        <w:t xml:space="preserve"> </w:t>
      </w:r>
      <w:r w:rsidRPr="002B00E3">
        <w:rPr>
          <w:rFonts w:ascii="Times New Roman" w:eastAsia="Times New Roman" w:hAnsi="Times New Roman" w:cs="Times New Roman"/>
          <w:lang w:val="lt-LT"/>
        </w:rPr>
        <w:t xml:space="preserve">4.3. </w:t>
      </w:r>
      <w:r w:rsidR="00992E00">
        <w:rPr>
          <w:rFonts w:ascii="Times New Roman" w:eastAsia="Times New Roman" w:hAnsi="Times New Roman" w:cs="Times New Roman"/>
          <w:lang w:val="lt-LT"/>
        </w:rPr>
        <w:t>skyriuje</w:t>
      </w:r>
      <w:r w:rsidRPr="002B00E3">
        <w:rPr>
          <w:rFonts w:ascii="Times New Roman" w:eastAsia="Times New Roman" w:hAnsi="Times New Roman" w:cs="Times New Roman"/>
          <w:lang w:val="lt-LT"/>
        </w:rPr>
        <w:t>).</w:t>
      </w:r>
    </w:p>
    <w:p w14:paraId="6B07D3BA" w14:textId="6E1A3F9C"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Staiga nutraukti β blokatorių vartojimą yra pavojinga, ypač didelės rizikos grupės pacientams, kadangi gali pasunkėti lėtinis širdies nepakankamumas, padidėti miokardo infarkto ir staigios mirties pavojus. Dėl to, jei įmanoma, Betaloc ZOK vartojimas nutraukiamas palaipsniui, ne greičiau kaip per 2 savaites. Kaskart dozė mažinama pusiau. Paskutinė dozė, prieš nutraukiant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o vartojimą, turėtų būti 11,725 mg (pusė 23,75 mg tabletės). Ji vartojama bent 4 dienas. Atsinaujinus ligos simptomams, vaist</w:t>
      </w:r>
      <w:r w:rsidR="002360CC">
        <w:rPr>
          <w:rFonts w:ascii="Times New Roman" w:eastAsia="Times New Roman" w:hAnsi="Times New Roman" w:cs="Times New Roman"/>
          <w:lang w:val="lt-LT"/>
        </w:rPr>
        <w:t>inio preparat</w:t>
      </w:r>
      <w:r w:rsidRPr="002B00E3">
        <w:rPr>
          <w:rFonts w:ascii="Times New Roman" w:eastAsia="Times New Roman" w:hAnsi="Times New Roman" w:cs="Times New Roman"/>
          <w:lang w:val="lt-LT"/>
        </w:rPr>
        <w:t>o dozę rekomenduojama mažinti dar lėčiau.</w:t>
      </w:r>
    </w:p>
    <w:p w14:paraId="2652769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Jei prieš operaciją Betaloc ZOK vartojimas nutraukiamas, tą reikėtų padaryti iki jos likus bent 48 val., išskyrus ypatingus atvejus, pvz., kai pacientas serga tirotoksikoze arba feochromocitoma.</w:t>
      </w:r>
    </w:p>
    <w:p w14:paraId="7A7E8EC8" w14:textId="77777777" w:rsidR="00F10B00" w:rsidRDefault="002B00E3" w:rsidP="00F10B00">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Jei širdies nepakankamumu sergančiam pacientui gulint pakartotinai išmatuojamas mažesnis kaip 100 mm Hg sistolinis AKS, tai, prieš skiriant Betaloc ZOK, jo būklę reikėtų dar kartą ištirti. </w:t>
      </w:r>
    </w:p>
    <w:p w14:paraId="69D5D3C5" w14:textId="77777777" w:rsidR="00F10B00" w:rsidRPr="00C26C66" w:rsidRDefault="00F10B00" w:rsidP="00F10B00">
      <w:pPr>
        <w:spacing w:after="0" w:line="240" w:lineRule="auto"/>
        <w:contextualSpacing/>
        <w:rPr>
          <w:rFonts w:ascii="Times New Roman" w:hAnsi="Times New Roman"/>
          <w:lang w:val="lt-LT"/>
        </w:rPr>
      </w:pPr>
    </w:p>
    <w:p w14:paraId="449C479C" w14:textId="57D55D56" w:rsidR="002B00E3" w:rsidRPr="002B00E3" w:rsidRDefault="00F10B00" w:rsidP="00F10B00">
      <w:pPr>
        <w:spacing w:after="0" w:line="240" w:lineRule="auto"/>
        <w:contextualSpacing/>
        <w:rPr>
          <w:rFonts w:ascii="Times New Roman" w:eastAsia="Times New Roman" w:hAnsi="Times New Roman" w:cs="Times New Roman"/>
          <w:bCs/>
          <w:lang w:val="lt-LT"/>
        </w:rPr>
      </w:pPr>
      <w:r w:rsidRPr="00F10B00">
        <w:rPr>
          <w:rFonts w:ascii="Times New Roman" w:eastAsia="Times New Roman" w:hAnsi="Times New Roman" w:cs="Times New Roman"/>
          <w:bCs/>
          <w:lang w:val="lt-LT"/>
        </w:rPr>
        <w:t>Šio vaist</w:t>
      </w:r>
      <w:r w:rsidR="008A5065">
        <w:rPr>
          <w:rFonts w:ascii="Times New Roman" w:eastAsia="Times New Roman" w:hAnsi="Times New Roman" w:cs="Times New Roman"/>
          <w:bCs/>
          <w:lang w:val="lt-LT"/>
        </w:rPr>
        <w:t>inio preparat</w:t>
      </w:r>
      <w:r w:rsidRPr="00F10B00">
        <w:rPr>
          <w:rFonts w:ascii="Times New Roman" w:eastAsia="Times New Roman" w:hAnsi="Times New Roman" w:cs="Times New Roman"/>
          <w:bCs/>
          <w:lang w:val="lt-LT"/>
        </w:rPr>
        <w:t xml:space="preserve">o </w:t>
      </w:r>
      <w:r>
        <w:rPr>
          <w:rFonts w:ascii="Times New Roman" w:eastAsia="Times New Roman" w:hAnsi="Times New Roman" w:cs="Times New Roman"/>
          <w:bCs/>
          <w:lang w:val="lt-LT"/>
        </w:rPr>
        <w:t>tabletėje</w:t>
      </w:r>
      <w:r w:rsidRPr="00F10B00">
        <w:rPr>
          <w:rFonts w:ascii="Times New Roman" w:eastAsia="Times New Roman" w:hAnsi="Times New Roman" w:cs="Times New Roman"/>
          <w:bCs/>
          <w:lang w:val="lt-LT"/>
        </w:rPr>
        <w:t xml:space="preserve"> yra</w:t>
      </w:r>
      <w:r>
        <w:rPr>
          <w:rFonts w:ascii="Times New Roman" w:eastAsia="Times New Roman" w:hAnsi="Times New Roman" w:cs="Times New Roman"/>
          <w:bCs/>
          <w:lang w:val="lt-LT"/>
        </w:rPr>
        <w:t xml:space="preserve"> </w:t>
      </w:r>
      <w:r w:rsidRPr="00F10B00">
        <w:rPr>
          <w:rFonts w:ascii="Times New Roman" w:eastAsia="Times New Roman" w:hAnsi="Times New Roman" w:cs="Times New Roman"/>
          <w:bCs/>
          <w:lang w:val="lt-LT"/>
        </w:rPr>
        <w:t>mažiau kaip 1 mmol (23 mg) natrio, t.y. jis beveik</w:t>
      </w:r>
      <w:r>
        <w:rPr>
          <w:rFonts w:ascii="Times New Roman" w:eastAsia="Times New Roman" w:hAnsi="Times New Roman" w:cs="Times New Roman"/>
          <w:bCs/>
          <w:lang w:val="lt-LT"/>
        </w:rPr>
        <w:t xml:space="preserve"> </w:t>
      </w:r>
      <w:r w:rsidRPr="00F10B00">
        <w:rPr>
          <w:rFonts w:ascii="Times New Roman" w:eastAsia="Times New Roman" w:hAnsi="Times New Roman" w:cs="Times New Roman"/>
          <w:bCs/>
          <w:lang w:val="lt-LT"/>
        </w:rPr>
        <w:t>neturi reikšmės.</w:t>
      </w:r>
    </w:p>
    <w:p w14:paraId="3A7413D3"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2294B90" w14:textId="77777777" w:rsidR="002B00E3" w:rsidRPr="002B00E3" w:rsidRDefault="002B00E3" w:rsidP="002B00E3">
      <w:pPr>
        <w:tabs>
          <w:tab w:val="left" w:pos="567"/>
        </w:tabs>
        <w:spacing w:after="0" w:line="240" w:lineRule="auto"/>
        <w:contextualSpacing/>
        <w:jc w:val="both"/>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 xml:space="preserve">4.5 </w:t>
      </w:r>
      <w:r w:rsidRPr="002B00E3">
        <w:rPr>
          <w:rFonts w:ascii="Times New Roman" w:eastAsia="Times New Roman" w:hAnsi="Times New Roman" w:cs="Times New Roman"/>
          <w:b/>
          <w:bCs/>
          <w:lang w:val="lt-LT"/>
        </w:rPr>
        <w:tab/>
        <w:t xml:space="preserve">Sąveika su kitais vaistiniais preparatais ir kitokia sąveika </w:t>
      </w:r>
    </w:p>
    <w:p w14:paraId="554498D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3A885E3" w14:textId="77777777" w:rsidR="002B00E3" w:rsidRPr="002B00E3" w:rsidRDefault="002B00E3" w:rsidP="002B00E3">
      <w:pPr>
        <w:spacing w:after="0" w:line="240" w:lineRule="auto"/>
        <w:contextualSpacing/>
        <w:outlineLvl w:val="0"/>
        <w:rPr>
          <w:rFonts w:ascii="Times New Roman" w:eastAsia="Times New Roman" w:hAnsi="Times New Roman" w:cs="Times New Roman"/>
          <w:i/>
          <w:u w:val="single"/>
          <w:lang w:val="lt-LT" w:eastAsia="x-none"/>
        </w:rPr>
      </w:pPr>
      <w:r w:rsidRPr="002B00E3">
        <w:rPr>
          <w:rFonts w:ascii="Times New Roman" w:eastAsia="Times New Roman" w:hAnsi="Times New Roman" w:cs="Times New Roman"/>
          <w:i/>
          <w:u w:val="single"/>
          <w:lang w:val="lt-LT" w:eastAsia="x-none"/>
        </w:rPr>
        <w:t>Nerekomenduojami deriniai</w:t>
      </w:r>
    </w:p>
    <w:p w14:paraId="3325332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Verapamilis</w:t>
      </w:r>
      <w:r w:rsidRPr="002B00E3">
        <w:rPr>
          <w:rFonts w:ascii="Times New Roman" w:eastAsia="Times New Roman" w:hAnsi="Times New Roman" w:cs="Times New Roman"/>
          <w:lang w:val="lt-LT" w:eastAsia="x-none"/>
        </w:rPr>
        <w:t>. Kartu su β blokatoriais vartojamas verapamilis gali sukelti bradikardiją ir hipotenziją (aprašyta tokia sąveika su atenololiu, propranololiu ir pindololiu). Verapamilio ir β blokatorių poveikiai atrioventrikuliniam ir sinusiniam mazgui sumuojasi.</w:t>
      </w:r>
    </w:p>
    <w:p w14:paraId="35272E6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B2C5F8A" w14:textId="77777777" w:rsidR="002B00E3" w:rsidRPr="002B00E3" w:rsidRDefault="002B00E3" w:rsidP="002B00E3">
      <w:pPr>
        <w:spacing w:after="0" w:line="240" w:lineRule="auto"/>
        <w:contextualSpacing/>
        <w:outlineLvl w:val="0"/>
        <w:rPr>
          <w:rFonts w:ascii="Times New Roman" w:eastAsia="Times New Roman" w:hAnsi="Times New Roman" w:cs="Times New Roman"/>
          <w:i/>
          <w:u w:val="single"/>
          <w:lang w:val="lt-LT" w:eastAsia="x-none"/>
        </w:rPr>
      </w:pPr>
      <w:r w:rsidRPr="002B00E3">
        <w:rPr>
          <w:rFonts w:ascii="Times New Roman" w:eastAsia="Times New Roman" w:hAnsi="Times New Roman" w:cs="Times New Roman"/>
          <w:i/>
          <w:u w:val="single"/>
          <w:lang w:val="lt-LT" w:eastAsia="x-none"/>
        </w:rPr>
        <w:t>Deriniai, kuriuos vartojant gali tekti koreguoti dozę</w:t>
      </w:r>
    </w:p>
    <w:p w14:paraId="305A1277" w14:textId="15CD828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Am</w:t>
      </w:r>
      <w:r w:rsidR="008C544B">
        <w:rPr>
          <w:rFonts w:ascii="Times New Roman" w:eastAsia="Times New Roman" w:hAnsi="Times New Roman" w:cs="Times New Roman"/>
          <w:i/>
          <w:lang w:val="lt-LT" w:eastAsia="x-none"/>
        </w:rPr>
        <w:t>j</w:t>
      </w:r>
      <w:r w:rsidRPr="002B00E3">
        <w:rPr>
          <w:rFonts w:ascii="Times New Roman" w:eastAsia="Times New Roman" w:hAnsi="Times New Roman" w:cs="Times New Roman"/>
          <w:i/>
          <w:lang w:val="lt-LT" w:eastAsia="x-none"/>
        </w:rPr>
        <w:t xml:space="preserve">odaronas. </w:t>
      </w:r>
      <w:r w:rsidRPr="002B00E3">
        <w:rPr>
          <w:rFonts w:ascii="Times New Roman" w:eastAsia="Times New Roman" w:hAnsi="Times New Roman" w:cs="Times New Roman"/>
          <w:lang w:val="lt-LT" w:eastAsia="x-none"/>
        </w:rPr>
        <w:t>Spontaninių pranešimų duomenimis, am</w:t>
      </w:r>
      <w:r w:rsidR="008C544B">
        <w:rPr>
          <w:rFonts w:ascii="Times New Roman" w:eastAsia="Times New Roman" w:hAnsi="Times New Roman" w:cs="Times New Roman"/>
          <w:lang w:val="lt-LT" w:eastAsia="x-none"/>
        </w:rPr>
        <w:t>j</w:t>
      </w:r>
      <w:r w:rsidRPr="002B00E3">
        <w:rPr>
          <w:rFonts w:ascii="Times New Roman" w:eastAsia="Times New Roman" w:hAnsi="Times New Roman" w:cs="Times New Roman"/>
          <w:lang w:val="lt-LT" w:eastAsia="x-none"/>
        </w:rPr>
        <w:t>odaroną vartojant kartu su metoprololiu, gali pasireikšti ryški sinusinė bradikardija. Am</w:t>
      </w:r>
      <w:r w:rsidR="008C544B">
        <w:rPr>
          <w:rFonts w:ascii="Times New Roman" w:eastAsia="Times New Roman" w:hAnsi="Times New Roman" w:cs="Times New Roman"/>
          <w:lang w:val="lt-LT" w:eastAsia="x-none"/>
        </w:rPr>
        <w:t>j</w:t>
      </w:r>
      <w:r w:rsidRPr="002B00E3">
        <w:rPr>
          <w:rFonts w:ascii="Times New Roman" w:eastAsia="Times New Roman" w:hAnsi="Times New Roman" w:cs="Times New Roman"/>
          <w:lang w:val="lt-LT" w:eastAsia="x-none"/>
        </w:rPr>
        <w:t>odarono pusinis laikas yra labai ilgas (maždaug 50</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dienų), todėl, baigus jį vartoti, sąveika yra galima dar ilgai.</w:t>
      </w:r>
    </w:p>
    <w:p w14:paraId="0A833733" w14:textId="7CDBFF86"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I</w:t>
      </w:r>
      <w:r w:rsidR="00992E00">
        <w:rPr>
          <w:rFonts w:ascii="Times New Roman" w:eastAsia="Times New Roman" w:hAnsi="Times New Roman" w:cs="Times New Roman"/>
          <w:i/>
          <w:lang w:val="lt-LT" w:eastAsia="x-none"/>
        </w:rPr>
        <w:t> </w:t>
      </w:r>
      <w:r w:rsidRPr="002B00E3">
        <w:rPr>
          <w:rFonts w:ascii="Times New Roman" w:eastAsia="Times New Roman" w:hAnsi="Times New Roman" w:cs="Times New Roman"/>
          <w:i/>
          <w:lang w:val="lt-LT" w:eastAsia="x-none"/>
        </w:rPr>
        <w:t>klasės vaist</w:t>
      </w:r>
      <w:r w:rsidR="002360CC">
        <w:rPr>
          <w:rFonts w:ascii="Times New Roman" w:eastAsia="Times New Roman" w:hAnsi="Times New Roman" w:cs="Times New Roman"/>
          <w:i/>
          <w:lang w:val="lt-LT" w:eastAsia="x-none"/>
        </w:rPr>
        <w:t>iniai preparat</w:t>
      </w:r>
      <w:r w:rsidRPr="002B00E3">
        <w:rPr>
          <w:rFonts w:ascii="Times New Roman" w:eastAsia="Times New Roman" w:hAnsi="Times New Roman" w:cs="Times New Roman"/>
          <w:i/>
          <w:lang w:val="lt-LT" w:eastAsia="x-none"/>
        </w:rPr>
        <w:t>ai nuo aritmijos.</w:t>
      </w:r>
      <w:r w:rsidRPr="002B00E3">
        <w:rPr>
          <w:rFonts w:ascii="Times New Roman" w:eastAsia="Times New Roman" w:hAnsi="Times New Roman" w:cs="Times New Roman"/>
          <w:lang w:val="lt-LT" w:eastAsia="x-none"/>
        </w:rPr>
        <w:t xml:space="preserve"> I</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klasės vaist</w:t>
      </w:r>
      <w:r w:rsidR="002360CC">
        <w:rPr>
          <w:rFonts w:ascii="Times New Roman" w:eastAsia="Times New Roman" w:hAnsi="Times New Roman" w:cs="Times New Roman"/>
          <w:lang w:val="lt-LT" w:eastAsia="x-none"/>
        </w:rPr>
        <w:t>inių preparat</w:t>
      </w:r>
      <w:r w:rsidRPr="002B00E3">
        <w:rPr>
          <w:rFonts w:ascii="Times New Roman" w:eastAsia="Times New Roman" w:hAnsi="Times New Roman" w:cs="Times New Roman"/>
          <w:lang w:val="lt-LT" w:eastAsia="x-none"/>
        </w:rPr>
        <w:t>ų nuo aritmijos ir β blokatorių neigiamas inotropinis poveikis sumuojasi, todėl gali labai pablogėti kraujotaka pacientų, kurių kairiojo skilvelio funkcija sutrikusi. Be to, šio derinio nereikėtų skirti esant sinusinio mazgo silpnumo sindromui ar sutrikusiam atrioventrikuliniam laidumui. Geriausiai aprašyta metoprololio sąveika su disopiramidu.</w:t>
      </w:r>
    </w:p>
    <w:p w14:paraId="66E95C71" w14:textId="492D8282"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Nesteroidiniai vaist</w:t>
      </w:r>
      <w:r w:rsidR="002360CC">
        <w:rPr>
          <w:rFonts w:ascii="Times New Roman" w:eastAsia="Times New Roman" w:hAnsi="Times New Roman" w:cs="Times New Roman"/>
          <w:i/>
          <w:lang w:val="lt-LT" w:eastAsia="x-none"/>
        </w:rPr>
        <w:t>iniai preparat</w:t>
      </w:r>
      <w:r w:rsidRPr="002B00E3">
        <w:rPr>
          <w:rFonts w:ascii="Times New Roman" w:eastAsia="Times New Roman" w:hAnsi="Times New Roman" w:cs="Times New Roman"/>
          <w:i/>
          <w:lang w:val="lt-LT" w:eastAsia="x-none"/>
        </w:rPr>
        <w:t>ai nuo uždegimo.</w:t>
      </w:r>
      <w:r w:rsidRPr="002B00E3">
        <w:rPr>
          <w:rFonts w:ascii="Times New Roman" w:eastAsia="Times New Roman" w:hAnsi="Times New Roman" w:cs="Times New Roman"/>
          <w:lang w:val="lt-LT" w:eastAsia="x-none"/>
        </w:rPr>
        <w:t xml:space="preserve"> Nustatyta, kad nesteroidiniai vaist</w:t>
      </w:r>
      <w:r w:rsidR="002360CC">
        <w:rPr>
          <w:rFonts w:ascii="Times New Roman" w:eastAsia="Times New Roman" w:hAnsi="Times New Roman" w:cs="Times New Roman"/>
          <w:lang w:val="lt-LT" w:eastAsia="x-none"/>
        </w:rPr>
        <w:t>iniai preparat</w:t>
      </w:r>
      <w:r w:rsidRPr="002B00E3">
        <w:rPr>
          <w:rFonts w:ascii="Times New Roman" w:eastAsia="Times New Roman" w:hAnsi="Times New Roman" w:cs="Times New Roman"/>
          <w:lang w:val="lt-LT" w:eastAsia="x-none"/>
        </w:rPr>
        <w:t>ai nuo uždegimo silpnina β blokatorių antihipertenzinį poveikį (geriausiai ištirta tokia indometacino įtaka). Sulindakas β blokatorių antihipertenzinio poveikio tikriausiai nesilpnina, specialus tyrimas neparodė tokios sąveikos ir su diklofenaku.</w:t>
      </w:r>
    </w:p>
    <w:p w14:paraId="218C4EBE"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Širdies glikozidai</w:t>
      </w:r>
      <w:r w:rsidRPr="002B00E3">
        <w:rPr>
          <w:rFonts w:ascii="Times New Roman" w:eastAsia="Times New Roman" w:hAnsi="Times New Roman" w:cs="Times New Roman"/>
          <w:lang w:val="lt-LT" w:eastAsia="x-none"/>
        </w:rPr>
        <w:t>, vartojami kartu su β blokatoriais, gali sulėtinti impulso sklidimą atrioventrikuliniu mazgu ir sukelti bradikardiją.</w:t>
      </w:r>
    </w:p>
    <w:p w14:paraId="1EB593E3"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 xml:space="preserve">Diltiazemas. </w:t>
      </w:r>
      <w:r w:rsidRPr="002B00E3">
        <w:rPr>
          <w:rFonts w:ascii="Times New Roman" w:eastAsia="Times New Roman" w:hAnsi="Times New Roman" w:cs="Times New Roman"/>
          <w:lang w:val="lt-LT" w:eastAsia="x-none"/>
        </w:rPr>
        <w:t>Atrioventrikulinio mazgo laidumą mažinantis ir sinusinio mazgo veiklą slopinantis diltiazemo ir β blokatorių poveikiai sumuojasi. Gauta spontaninių pranešimų apie ryškią bradikardiją β blokatorius vartojant kartu su diltiazemu.</w:t>
      </w:r>
    </w:p>
    <w:p w14:paraId="36F71C2B" w14:textId="1133E20E"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 xml:space="preserve">Epinefrinas. </w:t>
      </w:r>
      <w:r w:rsidRPr="002B00E3">
        <w:rPr>
          <w:rFonts w:ascii="Times New Roman" w:eastAsia="Times New Roman" w:hAnsi="Times New Roman" w:cs="Times New Roman"/>
          <w:lang w:val="lt-LT" w:eastAsia="x-none"/>
        </w:rPr>
        <w:t>Aprašyta apie 10</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atvejų, kai pacientams, vartojantiems neselektyvius β blokatorius (pindololį, propranololį), pasireiškė ryški hipertenzija ir bradikardija sušvirkštus epinefrino (adrenalino). Šiuos klinikinių stebėjimų duomenis patvirtino su sveikais savanoriais atlikti tyrimai. Manoma, kad tokių poveikių taip gali pasireikšti į kraujagyslę sušvirkštus lokalių anestetikų tirpalų, kurių sudėtyje yra epinefrino. Vartojant kardioselektyvius β blokatorius, minėtų reakcijų pavojus tikriausiai yra mažesnis.</w:t>
      </w:r>
    </w:p>
    <w:p w14:paraId="41007A02" w14:textId="4BBA2E34"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i/>
          <w:lang w:val="lt-LT"/>
        </w:rPr>
        <w:t xml:space="preserve">Fenilpropanolaminas. </w:t>
      </w:r>
      <w:r w:rsidRPr="002B00E3">
        <w:rPr>
          <w:rFonts w:ascii="Times New Roman" w:eastAsia="Times New Roman" w:hAnsi="Times New Roman" w:cs="Times New Roman"/>
          <w:lang w:val="lt-LT"/>
        </w:rPr>
        <w:t>Viena 50 mg fenilpropanolamino (norefedrino) dozė gali padidinti sveikų savanorių diastolinį kraujospūdį iki nenormaliai aukšto. Propranololis paprastai neleidžia pasireikšti kraujospūdį didinančiam fenilpropanolamino poveikiui, tačiau pacientams, vartojantiems fenilpropanolaminą didelėmis dozėmis, β blokatoriai gali sukelti paradoksalių hipertenzinių reakcijų. Aprašyti 2</w:t>
      </w:r>
      <w:r w:rsidR="00992E00">
        <w:rPr>
          <w:rFonts w:ascii="Times New Roman" w:eastAsia="Times New Roman" w:hAnsi="Times New Roman" w:cs="Times New Roman"/>
          <w:lang w:val="lt-LT"/>
        </w:rPr>
        <w:t> </w:t>
      </w:r>
      <w:r w:rsidRPr="002B00E3">
        <w:rPr>
          <w:rFonts w:ascii="Times New Roman" w:eastAsia="Times New Roman" w:hAnsi="Times New Roman" w:cs="Times New Roman"/>
          <w:lang w:val="lt-LT"/>
        </w:rPr>
        <w:t>atvejai, kai pacientus, vartojančius tik fenilpropanolaminą, ištiko hipertenzijos krizė.</w:t>
      </w:r>
    </w:p>
    <w:p w14:paraId="4A55772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i/>
          <w:lang w:val="lt-LT"/>
        </w:rPr>
        <w:lastRenderedPageBreak/>
        <w:t>Klonidinas.</w:t>
      </w:r>
      <w:r w:rsidRPr="002B00E3">
        <w:rPr>
          <w:rFonts w:ascii="Times New Roman" w:eastAsia="Times New Roman" w:hAnsi="Times New Roman" w:cs="Times New Roman"/>
          <w:lang w:val="lt-LT"/>
        </w:rPr>
        <w:t xml:space="preserve"> </w:t>
      </w:r>
      <w:r w:rsidRPr="002B00E3">
        <w:rPr>
          <w:rFonts w:ascii="Times New Roman" w:eastAsia="Times New Roman" w:hAnsi="Times New Roman" w:cs="Times New Roman"/>
          <w:bCs/>
          <w:lang w:val="lt-LT"/>
        </w:rPr>
        <w:t>Klonidino vartojimą galima nutraukti tik praėjus kelioms dienoms po gydymo metoprololiu nutraukimo, tačiau tai reikia daryti iš lėto mažinant dozę (žr. informaciją apie klonidiną).</w:t>
      </w:r>
    </w:p>
    <w:p w14:paraId="4BC886C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6E867C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Pacientus, kurie kartu vartoja kitus β blokatorius (akių lašus)</w:t>
      </w:r>
      <w:r w:rsidRPr="002B00E3">
        <w:rPr>
          <w:rFonts w:ascii="Times New Roman" w:eastAsia="Times New Roman" w:hAnsi="Times New Roman" w:cs="Times New Roman"/>
          <w:b/>
          <w:lang w:val="lt-LT"/>
        </w:rPr>
        <w:t>,</w:t>
      </w:r>
      <w:r w:rsidRPr="002B00E3">
        <w:rPr>
          <w:rFonts w:ascii="Times New Roman" w:eastAsia="Times New Roman" w:hAnsi="Times New Roman" w:cs="Times New Roman"/>
          <w:lang w:val="lt-LT"/>
        </w:rPr>
        <w:t xml:space="preserve"> </w:t>
      </w:r>
      <w:r w:rsidRPr="002B00E3">
        <w:rPr>
          <w:rFonts w:ascii="Times New Roman" w:eastAsia="Times New Roman" w:hAnsi="Times New Roman" w:cs="Times New Roman"/>
          <w:bCs/>
          <w:lang w:val="lt-LT"/>
        </w:rPr>
        <w:t>simpatinių ganglijų blokatorius</w:t>
      </w:r>
      <w:r w:rsidRPr="002B00E3">
        <w:rPr>
          <w:rFonts w:ascii="Times New Roman" w:eastAsia="Times New Roman" w:hAnsi="Times New Roman" w:cs="Times New Roman"/>
          <w:lang w:val="lt-LT"/>
        </w:rPr>
        <w:t xml:space="preserve"> arba MAOI inhibitorius, reikėtų atidžiai stebėti. Inhaliuojamieji anestetikai gali sustiprinti širdies veiklą slopinantį β blokatorių poveikį.</w:t>
      </w:r>
    </w:p>
    <w:p w14:paraId="7CE2EA94" w14:textId="202C144C"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yra citochromo P450 izofermento CYP2D6 metabolinis substratas. Vaist</w:t>
      </w:r>
      <w:r w:rsidR="002360CC">
        <w:rPr>
          <w:rFonts w:ascii="Times New Roman" w:eastAsia="Times New Roman" w:hAnsi="Times New Roman" w:cs="Times New Roman"/>
          <w:lang w:val="lt-LT" w:eastAsia="x-none"/>
        </w:rPr>
        <w:t>iniai preparat</w:t>
      </w:r>
      <w:r w:rsidRPr="002B00E3">
        <w:rPr>
          <w:rFonts w:ascii="Times New Roman" w:eastAsia="Times New Roman" w:hAnsi="Times New Roman" w:cs="Times New Roman"/>
          <w:lang w:val="lt-LT" w:eastAsia="x-none"/>
        </w:rPr>
        <w:t>ai, in</w:t>
      </w:r>
      <w:r w:rsidRPr="002B00E3">
        <w:rPr>
          <w:rFonts w:ascii="Times New Roman" w:eastAsia="Times New Roman" w:hAnsi="Times New Roman" w:cs="Times New Roman"/>
          <w:lang w:val="lt-LT" w:eastAsia="x-none"/>
        </w:rPr>
        <w:softHyphen/>
        <w:t>du</w:t>
      </w:r>
      <w:r w:rsidRPr="002B00E3">
        <w:rPr>
          <w:rFonts w:ascii="Times New Roman" w:eastAsia="Times New Roman" w:hAnsi="Times New Roman" w:cs="Times New Roman"/>
          <w:lang w:val="lt-LT" w:eastAsia="x-none"/>
        </w:rPr>
        <w:softHyphen/>
        <w:t>kuojantys ar slopinantys fermentus, gali keisti metoprololio koncentraciją plazmoje. Ją gali didinti kartu vartojami CYP2D6 metabolizuojami vaist</w:t>
      </w:r>
      <w:r w:rsidR="002360CC">
        <w:rPr>
          <w:rFonts w:ascii="Times New Roman" w:eastAsia="Times New Roman" w:hAnsi="Times New Roman" w:cs="Times New Roman"/>
          <w:lang w:val="lt-LT" w:eastAsia="x-none"/>
        </w:rPr>
        <w:t>iniai preparat</w:t>
      </w:r>
      <w:r w:rsidRPr="002B00E3">
        <w:rPr>
          <w:rFonts w:ascii="Times New Roman" w:eastAsia="Times New Roman" w:hAnsi="Times New Roman" w:cs="Times New Roman"/>
          <w:lang w:val="lt-LT" w:eastAsia="x-none"/>
        </w:rPr>
        <w:t>ai, pvz., antiaritminiai, antihis</w:t>
      </w:r>
      <w:r w:rsidRPr="002B00E3">
        <w:rPr>
          <w:rFonts w:ascii="Times New Roman" w:eastAsia="Times New Roman" w:hAnsi="Times New Roman" w:cs="Times New Roman"/>
          <w:lang w:val="lt-LT" w:eastAsia="x-none"/>
        </w:rPr>
        <w:softHyphen/>
        <w:t>tami</w:t>
      </w:r>
      <w:r w:rsidRPr="002B00E3">
        <w:rPr>
          <w:rFonts w:ascii="Times New Roman" w:eastAsia="Times New Roman" w:hAnsi="Times New Roman" w:cs="Times New Roman"/>
          <w:lang w:val="lt-LT" w:eastAsia="x-none"/>
        </w:rPr>
        <w:softHyphen/>
        <w:t>ni</w:t>
      </w:r>
      <w:r w:rsidRPr="002B00E3">
        <w:rPr>
          <w:rFonts w:ascii="Times New Roman" w:eastAsia="Times New Roman" w:hAnsi="Times New Roman" w:cs="Times New Roman"/>
          <w:lang w:val="lt-LT" w:eastAsia="x-none"/>
        </w:rPr>
        <w:softHyphen/>
        <w:t>niai, H</w:t>
      </w:r>
      <w:r w:rsidRPr="002B00E3">
        <w:rPr>
          <w:rFonts w:ascii="Times New Roman" w:eastAsia="Times New Roman" w:hAnsi="Times New Roman" w:cs="Times New Roman"/>
          <w:vertAlign w:val="subscript"/>
          <w:lang w:val="lt-LT" w:eastAsia="x-none"/>
        </w:rPr>
        <w:t>2</w:t>
      </w:r>
      <w:r w:rsidRPr="002B00E3">
        <w:rPr>
          <w:rFonts w:ascii="Times New Roman" w:eastAsia="Times New Roman" w:hAnsi="Times New Roman" w:cs="Times New Roman"/>
          <w:lang w:val="lt-LT" w:eastAsia="x-none"/>
        </w:rPr>
        <w:t xml:space="preserve"> receptorių antagonistai, tricikliai antidepresantai, cimetidinas, hidralazinas, selektyvūs serotonino reabsorbcijos inhibitoriai (pvz., paroksetinas, fluoksetinas, sertralinas), antipsi</w:t>
      </w:r>
      <w:r w:rsidRPr="002B00E3">
        <w:rPr>
          <w:rFonts w:ascii="Times New Roman" w:eastAsia="Times New Roman" w:hAnsi="Times New Roman" w:cs="Times New Roman"/>
          <w:lang w:val="lt-LT" w:eastAsia="x-none"/>
        </w:rPr>
        <w:softHyphen/>
        <w:t>cho</w:t>
      </w:r>
      <w:r w:rsidRPr="002B00E3">
        <w:rPr>
          <w:rFonts w:ascii="Times New Roman" w:eastAsia="Times New Roman" w:hAnsi="Times New Roman" w:cs="Times New Roman"/>
          <w:lang w:val="lt-LT" w:eastAsia="x-none"/>
        </w:rPr>
        <w:softHyphen/>
        <w:t>zi</w:t>
      </w:r>
      <w:r w:rsidRPr="002B00E3">
        <w:rPr>
          <w:rFonts w:ascii="Times New Roman" w:eastAsia="Times New Roman" w:hAnsi="Times New Roman" w:cs="Times New Roman"/>
          <w:lang w:val="lt-LT" w:eastAsia="x-none"/>
        </w:rPr>
        <w:softHyphen/>
        <w:t xml:space="preserve">niai (fenotiazinas), propafenonas, chinidinas, difenhidraminas ir COG-2 inhibitoriai. </w:t>
      </w:r>
    </w:p>
    <w:p w14:paraId="284E1811" w14:textId="7E8911C0"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Insulinas ir geriamieji antidiabetiniai vaist</w:t>
      </w:r>
      <w:r w:rsidR="002360CC">
        <w:rPr>
          <w:rFonts w:ascii="Times New Roman" w:eastAsia="Times New Roman" w:hAnsi="Times New Roman" w:cs="Times New Roman"/>
          <w:i/>
          <w:lang w:val="lt-LT" w:eastAsia="x-none"/>
        </w:rPr>
        <w:t>iniai preparat</w:t>
      </w:r>
      <w:r w:rsidRPr="002B00E3">
        <w:rPr>
          <w:rFonts w:ascii="Times New Roman" w:eastAsia="Times New Roman" w:hAnsi="Times New Roman" w:cs="Times New Roman"/>
          <w:i/>
          <w:lang w:val="lt-LT" w:eastAsia="x-none"/>
        </w:rPr>
        <w:t>ai</w:t>
      </w:r>
      <w:r w:rsidRPr="002B00E3">
        <w:rPr>
          <w:rFonts w:ascii="Times New Roman" w:eastAsia="Times New Roman" w:hAnsi="Times New Roman" w:cs="Times New Roman"/>
          <w:lang w:val="lt-LT" w:eastAsia="x-none"/>
        </w:rPr>
        <w:t>. Metoprololis gali sustiprinti arba pailginti insulino arba geriamųjų antidiabetinių vaist</w:t>
      </w:r>
      <w:r w:rsidR="002360CC">
        <w:rPr>
          <w:rFonts w:ascii="Times New Roman" w:eastAsia="Times New Roman" w:hAnsi="Times New Roman" w:cs="Times New Roman"/>
          <w:lang w:val="lt-LT" w:eastAsia="x-none"/>
        </w:rPr>
        <w:t>inių preparat</w:t>
      </w:r>
      <w:r w:rsidRPr="002B00E3">
        <w:rPr>
          <w:rFonts w:ascii="Times New Roman" w:eastAsia="Times New Roman" w:hAnsi="Times New Roman" w:cs="Times New Roman"/>
          <w:lang w:val="lt-LT" w:eastAsia="x-none"/>
        </w:rPr>
        <w:t>ų veikimą. Hipoglikemijos simptomai, ypač tachikardija ir tremoras, gali tapti nepastebimi arba labai susilpnėti, todėl būtina reguliariai kontroliuoti gliukozės koncentraciją kraujyje.</w:t>
      </w:r>
    </w:p>
    <w:p w14:paraId="56FE180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Vartojant kartu indometaciną ar kitų prostaglandinų sintezės inhibitorių, gali susilpnėti antihipertenzinis beta adrenoreceptorių blokatorių poveikis.</w:t>
      </w:r>
    </w:p>
    <w:p w14:paraId="6CEC5B7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Adrenalino poveikis gydant anafilaksinę reakciją pacientams, kurie vartoja beta adrenoreceptorių blokatorių, gali būti silpnesnis.</w:t>
      </w:r>
    </w:p>
    <w:p w14:paraId="427DFAC3"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Miorelaksantai</w:t>
      </w:r>
      <w:r w:rsidRPr="002B00E3">
        <w:rPr>
          <w:rFonts w:ascii="Times New Roman" w:eastAsia="Times New Roman" w:hAnsi="Times New Roman" w:cs="Times New Roman"/>
          <w:lang w:val="lt-LT" w:eastAsia="x-none"/>
        </w:rPr>
        <w:t>. Jeigu prieš operaciją, kurios metu ligoniui sukeliama bendroji anestezija, arba prieš periferinio poveikio miorelaksantų vartojimą gydymo metoprololio</w:t>
      </w:r>
      <w:r w:rsidRPr="002B00E3">
        <w:rPr>
          <w:rFonts w:ascii="Times New Roman" w:eastAsia="Times New Roman" w:hAnsi="Times New Roman" w:cs="Times New Roman"/>
          <w:color w:val="000000"/>
          <w:lang w:val="lt-LT" w:eastAsia="x-none"/>
        </w:rPr>
        <w:t xml:space="preserve"> </w:t>
      </w:r>
      <w:r w:rsidRPr="002B00E3">
        <w:rPr>
          <w:rFonts w:ascii="Times New Roman" w:eastAsia="Times New Roman" w:hAnsi="Times New Roman" w:cs="Times New Roman"/>
          <w:lang w:val="lt-LT" w:eastAsia="x-none"/>
        </w:rPr>
        <w:t>nutraukti neįmanoma, būtina informuoti anesteziologą apie šio preparato vartojimą.</w:t>
      </w:r>
    </w:p>
    <w:p w14:paraId="7609E187"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741DFE50" w14:textId="77777777" w:rsidR="002B00E3" w:rsidRPr="002B00E3" w:rsidRDefault="002B00E3" w:rsidP="002B00E3">
      <w:pPr>
        <w:keepNext/>
        <w:keepLines/>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4.6</w:t>
      </w:r>
      <w:r w:rsidRPr="002B00E3">
        <w:rPr>
          <w:rFonts w:ascii="Times New Roman" w:eastAsia="Times New Roman" w:hAnsi="Times New Roman" w:cs="Times New Roman"/>
          <w:b/>
          <w:lang w:val="lt-LT"/>
        </w:rPr>
        <w:tab/>
        <w:t xml:space="preserve"> </w:t>
      </w:r>
      <w:r w:rsidRPr="002B00E3">
        <w:rPr>
          <w:rFonts w:ascii="Times New Roman" w:eastAsia="Times New Roman" w:hAnsi="Times New Roman" w:cs="Times New Roman"/>
          <w:b/>
          <w:bCs/>
          <w:lang w:val="lt-LT"/>
        </w:rPr>
        <w:t>Vaisingumas, nėštumo ir žindymo laikotarpis</w:t>
      </w:r>
      <w:r w:rsidRPr="002B00E3">
        <w:rPr>
          <w:rFonts w:ascii="Times New Roman" w:eastAsia="Times New Roman" w:hAnsi="Times New Roman" w:cs="Times New Roman"/>
          <w:b/>
          <w:lang w:val="lt-LT"/>
        </w:rPr>
        <w:t xml:space="preserve"> </w:t>
      </w:r>
    </w:p>
    <w:p w14:paraId="3DB23015" w14:textId="77777777" w:rsidR="002B00E3" w:rsidRPr="002B00E3" w:rsidRDefault="002B00E3" w:rsidP="002B00E3">
      <w:pPr>
        <w:keepNext/>
        <w:keepLines/>
        <w:spacing w:after="0" w:line="240" w:lineRule="auto"/>
        <w:contextualSpacing/>
        <w:rPr>
          <w:rFonts w:ascii="Times New Roman" w:eastAsia="Times New Roman" w:hAnsi="Times New Roman" w:cs="Times New Roman"/>
          <w:b/>
          <w:bCs/>
          <w:lang w:val="lt-LT"/>
        </w:rPr>
      </w:pPr>
    </w:p>
    <w:p w14:paraId="77EB7A8E" w14:textId="77777777" w:rsidR="002B00E3" w:rsidRPr="002B00E3" w:rsidRDefault="002B00E3" w:rsidP="002B00E3">
      <w:pPr>
        <w:keepNext/>
        <w:keepLines/>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Nėštumas</w:t>
      </w:r>
    </w:p>
    <w:p w14:paraId="1FC98D21" w14:textId="5BC140CB"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β blokatoriai gali sukelti bradikardiją vaisiui ir naujagimiui. Į tai reikėtų atsižvelgti šių vaist</w:t>
      </w:r>
      <w:r w:rsidR="002360CC">
        <w:rPr>
          <w:rFonts w:ascii="Times New Roman" w:eastAsia="Times New Roman" w:hAnsi="Times New Roman" w:cs="Times New Roman"/>
          <w:bCs/>
          <w:lang w:val="lt-LT"/>
        </w:rPr>
        <w:t>inių preparat</w:t>
      </w:r>
      <w:r w:rsidRPr="002B00E3">
        <w:rPr>
          <w:rFonts w:ascii="Times New Roman" w:eastAsia="Times New Roman" w:hAnsi="Times New Roman" w:cs="Times New Roman"/>
          <w:bCs/>
          <w:lang w:val="lt-LT"/>
        </w:rPr>
        <w:t>ų skiriant paskutinį nėštumo trimestrą ar gimdymo metu. Metoprololį nėštumo metu vartoti galima, jeigu nauda motinai persveria riziką gemalui ar vaisiui.</w:t>
      </w:r>
    </w:p>
    <w:p w14:paraId="1237E210"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Βeta adrenoreceptorių blokatoriai blogina placentos kraujotaką ir gali lemti vaisiaus mirtį bei priešlaikinį gimdymą. Lengva arba vidutinio sunkumo hipertenzija sergančių nėščiųjų, kurios nėštumo metu ilgą laiką vartojo metoprololį, vaisiaus augimas sulėtėjo. Nustatyta, kad beta adrenoreceptorių blokatoriai ilgina gimdymą ir sukelia vaisiaus bei naujagimio bradikardiją. Be to, gauta pranešimų, kad naujagimiui pasireiškė hiperglikemija, hipotenzija, padidėjo bilirubinemija bei sutriko naujagimio reakcija į deguonies stoką. Gydymą metoprololiu reikia nutraukti likus 48–72 valandoms iki apskaičiuoto gimdymo laiko. Jeigu to padaryti negalima, 48–72 valandas po gimimo reikia stebėti, ar naujagimiui neatsiranda beta adrenoreceptorių blokados požymių ir simptomų (pvz., širdies ir plaučių komplikacijų).</w:t>
      </w:r>
    </w:p>
    <w:p w14:paraId="04E846B3"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DECEE0F"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Žindymas</w:t>
      </w:r>
    </w:p>
    <w:p w14:paraId="657595A8" w14:textId="35C44B77" w:rsidR="002B00E3" w:rsidRPr="002B00E3" w:rsidRDefault="002B00E3" w:rsidP="002B00E3">
      <w:pPr>
        <w:tabs>
          <w:tab w:val="left" w:pos="567"/>
        </w:tabs>
        <w:spacing w:after="0" w:line="240" w:lineRule="auto"/>
        <w:contextualSpacing/>
        <w:rPr>
          <w:rFonts w:ascii="Times New Roman" w:eastAsia="Times New Roman" w:hAnsi="Times New Roman" w:cs="Times New Roman"/>
          <w:color w:val="000000"/>
          <w:lang w:val="lt-LT" w:eastAsia="x-none"/>
        </w:rPr>
      </w:pPr>
      <w:r w:rsidRPr="002B00E3">
        <w:rPr>
          <w:rFonts w:ascii="Times New Roman" w:eastAsia="Times New Roman" w:hAnsi="Times New Roman" w:cs="Times New Roman"/>
          <w:lang w:val="lt-LT" w:eastAsia="x-none"/>
        </w:rPr>
        <w:t>Metoprololio išsiskiria su motinos pienu, tačiau, vartojant šį vaist</w:t>
      </w:r>
      <w:r w:rsidR="002360CC">
        <w:rPr>
          <w:rFonts w:ascii="Times New Roman" w:eastAsia="Times New Roman" w:hAnsi="Times New Roman" w:cs="Times New Roman"/>
          <w:lang w:val="lt-LT" w:eastAsia="x-none"/>
        </w:rPr>
        <w:t>inį preparat</w:t>
      </w:r>
      <w:r w:rsidRPr="002B00E3">
        <w:rPr>
          <w:rFonts w:ascii="Times New Roman" w:eastAsia="Times New Roman" w:hAnsi="Times New Roman" w:cs="Times New Roman"/>
          <w:lang w:val="lt-LT" w:eastAsia="x-none"/>
        </w:rPr>
        <w:t>ą gydomosiomis dozėmis, poveikio žindomam kūdikiui neturėtų pasireikšti, vis dėlto reikia atidžiai stebėti, ar žindomam kūdikiui neatsiranda beta adrenoreceptorių blokados požymių.</w:t>
      </w:r>
      <w:r w:rsidRPr="002B00E3">
        <w:rPr>
          <w:rFonts w:ascii="Times New Roman" w:eastAsia="Times New Roman" w:hAnsi="Times New Roman" w:cs="Times New Roman"/>
          <w:color w:val="000000"/>
          <w:lang w:val="lt-LT" w:eastAsia="x-none"/>
        </w:rPr>
        <w:t xml:space="preserve"> Su motinos pienu patekęs met</w:t>
      </w:r>
      <w:r w:rsidR="00AB5941">
        <w:rPr>
          <w:rFonts w:ascii="Times New Roman" w:eastAsia="Times New Roman" w:hAnsi="Times New Roman" w:cs="Times New Roman"/>
          <w:color w:val="000000"/>
          <w:lang w:val="lt-LT" w:eastAsia="x-none"/>
        </w:rPr>
        <w:t>o</w:t>
      </w:r>
      <w:r w:rsidRPr="002B00E3">
        <w:rPr>
          <w:rFonts w:ascii="Times New Roman" w:eastAsia="Times New Roman" w:hAnsi="Times New Roman" w:cs="Times New Roman"/>
          <w:color w:val="000000"/>
          <w:lang w:val="lt-LT" w:eastAsia="x-none"/>
        </w:rPr>
        <w:t>prololio kiekis gali būti mažesnis, jei kūdikis žindomas praėjus 3-4</w:t>
      </w:r>
      <w:r w:rsidR="00992E00">
        <w:rPr>
          <w:rFonts w:ascii="Times New Roman" w:eastAsia="Times New Roman" w:hAnsi="Times New Roman" w:cs="Times New Roman"/>
          <w:color w:val="000000"/>
          <w:lang w:val="lt-LT" w:eastAsia="x-none"/>
        </w:rPr>
        <w:t> </w:t>
      </w:r>
      <w:r w:rsidRPr="002B00E3">
        <w:rPr>
          <w:rFonts w:ascii="Times New Roman" w:eastAsia="Times New Roman" w:hAnsi="Times New Roman" w:cs="Times New Roman"/>
          <w:color w:val="000000"/>
          <w:lang w:val="lt-LT" w:eastAsia="x-none"/>
        </w:rPr>
        <w:t>val. po vaist</w:t>
      </w:r>
      <w:r w:rsidR="002360CC">
        <w:rPr>
          <w:rFonts w:ascii="Times New Roman" w:eastAsia="Times New Roman" w:hAnsi="Times New Roman" w:cs="Times New Roman"/>
          <w:color w:val="000000"/>
          <w:lang w:val="lt-LT" w:eastAsia="x-none"/>
        </w:rPr>
        <w:t>inio preparat</w:t>
      </w:r>
      <w:r w:rsidRPr="002B00E3">
        <w:rPr>
          <w:rFonts w:ascii="Times New Roman" w:eastAsia="Times New Roman" w:hAnsi="Times New Roman" w:cs="Times New Roman"/>
          <w:color w:val="000000"/>
          <w:lang w:val="lt-LT" w:eastAsia="x-none"/>
        </w:rPr>
        <w:t>o vartojimo.</w:t>
      </w:r>
    </w:p>
    <w:p w14:paraId="6AFB308F"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color w:val="000000"/>
          <w:lang w:val="lt-LT" w:eastAsia="x-none"/>
        </w:rPr>
      </w:pPr>
    </w:p>
    <w:p w14:paraId="4182D8AF"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4.7</w:t>
      </w:r>
      <w:r w:rsidRPr="002B00E3">
        <w:rPr>
          <w:rFonts w:ascii="Times New Roman" w:eastAsia="Times New Roman" w:hAnsi="Times New Roman" w:cs="Times New Roman"/>
          <w:b/>
          <w:lang w:val="lt-LT"/>
        </w:rPr>
        <w:tab/>
        <w:t xml:space="preserve"> Poveikis gebėjimui vairuoti ir valdyti mechanizmus</w:t>
      </w:r>
    </w:p>
    <w:p w14:paraId="53BF796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3A2523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gali sukelti galvos svaigimą ir nuovargį. Į tai reikėtų atsižvelgti dirbant darbus, kuriems reikia sutelkto dėmesio, pvz., vairuojant ar valdant mechanizmus.</w:t>
      </w:r>
    </w:p>
    <w:p w14:paraId="3538FF5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6A89414"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4.8</w:t>
      </w:r>
      <w:r w:rsidRPr="002B00E3">
        <w:rPr>
          <w:rFonts w:ascii="Times New Roman" w:eastAsia="Times New Roman" w:hAnsi="Times New Roman" w:cs="Times New Roman"/>
          <w:b/>
          <w:lang w:val="lt-LT"/>
        </w:rPr>
        <w:tab/>
        <w:t xml:space="preserve"> Nepageidaujamas poveikis</w:t>
      </w:r>
    </w:p>
    <w:p w14:paraId="6C45BD8C"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4A858E7B" w14:textId="281B068A"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Nepageidaujamo poveikio dažnis apibūdinamas taip: labai dažnas (≥ 1/10), dažnas (nuo ≥ 1/100 iki &lt; 1/10), nedažnas (nuo ≥ 1/1000 iki &lt; 1/100), retas (nuo ≥ 1/10000 iki &lt; 1/1000), labai retas (&lt; 1/10000) ir nežinomas (negali būti apskaičiuotas pagal turimus duomenis).</w:t>
      </w:r>
    </w:p>
    <w:p w14:paraId="00B7F0CF"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B9DECC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lastRenderedPageBreak/>
        <w:t>Nepageidaujamų poveikių pasireiškia maždaug 10 % pacientų, paprastai jie priklauso nuo dozės.</w:t>
      </w:r>
    </w:p>
    <w:p w14:paraId="64921F6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4CBC13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01"/>
        <w:gridCol w:w="1134"/>
        <w:gridCol w:w="1560"/>
        <w:gridCol w:w="1842"/>
        <w:gridCol w:w="1418"/>
        <w:gridCol w:w="1559"/>
      </w:tblGrid>
      <w:tr w:rsidR="002B00E3" w:rsidRPr="002B00E3" w14:paraId="74C23282" w14:textId="77777777" w:rsidTr="002B00E3">
        <w:trPr>
          <w:cantSplit/>
        </w:trPr>
        <w:tc>
          <w:tcPr>
            <w:tcW w:w="9214" w:type="dxa"/>
            <w:gridSpan w:val="6"/>
          </w:tcPr>
          <w:p w14:paraId="27BF663E"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1 lentelė. Nepageidaujamos reakcijos į vaistinį preparatą pagal organų sistemų grupes</w:t>
            </w:r>
          </w:p>
        </w:tc>
      </w:tr>
      <w:tr w:rsidR="002B00E3" w:rsidRPr="002B00E3" w14:paraId="05085BF6" w14:textId="77777777" w:rsidTr="002B00E3">
        <w:tc>
          <w:tcPr>
            <w:tcW w:w="1701" w:type="dxa"/>
          </w:tcPr>
          <w:p w14:paraId="5918AB32"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Organų sistemų grupė</w:t>
            </w:r>
          </w:p>
        </w:tc>
        <w:tc>
          <w:tcPr>
            <w:tcW w:w="1134" w:type="dxa"/>
          </w:tcPr>
          <w:p w14:paraId="226C94AD"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Labai dažnos</w:t>
            </w:r>
          </w:p>
        </w:tc>
        <w:tc>
          <w:tcPr>
            <w:tcW w:w="1560" w:type="dxa"/>
          </w:tcPr>
          <w:p w14:paraId="3A907FD3"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Dažnos</w:t>
            </w:r>
          </w:p>
        </w:tc>
        <w:tc>
          <w:tcPr>
            <w:tcW w:w="1842" w:type="dxa"/>
          </w:tcPr>
          <w:p w14:paraId="5484865C"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Nedažnos</w:t>
            </w:r>
          </w:p>
        </w:tc>
        <w:tc>
          <w:tcPr>
            <w:tcW w:w="1418" w:type="dxa"/>
          </w:tcPr>
          <w:p w14:paraId="7B2366E9"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Retos</w:t>
            </w:r>
          </w:p>
        </w:tc>
        <w:tc>
          <w:tcPr>
            <w:tcW w:w="1559" w:type="dxa"/>
          </w:tcPr>
          <w:p w14:paraId="183003A4" w14:textId="77777777" w:rsidR="002B00E3" w:rsidRPr="002B00E3" w:rsidRDefault="002B00E3" w:rsidP="002B00E3">
            <w:pPr>
              <w:snapToGrid w:val="0"/>
              <w:spacing w:after="0" w:line="240" w:lineRule="auto"/>
              <w:contextualSpacing/>
              <w:rPr>
                <w:rFonts w:ascii="Times New Roman" w:eastAsia="Times New Roman" w:hAnsi="Times New Roman" w:cs="Times New Roman"/>
                <w:b/>
                <w:lang w:val="lt-LT"/>
              </w:rPr>
            </w:pPr>
            <w:r w:rsidRPr="002B00E3">
              <w:rPr>
                <w:rFonts w:ascii="Times New Roman" w:eastAsia="Times New Roman" w:hAnsi="Times New Roman" w:cs="Times New Roman"/>
                <w:b/>
                <w:lang w:val="lt-LT"/>
              </w:rPr>
              <w:t>Labai retos</w:t>
            </w:r>
          </w:p>
        </w:tc>
      </w:tr>
      <w:tr w:rsidR="002B00E3" w:rsidRPr="002B00E3" w14:paraId="67F50C72" w14:textId="77777777" w:rsidTr="002B00E3">
        <w:tc>
          <w:tcPr>
            <w:tcW w:w="1701" w:type="dxa"/>
          </w:tcPr>
          <w:p w14:paraId="2CBC9461"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Psichikos sutrikimai</w:t>
            </w:r>
          </w:p>
        </w:tc>
        <w:tc>
          <w:tcPr>
            <w:tcW w:w="1134" w:type="dxa"/>
          </w:tcPr>
          <w:p w14:paraId="599526ED"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4A033C32"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79292BCB"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miego sutrikimai, nakties košmarai, depresija, dėmesio sutelkimo sutrikimas, mieguistumas</w:t>
            </w:r>
          </w:p>
        </w:tc>
        <w:tc>
          <w:tcPr>
            <w:tcW w:w="1418" w:type="dxa"/>
          </w:tcPr>
          <w:p w14:paraId="3B81FE96"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p>
        </w:tc>
        <w:tc>
          <w:tcPr>
            <w:tcW w:w="1559" w:type="dxa"/>
          </w:tcPr>
          <w:p w14:paraId="05109371"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p>
        </w:tc>
      </w:tr>
      <w:tr w:rsidR="002B00E3" w:rsidRPr="002B00E3" w14:paraId="0F36F8E0" w14:textId="77777777" w:rsidTr="002B00E3">
        <w:tc>
          <w:tcPr>
            <w:tcW w:w="1701" w:type="dxa"/>
          </w:tcPr>
          <w:p w14:paraId="3EEB6CAC"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Nervų sistemos sutrikimai</w:t>
            </w:r>
          </w:p>
        </w:tc>
        <w:tc>
          <w:tcPr>
            <w:tcW w:w="1134" w:type="dxa"/>
          </w:tcPr>
          <w:p w14:paraId="68B4D49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7C4D1B24"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galvos skausmas, svaigulys</w:t>
            </w:r>
          </w:p>
        </w:tc>
        <w:tc>
          <w:tcPr>
            <w:tcW w:w="1842" w:type="dxa"/>
          </w:tcPr>
          <w:p w14:paraId="3517364E"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r w:rsidRPr="002B00E3">
              <w:rPr>
                <w:rFonts w:ascii="Times New Roman" w:eastAsia="Times New Roman" w:hAnsi="Times New Roman" w:cs="Times New Roman"/>
                <w:bCs/>
                <w:lang w:val="lt-LT"/>
              </w:rPr>
              <w:t>parestezijos</w:t>
            </w:r>
          </w:p>
        </w:tc>
        <w:tc>
          <w:tcPr>
            <w:tcW w:w="1418" w:type="dxa"/>
          </w:tcPr>
          <w:p w14:paraId="568B1C7C"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nervingumas, nerimas</w:t>
            </w:r>
          </w:p>
        </w:tc>
        <w:tc>
          <w:tcPr>
            <w:tcW w:w="1559" w:type="dxa"/>
          </w:tcPr>
          <w:p w14:paraId="74DE4CD8" w14:textId="2FD43B93"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r w:rsidRPr="002B00E3">
              <w:rPr>
                <w:rFonts w:ascii="Times New Roman" w:eastAsia="Times New Roman" w:hAnsi="Times New Roman" w:cs="Times New Roman"/>
                <w:lang w:val="lt-LT"/>
              </w:rPr>
              <w:t>atminties sutrikimai, sumišimas</w:t>
            </w:r>
          </w:p>
        </w:tc>
      </w:tr>
      <w:tr w:rsidR="002B00E3" w:rsidRPr="002B00E3" w14:paraId="67B6ABB7" w14:textId="77777777" w:rsidTr="002B00E3">
        <w:tc>
          <w:tcPr>
            <w:tcW w:w="1701" w:type="dxa"/>
          </w:tcPr>
          <w:p w14:paraId="4AF66D56"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Akių sutrikimai</w:t>
            </w:r>
          </w:p>
        </w:tc>
        <w:tc>
          <w:tcPr>
            <w:tcW w:w="1134" w:type="dxa"/>
          </w:tcPr>
          <w:p w14:paraId="6ACD4C6A"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60F965F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5ACA488A"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1D4DC7BA"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regos sutrikimai, akių sausumas ir (arba) suerzinimas, panašūs į konjunktyvi-tą simptomai</w:t>
            </w:r>
          </w:p>
        </w:tc>
        <w:tc>
          <w:tcPr>
            <w:tcW w:w="1559" w:type="dxa"/>
          </w:tcPr>
          <w:p w14:paraId="4BF3EC22"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r w:rsidR="002B00E3" w:rsidRPr="002B00E3" w14:paraId="00284BF8" w14:textId="77777777" w:rsidTr="002B00E3">
        <w:tc>
          <w:tcPr>
            <w:tcW w:w="1701" w:type="dxa"/>
          </w:tcPr>
          <w:p w14:paraId="65E683BD" w14:textId="77777777" w:rsidR="002B00E3" w:rsidRPr="002B00E3" w:rsidRDefault="002B00E3" w:rsidP="002B00E3">
            <w:pPr>
              <w:spacing w:after="0" w:line="240" w:lineRule="auto"/>
              <w:contextualSpacing/>
              <w:rPr>
                <w:rFonts w:ascii="Times New Roman" w:eastAsia="Times New Roman" w:hAnsi="Times New Roman" w:cs="Times New Roman"/>
                <w:i/>
                <w:lang w:val="lt-LT"/>
              </w:rPr>
            </w:pPr>
            <w:r w:rsidRPr="002B00E3">
              <w:rPr>
                <w:rFonts w:ascii="Times New Roman" w:eastAsia="Times New Roman" w:hAnsi="Times New Roman" w:cs="Times New Roman"/>
                <w:i/>
                <w:lang w:val="lt-LT"/>
              </w:rPr>
              <w:t>Ausų ir labirintų sutrikimai</w:t>
            </w:r>
          </w:p>
        </w:tc>
        <w:tc>
          <w:tcPr>
            <w:tcW w:w="1134" w:type="dxa"/>
          </w:tcPr>
          <w:p w14:paraId="5758D7F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066193DF"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68727886"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0A869475"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67FA15EE"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ūžesys</w:t>
            </w:r>
          </w:p>
        </w:tc>
      </w:tr>
      <w:tr w:rsidR="002B00E3" w:rsidRPr="002B00E3" w14:paraId="007812E5" w14:textId="77777777" w:rsidTr="002B00E3">
        <w:tc>
          <w:tcPr>
            <w:tcW w:w="1701" w:type="dxa"/>
          </w:tcPr>
          <w:p w14:paraId="24F709EA" w14:textId="77777777" w:rsidR="002B00E3" w:rsidRPr="002B00E3" w:rsidRDefault="002B00E3" w:rsidP="002B00E3">
            <w:pPr>
              <w:spacing w:after="0" w:line="240" w:lineRule="auto"/>
              <w:contextualSpacing/>
              <w:rPr>
                <w:rFonts w:ascii="Times New Roman" w:eastAsia="Times New Roman" w:hAnsi="Times New Roman" w:cs="Times New Roman"/>
                <w:i/>
                <w:lang w:val="lt-LT"/>
              </w:rPr>
            </w:pPr>
            <w:r w:rsidRPr="002B00E3">
              <w:rPr>
                <w:rFonts w:ascii="Times New Roman" w:eastAsia="Times New Roman" w:hAnsi="Times New Roman" w:cs="Times New Roman"/>
                <w:i/>
                <w:lang w:val="lt-LT"/>
              </w:rPr>
              <w:t>Kraujo ir limfinės sistemos sutrikimai</w:t>
            </w:r>
          </w:p>
        </w:tc>
        <w:tc>
          <w:tcPr>
            <w:tcW w:w="1134" w:type="dxa"/>
          </w:tcPr>
          <w:p w14:paraId="34441EEA"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3462D51E"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p>
        </w:tc>
        <w:tc>
          <w:tcPr>
            <w:tcW w:w="1842" w:type="dxa"/>
          </w:tcPr>
          <w:p w14:paraId="4E96BF22"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082F5006"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1A1DB366"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trombocitope-nija</w:t>
            </w:r>
          </w:p>
        </w:tc>
      </w:tr>
      <w:tr w:rsidR="002B00E3" w:rsidRPr="002B00E3" w14:paraId="4F843431" w14:textId="77777777" w:rsidTr="002B00E3">
        <w:tc>
          <w:tcPr>
            <w:tcW w:w="1701" w:type="dxa"/>
          </w:tcPr>
          <w:p w14:paraId="19798F92"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Širdies sutrikimai</w:t>
            </w:r>
          </w:p>
        </w:tc>
        <w:tc>
          <w:tcPr>
            <w:tcW w:w="1134" w:type="dxa"/>
          </w:tcPr>
          <w:p w14:paraId="6785863D"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087BD25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r w:rsidRPr="002B00E3">
              <w:rPr>
                <w:rFonts w:ascii="Times New Roman" w:eastAsia="Times New Roman" w:hAnsi="Times New Roman" w:cs="Times New Roman"/>
                <w:bCs/>
                <w:lang w:val="lt-LT"/>
              </w:rPr>
              <w:t>bradikardija, dusulys fizinio krūvio metu, širdies plakimo pojūtis</w:t>
            </w:r>
          </w:p>
        </w:tc>
        <w:tc>
          <w:tcPr>
            <w:tcW w:w="1842" w:type="dxa"/>
          </w:tcPr>
          <w:p w14:paraId="11409B90"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trumpalaikis širdies nepakankamumo pasunkėjimas,</w:t>
            </w:r>
            <w:r w:rsidRPr="002B00E3">
              <w:rPr>
                <w:rFonts w:ascii="Times New Roman" w:eastAsia="Times New Roman" w:hAnsi="Times New Roman" w:cs="Times New Roman"/>
                <w:bCs/>
                <w:color w:val="00FF00"/>
                <w:lang w:val="lt-LT"/>
              </w:rPr>
              <w:t xml:space="preserve"> </w:t>
            </w:r>
            <w:r w:rsidRPr="002B00E3">
              <w:rPr>
                <w:rFonts w:ascii="Times New Roman" w:eastAsia="Times New Roman" w:hAnsi="Times New Roman" w:cs="Times New Roman"/>
                <w:bCs/>
                <w:lang w:val="lt-LT"/>
              </w:rPr>
              <w:t>kardiogeninis šokas (ūminio miokardo infarkto ištiktiems pacientams)</w:t>
            </w:r>
            <w:r w:rsidRPr="002B00E3">
              <w:rPr>
                <w:rFonts w:ascii="Times New Roman" w:eastAsia="Times New Roman" w:hAnsi="Times New Roman" w:cs="Times New Roman"/>
                <w:bCs/>
                <w:lang w:val="lt-LT"/>
              </w:rPr>
              <w:sym w:font="Symbol" w:char="F02A"/>
            </w:r>
            <w:r w:rsidRPr="002B00E3">
              <w:rPr>
                <w:rFonts w:ascii="Times New Roman" w:eastAsia="Times New Roman" w:hAnsi="Times New Roman" w:cs="Times New Roman"/>
                <w:bCs/>
                <w:lang w:val="lt-LT"/>
              </w:rPr>
              <w:t>, laikinas širdies ligos simptomų (pvz., dusulio, nuovargio, kulkšnių tinimo) pasunkėjimas</w:t>
            </w:r>
          </w:p>
        </w:tc>
        <w:tc>
          <w:tcPr>
            <w:tcW w:w="1418" w:type="dxa"/>
          </w:tcPr>
          <w:p w14:paraId="769C9BE1"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Atrioventri-kulinio mazgo laidumo sumažėjimas, aritmijos, sinkopė</w:t>
            </w:r>
          </w:p>
        </w:tc>
        <w:tc>
          <w:tcPr>
            <w:tcW w:w="1559" w:type="dxa"/>
          </w:tcPr>
          <w:p w14:paraId="71150C42"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r w:rsidR="002B00E3" w:rsidRPr="002B00E3" w14:paraId="35E04FA3" w14:textId="77777777" w:rsidTr="002B00E3">
        <w:tc>
          <w:tcPr>
            <w:tcW w:w="1701" w:type="dxa"/>
          </w:tcPr>
          <w:p w14:paraId="1DD30B27"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Kraujagyslių sutrikimai</w:t>
            </w:r>
          </w:p>
        </w:tc>
        <w:tc>
          <w:tcPr>
            <w:tcW w:w="1134" w:type="dxa"/>
          </w:tcPr>
          <w:p w14:paraId="445F985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2264B5F3"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galūnių šalimas, galvos svaigimas pakeitus kūno padėtį (labai retai kartu galimas apalpimas)</w:t>
            </w:r>
          </w:p>
        </w:tc>
        <w:tc>
          <w:tcPr>
            <w:tcW w:w="1842" w:type="dxa"/>
          </w:tcPr>
          <w:p w14:paraId="0CA4EB6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2DE82DEE"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3F36D6E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gangrena (kraujagyslių ligomis sergantiems pacientams).</w:t>
            </w:r>
          </w:p>
        </w:tc>
      </w:tr>
      <w:tr w:rsidR="002B00E3" w:rsidRPr="002B00E3" w14:paraId="2CD27468" w14:textId="77777777" w:rsidTr="002B00E3">
        <w:tc>
          <w:tcPr>
            <w:tcW w:w="1701" w:type="dxa"/>
          </w:tcPr>
          <w:p w14:paraId="795BFE9F"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lastRenderedPageBreak/>
              <w:t>Kvėpavimo sistemos, krūtinės ląstos ir tarpuplaučio sutrikimai</w:t>
            </w:r>
          </w:p>
        </w:tc>
        <w:tc>
          <w:tcPr>
            <w:tcW w:w="1134" w:type="dxa"/>
          </w:tcPr>
          <w:p w14:paraId="594414DE"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23E17346"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1B100A1E"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dusulys, bronchų spazmas (bronchų astma ar į ją panašia liga sergantiems pacientams), kvėpavimo takų gniaužimo pojūtis</w:t>
            </w:r>
          </w:p>
        </w:tc>
        <w:tc>
          <w:tcPr>
            <w:tcW w:w="1418" w:type="dxa"/>
          </w:tcPr>
          <w:p w14:paraId="5160D187"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0A52FD77"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r w:rsidR="002B00E3" w:rsidRPr="002B00E3" w14:paraId="5DFEAD7C" w14:textId="77777777" w:rsidTr="002B00E3">
        <w:tc>
          <w:tcPr>
            <w:tcW w:w="1701" w:type="dxa"/>
          </w:tcPr>
          <w:p w14:paraId="20C879C6"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Virškinimo trakto sutrikimai</w:t>
            </w:r>
          </w:p>
        </w:tc>
        <w:tc>
          <w:tcPr>
            <w:tcW w:w="1134" w:type="dxa"/>
          </w:tcPr>
          <w:p w14:paraId="45F4590D"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4A09236F"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pilvo skausmas, pykinimas, vėmimas, viduriavimas, vidurių užkietėjimas</w:t>
            </w:r>
          </w:p>
        </w:tc>
        <w:tc>
          <w:tcPr>
            <w:tcW w:w="1842" w:type="dxa"/>
          </w:tcPr>
          <w:p w14:paraId="5BA13FC0"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54178E3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26B7387C"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r w:rsidR="002B00E3" w:rsidRPr="002B00E3" w14:paraId="15F48E3F" w14:textId="77777777" w:rsidTr="002B00E3">
        <w:tc>
          <w:tcPr>
            <w:tcW w:w="1701" w:type="dxa"/>
          </w:tcPr>
          <w:p w14:paraId="0E524FFB" w14:textId="77777777" w:rsidR="002B00E3" w:rsidRPr="002B00E3" w:rsidRDefault="002B00E3" w:rsidP="002B00E3">
            <w:pPr>
              <w:spacing w:after="0" w:line="240" w:lineRule="auto"/>
              <w:contextualSpacing/>
              <w:rPr>
                <w:rFonts w:ascii="Times New Roman" w:eastAsia="Times New Roman" w:hAnsi="Times New Roman" w:cs="Times New Roman"/>
                <w:bCs/>
                <w:i/>
                <w:lang w:val="lt-LT"/>
              </w:rPr>
            </w:pPr>
            <w:r w:rsidRPr="002B00E3">
              <w:rPr>
                <w:rFonts w:ascii="Times New Roman" w:eastAsia="Times New Roman" w:hAnsi="Times New Roman" w:cs="Times New Roman"/>
                <w:i/>
                <w:lang w:val="lt-LT"/>
              </w:rPr>
              <w:t>Kepenų, tulžies pūslės ir latakų sutrikimai</w:t>
            </w:r>
          </w:p>
        </w:tc>
        <w:tc>
          <w:tcPr>
            <w:tcW w:w="1134" w:type="dxa"/>
          </w:tcPr>
          <w:p w14:paraId="06D3132C"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6A93414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2E3CD0EF"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418" w:type="dxa"/>
          </w:tcPr>
          <w:p w14:paraId="6E282FDF"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padidėjęs transamina-zių aktyvumas kraujyje</w:t>
            </w:r>
          </w:p>
        </w:tc>
        <w:tc>
          <w:tcPr>
            <w:tcW w:w="1559" w:type="dxa"/>
          </w:tcPr>
          <w:p w14:paraId="16C1700E"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hepatitas</w:t>
            </w:r>
          </w:p>
        </w:tc>
      </w:tr>
      <w:tr w:rsidR="002B00E3" w:rsidRPr="002B00E3" w14:paraId="23E23F13" w14:textId="77777777" w:rsidTr="002B00E3">
        <w:tc>
          <w:tcPr>
            <w:tcW w:w="1701" w:type="dxa"/>
          </w:tcPr>
          <w:p w14:paraId="6201D376"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Odos ir poodinio audinio sutrikimai</w:t>
            </w:r>
          </w:p>
        </w:tc>
        <w:tc>
          <w:tcPr>
            <w:tcW w:w="1134" w:type="dxa"/>
          </w:tcPr>
          <w:p w14:paraId="7B1A4821"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3A4E1A4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61527B57"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odos išbėrimas</w:t>
            </w:r>
          </w:p>
        </w:tc>
        <w:tc>
          <w:tcPr>
            <w:tcW w:w="1418" w:type="dxa"/>
          </w:tcPr>
          <w:p w14:paraId="3452B43D"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63D956C2"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padidėjusio jautrumo reakcijos, psoriazės pasunkėjimas, padidėjusio jautrumo šviesai reakcijos</w:t>
            </w:r>
          </w:p>
        </w:tc>
      </w:tr>
      <w:tr w:rsidR="002B00E3" w:rsidRPr="002B00E3" w14:paraId="3E9686F0" w14:textId="77777777" w:rsidTr="002B00E3">
        <w:tc>
          <w:tcPr>
            <w:tcW w:w="1701" w:type="dxa"/>
          </w:tcPr>
          <w:p w14:paraId="399A7346" w14:textId="77777777" w:rsidR="002B00E3" w:rsidRPr="002B00E3" w:rsidRDefault="002B00E3" w:rsidP="002B00E3">
            <w:pPr>
              <w:spacing w:after="0" w:line="240" w:lineRule="auto"/>
              <w:contextualSpacing/>
              <w:rPr>
                <w:rFonts w:ascii="Times New Roman" w:eastAsia="Times New Roman" w:hAnsi="Times New Roman" w:cs="Times New Roman"/>
                <w:i/>
                <w:lang w:val="lt-LT"/>
              </w:rPr>
            </w:pPr>
            <w:r w:rsidRPr="002B00E3">
              <w:rPr>
                <w:rFonts w:ascii="Times New Roman" w:eastAsia="Times New Roman" w:hAnsi="Times New Roman" w:cs="Times New Roman"/>
                <w:i/>
                <w:lang w:val="lt-LT"/>
              </w:rPr>
              <w:t>Skeleto, raumenų, ir jungiamojo audinio sutrikimai</w:t>
            </w:r>
          </w:p>
          <w:p w14:paraId="7545272F"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p>
        </w:tc>
        <w:tc>
          <w:tcPr>
            <w:tcW w:w="1134" w:type="dxa"/>
          </w:tcPr>
          <w:p w14:paraId="78FD1F58"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21A87B1E"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5787E306"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mėšlungis</w:t>
            </w:r>
          </w:p>
        </w:tc>
        <w:tc>
          <w:tcPr>
            <w:tcW w:w="1418" w:type="dxa"/>
          </w:tcPr>
          <w:p w14:paraId="131D2EB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61957AD7"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artralgija</w:t>
            </w:r>
          </w:p>
        </w:tc>
      </w:tr>
      <w:tr w:rsidR="002B00E3" w:rsidRPr="002B00E3" w14:paraId="1108914B" w14:textId="77777777" w:rsidTr="002B00E3">
        <w:tc>
          <w:tcPr>
            <w:tcW w:w="1701" w:type="dxa"/>
          </w:tcPr>
          <w:p w14:paraId="2FC37031"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Bendrieji sutrikimai ir vartojimo vietos pažeidimai</w:t>
            </w:r>
          </w:p>
        </w:tc>
        <w:tc>
          <w:tcPr>
            <w:tcW w:w="1134" w:type="dxa"/>
          </w:tcPr>
          <w:p w14:paraId="77B3DAD1"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nuovargis</w:t>
            </w:r>
          </w:p>
        </w:tc>
        <w:tc>
          <w:tcPr>
            <w:tcW w:w="1560" w:type="dxa"/>
          </w:tcPr>
          <w:p w14:paraId="49DE8E05"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79FB26A9"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krūtinės skausmas, svorio prieaugis, mėšlungis, edema, hiperhidrozė</w:t>
            </w:r>
          </w:p>
        </w:tc>
        <w:tc>
          <w:tcPr>
            <w:tcW w:w="1418" w:type="dxa"/>
          </w:tcPr>
          <w:p w14:paraId="33072139"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plaukų slinkimas, skonio sutrikimai, burnos sausumas, laikina lytinė disfunkcija, sloga</w:t>
            </w:r>
          </w:p>
        </w:tc>
        <w:tc>
          <w:tcPr>
            <w:tcW w:w="1559" w:type="dxa"/>
          </w:tcPr>
          <w:p w14:paraId="33925D0D"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r w:rsidR="002B00E3" w:rsidRPr="002B00E3" w14:paraId="0751417A" w14:textId="77777777" w:rsidTr="002B00E3">
        <w:tc>
          <w:tcPr>
            <w:tcW w:w="1701" w:type="dxa"/>
          </w:tcPr>
          <w:p w14:paraId="10BAAE5C"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r w:rsidRPr="002B00E3">
              <w:rPr>
                <w:rFonts w:ascii="Times New Roman" w:eastAsia="Times New Roman" w:hAnsi="Times New Roman" w:cs="Times New Roman"/>
                <w:bCs/>
                <w:i/>
                <w:iCs/>
                <w:lang w:val="lt-LT"/>
              </w:rPr>
              <w:t>Tyrimai</w:t>
            </w:r>
          </w:p>
        </w:tc>
        <w:tc>
          <w:tcPr>
            <w:tcW w:w="1134" w:type="dxa"/>
          </w:tcPr>
          <w:p w14:paraId="64BFB72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60" w:type="dxa"/>
          </w:tcPr>
          <w:p w14:paraId="29E2CBDB"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842" w:type="dxa"/>
          </w:tcPr>
          <w:p w14:paraId="7CB36539" w14:textId="77777777" w:rsidR="002B00E3" w:rsidRPr="002B00E3" w:rsidRDefault="002B00E3" w:rsidP="002B00E3">
            <w:pPr>
              <w:snapToGrid w:val="0"/>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nedideli pokyčiai elektrokardiogra-moje (širdies susilpnėjimo jie nerodo)</w:t>
            </w:r>
          </w:p>
        </w:tc>
        <w:tc>
          <w:tcPr>
            <w:tcW w:w="1418" w:type="dxa"/>
          </w:tcPr>
          <w:p w14:paraId="093F45A7"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c>
          <w:tcPr>
            <w:tcW w:w="1559" w:type="dxa"/>
          </w:tcPr>
          <w:p w14:paraId="5B5FDA94" w14:textId="77777777" w:rsidR="002B00E3" w:rsidRPr="002B00E3" w:rsidRDefault="002B00E3" w:rsidP="002B00E3">
            <w:pPr>
              <w:snapToGrid w:val="0"/>
              <w:spacing w:after="0" w:line="240" w:lineRule="auto"/>
              <w:contextualSpacing/>
              <w:rPr>
                <w:rFonts w:ascii="Times New Roman" w:eastAsia="Times New Roman" w:hAnsi="Times New Roman" w:cs="Times New Roman"/>
                <w:b/>
                <w:bCs/>
                <w:lang w:val="lt-LT"/>
              </w:rPr>
            </w:pPr>
          </w:p>
        </w:tc>
      </w:tr>
    </w:tbl>
    <w:p w14:paraId="53499366"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8A8A518" w14:textId="126C26A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sym w:font="Symbol" w:char="F02A"/>
      </w:r>
      <w:r w:rsidRPr="002B00E3">
        <w:rPr>
          <w:rFonts w:ascii="Times New Roman" w:eastAsia="Times New Roman" w:hAnsi="Times New Roman" w:cs="Times New Roman"/>
          <w:lang w:val="lt-LT" w:eastAsia="x-none"/>
        </w:rPr>
        <w:t xml:space="preserve"> Tyrimo, kuriame dalyvavo 46000 ūminio miokardo infarkto ištiktų pacientų, metu metoprololį vartojusius pacientus kardiogeninis šokas ištiko 0,4</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 dažniau negu vartojusius placebą (jį patyrė atitinkamai 2,3</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 metoprololio grupės ir 1,9</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 placebo grupės pacientų skaičiuojant tik turėjusius mažą šoko rizikos rodiklį). Šoko rizikos rodiklis buvo pagrįstas absoliučia šoko rizika konkrečiam pacientui atsižvelgiant į amžių, lytį, uždelstą laiką, Killip klasę, kraujospūdį, širdies susitraukimų dažnį, EKG anomalijas bei hipertenziją anamnezėje. Pacientai, kuriems ūminio miokardo infarkto atveju rekomenduojama vartoti metoprololį, priklauso būtent šiai (mažos šoko rizikos) grupei.</w:t>
      </w:r>
    </w:p>
    <w:p w14:paraId="08D258E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8AA08FD" w14:textId="77777777" w:rsidR="002B00E3" w:rsidRPr="002B00E3" w:rsidRDefault="002B00E3" w:rsidP="002B00E3">
      <w:pPr>
        <w:autoSpaceDE w:val="0"/>
        <w:autoSpaceDN w:val="0"/>
        <w:adjustRightInd w:val="0"/>
        <w:spacing w:after="0" w:line="240" w:lineRule="auto"/>
        <w:contextualSpacing/>
        <w:jc w:val="both"/>
        <w:outlineLvl w:val="0"/>
        <w:rPr>
          <w:rFonts w:ascii="Times New Roman" w:eastAsia="Times New Roman" w:hAnsi="Times New Roman" w:cs="Times New Roman"/>
          <w:bCs/>
          <w:u w:val="single"/>
          <w:lang w:val="lt-LT"/>
        </w:rPr>
      </w:pPr>
      <w:r w:rsidRPr="002B00E3">
        <w:rPr>
          <w:rFonts w:ascii="Times New Roman" w:eastAsia="Times New Roman" w:hAnsi="Times New Roman" w:cs="Times New Roman"/>
          <w:bCs/>
          <w:u w:val="single"/>
          <w:lang w:val="lt-LT"/>
        </w:rPr>
        <w:t>Pranešimas apie įtariamas nepageidaujamas reakcijas</w:t>
      </w:r>
    </w:p>
    <w:p w14:paraId="7E278EAC" w14:textId="76E19C6B" w:rsidR="002B00E3" w:rsidRPr="002B00E3" w:rsidRDefault="002B00E3" w:rsidP="002B00E3">
      <w:pPr>
        <w:autoSpaceDE w:val="0"/>
        <w:autoSpaceDN w:val="0"/>
        <w:adjustRightInd w:val="0"/>
        <w:spacing w:after="0" w:line="240" w:lineRule="auto"/>
        <w:contextualSpacing/>
        <w:jc w:val="both"/>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Svarbu pranešti apie įtariamas nepageidaujamas reakcijas, pastebėtas po vaistinio preparato </w:t>
      </w:r>
      <w:r>
        <w:rPr>
          <w:rFonts w:ascii="Times New Roman" w:eastAsia="Times New Roman" w:hAnsi="Times New Roman" w:cs="Times New Roman"/>
          <w:bCs/>
          <w:lang w:val="lt-LT"/>
        </w:rPr>
        <w:t>registracijos</w:t>
      </w:r>
      <w:r w:rsidRPr="002B00E3">
        <w:rPr>
          <w:rFonts w:ascii="Times New Roman" w:eastAsia="Times New Roman" w:hAnsi="Times New Roman" w:cs="Times New Roman"/>
          <w:bCs/>
          <w:lang w:val="lt-LT"/>
        </w:rPr>
        <w:t>, nes tai leidžia nuolat stebėti vaistinio preparato naudos ir rizikos santykį. Sveikatos priežiūros specialistai turi pranešti apie bet kokias įtariamas nepageidaujamas reakcijas, užpildę interneto svetainėje http://</w:t>
      </w:r>
      <w:hyperlink r:id="rId11" w:history="1">
        <w:r w:rsidRPr="002B00E3">
          <w:rPr>
            <w:rFonts w:ascii="Times New Roman" w:eastAsia="SimSun" w:hAnsi="Times New Roman" w:cs="Times New Roman"/>
            <w:bCs/>
            <w:color w:val="0000FF"/>
            <w:u w:val="single"/>
            <w:lang w:val="lt-LT"/>
          </w:rPr>
          <w:t>www.vvkt.lt</w:t>
        </w:r>
      </w:hyperlink>
      <w:r w:rsidRPr="002B00E3">
        <w:rPr>
          <w:rFonts w:ascii="Times New Roman" w:eastAsia="Times New Roman" w:hAnsi="Times New Roman" w:cs="Times New Roman"/>
          <w:bCs/>
          <w:lang w:val="lt-LT"/>
        </w:rPr>
        <w:t xml:space="preserve">/ esančią formą, ir </w:t>
      </w:r>
      <w:r>
        <w:rPr>
          <w:rFonts w:ascii="Times New Roman" w:eastAsia="Times New Roman" w:hAnsi="Times New Roman" w:cs="Times New Roman"/>
          <w:bCs/>
          <w:lang w:val="lt-LT"/>
        </w:rPr>
        <w:t>pateikti</w:t>
      </w:r>
      <w:r w:rsidRPr="002B00E3">
        <w:rPr>
          <w:rFonts w:ascii="Times New Roman" w:eastAsia="Times New Roman" w:hAnsi="Times New Roman" w:cs="Times New Roman"/>
          <w:bCs/>
          <w:lang w:val="lt-LT"/>
        </w:rPr>
        <w:t xml:space="preserve"> ją Valstybinei vaistų kontrolės tarnybai prie Lietuvos Respublikos sveikatos apsaugos ministerijos</w:t>
      </w:r>
      <w:r>
        <w:rPr>
          <w:rFonts w:ascii="Times New Roman" w:eastAsia="Times New Roman" w:hAnsi="Times New Roman" w:cs="Times New Roman"/>
          <w:bCs/>
          <w:lang w:val="lt-LT"/>
        </w:rPr>
        <w:t xml:space="preserve"> </w:t>
      </w:r>
      <w:r w:rsidRPr="002B00E3">
        <w:rPr>
          <w:rFonts w:ascii="Times New Roman" w:eastAsia="Times New Roman" w:hAnsi="Times New Roman" w:cs="Times New Roman"/>
          <w:bCs/>
          <w:lang w:val="lt-LT"/>
        </w:rPr>
        <w:t>vienu iš šių būdų: raštu (adresu Žirmūnų g. 139A, LT 09120 Vilnius), faksu (nemokamu fakso numeriu (8 800) 20 131), elektroniniu paštu (adresu NepageidaujamaR@vvkt.lt), per interneto svetainę (adresu http://www.vvkt.lt).</w:t>
      </w:r>
    </w:p>
    <w:p w14:paraId="4E99689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6E4EA932"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4.9</w:t>
      </w:r>
      <w:r w:rsidRPr="002B00E3">
        <w:rPr>
          <w:rFonts w:ascii="Times New Roman" w:eastAsia="Times New Roman" w:hAnsi="Times New Roman" w:cs="Times New Roman"/>
          <w:b/>
          <w:lang w:val="lt-LT"/>
        </w:rPr>
        <w:tab/>
        <w:t xml:space="preserve"> Perdozavimas</w:t>
      </w:r>
    </w:p>
    <w:p w14:paraId="5ABDC76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D982F36" w14:textId="77777777" w:rsidR="002B00E3" w:rsidRPr="002B00E3" w:rsidRDefault="002B00E3" w:rsidP="002B00E3">
      <w:pPr>
        <w:spacing w:after="0" w:line="240" w:lineRule="auto"/>
        <w:contextualSpacing/>
        <w:outlineLvl w:val="0"/>
        <w:rPr>
          <w:rFonts w:ascii="Times New Roman" w:eastAsia="Calibri" w:hAnsi="Times New Roman" w:cs="Times New Roman"/>
          <w:i/>
          <w:iCs/>
          <w:lang w:val="lt-LT"/>
        </w:rPr>
      </w:pPr>
      <w:r w:rsidRPr="002B00E3">
        <w:rPr>
          <w:rFonts w:ascii="Times New Roman" w:eastAsia="Calibri" w:hAnsi="Times New Roman" w:cs="Times New Roman"/>
          <w:i/>
          <w:iCs/>
          <w:lang w:val="lt-LT"/>
        </w:rPr>
        <w:t>Simptomai</w:t>
      </w:r>
    </w:p>
    <w:p w14:paraId="1257EE3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Perdozavimo simptomai gali būti bradikardija ir bradiaritmija, hipotenzija, ūminis širdies nepakankamumas ir bronchų spazmas.</w:t>
      </w:r>
    </w:p>
    <w:p w14:paraId="525A1496" w14:textId="77777777" w:rsidR="002B00E3" w:rsidRPr="002B00E3" w:rsidRDefault="002B00E3" w:rsidP="002B00E3">
      <w:pPr>
        <w:spacing w:after="0" w:line="240" w:lineRule="auto"/>
        <w:contextualSpacing/>
        <w:outlineLvl w:val="0"/>
        <w:rPr>
          <w:rFonts w:ascii="Times New Roman" w:eastAsia="Calibri" w:hAnsi="Times New Roman" w:cs="Times New Roman"/>
          <w:i/>
          <w:iCs/>
          <w:lang w:val="lt-LT"/>
        </w:rPr>
      </w:pPr>
    </w:p>
    <w:p w14:paraId="64D49435" w14:textId="77777777" w:rsidR="002B00E3" w:rsidRPr="002B00E3" w:rsidRDefault="002B00E3" w:rsidP="002B00E3">
      <w:pPr>
        <w:spacing w:after="0" w:line="240" w:lineRule="auto"/>
        <w:contextualSpacing/>
        <w:outlineLvl w:val="0"/>
        <w:rPr>
          <w:rFonts w:ascii="Times New Roman" w:eastAsia="Calibri" w:hAnsi="Times New Roman" w:cs="Times New Roman"/>
          <w:i/>
          <w:iCs/>
          <w:lang w:val="lt-LT"/>
        </w:rPr>
      </w:pPr>
      <w:r w:rsidRPr="002B00E3">
        <w:rPr>
          <w:rFonts w:ascii="Times New Roman" w:eastAsia="Calibri" w:hAnsi="Times New Roman" w:cs="Times New Roman"/>
          <w:i/>
          <w:iCs/>
          <w:lang w:val="lt-LT"/>
        </w:rPr>
        <w:t>Gydymas</w:t>
      </w:r>
    </w:p>
    <w:p w14:paraId="4A46ADAA" w14:textId="77777777" w:rsidR="002B00E3" w:rsidRPr="002B00E3" w:rsidRDefault="002B00E3" w:rsidP="002B00E3">
      <w:pPr>
        <w:spacing w:after="0" w:line="240" w:lineRule="auto"/>
        <w:contextualSpacing/>
        <w:rPr>
          <w:rFonts w:ascii="Times New Roman" w:eastAsia="Calibri" w:hAnsi="Times New Roman" w:cs="Times New Roman"/>
          <w:lang w:val="lt-LT"/>
        </w:rPr>
      </w:pPr>
      <w:r w:rsidRPr="002B00E3">
        <w:rPr>
          <w:rFonts w:ascii="Times New Roman" w:eastAsia="Calibri" w:hAnsi="Times New Roman" w:cs="Times New Roman"/>
          <w:lang w:val="lt-LT"/>
        </w:rPr>
        <w:t>Gydyti reikia įstaigoje, turinčioje būtinas palaikomąsias ir stebėjimo priemones.</w:t>
      </w:r>
    </w:p>
    <w:p w14:paraId="148128A1" w14:textId="77777777" w:rsidR="002B00E3" w:rsidRPr="002B00E3" w:rsidRDefault="002B00E3" w:rsidP="002B00E3">
      <w:pPr>
        <w:spacing w:after="0" w:line="240" w:lineRule="auto"/>
        <w:contextualSpacing/>
        <w:rPr>
          <w:rFonts w:ascii="Times New Roman" w:eastAsia="Calibri" w:hAnsi="Times New Roman" w:cs="Times New Roman"/>
          <w:lang w:val="lt-LT"/>
        </w:rPr>
      </w:pPr>
    </w:p>
    <w:p w14:paraId="3A00621C" w14:textId="77777777" w:rsidR="002B00E3" w:rsidRPr="002B00E3" w:rsidRDefault="002B00E3" w:rsidP="002B00E3">
      <w:pPr>
        <w:spacing w:after="0" w:line="240" w:lineRule="auto"/>
        <w:contextualSpacing/>
        <w:outlineLvl w:val="0"/>
        <w:rPr>
          <w:rFonts w:ascii="Times New Roman" w:eastAsia="Calibri" w:hAnsi="Times New Roman" w:cs="Times New Roman"/>
          <w:lang w:val="lt-LT"/>
        </w:rPr>
      </w:pPr>
      <w:r w:rsidRPr="002B00E3">
        <w:rPr>
          <w:rFonts w:ascii="Times New Roman" w:eastAsia="Calibri" w:hAnsi="Times New Roman" w:cs="Times New Roman"/>
          <w:lang w:val="lt-LT"/>
        </w:rPr>
        <w:t>Pagal poreikį galima išplauti skrandį ir (arba) duoti gerti aktyvintosios anglies.</w:t>
      </w:r>
    </w:p>
    <w:p w14:paraId="3BC099CC" w14:textId="77777777" w:rsidR="002B00E3" w:rsidRPr="002B00E3" w:rsidRDefault="002B00E3" w:rsidP="002B00E3">
      <w:pPr>
        <w:spacing w:after="0" w:line="240" w:lineRule="auto"/>
        <w:contextualSpacing/>
        <w:outlineLvl w:val="0"/>
        <w:rPr>
          <w:rFonts w:ascii="Times New Roman" w:eastAsia="Calibri" w:hAnsi="Times New Roman" w:cs="Times New Roman"/>
          <w:lang w:val="lt-LT"/>
        </w:rPr>
      </w:pPr>
    </w:p>
    <w:p w14:paraId="66D907D7" w14:textId="77777777" w:rsidR="002B00E3" w:rsidRPr="002B00E3" w:rsidRDefault="002B00E3" w:rsidP="002B00E3">
      <w:pPr>
        <w:spacing w:after="0" w:line="240" w:lineRule="auto"/>
        <w:contextualSpacing/>
        <w:outlineLvl w:val="0"/>
        <w:rPr>
          <w:rFonts w:ascii="Times New Roman" w:eastAsia="Calibri" w:hAnsi="Times New Roman" w:cs="Times New Roman"/>
          <w:lang w:val="lt-LT"/>
        </w:rPr>
      </w:pPr>
      <w:r w:rsidRPr="002B00E3">
        <w:rPr>
          <w:rFonts w:ascii="Times New Roman" w:eastAsia="Calibri" w:hAnsi="Times New Roman" w:cs="Times New Roman"/>
          <w:lang w:val="lt-LT"/>
        </w:rPr>
        <w:t>Bradikardija ir laidumo sutrikimai gydomi atropinu, adrenomimetikais ar elektriniu širdies stimuliatoriumi.</w:t>
      </w:r>
    </w:p>
    <w:p w14:paraId="2F0EB00D" w14:textId="77777777" w:rsidR="002B00E3" w:rsidRPr="002B00E3" w:rsidRDefault="002B00E3" w:rsidP="002B00E3">
      <w:pPr>
        <w:spacing w:after="0" w:line="240" w:lineRule="auto"/>
        <w:contextualSpacing/>
        <w:outlineLvl w:val="0"/>
        <w:rPr>
          <w:rFonts w:ascii="Times New Roman" w:eastAsia="Calibri" w:hAnsi="Times New Roman" w:cs="Times New Roman"/>
          <w:lang w:val="lt-LT"/>
        </w:rPr>
      </w:pPr>
    </w:p>
    <w:p w14:paraId="6184C09B" w14:textId="77777777" w:rsidR="002B00E3" w:rsidRPr="002B00E3" w:rsidRDefault="002B00E3" w:rsidP="002B00E3">
      <w:pPr>
        <w:spacing w:after="0" w:line="240" w:lineRule="auto"/>
        <w:contextualSpacing/>
        <w:rPr>
          <w:rFonts w:ascii="Times New Roman" w:eastAsia="Calibri" w:hAnsi="Times New Roman" w:cs="Times New Roman"/>
          <w:lang w:val="lt-LT"/>
        </w:rPr>
      </w:pPr>
      <w:r w:rsidRPr="002B00E3">
        <w:rPr>
          <w:rFonts w:ascii="Times New Roman" w:eastAsia="Calibri" w:hAnsi="Times New Roman" w:cs="Times New Roman"/>
          <w:lang w:val="lt-LT"/>
        </w:rPr>
        <w:t>Hipotenzija, ūminis širdies nepakankamumas ir šokas gydomi pagal poreikį didinant cirkuliuojančio kraujo tūrį, švirkščiant gliukagono (prireikus paskui jo infuzuojama), adrenomimetikais (pvz., dobutaminu) į veną, o jeigu išsiplėtusios kraujagyslės – taip pat α</w:t>
      </w:r>
      <w:r w:rsidRPr="002B00E3">
        <w:rPr>
          <w:rFonts w:ascii="Times New Roman" w:eastAsia="Calibri" w:hAnsi="Times New Roman" w:cs="Times New Roman"/>
          <w:vertAlign w:val="subscript"/>
          <w:lang w:val="lt-LT"/>
        </w:rPr>
        <w:t xml:space="preserve">1 </w:t>
      </w:r>
      <w:r w:rsidRPr="002B00E3">
        <w:rPr>
          <w:rFonts w:ascii="Times New Roman" w:eastAsia="Calibri" w:hAnsi="Times New Roman" w:cs="Times New Roman"/>
          <w:lang w:val="lt-LT"/>
        </w:rPr>
        <w:t>adrenoreceptorių agonistais. Be to, galima svarstyti tikslingumą leisti kalcio į veną.</w:t>
      </w:r>
    </w:p>
    <w:p w14:paraId="3CDDEB00" w14:textId="2DC9FE22"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Bronchų spazmą dažniausiai galima pašalinti bronchų plečiamaisiais vaist</w:t>
      </w:r>
      <w:r w:rsidR="002360CC">
        <w:rPr>
          <w:rFonts w:ascii="Times New Roman" w:eastAsia="Times New Roman" w:hAnsi="Times New Roman" w:cs="Times New Roman"/>
          <w:lang w:val="lt-LT" w:eastAsia="x-none"/>
        </w:rPr>
        <w:t>iniai preparat</w:t>
      </w:r>
      <w:r w:rsidRPr="002B00E3">
        <w:rPr>
          <w:rFonts w:ascii="Times New Roman" w:eastAsia="Times New Roman" w:hAnsi="Times New Roman" w:cs="Times New Roman"/>
          <w:lang w:val="lt-LT" w:eastAsia="x-none"/>
        </w:rPr>
        <w:t>ais.</w:t>
      </w:r>
    </w:p>
    <w:p w14:paraId="288D400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DDE555D"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657D9E2F"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5. </w:t>
      </w:r>
      <w:r w:rsidRPr="002B00E3">
        <w:rPr>
          <w:rFonts w:ascii="Times New Roman" w:eastAsia="Times New Roman" w:hAnsi="Times New Roman" w:cs="Times New Roman"/>
          <w:b/>
          <w:lang w:val="lt-LT"/>
        </w:rPr>
        <w:tab/>
        <w:t>FARMAKOLOGINĖS SAVYBĖS</w:t>
      </w:r>
    </w:p>
    <w:p w14:paraId="1F2A6344"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382EFAA6"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5.1</w:t>
      </w:r>
      <w:r w:rsidRPr="002B00E3">
        <w:rPr>
          <w:rFonts w:ascii="Times New Roman" w:eastAsia="Times New Roman" w:hAnsi="Times New Roman" w:cs="Times New Roman"/>
          <w:b/>
          <w:lang w:val="lt-LT"/>
        </w:rPr>
        <w:tab/>
        <w:t xml:space="preserve"> Farmakodinaminės savybės</w:t>
      </w:r>
    </w:p>
    <w:p w14:paraId="7D528F1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3475411" w14:textId="4867B9E5"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Farmakoterapinė grupė - β blokatoriai</w:t>
      </w:r>
      <w:r>
        <w:rPr>
          <w:rFonts w:ascii="Times New Roman" w:eastAsia="Times New Roman" w:hAnsi="Times New Roman" w:cs="Times New Roman"/>
          <w:lang w:val="lt-LT" w:eastAsia="x-none"/>
        </w:rPr>
        <w:t>,</w:t>
      </w:r>
      <w:r w:rsidRPr="002B00E3">
        <w:rPr>
          <w:rFonts w:ascii="Times New Roman" w:eastAsia="Times New Roman" w:hAnsi="Times New Roman" w:cs="Times New Roman"/>
          <w:lang w:val="lt-LT" w:eastAsia="x-none"/>
        </w:rPr>
        <w:t xml:space="preserve"> ATC kodas – C07A</w:t>
      </w:r>
      <w:r w:rsidR="00880AC4">
        <w:rPr>
          <w:rFonts w:ascii="Times New Roman" w:eastAsia="Times New Roman" w:hAnsi="Times New Roman" w:cs="Times New Roman"/>
          <w:lang w:val="lt-LT" w:eastAsia="x-none"/>
        </w:rPr>
        <w:t xml:space="preserve"> </w:t>
      </w:r>
      <w:r w:rsidRPr="002B00E3">
        <w:rPr>
          <w:rFonts w:ascii="Times New Roman" w:eastAsia="Times New Roman" w:hAnsi="Times New Roman" w:cs="Times New Roman"/>
          <w:lang w:val="lt-LT" w:eastAsia="x-none"/>
        </w:rPr>
        <w:t>B02.</w:t>
      </w:r>
    </w:p>
    <w:p w14:paraId="427108B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568F81B" w14:textId="33D5B7DB"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yra β blokatorius, selektyvus β</w:t>
      </w:r>
      <w:r w:rsidRPr="002B00E3">
        <w:rPr>
          <w:rFonts w:ascii="Times New Roman" w:eastAsia="Times New Roman" w:hAnsi="Times New Roman" w:cs="Times New Roman"/>
          <w:vertAlign w:val="subscript"/>
          <w:lang w:val="lt-LT" w:eastAsia="x-none"/>
        </w:rPr>
        <w:t>1</w:t>
      </w:r>
      <w:r w:rsidRPr="002B00E3">
        <w:rPr>
          <w:rFonts w:ascii="Times New Roman" w:eastAsia="Times New Roman" w:hAnsi="Times New Roman" w:cs="Times New Roman"/>
          <w:lang w:val="lt-LT" w:eastAsia="x-none"/>
        </w:rPr>
        <w:t xml:space="preserve"> receptoriams, t.y. blokuoja širdies β</w:t>
      </w:r>
      <w:r w:rsidRPr="002B00E3">
        <w:rPr>
          <w:rFonts w:ascii="Times New Roman" w:eastAsia="Times New Roman" w:hAnsi="Times New Roman" w:cs="Times New Roman"/>
          <w:vertAlign w:val="subscript"/>
          <w:lang w:val="lt-LT" w:eastAsia="x-none"/>
        </w:rPr>
        <w:t>1</w:t>
      </w:r>
      <w:r w:rsidRPr="002B00E3">
        <w:rPr>
          <w:rFonts w:ascii="Times New Roman" w:eastAsia="Times New Roman" w:hAnsi="Times New Roman" w:cs="Times New Roman"/>
          <w:lang w:val="lt-LT" w:eastAsia="x-none"/>
        </w:rPr>
        <w:t xml:space="preserve"> receptorius vartojamas mažesnėmis dozėmis negu periferinių kraujagyslių ir bronchų β</w:t>
      </w:r>
      <w:r w:rsidRPr="002B00E3">
        <w:rPr>
          <w:rFonts w:ascii="Times New Roman" w:eastAsia="Times New Roman" w:hAnsi="Times New Roman" w:cs="Times New Roman"/>
          <w:vertAlign w:val="subscript"/>
          <w:lang w:val="lt-LT" w:eastAsia="x-none"/>
        </w:rPr>
        <w:t>2</w:t>
      </w:r>
      <w:r w:rsidRPr="002B00E3">
        <w:rPr>
          <w:rFonts w:ascii="Times New Roman" w:eastAsia="Times New Roman" w:hAnsi="Times New Roman" w:cs="Times New Roman"/>
          <w:lang w:val="lt-LT" w:eastAsia="x-none"/>
        </w:rPr>
        <w:t xml:space="preserve"> receptorius. Betaloc ZOK selektyvumas priklauso nuo dozės. Išgėrus pailginto atpalaidavimo Betaloc ZOK tabletę, plazmoje susidaro reikšmingai mažesnė didžiausia metoprololio koncentracija negu išgėrus paprastą tabletę, o tai didina šio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selektyvumą β</w:t>
      </w:r>
      <w:r w:rsidRPr="002B00E3">
        <w:rPr>
          <w:rFonts w:ascii="Times New Roman" w:eastAsia="Times New Roman" w:hAnsi="Times New Roman" w:cs="Times New Roman"/>
          <w:vertAlign w:val="subscript"/>
          <w:lang w:val="lt-LT" w:eastAsia="x-none"/>
        </w:rPr>
        <w:t>1</w:t>
      </w:r>
      <w:r w:rsidRPr="002B00E3">
        <w:rPr>
          <w:rFonts w:ascii="Times New Roman" w:eastAsia="Times New Roman" w:hAnsi="Times New Roman" w:cs="Times New Roman"/>
          <w:lang w:val="lt-LT" w:eastAsia="x-none"/>
        </w:rPr>
        <w:t xml:space="preserve"> receptoriams.</w:t>
      </w:r>
    </w:p>
    <w:p w14:paraId="2702D530" w14:textId="18A68E42"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Dalinio agonistinio poveikio β receptoriams metoprololis neturi, membranas stabilizuojantis šio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poveikis yra silpnas. β blokatoriai mažina širdies susitraukimų jėgą ir dažnį.</w:t>
      </w:r>
    </w:p>
    <w:p w14:paraId="32B960D0" w14:textId="4D3F1E83"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slopina katecholaminų, kurių išsiskiria dėl fizinio krūvio ar psichinio streso, poveikį, mažina širdies susitraukimų dažnį, minutinį tūrį ir kraujospūdį. Metoprololis neslopina fiziologinio kraujagyslių išsiplėtimo, dėl streso padidėjus adrenalino išsiskyrimui antinksčiuose. Gydomosiomis dozėmis vartojamo metoprololio bronchus siaurinantis poveikis yra silpnesnis negu neselektyvių β blokatorių, todėl (kartu su β</w:t>
      </w:r>
      <w:r w:rsidRPr="002B00E3">
        <w:rPr>
          <w:rFonts w:ascii="Times New Roman" w:eastAsia="Times New Roman" w:hAnsi="Times New Roman" w:cs="Times New Roman"/>
          <w:vertAlign w:val="subscript"/>
          <w:lang w:val="lt-LT" w:eastAsia="x-none"/>
        </w:rPr>
        <w:t xml:space="preserve"> 2</w:t>
      </w:r>
      <w:r w:rsidRPr="002B00E3">
        <w:rPr>
          <w:rFonts w:ascii="Times New Roman" w:eastAsia="Times New Roman" w:hAnsi="Times New Roman" w:cs="Times New Roman"/>
          <w:lang w:val="lt-LT" w:eastAsia="x-none"/>
        </w:rPr>
        <w:t xml:space="preserve"> receptorių agonistais) šį vaist</w:t>
      </w:r>
      <w:r w:rsidR="002360CC">
        <w:rPr>
          <w:rFonts w:ascii="Times New Roman" w:eastAsia="Times New Roman" w:hAnsi="Times New Roman" w:cs="Times New Roman"/>
          <w:lang w:val="lt-LT" w:eastAsia="x-none"/>
        </w:rPr>
        <w:t>inį pre</w:t>
      </w:r>
      <w:r w:rsidR="00AB5941">
        <w:rPr>
          <w:rFonts w:ascii="Times New Roman" w:eastAsia="Times New Roman" w:hAnsi="Times New Roman" w:cs="Times New Roman"/>
          <w:lang w:val="lt-LT" w:eastAsia="x-none"/>
        </w:rPr>
        <w:t>p</w:t>
      </w:r>
      <w:r w:rsidR="002360CC">
        <w:rPr>
          <w:rFonts w:ascii="Times New Roman" w:eastAsia="Times New Roman" w:hAnsi="Times New Roman" w:cs="Times New Roman"/>
          <w:lang w:val="lt-LT" w:eastAsia="x-none"/>
        </w:rPr>
        <w:t>arat</w:t>
      </w:r>
      <w:r w:rsidRPr="002B00E3">
        <w:rPr>
          <w:rFonts w:ascii="Times New Roman" w:eastAsia="Times New Roman" w:hAnsi="Times New Roman" w:cs="Times New Roman"/>
          <w:lang w:val="lt-LT" w:eastAsia="x-none"/>
        </w:rPr>
        <w:t>ą galima vartoti bronchų astma ar kita obstrukcine plaučių liga sergantiems pacientams. Metoprololio įtaka insulino išsiskyrimui ir angliavandenių metabolizmui yra silpnesnė negu neselektyvių β blokatorių, todėl šį vaist</w:t>
      </w:r>
      <w:r w:rsidR="002360CC">
        <w:rPr>
          <w:rFonts w:ascii="Times New Roman" w:eastAsia="Times New Roman" w:hAnsi="Times New Roman" w:cs="Times New Roman"/>
          <w:lang w:val="lt-LT" w:eastAsia="x-none"/>
        </w:rPr>
        <w:t>inį preparat</w:t>
      </w:r>
      <w:r w:rsidRPr="002B00E3">
        <w:rPr>
          <w:rFonts w:ascii="Times New Roman" w:eastAsia="Times New Roman" w:hAnsi="Times New Roman" w:cs="Times New Roman"/>
          <w:lang w:val="lt-LT" w:eastAsia="x-none"/>
        </w:rPr>
        <w:t>ą galima vartoti cukriniu diabetu sergantiems pacientams. Palyginus su neselektyviais β blokatoriais, metoprololio poveikis hipoglikemijos sukeliamoms širdies ir kraujagyslių sistemos reakcijoms (pvz., tachikardijai) yra silpnesnis, vartojant šį vaist</w:t>
      </w:r>
      <w:r w:rsidR="002360CC">
        <w:rPr>
          <w:rFonts w:ascii="Times New Roman" w:eastAsia="Times New Roman" w:hAnsi="Times New Roman" w:cs="Times New Roman"/>
          <w:lang w:val="lt-LT" w:eastAsia="x-none"/>
        </w:rPr>
        <w:t>inį preparat</w:t>
      </w:r>
      <w:r w:rsidRPr="002B00E3">
        <w:rPr>
          <w:rFonts w:ascii="Times New Roman" w:eastAsia="Times New Roman" w:hAnsi="Times New Roman" w:cs="Times New Roman"/>
          <w:lang w:val="lt-LT" w:eastAsia="x-none"/>
        </w:rPr>
        <w:t xml:space="preserve">ą gliukozės koncentracija kraujyje sunormalėja greičiau. </w:t>
      </w:r>
    </w:p>
    <w:p w14:paraId="0CC3E541" w14:textId="202DDF41"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Viena Betaloc ZOK dozė reikšmingai ir ilgiau kaip parai sumažina gulint, stovint ir fizinio krūvio metu matuojamą hipertenzija sergančių pacientų kraujospūdį. Metoprololis iš pradžių padidina </w:t>
      </w:r>
      <w:r w:rsidRPr="002B00E3">
        <w:rPr>
          <w:rFonts w:ascii="Times New Roman" w:eastAsia="Times New Roman" w:hAnsi="Times New Roman" w:cs="Times New Roman"/>
          <w:lang w:val="lt-LT" w:eastAsia="x-none"/>
        </w:rPr>
        <w:lastRenderedPageBreak/>
        <w:t>periferinių kraujagyslių pasipriešinimą, tačiau, jį vartojant ilgai, kraujospūdžio sumažėjimą gali lemti periferinių kraujagyslių pasipriešinimo sumažėjimas nepakitus širdies minutiniam tūriui. Vyrams, sergantiems vidutinio laipsnio ar sunkia hipertenzija, metoprololis mažina mirties nuo širdies ir kraujagyslių ligų pavojų. Elektrolitų pusiausvyros šis vaist</w:t>
      </w:r>
      <w:r w:rsidR="002360CC">
        <w:rPr>
          <w:rFonts w:ascii="Times New Roman" w:eastAsia="Times New Roman" w:hAnsi="Times New Roman" w:cs="Times New Roman"/>
          <w:lang w:val="lt-LT" w:eastAsia="x-none"/>
        </w:rPr>
        <w:t xml:space="preserve">inis </w:t>
      </w:r>
      <w:r w:rsidR="00AB5941">
        <w:rPr>
          <w:rFonts w:ascii="Times New Roman" w:eastAsia="Times New Roman" w:hAnsi="Times New Roman" w:cs="Times New Roman"/>
          <w:lang w:val="lt-LT" w:eastAsia="x-none"/>
        </w:rPr>
        <w:t>preparat</w:t>
      </w:r>
      <w:r w:rsidRPr="002B00E3">
        <w:rPr>
          <w:rFonts w:ascii="Times New Roman" w:eastAsia="Times New Roman" w:hAnsi="Times New Roman" w:cs="Times New Roman"/>
          <w:lang w:val="lt-LT" w:eastAsia="x-none"/>
        </w:rPr>
        <w:t>as netrikdo.</w:t>
      </w:r>
    </w:p>
    <w:p w14:paraId="523EB25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A4CE1F7" w14:textId="4AA67EEF" w:rsidR="002B00E3" w:rsidRPr="002B00E3" w:rsidRDefault="002B00E3" w:rsidP="002B00E3">
      <w:pPr>
        <w:autoSpaceDE w:val="0"/>
        <w:autoSpaceDN w:val="0"/>
        <w:adjustRightInd w:val="0"/>
        <w:spacing w:after="0" w:line="240" w:lineRule="auto"/>
        <w:contextualSpacing/>
        <w:rPr>
          <w:rFonts w:ascii="Times New Roman" w:eastAsia="Times New Roman" w:hAnsi="Times New Roman" w:cs="Times New Roman"/>
          <w:lang w:val="lt-LT"/>
        </w:rPr>
      </w:pPr>
      <w:r w:rsidRPr="002B00E3">
        <w:rPr>
          <w:rFonts w:ascii="Times New Roman" w:eastAsia="Calibri" w:hAnsi="Times New Roman" w:cs="Times New Roman"/>
          <w:iCs/>
          <w:lang w:val="lt-LT" w:eastAsia="nl-NL"/>
        </w:rPr>
        <w:t>4</w:t>
      </w:r>
      <w:r w:rsidR="00992E00">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savaičių tyrimo metu 144 pirmine arterine hipertenzija sirgusiems vaikams, kurių amžius buvo 6</w:t>
      </w:r>
      <w:r w:rsidR="00992E00">
        <w:rPr>
          <w:rFonts w:ascii="Times New Roman" w:eastAsia="Calibri" w:hAnsi="Times New Roman" w:cs="Times New Roman"/>
          <w:iCs/>
          <w:lang w:val="lt-LT" w:eastAsia="nl-NL"/>
        </w:rPr>
        <w:noBreakHyphen/>
      </w:r>
      <w:r w:rsidRPr="002B00E3">
        <w:rPr>
          <w:rFonts w:ascii="Times New Roman" w:eastAsia="Calibri" w:hAnsi="Times New Roman" w:cs="Times New Roman"/>
          <w:iCs/>
          <w:lang w:val="lt-LT" w:eastAsia="nl-NL"/>
        </w:rPr>
        <w:t>16</w:t>
      </w:r>
      <w:r w:rsidR="00992E00">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 xml:space="preserve">metų, 0,2 mg/kg Betaloc ZOK sumažino sistolinį kraujospūdį 5,2 mmHg (p = 0,145), 1 mg/kg – 7,7 mmHg (p = 0,027), o 2 mg/kg (bet ne daugiau kaip 200 mg per parą) – 6,3 mmHg (p = 0,049) (placebas jį sumažino 1,9 mmHg). Diastolinis kraujospūdis sumažėjo atitinkamai 3,1 mmHg (p = 0,655), 4,9 mmHg (p = 0,28), 7,5 mmHg (p = 0,017) ir 2,1 mmHg. </w:t>
      </w:r>
      <w:r w:rsidRPr="002B00E3">
        <w:rPr>
          <w:rFonts w:ascii="Times New Roman" w:eastAsia="Times New Roman" w:hAnsi="Times New Roman" w:cs="Times New Roman"/>
          <w:lang w:val="lt-LT"/>
        </w:rPr>
        <w:t>Kraujospūdžio sumažėjimo skirtumų, susijusių su amžiumi, brendimo stadija pagal Tanner ir rase, nenustatyta.</w:t>
      </w:r>
    </w:p>
    <w:p w14:paraId="02858E3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58AD5A0C" w14:textId="7E2524BF"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
          <w:lang w:val="lt-LT" w:eastAsia="x-none"/>
        </w:rPr>
        <w:t>Poveikis pacientams, sergantiems lėtiniu širdies nepakankamumu.</w:t>
      </w:r>
      <w:r w:rsidRPr="002B00E3">
        <w:rPr>
          <w:rFonts w:ascii="Times New Roman" w:eastAsia="Times New Roman" w:hAnsi="Times New Roman" w:cs="Times New Roman"/>
          <w:lang w:val="lt-LT" w:eastAsia="x-none"/>
        </w:rPr>
        <w:t xml:space="preserve"> </w:t>
      </w:r>
      <w:r w:rsidRPr="002B00E3">
        <w:rPr>
          <w:rFonts w:ascii="Times New Roman" w:eastAsia="Times New Roman" w:hAnsi="Times New Roman" w:cs="Times New Roman"/>
          <w:i/>
          <w:lang w:val="lt-LT" w:eastAsia="x-none"/>
        </w:rPr>
        <w:t xml:space="preserve">MERIT-HF </w:t>
      </w:r>
      <w:r w:rsidRPr="002B00E3">
        <w:rPr>
          <w:rFonts w:ascii="Times New Roman" w:eastAsia="Times New Roman" w:hAnsi="Times New Roman" w:cs="Times New Roman"/>
          <w:lang w:val="lt-LT" w:eastAsia="x-none"/>
        </w:rPr>
        <w:t>tyrimas, kuriame dalyvavo 3991 širdies nepakankamumu (II</w:t>
      </w:r>
      <w:r w:rsidRPr="002B00E3">
        <w:rPr>
          <w:rFonts w:ascii="Times New Roman" w:eastAsia="Times New Roman" w:hAnsi="Times New Roman" w:cs="Times New Roman"/>
          <w:lang w:val="lt-LT" w:eastAsia="x-none"/>
        </w:rPr>
        <w:noBreakHyphen/>
        <w:t xml:space="preserve">IV klasės pagal </w:t>
      </w:r>
      <w:r w:rsidRPr="002B00E3">
        <w:rPr>
          <w:rFonts w:ascii="Times New Roman" w:eastAsia="Times New Roman" w:hAnsi="Times New Roman" w:cs="Times New Roman"/>
          <w:i/>
          <w:lang w:val="lt-LT" w:eastAsia="x-none"/>
        </w:rPr>
        <w:t>NYHA</w:t>
      </w:r>
      <w:r w:rsidRPr="002B00E3">
        <w:rPr>
          <w:rFonts w:ascii="Times New Roman" w:eastAsia="Times New Roman" w:hAnsi="Times New Roman" w:cs="Times New Roman"/>
          <w:lang w:val="lt-LT" w:eastAsia="x-none"/>
        </w:rPr>
        <w:t>) sergantis ir sumažėjusią (40 % arba mažesnę) išstūmimo frakciją turintis pacientas, buvo skirtas šio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įtakai išgyvento laikotarpio trukmei įvertinti. Nustatyta, kad Betaloc ZOK ilgina gyvenimo trukmę ir mažina hospitalizavimų skaičių. Ilgai šį vaist</w:t>
      </w:r>
      <w:r w:rsidR="002360CC">
        <w:rPr>
          <w:rFonts w:ascii="Times New Roman" w:eastAsia="Times New Roman" w:hAnsi="Times New Roman" w:cs="Times New Roman"/>
          <w:lang w:val="lt-LT" w:eastAsia="x-none"/>
        </w:rPr>
        <w:t>inį pre</w:t>
      </w:r>
      <w:r w:rsidR="00397144">
        <w:rPr>
          <w:rFonts w:ascii="Times New Roman" w:eastAsia="Times New Roman" w:hAnsi="Times New Roman" w:cs="Times New Roman"/>
          <w:lang w:val="lt-LT" w:eastAsia="x-none"/>
        </w:rPr>
        <w:t>p</w:t>
      </w:r>
      <w:r w:rsidR="002360CC">
        <w:rPr>
          <w:rFonts w:ascii="Times New Roman" w:eastAsia="Times New Roman" w:hAnsi="Times New Roman" w:cs="Times New Roman"/>
          <w:lang w:val="lt-LT" w:eastAsia="x-none"/>
        </w:rPr>
        <w:t>arat</w:t>
      </w:r>
      <w:r w:rsidRPr="002B00E3">
        <w:rPr>
          <w:rFonts w:ascii="Times New Roman" w:eastAsia="Times New Roman" w:hAnsi="Times New Roman" w:cs="Times New Roman"/>
          <w:lang w:val="lt-LT" w:eastAsia="x-none"/>
        </w:rPr>
        <w:t xml:space="preserve">ą vartojusiems pacientams nustatytas bendras širdies nepakankamumo simptomų palengvėjimas (pagal </w:t>
      </w:r>
      <w:r w:rsidRPr="002B00E3">
        <w:rPr>
          <w:rFonts w:ascii="Times New Roman" w:eastAsia="Times New Roman" w:hAnsi="Times New Roman" w:cs="Times New Roman"/>
          <w:i/>
          <w:lang w:val="lt-LT" w:eastAsia="x-none"/>
        </w:rPr>
        <w:t>NYHA</w:t>
      </w:r>
      <w:r w:rsidRPr="002B00E3">
        <w:rPr>
          <w:rFonts w:ascii="Times New Roman" w:eastAsia="Times New Roman" w:hAnsi="Times New Roman" w:cs="Times New Roman"/>
          <w:lang w:val="lt-LT" w:eastAsia="x-none"/>
        </w:rPr>
        <w:t xml:space="preserve"> klasifikaciją ir Bendrojo gydymo veiksmingumo vertinimo rodiklį).</w:t>
      </w:r>
    </w:p>
    <w:p w14:paraId="0D64738E"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Taip pat nustatyta, kad Betaloc ZOK didina išstūmimo frakciją, mažina kraujo tūrį kairiajame skilvelyje sistolės ir diastolės pabaigoje.</w:t>
      </w:r>
    </w:p>
    <w:p w14:paraId="61B1B5FF" w14:textId="11D109B0"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Esant tachiaritmijai, šis vaist</w:t>
      </w:r>
      <w:r w:rsidR="002360CC">
        <w:rPr>
          <w:rFonts w:ascii="Times New Roman" w:eastAsia="Times New Roman" w:hAnsi="Times New Roman" w:cs="Times New Roman"/>
          <w:lang w:val="lt-LT" w:eastAsia="x-none"/>
        </w:rPr>
        <w:t>inis preparat</w:t>
      </w:r>
      <w:r w:rsidRPr="002B00E3">
        <w:rPr>
          <w:rFonts w:ascii="Times New Roman" w:eastAsia="Times New Roman" w:hAnsi="Times New Roman" w:cs="Times New Roman"/>
          <w:lang w:val="lt-LT" w:eastAsia="x-none"/>
        </w:rPr>
        <w:t>as blokuoja simpatinės nervų sistemos aktyvumo padidėjimą. Širdies susitraukimų dažnio sumažėjimas labiausiai priklauso nuo ritmo vedlio automatizmo sumažėjimo, mažiau – nuo atrioventrikulinio mazgo laidumo sumažėjimo. Metoprololis mažina miokardo infarkto pasikartojimo ir kardialinės mirties (ypač staigios mirties dėl miokardo infarkto) pavojų.</w:t>
      </w:r>
    </w:p>
    <w:p w14:paraId="799FE64D"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653230B" w14:textId="77777777" w:rsidR="002B00E3" w:rsidRPr="002B00E3" w:rsidRDefault="002B00E3" w:rsidP="002B00E3">
      <w:pPr>
        <w:tabs>
          <w:tab w:val="left" w:pos="567"/>
        </w:tabs>
        <w:spacing w:after="0" w:line="240" w:lineRule="auto"/>
        <w:contextualSpacing/>
        <w:jc w:val="both"/>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5.2</w:t>
      </w:r>
      <w:r w:rsidRPr="002B00E3">
        <w:rPr>
          <w:rFonts w:ascii="Times New Roman" w:eastAsia="Times New Roman" w:hAnsi="Times New Roman" w:cs="Times New Roman"/>
          <w:b/>
          <w:bCs/>
          <w:lang w:val="lt-LT"/>
        </w:rPr>
        <w:tab/>
        <w:t xml:space="preserve"> Farmakokinetinės savybės</w:t>
      </w:r>
    </w:p>
    <w:p w14:paraId="3E74154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660BB5B" w14:textId="455EA2AD" w:rsidR="002B00E3" w:rsidRPr="002B00E3" w:rsidRDefault="002B00E3" w:rsidP="002B00E3">
      <w:pPr>
        <w:spacing w:after="0" w:line="240" w:lineRule="auto"/>
        <w:contextualSpacing/>
        <w:outlineLvl w:val="0"/>
        <w:rPr>
          <w:rFonts w:ascii="Times New Roman" w:eastAsia="Times New Roman" w:hAnsi="Times New Roman" w:cs="Times New Roman"/>
          <w:bCs/>
          <w:i/>
          <w:iCs/>
          <w:lang w:val="lt-LT"/>
        </w:rPr>
      </w:pPr>
      <w:r>
        <w:rPr>
          <w:rFonts w:ascii="Times New Roman" w:eastAsia="Times New Roman" w:hAnsi="Times New Roman" w:cs="Times New Roman"/>
          <w:bCs/>
          <w:i/>
          <w:iCs/>
          <w:lang w:val="lt-LT"/>
        </w:rPr>
        <w:t>Absorbcija</w:t>
      </w:r>
      <w:r w:rsidRPr="002B00E3">
        <w:rPr>
          <w:rFonts w:ascii="Times New Roman" w:eastAsia="Times New Roman" w:hAnsi="Times New Roman" w:cs="Times New Roman"/>
          <w:bCs/>
          <w:i/>
          <w:iCs/>
          <w:lang w:val="lt-LT"/>
        </w:rPr>
        <w:t xml:space="preserve"> ir pasiskirstymas</w:t>
      </w:r>
    </w:p>
    <w:p w14:paraId="480049E1" w14:textId="0D676CD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Rezorbuojama visa išgerta šio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dozė, jo rezorbcija vyksta visame virškinimo trakte, įskaitant gaubtinę žarną. Metoprololio biologinis prieinamumas, vartojant Betaloc ZOK, yra 30</w:t>
      </w:r>
      <w:r w:rsidRPr="002B00E3">
        <w:rPr>
          <w:rFonts w:ascii="Times New Roman" w:eastAsia="Times New Roman" w:hAnsi="Times New Roman" w:cs="Times New Roman"/>
          <w:lang w:val="lt-LT" w:eastAsia="x-none"/>
        </w:rPr>
        <w:noBreakHyphen/>
        <w:t>40 %.</w:t>
      </w:r>
      <w:r w:rsidR="001D56F1">
        <w:rPr>
          <w:rFonts w:ascii="Times New Roman" w:eastAsia="Times New Roman" w:hAnsi="Times New Roman" w:cs="Times New Roman"/>
          <w:lang w:val="lt-LT" w:eastAsia="x-none"/>
        </w:rPr>
        <w:t xml:space="preserve"> </w:t>
      </w:r>
      <w:r w:rsidRPr="002B00E3">
        <w:rPr>
          <w:rFonts w:ascii="Times New Roman" w:eastAsia="Times New Roman" w:hAnsi="Times New Roman" w:cs="Times New Roman"/>
          <w:lang w:val="lt-LT" w:eastAsia="x-none"/>
        </w:rPr>
        <w:t>Betaloc ZOK pailginto atpalaidavimo tabletę sudaro mikrokapsulėse esantys metoprololio sukcinato rutuliukai, kiekvienas atskirame depe. Kiekvienas rutuliukas padengtas polimerine membrana, kontroliuojančia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atpalaidavimo greitį. Patekusi į skystį tabletė greitai suyra, todėl rutuliukai disperguojami dideliame virškinimo trakto paviršiaus plote. Vaist</w:t>
      </w:r>
      <w:r w:rsidR="002360CC">
        <w:rPr>
          <w:rFonts w:ascii="Times New Roman" w:eastAsia="Times New Roman" w:hAnsi="Times New Roman" w:cs="Times New Roman"/>
          <w:lang w:val="lt-LT" w:eastAsia="x-none"/>
        </w:rPr>
        <w:t>inio preaprat</w:t>
      </w:r>
      <w:r w:rsidRPr="002B00E3">
        <w:rPr>
          <w:rFonts w:ascii="Times New Roman" w:eastAsia="Times New Roman" w:hAnsi="Times New Roman" w:cs="Times New Roman"/>
          <w:lang w:val="lt-LT" w:eastAsia="x-none"/>
        </w:rPr>
        <w:t>o atpalaidavimas nepriklauso nuo terpės skysčio pH ir maždaug 20 val. vyksta beveik pastoviu greičiu. Išgėrus Betaloc ZOK tabletę, visai parai užtikrinama maždaug vienoda vaist</w:t>
      </w:r>
      <w:r w:rsidR="002360CC">
        <w:rPr>
          <w:rFonts w:ascii="Times New Roman" w:eastAsia="Times New Roman" w:hAnsi="Times New Roman" w:cs="Times New Roman"/>
          <w:lang w:val="lt-LT" w:eastAsia="x-none"/>
        </w:rPr>
        <w:t>inio preparat</w:t>
      </w:r>
      <w:r w:rsidRPr="002B00E3">
        <w:rPr>
          <w:rFonts w:ascii="Times New Roman" w:eastAsia="Times New Roman" w:hAnsi="Times New Roman" w:cs="Times New Roman"/>
          <w:lang w:val="lt-LT" w:eastAsia="x-none"/>
        </w:rPr>
        <w:t>o koncentracija kraujyje ir jo poveikis.</w:t>
      </w:r>
    </w:p>
    <w:p w14:paraId="4E1F22F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B8C481A" w14:textId="77777777" w:rsidR="002B00E3" w:rsidRPr="002B00E3" w:rsidDel="004759E1"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Prie plazmos baltymų metoprololio būna prisijungusio nedaug, maždaug 5</w:t>
      </w:r>
      <w:r w:rsidRPr="002B00E3">
        <w:rPr>
          <w:rFonts w:ascii="Times New Roman" w:eastAsia="Times New Roman" w:hAnsi="Times New Roman" w:cs="Times New Roman"/>
          <w:lang w:val="lt-LT" w:eastAsia="x-none"/>
        </w:rPr>
        <w:noBreakHyphen/>
        <w:t>10 %.</w:t>
      </w:r>
    </w:p>
    <w:p w14:paraId="6FB6CB09" w14:textId="77777777" w:rsidR="002B00E3" w:rsidRPr="002B00E3" w:rsidRDefault="002B00E3" w:rsidP="002B00E3">
      <w:pPr>
        <w:spacing w:after="0" w:line="240" w:lineRule="auto"/>
        <w:contextualSpacing/>
        <w:rPr>
          <w:rFonts w:ascii="Times New Roman" w:eastAsia="Times New Roman" w:hAnsi="Times New Roman" w:cs="Times New Roman"/>
          <w:bCs/>
          <w:i/>
          <w:iCs/>
          <w:lang w:val="lt-LT"/>
        </w:rPr>
      </w:pPr>
    </w:p>
    <w:p w14:paraId="5297FDF2" w14:textId="324B8DE8" w:rsidR="002B00E3" w:rsidRPr="002B00E3" w:rsidRDefault="002B00E3" w:rsidP="002B00E3">
      <w:pPr>
        <w:spacing w:after="0" w:line="240" w:lineRule="auto"/>
        <w:contextualSpacing/>
        <w:outlineLvl w:val="0"/>
        <w:rPr>
          <w:rFonts w:ascii="Times New Roman" w:eastAsia="Times New Roman" w:hAnsi="Times New Roman" w:cs="Times New Roman"/>
          <w:bCs/>
          <w:i/>
          <w:iCs/>
          <w:lang w:val="lt-LT"/>
        </w:rPr>
      </w:pPr>
      <w:r>
        <w:rPr>
          <w:rFonts w:ascii="Times New Roman" w:eastAsia="Times New Roman" w:hAnsi="Times New Roman" w:cs="Times New Roman"/>
          <w:bCs/>
          <w:i/>
          <w:iCs/>
          <w:lang w:val="lt-LT"/>
        </w:rPr>
        <w:t>Biotransformacija</w:t>
      </w:r>
      <w:r w:rsidRPr="002B00E3">
        <w:rPr>
          <w:rFonts w:ascii="Times New Roman" w:eastAsia="Times New Roman" w:hAnsi="Times New Roman" w:cs="Times New Roman"/>
          <w:bCs/>
          <w:i/>
          <w:iCs/>
          <w:lang w:val="lt-LT"/>
        </w:rPr>
        <w:t xml:space="preserve"> ir eliminacija</w:t>
      </w:r>
    </w:p>
    <w:p w14:paraId="2BF6197D"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Metoprololis metabolizuojamas oksidacijos būdu kepenyse , daugiausiai veikiant izofermentui CYP2D6. Identifikuoti trys pagrindiniai metabolitai, tačiau nei vienas iš jų kliniškai reikšmingai neblokuoja beta receptorių.</w:t>
      </w:r>
    </w:p>
    <w:p w14:paraId="1B3C8B75"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7CBEC012" w14:textId="0D152355"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Dažniausiai daugiau kaip 95 % per burną pavartotos dozės randama šlapime. Apie 5 % (atskirais atvejais – iki 30 %) pavartotos dozės išskiriama su šlapimu nepakitusio metoprololio pavidalo. Vidutinis metoprololio pusinis eliminacijos periodas plazmoje yra 3,5 val. (diapazonas – 1</w:t>
      </w:r>
      <w:r w:rsidRPr="002B00E3">
        <w:rPr>
          <w:rFonts w:ascii="Times New Roman" w:eastAsia="Times New Roman" w:hAnsi="Times New Roman" w:cs="Times New Roman"/>
          <w:bCs/>
          <w:lang w:val="lt-LT"/>
        </w:rPr>
        <w:noBreakHyphen/>
        <w:t>9 val.), suminis klirensas – maždaug 1</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l/min.</w:t>
      </w:r>
    </w:p>
    <w:p w14:paraId="3CDB7810"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4A99CBAA"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Metoprololio farmakokinetika senyvų žmonių organizme reikšmingai nesiskiria nuo jaunesnių. Pacientų, kurių inkstų funkcija susilpnėjusi, organizme metoprololio sisteminis biologinis prieinamumas ir eliminacija išlieka nepakitę, tačiau metabolitų išskiriama mažiau. Reikšminga metabolitų akumuliacija nustatyta esant mažesnei kaip 5 ml/min. glomerulų filtracijai, tačiau dėl jos beta adrenoreceptorių blokavimas nesustiprėja.</w:t>
      </w:r>
    </w:p>
    <w:p w14:paraId="09270809"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396BFB7D" w14:textId="728BA32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Susilpnėjusi kepenų funkcija metoprololio farmakokinetiką veikia minimaliai, tačiau esant sunkiai kepenų cirozei ir vartų venos anastomozei su tuščiąja vena metoprololio biologinis prieinamumas gali būti didesnis, o suminis klirensas – mažesnis. Apskaičiuota, kad vartų venos anastomozę su tuščiąja vena turinčių pacientų organizme metoprololio suminis klirensas būna maždaug 0,3 l/min., o plotas po koncentracijos plazmoje kreive (AUC) – iki 6</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kartų didesnis negu sveikų asmenų.</w:t>
      </w:r>
    </w:p>
    <w:p w14:paraId="7E9BC96A"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398AF400" w14:textId="7A25280F"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Metoprololio farmakokinetiniai rodikliai hipertenzija sergančių 6</w:t>
      </w:r>
      <w:r w:rsidR="00992E00">
        <w:rPr>
          <w:rFonts w:ascii="Times New Roman" w:eastAsia="Times New Roman" w:hAnsi="Times New Roman" w:cs="Times New Roman"/>
          <w:bCs/>
          <w:lang w:val="lt-LT"/>
        </w:rPr>
        <w:noBreakHyphen/>
      </w:r>
      <w:r w:rsidRPr="002B00E3">
        <w:rPr>
          <w:rFonts w:ascii="Times New Roman" w:eastAsia="Times New Roman" w:hAnsi="Times New Roman" w:cs="Times New Roman"/>
          <w:bCs/>
          <w:lang w:val="lt-LT"/>
        </w:rPr>
        <w:t>17</w:t>
      </w:r>
      <w:r w:rsidR="00992E00">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metų vaikų organizme yra panašūs į anksčiau aprašytus suaugusių. Tarp kūno svorio ir geriamojo metoprololio tariamojo klirenso nustatyta tiesinė priklausomybė.</w:t>
      </w:r>
    </w:p>
    <w:p w14:paraId="22BF6DA8"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24DE8EB7" w14:textId="77777777" w:rsidR="002B00E3" w:rsidRPr="002B00E3" w:rsidRDefault="002B00E3" w:rsidP="002B00E3">
      <w:pPr>
        <w:tabs>
          <w:tab w:val="left" w:pos="567"/>
        </w:tabs>
        <w:spacing w:after="0" w:line="240" w:lineRule="auto"/>
        <w:contextualSpacing/>
        <w:jc w:val="both"/>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5.3</w:t>
      </w:r>
      <w:r w:rsidRPr="002B00E3">
        <w:rPr>
          <w:rFonts w:ascii="Times New Roman" w:eastAsia="Times New Roman" w:hAnsi="Times New Roman" w:cs="Times New Roman"/>
          <w:b/>
          <w:bCs/>
          <w:lang w:val="lt-LT"/>
        </w:rPr>
        <w:tab/>
        <w:t xml:space="preserve"> Ikiklinikinių saugumo tyrimų duomenys</w:t>
      </w:r>
    </w:p>
    <w:p w14:paraId="0915BD4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20BFD0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Reikšmingų ikiklinikinių tyrimų duomenų, nepaminėtų kituose šios preparato charakteristikų santraukos skyriuose, nėra.</w:t>
      </w:r>
    </w:p>
    <w:p w14:paraId="40F5D486"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1E6E54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1F5E0E2"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6. </w:t>
      </w:r>
      <w:r w:rsidRPr="002B00E3">
        <w:rPr>
          <w:rFonts w:ascii="Times New Roman" w:eastAsia="Times New Roman" w:hAnsi="Times New Roman" w:cs="Times New Roman"/>
          <w:b/>
          <w:lang w:val="lt-LT"/>
        </w:rPr>
        <w:tab/>
        <w:t>FARMACINĖ INFORMACIJA</w:t>
      </w:r>
    </w:p>
    <w:p w14:paraId="50C0F1A7"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15036C50"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6.1</w:t>
      </w:r>
      <w:r w:rsidRPr="002B00E3">
        <w:rPr>
          <w:rFonts w:ascii="Times New Roman" w:eastAsia="Times New Roman" w:hAnsi="Times New Roman" w:cs="Times New Roman"/>
          <w:b/>
          <w:lang w:val="lt-LT"/>
        </w:rPr>
        <w:tab/>
        <w:t xml:space="preserve"> Pagalbinių medžiagų sąrašas</w:t>
      </w:r>
    </w:p>
    <w:p w14:paraId="3F5EFEF9" w14:textId="77777777" w:rsidR="002B00E3" w:rsidRPr="002B00E3" w:rsidRDefault="002B00E3" w:rsidP="002B00E3">
      <w:pPr>
        <w:spacing w:after="0" w:line="240" w:lineRule="auto"/>
        <w:contextualSpacing/>
        <w:rPr>
          <w:rFonts w:ascii="Times New Roman" w:eastAsia="Times New Roman" w:hAnsi="Times New Roman" w:cs="Times New Roman"/>
          <w:b/>
          <w:lang w:val="lt-LT"/>
        </w:rPr>
      </w:pPr>
    </w:p>
    <w:p w14:paraId="3A685BF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u w:val="single"/>
          <w:lang w:val="lt-LT"/>
        </w:rPr>
        <w:t>Šerdis</w:t>
      </w:r>
      <w:r w:rsidRPr="002B00E3">
        <w:rPr>
          <w:rFonts w:ascii="Times New Roman" w:eastAsia="Times New Roman" w:hAnsi="Times New Roman" w:cs="Times New Roman"/>
          <w:lang w:val="lt-LT"/>
        </w:rPr>
        <w:t>:</w:t>
      </w:r>
    </w:p>
    <w:p w14:paraId="509DE854"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Etilceliuliozė</w:t>
      </w:r>
    </w:p>
    <w:p w14:paraId="54E6BC2D"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Hidroksipropilceliuliozė</w:t>
      </w:r>
    </w:p>
    <w:p w14:paraId="32CDE62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Mikrokristalinė celiuliozė</w:t>
      </w:r>
    </w:p>
    <w:p w14:paraId="200293C0"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Silicio dioksidas</w:t>
      </w:r>
    </w:p>
    <w:p w14:paraId="1DEAE7B9"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Natrio stearilfumaratas</w:t>
      </w:r>
    </w:p>
    <w:p w14:paraId="57C855CF"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B90C97B"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u w:val="single"/>
          <w:lang w:val="lt-LT"/>
        </w:rPr>
        <w:t>Plėvelė</w:t>
      </w:r>
      <w:r w:rsidRPr="002B00E3">
        <w:rPr>
          <w:rFonts w:ascii="Times New Roman" w:eastAsia="Times New Roman" w:hAnsi="Times New Roman" w:cs="Times New Roman"/>
          <w:lang w:val="lt-LT"/>
        </w:rPr>
        <w:t>:</w:t>
      </w:r>
    </w:p>
    <w:p w14:paraId="3C8E410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Parafinas</w:t>
      </w:r>
    </w:p>
    <w:p w14:paraId="3860D4F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Hipromeliozė</w:t>
      </w:r>
    </w:p>
    <w:p w14:paraId="75D6455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Makrogolis 6000</w:t>
      </w:r>
    </w:p>
    <w:p w14:paraId="382F1D5B"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Titano dioksidas (E 171).</w:t>
      </w:r>
    </w:p>
    <w:p w14:paraId="0286048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695C8D" w14:textId="77777777" w:rsidR="002B00E3" w:rsidRPr="002B00E3" w:rsidRDefault="002B00E3" w:rsidP="002B00E3">
      <w:pPr>
        <w:keepNext/>
        <w:keepLines/>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6.2</w:t>
      </w:r>
      <w:r w:rsidRPr="002B00E3">
        <w:rPr>
          <w:rFonts w:ascii="Times New Roman" w:eastAsia="Times New Roman" w:hAnsi="Times New Roman" w:cs="Times New Roman"/>
          <w:b/>
          <w:lang w:val="lt-LT"/>
        </w:rPr>
        <w:tab/>
        <w:t xml:space="preserve"> Nesuderinamumas</w:t>
      </w:r>
    </w:p>
    <w:p w14:paraId="67108A6E" w14:textId="77777777" w:rsidR="002B00E3" w:rsidRPr="002B00E3" w:rsidRDefault="002B00E3" w:rsidP="002B00E3">
      <w:pPr>
        <w:keepNext/>
        <w:keepLines/>
        <w:spacing w:after="0" w:line="240" w:lineRule="auto"/>
        <w:contextualSpacing/>
        <w:rPr>
          <w:rFonts w:ascii="Times New Roman" w:eastAsia="Times New Roman" w:hAnsi="Times New Roman" w:cs="Times New Roman"/>
          <w:b/>
          <w:bCs/>
          <w:lang w:val="lt-LT"/>
        </w:rPr>
      </w:pPr>
    </w:p>
    <w:p w14:paraId="009B7C73" w14:textId="77777777" w:rsidR="002B00E3" w:rsidRPr="002B00E3" w:rsidRDefault="002B00E3" w:rsidP="002B00E3">
      <w:pPr>
        <w:keepNext/>
        <w:keepLines/>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Duomenys nebūtini.</w:t>
      </w:r>
    </w:p>
    <w:p w14:paraId="6801FD2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F589B0E"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6.3</w:t>
      </w:r>
      <w:r w:rsidRPr="002B00E3">
        <w:rPr>
          <w:rFonts w:ascii="Times New Roman" w:eastAsia="Times New Roman" w:hAnsi="Times New Roman" w:cs="Times New Roman"/>
          <w:b/>
          <w:lang w:val="lt-LT"/>
        </w:rPr>
        <w:tab/>
        <w:t xml:space="preserve"> Tinkamumo laikas</w:t>
      </w:r>
    </w:p>
    <w:p w14:paraId="754132A3"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61408D26"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3 metai.</w:t>
      </w:r>
    </w:p>
    <w:p w14:paraId="0473E76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D81839B"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6.4</w:t>
      </w:r>
      <w:r w:rsidRPr="002B00E3">
        <w:rPr>
          <w:rFonts w:ascii="Times New Roman" w:eastAsia="Times New Roman" w:hAnsi="Times New Roman" w:cs="Times New Roman"/>
          <w:b/>
          <w:lang w:val="lt-LT"/>
        </w:rPr>
        <w:tab/>
        <w:t xml:space="preserve"> Specialiosios laikymo sąlygos</w:t>
      </w:r>
    </w:p>
    <w:p w14:paraId="1CA2B0B2"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86158FC"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Šiam vaistiniam preparatui specialių laikymo sąlygų nereikia.</w:t>
      </w:r>
    </w:p>
    <w:p w14:paraId="399F777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5B7DC3D"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6.5</w:t>
      </w:r>
      <w:r w:rsidRPr="002B00E3">
        <w:rPr>
          <w:rFonts w:ascii="Times New Roman" w:eastAsia="Times New Roman" w:hAnsi="Times New Roman" w:cs="Times New Roman"/>
          <w:b/>
          <w:lang w:val="lt-LT"/>
        </w:rPr>
        <w:tab/>
        <w:t xml:space="preserve"> Talpyklės pobūdis ir jos turinys</w:t>
      </w:r>
    </w:p>
    <w:p w14:paraId="6988E43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3A87DA1"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Betaloc ZOK 23,75 mg</w:t>
      </w:r>
    </w:p>
    <w:p w14:paraId="31E86D4B"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PVC/Aliuminio folijos lizdinė plokštelė. Kartono dėžutėje yra 14 arba 28 pailginto atpalaidavimo tablečių.</w:t>
      </w:r>
    </w:p>
    <w:p w14:paraId="3CB5ADFD"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0E0914A"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Betaloc ZOK 47,5 mg ir Betaloc ZOK 95 mg</w:t>
      </w:r>
    </w:p>
    <w:p w14:paraId="6232773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PVC/Aliuminio folijos lizdinė plokštelė. Kartono dėžutėje yra 28 pailginto atpalaidavimo tablečių.</w:t>
      </w:r>
    </w:p>
    <w:p w14:paraId="4514165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DTPE buteliukas. Kartono dėžutėje yra 30 arba 90 pailginto atpalaidavimo tablečių.</w:t>
      </w:r>
    </w:p>
    <w:p w14:paraId="2EAA5C5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8A4CFFE"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lang w:val="lt-LT" w:eastAsia="x-none"/>
        </w:rPr>
        <w:t>Gali būti tiekiamos ne visų dydžių pakuotės.</w:t>
      </w:r>
    </w:p>
    <w:p w14:paraId="45CC1612"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1777F5D"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6.6</w:t>
      </w:r>
      <w:r w:rsidRPr="002B00E3">
        <w:rPr>
          <w:rFonts w:ascii="Times New Roman" w:eastAsia="Times New Roman" w:hAnsi="Times New Roman" w:cs="Times New Roman"/>
          <w:b/>
          <w:lang w:val="lt-LT" w:eastAsia="x-none"/>
        </w:rPr>
        <w:tab/>
        <w:t xml:space="preserve"> Specialūs reikalavimai atliekoms tvarkyti</w:t>
      </w:r>
    </w:p>
    <w:p w14:paraId="205DEFEC"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ECA021B"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Specialių reikalavimų nėra.</w:t>
      </w:r>
    </w:p>
    <w:p w14:paraId="36BFA9B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1DDA3A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EDBE18F" w14:textId="4DD0053A"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7. </w:t>
      </w:r>
      <w:r w:rsidRPr="002B00E3">
        <w:rPr>
          <w:rFonts w:ascii="Times New Roman" w:eastAsia="Times New Roman" w:hAnsi="Times New Roman" w:cs="Times New Roman"/>
          <w:b/>
          <w:lang w:val="lt-LT"/>
        </w:rPr>
        <w:tab/>
      </w:r>
      <w:r>
        <w:rPr>
          <w:rFonts w:ascii="Times New Roman" w:eastAsia="Times New Roman" w:hAnsi="Times New Roman" w:cs="Times New Roman"/>
          <w:b/>
          <w:lang w:val="lt-LT"/>
        </w:rPr>
        <w:t>REGISTRUOTOJAS</w:t>
      </w:r>
    </w:p>
    <w:p w14:paraId="34690517"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509620EC"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Recordati Ireland Ltd</w:t>
      </w:r>
    </w:p>
    <w:p w14:paraId="2A79E3B7"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Raheens East, Ringaskiddy,</w:t>
      </w:r>
    </w:p>
    <w:p w14:paraId="21219F20"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Co. Cork, P43 KD30,</w:t>
      </w:r>
    </w:p>
    <w:p w14:paraId="42A2190A" w14:textId="7B646866" w:rsidR="002B00E3" w:rsidRPr="002B00E3" w:rsidRDefault="00AC0CD8" w:rsidP="00A44C50">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Airija</w:t>
      </w:r>
    </w:p>
    <w:p w14:paraId="5FA7645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3C1DB1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EFEC7A4" w14:textId="1D973AD0"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8. </w:t>
      </w:r>
      <w:r w:rsidRPr="002B00E3">
        <w:rPr>
          <w:rFonts w:ascii="Times New Roman" w:eastAsia="Times New Roman" w:hAnsi="Times New Roman" w:cs="Times New Roman"/>
          <w:b/>
          <w:lang w:val="lt-LT"/>
        </w:rPr>
        <w:tab/>
      </w:r>
      <w:r>
        <w:rPr>
          <w:rFonts w:ascii="Times New Roman" w:eastAsia="Times New Roman" w:hAnsi="Times New Roman" w:cs="Times New Roman"/>
          <w:b/>
          <w:lang w:val="lt-LT"/>
        </w:rPr>
        <w:t>REGISTRACIJOS</w:t>
      </w:r>
      <w:r w:rsidRPr="002B00E3">
        <w:rPr>
          <w:rFonts w:ascii="Times New Roman" w:eastAsia="Times New Roman" w:hAnsi="Times New Roman" w:cs="Times New Roman"/>
          <w:b/>
          <w:lang w:val="lt-LT"/>
        </w:rPr>
        <w:t xml:space="preserve"> PAŽYMĖJIMO NUMERIS</w:t>
      </w:r>
      <w:r>
        <w:rPr>
          <w:rFonts w:ascii="Times New Roman" w:eastAsia="Times New Roman" w:hAnsi="Times New Roman" w:cs="Times New Roman"/>
          <w:b/>
          <w:lang w:val="lt-LT"/>
        </w:rPr>
        <w:t xml:space="preserve"> </w:t>
      </w:r>
      <w:r w:rsidRPr="002B00E3">
        <w:rPr>
          <w:rFonts w:ascii="Times New Roman" w:eastAsia="Times New Roman" w:hAnsi="Times New Roman" w:cs="Times New Roman"/>
          <w:b/>
          <w:lang w:val="lt-LT"/>
        </w:rPr>
        <w:t>(-IAI)</w:t>
      </w:r>
    </w:p>
    <w:p w14:paraId="7F3DA096"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7A469BAA"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23,75 mg </w:t>
      </w:r>
    </w:p>
    <w:p w14:paraId="01CECEA9"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Lizdinė plokštelė:</w:t>
      </w:r>
    </w:p>
    <w:p w14:paraId="75DACD48"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N14 – LT/1/96/2252/001</w:t>
      </w:r>
    </w:p>
    <w:p w14:paraId="66024395"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N28 – LT/1/96/2252/002</w:t>
      </w:r>
    </w:p>
    <w:p w14:paraId="7FE7A8C8"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7542F1F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47,5 mg </w:t>
      </w:r>
    </w:p>
    <w:p w14:paraId="2448C355"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Lizdinė plokštelė:</w:t>
      </w:r>
    </w:p>
    <w:p w14:paraId="167A557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N28 – LT/1/96/2252/003</w:t>
      </w:r>
    </w:p>
    <w:p w14:paraId="6E2CA76A"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Buteliukas:</w:t>
      </w:r>
    </w:p>
    <w:p w14:paraId="421F85C5"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N30 – LT/1/96/2252/004</w:t>
      </w:r>
    </w:p>
    <w:p w14:paraId="4E5B9E9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N90 – LT/1/96/2252/007</w:t>
      </w:r>
    </w:p>
    <w:p w14:paraId="2BDF363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2D30648E"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95 mg </w:t>
      </w:r>
    </w:p>
    <w:p w14:paraId="348E5D60"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Lizdinė plokštelė:</w:t>
      </w:r>
    </w:p>
    <w:p w14:paraId="54A0F1C8"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N28 – LT/1/96/2252/005</w:t>
      </w:r>
    </w:p>
    <w:p w14:paraId="3D68718E"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Buteliukas:</w:t>
      </w:r>
    </w:p>
    <w:p w14:paraId="6AD91DA4"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N30 – LT/1/96/2252/006</w:t>
      </w:r>
    </w:p>
    <w:p w14:paraId="2652FA3E"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N90 – LT/1/96/2252/008</w:t>
      </w:r>
    </w:p>
    <w:p w14:paraId="5856D219"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15C6DE0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94171D1" w14:textId="65B5F6D2"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9. </w:t>
      </w:r>
      <w:r w:rsidRPr="002B00E3">
        <w:rPr>
          <w:rFonts w:ascii="Times New Roman" w:eastAsia="Times New Roman" w:hAnsi="Times New Roman" w:cs="Times New Roman"/>
          <w:b/>
          <w:lang w:val="lt-LT"/>
        </w:rPr>
        <w:tab/>
      </w:r>
      <w:r>
        <w:rPr>
          <w:rFonts w:ascii="Times New Roman" w:eastAsia="Times New Roman" w:hAnsi="Times New Roman" w:cs="Times New Roman"/>
          <w:b/>
          <w:lang w:val="lt-LT"/>
        </w:rPr>
        <w:t>REGISTRAVIMO / PERREGISTRAVIMO</w:t>
      </w:r>
      <w:r w:rsidRPr="002B00E3">
        <w:rPr>
          <w:rFonts w:ascii="Times New Roman" w:eastAsia="Times New Roman" w:hAnsi="Times New Roman" w:cs="Times New Roman"/>
          <w:b/>
          <w:lang w:val="lt-LT"/>
        </w:rPr>
        <w:t xml:space="preserve"> DATA</w:t>
      </w:r>
    </w:p>
    <w:p w14:paraId="2EB81147"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3F8A5B1C" w14:textId="7BFE43CD" w:rsid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23,75 mg:</w:t>
      </w:r>
    </w:p>
    <w:p w14:paraId="31A9D663" w14:textId="425FF79B" w:rsidR="002B00E3" w:rsidRDefault="002B00E3" w:rsidP="002B00E3">
      <w:pPr>
        <w:spacing w:after="0" w:line="240" w:lineRule="auto"/>
        <w:contextualSpacing/>
        <w:outlineLvl w:val="0"/>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r w:rsidRPr="002B00E3">
        <w:rPr>
          <w:rFonts w:ascii="Times New Roman" w:eastAsia="Times New Roman" w:hAnsi="Times New Roman" w:cs="Times New Roman"/>
          <w:lang w:val="lt-LT"/>
        </w:rPr>
        <w:t>2002</w:t>
      </w:r>
      <w:r>
        <w:rPr>
          <w:rFonts w:ascii="Times New Roman" w:eastAsia="Times New Roman" w:hAnsi="Times New Roman" w:cs="Times New Roman"/>
          <w:lang w:val="lt-LT"/>
        </w:rPr>
        <w:t> </w:t>
      </w:r>
      <w:r w:rsidRPr="002B00E3">
        <w:rPr>
          <w:rFonts w:ascii="Times New Roman" w:eastAsia="Times New Roman" w:hAnsi="Times New Roman" w:cs="Times New Roman"/>
          <w:lang w:val="lt-LT"/>
        </w:rPr>
        <w:t>m. spalio 2</w:t>
      </w:r>
      <w:r>
        <w:rPr>
          <w:rFonts w:ascii="Times New Roman" w:eastAsia="Times New Roman" w:hAnsi="Times New Roman" w:cs="Times New Roman"/>
          <w:lang w:val="lt-LT"/>
        </w:rPr>
        <w:t> </w:t>
      </w:r>
      <w:r w:rsidRPr="002B00E3">
        <w:rPr>
          <w:rFonts w:ascii="Times New Roman" w:eastAsia="Times New Roman" w:hAnsi="Times New Roman" w:cs="Times New Roman"/>
          <w:lang w:val="lt-LT"/>
        </w:rPr>
        <w:t>d.</w:t>
      </w:r>
    </w:p>
    <w:p w14:paraId="76AACF25" w14:textId="77777777" w:rsidR="00042433" w:rsidRPr="002B00E3" w:rsidRDefault="00042433" w:rsidP="002B00E3">
      <w:pPr>
        <w:spacing w:after="0" w:line="240" w:lineRule="auto"/>
        <w:contextualSpacing/>
        <w:outlineLvl w:val="0"/>
        <w:rPr>
          <w:rFonts w:ascii="Times New Roman" w:eastAsia="Times New Roman" w:hAnsi="Times New Roman" w:cs="Times New Roman"/>
          <w:lang w:val="lt-LT"/>
        </w:rPr>
      </w:pPr>
    </w:p>
    <w:p w14:paraId="43E75C3D" w14:textId="647C01A9" w:rsid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Betaloc ZOK 47,5 mg ir Betaloc ZOK 95 mg:</w:t>
      </w:r>
    </w:p>
    <w:p w14:paraId="5B925C92" w14:textId="6EB0389C"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r w:rsidRPr="002B00E3">
        <w:rPr>
          <w:rFonts w:ascii="Times New Roman" w:eastAsia="Times New Roman" w:hAnsi="Times New Roman" w:cs="Times New Roman"/>
          <w:lang w:val="lt-LT"/>
        </w:rPr>
        <w:t>1996</w:t>
      </w:r>
      <w:r>
        <w:rPr>
          <w:rFonts w:ascii="Times New Roman" w:eastAsia="Times New Roman" w:hAnsi="Times New Roman" w:cs="Times New Roman"/>
          <w:lang w:val="lt-LT"/>
        </w:rPr>
        <w:t> </w:t>
      </w:r>
      <w:r w:rsidRPr="002B00E3">
        <w:rPr>
          <w:rFonts w:ascii="Times New Roman" w:eastAsia="Times New Roman" w:hAnsi="Times New Roman" w:cs="Times New Roman"/>
          <w:lang w:val="lt-LT"/>
        </w:rPr>
        <w:t>m. rugsėjo 11</w:t>
      </w:r>
      <w:r>
        <w:rPr>
          <w:rFonts w:ascii="Times New Roman" w:eastAsia="Times New Roman" w:hAnsi="Times New Roman" w:cs="Times New Roman"/>
          <w:lang w:val="lt-LT"/>
        </w:rPr>
        <w:t> </w:t>
      </w:r>
      <w:r w:rsidRPr="002B00E3">
        <w:rPr>
          <w:rFonts w:ascii="Times New Roman" w:eastAsia="Times New Roman" w:hAnsi="Times New Roman" w:cs="Times New Roman"/>
          <w:lang w:val="lt-LT"/>
        </w:rPr>
        <w:t>d.</w:t>
      </w:r>
    </w:p>
    <w:p w14:paraId="18F62741"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364CB6C4" w14:textId="37F241A0"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 </w:t>
      </w:r>
      <w:r w:rsidR="001D56F1" w:rsidRPr="00932385">
        <w:rPr>
          <w:rFonts w:ascii="Times New Roman" w:eastAsia="Times New Roman" w:hAnsi="Times New Roman" w:cs="Times New Roman"/>
          <w:lang w:val="lt-LT" w:eastAsia="x-none"/>
        </w:rPr>
        <w:t xml:space="preserve">Paskutinio perregistravimo data </w:t>
      </w:r>
      <w:r w:rsidRPr="002B00E3">
        <w:rPr>
          <w:rFonts w:ascii="Times New Roman" w:eastAsia="Times New Roman" w:hAnsi="Times New Roman" w:cs="Times New Roman"/>
          <w:bCs/>
          <w:lang w:val="lt-LT"/>
        </w:rPr>
        <w:t>2010</w:t>
      </w:r>
      <w:r>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m. gruodžio 20</w:t>
      </w:r>
      <w:r>
        <w:rPr>
          <w:rFonts w:ascii="Times New Roman" w:eastAsia="Times New Roman" w:hAnsi="Times New Roman" w:cs="Times New Roman"/>
          <w:bCs/>
          <w:lang w:val="lt-LT"/>
        </w:rPr>
        <w:t> </w:t>
      </w:r>
      <w:r w:rsidRPr="002B00E3">
        <w:rPr>
          <w:rFonts w:ascii="Times New Roman" w:eastAsia="Times New Roman" w:hAnsi="Times New Roman" w:cs="Times New Roman"/>
          <w:bCs/>
          <w:lang w:val="lt-LT"/>
        </w:rPr>
        <w:t>d.</w:t>
      </w:r>
    </w:p>
    <w:p w14:paraId="380C41FD"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494C5702"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10B2C83D"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 xml:space="preserve">10. </w:t>
      </w:r>
      <w:r w:rsidRPr="002B00E3">
        <w:rPr>
          <w:rFonts w:ascii="Times New Roman" w:eastAsia="Times New Roman" w:hAnsi="Times New Roman" w:cs="Times New Roman"/>
          <w:b/>
          <w:lang w:val="lt-LT"/>
        </w:rPr>
        <w:tab/>
        <w:t>TEKSTO PERŽIŪROS DATA</w:t>
      </w:r>
    </w:p>
    <w:p w14:paraId="35B87DD7"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4CEF2D7A" w14:textId="43A8B1DB" w:rsidR="002B00E3" w:rsidRDefault="0079349C" w:rsidP="002B00E3">
      <w:pPr>
        <w:tabs>
          <w:tab w:val="left" w:pos="5954"/>
          <w:tab w:val="left" w:pos="6237"/>
          <w:tab w:val="left" w:pos="6663"/>
          <w:tab w:val="left" w:pos="6946"/>
        </w:tabs>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2021</w:t>
      </w:r>
      <w:r w:rsidR="008A5065" w:rsidRPr="008A5D56">
        <w:rPr>
          <w:rFonts w:ascii="Times New Roman" w:eastAsia="Times New Roman" w:hAnsi="Times New Roman" w:cs="Times New Roman"/>
          <w:lang w:val="lt-LT" w:eastAsia="x-none"/>
        </w:rPr>
        <w:t xml:space="preserve"> m. </w:t>
      </w:r>
      <w:r>
        <w:rPr>
          <w:rFonts w:ascii="Times New Roman" w:eastAsia="Times New Roman" w:hAnsi="Times New Roman" w:cs="Times New Roman"/>
          <w:lang w:val="lt-LT" w:eastAsia="x-none"/>
        </w:rPr>
        <w:t>rugpjūčio</w:t>
      </w:r>
      <w:r w:rsidR="008A5065" w:rsidRPr="008A5D56">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31</w:t>
      </w:r>
      <w:r w:rsidR="008A5065" w:rsidRPr="008A5D56">
        <w:rPr>
          <w:rFonts w:ascii="Times New Roman" w:eastAsia="Times New Roman" w:hAnsi="Times New Roman" w:cs="Times New Roman"/>
          <w:lang w:val="lt-LT" w:eastAsia="x-none"/>
        </w:rPr>
        <w:t xml:space="preserve"> d.</w:t>
      </w:r>
    </w:p>
    <w:p w14:paraId="39BBF540" w14:textId="77777777" w:rsidR="00C26C66" w:rsidRPr="002B00E3" w:rsidRDefault="00C26C66" w:rsidP="002B00E3">
      <w:pPr>
        <w:tabs>
          <w:tab w:val="left" w:pos="5954"/>
          <w:tab w:val="left" w:pos="6237"/>
          <w:tab w:val="left" w:pos="6663"/>
          <w:tab w:val="left" w:pos="6946"/>
        </w:tabs>
        <w:spacing w:after="0" w:line="240" w:lineRule="auto"/>
        <w:contextualSpacing/>
        <w:rPr>
          <w:rFonts w:ascii="Times New Roman" w:eastAsia="SimSun" w:hAnsi="Times New Roman" w:cs="Times New Roman"/>
          <w:lang w:val="lt-LT"/>
        </w:rPr>
      </w:pPr>
    </w:p>
    <w:p w14:paraId="0EB08CEC" w14:textId="77777777" w:rsidR="002B00E3" w:rsidRPr="002B00E3" w:rsidRDefault="002B00E3" w:rsidP="002B00E3">
      <w:pPr>
        <w:tabs>
          <w:tab w:val="left" w:pos="5954"/>
          <w:tab w:val="left" w:pos="6237"/>
          <w:tab w:val="left" w:pos="6663"/>
          <w:tab w:val="left" w:pos="6946"/>
        </w:tabs>
        <w:spacing w:after="0" w:line="240" w:lineRule="auto"/>
        <w:contextualSpacing/>
        <w:rPr>
          <w:rFonts w:ascii="Times New Roman" w:eastAsia="SimSun" w:hAnsi="Times New Roman" w:cs="Times New Roman"/>
          <w:lang w:val="lt-LT"/>
        </w:rPr>
      </w:pPr>
      <w:r w:rsidRPr="002B00E3">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2B00E3">
        <w:rPr>
          <w:rFonts w:ascii="Times New Roman" w:eastAsia="SimSun" w:hAnsi="Times New Roman" w:cs="Times New Roman"/>
          <w:i/>
          <w:lang w:val="lt-LT"/>
        </w:rPr>
        <w:t xml:space="preserve"> </w:t>
      </w:r>
      <w:hyperlink r:id="rId12" w:history="1">
        <w:r w:rsidRPr="002B00E3">
          <w:rPr>
            <w:rFonts w:ascii="Times New Roman" w:eastAsia="SimSun" w:hAnsi="Times New Roman" w:cs="Times New Roman"/>
            <w:color w:val="0000FF"/>
            <w:u w:val="single"/>
            <w:lang w:val="lt-LT"/>
          </w:rPr>
          <w:t>http://www.vvkt.lt</w:t>
        </w:r>
      </w:hyperlink>
    </w:p>
    <w:p w14:paraId="261AFDE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r w:rsidRPr="002B00E3">
        <w:rPr>
          <w:rFonts w:ascii="Times New Roman" w:eastAsia="Times New Roman" w:hAnsi="Times New Roman" w:cs="Times New Roman"/>
          <w:bCs/>
          <w:lang w:val="lt-LT" w:eastAsia="x-none"/>
        </w:rPr>
        <w:br w:type="page"/>
      </w:r>
    </w:p>
    <w:p w14:paraId="748C0572"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3AB9E7E4"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901EAE0"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99C4D12"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C458021"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15174F7"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D00EEAF"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7D1B04D"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265563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4A92019"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74127B1"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699C6526"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2FE15752"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72DFA992"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09793C81"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0B12DB16"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6D6B93A3"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530BBA57"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03F88BA1"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711141CE"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3E165D05"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p>
    <w:p w14:paraId="7AFB52EB"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6A8F3DD"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II PRIEDAS</w:t>
      </w:r>
    </w:p>
    <w:p w14:paraId="6AA02DBD"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
          <w:bCs/>
          <w:lang w:val="lt-LT" w:eastAsia="x-none"/>
        </w:rPr>
      </w:pPr>
    </w:p>
    <w:p w14:paraId="1E079E4E" w14:textId="67BAC040"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REGISTRACIJOS</w:t>
      </w:r>
      <w:r w:rsidRPr="002B00E3">
        <w:rPr>
          <w:rFonts w:ascii="Times New Roman" w:eastAsia="Times New Roman" w:hAnsi="Times New Roman" w:cs="Times New Roman"/>
          <w:b/>
          <w:bCs/>
          <w:lang w:val="lt-LT" w:eastAsia="x-none"/>
        </w:rPr>
        <w:t xml:space="preserve"> SĄLYGOS</w:t>
      </w:r>
    </w:p>
    <w:p w14:paraId="2550C65E"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6D6C82F" w14:textId="77777777" w:rsidR="002B00E3" w:rsidRPr="002B00E3" w:rsidRDefault="002B00E3" w:rsidP="002B00E3">
      <w:pPr>
        <w:tabs>
          <w:tab w:val="left" w:pos="567"/>
        </w:tabs>
        <w:spacing w:after="0" w:line="240" w:lineRule="auto"/>
        <w:ind w:left="1701" w:right="1418" w:hanging="709"/>
        <w:contextualSpacing/>
        <w:outlineLvl w:val="0"/>
        <w:rPr>
          <w:rFonts w:ascii="Times New Roman" w:eastAsia="Calibri" w:hAnsi="Times New Roman" w:cs="Times New Roman"/>
          <w:b/>
          <w:lang w:val="lt-LT" w:eastAsia="x-none"/>
        </w:rPr>
      </w:pPr>
      <w:r w:rsidRPr="002B00E3">
        <w:rPr>
          <w:rFonts w:ascii="Times New Roman" w:eastAsia="Calibri" w:hAnsi="Times New Roman" w:cs="Times New Roman"/>
          <w:b/>
          <w:lang w:val="lt-LT" w:eastAsia="x-none"/>
        </w:rPr>
        <w:t xml:space="preserve">A. </w:t>
      </w:r>
      <w:r w:rsidRPr="002B00E3">
        <w:rPr>
          <w:rFonts w:ascii="Times New Roman" w:eastAsia="Calibri" w:hAnsi="Times New Roman" w:cs="Times New Roman"/>
          <w:b/>
          <w:lang w:val="lt-LT" w:eastAsia="x-none"/>
        </w:rPr>
        <w:tab/>
        <w:t>GAMINTOJAI, ATSAKINGI UŽ SERIJŲ IŠLEIDIMĄ</w:t>
      </w:r>
    </w:p>
    <w:p w14:paraId="18CA8A38" w14:textId="77777777" w:rsidR="002B00E3" w:rsidRPr="002B00E3" w:rsidRDefault="002B00E3" w:rsidP="002B00E3">
      <w:pPr>
        <w:tabs>
          <w:tab w:val="left" w:pos="567"/>
        </w:tabs>
        <w:spacing w:after="0" w:line="240" w:lineRule="auto"/>
        <w:ind w:left="1701" w:right="1418" w:hanging="709"/>
        <w:contextualSpacing/>
        <w:rPr>
          <w:rFonts w:ascii="Times New Roman" w:eastAsia="Times New Roman" w:hAnsi="Times New Roman" w:cs="Times New Roman"/>
          <w:b/>
          <w:lang w:val="lt-LT" w:eastAsia="x-none"/>
        </w:rPr>
      </w:pPr>
    </w:p>
    <w:p w14:paraId="2D254356" w14:textId="77777777" w:rsidR="002B00E3" w:rsidRPr="002B00E3" w:rsidRDefault="002B00E3" w:rsidP="002B00E3">
      <w:pPr>
        <w:suppressLineNumbers/>
        <w:spacing w:after="0" w:line="240" w:lineRule="auto"/>
        <w:ind w:left="1701" w:right="1418" w:hanging="709"/>
        <w:contextualSpacing/>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 xml:space="preserve">B. </w:t>
      </w:r>
      <w:r w:rsidRPr="002B00E3">
        <w:rPr>
          <w:rFonts w:ascii="Times New Roman" w:eastAsia="Times New Roman" w:hAnsi="Times New Roman" w:cs="Times New Roman"/>
          <w:b/>
          <w:bCs/>
          <w:lang w:val="lt-LT"/>
        </w:rPr>
        <w:tab/>
        <w:t>TIEKIMO IR VARTOJIMO SĄLYGOS AR APRIBOJIMAI</w:t>
      </w:r>
    </w:p>
    <w:p w14:paraId="09950E8A"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lang w:val="lt-LT" w:eastAsia="x-none"/>
        </w:rPr>
        <w:br w:type="page"/>
      </w:r>
      <w:r w:rsidRPr="002B00E3">
        <w:rPr>
          <w:rFonts w:ascii="Times New Roman" w:eastAsia="Times New Roman" w:hAnsi="Times New Roman" w:cs="Times New Roman"/>
          <w:b/>
          <w:lang w:val="lt-LT" w:eastAsia="x-none"/>
        </w:rPr>
        <w:lastRenderedPageBreak/>
        <w:t xml:space="preserve">A. </w:t>
      </w:r>
      <w:r w:rsidRPr="002B00E3">
        <w:rPr>
          <w:rFonts w:ascii="Times New Roman" w:eastAsia="Times New Roman" w:hAnsi="Times New Roman" w:cs="Times New Roman"/>
          <w:b/>
          <w:lang w:val="lt-LT" w:eastAsia="x-none"/>
        </w:rPr>
        <w:tab/>
        <w:t>GAMINTOJAI, ATSAKINGI UŽ SERIJŲ IŠLEIDIMĄ</w:t>
      </w:r>
    </w:p>
    <w:p w14:paraId="365B84DF" w14:textId="77777777" w:rsidR="002B00E3" w:rsidRPr="002B00E3" w:rsidRDefault="002B00E3" w:rsidP="002B00E3">
      <w:pPr>
        <w:spacing w:after="0" w:line="240" w:lineRule="auto"/>
        <w:contextualSpacing/>
        <w:rPr>
          <w:rFonts w:ascii="Times New Roman" w:eastAsia="Times New Roman" w:hAnsi="Times New Roman" w:cs="Times New Roman"/>
          <w:u w:val="single"/>
          <w:lang w:val="lt-LT"/>
        </w:rPr>
      </w:pPr>
    </w:p>
    <w:p w14:paraId="70053673" w14:textId="77777777" w:rsidR="002B00E3" w:rsidRPr="002B00E3" w:rsidRDefault="002B00E3" w:rsidP="002B00E3">
      <w:pPr>
        <w:spacing w:after="0" w:line="240" w:lineRule="auto"/>
        <w:contextualSpacing/>
        <w:outlineLvl w:val="0"/>
        <w:rPr>
          <w:rFonts w:ascii="Times New Roman" w:eastAsia="Times New Roman" w:hAnsi="Times New Roman" w:cs="Times New Roman"/>
          <w:u w:val="single"/>
          <w:lang w:val="lt-LT"/>
        </w:rPr>
      </w:pPr>
      <w:r w:rsidRPr="002B00E3">
        <w:rPr>
          <w:rFonts w:ascii="Times New Roman" w:eastAsia="Times New Roman" w:hAnsi="Times New Roman" w:cs="Times New Roman"/>
          <w:u w:val="single"/>
          <w:lang w:val="lt-LT"/>
        </w:rPr>
        <w:t xml:space="preserve">Gamintojų, atsakingų už serijų išleidimą, pavadinimai ir adresai </w:t>
      </w:r>
    </w:p>
    <w:p w14:paraId="1306D90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35EA739" w14:textId="77777777" w:rsidR="000A0DB1" w:rsidRDefault="000A0DB1" w:rsidP="000A0DB1">
      <w:pPr>
        <w:spacing w:after="0" w:line="240" w:lineRule="auto"/>
        <w:contextualSpacing/>
        <w:outlineLvl w:val="0"/>
        <w:rPr>
          <w:rFonts w:ascii="Times New Roman" w:eastAsia="Times New Roman" w:hAnsi="Times New Roman" w:cs="Times New Roman"/>
          <w:lang w:val="lt-LT" w:eastAsia="x-none"/>
        </w:rPr>
      </w:pPr>
      <w:bookmarkStart w:id="0" w:name="_GoBack"/>
      <w:r>
        <w:rPr>
          <w:rFonts w:ascii="Times New Roman" w:eastAsia="Times New Roman" w:hAnsi="Times New Roman" w:cs="Times New Roman"/>
          <w:lang w:val="lt-LT" w:eastAsia="x-none"/>
        </w:rPr>
        <w:t>AstraZeneca AB</w:t>
      </w:r>
    </w:p>
    <w:p w14:paraId="6141ED27" w14:textId="77777777" w:rsidR="000A0DB1" w:rsidRDefault="000A0DB1" w:rsidP="000A0DB1">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Gärtunavägen </w:t>
      </w:r>
    </w:p>
    <w:p w14:paraId="3933DAE4" w14:textId="26441DF8" w:rsidR="000A0DB1" w:rsidRDefault="000A0DB1" w:rsidP="000A0DB1">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SE-15</w:t>
      </w:r>
      <w:r w:rsidR="009827D5">
        <w:rPr>
          <w:rFonts w:ascii="Times New Roman" w:eastAsia="Times New Roman" w:hAnsi="Times New Roman" w:cs="Times New Roman"/>
          <w:lang w:val="lt-LT" w:eastAsia="x-none"/>
        </w:rPr>
        <w:t>2 57</w:t>
      </w:r>
      <w:r>
        <w:rPr>
          <w:rFonts w:ascii="Times New Roman" w:eastAsia="Times New Roman" w:hAnsi="Times New Roman" w:cs="Times New Roman"/>
          <w:lang w:val="lt-LT" w:eastAsia="x-none"/>
        </w:rPr>
        <w:t xml:space="preserve"> Södertälje, Švedija</w:t>
      </w:r>
    </w:p>
    <w:p w14:paraId="156141FC" w14:textId="77777777" w:rsidR="000A0DB1" w:rsidRDefault="000A0DB1" w:rsidP="000A0DB1">
      <w:pPr>
        <w:spacing w:after="0" w:line="240" w:lineRule="auto"/>
        <w:contextualSpacing/>
        <w:rPr>
          <w:rFonts w:ascii="Times New Roman" w:eastAsia="Times New Roman" w:hAnsi="Times New Roman" w:cs="Times New Roman"/>
          <w:iCs/>
          <w:lang w:val="lt-LT"/>
        </w:rPr>
      </w:pPr>
    </w:p>
    <w:p w14:paraId="4F2D1C44"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Savio Industrial S.r.l.</w:t>
      </w:r>
    </w:p>
    <w:p w14:paraId="10A22DA1"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Via Emilia, 21</w:t>
      </w:r>
    </w:p>
    <w:p w14:paraId="38BD338F"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27100 Pavia</w:t>
      </w:r>
    </w:p>
    <w:p w14:paraId="4D6FC605" w14:textId="77777777" w:rsidR="000A0DB1" w:rsidRDefault="000A0DB1" w:rsidP="000A0DB1">
      <w:pPr>
        <w:spacing w:after="0" w:line="240" w:lineRule="auto"/>
        <w:contextualSpacing/>
        <w:rPr>
          <w:rFonts w:ascii="Times New Roman" w:eastAsia="Times New Roman" w:hAnsi="Times New Roman" w:cs="Times New Roman"/>
          <w:bCs/>
          <w:lang w:val="lt-LT"/>
        </w:rPr>
      </w:pPr>
      <w:r w:rsidRPr="00CD45C9">
        <w:rPr>
          <w:rFonts w:ascii="Times New Roman" w:eastAsia="Times New Roman" w:hAnsi="Times New Roman" w:cs="Times New Roman"/>
          <w:bCs/>
          <w:highlight w:val="lightGray"/>
          <w:lang w:val="lt-LT"/>
        </w:rPr>
        <w:t>Italija</w:t>
      </w:r>
    </w:p>
    <w:p w14:paraId="540C9C2F" w14:textId="77777777" w:rsidR="000A0DB1" w:rsidRDefault="000A0DB1" w:rsidP="000A0DB1">
      <w:pPr>
        <w:spacing w:after="0" w:line="240" w:lineRule="auto"/>
        <w:contextualSpacing/>
        <w:rPr>
          <w:rFonts w:ascii="Times New Roman" w:eastAsia="Times New Roman" w:hAnsi="Times New Roman" w:cs="Times New Roman"/>
          <w:lang w:val="lt-LT" w:eastAsia="x-none"/>
        </w:rPr>
      </w:pPr>
    </w:p>
    <w:p w14:paraId="75F3E386" w14:textId="77777777" w:rsidR="001201F3" w:rsidRPr="00503889" w:rsidRDefault="001201F3" w:rsidP="001201F3">
      <w:pPr>
        <w:spacing w:after="0" w:line="240" w:lineRule="auto"/>
        <w:contextualSpacing/>
        <w:rPr>
          <w:rFonts w:ascii="Times New Roman" w:eastAsia="Times New Roman" w:hAnsi="Times New Roman" w:cs="Times New Roman"/>
          <w:highlight w:val="lightGray"/>
          <w:lang w:val="lt-LT" w:eastAsia="x-none"/>
        </w:rPr>
      </w:pPr>
      <w:r w:rsidRPr="00503889">
        <w:rPr>
          <w:rFonts w:ascii="Times New Roman" w:eastAsia="Times New Roman" w:hAnsi="Times New Roman" w:cs="Times New Roman"/>
          <w:highlight w:val="lightGray"/>
          <w:lang w:val="lt-LT" w:eastAsia="x-none"/>
        </w:rPr>
        <w:t>Recordati Industria Chimica e Farmaceutica S.p.A.</w:t>
      </w:r>
    </w:p>
    <w:p w14:paraId="286C8ECE" w14:textId="77777777" w:rsidR="001201F3" w:rsidRPr="00503889" w:rsidRDefault="001201F3" w:rsidP="001201F3">
      <w:pPr>
        <w:spacing w:after="0" w:line="240" w:lineRule="auto"/>
        <w:contextualSpacing/>
        <w:rPr>
          <w:rFonts w:ascii="Times New Roman" w:eastAsia="Times New Roman" w:hAnsi="Times New Roman" w:cs="Times New Roman"/>
          <w:highlight w:val="lightGray"/>
          <w:lang w:val="lt-LT" w:eastAsia="x-none"/>
        </w:rPr>
      </w:pPr>
      <w:r w:rsidRPr="00503889">
        <w:rPr>
          <w:rFonts w:ascii="Times New Roman" w:eastAsia="Times New Roman" w:hAnsi="Times New Roman" w:cs="Times New Roman"/>
          <w:highlight w:val="lightGray"/>
          <w:lang w:val="lt-LT" w:eastAsia="x-none"/>
        </w:rPr>
        <w:t xml:space="preserve">Via Matteo Civitali, 1 </w:t>
      </w:r>
    </w:p>
    <w:p w14:paraId="67AF49E1" w14:textId="77777777" w:rsidR="001201F3" w:rsidRPr="00503889" w:rsidRDefault="001201F3" w:rsidP="001201F3">
      <w:pPr>
        <w:spacing w:after="0" w:line="240" w:lineRule="auto"/>
        <w:contextualSpacing/>
        <w:rPr>
          <w:rFonts w:ascii="Times New Roman" w:eastAsia="Times New Roman" w:hAnsi="Times New Roman" w:cs="Times New Roman"/>
          <w:highlight w:val="lightGray"/>
          <w:lang w:val="lt-LT" w:eastAsia="x-none"/>
        </w:rPr>
      </w:pPr>
      <w:r w:rsidRPr="00503889">
        <w:rPr>
          <w:rFonts w:ascii="Times New Roman" w:eastAsia="Times New Roman" w:hAnsi="Times New Roman" w:cs="Times New Roman"/>
          <w:highlight w:val="lightGray"/>
          <w:lang w:val="lt-LT" w:eastAsia="x-none"/>
        </w:rPr>
        <w:t>20148 Milano</w:t>
      </w:r>
    </w:p>
    <w:p w14:paraId="4AB21CCC" w14:textId="77777777" w:rsidR="001201F3" w:rsidRDefault="001201F3" w:rsidP="001201F3">
      <w:pPr>
        <w:spacing w:after="0" w:line="240" w:lineRule="auto"/>
        <w:contextualSpacing/>
        <w:rPr>
          <w:rFonts w:ascii="Times New Roman" w:eastAsia="Times New Roman" w:hAnsi="Times New Roman" w:cs="Times New Roman"/>
          <w:lang w:val="lt-LT" w:eastAsia="x-none"/>
        </w:rPr>
      </w:pPr>
      <w:r w:rsidRPr="00503889">
        <w:rPr>
          <w:rFonts w:ascii="Times New Roman" w:eastAsia="Times New Roman" w:hAnsi="Times New Roman" w:cs="Times New Roman"/>
          <w:highlight w:val="lightGray"/>
          <w:lang w:val="lt-LT" w:eastAsia="x-none"/>
        </w:rPr>
        <w:t>Italija</w:t>
      </w:r>
    </w:p>
    <w:p w14:paraId="241F695E" w14:textId="61E06BCA" w:rsidR="000A0DB1" w:rsidRDefault="000A0DB1" w:rsidP="000A0DB1">
      <w:pPr>
        <w:spacing w:after="0" w:line="240" w:lineRule="auto"/>
        <w:contextualSpacing/>
        <w:rPr>
          <w:rFonts w:ascii="Times New Roman" w:eastAsia="Times New Roman" w:hAnsi="Times New Roman" w:cs="Times New Roman"/>
          <w:bCs/>
          <w:lang w:val="lt-LT"/>
        </w:rPr>
      </w:pPr>
    </w:p>
    <w:p w14:paraId="641A0FF7" w14:textId="77777777" w:rsidR="000A0DB1" w:rsidRDefault="000A0DB1" w:rsidP="000A0DB1">
      <w:pPr>
        <w:spacing w:after="0" w:line="240" w:lineRule="auto"/>
        <w:contextualSpacing/>
        <w:outlineLvl w:val="0"/>
        <w:rPr>
          <w:rFonts w:ascii="Times New Roman" w:eastAsia="Times New Roman" w:hAnsi="Times New Roman" w:cs="Times New Roman"/>
          <w:bCs/>
          <w:u w:val="single"/>
          <w:lang w:val="lt-LT"/>
        </w:rPr>
      </w:pPr>
      <w:r>
        <w:rPr>
          <w:rFonts w:ascii="Times New Roman" w:eastAsia="Times New Roman" w:hAnsi="Times New Roman" w:cs="Times New Roman"/>
          <w:bCs/>
          <w:u w:val="single"/>
          <w:lang w:val="lt-LT"/>
        </w:rPr>
        <w:t>Tik Betaloc ZOK 47,5 mg ir 95 mg pailginto atpalaidavimo tabletėms</w:t>
      </w:r>
    </w:p>
    <w:p w14:paraId="56E3683F"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p>
    <w:p w14:paraId="6D2319D7"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Casen Recordati, S.L.</w:t>
      </w:r>
    </w:p>
    <w:p w14:paraId="76A34EF4"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 xml:space="preserve">Autovía de Logroño, km. 13,300, </w:t>
      </w:r>
    </w:p>
    <w:p w14:paraId="7218DE99"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50180 Utebo (Zaragoza)</w:t>
      </w:r>
    </w:p>
    <w:p w14:paraId="3F208C71"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Ispanija</w:t>
      </w:r>
    </w:p>
    <w:bookmarkEnd w:id="0"/>
    <w:p w14:paraId="5EB8A470"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p>
    <w:p w14:paraId="6C895146"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lang w:val="lt-LT" w:eastAsia="x-none"/>
        </w:rPr>
        <w:t>Su pakuote pateikiamame lapelyje nurodomas gamintojo, atsakingo už konkrečios serijos išleidimą, pavadinimas ir adresas</w:t>
      </w:r>
    </w:p>
    <w:p w14:paraId="42295D2F"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7E8B987"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62247A2"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B. </w:t>
      </w:r>
      <w:r w:rsidRPr="002B00E3">
        <w:rPr>
          <w:rFonts w:ascii="Times New Roman" w:eastAsia="Times New Roman" w:hAnsi="Times New Roman" w:cs="Times New Roman"/>
          <w:b/>
          <w:lang w:val="lt-LT" w:eastAsia="x-none"/>
        </w:rPr>
        <w:tab/>
        <w:t xml:space="preserve">TIEKIMO IR VARTOJIMO SĄLYGOS AR APRIBOJIMAI </w:t>
      </w:r>
    </w:p>
    <w:p w14:paraId="2C22F8A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4AA0099" w14:textId="3B18FF56"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Receptinis vaistinis preparatas</w:t>
      </w:r>
      <w:r>
        <w:rPr>
          <w:rFonts w:ascii="Times New Roman" w:eastAsia="Times New Roman" w:hAnsi="Times New Roman" w:cs="Times New Roman"/>
          <w:lang w:val="lt-LT" w:eastAsia="x-none"/>
        </w:rPr>
        <w:t>.</w:t>
      </w:r>
    </w:p>
    <w:p w14:paraId="18E5D6EF"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4735123"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6FC7C0A"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F2F5AAE" w14:textId="34B2FF5E"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r w:rsidRPr="002B00E3">
        <w:rPr>
          <w:rFonts w:ascii="Times New Roman" w:eastAsia="Times New Roman" w:hAnsi="Times New Roman" w:cs="Times New Roman"/>
          <w:bCs/>
          <w:lang w:val="lt-LT" w:eastAsia="x-none"/>
        </w:rPr>
        <w:br w:type="page"/>
      </w:r>
    </w:p>
    <w:p w14:paraId="06B6B741"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lang w:val="lt-LT" w:eastAsia="x-none"/>
        </w:rPr>
      </w:pPr>
    </w:p>
    <w:p w14:paraId="2AA0FDC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D346181"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D8D8421"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912BFFB"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F5BB96D"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CE5821B"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BBD3B3A"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595C57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DC50BD9"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B643E80"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FBE96F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3DB20268"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1131B9B"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0517029F"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ECC443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5D628DA8"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28E15A6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6855B1E6"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3A96C342"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44CD9AB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EB5FD62"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
          <w:bCs/>
          <w:lang w:val="lt-LT" w:eastAsia="x-none"/>
        </w:rPr>
      </w:pPr>
    </w:p>
    <w:p w14:paraId="46C65F55"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III PRIEDAS</w:t>
      </w:r>
    </w:p>
    <w:p w14:paraId="43442BB3"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
          <w:bCs/>
          <w:lang w:val="lt-LT" w:eastAsia="x-none"/>
        </w:rPr>
      </w:pPr>
    </w:p>
    <w:p w14:paraId="294D5A7B"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lang w:val="lt-LT" w:eastAsia="x-none"/>
        </w:rPr>
        <w:t>ŽENKLINIMAS IR PAKUOTĖS LAPELIS</w:t>
      </w:r>
      <w:r w:rsidRPr="002B00E3">
        <w:rPr>
          <w:rFonts w:ascii="Times New Roman" w:eastAsia="Times New Roman" w:hAnsi="Times New Roman" w:cs="Times New Roman"/>
          <w:b/>
          <w:bCs/>
          <w:lang w:val="lt-LT" w:eastAsia="x-none"/>
        </w:rPr>
        <w:t xml:space="preserve"> </w:t>
      </w:r>
    </w:p>
    <w:p w14:paraId="1794DC1B" w14:textId="77777777" w:rsidR="002B00E3" w:rsidRPr="002B00E3" w:rsidRDefault="002B00E3" w:rsidP="002B00E3">
      <w:pPr>
        <w:spacing w:after="0" w:line="240" w:lineRule="auto"/>
        <w:ind w:right="261"/>
        <w:contextualSpacing/>
        <w:jc w:val="center"/>
        <w:rPr>
          <w:rFonts w:ascii="Times New Roman" w:eastAsia="Times New Roman" w:hAnsi="Times New Roman" w:cs="Times New Roman"/>
          <w:bCs/>
          <w:lang w:val="lt-LT" w:eastAsia="x-none"/>
        </w:rPr>
      </w:pPr>
      <w:r w:rsidRPr="002B00E3">
        <w:rPr>
          <w:rFonts w:ascii="Times New Roman" w:eastAsia="Times New Roman" w:hAnsi="Times New Roman" w:cs="Times New Roman"/>
          <w:b/>
          <w:bCs/>
          <w:lang w:val="lt-LT" w:eastAsia="x-none"/>
        </w:rPr>
        <w:br w:type="page"/>
      </w:r>
    </w:p>
    <w:p w14:paraId="44CCACDC"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B103E79"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39399DE5"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726B306E" w14:textId="77777777" w:rsidR="002B00E3" w:rsidRPr="002B00E3" w:rsidRDefault="002B00E3" w:rsidP="002B00E3">
      <w:pPr>
        <w:spacing w:after="0" w:line="240" w:lineRule="auto"/>
        <w:ind w:right="261"/>
        <w:contextualSpacing/>
        <w:rPr>
          <w:rFonts w:ascii="Times New Roman" w:eastAsia="Times New Roman" w:hAnsi="Times New Roman" w:cs="Times New Roman"/>
          <w:bCs/>
          <w:lang w:val="lt-LT" w:eastAsia="x-none"/>
        </w:rPr>
      </w:pPr>
    </w:p>
    <w:p w14:paraId="152DEECA"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1E2E748E"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773A35C3"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0F2D734D"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5DAD1561"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541A2438"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09EC6D76"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4E2FF7AC"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213D56FB"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493E9853"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01668A63"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55D7B076"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4E99770F"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707957BB"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7A27A69A"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5E2F63F2"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5B1A1A72"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137577F6"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p>
    <w:p w14:paraId="1C87C51A" w14:textId="77777777" w:rsidR="002B00E3" w:rsidRPr="002B00E3" w:rsidRDefault="002B00E3" w:rsidP="002B00E3">
      <w:pPr>
        <w:numPr>
          <w:ilvl w:val="0"/>
          <w:numId w:val="4"/>
        </w:numPr>
        <w:spacing w:after="0" w:line="240" w:lineRule="auto"/>
        <w:contextualSpacing/>
        <w:jc w:val="center"/>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ŽENKLINIMAS</w:t>
      </w:r>
    </w:p>
    <w:p w14:paraId="1FA13AC8" w14:textId="77777777" w:rsidR="002B00E3" w:rsidRPr="002B00E3" w:rsidRDefault="002B00E3" w:rsidP="002B00E3">
      <w:pPr>
        <w:spacing w:after="0" w:line="240" w:lineRule="auto"/>
        <w:contextualSpacing/>
        <w:outlineLvl w:val="1"/>
        <w:rPr>
          <w:rFonts w:ascii="Times New Roman" w:eastAsia="Times New Roman" w:hAnsi="Times New Roman" w:cs="Times New Roman"/>
          <w:bCs/>
          <w:i/>
          <w:lang w:val="lt-LT" w:eastAsia="x-none"/>
        </w:rPr>
      </w:pPr>
      <w:r w:rsidRPr="002B00E3">
        <w:rPr>
          <w:rFonts w:ascii="Times New Roman" w:eastAsia="Times New Roman" w:hAnsi="Times New Roman" w:cs="Times New Roman"/>
          <w:bCs/>
          <w:i/>
          <w:lang w:val="lt-LT" w:eastAsia="x-none"/>
        </w:rPr>
        <w:br w:type="page"/>
      </w:r>
    </w:p>
    <w:p w14:paraId="0758D750" w14:textId="77777777" w:rsidR="002B00E3" w:rsidRPr="002B00E3" w:rsidRDefault="002B00E3" w:rsidP="002B00E3">
      <w:pPr>
        <w:spacing w:after="0" w:line="240" w:lineRule="auto"/>
        <w:contextualSpacing/>
        <w:outlineLvl w:val="1"/>
        <w:rPr>
          <w:rFonts w:ascii="Times New Roman" w:eastAsia="Times New Roman" w:hAnsi="Times New Roman" w:cs="Times New Roman"/>
          <w:bCs/>
          <w:i/>
          <w:lang w:val="lt-LT" w:eastAsia="x-none"/>
        </w:rPr>
      </w:pPr>
    </w:p>
    <w:p w14:paraId="7648C491"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INFORMACIJA ANT IŠORINĖS PAKUOTĖS</w:t>
      </w:r>
    </w:p>
    <w:p w14:paraId="60A9EAD5"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bCs/>
          <w:lang w:val="lt-LT"/>
        </w:rPr>
      </w:pPr>
    </w:p>
    <w:p w14:paraId="71A2C677"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DĖŽUTĖ N14 IR N28 (23,75 mg)</w:t>
      </w:r>
    </w:p>
    <w:p w14:paraId="0CA4C25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7BF2CF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VAISTINIO</w:t>
      </w:r>
      <w:r w:rsidRPr="002B00E3">
        <w:rPr>
          <w:rFonts w:ascii="Times New Roman" w:eastAsia="Times New Roman" w:hAnsi="Times New Roman" w:cs="Times New Roman"/>
          <w:b/>
          <w:bCs/>
          <w:lang w:val="lt-LT"/>
        </w:rPr>
        <w:t xml:space="preserve"> PREPARATO PAVADINIMAS</w:t>
      </w:r>
    </w:p>
    <w:p w14:paraId="6C2BBDAA"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p>
    <w:p w14:paraId="651811BA"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23,75 mg pailginto atpalaidavimo tabletės</w:t>
      </w:r>
    </w:p>
    <w:p w14:paraId="676CE6DB" w14:textId="77777777" w:rsidR="002B00E3" w:rsidRPr="002B00E3" w:rsidRDefault="002B00E3" w:rsidP="002B00E3">
      <w:pPr>
        <w:spacing w:after="0" w:line="240" w:lineRule="auto"/>
        <w:ind w:left="567" w:hanging="567"/>
        <w:contextualSpacing/>
        <w:outlineLvl w:val="0"/>
        <w:rPr>
          <w:rFonts w:ascii="Times New Roman" w:eastAsia="Times New Roman" w:hAnsi="Times New Roman" w:cs="Times New Roman"/>
          <w:bCs/>
          <w:iCs/>
          <w:lang w:val="lt-LT"/>
        </w:rPr>
      </w:pPr>
      <w:r w:rsidRPr="002B00E3">
        <w:rPr>
          <w:rFonts w:ascii="Times New Roman" w:eastAsia="Times New Roman" w:hAnsi="Times New Roman" w:cs="Times New Roman"/>
          <w:bCs/>
          <w:iCs/>
          <w:lang w:val="lt-LT"/>
        </w:rPr>
        <w:t>Metoprololi succinas</w:t>
      </w:r>
    </w:p>
    <w:p w14:paraId="57E15B0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B6E75A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7A4A4DE"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2.</w:t>
      </w:r>
      <w:r w:rsidRPr="002B00E3">
        <w:rPr>
          <w:rFonts w:ascii="Times New Roman" w:eastAsia="Times New Roman" w:hAnsi="Times New Roman" w:cs="Times New Roman"/>
          <w:b/>
          <w:bCs/>
          <w:lang w:val="lt-LT"/>
        </w:rPr>
        <w:tab/>
        <w:t>VEIKLIOJI (-IOS) MEDŽIAGA (-OS) IR JOS (-Ų) KIEKIS (-IAI)</w:t>
      </w:r>
    </w:p>
    <w:p w14:paraId="6255B5C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D2BB165"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Vienoje pailginto atpalaidavimo tabletėje yra 23,75 metoprololio sukcinato.</w:t>
      </w:r>
    </w:p>
    <w:p w14:paraId="60412D3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F7028F7" w14:textId="77777777" w:rsidR="002B00E3" w:rsidRPr="002B00E3" w:rsidRDefault="002B00E3" w:rsidP="002B00E3">
      <w:pPr>
        <w:spacing w:after="0" w:line="240" w:lineRule="auto"/>
        <w:ind w:firstLine="1304"/>
        <w:contextualSpacing/>
        <w:rPr>
          <w:rFonts w:ascii="Times New Roman" w:eastAsia="Times New Roman" w:hAnsi="Times New Roman" w:cs="Times New Roman"/>
          <w:b/>
          <w:bCs/>
          <w:lang w:val="lt-LT"/>
        </w:rPr>
      </w:pPr>
    </w:p>
    <w:p w14:paraId="4CE055FC"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3.</w:t>
      </w:r>
      <w:r w:rsidRPr="002B00E3">
        <w:rPr>
          <w:rFonts w:ascii="Times New Roman" w:eastAsia="Times New Roman" w:hAnsi="Times New Roman" w:cs="Times New Roman"/>
          <w:b/>
          <w:bCs/>
          <w:lang w:val="lt-LT"/>
        </w:rPr>
        <w:tab/>
        <w:t>PAGALBINIŲ MEDŽIAGŲ SĄRAŠAS</w:t>
      </w:r>
    </w:p>
    <w:p w14:paraId="554F7E9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5B90D3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73E1D48"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4.</w:t>
      </w:r>
      <w:r w:rsidRPr="002B00E3">
        <w:rPr>
          <w:rFonts w:ascii="Times New Roman" w:eastAsia="Times New Roman" w:hAnsi="Times New Roman" w:cs="Times New Roman"/>
          <w:b/>
          <w:bCs/>
          <w:lang w:val="lt-LT"/>
        </w:rPr>
        <w:tab/>
        <w:t>FARMACINĖ FORMA IR KIEKIS PAKUOTĖJE</w:t>
      </w:r>
    </w:p>
    <w:p w14:paraId="74F5FC2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BD6D8A2" w14:textId="77777777" w:rsidR="002B00E3" w:rsidRPr="002B00E3" w:rsidRDefault="002B00E3" w:rsidP="002B00E3">
      <w:pPr>
        <w:spacing w:after="0" w:line="240" w:lineRule="auto"/>
        <w:contextualSpacing/>
        <w:jc w:val="both"/>
        <w:outlineLvl w:val="0"/>
        <w:rPr>
          <w:rFonts w:ascii="Times New Roman" w:eastAsia="Times New Roman" w:hAnsi="Times New Roman" w:cs="Times New Roman"/>
          <w:iCs/>
          <w:lang w:val="lt-LT" w:eastAsia="x-none"/>
        </w:rPr>
      </w:pPr>
      <w:r w:rsidRPr="002B00E3">
        <w:rPr>
          <w:rFonts w:ascii="Times New Roman" w:eastAsia="Times New Roman" w:hAnsi="Times New Roman" w:cs="Times New Roman"/>
          <w:highlight w:val="lightGray"/>
          <w:lang w:val="lt-LT" w:eastAsia="x-none"/>
        </w:rPr>
        <w:t>Pailginto atpalaidavimo tabletė</w:t>
      </w:r>
    </w:p>
    <w:p w14:paraId="1C417387" w14:textId="77777777" w:rsidR="002B00E3" w:rsidRPr="002B00E3" w:rsidRDefault="002B00E3" w:rsidP="002B00E3">
      <w:pPr>
        <w:spacing w:after="0" w:line="240" w:lineRule="auto"/>
        <w:contextualSpacing/>
        <w:jc w:val="both"/>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 xml:space="preserve">14 </w:t>
      </w:r>
      <w:r w:rsidRPr="002B00E3">
        <w:rPr>
          <w:rFonts w:ascii="Times New Roman" w:eastAsia="Times New Roman" w:hAnsi="Times New Roman" w:cs="Times New Roman"/>
          <w:lang w:val="lt-LT" w:eastAsia="x-none"/>
        </w:rPr>
        <w:t xml:space="preserve">pailginto atpalaidavimo </w:t>
      </w:r>
      <w:r w:rsidRPr="002B00E3">
        <w:rPr>
          <w:rFonts w:ascii="Times New Roman" w:eastAsia="Times New Roman" w:hAnsi="Times New Roman" w:cs="Times New Roman"/>
          <w:iCs/>
          <w:lang w:val="lt-LT" w:eastAsia="x-none"/>
        </w:rPr>
        <w:t>tablečių</w:t>
      </w:r>
    </w:p>
    <w:p w14:paraId="15F9D01F" w14:textId="77777777" w:rsidR="002B00E3" w:rsidRPr="002B00E3" w:rsidRDefault="002B00E3" w:rsidP="002B00E3">
      <w:pPr>
        <w:spacing w:after="0" w:line="240" w:lineRule="auto"/>
        <w:contextualSpacing/>
        <w:jc w:val="both"/>
        <w:rPr>
          <w:rFonts w:ascii="Times New Roman" w:eastAsia="Times New Roman" w:hAnsi="Times New Roman" w:cs="Times New Roman"/>
          <w:iCs/>
          <w:lang w:val="lt-LT" w:eastAsia="x-none"/>
        </w:rPr>
      </w:pPr>
      <w:r w:rsidRPr="002B00E3">
        <w:rPr>
          <w:rFonts w:ascii="Times New Roman" w:eastAsia="Times New Roman" w:hAnsi="Times New Roman" w:cs="Times New Roman"/>
          <w:highlight w:val="lightGray"/>
          <w:lang w:val="lt-LT" w:eastAsia="x-none"/>
        </w:rPr>
        <w:t>28 pailginto atpalaidavimo tabletės</w:t>
      </w:r>
    </w:p>
    <w:p w14:paraId="2BB1F31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4C71A7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54FE72E"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w:t>
      </w:r>
      <w:r w:rsidRPr="002B00E3">
        <w:rPr>
          <w:rFonts w:ascii="Times New Roman" w:eastAsia="Times New Roman" w:hAnsi="Times New Roman" w:cs="Times New Roman"/>
          <w:b/>
          <w:bCs/>
          <w:lang w:val="lt-LT"/>
        </w:rPr>
        <w:tab/>
        <w:t>VARTOJIMO METODAS IR BŪDAS (-AI)</w:t>
      </w:r>
    </w:p>
    <w:p w14:paraId="2564AB4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20B74EC"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Vartoti per burną.</w:t>
      </w:r>
    </w:p>
    <w:p w14:paraId="2C914911"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Prieš vartojimą perskaitykite pakuotės lapelį.</w:t>
      </w:r>
    </w:p>
    <w:p w14:paraId="5CACE80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04DCF4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4167B63"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6.</w:t>
      </w:r>
      <w:r w:rsidRPr="002B00E3">
        <w:rPr>
          <w:rFonts w:ascii="Times New Roman" w:eastAsia="Times New Roman" w:hAnsi="Times New Roman" w:cs="Times New Roman"/>
          <w:b/>
          <w:bCs/>
          <w:lang w:val="lt-LT"/>
        </w:rPr>
        <w:tab/>
        <w:t>SPECIALUS ĮSPĖJIMAS, KAD VAISTINĮ PREPARATĄ BŪTINA LAIKYTI VAIKAMS NEPASTEBIMOJE IR NEPASIEKIAMOJE VIETOJE</w:t>
      </w:r>
    </w:p>
    <w:p w14:paraId="1D886AA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5700227"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Laikyti vaikams nepastebimoje ir nepasiekiamoje vietoje.</w:t>
      </w:r>
    </w:p>
    <w:p w14:paraId="050F4D3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711EF8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61FD362"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7.</w:t>
      </w:r>
      <w:r w:rsidRPr="002B00E3">
        <w:rPr>
          <w:rFonts w:ascii="Times New Roman" w:eastAsia="Times New Roman" w:hAnsi="Times New Roman" w:cs="Times New Roman"/>
          <w:b/>
          <w:bCs/>
          <w:lang w:val="lt-LT"/>
        </w:rPr>
        <w:tab/>
        <w:t>KITAS (-I) SPECIALUS (-ŪS) ĮSPĖJIMAS (-AI) (JEI REIKIA)</w:t>
      </w:r>
    </w:p>
    <w:p w14:paraId="4DFD244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36685A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F23005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8.</w:t>
      </w:r>
      <w:r w:rsidRPr="002B00E3">
        <w:rPr>
          <w:rFonts w:ascii="Times New Roman" w:eastAsia="Times New Roman" w:hAnsi="Times New Roman" w:cs="Times New Roman"/>
          <w:b/>
          <w:bCs/>
          <w:lang w:val="lt-LT"/>
        </w:rPr>
        <w:tab/>
        <w:t>TINKAMUMO LAIKAS</w:t>
      </w:r>
    </w:p>
    <w:p w14:paraId="4CCFB4F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75E082C"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Tinka iki {MMMM-mm}</w:t>
      </w:r>
    </w:p>
    <w:p w14:paraId="4D6C72C6"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547BFA42"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33C9822" w14:textId="77777777" w:rsidR="002B00E3" w:rsidRPr="002B00E3" w:rsidRDefault="002B00E3" w:rsidP="002B00E3">
      <w:pPr>
        <w:keepNext/>
        <w:suppressLineNumbers/>
        <w:pBdr>
          <w:top w:val="single" w:sz="4" w:space="0"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9.</w:t>
      </w:r>
      <w:r w:rsidRPr="002B00E3">
        <w:rPr>
          <w:rFonts w:ascii="Times New Roman" w:eastAsia="Times New Roman" w:hAnsi="Times New Roman" w:cs="Times New Roman"/>
          <w:b/>
          <w:bCs/>
          <w:lang w:val="lt-LT"/>
        </w:rPr>
        <w:tab/>
        <w:t>SPECIALIOS LAIKYMO SĄLYGOS</w:t>
      </w:r>
    </w:p>
    <w:p w14:paraId="36A5283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905AED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111930" w14:textId="77777777" w:rsidR="002B00E3" w:rsidRPr="002B00E3" w:rsidRDefault="002B00E3" w:rsidP="00A44C5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10.</w:t>
      </w:r>
      <w:r w:rsidRPr="002B00E3">
        <w:rPr>
          <w:rFonts w:ascii="Times New Roman" w:eastAsia="Times New Roman" w:hAnsi="Times New Roman" w:cs="Times New Roman"/>
          <w:b/>
          <w:bCs/>
          <w:lang w:val="lt-LT"/>
        </w:rPr>
        <w:tab/>
        <w:t>SPECIALIOS ATSARGUMO PRIEMONĖS DĖL NESUVARTOTO VAISTINIO PREPARATO AR JO ATLIEKŲ TVARKYMO (JEI REIKIA)</w:t>
      </w:r>
    </w:p>
    <w:p w14:paraId="2D00315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B7277F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1719EB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registruotojo PAVADINIMAS IR ADRESAS</w:t>
      </w:r>
    </w:p>
    <w:p w14:paraId="2EE1C34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E163D5D"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Recordati Ireland Ltd</w:t>
      </w:r>
    </w:p>
    <w:p w14:paraId="363D146B"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Raheens East, Ringaskiddy,</w:t>
      </w:r>
    </w:p>
    <w:p w14:paraId="60451B9E"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Co. Cork, P43 KD30,</w:t>
      </w:r>
    </w:p>
    <w:p w14:paraId="7ECCDB29" w14:textId="0A96C4F8" w:rsidR="002B00E3" w:rsidRPr="002B00E3" w:rsidRDefault="00AC0CD8" w:rsidP="002B00E3">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Airija</w:t>
      </w:r>
    </w:p>
    <w:p w14:paraId="1400BC7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B4BE65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9D09D21"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12.</w:t>
      </w:r>
      <w:r w:rsidRPr="002B00E3">
        <w:rPr>
          <w:rFonts w:ascii="Times New Roman" w:eastAsia="Times New Roman" w:hAnsi="Times New Roman" w:cs="Times New Roman"/>
          <w:b/>
          <w:bCs/>
          <w:lang w:val="lt-LT"/>
        </w:rPr>
        <w:tab/>
        <w:t xml:space="preserve">REGISTRACIJOS PAŽYMĖJIMO NUMERIS (-IAI) </w:t>
      </w:r>
    </w:p>
    <w:p w14:paraId="4328C8D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EADAF6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N14 – LT/1/96/2252/001</w:t>
      </w:r>
    </w:p>
    <w:p w14:paraId="382DFCD2"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1C33A9">
        <w:rPr>
          <w:rFonts w:ascii="Times New Roman" w:eastAsia="Times New Roman" w:hAnsi="Times New Roman" w:cs="Times New Roman"/>
          <w:highlight w:val="lightGray"/>
          <w:lang w:val="lt-LT"/>
        </w:rPr>
        <w:t>N28 – LT/1/96/2252/002</w:t>
      </w:r>
    </w:p>
    <w:p w14:paraId="5748E34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244C0B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2A2DC3D"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13.</w:t>
      </w:r>
      <w:r w:rsidRPr="002B00E3">
        <w:rPr>
          <w:rFonts w:ascii="Times New Roman" w:eastAsia="Times New Roman" w:hAnsi="Times New Roman" w:cs="Times New Roman"/>
          <w:b/>
          <w:bCs/>
          <w:lang w:val="lt-LT"/>
        </w:rPr>
        <w:tab/>
        <w:t xml:space="preserve">SERIJOS NUMERIS </w:t>
      </w:r>
    </w:p>
    <w:p w14:paraId="7CE7F83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2AFB19"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Serija</w:t>
      </w:r>
    </w:p>
    <w:p w14:paraId="0DEFDE1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628542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43030CF"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14.</w:t>
      </w:r>
      <w:r w:rsidRPr="002B00E3">
        <w:rPr>
          <w:rFonts w:ascii="Times New Roman" w:eastAsia="Times New Roman" w:hAnsi="Times New Roman" w:cs="Times New Roman"/>
          <w:b/>
          <w:bCs/>
          <w:lang w:val="lt-LT"/>
        </w:rPr>
        <w:tab/>
        <w:t>PARDAVIMO (IŠDAVIMO) TVARKA</w:t>
      </w:r>
    </w:p>
    <w:p w14:paraId="17CD3F3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7FF7F98" w14:textId="63C40331"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Receptinis vaist</w:t>
      </w:r>
      <w:r>
        <w:rPr>
          <w:rFonts w:ascii="Times New Roman" w:eastAsia="Times New Roman" w:hAnsi="Times New Roman" w:cs="Times New Roman"/>
          <w:bCs/>
          <w:lang w:val="lt-LT"/>
        </w:rPr>
        <w:t>as</w:t>
      </w:r>
      <w:r w:rsidRPr="002B00E3">
        <w:rPr>
          <w:rFonts w:ascii="Times New Roman" w:eastAsia="Times New Roman" w:hAnsi="Times New Roman" w:cs="Times New Roman"/>
          <w:bCs/>
          <w:lang w:val="lt-LT"/>
        </w:rPr>
        <w:t>.</w:t>
      </w:r>
    </w:p>
    <w:p w14:paraId="5FCEB6C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8477C0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96D5902" w14:textId="77777777" w:rsidR="002B00E3" w:rsidRPr="002B00E3" w:rsidRDefault="002B00E3" w:rsidP="002B00E3">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15.</w:t>
      </w:r>
      <w:r w:rsidRPr="002B00E3">
        <w:rPr>
          <w:rFonts w:ascii="Times New Roman" w:eastAsia="Times New Roman" w:hAnsi="Times New Roman" w:cs="Times New Roman"/>
          <w:b/>
          <w:bCs/>
          <w:lang w:val="lt-LT"/>
        </w:rPr>
        <w:tab/>
        <w:t>VARTOJIMO INSTRUKCIJA</w:t>
      </w:r>
    </w:p>
    <w:p w14:paraId="42FC540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52F7FA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403873" w14:textId="77777777" w:rsidR="002B00E3" w:rsidRPr="002B00E3" w:rsidRDefault="002B00E3" w:rsidP="002B00E3">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color w:val="008000"/>
          <w:lang w:val="lt-LT"/>
        </w:rPr>
      </w:pPr>
      <w:r w:rsidRPr="002B00E3">
        <w:rPr>
          <w:rFonts w:ascii="Times New Roman" w:eastAsia="Times New Roman" w:hAnsi="Times New Roman" w:cs="Times New Roman"/>
          <w:b/>
          <w:bCs/>
          <w:lang w:val="lt-LT"/>
        </w:rPr>
        <w:t>16.</w:t>
      </w:r>
      <w:r w:rsidRPr="002B00E3">
        <w:rPr>
          <w:rFonts w:ascii="Times New Roman" w:eastAsia="Times New Roman" w:hAnsi="Times New Roman" w:cs="Times New Roman"/>
          <w:b/>
          <w:bCs/>
          <w:lang w:val="lt-LT"/>
        </w:rPr>
        <w:tab/>
        <w:t>INFORMACIJA BRAILIO RAŠTU</w:t>
      </w:r>
    </w:p>
    <w:p w14:paraId="3CC2825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D105440"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eastAsia="lt-LT"/>
        </w:rPr>
      </w:pPr>
      <w:r w:rsidRPr="002B00E3">
        <w:rPr>
          <w:rFonts w:ascii="Times New Roman" w:eastAsia="Times New Roman" w:hAnsi="Times New Roman" w:cs="Times New Roman"/>
          <w:bCs/>
          <w:lang w:val="lt-LT" w:eastAsia="lt-LT"/>
        </w:rPr>
        <w:t>Betaloc ZOK 23,75 mg</w:t>
      </w:r>
    </w:p>
    <w:p w14:paraId="467CD7A4"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eastAsia="lt-LT"/>
        </w:rPr>
      </w:pPr>
    </w:p>
    <w:p w14:paraId="3E6997DA"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shd w:val="clear" w:color="auto" w:fill="CCCCCC"/>
          <w:lang w:val="lt-LT"/>
        </w:rPr>
      </w:pPr>
    </w:p>
    <w:p w14:paraId="73F367E6" w14:textId="77777777" w:rsidR="002B00E3" w:rsidRPr="002B00E3" w:rsidRDefault="002B00E3" w:rsidP="002B00E3">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i/>
          <w:lang w:val="lt-LT"/>
        </w:rPr>
      </w:pPr>
      <w:r w:rsidRPr="002B00E3">
        <w:rPr>
          <w:rFonts w:ascii="Times New Roman" w:eastAsia="Times New Roman" w:hAnsi="Times New Roman" w:cs="Times New Roman"/>
          <w:b/>
          <w:lang w:val="lt-LT"/>
        </w:rPr>
        <w:t>17.</w:t>
      </w:r>
      <w:r w:rsidRPr="002B00E3">
        <w:rPr>
          <w:rFonts w:ascii="Times New Roman" w:eastAsia="Times New Roman" w:hAnsi="Times New Roman" w:cs="Times New Roman"/>
          <w:b/>
          <w:lang w:val="lt-LT"/>
        </w:rPr>
        <w:tab/>
        <w:t>UNIKALUS IDENTIFIKATORIUS – 2D BRŪKŠNINIS KODAS</w:t>
      </w:r>
    </w:p>
    <w:p w14:paraId="5BE5DD5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1C6A078A"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shd w:val="clear" w:color="auto" w:fill="CCCCCC"/>
          <w:lang w:val="lt-LT"/>
        </w:rPr>
      </w:pPr>
      <w:r w:rsidRPr="002B00E3">
        <w:rPr>
          <w:rFonts w:ascii="Times New Roman" w:eastAsia="Times New Roman" w:hAnsi="Times New Roman" w:cs="Times New Roman"/>
          <w:highlight w:val="lightGray"/>
          <w:lang w:val="lt-LT"/>
        </w:rPr>
        <w:t>2D brūkšninis kodas su nurodytu unikaliu identifikatoriumi.</w:t>
      </w:r>
    </w:p>
    <w:p w14:paraId="2AAFE8F0"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98814A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348E3AB7" w14:textId="77777777" w:rsidR="002B00E3" w:rsidRPr="002B00E3" w:rsidRDefault="002B00E3" w:rsidP="002B00E3">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i/>
          <w:lang w:val="lt-LT"/>
        </w:rPr>
      </w:pPr>
      <w:r w:rsidRPr="002B00E3">
        <w:rPr>
          <w:rFonts w:ascii="Times New Roman" w:eastAsia="Times New Roman" w:hAnsi="Times New Roman" w:cs="Times New Roman"/>
          <w:b/>
          <w:lang w:val="lt-LT"/>
        </w:rPr>
        <w:t>18.</w:t>
      </w:r>
      <w:r w:rsidRPr="002B00E3">
        <w:rPr>
          <w:rFonts w:ascii="Times New Roman" w:eastAsia="Times New Roman" w:hAnsi="Times New Roman" w:cs="Times New Roman"/>
          <w:b/>
          <w:lang w:val="lt-LT"/>
        </w:rPr>
        <w:tab/>
        <w:t>UNIKALUS IDENTIFIKATORIUS – ŽMONĖMS SUPRANTAMI DUOMENYS</w:t>
      </w:r>
    </w:p>
    <w:p w14:paraId="4F6F60B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7EDE04F9"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color w:val="008000"/>
          <w:lang w:val="lt-LT"/>
        </w:rPr>
      </w:pPr>
      <w:r w:rsidRPr="002B00E3">
        <w:rPr>
          <w:rFonts w:ascii="Times New Roman" w:eastAsia="Times New Roman" w:hAnsi="Times New Roman" w:cs="Times New Roman"/>
          <w:lang w:val="lt-LT"/>
        </w:rPr>
        <w:t>PC:</w:t>
      </w:r>
    </w:p>
    <w:p w14:paraId="2671C303"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SN:</w:t>
      </w:r>
    </w:p>
    <w:p w14:paraId="75531BFC"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lang w:val="lt-LT"/>
        </w:rPr>
      </w:pPr>
      <w:r w:rsidRPr="00A44C50">
        <w:rPr>
          <w:rFonts w:ascii="Times New Roman" w:eastAsia="Times New Roman" w:hAnsi="Times New Roman" w:cs="Times New Roman"/>
          <w:highlight w:val="lightGray"/>
          <w:lang w:val="lt-LT"/>
        </w:rPr>
        <w:t>NN:</w:t>
      </w:r>
    </w:p>
    <w:p w14:paraId="106580D8"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eastAsia="lt-LT"/>
        </w:rPr>
      </w:pPr>
    </w:p>
    <w:p w14:paraId="210CA055"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br w:type="page"/>
      </w:r>
      <w:r w:rsidRPr="002B00E3">
        <w:rPr>
          <w:rFonts w:ascii="Times New Roman" w:eastAsia="Times New Roman" w:hAnsi="Times New Roman" w:cs="Times New Roman"/>
          <w:b/>
          <w:bCs/>
          <w:lang w:val="lt-LT"/>
        </w:rPr>
        <w:lastRenderedPageBreak/>
        <w:t>INFORMACIJA ANT IŠORINĖS PAKUOTĖS</w:t>
      </w:r>
    </w:p>
    <w:p w14:paraId="7C6FA9C1"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bCs/>
          <w:lang w:val="lt-LT"/>
        </w:rPr>
      </w:pPr>
    </w:p>
    <w:p w14:paraId="62D038E3"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BUTELIUKO DĖŽUTĖ N30 ir N90 (47,5 mg ir 95 mg)</w:t>
      </w:r>
    </w:p>
    <w:p w14:paraId="69234C5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A3439FD"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VAISTINIO</w:t>
      </w:r>
      <w:r w:rsidRPr="002B00E3">
        <w:rPr>
          <w:rFonts w:ascii="Times New Roman" w:eastAsia="Times New Roman" w:hAnsi="Times New Roman" w:cs="Times New Roman"/>
          <w:b/>
          <w:bCs/>
          <w:lang w:val="lt-LT"/>
        </w:rPr>
        <w:t xml:space="preserve"> PREPARATO PAVADINIMAS</w:t>
      </w:r>
    </w:p>
    <w:p w14:paraId="10A161F9"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A3856BD"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47,5 mg pailginto atpalaidavimo tabletės</w:t>
      </w:r>
    </w:p>
    <w:p w14:paraId="7E645CDC"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1C33A9">
        <w:rPr>
          <w:rFonts w:ascii="Times New Roman" w:eastAsia="Times New Roman" w:hAnsi="Times New Roman" w:cs="Times New Roman"/>
          <w:highlight w:val="lightGray"/>
          <w:lang w:val="lt-LT" w:eastAsia="x-none"/>
        </w:rPr>
        <w:t>Betaloc ZOK 95 mg pailginto atpalaidavimo tabletės</w:t>
      </w:r>
    </w:p>
    <w:p w14:paraId="6B4B59B5" w14:textId="77777777" w:rsidR="002B00E3" w:rsidRPr="002B00E3" w:rsidRDefault="002B00E3" w:rsidP="002B00E3">
      <w:pPr>
        <w:spacing w:after="0" w:line="240" w:lineRule="auto"/>
        <w:ind w:left="567" w:hanging="567"/>
        <w:contextualSpacing/>
        <w:rPr>
          <w:rFonts w:ascii="Times New Roman" w:eastAsia="Times New Roman" w:hAnsi="Times New Roman" w:cs="Times New Roman"/>
          <w:bCs/>
          <w:iCs/>
          <w:lang w:val="lt-LT"/>
        </w:rPr>
      </w:pPr>
    </w:p>
    <w:p w14:paraId="44BD6346" w14:textId="77777777" w:rsidR="002B00E3" w:rsidRPr="002B00E3" w:rsidRDefault="002B00E3" w:rsidP="002B00E3">
      <w:pPr>
        <w:spacing w:after="0" w:line="240" w:lineRule="auto"/>
        <w:ind w:left="567" w:hanging="567"/>
        <w:contextualSpacing/>
        <w:outlineLvl w:val="0"/>
        <w:rPr>
          <w:rFonts w:ascii="Times New Roman" w:eastAsia="Times New Roman" w:hAnsi="Times New Roman" w:cs="Times New Roman"/>
          <w:bCs/>
          <w:iCs/>
          <w:lang w:val="lt-LT"/>
        </w:rPr>
      </w:pPr>
      <w:r w:rsidRPr="002B00E3">
        <w:rPr>
          <w:rFonts w:ascii="Times New Roman" w:eastAsia="Times New Roman" w:hAnsi="Times New Roman" w:cs="Times New Roman"/>
          <w:bCs/>
          <w:iCs/>
          <w:lang w:val="lt-LT"/>
        </w:rPr>
        <w:t>Metoprololi succinas</w:t>
      </w:r>
    </w:p>
    <w:p w14:paraId="30964B4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0D283E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71B666C"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2.</w:t>
      </w:r>
      <w:r w:rsidRPr="002B00E3">
        <w:rPr>
          <w:rFonts w:ascii="Times New Roman" w:eastAsia="Times New Roman" w:hAnsi="Times New Roman" w:cs="Times New Roman"/>
          <w:b/>
          <w:bCs/>
          <w:lang w:val="lt-LT"/>
        </w:rPr>
        <w:tab/>
        <w:t>VEIKLIOJI (-IOS) MEDŽIAGA (-OS) IR JOS (-Ų) KIEKIS (-IAI)</w:t>
      </w:r>
    </w:p>
    <w:p w14:paraId="713522D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E865146"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Vienoje pailginto atpalaidavimo tabletėje yra 47,5 mg metoprololio sukcinato. </w:t>
      </w:r>
    </w:p>
    <w:p w14:paraId="21E8A2B4"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1C33A9">
        <w:rPr>
          <w:rFonts w:ascii="Times New Roman" w:eastAsia="Times New Roman" w:hAnsi="Times New Roman" w:cs="Times New Roman"/>
          <w:highlight w:val="lightGray"/>
          <w:lang w:val="lt-LT" w:eastAsia="x-none"/>
        </w:rPr>
        <w:t>Vienoje pailginto atpalaidavimo tabletėje yra 95 mg metoprololio sukcinato.</w:t>
      </w:r>
    </w:p>
    <w:p w14:paraId="74B696A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BBF4909" w14:textId="77777777" w:rsidR="002B00E3" w:rsidRPr="002B00E3" w:rsidRDefault="002B00E3" w:rsidP="002B00E3">
      <w:pPr>
        <w:spacing w:after="0" w:line="240" w:lineRule="auto"/>
        <w:ind w:firstLine="1304"/>
        <w:contextualSpacing/>
        <w:rPr>
          <w:rFonts w:ascii="Times New Roman" w:eastAsia="Times New Roman" w:hAnsi="Times New Roman" w:cs="Times New Roman"/>
          <w:b/>
          <w:bCs/>
          <w:lang w:val="lt-LT"/>
        </w:rPr>
      </w:pPr>
    </w:p>
    <w:p w14:paraId="14619E3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3.</w:t>
      </w:r>
      <w:r w:rsidRPr="002B00E3">
        <w:rPr>
          <w:rFonts w:ascii="Times New Roman" w:eastAsia="Times New Roman" w:hAnsi="Times New Roman" w:cs="Times New Roman"/>
          <w:b/>
          <w:bCs/>
          <w:lang w:val="lt-LT"/>
        </w:rPr>
        <w:tab/>
        <w:t>PAGALBINIŲ MEDŽIAGŲ SĄRAŠAS</w:t>
      </w:r>
    </w:p>
    <w:p w14:paraId="7FFE489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933A8B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DDB4E1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14EABC1"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4.</w:t>
      </w:r>
      <w:r w:rsidRPr="002B00E3">
        <w:rPr>
          <w:rFonts w:ascii="Times New Roman" w:eastAsia="Times New Roman" w:hAnsi="Times New Roman" w:cs="Times New Roman"/>
          <w:b/>
          <w:bCs/>
          <w:lang w:val="lt-LT"/>
        </w:rPr>
        <w:tab/>
        <w:t>FARMACINĖ FORMA IR KIEKIS PAKUOTĖJE</w:t>
      </w:r>
    </w:p>
    <w:p w14:paraId="521FF33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EC15DBE" w14:textId="77777777" w:rsidR="002B00E3" w:rsidRPr="002B00E3" w:rsidRDefault="002B00E3" w:rsidP="002B00E3">
      <w:pPr>
        <w:spacing w:after="0" w:line="240" w:lineRule="auto"/>
        <w:contextualSpacing/>
        <w:jc w:val="both"/>
        <w:outlineLvl w:val="0"/>
        <w:rPr>
          <w:rFonts w:ascii="Times New Roman" w:eastAsia="Times New Roman" w:hAnsi="Times New Roman" w:cs="Times New Roman"/>
          <w:iCs/>
          <w:lang w:val="lt-LT" w:eastAsia="x-none"/>
        </w:rPr>
      </w:pPr>
      <w:r w:rsidRPr="002B00E3">
        <w:rPr>
          <w:rFonts w:ascii="Times New Roman" w:eastAsia="Times New Roman" w:hAnsi="Times New Roman" w:cs="Times New Roman"/>
          <w:highlight w:val="lightGray"/>
          <w:lang w:val="lt-LT" w:eastAsia="x-none"/>
        </w:rPr>
        <w:t>Pailginto atpalaidavimo tabletė</w:t>
      </w:r>
    </w:p>
    <w:p w14:paraId="4B360BAD" w14:textId="77777777" w:rsidR="002B00E3" w:rsidRPr="002B00E3" w:rsidRDefault="002B00E3" w:rsidP="002B00E3">
      <w:pPr>
        <w:spacing w:after="0" w:line="240" w:lineRule="auto"/>
        <w:contextualSpacing/>
        <w:jc w:val="both"/>
        <w:rPr>
          <w:rFonts w:ascii="Times New Roman" w:eastAsia="Times New Roman" w:hAnsi="Times New Roman" w:cs="Times New Roman"/>
          <w:iCs/>
          <w:lang w:val="lt-LT" w:eastAsia="x-none"/>
        </w:rPr>
      </w:pPr>
      <w:r w:rsidRPr="002B00E3">
        <w:rPr>
          <w:rFonts w:ascii="Times New Roman" w:eastAsia="Times New Roman" w:hAnsi="Times New Roman" w:cs="Times New Roman"/>
          <w:lang w:val="lt-LT" w:eastAsia="x-none"/>
        </w:rPr>
        <w:t>30</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pailginto atpalaidavimo tablečių</w:t>
      </w:r>
    </w:p>
    <w:p w14:paraId="736ADAE3" w14:textId="77777777" w:rsidR="002B00E3" w:rsidRPr="002B00E3" w:rsidRDefault="002B00E3" w:rsidP="002B00E3">
      <w:pPr>
        <w:spacing w:after="0" w:line="240" w:lineRule="auto"/>
        <w:contextualSpacing/>
        <w:jc w:val="both"/>
        <w:rPr>
          <w:rFonts w:ascii="Times New Roman" w:eastAsia="Times New Roman" w:hAnsi="Times New Roman" w:cs="Times New Roman"/>
          <w:iCs/>
          <w:lang w:val="lt-LT" w:eastAsia="x-none"/>
        </w:rPr>
      </w:pPr>
      <w:r w:rsidRPr="002B00E3">
        <w:rPr>
          <w:rFonts w:ascii="Times New Roman" w:eastAsia="Times New Roman" w:hAnsi="Times New Roman" w:cs="Times New Roman"/>
          <w:iCs/>
          <w:highlight w:val="lightGray"/>
          <w:lang w:val="lt-LT" w:eastAsia="x-none"/>
        </w:rPr>
        <w:t>90 pailginto atpalaidavimo tablečių</w:t>
      </w:r>
    </w:p>
    <w:p w14:paraId="655C3E02"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EC3C332"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724214A"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w:t>
      </w:r>
      <w:r w:rsidRPr="002B00E3">
        <w:rPr>
          <w:rFonts w:ascii="Times New Roman" w:eastAsia="Times New Roman" w:hAnsi="Times New Roman" w:cs="Times New Roman"/>
          <w:b/>
          <w:bCs/>
          <w:lang w:val="lt-LT"/>
        </w:rPr>
        <w:tab/>
        <w:t>VARTOJIMO METODAS IR BŪDAS (-AI)</w:t>
      </w:r>
    </w:p>
    <w:p w14:paraId="201E02B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A5A7FAB"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Vartoti per burną.</w:t>
      </w:r>
    </w:p>
    <w:p w14:paraId="3CE09984"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Prieš vartojimą perskaitykite pakuotės lapelį.</w:t>
      </w:r>
    </w:p>
    <w:p w14:paraId="0F6E20F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EF4610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03C1314"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6.</w:t>
      </w:r>
      <w:r w:rsidRPr="002B00E3">
        <w:rPr>
          <w:rFonts w:ascii="Times New Roman" w:eastAsia="Times New Roman" w:hAnsi="Times New Roman" w:cs="Times New Roman"/>
          <w:b/>
          <w:bCs/>
          <w:lang w:val="lt-LT"/>
        </w:rPr>
        <w:tab/>
        <w:t>SPECIALUS ĮSPĖJIMAS, KAD VAISTINĮ PREPARATĄ BŪTINA LAIKYTI VAIKAMS NEPASTEBIMOJE IR NEPASIEKIAMOJE VIETOJE</w:t>
      </w:r>
    </w:p>
    <w:p w14:paraId="2BB4BA9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F65E70D"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Laikyti vaikams nepastebimoje ir nepasiekiamoje vietoje.</w:t>
      </w:r>
    </w:p>
    <w:p w14:paraId="135DB52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CFBE52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691C07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7.</w:t>
      </w:r>
      <w:r w:rsidRPr="002B00E3">
        <w:rPr>
          <w:rFonts w:ascii="Times New Roman" w:eastAsia="Times New Roman" w:hAnsi="Times New Roman" w:cs="Times New Roman"/>
          <w:b/>
          <w:bCs/>
          <w:lang w:val="lt-LT"/>
        </w:rPr>
        <w:tab/>
        <w:t>KITAS (-I) SPECIALUS (-ŪS) ĮSPĖJIMAS (-AI) (JEI REIKIA)</w:t>
      </w:r>
    </w:p>
    <w:p w14:paraId="10904AE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A972F7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504484F"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8.</w:t>
      </w:r>
      <w:r w:rsidRPr="002B00E3">
        <w:rPr>
          <w:rFonts w:ascii="Times New Roman" w:eastAsia="Times New Roman" w:hAnsi="Times New Roman" w:cs="Times New Roman"/>
          <w:b/>
          <w:bCs/>
          <w:lang w:val="lt-LT"/>
        </w:rPr>
        <w:tab/>
        <w:t>TINKAMUMO LAIKAS</w:t>
      </w:r>
    </w:p>
    <w:p w14:paraId="7056F05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2500EAE"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Tinka iki {MMMM-mm}</w:t>
      </w:r>
    </w:p>
    <w:p w14:paraId="644FFC74"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6B94E6C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A6624B4" w14:textId="77777777" w:rsidR="002B00E3" w:rsidRPr="002B00E3" w:rsidRDefault="002B00E3" w:rsidP="002B00E3">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9.</w:t>
      </w:r>
      <w:r w:rsidRPr="002B00E3">
        <w:rPr>
          <w:rFonts w:ascii="Times New Roman" w:eastAsia="Times New Roman" w:hAnsi="Times New Roman" w:cs="Times New Roman"/>
          <w:b/>
          <w:bCs/>
          <w:lang w:val="lt-LT"/>
        </w:rPr>
        <w:tab/>
        <w:t>SPECIALIOS LAIKYMO SĄLYGOS</w:t>
      </w:r>
    </w:p>
    <w:p w14:paraId="4B9AE11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FB9DEB7"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68A1BE29"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0092721" w14:textId="77777777" w:rsidR="002B00E3" w:rsidRPr="002B00E3" w:rsidRDefault="002B00E3" w:rsidP="00A44C5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lastRenderedPageBreak/>
        <w:t>10.</w:t>
      </w:r>
      <w:r w:rsidRPr="002B00E3">
        <w:rPr>
          <w:rFonts w:ascii="Times New Roman" w:eastAsia="Times New Roman" w:hAnsi="Times New Roman" w:cs="Times New Roman"/>
          <w:b/>
          <w:bCs/>
          <w:lang w:val="lt-LT"/>
        </w:rPr>
        <w:tab/>
        <w:t>SPECIALIOS ATSARGUMO PRIEMONĖS DĖL NESUVARTOTO VAISTINIO PREPARATO AR JO ATLIEKŲ TVARKYMO (JEI REIKIA)</w:t>
      </w:r>
    </w:p>
    <w:p w14:paraId="1A2ED69C"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1EBEC4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2D50058"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rEGISTRUOTOJO PAVADINIMAS IR ADRESAS</w:t>
      </w:r>
    </w:p>
    <w:p w14:paraId="607AF68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CA8878"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Recordati Ireland Ltd</w:t>
      </w:r>
    </w:p>
    <w:p w14:paraId="76E26345"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Raheens East, Ringaskiddy,</w:t>
      </w:r>
    </w:p>
    <w:p w14:paraId="66073BAF"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Co. Cork, P43 KD30,</w:t>
      </w:r>
    </w:p>
    <w:p w14:paraId="146DC581" w14:textId="4BDCB5DC" w:rsidR="002B00E3" w:rsidRPr="002B00E3" w:rsidRDefault="00AC0CD8" w:rsidP="002B00E3">
      <w:pPr>
        <w:spacing w:after="0" w:line="240" w:lineRule="auto"/>
        <w:contextualSpacing/>
        <w:outlineLvl w:val="0"/>
        <w:rPr>
          <w:rFonts w:ascii="Times New Roman" w:eastAsia="Times New Roman" w:hAnsi="Times New Roman" w:cs="Times New Roman"/>
          <w:lang w:val="lt-LT" w:eastAsia="x-none"/>
        </w:rPr>
      </w:pPr>
      <w:r w:rsidRPr="00AC0CD8">
        <w:rPr>
          <w:rFonts w:ascii="Times New Roman" w:eastAsia="Times New Roman" w:hAnsi="Times New Roman" w:cs="Times New Roman"/>
          <w:lang w:val="lt-LT" w:eastAsia="x-none"/>
        </w:rPr>
        <w:t>Airija</w:t>
      </w:r>
    </w:p>
    <w:p w14:paraId="523EA08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7A163D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580E2B0"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12.</w:t>
      </w:r>
      <w:r w:rsidRPr="002B00E3">
        <w:rPr>
          <w:rFonts w:ascii="Times New Roman" w:eastAsia="Times New Roman" w:hAnsi="Times New Roman" w:cs="Times New Roman"/>
          <w:b/>
          <w:bCs/>
          <w:lang w:val="lt-LT"/>
        </w:rPr>
        <w:tab/>
        <w:t xml:space="preserve">REGISTRACIJOS PAŽYMĖJIMO NUMERIS (-IAI) </w:t>
      </w:r>
    </w:p>
    <w:p w14:paraId="0C8545C5"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FD24325"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47,5 mg </w:t>
      </w:r>
    </w:p>
    <w:p w14:paraId="7066E590"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bCs/>
          <w:lang w:val="lt-LT"/>
        </w:rPr>
        <w:t>N30 – LT/1/96/2252/004</w:t>
      </w:r>
    </w:p>
    <w:p w14:paraId="3681C0B8"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rPr>
      </w:pPr>
      <w:r w:rsidRPr="002B00E3">
        <w:rPr>
          <w:rFonts w:ascii="Times New Roman" w:eastAsia="Times New Roman" w:hAnsi="Times New Roman" w:cs="Times New Roman"/>
          <w:lang w:val="lt-LT"/>
        </w:rPr>
        <w:t>N90 – LT/1/96/2252/007</w:t>
      </w:r>
    </w:p>
    <w:p w14:paraId="2ACB32FA"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506F7C62" w14:textId="77777777" w:rsidR="002B00E3" w:rsidRPr="001C33A9" w:rsidRDefault="002B00E3" w:rsidP="002B00E3">
      <w:pPr>
        <w:spacing w:after="0" w:line="240" w:lineRule="auto"/>
        <w:contextualSpacing/>
        <w:outlineLvl w:val="0"/>
        <w:rPr>
          <w:rFonts w:ascii="Times New Roman" w:eastAsia="Times New Roman" w:hAnsi="Times New Roman" w:cs="Times New Roman"/>
          <w:highlight w:val="lightGray"/>
          <w:lang w:val="lt-LT"/>
        </w:rPr>
      </w:pPr>
      <w:r w:rsidRPr="001C33A9">
        <w:rPr>
          <w:rFonts w:ascii="Times New Roman" w:eastAsia="Times New Roman" w:hAnsi="Times New Roman" w:cs="Times New Roman"/>
          <w:highlight w:val="lightGray"/>
          <w:lang w:val="lt-LT"/>
        </w:rPr>
        <w:t xml:space="preserve">Betaloc ZOK 95 mg </w:t>
      </w:r>
    </w:p>
    <w:p w14:paraId="60039417" w14:textId="77777777" w:rsidR="002B00E3" w:rsidRPr="001C33A9" w:rsidRDefault="002B00E3" w:rsidP="002B00E3">
      <w:pPr>
        <w:spacing w:after="0" w:line="240" w:lineRule="auto"/>
        <w:contextualSpacing/>
        <w:outlineLvl w:val="0"/>
        <w:rPr>
          <w:rFonts w:ascii="Times New Roman" w:eastAsia="Times New Roman" w:hAnsi="Times New Roman" w:cs="Times New Roman"/>
          <w:highlight w:val="lightGray"/>
          <w:lang w:val="lt-LT"/>
        </w:rPr>
      </w:pPr>
      <w:r w:rsidRPr="001C33A9">
        <w:rPr>
          <w:rFonts w:ascii="Times New Roman" w:eastAsia="Times New Roman" w:hAnsi="Times New Roman" w:cs="Times New Roman"/>
          <w:bCs/>
          <w:highlight w:val="lightGray"/>
          <w:lang w:val="lt-LT"/>
        </w:rPr>
        <w:t>N30 – LT/1/96/2252/006</w:t>
      </w:r>
    </w:p>
    <w:p w14:paraId="0455240E"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1C33A9">
        <w:rPr>
          <w:rFonts w:ascii="Times New Roman" w:eastAsia="Times New Roman" w:hAnsi="Times New Roman" w:cs="Times New Roman"/>
          <w:bCs/>
          <w:highlight w:val="lightGray"/>
          <w:lang w:val="lt-LT" w:eastAsia="x-none"/>
        </w:rPr>
        <w:t>N90 – LT/1/96/2252/008</w:t>
      </w:r>
    </w:p>
    <w:p w14:paraId="5154DD9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FC4CB2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BB2A24E"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13.</w:t>
      </w:r>
      <w:r w:rsidRPr="002B00E3">
        <w:rPr>
          <w:rFonts w:ascii="Times New Roman" w:eastAsia="Times New Roman" w:hAnsi="Times New Roman" w:cs="Times New Roman"/>
          <w:b/>
          <w:bCs/>
          <w:lang w:val="lt-LT"/>
        </w:rPr>
        <w:tab/>
        <w:t xml:space="preserve">SERIJOS NUMERIS </w:t>
      </w:r>
    </w:p>
    <w:p w14:paraId="0F09964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DD7ED7F"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Serija</w:t>
      </w:r>
    </w:p>
    <w:p w14:paraId="5FBF260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323F04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4C5C409"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14.</w:t>
      </w:r>
      <w:r w:rsidRPr="002B00E3">
        <w:rPr>
          <w:rFonts w:ascii="Times New Roman" w:eastAsia="Times New Roman" w:hAnsi="Times New Roman" w:cs="Times New Roman"/>
          <w:b/>
          <w:bCs/>
          <w:lang w:val="lt-LT"/>
        </w:rPr>
        <w:tab/>
        <w:t>PARDAVIMO (IŠDAVIMO) TVARKA</w:t>
      </w:r>
    </w:p>
    <w:p w14:paraId="41FE6AD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8562860" w14:textId="4BAB8562"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Receptinis vaist</w:t>
      </w:r>
      <w:r>
        <w:rPr>
          <w:rFonts w:ascii="Times New Roman" w:eastAsia="Times New Roman" w:hAnsi="Times New Roman" w:cs="Times New Roman"/>
          <w:bCs/>
          <w:lang w:val="lt-LT"/>
        </w:rPr>
        <w:t>as</w:t>
      </w:r>
      <w:r w:rsidRPr="002B00E3">
        <w:rPr>
          <w:rFonts w:ascii="Times New Roman" w:eastAsia="Times New Roman" w:hAnsi="Times New Roman" w:cs="Times New Roman"/>
          <w:bCs/>
          <w:lang w:val="lt-LT"/>
        </w:rPr>
        <w:t>.</w:t>
      </w:r>
    </w:p>
    <w:p w14:paraId="7C57DC63"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1AEC949"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96CD128" w14:textId="77777777" w:rsidR="002B00E3" w:rsidRPr="002B00E3" w:rsidRDefault="002B00E3" w:rsidP="002B00E3">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15.</w:t>
      </w:r>
      <w:r w:rsidRPr="002B00E3">
        <w:rPr>
          <w:rFonts w:ascii="Times New Roman" w:eastAsia="Times New Roman" w:hAnsi="Times New Roman" w:cs="Times New Roman"/>
          <w:b/>
          <w:bCs/>
          <w:lang w:val="lt-LT"/>
        </w:rPr>
        <w:tab/>
        <w:t>VARTOJIMO INSTRUKCIJA</w:t>
      </w:r>
    </w:p>
    <w:p w14:paraId="1EA0CAF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998357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F48AD43" w14:textId="77777777" w:rsidR="002B00E3" w:rsidRPr="002B00E3" w:rsidRDefault="002B00E3" w:rsidP="002B00E3">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color w:val="008000"/>
          <w:lang w:val="lt-LT"/>
        </w:rPr>
      </w:pPr>
      <w:r w:rsidRPr="002B00E3">
        <w:rPr>
          <w:rFonts w:ascii="Times New Roman" w:eastAsia="Times New Roman" w:hAnsi="Times New Roman" w:cs="Times New Roman"/>
          <w:b/>
          <w:bCs/>
          <w:lang w:val="lt-LT"/>
        </w:rPr>
        <w:t>16.</w:t>
      </w:r>
      <w:r w:rsidRPr="002B00E3">
        <w:rPr>
          <w:rFonts w:ascii="Times New Roman" w:eastAsia="Times New Roman" w:hAnsi="Times New Roman" w:cs="Times New Roman"/>
          <w:b/>
          <w:bCs/>
          <w:lang w:val="lt-LT"/>
        </w:rPr>
        <w:tab/>
        <w:t>INFORMACIJA BRAILIO RAŠTU</w:t>
      </w:r>
    </w:p>
    <w:p w14:paraId="222BCDA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57DC303"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eastAsia="lt-LT"/>
        </w:rPr>
      </w:pPr>
      <w:r w:rsidRPr="002B00E3">
        <w:rPr>
          <w:rFonts w:ascii="Times New Roman" w:eastAsia="Times New Roman" w:hAnsi="Times New Roman" w:cs="Times New Roman"/>
          <w:bCs/>
          <w:lang w:val="lt-LT" w:eastAsia="lt-LT"/>
        </w:rPr>
        <w:t>Betaloc ZOK 47,5 mg</w:t>
      </w:r>
    </w:p>
    <w:p w14:paraId="44AEEBCF"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rPr>
      </w:pPr>
      <w:r w:rsidRPr="001C33A9">
        <w:rPr>
          <w:rFonts w:ascii="Times New Roman" w:eastAsia="Times New Roman" w:hAnsi="Times New Roman" w:cs="Times New Roman"/>
          <w:bCs/>
          <w:highlight w:val="lightGray"/>
          <w:lang w:val="lt-LT"/>
        </w:rPr>
        <w:t xml:space="preserve">Betaloc ZOK </w:t>
      </w:r>
      <w:r w:rsidRPr="001C33A9">
        <w:rPr>
          <w:rFonts w:ascii="Times New Roman" w:eastAsia="Times New Roman" w:hAnsi="Times New Roman" w:cs="Times New Roman"/>
          <w:bCs/>
          <w:highlight w:val="lightGray"/>
          <w:lang w:val="lt-LT" w:eastAsia="lt-LT"/>
        </w:rPr>
        <w:t>95 </w:t>
      </w:r>
      <w:r w:rsidRPr="001C33A9">
        <w:rPr>
          <w:rFonts w:ascii="Times New Roman" w:eastAsia="Times New Roman" w:hAnsi="Times New Roman" w:cs="Times New Roman"/>
          <w:bCs/>
          <w:highlight w:val="lightGray"/>
          <w:lang w:val="lt-LT"/>
        </w:rPr>
        <w:t>mg</w:t>
      </w:r>
    </w:p>
    <w:p w14:paraId="05993400"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rPr>
      </w:pPr>
    </w:p>
    <w:p w14:paraId="616CA8A2"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shd w:val="clear" w:color="auto" w:fill="CCCCCC"/>
          <w:lang w:val="lt-LT"/>
        </w:rPr>
      </w:pPr>
    </w:p>
    <w:p w14:paraId="208E3761" w14:textId="77777777" w:rsidR="002B00E3" w:rsidRPr="002B00E3" w:rsidRDefault="002B00E3" w:rsidP="002B00E3">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i/>
          <w:lang w:val="lt-LT"/>
        </w:rPr>
      </w:pPr>
      <w:r w:rsidRPr="002B00E3">
        <w:rPr>
          <w:rFonts w:ascii="Times New Roman" w:eastAsia="Times New Roman" w:hAnsi="Times New Roman" w:cs="Times New Roman"/>
          <w:b/>
          <w:lang w:val="lt-LT"/>
        </w:rPr>
        <w:t>17.</w:t>
      </w:r>
      <w:r w:rsidRPr="002B00E3">
        <w:rPr>
          <w:rFonts w:ascii="Times New Roman" w:eastAsia="Times New Roman" w:hAnsi="Times New Roman" w:cs="Times New Roman"/>
          <w:b/>
          <w:lang w:val="lt-LT"/>
        </w:rPr>
        <w:tab/>
        <w:t>UNIKALUS IDENTIFIKATORIUS – 2D BRŪKŠNINIS KODAS</w:t>
      </w:r>
    </w:p>
    <w:p w14:paraId="0AEF46A1"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18753F6B"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shd w:val="clear" w:color="auto" w:fill="CCCCCC"/>
          <w:lang w:val="lt-LT"/>
        </w:rPr>
      </w:pPr>
      <w:r w:rsidRPr="002B00E3">
        <w:rPr>
          <w:rFonts w:ascii="Times New Roman" w:eastAsia="Times New Roman" w:hAnsi="Times New Roman" w:cs="Times New Roman"/>
          <w:highlight w:val="lightGray"/>
          <w:lang w:val="lt-LT"/>
        </w:rPr>
        <w:t>2D brūkšninis kodas su nurodytu unikaliu identifikatoriumi.</w:t>
      </w:r>
    </w:p>
    <w:p w14:paraId="650EB6CC"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0087A287"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E72D687" w14:textId="77777777" w:rsidR="002B00E3" w:rsidRPr="002B00E3" w:rsidRDefault="002B00E3" w:rsidP="002B00E3">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i/>
          <w:lang w:val="lt-LT"/>
        </w:rPr>
      </w:pPr>
      <w:r w:rsidRPr="002B00E3">
        <w:rPr>
          <w:rFonts w:ascii="Times New Roman" w:eastAsia="Times New Roman" w:hAnsi="Times New Roman" w:cs="Times New Roman"/>
          <w:b/>
          <w:lang w:val="lt-LT"/>
        </w:rPr>
        <w:t>18.</w:t>
      </w:r>
      <w:r w:rsidRPr="002B00E3">
        <w:rPr>
          <w:rFonts w:ascii="Times New Roman" w:eastAsia="Times New Roman" w:hAnsi="Times New Roman" w:cs="Times New Roman"/>
          <w:b/>
          <w:lang w:val="lt-LT"/>
        </w:rPr>
        <w:tab/>
        <w:t>UNIKALUS IDENTIFIKATORIUS – ŽMONĖMS SUPRANTAMI DUOMENYS</w:t>
      </w:r>
    </w:p>
    <w:p w14:paraId="469CEFCE"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0DA89379"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color w:val="008000"/>
          <w:lang w:val="lt-LT"/>
        </w:rPr>
      </w:pPr>
      <w:r w:rsidRPr="002B00E3">
        <w:rPr>
          <w:rFonts w:ascii="Times New Roman" w:eastAsia="Times New Roman" w:hAnsi="Times New Roman" w:cs="Times New Roman"/>
          <w:lang w:val="lt-LT"/>
        </w:rPr>
        <w:t>PC:</w:t>
      </w:r>
    </w:p>
    <w:p w14:paraId="172E3013"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SN:</w:t>
      </w:r>
    </w:p>
    <w:p w14:paraId="61F6F555"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lang w:val="lt-LT"/>
        </w:rPr>
      </w:pPr>
      <w:r w:rsidRPr="00A44C50">
        <w:rPr>
          <w:rFonts w:ascii="Times New Roman" w:eastAsia="Times New Roman" w:hAnsi="Times New Roman" w:cs="Times New Roman"/>
          <w:highlight w:val="lightGray"/>
          <w:lang w:val="lt-LT"/>
        </w:rPr>
        <w:t>NN:</w:t>
      </w:r>
    </w:p>
    <w:p w14:paraId="5A2EB311" w14:textId="77777777" w:rsidR="002B00E3" w:rsidRPr="002B00E3" w:rsidRDefault="002B00E3" w:rsidP="002B00E3">
      <w:pPr>
        <w:autoSpaceDE w:val="0"/>
        <w:autoSpaceDN w:val="0"/>
        <w:adjustRightInd w:val="0"/>
        <w:spacing w:after="0" w:line="240" w:lineRule="auto"/>
        <w:contextualSpacing/>
        <w:outlineLvl w:val="0"/>
        <w:rPr>
          <w:rFonts w:ascii="Times New Roman" w:eastAsia="Times New Roman" w:hAnsi="Times New Roman" w:cs="Times New Roman"/>
          <w:bCs/>
          <w:lang w:val="lt-LT" w:eastAsia="lt-LT"/>
        </w:rPr>
      </w:pPr>
    </w:p>
    <w:p w14:paraId="4C987050" w14:textId="223BB614" w:rsidR="002B00E3" w:rsidRPr="002B00E3" w:rsidRDefault="002B00E3" w:rsidP="002B00E3">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bCs/>
          <w:lang w:val="lt-LT"/>
        </w:rPr>
      </w:pPr>
      <w:r w:rsidRPr="002B00E3">
        <w:rPr>
          <w:rFonts w:ascii="Times New Roman" w:eastAsia="Times New Roman" w:hAnsi="Times New Roman" w:cs="Times New Roman"/>
          <w:bCs/>
          <w:lang w:val="lt-LT"/>
        </w:rPr>
        <w:br w:type="page"/>
      </w:r>
      <w:r w:rsidRPr="002B00E3">
        <w:rPr>
          <w:rFonts w:ascii="Times New Roman" w:eastAsia="Times New Roman" w:hAnsi="Times New Roman" w:cs="Times New Roman"/>
          <w:b/>
          <w:bCs/>
          <w:lang w:val="lt-LT"/>
        </w:rPr>
        <w:lastRenderedPageBreak/>
        <w:t>MINIMALI INFORMACIJA ANT LIZDINIŲ PLOKŠTELIŲ ARBA DVISLUOKSNIŲ JUOSTELIŲ</w:t>
      </w:r>
      <w:r w:rsidRPr="002B00E3">
        <w:rPr>
          <w:rFonts w:ascii="Times New Roman" w:eastAsia="Times New Roman" w:hAnsi="Times New Roman" w:cs="Times New Roman"/>
          <w:b/>
          <w:bCs/>
          <w:lang w:val="lt-LT"/>
        </w:rPr>
        <w:br/>
      </w:r>
    </w:p>
    <w:p w14:paraId="0F197E70" w14:textId="77777777" w:rsidR="002B00E3" w:rsidRPr="002B00E3" w:rsidRDefault="002B00E3" w:rsidP="002B00E3">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LIZDINĖ PLOKŠTELĖ (23,75 mg)</w:t>
      </w:r>
    </w:p>
    <w:p w14:paraId="60144C3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5BC459B"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VAISTINIO</w:t>
      </w:r>
      <w:r w:rsidRPr="002B00E3">
        <w:rPr>
          <w:rFonts w:ascii="Times New Roman" w:eastAsia="Times New Roman" w:hAnsi="Times New Roman" w:cs="Times New Roman"/>
          <w:b/>
          <w:bCs/>
          <w:lang w:val="lt-LT"/>
        </w:rPr>
        <w:t xml:space="preserve"> PREPARATO PAVADINIMAS</w:t>
      </w:r>
    </w:p>
    <w:p w14:paraId="22C6EF3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4D35197"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23,75 mg pailginto atpalaidavimo tabletės</w:t>
      </w:r>
    </w:p>
    <w:p w14:paraId="79EDF46E" w14:textId="77777777" w:rsidR="002B00E3" w:rsidRPr="002B00E3" w:rsidRDefault="002B00E3" w:rsidP="002B00E3">
      <w:pPr>
        <w:spacing w:after="0" w:line="240" w:lineRule="auto"/>
        <w:ind w:left="567" w:hanging="567"/>
        <w:contextualSpacing/>
        <w:outlineLvl w:val="0"/>
        <w:rPr>
          <w:rFonts w:ascii="Times New Roman" w:eastAsia="Times New Roman" w:hAnsi="Times New Roman" w:cs="Times New Roman"/>
          <w:bCs/>
          <w:iCs/>
          <w:lang w:val="lt-LT"/>
        </w:rPr>
      </w:pPr>
      <w:r w:rsidRPr="002B00E3">
        <w:rPr>
          <w:rFonts w:ascii="Times New Roman" w:eastAsia="Times New Roman" w:hAnsi="Times New Roman" w:cs="Times New Roman"/>
          <w:bCs/>
          <w:iCs/>
          <w:lang w:val="lt-LT"/>
        </w:rPr>
        <w:t>Metoprololi succinas</w:t>
      </w:r>
    </w:p>
    <w:p w14:paraId="38C7135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83E330B"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539148D"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2.</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rEGISTRUOTOJO pavadinimas</w:t>
      </w:r>
    </w:p>
    <w:p w14:paraId="49D619B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5A69AE4" w14:textId="40DAB9FD" w:rsidR="002B00E3" w:rsidRPr="002B00E3" w:rsidRDefault="00AC0CD8" w:rsidP="00AC0CD8">
      <w:pPr>
        <w:spacing w:after="0" w:line="240" w:lineRule="auto"/>
        <w:contextualSpacing/>
        <w:outlineLvl w:val="0"/>
        <w:rPr>
          <w:rFonts w:ascii="Times New Roman" w:eastAsia="Times New Roman" w:hAnsi="Times New Roman" w:cs="Times New Roman"/>
          <w:bCs/>
          <w:lang w:val="lt-LT"/>
        </w:rPr>
      </w:pPr>
      <w:r w:rsidRPr="00AC0CD8">
        <w:rPr>
          <w:rFonts w:ascii="Times New Roman" w:eastAsia="Times New Roman" w:hAnsi="Times New Roman" w:cs="Times New Roman"/>
          <w:bCs/>
          <w:lang w:val="lt-LT"/>
        </w:rPr>
        <w:t>Recordati Ireland Ltd</w:t>
      </w:r>
    </w:p>
    <w:p w14:paraId="5390E2E3"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785CF1E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0BA4501" w14:textId="77777777" w:rsidR="002B00E3" w:rsidRPr="002B00E3" w:rsidRDefault="002B00E3" w:rsidP="002B00E3">
      <w:pPr>
        <w:suppressLineNumbers/>
        <w:pBdr>
          <w:top w:val="single" w:sz="4" w:space="1" w:color="auto"/>
          <w:left w:val="single" w:sz="4" w:space="4" w:color="auto"/>
          <w:bottom w:val="single" w:sz="4" w:space="2"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3.</w:t>
      </w:r>
      <w:r w:rsidRPr="002B00E3">
        <w:rPr>
          <w:rFonts w:ascii="Times New Roman" w:eastAsia="Times New Roman" w:hAnsi="Times New Roman" w:cs="Times New Roman"/>
          <w:b/>
          <w:bCs/>
          <w:lang w:val="lt-LT"/>
        </w:rPr>
        <w:tab/>
        <w:t>TINKAMUMO LAIKAS</w:t>
      </w:r>
    </w:p>
    <w:p w14:paraId="24F5EF7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9F143C3"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EXP {MMMM-mm}</w:t>
      </w:r>
    </w:p>
    <w:p w14:paraId="07C14FE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E23366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47E9B21A"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4.</w:t>
      </w:r>
      <w:r w:rsidRPr="002B00E3">
        <w:rPr>
          <w:rFonts w:ascii="Times New Roman" w:eastAsia="Times New Roman" w:hAnsi="Times New Roman" w:cs="Times New Roman"/>
          <w:b/>
          <w:bCs/>
          <w:lang w:val="lt-LT"/>
        </w:rPr>
        <w:tab/>
        <w:t>SERIJOS NUMERIS</w:t>
      </w:r>
    </w:p>
    <w:p w14:paraId="6B62763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B5F30D2"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Lot</w:t>
      </w:r>
    </w:p>
    <w:p w14:paraId="4DE0AB59"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p>
    <w:p w14:paraId="3F1A64F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2A09705"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w:t>
      </w:r>
      <w:r w:rsidRPr="002B00E3">
        <w:rPr>
          <w:rFonts w:ascii="Times New Roman" w:eastAsia="Times New Roman" w:hAnsi="Times New Roman" w:cs="Times New Roman"/>
          <w:b/>
          <w:bCs/>
          <w:lang w:val="lt-LT"/>
        </w:rPr>
        <w:tab/>
        <w:t>KITA</w:t>
      </w:r>
    </w:p>
    <w:p w14:paraId="15CE909B"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br w:type="page"/>
      </w:r>
      <w:r w:rsidRPr="002B00E3">
        <w:rPr>
          <w:rFonts w:ascii="Times New Roman" w:eastAsia="Times New Roman" w:hAnsi="Times New Roman" w:cs="Times New Roman"/>
          <w:b/>
          <w:bCs/>
          <w:lang w:val="lt-LT"/>
        </w:rPr>
        <w:lastRenderedPageBreak/>
        <w:t xml:space="preserve">MINIMALI INFORMACIJA ANT MAŽŲ VIDINIŲ PAKUOČIŲ </w:t>
      </w:r>
    </w:p>
    <w:p w14:paraId="308E5277"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bCs/>
          <w:lang w:val="lt-LT"/>
        </w:rPr>
      </w:pPr>
    </w:p>
    <w:p w14:paraId="5EFE75FF"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BUTELIUKAS N30 ir N90 (47,5 mg ir 95 mg)</w:t>
      </w:r>
    </w:p>
    <w:p w14:paraId="63019E83"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02AF07D"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A58D0A4"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1.</w:t>
      </w:r>
      <w:r w:rsidRPr="002B00E3">
        <w:rPr>
          <w:rFonts w:ascii="Times New Roman" w:eastAsia="Times New Roman" w:hAnsi="Times New Roman" w:cs="Times New Roman"/>
          <w:b/>
          <w:bCs/>
          <w:lang w:val="lt-LT"/>
        </w:rPr>
        <w:tab/>
      </w:r>
      <w:r w:rsidRPr="002B00E3">
        <w:rPr>
          <w:rFonts w:ascii="Times New Roman" w:eastAsia="Times New Roman" w:hAnsi="Times New Roman" w:cs="Times New Roman"/>
          <w:b/>
          <w:bCs/>
          <w:caps/>
          <w:lang w:val="lt-LT"/>
        </w:rPr>
        <w:t>Vaistinio preparato pavadinimas ir vartojimo būdas (-ai)</w:t>
      </w:r>
    </w:p>
    <w:p w14:paraId="5C48E643"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3B68B80"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47,5 mg pailginto atpalaidavimo tabletės</w:t>
      </w:r>
    </w:p>
    <w:p w14:paraId="3D12B4AC"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1C33A9">
        <w:rPr>
          <w:rFonts w:ascii="Times New Roman" w:eastAsia="Times New Roman" w:hAnsi="Times New Roman" w:cs="Times New Roman"/>
          <w:highlight w:val="lightGray"/>
          <w:lang w:val="lt-LT" w:eastAsia="x-none"/>
        </w:rPr>
        <w:t>Betaloc ZOK 95 mg pailginto atpalaidavimo tabletės</w:t>
      </w:r>
    </w:p>
    <w:p w14:paraId="11A9F80A" w14:textId="77777777" w:rsidR="002B00E3" w:rsidRPr="002B00E3" w:rsidRDefault="002B00E3" w:rsidP="002B00E3">
      <w:pPr>
        <w:spacing w:after="0" w:line="240" w:lineRule="auto"/>
        <w:ind w:left="567" w:hanging="567"/>
        <w:contextualSpacing/>
        <w:outlineLvl w:val="0"/>
        <w:rPr>
          <w:rFonts w:ascii="Times New Roman" w:eastAsia="Times New Roman" w:hAnsi="Times New Roman" w:cs="Times New Roman"/>
          <w:bCs/>
          <w:iCs/>
          <w:lang w:val="lt-LT"/>
        </w:rPr>
      </w:pPr>
      <w:r w:rsidRPr="002B00E3">
        <w:rPr>
          <w:rFonts w:ascii="Times New Roman" w:eastAsia="Times New Roman" w:hAnsi="Times New Roman" w:cs="Times New Roman"/>
          <w:bCs/>
          <w:iCs/>
          <w:lang w:val="lt-LT"/>
        </w:rPr>
        <w:t>Metoprololi succinas</w:t>
      </w:r>
    </w:p>
    <w:p w14:paraId="409D4B09"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Vartoti per burną.</w:t>
      </w:r>
    </w:p>
    <w:p w14:paraId="6D5462F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965C7F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0B542F2"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2.</w:t>
      </w:r>
      <w:r w:rsidRPr="002B00E3">
        <w:rPr>
          <w:rFonts w:ascii="Times New Roman" w:eastAsia="Times New Roman" w:hAnsi="Times New Roman" w:cs="Times New Roman"/>
          <w:b/>
          <w:bCs/>
          <w:lang w:val="lt-LT"/>
        </w:rPr>
        <w:tab/>
        <w:t>VARTOJIMO METODAS</w:t>
      </w:r>
    </w:p>
    <w:p w14:paraId="34D60D30"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2C4CB0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2AD5DD4"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3.</w:t>
      </w:r>
      <w:r w:rsidRPr="002B00E3">
        <w:rPr>
          <w:rFonts w:ascii="Times New Roman" w:eastAsia="Times New Roman" w:hAnsi="Times New Roman" w:cs="Times New Roman"/>
          <w:b/>
          <w:bCs/>
          <w:lang w:val="lt-LT"/>
        </w:rPr>
        <w:tab/>
        <w:t>TINKAMUMO LAIKAS</w:t>
      </w:r>
    </w:p>
    <w:p w14:paraId="6FF54DC7"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0B5BB3D"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EXP {MMMM-mm}</w:t>
      </w:r>
    </w:p>
    <w:p w14:paraId="46DCD506"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20E5140F"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F3F44DD"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4.</w:t>
      </w:r>
      <w:r w:rsidRPr="002B00E3">
        <w:rPr>
          <w:rFonts w:ascii="Times New Roman" w:eastAsia="Times New Roman" w:hAnsi="Times New Roman" w:cs="Times New Roman"/>
          <w:b/>
          <w:bCs/>
          <w:lang w:val="lt-LT"/>
        </w:rPr>
        <w:tab/>
        <w:t xml:space="preserve">SERIJOS NUMERIS </w:t>
      </w:r>
    </w:p>
    <w:p w14:paraId="09419BB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4FF959F" w14:textId="77777777" w:rsidR="002B00E3" w:rsidRPr="002B00E3" w:rsidRDefault="002B00E3" w:rsidP="002B00E3">
      <w:pPr>
        <w:spacing w:after="0" w:line="240" w:lineRule="auto"/>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Lot</w:t>
      </w:r>
    </w:p>
    <w:p w14:paraId="4C1BBBF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5F05FBD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39A7704" w14:textId="77777777" w:rsidR="002B00E3" w:rsidRPr="002B00E3" w:rsidRDefault="002B00E3" w:rsidP="002B00E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5.</w:t>
      </w:r>
      <w:r w:rsidRPr="002B00E3">
        <w:rPr>
          <w:rFonts w:ascii="Times New Roman" w:eastAsia="Times New Roman" w:hAnsi="Times New Roman" w:cs="Times New Roman"/>
          <w:b/>
          <w:bCs/>
          <w:lang w:val="lt-LT"/>
        </w:rPr>
        <w:tab/>
        <w:t>KIEKIS (MASĖ, TŪRIS ARBA VIENETAI)</w:t>
      </w:r>
    </w:p>
    <w:p w14:paraId="57D4921E"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10F6758C"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30 </w:t>
      </w:r>
      <w:r w:rsidRPr="002B00E3">
        <w:rPr>
          <w:rFonts w:ascii="Times New Roman" w:eastAsia="Times New Roman" w:hAnsi="Times New Roman" w:cs="Times New Roman"/>
          <w:bCs/>
          <w:iCs/>
          <w:lang w:val="lt-LT"/>
        </w:rPr>
        <w:t>pailginto atpalaidavimo</w:t>
      </w:r>
      <w:r w:rsidRPr="002B00E3">
        <w:rPr>
          <w:rFonts w:ascii="Times New Roman" w:eastAsia="Times New Roman" w:hAnsi="Times New Roman" w:cs="Times New Roman"/>
          <w:bCs/>
          <w:lang w:val="lt-LT"/>
        </w:rPr>
        <w:t xml:space="preserve"> tablečių</w:t>
      </w:r>
    </w:p>
    <w:p w14:paraId="5A083DDF" w14:textId="77777777" w:rsidR="002B00E3" w:rsidRPr="002B00E3" w:rsidRDefault="002B00E3" w:rsidP="002B00E3">
      <w:pPr>
        <w:spacing w:after="0" w:line="240" w:lineRule="auto"/>
        <w:contextualSpacing/>
        <w:rPr>
          <w:rFonts w:ascii="Times New Roman" w:eastAsia="Times New Roman" w:hAnsi="Times New Roman" w:cs="Times New Roman"/>
          <w:caps/>
          <w:lang w:val="lt-LT" w:eastAsia="x-none"/>
        </w:rPr>
      </w:pPr>
      <w:r w:rsidRPr="001C33A9">
        <w:rPr>
          <w:rFonts w:ascii="Times New Roman" w:eastAsia="Times New Roman" w:hAnsi="Times New Roman" w:cs="Times New Roman"/>
          <w:highlight w:val="lightGray"/>
          <w:lang w:val="lt-LT" w:eastAsia="x-none"/>
        </w:rPr>
        <w:t>90 pailginto atpalaidavimo</w:t>
      </w:r>
      <w:r w:rsidRPr="001C33A9">
        <w:rPr>
          <w:rFonts w:ascii="Times New Roman" w:eastAsia="Times New Roman" w:hAnsi="Times New Roman" w:cs="Times New Roman"/>
          <w:b/>
          <w:highlight w:val="lightGray"/>
          <w:lang w:val="lt-LT" w:eastAsia="x-none"/>
        </w:rPr>
        <w:t xml:space="preserve"> </w:t>
      </w:r>
      <w:r w:rsidRPr="001C33A9">
        <w:rPr>
          <w:rFonts w:ascii="Times New Roman" w:eastAsia="Times New Roman" w:hAnsi="Times New Roman" w:cs="Times New Roman"/>
          <w:highlight w:val="lightGray"/>
          <w:lang w:val="lt-LT" w:eastAsia="x-none"/>
        </w:rPr>
        <w:t>tablečių</w:t>
      </w:r>
    </w:p>
    <w:p w14:paraId="093A6ED4"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72CA253A" w14:textId="77777777" w:rsidR="002B00E3" w:rsidRPr="002B00E3" w:rsidRDefault="002B00E3" w:rsidP="002B00E3">
      <w:pPr>
        <w:tabs>
          <w:tab w:val="left" w:pos="567"/>
        </w:tabs>
        <w:spacing w:after="0" w:line="260" w:lineRule="exact"/>
        <w:rPr>
          <w:rFonts w:ascii="Times New Roman" w:eastAsia="Times New Roman" w:hAnsi="Times New Roman" w:cs="Times New Roman"/>
          <w:snapToGrid w:val="0"/>
          <w:szCs w:val="24"/>
          <w:lang w:val="lt-LT"/>
        </w:rPr>
      </w:pPr>
    </w:p>
    <w:p w14:paraId="500319CE" w14:textId="77777777" w:rsidR="002B00E3" w:rsidRPr="002B00E3" w:rsidRDefault="002B00E3" w:rsidP="002B00E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2B00E3">
        <w:rPr>
          <w:rFonts w:ascii="Times New Roman" w:eastAsia="Times New Roman" w:hAnsi="Times New Roman" w:cs="Times New Roman"/>
          <w:b/>
          <w:snapToGrid w:val="0"/>
          <w:szCs w:val="24"/>
          <w:lang w:val="lt-LT"/>
        </w:rPr>
        <w:t>6.</w:t>
      </w:r>
      <w:r w:rsidRPr="002B00E3">
        <w:rPr>
          <w:rFonts w:ascii="Times New Roman" w:eastAsia="Times New Roman" w:hAnsi="Times New Roman" w:cs="Times New Roman"/>
          <w:b/>
          <w:snapToGrid w:val="0"/>
          <w:szCs w:val="24"/>
          <w:lang w:val="lt-LT"/>
        </w:rPr>
        <w:tab/>
      </w:r>
      <w:r w:rsidRPr="002B00E3">
        <w:rPr>
          <w:rFonts w:ascii="Times New Roman" w:eastAsia="Times New Roman" w:hAnsi="Times New Roman" w:cs="Times New Roman"/>
          <w:b/>
          <w:snapToGrid w:val="0"/>
          <w:szCs w:val="20"/>
          <w:lang w:val="lt-LT"/>
        </w:rPr>
        <w:t>KITA</w:t>
      </w:r>
    </w:p>
    <w:p w14:paraId="2201D7DE" w14:textId="77777777" w:rsidR="002B00E3" w:rsidRPr="002B00E3" w:rsidRDefault="002B00E3" w:rsidP="002B00E3">
      <w:pPr>
        <w:tabs>
          <w:tab w:val="left" w:pos="567"/>
        </w:tabs>
        <w:spacing w:after="0" w:line="260" w:lineRule="exact"/>
        <w:rPr>
          <w:rFonts w:ascii="Times New Roman" w:eastAsia="Times New Roman" w:hAnsi="Times New Roman" w:cs="Times New Roman"/>
          <w:snapToGrid w:val="0"/>
          <w:szCs w:val="24"/>
          <w:lang w:val="lt-LT"/>
        </w:rPr>
      </w:pPr>
    </w:p>
    <w:p w14:paraId="3BC325EF" w14:textId="489303D6" w:rsidR="002B00E3" w:rsidRPr="002B00E3" w:rsidRDefault="002B00E3" w:rsidP="002B00E3">
      <w:pPr>
        <w:tabs>
          <w:tab w:val="left" w:pos="567"/>
        </w:tabs>
        <w:spacing w:after="0" w:line="260" w:lineRule="exact"/>
        <w:outlineLvl w:val="0"/>
        <w:rPr>
          <w:rFonts w:ascii="Times New Roman" w:eastAsia="Times New Roman" w:hAnsi="Times New Roman" w:cs="Times New Roman"/>
          <w:snapToGrid w:val="0"/>
          <w:szCs w:val="20"/>
          <w:lang w:val="lt-LT"/>
        </w:rPr>
      </w:pPr>
    </w:p>
    <w:p w14:paraId="21BA7430" w14:textId="77777777" w:rsidR="002B00E3" w:rsidRPr="002B00E3" w:rsidRDefault="002B00E3" w:rsidP="002B00E3">
      <w:pPr>
        <w:spacing w:after="0" w:line="240" w:lineRule="auto"/>
        <w:contextualSpacing/>
        <w:rPr>
          <w:rFonts w:ascii="Times New Roman" w:eastAsia="Times New Roman" w:hAnsi="Times New Roman" w:cs="Times New Roman"/>
          <w:b/>
          <w:bCs/>
          <w:iCs/>
          <w:caps/>
          <w:lang w:val="lt-LT" w:eastAsia="x-none"/>
        </w:rPr>
      </w:pPr>
      <w:r w:rsidRPr="002B00E3">
        <w:rPr>
          <w:rFonts w:ascii="Times New Roman" w:eastAsia="Times New Roman" w:hAnsi="Times New Roman" w:cs="Times New Roman"/>
          <w:b/>
          <w:bCs/>
          <w:iCs/>
          <w:caps/>
          <w:lang w:val="lt-LT" w:eastAsia="x-none"/>
        </w:rPr>
        <w:br w:type="page"/>
      </w:r>
    </w:p>
    <w:p w14:paraId="09081F9F"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17B1C37F"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19A5A37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027D259D"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1618A48C"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4A6D3E4B"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5BFB8CE6"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5C59429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675CC8C3"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6D8ED13B"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1AFDAFF5"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115416A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61F5FDE6"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351A5CB6"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4F638B22"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38DD691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2115C471"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5B1DED27"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261FE3A9"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306D92DA"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76A78178"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Cs/>
          <w:lang w:val="lt-LT" w:eastAsia="x-none"/>
        </w:rPr>
      </w:pPr>
    </w:p>
    <w:p w14:paraId="131ED55A"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p>
    <w:p w14:paraId="20EBA1CF" w14:textId="77777777" w:rsidR="002B00E3" w:rsidRPr="002B00E3" w:rsidRDefault="002B00E3" w:rsidP="002B00E3">
      <w:pPr>
        <w:spacing w:after="0" w:line="240" w:lineRule="auto"/>
        <w:ind w:right="261"/>
        <w:contextualSpacing/>
        <w:jc w:val="center"/>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B. PAKUOTĖS LAPELIS</w:t>
      </w:r>
    </w:p>
    <w:p w14:paraId="0AAB39F3" w14:textId="77777777" w:rsidR="002B00E3" w:rsidRPr="002B00E3" w:rsidRDefault="002B00E3" w:rsidP="002B00E3">
      <w:pPr>
        <w:spacing w:after="0" w:line="240" w:lineRule="auto"/>
        <w:contextualSpacing/>
        <w:jc w:val="center"/>
        <w:rPr>
          <w:rFonts w:ascii="Times New Roman" w:eastAsia="Times New Roman" w:hAnsi="Times New Roman" w:cs="Times New Roman"/>
          <w:b/>
          <w:bCs/>
          <w:iCs/>
          <w:caps/>
          <w:lang w:val="lt-LT" w:eastAsia="x-none"/>
        </w:rPr>
      </w:pPr>
      <w:r w:rsidRPr="002B00E3">
        <w:rPr>
          <w:rFonts w:ascii="Times New Roman" w:eastAsia="Times New Roman" w:hAnsi="Times New Roman" w:cs="Times New Roman"/>
          <w:b/>
          <w:bCs/>
          <w:iCs/>
          <w:caps/>
          <w:lang w:val="lt-LT" w:eastAsia="x-none"/>
        </w:rPr>
        <w:br w:type="page"/>
      </w:r>
      <w:r w:rsidRPr="002B00E3">
        <w:rPr>
          <w:rFonts w:ascii="Times New Roman" w:eastAsia="Times New Roman" w:hAnsi="Times New Roman" w:cs="Times New Roman"/>
          <w:b/>
          <w:iCs/>
          <w:lang w:val="lt-LT" w:eastAsia="x-none"/>
        </w:rPr>
        <w:lastRenderedPageBreak/>
        <w:t>Pakuotės lapelis: informacija vartotojui</w:t>
      </w:r>
      <w:r w:rsidRPr="002B00E3">
        <w:rPr>
          <w:rFonts w:ascii="Times New Roman" w:eastAsia="Times New Roman" w:hAnsi="Times New Roman" w:cs="Times New Roman"/>
          <w:b/>
          <w:bCs/>
          <w:iCs/>
          <w:caps/>
          <w:lang w:val="lt-LT" w:eastAsia="x-none"/>
        </w:rPr>
        <w:t xml:space="preserve"> </w:t>
      </w:r>
    </w:p>
    <w:p w14:paraId="65DAD825" w14:textId="77777777" w:rsidR="002B00E3" w:rsidRPr="002B00E3" w:rsidRDefault="002B00E3" w:rsidP="002B00E3">
      <w:pPr>
        <w:spacing w:after="0" w:line="240" w:lineRule="auto"/>
        <w:contextualSpacing/>
        <w:jc w:val="center"/>
        <w:rPr>
          <w:rFonts w:ascii="Times New Roman" w:eastAsia="Times New Roman" w:hAnsi="Times New Roman" w:cs="Times New Roman"/>
          <w:lang w:val="lt-LT"/>
        </w:rPr>
      </w:pPr>
    </w:p>
    <w:p w14:paraId="17A2FE7A" w14:textId="77777777" w:rsidR="002B00E3" w:rsidRPr="002B00E3" w:rsidRDefault="002B00E3" w:rsidP="002B00E3">
      <w:pPr>
        <w:spacing w:after="0" w:line="240" w:lineRule="auto"/>
        <w:contextualSpacing/>
        <w:jc w:val="center"/>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23,75 mg pailginto atpalaidavimo tabletės</w:t>
      </w:r>
    </w:p>
    <w:p w14:paraId="63094B89" w14:textId="77777777" w:rsidR="002B00E3" w:rsidRPr="002B00E3" w:rsidRDefault="002B00E3" w:rsidP="002B00E3">
      <w:pPr>
        <w:spacing w:after="0" w:line="240" w:lineRule="auto"/>
        <w:contextualSpacing/>
        <w:jc w:val="center"/>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47,5 mg pailginto atpalaidavimo tabletės</w:t>
      </w:r>
    </w:p>
    <w:p w14:paraId="76A3AFF7" w14:textId="77777777" w:rsidR="002B00E3" w:rsidRPr="002B00E3" w:rsidRDefault="002B00E3" w:rsidP="002B00E3">
      <w:pPr>
        <w:spacing w:after="0" w:line="240" w:lineRule="auto"/>
        <w:contextualSpacing/>
        <w:jc w:val="center"/>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95 mg pailginto atpalaidavimo tabletės</w:t>
      </w:r>
    </w:p>
    <w:p w14:paraId="00A297D6" w14:textId="77777777" w:rsidR="002B00E3" w:rsidRPr="002B00E3" w:rsidRDefault="002B00E3" w:rsidP="002B00E3">
      <w:pPr>
        <w:spacing w:after="0" w:line="240" w:lineRule="auto"/>
        <w:contextualSpacing/>
        <w:jc w:val="center"/>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Metoprololio sukcinatas</w:t>
      </w:r>
    </w:p>
    <w:p w14:paraId="78A79F04" w14:textId="77777777" w:rsidR="002B00E3" w:rsidRPr="002B00E3" w:rsidRDefault="002B00E3" w:rsidP="002B00E3">
      <w:pPr>
        <w:spacing w:after="0" w:line="240" w:lineRule="auto"/>
        <w:contextualSpacing/>
        <w:jc w:val="center"/>
        <w:rPr>
          <w:rFonts w:ascii="Times New Roman" w:eastAsia="Times New Roman" w:hAnsi="Times New Roman" w:cs="Times New Roman"/>
          <w:bCs/>
          <w:iCs/>
          <w:caps/>
          <w:lang w:val="lt-LT" w:eastAsia="x-none"/>
        </w:rPr>
      </w:pPr>
    </w:p>
    <w:p w14:paraId="518C5816"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rPr>
      </w:pPr>
      <w:r w:rsidRPr="002B00E3">
        <w:rPr>
          <w:rFonts w:ascii="Times New Roman" w:eastAsia="Times New Roman" w:hAnsi="Times New Roman" w:cs="Times New Roman"/>
          <w:b/>
          <w:lang w:val="lt-LT"/>
        </w:rPr>
        <w:t>Atidžiai perskaitykite visą šį lapelį, prieš pradėdami vartoti vaistą</w:t>
      </w:r>
      <w:r w:rsidRPr="002B00E3">
        <w:rPr>
          <w:rFonts w:ascii="Times New Roman" w:eastAsia="Times New Roman" w:hAnsi="Times New Roman" w:cs="Times New Roman"/>
          <w:bCs/>
          <w:lang w:val="lt-LT"/>
        </w:rPr>
        <w:t>,</w:t>
      </w:r>
      <w:r w:rsidRPr="002B00E3">
        <w:rPr>
          <w:rFonts w:ascii="Times New Roman" w:eastAsia="Times New Roman" w:hAnsi="Times New Roman" w:cs="Times New Roman"/>
          <w:b/>
          <w:bCs/>
          <w:lang w:val="lt-LT"/>
        </w:rPr>
        <w:t xml:space="preserve"> nes jame pateikiama Jums svarbi informacija</w:t>
      </w:r>
      <w:r w:rsidRPr="002B00E3">
        <w:rPr>
          <w:rFonts w:ascii="Times New Roman" w:eastAsia="Times New Roman" w:hAnsi="Times New Roman" w:cs="Times New Roman"/>
          <w:b/>
          <w:lang w:val="lt-LT"/>
        </w:rPr>
        <w:t>.</w:t>
      </w:r>
    </w:p>
    <w:p w14:paraId="101C1E22" w14:textId="77777777" w:rsidR="002B00E3" w:rsidRPr="002B00E3" w:rsidRDefault="002B00E3" w:rsidP="002B00E3">
      <w:pPr>
        <w:numPr>
          <w:ilvl w:val="0"/>
          <w:numId w:val="31"/>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Neišmeskite šio lapelio, nes vėl gali prireikti jį perskaityti.</w:t>
      </w:r>
    </w:p>
    <w:p w14:paraId="21BCC589" w14:textId="77777777" w:rsidR="002B00E3" w:rsidRPr="002B00E3" w:rsidRDefault="002B00E3" w:rsidP="002B00E3">
      <w:pPr>
        <w:numPr>
          <w:ilvl w:val="0"/>
          <w:numId w:val="31"/>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Jeigu kiltų daugiau klausimų, kreipkitės į gydytoją arba vaistininką.</w:t>
      </w:r>
    </w:p>
    <w:p w14:paraId="61F2E1AC" w14:textId="229B26A2" w:rsidR="002B00E3" w:rsidRPr="002B00E3" w:rsidRDefault="002B00E3" w:rsidP="002B00E3">
      <w:pPr>
        <w:numPr>
          <w:ilvl w:val="0"/>
          <w:numId w:val="31"/>
        </w:numPr>
        <w:tabs>
          <w:tab w:val="left" w:pos="567"/>
        </w:tabs>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Šis vaistas skirtas </w:t>
      </w:r>
      <w:r w:rsidR="00FB0F03">
        <w:rPr>
          <w:rFonts w:ascii="Times New Roman" w:eastAsia="Times New Roman" w:hAnsi="Times New Roman" w:cs="Times New Roman"/>
          <w:lang w:val="lt-LT"/>
        </w:rPr>
        <w:t xml:space="preserve">tik </w:t>
      </w:r>
      <w:r w:rsidRPr="002B00E3">
        <w:rPr>
          <w:rFonts w:ascii="Times New Roman" w:eastAsia="Times New Roman" w:hAnsi="Times New Roman" w:cs="Times New Roman"/>
          <w:lang w:val="lt-LT"/>
        </w:rPr>
        <w:t>Jums, todėl kitiems žmonėms jo duoti negalima. Vaistas gali jiems pakenkti (net tiems, kurių ligos požymiai yra tokie patys kaip Jūsų).</w:t>
      </w:r>
    </w:p>
    <w:p w14:paraId="3DC87992" w14:textId="77777777" w:rsidR="002B00E3" w:rsidRPr="002B00E3" w:rsidRDefault="002B00E3" w:rsidP="002B00E3">
      <w:pPr>
        <w:numPr>
          <w:ilvl w:val="0"/>
          <w:numId w:val="31"/>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pasireiškė šalutinis poveikis (net jeigu jis šiame lapelyje nenurodytas), kreipkitės į gydytoją arba vaistininką. Žr. 4 skyrių. </w:t>
      </w:r>
    </w:p>
    <w:p w14:paraId="4EECBA11"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6AAB0AD2" w14:textId="77777777" w:rsidR="002B00E3" w:rsidRPr="002B00E3" w:rsidRDefault="002B00E3" w:rsidP="002B00E3">
      <w:pPr>
        <w:spacing w:after="0" w:line="240" w:lineRule="auto"/>
        <w:contextualSpacing/>
        <w:outlineLvl w:val="3"/>
        <w:rPr>
          <w:rFonts w:ascii="Times New Roman" w:eastAsia="Times New Roman" w:hAnsi="Times New Roman" w:cs="Times New Roman"/>
          <w:lang w:val="lt-LT" w:eastAsia="x-none"/>
        </w:rPr>
      </w:pPr>
      <w:r w:rsidRPr="002B00E3">
        <w:rPr>
          <w:rFonts w:ascii="Times New Roman" w:eastAsia="Times New Roman" w:hAnsi="Times New Roman" w:cs="Times New Roman"/>
          <w:b/>
          <w:bCs/>
          <w:iCs/>
          <w:lang w:val="lt-LT" w:eastAsia="x-none"/>
        </w:rPr>
        <w:t>Apie ką rašoma šiame lapelyje?</w:t>
      </w:r>
    </w:p>
    <w:p w14:paraId="3ECB02AA"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0D320E93"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1.</w:t>
      </w:r>
      <w:r w:rsidRPr="002B00E3">
        <w:rPr>
          <w:rFonts w:ascii="Times New Roman" w:eastAsia="Times New Roman" w:hAnsi="Times New Roman" w:cs="Times New Roman"/>
          <w:bCs/>
          <w:iCs/>
          <w:lang w:val="lt-LT" w:eastAsia="x-none"/>
        </w:rPr>
        <w:tab/>
        <w:t>Kas yra Betaloc ZOK ir kam jis vartojamas</w:t>
      </w:r>
    </w:p>
    <w:p w14:paraId="5465D692"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2.</w:t>
      </w:r>
      <w:r w:rsidRPr="002B00E3">
        <w:rPr>
          <w:rFonts w:ascii="Times New Roman" w:eastAsia="Times New Roman" w:hAnsi="Times New Roman" w:cs="Times New Roman"/>
          <w:bCs/>
          <w:iCs/>
          <w:lang w:val="lt-LT" w:eastAsia="x-none"/>
        </w:rPr>
        <w:tab/>
        <w:t xml:space="preserve">Kas žinotina prieš vartojant Betaloc ZOK </w:t>
      </w:r>
    </w:p>
    <w:p w14:paraId="61E58F94"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3.</w:t>
      </w:r>
      <w:r w:rsidRPr="002B00E3">
        <w:rPr>
          <w:rFonts w:ascii="Times New Roman" w:eastAsia="Times New Roman" w:hAnsi="Times New Roman" w:cs="Times New Roman"/>
          <w:bCs/>
          <w:iCs/>
          <w:lang w:val="lt-LT" w:eastAsia="x-none"/>
        </w:rPr>
        <w:tab/>
        <w:t>Kaip vartoti Betaloc ZOK</w:t>
      </w:r>
    </w:p>
    <w:p w14:paraId="3EC21A3A"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4.</w:t>
      </w:r>
      <w:r w:rsidRPr="002B00E3">
        <w:rPr>
          <w:rFonts w:ascii="Times New Roman" w:eastAsia="Times New Roman" w:hAnsi="Times New Roman" w:cs="Times New Roman"/>
          <w:bCs/>
          <w:iCs/>
          <w:lang w:val="lt-LT" w:eastAsia="x-none"/>
        </w:rPr>
        <w:tab/>
        <w:t>Galimas šalutinis poveikis</w:t>
      </w:r>
    </w:p>
    <w:p w14:paraId="3774E768"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5.</w:t>
      </w:r>
      <w:r w:rsidRPr="002B00E3">
        <w:rPr>
          <w:rFonts w:ascii="Times New Roman" w:eastAsia="Times New Roman" w:hAnsi="Times New Roman" w:cs="Times New Roman"/>
          <w:bCs/>
          <w:iCs/>
          <w:lang w:val="lt-LT" w:eastAsia="x-none"/>
        </w:rPr>
        <w:tab/>
        <w:t xml:space="preserve">Kaip laikyti Betaloc ZOK </w:t>
      </w:r>
    </w:p>
    <w:p w14:paraId="1ADE4D6F" w14:textId="77777777" w:rsidR="002B00E3" w:rsidRPr="002B00E3" w:rsidRDefault="002B00E3" w:rsidP="002B00E3">
      <w:pPr>
        <w:spacing w:after="0" w:line="240" w:lineRule="auto"/>
        <w:ind w:left="540" w:hanging="540"/>
        <w:contextualSpacing/>
        <w:rPr>
          <w:rFonts w:ascii="Times New Roman" w:eastAsia="Times New Roman" w:hAnsi="Times New Roman" w:cs="Times New Roman"/>
          <w:bCs/>
          <w:iCs/>
          <w:lang w:val="lt-LT" w:eastAsia="x-none"/>
        </w:rPr>
      </w:pPr>
      <w:r w:rsidRPr="002B00E3">
        <w:rPr>
          <w:rFonts w:ascii="Times New Roman" w:eastAsia="Times New Roman" w:hAnsi="Times New Roman" w:cs="Times New Roman"/>
          <w:bCs/>
          <w:iCs/>
          <w:lang w:val="lt-LT" w:eastAsia="x-none"/>
        </w:rPr>
        <w:t>6.</w:t>
      </w:r>
      <w:r w:rsidRPr="002B00E3">
        <w:rPr>
          <w:rFonts w:ascii="Times New Roman" w:eastAsia="Times New Roman" w:hAnsi="Times New Roman" w:cs="Times New Roman"/>
          <w:bCs/>
          <w:iCs/>
          <w:lang w:val="lt-LT" w:eastAsia="x-none"/>
        </w:rPr>
        <w:tab/>
      </w:r>
      <w:r w:rsidRPr="002B00E3">
        <w:rPr>
          <w:rFonts w:ascii="Times New Roman" w:eastAsia="Times New Roman" w:hAnsi="Times New Roman" w:cs="Times New Roman"/>
          <w:lang w:val="lt-LT" w:eastAsia="x-none"/>
        </w:rPr>
        <w:t xml:space="preserve">Pakuotės turinys ir </w:t>
      </w:r>
      <w:r w:rsidRPr="002B00E3">
        <w:rPr>
          <w:rFonts w:ascii="Times New Roman" w:eastAsia="Times New Roman" w:hAnsi="Times New Roman" w:cs="Times New Roman"/>
          <w:bCs/>
          <w:iCs/>
          <w:lang w:val="lt-LT" w:eastAsia="x-none"/>
        </w:rPr>
        <w:t>kita informacija</w:t>
      </w:r>
    </w:p>
    <w:p w14:paraId="5D4D6E3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7E8949F4" w14:textId="77777777" w:rsidR="002B00E3" w:rsidRPr="002B00E3" w:rsidRDefault="002B00E3" w:rsidP="002B00E3">
      <w:pPr>
        <w:spacing w:after="0" w:line="240" w:lineRule="auto"/>
        <w:ind w:left="360"/>
        <w:contextualSpacing/>
        <w:rPr>
          <w:rFonts w:ascii="Times New Roman" w:eastAsia="Times New Roman" w:hAnsi="Times New Roman" w:cs="Times New Roman"/>
          <w:b/>
          <w:bCs/>
          <w:lang w:val="lt-LT"/>
        </w:rPr>
      </w:pPr>
    </w:p>
    <w:p w14:paraId="73E71504"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1. </w:t>
      </w:r>
      <w:r w:rsidRPr="002B00E3">
        <w:rPr>
          <w:rFonts w:ascii="Times New Roman" w:eastAsia="Times New Roman" w:hAnsi="Times New Roman" w:cs="Times New Roman"/>
          <w:b/>
          <w:lang w:val="lt-LT" w:eastAsia="x-none"/>
        </w:rPr>
        <w:tab/>
        <w:t>Kas yra Betaloc ZOK ir kam jis vartojamas</w:t>
      </w:r>
    </w:p>
    <w:p w14:paraId="031E3291"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38869EBF"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priklauso β blokatorių grupei ir selektyviai blokuoja β</w:t>
      </w:r>
      <w:r w:rsidRPr="002B00E3">
        <w:rPr>
          <w:rFonts w:ascii="Times New Roman" w:eastAsia="Times New Roman" w:hAnsi="Times New Roman" w:cs="Times New Roman"/>
          <w:vertAlign w:val="subscript"/>
          <w:lang w:val="lt-LT" w:eastAsia="x-none"/>
        </w:rPr>
        <w:t>1</w:t>
      </w:r>
      <w:r w:rsidRPr="002B00E3">
        <w:rPr>
          <w:rFonts w:ascii="Times New Roman" w:eastAsia="Times New Roman" w:hAnsi="Times New Roman" w:cs="Times New Roman"/>
          <w:lang w:val="lt-LT" w:eastAsia="x-none"/>
        </w:rPr>
        <w:t xml:space="preserve"> receptorius. Vartojant Betaloc ZOK, susilpnėja streso hormonų poveikis β</w:t>
      </w:r>
      <w:r w:rsidRPr="002B00E3">
        <w:rPr>
          <w:rFonts w:ascii="Times New Roman" w:eastAsia="Times New Roman" w:hAnsi="Times New Roman" w:cs="Times New Roman"/>
          <w:vertAlign w:val="subscript"/>
          <w:lang w:val="lt-LT" w:eastAsia="x-none"/>
        </w:rPr>
        <w:t xml:space="preserve"> 1</w:t>
      </w:r>
      <w:r w:rsidRPr="002B00E3">
        <w:rPr>
          <w:rFonts w:ascii="Times New Roman" w:eastAsia="Times New Roman" w:hAnsi="Times New Roman" w:cs="Times New Roman"/>
          <w:lang w:val="lt-LT" w:eastAsia="x-none"/>
        </w:rPr>
        <w:t xml:space="preserve"> receptoriams širdyje, kraujagyslėse ir kituose organuose (pvz., inkstuose, smegenyse).</w:t>
      </w:r>
    </w:p>
    <w:p w14:paraId="1F84D677"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Iš pailginto atpalaidavimo tabletės vaistas patenka į organizmą kontroliuojamu greičiu, todėl visą parą veikia tolygiai.</w:t>
      </w:r>
    </w:p>
    <w:p w14:paraId="46244BE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797FB68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vartojamas:</w:t>
      </w:r>
    </w:p>
    <w:p w14:paraId="33893C7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2E0A347"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Suaugusiesiems:</w:t>
      </w:r>
    </w:p>
    <w:p w14:paraId="6EE4A7AB"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padidėjusiam kraujospūdžiui mažinti ir padidėjusio kraujospūdžio komplikacijų (pvz., insulto, širdies priepuolio, priešlaikinės mirties) profilaktikai;</w:t>
      </w:r>
    </w:p>
    <w:p w14:paraId="550132E5"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širdies priepuoliui gydyti ir jo pasikartojimo profilaktikai;</w:t>
      </w:r>
    </w:p>
    <w:p w14:paraId="2A0A6B10"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streso arba fizinio krūvio sukeliamo širdies ir krūtinės skausmo profilaktikai pacientams, sergantiems išemine širdies liga;</w:t>
      </w:r>
    </w:p>
    <w:p w14:paraId="6CB9FF8E"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širdies nepakankamumui gydyti: gyvenimo trukmei ilginti, hospitalizavimų skaičiui mažinti ir simptomams lengvinti;</w:t>
      </w:r>
    </w:p>
    <w:p w14:paraId="368DD403"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pacientų, sergančių širdies ligomis, širdies ritmo sutrikimams (ypač padažnėjusiam ritmui) koreguoti;</w:t>
      </w:r>
    </w:p>
    <w:p w14:paraId="7A0B4071"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pacientų, nesergančių širdies ligomis, greitai arba nereguliariai širdies veiklai simptomiškai koreguoti;</w:t>
      </w:r>
    </w:p>
    <w:p w14:paraId="1CB42896" w14:textId="77777777" w:rsidR="002B00E3" w:rsidRPr="002B00E3" w:rsidRDefault="002B00E3" w:rsidP="002B00E3">
      <w:pPr>
        <w:numPr>
          <w:ilvl w:val="0"/>
          <w:numId w:val="29"/>
        </w:num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migrenos priepuolių profilaktikai.</w:t>
      </w:r>
    </w:p>
    <w:p w14:paraId="4685CDF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63A9362" w14:textId="2840F868"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6</w:t>
      </w:r>
      <w:r w:rsidRPr="002B00E3">
        <w:rPr>
          <w:rFonts w:ascii="Times New Roman" w:eastAsia="Times New Roman" w:hAnsi="Times New Roman" w:cs="Times New Roman"/>
          <w:lang w:val="lt-LT" w:eastAsia="x-none"/>
        </w:rPr>
        <w:noBreakHyphen/>
        <w:t>18</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metų vaikams ir paaugliams:</w:t>
      </w:r>
    </w:p>
    <w:p w14:paraId="6034E19A" w14:textId="77777777" w:rsidR="002B00E3" w:rsidRPr="002B00E3" w:rsidRDefault="002B00E3" w:rsidP="002B00E3">
      <w:pPr>
        <w:numPr>
          <w:ilvl w:val="0"/>
          <w:numId w:val="30"/>
        </w:numPr>
        <w:spacing w:after="0" w:line="240" w:lineRule="auto"/>
        <w:contextualSpacing/>
        <w:rPr>
          <w:rFonts w:ascii="Times New Roman" w:eastAsia="Calibri" w:hAnsi="Times New Roman" w:cs="Times New Roman"/>
          <w:iCs/>
          <w:lang w:val="lt-LT"/>
        </w:rPr>
      </w:pPr>
      <w:r w:rsidRPr="002B00E3">
        <w:rPr>
          <w:rFonts w:ascii="Times New Roman" w:eastAsia="Calibri" w:hAnsi="Times New Roman" w:cs="Times New Roman"/>
          <w:iCs/>
          <w:lang w:val="lt-LT"/>
        </w:rPr>
        <w:t>padidėjusiam kraujospūdžiui mažinti (arterinei hipertenzijai gydyti).</w:t>
      </w:r>
    </w:p>
    <w:p w14:paraId="67BFCA5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3C1DC3F"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Visada laikykitės gydytojo nurodymų. Jei norėtumėte sužinoti daugiau, kreipkitės į gydytoją arba vaistininką.</w:t>
      </w:r>
    </w:p>
    <w:p w14:paraId="7F2B2DA8"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p>
    <w:p w14:paraId="36837EE4"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p>
    <w:p w14:paraId="6DA7CA37"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lastRenderedPageBreak/>
        <w:t xml:space="preserve">2. </w:t>
      </w:r>
      <w:r w:rsidRPr="002B00E3">
        <w:rPr>
          <w:rFonts w:ascii="Times New Roman" w:eastAsia="Times New Roman" w:hAnsi="Times New Roman" w:cs="Times New Roman"/>
          <w:b/>
          <w:lang w:val="lt-LT" w:eastAsia="x-none"/>
        </w:rPr>
        <w:tab/>
        <w:t>Kas žinotina prieš vartojant Betaloc ZOK</w:t>
      </w:r>
    </w:p>
    <w:p w14:paraId="59059491"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62170CB"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vartoti negalima:</w:t>
      </w:r>
    </w:p>
    <w:p w14:paraId="0BF0E7BA"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yra alergija metoprololio sukcinatui arba bet kuriai pagalbinei šio vaisto medžiagai (jos išvardytos 6 skyriuje); </w:t>
      </w:r>
    </w:p>
    <w:p w14:paraId="33F68517"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yra kardiogeninis šokas, atsiradęs dėl širdies funkcijos nepakankamumo;</w:t>
      </w:r>
    </w:p>
    <w:p w14:paraId="135C97E1"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 xml:space="preserve">jeigu yra sinusinio mazgo silpnumo sindromas (pasireiškiantis nestabiliu širdies ritmu, </w:t>
      </w:r>
      <w:r w:rsidRPr="002B00E3">
        <w:rPr>
          <w:rFonts w:ascii="Times New Roman" w:eastAsia="Times New Roman" w:hAnsi="Times New Roman" w:cs="Times New Roman"/>
          <w:lang w:val="lt-LT" w:eastAsia="x-none"/>
        </w:rPr>
        <w:t>išskyrus atvejį, kai yra nuolatinis elektrinis širdies stimuliatorius).</w:t>
      </w:r>
    </w:p>
    <w:p w14:paraId="623B4204"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 xml:space="preserve">jeigu yra </w:t>
      </w:r>
      <w:r w:rsidRPr="002B00E3">
        <w:rPr>
          <w:rFonts w:ascii="Times New Roman" w:eastAsia="Times New Roman" w:hAnsi="Times New Roman" w:cs="Times New Roman"/>
          <w:lang w:val="lt-LT" w:eastAsia="x-none"/>
        </w:rPr>
        <w:t>II ar III laipsnio atrioventrikulinė blokada;</w:t>
      </w:r>
    </w:p>
    <w:p w14:paraId="166084E6"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nekompensuotu širdies funkcijos nepakankamumu;</w:t>
      </w:r>
    </w:p>
    <w:p w14:paraId="0FD71F2F"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jeigu vartojate š</w:t>
      </w:r>
      <w:r w:rsidRPr="002B00E3">
        <w:rPr>
          <w:rFonts w:ascii="Times New Roman" w:eastAsia="Times New Roman" w:hAnsi="Times New Roman" w:cs="Times New Roman"/>
          <w:lang w:val="lt-LT" w:eastAsia="x-none"/>
        </w:rPr>
        <w:t>irdies susitraukimus stiprinančių β receptorių agonistų;</w:t>
      </w:r>
    </w:p>
    <w:p w14:paraId="4AD40752"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iCs/>
          <w:lang w:val="lt-LT" w:eastAsia="x-none"/>
        </w:rPr>
        <w:t xml:space="preserve">jeigu yra sunki bradikardija (per reti širdies susitraukimai) ar </w:t>
      </w:r>
      <w:r w:rsidRPr="002B00E3">
        <w:rPr>
          <w:rFonts w:ascii="Times New Roman" w:eastAsia="Times New Roman" w:hAnsi="Times New Roman" w:cs="Times New Roman"/>
          <w:lang w:val="lt-LT" w:eastAsia="x-none"/>
        </w:rPr>
        <w:t>jūsų kraujospūdis yra žemas (hipotenzija);</w:t>
      </w:r>
    </w:p>
    <w:p w14:paraId="4329A5F0"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padidėjęs kraujo rūgštingumas (metabolinė acidozė);</w:t>
      </w:r>
    </w:p>
    <w:p w14:paraId="2FCFB72A"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jei kartu vartojama vaistų, vadinamų monoaminooksidazės (MAO) inhibitoriais, išskyrus MAO B inhibitorius;</w:t>
      </w:r>
    </w:p>
    <w:p w14:paraId="4EB28AF7"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yra sunki periferinių kraujagyslių liga gresiant gangrenai;</w:t>
      </w:r>
    </w:p>
    <w:p w14:paraId="328A153A"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negydyta feochromocitoma (retai atsirandančiu naviku, augančiu šalia inksto ir sukeliančiu kraujospūdžio padidėjimą);</w:t>
      </w:r>
    </w:p>
    <w:p w14:paraId="765D1055"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jeigu sergate sunkia bronchine astma;</w:t>
      </w:r>
    </w:p>
    <w:p w14:paraId="6B488AE8" w14:textId="77777777" w:rsidR="002B00E3" w:rsidRPr="002B00E3" w:rsidRDefault="002B00E3" w:rsidP="002B00E3">
      <w:pPr>
        <w:numPr>
          <w:ilvl w:val="0"/>
          <w:numId w:val="33"/>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įtariama, kad pacientas patyrė ūminį miokardo infarktą ir yra tokie simptomai kaip: širdies susitraukimų dažnis mažesnis nei 45 kartai per minutę, nenormali EKG, kraujospūdis mažesnis kaip 100 mmHg.</w:t>
      </w:r>
      <w:r w:rsidRPr="002B00E3" w:rsidDel="00F67F19">
        <w:rPr>
          <w:rFonts w:ascii="Times New Roman" w:eastAsia="Times New Roman" w:hAnsi="Times New Roman" w:cs="Times New Roman"/>
          <w:lang w:val="lt-LT" w:eastAsia="x-none"/>
        </w:rPr>
        <w:t xml:space="preserve"> </w:t>
      </w:r>
    </w:p>
    <w:p w14:paraId="5905D433" w14:textId="77777777" w:rsidR="002B00E3" w:rsidRPr="002B00E3" w:rsidRDefault="002B00E3" w:rsidP="002B00E3">
      <w:pPr>
        <w:tabs>
          <w:tab w:val="left" w:pos="567"/>
        </w:tabs>
        <w:spacing w:after="0" w:line="240" w:lineRule="auto"/>
        <w:contextualSpacing/>
        <w:rPr>
          <w:rFonts w:ascii="Times New Roman" w:eastAsia="Times New Roman" w:hAnsi="Times New Roman" w:cs="Times New Roman"/>
          <w:lang w:val="lt-LT" w:eastAsia="x-none"/>
        </w:rPr>
      </w:pPr>
    </w:p>
    <w:p w14:paraId="4FAA945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Jeigu kiti vaistai buvo sukėlę kokį nors neįprastą poveikį, apie tai reikia informuoti gydytoją. </w:t>
      </w:r>
    </w:p>
    <w:p w14:paraId="5E0A02C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vabzdžio įkandimas, kuris nors maisto produktas arba kita medžiaga buvo sukėlusi alerginę reakciją, apie tai taip pat neužmirškite pasakyti gydytojui.</w:t>
      </w:r>
    </w:p>
    <w:p w14:paraId="4119947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 xml:space="preserve"> Jei yra buvę cukraus koncentracijos kraujyje sumažėjimo (hipoglikemijos) simptomų, apie tai reikia informuoti gydytoją.</w:t>
      </w:r>
    </w:p>
    <w:p w14:paraId="0D60681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6867800"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Įspėjimai ir atsargumo priemonės </w:t>
      </w:r>
    </w:p>
    <w:p w14:paraId="2FB66793" w14:textId="77777777" w:rsidR="002B00E3" w:rsidRPr="002B00E3" w:rsidRDefault="002B00E3" w:rsidP="002B00E3">
      <w:pPr>
        <w:numPr>
          <w:ilvl w:val="0"/>
          <w:numId w:val="3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vartojant Betaloc ZOK, širdies susitraukimai suretėjo ir retėja toliau, apie tai kuo greičiau praneškite gydytojui. Gydytojas gali patarti sumažinti šio vaisto dozę arba palaipsniui nutraukti jo vartojimą.</w:t>
      </w:r>
    </w:p>
    <w:p w14:paraId="03B04880" w14:textId="77777777" w:rsidR="002B00E3" w:rsidRPr="002B00E3" w:rsidRDefault="002B00E3" w:rsidP="002B00E3">
      <w:pPr>
        <w:numPr>
          <w:ilvl w:val="0"/>
          <w:numId w:val="3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Jūs ruošiatės dantų gydymui arba operacijai ligoninėje (ypač jei numatoma bendroji anestezija), apie Betaloc ZOK tablečių vartojimą informuokite stomatologą arba gydytoją.</w:t>
      </w:r>
    </w:p>
    <w:p w14:paraId="1CD9FEAA" w14:textId="77777777" w:rsidR="002B00E3" w:rsidRPr="002B00E3" w:rsidRDefault="002B00E3" w:rsidP="002B00E3">
      <w:pPr>
        <w:numPr>
          <w:ilvl w:val="0"/>
          <w:numId w:val="3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metoprololis arba kuri nors šiame pakuotės lapelyje nurodyta Betaloc ZOK pagalbinė medžiaga buvo sukėlusi alerginę, nemalonią arba neįprastą reakciją, apie tai pasakykite gydytojui</w:t>
      </w:r>
    </w:p>
    <w:p w14:paraId="720B8105" w14:textId="77777777" w:rsidR="002B00E3" w:rsidRPr="002B00E3" w:rsidRDefault="002B00E3" w:rsidP="002B00E3">
      <w:pPr>
        <w:numPr>
          <w:ilvl w:val="0"/>
          <w:numId w:val="34"/>
        </w:numPr>
        <w:tabs>
          <w:tab w:val="left" w:pos="567"/>
        </w:tabs>
        <w:spacing w:after="0" w:line="240" w:lineRule="auto"/>
        <w:ind w:left="567" w:hanging="567"/>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Jums yra buvę sveikatos sutrikimų, apie juos reikėtų pasakyti gydytojui.</w:t>
      </w:r>
    </w:p>
    <w:p w14:paraId="3E617EA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D456F0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apie aukščiau nurodytas problemas gydytojui nepasakėte arba dėl to abejojate, tai, prieš pradėdami vartoti Betaloc ZOK, apie tai pasakykite gydytojui arba vaistininkui.</w:t>
      </w:r>
    </w:p>
    <w:p w14:paraId="2BC0C0D3" w14:textId="6A004F82"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vartojimo staiga nutraukti negalima. Kai reikia baigti vartoti šį vaistą, jei įmanoma, dozė mažinama palaipsniui, ne greičiau kaip per 2</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savaites. Prieš nutraukiant Betaloc ZOK vartojimą, bent 4</w:t>
      </w:r>
      <w:r w:rsidR="00992E00">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dienas reikėtų gerti po pusę 23,75 mg tabletės.</w:t>
      </w:r>
    </w:p>
    <w:p w14:paraId="1CB2265C"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79766ABD"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Vaikams</w:t>
      </w:r>
    </w:p>
    <w:p w14:paraId="4EE9D443"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tablečių negalima duoti jaunesniems kaip 6 metų vaikams.</w:t>
      </w:r>
    </w:p>
    <w:p w14:paraId="7B80F51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D466824"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Kiti vaistai ir Betaloc ZOK</w:t>
      </w:r>
    </w:p>
    <w:p w14:paraId="3115F456" w14:textId="0458A9B5"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vartojate ar neseniai vartojote kit</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vaist</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(akių laš</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injekcini</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skysči</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ar kit</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įs</w:t>
      </w:r>
      <w:r w:rsidRPr="002B00E3">
        <w:rPr>
          <w:rFonts w:ascii="Times New Roman" w:eastAsia="Times New Roman" w:hAnsi="Times New Roman" w:cs="Times New Roman"/>
          <w:lang w:val="lt-LT" w:eastAsia="x-none"/>
        </w:rPr>
        <w:softHyphen/>
        <w:t>kai</w:t>
      </w:r>
      <w:r w:rsidRPr="002B00E3">
        <w:rPr>
          <w:rFonts w:ascii="Times New Roman" w:eastAsia="Times New Roman" w:hAnsi="Times New Roman" w:cs="Times New Roman"/>
          <w:lang w:val="lt-LT" w:eastAsia="x-none"/>
        </w:rPr>
        <w:softHyphen/>
        <w:t>tant parduodam</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be recepto, pvz., augalini</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medicininės paskirties maisto produkt</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xml:space="preserve"> arba maisto papild</w:t>
      </w:r>
      <w:r w:rsidR="00FB0F03">
        <w:rPr>
          <w:rFonts w:ascii="Times New Roman" w:eastAsia="Times New Roman" w:hAnsi="Times New Roman" w:cs="Times New Roman"/>
          <w:lang w:val="lt-LT" w:eastAsia="x-none"/>
        </w:rPr>
        <w:t>ų</w:t>
      </w:r>
      <w:r w:rsidRPr="002B00E3">
        <w:rPr>
          <w:rFonts w:ascii="Times New Roman" w:eastAsia="Times New Roman" w:hAnsi="Times New Roman" w:cs="Times New Roman"/>
          <w:lang w:val="lt-LT" w:eastAsia="x-none"/>
        </w:rPr>
        <w:t>, apie tai pasakykite gydytojui. Tai svarbu net jeigu juos vartojote pasta</w:t>
      </w:r>
      <w:r w:rsidRPr="002B00E3">
        <w:rPr>
          <w:rFonts w:ascii="Times New Roman" w:eastAsia="Times New Roman" w:hAnsi="Times New Roman" w:cs="Times New Roman"/>
          <w:lang w:val="lt-LT" w:eastAsia="x-none"/>
        </w:rPr>
        <w:softHyphen/>
        <w:t>ruoju metu. Kai kurie vaistai gali turėti įtakos kitų vaistų poveikiui.</w:t>
      </w:r>
    </w:p>
    <w:p w14:paraId="324B571E" w14:textId="42473DA2"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lastRenderedPageBreak/>
        <w:t xml:space="preserve">Pasakykite gydytojui, jeigu vartojate vaistus nuo širdies ir kraujagyslių ligų, pvz., </w:t>
      </w:r>
      <w:r w:rsidRPr="002B00E3">
        <w:rPr>
          <w:rFonts w:ascii="Times New Roman" w:eastAsia="Times New Roman" w:hAnsi="Times New Roman" w:cs="Times New Roman"/>
          <w:bCs/>
          <w:lang w:val="lt-LT" w:eastAsia="x-none"/>
        </w:rPr>
        <w:t>digoksiną ar kitą širdies glikozidą</w:t>
      </w:r>
      <w:r w:rsidRPr="002B00E3">
        <w:rPr>
          <w:rFonts w:ascii="Times New Roman" w:eastAsia="Times New Roman" w:hAnsi="Times New Roman" w:cs="Times New Roman"/>
          <w:lang w:val="lt-LT" w:eastAsia="x-none"/>
        </w:rPr>
        <w:t>, kalcio an</w:t>
      </w:r>
      <w:r w:rsidRPr="002B00E3">
        <w:rPr>
          <w:rFonts w:ascii="Times New Roman" w:eastAsia="Times New Roman" w:hAnsi="Times New Roman" w:cs="Times New Roman"/>
          <w:lang w:val="lt-LT" w:eastAsia="x-none"/>
        </w:rPr>
        <w:softHyphen/>
        <w:t>tagonistus, vaistus nuo širdies ritmo sutrikimų (am</w:t>
      </w:r>
      <w:r w:rsidR="00AB5941">
        <w:rPr>
          <w:rFonts w:ascii="Times New Roman" w:eastAsia="Times New Roman" w:hAnsi="Times New Roman" w:cs="Times New Roman"/>
          <w:lang w:val="lt-LT" w:eastAsia="x-none"/>
        </w:rPr>
        <w:t>j</w:t>
      </w:r>
      <w:r w:rsidRPr="002B00E3">
        <w:rPr>
          <w:rFonts w:ascii="Times New Roman" w:eastAsia="Times New Roman" w:hAnsi="Times New Roman" w:cs="Times New Roman"/>
          <w:lang w:val="lt-LT" w:eastAsia="x-none"/>
        </w:rPr>
        <w:t>odaroną ar disopiramidą), simpatinių ganglijų blokatorius, hidrala</w:t>
      </w:r>
      <w:r w:rsidRPr="002B00E3">
        <w:rPr>
          <w:rFonts w:ascii="Times New Roman" w:eastAsia="Times New Roman" w:hAnsi="Times New Roman" w:cs="Times New Roman"/>
          <w:lang w:val="lt-LT" w:eastAsia="x-none"/>
        </w:rPr>
        <w:softHyphen/>
        <w:t>zi</w:t>
      </w:r>
      <w:r w:rsidRPr="002B00E3">
        <w:rPr>
          <w:rFonts w:ascii="Times New Roman" w:eastAsia="Times New Roman" w:hAnsi="Times New Roman" w:cs="Times New Roman"/>
          <w:lang w:val="lt-LT" w:eastAsia="x-none"/>
        </w:rPr>
        <w:softHyphen/>
        <w:t>ną, diltiazemą.</w:t>
      </w:r>
    </w:p>
    <w:p w14:paraId="0F59E58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Pasakykite gydytojui, jeigu vartojate kitus vaistus, pvz., monoaminooksidazės (MAO) in</w:t>
      </w:r>
      <w:r w:rsidRPr="002B00E3">
        <w:rPr>
          <w:rFonts w:ascii="Times New Roman" w:eastAsia="Times New Roman" w:hAnsi="Times New Roman" w:cs="Times New Roman"/>
          <w:lang w:val="lt-LT" w:eastAsia="x-none"/>
        </w:rPr>
        <w:softHyphen/>
        <w:t>hi</w:t>
      </w:r>
      <w:r w:rsidRPr="002B00E3">
        <w:rPr>
          <w:rFonts w:ascii="Times New Roman" w:eastAsia="Times New Roman" w:hAnsi="Times New Roman" w:cs="Times New Roman"/>
          <w:lang w:val="lt-LT" w:eastAsia="x-none"/>
        </w:rPr>
        <w:softHyphen/>
        <w:t>bitorius (vaistus nuo depresijos), inhaliuojamuosius anestetikus, vaistus nuo diabeto (pvz. insuliną), opaligės (cimetidiną), uždegimo (pvz., indometaciną, celekokcibą), depresijos ar psi</w:t>
      </w:r>
      <w:r w:rsidRPr="002B00E3">
        <w:rPr>
          <w:rFonts w:ascii="Times New Roman" w:eastAsia="Times New Roman" w:hAnsi="Times New Roman" w:cs="Times New Roman"/>
          <w:lang w:val="lt-LT" w:eastAsia="x-none"/>
        </w:rPr>
        <w:softHyphen/>
        <w:t>cho</w:t>
      </w:r>
      <w:r w:rsidRPr="002B00E3">
        <w:rPr>
          <w:rFonts w:ascii="Times New Roman" w:eastAsia="Times New Roman" w:hAnsi="Times New Roman" w:cs="Times New Roman"/>
          <w:lang w:val="lt-LT" w:eastAsia="x-none"/>
        </w:rPr>
        <w:softHyphen/>
        <w:t>zės, antihistamininius (vaistus nuo alergijos), kitus beta blokatorius (akių lašus) arba kitas medžiagas (pvz., alko</w:t>
      </w:r>
      <w:r w:rsidRPr="002B00E3">
        <w:rPr>
          <w:rFonts w:ascii="Times New Roman" w:eastAsia="Times New Roman" w:hAnsi="Times New Roman" w:cs="Times New Roman"/>
          <w:lang w:val="lt-LT" w:eastAsia="x-none"/>
        </w:rPr>
        <w:softHyphen/>
        <w:t>holį, kai kuriuos hormonus).</w:t>
      </w:r>
    </w:p>
    <w:p w14:paraId="06C643E8" w14:textId="408E63EF"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kartu vartojate klonidiną ir Betaloc ZOK, bet klonidino vartojimą reikia nutraukti, tai Betaloc ZOK vartojimą reikia nutraukti kelias dienas prieš klonidiną. Kaip baigti vartoti Betaloc ZOK, žr. skirsnį “Įspėjimai ir atsargumo priemonės”.</w:t>
      </w:r>
    </w:p>
    <w:p w14:paraId="7F27DE0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geriate vaistus nuo cukrinio diabeto, gydytojas gali koreguoti jų dozę.</w:t>
      </w:r>
    </w:p>
    <w:p w14:paraId="377E1FC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7C957F09"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vartojimas su maistu ir gėrimais</w:t>
      </w:r>
    </w:p>
    <w:p w14:paraId="0E377E80" w14:textId="77777777" w:rsidR="002B00E3" w:rsidRPr="002B00E3" w:rsidRDefault="002B00E3" w:rsidP="002B00E3">
      <w:pPr>
        <w:spacing w:after="0" w:line="240" w:lineRule="auto"/>
        <w:contextualSpacing/>
        <w:outlineLvl w:val="0"/>
        <w:rPr>
          <w:rFonts w:ascii="Times New Roman" w:eastAsia="Times New Roman" w:hAnsi="Times New Roman" w:cs="Times New Roman"/>
          <w:iCs/>
          <w:lang w:val="lt-LT" w:eastAsia="x-none"/>
        </w:rPr>
      </w:pPr>
      <w:r w:rsidRPr="002B00E3">
        <w:rPr>
          <w:rFonts w:ascii="Times New Roman" w:eastAsia="Times New Roman" w:hAnsi="Times New Roman" w:cs="Times New Roman"/>
          <w:iCs/>
          <w:lang w:val="lt-LT" w:eastAsia="x-none"/>
        </w:rPr>
        <w:t>Kartu vartojamas alkoholis didina metoprololio koncentraciją kraujyje ir gali sustiprinti jo poveikį.</w:t>
      </w:r>
    </w:p>
    <w:p w14:paraId="01FC9C4B" w14:textId="77777777" w:rsidR="002B00E3" w:rsidRPr="002B00E3" w:rsidRDefault="002B00E3" w:rsidP="002B00E3">
      <w:pPr>
        <w:spacing w:after="0" w:line="240" w:lineRule="auto"/>
        <w:contextualSpacing/>
        <w:rPr>
          <w:rFonts w:ascii="Times New Roman" w:eastAsia="Times New Roman" w:hAnsi="Times New Roman" w:cs="Times New Roman"/>
          <w:iCs/>
          <w:lang w:val="lt-LT" w:eastAsia="x-none"/>
        </w:rPr>
      </w:pPr>
    </w:p>
    <w:p w14:paraId="530487AB"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Nėštumas ir žindymo laikotarpis</w:t>
      </w:r>
    </w:p>
    <w:p w14:paraId="6FD57B3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moteris yra nėščia arba mėgina pastoti, prieš pradėdama vartoti Betaloc ZOK, apie tai ji turėtų pasakyti gydytojui. Nėščios moterys šio vaisto neturėtų vartoti, išskyrus atvejį, kai jį skiria gydytojas.</w:t>
      </w:r>
    </w:p>
    <w:p w14:paraId="6BE50AD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Metoprololis gali sukelti nepageidaujamų poveikių vaisiui ar naujagimiui (pvz., suretinti širdies susitraukimus). Jei Betaloc ZOK vartojanti moteris pastojo, apie tai ji turi kuo greičiau pranešti gydytojui.</w:t>
      </w:r>
    </w:p>
    <w:p w14:paraId="4CDE429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moteris žindo kūdikį, prieš pradėdama vartoti Betaloc ZOK, apie tai ji turėtų pasakyti gydytojui. Žindyvei vartojant Betaloc ZOK rekomenduojamomis dozėmis, šio vaisto poveikis kūdikiui turėtų būti nereikšmingas.</w:t>
      </w:r>
    </w:p>
    <w:p w14:paraId="05AE266E" w14:textId="77777777" w:rsidR="002B00E3" w:rsidRPr="002B00E3" w:rsidRDefault="002B00E3" w:rsidP="002B00E3">
      <w:pPr>
        <w:spacing w:after="0" w:line="240" w:lineRule="auto"/>
        <w:contextualSpacing/>
        <w:rPr>
          <w:rFonts w:ascii="Times New Roman" w:eastAsia="Times New Roman" w:hAnsi="Times New Roman" w:cs="Times New Roman"/>
          <w:b/>
          <w:bCs/>
          <w:lang w:val="lt-LT" w:eastAsia="x-none"/>
        </w:rPr>
      </w:pPr>
    </w:p>
    <w:p w14:paraId="0504EF94" w14:textId="77777777" w:rsidR="002B00E3" w:rsidRPr="002B00E3" w:rsidRDefault="002B00E3" w:rsidP="002B00E3">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Vairavimas ir mechanizmų valdymas</w:t>
      </w:r>
    </w:p>
    <w:p w14:paraId="2967BB4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Šis vaistas gali sukelti galvos svaigimą ir nuovargį, todėl, prieš pradėdamas vairuoti arba dirbti su technika, pacientas turi įsitikinti, kad tokio poveikio nejaučia.</w:t>
      </w:r>
    </w:p>
    <w:p w14:paraId="4EB6567F" w14:textId="77777777" w:rsidR="00F10B00" w:rsidRDefault="00F10B00" w:rsidP="00F10B00">
      <w:pPr>
        <w:spacing w:after="0" w:line="240" w:lineRule="auto"/>
        <w:contextualSpacing/>
        <w:rPr>
          <w:rFonts w:ascii="Times New Roman" w:eastAsia="Times New Roman" w:hAnsi="Times New Roman" w:cs="Times New Roman"/>
          <w:lang w:val="lt-LT" w:eastAsia="x-none"/>
        </w:rPr>
      </w:pPr>
    </w:p>
    <w:p w14:paraId="35C6D18F" w14:textId="77777777" w:rsidR="00F10B00" w:rsidRPr="007672D2" w:rsidRDefault="00F10B00" w:rsidP="00F10B00">
      <w:pPr>
        <w:spacing w:after="0" w:line="240" w:lineRule="auto"/>
        <w:contextualSpacing/>
        <w:rPr>
          <w:rFonts w:ascii="Times New Roman" w:eastAsia="Times New Roman" w:hAnsi="Times New Roman" w:cs="Times New Roman"/>
          <w:b/>
          <w:bCs/>
          <w:lang w:val="lt-LT" w:eastAsia="x-none"/>
        </w:rPr>
      </w:pPr>
      <w:r w:rsidRPr="007672D2">
        <w:rPr>
          <w:rFonts w:ascii="Times New Roman" w:eastAsia="Times New Roman" w:hAnsi="Times New Roman" w:cs="Times New Roman"/>
          <w:b/>
          <w:bCs/>
          <w:lang w:val="lt-LT" w:eastAsia="x-none"/>
        </w:rPr>
        <w:t>Betaloc ZOK sudėtyje yra natrio</w:t>
      </w:r>
    </w:p>
    <w:p w14:paraId="0B88B40B" w14:textId="3AC1BEF0" w:rsidR="002B00E3" w:rsidRPr="002B00E3" w:rsidRDefault="00F10B00" w:rsidP="00F10B00">
      <w:pPr>
        <w:spacing w:after="0" w:line="240" w:lineRule="auto"/>
        <w:contextualSpacing/>
        <w:rPr>
          <w:rFonts w:ascii="Times New Roman" w:eastAsia="Times New Roman" w:hAnsi="Times New Roman" w:cs="Times New Roman"/>
          <w:lang w:val="lt-LT" w:eastAsia="x-none"/>
        </w:rPr>
      </w:pPr>
      <w:r w:rsidRPr="00F10B00">
        <w:rPr>
          <w:rFonts w:ascii="Times New Roman" w:eastAsia="Times New Roman" w:hAnsi="Times New Roman" w:cs="Times New Roman"/>
          <w:lang w:val="lt-LT" w:eastAsia="x-none"/>
        </w:rPr>
        <w:t xml:space="preserve">Šio vaisto </w:t>
      </w:r>
      <w:r>
        <w:rPr>
          <w:rFonts w:ascii="Times New Roman" w:eastAsia="Times New Roman" w:hAnsi="Times New Roman" w:cs="Times New Roman"/>
          <w:lang w:val="lt-LT" w:eastAsia="x-none"/>
        </w:rPr>
        <w:t>tabletėje</w:t>
      </w:r>
      <w:r w:rsidRPr="00F10B00">
        <w:rPr>
          <w:rFonts w:ascii="Times New Roman" w:eastAsia="Times New Roman" w:hAnsi="Times New Roman" w:cs="Times New Roman"/>
          <w:lang w:val="lt-LT" w:eastAsia="x-none"/>
        </w:rPr>
        <w:t xml:space="preserve"> yra</w:t>
      </w:r>
      <w:r>
        <w:rPr>
          <w:rFonts w:ascii="Times New Roman" w:eastAsia="Times New Roman" w:hAnsi="Times New Roman" w:cs="Times New Roman"/>
          <w:lang w:val="lt-LT" w:eastAsia="x-none"/>
        </w:rPr>
        <w:t xml:space="preserve"> </w:t>
      </w:r>
      <w:r w:rsidRPr="00F10B00">
        <w:rPr>
          <w:rFonts w:ascii="Times New Roman" w:eastAsia="Times New Roman" w:hAnsi="Times New Roman" w:cs="Times New Roman"/>
          <w:lang w:val="lt-LT" w:eastAsia="x-none"/>
        </w:rPr>
        <w:t>mažiau kaip 1 mmol (23 mg) natrio, t.y. jis beveik</w:t>
      </w:r>
      <w:r>
        <w:rPr>
          <w:rFonts w:ascii="Times New Roman" w:eastAsia="Times New Roman" w:hAnsi="Times New Roman" w:cs="Times New Roman"/>
          <w:lang w:val="lt-LT" w:eastAsia="x-none"/>
        </w:rPr>
        <w:t xml:space="preserve"> </w:t>
      </w:r>
      <w:r w:rsidRPr="00F10B00">
        <w:rPr>
          <w:rFonts w:ascii="Times New Roman" w:eastAsia="Times New Roman" w:hAnsi="Times New Roman" w:cs="Times New Roman"/>
          <w:lang w:val="lt-LT" w:eastAsia="x-none"/>
        </w:rPr>
        <w:t>neturi reikšmės.</w:t>
      </w:r>
    </w:p>
    <w:p w14:paraId="166FB947" w14:textId="276222A8" w:rsidR="002B00E3" w:rsidRDefault="002B00E3" w:rsidP="002B00E3">
      <w:pPr>
        <w:spacing w:after="0" w:line="240" w:lineRule="auto"/>
        <w:contextualSpacing/>
        <w:rPr>
          <w:rFonts w:ascii="Times New Roman" w:eastAsia="Times New Roman" w:hAnsi="Times New Roman" w:cs="Times New Roman"/>
          <w:lang w:val="lt-LT" w:eastAsia="x-none"/>
        </w:rPr>
      </w:pPr>
    </w:p>
    <w:p w14:paraId="7AD85A59" w14:textId="77777777" w:rsidR="00F10B00" w:rsidRPr="002B00E3" w:rsidRDefault="00F10B00" w:rsidP="002B00E3">
      <w:pPr>
        <w:spacing w:after="0" w:line="240" w:lineRule="auto"/>
        <w:contextualSpacing/>
        <w:rPr>
          <w:rFonts w:ascii="Times New Roman" w:eastAsia="Times New Roman" w:hAnsi="Times New Roman" w:cs="Times New Roman"/>
          <w:lang w:val="lt-LT" w:eastAsia="x-none"/>
        </w:rPr>
      </w:pPr>
    </w:p>
    <w:p w14:paraId="5723A3DF" w14:textId="77777777" w:rsidR="002B00E3" w:rsidRPr="002B00E3" w:rsidRDefault="002B00E3" w:rsidP="002B00E3">
      <w:pPr>
        <w:tabs>
          <w:tab w:val="left" w:pos="567"/>
        </w:tabs>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3. </w:t>
      </w:r>
      <w:r w:rsidRPr="002B00E3">
        <w:rPr>
          <w:rFonts w:ascii="Times New Roman" w:eastAsia="Times New Roman" w:hAnsi="Times New Roman" w:cs="Times New Roman"/>
          <w:b/>
          <w:lang w:val="lt-LT" w:eastAsia="x-none"/>
        </w:rPr>
        <w:tab/>
        <w:t>Kaip vartoti Betaloc ZOK</w:t>
      </w:r>
    </w:p>
    <w:p w14:paraId="0D527C0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06BEB9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Visada vartokite šį vaistą tiksliai, kaip nurodė gydytojas. Jeigu abejojate, kreipkitės į gydytoją arba vaistininką.</w:t>
      </w:r>
    </w:p>
    <w:p w14:paraId="373A90D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Betaloc ZOK tabletės arba jos pusės negalima kramtyti ar traiškyti. Tabletė (arba pusė jos) nuryjama užgeriant skysčiu.</w:t>
      </w:r>
    </w:p>
    <w:p w14:paraId="5CD29743"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Paprastai Betaloc ZOK rekomenduojama gerti 1 kartą per parą, valgant arba kitu laiku. Kaip ir kada vartoti šias tabletes, paaiškins gydytojas.</w:t>
      </w:r>
    </w:p>
    <w:p w14:paraId="1601D06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EA53BA3"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Hipertenzija</w:t>
      </w:r>
    </w:p>
    <w:p w14:paraId="03EDC0D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Suaugusiems</w:t>
      </w:r>
    </w:p>
    <w:p w14:paraId="530BF62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Kai kraujospūdžio padidėjimas yra lengvas arba vidutinio laipsnio, rekomenduojama gerti 47,5 mg 1 kartą per parą. Jei ši dozė nesukelia pakankamo gydomojo poveikio, gydytojas gali padidinti ją iki 95</w:t>
      </w:r>
      <w:r w:rsidRPr="002B00E3">
        <w:rPr>
          <w:rFonts w:ascii="Times New Roman" w:eastAsia="Times New Roman" w:hAnsi="Times New Roman" w:cs="Times New Roman"/>
          <w:lang w:val="lt-LT" w:eastAsia="x-none"/>
        </w:rPr>
        <w:noBreakHyphen/>
        <w:t>190 mg 1 kartą per parą ir (arba) kartu skirti kitų vaistų aukštam kraujospūdžiui mažinti.</w:t>
      </w:r>
    </w:p>
    <w:p w14:paraId="0CEE642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Nustatyta, kad ilgalaikis gydymas 95-190 mg metoprololio paros dozėmis mažina padidėjusio kraujospūdžio komplikacijų (insulto, širdies priepuolio, staigios mirties nuo širdies ir kraujagyslių ligų) pavojų.</w:t>
      </w:r>
    </w:p>
    <w:p w14:paraId="3083D713"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4CDEB743" w14:textId="05D761EF" w:rsidR="002B00E3" w:rsidRPr="002B00E3" w:rsidRDefault="002B00E3" w:rsidP="002B00E3">
      <w:pPr>
        <w:autoSpaceDE w:val="0"/>
        <w:autoSpaceDN w:val="0"/>
        <w:adjustRightInd w:val="0"/>
        <w:spacing w:after="0" w:line="240" w:lineRule="auto"/>
        <w:contextualSpacing/>
        <w:outlineLvl w:val="0"/>
        <w:rPr>
          <w:rFonts w:ascii="Times New Roman" w:eastAsia="Calibri" w:hAnsi="Times New Roman" w:cs="Times New Roman"/>
          <w:iCs/>
          <w:lang w:val="lt-LT" w:eastAsia="nl-NL"/>
        </w:rPr>
      </w:pPr>
      <w:r w:rsidRPr="002B00E3">
        <w:rPr>
          <w:rFonts w:ascii="Times New Roman" w:eastAsia="Calibri" w:hAnsi="Times New Roman" w:cs="Times New Roman"/>
          <w:iCs/>
          <w:lang w:val="lt-LT"/>
        </w:rPr>
        <w:t>V</w:t>
      </w:r>
      <w:r w:rsidR="00FB0F03">
        <w:rPr>
          <w:rFonts w:ascii="Times New Roman" w:eastAsia="Calibri" w:hAnsi="Times New Roman" w:cs="Times New Roman"/>
          <w:iCs/>
          <w:lang w:val="lt-LT"/>
        </w:rPr>
        <w:t>artojimas v</w:t>
      </w:r>
      <w:r w:rsidRPr="002B00E3">
        <w:rPr>
          <w:rFonts w:ascii="Times New Roman" w:eastAsia="Calibri" w:hAnsi="Times New Roman" w:cs="Times New Roman"/>
          <w:iCs/>
          <w:lang w:val="lt-LT"/>
        </w:rPr>
        <w:t>aikams ir paaugliams</w:t>
      </w:r>
    </w:p>
    <w:p w14:paraId="17296A7F" w14:textId="31CAB5B3" w:rsidR="002B00E3" w:rsidRPr="002B00E3" w:rsidRDefault="002B00E3" w:rsidP="002B00E3">
      <w:pPr>
        <w:autoSpaceDE w:val="0"/>
        <w:autoSpaceDN w:val="0"/>
        <w:adjustRightInd w:val="0"/>
        <w:spacing w:after="0" w:line="240" w:lineRule="auto"/>
        <w:contextualSpacing/>
        <w:rPr>
          <w:rFonts w:ascii="Times New Roman" w:eastAsia="Calibri" w:hAnsi="Times New Roman" w:cs="Times New Roman"/>
          <w:iCs/>
          <w:lang w:val="lt-LT" w:eastAsia="nl-NL"/>
        </w:rPr>
      </w:pPr>
      <w:r w:rsidRPr="002B00E3">
        <w:rPr>
          <w:rFonts w:ascii="Times New Roman" w:eastAsia="Times New Roman" w:hAnsi="Times New Roman" w:cs="Times New Roman"/>
          <w:lang w:val="lt-LT"/>
        </w:rPr>
        <w:t>6</w:t>
      </w:r>
      <w:r w:rsidR="00992E00">
        <w:rPr>
          <w:rFonts w:ascii="Times New Roman" w:eastAsia="Times New Roman" w:hAnsi="Times New Roman" w:cs="Times New Roman"/>
          <w:lang w:val="lt-LT"/>
        </w:rPr>
        <w:t> </w:t>
      </w:r>
      <w:r w:rsidRPr="002B00E3">
        <w:rPr>
          <w:rFonts w:ascii="Times New Roman" w:eastAsia="Times New Roman" w:hAnsi="Times New Roman" w:cs="Times New Roman"/>
          <w:lang w:val="lt-LT"/>
        </w:rPr>
        <w:t xml:space="preserve"> metų ir vyresniems vaikams dozė </w:t>
      </w:r>
      <w:r w:rsidRPr="002B00E3">
        <w:rPr>
          <w:rFonts w:ascii="Times New Roman" w:eastAsia="Calibri" w:hAnsi="Times New Roman" w:cs="Times New Roman"/>
          <w:iCs/>
          <w:lang w:val="lt-LT"/>
        </w:rPr>
        <w:t xml:space="preserve">padidėjusiam kraujospūdžiui mažinti </w:t>
      </w:r>
      <w:r w:rsidRPr="002B00E3">
        <w:rPr>
          <w:rFonts w:ascii="Times New Roman" w:eastAsia="Times New Roman" w:hAnsi="Times New Roman" w:cs="Times New Roman"/>
          <w:lang w:val="lt-LT"/>
        </w:rPr>
        <w:t>priklauso nuo kūno svorio. Reikiamą dozę vaikui parinks gydytojas.</w:t>
      </w:r>
    </w:p>
    <w:p w14:paraId="2AE745DB" w14:textId="77777777" w:rsidR="002B00E3" w:rsidRPr="002B00E3" w:rsidRDefault="002B00E3" w:rsidP="002B00E3">
      <w:pPr>
        <w:autoSpaceDE w:val="0"/>
        <w:autoSpaceDN w:val="0"/>
        <w:adjustRightInd w:val="0"/>
        <w:spacing w:after="0" w:line="240" w:lineRule="auto"/>
        <w:contextualSpacing/>
        <w:rPr>
          <w:rFonts w:ascii="Times New Roman" w:eastAsia="Calibri" w:hAnsi="Times New Roman" w:cs="Times New Roman"/>
          <w:iCs/>
          <w:lang w:val="lt-LT" w:eastAsia="nl-NL"/>
        </w:rPr>
      </w:pPr>
    </w:p>
    <w:p w14:paraId="056FB37C" w14:textId="64597B18" w:rsidR="002B00E3" w:rsidRPr="002B00E3" w:rsidRDefault="002B00E3" w:rsidP="002B00E3">
      <w:pPr>
        <w:autoSpaceDE w:val="0"/>
        <w:autoSpaceDN w:val="0"/>
        <w:adjustRightInd w:val="0"/>
        <w:spacing w:after="0" w:line="240" w:lineRule="auto"/>
        <w:contextualSpacing/>
        <w:rPr>
          <w:rFonts w:ascii="Times New Roman" w:eastAsia="Calibri" w:hAnsi="Times New Roman" w:cs="Times New Roman"/>
          <w:iCs/>
          <w:lang w:val="lt-LT" w:eastAsia="nl-NL"/>
        </w:rPr>
      </w:pPr>
      <w:r w:rsidRPr="002B00E3">
        <w:rPr>
          <w:rFonts w:ascii="Times New Roman" w:eastAsia="Calibri" w:hAnsi="Times New Roman" w:cs="Times New Roman"/>
          <w:iCs/>
          <w:lang w:val="lt-LT" w:eastAsia="nl-NL"/>
        </w:rPr>
        <w:lastRenderedPageBreak/>
        <w:t>Įprasta pradinė dozė yra 0,48 mg/kg (bet ne daugiau kaip 47,5 mg) 1</w:t>
      </w:r>
      <w:r w:rsidR="00992E00">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kartą per parą (vartojamos šiai dozei artimiausio stiprumo tabletės). Atsižvelgdamas į Jūsų kraujospūdžio pokyčius, gydytojas gali padidinti dozę iki 1,9 mg/kg. Didesnių kaip 190 mg 1</w:t>
      </w:r>
      <w:r w:rsidR="00992E00">
        <w:rPr>
          <w:rFonts w:ascii="Times New Roman" w:eastAsia="Calibri" w:hAnsi="Times New Roman" w:cs="Times New Roman"/>
          <w:iCs/>
          <w:lang w:val="lt-LT" w:eastAsia="nl-NL"/>
        </w:rPr>
        <w:t> </w:t>
      </w:r>
      <w:r w:rsidRPr="002B00E3">
        <w:rPr>
          <w:rFonts w:ascii="Times New Roman" w:eastAsia="Calibri" w:hAnsi="Times New Roman" w:cs="Times New Roman"/>
          <w:iCs/>
          <w:lang w:val="lt-LT" w:eastAsia="nl-NL"/>
        </w:rPr>
        <w:t>kartą per parą dozių poveikis vaikams ir paaugliams netirtas.</w:t>
      </w:r>
    </w:p>
    <w:p w14:paraId="2945561E" w14:textId="77777777" w:rsidR="002B00E3" w:rsidRPr="002B00E3" w:rsidRDefault="002B00E3" w:rsidP="002B00E3">
      <w:pPr>
        <w:autoSpaceDE w:val="0"/>
        <w:autoSpaceDN w:val="0"/>
        <w:adjustRightInd w:val="0"/>
        <w:spacing w:after="0" w:line="240" w:lineRule="auto"/>
        <w:contextualSpacing/>
        <w:rPr>
          <w:rFonts w:ascii="Times New Roman" w:eastAsia="Calibri" w:hAnsi="Times New Roman" w:cs="Times New Roman"/>
          <w:iCs/>
          <w:lang w:val="lt-LT" w:eastAsia="nl-NL"/>
        </w:rPr>
      </w:pPr>
    </w:p>
    <w:p w14:paraId="64058DF8" w14:textId="5AFFFF32"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bCs/>
          <w:lang w:val="lt-LT" w:eastAsia="x-none"/>
        </w:rPr>
        <w:t>Jaunesniems kaip 6</w:t>
      </w:r>
      <w:r w:rsidR="00992E00">
        <w:rPr>
          <w:rFonts w:ascii="Times New Roman" w:eastAsia="Times New Roman" w:hAnsi="Times New Roman" w:cs="Times New Roman"/>
          <w:bCs/>
          <w:lang w:val="lt-LT" w:eastAsia="x-none"/>
        </w:rPr>
        <w:t> </w:t>
      </w:r>
      <w:r w:rsidRPr="002B00E3">
        <w:rPr>
          <w:rFonts w:ascii="Times New Roman" w:eastAsia="Times New Roman" w:hAnsi="Times New Roman" w:cs="Times New Roman"/>
          <w:bCs/>
          <w:lang w:val="lt-LT" w:eastAsia="x-none"/>
        </w:rPr>
        <w:t xml:space="preserve">metų vaikams Betaloc ZOK tabletės nerekomenduojamos. </w:t>
      </w:r>
    </w:p>
    <w:p w14:paraId="44245177"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p>
    <w:p w14:paraId="40560B10"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Palaikomasis gydymas po miokardo infarkto</w:t>
      </w:r>
    </w:p>
    <w:p w14:paraId="3FF32D9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Įprasta dozė ilgalaikiam gydymui – 190 mg 1 kartą per parą. Nustatyta, kad ilgalaikis 190 mg metoprololio per parą vartojimas mažina širdies priepuolio pasikartojimo ir mirties pavojų.</w:t>
      </w:r>
    </w:p>
    <w:p w14:paraId="6F27FBD3"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p>
    <w:p w14:paraId="6BF4B9EC"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Krūtinės angina</w:t>
      </w:r>
    </w:p>
    <w:p w14:paraId="268D7EB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 Kartu su Betaloc ZOK gydytojas gali skirti kitų vaistų krūtinės anginai gydyti.</w:t>
      </w:r>
    </w:p>
    <w:p w14:paraId="1D42B5DB"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3474CB4"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Širdies nepakankamumas</w:t>
      </w:r>
    </w:p>
    <w:p w14:paraId="01566D6F" w14:textId="439D53F1"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Dozė parenkama individualiai. Rekomenduojama pradinė dozė – pusė 23,75 mg tabletės arba visa 23,75 mg tabletė 1 kartą per parą. Ji vartojama 1</w:t>
      </w:r>
      <w:r w:rsidRPr="002B00E3">
        <w:rPr>
          <w:rFonts w:ascii="Times New Roman" w:eastAsia="Times New Roman" w:hAnsi="Times New Roman" w:cs="Times New Roman"/>
          <w:lang w:val="lt-LT" w:eastAsia="x-none"/>
        </w:rPr>
        <w:noBreakHyphen/>
        <w:t>2 savaites, o paskui kas 2</w:t>
      </w:r>
      <w:r w:rsidR="002360CC">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savaites dvigubinama iki 190 mg per parą arba iki didžiausios toleruojamos.</w:t>
      </w:r>
    </w:p>
    <w:p w14:paraId="6BB0FF3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03B83D4"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Širdies ritmo sutrikimai</w:t>
      </w:r>
    </w:p>
    <w:p w14:paraId="063D068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w:t>
      </w:r>
    </w:p>
    <w:p w14:paraId="6E2F35F7"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p>
    <w:p w14:paraId="2436284C"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Funkciniai širdies veiklos sutrikimai, kai jaučiamas širdies plakimas</w:t>
      </w:r>
    </w:p>
    <w:p w14:paraId="4CB4BDF5"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 mg 1 kartą per parą. Prireikus gydytojas gali ją padidinti iki 190 mg per parą.</w:t>
      </w:r>
    </w:p>
    <w:p w14:paraId="4CE82B6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01D51E1B" w14:textId="77777777" w:rsidR="002B00E3" w:rsidRPr="002B00E3" w:rsidRDefault="002B00E3" w:rsidP="002B00E3">
      <w:pPr>
        <w:spacing w:after="0" w:line="240" w:lineRule="auto"/>
        <w:contextualSpacing/>
        <w:outlineLvl w:val="0"/>
        <w:rPr>
          <w:rFonts w:ascii="Times New Roman" w:eastAsia="Times New Roman" w:hAnsi="Times New Roman" w:cs="Times New Roman"/>
          <w:i/>
          <w:lang w:val="lt-LT" w:eastAsia="x-none"/>
        </w:rPr>
      </w:pPr>
      <w:r w:rsidRPr="002B00E3">
        <w:rPr>
          <w:rFonts w:ascii="Times New Roman" w:eastAsia="Times New Roman" w:hAnsi="Times New Roman" w:cs="Times New Roman"/>
          <w:i/>
          <w:lang w:val="lt-LT" w:eastAsia="x-none"/>
        </w:rPr>
        <w:t>Migrenos priepuolių profilaktikai</w:t>
      </w:r>
    </w:p>
    <w:p w14:paraId="67F09A9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Rekomenduojama dozė – 95</w:t>
      </w:r>
      <w:r w:rsidRPr="002B00E3">
        <w:rPr>
          <w:rFonts w:ascii="Times New Roman" w:eastAsia="Times New Roman" w:hAnsi="Times New Roman" w:cs="Times New Roman"/>
          <w:lang w:val="lt-LT" w:eastAsia="x-none"/>
        </w:rPr>
        <w:noBreakHyphen/>
        <w:t>190 mg 1 kartą per parą.</w:t>
      </w:r>
    </w:p>
    <w:p w14:paraId="1466A5B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manote, kad šis vaistas veikia per stipriai arba per silpnai, apie tai pasakykite gydytojui arba vaistininkui.</w:t>
      </w:r>
    </w:p>
    <w:p w14:paraId="40EF28D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1FE2954"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Ką daryti pavartojus per didelę Betaloc ZOK dozę?</w:t>
      </w:r>
    </w:p>
    <w:p w14:paraId="7E844CF6"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galbūt išgėrėte per didelę Betaloc ZOK dozę, apie tai nedelsdami pasakykite gydytojui arba vaistininkui.</w:t>
      </w:r>
    </w:p>
    <w:p w14:paraId="34896437"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išgerta pakankamai didelė dozė, gali pasireikšti apsinuodijimas: lėta ar nereguliari širdies veikla, dusulys, kulkšnių tinimas, širdies plakimo pojūtis, galvos svaigimas, alpimas, krūtinės skausmas, šalta oda, silpnas pulsas, sutrikusi orientacija, nerimas, širdies sustojimas, kvėpavimo takų gniaužimo pojūtis, sąmonės pritemimas ar išnykimas (koma), pykinimas, vėmimas ir pamėlynavimas. Dėl to labai svarbu vartoti Betaloc ZOK gydytojo nurodytomis dozėmis ir neperdozuoti.</w:t>
      </w:r>
    </w:p>
    <w:p w14:paraId="15D66CB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Simptomai gali būti sunkesni per didelę Betaloc ZOK dozę pavartojus kartu su alkoholiu, kraujospūdį mažinančiais vaistais, chinidinu arba migdomaisiais vaistais (barbitūratais).</w:t>
      </w:r>
    </w:p>
    <w:p w14:paraId="5E15A768" w14:textId="35B26316"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Pirmuosius apsinuodijimo požymius galima pastebėti praėjus nuo 20</w:t>
      </w:r>
      <w:r w:rsidR="002360CC">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min. iki 2</w:t>
      </w:r>
      <w:r w:rsidR="002360CC">
        <w:rPr>
          <w:rFonts w:ascii="Times New Roman" w:eastAsia="Times New Roman" w:hAnsi="Times New Roman" w:cs="Times New Roman"/>
          <w:lang w:val="lt-LT" w:eastAsia="x-none"/>
        </w:rPr>
        <w:t> </w:t>
      </w:r>
      <w:r w:rsidRPr="002B00E3">
        <w:rPr>
          <w:rFonts w:ascii="Times New Roman" w:eastAsia="Times New Roman" w:hAnsi="Times New Roman" w:cs="Times New Roman"/>
          <w:lang w:val="lt-LT" w:eastAsia="x-none"/>
        </w:rPr>
        <w:t>val. po to, kai išgerta per didelė šio vaisto dozė. Jei pajutote kurį nors iš nurodytų simptomų, nedelsdami kreipkitės į gydytoją, vaistininką arba ligoninę.</w:t>
      </w:r>
    </w:p>
    <w:p w14:paraId="7FC4357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5432923"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Pamiršus pavartoti Betaloc ZOK</w:t>
      </w:r>
    </w:p>
    <w:p w14:paraId="1C8DEB93"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 užmiršote išgerti eilinę Betaloc ZOK dozę, o iki kitos dozės vartojimo liko apie 12 val., nedelsdami išgerkite praleistąją dozę arba pusę jos. Jei prisiminėte anksčiau, gerkite visą užmirštąją dozę, jei vėliau – pusę. Kitą dozę gerkite laiku.</w:t>
      </w:r>
    </w:p>
    <w:p w14:paraId="0B93214D"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671319C" w14:textId="77777777" w:rsidR="002B00E3" w:rsidRPr="002B00E3" w:rsidRDefault="002B00E3" w:rsidP="002B00E3">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Nustojus vartoti Betaloc ZOK</w:t>
      </w:r>
    </w:p>
    <w:p w14:paraId="5F88EEB5" w14:textId="77777777" w:rsidR="002B00E3" w:rsidRPr="002B00E3" w:rsidRDefault="002B00E3" w:rsidP="002B00E3">
      <w:pPr>
        <w:spacing w:after="0" w:line="240" w:lineRule="auto"/>
        <w:contextualSpacing/>
        <w:outlineLvl w:val="0"/>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kiltų daugiau klausimų dėl šio vaisto vartojimo, kreipkitės į gydytoją arba vaistininką.</w:t>
      </w:r>
    </w:p>
    <w:p w14:paraId="233A891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7A93FE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5306060B" w14:textId="77777777" w:rsidR="002B00E3" w:rsidRPr="002B00E3" w:rsidRDefault="002B00E3" w:rsidP="002B00E3">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 xml:space="preserve">4. </w:t>
      </w:r>
      <w:r w:rsidRPr="002B00E3">
        <w:rPr>
          <w:rFonts w:ascii="Times New Roman" w:eastAsia="Times New Roman" w:hAnsi="Times New Roman" w:cs="Times New Roman"/>
          <w:b/>
          <w:bCs/>
          <w:lang w:val="lt-LT" w:eastAsia="x-none"/>
        </w:rPr>
        <w:tab/>
        <w:t xml:space="preserve">Galimas šalutinis poveikis </w:t>
      </w:r>
    </w:p>
    <w:p w14:paraId="2922AE83"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328D9B4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lastRenderedPageBreak/>
        <w:t>Šis vaistas, kaip ir visi kiti, gali sukelti šalutinį poveikį, nors jis pasireiškia ne visiems žmonėms.</w:t>
      </w:r>
    </w:p>
    <w:p w14:paraId="7D89C0E9"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Šalutiniai poveikiai, pastebėti metoprololį vartojantiems pacientams, nurodyti žemiau, tačiau jų ryšys su šiuo vaistu įrodytas ne visais atvejais. Jei pasireiškia ir nepraeina kuris nors iš žemiau nurodytų poveikių, apie tai reikėtų pasakyti gydytojui.</w:t>
      </w:r>
    </w:p>
    <w:p w14:paraId="28BAA29B"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AFCE6CF"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Labai dažnai (10 % arba daugiau pacientų) pasireiškia nuovargis.</w:t>
      </w:r>
    </w:p>
    <w:p w14:paraId="732F4626"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Dažnai (1</w:t>
      </w:r>
      <w:r w:rsidRPr="002B00E3">
        <w:rPr>
          <w:rFonts w:ascii="Times New Roman" w:eastAsia="Times New Roman" w:hAnsi="Times New Roman" w:cs="Times New Roman"/>
          <w:lang w:val="lt-LT" w:eastAsia="x-none"/>
        </w:rPr>
        <w:noBreakHyphen/>
        <w:t>9,9 % pacientų) pasireiškia svaigulys, galvos skausmas, širdies susitraukimų suretėjimas, galvos svaigimas pakeitus kūno padėtį (labai retai kartu galimas apalpimas), plaštakų ir pėdų šalimas, pykinimas, vėmimas, pilvo skausmas, viduriavimas, vidurių užkietėjimas, dusulys fizinio krūvio metu, širdies plakimo pojūtis.</w:t>
      </w:r>
    </w:p>
    <w:p w14:paraId="77A30D6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Nedažnai (0,1-0,9 % pacientų) pasireiškia deginimo ar badymo pojūtis arba nejautra, mėšlungis, laikinas širdies ligos simptomų (pvz., dusulio, nuovargio, kulkšnių tinimo) pasunkėjimas,</w:t>
      </w:r>
      <w:r w:rsidRPr="002B00E3">
        <w:rPr>
          <w:rFonts w:ascii="Times New Roman" w:eastAsia="Times New Roman" w:hAnsi="Times New Roman" w:cs="Times New Roman"/>
          <w:color w:val="FF0000"/>
          <w:lang w:val="lt-LT" w:eastAsia="x-none"/>
        </w:rPr>
        <w:t xml:space="preserve"> </w:t>
      </w:r>
      <w:r w:rsidRPr="002B00E3">
        <w:rPr>
          <w:rFonts w:ascii="Times New Roman" w:eastAsia="Times New Roman" w:hAnsi="Times New Roman" w:cs="Times New Roman"/>
          <w:lang w:val="lt-LT" w:eastAsia="x-none"/>
        </w:rPr>
        <w:t>gali pavojingai sumažėti kraujospūdis ištikus širdies priepuoliui (ištikti kardiogeninis šokas), atsiranda</w:t>
      </w:r>
      <w:r w:rsidRPr="002B00E3">
        <w:rPr>
          <w:rFonts w:ascii="Times New Roman" w:eastAsia="Times New Roman" w:hAnsi="Times New Roman" w:cs="Times New Roman"/>
          <w:color w:val="FF0000"/>
          <w:lang w:val="lt-LT" w:eastAsia="x-none"/>
        </w:rPr>
        <w:t xml:space="preserve"> </w:t>
      </w:r>
      <w:r w:rsidRPr="002B00E3">
        <w:rPr>
          <w:rFonts w:ascii="Times New Roman" w:eastAsia="Times New Roman" w:hAnsi="Times New Roman" w:cs="Times New Roman"/>
          <w:lang w:val="lt-LT" w:eastAsia="x-none"/>
        </w:rPr>
        <w:t>nedidelių pokyčių elektrokardiogramoje (širdies susilpnėjimo jie nerodo), tinimas, krūtinės skausmas, depresija, dėmesio sutelkimo sutrikimas, mieguistumas, užmigimo sutrikimas, nakties košmarų, odos išbėrimas, kvėpavimo takų gniaužimo pojūtis, dusulys, bronchų spazmas, prakaitavimo padidėjimas, svorio prieaugis.</w:t>
      </w:r>
    </w:p>
    <w:p w14:paraId="4546DE8C"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Retai (0,01</w:t>
      </w:r>
      <w:r w:rsidRPr="002B00E3">
        <w:rPr>
          <w:rFonts w:ascii="Times New Roman" w:eastAsia="Times New Roman" w:hAnsi="Times New Roman" w:cs="Times New Roman"/>
          <w:lang w:val="lt-LT" w:eastAsia="x-none"/>
        </w:rPr>
        <w:noBreakHyphen/>
        <w:t>0,09 % pacientų) elektrokardiogramoje atsiranda laidumo sutrikimo požymių, širdies veikla pasidaro nereguliari, pasireiškia nervingumas, nerimas, kepenų sutrikimų (kepenų funkcijos rodmenų pokyčių), plaukų slinkimas, alerginis nosies varvėjimas, regos sutrikimų, akių sausumas ir (arba) suerzinimas, burnos sausumas, skonio sutrikimai, alerginis ašarojimas ar akių paraudimas, padidėjusio jautrumo reakcijos, impotencija (lytinės funkcijos sutrikimas).</w:t>
      </w:r>
    </w:p>
    <w:p w14:paraId="4AD47381"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Labai retai (mažiau kaip 0,01 % pacientų) pasunkėja galūnių kraujotakos sutrikimai (sergantiems sunkiomis kraujagyslių ligomis), skauda sąnarius, sutrinka ar išnyksta atmintis, sutrinka orientacija, atsiranda haliucinacijų, pasireiškia padidėjusio jautrumo saulės šviesai odos reakcijų, pasunkėja psoriazė, girdisi triukšmas ausyse, sutrinka skonis, pakinta kraujas (sumažėja trombocitų), prasideda kepenų uždegimas.</w:t>
      </w:r>
    </w:p>
    <w:p w14:paraId="5360031D"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Jeigu pasireiškė sunkus šalutinis poveikis arba pastebėjote šiame lapelyje nenurodytą šalutinį poveikį, pasakykite gydytojui arba vaistininkui.</w:t>
      </w:r>
    </w:p>
    <w:p w14:paraId="256454EA"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Nenutraukite Betaloc ZOK vartojimo, nepasitarę su gydytoju arba vaistininku. Gydytojas gali patarti mažinti šio vaisto dozę lėtai.</w:t>
      </w:r>
    </w:p>
    <w:p w14:paraId="151A65A2"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30B9BC6A" w14:textId="77777777" w:rsidR="002B00E3" w:rsidRPr="002B00E3" w:rsidRDefault="002B00E3" w:rsidP="002B00E3">
      <w:pP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Pranešimas apie šalutinį poveikį</w:t>
      </w:r>
    </w:p>
    <w:p w14:paraId="607DE9B3" w14:textId="77777777" w:rsidR="002B00E3" w:rsidRPr="002B00E3" w:rsidRDefault="002B00E3" w:rsidP="002B00E3">
      <w:pPr>
        <w:spacing w:after="0" w:line="240" w:lineRule="auto"/>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3" w:history="1">
        <w:r w:rsidRPr="002B00E3">
          <w:rPr>
            <w:rFonts w:ascii="Times New Roman" w:eastAsia="Times New Roman" w:hAnsi="Times New Roman" w:cs="Times New Roman"/>
            <w:bCs/>
            <w:color w:val="0000FF"/>
            <w:u w:val="single"/>
            <w:lang w:val="lt-LT"/>
          </w:rPr>
          <w:t>www.vvkt.lt</w:t>
        </w:r>
      </w:hyperlink>
      <w:r w:rsidRPr="002B00E3">
        <w:rPr>
          <w:rFonts w:ascii="Times New Roman" w:eastAsia="Times New Roman" w:hAnsi="Times New Roman" w:cs="Times New Roman"/>
          <w:bCs/>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2B00E3">
          <w:rPr>
            <w:rFonts w:ascii="Times New Roman" w:eastAsia="Times New Roman" w:hAnsi="Times New Roman" w:cs="Times New Roman"/>
            <w:bCs/>
            <w:color w:val="0000FF"/>
            <w:u w:val="single"/>
            <w:lang w:val="lt-LT"/>
          </w:rPr>
          <w:t>NepageidaujamaR@vvkt.lt</w:t>
        </w:r>
      </w:hyperlink>
      <w:r w:rsidRPr="002B00E3">
        <w:rPr>
          <w:rFonts w:ascii="Times New Roman" w:eastAsia="Times New Roman" w:hAnsi="Times New Roman" w:cs="Times New Roman"/>
          <w:bCs/>
          <w:lang w:val="lt-LT"/>
        </w:rPr>
        <w:t xml:space="preserve">, taip pat per Valstybinės vaistų kontrolės tarnybos prie Lietuvos Respublikos sveikatos apsaugos ministerijos interneto svetainę (adresu </w:t>
      </w:r>
      <w:hyperlink r:id="rId15" w:history="1">
        <w:r w:rsidRPr="002B00E3">
          <w:rPr>
            <w:rFonts w:ascii="Times New Roman" w:eastAsia="Times New Roman" w:hAnsi="Times New Roman" w:cs="Times New Roman"/>
            <w:bCs/>
            <w:color w:val="0000FF"/>
            <w:u w:val="single"/>
            <w:lang w:val="lt-LT"/>
          </w:rPr>
          <w:t>http://www.vvkt.lt</w:t>
        </w:r>
      </w:hyperlink>
      <w:r w:rsidRPr="002B00E3">
        <w:rPr>
          <w:rFonts w:ascii="Times New Roman" w:eastAsia="Times New Roman" w:hAnsi="Times New Roman" w:cs="Times New Roman"/>
          <w:bCs/>
          <w:lang w:val="lt-LT"/>
        </w:rPr>
        <w:t>). Pranešdami apie šalutinį poveikį galite mums padėti gauti daugiau informacijos apie šio vaisto saugumą.</w:t>
      </w:r>
    </w:p>
    <w:p w14:paraId="597B64E6"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6DDAA27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7797CA67"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5. </w:t>
      </w:r>
      <w:r w:rsidRPr="002B00E3">
        <w:rPr>
          <w:rFonts w:ascii="Times New Roman" w:eastAsia="Times New Roman" w:hAnsi="Times New Roman" w:cs="Times New Roman"/>
          <w:b/>
          <w:lang w:val="lt-LT" w:eastAsia="x-none"/>
        </w:rPr>
        <w:tab/>
        <w:t>Kaip laikyti Betaloc ZOK</w:t>
      </w:r>
    </w:p>
    <w:p w14:paraId="153CD884"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5A4B069C" w14:textId="77777777" w:rsidR="002B00E3" w:rsidRPr="002B00E3" w:rsidRDefault="002B00E3" w:rsidP="002B00E3">
      <w:pPr>
        <w:numPr>
          <w:ilvl w:val="12"/>
          <w:numId w:val="0"/>
        </w:numPr>
        <w:spacing w:after="0" w:line="240" w:lineRule="auto"/>
        <w:ind w:right="-2"/>
        <w:contextualSpacing/>
        <w:rPr>
          <w:rFonts w:ascii="Times New Roman" w:eastAsia="Times New Roman" w:hAnsi="Times New Roman" w:cs="Times New Roman"/>
          <w:b/>
          <w:bCs/>
          <w:lang w:val="lt-LT"/>
        </w:rPr>
      </w:pPr>
      <w:r w:rsidRPr="002B00E3">
        <w:rPr>
          <w:rFonts w:ascii="Times New Roman" w:eastAsia="Times New Roman" w:hAnsi="Times New Roman" w:cs="Times New Roman"/>
          <w:bCs/>
          <w:lang w:val="lt-LT"/>
        </w:rPr>
        <w:t>Šį vaistą laikykite vaikams nepastebimoje ir nepasiekiamoje vietoje.</w:t>
      </w:r>
    </w:p>
    <w:p w14:paraId="0B497387" w14:textId="142EBCF5" w:rsidR="002B00E3" w:rsidRPr="002B00E3" w:rsidRDefault="002B00E3" w:rsidP="002B00E3">
      <w:pPr>
        <w:spacing w:after="0" w:line="240" w:lineRule="auto"/>
        <w:ind w:left="-12"/>
        <w:contextualSpacing/>
        <w:outlineLvl w:val="0"/>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Šiam vaist</w:t>
      </w:r>
      <w:r w:rsidR="00FB0F03">
        <w:rPr>
          <w:rFonts w:ascii="Times New Roman" w:eastAsia="Times New Roman" w:hAnsi="Times New Roman" w:cs="Times New Roman"/>
          <w:bCs/>
          <w:lang w:val="lt-LT"/>
        </w:rPr>
        <w:t>ui</w:t>
      </w:r>
      <w:r w:rsidRPr="002B00E3">
        <w:rPr>
          <w:rFonts w:ascii="Times New Roman" w:eastAsia="Times New Roman" w:hAnsi="Times New Roman" w:cs="Times New Roman"/>
          <w:bCs/>
          <w:lang w:val="lt-LT"/>
        </w:rPr>
        <w:t xml:space="preserve"> specialių laikymo sąlygų nereikia.</w:t>
      </w:r>
    </w:p>
    <w:p w14:paraId="1BE1C841" w14:textId="6165C341"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Ant dėžutės</w:t>
      </w:r>
      <w:r w:rsidR="00A44C50">
        <w:rPr>
          <w:rFonts w:ascii="Times New Roman" w:eastAsia="Times New Roman" w:hAnsi="Times New Roman" w:cs="Times New Roman"/>
          <w:lang w:val="lt-LT" w:eastAsia="x-none"/>
        </w:rPr>
        <w:t xml:space="preserve"> po „Tinka iki“ ir ant </w:t>
      </w:r>
      <w:r w:rsidRPr="002B00E3">
        <w:rPr>
          <w:rFonts w:ascii="Times New Roman" w:eastAsia="Times New Roman" w:hAnsi="Times New Roman" w:cs="Times New Roman"/>
          <w:lang w:val="lt-LT" w:eastAsia="x-none"/>
        </w:rPr>
        <w:t xml:space="preserve"> buteliuko ar lizdinės plokštelės po „EXP“ nurodytam tinkamumo laikui pasibaigus, šio vaisto vartoti negalima. Vaistas tinkamas vartoti iki paskutinės nurodyto mėnesio dienos.</w:t>
      </w:r>
      <w:r w:rsidRPr="002B00E3" w:rsidDel="00517E8B">
        <w:rPr>
          <w:rFonts w:ascii="Times New Roman" w:eastAsia="Times New Roman" w:hAnsi="Times New Roman" w:cs="Times New Roman"/>
          <w:lang w:val="lt-LT" w:eastAsia="x-none"/>
        </w:rPr>
        <w:t xml:space="preserve"> </w:t>
      </w:r>
      <w:r w:rsidRPr="002B00E3">
        <w:rPr>
          <w:rFonts w:ascii="Times New Roman" w:eastAsia="Times New Roman" w:hAnsi="Times New Roman" w:cs="Times New Roman"/>
          <w:lang w:val="lt-LT" w:eastAsia="x-none"/>
        </w:rPr>
        <w:t>Pastebėjus pažeistą pakuotę, Betaloc ZOK vartoti negalima. Nevartokite vaisto, kurio pakuotė pažeista.</w:t>
      </w:r>
    </w:p>
    <w:p w14:paraId="3FCC20A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r w:rsidRPr="002B00E3">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150DABF8"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488B01E4"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17D45588"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lastRenderedPageBreak/>
        <w:t xml:space="preserve">6. </w:t>
      </w:r>
      <w:r w:rsidRPr="002B00E3">
        <w:rPr>
          <w:rFonts w:ascii="Times New Roman" w:eastAsia="Times New Roman" w:hAnsi="Times New Roman" w:cs="Times New Roman"/>
          <w:b/>
          <w:lang w:val="lt-LT" w:eastAsia="x-none"/>
        </w:rPr>
        <w:tab/>
        <w:t>Pakuotės turinys ir kita informacija</w:t>
      </w:r>
    </w:p>
    <w:p w14:paraId="47E203BE"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4B678D9"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Betaloc ZOK sudėtis</w:t>
      </w:r>
    </w:p>
    <w:p w14:paraId="2746FB18" w14:textId="77777777" w:rsidR="002B00E3" w:rsidRPr="002B00E3" w:rsidRDefault="002B00E3" w:rsidP="002B00E3">
      <w:pPr>
        <w:numPr>
          <w:ilvl w:val="0"/>
          <w:numId w:val="35"/>
        </w:numPr>
        <w:spacing w:after="0" w:line="240" w:lineRule="auto"/>
        <w:ind w:left="567" w:hanging="567"/>
        <w:contextualSpacing/>
        <w:rPr>
          <w:rFonts w:ascii="Times New Roman" w:eastAsia="Times New Roman" w:hAnsi="Times New Roman" w:cs="Times New Roman"/>
          <w:iCs/>
          <w:lang w:val="lt-LT"/>
        </w:rPr>
      </w:pPr>
      <w:r w:rsidRPr="002B00E3">
        <w:rPr>
          <w:rFonts w:ascii="Times New Roman" w:eastAsia="Times New Roman" w:hAnsi="Times New Roman" w:cs="Times New Roman"/>
          <w:iCs/>
          <w:lang w:val="lt-LT"/>
        </w:rPr>
        <w:t>Veiklioji medžiaga yra metoprololio sukcinatas.</w:t>
      </w:r>
    </w:p>
    <w:p w14:paraId="691B8E86" w14:textId="77777777" w:rsidR="002B00E3" w:rsidRPr="002B00E3" w:rsidRDefault="002B00E3" w:rsidP="002B00E3">
      <w:pPr>
        <w:spacing w:after="0" w:line="240" w:lineRule="auto"/>
        <w:ind w:left="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23,75 mg tabletėje yra 23,75 mg metoprololio sukcinato. </w:t>
      </w:r>
    </w:p>
    <w:p w14:paraId="61379D78" w14:textId="77777777" w:rsidR="002B00E3" w:rsidRPr="002B00E3" w:rsidRDefault="002B00E3" w:rsidP="002B00E3">
      <w:pPr>
        <w:spacing w:after="0" w:line="240" w:lineRule="auto"/>
        <w:ind w:left="567"/>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Betaloc ZOK 47,5 mg tabletėje yra 47,5 mg metoprololio sukcinato. </w:t>
      </w:r>
    </w:p>
    <w:p w14:paraId="2DA0E8ED" w14:textId="77777777" w:rsidR="002B00E3" w:rsidRPr="002B00E3" w:rsidRDefault="002B00E3" w:rsidP="002B00E3">
      <w:pPr>
        <w:spacing w:after="0" w:line="240" w:lineRule="auto"/>
        <w:ind w:left="567"/>
        <w:contextualSpacing/>
        <w:rPr>
          <w:rFonts w:ascii="Times New Roman" w:eastAsia="Times New Roman" w:hAnsi="Times New Roman" w:cs="Times New Roman"/>
          <w:b/>
          <w:bCs/>
          <w:lang w:val="lt-LT"/>
        </w:rPr>
      </w:pPr>
      <w:r w:rsidRPr="002B00E3">
        <w:rPr>
          <w:rFonts w:ascii="Times New Roman" w:eastAsia="Times New Roman" w:hAnsi="Times New Roman" w:cs="Times New Roman"/>
          <w:lang w:val="lt-LT"/>
        </w:rPr>
        <w:t>Betaloc ZOK 95 mg tabletėje yra 95 mg metoprololio sukcinato.</w:t>
      </w:r>
    </w:p>
    <w:p w14:paraId="111487E5" w14:textId="77777777" w:rsidR="002B00E3" w:rsidRPr="002B00E3" w:rsidRDefault="002B00E3" w:rsidP="002B00E3">
      <w:pPr>
        <w:numPr>
          <w:ilvl w:val="0"/>
          <w:numId w:val="35"/>
        </w:numPr>
        <w:spacing w:after="0" w:line="240" w:lineRule="auto"/>
        <w:ind w:left="567" w:hanging="567"/>
        <w:contextualSpacing/>
        <w:rPr>
          <w:rFonts w:ascii="Times New Roman" w:eastAsia="Times New Roman" w:hAnsi="Times New Roman" w:cs="Times New Roman"/>
          <w:lang w:val="lt-LT"/>
        </w:rPr>
      </w:pPr>
      <w:r w:rsidRPr="002B00E3">
        <w:rPr>
          <w:rFonts w:ascii="Times New Roman" w:eastAsia="Times New Roman" w:hAnsi="Times New Roman" w:cs="Times New Roman"/>
          <w:iCs/>
          <w:lang w:val="lt-LT"/>
        </w:rPr>
        <w:t>Pagalbinės medžiagos</w:t>
      </w:r>
      <w:r w:rsidRPr="002B00E3">
        <w:rPr>
          <w:rFonts w:ascii="Times New Roman" w:eastAsia="Times New Roman" w:hAnsi="Times New Roman" w:cs="Times New Roman"/>
          <w:i/>
          <w:lang w:val="lt-LT"/>
        </w:rPr>
        <w:t xml:space="preserve"> </w:t>
      </w:r>
      <w:r w:rsidRPr="002B00E3">
        <w:rPr>
          <w:rFonts w:ascii="Times New Roman" w:eastAsia="Times New Roman" w:hAnsi="Times New Roman" w:cs="Times New Roman"/>
          <w:iCs/>
          <w:lang w:val="lt-LT"/>
        </w:rPr>
        <w:t xml:space="preserve">yra </w:t>
      </w:r>
      <w:r w:rsidRPr="002B00E3">
        <w:rPr>
          <w:rFonts w:ascii="Times New Roman" w:eastAsia="Times New Roman" w:hAnsi="Times New Roman" w:cs="Times New Roman"/>
          <w:lang w:val="lt-LT"/>
        </w:rPr>
        <w:t>etilceliuliozė, hidroksipropilceliuliozė, hipromeliozė, mikrokristalinė celiuliozė, parafinas, makrogolis 6000, silicio dioksidas, natrio stearilfumaratas, titano dioksidas (E 171).</w:t>
      </w:r>
    </w:p>
    <w:p w14:paraId="5BAE0DB8" w14:textId="77777777" w:rsidR="002B00E3" w:rsidRPr="002B00E3" w:rsidRDefault="002B00E3" w:rsidP="002B00E3">
      <w:pPr>
        <w:spacing w:after="0" w:line="240" w:lineRule="auto"/>
        <w:contextualSpacing/>
        <w:rPr>
          <w:rFonts w:ascii="Times New Roman" w:eastAsia="Times New Roman" w:hAnsi="Times New Roman" w:cs="Times New Roman"/>
          <w:b/>
          <w:bCs/>
          <w:lang w:val="lt-LT"/>
        </w:rPr>
      </w:pPr>
    </w:p>
    <w:p w14:paraId="3F512828" w14:textId="77777777" w:rsidR="002B00E3" w:rsidRPr="002B00E3" w:rsidRDefault="002B00E3" w:rsidP="002B00E3">
      <w:pPr>
        <w:spacing w:after="0" w:line="240" w:lineRule="auto"/>
        <w:contextualSpacing/>
        <w:outlineLvl w:val="0"/>
        <w:rPr>
          <w:rFonts w:ascii="Times New Roman" w:eastAsia="Times New Roman" w:hAnsi="Times New Roman" w:cs="Times New Roman"/>
          <w:b/>
          <w:bCs/>
          <w:lang w:val="lt-LT"/>
        </w:rPr>
      </w:pPr>
      <w:r w:rsidRPr="002B00E3">
        <w:rPr>
          <w:rFonts w:ascii="Times New Roman" w:eastAsia="Times New Roman" w:hAnsi="Times New Roman" w:cs="Times New Roman"/>
          <w:b/>
          <w:bCs/>
          <w:lang w:val="lt-LT"/>
        </w:rPr>
        <w:t>Betaloc ZOK išvaizda ir kiekis pakuotėje</w:t>
      </w:r>
    </w:p>
    <w:p w14:paraId="277E57FB"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23,75 mg pailginto atpalaidavimo tabletė yra balta, ovali, 5,5 </w:t>
      </w:r>
      <w:r w:rsidRPr="002B00E3">
        <w:rPr>
          <w:rFonts w:ascii="Times New Roman" w:eastAsia="Times New Roman" w:hAnsi="Times New Roman" w:cs="Times New Roman"/>
          <w:lang w:val="lt-LT"/>
        </w:rPr>
        <w:sym w:font="Symbol" w:char="F0B4"/>
      </w:r>
      <w:r w:rsidRPr="002B00E3">
        <w:rPr>
          <w:rFonts w:ascii="Times New Roman" w:eastAsia="Times New Roman" w:hAnsi="Times New Roman" w:cs="Times New Roman"/>
          <w:lang w:val="lt-LT"/>
        </w:rPr>
        <w:t xml:space="preserve"> </w:t>
      </w:r>
      <w:smartTag w:uri="urn:schemas-microsoft-com:office:smarttags" w:element="metricconverter">
        <w:smartTagPr>
          <w:attr w:name="ProductID" w:val="10ﾠmm"/>
        </w:smartTagPr>
        <w:r w:rsidRPr="002B00E3">
          <w:rPr>
            <w:rFonts w:ascii="Times New Roman" w:eastAsia="Times New Roman" w:hAnsi="Times New Roman" w:cs="Times New Roman"/>
            <w:lang w:val="lt-LT"/>
          </w:rPr>
          <w:t>10 mm</w:t>
        </w:r>
      </w:smartTag>
      <w:r w:rsidRPr="002B00E3">
        <w:rPr>
          <w:rFonts w:ascii="Times New Roman" w:eastAsia="Times New Roman" w:hAnsi="Times New Roman" w:cs="Times New Roman"/>
          <w:lang w:val="lt-LT"/>
        </w:rPr>
        <w:t xml:space="preserve"> dydžio, turi žymą “A/</w:t>
      </w:r>
      <w:r w:rsidRPr="002B00E3">
        <w:rPr>
          <w:rFonts w:ascii="Times New Roman" w:eastAsia="Times New Roman" w:hAnsi="Times New Roman" w:cs="Times New Roman"/>
          <w:lang w:val="lt-LT"/>
        </w:rPr>
        <w:sym w:font="Symbol" w:char="F062"/>
      </w:r>
      <w:r w:rsidRPr="002B00E3">
        <w:rPr>
          <w:rFonts w:ascii="Times New Roman" w:eastAsia="Times New Roman" w:hAnsi="Times New Roman" w:cs="Times New Roman"/>
          <w:lang w:val="lt-LT"/>
        </w:rPr>
        <w:t>” ir (abejose pusėse) po vagelę perlaužimui. Tabletę galima padalyti į dvi lygias dozes.</w:t>
      </w:r>
    </w:p>
    <w:p w14:paraId="3501FCAB"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47,5 mg pailginto atpalaidavimo tabletė yra balta, apvali, </w:t>
      </w:r>
      <w:smartTag w:uri="schemas-tilde-lv/tildestengine" w:element="metric2">
        <w:smartTagPr>
          <w:attr w:name="metric_text" w:val="mm"/>
          <w:attr w:name="metric_value" w:val="9"/>
        </w:smartTagPr>
        <w:smartTag w:uri="urn:schemas-microsoft-com:office:smarttags" w:element="metricconverter">
          <w:smartTagPr>
            <w:attr w:name="ProductID" w:val="9ﾠmm"/>
          </w:smartTagPr>
          <w:r w:rsidRPr="002B00E3">
            <w:rPr>
              <w:rFonts w:ascii="Times New Roman" w:eastAsia="Times New Roman" w:hAnsi="Times New Roman" w:cs="Times New Roman"/>
              <w:lang w:val="lt-LT"/>
            </w:rPr>
            <w:t>9 mm</w:t>
          </w:r>
        </w:smartTag>
      </w:smartTag>
      <w:r w:rsidRPr="002B00E3">
        <w:rPr>
          <w:rFonts w:ascii="Times New Roman" w:eastAsia="Times New Roman" w:hAnsi="Times New Roman" w:cs="Times New Roman"/>
          <w:lang w:val="lt-LT"/>
        </w:rPr>
        <w:t xml:space="preserve"> skersmens, turi žymą “A/mO” ir (vienoje pusėje) vagelę perlaužimui. </w:t>
      </w:r>
      <w:r w:rsidRPr="002B00E3">
        <w:rPr>
          <w:rFonts w:ascii="Times New Roman" w:eastAsia="Times New Roman" w:hAnsi="Times New Roman" w:cs="Times New Roman"/>
          <w:bCs/>
          <w:lang w:val="lt-LT"/>
        </w:rPr>
        <w:t>Vagelė skirta tik tabletei perlaužti, kad būtų lengviau nuryti, bet ne jai padalyti į lygias dozes.</w:t>
      </w:r>
    </w:p>
    <w:p w14:paraId="284706B6" w14:textId="77777777" w:rsidR="002B00E3" w:rsidRPr="002B00E3" w:rsidRDefault="002B00E3" w:rsidP="002B00E3">
      <w:pPr>
        <w:spacing w:after="0" w:line="240" w:lineRule="auto"/>
        <w:contextualSpacing/>
        <w:rPr>
          <w:rFonts w:ascii="Times New Roman" w:eastAsia="Times New Roman" w:hAnsi="Times New Roman" w:cs="Times New Roman"/>
          <w:lang w:val="lt-LT"/>
        </w:rPr>
      </w:pPr>
      <w:r w:rsidRPr="002B00E3">
        <w:rPr>
          <w:rFonts w:ascii="Times New Roman" w:eastAsia="Times New Roman" w:hAnsi="Times New Roman" w:cs="Times New Roman"/>
          <w:lang w:val="lt-LT"/>
        </w:rPr>
        <w:t xml:space="preserve">95 mg pailginto atpalaidavimo tabletė yra balta, apvali, </w:t>
      </w:r>
      <w:smartTag w:uri="schemas-tilde-lv/tildestengine" w:element="metric2">
        <w:smartTagPr>
          <w:attr w:name="metric_text" w:val="mm"/>
          <w:attr w:name="metric_value" w:val="10"/>
        </w:smartTagPr>
        <w:smartTag w:uri="urn:schemas-microsoft-com:office:smarttags" w:element="metricconverter">
          <w:smartTagPr>
            <w:attr w:name="ProductID" w:val="10ﾠmm"/>
          </w:smartTagPr>
          <w:r w:rsidRPr="002B00E3">
            <w:rPr>
              <w:rFonts w:ascii="Times New Roman" w:eastAsia="Times New Roman" w:hAnsi="Times New Roman" w:cs="Times New Roman"/>
              <w:lang w:val="lt-LT"/>
            </w:rPr>
            <w:t>10 mm</w:t>
          </w:r>
        </w:smartTag>
      </w:smartTag>
      <w:r w:rsidRPr="002B00E3">
        <w:rPr>
          <w:rFonts w:ascii="Times New Roman" w:eastAsia="Times New Roman" w:hAnsi="Times New Roman" w:cs="Times New Roman"/>
          <w:lang w:val="lt-LT"/>
        </w:rPr>
        <w:t xml:space="preserve"> skersmens, turi žymą “A/mS” ir (vienoje pusėje) vagelę perlaužimui. </w:t>
      </w:r>
      <w:r w:rsidRPr="002B00E3">
        <w:rPr>
          <w:rFonts w:ascii="Times New Roman" w:eastAsia="Times New Roman" w:hAnsi="Times New Roman" w:cs="Times New Roman"/>
          <w:bCs/>
          <w:lang w:val="lt-LT"/>
        </w:rPr>
        <w:t>Vagelė skirta tik tabletei perlaužti, kad būtų lengviau nuryti, bet ne jai padalyti į lygias dozes.</w:t>
      </w:r>
    </w:p>
    <w:p w14:paraId="47D93EBF"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7448FBED"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lang w:val="lt-LT" w:eastAsia="x-none"/>
        </w:rPr>
        <w:t>Betaloc 23,75 mg</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tiekiamas lizdinėse plokštelėse. Dėžutėje yra 14 arba 28 pailginto atpalaidavimo tablečių.</w:t>
      </w:r>
    </w:p>
    <w:p w14:paraId="2EF5AB6F" w14:textId="77777777" w:rsidR="002B00E3" w:rsidRPr="002B00E3" w:rsidRDefault="002B00E3" w:rsidP="002B00E3">
      <w:pPr>
        <w:spacing w:after="0" w:line="240" w:lineRule="auto"/>
        <w:contextualSpacing/>
        <w:rPr>
          <w:rFonts w:ascii="Times New Roman" w:eastAsia="Times New Roman" w:hAnsi="Times New Roman" w:cs="Times New Roman"/>
          <w:i/>
          <w:lang w:val="lt-LT" w:eastAsia="x-none"/>
        </w:rPr>
      </w:pPr>
      <w:r w:rsidRPr="002B00E3">
        <w:rPr>
          <w:rFonts w:ascii="Times New Roman" w:eastAsia="Times New Roman" w:hAnsi="Times New Roman" w:cs="Times New Roman"/>
          <w:lang w:val="lt-LT" w:eastAsia="x-none"/>
        </w:rPr>
        <w:t>Betaloc 47,5 mg ir Betaloc 95 mg</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tiekiami</w:t>
      </w:r>
      <w:r w:rsidRPr="002B00E3">
        <w:rPr>
          <w:rFonts w:ascii="Times New Roman" w:eastAsia="Times New Roman" w:hAnsi="Times New Roman" w:cs="Times New Roman"/>
          <w:i/>
          <w:lang w:val="lt-LT" w:eastAsia="x-none"/>
        </w:rPr>
        <w:t xml:space="preserve"> </w:t>
      </w:r>
      <w:r w:rsidRPr="002B00E3">
        <w:rPr>
          <w:rFonts w:ascii="Times New Roman" w:eastAsia="Times New Roman" w:hAnsi="Times New Roman" w:cs="Times New Roman"/>
          <w:lang w:val="lt-LT" w:eastAsia="x-none"/>
        </w:rPr>
        <w:t>lizdinėse plokštelėse (dėžutėje yra 28 pailginto atpalaidavimo tabletės) arba buteliukuose (dėžutėje yra 30 arba 90 pailginto atpalaidavimo tablečių).</w:t>
      </w:r>
    </w:p>
    <w:p w14:paraId="21BE9060" w14:textId="77777777" w:rsidR="002B00E3" w:rsidRPr="002B00E3" w:rsidRDefault="002B00E3" w:rsidP="002B00E3">
      <w:pPr>
        <w:spacing w:after="0" w:line="240" w:lineRule="auto"/>
        <w:contextualSpacing/>
        <w:rPr>
          <w:rFonts w:ascii="Times New Roman" w:eastAsia="Times New Roman" w:hAnsi="Times New Roman" w:cs="Times New Roman"/>
          <w:lang w:val="lt-LT" w:eastAsia="x-none"/>
        </w:rPr>
      </w:pPr>
    </w:p>
    <w:p w14:paraId="26B57E8E" w14:textId="77777777"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lang w:val="lt-LT" w:eastAsia="x-none"/>
        </w:rPr>
        <w:t>Gali būti tiekiamos ne visų dydžių pakuotės.</w:t>
      </w:r>
    </w:p>
    <w:p w14:paraId="1BC4D299" w14:textId="77777777" w:rsidR="002B00E3" w:rsidRPr="002B00E3" w:rsidRDefault="002B00E3" w:rsidP="002B00E3">
      <w:pPr>
        <w:spacing w:after="0" w:line="240" w:lineRule="auto"/>
        <w:contextualSpacing/>
        <w:rPr>
          <w:rFonts w:ascii="Times New Roman" w:eastAsia="Times New Roman" w:hAnsi="Times New Roman" w:cs="Times New Roman"/>
          <w:lang w:val="lt-LT"/>
        </w:rPr>
      </w:pPr>
    </w:p>
    <w:p w14:paraId="68CFF638" w14:textId="487F7483" w:rsidR="002B00E3" w:rsidRPr="002B00E3" w:rsidRDefault="002B00E3" w:rsidP="002B00E3">
      <w:pPr>
        <w:spacing w:after="0" w:line="240" w:lineRule="auto"/>
        <w:contextualSpacing/>
        <w:outlineLvl w:val="0"/>
        <w:rPr>
          <w:rFonts w:ascii="Times New Roman" w:eastAsia="Times New Roman" w:hAnsi="Times New Roman" w:cs="Times New Roman"/>
          <w:b/>
          <w:bCs/>
          <w:lang w:val="lt-LT" w:eastAsia="x-none"/>
        </w:rPr>
      </w:pPr>
      <w:r w:rsidRPr="002B00E3">
        <w:rPr>
          <w:rFonts w:ascii="Times New Roman" w:eastAsia="Times New Roman" w:hAnsi="Times New Roman" w:cs="Times New Roman"/>
          <w:b/>
          <w:bCs/>
          <w:lang w:val="lt-LT" w:eastAsia="x-none"/>
        </w:rPr>
        <w:t>Registruotojas</w:t>
      </w:r>
    </w:p>
    <w:p w14:paraId="1A7F138B"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Recordati Ireland Ltd</w:t>
      </w:r>
    </w:p>
    <w:p w14:paraId="181D76D8"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Raheens East, Ringaskiddy,</w:t>
      </w:r>
    </w:p>
    <w:p w14:paraId="3D64EA8D" w14:textId="77777777" w:rsidR="00AC0CD8" w:rsidRPr="00AC0CD8" w:rsidRDefault="00AC0CD8" w:rsidP="00AC0CD8">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Co. Cork, P43 KD30,</w:t>
      </w:r>
    </w:p>
    <w:p w14:paraId="2EA8391B" w14:textId="25018B8A" w:rsidR="002B00E3" w:rsidRPr="002B00E3" w:rsidRDefault="00AC0CD8" w:rsidP="00A44C50">
      <w:pPr>
        <w:spacing w:after="0" w:line="240" w:lineRule="auto"/>
        <w:contextualSpacing/>
        <w:outlineLvl w:val="0"/>
        <w:rPr>
          <w:rFonts w:ascii="Times New Roman" w:eastAsia="Times New Roman" w:hAnsi="Times New Roman" w:cs="Times New Roman"/>
          <w:lang w:val="lt-LT"/>
        </w:rPr>
      </w:pPr>
      <w:r w:rsidRPr="00AC0CD8">
        <w:rPr>
          <w:rFonts w:ascii="Times New Roman" w:eastAsia="Times New Roman" w:hAnsi="Times New Roman" w:cs="Times New Roman"/>
          <w:lang w:val="lt-LT"/>
        </w:rPr>
        <w:t>Airija</w:t>
      </w:r>
    </w:p>
    <w:p w14:paraId="06A39901"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4D3166D2" w14:textId="7D983EE4"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Gamintoja</w:t>
      </w:r>
      <w:r w:rsidR="00AC0CD8">
        <w:rPr>
          <w:rFonts w:ascii="Times New Roman" w:eastAsia="Times New Roman" w:hAnsi="Times New Roman" w:cs="Times New Roman"/>
          <w:b/>
          <w:lang w:val="lt-LT" w:eastAsia="x-none"/>
        </w:rPr>
        <w:t>s</w:t>
      </w:r>
    </w:p>
    <w:p w14:paraId="47944A56" w14:textId="77777777" w:rsidR="000A0DB1" w:rsidRDefault="000A0DB1" w:rsidP="000A0DB1">
      <w:pPr>
        <w:spacing w:after="0" w:line="240" w:lineRule="auto"/>
        <w:contextualSpacing/>
        <w:outlineLvl w:val="0"/>
        <w:rPr>
          <w:rFonts w:ascii="Times New Roman" w:eastAsia="Times New Roman" w:hAnsi="Times New Roman" w:cs="Times New Roman"/>
          <w:lang w:val="lt-LT" w:eastAsia="x-none"/>
        </w:rPr>
      </w:pPr>
      <w:bookmarkStart w:id="1" w:name="_Hlk20313629"/>
      <w:r>
        <w:rPr>
          <w:rFonts w:ascii="Times New Roman" w:eastAsia="Times New Roman" w:hAnsi="Times New Roman" w:cs="Times New Roman"/>
          <w:lang w:val="lt-LT" w:eastAsia="x-none"/>
        </w:rPr>
        <w:t>AstraZeneca AB</w:t>
      </w:r>
    </w:p>
    <w:p w14:paraId="1EF4A59B" w14:textId="77777777" w:rsidR="000A0DB1" w:rsidRDefault="000A0DB1" w:rsidP="000A0DB1">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Gärtunavägen </w:t>
      </w:r>
    </w:p>
    <w:p w14:paraId="2A81E60E" w14:textId="31A3E2E0" w:rsidR="000A0DB1" w:rsidRDefault="000A0DB1" w:rsidP="000A0DB1">
      <w:pPr>
        <w:spacing w:after="0" w:line="240" w:lineRule="auto"/>
        <w:contextualSpacing/>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SE-15</w:t>
      </w:r>
      <w:r w:rsidR="009827D5">
        <w:rPr>
          <w:rFonts w:ascii="Times New Roman" w:eastAsia="Times New Roman" w:hAnsi="Times New Roman" w:cs="Times New Roman"/>
          <w:lang w:val="lt-LT" w:eastAsia="x-none"/>
        </w:rPr>
        <w:t xml:space="preserve">2 </w:t>
      </w:r>
      <w:r w:rsidR="00C47207">
        <w:rPr>
          <w:rFonts w:ascii="Times New Roman" w:eastAsia="Times New Roman" w:hAnsi="Times New Roman" w:cs="Times New Roman"/>
          <w:lang w:val="lt-LT" w:eastAsia="x-none"/>
        </w:rPr>
        <w:t>57</w:t>
      </w:r>
      <w:r>
        <w:rPr>
          <w:rFonts w:ascii="Times New Roman" w:eastAsia="Times New Roman" w:hAnsi="Times New Roman" w:cs="Times New Roman"/>
          <w:lang w:val="lt-LT" w:eastAsia="x-none"/>
        </w:rPr>
        <w:t xml:space="preserve"> Södertälje, Švedija</w:t>
      </w:r>
    </w:p>
    <w:p w14:paraId="54636A25" w14:textId="77777777" w:rsidR="000A0DB1" w:rsidRDefault="000A0DB1" w:rsidP="000A0DB1">
      <w:pPr>
        <w:spacing w:after="0" w:line="240" w:lineRule="auto"/>
        <w:contextualSpacing/>
        <w:rPr>
          <w:rFonts w:ascii="Times New Roman" w:eastAsia="Times New Roman" w:hAnsi="Times New Roman" w:cs="Times New Roman"/>
          <w:iCs/>
          <w:lang w:val="lt-LT"/>
        </w:rPr>
      </w:pPr>
    </w:p>
    <w:p w14:paraId="04EBFD17"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Savio Industrial S.r.l.</w:t>
      </w:r>
    </w:p>
    <w:p w14:paraId="6C590131"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Via Emilia, 21</w:t>
      </w:r>
    </w:p>
    <w:p w14:paraId="2D8FAA97" w14:textId="77777777" w:rsidR="000A0DB1" w:rsidRPr="00CD45C9" w:rsidRDefault="000A0DB1" w:rsidP="000A0DB1">
      <w:pPr>
        <w:spacing w:after="0" w:line="240" w:lineRule="auto"/>
        <w:contextualSpacing/>
        <w:rPr>
          <w:rFonts w:ascii="Times New Roman" w:eastAsia="Times New Roman" w:hAnsi="Times New Roman" w:cs="Times New Roman"/>
          <w:bCs/>
          <w:highlight w:val="lightGray"/>
          <w:lang w:val="lt-LT"/>
        </w:rPr>
      </w:pPr>
      <w:r w:rsidRPr="00CD45C9">
        <w:rPr>
          <w:rFonts w:ascii="Times New Roman" w:eastAsia="Times New Roman" w:hAnsi="Times New Roman" w:cs="Times New Roman"/>
          <w:bCs/>
          <w:highlight w:val="lightGray"/>
          <w:lang w:val="lt-LT"/>
        </w:rPr>
        <w:t>27100 Pavia</w:t>
      </w:r>
    </w:p>
    <w:p w14:paraId="7B902B02" w14:textId="77777777" w:rsidR="000A0DB1" w:rsidRDefault="000A0DB1" w:rsidP="000A0DB1">
      <w:pPr>
        <w:spacing w:after="0" w:line="240" w:lineRule="auto"/>
        <w:contextualSpacing/>
        <w:rPr>
          <w:rFonts w:ascii="Times New Roman" w:eastAsia="Times New Roman" w:hAnsi="Times New Roman" w:cs="Times New Roman"/>
          <w:bCs/>
          <w:lang w:val="lt-LT"/>
        </w:rPr>
      </w:pPr>
      <w:r w:rsidRPr="00CD45C9">
        <w:rPr>
          <w:rFonts w:ascii="Times New Roman" w:eastAsia="Times New Roman" w:hAnsi="Times New Roman" w:cs="Times New Roman"/>
          <w:bCs/>
          <w:highlight w:val="lightGray"/>
          <w:lang w:val="lt-LT"/>
        </w:rPr>
        <w:t>Italija</w:t>
      </w:r>
    </w:p>
    <w:p w14:paraId="64CEE8DB" w14:textId="77777777" w:rsidR="000A0DB1" w:rsidRDefault="000A0DB1" w:rsidP="000A0DB1">
      <w:pPr>
        <w:spacing w:after="0" w:line="240" w:lineRule="auto"/>
        <w:contextualSpacing/>
        <w:rPr>
          <w:rFonts w:ascii="Times New Roman" w:eastAsia="Times New Roman" w:hAnsi="Times New Roman" w:cs="Times New Roman"/>
          <w:lang w:val="lt-LT" w:eastAsia="x-none"/>
        </w:rPr>
      </w:pPr>
    </w:p>
    <w:p w14:paraId="0ADA96D6" w14:textId="77777777" w:rsidR="004C7CF3" w:rsidRPr="00042433" w:rsidRDefault="004C7CF3" w:rsidP="004C7CF3">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Recordati Industria Chimica e Farmaceutica S.p.A.</w:t>
      </w:r>
    </w:p>
    <w:p w14:paraId="7ED9398C" w14:textId="77777777" w:rsidR="004C7CF3" w:rsidRPr="00042433" w:rsidRDefault="004C7CF3" w:rsidP="004C7CF3">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 xml:space="preserve">Via Matteo Civitali, 1 </w:t>
      </w:r>
    </w:p>
    <w:p w14:paraId="6E81BDB2" w14:textId="77777777" w:rsidR="004C7CF3" w:rsidRPr="00042433" w:rsidRDefault="004C7CF3" w:rsidP="004C7CF3">
      <w:pPr>
        <w:spacing w:after="0" w:line="240" w:lineRule="auto"/>
        <w:contextualSpacing/>
        <w:rPr>
          <w:rFonts w:ascii="Times New Roman" w:eastAsia="Times New Roman" w:hAnsi="Times New Roman" w:cs="Times New Roman"/>
          <w:highlight w:val="lightGray"/>
          <w:lang w:val="lt-LT" w:eastAsia="x-none"/>
        </w:rPr>
      </w:pPr>
      <w:r w:rsidRPr="00042433">
        <w:rPr>
          <w:rFonts w:ascii="Times New Roman" w:eastAsia="Times New Roman" w:hAnsi="Times New Roman" w:cs="Times New Roman"/>
          <w:highlight w:val="lightGray"/>
          <w:lang w:val="lt-LT" w:eastAsia="x-none"/>
        </w:rPr>
        <w:t>20148 Milano</w:t>
      </w:r>
    </w:p>
    <w:p w14:paraId="2F547AF9" w14:textId="52BC9798" w:rsidR="004C7CF3" w:rsidRDefault="004C7CF3" w:rsidP="004C7CF3">
      <w:pPr>
        <w:spacing w:after="0" w:line="240" w:lineRule="auto"/>
        <w:contextualSpacing/>
        <w:rPr>
          <w:rFonts w:ascii="Times New Roman" w:eastAsia="Times New Roman" w:hAnsi="Times New Roman" w:cs="Times New Roman"/>
          <w:lang w:val="lt-LT" w:eastAsia="x-none"/>
        </w:rPr>
      </w:pPr>
      <w:r w:rsidRPr="00042433">
        <w:rPr>
          <w:rFonts w:ascii="Times New Roman" w:eastAsia="Times New Roman" w:hAnsi="Times New Roman" w:cs="Times New Roman"/>
          <w:highlight w:val="lightGray"/>
          <w:lang w:val="lt-LT" w:eastAsia="x-none"/>
        </w:rPr>
        <w:t>Italija</w:t>
      </w:r>
    </w:p>
    <w:p w14:paraId="0CA07722" w14:textId="40851543" w:rsidR="000A0DB1" w:rsidRDefault="000A0DB1" w:rsidP="000A0DB1">
      <w:pPr>
        <w:spacing w:after="0" w:line="240" w:lineRule="auto"/>
        <w:contextualSpacing/>
        <w:rPr>
          <w:rFonts w:ascii="Times New Roman" w:eastAsia="Times New Roman" w:hAnsi="Times New Roman" w:cs="Times New Roman"/>
          <w:bCs/>
          <w:lang w:val="lt-LT"/>
        </w:rPr>
      </w:pPr>
    </w:p>
    <w:p w14:paraId="0307070E" w14:textId="77777777" w:rsidR="000A0DB1" w:rsidRDefault="000A0DB1" w:rsidP="000A0DB1">
      <w:pPr>
        <w:spacing w:after="0" w:line="240" w:lineRule="auto"/>
        <w:contextualSpacing/>
        <w:outlineLvl w:val="0"/>
        <w:rPr>
          <w:rFonts w:ascii="Times New Roman" w:eastAsia="Times New Roman" w:hAnsi="Times New Roman" w:cs="Times New Roman"/>
          <w:bCs/>
          <w:u w:val="single"/>
          <w:lang w:val="lt-LT"/>
        </w:rPr>
      </w:pPr>
      <w:r>
        <w:rPr>
          <w:rFonts w:ascii="Times New Roman" w:eastAsia="Times New Roman" w:hAnsi="Times New Roman" w:cs="Times New Roman"/>
          <w:bCs/>
          <w:u w:val="single"/>
          <w:lang w:val="lt-LT"/>
        </w:rPr>
        <w:t>Tik Betaloc ZOK 47,5 mg ir 95 mg pailginto atpalaidavimo tabletėms</w:t>
      </w:r>
    </w:p>
    <w:p w14:paraId="3FA6644D"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p>
    <w:p w14:paraId="6D62AB00"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Casen Recordati, S.L.</w:t>
      </w:r>
    </w:p>
    <w:p w14:paraId="7D470559"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 xml:space="preserve">Autovía de Logroño, km. 13,300, </w:t>
      </w:r>
    </w:p>
    <w:p w14:paraId="28A52C55"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50180 Utebo (Zaragoza)</w:t>
      </w:r>
    </w:p>
    <w:p w14:paraId="63A27C3D" w14:textId="77777777" w:rsidR="000A0DB1" w:rsidRDefault="000A0DB1" w:rsidP="000A0DB1">
      <w:pPr>
        <w:spacing w:after="0" w:line="240" w:lineRule="auto"/>
        <w:contextualSpacing/>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Ispanija</w:t>
      </w:r>
      <w:bookmarkEnd w:id="1"/>
    </w:p>
    <w:p w14:paraId="34154001"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58599F84" w14:textId="270E6ABD" w:rsidR="002B00E3" w:rsidRPr="002B00E3" w:rsidRDefault="002B00E3" w:rsidP="002B00E3">
      <w:pPr>
        <w:spacing w:after="0" w:line="240" w:lineRule="auto"/>
        <w:contextualSpacing/>
        <w:outlineLvl w:val="0"/>
        <w:rPr>
          <w:rFonts w:ascii="Times New Roman" w:eastAsia="Times New Roman" w:hAnsi="Times New Roman" w:cs="Times New Roman"/>
          <w:b/>
          <w:lang w:val="lt-LT" w:eastAsia="x-none"/>
        </w:rPr>
      </w:pPr>
      <w:r w:rsidRPr="002B00E3">
        <w:rPr>
          <w:rFonts w:ascii="Times New Roman" w:eastAsia="Times New Roman" w:hAnsi="Times New Roman" w:cs="Times New Roman"/>
          <w:b/>
          <w:lang w:val="lt-LT" w:eastAsia="x-none"/>
        </w:rPr>
        <w:t xml:space="preserve">Šis pakuotės lapelis paskutinį kartą </w:t>
      </w:r>
      <w:r w:rsidR="00FB0F03" w:rsidRPr="00FB0F03">
        <w:rPr>
          <w:rFonts w:ascii="Times New Roman" w:eastAsia="Times New Roman" w:hAnsi="Times New Roman" w:cs="Times New Roman"/>
          <w:b/>
          <w:lang w:val="lt-LT" w:eastAsia="x-none"/>
        </w:rPr>
        <w:t xml:space="preserve">peržiūrėtas </w:t>
      </w:r>
      <w:r w:rsidR="00C47207">
        <w:rPr>
          <w:rFonts w:ascii="Times New Roman" w:eastAsia="Times New Roman" w:hAnsi="Times New Roman" w:cs="Times New Roman"/>
          <w:b/>
          <w:lang w:val="lt-LT" w:eastAsia="x-none"/>
        </w:rPr>
        <w:t>2023-10-27</w:t>
      </w:r>
      <w:r w:rsidR="00C26C66">
        <w:rPr>
          <w:rFonts w:ascii="Times New Roman" w:eastAsia="Times New Roman" w:hAnsi="Times New Roman" w:cs="Times New Roman"/>
          <w:b/>
          <w:lang w:val="lt-LT" w:eastAsia="x-none"/>
        </w:rPr>
        <w:t>.</w:t>
      </w:r>
    </w:p>
    <w:p w14:paraId="01497C2D" w14:textId="77777777" w:rsidR="002B00E3" w:rsidRPr="002B00E3" w:rsidRDefault="002B00E3" w:rsidP="002B00E3">
      <w:pPr>
        <w:spacing w:after="0" w:line="240" w:lineRule="auto"/>
        <w:contextualSpacing/>
        <w:rPr>
          <w:rFonts w:ascii="Times New Roman" w:eastAsia="Times New Roman" w:hAnsi="Times New Roman" w:cs="Times New Roman"/>
          <w:b/>
          <w:lang w:val="lt-LT" w:eastAsia="x-none"/>
        </w:rPr>
      </w:pPr>
    </w:p>
    <w:p w14:paraId="18249D27" w14:textId="77777777" w:rsidR="002B00E3" w:rsidRPr="002B00E3" w:rsidRDefault="002B00E3" w:rsidP="002B00E3">
      <w:pPr>
        <w:numPr>
          <w:ilvl w:val="12"/>
          <w:numId w:val="0"/>
        </w:numPr>
        <w:spacing w:after="0" w:line="240" w:lineRule="auto"/>
        <w:ind w:right="-2"/>
        <w:contextualSpacing/>
        <w:rPr>
          <w:rFonts w:ascii="Times New Roman" w:eastAsia="Times New Roman" w:hAnsi="Times New Roman" w:cs="Times New Roman"/>
          <w:bCs/>
          <w:lang w:val="lt-LT"/>
        </w:rPr>
      </w:pPr>
      <w:r w:rsidRPr="002B00E3">
        <w:rPr>
          <w:rFonts w:ascii="Times New Roman" w:eastAsia="Times New Roman" w:hAnsi="Times New Roman" w:cs="Times New Roman"/>
          <w:bCs/>
          <w:lang w:val="lt-LT"/>
        </w:rPr>
        <w:t>Išsami informacija apie šį vaistą pateikiama Valstybinės vaistų kontrolės tarnybos prie Lietuvos Respublikos sveikatos apsaugos ministerijos tinklalapyje</w:t>
      </w:r>
      <w:r w:rsidRPr="002B00E3">
        <w:rPr>
          <w:rFonts w:ascii="Times New Roman" w:eastAsia="Times New Roman" w:hAnsi="Times New Roman" w:cs="Times New Roman"/>
          <w:bCs/>
          <w:i/>
          <w:lang w:val="lt-LT"/>
        </w:rPr>
        <w:t xml:space="preserve"> </w:t>
      </w:r>
      <w:hyperlink r:id="rId16" w:history="1">
        <w:r w:rsidRPr="002B00E3">
          <w:rPr>
            <w:rFonts w:ascii="Times New Roman" w:eastAsia="SimSun" w:hAnsi="Times New Roman" w:cs="Times New Roman"/>
            <w:bCs/>
            <w:color w:val="0000FF"/>
            <w:u w:val="single"/>
            <w:lang w:val="lt-LT"/>
          </w:rPr>
          <w:t>http://www.vvkt.lt/</w:t>
        </w:r>
      </w:hyperlink>
      <w:r w:rsidRPr="002B00E3">
        <w:rPr>
          <w:rFonts w:ascii="Times New Roman" w:eastAsia="Times New Roman" w:hAnsi="Times New Roman" w:cs="Times New Roman"/>
          <w:bCs/>
          <w:lang w:val="lt-LT"/>
        </w:rPr>
        <w:t>.</w:t>
      </w:r>
    </w:p>
    <w:p w14:paraId="4FAD9671" w14:textId="77777777" w:rsidR="002B00E3" w:rsidRPr="002B00E3" w:rsidRDefault="002B00E3" w:rsidP="002B00E3">
      <w:pPr>
        <w:numPr>
          <w:ilvl w:val="12"/>
          <w:numId w:val="0"/>
        </w:numPr>
        <w:spacing w:after="0" w:line="240" w:lineRule="auto"/>
        <w:ind w:right="-2"/>
        <w:contextualSpacing/>
        <w:rPr>
          <w:rFonts w:ascii="Times New Roman" w:eastAsia="Times New Roman" w:hAnsi="Times New Roman" w:cs="Times New Roman"/>
          <w:bCs/>
          <w:lang w:val="lt-LT"/>
        </w:rPr>
      </w:pPr>
    </w:p>
    <w:p w14:paraId="51714C82" w14:textId="77777777" w:rsidR="002B00E3" w:rsidRPr="002B00E3" w:rsidRDefault="002B00E3" w:rsidP="002B00E3">
      <w:pPr>
        <w:numPr>
          <w:ilvl w:val="12"/>
          <w:numId w:val="0"/>
        </w:numPr>
        <w:spacing w:after="0" w:line="240" w:lineRule="auto"/>
        <w:ind w:right="-2"/>
        <w:contextualSpacing/>
        <w:rPr>
          <w:rFonts w:ascii="Times New Roman" w:eastAsia="Times New Roman" w:hAnsi="Times New Roman" w:cs="Times New Roman"/>
          <w:bCs/>
          <w:lang w:val="lt-LT"/>
        </w:rPr>
      </w:pPr>
    </w:p>
    <w:p w14:paraId="35C988D4" w14:textId="77777777" w:rsidR="004E0E8E" w:rsidRPr="002B00E3" w:rsidRDefault="004E0E8E" w:rsidP="002B00E3">
      <w:pPr>
        <w:spacing w:after="0" w:line="240" w:lineRule="auto"/>
        <w:contextualSpacing/>
        <w:rPr>
          <w:rFonts w:ascii="Times New Roman" w:hAnsi="Times New Roman" w:cs="Times New Roman"/>
          <w:lang w:val="lt-LT"/>
        </w:rPr>
      </w:pPr>
    </w:p>
    <w:sectPr w:rsidR="004E0E8E" w:rsidRPr="002B00E3" w:rsidSect="002B00E3">
      <w:headerReference w:type="default" r:id="rId17"/>
      <w:footerReference w:type="even" r:id="rId18"/>
      <w:footerReference w:type="default" r:id="rId19"/>
      <w:pgSz w:w="11906" w:h="16838"/>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43715" w14:textId="77777777" w:rsidR="0071438C" w:rsidRDefault="0071438C">
      <w:pPr>
        <w:spacing w:after="0" w:line="240" w:lineRule="auto"/>
      </w:pPr>
      <w:r>
        <w:separator/>
      </w:r>
    </w:p>
  </w:endnote>
  <w:endnote w:type="continuationSeparator" w:id="0">
    <w:p w14:paraId="2AA8CCBC" w14:textId="77777777" w:rsidR="0071438C" w:rsidRDefault="0071438C">
      <w:pPr>
        <w:spacing w:after="0" w:line="240" w:lineRule="auto"/>
      </w:pPr>
      <w:r>
        <w:continuationSeparator/>
      </w:r>
    </w:p>
  </w:endnote>
  <w:endnote w:type="continuationNotice" w:id="1">
    <w:p w14:paraId="5D30165B" w14:textId="77777777" w:rsidR="0071438C" w:rsidRDefault="00714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100CE" w14:textId="77777777" w:rsidR="000A0DB1" w:rsidRDefault="000A0D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FD88FB1" w14:textId="77777777" w:rsidR="000A0DB1" w:rsidRDefault="000A0DB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41A84" w14:textId="3A5FBE6E" w:rsidR="000A0DB1" w:rsidRDefault="000A0D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213CA">
      <w:rPr>
        <w:rStyle w:val="Puslapionumeris"/>
        <w:noProof/>
      </w:rPr>
      <w:t>24</w:t>
    </w:r>
    <w:r>
      <w:rPr>
        <w:rStyle w:val="Puslapionumeris"/>
      </w:rPr>
      <w:fldChar w:fldCharType="end"/>
    </w:r>
  </w:p>
  <w:p w14:paraId="3FAA185E" w14:textId="77777777" w:rsidR="000A0DB1" w:rsidRDefault="000A0DB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B2B93" w14:textId="77777777" w:rsidR="0071438C" w:rsidRDefault="0071438C">
      <w:pPr>
        <w:spacing w:after="0" w:line="240" w:lineRule="auto"/>
      </w:pPr>
      <w:r>
        <w:separator/>
      </w:r>
    </w:p>
  </w:footnote>
  <w:footnote w:type="continuationSeparator" w:id="0">
    <w:p w14:paraId="5A651FC2" w14:textId="77777777" w:rsidR="0071438C" w:rsidRDefault="0071438C">
      <w:pPr>
        <w:spacing w:after="0" w:line="240" w:lineRule="auto"/>
      </w:pPr>
      <w:r>
        <w:continuationSeparator/>
      </w:r>
    </w:p>
  </w:footnote>
  <w:footnote w:type="continuationNotice" w:id="1">
    <w:p w14:paraId="77AF050C" w14:textId="77777777" w:rsidR="0071438C" w:rsidRDefault="00714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3203A" w14:textId="77777777" w:rsidR="00E01F54" w:rsidRDefault="00E01F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D26BFB"/>
    <w:multiLevelType w:val="singleLevel"/>
    <w:tmpl w:val="9ABCC52C"/>
    <w:lvl w:ilvl="0">
      <w:start w:val="5"/>
      <w:numFmt w:val="decimal"/>
      <w:lvlText w:val="%1."/>
      <w:lvlJc w:val="left"/>
      <w:pPr>
        <w:tabs>
          <w:tab w:val="num" w:pos="719"/>
        </w:tabs>
        <w:ind w:left="719" w:hanging="435"/>
      </w:pPr>
      <w:rPr>
        <w:rFonts w:hint="default"/>
      </w:rPr>
    </w:lvl>
  </w:abstractNum>
  <w:abstractNum w:abstractNumId="2" w15:restartNumberingAfterBreak="0">
    <w:nsid w:val="053036A9"/>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AE36915"/>
    <w:multiLevelType w:val="hybridMultilevel"/>
    <w:tmpl w:val="7E587F26"/>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CB2100"/>
    <w:multiLevelType w:val="hybridMultilevel"/>
    <w:tmpl w:val="218AEC4A"/>
    <w:lvl w:ilvl="0" w:tplc="0FDA591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4344D43"/>
    <w:multiLevelType w:val="hybridMultilevel"/>
    <w:tmpl w:val="A5F2DFE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869FE"/>
    <w:multiLevelType w:val="singleLevel"/>
    <w:tmpl w:val="051A2D4C"/>
    <w:lvl w:ilvl="0">
      <w:start w:val="4"/>
      <w:numFmt w:val="decimal"/>
      <w:lvlText w:val="%1."/>
      <w:lvlJc w:val="left"/>
      <w:pPr>
        <w:tabs>
          <w:tab w:val="num" w:pos="720"/>
        </w:tabs>
        <w:ind w:left="720" w:hanging="720"/>
      </w:pPr>
      <w:rPr>
        <w:rFonts w:hint="default"/>
      </w:rPr>
    </w:lvl>
  </w:abstractNum>
  <w:abstractNum w:abstractNumId="7" w15:restartNumberingAfterBreak="0">
    <w:nsid w:val="14CB64BC"/>
    <w:multiLevelType w:val="hybridMultilevel"/>
    <w:tmpl w:val="4B208B52"/>
    <w:lvl w:ilvl="0" w:tplc="49AA8C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2588E"/>
    <w:multiLevelType w:val="hybridMultilevel"/>
    <w:tmpl w:val="413ADF70"/>
    <w:lvl w:ilvl="0" w:tplc="36DE73F0">
      <w:start w:val="2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92AEE"/>
    <w:multiLevelType w:val="hybridMultilevel"/>
    <w:tmpl w:val="DA487AAE"/>
    <w:lvl w:ilvl="0" w:tplc="2DBC088A">
      <w:start w:val="2"/>
      <w:numFmt w:val="bullet"/>
      <w:lvlText w:val="-"/>
      <w:lvlJc w:val="left"/>
      <w:pPr>
        <w:tabs>
          <w:tab w:val="num" w:pos="720"/>
        </w:tabs>
        <w:ind w:left="720" w:hanging="360"/>
      </w:pPr>
      <w:rPr>
        <w:rFonts w:ascii="Bookman Old Style" w:eastAsia="Times New Roman" w:hAnsi="Bookman Old Style"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376BA0"/>
    <w:multiLevelType w:val="singleLevel"/>
    <w:tmpl w:val="4D6EC7F0"/>
    <w:lvl w:ilvl="0">
      <w:start w:val="7"/>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1" w15:restartNumberingAfterBreak="0">
    <w:nsid w:val="260A174A"/>
    <w:multiLevelType w:val="hybridMultilevel"/>
    <w:tmpl w:val="7374A332"/>
    <w:lvl w:ilvl="0" w:tplc="E30E4BE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20871"/>
    <w:multiLevelType w:val="hybridMultilevel"/>
    <w:tmpl w:val="6FE65BDA"/>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F396BA0"/>
    <w:multiLevelType w:val="hybridMultilevel"/>
    <w:tmpl w:val="A44ECFF6"/>
    <w:lvl w:ilvl="0" w:tplc="EF3E9E40">
      <w:start w:val="2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B7C2154E"/>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52C89"/>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3D540CB1"/>
    <w:multiLevelType w:val="hybridMultilevel"/>
    <w:tmpl w:val="96B8AEF4"/>
    <w:lvl w:ilvl="0" w:tplc="AAFAE26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74AF7"/>
    <w:multiLevelType w:val="hybridMultilevel"/>
    <w:tmpl w:val="3DF2C24E"/>
    <w:lvl w:ilvl="0" w:tplc="0FDA591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1D0F80"/>
    <w:multiLevelType w:val="hybridMultilevel"/>
    <w:tmpl w:val="110ECDD4"/>
    <w:lvl w:ilvl="0" w:tplc="F21A6B5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C3461A"/>
    <w:multiLevelType w:val="hybridMultilevel"/>
    <w:tmpl w:val="72F8F2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131FBB"/>
    <w:multiLevelType w:val="hybridMultilevel"/>
    <w:tmpl w:val="3C94885A"/>
    <w:lvl w:ilvl="0" w:tplc="0B30750C">
      <w:start w:val="5"/>
      <w:numFmt w:val="decimal"/>
      <w:lvlText w:val="%1."/>
      <w:lvlJc w:val="left"/>
      <w:pPr>
        <w:tabs>
          <w:tab w:val="num" w:pos="900"/>
        </w:tabs>
        <w:ind w:left="900" w:hanging="540"/>
      </w:pPr>
      <w:rPr>
        <w:rFonts w:hint="default"/>
      </w:rPr>
    </w:lvl>
    <w:lvl w:ilvl="1" w:tplc="5E1E2F6C">
      <w:start w:val="30"/>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7A0931"/>
    <w:multiLevelType w:val="hybridMultilevel"/>
    <w:tmpl w:val="925C4E3A"/>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A2A6983"/>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51FB5509"/>
    <w:multiLevelType w:val="hybridMultilevel"/>
    <w:tmpl w:val="E69ED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E718EA"/>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58F3387A"/>
    <w:multiLevelType w:val="hybridMultilevel"/>
    <w:tmpl w:val="BCC8D24C"/>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AF23437"/>
    <w:multiLevelType w:val="hybridMultilevel"/>
    <w:tmpl w:val="9D1CDF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E3E3B69"/>
    <w:multiLevelType w:val="hybridMultilevel"/>
    <w:tmpl w:val="E2240D08"/>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24D70FE"/>
    <w:multiLevelType w:val="hybridMultilevel"/>
    <w:tmpl w:val="2578D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5345507"/>
    <w:multiLevelType w:val="hybridMultilevel"/>
    <w:tmpl w:val="4844ADD0"/>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7C0532"/>
    <w:multiLevelType w:val="hybridMultilevel"/>
    <w:tmpl w:val="57C46174"/>
    <w:lvl w:ilvl="0" w:tplc="87622590">
      <w:start w:val="2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575CC"/>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6E743872"/>
    <w:multiLevelType w:val="hybridMultilevel"/>
    <w:tmpl w:val="4962A7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FF37D78"/>
    <w:multiLevelType w:val="hybridMultilevel"/>
    <w:tmpl w:val="59F20F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EB1641"/>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7A3C1B92"/>
    <w:multiLevelType w:val="hybridMultilevel"/>
    <w:tmpl w:val="208866A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B26459"/>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7ACA6668"/>
    <w:multiLevelType w:val="hybridMultilevel"/>
    <w:tmpl w:val="E79E425E"/>
    <w:lvl w:ilvl="0" w:tplc="CB700A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num>
  <w:num w:numId="3">
    <w:abstractNumId w:val="19"/>
  </w:num>
  <w:num w:numId="4">
    <w:abstractNumId w:val="16"/>
  </w:num>
  <w:num w:numId="5">
    <w:abstractNumId w:val="20"/>
  </w:num>
  <w:num w:numId="6">
    <w:abstractNumId w:val="1"/>
  </w:num>
  <w:num w:numId="7">
    <w:abstractNumId w:val="24"/>
  </w:num>
  <w:num w:numId="8">
    <w:abstractNumId w:val="34"/>
  </w:num>
  <w:num w:numId="9">
    <w:abstractNumId w:val="36"/>
  </w:num>
  <w:num w:numId="10">
    <w:abstractNumId w:val="31"/>
  </w:num>
  <w:num w:numId="11">
    <w:abstractNumId w:val="22"/>
  </w:num>
  <w:num w:numId="12">
    <w:abstractNumId w:val="6"/>
  </w:num>
  <w:num w:numId="13">
    <w:abstractNumId w:val="2"/>
  </w:num>
  <w:num w:numId="14">
    <w:abstractNumId w:val="15"/>
  </w:num>
  <w:num w:numId="15">
    <w:abstractNumId w:val="11"/>
  </w:num>
  <w:num w:numId="16">
    <w:abstractNumId w:val="9"/>
  </w:num>
  <w:num w:numId="17">
    <w:abstractNumId w:val="33"/>
  </w:num>
  <w:num w:numId="18">
    <w:abstractNumId w:val="23"/>
  </w:num>
  <w:num w:numId="19">
    <w:abstractNumId w:val="18"/>
  </w:num>
  <w:num w:numId="20">
    <w:abstractNumId w:val="37"/>
  </w:num>
  <w:num w:numId="21">
    <w:abstractNumId w:val="14"/>
  </w:num>
  <w:num w:numId="22">
    <w:abstractNumId w:val="7"/>
  </w:num>
  <w:num w:numId="23">
    <w:abstractNumId w:val="5"/>
  </w:num>
  <w:num w:numId="24">
    <w:abstractNumId w:val="30"/>
  </w:num>
  <w:num w:numId="25">
    <w:abstractNumId w:val="8"/>
  </w:num>
  <w:num w:numId="26">
    <w:abstractNumId w:val="13"/>
  </w:num>
  <w:num w:numId="27">
    <w:abstractNumId w:val="26"/>
  </w:num>
  <w:num w:numId="28">
    <w:abstractNumId w:val="28"/>
  </w:num>
  <w:num w:numId="29">
    <w:abstractNumId w:val="4"/>
  </w:num>
  <w:num w:numId="30">
    <w:abstractNumId w:val="17"/>
  </w:num>
  <w:num w:numId="31">
    <w:abstractNumId w:val="32"/>
  </w:num>
  <w:num w:numId="32">
    <w:abstractNumId w:val="35"/>
  </w:num>
  <w:num w:numId="33">
    <w:abstractNumId w:val="21"/>
  </w:num>
  <w:num w:numId="34">
    <w:abstractNumId w:val="25"/>
  </w:num>
  <w:num w:numId="35">
    <w:abstractNumId w:val="29"/>
  </w:num>
  <w:num w:numId="36">
    <w:abstractNumId w:val="27"/>
  </w:num>
  <w:num w:numId="37">
    <w:abstractNumId w:val="1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0E3"/>
    <w:rsid w:val="00021867"/>
    <w:rsid w:val="00042433"/>
    <w:rsid w:val="000A0DB1"/>
    <w:rsid w:val="000E0E95"/>
    <w:rsid w:val="001201F3"/>
    <w:rsid w:val="001C33A9"/>
    <w:rsid w:val="001D56F1"/>
    <w:rsid w:val="00235C78"/>
    <w:rsid w:val="002360CC"/>
    <w:rsid w:val="002B00E3"/>
    <w:rsid w:val="002B6E15"/>
    <w:rsid w:val="002C1F31"/>
    <w:rsid w:val="002C5EFE"/>
    <w:rsid w:val="002E5A16"/>
    <w:rsid w:val="002E604A"/>
    <w:rsid w:val="003121D8"/>
    <w:rsid w:val="003578F0"/>
    <w:rsid w:val="00397144"/>
    <w:rsid w:val="003A1202"/>
    <w:rsid w:val="00445381"/>
    <w:rsid w:val="00492575"/>
    <w:rsid w:val="0049677C"/>
    <w:rsid w:val="004A2298"/>
    <w:rsid w:val="004C7CF3"/>
    <w:rsid w:val="004E0E8E"/>
    <w:rsid w:val="00544C91"/>
    <w:rsid w:val="00553D74"/>
    <w:rsid w:val="005D43ED"/>
    <w:rsid w:val="005E40C3"/>
    <w:rsid w:val="0071438C"/>
    <w:rsid w:val="007672D2"/>
    <w:rsid w:val="0079349C"/>
    <w:rsid w:val="00880AC4"/>
    <w:rsid w:val="008A5065"/>
    <w:rsid w:val="008B5567"/>
    <w:rsid w:val="008B6E88"/>
    <w:rsid w:val="008C544B"/>
    <w:rsid w:val="00951CC4"/>
    <w:rsid w:val="00967D42"/>
    <w:rsid w:val="009827D5"/>
    <w:rsid w:val="00992E00"/>
    <w:rsid w:val="00A0610B"/>
    <w:rsid w:val="00A44C50"/>
    <w:rsid w:val="00A61414"/>
    <w:rsid w:val="00AB5524"/>
    <w:rsid w:val="00AB5941"/>
    <w:rsid w:val="00AC0CD8"/>
    <w:rsid w:val="00B01FE3"/>
    <w:rsid w:val="00B17005"/>
    <w:rsid w:val="00B9370B"/>
    <w:rsid w:val="00BD6B48"/>
    <w:rsid w:val="00C11973"/>
    <w:rsid w:val="00C2566D"/>
    <w:rsid w:val="00C26C66"/>
    <w:rsid w:val="00C47207"/>
    <w:rsid w:val="00CD45C9"/>
    <w:rsid w:val="00CE6D80"/>
    <w:rsid w:val="00CE74DB"/>
    <w:rsid w:val="00CF7572"/>
    <w:rsid w:val="00E01F54"/>
    <w:rsid w:val="00E213CA"/>
    <w:rsid w:val="00EB7D28"/>
    <w:rsid w:val="00EC6647"/>
    <w:rsid w:val="00F10B00"/>
    <w:rsid w:val="00FB0F03"/>
    <w:rsid w:val="00FB3C27"/>
    <w:rsid w:val="00FC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1707B65C"/>
  <w15:chartTrackingRefBased/>
  <w15:docId w15:val="{AFF9BDFF-2E89-429E-9C92-CB347F30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1"/>
    <w:qFormat/>
    <w:rsid w:val="002B00E3"/>
    <w:pPr>
      <w:spacing w:after="240" w:line="240" w:lineRule="auto"/>
      <w:outlineLvl w:val="0"/>
    </w:pPr>
    <w:rPr>
      <w:rFonts w:ascii="Times New Roman" w:eastAsia="Calibri" w:hAnsi="Times New Roman" w:cs="Times New Roman"/>
      <w:b/>
      <w:sz w:val="32"/>
      <w:szCs w:val="20"/>
      <w:lang w:val="x-none" w:eastAsia="x-none"/>
    </w:rPr>
  </w:style>
  <w:style w:type="paragraph" w:styleId="Antrat2">
    <w:name w:val="heading 2"/>
    <w:basedOn w:val="prastasis"/>
    <w:next w:val="prastasis"/>
    <w:link w:val="Antrat2Diagrama"/>
    <w:uiPriority w:val="1"/>
    <w:qFormat/>
    <w:rsid w:val="002B00E3"/>
    <w:pPr>
      <w:spacing w:after="120" w:line="240" w:lineRule="auto"/>
      <w:outlineLvl w:val="1"/>
    </w:pPr>
    <w:rPr>
      <w:rFonts w:ascii="Times New Roman" w:eastAsia="Times New Roman" w:hAnsi="Times New Roman" w:cs="Times New Roman"/>
      <w:b/>
      <w:bCs/>
      <w:sz w:val="28"/>
      <w:szCs w:val="26"/>
      <w:lang w:val="x-none" w:eastAsia="x-none"/>
    </w:rPr>
  </w:style>
  <w:style w:type="paragraph" w:styleId="Antrat3">
    <w:name w:val="heading 3"/>
    <w:basedOn w:val="prastasis"/>
    <w:next w:val="prastasis"/>
    <w:link w:val="Antrat3Diagrama"/>
    <w:uiPriority w:val="1"/>
    <w:qFormat/>
    <w:rsid w:val="002B00E3"/>
    <w:pPr>
      <w:spacing w:after="120" w:line="240" w:lineRule="auto"/>
      <w:outlineLvl w:val="2"/>
    </w:pPr>
    <w:rPr>
      <w:rFonts w:ascii="Times New Roman" w:eastAsia="Times New Roman" w:hAnsi="Times New Roman" w:cs="Times New Roman"/>
      <w:b/>
      <w:bCs/>
      <w:sz w:val="20"/>
      <w:szCs w:val="20"/>
      <w:lang w:val="x-none" w:eastAsia="x-none"/>
    </w:rPr>
  </w:style>
  <w:style w:type="paragraph" w:styleId="Antrat4">
    <w:name w:val="heading 4"/>
    <w:basedOn w:val="prastasis"/>
    <w:next w:val="prastasis"/>
    <w:link w:val="Antrat4Diagrama"/>
    <w:uiPriority w:val="1"/>
    <w:qFormat/>
    <w:rsid w:val="002B00E3"/>
    <w:pPr>
      <w:spacing w:after="0" w:line="240" w:lineRule="auto"/>
      <w:outlineLvl w:val="3"/>
    </w:pPr>
    <w:rPr>
      <w:rFonts w:ascii="Times New Roman" w:eastAsia="Times New Roman" w:hAnsi="Times New Roman" w:cs="Times New Roman"/>
      <w:b/>
      <w:bCs/>
      <w:iCs/>
      <w:sz w:val="20"/>
      <w:szCs w:val="20"/>
      <w:lang w:val="x-none" w:eastAsia="x-none"/>
    </w:rPr>
  </w:style>
  <w:style w:type="paragraph" w:styleId="Antrat5">
    <w:name w:val="heading 5"/>
    <w:basedOn w:val="prastasis"/>
    <w:next w:val="prastasis"/>
    <w:link w:val="Antrat5Diagrama"/>
    <w:uiPriority w:val="1"/>
    <w:qFormat/>
    <w:rsid w:val="002B00E3"/>
    <w:pPr>
      <w:spacing w:after="0" w:line="240" w:lineRule="auto"/>
      <w:outlineLvl w:val="4"/>
    </w:pPr>
    <w:rPr>
      <w:rFonts w:ascii="Times New Roman" w:eastAsia="Times New Roman" w:hAnsi="Times New Roman" w:cs="Times New Roman"/>
      <w:b/>
      <w:i/>
      <w:sz w:val="20"/>
      <w:szCs w:val="20"/>
      <w:lang w:val="x-none" w:eastAsia="x-none"/>
    </w:rPr>
  </w:style>
  <w:style w:type="paragraph" w:styleId="Antrat6">
    <w:name w:val="heading 6"/>
    <w:basedOn w:val="prastasis"/>
    <w:next w:val="prastasis"/>
    <w:link w:val="Antrat6Diagrama"/>
    <w:uiPriority w:val="1"/>
    <w:qFormat/>
    <w:rsid w:val="002B00E3"/>
    <w:pPr>
      <w:spacing w:after="0" w:line="240" w:lineRule="auto"/>
      <w:outlineLvl w:val="5"/>
    </w:pPr>
    <w:rPr>
      <w:rFonts w:ascii="Times New Roman" w:eastAsia="Times New Roman" w:hAnsi="Times New Roman" w:cs="Times New Roman"/>
      <w:i/>
      <w:iCs/>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2B00E3"/>
    <w:rPr>
      <w:rFonts w:ascii="Times New Roman" w:eastAsia="Calibri" w:hAnsi="Times New Roman" w:cs="Times New Roman"/>
      <w:b/>
      <w:sz w:val="32"/>
      <w:szCs w:val="20"/>
      <w:lang w:val="x-none" w:eastAsia="x-none"/>
    </w:rPr>
  </w:style>
  <w:style w:type="character" w:customStyle="1" w:styleId="Antrat2Diagrama">
    <w:name w:val="Antraštė 2 Diagrama"/>
    <w:basedOn w:val="Numatytasispastraiposriftas"/>
    <w:link w:val="Antrat2"/>
    <w:uiPriority w:val="1"/>
    <w:rsid w:val="002B00E3"/>
    <w:rPr>
      <w:rFonts w:ascii="Times New Roman" w:eastAsia="Times New Roman" w:hAnsi="Times New Roman" w:cs="Times New Roman"/>
      <w:b/>
      <w:bCs/>
      <w:sz w:val="28"/>
      <w:szCs w:val="26"/>
      <w:lang w:val="x-none" w:eastAsia="x-none"/>
    </w:rPr>
  </w:style>
  <w:style w:type="character" w:customStyle="1" w:styleId="Antrat3Diagrama">
    <w:name w:val="Antraštė 3 Diagrama"/>
    <w:basedOn w:val="Numatytasispastraiposriftas"/>
    <w:link w:val="Antrat3"/>
    <w:uiPriority w:val="1"/>
    <w:rsid w:val="002B00E3"/>
    <w:rPr>
      <w:rFonts w:ascii="Times New Roman" w:eastAsia="Times New Roman" w:hAnsi="Times New Roman" w:cs="Times New Roman"/>
      <w:b/>
      <w:bCs/>
      <w:sz w:val="20"/>
      <w:szCs w:val="20"/>
      <w:lang w:val="x-none" w:eastAsia="x-none"/>
    </w:rPr>
  </w:style>
  <w:style w:type="character" w:customStyle="1" w:styleId="Antrat4Diagrama">
    <w:name w:val="Antraštė 4 Diagrama"/>
    <w:basedOn w:val="Numatytasispastraiposriftas"/>
    <w:link w:val="Antrat4"/>
    <w:uiPriority w:val="1"/>
    <w:rsid w:val="002B00E3"/>
    <w:rPr>
      <w:rFonts w:ascii="Times New Roman" w:eastAsia="Times New Roman" w:hAnsi="Times New Roman" w:cs="Times New Roman"/>
      <w:b/>
      <w:bCs/>
      <w:iCs/>
      <w:sz w:val="20"/>
      <w:szCs w:val="20"/>
      <w:lang w:val="x-none" w:eastAsia="x-none"/>
    </w:rPr>
  </w:style>
  <w:style w:type="character" w:customStyle="1" w:styleId="Antrat5Diagrama">
    <w:name w:val="Antraštė 5 Diagrama"/>
    <w:basedOn w:val="Numatytasispastraiposriftas"/>
    <w:link w:val="Antrat5"/>
    <w:uiPriority w:val="1"/>
    <w:rsid w:val="002B00E3"/>
    <w:rPr>
      <w:rFonts w:ascii="Times New Roman" w:eastAsia="Times New Roman" w:hAnsi="Times New Roman" w:cs="Times New Roman"/>
      <w:b/>
      <w:i/>
      <w:sz w:val="20"/>
      <w:szCs w:val="20"/>
      <w:lang w:val="x-none" w:eastAsia="x-none"/>
    </w:rPr>
  </w:style>
  <w:style w:type="character" w:customStyle="1" w:styleId="Antrat6Diagrama">
    <w:name w:val="Antraštė 6 Diagrama"/>
    <w:basedOn w:val="Numatytasispastraiposriftas"/>
    <w:link w:val="Antrat6"/>
    <w:uiPriority w:val="1"/>
    <w:rsid w:val="002B00E3"/>
    <w:rPr>
      <w:rFonts w:ascii="Times New Roman" w:eastAsia="Times New Roman" w:hAnsi="Times New Roman" w:cs="Times New Roman"/>
      <w:i/>
      <w:iCs/>
      <w:sz w:val="20"/>
      <w:szCs w:val="20"/>
      <w:lang w:val="x-none" w:eastAsia="x-none"/>
    </w:rPr>
  </w:style>
  <w:style w:type="numbering" w:customStyle="1" w:styleId="NoList1">
    <w:name w:val="No List1"/>
    <w:next w:val="Sraonra"/>
    <w:uiPriority w:val="99"/>
    <w:semiHidden/>
    <w:unhideWhenUsed/>
    <w:rsid w:val="002B00E3"/>
  </w:style>
  <w:style w:type="paragraph" w:styleId="Pagrindinistekstas2">
    <w:name w:val="Body Text 2"/>
    <w:basedOn w:val="prastasis"/>
    <w:link w:val="Pagrindinistekstas2Diagrama"/>
    <w:rsid w:val="002B00E3"/>
    <w:pPr>
      <w:spacing w:after="0" w:line="240" w:lineRule="auto"/>
    </w:pPr>
    <w:rPr>
      <w:rFonts w:ascii="Times New Roman" w:eastAsia="Times New Roman" w:hAnsi="Times New Roman" w:cs="Times New Roman"/>
      <w:sz w:val="20"/>
      <w:szCs w:val="20"/>
      <w:lang w:val="lt-LT" w:eastAsia="x-none"/>
    </w:rPr>
  </w:style>
  <w:style w:type="character" w:customStyle="1" w:styleId="Pagrindinistekstas2Diagrama">
    <w:name w:val="Pagrindinis tekstas 2 Diagrama"/>
    <w:basedOn w:val="Numatytasispastraiposriftas"/>
    <w:link w:val="Pagrindinistekstas2"/>
    <w:rsid w:val="002B00E3"/>
    <w:rPr>
      <w:rFonts w:ascii="Times New Roman" w:eastAsia="Times New Roman" w:hAnsi="Times New Roman" w:cs="Times New Roman"/>
      <w:sz w:val="20"/>
      <w:szCs w:val="20"/>
      <w:lang w:val="lt-LT" w:eastAsia="x-none"/>
    </w:rPr>
  </w:style>
  <w:style w:type="paragraph" w:styleId="Pavadinimas">
    <w:name w:val="Title"/>
    <w:basedOn w:val="prastasis"/>
    <w:link w:val="PavadinimasDiagrama"/>
    <w:qFormat/>
    <w:rsid w:val="002B00E3"/>
    <w:pPr>
      <w:spacing w:after="0" w:line="240" w:lineRule="auto"/>
      <w:ind w:right="261"/>
      <w:jc w:val="center"/>
    </w:pPr>
    <w:rPr>
      <w:rFonts w:ascii="Times New Roman" w:eastAsia="Times New Roman" w:hAnsi="Times New Roman" w:cs="Times New Roman"/>
      <w:bCs/>
      <w:sz w:val="20"/>
      <w:szCs w:val="20"/>
      <w:lang w:val="lt-LT" w:eastAsia="x-none"/>
    </w:rPr>
  </w:style>
  <w:style w:type="character" w:customStyle="1" w:styleId="PavadinimasDiagrama">
    <w:name w:val="Pavadinimas Diagrama"/>
    <w:basedOn w:val="Numatytasispastraiposriftas"/>
    <w:link w:val="Pavadinimas"/>
    <w:rsid w:val="002B00E3"/>
    <w:rPr>
      <w:rFonts w:ascii="Times New Roman" w:eastAsia="Times New Roman" w:hAnsi="Times New Roman" w:cs="Times New Roman"/>
      <w:bCs/>
      <w:sz w:val="20"/>
      <w:szCs w:val="20"/>
      <w:lang w:val="lt-LT" w:eastAsia="x-none"/>
    </w:rPr>
  </w:style>
  <w:style w:type="paragraph" w:styleId="Pagrindinistekstas">
    <w:name w:val="Body Text"/>
    <w:basedOn w:val="prastasis"/>
    <w:link w:val="PagrindinistekstasDiagrama"/>
    <w:rsid w:val="002B00E3"/>
    <w:pPr>
      <w:spacing w:after="120" w:line="240" w:lineRule="auto"/>
    </w:pPr>
    <w:rPr>
      <w:rFonts w:ascii="Times New Roman" w:eastAsia="Times New Roman" w:hAnsi="Times New Roman" w:cs="Times New Roman"/>
      <w:sz w:val="24"/>
      <w:szCs w:val="20"/>
      <w:lang w:val="lt-LT" w:eastAsia="x-none"/>
    </w:rPr>
  </w:style>
  <w:style w:type="character" w:customStyle="1" w:styleId="PagrindinistekstasDiagrama">
    <w:name w:val="Pagrindinis tekstas Diagrama"/>
    <w:basedOn w:val="Numatytasispastraiposriftas"/>
    <w:link w:val="Pagrindinistekstas"/>
    <w:rsid w:val="002B00E3"/>
    <w:rPr>
      <w:rFonts w:ascii="Times New Roman" w:eastAsia="Times New Roman" w:hAnsi="Times New Roman" w:cs="Times New Roman"/>
      <w:sz w:val="24"/>
      <w:szCs w:val="20"/>
      <w:lang w:val="lt-LT" w:eastAsia="x-none"/>
    </w:rPr>
  </w:style>
  <w:style w:type="paragraph" w:styleId="Pagrindinistekstas3">
    <w:name w:val="Body Text 3"/>
    <w:basedOn w:val="prastasis"/>
    <w:link w:val="Pagrindinistekstas3Diagrama"/>
    <w:rsid w:val="002B00E3"/>
    <w:pPr>
      <w:spacing w:after="0" w:line="360" w:lineRule="auto"/>
      <w:jc w:val="both"/>
    </w:pPr>
    <w:rPr>
      <w:rFonts w:ascii="Times New Roman" w:eastAsia="Times New Roman" w:hAnsi="Times New Roman" w:cs="Times New Roman"/>
      <w:i/>
      <w:sz w:val="24"/>
      <w:szCs w:val="20"/>
      <w:lang w:val="lt-LT" w:eastAsia="x-none"/>
    </w:rPr>
  </w:style>
  <w:style w:type="character" w:customStyle="1" w:styleId="Pagrindinistekstas3Diagrama">
    <w:name w:val="Pagrindinis tekstas 3 Diagrama"/>
    <w:basedOn w:val="Numatytasispastraiposriftas"/>
    <w:link w:val="Pagrindinistekstas3"/>
    <w:rsid w:val="002B00E3"/>
    <w:rPr>
      <w:rFonts w:ascii="Times New Roman" w:eastAsia="Times New Roman" w:hAnsi="Times New Roman" w:cs="Times New Roman"/>
      <w:i/>
      <w:sz w:val="24"/>
      <w:szCs w:val="20"/>
      <w:lang w:val="lt-LT" w:eastAsia="x-none"/>
    </w:rPr>
  </w:style>
  <w:style w:type="paragraph" w:styleId="Porat">
    <w:name w:val="footer"/>
    <w:basedOn w:val="prastasis"/>
    <w:link w:val="PoratDiagrama"/>
    <w:rsid w:val="002B00E3"/>
    <w:pPr>
      <w:tabs>
        <w:tab w:val="center" w:pos="4153"/>
        <w:tab w:val="right" w:pos="8306"/>
      </w:tabs>
      <w:spacing w:after="0" w:line="240" w:lineRule="auto"/>
    </w:pPr>
    <w:rPr>
      <w:rFonts w:ascii="Times New Roman" w:eastAsia="Times New Roman" w:hAnsi="Times New Roman" w:cs="Times New Roman"/>
      <w:sz w:val="24"/>
      <w:szCs w:val="20"/>
      <w:lang w:val="lt-LT" w:eastAsia="x-none"/>
    </w:rPr>
  </w:style>
  <w:style w:type="character" w:customStyle="1" w:styleId="PoratDiagrama">
    <w:name w:val="Poraštė Diagrama"/>
    <w:basedOn w:val="Numatytasispastraiposriftas"/>
    <w:link w:val="Porat"/>
    <w:rsid w:val="002B00E3"/>
    <w:rPr>
      <w:rFonts w:ascii="Times New Roman" w:eastAsia="Times New Roman" w:hAnsi="Times New Roman" w:cs="Times New Roman"/>
      <w:sz w:val="24"/>
      <w:szCs w:val="20"/>
      <w:lang w:val="lt-LT" w:eastAsia="x-none"/>
    </w:rPr>
  </w:style>
  <w:style w:type="character" w:styleId="Puslapionumeris">
    <w:name w:val="page number"/>
    <w:basedOn w:val="Numatytasispastraiposriftas"/>
    <w:rsid w:val="002B00E3"/>
  </w:style>
  <w:style w:type="paragraph" w:styleId="Pagrindiniotekstotrauka">
    <w:name w:val="Body Text Indent"/>
    <w:basedOn w:val="prastasis"/>
    <w:link w:val="PagrindiniotekstotraukaDiagrama"/>
    <w:rsid w:val="002B00E3"/>
    <w:pPr>
      <w:spacing w:after="120" w:line="240" w:lineRule="auto"/>
      <w:ind w:left="283"/>
    </w:pPr>
    <w:rPr>
      <w:rFonts w:ascii="Times New Roman" w:eastAsia="Times New Roman" w:hAnsi="Times New Roman" w:cs="Times New Roman"/>
      <w:sz w:val="24"/>
      <w:szCs w:val="24"/>
      <w:lang w:val="lt-LT" w:eastAsia="x-none"/>
    </w:rPr>
  </w:style>
  <w:style w:type="character" w:customStyle="1" w:styleId="PagrindiniotekstotraukaDiagrama">
    <w:name w:val="Pagrindinio teksto įtrauka Diagrama"/>
    <w:basedOn w:val="Numatytasispastraiposriftas"/>
    <w:link w:val="Pagrindiniotekstotrauka"/>
    <w:rsid w:val="002B00E3"/>
    <w:rPr>
      <w:rFonts w:ascii="Times New Roman" w:eastAsia="Times New Roman" w:hAnsi="Times New Roman" w:cs="Times New Roman"/>
      <w:sz w:val="24"/>
      <w:szCs w:val="24"/>
      <w:lang w:val="lt-LT" w:eastAsia="x-none"/>
    </w:rPr>
  </w:style>
  <w:style w:type="paragraph" w:customStyle="1" w:styleId="BTuEMEASMCA">
    <w:name w:val="BT(u) EMEA_SMCA"/>
    <w:basedOn w:val="prastasis"/>
    <w:autoRedefine/>
    <w:rsid w:val="002B00E3"/>
    <w:pPr>
      <w:spacing w:after="0" w:line="240" w:lineRule="auto"/>
    </w:pPr>
    <w:rPr>
      <w:rFonts w:ascii="Times New Roman" w:eastAsia="Times New Roman" w:hAnsi="Times New Roman" w:cs="Times New Roman"/>
      <w:u w:val="single"/>
      <w:lang w:val="lt-LT"/>
    </w:rPr>
  </w:style>
  <w:style w:type="character" w:styleId="Hipersaitas">
    <w:name w:val="Hyperlink"/>
    <w:uiPriority w:val="99"/>
    <w:rsid w:val="002B00E3"/>
    <w:rPr>
      <w:color w:val="0000FF"/>
      <w:u w:val="single"/>
    </w:rPr>
  </w:style>
  <w:style w:type="paragraph" w:styleId="Debesliotekstas">
    <w:name w:val="Balloon Text"/>
    <w:basedOn w:val="prastasis"/>
    <w:link w:val="DebesliotekstasDiagrama"/>
    <w:semiHidden/>
    <w:rsid w:val="002B00E3"/>
    <w:pPr>
      <w:spacing w:after="0" w:line="240" w:lineRule="auto"/>
    </w:pPr>
    <w:rPr>
      <w:rFonts w:ascii="Tahoma" w:eastAsia="Times New Roman" w:hAnsi="Tahoma" w:cs="Times New Roman"/>
      <w:bCs/>
      <w:sz w:val="16"/>
      <w:szCs w:val="16"/>
      <w:lang w:val="lt-LT" w:eastAsia="x-none"/>
    </w:rPr>
  </w:style>
  <w:style w:type="character" w:customStyle="1" w:styleId="DebesliotekstasDiagrama">
    <w:name w:val="Debesėlio tekstas Diagrama"/>
    <w:basedOn w:val="Numatytasispastraiposriftas"/>
    <w:link w:val="Debesliotekstas"/>
    <w:semiHidden/>
    <w:rsid w:val="002B00E3"/>
    <w:rPr>
      <w:rFonts w:ascii="Tahoma" w:eastAsia="Times New Roman" w:hAnsi="Tahoma" w:cs="Times New Roman"/>
      <w:bCs/>
      <w:sz w:val="16"/>
      <w:szCs w:val="16"/>
      <w:lang w:val="lt-LT" w:eastAsia="x-none"/>
    </w:rPr>
  </w:style>
  <w:style w:type="paragraph" w:styleId="Komentarotekstas">
    <w:name w:val="annotation text"/>
    <w:basedOn w:val="prastasis"/>
    <w:link w:val="KomentarotekstasDiagrama"/>
    <w:semiHidden/>
    <w:rsid w:val="002B00E3"/>
    <w:pPr>
      <w:spacing w:after="0" w:line="240" w:lineRule="auto"/>
    </w:pPr>
    <w:rPr>
      <w:rFonts w:ascii="Times New Roman" w:eastAsia="Times New Roman" w:hAnsi="Times New Roman" w:cs="Times New Roman"/>
      <w:bCs/>
      <w:sz w:val="20"/>
      <w:szCs w:val="20"/>
      <w:lang w:val="lt-LT" w:eastAsia="x-none"/>
    </w:rPr>
  </w:style>
  <w:style w:type="character" w:customStyle="1" w:styleId="KomentarotekstasDiagrama">
    <w:name w:val="Komentaro tekstas Diagrama"/>
    <w:basedOn w:val="Numatytasispastraiposriftas"/>
    <w:link w:val="Komentarotekstas"/>
    <w:semiHidden/>
    <w:rsid w:val="002B00E3"/>
    <w:rPr>
      <w:rFonts w:ascii="Times New Roman" w:eastAsia="Times New Roman" w:hAnsi="Times New Roman" w:cs="Times New Roman"/>
      <w:bCs/>
      <w:sz w:val="20"/>
      <w:szCs w:val="20"/>
      <w:lang w:val="lt-LT" w:eastAsia="x-none"/>
    </w:rPr>
  </w:style>
  <w:style w:type="paragraph" w:styleId="Komentarotema">
    <w:name w:val="annotation subject"/>
    <w:basedOn w:val="Komentarotekstas"/>
    <w:next w:val="Komentarotekstas"/>
    <w:link w:val="KomentarotemaDiagrama"/>
    <w:semiHidden/>
    <w:rsid w:val="002B00E3"/>
  </w:style>
  <w:style w:type="character" w:customStyle="1" w:styleId="KomentarotemaDiagrama">
    <w:name w:val="Komentaro tema Diagrama"/>
    <w:basedOn w:val="KomentarotekstasDiagrama"/>
    <w:link w:val="Komentarotema"/>
    <w:semiHidden/>
    <w:rsid w:val="002B00E3"/>
    <w:rPr>
      <w:rFonts w:ascii="Times New Roman" w:eastAsia="Times New Roman" w:hAnsi="Times New Roman" w:cs="Times New Roman"/>
      <w:bCs/>
      <w:sz w:val="20"/>
      <w:szCs w:val="20"/>
      <w:lang w:val="lt-LT" w:eastAsia="x-none"/>
    </w:rPr>
  </w:style>
  <w:style w:type="paragraph" w:customStyle="1" w:styleId="BTEMEASMCA">
    <w:name w:val="BT EMEA_SMCA"/>
    <w:basedOn w:val="prastasis"/>
    <w:link w:val="BTEMEASMCAChar"/>
    <w:autoRedefine/>
    <w:rsid w:val="002B00E3"/>
    <w:pPr>
      <w:spacing w:after="0" w:line="240" w:lineRule="auto"/>
    </w:pPr>
    <w:rPr>
      <w:rFonts w:ascii="Times New Roman" w:eastAsia="Times New Roman" w:hAnsi="Times New Roman" w:cs="Times New Roman"/>
      <w:sz w:val="20"/>
      <w:szCs w:val="20"/>
      <w:lang w:val="lt-LT" w:eastAsia="lt-LT"/>
    </w:rPr>
  </w:style>
  <w:style w:type="character" w:customStyle="1" w:styleId="BTEMEASMCAChar">
    <w:name w:val="BT EMEA_SMCA Char"/>
    <w:link w:val="BTEMEASMCA"/>
    <w:rsid w:val="002B00E3"/>
    <w:rPr>
      <w:rFonts w:ascii="Times New Roman" w:eastAsia="Times New Roman" w:hAnsi="Times New Roman" w:cs="Times New Roman"/>
      <w:sz w:val="20"/>
      <w:szCs w:val="20"/>
      <w:lang w:val="lt-LT" w:eastAsia="lt-LT"/>
    </w:rPr>
  </w:style>
  <w:style w:type="paragraph" w:customStyle="1" w:styleId="BT-EMEASMCA">
    <w:name w:val="BT- EMEA_SMCA"/>
    <w:basedOn w:val="prastasis"/>
    <w:autoRedefine/>
    <w:rsid w:val="002B00E3"/>
    <w:pPr>
      <w:numPr>
        <w:numId w:val="21"/>
      </w:numPr>
      <w:tabs>
        <w:tab w:val="clear" w:pos="720"/>
        <w:tab w:val="num" w:pos="540"/>
      </w:tabs>
      <w:spacing w:after="0" w:line="240" w:lineRule="auto"/>
      <w:ind w:left="540" w:hanging="540"/>
    </w:pPr>
    <w:rPr>
      <w:rFonts w:ascii="Times New Roman" w:eastAsia="Times New Roman" w:hAnsi="Times New Roman" w:cs="Times New Roman"/>
      <w:noProof/>
      <w:lang w:val="lt-LT"/>
    </w:rPr>
  </w:style>
  <w:style w:type="paragraph" w:styleId="prastasiniatinklio">
    <w:name w:val="Normal (Web)"/>
    <w:basedOn w:val="prastasis"/>
    <w:rsid w:val="002B00E3"/>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customStyle="1" w:styleId="A-TableText">
    <w:name w:val="A-Table Text"/>
    <w:rsid w:val="002B00E3"/>
    <w:pPr>
      <w:spacing w:before="60" w:after="60" w:line="240" w:lineRule="auto"/>
    </w:pPr>
    <w:rPr>
      <w:rFonts w:ascii="Times New Roman" w:eastAsia="Times New Roman" w:hAnsi="Times New Roman" w:cs="Times New Roman"/>
      <w:lang w:val="en-GB"/>
    </w:rPr>
  </w:style>
  <w:style w:type="paragraph" w:customStyle="1" w:styleId="PI-3EMEASMCA">
    <w:name w:val="PI-3 EMEA_SMCA"/>
    <w:basedOn w:val="prastasis"/>
    <w:autoRedefine/>
    <w:rsid w:val="002B00E3"/>
    <w:pPr>
      <w:spacing w:after="0" w:line="220" w:lineRule="exact"/>
    </w:pPr>
    <w:rPr>
      <w:rFonts w:ascii="Times New Roman" w:eastAsia="Times New Roman" w:hAnsi="Times New Roman" w:cs="Times New Roman"/>
      <w:b/>
      <w:bCs/>
      <w:lang w:val="lt-LT"/>
    </w:rPr>
  </w:style>
  <w:style w:type="paragraph" w:styleId="Antrats">
    <w:name w:val="header"/>
    <w:basedOn w:val="prastasis"/>
    <w:link w:val="AntratsDiagrama"/>
    <w:rsid w:val="002B00E3"/>
    <w:pPr>
      <w:tabs>
        <w:tab w:val="center" w:pos="4819"/>
        <w:tab w:val="right" w:pos="9638"/>
      </w:tabs>
      <w:spacing w:after="0" w:line="240" w:lineRule="auto"/>
    </w:pPr>
    <w:rPr>
      <w:rFonts w:ascii="Times New Roman" w:eastAsia="Times New Roman" w:hAnsi="Times New Roman" w:cs="Times New Roman"/>
      <w:bCs/>
      <w:sz w:val="20"/>
      <w:szCs w:val="20"/>
      <w:lang w:val="lt-LT" w:eastAsia="x-none"/>
    </w:rPr>
  </w:style>
  <w:style w:type="character" w:customStyle="1" w:styleId="AntratsDiagrama">
    <w:name w:val="Antraštės Diagrama"/>
    <w:basedOn w:val="Numatytasispastraiposriftas"/>
    <w:link w:val="Antrats"/>
    <w:rsid w:val="002B00E3"/>
    <w:rPr>
      <w:rFonts w:ascii="Times New Roman" w:eastAsia="Times New Roman" w:hAnsi="Times New Roman" w:cs="Times New Roman"/>
      <w:bCs/>
      <w:sz w:val="20"/>
      <w:szCs w:val="20"/>
      <w:lang w:val="lt-LT" w:eastAsia="x-none"/>
    </w:rPr>
  </w:style>
  <w:style w:type="character" w:styleId="Komentaronuoroda">
    <w:name w:val="annotation reference"/>
    <w:uiPriority w:val="99"/>
    <w:semiHidden/>
    <w:unhideWhenUsed/>
    <w:rsid w:val="002B00E3"/>
    <w:rPr>
      <w:sz w:val="16"/>
      <w:szCs w:val="16"/>
    </w:rPr>
  </w:style>
  <w:style w:type="paragraph" w:customStyle="1" w:styleId="A-Single">
    <w:name w:val="A-Single"/>
    <w:uiPriority w:val="99"/>
    <w:rsid w:val="002B00E3"/>
    <w:pPr>
      <w:spacing w:after="0" w:line="240" w:lineRule="auto"/>
    </w:pPr>
    <w:rPr>
      <w:rFonts w:ascii="Times New Roman" w:eastAsia="Calibri" w:hAnsi="Times New Roman" w:cs="Times New Roman"/>
      <w:sz w:val="24"/>
      <w:szCs w:val="24"/>
      <w:lang w:val="en-GB"/>
    </w:rPr>
  </w:style>
  <w:style w:type="paragraph" w:styleId="Paprastasistekstas">
    <w:name w:val="Plain Text"/>
    <w:basedOn w:val="prastasis"/>
    <w:link w:val="PaprastasistekstasDiagrama"/>
    <w:uiPriority w:val="99"/>
    <w:rsid w:val="002B00E3"/>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2B00E3"/>
    <w:rPr>
      <w:rFonts w:ascii="Courier New" w:eastAsia="SimSun" w:hAnsi="Courier New" w:cs="Times New Roman"/>
      <w:sz w:val="20"/>
      <w:szCs w:val="20"/>
    </w:rPr>
  </w:style>
  <w:style w:type="paragraph" w:styleId="Dokumentostruktra">
    <w:name w:val="Document Map"/>
    <w:basedOn w:val="prastasis"/>
    <w:link w:val="DokumentostruktraDiagrama"/>
    <w:uiPriority w:val="99"/>
    <w:semiHidden/>
    <w:unhideWhenUsed/>
    <w:rsid w:val="002B00E3"/>
    <w:pPr>
      <w:spacing w:after="0" w:line="240" w:lineRule="auto"/>
    </w:pPr>
    <w:rPr>
      <w:rFonts w:ascii="Tahoma" w:eastAsia="Times New Roman" w:hAnsi="Tahoma" w:cs="Times New Roman"/>
      <w:b/>
      <w:bCs/>
      <w:sz w:val="16"/>
      <w:szCs w:val="16"/>
      <w:lang w:val="x-none"/>
    </w:rPr>
  </w:style>
  <w:style w:type="character" w:customStyle="1" w:styleId="DokumentostruktraDiagrama">
    <w:name w:val="Dokumento struktūra Diagrama"/>
    <w:basedOn w:val="Numatytasispastraiposriftas"/>
    <w:link w:val="Dokumentostruktra"/>
    <w:uiPriority w:val="99"/>
    <w:semiHidden/>
    <w:rsid w:val="002B00E3"/>
    <w:rPr>
      <w:rFonts w:ascii="Tahoma" w:eastAsia="Times New Roman" w:hAnsi="Tahoma" w:cs="Times New Roman"/>
      <w:b/>
      <w:bCs/>
      <w:sz w:val="16"/>
      <w:szCs w:val="16"/>
      <w:lang w:val="x-none"/>
    </w:rPr>
  </w:style>
  <w:style w:type="character" w:customStyle="1" w:styleId="FollowedHyperlink1">
    <w:name w:val="FollowedHyperlink1"/>
    <w:basedOn w:val="Numatytasispastraiposriftas"/>
    <w:uiPriority w:val="99"/>
    <w:semiHidden/>
    <w:unhideWhenUsed/>
    <w:rsid w:val="002B00E3"/>
    <w:rPr>
      <w:color w:val="800080"/>
      <w:u w:val="single"/>
    </w:rPr>
  </w:style>
  <w:style w:type="character" w:styleId="Perirtashipersaitas">
    <w:name w:val="FollowedHyperlink"/>
    <w:basedOn w:val="Numatytasispastraiposriftas"/>
    <w:uiPriority w:val="99"/>
    <w:semiHidden/>
    <w:unhideWhenUsed/>
    <w:rsid w:val="002B00E3"/>
    <w:rPr>
      <w:color w:val="954F72" w:themeColor="followedHyperlink"/>
      <w:u w:val="single"/>
    </w:rPr>
  </w:style>
  <w:style w:type="paragraph" w:styleId="Pataisymai">
    <w:name w:val="Revision"/>
    <w:hidden/>
    <w:uiPriority w:val="99"/>
    <w:semiHidden/>
    <w:rsid w:val="004C7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02615">
      <w:bodyDiv w:val="1"/>
      <w:marLeft w:val="0"/>
      <w:marRight w:val="0"/>
      <w:marTop w:val="0"/>
      <w:marBottom w:val="0"/>
      <w:divBdr>
        <w:top w:val="none" w:sz="0" w:space="0" w:color="auto"/>
        <w:left w:val="none" w:sz="0" w:space="0" w:color="auto"/>
        <w:bottom w:val="none" w:sz="0" w:space="0" w:color="auto"/>
        <w:right w:val="none" w:sz="0" w:space="0" w:color="auto"/>
      </w:divBdr>
    </w:div>
    <w:div w:id="64555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6" ma:contentTypeDescription="Create a new document." ma:contentTypeScope="" ma:versionID="3c9977b45bdb92e429e67011125a282c">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ee0d9588946d379083b214f09a3a7c2e"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DA7B0-9E0C-42B9-A85A-FBFB21D404EB}">
  <ds:schemaRefs>
    <ds:schemaRef ds:uri="http://schemas.microsoft.com/sharepoint/v3/contenttype/forms"/>
  </ds:schemaRefs>
</ds:datastoreItem>
</file>

<file path=customXml/itemProps2.xml><?xml version="1.0" encoding="utf-8"?>
<ds:datastoreItem xmlns:ds="http://schemas.openxmlformats.org/officeDocument/2006/customXml" ds:itemID="{8C28C88F-3B16-4C43-A217-59F31804A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9DC1F4-8E9D-45E9-B487-0EA72C96E25D}">
  <ds:schemaRefs>
    <ds:schemaRef ds:uri="http://purl.org/dc/terms/"/>
    <ds:schemaRef ds:uri="http://schemas.openxmlformats.org/package/2006/metadata/core-properties"/>
    <ds:schemaRef ds:uri="http://schemas.microsoft.com/office/2006/metadata/properties"/>
    <ds:schemaRef ds:uri="http://purl.org/dc/elements/1.1/"/>
    <ds:schemaRef ds:uri="ca9218ec-9aba-4d27-8d4c-0b025f63b265"/>
    <ds:schemaRef ds:uri="http://purl.org/dc/dcmitype/"/>
    <ds:schemaRef ds:uri="http://schemas.microsoft.com/office/2006/documentManagement/types"/>
    <ds:schemaRef ds:uri="1116a84c-dc2b-4ff8-b44e-0dd958a258f0"/>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43CFE45-ACF0-40A4-B693-BEF25D6C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34689</Words>
  <Characters>19774</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Malaskeviciute</dc:creator>
  <cp:keywords/>
  <dc:description/>
  <cp:lastModifiedBy>Albina Burkauskaitė</cp:lastModifiedBy>
  <cp:revision>2</cp:revision>
  <dcterms:created xsi:type="dcterms:W3CDTF">2023-12-14T12:40:00Z</dcterms:created>
  <dcterms:modified xsi:type="dcterms:W3CDTF">2023-12-14T12:40:00Z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MediaServiceImageTags">
    <vt:lpwstr/>
  </property>
</Properties>
</file>