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E6E45" w:rsidRDefault="004C35E7" w:rsidP="004C35E7">
      <w:pPr>
        <w:spacing w:after="0" w:line="240" w:lineRule="auto"/>
        <w:rPr>
          <w:rFonts w:ascii="Times New Roman" w:hAnsi="Times New Roman" w:cs="Times New Roman"/>
          <w:lang w:val="lt-LT"/>
        </w:rPr>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C32D3A" w:rsidRDefault="004C35E7" w:rsidP="004C35E7">
      <w:pPr>
        <w:pStyle w:val="BTEMEASMCA"/>
      </w:pPr>
    </w:p>
    <w:p w:rsidR="004C35E7" w:rsidRPr="00B308ED" w:rsidRDefault="004C35E7" w:rsidP="004C35E7">
      <w:pPr>
        <w:pStyle w:val="TTEMEASMCA"/>
        <w:rPr>
          <w:lang w:val="lt-LT"/>
        </w:rPr>
      </w:pPr>
      <w:r w:rsidRPr="00B308ED">
        <w:rPr>
          <w:lang w:val="lt-LT"/>
        </w:rPr>
        <w:t>I PRIEDAS</w:t>
      </w:r>
    </w:p>
    <w:p w:rsidR="004C35E7" w:rsidRPr="00B308ED" w:rsidRDefault="004C35E7" w:rsidP="004C35E7">
      <w:pPr>
        <w:pStyle w:val="BTEMEASMCA"/>
      </w:pPr>
    </w:p>
    <w:p w:rsidR="004C35E7" w:rsidRPr="00B308ED" w:rsidRDefault="004C35E7" w:rsidP="004C35E7">
      <w:pPr>
        <w:pStyle w:val="TTEMEASMCA"/>
        <w:rPr>
          <w:lang w:val="lt-LT"/>
        </w:rPr>
      </w:pPr>
      <w:r w:rsidRPr="00B308ED">
        <w:rPr>
          <w:lang w:val="lt-LT"/>
        </w:rPr>
        <w:t>PREPARATO CHARAKTERISTIKŲ SANTRAUKA</w:t>
      </w:r>
    </w:p>
    <w:p w:rsidR="004C35E7" w:rsidRPr="00B308ED" w:rsidRDefault="004C35E7" w:rsidP="004C35E7">
      <w:pPr>
        <w:pStyle w:val="TTEMEASMCA"/>
        <w:jc w:val="left"/>
        <w:rPr>
          <w:lang w:val="lt-LT"/>
        </w:rPr>
      </w:pPr>
      <w:r w:rsidRPr="00B308ED">
        <w:br w:type="page"/>
      </w:r>
      <w:r w:rsidRPr="00B308ED">
        <w:lastRenderedPageBreak/>
        <w:t>1.</w:t>
      </w:r>
      <w:r w:rsidRPr="00B308ED">
        <w:tab/>
        <w:t>VAISTINIO PREPARATO PAVADINIMAS</w:t>
      </w:r>
    </w:p>
    <w:p w:rsidR="004C35E7" w:rsidRPr="00B308ED" w:rsidRDefault="004C35E7" w:rsidP="004C35E7">
      <w:pPr>
        <w:pStyle w:val="BTEMEASMCA"/>
      </w:pPr>
    </w:p>
    <w:p w:rsidR="004C35E7" w:rsidRPr="00B308ED" w:rsidRDefault="004C35E7" w:rsidP="004C35E7">
      <w:pPr>
        <w:pStyle w:val="BTEMEASMCA"/>
      </w:pPr>
      <w:r w:rsidRPr="00B308ED">
        <w:t>Cardace 2,5 mg tabletės</w:t>
      </w:r>
    </w:p>
    <w:p w:rsidR="004C35E7" w:rsidRPr="00B66017" w:rsidRDefault="004C35E7" w:rsidP="004C35E7">
      <w:pPr>
        <w:pStyle w:val="BTEMEASMCA"/>
        <w:rPr>
          <w:highlight w:val="lightGray"/>
        </w:rPr>
      </w:pPr>
      <w:r w:rsidRPr="00B66017">
        <w:rPr>
          <w:highlight w:val="lightGray"/>
        </w:rPr>
        <w:t>Cardace 5 mg tabletės</w:t>
      </w:r>
    </w:p>
    <w:p w:rsidR="004C35E7" w:rsidRPr="00B308ED" w:rsidRDefault="004C35E7" w:rsidP="004C35E7">
      <w:pPr>
        <w:pStyle w:val="BTEMEASMCA"/>
      </w:pPr>
      <w:r w:rsidRPr="00B66017">
        <w:rPr>
          <w:highlight w:val="lightGray"/>
        </w:rPr>
        <w:t>Cardace 10 mg tabletės</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2.</w:t>
      </w:r>
      <w:r w:rsidRPr="00B308ED">
        <w:tab/>
        <w:t>KOKYBINĖ IR KIEKYBINĖ SUDĖTIS</w:t>
      </w:r>
    </w:p>
    <w:p w:rsidR="004C35E7" w:rsidRPr="00B308ED" w:rsidRDefault="004C35E7" w:rsidP="004C35E7">
      <w:pPr>
        <w:pStyle w:val="BTEMEASMCA"/>
      </w:pPr>
    </w:p>
    <w:p w:rsidR="004C35E7" w:rsidRPr="00B308ED" w:rsidRDefault="004C35E7" w:rsidP="004C35E7">
      <w:pPr>
        <w:pStyle w:val="BTEMEASMCA"/>
      </w:pPr>
      <w:r w:rsidRPr="00B308ED">
        <w:t>Kiekvienoje tabletėje yra 2,5 mg ramiprilio.</w:t>
      </w:r>
    </w:p>
    <w:p w:rsidR="004C35E7" w:rsidRPr="00B66017" w:rsidRDefault="004C35E7" w:rsidP="004C35E7">
      <w:pPr>
        <w:pStyle w:val="BTEMEASMCA"/>
        <w:rPr>
          <w:highlight w:val="lightGray"/>
        </w:rPr>
      </w:pPr>
      <w:r w:rsidRPr="00B66017">
        <w:rPr>
          <w:highlight w:val="lightGray"/>
        </w:rPr>
        <w:t>Kiekvienoje tabletėje yra 5 mg ramiprilio.</w:t>
      </w:r>
    </w:p>
    <w:p w:rsidR="004C35E7" w:rsidRPr="00B308ED" w:rsidRDefault="004C35E7" w:rsidP="004C35E7">
      <w:pPr>
        <w:pStyle w:val="BTEMEASMCA"/>
      </w:pPr>
      <w:r w:rsidRPr="00B66017">
        <w:rPr>
          <w:highlight w:val="lightGray"/>
        </w:rPr>
        <w:t>Kiekvienoje tabletėje yra 10 mg ramiprilio.</w:t>
      </w:r>
    </w:p>
    <w:p w:rsidR="004C35E7" w:rsidRPr="00B308ED" w:rsidRDefault="004C35E7" w:rsidP="004C35E7">
      <w:pPr>
        <w:pStyle w:val="BTEMEASMCA"/>
      </w:pPr>
    </w:p>
    <w:p w:rsidR="004C35E7" w:rsidRPr="00B308ED" w:rsidRDefault="004C35E7" w:rsidP="004C35E7">
      <w:pPr>
        <w:pStyle w:val="BTEMEASMCA"/>
      </w:pPr>
      <w:r w:rsidRPr="00B308ED">
        <w:t>Visos pagalbinės medžiagos išvardytos 6.1 skyriuje.</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3.</w:t>
      </w:r>
      <w:r w:rsidRPr="00B308ED">
        <w:tab/>
        <w:t>FARMACINĖ FORMA</w:t>
      </w:r>
    </w:p>
    <w:p w:rsidR="004C35E7" w:rsidRPr="00B308ED" w:rsidRDefault="004C35E7" w:rsidP="004C35E7">
      <w:pPr>
        <w:pStyle w:val="BTEMEASMCA"/>
      </w:pPr>
    </w:p>
    <w:p w:rsidR="004C35E7" w:rsidRPr="00B308ED" w:rsidRDefault="004C35E7" w:rsidP="004C35E7">
      <w:pPr>
        <w:pStyle w:val="BTEMEASMCA"/>
      </w:pPr>
      <w:r w:rsidRPr="00B308ED">
        <w:t>2,5 mg tabletės</w:t>
      </w:r>
    </w:p>
    <w:p w:rsidR="004C35E7" w:rsidRPr="00B308ED" w:rsidRDefault="004C35E7" w:rsidP="004C35E7">
      <w:pPr>
        <w:pStyle w:val="BTEMEASMCA"/>
      </w:pPr>
      <w:r w:rsidRPr="00B308ED">
        <w:t>Gelsvos ar geltonos, pailgos, 8</w:t>
      </w:r>
      <w:r>
        <w:t> mm</w:t>
      </w:r>
      <w:r w:rsidRPr="00B308ED">
        <w:t xml:space="preserve"> x 4 mm dydžio tabletės su vagele abiejose pusėse, kurių vienoje pusėje įspausta 2,5 ir kompanijos logo</w:t>
      </w:r>
      <w:r>
        <w:t>tipas</w:t>
      </w:r>
      <w:r w:rsidRPr="00B308ED">
        <w:t>, o kitoje pusėje įspausta HMR ir 2,5. Tabletę galima padalyti į lygias dozes.</w:t>
      </w:r>
    </w:p>
    <w:p w:rsidR="004C35E7" w:rsidRPr="00B308ED" w:rsidRDefault="004C35E7" w:rsidP="004C35E7">
      <w:pPr>
        <w:pStyle w:val="BTEMEASMCA"/>
      </w:pPr>
    </w:p>
    <w:p w:rsidR="004C35E7" w:rsidRPr="00B66017" w:rsidRDefault="004C35E7" w:rsidP="004C35E7">
      <w:pPr>
        <w:pStyle w:val="BTEMEASMCA"/>
        <w:rPr>
          <w:highlight w:val="lightGray"/>
        </w:rPr>
      </w:pPr>
      <w:r w:rsidRPr="00B66017">
        <w:rPr>
          <w:highlight w:val="lightGray"/>
        </w:rPr>
        <w:t>5 mg tabletės</w:t>
      </w:r>
    </w:p>
    <w:p w:rsidR="004C35E7" w:rsidRPr="00B66017" w:rsidRDefault="004C35E7" w:rsidP="004C35E7">
      <w:pPr>
        <w:pStyle w:val="BTEMEASMCA"/>
        <w:rPr>
          <w:highlight w:val="lightGray"/>
        </w:rPr>
      </w:pPr>
      <w:r w:rsidRPr="00B66017">
        <w:rPr>
          <w:highlight w:val="lightGray"/>
        </w:rPr>
        <w:t>Rausvos, pailgos, 8</w:t>
      </w:r>
      <w:r>
        <w:rPr>
          <w:highlight w:val="lightGray"/>
        </w:rPr>
        <w:t> mm</w:t>
      </w:r>
      <w:r w:rsidRPr="00B66017">
        <w:rPr>
          <w:highlight w:val="lightGray"/>
        </w:rPr>
        <w:t xml:space="preserve"> x 4 mm dydžio tabletės su vagele abiejose pusėse, kurių vienoje pusėje įspausta 5 ir kompanijos logotipas, o kitoje pusėje įspausta HMP ir 5. Tabletę galima padalyti į lygias dozes. </w:t>
      </w:r>
    </w:p>
    <w:p w:rsidR="004C35E7" w:rsidRPr="00B66017" w:rsidRDefault="004C35E7" w:rsidP="004C35E7">
      <w:pPr>
        <w:pStyle w:val="BTEMEASMCA"/>
        <w:rPr>
          <w:highlight w:val="lightGray"/>
        </w:rPr>
      </w:pPr>
    </w:p>
    <w:p w:rsidR="004C35E7" w:rsidRPr="00B66017" w:rsidRDefault="004C35E7" w:rsidP="004C35E7">
      <w:pPr>
        <w:pStyle w:val="BTEMEASMCA"/>
        <w:rPr>
          <w:highlight w:val="lightGray"/>
        </w:rPr>
      </w:pPr>
      <w:r w:rsidRPr="00B66017">
        <w:rPr>
          <w:highlight w:val="lightGray"/>
        </w:rPr>
        <w:t>10 mg tabletės</w:t>
      </w:r>
    </w:p>
    <w:p w:rsidR="004C35E7" w:rsidRPr="00B308ED" w:rsidRDefault="004C35E7" w:rsidP="004C35E7">
      <w:pPr>
        <w:pStyle w:val="BTEMEASMCA"/>
      </w:pPr>
      <w:r w:rsidRPr="00B66017">
        <w:rPr>
          <w:highlight w:val="lightGray"/>
        </w:rPr>
        <w:t>Baltos ar balkšvos, pailgos, 7</w:t>
      </w:r>
      <w:r>
        <w:rPr>
          <w:highlight w:val="lightGray"/>
        </w:rPr>
        <w:t> mm</w:t>
      </w:r>
      <w:r w:rsidRPr="00B66017">
        <w:rPr>
          <w:highlight w:val="lightGray"/>
        </w:rPr>
        <w:t xml:space="preserve"> x 4,5 mm dydžio tabletės su vagele abiejose pusėse, kurių vienoje pusėje įspausta HMO/HMO. Tabletę galima padalyti į lygias dozes.</w:t>
      </w:r>
      <w:r w:rsidRPr="00B308ED">
        <w:t xml:space="preserve"> </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4.</w:t>
      </w:r>
      <w:r w:rsidRPr="00B308ED">
        <w:tab/>
        <w:t>KLINIKINĖ INFORMACIJA</w:t>
      </w:r>
    </w:p>
    <w:p w:rsidR="004C35E7" w:rsidRPr="00B308ED" w:rsidRDefault="004C35E7" w:rsidP="004C35E7">
      <w:pPr>
        <w:pStyle w:val="BTEMEASMCA"/>
      </w:pPr>
    </w:p>
    <w:p w:rsidR="004C35E7" w:rsidRPr="00B308ED" w:rsidRDefault="004C35E7" w:rsidP="004C35E7">
      <w:pPr>
        <w:pStyle w:val="PI-2EMEASMCA"/>
      </w:pPr>
      <w:r w:rsidRPr="00B308ED">
        <w:t>4.1</w:t>
      </w:r>
      <w:r w:rsidRPr="00B308ED">
        <w:tab/>
        <w:t>Terapinės indikacijos</w:t>
      </w:r>
    </w:p>
    <w:p w:rsidR="004C35E7" w:rsidRPr="00B308ED" w:rsidRDefault="004C35E7" w:rsidP="004C35E7">
      <w:pPr>
        <w:pStyle w:val="BTEMEASMCA"/>
        <w:tabs>
          <w:tab w:val="left" w:pos="3420"/>
        </w:tabs>
      </w:pPr>
    </w:p>
    <w:p w:rsidR="004C35E7" w:rsidRPr="00B308ED" w:rsidRDefault="004C35E7" w:rsidP="004C35E7">
      <w:pPr>
        <w:pStyle w:val="BT-EMEASMCA"/>
        <w:numPr>
          <w:ilvl w:val="0"/>
          <w:numId w:val="3"/>
        </w:numPr>
        <w:tabs>
          <w:tab w:val="clear" w:pos="360"/>
        </w:tabs>
      </w:pPr>
      <w:r w:rsidRPr="00B308ED">
        <w:t>Arterinės hipertenzijos gydymas.</w:t>
      </w:r>
    </w:p>
    <w:p w:rsidR="004C35E7" w:rsidRPr="00B308ED" w:rsidRDefault="004C35E7" w:rsidP="004C35E7">
      <w:pPr>
        <w:pStyle w:val="BT-EMEASMCA"/>
        <w:numPr>
          <w:ilvl w:val="0"/>
          <w:numId w:val="0"/>
        </w:numPr>
        <w:tabs>
          <w:tab w:val="clear" w:pos="360"/>
        </w:tabs>
        <w:ind w:left="357"/>
      </w:pPr>
    </w:p>
    <w:p w:rsidR="004C35E7" w:rsidRPr="00B308ED" w:rsidRDefault="004C35E7" w:rsidP="004C35E7">
      <w:pPr>
        <w:pStyle w:val="BT-EMEASMCA"/>
        <w:numPr>
          <w:ilvl w:val="0"/>
          <w:numId w:val="3"/>
        </w:numPr>
        <w:tabs>
          <w:tab w:val="clear" w:pos="360"/>
        </w:tabs>
      </w:pPr>
      <w:r w:rsidRPr="00B308ED">
        <w:t>Širdies ir kraujagyslių sistemos sutrikimų prevencija: sergamumo ir mirštamumo dėl širdies ir kraujagyslių sistemos sutrikimų mažinimas pacientams</w:t>
      </w:r>
      <w:r>
        <w:t>,</w:t>
      </w:r>
      <w:r w:rsidRPr="00B308ED">
        <w:t xml:space="preserve"> kuriems yra:</w:t>
      </w:r>
    </w:p>
    <w:p w:rsidR="004C35E7" w:rsidRPr="00B308ED" w:rsidRDefault="004C35E7" w:rsidP="004C35E7">
      <w:pPr>
        <w:pStyle w:val="BT-EMEASMCA"/>
        <w:numPr>
          <w:ilvl w:val="1"/>
          <w:numId w:val="12"/>
        </w:numPr>
        <w:tabs>
          <w:tab w:val="clear" w:pos="360"/>
        </w:tabs>
      </w:pPr>
      <w:r w:rsidRPr="00B308ED">
        <w:t>pasireiškusi širdies ir kraujagyslių sistemos aterotrombozė (anamnezėje išeminė (koronarinė) širdies liga, insultas arba periferinių kraujagyslių liga) arba</w:t>
      </w:r>
    </w:p>
    <w:p w:rsidR="004C35E7" w:rsidRPr="00B308ED" w:rsidRDefault="004C35E7" w:rsidP="004C35E7">
      <w:pPr>
        <w:pStyle w:val="BT-EMEASMCA"/>
        <w:numPr>
          <w:ilvl w:val="1"/>
          <w:numId w:val="12"/>
        </w:numPr>
        <w:tabs>
          <w:tab w:val="clear" w:pos="360"/>
        </w:tabs>
      </w:pPr>
      <w:r w:rsidRPr="00B308ED">
        <w:t xml:space="preserve">cukrinis diabetas su bent vienu širdies ir kraujagyslių sistemos </w:t>
      </w:r>
      <w:r>
        <w:t xml:space="preserve">sutrikimų </w:t>
      </w:r>
      <w:r w:rsidRPr="00B308ED">
        <w:t xml:space="preserve">rizikos </w:t>
      </w:r>
      <w:r>
        <w:t>veiksniu</w:t>
      </w:r>
      <w:r w:rsidRPr="00B308ED">
        <w:t xml:space="preserve"> (žr. 5.1 skyrių).</w:t>
      </w:r>
    </w:p>
    <w:p w:rsidR="004C35E7" w:rsidRPr="00B308ED" w:rsidRDefault="004C35E7" w:rsidP="004C35E7">
      <w:pPr>
        <w:pStyle w:val="BT-EMEASMCA"/>
        <w:numPr>
          <w:ilvl w:val="0"/>
          <w:numId w:val="0"/>
        </w:numPr>
        <w:tabs>
          <w:tab w:val="clear" w:pos="360"/>
          <w:tab w:val="left" w:pos="1440"/>
        </w:tabs>
        <w:ind w:left="1080"/>
      </w:pPr>
    </w:p>
    <w:p w:rsidR="004C35E7" w:rsidRPr="00B308ED" w:rsidRDefault="004C35E7" w:rsidP="004C35E7">
      <w:pPr>
        <w:pStyle w:val="BT-EMEASMCA"/>
        <w:numPr>
          <w:ilvl w:val="0"/>
          <w:numId w:val="4"/>
        </w:numPr>
        <w:tabs>
          <w:tab w:val="clear" w:pos="360"/>
        </w:tabs>
      </w:pPr>
      <w:r w:rsidRPr="00B308ED">
        <w:t>Inkstų lig</w:t>
      </w:r>
      <w:r>
        <w:t>os</w:t>
      </w:r>
      <w:r w:rsidRPr="00B308ED">
        <w:t xml:space="preserve"> gydymas:</w:t>
      </w:r>
    </w:p>
    <w:p w:rsidR="004C35E7" w:rsidRPr="00B308ED" w:rsidRDefault="004C35E7" w:rsidP="004C35E7">
      <w:pPr>
        <w:pStyle w:val="BT-EMEASMCA"/>
        <w:numPr>
          <w:ilvl w:val="1"/>
          <w:numId w:val="13"/>
        </w:numPr>
        <w:tabs>
          <w:tab w:val="clear" w:pos="360"/>
        </w:tabs>
      </w:pPr>
      <w:r w:rsidRPr="00B308ED">
        <w:t>Prasidedanti diabetinė nefropatija, kurios požymis yra mikroalbuminurija.</w:t>
      </w:r>
    </w:p>
    <w:p w:rsidR="004C35E7" w:rsidRPr="00B308ED" w:rsidRDefault="004C35E7" w:rsidP="004C35E7">
      <w:pPr>
        <w:pStyle w:val="BT-EMEASMCA"/>
        <w:numPr>
          <w:ilvl w:val="1"/>
          <w:numId w:val="13"/>
        </w:numPr>
        <w:tabs>
          <w:tab w:val="clear" w:pos="360"/>
        </w:tabs>
      </w:pPr>
      <w:r>
        <w:t>Akivaizdi</w:t>
      </w:r>
      <w:r w:rsidRPr="0083114F">
        <w:t xml:space="preserve"> </w:t>
      </w:r>
      <w:r w:rsidRPr="00B308ED">
        <w:t xml:space="preserve">diabetinė nefropatija, kurios požymis yra makroproteinurija su dar bent vienu papildomu širdies ir kraujagyslių sistemos </w:t>
      </w:r>
      <w:r>
        <w:t xml:space="preserve">sutrikimų </w:t>
      </w:r>
      <w:r w:rsidRPr="00B308ED">
        <w:t xml:space="preserve">rizikos </w:t>
      </w:r>
      <w:r>
        <w:t>veiksniu</w:t>
      </w:r>
      <w:r w:rsidRPr="00B308ED">
        <w:t xml:space="preserve"> (žr. 5.1 skyrių).</w:t>
      </w:r>
    </w:p>
    <w:p w:rsidR="004C35E7" w:rsidRPr="00B308ED" w:rsidRDefault="004C35E7" w:rsidP="004C35E7">
      <w:pPr>
        <w:pStyle w:val="BT-EMEASMCA"/>
        <w:numPr>
          <w:ilvl w:val="1"/>
          <w:numId w:val="13"/>
        </w:numPr>
        <w:tabs>
          <w:tab w:val="clear" w:pos="360"/>
        </w:tabs>
      </w:pPr>
      <w:r>
        <w:lastRenderedPageBreak/>
        <w:t>Akivaizdi</w:t>
      </w:r>
      <w:r w:rsidRPr="0083114F">
        <w:t xml:space="preserve"> </w:t>
      </w:r>
      <w:r w:rsidRPr="00B308ED">
        <w:t xml:space="preserve">ne cukrinio diabeto sukelta nefropatija </w:t>
      </w:r>
      <w:r>
        <w:t xml:space="preserve">su </w:t>
      </w:r>
      <w:r w:rsidRPr="00B308ED">
        <w:t xml:space="preserve">glomerulų </w:t>
      </w:r>
      <w:r>
        <w:t xml:space="preserve">pažeidimu, kurios požymis yra </w:t>
      </w:r>
      <w:r w:rsidRPr="00B308ED">
        <w:t>makroproteinurija ≥ 3 g/parą (žr. 5.1 skyrių).</w:t>
      </w:r>
    </w:p>
    <w:p w:rsidR="004C35E7" w:rsidRPr="00B308ED" w:rsidRDefault="004C35E7" w:rsidP="004C35E7">
      <w:pPr>
        <w:pStyle w:val="BT-EMEASMCA"/>
        <w:numPr>
          <w:ilvl w:val="0"/>
          <w:numId w:val="0"/>
        </w:numPr>
        <w:tabs>
          <w:tab w:val="clear" w:pos="360"/>
          <w:tab w:val="left" w:pos="1440"/>
        </w:tabs>
        <w:ind w:left="1080"/>
      </w:pPr>
    </w:p>
    <w:p w:rsidR="004C35E7" w:rsidRPr="00B308ED" w:rsidRDefault="004C35E7" w:rsidP="004C35E7">
      <w:pPr>
        <w:pStyle w:val="BT-EMEASMCA"/>
        <w:numPr>
          <w:ilvl w:val="0"/>
          <w:numId w:val="5"/>
        </w:numPr>
        <w:tabs>
          <w:tab w:val="clear" w:pos="360"/>
        </w:tabs>
      </w:pPr>
      <w:r w:rsidRPr="00B308ED">
        <w:t>Simptominio širdies nepakankamumo gydymas.</w:t>
      </w:r>
    </w:p>
    <w:p w:rsidR="004C35E7" w:rsidRPr="00B308ED" w:rsidRDefault="004C35E7" w:rsidP="004C35E7">
      <w:pPr>
        <w:pStyle w:val="BT-EMEASMCA"/>
        <w:numPr>
          <w:ilvl w:val="0"/>
          <w:numId w:val="0"/>
        </w:numPr>
        <w:tabs>
          <w:tab w:val="clear" w:pos="360"/>
        </w:tabs>
        <w:ind w:left="357"/>
      </w:pPr>
    </w:p>
    <w:p w:rsidR="004C35E7" w:rsidRPr="00B308ED" w:rsidRDefault="004C35E7" w:rsidP="004C35E7">
      <w:pPr>
        <w:pStyle w:val="BT-EMEASMCA"/>
        <w:numPr>
          <w:ilvl w:val="0"/>
          <w:numId w:val="5"/>
        </w:numPr>
        <w:tabs>
          <w:tab w:val="clear" w:pos="360"/>
        </w:tabs>
      </w:pPr>
      <w:r w:rsidRPr="00B308ED">
        <w:t>Antrinė profilaktika po ūminio miokardo infarkto: mirštamumo nuo ūminės miokardo infarkto fazės mažinimas pacientams, kuriems per &gt; 48 val. po ištikusio ūminio miokardo infarkto atsirado klinikinių širdies nepakankamumo požymių.</w:t>
      </w:r>
    </w:p>
    <w:p w:rsidR="004C35E7" w:rsidRPr="00B308ED" w:rsidRDefault="004C35E7" w:rsidP="004C35E7">
      <w:pPr>
        <w:pStyle w:val="BTEMEASMCA"/>
      </w:pPr>
    </w:p>
    <w:p w:rsidR="004C35E7" w:rsidRPr="00B308ED" w:rsidRDefault="004C35E7" w:rsidP="004C35E7">
      <w:pPr>
        <w:pStyle w:val="PI-2EMEASMCA"/>
      </w:pPr>
      <w:r w:rsidRPr="00B308ED">
        <w:t>4.2</w:t>
      </w:r>
      <w:r w:rsidRPr="00B308ED">
        <w:tab/>
        <w:t>Dozavimas ir vartojimo metodas</w:t>
      </w:r>
    </w:p>
    <w:p w:rsidR="004C35E7" w:rsidRPr="00B308ED" w:rsidRDefault="004C35E7" w:rsidP="004C35E7">
      <w:pPr>
        <w:pStyle w:val="BTEMEASMCA"/>
      </w:pPr>
    </w:p>
    <w:p w:rsidR="004C35E7" w:rsidRPr="00B308ED" w:rsidRDefault="004C35E7" w:rsidP="004C35E7">
      <w:pPr>
        <w:pStyle w:val="BTEMEASMCA"/>
        <w:rPr>
          <w:u w:val="single"/>
        </w:rPr>
      </w:pPr>
      <w:r w:rsidRPr="00B308ED">
        <w:rPr>
          <w:u w:val="single"/>
        </w:rPr>
        <w:t>Dozavimas</w:t>
      </w:r>
    </w:p>
    <w:p w:rsidR="004C35E7" w:rsidRPr="00B308ED" w:rsidRDefault="004C35E7" w:rsidP="004C35E7">
      <w:pPr>
        <w:pStyle w:val="BTEMEASMCA"/>
      </w:pPr>
    </w:p>
    <w:p w:rsidR="004C35E7" w:rsidRPr="00B308ED" w:rsidRDefault="004C35E7" w:rsidP="004C35E7">
      <w:pPr>
        <w:pStyle w:val="BTEMEASMCA"/>
      </w:pPr>
      <w:r w:rsidRPr="00B308ED">
        <w:t>Cardace rekomenduojama vartoti kiekvieną dieną tuo pačiu paros metu.</w:t>
      </w:r>
    </w:p>
    <w:p w:rsidR="004C35E7" w:rsidRPr="00B308ED" w:rsidRDefault="004C35E7" w:rsidP="004C35E7">
      <w:pPr>
        <w:pStyle w:val="BTEMEASMCA"/>
      </w:pPr>
      <w:r w:rsidRPr="00B308ED">
        <w:t>Cardace galima vartoti prieš valgį, valgio metu arba pavalgius, nes maisto vartojimas nekeičia vaistinio preparato biologinio prieinamumo (žr. 5.2 skyrių).</w:t>
      </w:r>
    </w:p>
    <w:p w:rsidR="004C35E7" w:rsidRPr="00B308ED" w:rsidRDefault="004C35E7" w:rsidP="004C35E7">
      <w:pPr>
        <w:pStyle w:val="BTEMEASMCA"/>
      </w:pPr>
      <w:r w:rsidRPr="00B308ED">
        <w:t>Cardace turi būti nuryjamas užsigeriant skysčiu. Negalima kramtyti ar laužyti.</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Suaugusieji</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u w:val="single"/>
          <w:lang w:val="lt-LT"/>
        </w:rPr>
        <w:t>Diuretikais gydomi pacientai</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Pradėjus gydymą Cardace, gali išsivystyti hipotenzija; tokia tikimybė didesnė pacientams, kurie tuo pačiu metu yra gydomi diuretikais. Todėl rekomenduojama imtis atsargumo priemonių, kadangi šiems pacientams gali atsirasti skysčių ir (ar) druskų stoka.</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Jeigu įmanoma, likus 2</w:t>
      </w:r>
      <w:r w:rsidRPr="00B308ED">
        <w:rPr>
          <w:rFonts w:ascii="Times New Roman" w:hAnsi="Times New Roman" w:cs="Times New Roman"/>
          <w:lang w:val="lt-LT"/>
        </w:rPr>
        <w:noBreakHyphen/>
        <w:t>3 dienoms iki gydymo Cardace pradžios, diuretikų vartojimą reikia nutraukti (žr. 4.4 skyrių).</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Hipertenzija sergantiems pacientams, kuriems gydymas diuretikais nebuvo nutrauktas, gydymas Cardace turi būti pradėtas nuo 1,25 mg dozės. Būtina stebėti inkstų funkciją ir kalio koncentraciją kraujo serume. Toliau Cardace dozė turi būti koreguojama priklausomai nuo tikslinio kraujospūdžio lygio.</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Arterinė hipertenzija</w:t>
      </w:r>
    </w:p>
    <w:p w:rsidR="004C35E7" w:rsidRPr="00B308ED" w:rsidRDefault="004C35E7" w:rsidP="004C35E7">
      <w:pPr>
        <w:pStyle w:val="BTEMEASMCA"/>
      </w:pPr>
    </w:p>
    <w:p w:rsidR="004C35E7" w:rsidRPr="00B308ED" w:rsidRDefault="004C35E7" w:rsidP="004C35E7">
      <w:pPr>
        <w:pStyle w:val="BTEMEASMCA"/>
      </w:pPr>
      <w:r w:rsidRPr="00B308ED">
        <w:t>Dozė turi būti pritaikoma individualiai, priklausomai nuo bendros paciento būklės (žr. 4.4 skyrių) ir kraujospūdžio kontrolės.</w:t>
      </w:r>
    </w:p>
    <w:p w:rsidR="004C35E7" w:rsidRPr="00B308ED" w:rsidRDefault="004C35E7" w:rsidP="004C35E7">
      <w:pPr>
        <w:pStyle w:val="BTEMEASMCA"/>
      </w:pPr>
      <w:r w:rsidRPr="00B308ED">
        <w:t>Cardace gydymui gali būti vartojamas vienas arba kartu su kitų klasių antihipertenziniais vaistiniais preparatais (žr. 4.3, 4.4, 4.5 ir 5.1 skyrius).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Pradinė dozė</w:t>
      </w:r>
    </w:p>
    <w:p w:rsidR="004C35E7" w:rsidRPr="00B308ED" w:rsidRDefault="004C35E7" w:rsidP="004C35E7">
      <w:pPr>
        <w:pStyle w:val="BTEMEASMCA"/>
      </w:pPr>
      <w:r w:rsidRPr="00B308ED">
        <w:t>Cardace vartojimą reikia pradėti palaipsniui, rekomenduojama pradinė paros dozė yra 2,5 mg.</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Pacientams, kurių renino</w:t>
      </w:r>
      <w:r w:rsidRPr="00B308ED">
        <w:rPr>
          <w:rFonts w:ascii="Times New Roman" w:hAnsi="Times New Roman" w:cs="Times New Roman"/>
          <w:lang w:val="lt-LT"/>
        </w:rPr>
        <w:noBreakHyphen/>
        <w:t>angiotenzino</w:t>
      </w:r>
      <w:r w:rsidRPr="00B308ED">
        <w:rPr>
          <w:rFonts w:ascii="Times New Roman" w:hAnsi="Times New Roman" w:cs="Times New Roman"/>
          <w:lang w:val="lt-LT"/>
        </w:rPr>
        <w:noBreakHyphen/>
        <w:t>aldosterono sistema yra labai suaktyvinta, po pradinės dozės suvartojimo gali stipriai nukristi kraujospūdis. Tokiems pacientams rekomenduojama 1,25 mg pradinė dozė, gydymo pradžią turi atidžiai prižiūrėti gydytojas (žr. 4.4 skyrių).</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u w:val="single"/>
          <w:lang w:val="lt-LT"/>
        </w:rPr>
        <w:t>Dozės pritaikymas ir palaikomoji dozė</w:t>
      </w:r>
    </w:p>
    <w:p w:rsidR="004C35E7" w:rsidRPr="00B308ED" w:rsidRDefault="004C35E7" w:rsidP="004C35E7">
      <w:pPr>
        <w:pStyle w:val="BTEMEASMCA"/>
      </w:pPr>
      <w:r w:rsidRPr="00B308ED">
        <w:t>Dozę galima dvigubinti kas 2</w:t>
      </w:r>
      <w:r w:rsidRPr="00B308ED">
        <w:noBreakHyphen/>
        <w:t>4 savaites, kol laipsniškai bus pasiektas tikslinis kraujospūdžio lygis; didžiausia leistina Cardace paros dozė 10 mg. Paprastai dozė vartojama vieną kartą per parą.</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Širdies ir kraujagyslių sistemos sutrikimų prevencija</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u w:val="single"/>
          <w:lang w:val="lt-LT"/>
        </w:rPr>
        <w:t>Pradinė dozė</w:t>
      </w:r>
    </w:p>
    <w:p w:rsidR="004C35E7" w:rsidRPr="00B308ED" w:rsidRDefault="004C35E7" w:rsidP="004C35E7">
      <w:pPr>
        <w:pStyle w:val="BTEMEASMCA"/>
      </w:pPr>
      <w:r w:rsidRPr="00B308ED">
        <w:t>Rekomenduojama pradinė Cardace dozė yra 2,5 mg vieną kartą per parą.</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u w:val="single"/>
          <w:lang w:val="lt-LT"/>
        </w:rPr>
        <w:t>Dozės pritaikymas ir palaikomoji dozė</w:t>
      </w:r>
    </w:p>
    <w:p w:rsidR="004C35E7" w:rsidRPr="00B308ED" w:rsidRDefault="004C35E7" w:rsidP="004C35E7">
      <w:pPr>
        <w:pStyle w:val="BTEMEASMCA"/>
      </w:pPr>
      <w:r w:rsidRPr="00B308ED">
        <w:t>Priklausomai nuo paciento reakcijos į veikliąją medžiagą, dozę galima palaipsniui didinti. Rekomenduojama dozę dvigubinti po 1 arba 2 savaičių nuo gydymo pradžios, po dar 2-3 savaičių – padidinti iki tikslinės palaikomosios dozės - 10 mg Cardace vieną kartą per parą.</w:t>
      </w:r>
    </w:p>
    <w:p w:rsidR="004C35E7" w:rsidRPr="00B308ED" w:rsidRDefault="004C35E7" w:rsidP="004C35E7">
      <w:pPr>
        <w:pStyle w:val="BTEMEASMCA"/>
      </w:pPr>
    </w:p>
    <w:p w:rsidR="004C35E7" w:rsidRPr="00B308ED" w:rsidRDefault="004C35E7" w:rsidP="004C35E7">
      <w:pPr>
        <w:pStyle w:val="BTEMEASMCA"/>
      </w:pPr>
      <w:r w:rsidRPr="00B308ED">
        <w:t>Taip pat žr. anksčiau esantį dozavimo poskyrį „Diuretikais gydomi pacientai“.</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Inkstų ligų gydymas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Pacientai, kurie serga cukriniu diabetu ir mikroalbuminurija</w:t>
      </w:r>
    </w:p>
    <w:p w:rsidR="004C35E7" w:rsidRPr="00B308ED" w:rsidRDefault="004C35E7" w:rsidP="004C35E7">
      <w:pPr>
        <w:spacing w:after="0" w:line="240" w:lineRule="auto"/>
        <w:rPr>
          <w:rFonts w:ascii="Times New Roman" w:hAnsi="Times New Roman" w:cs="Times New Roman"/>
          <w:i/>
          <w:u w:val="single"/>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Pradinė dozė</w:t>
      </w:r>
    </w:p>
    <w:p w:rsidR="004C35E7" w:rsidRPr="00B308ED" w:rsidRDefault="004C35E7" w:rsidP="004C35E7">
      <w:pPr>
        <w:pStyle w:val="BTEMEASMCA"/>
      </w:pPr>
      <w:r w:rsidRPr="00B308ED">
        <w:t>Rekomenduojama pradinė Cardace dozė yra 1,25 mg vieną kartą per parą.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Dozės pritaikymas ir palaikomoji dozė</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Priklausomai nuo paciento reakcijos į veikliąją medžiagą, dozę galima palaipsniui didinti. Vieną kartą per parą vartojamą dozę rekomenduojama dvigubinti iki 2,5 mg po dviejų savaičių ir iki 5 mg po dar dviejų savaičių.</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Cukriniu diabetu sergantys pacientai su dar bent vienu širdies ir kraujagyslių sistemos rizikos veiksniu</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Pradinė dozė:</w:t>
      </w:r>
    </w:p>
    <w:p w:rsidR="004C35E7" w:rsidRPr="00B308ED" w:rsidRDefault="004C35E7" w:rsidP="004C35E7">
      <w:pPr>
        <w:pStyle w:val="BTEMEASMCA"/>
      </w:pPr>
      <w:r w:rsidRPr="00B308ED">
        <w:t>Rekomenduojama pradinė Cardace dozė yra 2,5 mg vieną kartą per parą.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Dozės pritaikymas ir palaikomoji dozė</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Priklausomai nuo paciento reakcijos į veikliąją medžiagą, dozę galima palaipsniui didinti. Vieną kartą per parą vartojamą dozę rekomenduojama dvigubinti iki 5 mg Cardace po 1 arba 2 savaičių ir iki 10 mg Cardace po dar dviejų arba trijų savaičių. Tikslinė dozė yra 10 mg per parą.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Pacientai, sergantys ne cukrinio diabeto sukeltu glomerulų pažeidimu, kurio požymis yra ≥ 3 g/parą makroproteinurija</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Pradinė dozė</w:t>
      </w:r>
    </w:p>
    <w:p w:rsidR="004C35E7" w:rsidRPr="00B308ED" w:rsidRDefault="004C35E7" w:rsidP="004C35E7">
      <w:pPr>
        <w:pStyle w:val="BTEMEASMCA"/>
      </w:pPr>
      <w:r w:rsidRPr="00B308ED">
        <w:t>Rekomenduojama pradinė Cardace dozė yra 1,25 mg vieną kartą per parą.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Dozės pritaikymas ir palaikomoji dozė</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Priklausomai nuo paciento reakcijos į veikliąją medžiagą, dozę galima palaipsniui didinti. Vieną kartą per parą vartojamą dozę rekomenduojama dvigubinti iki 2,5 mg po 2 savaičių ir iki 5 mg po dar dviejų savaičių.</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Simptominis širdies nepakankamumas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Pradinė dozė</w:t>
      </w:r>
    </w:p>
    <w:p w:rsidR="004C35E7" w:rsidRPr="00B308ED" w:rsidRDefault="004C35E7" w:rsidP="004C35E7">
      <w:pPr>
        <w:pStyle w:val="BTEMEASMCA"/>
      </w:pPr>
      <w:r w:rsidRPr="00B308ED">
        <w:t>Pacientams, kurių būklė stabilizuota diuretikų terapijos pagalba, rekomenduojama pradinė dozė yra 1,25 mg vieną kartą per parą.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lastRenderedPageBreak/>
        <w:t>Dozės pritaikymas ir palaikomoji dozė</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Cardace dozė turi būti palaipsniui pritaikoma dvigubinant dozę kas 1 arba 2 savaites, iki didžiausios galimos 10 mg per parą dozės. Dozę rekomenduojama suvartoti per du kartus per parą.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Antrinė prevencija po ūminio miokardo infarkto (MI) ir esant širdies nepakankamumui</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Pradinė dozė</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Praėjus 48 val. nuo ūminio miokardo infarkto, kliniškai ir hemodinamiškai stabiliems pacientams rekomenduojama pradinė dozė yra 2,5 mg, du kartus per parą, tris paras. Jeigu pradinė 2,5 mg dozė netoleruojama, turi būti vartojama 1,25 mg dozė du kartus per parą dvi paras, po to dozė didinama iki 2,5 mg ir 5 mg vartojamų du kartu per parą. Jeigu dozės negalima padidinti iki 2,5 mg, vartojamų du kartus per parą, gydymą reikia nutraukti.</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BTEMEASMCA"/>
      </w:pPr>
      <w:r w:rsidRPr="00B308ED">
        <w:t>Taip pat žr. anksčiau esantį dozavimo poskyrį „Diuretikais gydomi pacientai“.</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Dozės pritaikymas ir palaikomoji dozė</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Paros dozę rekomenduojama palaipsniui didinti dvigubinant kas 1-3 paras iki tikslinės palaikomosios 5 mg dozės, vartojamos 2 kartus per parą.</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Kai įmanoma, palaikomoji dozė suvartojama per 2 kartus per parą.</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Jeigu dozės negalima padidinti iki 2,5 mg, vartojamų du kartus per parą, gydymą reikia nutraukti. Duomenų apie gydymą iš karto po miokardo infarkto pacientams, kuriems yra sunkus širdies nepakankamumas (IV NYHA klasė), nepakanka. Vis dėlto nusprendus tokį pacientą gydyti, rekomenduojama gydymą pradėti nuo 1,25 mg dozės, kurią reikia gerti kartą per parą, ir didinti ją labai atsargiai.</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Ypatingos populiacijos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Pacientai, kurių inkstų funkcija sutrikusi</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Pacientams, kurių inkstų funkcija sutrikusi, paros dozė turi būti nustatoma remiantis kreatinino klirensu (žr. 5.2 skyrių):</w:t>
      </w:r>
    </w:p>
    <w:p w:rsidR="004C35E7" w:rsidRPr="00B308ED" w:rsidRDefault="004C35E7" w:rsidP="004C35E7">
      <w:pPr>
        <w:pStyle w:val="BT-EMEASMCA"/>
        <w:numPr>
          <w:ilvl w:val="0"/>
          <w:numId w:val="6"/>
        </w:numPr>
        <w:tabs>
          <w:tab w:val="clear" w:pos="360"/>
        </w:tabs>
      </w:pPr>
      <w:r w:rsidRPr="00B308ED">
        <w:t>jeigu kreatinino klirensas ≥ 60 ml/min, pradinės dozės (2,5 mg per parą) koreguoti nebūtina; didžiausia leistina paros dozė yra 10 mg;</w:t>
      </w:r>
    </w:p>
    <w:p w:rsidR="004C35E7" w:rsidRPr="00B308ED" w:rsidRDefault="004C35E7" w:rsidP="004C35E7">
      <w:pPr>
        <w:pStyle w:val="BT-EMEASMCA"/>
        <w:numPr>
          <w:ilvl w:val="0"/>
          <w:numId w:val="6"/>
        </w:numPr>
        <w:tabs>
          <w:tab w:val="clear" w:pos="360"/>
        </w:tabs>
      </w:pPr>
      <w:r w:rsidRPr="00B308ED">
        <w:t>jeigu kreatinino klirensas yra nuo 30 ml/min iki 60 ml/min, pradinės dozės (2,5 mg per parą) koreguoti nebūtina; didžiausia leistina paros dozė yra 5 mg;</w:t>
      </w:r>
    </w:p>
    <w:p w:rsidR="004C35E7" w:rsidRPr="00B308ED" w:rsidRDefault="004C35E7" w:rsidP="004C35E7">
      <w:pPr>
        <w:pStyle w:val="BT-EMEASMCA"/>
        <w:numPr>
          <w:ilvl w:val="0"/>
          <w:numId w:val="6"/>
        </w:numPr>
        <w:tabs>
          <w:tab w:val="clear" w:pos="360"/>
        </w:tabs>
      </w:pPr>
      <w:r w:rsidRPr="00B308ED">
        <w:t>jeigu kreatinino klirensas yra nuo 10 ml/min iki 30 ml/min, pradinė dozė yra 1,25 mg per parą ir didžiausia leistina paros dozė yra 5 mg;</w:t>
      </w:r>
    </w:p>
    <w:p w:rsidR="004C35E7" w:rsidRPr="00B308ED" w:rsidRDefault="004C35E7" w:rsidP="004C35E7">
      <w:pPr>
        <w:pStyle w:val="BT-EMEASMCA"/>
        <w:numPr>
          <w:ilvl w:val="0"/>
          <w:numId w:val="6"/>
        </w:numPr>
        <w:tabs>
          <w:tab w:val="clear" w:pos="360"/>
        </w:tabs>
      </w:pPr>
      <w:r w:rsidRPr="00B308ED">
        <w:t>hemodializuojami pacientai su padidėjusiu kraujospūdžiu: ramiprilis yra sunkiai dializuojamas; pradinė dozė yra 1,25 mg per parą ir didžiausia leistina paros dozė yra 5 mg; vaistinis preparatas turi būti vartojamas praėjus kelioms valandoms po dializės.</w:t>
      </w:r>
    </w:p>
    <w:p w:rsidR="004C35E7" w:rsidRPr="00B308ED" w:rsidRDefault="004C35E7" w:rsidP="004C35E7">
      <w:pPr>
        <w:pStyle w:val="BT-EMEASMCA"/>
        <w:numPr>
          <w:ilvl w:val="0"/>
          <w:numId w:val="0"/>
        </w:numPr>
        <w:tabs>
          <w:tab w:val="clear" w:pos="360"/>
          <w:tab w:val="left" w:pos="8280"/>
        </w:tabs>
        <w:ind w:left="7920"/>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i/>
          <w:lang w:val="lt-LT"/>
        </w:rPr>
        <w:t>Pacientai, kurių kepenų funkcija sutrikusi</w:t>
      </w:r>
      <w:r w:rsidRPr="00B308ED">
        <w:rPr>
          <w:rFonts w:ascii="Times New Roman" w:hAnsi="Times New Roman" w:cs="Times New Roman"/>
          <w:lang w:val="lt-LT"/>
        </w:rPr>
        <w:t xml:space="preserve"> (žr. 5.2 skyrių)</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Pacientams, kurių kepenų funkcija sutrikusi, gydymą Cardace būtina pradėti atidžiai prižiūrint gydytojui, didžiausia leistina paros dozė yra 2,5 mg Cardace.</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Senyvi pacientai</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Turi būti skiriamos mažesnės pradinės dozės, tolimesnis dozės pritaikymas turi būti labiau laipsniškas, nes yra didesnė nepageidaujamų reiškinių tikimybė, ypatingai labai seniems ir silpniems pacientams. Reikia apsvarstyti, ar netikslinga pradėti vartoti mažesnę, 1,25 mg ramiprilio dozę.</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Vaikų populiacija</w:t>
      </w:r>
    </w:p>
    <w:p w:rsidR="004C35E7" w:rsidRPr="00B308ED" w:rsidRDefault="004C35E7" w:rsidP="004C35E7">
      <w:pPr>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Ramiprilio saugumas ir veiksmingumas vaikams dar neištirti. Turimi duomenys apie Cardace pateikiami 4.8, 5.1, 5.2 ir 5.3 skyriuose, tačiau specialių dozavimo rekomendacijų pateikti negalima.</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Vartojimo metodas</w:t>
      </w:r>
    </w:p>
    <w:p w:rsidR="004C35E7" w:rsidRPr="00B308ED" w:rsidRDefault="004C35E7" w:rsidP="004C35E7">
      <w:pPr>
        <w:pStyle w:val="BTEMEASMCA"/>
      </w:pPr>
    </w:p>
    <w:p w:rsidR="004C35E7" w:rsidRPr="00B308ED" w:rsidRDefault="004C35E7" w:rsidP="004C35E7">
      <w:pPr>
        <w:pStyle w:val="BTEMEASMCA"/>
      </w:pPr>
      <w:r w:rsidRPr="00B308ED">
        <w:t>Vartoti per burną.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PI-2EMEASMCA"/>
      </w:pPr>
      <w:r w:rsidRPr="00B308ED">
        <w:t>4.3</w:t>
      </w:r>
      <w:r w:rsidRPr="00B308ED">
        <w:tab/>
        <w:t>Kontraindikacijos</w:t>
      </w:r>
    </w:p>
    <w:p w:rsidR="004C35E7" w:rsidRPr="00B308ED" w:rsidRDefault="004C35E7" w:rsidP="004C35E7">
      <w:pPr>
        <w:pStyle w:val="BTEMEASMCA"/>
      </w:pPr>
    </w:p>
    <w:p w:rsidR="004C35E7" w:rsidRPr="00B308ED" w:rsidRDefault="004C35E7" w:rsidP="004C35E7">
      <w:pPr>
        <w:pStyle w:val="BT-EMEASMCA"/>
        <w:numPr>
          <w:ilvl w:val="0"/>
          <w:numId w:val="7"/>
        </w:numPr>
        <w:tabs>
          <w:tab w:val="clear" w:pos="360"/>
        </w:tabs>
      </w:pPr>
      <w:r w:rsidRPr="00B308ED">
        <w:t>Padidėjęs jautrumas veikliajai arba bet kuriai 6.1 skyriuje nurodytai pagalbinei medžiagai, arba kitiems AKF (angiotenziną konvertuojančio fermento) inhibitoriams.</w:t>
      </w:r>
    </w:p>
    <w:p w:rsidR="004C35E7" w:rsidRPr="00B308ED" w:rsidRDefault="004C35E7" w:rsidP="004C35E7">
      <w:pPr>
        <w:pStyle w:val="BT-EMEASMCA"/>
        <w:numPr>
          <w:ilvl w:val="0"/>
          <w:numId w:val="7"/>
        </w:numPr>
        <w:tabs>
          <w:tab w:val="clear" w:pos="360"/>
        </w:tabs>
      </w:pPr>
      <w:r w:rsidRPr="00B308ED">
        <w:t xml:space="preserve">Buvo pasireiškusi angioneurozinė edema (paveldima, idiopatinė arba anksčiau pasireiškusi angioneurozinė edema dėl AKF inhibitorių arba angiotenzino II receptorių </w:t>
      </w:r>
      <w:r>
        <w:t>blokatorių</w:t>
      </w:r>
      <w:r w:rsidRPr="00B308ED">
        <w:t xml:space="preserve"> (</w:t>
      </w:r>
      <w:r>
        <w:t>AIIRB</w:t>
      </w:r>
      <w:r w:rsidRPr="00B308ED">
        <w:t>)).</w:t>
      </w:r>
    </w:p>
    <w:p w:rsidR="004C35E7" w:rsidRPr="00B308ED" w:rsidRDefault="004C35E7" w:rsidP="004C35E7">
      <w:pPr>
        <w:pStyle w:val="BT-EMEASMCA"/>
        <w:numPr>
          <w:ilvl w:val="0"/>
          <w:numId w:val="7"/>
        </w:numPr>
        <w:tabs>
          <w:tab w:val="clear" w:pos="360"/>
        </w:tabs>
      </w:pPr>
      <w:r w:rsidRPr="00B308ED">
        <w:t>Ekstrakorporinės procedūros, kurių metu kraujas liečiasi su neigiamą krūvį turinčiu paviršiumi (žr. 4.5 skyrių).</w:t>
      </w:r>
    </w:p>
    <w:p w:rsidR="004C35E7" w:rsidRPr="00B308ED" w:rsidRDefault="004C35E7" w:rsidP="004C35E7">
      <w:pPr>
        <w:pStyle w:val="BT-EMEASMCA"/>
        <w:numPr>
          <w:ilvl w:val="0"/>
          <w:numId w:val="7"/>
        </w:numPr>
        <w:tabs>
          <w:tab w:val="clear" w:pos="360"/>
        </w:tabs>
      </w:pPr>
      <w:r w:rsidRPr="00B308ED">
        <w:t>Reikšminga abipusė inkstų arterijų stenozė arba vienintelio funkcionalaus inksto arterijos stenozė.</w:t>
      </w:r>
    </w:p>
    <w:p w:rsidR="004C35E7" w:rsidRPr="00B308ED" w:rsidRDefault="004C35E7" w:rsidP="004C35E7">
      <w:pPr>
        <w:pStyle w:val="BT-EMEASMCA"/>
        <w:numPr>
          <w:ilvl w:val="0"/>
          <w:numId w:val="7"/>
        </w:numPr>
        <w:tabs>
          <w:tab w:val="clear" w:pos="360"/>
        </w:tabs>
      </w:pPr>
      <w:r w:rsidRPr="00B308ED">
        <w:t>Antras ir trečias nėštumo trimestrai (žr. 4.4 ir 4.6 skyrius).</w:t>
      </w:r>
    </w:p>
    <w:p w:rsidR="004C35E7" w:rsidRPr="00B308ED" w:rsidRDefault="004C35E7" w:rsidP="004C35E7">
      <w:pPr>
        <w:pStyle w:val="BT-EMEASMCA"/>
        <w:numPr>
          <w:ilvl w:val="0"/>
          <w:numId w:val="7"/>
        </w:numPr>
        <w:tabs>
          <w:tab w:val="clear" w:pos="360"/>
        </w:tabs>
      </w:pPr>
      <w:r w:rsidRPr="00B308ED">
        <w:t>Ramiprilio negalima vartoti pacientams su hipotenzija ar nestabilia hemodinamika.</w:t>
      </w:r>
    </w:p>
    <w:p w:rsidR="004C35E7" w:rsidRPr="00B308ED" w:rsidRDefault="004C35E7" w:rsidP="004C35E7">
      <w:pPr>
        <w:pStyle w:val="BTEMEASMCA"/>
        <w:numPr>
          <w:ilvl w:val="0"/>
          <w:numId w:val="7"/>
        </w:numPr>
      </w:pPr>
      <w:r w:rsidRPr="00B308ED">
        <w:t>Pacientams, kurie serga cukriniu diabetu arba kurių inkstų funkcija sutrikusi (GFG &lt; 60 ml/min/1,73 m</w:t>
      </w:r>
      <w:r w:rsidRPr="00B308ED">
        <w:rPr>
          <w:vertAlign w:val="superscript"/>
        </w:rPr>
        <w:t>2</w:t>
      </w:r>
      <w:r w:rsidRPr="00B308ED">
        <w:t>), Cardace negalima vartoti kartu su preparatais, kurių sudėtyje yra aliskireno (žr. 4.5 ir 5.1 skyrius).</w:t>
      </w:r>
    </w:p>
    <w:p w:rsidR="004C35E7" w:rsidRPr="00B308ED" w:rsidRDefault="004C35E7" w:rsidP="004C35E7">
      <w:pPr>
        <w:pStyle w:val="BTEMEASMCA"/>
      </w:pPr>
    </w:p>
    <w:p w:rsidR="004C35E7" w:rsidRPr="00B308ED" w:rsidRDefault="004C35E7" w:rsidP="004C35E7">
      <w:pPr>
        <w:pStyle w:val="PI-2EMEASMCA"/>
      </w:pPr>
      <w:r w:rsidRPr="00B308ED">
        <w:t>4.4</w:t>
      </w:r>
      <w:r w:rsidRPr="00B308ED">
        <w:tab/>
        <w:t>Specialūs įspėjimai ir atsargumo priemonės</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Ypatingos populiacijos</w:t>
      </w:r>
    </w:p>
    <w:p w:rsidR="004C35E7" w:rsidRPr="00B308ED" w:rsidRDefault="004C35E7" w:rsidP="004C35E7">
      <w:pPr>
        <w:pStyle w:val="BTEMEASMCA"/>
        <w:rPr>
          <w:i/>
          <w:u w:val="single"/>
        </w:rPr>
      </w:pPr>
    </w:p>
    <w:p w:rsidR="004C35E7" w:rsidRPr="00B308ED" w:rsidRDefault="004C35E7" w:rsidP="004C35E7">
      <w:pPr>
        <w:pStyle w:val="BTEMEASMCA"/>
        <w:numPr>
          <w:ilvl w:val="0"/>
          <w:numId w:val="47"/>
        </w:numPr>
        <w:ind w:left="567" w:hanging="567"/>
        <w:rPr>
          <w:i/>
          <w:u w:val="single"/>
        </w:rPr>
      </w:pPr>
      <w:r w:rsidRPr="00B308ED">
        <w:rPr>
          <w:i/>
        </w:rPr>
        <w:t>Nėštumas.</w:t>
      </w:r>
      <w:r w:rsidRPr="00B308ED">
        <w:t xml:space="preserve"> Nėščios moterys neturi būti pradedamos gydyti AKF inhibitoriais, pvz., ramipriliu arba angiotenzino II receptorių blokatoriais (AIIRB). Išskyrus atvejus, kai tolesnis gydymas AKF inhibitoriais /</w:t>
      </w:r>
      <w:r w:rsidRPr="00B308ED">
        <w:rPr>
          <w:rFonts w:eastAsia="SimSun"/>
        </w:rPr>
        <w:t xml:space="preserve"> </w:t>
      </w:r>
      <w:r w:rsidRPr="00B308ED">
        <w:t>AIIRB yra būtinas, pastoti planuojančioms moterims juos reikia keisti kitokiais antihipertenziniais vaistiniais preparatais, kurių vartojimo saugumas nėštumo metu ištirtas. Nustačius nėštumą, AKF inhibitorių / AIIRB vartojimą būtina nedelsiant nutraukti ir, jeigu reikia, skirti kitokį tinkamą gydymą (žr. 4.3 ir 4.6 skyrius).</w:t>
      </w:r>
    </w:p>
    <w:p w:rsidR="004C35E7" w:rsidRPr="00B308ED" w:rsidRDefault="004C35E7" w:rsidP="004C35E7">
      <w:pPr>
        <w:pStyle w:val="BTEMEASMCA"/>
      </w:pPr>
    </w:p>
    <w:p w:rsidR="004C35E7" w:rsidRPr="00B308ED" w:rsidRDefault="004C35E7" w:rsidP="004C35E7">
      <w:pPr>
        <w:pStyle w:val="BT-EMEASMCA"/>
        <w:numPr>
          <w:ilvl w:val="1"/>
          <w:numId w:val="14"/>
        </w:numPr>
        <w:tabs>
          <w:tab w:val="clear" w:pos="360"/>
        </w:tabs>
        <w:rPr>
          <w:i/>
        </w:rPr>
      </w:pPr>
      <w:r w:rsidRPr="00B308ED">
        <w:rPr>
          <w:i/>
        </w:rPr>
        <w:t>Pacientai, kuriems yra didelė hipotenzijos rizika</w:t>
      </w:r>
    </w:p>
    <w:p w:rsidR="004C35E7" w:rsidRPr="00B308ED" w:rsidRDefault="004C35E7" w:rsidP="004C35E7">
      <w:pPr>
        <w:pStyle w:val="BT-EMEASMCA"/>
        <w:numPr>
          <w:ilvl w:val="0"/>
          <w:numId w:val="0"/>
        </w:numPr>
        <w:tabs>
          <w:tab w:val="left" w:pos="1440"/>
        </w:tabs>
        <w:rPr>
          <w:i/>
        </w:rPr>
      </w:pPr>
    </w:p>
    <w:p w:rsidR="004C35E7" w:rsidRPr="00B308ED" w:rsidRDefault="004C35E7" w:rsidP="004C35E7">
      <w:pPr>
        <w:pStyle w:val="BT-EMEASMCA"/>
        <w:numPr>
          <w:ilvl w:val="0"/>
          <w:numId w:val="8"/>
        </w:numPr>
        <w:tabs>
          <w:tab w:val="clear" w:pos="360"/>
        </w:tabs>
      </w:pPr>
      <w:r w:rsidRPr="00B308ED">
        <w:rPr>
          <w:i/>
        </w:rPr>
        <w:t>Pacientai, kurių renino</w:t>
      </w:r>
      <w:r w:rsidRPr="00B308ED">
        <w:rPr>
          <w:i/>
        </w:rPr>
        <w:noBreakHyphen/>
        <w:t>angiotenzino</w:t>
      </w:r>
      <w:r w:rsidRPr="00B308ED">
        <w:rPr>
          <w:i/>
        </w:rPr>
        <w:noBreakHyphen/>
        <w:t>aldosterono sistema yra labai suaktyvinta</w:t>
      </w:r>
    </w:p>
    <w:p w:rsidR="004C35E7" w:rsidRPr="00B308ED" w:rsidRDefault="004C35E7" w:rsidP="004C35E7">
      <w:pPr>
        <w:pStyle w:val="BTEMEASMCA"/>
      </w:pPr>
      <w:r w:rsidRPr="00B308ED">
        <w:t>Pacientams, kurių renino</w:t>
      </w:r>
      <w:r w:rsidRPr="00B308ED">
        <w:noBreakHyphen/>
        <w:t>angiotenzino</w:t>
      </w:r>
      <w:r w:rsidRPr="00B308ED">
        <w:noBreakHyphen/>
        <w:t>aldosterono sistema yra labai suaktyvinta, yra padidėjęs ūminio stipraus kraujospūdžio sumažėjimo ir inkstų funkcijos pablogėjimo pavojus dėl AKF slopinimo, ypač jeigu pirmą kartą pavartojama AKF inhibitoriaus arba kartu su juo diuretiko, arba pirmą kartą padidinama dozė. Žymus renino</w:t>
      </w:r>
      <w:r w:rsidRPr="00B308ED">
        <w:noBreakHyphen/>
        <w:t>angiotenzino</w:t>
      </w:r>
      <w:r w:rsidRPr="00B308ED">
        <w:noBreakHyphen/>
        <w:t>aldosterono sistemos suaktyvinimas yra labai tikėtinas, būtina atidi gydytojo priežiūra, taip pat kraujospūdžio stebėjimas, kai pvz.:</w:t>
      </w:r>
    </w:p>
    <w:p w:rsidR="004C35E7" w:rsidRPr="00B308ED" w:rsidRDefault="004C35E7" w:rsidP="004C35E7">
      <w:pPr>
        <w:pStyle w:val="BT-EMEASMCA"/>
        <w:numPr>
          <w:ilvl w:val="0"/>
          <w:numId w:val="15"/>
        </w:numPr>
        <w:tabs>
          <w:tab w:val="clear" w:pos="360"/>
        </w:tabs>
      </w:pPr>
      <w:r w:rsidRPr="00B308ED">
        <w:t>pacientai serga sunkia hipertenzija;</w:t>
      </w:r>
    </w:p>
    <w:p w:rsidR="004C35E7" w:rsidRPr="00B308ED" w:rsidRDefault="004C35E7" w:rsidP="004C35E7">
      <w:pPr>
        <w:pStyle w:val="BT-EMEASMCA"/>
        <w:numPr>
          <w:ilvl w:val="0"/>
          <w:numId w:val="15"/>
        </w:numPr>
        <w:tabs>
          <w:tab w:val="clear" w:pos="360"/>
        </w:tabs>
      </w:pPr>
      <w:r w:rsidRPr="00B308ED">
        <w:t>pacientams yra dekompensuotas stazinis širdies nepakankamumas;</w:t>
      </w:r>
    </w:p>
    <w:p w:rsidR="004C35E7" w:rsidRPr="00B308ED" w:rsidRDefault="004C35E7" w:rsidP="004C35E7">
      <w:pPr>
        <w:pStyle w:val="BT-EMEASMCA"/>
        <w:numPr>
          <w:ilvl w:val="0"/>
          <w:numId w:val="15"/>
        </w:numPr>
        <w:tabs>
          <w:tab w:val="clear" w:pos="360"/>
        </w:tabs>
      </w:pPr>
      <w:r w:rsidRPr="00B308ED">
        <w:lastRenderedPageBreak/>
        <w:t>pacientams yra hemodinamikai svarbi įtekamųjų ar nutekamųjų kairiojo skilvelio takų kliūtis (pvz., aortos ar dviburio vožtuvo stenozė);</w:t>
      </w:r>
    </w:p>
    <w:p w:rsidR="004C35E7" w:rsidRPr="00B308ED" w:rsidRDefault="004C35E7" w:rsidP="004C35E7">
      <w:pPr>
        <w:pStyle w:val="BT-EMEASMCA"/>
        <w:numPr>
          <w:ilvl w:val="0"/>
          <w:numId w:val="15"/>
        </w:numPr>
        <w:tabs>
          <w:tab w:val="clear" w:pos="360"/>
        </w:tabs>
      </w:pPr>
      <w:r w:rsidRPr="00B308ED">
        <w:t>pacientams yra vienpusė inkstų arterijos stenozė, o kitas inkstas yra funkcionalus;</w:t>
      </w:r>
    </w:p>
    <w:p w:rsidR="004C35E7" w:rsidRPr="00B308ED" w:rsidRDefault="004C35E7" w:rsidP="004C35E7">
      <w:pPr>
        <w:pStyle w:val="BT-EMEASMCA"/>
        <w:numPr>
          <w:ilvl w:val="0"/>
          <w:numId w:val="15"/>
        </w:numPr>
        <w:tabs>
          <w:tab w:val="clear" w:pos="360"/>
        </w:tabs>
      </w:pPr>
      <w:r w:rsidRPr="00B308ED">
        <w:t>pacientams yra ar gali atsirasti skysčių ar druskų stoka (įskaitant diuretikais gydomus pacientus);</w:t>
      </w:r>
    </w:p>
    <w:p w:rsidR="004C35E7" w:rsidRPr="00B308ED" w:rsidRDefault="004C35E7" w:rsidP="004C35E7">
      <w:pPr>
        <w:pStyle w:val="BT-EMEASMCA"/>
        <w:numPr>
          <w:ilvl w:val="0"/>
          <w:numId w:val="15"/>
        </w:numPr>
        <w:tabs>
          <w:tab w:val="clear" w:pos="360"/>
        </w:tabs>
      </w:pPr>
      <w:r w:rsidRPr="00B308ED">
        <w:t>pacientai su kepenų ciroze ir (arba) ascitu;</w:t>
      </w:r>
    </w:p>
    <w:p w:rsidR="004C35E7" w:rsidRPr="00B308ED" w:rsidRDefault="004C35E7" w:rsidP="004C35E7">
      <w:pPr>
        <w:pStyle w:val="BT-EMEASMCA"/>
        <w:numPr>
          <w:ilvl w:val="0"/>
          <w:numId w:val="15"/>
        </w:numPr>
        <w:tabs>
          <w:tab w:val="clear" w:pos="360"/>
        </w:tabs>
      </w:pPr>
      <w:r w:rsidRPr="00B308ED">
        <w:t>pacientai, kuriems atliekama didelės apimties operacija arba anestezijos metu, kai naudojami hipotenziją sukeliantys vaistiniai preparatai.</w:t>
      </w:r>
    </w:p>
    <w:p w:rsidR="004C35E7" w:rsidRPr="00B308ED" w:rsidRDefault="004C35E7" w:rsidP="004C35E7">
      <w:pPr>
        <w:pStyle w:val="BT-EMEASMCA"/>
        <w:numPr>
          <w:ilvl w:val="0"/>
          <w:numId w:val="0"/>
        </w:numPr>
        <w:tabs>
          <w:tab w:val="clear" w:pos="360"/>
          <w:tab w:val="left" w:pos="1800"/>
        </w:tabs>
      </w:pPr>
      <w:r w:rsidRPr="00B308ED">
        <w:t>Prieš gydymą paprastai patariama pašalinti dehidraciją, hipovolemiją ir druskų trūkumą organizme (širdies nepakankamumu sergantiems pacientams prieš imantis išvardytų priemonių turi būti tiksliai įvertintas naudos ir dėl skysčių pertekliaus atsirandančio pavojaus santykis).</w:t>
      </w:r>
    </w:p>
    <w:p w:rsidR="004C35E7" w:rsidRPr="00B308ED" w:rsidRDefault="004C35E7" w:rsidP="004C35E7">
      <w:pPr>
        <w:pStyle w:val="BT-EMEASMCA"/>
        <w:numPr>
          <w:ilvl w:val="0"/>
          <w:numId w:val="0"/>
        </w:numPr>
        <w:tabs>
          <w:tab w:val="clear" w:pos="360"/>
          <w:tab w:val="left" w:pos="1800"/>
        </w:tabs>
      </w:pPr>
    </w:p>
    <w:p w:rsidR="004C35E7" w:rsidRPr="00B308ED" w:rsidRDefault="004C35E7" w:rsidP="004C35E7">
      <w:pPr>
        <w:pStyle w:val="BT-EMEASMCA"/>
        <w:numPr>
          <w:ilvl w:val="0"/>
          <w:numId w:val="15"/>
        </w:numPr>
        <w:tabs>
          <w:tab w:val="clear" w:pos="360"/>
          <w:tab w:val="left" w:pos="1800"/>
        </w:tabs>
        <w:rPr>
          <w:i/>
        </w:rPr>
      </w:pPr>
      <w:r w:rsidRPr="00B308ED">
        <w:rPr>
          <w:i/>
        </w:rPr>
        <w:t>Dviguba renino-angiotenzino-aldosterono sistemos (RAAS) blokada</w:t>
      </w:r>
    </w:p>
    <w:p w:rsidR="004C35E7" w:rsidRPr="00B308ED" w:rsidRDefault="004C35E7" w:rsidP="004C35E7">
      <w:pPr>
        <w:pStyle w:val="BT-EMEASMCA"/>
        <w:numPr>
          <w:ilvl w:val="0"/>
          <w:numId w:val="0"/>
        </w:numPr>
        <w:tabs>
          <w:tab w:val="clear" w:pos="360"/>
          <w:tab w:val="left" w:pos="0"/>
          <w:tab w:val="left" w:pos="1800"/>
        </w:tabs>
      </w:pPr>
      <w:r w:rsidRPr="00B308ED">
        <w:t>Turima įrodymų, kad kartu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4C35E7" w:rsidRPr="00B308ED" w:rsidRDefault="004C35E7" w:rsidP="004C35E7">
      <w:pPr>
        <w:pStyle w:val="BT-EMEASMCA"/>
        <w:numPr>
          <w:ilvl w:val="0"/>
          <w:numId w:val="0"/>
        </w:numPr>
        <w:tabs>
          <w:tab w:val="clear" w:pos="360"/>
          <w:tab w:val="left" w:pos="0"/>
          <w:tab w:val="left" w:pos="1800"/>
        </w:tabs>
      </w:pPr>
      <w:r w:rsidRPr="00B308ED">
        <w:t>Vis dėlto, jeigu dvigubas nuslopinimas laikomas absoliučiai būtinu, šis gydymas turi būti atliekamas tik prižiūrint specialistams ir dažnai bei atidžiai tiriant inkstų funkciją, elektrolitų koncentraciją bei kraujospūdį.</w:t>
      </w:r>
    </w:p>
    <w:p w:rsidR="004C35E7" w:rsidRPr="00B308ED" w:rsidRDefault="004C35E7" w:rsidP="004C35E7">
      <w:pPr>
        <w:pStyle w:val="BTEMEASMCA"/>
        <w:tabs>
          <w:tab w:val="left" w:pos="0"/>
        </w:tabs>
      </w:pPr>
      <w:r w:rsidRPr="00B308ED">
        <w:t>Pacientams, sergantiems diabetine nefropatija, negalima kartu vartoti AKF inhibitorių ir angiotenzino II receptorių blokatorių.</w:t>
      </w:r>
    </w:p>
    <w:p w:rsidR="004C35E7" w:rsidRPr="00B308ED" w:rsidRDefault="004C35E7" w:rsidP="004C35E7">
      <w:pPr>
        <w:pStyle w:val="BTEMEASMCA"/>
      </w:pPr>
    </w:p>
    <w:p w:rsidR="004C35E7" w:rsidRPr="00B308ED" w:rsidRDefault="004C35E7" w:rsidP="004C35E7">
      <w:pPr>
        <w:pStyle w:val="BT-EMEASMCA"/>
        <w:numPr>
          <w:ilvl w:val="0"/>
          <w:numId w:val="9"/>
        </w:numPr>
        <w:tabs>
          <w:tab w:val="clear" w:pos="360"/>
        </w:tabs>
        <w:rPr>
          <w:i/>
        </w:rPr>
      </w:pPr>
      <w:r w:rsidRPr="00B308ED">
        <w:rPr>
          <w:i/>
        </w:rPr>
        <w:t>Praeinantis arba pastovus širdies nepakankamumas po MI</w:t>
      </w:r>
    </w:p>
    <w:p w:rsidR="004C35E7" w:rsidRPr="00B308ED" w:rsidRDefault="004C35E7" w:rsidP="004C35E7">
      <w:pPr>
        <w:pStyle w:val="BT-EMEASMCA"/>
        <w:numPr>
          <w:ilvl w:val="0"/>
          <w:numId w:val="0"/>
        </w:numPr>
        <w:tabs>
          <w:tab w:val="clear" w:pos="360"/>
        </w:tabs>
        <w:ind w:left="357"/>
        <w:rPr>
          <w:i/>
        </w:rPr>
      </w:pPr>
    </w:p>
    <w:p w:rsidR="004C35E7" w:rsidRPr="00B308ED" w:rsidRDefault="004C35E7" w:rsidP="004C35E7">
      <w:pPr>
        <w:pStyle w:val="BT-EMEASMCA"/>
        <w:numPr>
          <w:ilvl w:val="0"/>
          <w:numId w:val="9"/>
        </w:numPr>
        <w:tabs>
          <w:tab w:val="clear" w:pos="360"/>
        </w:tabs>
        <w:rPr>
          <w:i/>
        </w:rPr>
      </w:pPr>
      <w:r w:rsidRPr="00B308ED">
        <w:rPr>
          <w:i/>
        </w:rPr>
        <w:t>Pacientai, kuriems ūmios hipotenzijos atveju gali išsivystyti širdies arba galvos smegenų išemija</w:t>
      </w:r>
    </w:p>
    <w:p w:rsidR="004C35E7" w:rsidRPr="00B308ED" w:rsidRDefault="004C35E7" w:rsidP="004C35E7">
      <w:pPr>
        <w:pStyle w:val="BTEMEASMCA"/>
      </w:pPr>
      <w:r w:rsidRPr="00B308ED">
        <w:t>Pradinėse gydymo stadijose būtina speciali medicininė priežiūra.</w:t>
      </w:r>
    </w:p>
    <w:p w:rsidR="004C35E7" w:rsidRPr="00B308ED" w:rsidRDefault="004C35E7" w:rsidP="004C35E7">
      <w:pPr>
        <w:pStyle w:val="BTEMEASMCA"/>
      </w:pPr>
    </w:p>
    <w:p w:rsidR="004C35E7" w:rsidRPr="00B308ED" w:rsidRDefault="004C35E7" w:rsidP="004C35E7">
      <w:pPr>
        <w:pStyle w:val="BT-EMEASMCA"/>
        <w:numPr>
          <w:ilvl w:val="1"/>
          <w:numId w:val="16"/>
        </w:numPr>
        <w:tabs>
          <w:tab w:val="clear" w:pos="360"/>
        </w:tabs>
        <w:rPr>
          <w:i/>
        </w:rPr>
      </w:pPr>
      <w:r w:rsidRPr="00B308ED">
        <w:rPr>
          <w:i/>
        </w:rPr>
        <w:t>Senyvi pacientai</w:t>
      </w:r>
    </w:p>
    <w:p w:rsidR="004C35E7" w:rsidRPr="00B308ED" w:rsidRDefault="004C35E7" w:rsidP="004C35E7">
      <w:pPr>
        <w:pStyle w:val="BTEMEASMCA"/>
      </w:pPr>
      <w:r w:rsidRPr="00B308ED">
        <w:t>Žr. 4.2 skyrių.</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Operacija</w:t>
      </w:r>
    </w:p>
    <w:p w:rsidR="004C35E7" w:rsidRPr="00B308ED" w:rsidRDefault="004C35E7" w:rsidP="004C35E7">
      <w:pPr>
        <w:pStyle w:val="BTEMEASMCA"/>
      </w:pPr>
      <w:r w:rsidRPr="00B308ED">
        <w:t>Jeigu įmanoma, vieną dieną prieš operaciją rekomenduojama nutraukti gydymą angiotenziną konvertuojančių fermentų inhibitoriais, tokiais kaip ramiprilis.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i/>
          <w:u w:val="single"/>
          <w:lang w:val="lt-LT"/>
        </w:rPr>
        <w:t>Inkstų funkcijos stebėjimas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Inkstų funkciją reikia tirti prieš gydymo pradžią ir gydymo metu ir koreguojant dozę, ypač pirmosiomis gydymo savaitėmis. Ypatingai atidi priežiūra būtina pacientams, kurių inkstų funkcija sutrikusi (žr. 4.2 skyrių). Inkstų funkcijos sutrikimo rizika yra pacientams, sergantiems staziniu širdies nepakankamumu, arba po inksto transplantacijos.</w:t>
      </w:r>
    </w:p>
    <w:p w:rsidR="004C35E7" w:rsidRPr="00B308ED" w:rsidRDefault="004C35E7" w:rsidP="004C35E7">
      <w:pPr>
        <w:pStyle w:val="BTEMEASMCA"/>
      </w:pPr>
    </w:p>
    <w:p w:rsidR="004C35E7" w:rsidRPr="00B308ED" w:rsidRDefault="004C35E7" w:rsidP="004C35E7">
      <w:pPr>
        <w:pStyle w:val="BTEMEASMCA"/>
        <w:keepNext/>
        <w:keepLines/>
        <w:rPr>
          <w:i/>
        </w:rPr>
      </w:pPr>
      <w:r w:rsidRPr="00B308ED">
        <w:rPr>
          <w:i/>
          <w:u w:val="single"/>
        </w:rPr>
        <w:t>Angioneurozinė edema</w:t>
      </w:r>
    </w:p>
    <w:p w:rsidR="004C35E7" w:rsidRPr="00B308ED" w:rsidRDefault="004C35E7" w:rsidP="004C35E7">
      <w:pPr>
        <w:pStyle w:val="BTEMEASMCA"/>
        <w:keepNext/>
        <w:keepLines/>
      </w:pPr>
      <w:r w:rsidRPr="00B308ED">
        <w:t>Gydymo AKF inhibitoriais, įskaitant ramiprilį, metu, nustatyta angioneurozinės edemos atvejų (žr. 4.8 skyrių). Tokia rizika gali padidėti pacientams, kurie kartu vartoja tokių vaistinių preparatų kaip mTOR (</w:t>
      </w:r>
      <w:r w:rsidRPr="00B308ED">
        <w:rPr>
          <w:rStyle w:val="Emfaz"/>
        </w:rPr>
        <w:t>žinduolių rapamicino taikinio</w:t>
      </w:r>
      <w:r w:rsidRPr="00B308ED">
        <w:t xml:space="preserve">, </w:t>
      </w:r>
      <w:r w:rsidRPr="00B308ED">
        <w:rPr>
          <w:i/>
        </w:rPr>
        <w:t>angl. mammalian target of rapamycin</w:t>
      </w:r>
      <w:r w:rsidRPr="00B308ED">
        <w:t>) inhibitoriai (pvz., temsirolimuzas, everolimuzas, sirolimuzas)</w:t>
      </w:r>
      <w:r>
        <w:t>,</w:t>
      </w:r>
      <w:r w:rsidRPr="00B308ED">
        <w:t xml:space="preserve"> vildagliptinas</w:t>
      </w:r>
      <w:r w:rsidRPr="00767209">
        <w:t xml:space="preserve"> arba racekadotrilis</w:t>
      </w:r>
      <w:r w:rsidRPr="00B308ED">
        <w:t>.</w:t>
      </w:r>
    </w:p>
    <w:p w:rsidR="004C35E7" w:rsidRPr="00B308ED" w:rsidRDefault="004C35E7" w:rsidP="004C35E7">
      <w:pPr>
        <w:pStyle w:val="BTEMEASMCA"/>
      </w:pPr>
    </w:p>
    <w:p w:rsidR="004C35E7" w:rsidRPr="00B308ED" w:rsidRDefault="004C35E7" w:rsidP="004C35E7">
      <w:pPr>
        <w:pStyle w:val="BTEMEASMCA"/>
      </w:pPr>
      <w:r w:rsidRPr="00B308ED">
        <w:lastRenderedPageBreak/>
        <w:t xml:space="preserve">Jeigu pasireiškia angioneurozinė edema, gydymą Cardace būtina nutraukti. </w:t>
      </w:r>
    </w:p>
    <w:p w:rsidR="004C35E7" w:rsidRPr="00B308ED" w:rsidRDefault="004C35E7" w:rsidP="004C35E7">
      <w:pPr>
        <w:pStyle w:val="BTEMEASMCA"/>
      </w:pPr>
      <w:r w:rsidRPr="00B308ED">
        <w:t>Nedelsiant turi būti taikomas skubus gydymas. Pacientą būtina stebėti mažiausiai 12</w:t>
      </w:r>
      <w:r w:rsidRPr="00B308ED">
        <w:noBreakHyphen/>
        <w:t>24 valandas, stebėjimą nutraukti tik visiškai išnykus simptomams.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Pacientams, gydytiems AKF inhibitoriais, įskaitant Cardace, nustatyta žarnyno angioneurozinės edemos atvejų (žr. 4.8 skyrių). Tokiems pacientams pasireiškė pilvo skausmas (kartu atsirado pykinimas ir vėmimas arba ne).</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Anafilaksinės reakcijos desensibilizavimo metu</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Anafilaksinės ir anafilaktoidinės reakcijos į vabzdžių nuodus ir kitus alergenus yra labiau tikėtinos ir stipresnės, kai slopinamas AKF aktyvumas. Reikia apsvarstyti gydymo Cardace preparatu laikino nutraukimo galimybę prieš desensibilizavimą.</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Elektrolitų koncentracijos stebėjimas: hiperkalemija</w:t>
      </w:r>
    </w:p>
    <w:p w:rsidR="004C35E7" w:rsidRPr="00B308ED" w:rsidRDefault="004C35E7" w:rsidP="004C35E7">
      <w:pPr>
        <w:pStyle w:val="BTEMEASMCA"/>
        <w:rPr>
          <w:shd w:val="clear" w:color="auto" w:fill="FFFF00"/>
        </w:rPr>
      </w:pPr>
      <w:r w:rsidRPr="00B308ED">
        <w:t>Gydymo AKF inhibitoriais, įskaitant Cardace, metu, kai kuriems pacientams nustatyta hiperkalemijos atvejų. Hiperkalemijos išsivystymo rizika yra pacientams, kuriems yra inkstų funkcijos nepakankamumas, vyresniems nei 70 metų, nekontroliuojamas cukrinis diabetas arba tiems, kurie vartoja kalio druskų, kalį organizme sulaikančių diuretikų ar kitų kalio koncentraciją plazmoje didinančių veikliųjų medžiagų, arba jeigu yra dehidracija, ūminis dekompensuotas širdies nepakankamumas, metabolinė acidozė. Rekomenduojamas nuolatinis kalio koncentracijos serume stebėjimas, jeigu manoma, kad kartu vartoti šių išvardytų medžiagų yra saugu (žr. 4.5 skyrių).</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Elektrolitų koncentracijos stebėjimas: hiponatremija</w:t>
      </w:r>
    </w:p>
    <w:p w:rsidR="004C35E7" w:rsidRPr="00B308ED" w:rsidRDefault="004C35E7" w:rsidP="004C35E7">
      <w:pPr>
        <w:pStyle w:val="BTEMEASMCA"/>
      </w:pPr>
      <w:r w:rsidRPr="00B308ED">
        <w:t>Kai kuriems ramipriliu gydytiems pacientams buvo antidiurezinio hormono sutrikusios sekrecijos sindromo (AHSSS) ir jo sukeltos hiponatremijos atvejų. Senyviems žmonėms bei kitiems pacientams, kuriems yra anksčiau minėtų būklių, rekomenduojama reguliariai tirti natrio koncentraciją serume dėl hiponatremijos rizikos.</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Neutropenija ir (arba) agranulocitozė</w:t>
      </w:r>
    </w:p>
    <w:p w:rsidR="004C35E7" w:rsidRPr="00B308ED" w:rsidRDefault="004C35E7" w:rsidP="004C35E7">
      <w:pPr>
        <w:pStyle w:val="BTEMEASMCA"/>
      </w:pPr>
      <w:r w:rsidRPr="00B308ED">
        <w:t>Retais atvejais nustatyta neutropenija, agranulocitozė, trombocitopenija ir anemija, taip pat nustatyta kaulų čiulpų funkcijos slopinimo atvejų. Kad laiku būtų galima pastebėti prasidedančią leukopeniją, patariama nustatinėti leukocitų kiekį kraujyje. Dažniau šį tyrimą reikia atlikti gydymo pradžioje bei pacientams, kurių inkstų funkcija sutrikusi, arba kurie serga sistemine jungiamojo audinio liga (pvz., raudonąja vilklige ar sklerodermija) bei kurie vartoja kitokių vaistinių preparatų, galinčių sukelti kraujo pakitimus (žr. 4.5 ir 4.8 skyrius).</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Etniniai skirtumai</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AKF inhibitoriai angioneurozinę edemą dažniau sukelia juodaodžiams, negu nejuodaodžiams pacientams.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Kaip ir kitų AKF inhibitorių, kraujospūdį mažinantis ramiprilio poveikis gali būti mažiau veiksmingas juodaodžiams, negu nejuodaodžiams pacientams, galbūt dėl to, kad paprastai juodaodžių populiacijos hipertenzija sergančių žmonių organizme renino aktyvumas būna mažas.</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Kosulys</w:t>
      </w:r>
    </w:p>
    <w:p w:rsidR="004C35E7" w:rsidRPr="00B308ED" w:rsidRDefault="004C35E7" w:rsidP="004C35E7">
      <w:pPr>
        <w:pStyle w:val="BTEMEASMCA"/>
      </w:pPr>
      <w:r w:rsidRPr="00B308ED">
        <w:t>Vartojant AKF inhibitorių, pastebėtas nuolatinis neproduktyvus kosulys, kuris praeina gydymą nutraukus. Atliekant diferencinę diagnostiką reikia įvertinti AKF inhibitorių sukelto kosulio galimybę.</w:t>
      </w:r>
    </w:p>
    <w:p w:rsidR="004C35E7" w:rsidRPr="00B308ED" w:rsidRDefault="004C35E7" w:rsidP="004C35E7">
      <w:pPr>
        <w:pStyle w:val="BTEMEASMCA"/>
      </w:pPr>
    </w:p>
    <w:p w:rsidR="004C35E7" w:rsidRPr="00B308ED" w:rsidRDefault="004C35E7" w:rsidP="004C35E7">
      <w:pPr>
        <w:pStyle w:val="PI-2EMEASMCA"/>
      </w:pPr>
      <w:r w:rsidRPr="00B308ED">
        <w:lastRenderedPageBreak/>
        <w:t>4.5</w:t>
      </w:r>
      <w:r w:rsidRPr="00B308ED">
        <w:tab/>
        <w:t>Sąveika su kitais vaistiniais preparatais ir kitokia sąveika</w:t>
      </w:r>
    </w:p>
    <w:p w:rsidR="004C35E7" w:rsidRPr="00B308ED" w:rsidRDefault="004C35E7" w:rsidP="004C35E7">
      <w:pPr>
        <w:pStyle w:val="BTEMEASMCA"/>
        <w:keepNext/>
        <w:keepLines/>
      </w:pP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Klinikinių tyrimų duomenys parodė, kad, palyginti su vieno RAAS veikiančio preparato vartojimu, dvigubas renino-angiotenzino-aldosterono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Draudžiami deriniai</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iCs/>
          <w:lang w:val="lt-LT"/>
        </w:rPr>
        <w:t>Vartojant ramiprilį draudžiamos ekstrakorporinės procedūros, kurių metu kraujas liečiasi su neigiamą krūvį turinčiu paviršiumi, pvz., dializė arba hemofiltracija, kai naudojamos didelio laidumo membranos, (pvz., poliakrilnitrilo membranos) ir mažo tankio lipoproteinų aferezė dekstrano sulfatu, nes</w:t>
      </w:r>
      <w:r w:rsidRPr="00B308ED">
        <w:rPr>
          <w:rFonts w:ascii="Times New Roman" w:hAnsi="Times New Roman" w:cs="Times New Roman"/>
          <w:lang w:val="lt-LT"/>
        </w:rPr>
        <w:t xml:space="preserve"> gali pasireikšti sunki anafilaktoidinė reakcija (žr. 4.3 skyrių). Jeigu toks gydymas yra būtinas, reikia apsvarstyti kitokio tipo hemodializės membranų naudojimo arba kitos klasės antihipertenzinių preparatų vartojimo galimybes.</w:t>
      </w:r>
    </w:p>
    <w:p w:rsidR="004C35E7" w:rsidRPr="00B308ED" w:rsidRDefault="004C35E7" w:rsidP="004C35E7">
      <w:pPr>
        <w:spacing w:after="0" w:line="240" w:lineRule="auto"/>
        <w:rPr>
          <w:rFonts w:ascii="Times New Roman" w:hAnsi="Times New Roman" w:cs="Times New Roman"/>
          <w:iCs/>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Atsargumo priemonės</w:t>
      </w:r>
    </w:p>
    <w:p w:rsidR="004C35E7" w:rsidRPr="00B308ED" w:rsidRDefault="004C35E7" w:rsidP="004C35E7">
      <w:pPr>
        <w:spacing w:after="0" w:line="240" w:lineRule="auto"/>
        <w:rPr>
          <w:rFonts w:ascii="Times New Roman" w:hAnsi="Times New Roman" w:cs="Times New Roman"/>
          <w:i/>
          <w:lang w:val="lt-LT"/>
        </w:rPr>
      </w:pPr>
    </w:p>
    <w:p w:rsidR="004C35E7" w:rsidRPr="00B308ED" w:rsidRDefault="004C35E7" w:rsidP="004C35E7">
      <w:pPr>
        <w:spacing w:after="0" w:line="240" w:lineRule="auto"/>
        <w:rPr>
          <w:rFonts w:ascii="Times New Roman" w:hAnsi="Times New Roman" w:cs="Times New Roman"/>
          <w:i/>
          <w:iCs/>
          <w:lang w:val="lt-LT"/>
        </w:rPr>
      </w:pPr>
      <w:r w:rsidRPr="00B308ED">
        <w:rPr>
          <w:rFonts w:ascii="Times New Roman" w:hAnsi="Times New Roman" w:cs="Times New Roman"/>
          <w:i/>
          <w:iCs/>
          <w:lang w:val="lt-LT"/>
        </w:rPr>
        <w:t xml:space="preserve">Kalio druskos, heparinas, kalį organizme sulaikantys diuretikai ir kitos kalio koncentraciją plazmoje didinančios veikliosios medžiagos (įskaitant Angiotenzino II </w:t>
      </w:r>
      <w:r>
        <w:rPr>
          <w:rFonts w:ascii="Times New Roman" w:hAnsi="Times New Roman" w:cs="Times New Roman"/>
          <w:i/>
          <w:iCs/>
          <w:lang w:val="lt-LT"/>
        </w:rPr>
        <w:t>receptorių blokatorius</w:t>
      </w:r>
      <w:r w:rsidRPr="00B308ED">
        <w:rPr>
          <w:rFonts w:ascii="Times New Roman" w:hAnsi="Times New Roman" w:cs="Times New Roman"/>
          <w:i/>
          <w:iCs/>
          <w:lang w:val="lt-LT"/>
        </w:rPr>
        <w:t>, trimetoprimą</w:t>
      </w:r>
      <w:r w:rsidRPr="00A80C32">
        <w:rPr>
          <w:lang w:val="lt-LT"/>
        </w:rPr>
        <w:t xml:space="preserve"> </w:t>
      </w:r>
      <w:r w:rsidRPr="00FD156A">
        <w:rPr>
          <w:rFonts w:ascii="Times New Roman" w:hAnsi="Times New Roman" w:cs="Times New Roman"/>
          <w:i/>
          <w:iCs/>
          <w:lang w:val="lt-LT"/>
        </w:rPr>
        <w:t>ir jo fiksuotų dozių derinys su sulfametoksazolu</w:t>
      </w:r>
      <w:r w:rsidRPr="00B308ED">
        <w:rPr>
          <w:rFonts w:ascii="Times New Roman" w:hAnsi="Times New Roman" w:cs="Times New Roman"/>
          <w:i/>
          <w:iCs/>
          <w:lang w:val="lt-LT"/>
        </w:rPr>
        <w:t>, takrolimuzą, ciklosporiną)</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Gali išsivystyti hiperkalemija, todėl būtinas atidus kalio koncentracijos serume stebėjimas.</w:t>
      </w:r>
    </w:p>
    <w:p w:rsidR="004C35E7" w:rsidRPr="00B308ED" w:rsidRDefault="004C35E7" w:rsidP="004C35E7">
      <w:pPr>
        <w:spacing w:after="0" w:line="240" w:lineRule="auto"/>
        <w:rPr>
          <w:rFonts w:ascii="Times New Roman" w:hAnsi="Times New Roman" w:cs="Times New Roman"/>
          <w:i/>
          <w:lang w:val="lt-LT"/>
        </w:rPr>
      </w:pPr>
    </w:p>
    <w:p w:rsidR="004C35E7" w:rsidRPr="00B308ED" w:rsidRDefault="004C35E7" w:rsidP="004C35E7">
      <w:pPr>
        <w:spacing w:after="0" w:line="240" w:lineRule="auto"/>
        <w:rPr>
          <w:rFonts w:ascii="Times New Roman" w:hAnsi="Times New Roman" w:cs="Times New Roman"/>
          <w:i/>
          <w:iCs/>
          <w:lang w:val="lt-LT"/>
        </w:rPr>
      </w:pPr>
      <w:r w:rsidRPr="00B308ED">
        <w:rPr>
          <w:rFonts w:ascii="Times New Roman" w:hAnsi="Times New Roman" w:cs="Times New Roman"/>
          <w:i/>
          <w:iCs/>
          <w:lang w:val="lt-LT"/>
        </w:rPr>
        <w:t>Antihipertenziniai vaistiniai preparatai, pvz., diuretikai, ir kitos kraujospūdį mažinančios medžiagos (pvz., nitratai, tricikliai antidepresantai, anestetikai, didelis alkoholio kiekis, baklofenas, alfuzozinas, doksazosinas, prazozinas, tamsulozinas, terazozinas)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Gali padidėti hipotenzijos rizika (žr. 4.2. skyrių apie diuretikus).</w:t>
      </w:r>
    </w:p>
    <w:p w:rsidR="004C35E7" w:rsidRPr="00B308ED" w:rsidRDefault="004C35E7" w:rsidP="004C35E7">
      <w:pPr>
        <w:spacing w:after="0" w:line="240" w:lineRule="auto"/>
        <w:rPr>
          <w:rFonts w:ascii="Times New Roman" w:hAnsi="Times New Roman" w:cs="Times New Roman"/>
          <w:i/>
          <w:lang w:val="lt-LT"/>
        </w:rPr>
      </w:pPr>
    </w:p>
    <w:p w:rsidR="004C35E7" w:rsidRPr="00B308ED" w:rsidRDefault="004C35E7" w:rsidP="004C35E7">
      <w:pPr>
        <w:spacing w:after="0" w:line="240" w:lineRule="auto"/>
        <w:rPr>
          <w:rFonts w:ascii="Times New Roman" w:hAnsi="Times New Roman" w:cs="Times New Roman"/>
          <w:i/>
          <w:iCs/>
          <w:lang w:val="lt-LT"/>
        </w:rPr>
      </w:pPr>
      <w:r w:rsidRPr="00B308ED">
        <w:rPr>
          <w:rFonts w:ascii="Times New Roman" w:hAnsi="Times New Roman" w:cs="Times New Roman"/>
          <w:i/>
          <w:iCs/>
          <w:lang w:val="lt-LT"/>
        </w:rPr>
        <w:t>Kraujagysles sutraukiantys simpatomimetikai ir kitos medžiagos (pvz., izoproterenolis, dobutaminas, dopaminas, epinefrinas), galinčios sumažinti kraujospūdį mažinantį Cardace poveikį</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Rekomenduojama ypač atidžiai stebėti kraujospūdį.</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iCs/>
          <w:lang w:val="lt-LT"/>
        </w:rPr>
      </w:pPr>
      <w:r w:rsidRPr="00B308ED">
        <w:rPr>
          <w:rFonts w:ascii="Times New Roman" w:hAnsi="Times New Roman" w:cs="Times New Roman"/>
          <w:i/>
          <w:iCs/>
          <w:lang w:val="lt-LT"/>
        </w:rPr>
        <w:t>Alopurinolis, imuninę sistemą slopinantys preparatai, kortikosteroidai, prokainamidas, citostatikai ir kiti kraujo sudėtį galintys keisti preparatai</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Padidėja kraujo reakcijų pavojus (žr. 4.4 skyrių).</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iCs/>
          <w:lang w:val="lt-LT"/>
        </w:rPr>
      </w:pPr>
      <w:r w:rsidRPr="00B308ED">
        <w:rPr>
          <w:rFonts w:ascii="Times New Roman" w:hAnsi="Times New Roman" w:cs="Times New Roman"/>
          <w:i/>
          <w:iCs/>
          <w:lang w:val="lt-LT"/>
        </w:rPr>
        <w:t>Ličio druskos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AKF inhibitoriai gali lėtinti ličio išsiskyrimą iš organizmo, todėl gali padidėti ličio koncentracija serume bei sustiprėti toksinis poveikis. Reikia sekti ličio koncentraciją serume.</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iCs/>
          <w:lang w:val="lt-LT"/>
        </w:rPr>
      </w:pPr>
      <w:r w:rsidRPr="00B308ED">
        <w:rPr>
          <w:rFonts w:ascii="Times New Roman" w:hAnsi="Times New Roman" w:cs="Times New Roman"/>
          <w:i/>
          <w:iCs/>
          <w:lang w:val="lt-LT"/>
        </w:rPr>
        <w:t>Vaistiniai preparatai nuo cukrinio diabeto (pvz., insulinas)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Gali pasireikšti hipoglikeminės reakcijos. Rekomenduojama stebėti gliukozės koncentraciją kraujyje.</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iCs/>
          <w:lang w:val="lt-LT"/>
        </w:rPr>
      </w:pPr>
      <w:r w:rsidRPr="00B308ED">
        <w:rPr>
          <w:rFonts w:ascii="Times New Roman" w:hAnsi="Times New Roman" w:cs="Times New Roman"/>
          <w:i/>
          <w:iCs/>
          <w:lang w:val="lt-LT"/>
        </w:rPr>
        <w:t>Nesteroidiniai vaistiniai preparatai nuo uždegimo ir acetilsalicilo rūgštis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Gali susilpnėti antihipertenzinis Cardace poveikis. Be to, kartu vartojant AKF inhibitorių ir NVNU, gali padidėti inkstų funkcijos pablogėjimo ir kalio koncentracijos serume padidėjimo pavojus.</w:t>
      </w:r>
    </w:p>
    <w:p w:rsidR="004C35E7" w:rsidRPr="00B308ED" w:rsidRDefault="004C35E7" w:rsidP="004C35E7">
      <w:pPr>
        <w:spacing w:after="0" w:line="240" w:lineRule="auto"/>
        <w:rPr>
          <w:rFonts w:ascii="Times New Roman" w:hAnsi="Times New Roman" w:cs="Times New Roman"/>
          <w:i/>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mTOR inhibitoriai arba vildagliptinas</w:t>
      </w:r>
    </w:p>
    <w:p w:rsidR="004C35E7"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Angioneurozinės edemos rizika gali padidėti pacientams kartu vartojantiems tokių vaistinių preparatų kaip mTOR inhibitoriai (pvz., temsirolimuzas, everolimuzas, sirolimuzas) arba vildagliptinas. Gydymą reikia pradėti atsargiai (žr. 4.4 skyrių).</w:t>
      </w:r>
    </w:p>
    <w:p w:rsidR="004C35E7" w:rsidRDefault="004C35E7" w:rsidP="004C35E7">
      <w:pPr>
        <w:spacing w:after="0" w:line="240" w:lineRule="auto"/>
        <w:rPr>
          <w:rFonts w:ascii="Times New Roman" w:hAnsi="Times New Roman" w:cs="Times New Roman"/>
          <w:lang w:val="lt-LT"/>
        </w:rPr>
      </w:pPr>
    </w:p>
    <w:p w:rsidR="004C35E7" w:rsidRPr="00767209" w:rsidRDefault="004C35E7" w:rsidP="004C35E7">
      <w:pPr>
        <w:spacing w:after="0" w:line="240" w:lineRule="auto"/>
        <w:rPr>
          <w:rFonts w:ascii="Times New Roman" w:hAnsi="Times New Roman" w:cs="Times New Roman"/>
          <w:i/>
          <w:iCs/>
          <w:lang w:val="lt-LT"/>
        </w:rPr>
      </w:pPr>
      <w:r w:rsidRPr="00767209">
        <w:rPr>
          <w:rFonts w:ascii="Times New Roman" w:hAnsi="Times New Roman" w:cs="Times New Roman"/>
          <w:i/>
          <w:iCs/>
          <w:lang w:val="lt-LT"/>
        </w:rPr>
        <w:t>Racekadotrilis</w:t>
      </w:r>
    </w:p>
    <w:p w:rsidR="004C35E7" w:rsidRPr="00B308ED" w:rsidRDefault="004C35E7" w:rsidP="004C35E7">
      <w:pPr>
        <w:spacing w:after="0" w:line="240" w:lineRule="auto"/>
        <w:rPr>
          <w:rFonts w:ascii="Times New Roman" w:hAnsi="Times New Roman" w:cs="Times New Roman"/>
          <w:lang w:val="lt-LT"/>
        </w:rPr>
      </w:pPr>
      <w:r w:rsidRPr="00767209">
        <w:rPr>
          <w:rFonts w:ascii="Times New Roman" w:hAnsi="Times New Roman" w:cs="Times New Roman"/>
          <w:lang w:val="lt-LT"/>
        </w:rPr>
        <w:t>Pranešta apie galimą angioneurozinės edemos pasireiškimo rizikos padidėjimą kartu vartojant AKF inhibitorių ir neutralios neuropeptidazės (NEP) inhibitorių, pvz., racekadotrilio (žr. 4.4 skyrių)</w:t>
      </w:r>
      <w:r>
        <w:rPr>
          <w:rFonts w:ascii="Times New Roman" w:hAnsi="Times New Roman" w:cs="Times New Roman"/>
          <w:lang w:val="lt-LT"/>
        </w:rPr>
        <w:t>.</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PI-2EMEASMCA"/>
      </w:pPr>
      <w:r w:rsidRPr="00B308ED">
        <w:t>4.6</w:t>
      </w:r>
      <w:r w:rsidRPr="00B308ED">
        <w:tab/>
        <w:t>Vaisingumas, nėštumo ir žindymo laikotarpis</w:t>
      </w:r>
    </w:p>
    <w:p w:rsidR="004C35E7" w:rsidRPr="00B308ED" w:rsidRDefault="004C35E7" w:rsidP="004C35E7">
      <w:pPr>
        <w:pStyle w:val="BTEMEASMCA"/>
        <w:keepNext/>
        <w:keepLines/>
      </w:pPr>
    </w:p>
    <w:p w:rsidR="004C35E7" w:rsidRPr="007B7EDF" w:rsidRDefault="004C35E7" w:rsidP="004C35E7">
      <w:pPr>
        <w:pStyle w:val="BTEMEASMCA"/>
        <w:keepNext/>
        <w:keepLines/>
        <w:rPr>
          <w:u w:val="single"/>
        </w:rPr>
      </w:pPr>
      <w:r w:rsidRPr="007B7EDF">
        <w:rPr>
          <w:u w:val="single"/>
        </w:rPr>
        <w:t>Nėštumas</w:t>
      </w:r>
    </w:p>
    <w:p w:rsidR="004C35E7" w:rsidRPr="00B308ED" w:rsidRDefault="004C35E7" w:rsidP="004C35E7">
      <w:pPr>
        <w:pStyle w:val="BTEMEASMCA"/>
        <w:keepNext/>
        <w:keepLines/>
      </w:pPr>
      <w:r>
        <w:rPr>
          <w:noProof/>
          <w:lang w:eastAsia="lt-LT"/>
        </w:rPr>
        <mc:AlternateContent>
          <mc:Choice Requires="wps">
            <w:drawing>
              <wp:anchor distT="0" distB="0" distL="114300" distR="114300" simplePos="0" relativeHeight="251659264" behindDoc="0" locked="0" layoutInCell="1" allowOverlap="1" wp14:anchorId="6A580A80" wp14:editId="4E97B92D">
                <wp:simplePos x="0" y="0"/>
                <wp:positionH relativeFrom="column">
                  <wp:posOffset>0</wp:posOffset>
                </wp:positionH>
                <wp:positionV relativeFrom="paragraph">
                  <wp:posOffset>83185</wp:posOffset>
                </wp:positionV>
                <wp:extent cx="5372100" cy="4572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w="9525">
                          <a:solidFill>
                            <a:srgbClr val="000000"/>
                          </a:solidFill>
                          <a:miter lim="800000"/>
                          <a:headEnd/>
                          <a:tailEnd/>
                        </a:ln>
                      </wps:spPr>
                      <wps:txbx>
                        <w:txbxContent>
                          <w:p w:rsidR="00B7109A" w:rsidRPr="00FD6EA7" w:rsidRDefault="00B7109A" w:rsidP="004C35E7">
                            <w:pPr>
                              <w:spacing w:after="0" w:line="240" w:lineRule="auto"/>
                              <w:rPr>
                                <w:rFonts w:ascii="Times New Roman" w:hAnsi="Times New Roman" w:cs="Times New Roman"/>
                                <w:lang w:val="lt-LT"/>
                              </w:rPr>
                            </w:pPr>
                            <w:r w:rsidRPr="007F7495">
                              <w:rPr>
                                <w:rFonts w:ascii="Times New Roman" w:hAnsi="Times New Roman" w:cs="Times New Roman"/>
                                <w:lang w:val="lt-LT"/>
                              </w:rPr>
                              <w:t xml:space="preserve">Cardace </w:t>
                            </w:r>
                            <w:r w:rsidRPr="00FD6EA7">
                              <w:rPr>
                                <w:rFonts w:ascii="Times New Roman" w:hAnsi="Times New Roman" w:cs="Times New Roman"/>
                                <w:lang w:val="lt-LT"/>
                              </w:rPr>
                              <w:t>nerekomenduojama vartoti pirmąjį nėštumo trimestrą (žr. 4.4 skyrių)</w:t>
                            </w:r>
                            <w:r>
                              <w:rPr>
                                <w:rFonts w:ascii="Times New Roman" w:hAnsi="Times New Roman" w:cs="Times New Roman"/>
                                <w:lang w:val="lt-LT"/>
                              </w:rPr>
                              <w:t xml:space="preserve"> ir</w:t>
                            </w:r>
                            <w:r w:rsidRPr="00FD6EA7">
                              <w:rPr>
                                <w:rFonts w:ascii="Times New Roman" w:hAnsi="Times New Roman" w:cs="Times New Roman"/>
                                <w:lang w:val="lt-LT"/>
                              </w:rPr>
                              <w:t xml:space="preserve"> negalima vartoti antrąjį ir trečiąjį nėštumo trimestrą (žr. 4.3 skyri</w:t>
                            </w:r>
                            <w:r>
                              <w:rPr>
                                <w:rFonts w:ascii="Times New Roman" w:hAnsi="Times New Roman" w:cs="Times New Roman"/>
                                <w:lang w:val="lt-LT"/>
                              </w:rPr>
                              <w:t>ų</w:t>
                            </w:r>
                            <w:r w:rsidRPr="00FD6EA7">
                              <w:rPr>
                                <w:rFonts w:ascii="Times New Roman" w:hAnsi="Times New Roman" w:cs="Times New Roman"/>
                                <w:lang w:val="lt-L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80A80" id="_x0000_t202" coordsize="21600,21600" o:spt="202" path="m,l,21600r21600,l21600,xe">
                <v:stroke joinstyle="miter"/>
                <v:path gradientshapeok="t" o:connecttype="rect"/>
              </v:shapetype>
              <v:shape id="Text Box 2" o:spid="_x0000_s1026" type="#_x0000_t202" style="position:absolute;margin-left:0;margin-top:6.55pt;width:42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">
                <v:textbox>
                  <w:txbxContent>
                    <w:p w:rsidR="00B7109A" w:rsidRPr="00FD6EA7" w:rsidRDefault="00B7109A" w:rsidP="004C35E7">
                      <w:pPr>
                        <w:spacing w:after="0" w:line="240" w:lineRule="auto"/>
                        <w:rPr>
                          <w:rFonts w:ascii="Times New Roman" w:hAnsi="Times New Roman" w:cs="Times New Roman"/>
                          <w:lang w:val="lt-LT"/>
                        </w:rPr>
                      </w:pPr>
                      <w:r w:rsidRPr="007F7495">
                        <w:rPr>
                          <w:rFonts w:ascii="Times New Roman" w:hAnsi="Times New Roman" w:cs="Times New Roman"/>
                          <w:lang w:val="lt-LT"/>
                        </w:rPr>
                        <w:t xml:space="preserve">Cardace </w:t>
                      </w:r>
                      <w:r w:rsidRPr="00FD6EA7">
                        <w:rPr>
                          <w:rFonts w:ascii="Times New Roman" w:hAnsi="Times New Roman" w:cs="Times New Roman"/>
                          <w:lang w:val="lt-LT"/>
                        </w:rPr>
                        <w:t>nerekomenduojama vartoti pirmąjį nėštumo trimestrą (žr. 4.4 skyrių)</w:t>
                      </w:r>
                      <w:r>
                        <w:rPr>
                          <w:rFonts w:ascii="Times New Roman" w:hAnsi="Times New Roman" w:cs="Times New Roman"/>
                          <w:lang w:val="lt-LT"/>
                        </w:rPr>
                        <w:t xml:space="preserve"> ir</w:t>
                      </w:r>
                      <w:r w:rsidRPr="00FD6EA7">
                        <w:rPr>
                          <w:rFonts w:ascii="Times New Roman" w:hAnsi="Times New Roman" w:cs="Times New Roman"/>
                          <w:lang w:val="lt-LT"/>
                        </w:rPr>
                        <w:t xml:space="preserve"> negalima vartoti antrąjį ir trečiąjį nėštumo trimestrą (žr. 4.3 skyri</w:t>
                      </w:r>
                      <w:r>
                        <w:rPr>
                          <w:rFonts w:ascii="Times New Roman" w:hAnsi="Times New Roman" w:cs="Times New Roman"/>
                          <w:lang w:val="lt-LT"/>
                        </w:rPr>
                        <w:t>ų</w:t>
                      </w:r>
                      <w:r w:rsidRPr="00FD6EA7">
                        <w:rPr>
                          <w:rFonts w:ascii="Times New Roman" w:hAnsi="Times New Roman" w:cs="Times New Roman"/>
                          <w:lang w:val="lt-LT"/>
                        </w:rPr>
                        <w:t>).</w:t>
                      </w:r>
                    </w:p>
                  </w:txbxContent>
                </v:textbox>
              </v:shape>
            </w:pict>
          </mc:Fallback>
        </mc:AlternateContent>
      </w:r>
    </w:p>
    <w:p w:rsidR="004C35E7" w:rsidRPr="00B308ED" w:rsidRDefault="004C35E7" w:rsidP="004C35E7">
      <w:pPr>
        <w:pStyle w:val="BTEMEASMCA"/>
        <w:keepNext/>
        <w:keepLines/>
      </w:pPr>
    </w:p>
    <w:p w:rsidR="004C35E7" w:rsidRPr="00B308ED" w:rsidRDefault="004C35E7" w:rsidP="004C35E7">
      <w:pPr>
        <w:pStyle w:val="BTEMEASMCA"/>
        <w:keepNext/>
        <w:keepLines/>
      </w:pPr>
    </w:p>
    <w:p w:rsidR="004C35E7" w:rsidRPr="00B308ED" w:rsidRDefault="004C35E7" w:rsidP="004C35E7">
      <w:pPr>
        <w:keepNext/>
        <w:keepLines/>
        <w:spacing w:after="0" w:line="240" w:lineRule="auto"/>
        <w:rPr>
          <w:rFonts w:ascii="Times New Roman" w:hAnsi="Times New Roman" w:cs="Times New Roman"/>
          <w:lang w:val="lt-LT"/>
        </w:rPr>
      </w:pPr>
    </w:p>
    <w:p w:rsidR="004C35E7" w:rsidRPr="00B308ED" w:rsidRDefault="004C35E7" w:rsidP="004C35E7">
      <w:pPr>
        <w:keepNext/>
        <w:keepLines/>
        <w:tabs>
          <w:tab w:val="left" w:pos="567"/>
        </w:tabs>
        <w:spacing w:after="0" w:line="240" w:lineRule="auto"/>
        <w:rPr>
          <w:rFonts w:ascii="Times New Roman" w:hAnsi="Times New Roman" w:cs="Times New Roman"/>
          <w:lang w:val="lt-LT"/>
        </w:rPr>
      </w:pPr>
      <w:r w:rsidRPr="00B308ED">
        <w:rPr>
          <w:rFonts w:ascii="Times New Roman" w:hAnsi="Times New Roman" w:cs="Times New Roman"/>
          <w:lang w:val="lt-LT"/>
        </w:rPr>
        <w:t>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jeigu reikia, skirti kitokį tinkamą gydymą.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Žinoma, kad antrąjį arba trečiąjį nėštumo trimestrą vartojami AKF inhibitoriai ir (arba) angiotenzino II receptorių blokatoriai (AIIRB) sukelia toksinį poveikį žmogaus vaisiui (inkstų funkcijos susilpnėjimą, oligohidramnioną, kaukolės kaulėjimo sulėtėjimą) ir naujagimiui (inkstų nepakankamumą, hipotenziją, hiperkalemiją) (žr. 5.3 skyrių „Ikiklinikinių saugumo tyrimų duomenys”). Jeigu moteris antrąjį arba trečiąjį nėštumo trimestrą vartojo AKF inhibitorių, rekomenduojama ultragarsu stebėti vaisiaus inkstų funkciją ir kaukolę. Reikia atidžiai stebėti, ar naujagimiams, kurių motinos nėštumo metu vartojo AKF inhibitorių, nepasireiškia hipotenzija, oligurija ir hiperkalemija (taip pat žr. 4.3 ir 4.4 skyrius).</w:t>
      </w:r>
    </w:p>
    <w:p w:rsidR="004C35E7" w:rsidRPr="00B308ED" w:rsidRDefault="004C35E7" w:rsidP="004C35E7">
      <w:pPr>
        <w:spacing w:after="0" w:line="240" w:lineRule="auto"/>
        <w:rPr>
          <w:rFonts w:ascii="Times New Roman" w:hAnsi="Times New Roman" w:cs="Times New Roman"/>
          <w:i/>
          <w:lang w:val="lt-LT"/>
        </w:rPr>
      </w:pPr>
    </w:p>
    <w:p w:rsidR="004C35E7" w:rsidRPr="00B308ED" w:rsidRDefault="004C35E7" w:rsidP="004C35E7">
      <w:pPr>
        <w:spacing w:after="0" w:line="240" w:lineRule="auto"/>
        <w:rPr>
          <w:rFonts w:ascii="Times New Roman" w:hAnsi="Times New Roman" w:cs="Times New Roman"/>
          <w:u w:val="single"/>
          <w:lang w:val="lt-LT"/>
        </w:rPr>
      </w:pPr>
      <w:r w:rsidRPr="007B7EDF">
        <w:rPr>
          <w:rFonts w:ascii="Times New Roman" w:hAnsi="Times New Roman" w:cs="Times New Roman"/>
          <w:u w:val="single"/>
          <w:lang w:val="lt-LT"/>
        </w:rPr>
        <w:t>Žindymas</w:t>
      </w:r>
    </w:p>
    <w:p w:rsidR="004C35E7" w:rsidRPr="007B7EDF" w:rsidRDefault="004C35E7" w:rsidP="004C35E7">
      <w:pPr>
        <w:spacing w:after="0" w:line="240" w:lineRule="auto"/>
        <w:rPr>
          <w:rFonts w:ascii="Times New Roman" w:hAnsi="Times New Roman" w:cs="Times New Roman"/>
          <w:u w:val="single"/>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Kadangi nėra pakankamai informacijos apie ramiprilio vartojimą žindymo metu (žr. 5.2 skyrių), Cardace</w:t>
      </w:r>
      <w:r w:rsidRPr="00B308ED">
        <w:rPr>
          <w:rFonts w:ascii="Times New Roman" w:hAnsi="Times New Roman" w:cs="Times New Roman"/>
          <w:i/>
          <w:lang w:val="lt-LT"/>
        </w:rPr>
        <w:t xml:space="preserve"> </w:t>
      </w:r>
      <w:r w:rsidRPr="00B308ED">
        <w:rPr>
          <w:rFonts w:ascii="Times New Roman" w:hAnsi="Times New Roman" w:cs="Times New Roman"/>
          <w:lang w:val="lt-LT"/>
        </w:rPr>
        <w:t>yra nerekomenduojamas, ir alternatyvus gydymas vaistiniu preparatu, geriau ištirtu dėl saugumo žindymo metu, yra tinkamesnis, ypač žindant naujagimius bei prieš laiką gimusius kūdikius.</w:t>
      </w:r>
    </w:p>
    <w:p w:rsidR="004C35E7" w:rsidRPr="00B308ED" w:rsidRDefault="004C35E7" w:rsidP="004C35E7">
      <w:pPr>
        <w:pStyle w:val="BTEMEASMCA"/>
      </w:pPr>
    </w:p>
    <w:p w:rsidR="004C35E7" w:rsidRPr="00B308ED" w:rsidRDefault="004C35E7" w:rsidP="004C35E7">
      <w:pPr>
        <w:pStyle w:val="PI-2EMEASMCA"/>
      </w:pPr>
      <w:r w:rsidRPr="00B308ED">
        <w:t>4.7</w:t>
      </w:r>
      <w:r w:rsidRPr="00B308ED">
        <w:tab/>
        <w:t>Poveikis gebėjimui vairuoti ir valdyti mechanizmus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 xml:space="preserve">Tam tikras nepageidaujamas poveikis (pvz., kraujospūdžio sumažėjimo simptomai tokie kaip </w:t>
      </w:r>
      <w:r>
        <w:rPr>
          <w:rFonts w:ascii="Times New Roman" w:hAnsi="Times New Roman" w:cs="Times New Roman"/>
          <w:lang w:val="lt-LT"/>
        </w:rPr>
        <w:t>svaigulys</w:t>
      </w:r>
      <w:r w:rsidRPr="00B308ED">
        <w:rPr>
          <w:rFonts w:ascii="Times New Roman" w:hAnsi="Times New Roman" w:cs="Times New Roman"/>
          <w:lang w:val="lt-LT"/>
        </w:rPr>
        <w:t>), gali pabloginti paciento gebėjimą susikaupti ir reaguoti, vadinasi, situacijos, kur šie veiksmai ypač svarbūs (pvz., vairavimas ar mechanizmų valdymas), gali kelti pavojų.</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Toks poveikis ypatingai tikėtinas gydymo ramipriliu pradžioje arba kai pereinama nuo kitų vaistinių preparatų vartojimo. Po pirmos dozės arba po dozės padidinimo, keletą valandų nerekomenduojama vairuoti ar valdyti mechanizmų.</w:t>
      </w:r>
    </w:p>
    <w:p w:rsidR="004C35E7" w:rsidRPr="00B308ED" w:rsidRDefault="004C35E7" w:rsidP="004C35E7">
      <w:pPr>
        <w:pStyle w:val="BTEMEASMCA"/>
      </w:pPr>
    </w:p>
    <w:p w:rsidR="004C35E7" w:rsidRPr="00B308ED" w:rsidRDefault="004C35E7" w:rsidP="004C35E7">
      <w:pPr>
        <w:pStyle w:val="PI-2EMEASMCA"/>
      </w:pPr>
      <w:r w:rsidRPr="00B308ED">
        <w:t>4.8</w:t>
      </w:r>
      <w:r w:rsidRPr="00B308ED">
        <w:tab/>
        <w:t>Nepageidaujamas poveikis</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Saugumo duomenų santrauka</w:t>
      </w:r>
    </w:p>
    <w:p w:rsidR="004C35E7" w:rsidRPr="00B308ED" w:rsidRDefault="004C35E7" w:rsidP="004C35E7">
      <w:pPr>
        <w:pStyle w:val="BTEMEASMCA"/>
        <w:rPr>
          <w:i/>
          <w:u w:val="single"/>
        </w:rPr>
      </w:pPr>
    </w:p>
    <w:p w:rsidR="004C35E7" w:rsidRPr="00B308ED" w:rsidRDefault="004C35E7" w:rsidP="004C35E7">
      <w:pPr>
        <w:pStyle w:val="BTEMEASMCA"/>
      </w:pPr>
      <w:r w:rsidRPr="00B308ED">
        <w:t>Ramiprilio saugumas trumpai apibūdinamas pastoviu sausu kosuliu ir reakcijomis, atsirandančiomis dėl kraujospūdį mažinančio poveikio. Sunkios nepageidaujamos reakcijos yra angioneurozinė edema, hiperkalemija, inkstų arba kepenų funkcijos sutrikimas, pankreatitas, sunkios odos reakcijos ir neutropenija ir (arba) agranulocitozė.</w:t>
      </w:r>
    </w:p>
    <w:p w:rsidR="004C35E7" w:rsidRPr="00B308ED" w:rsidRDefault="004C35E7" w:rsidP="004C35E7">
      <w:pPr>
        <w:pStyle w:val="BTEMEASMCA"/>
      </w:pPr>
    </w:p>
    <w:p w:rsidR="004C35E7" w:rsidRPr="00B308ED" w:rsidRDefault="004C35E7" w:rsidP="004C35E7">
      <w:pPr>
        <w:pStyle w:val="BTEMEASMCA"/>
        <w:rPr>
          <w:i/>
          <w:u w:val="single"/>
        </w:rPr>
      </w:pPr>
      <w:r w:rsidRPr="00B308ED">
        <w:rPr>
          <w:i/>
          <w:u w:val="single"/>
        </w:rPr>
        <w:t>Nepageidaujamų reakcijų santrauka lentelėje</w:t>
      </w:r>
    </w:p>
    <w:p w:rsidR="004C35E7" w:rsidRPr="00B308ED" w:rsidRDefault="004C35E7" w:rsidP="004C35E7">
      <w:pPr>
        <w:spacing w:after="0" w:line="240" w:lineRule="auto"/>
        <w:rPr>
          <w:rFonts w:ascii="Times New Roman" w:eastAsia="Times New Roman" w:hAnsi="Times New Roman" w:cs="Times New Roman"/>
          <w:snapToGrid w:val="0"/>
          <w:szCs w:val="20"/>
          <w:lang w:val="lt-LT" w:eastAsia="en-US" w:bidi="ar-SA"/>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Nepageidaujamų reiškinių dažnis apibūdinamas taip:</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Labai dažni (≥1/10); dažni (nuo ≥1/100 iki &lt;1/10); nedažni (nuo ≥1/1000 iki &lt; 1/100); reti (nuo ≥1/10000 iki &lt;1/1000); labai reti &lt;1/10000); nežinomi (negali būti apskaičiuoti pagal turimus duomenis).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BTEMEASMCA"/>
      </w:pPr>
      <w:r w:rsidRPr="00B308ED">
        <w:t>Kiekvienoje dažnio grupėje nepageidaujamas poveikis pateikiamas mažėjančio sunkumo tvarka.</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605"/>
        <w:gridCol w:w="1530"/>
        <w:gridCol w:w="1725"/>
        <w:gridCol w:w="1390"/>
        <w:gridCol w:w="1917"/>
      </w:tblGrid>
      <w:tr w:rsidR="004C35E7" w:rsidRPr="00B308ED" w:rsidTr="00B7109A">
        <w:tc>
          <w:tcPr>
            <w:tcW w:w="14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Dažni</w:t>
            </w: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Nedažni</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Reti</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Labai reti</w:t>
            </w: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Nežinomi</w:t>
            </w:r>
          </w:p>
        </w:tc>
      </w:tr>
      <w:tr w:rsidR="004C35E7" w:rsidRPr="000049E3"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Kraujo ir limfinės sistemos sutrikimai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Eozinofilija</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 xml:space="preserve">Sumažėjęs baltųjų kraujo kūnelių kiekis (įskaitant neutropeniją arba agranulocitozę), raudonųjų kraujo kūnelių kiekio sumažėjimas, hemoglobino </w:t>
            </w:r>
            <w:r>
              <w:rPr>
                <w:rFonts w:ascii="Times New Roman" w:hAnsi="Times New Roman" w:cs="Times New Roman"/>
                <w:lang w:val="lt-LT"/>
              </w:rPr>
              <w:t>kiekio</w:t>
            </w:r>
            <w:r w:rsidRPr="00B308ED">
              <w:rPr>
                <w:rFonts w:ascii="Times New Roman" w:hAnsi="Times New Roman" w:cs="Times New Roman"/>
                <w:lang w:val="lt-LT"/>
              </w:rPr>
              <w:t xml:space="preserve"> sumažėjimas, trombocitų kiekio sumažėjimas</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Kaulų čiulpų funkcijos sutrikimas, pancitopenija, hemolizinė anemija</w:t>
            </w:r>
          </w:p>
        </w:tc>
      </w:tr>
      <w:tr w:rsidR="004C35E7" w:rsidRPr="000049E3"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Imuninės sistemos sutrikimai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Anafilaksinės arba anafilaktoidinės reakcijos, antinuklearinių antikūnų kiekio padidėjimas</w:t>
            </w:r>
          </w:p>
        </w:tc>
      </w:tr>
      <w:tr w:rsidR="004C35E7" w:rsidRPr="00B308ED"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Endokrininiai sutrikimai</w:t>
            </w:r>
          </w:p>
          <w:p w:rsidR="004C35E7" w:rsidRPr="00B308ED" w:rsidRDefault="004C35E7" w:rsidP="00B7109A">
            <w:pPr>
              <w:keepNext/>
              <w:keepLines/>
              <w:spacing w:after="0" w:line="240" w:lineRule="auto"/>
              <w:rPr>
                <w:rFonts w:ascii="Times New Roman" w:hAnsi="Times New Roman" w:cs="Times New Roman"/>
                <w:i/>
                <w:u w:val="single"/>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Antidiurezinio hormono sutrikusios sekrecijos sindromas (AHSSS)</w:t>
            </w:r>
          </w:p>
        </w:tc>
      </w:tr>
      <w:tr w:rsidR="004C35E7" w:rsidRPr="00B308ED"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Metabolizmo ir mitybos sutrikimai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Kalio koncentracijos serume padidėjimas</w:t>
            </w: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Anoreksija, sumažėjęs apetitas</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Natrio koncentracijos serume sumažėjimas</w:t>
            </w:r>
          </w:p>
        </w:tc>
      </w:tr>
      <w:tr w:rsidR="004C35E7" w:rsidRPr="00B308ED"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lastRenderedPageBreak/>
              <w:t>Psichikos sutrikimai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Depresinė nuotaika, nerimas, nervingumas, nenustygsta-mumas, miego sutrikimai įskaitant mieguistumą</w:t>
            </w:r>
          </w:p>
          <w:p w:rsidR="004C35E7" w:rsidRPr="00B308ED" w:rsidRDefault="004C35E7" w:rsidP="00B7109A">
            <w:pPr>
              <w:keepNext/>
              <w:keepLines/>
              <w:spacing w:after="0" w:line="240" w:lineRule="auto"/>
              <w:rPr>
                <w:rFonts w:ascii="Times New Roman" w:hAnsi="Times New Roman" w:cs="Times New Roman"/>
                <w:lang w:val="lt-LT"/>
              </w:rPr>
            </w:pP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Konfūzija</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Dėmesio sutelkimo sutrikimai</w:t>
            </w:r>
          </w:p>
        </w:tc>
      </w:tr>
      <w:tr w:rsidR="004C35E7" w:rsidRPr="000049E3" w:rsidTr="00B7109A">
        <w:tc>
          <w:tcPr>
            <w:tcW w:w="1490" w:type="dxa"/>
          </w:tcPr>
          <w:p w:rsidR="004C35E7" w:rsidRPr="00B308ED" w:rsidRDefault="004C35E7" w:rsidP="00B7109A">
            <w:pPr>
              <w:keepNext/>
              <w:keepLines/>
              <w:snapToGrid w:val="0"/>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Nervų sistemos sutrikimai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Galvos skausmas, svaigulys</w:t>
            </w: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Pr>
                <w:rFonts w:ascii="Times New Roman" w:hAnsi="Times New Roman" w:cs="Times New Roman"/>
                <w:lang w:val="lt-LT"/>
              </w:rPr>
              <w:t>Svaigimas (</w:t>
            </w:r>
            <w:r w:rsidRPr="00B66017">
              <w:rPr>
                <w:rFonts w:ascii="Times New Roman" w:hAnsi="Times New Roman" w:cs="Times New Roman"/>
                <w:i/>
                <w:lang w:val="lt-LT"/>
              </w:rPr>
              <w:t>vertigo</w:t>
            </w:r>
            <w:r>
              <w:rPr>
                <w:rFonts w:ascii="Times New Roman" w:hAnsi="Times New Roman" w:cs="Times New Roman"/>
                <w:lang w:val="lt-LT"/>
              </w:rPr>
              <w:t>)</w:t>
            </w:r>
            <w:r w:rsidRPr="00B308ED">
              <w:rPr>
                <w:rFonts w:ascii="Times New Roman" w:hAnsi="Times New Roman" w:cs="Times New Roman"/>
                <w:lang w:val="lt-LT"/>
              </w:rPr>
              <w:t>, parestezija, ageuzija, disgeuzija</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Tremoras, pusiausvyros sutrikimas</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Smegenų išemija, įskaitant išeminį insultą ir praeinantį smegenų išemijos priepuolį, psichomotorinių funkcijų sutrikimas, deginimo jausmas, parosmija</w:t>
            </w:r>
          </w:p>
        </w:tc>
      </w:tr>
      <w:tr w:rsidR="004C35E7" w:rsidRPr="00B308ED" w:rsidTr="00B7109A">
        <w:tc>
          <w:tcPr>
            <w:tcW w:w="1490" w:type="dxa"/>
          </w:tcPr>
          <w:p w:rsidR="004C35E7" w:rsidRPr="00B308ED" w:rsidRDefault="004C35E7" w:rsidP="00B7109A">
            <w:pPr>
              <w:keepNext/>
              <w:keepLines/>
              <w:snapToGrid w:val="0"/>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Akių sutrikimai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Regėjimo sutrikimai, įskaitant neaiškų matymą</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Konjuktyvitas</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r>
      <w:tr w:rsidR="004C35E7" w:rsidRPr="00B308ED"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Ausų ir labirintų sutrikimai</w:t>
            </w: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 xml:space="preserve">Klausos sutrikimas, </w:t>
            </w:r>
            <w:r>
              <w:rPr>
                <w:rFonts w:ascii="Times New Roman" w:hAnsi="Times New Roman" w:cs="Times New Roman"/>
                <w:lang w:val="lt-LT"/>
              </w:rPr>
              <w:t>ūžesys (</w:t>
            </w:r>
            <w:r w:rsidRPr="00B66017">
              <w:rPr>
                <w:rFonts w:ascii="Times New Roman" w:hAnsi="Times New Roman" w:cs="Times New Roman"/>
                <w:i/>
                <w:lang w:val="lt-LT"/>
              </w:rPr>
              <w:t>tinnitus</w:t>
            </w:r>
            <w:r>
              <w:rPr>
                <w:rFonts w:ascii="Times New Roman" w:hAnsi="Times New Roman" w:cs="Times New Roman"/>
                <w:lang w:val="lt-LT"/>
              </w:rPr>
              <w:t>)</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r>
      <w:tr w:rsidR="004C35E7" w:rsidRPr="000049E3" w:rsidTr="00B7109A">
        <w:tc>
          <w:tcPr>
            <w:tcW w:w="1490" w:type="dxa"/>
          </w:tcPr>
          <w:p w:rsidR="004C35E7" w:rsidRPr="00B308ED" w:rsidRDefault="004C35E7" w:rsidP="00B7109A">
            <w:pPr>
              <w:keepNext/>
              <w:keepLines/>
              <w:snapToGrid w:val="0"/>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Širdies sutrikimai</w:t>
            </w: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Miokardo išemija, įskaitant krūtinės anginą arba miokardo infarktą, tachikardija, aritmija, palpitacijos, periferinė edema</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r>
      <w:tr w:rsidR="004C35E7" w:rsidRPr="00B308ED" w:rsidTr="00B7109A">
        <w:tc>
          <w:tcPr>
            <w:tcW w:w="1490" w:type="dxa"/>
          </w:tcPr>
          <w:p w:rsidR="004C35E7" w:rsidRPr="00B308ED" w:rsidRDefault="004C35E7" w:rsidP="00B7109A">
            <w:pPr>
              <w:keepNext/>
              <w:keepLines/>
              <w:snapToGrid w:val="0"/>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 xml:space="preserve">Kraujagyslių sutrikimai </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 xml:space="preserve">Sumažėjęs kraujospūdis, ortostatinio kraujospūdžio sumažėjimas, </w:t>
            </w:r>
            <w:r>
              <w:rPr>
                <w:rFonts w:ascii="Times New Roman" w:hAnsi="Times New Roman" w:cs="Times New Roman"/>
                <w:lang w:val="lt-LT"/>
              </w:rPr>
              <w:t>apalpimas</w:t>
            </w:r>
          </w:p>
        </w:tc>
        <w:tc>
          <w:tcPr>
            <w:tcW w:w="1530" w:type="dxa"/>
          </w:tcPr>
          <w:p w:rsidR="004C35E7" w:rsidRPr="00B308ED" w:rsidRDefault="004C35E7" w:rsidP="00B7109A">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Veido ir kaklo paraudimas</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Kraujagyslių stenozė, hipoperfuzija, vaskulitas</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66017">
              <w:rPr>
                <w:rFonts w:ascii="Times New Roman" w:hAnsi="Times New Roman" w:cs="Times New Roman"/>
                <w:i/>
                <w:lang w:val="lt-LT"/>
              </w:rPr>
              <w:t xml:space="preserve">Raynaud </w:t>
            </w:r>
            <w:r w:rsidRPr="00B308ED">
              <w:rPr>
                <w:rFonts w:ascii="Times New Roman" w:hAnsi="Times New Roman" w:cs="Times New Roman"/>
                <w:lang w:val="lt-LT"/>
              </w:rPr>
              <w:t>fenomenas</w:t>
            </w:r>
          </w:p>
        </w:tc>
      </w:tr>
      <w:tr w:rsidR="004C35E7" w:rsidRPr="00B308ED" w:rsidTr="00B7109A">
        <w:tc>
          <w:tcPr>
            <w:tcW w:w="1490" w:type="dxa"/>
          </w:tcPr>
          <w:p w:rsidR="004C35E7" w:rsidRPr="00B308ED" w:rsidRDefault="004C35E7" w:rsidP="00B7109A">
            <w:pPr>
              <w:keepNext/>
              <w:keepLines/>
              <w:spacing w:after="0" w:line="240" w:lineRule="auto"/>
              <w:rPr>
                <w:rFonts w:ascii="Times New Roman" w:hAnsi="Times New Roman" w:cs="Times New Roman"/>
                <w:lang w:val="lt-LT"/>
              </w:rPr>
            </w:pPr>
            <w:r w:rsidRPr="00B308ED">
              <w:rPr>
                <w:rFonts w:ascii="Times New Roman" w:hAnsi="Times New Roman" w:cs="Times New Roman"/>
                <w:i/>
                <w:u w:val="single"/>
                <w:lang w:val="lt-LT"/>
              </w:rPr>
              <w:t>Kvėpavimo sistemos, krūtinės ląstos ir tarpuplaučio sutrikimai</w:t>
            </w: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Neproduktyvus kutenantis kosulys, bronchitas, sinusitas, dispnėja</w:t>
            </w: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Bronchospaz-mas įskaitant astmos pablogėjimą, nosies užgulimas</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r>
      <w:tr w:rsidR="004C35E7" w:rsidRPr="00B308ED"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lastRenderedPageBreak/>
              <w:t>Virškinimo trakto sutrikimai</w:t>
            </w:r>
          </w:p>
          <w:p w:rsidR="004C35E7" w:rsidRPr="00B308ED" w:rsidRDefault="004C35E7" w:rsidP="00B7109A">
            <w:pPr>
              <w:keepNext/>
              <w:keepLines/>
              <w:spacing w:after="0" w:line="240" w:lineRule="auto"/>
              <w:rPr>
                <w:rFonts w:ascii="Times New Roman" w:hAnsi="Times New Roman" w:cs="Times New Roman"/>
                <w:lang w:val="lt-LT"/>
              </w:rPr>
            </w:pP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Virškinimo trakto uždegimas, virškinimo sutrikimai, diskomforto pojūtis pilvo srityje, dispepsija, viduriavimas, pykinimas, vėmimas</w:t>
            </w: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 xml:space="preserve">Pankreatitas (labai retais atvejais užfiksuoti mirtini atvejai AKF inhibitorių vartojimo metu), kasos fermentų </w:t>
            </w:r>
            <w:r>
              <w:rPr>
                <w:rFonts w:ascii="Times New Roman" w:hAnsi="Times New Roman" w:cs="Times New Roman"/>
                <w:lang w:val="lt-LT"/>
              </w:rPr>
              <w:t xml:space="preserve">aktyvumo </w:t>
            </w:r>
            <w:r w:rsidRPr="00B308ED">
              <w:rPr>
                <w:rFonts w:ascii="Times New Roman" w:hAnsi="Times New Roman" w:cs="Times New Roman"/>
                <w:lang w:val="lt-LT"/>
              </w:rPr>
              <w:t>padidėjimas, plonosios žarnos angioneurozi-nė edema, pilvo skausmas viršutinėje srityje, įskaitant gastritą, vidurių užkietėjimas, burnos džiūvimas</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Glositas</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Aftinis stomatitas</w:t>
            </w:r>
          </w:p>
        </w:tc>
      </w:tr>
      <w:tr w:rsidR="004C35E7" w:rsidRPr="00B308ED" w:rsidTr="00B7109A">
        <w:tc>
          <w:tcPr>
            <w:tcW w:w="1490" w:type="dxa"/>
          </w:tcPr>
          <w:p w:rsidR="004C35E7" w:rsidRPr="00B308ED" w:rsidRDefault="004C35E7" w:rsidP="00B7109A">
            <w:pPr>
              <w:keepNext/>
              <w:keepLines/>
              <w:snapToGrid w:val="0"/>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 xml:space="preserve">Kepenų, tulžies pūslės ir latakų sutrikimai </w:t>
            </w:r>
          </w:p>
          <w:p w:rsidR="004C35E7" w:rsidRPr="00B308ED" w:rsidRDefault="004C35E7" w:rsidP="00B7109A">
            <w:pPr>
              <w:keepNext/>
              <w:keepLines/>
              <w:spacing w:after="0" w:line="240" w:lineRule="auto"/>
              <w:rPr>
                <w:rFonts w:ascii="Times New Roman" w:hAnsi="Times New Roman"/>
                <w:i/>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 xml:space="preserve">Kepenų fermentų </w:t>
            </w:r>
            <w:r>
              <w:rPr>
                <w:rFonts w:ascii="Times New Roman" w:hAnsi="Times New Roman" w:cs="Times New Roman"/>
                <w:lang w:val="lt-LT"/>
              </w:rPr>
              <w:t xml:space="preserve">aktyvumo </w:t>
            </w:r>
            <w:r w:rsidRPr="00B308ED">
              <w:rPr>
                <w:rFonts w:ascii="Times New Roman" w:hAnsi="Times New Roman" w:cs="Times New Roman"/>
                <w:lang w:val="lt-LT"/>
              </w:rPr>
              <w:t>ir (arba) konjuguoto bilirubino koncentracijos padidėjimas</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Cholestazinė gelta, kepenų ląstelių pažeidimai</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Ūminis kepenų</w:t>
            </w:r>
            <w:r>
              <w:rPr>
                <w:rFonts w:ascii="Times New Roman" w:hAnsi="Times New Roman" w:cs="Times New Roman"/>
                <w:lang w:val="lt-LT"/>
              </w:rPr>
              <w:t xml:space="preserve"> </w:t>
            </w:r>
            <w:r w:rsidRPr="00B308ED">
              <w:rPr>
                <w:rFonts w:ascii="Times New Roman" w:hAnsi="Times New Roman" w:cs="Times New Roman"/>
                <w:lang w:val="lt-LT"/>
              </w:rPr>
              <w:t>nepakankamu-mas, cholestazinis arba citolizinis hepatitas (mirtini atvejai užfiksuoti labai retais atvejais).</w:t>
            </w:r>
          </w:p>
          <w:p w:rsidR="004C35E7" w:rsidRPr="00B308ED" w:rsidRDefault="004C35E7" w:rsidP="00B7109A">
            <w:pPr>
              <w:keepNext/>
              <w:keepLines/>
              <w:snapToGrid w:val="0"/>
              <w:spacing w:after="0" w:line="240" w:lineRule="auto"/>
              <w:rPr>
                <w:rFonts w:ascii="Times New Roman" w:hAnsi="Times New Roman" w:cs="Times New Roman"/>
                <w:lang w:val="lt-LT"/>
              </w:rPr>
            </w:pPr>
          </w:p>
        </w:tc>
      </w:tr>
      <w:tr w:rsidR="004C35E7" w:rsidRPr="000049E3" w:rsidTr="00B7109A">
        <w:tc>
          <w:tcPr>
            <w:tcW w:w="1490" w:type="dxa"/>
          </w:tcPr>
          <w:p w:rsidR="004C35E7" w:rsidRPr="00B308ED" w:rsidRDefault="004C35E7" w:rsidP="00B7109A">
            <w:pPr>
              <w:keepNext/>
              <w:keepLines/>
              <w:snapToGrid w:val="0"/>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 xml:space="preserve">Odos ir poodinio audinio sutrikimai </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Makulopapuli-nis bėrimas</w:t>
            </w: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Angioneurozi-nė edema; labai retai gali būti mirtina kvėpavimo takų obstrukcija dėl angioneurozi-nės edemos, niežėjimas, smarkus prakaitavimas</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Eksfoliacinis dermatitas, dilgėlinė, onicholizė</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Padidėjusio jautrumo šviesai reakcija</w:t>
            </w: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Toksinė epidermio nekrolizė</w:t>
            </w:r>
            <w:r w:rsidRPr="00B66017">
              <w:rPr>
                <w:rFonts w:ascii="Times New Roman" w:hAnsi="Times New Roman" w:cs="Times New Roman"/>
                <w:i/>
                <w:lang w:val="lt-LT"/>
              </w:rPr>
              <w:t>, Stevens-Johnson</w:t>
            </w:r>
            <w:r w:rsidRPr="00B308ED">
              <w:rPr>
                <w:rFonts w:ascii="Times New Roman" w:hAnsi="Times New Roman" w:cs="Times New Roman"/>
                <w:lang w:val="lt-LT"/>
              </w:rPr>
              <w:t xml:space="preserve"> sindromas, daugiaformė eritema, pūslinė, psoriazės pablogėjimas, psoriazinis dermatitas, pūslinė arba lichenoidinė egzantema arba enantema, alopecija</w:t>
            </w:r>
          </w:p>
        </w:tc>
      </w:tr>
      <w:tr w:rsidR="004C35E7" w:rsidRPr="00B308ED"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Skeleto, raumenų ir jungiamojo audinio sutrikimai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shd w:val="clear" w:color="auto" w:fill="FFFF00"/>
                <w:lang w:val="lt-LT"/>
              </w:rPr>
            </w:pPr>
            <w:r w:rsidRPr="00B308ED">
              <w:rPr>
                <w:rFonts w:ascii="Times New Roman" w:hAnsi="Times New Roman" w:cs="Times New Roman"/>
                <w:lang w:val="lt-LT"/>
              </w:rPr>
              <w:t>Raumenų spazmai, mialgija</w:t>
            </w:r>
          </w:p>
        </w:tc>
        <w:tc>
          <w:tcPr>
            <w:tcW w:w="1530" w:type="dxa"/>
          </w:tcPr>
          <w:p w:rsidR="004C35E7" w:rsidRPr="00B308ED" w:rsidRDefault="004C35E7" w:rsidP="00B7109A">
            <w:pPr>
              <w:keepNext/>
              <w:keepLines/>
              <w:snapToGrid w:val="0"/>
              <w:spacing w:after="0" w:line="240" w:lineRule="auto"/>
              <w:rPr>
                <w:rFonts w:ascii="Times New Roman" w:hAnsi="Times New Roman" w:cs="Times New Roman"/>
                <w:shd w:val="clear" w:color="auto" w:fill="FFFF00"/>
                <w:lang w:val="lt-LT"/>
              </w:rPr>
            </w:pPr>
            <w:r w:rsidRPr="00B308ED">
              <w:rPr>
                <w:rFonts w:ascii="Times New Roman" w:hAnsi="Times New Roman" w:cs="Times New Roman"/>
                <w:lang w:val="lt-LT"/>
              </w:rPr>
              <w:t>Artralgija</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r>
      <w:tr w:rsidR="004C35E7" w:rsidRPr="000049E3"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lastRenderedPageBreak/>
              <w:t>Inkstų ir šlapimo takų sutrikimai</w:t>
            </w:r>
          </w:p>
          <w:p w:rsidR="004C35E7" w:rsidRPr="00B308ED" w:rsidRDefault="004C35E7" w:rsidP="00B7109A">
            <w:pPr>
              <w:keepNext/>
              <w:keepLines/>
              <w:spacing w:after="0" w:line="240" w:lineRule="auto"/>
              <w:rPr>
                <w:rFonts w:ascii="Times New Roman" w:hAnsi="Times New Roman"/>
                <w:i/>
                <w:u w:val="single"/>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Inkstų funkcijos sutrikimas, įskaitant ūminį inkstų nepakankamumą, padidėjęs šlapimo išskyrimas, esančios proteinurijos pablogėjimas, šlapalo kiekio kraujyje padidėjimas, kreatinino koncentracijos kraujyje padidėjimas</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r>
      <w:tr w:rsidR="004C35E7" w:rsidRPr="00B308ED" w:rsidTr="00B7109A">
        <w:tc>
          <w:tcPr>
            <w:tcW w:w="1490" w:type="dxa"/>
          </w:tcPr>
          <w:p w:rsidR="004C35E7" w:rsidRPr="00B308ED" w:rsidRDefault="004C35E7" w:rsidP="00B7109A">
            <w:pPr>
              <w:keepNext/>
              <w:keepLines/>
              <w:snapToGrid w:val="0"/>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Lytinės sistemos ir krūties sutrikimai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Laikini erekcijos sutrikimai, lytinio potraukio sumažėjimas</w:t>
            </w:r>
          </w:p>
          <w:p w:rsidR="004C35E7" w:rsidRPr="00B308ED" w:rsidRDefault="004C35E7" w:rsidP="00B7109A">
            <w:pPr>
              <w:keepNext/>
              <w:keepLines/>
              <w:spacing w:after="0" w:line="240" w:lineRule="auto"/>
              <w:rPr>
                <w:rFonts w:ascii="Times New Roman" w:hAnsi="Times New Roman" w:cs="Times New Roman"/>
                <w:lang w:val="lt-LT"/>
              </w:rPr>
            </w:pP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Ginekomastija</w:t>
            </w:r>
          </w:p>
        </w:tc>
      </w:tr>
      <w:tr w:rsidR="004C35E7" w:rsidRPr="00B308ED" w:rsidTr="00B7109A">
        <w:tc>
          <w:tcPr>
            <w:tcW w:w="1490" w:type="dxa"/>
          </w:tcPr>
          <w:p w:rsidR="004C35E7" w:rsidRPr="00B308ED" w:rsidRDefault="004C35E7" w:rsidP="00B7109A">
            <w:pPr>
              <w:keepNext/>
              <w:keepLines/>
              <w:spacing w:after="0" w:line="240" w:lineRule="auto"/>
              <w:rPr>
                <w:rFonts w:ascii="Times New Roman" w:hAnsi="Times New Roman" w:cs="Times New Roman"/>
                <w:i/>
                <w:u w:val="single"/>
                <w:lang w:val="lt-LT"/>
              </w:rPr>
            </w:pPr>
            <w:r w:rsidRPr="00B308ED">
              <w:rPr>
                <w:rFonts w:ascii="Times New Roman" w:hAnsi="Times New Roman" w:cs="Times New Roman"/>
                <w:i/>
                <w:u w:val="single"/>
                <w:lang w:val="lt-LT"/>
              </w:rPr>
              <w:t>Bendrieji sutrikimai ir vartojimo vietos pažeidimai</w:t>
            </w:r>
          </w:p>
          <w:p w:rsidR="004C35E7" w:rsidRPr="00B308ED" w:rsidRDefault="004C35E7" w:rsidP="00B7109A">
            <w:pPr>
              <w:keepNext/>
              <w:keepLines/>
              <w:spacing w:after="0" w:line="240" w:lineRule="auto"/>
              <w:rPr>
                <w:rFonts w:ascii="Times New Roman" w:hAnsi="Times New Roman" w:cs="Times New Roman"/>
                <w:lang w:val="lt-LT"/>
              </w:rPr>
            </w:pPr>
          </w:p>
        </w:tc>
        <w:tc>
          <w:tcPr>
            <w:tcW w:w="160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Skausmas krūtinėje, nuovargis</w:t>
            </w:r>
          </w:p>
        </w:tc>
        <w:tc>
          <w:tcPr>
            <w:tcW w:w="1530"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Karščiavimas</w:t>
            </w:r>
          </w:p>
        </w:tc>
        <w:tc>
          <w:tcPr>
            <w:tcW w:w="1725" w:type="dxa"/>
          </w:tcPr>
          <w:p w:rsidR="004C35E7" w:rsidRPr="00B308ED" w:rsidRDefault="004C35E7" w:rsidP="00B7109A">
            <w:pPr>
              <w:keepNext/>
              <w:keepLines/>
              <w:snapToGrid w:val="0"/>
              <w:spacing w:after="0" w:line="240" w:lineRule="auto"/>
              <w:rPr>
                <w:rFonts w:ascii="Times New Roman" w:hAnsi="Times New Roman" w:cs="Times New Roman"/>
                <w:lang w:val="lt-LT"/>
              </w:rPr>
            </w:pPr>
            <w:r w:rsidRPr="00B308ED">
              <w:rPr>
                <w:rFonts w:ascii="Times New Roman" w:hAnsi="Times New Roman" w:cs="Times New Roman"/>
                <w:lang w:val="lt-LT"/>
              </w:rPr>
              <w:t>Astenija</w:t>
            </w:r>
          </w:p>
        </w:tc>
        <w:tc>
          <w:tcPr>
            <w:tcW w:w="1390"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c>
          <w:tcPr>
            <w:tcW w:w="1917" w:type="dxa"/>
          </w:tcPr>
          <w:p w:rsidR="004C35E7" w:rsidRPr="00B308ED" w:rsidRDefault="004C35E7" w:rsidP="00B7109A">
            <w:pPr>
              <w:keepNext/>
              <w:keepLines/>
              <w:snapToGrid w:val="0"/>
              <w:spacing w:after="0" w:line="240" w:lineRule="auto"/>
              <w:rPr>
                <w:rFonts w:ascii="Times New Roman" w:hAnsi="Times New Roman" w:cs="Times New Roman"/>
                <w:lang w:val="lt-LT"/>
              </w:rPr>
            </w:pPr>
          </w:p>
        </w:tc>
      </w:tr>
    </w:tbl>
    <w:p w:rsidR="004C35E7" w:rsidRPr="00B308ED" w:rsidRDefault="004C35E7" w:rsidP="004C35E7">
      <w:pPr>
        <w:pStyle w:val="PI-2EMEASMCA"/>
        <w:ind w:left="0" w:firstLine="0"/>
      </w:pPr>
    </w:p>
    <w:p w:rsidR="004C35E7" w:rsidRPr="007B7EDF" w:rsidRDefault="004C35E7" w:rsidP="004C35E7">
      <w:pPr>
        <w:keepNext/>
        <w:keepLines/>
        <w:autoSpaceDE w:val="0"/>
        <w:autoSpaceDN w:val="0"/>
        <w:adjustRightInd w:val="0"/>
        <w:spacing w:after="0" w:line="240" w:lineRule="auto"/>
        <w:rPr>
          <w:rFonts w:ascii="Times New Roman" w:hAnsi="Times New Roman" w:cs="Times New Roman"/>
          <w:iCs/>
          <w:color w:val="000000"/>
          <w:u w:val="single"/>
          <w:lang w:val="lt-LT"/>
        </w:rPr>
      </w:pPr>
      <w:r w:rsidRPr="007B7EDF">
        <w:rPr>
          <w:rFonts w:ascii="Times New Roman" w:hAnsi="Times New Roman" w:cs="Times New Roman"/>
          <w:iCs/>
          <w:color w:val="000000"/>
          <w:u w:val="single"/>
          <w:lang w:val="lt-LT"/>
        </w:rPr>
        <w:t>Vaikų populiacija</w:t>
      </w:r>
    </w:p>
    <w:p w:rsidR="004C35E7" w:rsidRPr="00B308ED" w:rsidRDefault="004C35E7" w:rsidP="004C35E7">
      <w:pPr>
        <w:keepNext/>
        <w:keepLines/>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Ramiprilio saugumo stebėjime 2 klinikinių tyrimų metu dalyvavo 325 vaikai ir paaugliai (2</w:t>
      </w:r>
      <w:r w:rsidRPr="00B308ED">
        <w:rPr>
          <w:rFonts w:ascii="Times New Roman" w:hAnsi="Times New Roman" w:cs="Times New Roman"/>
          <w:color w:val="000000"/>
          <w:lang w:val="lt-LT"/>
        </w:rPr>
        <w:noBreakHyphen/>
        <w:t>16 metų). Nors nepageidaujamų reiškinių pobūdis ir sunkumas yra panašus į suaugusiųjų, vis dėlto šios reakcijos vaikams pasireiškė dažniau:</w:t>
      </w:r>
    </w:p>
    <w:p w:rsidR="004C35E7" w:rsidRPr="00B308ED" w:rsidRDefault="004C35E7" w:rsidP="004C35E7">
      <w:pPr>
        <w:autoSpaceDE w:val="0"/>
        <w:autoSpaceDN w:val="0"/>
        <w:adjustRightInd w:val="0"/>
        <w:spacing w:after="0" w:line="240" w:lineRule="auto"/>
        <w:rPr>
          <w:rFonts w:ascii="Times New Roman" w:hAnsi="Times New Roman" w:cs="Times New Roman"/>
          <w:color w:val="000000"/>
          <w:lang w:val="lt-LT"/>
        </w:rPr>
      </w:pPr>
    </w:p>
    <w:p w:rsidR="004C35E7" w:rsidRPr="00B308ED" w:rsidRDefault="004C35E7" w:rsidP="004C35E7">
      <w:pPr>
        <w:numPr>
          <w:ilvl w:val="0"/>
          <w:numId w:val="43"/>
        </w:numPr>
        <w:suppressAutoHyphens/>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tachikardija, nosies užsikimšimas ir rinitas vaikų grupėje pasireiškė dažnai (t. y. nuo ≥ 1/100 iki &lt; 1/10), o suaugusiųjų grupėje nedažnai (t. y. nuo ≥ 1/1000 iki &lt; 1/100);</w:t>
      </w:r>
    </w:p>
    <w:p w:rsidR="004C35E7" w:rsidRPr="00B308ED" w:rsidRDefault="004C35E7" w:rsidP="004C35E7">
      <w:pPr>
        <w:autoSpaceDE w:val="0"/>
        <w:autoSpaceDN w:val="0"/>
        <w:adjustRightInd w:val="0"/>
        <w:spacing w:after="0" w:line="240" w:lineRule="auto"/>
        <w:ind w:left="540" w:hanging="540"/>
        <w:rPr>
          <w:rFonts w:ascii="Times New Roman" w:hAnsi="Times New Roman" w:cs="Times New Roman"/>
          <w:color w:val="000000"/>
          <w:lang w:val="lt-LT"/>
        </w:rPr>
      </w:pPr>
    </w:p>
    <w:p w:rsidR="004C35E7" w:rsidRPr="00B308ED" w:rsidRDefault="004C35E7" w:rsidP="004C35E7">
      <w:pPr>
        <w:numPr>
          <w:ilvl w:val="0"/>
          <w:numId w:val="43"/>
        </w:numPr>
        <w:suppressAutoHyphens/>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konjuktyvitas vaikų grupėje pasireiškė dažnai (t. y. nuo ≥ 1/100 iki &lt; 1/10), o suaugusiųjų grupėje retai (t. y. nuo ≥ 1/10000 iki &lt; 1/1000);</w:t>
      </w:r>
    </w:p>
    <w:p w:rsidR="004C35E7" w:rsidRPr="00B308ED" w:rsidRDefault="004C35E7" w:rsidP="004C35E7">
      <w:pPr>
        <w:autoSpaceDE w:val="0"/>
        <w:autoSpaceDN w:val="0"/>
        <w:adjustRightInd w:val="0"/>
        <w:spacing w:after="0" w:line="240" w:lineRule="auto"/>
        <w:ind w:firstLine="60"/>
        <w:rPr>
          <w:rFonts w:ascii="Times New Roman" w:hAnsi="Times New Roman" w:cs="Times New Roman"/>
          <w:color w:val="000000"/>
          <w:lang w:val="lt-LT"/>
        </w:rPr>
      </w:pPr>
    </w:p>
    <w:p w:rsidR="004C35E7" w:rsidRPr="00B308ED" w:rsidRDefault="004C35E7" w:rsidP="004C35E7">
      <w:pPr>
        <w:numPr>
          <w:ilvl w:val="0"/>
          <w:numId w:val="43"/>
        </w:numPr>
        <w:suppressAutoHyphens/>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drebulys ir dilgėlinė vaikų grupėje pasireiškė nedažnai (t. y. nuo ≥ 1/1000 iki &lt; 1/100), o suaugusiųjų grupėje retai (t. y. nuo ≥ 1/10000 iki &lt; 1/1000).</w:t>
      </w:r>
    </w:p>
    <w:p w:rsidR="004C35E7" w:rsidRPr="00B308ED" w:rsidRDefault="004C35E7" w:rsidP="004C35E7">
      <w:pPr>
        <w:autoSpaceDE w:val="0"/>
        <w:autoSpaceDN w:val="0"/>
        <w:adjustRightInd w:val="0"/>
        <w:spacing w:after="0" w:line="240" w:lineRule="auto"/>
        <w:rPr>
          <w:rFonts w:ascii="Times New Roman" w:hAnsi="Times New Roman" w:cs="Times New Roman"/>
          <w:color w:val="000000"/>
          <w:lang w:val="lt-LT"/>
        </w:rPr>
      </w:pPr>
    </w:p>
    <w:p w:rsidR="004C35E7" w:rsidRPr="00B308ED" w:rsidRDefault="004C35E7" w:rsidP="004C35E7">
      <w:pPr>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Bendrieji ramiprilio saugumo vaikams ir paaugliams duomenys reikšmingai nesiskyrė nuo saugumo suaugusiesiems duomenų.</w:t>
      </w:r>
    </w:p>
    <w:p w:rsidR="004C35E7" w:rsidRPr="00B308ED" w:rsidRDefault="004C35E7" w:rsidP="004C35E7">
      <w:pPr>
        <w:pStyle w:val="PI-2EMEASMCA"/>
      </w:pPr>
    </w:p>
    <w:p w:rsidR="004C35E7" w:rsidRPr="00B308ED" w:rsidRDefault="004C35E7" w:rsidP="004C35E7">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eastAsia="en-US" w:bidi="ar-SA"/>
        </w:rPr>
      </w:pPr>
      <w:r w:rsidRPr="00B308ED">
        <w:rPr>
          <w:rFonts w:ascii="Times New Roman" w:eastAsia="Times New Roman" w:hAnsi="Times New Roman" w:cs="Times New Roman"/>
          <w:noProof/>
          <w:snapToGrid w:val="0"/>
          <w:szCs w:val="24"/>
          <w:u w:val="single"/>
          <w:lang w:val="lt-LT" w:eastAsia="en-US" w:bidi="ar-SA"/>
        </w:rPr>
        <w:t>Pranešimas apie įtariamas nepageidaujamas reakcijas</w:t>
      </w:r>
    </w:p>
    <w:p w:rsidR="004C35E7" w:rsidRPr="00B308ED" w:rsidRDefault="004C35E7" w:rsidP="004C35E7">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eastAsia="en-US" w:bidi="ar-SA"/>
        </w:rPr>
      </w:pPr>
      <w:r w:rsidRPr="00B308ED">
        <w:rPr>
          <w:rFonts w:ascii="Times New Roman" w:eastAsia="Times New Roman" w:hAnsi="Times New Roman" w:cs="Times New Roman"/>
          <w:noProof/>
          <w:snapToGrid w:val="0"/>
          <w:szCs w:val="24"/>
          <w:lang w:val="lt-LT" w:eastAsia="en-US" w:bidi="ar-SA"/>
        </w:rPr>
        <w:t>Svarbu pranešti apie įtariamas nepageidaujamas reakcijas, pastebėtas po vaistinio preparato registracijos, nes tai leidžia nuolat stebėti vaistinio preparato naudos ir rizikos santykį.</w:t>
      </w:r>
      <w:r w:rsidRPr="00B308ED">
        <w:rPr>
          <w:rFonts w:ascii="Times New Roman" w:eastAsia="Times New Roman" w:hAnsi="Times New Roman" w:cs="Times New Roman"/>
          <w:snapToGrid w:val="0"/>
          <w:szCs w:val="24"/>
          <w:lang w:val="lt-LT" w:eastAsia="en-US" w:bidi="ar-SA"/>
        </w:rPr>
        <w:t xml:space="preserve"> </w:t>
      </w:r>
      <w:r w:rsidRPr="00B308ED">
        <w:rPr>
          <w:rFonts w:ascii="Times New Roman" w:eastAsia="Times New Roman" w:hAnsi="Times New Roman" w:cs="Times New Roman"/>
          <w:noProof/>
          <w:snapToGrid w:val="0"/>
          <w:szCs w:val="24"/>
          <w:lang w:val="lt-LT" w:eastAsia="en-US" w:bidi="ar-SA"/>
        </w:rPr>
        <w:t>Sveikatos priežiūros specialistai turi pranešti apie bet kokias įtariamas nepageidaujamas reakcijas, užpildę interneto svetainėje http://</w:t>
      </w:r>
      <w:hyperlink r:id="rId7" w:history="1">
        <w:r w:rsidRPr="00B308ED">
          <w:rPr>
            <w:rFonts w:ascii="Times New Roman" w:hAnsi="Times New Roman" w:cs="Times New Roman"/>
            <w:noProof/>
            <w:snapToGrid w:val="0"/>
            <w:color w:val="0000FF"/>
            <w:szCs w:val="24"/>
            <w:u w:val="single"/>
            <w:lang w:val="lt-LT" w:eastAsia="en-US" w:bidi="ar-SA"/>
          </w:rPr>
          <w:t>www.vvkt.lt</w:t>
        </w:r>
      </w:hyperlink>
      <w:r w:rsidRPr="00B308ED">
        <w:rPr>
          <w:rFonts w:ascii="Times New Roman" w:eastAsia="Times New Roman" w:hAnsi="Times New Roman" w:cs="Times New Roman"/>
          <w:noProof/>
          <w:snapToGrid w:val="0"/>
          <w:szCs w:val="24"/>
          <w:lang w:val="lt-LT" w:eastAsia="en-US" w:bidi="ar-SA"/>
        </w:rPr>
        <w:t xml:space="preserve">/ esančią formą, ir pateikti ją Valstybinei vaistų kontrolės tarnybai prie Lietuvos Respublikos sveikatos apsaugos ministerijos vienu iš šių būdų: raštu (adresu Žirmūnų g. 139A, LT </w:t>
      </w:r>
      <w:r w:rsidRPr="00B308ED">
        <w:rPr>
          <w:rFonts w:ascii="Times New Roman" w:eastAsia="Times New Roman" w:hAnsi="Times New Roman" w:cs="Times New Roman"/>
          <w:noProof/>
          <w:snapToGrid w:val="0"/>
          <w:szCs w:val="24"/>
          <w:lang w:val="lt-LT" w:eastAsia="en-US" w:bidi="ar-SA"/>
        </w:rPr>
        <w:lastRenderedPageBreak/>
        <w:t xml:space="preserve">09120 Vilnius), faksu (nemokamu fakso numeriu (8 800) 20 131), elektroniniu paštu (adresu </w:t>
      </w:r>
      <w:hyperlink r:id="rId8" w:history="1">
        <w:r w:rsidRPr="00B308ED">
          <w:rPr>
            <w:rFonts w:ascii="Times New Roman" w:hAnsi="Times New Roman" w:cs="Times New Roman"/>
            <w:noProof/>
            <w:snapToGrid w:val="0"/>
            <w:color w:val="0000FF"/>
            <w:szCs w:val="24"/>
            <w:u w:val="single"/>
            <w:lang w:val="lt-LT" w:eastAsia="en-US" w:bidi="ar-SA"/>
          </w:rPr>
          <w:t>NepageidaujamaR@vvkt.lt</w:t>
        </w:r>
      </w:hyperlink>
      <w:r w:rsidRPr="00B308ED">
        <w:rPr>
          <w:rFonts w:ascii="Times New Roman" w:eastAsia="Times New Roman" w:hAnsi="Times New Roman" w:cs="Times New Roman"/>
          <w:noProof/>
          <w:snapToGrid w:val="0"/>
          <w:szCs w:val="24"/>
          <w:lang w:val="lt-LT" w:eastAsia="en-US" w:bidi="ar-SA"/>
        </w:rPr>
        <w:t>), per interneto svetainę (adresu http://www.vvkt.lt).</w:t>
      </w:r>
    </w:p>
    <w:p w:rsidR="004C35E7" w:rsidRPr="00B308ED" w:rsidRDefault="004C35E7" w:rsidP="004C35E7">
      <w:pPr>
        <w:pStyle w:val="PI-2EMEASMCA"/>
      </w:pPr>
    </w:p>
    <w:p w:rsidR="004C35E7" w:rsidRPr="00B308ED" w:rsidRDefault="004C35E7" w:rsidP="004C35E7">
      <w:pPr>
        <w:pStyle w:val="PI-2EMEASMCA"/>
      </w:pPr>
      <w:r w:rsidRPr="00B308ED">
        <w:t>4.9</w:t>
      </w:r>
      <w:r w:rsidRPr="00B308ED">
        <w:tab/>
        <w:t>Perdozavimas</w:t>
      </w:r>
    </w:p>
    <w:p w:rsidR="004C35E7" w:rsidRPr="00B308ED" w:rsidRDefault="004C35E7" w:rsidP="004C35E7">
      <w:pPr>
        <w:pStyle w:val="BTEMEASMCA"/>
      </w:pPr>
    </w:p>
    <w:p w:rsidR="004C35E7" w:rsidRPr="00B308ED" w:rsidRDefault="004C35E7" w:rsidP="004C35E7">
      <w:pPr>
        <w:pStyle w:val="BTEMEASMCA"/>
        <w:rPr>
          <w:u w:val="single"/>
        </w:rPr>
      </w:pPr>
      <w:r w:rsidRPr="00B308ED">
        <w:rPr>
          <w:u w:val="single"/>
        </w:rPr>
        <w:t>Simptomai</w:t>
      </w:r>
    </w:p>
    <w:p w:rsidR="004C35E7" w:rsidRPr="00B308ED" w:rsidRDefault="004C35E7" w:rsidP="004C35E7">
      <w:pPr>
        <w:pStyle w:val="BTEMEASMCA"/>
        <w:rPr>
          <w:u w:val="single"/>
        </w:rPr>
      </w:pPr>
    </w:p>
    <w:p w:rsidR="004C35E7" w:rsidRPr="00B308ED" w:rsidRDefault="004C35E7" w:rsidP="004C35E7">
      <w:pPr>
        <w:pStyle w:val="BTEMEASMCA"/>
      </w:pPr>
      <w:r w:rsidRPr="00B308ED">
        <w:t xml:space="preserve">Perdozavus AKF inhibitorių, gali atsirasti šie simptomai: didelė periferinių kraujagyslių dilatacija (pasireiškiant stipriai hipotenzijai, šokui), bradikardija, elektrolitų koncentracijos pokyčiai ir inkstų nepakankamumas. </w:t>
      </w:r>
    </w:p>
    <w:p w:rsidR="004C35E7" w:rsidRPr="00B308ED" w:rsidRDefault="004C35E7" w:rsidP="004C35E7">
      <w:pPr>
        <w:pStyle w:val="BTEMEASMCA"/>
      </w:pPr>
    </w:p>
    <w:p w:rsidR="004C35E7" w:rsidRPr="00B308ED" w:rsidRDefault="004C35E7" w:rsidP="004C35E7">
      <w:pPr>
        <w:pStyle w:val="BTEMEASMCA"/>
        <w:rPr>
          <w:u w:val="single"/>
        </w:rPr>
      </w:pPr>
      <w:r w:rsidRPr="00B308ED">
        <w:rPr>
          <w:u w:val="single"/>
        </w:rPr>
        <w:t>Gydymas</w:t>
      </w:r>
    </w:p>
    <w:p w:rsidR="004C35E7" w:rsidRPr="00B308ED" w:rsidRDefault="004C35E7" w:rsidP="004C35E7">
      <w:pPr>
        <w:pStyle w:val="BTEMEASMCA"/>
      </w:pPr>
    </w:p>
    <w:p w:rsidR="004C35E7" w:rsidRPr="00B308ED" w:rsidRDefault="004C35E7" w:rsidP="004C35E7">
      <w:pPr>
        <w:pStyle w:val="BTEMEASMCA"/>
      </w:pPr>
      <w:r w:rsidRPr="00B308ED">
        <w:t>Pacientams būtina atidi priežiūra, taikomas simptominis ir palaikomasis gydymas. Siūloma atlikti pirminę detoksikaciją (plauti skrandį, skirti adsorbuojamųjų preparatų) bei imtis priemonių kraujotakos stabilumo atstatymui - prireikus švirkšti alfa 1 adrenoreceptorių agonistų arba angiotenzino II (angiotenzinamido). Aktyvus ramiprilio metabolitas ramiprilatas iš bendros kraujotakos hemodializės būdu yra sunkiai pašalinamas.</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5.</w:t>
      </w:r>
      <w:r w:rsidRPr="00B308ED">
        <w:tab/>
        <w:t>FARMAKOLOGINĖS SAVYBĖS</w:t>
      </w:r>
    </w:p>
    <w:p w:rsidR="004C35E7" w:rsidRPr="00B308ED" w:rsidRDefault="004C35E7" w:rsidP="004C35E7">
      <w:pPr>
        <w:pStyle w:val="BTEMEASMCA"/>
      </w:pPr>
    </w:p>
    <w:p w:rsidR="004C35E7" w:rsidRPr="00B308ED" w:rsidRDefault="004C35E7" w:rsidP="004C35E7">
      <w:pPr>
        <w:pStyle w:val="PI-2EMEASMCA"/>
      </w:pPr>
      <w:r w:rsidRPr="00B308ED">
        <w:t>5.1</w:t>
      </w:r>
      <w:r w:rsidRPr="00B308ED">
        <w:tab/>
        <w:t>Farmakodinaminės savybės</w:t>
      </w:r>
    </w:p>
    <w:p w:rsidR="004C35E7" w:rsidRPr="00B308ED" w:rsidRDefault="004C35E7" w:rsidP="004C35E7">
      <w:pPr>
        <w:pStyle w:val="BTEMEASMCA"/>
      </w:pPr>
    </w:p>
    <w:p w:rsidR="004C35E7" w:rsidRPr="00B308ED" w:rsidRDefault="004C35E7" w:rsidP="004C35E7">
      <w:pPr>
        <w:pStyle w:val="BTEMEASMCA"/>
      </w:pPr>
      <w:r w:rsidRPr="00B308ED">
        <w:t>Farmakoterapinė grupė – AKF inhibitoriai, paprasti, ATC kodas – C09AA05.</w:t>
      </w:r>
    </w:p>
    <w:p w:rsidR="004C35E7" w:rsidRPr="00B308ED" w:rsidRDefault="004C35E7" w:rsidP="004C35E7">
      <w:pPr>
        <w:pStyle w:val="BTEMEASMCA"/>
        <w:keepNext/>
        <w:keepLines/>
      </w:pPr>
    </w:p>
    <w:p w:rsidR="004C35E7" w:rsidRPr="007B7EDF" w:rsidRDefault="004C35E7" w:rsidP="004C35E7">
      <w:pPr>
        <w:keepNext/>
        <w:keepLines/>
        <w:spacing w:after="0" w:line="240" w:lineRule="auto"/>
        <w:rPr>
          <w:rFonts w:ascii="Times New Roman" w:hAnsi="Times New Roman" w:cs="Times New Roman"/>
          <w:u w:val="single"/>
          <w:lang w:val="lt-LT"/>
        </w:rPr>
      </w:pPr>
      <w:r w:rsidRPr="007B7EDF">
        <w:rPr>
          <w:rFonts w:ascii="Times New Roman" w:hAnsi="Times New Roman" w:cs="Times New Roman"/>
          <w:u w:val="single"/>
          <w:lang w:val="lt-LT"/>
        </w:rPr>
        <w:t>Veikimo mechanizmas</w:t>
      </w:r>
    </w:p>
    <w:p w:rsidR="004C35E7" w:rsidRPr="00B308ED" w:rsidRDefault="004C35E7" w:rsidP="004C35E7">
      <w:pPr>
        <w:keepNext/>
        <w:keepLines/>
        <w:spacing w:after="0" w:line="240" w:lineRule="auto"/>
        <w:rPr>
          <w:rFonts w:ascii="Times New Roman" w:hAnsi="Times New Roman" w:cs="Times New Roman"/>
          <w:i/>
          <w:lang w:val="lt-LT"/>
        </w:rPr>
      </w:pP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Aktyvus provaisto ramiprilio metabolitas ramiprilatas slopina fermentą dipeptidilkarboksiptidazę I (sinonimai –angiotenziną konvertuojantis fermentas, kininazė II). Plazmoje ir audiniuose šis fermentas katalizuoja angiotenzino I virtimą aktyviu kraujagysles siaurinančiu angiotenzinu II, skatina kraujagysles plečiančio bradikinino irimą. Sumažėjus angiotenzino II sintezei ir bradikinino irimui, kraujagyslės išsiplečia.</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Be to, angiotenzinas II stimuliuoja aldosterono sekreciją, todėl ramiprilatas ją mažina. Vidutinė juodaodžių (kilusių iš Afrikos bei Karibų šalių) pacientų reakcija į AKF slopinimą yra silpnesnė (paprastai šios populiacijos hipertenzija sergančių žmonių organizme renino aktyvumas būna mažas) negu nejuodaodžių.</w:t>
      </w:r>
    </w:p>
    <w:p w:rsidR="004C35E7" w:rsidRPr="00B308ED" w:rsidRDefault="004C35E7" w:rsidP="004C35E7">
      <w:pPr>
        <w:spacing w:after="0" w:line="240" w:lineRule="auto"/>
        <w:rPr>
          <w:rFonts w:ascii="Times New Roman" w:hAnsi="Times New Roman" w:cs="Times New Roman"/>
          <w:lang w:val="lt-LT"/>
        </w:rPr>
      </w:pPr>
    </w:p>
    <w:p w:rsidR="004C35E7" w:rsidRPr="007B7EDF" w:rsidRDefault="004C35E7" w:rsidP="004C35E7">
      <w:pPr>
        <w:spacing w:after="0" w:line="240" w:lineRule="auto"/>
        <w:rPr>
          <w:rFonts w:ascii="Times New Roman" w:hAnsi="Times New Roman" w:cs="Times New Roman"/>
          <w:u w:val="single"/>
          <w:lang w:val="lt-LT"/>
        </w:rPr>
      </w:pPr>
      <w:r w:rsidRPr="007B7EDF">
        <w:rPr>
          <w:rFonts w:ascii="Times New Roman" w:hAnsi="Times New Roman" w:cs="Times New Roman"/>
          <w:u w:val="single"/>
          <w:lang w:val="lt-LT"/>
        </w:rPr>
        <w:t>Farmakodinaminis poveikis</w:t>
      </w:r>
    </w:p>
    <w:p w:rsidR="004C35E7" w:rsidRPr="00B308ED" w:rsidRDefault="004C35E7" w:rsidP="004C35E7">
      <w:pPr>
        <w:spacing w:after="0" w:line="240" w:lineRule="auto"/>
        <w:rPr>
          <w:rFonts w:ascii="Times New Roman" w:hAnsi="Times New Roman" w:cs="Times New Roman"/>
          <w:i/>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Spaudimą mažinančios savybės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Ramiprilis gerokai sumažina periferinį arterijų pasipriešinimą. Didesnio poveikio plazmos tėkmei inkstuose ar glomerulų filtracijos greičiui vaistinis preparatas nesukelia.</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Jeigu pacientas serga hipertenzija, ramiprilis mažina kraujospūdį ir stovint, ir gulint, nesukeldamas kompensacinio širdies susitraukimų padažnėjimo.</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Išgėrus vienkartinę ramiprilio dozę, daugumai pacientų antihipertenzinis poveikis pasireiškia po 1-2 valandų, stipriausias paprastai būna po 3</w:t>
      </w:r>
      <w:r w:rsidRPr="00B308ED">
        <w:rPr>
          <w:rFonts w:ascii="Times New Roman" w:hAnsi="Times New Roman" w:cs="Times New Roman"/>
          <w:lang w:val="lt-LT"/>
        </w:rPr>
        <w:noBreakHyphen/>
        <w:t>6 valandų. Kraujospūdis išgėrus vienkartinę dozę paprastai sumažėja per 24 valandas.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Tęsiant gydymą ramipriliu, stipriausias antihipertenzinis poveikis pasireiškia po 3-4 savaičių. Įrodyta, jog kraujospūdį mažinantis ramiprilio poveikis neišnyksta, gydant juo net 2 metus.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Staiga nutraukus vaistinio preparato vartojimą, staigiai ir stipriai kraujospūdis nepadidėja.</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Širdies nepakankamumas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Kartu su palaikomuoju gydymu diuretikais ir pagal poreikį pasirinktais širdį veikiančiais glikozidais vartojamo ramiprilio veiksmingumas pademonstruotas gydant II</w:t>
      </w:r>
      <w:r w:rsidRPr="00B308ED">
        <w:rPr>
          <w:rFonts w:ascii="Times New Roman" w:hAnsi="Times New Roman" w:cs="Times New Roman"/>
          <w:lang w:val="lt-LT"/>
        </w:rPr>
        <w:noBreakHyphen/>
        <w:t>IV funkcinių klasių pagal New-York širdies asociacijos klasifikaciją pacientus. Vaistinio preparato vartojimas teigiamai veikė širdies hemodinamiką (sumažėjo kairiojo ir dešiniojo skilvelio prisipildymo spaudimas, sumažėjo bendras periferinių kraujagyslių pasipriešinimas, palengvėjo kraujo išstūmimas iš širdies ir pagerėjo širdies indeksas). Taip pat buvo sumažintas neuroendokrininis suaktyvinimas.</w:t>
      </w:r>
    </w:p>
    <w:p w:rsidR="004C35E7" w:rsidRPr="00B308ED" w:rsidRDefault="004C35E7" w:rsidP="004C35E7">
      <w:pPr>
        <w:spacing w:after="0" w:line="240" w:lineRule="auto"/>
        <w:rPr>
          <w:rFonts w:ascii="Times New Roman" w:hAnsi="Times New Roman" w:cs="Times New Roman"/>
          <w:lang w:val="lt-LT"/>
        </w:rPr>
      </w:pPr>
    </w:p>
    <w:p w:rsidR="004C35E7" w:rsidRPr="007B7EDF" w:rsidRDefault="004C35E7" w:rsidP="004C35E7">
      <w:pPr>
        <w:spacing w:after="0" w:line="240" w:lineRule="auto"/>
        <w:rPr>
          <w:rFonts w:ascii="Times New Roman" w:hAnsi="Times New Roman" w:cs="Times New Roman"/>
          <w:iCs/>
          <w:u w:val="single"/>
          <w:lang w:val="lt-LT"/>
        </w:rPr>
      </w:pPr>
      <w:r w:rsidRPr="007B7EDF">
        <w:rPr>
          <w:rFonts w:ascii="Times New Roman" w:hAnsi="Times New Roman" w:cs="Times New Roman"/>
          <w:iCs/>
          <w:u w:val="single"/>
          <w:lang w:val="lt-LT"/>
        </w:rPr>
        <w:t>Klinikinis veiksmingumas ir saugumas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Širdies ir kraujagyslių sistemos sutrikimų rizikos prevencija ir (arba) nefroprotekcinis poveikis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Atliktas prevencinis placebu kontroliuotas tyrimas (HOPE tyrimas), kurio metu daugiau nei 9200 pacientų ramiprilį vartojo papildomai standartinės terapijos metu. Į tyrimą buvo įtraukti pacientai, kuriems pavojus susirgti širdies ir kraujagyslių ligomis buvo padidėjęs, t. y pacientai sirgo aterotrombozine širdies ir kraujagyslių liga (persirgta išeminė (koronarinė) širdies liga, insultas arba periferinių kraujagyslių liga) arba cukriniu diabetu sergantys pacientai su dar bent vienu papildomu rizikos veiksniu (užfiksuota mikroalbuminurija, hipertenzija, didelė bendro cholesterolio koncentracija, maža didelio tankio lipoproteinų cholesterolio koncentracija, rūkymas). Tyrimu nustatyta, kad ramiprilis vartojamas vienas arba kartu su kitais vaistiniais preparatais (pirminiai vertinamieji reiškiniai) statistiškai labai reikšmingai sumažino miokardo infarkto, mirties nuo širdies ir kraujagyslių sistemos sutrikimų ir insulto pavojų.</w:t>
      </w:r>
    </w:p>
    <w:p w:rsidR="004C35E7" w:rsidRPr="00B308ED" w:rsidRDefault="004C35E7" w:rsidP="004C35E7">
      <w:pPr>
        <w:spacing w:after="0" w:line="240" w:lineRule="auto"/>
        <w:jc w:val="center"/>
        <w:rPr>
          <w:rFonts w:ascii="Times New Roman" w:hAnsi="Times New Roman" w:cs="Times New Roman"/>
          <w:b/>
          <w:lang w:val="lt-LT"/>
        </w:rPr>
      </w:pPr>
    </w:p>
    <w:p w:rsidR="004C35E7" w:rsidRPr="00B308ED" w:rsidRDefault="004C35E7" w:rsidP="004C35E7">
      <w:pPr>
        <w:spacing w:after="0" w:line="240" w:lineRule="auto"/>
        <w:jc w:val="center"/>
        <w:rPr>
          <w:rFonts w:ascii="Times New Roman" w:hAnsi="Times New Roman" w:cs="Times New Roman"/>
          <w:b/>
          <w:lang w:val="lt-LT"/>
        </w:rPr>
      </w:pPr>
      <w:r w:rsidRPr="00B308ED">
        <w:rPr>
          <w:rFonts w:ascii="Times New Roman" w:hAnsi="Times New Roman" w:cs="Times New Roman"/>
          <w:b/>
          <w:lang w:val="lt-LT"/>
        </w:rPr>
        <w:t>Pagrindiniai HOPE tyrimo rezultatai</w:t>
      </w:r>
    </w:p>
    <w:tbl>
      <w:tblPr>
        <w:tblW w:w="9000" w:type="dxa"/>
        <w:tblLayout w:type="fixed"/>
        <w:tblLook w:val="0000" w:firstRow="0" w:lastRow="0" w:firstColumn="0" w:lastColumn="0" w:noHBand="0" w:noVBand="0"/>
      </w:tblPr>
      <w:tblGrid>
        <w:gridCol w:w="3181"/>
        <w:gridCol w:w="1387"/>
        <w:gridCol w:w="996"/>
        <w:gridCol w:w="2469"/>
        <w:gridCol w:w="967"/>
      </w:tblGrid>
      <w:tr w:rsidR="004C35E7" w:rsidRPr="00B308ED" w:rsidTr="00B7109A">
        <w:tc>
          <w:tcPr>
            <w:tcW w:w="3181" w:type="dxa"/>
            <w:tcBorders>
              <w:top w:val="single" w:sz="4" w:space="0" w:color="000000"/>
              <w:left w:val="single" w:sz="4" w:space="0" w:color="000000"/>
            </w:tcBorders>
          </w:tcPr>
          <w:p w:rsidR="004C35E7" w:rsidRPr="00B308ED" w:rsidRDefault="004C35E7" w:rsidP="00B7109A">
            <w:pPr>
              <w:snapToGrid w:val="0"/>
              <w:spacing w:after="0" w:line="240" w:lineRule="auto"/>
              <w:rPr>
                <w:rFonts w:ascii="Times New Roman" w:hAnsi="Times New Roman" w:cs="Times New Roman"/>
                <w:lang w:val="lt-LT"/>
              </w:rPr>
            </w:pPr>
          </w:p>
        </w:tc>
        <w:tc>
          <w:tcPr>
            <w:tcW w:w="1387" w:type="dxa"/>
            <w:tcBorders>
              <w:top w:val="single" w:sz="4" w:space="0" w:color="000000"/>
              <w:left w:val="single" w:sz="4" w:space="0" w:color="000000"/>
              <w:bottom w:val="single" w:sz="4" w:space="0" w:color="000000"/>
            </w:tcBorders>
          </w:tcPr>
          <w:p w:rsidR="004C35E7" w:rsidRPr="00B308ED" w:rsidRDefault="004C35E7" w:rsidP="00B7109A">
            <w:pPr>
              <w:snapToGrid w:val="0"/>
              <w:spacing w:after="0" w:line="240" w:lineRule="auto"/>
              <w:rPr>
                <w:rFonts w:ascii="Times New Roman" w:hAnsi="Times New Roman" w:cs="Times New Roman"/>
                <w:lang w:val="lt-LT"/>
              </w:rPr>
            </w:pPr>
            <w:r w:rsidRPr="00B308ED">
              <w:rPr>
                <w:rFonts w:ascii="Times New Roman" w:hAnsi="Times New Roman" w:cs="Times New Roman"/>
                <w:lang w:val="lt-LT"/>
              </w:rPr>
              <w:t>Ramiprilis</w:t>
            </w:r>
          </w:p>
        </w:tc>
        <w:tc>
          <w:tcPr>
            <w:tcW w:w="996" w:type="dxa"/>
            <w:tcBorders>
              <w:top w:val="single" w:sz="4" w:space="0" w:color="000000"/>
              <w:left w:val="single" w:sz="4" w:space="0" w:color="000000"/>
              <w:bottom w:val="single" w:sz="4" w:space="0" w:color="000000"/>
            </w:tcBorders>
          </w:tcPr>
          <w:p w:rsidR="004C35E7" w:rsidRPr="00B308ED" w:rsidRDefault="004C35E7" w:rsidP="00B7109A">
            <w:pPr>
              <w:snapToGrid w:val="0"/>
              <w:spacing w:after="0" w:line="240" w:lineRule="auto"/>
              <w:rPr>
                <w:rFonts w:ascii="Times New Roman" w:hAnsi="Times New Roman" w:cs="Times New Roman"/>
                <w:lang w:val="lt-LT"/>
              </w:rPr>
            </w:pPr>
            <w:r w:rsidRPr="00B308ED">
              <w:rPr>
                <w:rFonts w:ascii="Times New Roman" w:hAnsi="Times New Roman" w:cs="Times New Roman"/>
                <w:lang w:val="lt-LT"/>
              </w:rPr>
              <w:t>Placebas</w:t>
            </w:r>
          </w:p>
        </w:tc>
        <w:tc>
          <w:tcPr>
            <w:tcW w:w="2469" w:type="dxa"/>
            <w:tcBorders>
              <w:top w:val="single" w:sz="4" w:space="0" w:color="000000"/>
              <w:left w:val="single" w:sz="4" w:space="0" w:color="000000"/>
            </w:tcBorders>
          </w:tcPr>
          <w:p w:rsidR="004C35E7" w:rsidRPr="00B308ED" w:rsidRDefault="004C35E7" w:rsidP="00B7109A">
            <w:pPr>
              <w:snapToGrid w:val="0"/>
              <w:spacing w:after="0" w:line="240" w:lineRule="auto"/>
              <w:rPr>
                <w:rFonts w:ascii="Times New Roman" w:hAnsi="Times New Roman" w:cs="Times New Roman"/>
                <w:lang w:val="lt-LT"/>
              </w:rPr>
            </w:pPr>
            <w:r w:rsidRPr="00B308ED">
              <w:rPr>
                <w:rFonts w:ascii="Times New Roman" w:hAnsi="Times New Roman" w:cs="Times New Roman"/>
                <w:lang w:val="lt-LT"/>
              </w:rPr>
              <w:t>Santykinė rizika</w:t>
            </w:r>
          </w:p>
          <w:p w:rsidR="004C35E7" w:rsidRPr="00B308ED" w:rsidRDefault="004C35E7" w:rsidP="00B7109A">
            <w:pPr>
              <w:spacing w:after="0" w:line="240" w:lineRule="auto"/>
              <w:rPr>
                <w:rFonts w:ascii="Times New Roman" w:hAnsi="Times New Roman" w:cs="Times New Roman"/>
                <w:lang w:val="lt-LT"/>
              </w:rPr>
            </w:pPr>
            <w:r w:rsidRPr="00B308ED">
              <w:rPr>
                <w:rFonts w:ascii="Times New Roman" w:hAnsi="Times New Roman" w:cs="Times New Roman"/>
                <w:lang w:val="lt-LT"/>
              </w:rPr>
              <w:t>(95 % pasikliautinasis intervalas)</w:t>
            </w:r>
          </w:p>
        </w:tc>
        <w:tc>
          <w:tcPr>
            <w:tcW w:w="967" w:type="dxa"/>
            <w:tcBorders>
              <w:top w:val="single" w:sz="4" w:space="0" w:color="000000"/>
              <w:left w:val="single" w:sz="4" w:space="0" w:color="000000"/>
              <w:right w:val="single" w:sz="4" w:space="0" w:color="000000"/>
            </w:tcBorders>
          </w:tcPr>
          <w:p w:rsidR="004C35E7" w:rsidRPr="00B308ED" w:rsidRDefault="004C35E7" w:rsidP="00B7109A">
            <w:pPr>
              <w:snapToGrid w:val="0"/>
              <w:spacing w:after="0" w:line="240" w:lineRule="auto"/>
              <w:rPr>
                <w:rFonts w:ascii="Times New Roman" w:hAnsi="Times New Roman" w:cs="Times New Roman"/>
                <w:lang w:val="lt-LT"/>
              </w:rPr>
            </w:pPr>
            <w:r w:rsidRPr="00B308ED">
              <w:rPr>
                <w:rFonts w:ascii="Times New Roman" w:hAnsi="Times New Roman" w:cs="Times New Roman"/>
                <w:lang w:val="lt-LT"/>
              </w:rPr>
              <w:t>p-reikšmė</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r w:rsidRPr="00B308ED">
              <w:rPr>
                <w:rFonts w:ascii="Times New Roman" w:hAnsi="Times New Roman" w:cs="Times New Roman"/>
                <w:lang w:val="lt-LT"/>
              </w:rPr>
              <w:t>%</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r w:rsidRPr="00B308ED">
              <w:rPr>
                <w:rFonts w:ascii="Times New Roman" w:hAnsi="Times New Roman" w:cs="Times New Roman"/>
                <w:lang w:val="lt-LT"/>
              </w:rPr>
              <w:t>%</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r w:rsidRPr="00B308ED">
              <w:rPr>
                <w:rFonts w:ascii="Times New Roman" w:hAnsi="Times New Roman" w:cs="Times New Roman"/>
                <w:b/>
                <w:lang w:val="lt-LT"/>
              </w:rPr>
              <w:t>Visi pacientai</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r w:rsidRPr="00B308ED">
              <w:rPr>
                <w:rFonts w:ascii="Times New Roman" w:hAnsi="Times New Roman" w:cs="Times New Roman"/>
                <w:b/>
                <w:lang w:val="lt-LT"/>
              </w:rPr>
              <w:t>n=4 645</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r w:rsidRPr="00B308ED">
              <w:rPr>
                <w:rFonts w:ascii="Times New Roman" w:hAnsi="Times New Roman" w:cs="Times New Roman"/>
                <w:b/>
                <w:lang w:val="lt-LT"/>
              </w:rPr>
              <w:t>N=4 652</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rPr>
                <w:rFonts w:ascii="Times New Roman" w:hAnsi="Times New Roman" w:cs="Times New Roman"/>
                <w:b/>
                <w:lang w:val="lt-LT"/>
              </w:rPr>
            </w:pPr>
            <w:r w:rsidRPr="00B308ED">
              <w:rPr>
                <w:rFonts w:ascii="Times New Roman" w:hAnsi="Times New Roman" w:cs="Times New Roman"/>
                <w:b/>
                <w:lang w:val="lt-LT"/>
              </w:rPr>
              <w:t>Pirminiai sudėtiniai vertinamieji reiškiniai</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r w:rsidRPr="00B308ED">
              <w:rPr>
                <w:rFonts w:ascii="Times New Roman" w:hAnsi="Times New Roman" w:cs="Times New Roman"/>
                <w:b/>
                <w:lang w:val="lt-LT"/>
              </w:rPr>
              <w:t>14,0</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r w:rsidRPr="00B308ED">
              <w:rPr>
                <w:rFonts w:ascii="Times New Roman" w:hAnsi="Times New Roman" w:cs="Times New Roman"/>
                <w:b/>
                <w:lang w:val="lt-LT"/>
              </w:rPr>
              <w:t>17,8</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r w:rsidRPr="00B308ED">
              <w:rPr>
                <w:rFonts w:ascii="Times New Roman" w:hAnsi="Times New Roman" w:cs="Times New Roman"/>
                <w:b/>
                <w:lang w:val="lt-LT"/>
              </w:rPr>
              <w:t>0,78 (0,70-0,86)</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r w:rsidRPr="00B308ED">
              <w:rPr>
                <w:rFonts w:ascii="Times New Roman" w:hAnsi="Times New Roman" w:cs="Times New Roman"/>
                <w:b/>
                <w:lang w:val="lt-LT"/>
              </w:rPr>
              <w:t>&lt;0,001</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ind w:left="273"/>
              <w:rPr>
                <w:rFonts w:ascii="Times New Roman" w:hAnsi="Times New Roman" w:cs="Times New Roman"/>
                <w:i/>
                <w:lang w:val="lt-LT"/>
              </w:rPr>
            </w:pPr>
            <w:r w:rsidRPr="00B308ED">
              <w:rPr>
                <w:rFonts w:ascii="Times New Roman" w:hAnsi="Times New Roman" w:cs="Times New Roman"/>
                <w:i/>
                <w:lang w:val="lt-LT"/>
              </w:rPr>
              <w:t>Miokardo infarktas</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9,9</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12,3</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0,80 (0,70-,90)</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&lt;0,001</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ind w:left="273"/>
              <w:rPr>
                <w:rFonts w:ascii="Times New Roman" w:hAnsi="Times New Roman" w:cs="Times New Roman"/>
                <w:i/>
                <w:lang w:val="lt-LT"/>
              </w:rPr>
            </w:pPr>
            <w:r w:rsidRPr="00B308ED">
              <w:rPr>
                <w:rFonts w:ascii="Times New Roman" w:hAnsi="Times New Roman" w:cs="Times New Roman"/>
                <w:i/>
                <w:lang w:val="lt-LT"/>
              </w:rPr>
              <w:t>Mirtis dėl priežasčių, susijusių su širdies ir kraujagyslių sistema</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6,1</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8,1</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0,74 (0,64-0,87)</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&lt;0,001</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ind w:left="273"/>
              <w:rPr>
                <w:rFonts w:ascii="Times New Roman" w:hAnsi="Times New Roman" w:cs="Times New Roman"/>
                <w:i/>
                <w:lang w:val="lt-LT"/>
              </w:rPr>
            </w:pPr>
            <w:r w:rsidRPr="00B308ED">
              <w:rPr>
                <w:rFonts w:ascii="Times New Roman" w:hAnsi="Times New Roman" w:cs="Times New Roman"/>
                <w:i/>
                <w:lang w:val="lt-LT"/>
              </w:rPr>
              <w:t>Insultas</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3,4</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4,9</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0,68 (0,56-0,84)</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&lt;0,001</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lang w:val="lt-LT"/>
              </w:rPr>
            </w:pP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r w:rsidRPr="00B308ED">
              <w:rPr>
                <w:rFonts w:ascii="Times New Roman" w:hAnsi="Times New Roman" w:cs="Times New Roman"/>
                <w:b/>
                <w:lang w:val="lt-LT"/>
              </w:rPr>
              <w:t>Antrinės baigtys</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b/>
                <w:lang w:val="lt-LT"/>
              </w:rPr>
            </w:pP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ind w:left="273"/>
              <w:rPr>
                <w:rFonts w:ascii="Times New Roman" w:hAnsi="Times New Roman" w:cs="Times New Roman"/>
                <w:i/>
                <w:lang w:val="lt-LT"/>
              </w:rPr>
            </w:pPr>
            <w:r w:rsidRPr="00B308ED">
              <w:rPr>
                <w:rFonts w:ascii="Times New Roman" w:hAnsi="Times New Roman" w:cs="Times New Roman"/>
                <w:i/>
                <w:lang w:val="lt-LT"/>
              </w:rPr>
              <w:t>Mirtis dėl bet kokios priežasties</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10,4</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12,2</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0,84 (0,75-0,95)</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0,005</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ind w:left="273"/>
              <w:rPr>
                <w:rFonts w:ascii="Times New Roman" w:hAnsi="Times New Roman" w:cs="Times New Roman"/>
                <w:i/>
                <w:lang w:val="lt-LT"/>
              </w:rPr>
            </w:pPr>
            <w:r w:rsidRPr="00B308ED">
              <w:rPr>
                <w:rFonts w:ascii="Times New Roman" w:hAnsi="Times New Roman" w:cs="Times New Roman"/>
                <w:i/>
                <w:lang w:val="lt-LT"/>
              </w:rPr>
              <w:t>Revaskuliarizacijos būtinybė</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16,0</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18,3</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0,85 (0,77-0,94)</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0,002</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ind w:left="273"/>
              <w:rPr>
                <w:rFonts w:ascii="Times New Roman" w:hAnsi="Times New Roman" w:cs="Times New Roman"/>
                <w:i/>
                <w:lang w:val="lt-LT"/>
              </w:rPr>
            </w:pPr>
            <w:r w:rsidRPr="00B308ED">
              <w:rPr>
                <w:rFonts w:ascii="Times New Roman" w:hAnsi="Times New Roman" w:cs="Times New Roman"/>
                <w:i/>
                <w:lang w:val="lt-LT"/>
              </w:rPr>
              <w:t>Hospitalizacija dėl nestabilios anginos</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12,1</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12,3</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0,98 (0,87-1,10)</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NS</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ind w:left="273"/>
              <w:rPr>
                <w:rFonts w:ascii="Times New Roman" w:hAnsi="Times New Roman" w:cs="Times New Roman"/>
                <w:i/>
                <w:lang w:val="lt-LT"/>
              </w:rPr>
            </w:pPr>
            <w:r w:rsidRPr="00B308ED">
              <w:rPr>
                <w:rFonts w:ascii="Times New Roman" w:hAnsi="Times New Roman" w:cs="Times New Roman"/>
                <w:i/>
                <w:lang w:val="lt-LT"/>
              </w:rPr>
              <w:t>Hospitlizacija dėl širdies funkcijos sutrikimo</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3,2</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3,5</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0,88 (0,70-1,10)</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0,25</w:t>
            </w:r>
          </w:p>
        </w:tc>
      </w:tr>
      <w:tr w:rsidR="004C35E7" w:rsidRPr="00B308ED" w:rsidTr="00B7109A">
        <w:tc>
          <w:tcPr>
            <w:tcW w:w="3181" w:type="dxa"/>
            <w:tcBorders>
              <w:left w:val="single" w:sz="4" w:space="0" w:color="000000"/>
              <w:bottom w:val="single" w:sz="4" w:space="0" w:color="000000"/>
            </w:tcBorders>
          </w:tcPr>
          <w:p w:rsidR="004C35E7" w:rsidRPr="00B308ED" w:rsidRDefault="004C35E7" w:rsidP="00B7109A">
            <w:pPr>
              <w:snapToGrid w:val="0"/>
              <w:spacing w:after="0" w:line="240" w:lineRule="auto"/>
              <w:ind w:left="273"/>
              <w:rPr>
                <w:rFonts w:ascii="Times New Roman" w:hAnsi="Times New Roman" w:cs="Times New Roman"/>
                <w:i/>
                <w:lang w:val="lt-LT"/>
              </w:rPr>
            </w:pPr>
            <w:r w:rsidRPr="00B308ED">
              <w:rPr>
                <w:rFonts w:ascii="Times New Roman" w:hAnsi="Times New Roman" w:cs="Times New Roman"/>
                <w:i/>
                <w:lang w:val="lt-LT"/>
              </w:rPr>
              <w:t>Komplikacijos dėl cukrinio diabeto</w:t>
            </w:r>
          </w:p>
        </w:tc>
        <w:tc>
          <w:tcPr>
            <w:tcW w:w="1387"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6,4</w:t>
            </w:r>
          </w:p>
        </w:tc>
        <w:tc>
          <w:tcPr>
            <w:tcW w:w="996"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7,6</w:t>
            </w:r>
          </w:p>
        </w:tc>
        <w:tc>
          <w:tcPr>
            <w:tcW w:w="2469" w:type="dxa"/>
            <w:tcBorders>
              <w:left w:val="single" w:sz="4" w:space="0" w:color="000000"/>
              <w:bottom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0,84 (0,72-0,98)</w:t>
            </w:r>
          </w:p>
        </w:tc>
        <w:tc>
          <w:tcPr>
            <w:tcW w:w="967" w:type="dxa"/>
            <w:tcBorders>
              <w:left w:val="single" w:sz="4" w:space="0" w:color="000000"/>
              <w:bottom w:val="single" w:sz="4" w:space="0" w:color="000000"/>
              <w:right w:val="single" w:sz="4" w:space="0" w:color="000000"/>
            </w:tcBorders>
          </w:tcPr>
          <w:p w:rsidR="004C35E7" w:rsidRPr="00B308ED" w:rsidRDefault="004C35E7" w:rsidP="00B7109A">
            <w:pPr>
              <w:snapToGrid w:val="0"/>
              <w:spacing w:after="0" w:line="240" w:lineRule="auto"/>
              <w:jc w:val="both"/>
              <w:rPr>
                <w:rFonts w:ascii="Times New Roman" w:hAnsi="Times New Roman" w:cs="Times New Roman"/>
                <w:i/>
                <w:lang w:val="lt-LT"/>
              </w:rPr>
            </w:pPr>
            <w:r w:rsidRPr="00B308ED">
              <w:rPr>
                <w:rFonts w:ascii="Times New Roman" w:hAnsi="Times New Roman" w:cs="Times New Roman"/>
                <w:i/>
                <w:lang w:val="lt-LT"/>
              </w:rPr>
              <w:t>0,03</w:t>
            </w:r>
          </w:p>
        </w:tc>
      </w:tr>
    </w:tbl>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MICRO-HOPE tyrimo (iš anksto apibrėžtos HOPE tyrimo dalies) metu, 3 577 pacientams, kurių amžius ≥ 55 (be viršutinės amžiaus ribos), sergantiems 2 tipo diabetu (su dar bent vienu širdies ir kraujagyslių sistemos rizikos veiksniu), kurių kraujospūdis normalus arba padidėjęs, buvo tiriamas 10 mg ramiprilio dozės, vartojamos esamo gydymo režimo metu, poveikis, lyginant su placebo.</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Pirminės analizės metu nustatyta, kad 117 (6,5 %) vartojusių ramiprilį ir 149 (8,4 %) vartojusiems placebo dalyviams išsivystė aiški nefropatija, tai atitinka 24 % SRS (santykinės rizikos sumažėjimas), 95 % PI [3-40], p = 0,027.</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REIN tyrimas, multicentrinis randomizuotas, dvigubai koduotas paralelinių grupių, placebu kontroliuojamas tyrimas, kurio tikslas – įvertinti ramiprilio poveikį glomerulų filtracijos greičio (GFG) sumažėjimo dažniui. Tyrime dalyvavo 352 pacientai (18</w:t>
      </w:r>
      <w:r w:rsidRPr="00B308ED">
        <w:rPr>
          <w:rFonts w:ascii="Times New Roman" w:hAnsi="Times New Roman" w:cs="Times New Roman"/>
          <w:lang w:val="lt-LT"/>
        </w:rPr>
        <w:noBreakHyphen/>
        <w:t>70 metų amžiaus), kurių kraujospūdis normalus arba padidėjęs, sergantys lengva (t. y. vidutinė baltymų ekskrecija iš šlapimo &gt; 1 ir &lt; 3 g/24 val) arba sunkia proteinurija (≥ 3 g/24 val) dėl ne cukrinio diabeto sukeltos nefropatijos. Abi subpopuliacijos buvo prospektyviai stratifikuotos.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Pagrindinis pacientų su sunkiausia proteinurija (grupė anksčiau išskaidyta dėl teigiamo poveikio ramiprilio grupėje) tyrimas parodė, kad vidutinis GFG pažeidimas per mėnesį buvo mažesnis ramiprilį vartojusių pacientų tarpe, lyginant su placebo; -0,54 (0,66) lyginant su -0,88 (1,03) ml/min/mėnesį, p = 0,038. Taigi skirtumas tarp grupių buvo 0,34 [0,03-0,65] per mėnesį, ir apie 4 ml/min/metus; 23,1 % ramiprilio grupės pacientų pasiekta antrinė vertinamoji baigtis buvo pradinės kreatinino koncentracijos serume padvigubėjimas ir (arba) galutinės stadijos inkstų liga (angl. ESRD) (būtina dializė arba inksto transplantacija) lyginant su 45,5 % placebo grupės pacientų (p=0,02).</w:t>
      </w:r>
    </w:p>
    <w:p w:rsidR="004C35E7" w:rsidRPr="00B308ED" w:rsidRDefault="004C35E7" w:rsidP="004C35E7">
      <w:pPr>
        <w:spacing w:after="0" w:line="240" w:lineRule="auto"/>
        <w:rPr>
          <w:rFonts w:ascii="Times New Roman" w:hAnsi="Times New Roman" w:cs="Times New Roman"/>
          <w:i/>
          <w:iCs/>
          <w:lang w:val="lt-LT"/>
        </w:rPr>
      </w:pPr>
    </w:p>
    <w:p w:rsidR="004C35E7" w:rsidRPr="00B308ED" w:rsidRDefault="004C35E7" w:rsidP="004C35E7">
      <w:pPr>
        <w:spacing w:after="0" w:line="240" w:lineRule="auto"/>
        <w:rPr>
          <w:rFonts w:ascii="Times New Roman" w:hAnsi="Times New Roman" w:cs="Times New Roman"/>
          <w:i/>
          <w:iCs/>
          <w:lang w:val="lt-LT"/>
        </w:rPr>
      </w:pPr>
      <w:r w:rsidRPr="00B308ED">
        <w:rPr>
          <w:rFonts w:ascii="Times New Roman" w:hAnsi="Times New Roman" w:cs="Times New Roman"/>
          <w:i/>
          <w:iCs/>
          <w:lang w:val="lt-LT"/>
        </w:rPr>
        <w:t>Dviguba renino-angiotenzino-aldosterono sistemos (RAAS) blokada</w:t>
      </w: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lang w:val="lt-LT"/>
        </w:rPr>
        <w:t xml:space="preserve">Dviem dideliais atsitiktinės atrankos, kontroliuojamais tyrimais (ONTARGET (angl. </w:t>
      </w:r>
      <w:r w:rsidRPr="00B66017">
        <w:rPr>
          <w:rFonts w:ascii="Times New Roman" w:hAnsi="Times New Roman" w:cs="Times New Roman"/>
          <w:i/>
          <w:lang w:val="lt-LT"/>
        </w:rPr>
        <w:t>ONgoing Telmisartan Alone and in combination with Ramipril Global Endpoint Trial</w:t>
      </w:r>
      <w:r w:rsidRPr="00B308ED">
        <w:rPr>
          <w:rFonts w:ascii="Times New Roman" w:hAnsi="Times New Roman" w:cs="Times New Roman"/>
          <w:lang w:val="lt-LT"/>
        </w:rPr>
        <w:t xml:space="preserve">) ir VA NEPHRON-D (angl. </w:t>
      </w:r>
      <w:r w:rsidRPr="00B66017">
        <w:rPr>
          <w:rFonts w:ascii="Times New Roman" w:hAnsi="Times New Roman" w:cs="Times New Roman"/>
          <w:i/>
          <w:lang w:val="lt-LT"/>
        </w:rPr>
        <w:t>The Veterans Affairs Nephropathy in Diabetes</w:t>
      </w:r>
      <w:r w:rsidRPr="00B308ED">
        <w:rPr>
          <w:rFonts w:ascii="Times New Roman" w:hAnsi="Times New Roman" w:cs="Times New Roman"/>
          <w:lang w:val="lt-LT"/>
        </w:rPr>
        <w:t>)) buvo ištirtas AKF inhibitoriaus ir angiotenzino II receptorių blokatoriaus derinio vartojimas.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lang w:val="lt-LT"/>
        </w:rPr>
        <w:t>Todėl pacientams, sergantiems diabetine nefropatija, negalima kartu vartoti AKF inhibitorių ir angiotenzino II receptorių blokatorių.</w:t>
      </w: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lang w:val="lt-LT"/>
        </w:rPr>
        <w:t xml:space="preserve">ALTITUDE (angl. </w:t>
      </w:r>
      <w:r w:rsidRPr="00B66017">
        <w:rPr>
          <w:rFonts w:ascii="Times New Roman" w:hAnsi="Times New Roman" w:cs="Times New Roman"/>
          <w:i/>
          <w:lang w:val="lt-LT"/>
        </w:rPr>
        <w:t>Aliskiren Trial in Type 2 Diabetes Using Cardiovascular and Renal Disease Endpoints</w:t>
      </w:r>
      <w:r w:rsidRPr="00B308ED">
        <w:rPr>
          <w:rFonts w:ascii="Times New Roman" w:hAnsi="Times New Roman" w:cs="Times New Roman"/>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Antrinė prevencija po ūminio miokardo infarkto</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AIRE tyrime dalyvavo daugiau kaip 2000 pacientų, su praeinančiais arba pastoviais klinikinio širdies funkcijos nepakankamumo požymiais, po užfiksuoto miokardo infarkto. Gydymas ramipriliu pradėtas 3</w:t>
      </w:r>
      <w:r w:rsidRPr="00B308ED">
        <w:rPr>
          <w:rFonts w:ascii="Times New Roman" w:hAnsi="Times New Roman" w:cs="Times New Roman"/>
          <w:lang w:val="lt-LT"/>
        </w:rPr>
        <w:noBreakHyphen/>
        <w:t>10 dieną po ūminio miokardo infarkto. Tyrimo metu parodyta, kad mirštamumas per sekančius 15 mėnesių ramipriliu gydytų pacientų tarpe buvo 16,9 %, placebu gydytų pacientų tarpe – 22,6 %. Tai rodo absoliutaus mirštamumo sumažėjimą 5,7 % ir santykinės rizikos sumažėjimą 27 % (95 % PI [11-40 %]).</w:t>
      </w:r>
    </w:p>
    <w:p w:rsidR="004C35E7" w:rsidRPr="00B308ED" w:rsidRDefault="004C35E7" w:rsidP="004C35E7">
      <w:pPr>
        <w:spacing w:after="0" w:line="240" w:lineRule="auto"/>
        <w:rPr>
          <w:rFonts w:ascii="Times New Roman" w:hAnsi="Times New Roman" w:cs="Times New Roman"/>
          <w:lang w:val="lt-LT"/>
        </w:rPr>
      </w:pPr>
    </w:p>
    <w:p w:rsidR="004C35E7" w:rsidRPr="007B7EDF" w:rsidRDefault="004C35E7" w:rsidP="004C35E7">
      <w:pPr>
        <w:autoSpaceDE w:val="0"/>
        <w:autoSpaceDN w:val="0"/>
        <w:adjustRightInd w:val="0"/>
        <w:spacing w:after="0" w:line="240" w:lineRule="auto"/>
        <w:rPr>
          <w:rFonts w:ascii="Times New Roman" w:hAnsi="Times New Roman" w:cs="Times New Roman"/>
          <w:iCs/>
          <w:u w:val="single"/>
          <w:lang w:val="lt-LT"/>
        </w:rPr>
      </w:pPr>
      <w:r w:rsidRPr="007B7EDF">
        <w:rPr>
          <w:rFonts w:ascii="Times New Roman" w:hAnsi="Times New Roman" w:cs="Times New Roman"/>
          <w:iCs/>
          <w:u w:val="single"/>
          <w:lang w:val="lt-LT"/>
        </w:rPr>
        <w:t>Vaikų populiacija</w:t>
      </w:r>
    </w:p>
    <w:p w:rsidR="004C35E7" w:rsidRPr="00B308ED" w:rsidRDefault="004C35E7" w:rsidP="004C35E7">
      <w:pPr>
        <w:autoSpaceDE w:val="0"/>
        <w:autoSpaceDN w:val="0"/>
        <w:adjustRightInd w:val="0"/>
        <w:spacing w:after="0" w:line="240" w:lineRule="auto"/>
        <w:rPr>
          <w:rFonts w:ascii="Times New Roman" w:hAnsi="Times New Roman" w:cs="Times New Roman"/>
          <w:color w:val="000000"/>
          <w:lang w:val="lt-LT"/>
        </w:rPr>
      </w:pPr>
    </w:p>
    <w:p w:rsidR="004C35E7" w:rsidRPr="00B308ED" w:rsidRDefault="004C35E7" w:rsidP="004C35E7">
      <w:pPr>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Atsitiktinių imčių dvigubai koduotuose placebu kontroliuojamuose klinikiniuose tyrimuose dalyvavo 244 vaikai (6</w:t>
      </w:r>
      <w:r w:rsidRPr="00B308ED">
        <w:rPr>
          <w:rFonts w:ascii="Times New Roman" w:hAnsi="Times New Roman" w:cs="Times New Roman"/>
          <w:color w:val="000000"/>
          <w:lang w:val="lt-LT"/>
        </w:rPr>
        <w:noBreakHyphen/>
        <w:t>16 metų), kuriems buvo diagnozuota hipertenzija (73 % pirminė hipertenzija), kurie vartojo mažą, vidutinę arba didelę ramiprilio dozę, kad būtų pasiektos ramiprilato koncentracijos plazmoje, atitinkančios suaugusiųjų dozes, vartojant 1,25 mg, 5 mg ir 20 mg dozes, atsižvelgiant į kūno masę. Ketvirtos savaitės pabaigoje ramiprilis buvo neveiksmingas pagal sistolinio kraujospūdžio mažinimo vertinamąją baigtį, bet mažino kraujospūdį vartojant didžiausią dozę. Ir vidutinė, ir didelė ramiprilio dozės reikšmingai mažino ir sistolinį, ir diastolinį kraujospūdį vaikams, kuriems buvo diagnozuota hipertenzija.</w:t>
      </w:r>
    </w:p>
    <w:p w:rsidR="004C35E7" w:rsidRPr="00B308ED" w:rsidRDefault="004C35E7" w:rsidP="004C35E7">
      <w:pPr>
        <w:autoSpaceDE w:val="0"/>
        <w:autoSpaceDN w:val="0"/>
        <w:adjustRightInd w:val="0"/>
        <w:spacing w:after="0" w:line="240" w:lineRule="auto"/>
        <w:rPr>
          <w:rFonts w:ascii="Times New Roman" w:hAnsi="Times New Roman" w:cs="Times New Roman"/>
          <w:color w:val="000000"/>
          <w:lang w:val="lt-LT"/>
        </w:rPr>
      </w:pPr>
    </w:p>
    <w:p w:rsidR="004C35E7" w:rsidRPr="00B308ED" w:rsidRDefault="004C35E7" w:rsidP="004C35E7">
      <w:pPr>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Tokio poveikio nepastebėta 4 savaičių dozės didinimo atsitiktinių imčių dvigubai koduotame vaistinio preparato vartojimo nutraukimo tyrime, kuriame dalyvavo 218 vaikų (6</w:t>
      </w:r>
      <w:r w:rsidRPr="00B308ED">
        <w:rPr>
          <w:rFonts w:ascii="Times New Roman" w:hAnsi="Times New Roman" w:cs="Times New Roman"/>
          <w:color w:val="000000"/>
          <w:lang w:val="lt-LT"/>
        </w:rPr>
        <w:noBreakHyphen/>
        <w:t>16 metų, 75 % pirminė hipertenzija), kuriems pasireiškė vidutinio dydžio, bet ne statistiškai reikšminga ir diastolinio, ir sistolinio kraujospūdžio atoveiksmio reakcija iki pradinio lygmens, vartojant visų trijų dydžių tirtas ramiprilio dozes (mažą dozę (0,625 mg</w:t>
      </w:r>
      <w:r w:rsidRPr="00B308ED">
        <w:rPr>
          <w:rFonts w:ascii="Times New Roman" w:hAnsi="Times New Roman" w:cs="Times New Roman"/>
          <w:color w:val="000000"/>
          <w:lang w:val="lt-LT"/>
        </w:rPr>
        <w:noBreakHyphen/>
        <w:t>2,5 mg), vidutinė dozę (2,5 mg</w:t>
      </w:r>
      <w:r w:rsidRPr="00B308ED">
        <w:rPr>
          <w:rFonts w:ascii="Times New Roman" w:hAnsi="Times New Roman" w:cs="Times New Roman"/>
          <w:color w:val="000000"/>
          <w:lang w:val="lt-LT"/>
        </w:rPr>
        <w:noBreakHyphen/>
        <w:t>10 mg) arba didelę dozę (5 mg</w:t>
      </w:r>
      <w:r w:rsidRPr="00B308ED">
        <w:rPr>
          <w:rFonts w:ascii="Times New Roman" w:hAnsi="Times New Roman" w:cs="Times New Roman"/>
          <w:color w:val="000000"/>
          <w:lang w:val="lt-LT"/>
        </w:rPr>
        <w:noBreakHyphen/>
        <w:t>20 mg)), atsižvelgiant į kūno masę. Tirtoje vaikų populiacijoje linijinio atsako į ramiprilio dozę nebuvo.</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PI-2EMEASMCA"/>
      </w:pPr>
      <w:r w:rsidRPr="00B308ED">
        <w:t>5.2</w:t>
      </w:r>
      <w:r w:rsidRPr="00B308ED">
        <w:tab/>
        <w:t>Farmakokinetinės savybės</w:t>
      </w:r>
    </w:p>
    <w:p w:rsidR="004C35E7" w:rsidRPr="00B308ED" w:rsidRDefault="004C35E7" w:rsidP="004C35E7">
      <w:pPr>
        <w:pStyle w:val="BTEMEASMCA"/>
        <w:rPr>
          <w:u w:val="single"/>
        </w:rPr>
      </w:pPr>
    </w:p>
    <w:p w:rsidR="004C35E7" w:rsidRPr="00B308ED" w:rsidRDefault="004C35E7" w:rsidP="004C35E7">
      <w:pPr>
        <w:pStyle w:val="BTEMEASMCA"/>
        <w:rPr>
          <w:u w:val="single"/>
        </w:rPr>
      </w:pPr>
      <w:r w:rsidRPr="00B308ED">
        <w:rPr>
          <w:u w:val="single"/>
        </w:rPr>
        <w:t>Absorbcija</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 xml:space="preserve">Išgertas ramiprilis greitai absorbuojamas iš virškinimo trakto: didžiausia ramiprilio koncentracija kraujo plazmoje pasiekiama per vieną valandą. Remiantis išskyrimu su šlapimu, absorbcijos lygis yra mažiausiai 56 %, maistas virškinimo trakte žymios įtakos neturi. Aktyvaus metabolito ramiprilato biologinis prieinamumas išgėrus 2,5 mg ir 5 mg ramiprilio, yra 45 %. </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Didžiausia ramiprilato, kuris yra vienintelis aktyvus ramiprilio metabolitas, koncentracija plazmoje atsiranda per 2</w:t>
      </w:r>
      <w:r w:rsidRPr="00B308ED">
        <w:rPr>
          <w:rFonts w:ascii="Times New Roman" w:hAnsi="Times New Roman" w:cs="Times New Roman"/>
          <w:lang w:val="lt-LT"/>
        </w:rPr>
        <w:noBreakHyphen/>
        <w:t>4 valandas išgėrus ramiprilio. Pusiausvyrinė ramiprilato koncentracija plazmoje pasiekiama per 4 gydymo dienas, vartojant įprastas ramiprilio dozes vieną kartą per parą.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Pasiskirstymas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Su baltymais susijungia maždaug 73 % ramiprilio bei maždaug 56 % ramiprilato.</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t>Biotransformacija</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Ramiprilis beveik visiškai yra metabolizuojamas į ramiprilatą bei į diketopiperazino esterį, diketopiperazino rūgštį ir ramiprilio ir ramiprilato gliukoronidus.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keepNext/>
        <w:keepLines/>
        <w:spacing w:after="0" w:line="240" w:lineRule="auto"/>
        <w:rPr>
          <w:rFonts w:ascii="Times New Roman" w:hAnsi="Times New Roman" w:cs="Times New Roman"/>
          <w:u w:val="single"/>
          <w:lang w:val="lt-LT"/>
        </w:rPr>
      </w:pPr>
      <w:r w:rsidRPr="00B308ED">
        <w:rPr>
          <w:rFonts w:ascii="Times New Roman" w:hAnsi="Times New Roman" w:cs="Times New Roman"/>
          <w:u w:val="single"/>
          <w:lang w:val="lt-LT"/>
        </w:rPr>
        <w:lastRenderedPageBreak/>
        <w:t>Eliminacija</w:t>
      </w:r>
    </w:p>
    <w:p w:rsidR="004C35E7" w:rsidRPr="00B308ED" w:rsidRDefault="004C35E7" w:rsidP="004C35E7">
      <w:pPr>
        <w:pStyle w:val="BTEMEASMCA"/>
        <w:keepNext/>
        <w:keepLines/>
      </w:pPr>
      <w:r w:rsidRPr="00B308ED">
        <w:t>Metabolitų šalinimas pirmiausiai vyksta per inkstus.</w:t>
      </w: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 xml:space="preserve">Ramiprilato koncentracija plazmoje mažėja per keletą fazių. Kai koncentracija kraujo plazmoje labai maža, galutinė ramiprilato eliminacijos fazė yra ilga, dėl stipraus, įsotinto susijungimo su AKF ir lėtos disociacijos nuo fermento. </w:t>
      </w: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Kartotinai vieną kartą per parą vartojant 5</w:t>
      </w:r>
      <w:r w:rsidRPr="00B308ED">
        <w:rPr>
          <w:rFonts w:ascii="Times New Roman" w:hAnsi="Times New Roman" w:cs="Times New Roman"/>
          <w:lang w:val="lt-LT"/>
        </w:rPr>
        <w:noBreakHyphen/>
        <w:t>10 mg ramiprilio dozes, efektyvusis pusinės eliminacijos laikas yra 13</w:t>
      </w:r>
      <w:r w:rsidRPr="00B308ED">
        <w:rPr>
          <w:rFonts w:ascii="Times New Roman" w:hAnsi="Times New Roman" w:cs="Times New Roman"/>
          <w:lang w:val="lt-LT"/>
        </w:rPr>
        <w:noBreakHyphen/>
        <w:t>17 valandų, vartojant mažesnes dozes (1,25-2,5 mg), jis būna ilgesnis. Šis skirtumas susijęs su fermento savybe iki įsotinimo surišti ramiprilatą.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Pacientai, kurių inkstų funkcija sutrikusi (žr. 4.2 skyrių)</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Pacientams, kurių inkstų funkcija sutrikusi, ramiprilato šalinimas per inkstus lėtėja, inkstinis ramiprilato klirensas yra proporcingai susijęs su kreatinino klirensu. Todėl ramiprilato koncentracija kraujo plazmoje būna didesnė ir mažėja lėčiau nei pacientų, kurių inkstų funkcija normali.</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Pacientai, kurių kepenų funkcija sutrikusi (žr. 4.2 skyrių)</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Pacientų, kurių kepenų funkcija sutrikusi, ramiprilio virtimas ramiprilatu lėtėja, dėl mažesnio kepenų esterazių aktyvumo, todėl ramiprilio koncentracija plazmoje padidėja. Tačiau didžiausia ramiprilato koncentracija plazmoje šių pacientų tarpe nesiskiria nuo pacientų su normalia kepenų funkcija.</w:t>
      </w:r>
    </w:p>
    <w:p w:rsidR="004C35E7" w:rsidRPr="00B308ED" w:rsidRDefault="004C35E7" w:rsidP="004C35E7">
      <w:pPr>
        <w:pStyle w:val="BTEMEASMCA"/>
      </w:pPr>
    </w:p>
    <w:p w:rsidR="004C35E7" w:rsidRPr="00B308ED" w:rsidRDefault="004C35E7" w:rsidP="004C35E7">
      <w:pPr>
        <w:pStyle w:val="BTEMEASMCA"/>
        <w:rPr>
          <w:i/>
        </w:rPr>
      </w:pPr>
      <w:r w:rsidRPr="00B308ED">
        <w:rPr>
          <w:i/>
        </w:rPr>
        <w:t>Laktacija</w:t>
      </w:r>
    </w:p>
    <w:p w:rsidR="004C35E7" w:rsidRPr="00B308ED" w:rsidRDefault="004C35E7" w:rsidP="004C35E7">
      <w:pPr>
        <w:pStyle w:val="BTEMEASMCA"/>
      </w:pPr>
      <w:r w:rsidRPr="00B308ED">
        <w:t xml:space="preserve">Pavartojus vienkartinę ramiprilio dozę, ramiprilio ir jo metabolitų motinos piene neaptinkama. Tačiau daugkartinių dozių poveikis nežinomas. </w:t>
      </w:r>
    </w:p>
    <w:p w:rsidR="004C35E7" w:rsidRPr="00B308ED" w:rsidRDefault="004C35E7" w:rsidP="004C35E7">
      <w:pPr>
        <w:pStyle w:val="PI-2EMEASMCA"/>
      </w:pPr>
    </w:p>
    <w:p w:rsidR="004C35E7" w:rsidRPr="00B308ED" w:rsidRDefault="004C35E7" w:rsidP="004C35E7">
      <w:pPr>
        <w:autoSpaceDE w:val="0"/>
        <w:autoSpaceDN w:val="0"/>
        <w:adjustRightInd w:val="0"/>
        <w:spacing w:after="0" w:line="240" w:lineRule="auto"/>
        <w:rPr>
          <w:rFonts w:ascii="Times New Roman" w:hAnsi="Times New Roman" w:cs="Times New Roman"/>
          <w:i/>
          <w:iCs/>
          <w:color w:val="000000"/>
          <w:lang w:val="lt-LT"/>
        </w:rPr>
      </w:pPr>
      <w:r w:rsidRPr="00B308ED">
        <w:rPr>
          <w:rFonts w:ascii="Times New Roman" w:hAnsi="Times New Roman" w:cs="Times New Roman"/>
          <w:i/>
          <w:iCs/>
          <w:color w:val="000000"/>
          <w:lang w:val="lt-LT"/>
        </w:rPr>
        <w:t>Vaikų populiacija</w:t>
      </w:r>
    </w:p>
    <w:p w:rsidR="004C35E7" w:rsidRPr="00B308ED" w:rsidRDefault="004C35E7" w:rsidP="004C35E7">
      <w:pPr>
        <w:tabs>
          <w:tab w:val="left" w:pos="7080"/>
        </w:tabs>
        <w:autoSpaceDE w:val="0"/>
        <w:autoSpaceDN w:val="0"/>
        <w:adjustRightInd w:val="0"/>
        <w:spacing w:after="0" w:line="240" w:lineRule="auto"/>
        <w:rPr>
          <w:rFonts w:ascii="Times New Roman" w:hAnsi="Times New Roman" w:cs="Times New Roman"/>
          <w:color w:val="000000"/>
          <w:lang w:val="lt-LT"/>
        </w:rPr>
      </w:pPr>
      <w:r w:rsidRPr="00B308ED">
        <w:rPr>
          <w:rFonts w:ascii="Times New Roman" w:hAnsi="Times New Roman" w:cs="Times New Roman"/>
          <w:color w:val="000000"/>
          <w:lang w:val="lt-LT"/>
        </w:rPr>
        <w:t>Buvo tirtos ramiprilio farmakokinetinės savybės 30 vaikų (2</w:t>
      </w:r>
      <w:r w:rsidRPr="00B308ED">
        <w:rPr>
          <w:rFonts w:ascii="Times New Roman" w:hAnsi="Times New Roman" w:cs="Times New Roman"/>
          <w:color w:val="000000"/>
          <w:lang w:val="lt-LT"/>
        </w:rPr>
        <w:noBreakHyphen/>
        <w:t xml:space="preserve">16 metų, kurių kūno masė </w:t>
      </w:r>
      <w:r w:rsidRPr="00B308ED">
        <w:rPr>
          <w:rFonts w:ascii="Times New Roman" w:hAnsi="Times New Roman" w:cs="Times New Roman"/>
          <w:color w:val="000000"/>
          <w:u w:val="single"/>
          <w:lang w:val="lt-LT"/>
        </w:rPr>
        <w:t>&gt; </w:t>
      </w:r>
      <w:r w:rsidRPr="00B308ED">
        <w:rPr>
          <w:rFonts w:ascii="Times New Roman" w:hAnsi="Times New Roman" w:cs="Times New Roman"/>
          <w:color w:val="000000"/>
          <w:lang w:val="lt-LT"/>
        </w:rPr>
        <w:t>10 kg), kuriems buvo diagnozuota hipertenzija, organizme. Pavartojus 0,05</w:t>
      </w:r>
      <w:r w:rsidRPr="00B308ED">
        <w:rPr>
          <w:rFonts w:ascii="Times New Roman" w:hAnsi="Times New Roman" w:cs="Times New Roman"/>
          <w:color w:val="000000"/>
          <w:lang w:val="lt-LT"/>
        </w:rPr>
        <w:noBreakHyphen/>
        <w:t>0,2 mg/kg vaistinio preparato dozes, didelė dalis ramiprilio buvo greitai metabolizuojama į ramiprilatą. Didžiausios ramiprilato koncentracijos plazmoje atsirado per 2</w:t>
      </w:r>
      <w:r w:rsidRPr="00B308ED">
        <w:rPr>
          <w:rFonts w:ascii="Times New Roman" w:hAnsi="Times New Roman" w:cs="Times New Roman"/>
          <w:color w:val="000000"/>
          <w:lang w:val="lt-LT"/>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rsidR="004C35E7" w:rsidRPr="00B308ED" w:rsidRDefault="004C35E7" w:rsidP="004C35E7">
      <w:pPr>
        <w:pStyle w:val="PI-2EMEASMCA"/>
      </w:pPr>
    </w:p>
    <w:p w:rsidR="004C35E7" w:rsidRPr="00B308ED" w:rsidRDefault="004C35E7" w:rsidP="004C35E7">
      <w:pPr>
        <w:pStyle w:val="PI-2EMEASMCA"/>
      </w:pPr>
      <w:r w:rsidRPr="00B308ED">
        <w:t>5.3</w:t>
      </w:r>
      <w:r w:rsidRPr="00B308ED">
        <w:tab/>
        <w:t>Ikiklinikinių saugumo tyrimų duomenys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 xml:space="preserve">Nustatyta, kad išgėrus ramiprilio, stipraus toksinio poveikio graužikams ir šunims vaistinis preparatas nedaro. Ilgalaikio preparato vartojimo tyrimai atlikti su žiurkėmis, šunimis ir beždžionėmis. 3 rūšims nustatyti elektrolitų koncentracijos plazmoje ir kraujo ląstelių kiekio pakitimai. Kaip farmakodinaminio ramiprilio poveikio išraiška šunims ir beždžionėms ryškiai padidėjo jukstaglomerulinis aparatas, kai paros dozė buvo 250 mg/kg. Žiurkės, šunys ir beždžionės toleravo atitinkamai 2, 2,5 ir 8 mg/kg paros dozes, nepasireiškiant žalingam poveikiui. </w:t>
      </w:r>
      <w:r w:rsidRPr="00B308ED">
        <w:rPr>
          <w:rFonts w:ascii="Times New Roman" w:hAnsi="Times New Roman" w:cs="Times New Roman"/>
          <w:color w:val="000000"/>
          <w:lang w:val="lt-LT"/>
        </w:rPr>
        <w:t>Labai jaunoms žiurkėms pavartojus vienkartinę ramiprilio dozę nustatyta negrįžtamas inkstų pažeidimas.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Su žiurkėmis, triušiais ir beždžionėmis atliktų toksinio poveikio reprodukcijai tyrimų metu teratogeninio poveikio nepastebėta.</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Nepablogėjo nei žiurkių patinų, nei patelių vaisingumas.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Žiurkių, vaikingumo ir žindymo laikotarpiu vartojusių 50 mg/kg kūno svorio arba didesnes dozes, jaunikliams atsirado negrįžtamas inkstų pažeidimas (inkstų geldelių išsiplėtimas).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Plačių mutageniškumo tyrimų, atliktų keliais skirtingais metodais, metu mutageninio ir genotoksinio poveikio ramiprilis nesukėlė.</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keepLines/>
      </w:pPr>
      <w:r w:rsidRPr="00B308ED">
        <w:t>6.</w:t>
      </w:r>
      <w:r w:rsidRPr="00B308ED">
        <w:tab/>
        <w:t>FARMACINĖ INFORMACIJA</w:t>
      </w:r>
    </w:p>
    <w:p w:rsidR="004C35E7" w:rsidRPr="00B308ED" w:rsidRDefault="004C35E7" w:rsidP="004C35E7">
      <w:pPr>
        <w:pStyle w:val="BTEMEASMCA"/>
        <w:keepNext/>
        <w:keepLines/>
      </w:pPr>
    </w:p>
    <w:p w:rsidR="004C35E7" w:rsidRPr="00B308ED" w:rsidRDefault="004C35E7" w:rsidP="004C35E7">
      <w:pPr>
        <w:pStyle w:val="PI-2EMEASMCA"/>
      </w:pPr>
      <w:r w:rsidRPr="00B308ED">
        <w:t>6.1</w:t>
      </w:r>
      <w:r w:rsidRPr="00B308ED">
        <w:tab/>
        <w:t>Pagalbinių medžiagų sąrašas</w:t>
      </w:r>
    </w:p>
    <w:p w:rsidR="004C35E7" w:rsidRPr="00B308ED" w:rsidRDefault="004C35E7" w:rsidP="004C35E7">
      <w:pPr>
        <w:pStyle w:val="BTEMEASMCA"/>
        <w:keepNext/>
        <w:keepLines/>
      </w:pPr>
    </w:p>
    <w:p w:rsidR="004C35E7" w:rsidRPr="00B308ED" w:rsidRDefault="004C35E7" w:rsidP="004C35E7">
      <w:pPr>
        <w:pStyle w:val="BTEMEASMCA"/>
        <w:keepNext/>
        <w:keepLines/>
        <w:rPr>
          <w:i/>
        </w:rPr>
      </w:pPr>
      <w:r w:rsidRPr="00B308ED">
        <w:rPr>
          <w:i/>
        </w:rPr>
        <w:t>2,5 mg tabletės</w:t>
      </w:r>
    </w:p>
    <w:p w:rsidR="004C35E7" w:rsidRPr="00B308ED" w:rsidRDefault="004C35E7" w:rsidP="004C35E7">
      <w:pPr>
        <w:pStyle w:val="BTEMEASMCA"/>
        <w:keepNext/>
        <w:keepLines/>
      </w:pPr>
      <w:r w:rsidRPr="00B308ED">
        <w:t>Hipromeliozė</w:t>
      </w:r>
    </w:p>
    <w:p w:rsidR="004C35E7" w:rsidRPr="00B308ED" w:rsidRDefault="004C35E7" w:rsidP="004C35E7">
      <w:pPr>
        <w:pStyle w:val="BTEMEASMCA"/>
        <w:keepNext/>
        <w:keepLines/>
      </w:pPr>
      <w:r w:rsidRPr="00B308ED">
        <w:t>Pregelifikuotas kukurūzų krakmolas</w:t>
      </w:r>
    </w:p>
    <w:p w:rsidR="004C35E7" w:rsidRPr="00B308ED" w:rsidRDefault="004C35E7" w:rsidP="004C35E7">
      <w:pPr>
        <w:pStyle w:val="BTEMEASMCA"/>
        <w:keepNext/>
        <w:keepLines/>
      </w:pPr>
      <w:r w:rsidRPr="00B308ED">
        <w:t>Mikrokristalinė celiuliozė</w:t>
      </w:r>
    </w:p>
    <w:p w:rsidR="004C35E7" w:rsidRPr="00B308ED" w:rsidRDefault="004C35E7" w:rsidP="004C35E7">
      <w:pPr>
        <w:pStyle w:val="BTEMEASMCA"/>
        <w:keepNext/>
        <w:keepLines/>
      </w:pPr>
      <w:r w:rsidRPr="00B308ED">
        <w:t>Natrio stearilfumaratas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Geltonasis geležies oksidas (E 172)</w:t>
      </w:r>
    </w:p>
    <w:p w:rsidR="004C35E7" w:rsidRPr="00B308ED" w:rsidRDefault="004C35E7" w:rsidP="004C35E7">
      <w:pPr>
        <w:pStyle w:val="BTEMEASMCA"/>
      </w:pPr>
    </w:p>
    <w:p w:rsidR="004C35E7" w:rsidRPr="00B66017" w:rsidRDefault="004C35E7" w:rsidP="004C35E7">
      <w:pPr>
        <w:pStyle w:val="BTEMEASMCA"/>
        <w:rPr>
          <w:i/>
          <w:highlight w:val="lightGray"/>
        </w:rPr>
      </w:pPr>
      <w:r w:rsidRPr="00B66017">
        <w:rPr>
          <w:i/>
          <w:highlight w:val="lightGray"/>
        </w:rPr>
        <w:t>5 mg tabletės</w:t>
      </w:r>
    </w:p>
    <w:p w:rsidR="004C35E7" w:rsidRPr="00B66017" w:rsidRDefault="004C35E7" w:rsidP="004C35E7">
      <w:pPr>
        <w:pStyle w:val="BTEMEASMCA"/>
        <w:rPr>
          <w:highlight w:val="lightGray"/>
        </w:rPr>
      </w:pPr>
      <w:r w:rsidRPr="00B66017">
        <w:rPr>
          <w:highlight w:val="lightGray"/>
        </w:rPr>
        <w:t>Hipromeliozė</w:t>
      </w:r>
    </w:p>
    <w:p w:rsidR="004C35E7" w:rsidRPr="00B66017" w:rsidRDefault="004C35E7" w:rsidP="004C35E7">
      <w:pPr>
        <w:pStyle w:val="BTEMEASMCA"/>
        <w:rPr>
          <w:highlight w:val="lightGray"/>
        </w:rPr>
      </w:pPr>
      <w:r w:rsidRPr="00B66017">
        <w:rPr>
          <w:highlight w:val="lightGray"/>
        </w:rPr>
        <w:t>Pregelifikuotas kukurūzų krakmolas</w:t>
      </w:r>
    </w:p>
    <w:p w:rsidR="004C35E7" w:rsidRPr="00B66017" w:rsidRDefault="004C35E7" w:rsidP="004C35E7">
      <w:pPr>
        <w:pStyle w:val="BTEMEASMCA"/>
        <w:rPr>
          <w:highlight w:val="lightGray"/>
        </w:rPr>
      </w:pPr>
      <w:r w:rsidRPr="00B66017">
        <w:rPr>
          <w:highlight w:val="lightGray"/>
        </w:rPr>
        <w:t>Mikrokristalinė celiuliozė</w:t>
      </w:r>
    </w:p>
    <w:p w:rsidR="004C35E7" w:rsidRPr="00B66017" w:rsidRDefault="004C35E7" w:rsidP="004C35E7">
      <w:pPr>
        <w:pStyle w:val="BTEMEASMCA"/>
        <w:rPr>
          <w:highlight w:val="lightGray"/>
        </w:rPr>
      </w:pPr>
      <w:r w:rsidRPr="00B66017">
        <w:rPr>
          <w:highlight w:val="lightGray"/>
        </w:rPr>
        <w:t>Natrio stearilfumaratas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Raudonasis geležies oksidas (E 172)</w:t>
      </w:r>
    </w:p>
    <w:p w:rsidR="004C35E7" w:rsidRPr="00B66017" w:rsidRDefault="004C35E7" w:rsidP="004C35E7">
      <w:pPr>
        <w:spacing w:after="0" w:line="240" w:lineRule="auto"/>
        <w:rPr>
          <w:rFonts w:ascii="Times New Roman" w:hAnsi="Times New Roman"/>
          <w:highlight w:val="lightGray"/>
          <w:lang w:val="lt-LT"/>
        </w:rPr>
      </w:pPr>
    </w:p>
    <w:p w:rsidR="004C35E7" w:rsidRPr="00B66017" w:rsidRDefault="004C35E7" w:rsidP="004C35E7">
      <w:pPr>
        <w:pStyle w:val="BTEMEASMCA"/>
        <w:rPr>
          <w:i/>
          <w:highlight w:val="lightGray"/>
        </w:rPr>
      </w:pPr>
      <w:r w:rsidRPr="00B66017">
        <w:rPr>
          <w:i/>
          <w:highlight w:val="lightGray"/>
        </w:rPr>
        <w:t>10 mg tabletės</w:t>
      </w:r>
    </w:p>
    <w:p w:rsidR="004C35E7" w:rsidRPr="00B66017" w:rsidRDefault="004C35E7" w:rsidP="004C35E7">
      <w:pPr>
        <w:pStyle w:val="BTEMEASMCA"/>
        <w:rPr>
          <w:highlight w:val="lightGray"/>
        </w:rPr>
      </w:pPr>
      <w:r w:rsidRPr="00B66017">
        <w:rPr>
          <w:highlight w:val="lightGray"/>
        </w:rPr>
        <w:t>Hipromeliozė</w:t>
      </w:r>
    </w:p>
    <w:p w:rsidR="004C35E7" w:rsidRPr="00B66017" w:rsidRDefault="004C35E7" w:rsidP="004C35E7">
      <w:pPr>
        <w:pStyle w:val="BTEMEASMCA"/>
        <w:rPr>
          <w:highlight w:val="lightGray"/>
        </w:rPr>
      </w:pPr>
      <w:r w:rsidRPr="00B66017">
        <w:rPr>
          <w:highlight w:val="lightGray"/>
        </w:rPr>
        <w:t>Pregelifikuotas kukurūzų krakmolas</w:t>
      </w:r>
    </w:p>
    <w:p w:rsidR="004C35E7" w:rsidRPr="00B66017" w:rsidRDefault="004C35E7" w:rsidP="004C35E7">
      <w:pPr>
        <w:pStyle w:val="BTEMEASMCA"/>
        <w:rPr>
          <w:highlight w:val="lightGray"/>
        </w:rPr>
      </w:pPr>
      <w:r w:rsidRPr="00B66017">
        <w:rPr>
          <w:highlight w:val="lightGray"/>
        </w:rPr>
        <w:t>Mikrokristalinė celiuliozė</w:t>
      </w:r>
    </w:p>
    <w:p w:rsidR="004C35E7" w:rsidRPr="00B308ED" w:rsidRDefault="004C35E7" w:rsidP="004C35E7">
      <w:pPr>
        <w:pStyle w:val="BTEMEASMCA"/>
      </w:pPr>
      <w:r w:rsidRPr="00B66017">
        <w:rPr>
          <w:highlight w:val="lightGray"/>
        </w:rPr>
        <w:t>Natrio stearilfumaratas</w:t>
      </w:r>
    </w:p>
    <w:p w:rsidR="004C35E7" w:rsidRPr="00B308ED" w:rsidRDefault="004C35E7" w:rsidP="004C35E7">
      <w:pPr>
        <w:pStyle w:val="BTEMEASMCA"/>
      </w:pPr>
    </w:p>
    <w:p w:rsidR="004C35E7" w:rsidRPr="00B308ED" w:rsidRDefault="004C35E7" w:rsidP="004C35E7">
      <w:pPr>
        <w:pStyle w:val="PI-2EMEASMCA"/>
      </w:pPr>
      <w:r w:rsidRPr="00B308ED">
        <w:t>6.2</w:t>
      </w:r>
      <w:r w:rsidRPr="00B308ED">
        <w:tab/>
        <w:t>Nesuderinamumas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Duomenys nebūtini.</w:t>
      </w:r>
    </w:p>
    <w:p w:rsidR="004C35E7" w:rsidRPr="00B308ED" w:rsidRDefault="004C35E7" w:rsidP="004C35E7">
      <w:pPr>
        <w:pStyle w:val="BTEMEASMCA"/>
      </w:pPr>
    </w:p>
    <w:p w:rsidR="004C35E7" w:rsidRPr="00B308ED" w:rsidRDefault="004C35E7" w:rsidP="004C35E7">
      <w:pPr>
        <w:pStyle w:val="PI-2EMEASMCA"/>
      </w:pPr>
      <w:r w:rsidRPr="00B308ED">
        <w:t>6.3</w:t>
      </w:r>
      <w:r w:rsidRPr="00B308ED">
        <w:tab/>
        <w:t>Tinkamumo laikas</w:t>
      </w:r>
    </w:p>
    <w:p w:rsidR="004C35E7" w:rsidRPr="00B308ED" w:rsidRDefault="004C35E7" w:rsidP="004C35E7">
      <w:pPr>
        <w:pStyle w:val="BTEMEASMCA"/>
      </w:pPr>
    </w:p>
    <w:p w:rsidR="004C35E7" w:rsidRPr="00B308ED" w:rsidRDefault="004C35E7" w:rsidP="004C35E7">
      <w:pPr>
        <w:pStyle w:val="BTEMEASMCA"/>
      </w:pPr>
      <w:r w:rsidRPr="00B308ED">
        <w:t>3 metai.</w:t>
      </w:r>
    </w:p>
    <w:p w:rsidR="004C35E7" w:rsidRPr="00B308ED" w:rsidRDefault="004C35E7" w:rsidP="004C35E7">
      <w:pPr>
        <w:pStyle w:val="BTEMEASMCA"/>
      </w:pPr>
    </w:p>
    <w:p w:rsidR="004C35E7" w:rsidRPr="00B308ED" w:rsidRDefault="004C35E7" w:rsidP="004C35E7">
      <w:pPr>
        <w:pStyle w:val="PI-2EMEASMCA"/>
      </w:pPr>
      <w:r w:rsidRPr="00B308ED">
        <w:t>6.4</w:t>
      </w:r>
      <w:r w:rsidRPr="00B308ED">
        <w:tab/>
        <w:t>Specialios laikymo sąlygos</w:t>
      </w:r>
    </w:p>
    <w:p w:rsidR="004C35E7" w:rsidRPr="00B308ED" w:rsidRDefault="004C35E7" w:rsidP="004C35E7">
      <w:pPr>
        <w:pStyle w:val="BTEMEASMCA"/>
      </w:pPr>
    </w:p>
    <w:p w:rsidR="004C35E7" w:rsidRPr="00B308ED" w:rsidRDefault="004C35E7" w:rsidP="004C35E7">
      <w:pPr>
        <w:pStyle w:val="BTEMEASMCA"/>
      </w:pPr>
      <w:r w:rsidRPr="00B308ED">
        <w:t>Šiam vaistiniam preparatui specialių laikymo sąlygų nereikia.</w:t>
      </w:r>
    </w:p>
    <w:p w:rsidR="004C35E7" w:rsidRPr="00B308ED" w:rsidRDefault="004C35E7" w:rsidP="004C35E7">
      <w:pPr>
        <w:pStyle w:val="BTEMEASMCA"/>
      </w:pPr>
    </w:p>
    <w:p w:rsidR="004C35E7" w:rsidRPr="00B308ED" w:rsidRDefault="004C35E7" w:rsidP="004C35E7">
      <w:pPr>
        <w:pStyle w:val="PI-2EMEASMCA"/>
      </w:pPr>
      <w:r w:rsidRPr="00B308ED">
        <w:t>6.5</w:t>
      </w:r>
      <w:r w:rsidRPr="00B308ED">
        <w:tab/>
        <w:t>Talpyklės pobūdis ir jos turinys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2,5 mg tabletės PVC ir aliuminio lizdinėje plokštelėje po 7, 10, 14, 15, 18, 20, 28, 30, 45, 50, 60, 90, 98, 99, 100, 300, 320, 500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5 mg tabletės PVC ir aliuminio lizdinėje plokštelėje po 10, 14, 15, 18, 20, 21, 28, 30, 45, 50, 56, 90, 98, 99, 100, 300, 320, 500 tablečių.</w:t>
      </w:r>
    </w:p>
    <w:p w:rsidR="004C35E7" w:rsidRPr="00B308ED" w:rsidRDefault="004C35E7" w:rsidP="004C35E7">
      <w:pPr>
        <w:spacing w:after="0" w:line="240" w:lineRule="auto"/>
        <w:rPr>
          <w:rFonts w:ascii="Times New Roman" w:hAnsi="Times New Roman"/>
          <w:lang w:val="lt-LT"/>
        </w:rPr>
      </w:pPr>
      <w:r w:rsidRPr="00B66017">
        <w:rPr>
          <w:rFonts w:ascii="Times New Roman" w:hAnsi="Times New Roman"/>
          <w:highlight w:val="lightGray"/>
          <w:lang w:val="lt-LT"/>
        </w:rPr>
        <w:t>10 mg tabletės PVC ir aliuminio lizdinėje plokštelėje po 7, 10, 14, 15, 18, 20, 28, 30, 45, 50, 56, 90, 98, 99, 100, 300, 320, 500 tablečių.</w:t>
      </w:r>
    </w:p>
    <w:p w:rsidR="004C35E7" w:rsidRPr="00B308ED" w:rsidRDefault="004C35E7" w:rsidP="004C35E7">
      <w:pPr>
        <w:pStyle w:val="BTEMEASMCA"/>
      </w:pPr>
    </w:p>
    <w:p w:rsidR="004C35E7" w:rsidRPr="00B308ED" w:rsidRDefault="004C35E7" w:rsidP="004C35E7">
      <w:pPr>
        <w:pStyle w:val="BTEMEASMCA"/>
      </w:pPr>
      <w:r w:rsidRPr="00B308ED">
        <w:t>Gali būti tiekiamos ne visų dydžių pakuotės.</w:t>
      </w:r>
    </w:p>
    <w:p w:rsidR="004C35E7" w:rsidRPr="00B308ED" w:rsidRDefault="004C35E7" w:rsidP="004C35E7">
      <w:pPr>
        <w:pStyle w:val="BTEMEASMCA"/>
      </w:pPr>
    </w:p>
    <w:p w:rsidR="004C35E7" w:rsidRPr="00B308ED" w:rsidRDefault="004C35E7" w:rsidP="004C35E7">
      <w:pPr>
        <w:pStyle w:val="PI-2EMEASMCA"/>
      </w:pPr>
      <w:r w:rsidRPr="00B308ED">
        <w:t>6.6</w:t>
      </w:r>
      <w:r w:rsidRPr="00B308ED">
        <w:tab/>
        <w:t>Specialūs reikalavimai atliekoms tvarkyti</w:t>
      </w:r>
    </w:p>
    <w:p w:rsidR="004C35E7" w:rsidRPr="00B308ED" w:rsidRDefault="004C35E7" w:rsidP="004C35E7">
      <w:pPr>
        <w:pStyle w:val="BTEMEASMCA"/>
      </w:pPr>
    </w:p>
    <w:p w:rsidR="004C35E7" w:rsidRPr="00B308ED" w:rsidRDefault="004C35E7" w:rsidP="004C35E7">
      <w:pPr>
        <w:pStyle w:val="BTEMEASMCA"/>
      </w:pPr>
      <w:r w:rsidRPr="00B308ED">
        <w:lastRenderedPageBreak/>
        <w:t>Nesuvartotą vaistinį preparatą ar atliekas reikia tvarkyti laikantis vietinių reikalavimų.</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keepLines/>
      </w:pPr>
      <w:r w:rsidRPr="00B308ED">
        <w:t>7.</w:t>
      </w:r>
      <w:r w:rsidRPr="00B308ED">
        <w:tab/>
        <w:t>REGISTRUOTOJAS</w:t>
      </w:r>
    </w:p>
    <w:p w:rsidR="004C35E7" w:rsidRPr="00B308ED" w:rsidRDefault="004C35E7" w:rsidP="004C35E7">
      <w:pPr>
        <w:pStyle w:val="BTEMEASMCA"/>
        <w:keepNext/>
        <w:keepLines/>
      </w:pP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 xml:space="preserve">UAB „SANOFI-AVENTIS LIETUVA” </w:t>
      </w: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 xml:space="preserve">A.Juozapavičiaus g. 6/2 </w:t>
      </w: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 xml:space="preserve">LT-09310 Vilnius </w:t>
      </w:r>
    </w:p>
    <w:p w:rsidR="004C35E7" w:rsidRPr="00B308ED" w:rsidRDefault="004C35E7" w:rsidP="004C35E7">
      <w:pPr>
        <w:pStyle w:val="BTEMEASMCA"/>
        <w:keepNext/>
        <w:keepLines/>
      </w:pPr>
      <w:r w:rsidRPr="00B308ED">
        <w:t>Lietuva</w:t>
      </w:r>
    </w:p>
    <w:p w:rsidR="004C35E7" w:rsidRPr="00B308ED" w:rsidRDefault="004C35E7" w:rsidP="004C35E7">
      <w:pPr>
        <w:pStyle w:val="BTEMEASMCA"/>
        <w:keepNext/>
        <w:keepLines/>
      </w:pPr>
    </w:p>
    <w:p w:rsidR="004C35E7" w:rsidRPr="00B308ED" w:rsidRDefault="004C35E7" w:rsidP="004C35E7">
      <w:pPr>
        <w:pStyle w:val="BTEMEASMCA"/>
      </w:pPr>
    </w:p>
    <w:p w:rsidR="004C35E7" w:rsidRPr="000049E3" w:rsidRDefault="004C35E7" w:rsidP="004C35E7">
      <w:pPr>
        <w:pStyle w:val="PI-1EMEASMCA"/>
      </w:pPr>
      <w:r w:rsidRPr="000049E3">
        <w:t>8.</w:t>
      </w:r>
      <w:r w:rsidRPr="000049E3">
        <w:tab/>
        <w:t>REGISTRACIJOS PAŽYMĖJIMO NUMERIS (-IAI)</w:t>
      </w:r>
    </w:p>
    <w:p w:rsidR="004C35E7" w:rsidRPr="000049E3" w:rsidRDefault="004C35E7" w:rsidP="004C35E7">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3020"/>
        <w:gridCol w:w="3020"/>
      </w:tblGrid>
      <w:tr w:rsidR="004C35E7" w:rsidRPr="000049E3" w:rsidTr="00B7109A">
        <w:tc>
          <w:tcPr>
            <w:tcW w:w="3019" w:type="dxa"/>
          </w:tcPr>
          <w:p w:rsidR="004C35E7" w:rsidRPr="000049E3" w:rsidRDefault="004C35E7" w:rsidP="00B7109A">
            <w:pPr>
              <w:pStyle w:val="BTEMEASMCA"/>
              <w:rPr>
                <w:sz w:val="22"/>
                <w:szCs w:val="22"/>
              </w:rPr>
            </w:pPr>
            <w:r w:rsidRPr="000049E3">
              <w:rPr>
                <w:sz w:val="22"/>
                <w:szCs w:val="22"/>
              </w:rPr>
              <w:t xml:space="preserve">Cardace 2,5 mg </w:t>
            </w:r>
          </w:p>
          <w:p w:rsidR="004C35E7" w:rsidRPr="000049E3" w:rsidRDefault="004C35E7" w:rsidP="00B7109A">
            <w:pPr>
              <w:pStyle w:val="BTEMEASMCA"/>
              <w:rPr>
                <w:sz w:val="22"/>
                <w:szCs w:val="22"/>
              </w:rPr>
            </w:pPr>
            <w:r w:rsidRPr="000049E3">
              <w:rPr>
                <w:sz w:val="22"/>
                <w:szCs w:val="22"/>
              </w:rPr>
              <w:t>N28 – LT/1/97/1617/001</w:t>
            </w:r>
          </w:p>
          <w:p w:rsidR="004C35E7" w:rsidRPr="000049E3" w:rsidRDefault="004C35E7" w:rsidP="00B7109A">
            <w:pPr>
              <w:pStyle w:val="BTEMEASMCA"/>
              <w:rPr>
                <w:sz w:val="22"/>
                <w:szCs w:val="22"/>
              </w:rPr>
            </w:pPr>
            <w:r w:rsidRPr="000049E3">
              <w:rPr>
                <w:sz w:val="22"/>
                <w:szCs w:val="22"/>
              </w:rPr>
              <w:t>N98 – LT/1/97/1617/002</w:t>
            </w:r>
          </w:p>
          <w:p w:rsidR="004C35E7" w:rsidRPr="000049E3" w:rsidRDefault="004C35E7" w:rsidP="00B7109A">
            <w:pPr>
              <w:pStyle w:val="BTEMEASMCA"/>
              <w:rPr>
                <w:sz w:val="22"/>
                <w:szCs w:val="22"/>
              </w:rPr>
            </w:pPr>
            <w:r w:rsidRPr="000049E3">
              <w:rPr>
                <w:sz w:val="22"/>
                <w:szCs w:val="22"/>
              </w:rPr>
              <w:t xml:space="preserve">N7 – LT/1/97/1617/007 </w:t>
            </w:r>
          </w:p>
          <w:p w:rsidR="004C35E7" w:rsidRPr="000049E3" w:rsidRDefault="004C35E7" w:rsidP="00B7109A">
            <w:pPr>
              <w:pStyle w:val="BTEMEASMCA"/>
              <w:rPr>
                <w:sz w:val="22"/>
                <w:szCs w:val="22"/>
              </w:rPr>
            </w:pPr>
            <w:r w:rsidRPr="000049E3">
              <w:rPr>
                <w:sz w:val="22"/>
                <w:szCs w:val="22"/>
              </w:rPr>
              <w:t xml:space="preserve">N10 – LT/1/97/1617/008 </w:t>
            </w:r>
          </w:p>
          <w:p w:rsidR="004C35E7" w:rsidRPr="000049E3" w:rsidRDefault="004C35E7" w:rsidP="00B7109A">
            <w:pPr>
              <w:pStyle w:val="BTEMEASMCA"/>
              <w:rPr>
                <w:sz w:val="22"/>
                <w:szCs w:val="22"/>
              </w:rPr>
            </w:pPr>
            <w:r w:rsidRPr="000049E3">
              <w:rPr>
                <w:sz w:val="22"/>
                <w:szCs w:val="22"/>
              </w:rPr>
              <w:t xml:space="preserve">N14 – LT/1/97/1617/009 </w:t>
            </w:r>
          </w:p>
          <w:p w:rsidR="004C35E7" w:rsidRPr="000049E3" w:rsidRDefault="004C35E7" w:rsidP="00B7109A">
            <w:pPr>
              <w:pStyle w:val="BTEMEASMCA"/>
              <w:rPr>
                <w:sz w:val="22"/>
                <w:szCs w:val="22"/>
              </w:rPr>
            </w:pPr>
            <w:r w:rsidRPr="000049E3">
              <w:rPr>
                <w:sz w:val="22"/>
                <w:szCs w:val="22"/>
              </w:rPr>
              <w:t>N15 – LT/1/97/1617/010</w:t>
            </w:r>
          </w:p>
          <w:p w:rsidR="004C35E7" w:rsidRPr="000049E3" w:rsidRDefault="004C35E7" w:rsidP="00B7109A">
            <w:pPr>
              <w:pStyle w:val="BTEMEASMCA"/>
              <w:rPr>
                <w:sz w:val="22"/>
                <w:szCs w:val="22"/>
              </w:rPr>
            </w:pPr>
            <w:r w:rsidRPr="000049E3">
              <w:rPr>
                <w:sz w:val="22"/>
                <w:szCs w:val="22"/>
              </w:rPr>
              <w:t>N18 – LT/1/97/1617/011</w:t>
            </w:r>
          </w:p>
          <w:p w:rsidR="004C35E7" w:rsidRPr="000049E3" w:rsidRDefault="004C35E7" w:rsidP="00B7109A">
            <w:pPr>
              <w:pStyle w:val="BTEMEASMCA"/>
              <w:rPr>
                <w:sz w:val="22"/>
                <w:szCs w:val="22"/>
              </w:rPr>
            </w:pPr>
            <w:r w:rsidRPr="000049E3">
              <w:rPr>
                <w:sz w:val="22"/>
                <w:szCs w:val="22"/>
              </w:rPr>
              <w:t xml:space="preserve">N20 – LT/1/97/1617/012 </w:t>
            </w:r>
          </w:p>
          <w:p w:rsidR="004C35E7" w:rsidRPr="000049E3" w:rsidRDefault="004C35E7" w:rsidP="00B7109A">
            <w:pPr>
              <w:pStyle w:val="BTEMEASMCA"/>
              <w:rPr>
                <w:sz w:val="22"/>
                <w:szCs w:val="22"/>
              </w:rPr>
            </w:pPr>
            <w:r w:rsidRPr="000049E3">
              <w:rPr>
                <w:sz w:val="22"/>
                <w:szCs w:val="22"/>
              </w:rPr>
              <w:t>N30 – LT/1/97/1617/013</w:t>
            </w:r>
          </w:p>
          <w:p w:rsidR="004C35E7" w:rsidRPr="000049E3" w:rsidRDefault="004C35E7" w:rsidP="00B7109A">
            <w:pPr>
              <w:pStyle w:val="BTEMEASMCA"/>
              <w:rPr>
                <w:sz w:val="22"/>
                <w:szCs w:val="22"/>
              </w:rPr>
            </w:pPr>
            <w:r w:rsidRPr="000049E3">
              <w:rPr>
                <w:sz w:val="22"/>
                <w:szCs w:val="22"/>
              </w:rPr>
              <w:t xml:space="preserve">N45 – LT/1/97/1617/014 </w:t>
            </w:r>
          </w:p>
          <w:p w:rsidR="004C35E7" w:rsidRPr="000049E3" w:rsidRDefault="004C35E7" w:rsidP="00B7109A">
            <w:pPr>
              <w:pStyle w:val="BTEMEASMCA"/>
              <w:rPr>
                <w:sz w:val="22"/>
                <w:szCs w:val="22"/>
              </w:rPr>
            </w:pPr>
            <w:r w:rsidRPr="000049E3">
              <w:rPr>
                <w:sz w:val="22"/>
                <w:szCs w:val="22"/>
              </w:rPr>
              <w:t xml:space="preserve">N50 – LT/1/97/1617/015 </w:t>
            </w:r>
          </w:p>
          <w:p w:rsidR="004C35E7" w:rsidRPr="000049E3" w:rsidRDefault="004C35E7" w:rsidP="00B7109A">
            <w:pPr>
              <w:pStyle w:val="BTEMEASMCA"/>
              <w:rPr>
                <w:sz w:val="22"/>
                <w:szCs w:val="22"/>
              </w:rPr>
            </w:pPr>
            <w:r w:rsidRPr="000049E3">
              <w:rPr>
                <w:sz w:val="22"/>
                <w:szCs w:val="22"/>
              </w:rPr>
              <w:t xml:space="preserve">N60 – LT/1/97/1617/016 </w:t>
            </w:r>
          </w:p>
          <w:p w:rsidR="004C35E7" w:rsidRPr="000049E3" w:rsidRDefault="004C35E7" w:rsidP="00B7109A">
            <w:pPr>
              <w:pStyle w:val="BTEMEASMCA"/>
              <w:rPr>
                <w:sz w:val="22"/>
                <w:szCs w:val="22"/>
              </w:rPr>
            </w:pPr>
            <w:r w:rsidRPr="000049E3">
              <w:rPr>
                <w:sz w:val="22"/>
                <w:szCs w:val="22"/>
              </w:rPr>
              <w:t xml:space="preserve">N90 – LT/1/97/1617/017 </w:t>
            </w:r>
          </w:p>
          <w:p w:rsidR="004C35E7" w:rsidRPr="000049E3" w:rsidRDefault="004C35E7" w:rsidP="00B7109A">
            <w:pPr>
              <w:pStyle w:val="BTEMEASMCA"/>
              <w:rPr>
                <w:sz w:val="22"/>
                <w:szCs w:val="22"/>
              </w:rPr>
            </w:pPr>
            <w:r w:rsidRPr="000049E3">
              <w:rPr>
                <w:sz w:val="22"/>
                <w:szCs w:val="22"/>
              </w:rPr>
              <w:t xml:space="preserve">N99 – LT/1/97/1617/018 </w:t>
            </w:r>
          </w:p>
          <w:p w:rsidR="004C35E7" w:rsidRPr="000049E3" w:rsidRDefault="004C35E7" w:rsidP="00B7109A">
            <w:pPr>
              <w:pStyle w:val="BTEMEASMCA"/>
              <w:rPr>
                <w:sz w:val="22"/>
                <w:szCs w:val="22"/>
              </w:rPr>
            </w:pPr>
            <w:r w:rsidRPr="000049E3">
              <w:rPr>
                <w:sz w:val="22"/>
                <w:szCs w:val="22"/>
              </w:rPr>
              <w:t xml:space="preserve">N100 – LT/1/97/1617/019 </w:t>
            </w:r>
          </w:p>
          <w:p w:rsidR="004C35E7" w:rsidRPr="000049E3" w:rsidRDefault="004C35E7" w:rsidP="00B7109A">
            <w:pPr>
              <w:pStyle w:val="BTEMEASMCA"/>
              <w:rPr>
                <w:sz w:val="22"/>
                <w:szCs w:val="22"/>
              </w:rPr>
            </w:pPr>
            <w:r w:rsidRPr="000049E3">
              <w:rPr>
                <w:sz w:val="22"/>
                <w:szCs w:val="22"/>
              </w:rPr>
              <w:t xml:space="preserve">N300 – LT/1/97/1617/020 </w:t>
            </w:r>
          </w:p>
          <w:p w:rsidR="004C35E7" w:rsidRPr="000049E3" w:rsidRDefault="004C35E7" w:rsidP="00B7109A">
            <w:pPr>
              <w:pStyle w:val="BTEMEASMCA"/>
              <w:rPr>
                <w:sz w:val="22"/>
                <w:szCs w:val="22"/>
              </w:rPr>
            </w:pPr>
            <w:r w:rsidRPr="000049E3">
              <w:rPr>
                <w:sz w:val="22"/>
                <w:szCs w:val="22"/>
              </w:rPr>
              <w:t>N320 – LT/1/97/1617/052</w:t>
            </w:r>
          </w:p>
          <w:p w:rsidR="004C35E7" w:rsidRPr="000049E3" w:rsidRDefault="004C35E7" w:rsidP="00B7109A">
            <w:pPr>
              <w:pStyle w:val="BTEMEASMCA"/>
              <w:rPr>
                <w:sz w:val="22"/>
                <w:szCs w:val="22"/>
              </w:rPr>
            </w:pPr>
            <w:r w:rsidRPr="000049E3">
              <w:rPr>
                <w:sz w:val="22"/>
                <w:szCs w:val="22"/>
              </w:rPr>
              <w:t>N500 – LT/1/97/1617/021</w:t>
            </w:r>
          </w:p>
        </w:tc>
        <w:tc>
          <w:tcPr>
            <w:tcW w:w="3020" w:type="dxa"/>
          </w:tcPr>
          <w:p w:rsidR="004C35E7" w:rsidRPr="000049E3" w:rsidRDefault="004C35E7" w:rsidP="00B7109A">
            <w:pPr>
              <w:pStyle w:val="BTEMEASMCA"/>
              <w:rPr>
                <w:sz w:val="22"/>
                <w:szCs w:val="22"/>
              </w:rPr>
            </w:pPr>
            <w:r w:rsidRPr="000049E3">
              <w:rPr>
                <w:sz w:val="22"/>
                <w:szCs w:val="22"/>
              </w:rPr>
              <w:t xml:space="preserve">Cardace 5 mg </w:t>
            </w:r>
          </w:p>
          <w:p w:rsidR="004C35E7" w:rsidRPr="000049E3" w:rsidRDefault="004C35E7" w:rsidP="00B7109A">
            <w:pPr>
              <w:pStyle w:val="BTEMEASMCA"/>
              <w:rPr>
                <w:sz w:val="22"/>
                <w:szCs w:val="22"/>
              </w:rPr>
            </w:pPr>
            <w:r w:rsidRPr="000049E3">
              <w:rPr>
                <w:sz w:val="22"/>
                <w:szCs w:val="22"/>
              </w:rPr>
              <w:t>N28 – LT/1/97/1617/003</w:t>
            </w:r>
          </w:p>
          <w:p w:rsidR="004C35E7" w:rsidRPr="000049E3" w:rsidRDefault="004C35E7" w:rsidP="00B7109A">
            <w:pPr>
              <w:pStyle w:val="BTEMEASMCA"/>
              <w:rPr>
                <w:sz w:val="22"/>
                <w:szCs w:val="22"/>
              </w:rPr>
            </w:pPr>
            <w:r w:rsidRPr="000049E3">
              <w:rPr>
                <w:sz w:val="22"/>
                <w:szCs w:val="22"/>
              </w:rPr>
              <w:t>N98 – LT/1/97/1617/004</w:t>
            </w:r>
          </w:p>
          <w:p w:rsidR="004C35E7" w:rsidRPr="000049E3" w:rsidRDefault="004C35E7" w:rsidP="00B7109A">
            <w:pPr>
              <w:pStyle w:val="BTEMEASMCA"/>
              <w:rPr>
                <w:sz w:val="22"/>
                <w:szCs w:val="22"/>
              </w:rPr>
            </w:pPr>
            <w:r w:rsidRPr="000049E3">
              <w:rPr>
                <w:sz w:val="22"/>
                <w:szCs w:val="22"/>
              </w:rPr>
              <w:t>N10 – LT/1/97/1617/022</w:t>
            </w:r>
          </w:p>
          <w:p w:rsidR="004C35E7" w:rsidRPr="000049E3" w:rsidRDefault="004C35E7" w:rsidP="00B7109A">
            <w:pPr>
              <w:pStyle w:val="BTEMEASMCA"/>
              <w:rPr>
                <w:sz w:val="22"/>
                <w:szCs w:val="22"/>
              </w:rPr>
            </w:pPr>
            <w:r w:rsidRPr="000049E3">
              <w:rPr>
                <w:sz w:val="22"/>
                <w:szCs w:val="22"/>
              </w:rPr>
              <w:t>N14 – LT/1/97/1617/023</w:t>
            </w:r>
          </w:p>
          <w:p w:rsidR="004C35E7" w:rsidRPr="000049E3" w:rsidRDefault="004C35E7" w:rsidP="00B7109A">
            <w:pPr>
              <w:pStyle w:val="BTEMEASMCA"/>
              <w:rPr>
                <w:sz w:val="22"/>
                <w:szCs w:val="22"/>
              </w:rPr>
            </w:pPr>
            <w:r w:rsidRPr="000049E3">
              <w:rPr>
                <w:sz w:val="22"/>
                <w:szCs w:val="22"/>
              </w:rPr>
              <w:t>N15 – LT/1/97/1617/024</w:t>
            </w:r>
          </w:p>
          <w:p w:rsidR="004C35E7" w:rsidRPr="000049E3" w:rsidRDefault="004C35E7" w:rsidP="00B7109A">
            <w:pPr>
              <w:pStyle w:val="BTEMEASMCA"/>
              <w:rPr>
                <w:sz w:val="22"/>
                <w:szCs w:val="22"/>
              </w:rPr>
            </w:pPr>
            <w:r w:rsidRPr="000049E3">
              <w:rPr>
                <w:sz w:val="22"/>
                <w:szCs w:val="22"/>
              </w:rPr>
              <w:t>N18 – LT/1/97/1617/025</w:t>
            </w:r>
          </w:p>
          <w:p w:rsidR="004C35E7" w:rsidRPr="000049E3" w:rsidRDefault="004C35E7" w:rsidP="00B7109A">
            <w:pPr>
              <w:pStyle w:val="BTEMEASMCA"/>
              <w:rPr>
                <w:sz w:val="22"/>
                <w:szCs w:val="22"/>
              </w:rPr>
            </w:pPr>
            <w:r w:rsidRPr="000049E3">
              <w:rPr>
                <w:sz w:val="22"/>
                <w:szCs w:val="22"/>
              </w:rPr>
              <w:t xml:space="preserve">N20 – LT/1/97/1617/026 </w:t>
            </w:r>
          </w:p>
          <w:p w:rsidR="004C35E7" w:rsidRPr="000049E3" w:rsidRDefault="004C35E7" w:rsidP="00B7109A">
            <w:pPr>
              <w:pStyle w:val="BTEMEASMCA"/>
              <w:rPr>
                <w:sz w:val="22"/>
                <w:szCs w:val="22"/>
              </w:rPr>
            </w:pPr>
            <w:r w:rsidRPr="000049E3">
              <w:rPr>
                <w:sz w:val="22"/>
                <w:szCs w:val="22"/>
              </w:rPr>
              <w:t>N21 – LT/1/97/1617/027</w:t>
            </w:r>
          </w:p>
          <w:p w:rsidR="004C35E7" w:rsidRPr="000049E3" w:rsidRDefault="004C35E7" w:rsidP="00B7109A">
            <w:pPr>
              <w:pStyle w:val="BTEMEASMCA"/>
              <w:rPr>
                <w:sz w:val="22"/>
                <w:szCs w:val="22"/>
              </w:rPr>
            </w:pPr>
            <w:r w:rsidRPr="000049E3">
              <w:rPr>
                <w:sz w:val="22"/>
                <w:szCs w:val="22"/>
              </w:rPr>
              <w:t>N30 – LT/1/97/1617/028</w:t>
            </w:r>
          </w:p>
          <w:p w:rsidR="004C35E7" w:rsidRPr="000049E3" w:rsidRDefault="004C35E7" w:rsidP="00B7109A">
            <w:pPr>
              <w:pStyle w:val="BTEMEASMCA"/>
              <w:rPr>
                <w:sz w:val="22"/>
                <w:szCs w:val="22"/>
              </w:rPr>
            </w:pPr>
            <w:r w:rsidRPr="000049E3">
              <w:rPr>
                <w:sz w:val="22"/>
                <w:szCs w:val="22"/>
              </w:rPr>
              <w:t>N45 – LT/1/97/1617/029</w:t>
            </w:r>
          </w:p>
          <w:p w:rsidR="004C35E7" w:rsidRPr="000049E3" w:rsidRDefault="004C35E7" w:rsidP="00B7109A">
            <w:pPr>
              <w:pStyle w:val="BTEMEASMCA"/>
              <w:rPr>
                <w:sz w:val="22"/>
                <w:szCs w:val="22"/>
              </w:rPr>
            </w:pPr>
            <w:r w:rsidRPr="000049E3">
              <w:rPr>
                <w:sz w:val="22"/>
                <w:szCs w:val="22"/>
              </w:rPr>
              <w:t>N50 – LT/1/97/1617/030</w:t>
            </w:r>
          </w:p>
          <w:p w:rsidR="004C35E7" w:rsidRPr="000049E3" w:rsidRDefault="004C35E7" w:rsidP="00B7109A">
            <w:pPr>
              <w:pStyle w:val="BTEMEASMCA"/>
              <w:rPr>
                <w:sz w:val="22"/>
                <w:szCs w:val="22"/>
              </w:rPr>
            </w:pPr>
            <w:r w:rsidRPr="000049E3">
              <w:rPr>
                <w:sz w:val="22"/>
                <w:szCs w:val="22"/>
              </w:rPr>
              <w:t xml:space="preserve">N56 – LT/1/97/1617/031 </w:t>
            </w:r>
          </w:p>
          <w:p w:rsidR="004C35E7" w:rsidRPr="000049E3" w:rsidRDefault="004C35E7" w:rsidP="00B7109A">
            <w:pPr>
              <w:pStyle w:val="BTEMEASMCA"/>
              <w:rPr>
                <w:sz w:val="22"/>
                <w:szCs w:val="22"/>
              </w:rPr>
            </w:pPr>
            <w:r w:rsidRPr="000049E3">
              <w:rPr>
                <w:sz w:val="22"/>
                <w:szCs w:val="22"/>
              </w:rPr>
              <w:t xml:space="preserve">N90 – LT/1/97/1617/032 </w:t>
            </w:r>
          </w:p>
          <w:p w:rsidR="004C35E7" w:rsidRPr="000049E3" w:rsidRDefault="004C35E7" w:rsidP="00B7109A">
            <w:pPr>
              <w:pStyle w:val="BTEMEASMCA"/>
              <w:rPr>
                <w:sz w:val="22"/>
                <w:szCs w:val="22"/>
              </w:rPr>
            </w:pPr>
            <w:r w:rsidRPr="000049E3">
              <w:rPr>
                <w:sz w:val="22"/>
                <w:szCs w:val="22"/>
              </w:rPr>
              <w:t xml:space="preserve">N99 – LT/1/97/1617/033 </w:t>
            </w:r>
          </w:p>
          <w:p w:rsidR="004C35E7" w:rsidRPr="000049E3" w:rsidRDefault="004C35E7" w:rsidP="00B7109A">
            <w:pPr>
              <w:pStyle w:val="BTEMEASMCA"/>
              <w:rPr>
                <w:sz w:val="22"/>
                <w:szCs w:val="22"/>
              </w:rPr>
            </w:pPr>
            <w:r w:rsidRPr="000049E3">
              <w:rPr>
                <w:sz w:val="22"/>
                <w:szCs w:val="22"/>
              </w:rPr>
              <w:t xml:space="preserve">N100 – LT/1/97/1617/034 </w:t>
            </w:r>
          </w:p>
          <w:p w:rsidR="004C35E7" w:rsidRPr="000049E3" w:rsidRDefault="004C35E7" w:rsidP="00B7109A">
            <w:pPr>
              <w:pStyle w:val="BTEMEASMCA"/>
              <w:rPr>
                <w:sz w:val="22"/>
                <w:szCs w:val="22"/>
              </w:rPr>
            </w:pPr>
            <w:r w:rsidRPr="000049E3">
              <w:rPr>
                <w:sz w:val="22"/>
                <w:szCs w:val="22"/>
              </w:rPr>
              <w:t xml:space="preserve">N300 – LT/1/97/1617/035 </w:t>
            </w:r>
          </w:p>
          <w:p w:rsidR="004C35E7" w:rsidRPr="000049E3" w:rsidRDefault="004C35E7" w:rsidP="00B7109A">
            <w:pPr>
              <w:pStyle w:val="BTEMEASMCA"/>
              <w:rPr>
                <w:sz w:val="22"/>
                <w:szCs w:val="22"/>
              </w:rPr>
            </w:pPr>
            <w:r w:rsidRPr="000049E3">
              <w:rPr>
                <w:sz w:val="22"/>
                <w:szCs w:val="22"/>
              </w:rPr>
              <w:t>N320 – LT/1/97/1617/053</w:t>
            </w:r>
          </w:p>
          <w:p w:rsidR="004C35E7" w:rsidRPr="000049E3" w:rsidRDefault="004C35E7" w:rsidP="00B7109A">
            <w:pPr>
              <w:pStyle w:val="BTEMEASMCA"/>
              <w:rPr>
                <w:sz w:val="22"/>
                <w:szCs w:val="22"/>
              </w:rPr>
            </w:pPr>
            <w:r w:rsidRPr="000049E3">
              <w:rPr>
                <w:sz w:val="22"/>
                <w:szCs w:val="22"/>
              </w:rPr>
              <w:t xml:space="preserve">N500 – LT/1/97/1617/036 </w:t>
            </w:r>
          </w:p>
        </w:tc>
        <w:tc>
          <w:tcPr>
            <w:tcW w:w="3020" w:type="dxa"/>
          </w:tcPr>
          <w:p w:rsidR="004C35E7" w:rsidRPr="000049E3" w:rsidRDefault="004C35E7" w:rsidP="00B7109A">
            <w:pPr>
              <w:pStyle w:val="BTEMEASMCA"/>
              <w:rPr>
                <w:sz w:val="22"/>
                <w:szCs w:val="22"/>
              </w:rPr>
            </w:pPr>
            <w:r w:rsidRPr="000049E3">
              <w:rPr>
                <w:sz w:val="22"/>
                <w:szCs w:val="22"/>
              </w:rPr>
              <w:t xml:space="preserve">Cardace 10 mg </w:t>
            </w:r>
          </w:p>
          <w:p w:rsidR="004C35E7" w:rsidRPr="000049E3" w:rsidRDefault="004C35E7" w:rsidP="00B7109A">
            <w:pPr>
              <w:pStyle w:val="BTEMEASMCA"/>
              <w:rPr>
                <w:sz w:val="22"/>
                <w:szCs w:val="22"/>
              </w:rPr>
            </w:pPr>
            <w:r w:rsidRPr="000049E3">
              <w:rPr>
                <w:sz w:val="22"/>
                <w:szCs w:val="22"/>
              </w:rPr>
              <w:t>N28 – LT/1/97/1617/005</w:t>
            </w:r>
          </w:p>
          <w:p w:rsidR="004C35E7" w:rsidRPr="000049E3" w:rsidRDefault="004C35E7" w:rsidP="00B7109A">
            <w:pPr>
              <w:pStyle w:val="BTEMEASMCA"/>
              <w:rPr>
                <w:sz w:val="22"/>
                <w:szCs w:val="22"/>
              </w:rPr>
            </w:pPr>
            <w:r w:rsidRPr="000049E3">
              <w:rPr>
                <w:sz w:val="22"/>
                <w:szCs w:val="22"/>
              </w:rPr>
              <w:t>N98 – LT/1/97/1617/006</w:t>
            </w:r>
          </w:p>
          <w:p w:rsidR="004C35E7" w:rsidRPr="000049E3" w:rsidRDefault="004C35E7" w:rsidP="00B7109A">
            <w:pPr>
              <w:pStyle w:val="BTEMEASMCA"/>
              <w:rPr>
                <w:sz w:val="22"/>
                <w:szCs w:val="22"/>
              </w:rPr>
            </w:pPr>
            <w:r w:rsidRPr="000049E3">
              <w:rPr>
                <w:sz w:val="22"/>
                <w:szCs w:val="22"/>
              </w:rPr>
              <w:t>N7 – LT/1/97/1617/037</w:t>
            </w:r>
          </w:p>
          <w:p w:rsidR="004C35E7" w:rsidRPr="000049E3" w:rsidRDefault="004C35E7" w:rsidP="00B7109A">
            <w:pPr>
              <w:pStyle w:val="BTEMEASMCA"/>
              <w:rPr>
                <w:sz w:val="22"/>
                <w:szCs w:val="22"/>
              </w:rPr>
            </w:pPr>
            <w:r w:rsidRPr="000049E3">
              <w:rPr>
                <w:sz w:val="22"/>
                <w:szCs w:val="22"/>
              </w:rPr>
              <w:t>N10 – LT/1/97/1617/038</w:t>
            </w:r>
          </w:p>
          <w:p w:rsidR="004C35E7" w:rsidRPr="000049E3" w:rsidRDefault="004C35E7" w:rsidP="00B7109A">
            <w:pPr>
              <w:pStyle w:val="BTEMEASMCA"/>
              <w:rPr>
                <w:sz w:val="22"/>
                <w:szCs w:val="22"/>
              </w:rPr>
            </w:pPr>
            <w:r w:rsidRPr="000049E3">
              <w:rPr>
                <w:sz w:val="22"/>
                <w:szCs w:val="22"/>
              </w:rPr>
              <w:t>N14 – LT/1/97/1617/039</w:t>
            </w:r>
          </w:p>
          <w:p w:rsidR="004C35E7" w:rsidRPr="000049E3" w:rsidRDefault="004C35E7" w:rsidP="00B7109A">
            <w:pPr>
              <w:pStyle w:val="BTEMEASMCA"/>
              <w:rPr>
                <w:sz w:val="22"/>
                <w:szCs w:val="22"/>
              </w:rPr>
            </w:pPr>
            <w:r w:rsidRPr="000049E3">
              <w:rPr>
                <w:sz w:val="22"/>
                <w:szCs w:val="22"/>
              </w:rPr>
              <w:t>N15 – LT/1/97/1617/040</w:t>
            </w:r>
          </w:p>
          <w:p w:rsidR="004C35E7" w:rsidRPr="000049E3" w:rsidRDefault="004C35E7" w:rsidP="00B7109A">
            <w:pPr>
              <w:pStyle w:val="BTEMEASMCA"/>
              <w:rPr>
                <w:sz w:val="22"/>
                <w:szCs w:val="22"/>
              </w:rPr>
            </w:pPr>
            <w:r w:rsidRPr="000049E3">
              <w:rPr>
                <w:sz w:val="22"/>
                <w:szCs w:val="22"/>
              </w:rPr>
              <w:t>N18 – LT/1/97/1617/041</w:t>
            </w:r>
          </w:p>
          <w:p w:rsidR="004C35E7" w:rsidRPr="000049E3" w:rsidRDefault="004C35E7" w:rsidP="00B7109A">
            <w:pPr>
              <w:pStyle w:val="BTEMEASMCA"/>
              <w:rPr>
                <w:sz w:val="22"/>
                <w:szCs w:val="22"/>
              </w:rPr>
            </w:pPr>
            <w:r w:rsidRPr="000049E3">
              <w:rPr>
                <w:sz w:val="22"/>
                <w:szCs w:val="22"/>
              </w:rPr>
              <w:t>N20 – LT/1/97/1617/042</w:t>
            </w:r>
          </w:p>
          <w:p w:rsidR="004C35E7" w:rsidRPr="000049E3" w:rsidRDefault="004C35E7" w:rsidP="00B7109A">
            <w:pPr>
              <w:pStyle w:val="BTEMEASMCA"/>
              <w:rPr>
                <w:sz w:val="22"/>
                <w:szCs w:val="22"/>
              </w:rPr>
            </w:pPr>
            <w:r w:rsidRPr="000049E3">
              <w:rPr>
                <w:sz w:val="22"/>
                <w:szCs w:val="22"/>
              </w:rPr>
              <w:t>N30 – LT/1/97/1617/043</w:t>
            </w:r>
          </w:p>
          <w:p w:rsidR="004C35E7" w:rsidRPr="000049E3" w:rsidRDefault="004C35E7" w:rsidP="00B7109A">
            <w:pPr>
              <w:pStyle w:val="BTEMEASMCA"/>
              <w:rPr>
                <w:sz w:val="22"/>
                <w:szCs w:val="22"/>
              </w:rPr>
            </w:pPr>
            <w:r w:rsidRPr="000049E3">
              <w:rPr>
                <w:sz w:val="22"/>
                <w:szCs w:val="22"/>
              </w:rPr>
              <w:t xml:space="preserve">N45 – LT/1/97/1617/044 </w:t>
            </w:r>
          </w:p>
          <w:p w:rsidR="004C35E7" w:rsidRPr="000049E3" w:rsidRDefault="004C35E7" w:rsidP="00B7109A">
            <w:pPr>
              <w:pStyle w:val="BTEMEASMCA"/>
              <w:rPr>
                <w:sz w:val="22"/>
                <w:szCs w:val="22"/>
              </w:rPr>
            </w:pPr>
            <w:r w:rsidRPr="000049E3">
              <w:rPr>
                <w:sz w:val="22"/>
                <w:szCs w:val="22"/>
              </w:rPr>
              <w:t>N50 – LT/1/97/1617/045</w:t>
            </w:r>
          </w:p>
          <w:p w:rsidR="004C35E7" w:rsidRPr="000049E3" w:rsidRDefault="004C35E7" w:rsidP="00B7109A">
            <w:pPr>
              <w:pStyle w:val="BTEMEASMCA"/>
              <w:rPr>
                <w:sz w:val="22"/>
                <w:szCs w:val="22"/>
              </w:rPr>
            </w:pPr>
            <w:r w:rsidRPr="000049E3">
              <w:rPr>
                <w:sz w:val="22"/>
                <w:szCs w:val="22"/>
              </w:rPr>
              <w:t xml:space="preserve">N56 – LT/1/97/1617/046 </w:t>
            </w:r>
          </w:p>
          <w:p w:rsidR="004C35E7" w:rsidRPr="000049E3" w:rsidRDefault="004C35E7" w:rsidP="00B7109A">
            <w:pPr>
              <w:pStyle w:val="BTEMEASMCA"/>
              <w:rPr>
                <w:sz w:val="22"/>
                <w:szCs w:val="22"/>
              </w:rPr>
            </w:pPr>
            <w:r w:rsidRPr="000049E3">
              <w:rPr>
                <w:sz w:val="22"/>
                <w:szCs w:val="22"/>
              </w:rPr>
              <w:t xml:space="preserve">N90 – LT/1/97/1617/047 </w:t>
            </w:r>
          </w:p>
          <w:p w:rsidR="004C35E7" w:rsidRPr="000049E3" w:rsidRDefault="004C35E7" w:rsidP="00B7109A">
            <w:pPr>
              <w:pStyle w:val="BTEMEASMCA"/>
              <w:rPr>
                <w:sz w:val="22"/>
                <w:szCs w:val="22"/>
              </w:rPr>
            </w:pPr>
            <w:r w:rsidRPr="000049E3">
              <w:rPr>
                <w:sz w:val="22"/>
                <w:szCs w:val="22"/>
              </w:rPr>
              <w:t xml:space="preserve">N99 – LT/1/97/1617/048 </w:t>
            </w:r>
          </w:p>
          <w:p w:rsidR="004C35E7" w:rsidRPr="000049E3" w:rsidRDefault="004C35E7" w:rsidP="00B7109A">
            <w:pPr>
              <w:pStyle w:val="BTEMEASMCA"/>
              <w:rPr>
                <w:sz w:val="22"/>
                <w:szCs w:val="22"/>
              </w:rPr>
            </w:pPr>
            <w:r w:rsidRPr="000049E3">
              <w:rPr>
                <w:sz w:val="22"/>
                <w:szCs w:val="22"/>
              </w:rPr>
              <w:t xml:space="preserve">N100 – LT/1/97/1617/049 </w:t>
            </w:r>
          </w:p>
          <w:p w:rsidR="004C35E7" w:rsidRPr="000049E3" w:rsidRDefault="004C35E7" w:rsidP="00B7109A">
            <w:pPr>
              <w:pStyle w:val="BTEMEASMCA"/>
              <w:rPr>
                <w:sz w:val="22"/>
                <w:szCs w:val="22"/>
              </w:rPr>
            </w:pPr>
            <w:r w:rsidRPr="000049E3">
              <w:rPr>
                <w:sz w:val="22"/>
                <w:szCs w:val="22"/>
              </w:rPr>
              <w:t>N300 – LT/1/97/1617/050</w:t>
            </w:r>
          </w:p>
          <w:p w:rsidR="004C35E7" w:rsidRPr="000049E3" w:rsidRDefault="004C35E7" w:rsidP="00B7109A">
            <w:pPr>
              <w:pStyle w:val="BTEMEASMCA"/>
              <w:rPr>
                <w:sz w:val="22"/>
                <w:szCs w:val="22"/>
              </w:rPr>
            </w:pPr>
            <w:r w:rsidRPr="000049E3">
              <w:rPr>
                <w:sz w:val="22"/>
                <w:szCs w:val="22"/>
              </w:rPr>
              <w:t xml:space="preserve">N320 – LT/1/97/1617/054 </w:t>
            </w:r>
          </w:p>
          <w:p w:rsidR="004C35E7" w:rsidRPr="000049E3" w:rsidRDefault="004C35E7" w:rsidP="00B7109A">
            <w:pPr>
              <w:pStyle w:val="BTEMEASMCA"/>
              <w:rPr>
                <w:sz w:val="22"/>
                <w:szCs w:val="22"/>
              </w:rPr>
            </w:pPr>
            <w:r w:rsidRPr="000049E3">
              <w:rPr>
                <w:sz w:val="22"/>
                <w:szCs w:val="22"/>
              </w:rPr>
              <w:t>N500 – LT/1/97/1617/051</w:t>
            </w:r>
          </w:p>
        </w:tc>
      </w:tr>
    </w:tbl>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9.</w:t>
      </w:r>
      <w:r w:rsidRPr="00B308ED">
        <w:tab/>
        <w:t>REGISTRAVIMO / PERREGISTRAVIMO DATA</w:t>
      </w:r>
    </w:p>
    <w:p w:rsidR="004C35E7" w:rsidRPr="00B308ED" w:rsidRDefault="004C35E7" w:rsidP="004C35E7">
      <w:pPr>
        <w:pStyle w:val="BTEMEASMCA"/>
      </w:pPr>
    </w:p>
    <w:p w:rsidR="004C35E7" w:rsidRDefault="004C35E7" w:rsidP="004C35E7">
      <w:pPr>
        <w:pStyle w:val="BTEMEASMCA"/>
      </w:pPr>
      <w:r w:rsidRPr="00B308ED">
        <w:t>Cardace 2,5 mg</w:t>
      </w:r>
      <w:r>
        <w:t xml:space="preserve"> tabletės</w:t>
      </w:r>
      <w:r w:rsidRPr="00B308ED">
        <w:t>, 5 mg tabletės</w:t>
      </w:r>
    </w:p>
    <w:p w:rsidR="004C35E7" w:rsidRDefault="004C35E7" w:rsidP="004C35E7">
      <w:pPr>
        <w:pStyle w:val="BTEMEASMCA"/>
      </w:pPr>
      <w:r w:rsidRPr="00B308ED">
        <w:t xml:space="preserve">Registravimo data 1997 m. vasario mėn. 11 d. </w:t>
      </w:r>
    </w:p>
    <w:p w:rsidR="004C35E7" w:rsidRDefault="004C35E7" w:rsidP="004C35E7">
      <w:pPr>
        <w:pStyle w:val="BTEMEASMCA"/>
      </w:pPr>
      <w:r w:rsidRPr="00B308ED">
        <w:t>Cardace 10 mg tabletės</w:t>
      </w:r>
    </w:p>
    <w:p w:rsidR="004C35E7" w:rsidRPr="00B308ED" w:rsidRDefault="004C35E7" w:rsidP="004C35E7">
      <w:pPr>
        <w:pStyle w:val="BTEMEASMCA"/>
      </w:pPr>
      <w:r w:rsidRPr="00B308ED">
        <w:t xml:space="preserve">Registravimo data 2001 m. lapkričio mėn. 7 d. </w:t>
      </w:r>
    </w:p>
    <w:p w:rsidR="004C35E7" w:rsidRDefault="004C35E7" w:rsidP="004C35E7">
      <w:pPr>
        <w:spacing w:after="0" w:line="240" w:lineRule="auto"/>
        <w:rPr>
          <w:rFonts w:ascii="Times New Roman" w:eastAsia="Times New Roman" w:hAnsi="Times New Roman" w:cs="Times New Roman"/>
        </w:rPr>
      </w:pPr>
      <w:r w:rsidRPr="00B308ED">
        <w:rPr>
          <w:rFonts w:ascii="Times New Roman" w:hAnsi="Times New Roman" w:cs="Times New Roman"/>
          <w:lang w:val="lt-LT"/>
        </w:rPr>
        <w:t>Paskutinio perregistravimo data</w:t>
      </w:r>
      <w:r>
        <w:rPr>
          <w:rFonts w:ascii="Times New Roman" w:hAnsi="Times New Roman" w:cs="Times New Roman"/>
          <w:lang w:val="lt-LT"/>
        </w:rPr>
        <w:t xml:space="preserve"> </w:t>
      </w:r>
      <w:r w:rsidRPr="0078697C">
        <w:rPr>
          <w:rFonts w:ascii="Times New Roman" w:eastAsia="Times New Roman" w:hAnsi="Times New Roman" w:cs="Times New Roman"/>
        </w:rPr>
        <w:t>2016 m. rugpjūčio mėn. 8 d.</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10.</w:t>
      </w:r>
      <w:r w:rsidRPr="00B308ED">
        <w:tab/>
        <w:t>TEKSTO PERŽIŪROS DATA</w:t>
      </w:r>
    </w:p>
    <w:p w:rsidR="004C35E7" w:rsidRPr="00B308ED" w:rsidRDefault="004C35E7" w:rsidP="004C35E7">
      <w:pPr>
        <w:pStyle w:val="BTEMEASMCA"/>
      </w:pPr>
    </w:p>
    <w:p w:rsidR="004C35E7" w:rsidRDefault="004C35E7" w:rsidP="004C35E7">
      <w:pPr>
        <w:spacing w:after="0" w:line="240" w:lineRule="auto"/>
        <w:rPr>
          <w:rFonts w:ascii="Times New Roman" w:eastAsia="Times New Roman" w:hAnsi="Times New Roman" w:cs="Times New Roman"/>
        </w:rPr>
      </w:pPr>
      <w:r>
        <w:rPr>
          <w:rFonts w:ascii="Times New Roman" w:eastAsia="Times New Roman" w:hAnsi="Times New Roman" w:cs="Times New Roman"/>
        </w:rPr>
        <w:t>2016 m. lapkričio 15 d.</w:t>
      </w:r>
    </w:p>
    <w:p w:rsidR="004C35E7" w:rsidRDefault="004C35E7" w:rsidP="004C35E7">
      <w:pPr>
        <w:spacing w:after="0" w:line="240" w:lineRule="auto"/>
        <w:rPr>
          <w:rFonts w:ascii="Times New Roman" w:hAnsi="Times New Roman" w:cs="Times New Roman"/>
          <w:lang w:val="lt-LT"/>
        </w:rPr>
      </w:pPr>
    </w:p>
    <w:p w:rsidR="004C35E7"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9" w:history="1">
        <w:r w:rsidRPr="00B308ED">
          <w:rPr>
            <w:rStyle w:val="Hipersaitas"/>
            <w:rFonts w:ascii="Times New Roman" w:hAnsi="Times New Roman" w:cs="Times New Roman"/>
            <w:lang w:val="lt-LT"/>
          </w:rPr>
          <w:t>http://www.vvkt.lt</w:t>
        </w:r>
      </w:hyperlink>
    </w:p>
    <w:p w:rsidR="004C35E7" w:rsidRPr="00B308ED" w:rsidRDefault="004C35E7" w:rsidP="004C35E7">
      <w:pPr>
        <w:spacing w:after="0" w:line="240" w:lineRule="auto"/>
        <w:rPr>
          <w:rFonts w:ascii="Times New Roman" w:hAnsi="Times New Roman" w:cs="Times New Roman"/>
          <w:lang w:val="lt-LT"/>
        </w:rPr>
      </w:pPr>
      <w:r w:rsidRPr="00B308ED">
        <w:rPr>
          <w:lang w:val="lt-LT"/>
        </w:rPr>
        <w:br w:type="page"/>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TTEMEASMCA"/>
        <w:rPr>
          <w:lang w:val="lt-LT"/>
        </w:rPr>
      </w:pPr>
    </w:p>
    <w:p w:rsidR="004C35E7" w:rsidRDefault="004C35E7" w:rsidP="004C35E7">
      <w:pPr>
        <w:pStyle w:val="TTEMEASMCA"/>
        <w:rPr>
          <w:lang w:val="lt-LT"/>
        </w:rPr>
      </w:pPr>
    </w:p>
    <w:p w:rsidR="004C35E7" w:rsidRPr="00B308ED" w:rsidRDefault="004C35E7" w:rsidP="004C35E7">
      <w:pPr>
        <w:pStyle w:val="TTEMEASMCA"/>
        <w:rPr>
          <w:lang w:val="lt-LT"/>
        </w:rPr>
      </w:pPr>
      <w:r w:rsidRPr="00B308ED">
        <w:rPr>
          <w:lang w:val="lt-LT"/>
        </w:rPr>
        <w:t>II PRIEDAS</w:t>
      </w:r>
    </w:p>
    <w:p w:rsidR="004C35E7" w:rsidRPr="00B308ED" w:rsidRDefault="004C35E7" w:rsidP="004C35E7">
      <w:pPr>
        <w:pStyle w:val="TTEMEASMCA"/>
        <w:rPr>
          <w:lang w:val="lt-LT"/>
        </w:rPr>
      </w:pPr>
    </w:p>
    <w:p w:rsidR="004C35E7" w:rsidRPr="00B308ED" w:rsidRDefault="004C35E7" w:rsidP="004C35E7">
      <w:pPr>
        <w:pStyle w:val="TTEMEASMCA"/>
        <w:rPr>
          <w:lang w:val="lt-LT"/>
        </w:rPr>
      </w:pPr>
      <w:r w:rsidRPr="00B308ED">
        <w:rPr>
          <w:lang w:val="lt-LT"/>
        </w:rPr>
        <w:t>REGISTRACIJOS SĄLYGOS</w:t>
      </w:r>
    </w:p>
    <w:p w:rsidR="004C35E7" w:rsidRPr="00B308ED" w:rsidRDefault="004C35E7" w:rsidP="004C35E7">
      <w:pPr>
        <w:pStyle w:val="BTEMEASMCA"/>
      </w:pPr>
    </w:p>
    <w:p w:rsidR="004C35E7" w:rsidRPr="00B308ED" w:rsidRDefault="004C35E7" w:rsidP="004C35E7">
      <w:pPr>
        <w:pStyle w:val="BTAnIIEMEASMCA"/>
        <w:rPr>
          <w:rFonts w:cs="Times New Roman"/>
          <w:lang w:val="lt-LT"/>
        </w:rPr>
      </w:pPr>
      <w:r w:rsidRPr="00B308ED">
        <w:rPr>
          <w:rFonts w:cs="Times New Roman"/>
          <w:lang w:val="lt-LT"/>
        </w:rPr>
        <w:t>A.</w:t>
      </w:r>
      <w:r w:rsidRPr="00B308ED">
        <w:rPr>
          <w:rFonts w:cs="Times New Roman"/>
          <w:lang w:val="lt-LT"/>
        </w:rPr>
        <w:tab/>
        <w:t>GAMINTOJAS (-AI), ATSAKINGAS (-I) UŽ SERIJŲ IŠLEIDIMĄ</w:t>
      </w:r>
    </w:p>
    <w:p w:rsidR="004C35E7" w:rsidRPr="00B308ED" w:rsidRDefault="004C35E7" w:rsidP="004C35E7">
      <w:pPr>
        <w:pStyle w:val="BTEMEASMCA"/>
      </w:pPr>
    </w:p>
    <w:p w:rsidR="004C35E7" w:rsidRPr="00B308ED" w:rsidRDefault="004C35E7" w:rsidP="004C35E7">
      <w:pPr>
        <w:pStyle w:val="BTAnIIEMEASMCA"/>
        <w:rPr>
          <w:rFonts w:cs="Times New Roman"/>
          <w:lang w:val="lt-LT"/>
        </w:rPr>
      </w:pPr>
      <w:r w:rsidRPr="00B308ED">
        <w:rPr>
          <w:rFonts w:cs="Times New Roman"/>
          <w:lang w:val="lt-LT"/>
        </w:rPr>
        <w:t>B.</w:t>
      </w:r>
      <w:r w:rsidRPr="00B308ED">
        <w:rPr>
          <w:rFonts w:cs="Times New Roman"/>
          <w:lang w:val="lt-LT"/>
        </w:rPr>
        <w:tab/>
        <w:t>TIEKIMO IR VARTOJIMO SĄLYGOS AR APRIBOJIMAI</w:t>
      </w:r>
    </w:p>
    <w:p w:rsidR="004C35E7" w:rsidRPr="00B308ED" w:rsidRDefault="004C35E7" w:rsidP="004C35E7">
      <w:pPr>
        <w:pStyle w:val="BTEMEASMCA"/>
      </w:pPr>
    </w:p>
    <w:p w:rsidR="004C35E7" w:rsidRPr="00B308ED" w:rsidRDefault="004C35E7" w:rsidP="004C35E7">
      <w:pPr>
        <w:pStyle w:val="PI-1EMEASMCA"/>
      </w:pPr>
      <w:r w:rsidRPr="00B308ED">
        <w:br w:type="page"/>
      </w:r>
      <w:r w:rsidRPr="00B308ED">
        <w:lastRenderedPageBreak/>
        <w:t>A.</w:t>
      </w:r>
      <w:r w:rsidRPr="00B308ED">
        <w:tab/>
        <w:t>GAMINTOJAS (-AI), ATSAKINGAS (-I) UŽ SERIJŲ IŠLEIDIMĄ</w:t>
      </w:r>
    </w:p>
    <w:p w:rsidR="004C35E7" w:rsidRPr="00B308ED" w:rsidRDefault="004C35E7" w:rsidP="004C35E7">
      <w:pPr>
        <w:pStyle w:val="BTEMEASMCA"/>
      </w:pPr>
    </w:p>
    <w:p w:rsidR="004C35E7" w:rsidRPr="00B308ED" w:rsidRDefault="004C35E7" w:rsidP="004C35E7">
      <w:pPr>
        <w:pStyle w:val="BTuEMEASMCA"/>
      </w:pPr>
      <w:r w:rsidRPr="00B308ED">
        <w:t>Gamintojo (-ų), atsakingo (-ų) už serijų išleidimą, pavadinimas (-ai) ir adresas (-ai)</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bCs/>
          <w:lang w:val="lt-LT"/>
        </w:rPr>
      </w:pPr>
      <w:r w:rsidRPr="00B308ED">
        <w:rPr>
          <w:rFonts w:ascii="Times New Roman" w:hAnsi="Times New Roman" w:cs="Times New Roman"/>
          <w:bCs/>
          <w:lang w:val="lt-LT"/>
        </w:rPr>
        <w:t xml:space="preserve">Sanofi S.p.A. </w:t>
      </w:r>
    </w:p>
    <w:p w:rsidR="004C35E7" w:rsidRPr="00B308ED" w:rsidRDefault="004C35E7" w:rsidP="004C35E7">
      <w:pPr>
        <w:spacing w:after="0" w:line="240" w:lineRule="auto"/>
        <w:rPr>
          <w:rFonts w:ascii="Times New Roman" w:hAnsi="Times New Roman" w:cs="Times New Roman"/>
          <w:bCs/>
          <w:lang w:val="lt-LT"/>
        </w:rPr>
      </w:pPr>
      <w:r w:rsidRPr="00B308ED">
        <w:rPr>
          <w:rFonts w:ascii="Times New Roman" w:hAnsi="Times New Roman" w:cs="Times New Roman"/>
          <w:bCs/>
          <w:lang w:val="lt-LT"/>
        </w:rPr>
        <w:t xml:space="preserve">Strada Statale 17 </w:t>
      </w:r>
    </w:p>
    <w:p w:rsidR="004C35E7" w:rsidRPr="00B308ED" w:rsidRDefault="004C35E7" w:rsidP="004C35E7">
      <w:pPr>
        <w:spacing w:after="0" w:line="240" w:lineRule="auto"/>
        <w:rPr>
          <w:rFonts w:ascii="Times New Roman" w:hAnsi="Times New Roman" w:cs="Times New Roman"/>
          <w:bCs/>
          <w:lang w:val="lt-LT"/>
        </w:rPr>
      </w:pPr>
      <w:r w:rsidRPr="00B308ED">
        <w:rPr>
          <w:rFonts w:ascii="Times New Roman" w:hAnsi="Times New Roman" w:cs="Times New Roman"/>
          <w:bCs/>
          <w:lang w:val="lt-LT"/>
        </w:rPr>
        <w:t xml:space="preserve">Km 22, 67019 </w:t>
      </w:r>
    </w:p>
    <w:p w:rsidR="004C35E7" w:rsidRPr="00B308ED" w:rsidRDefault="004C35E7" w:rsidP="004C35E7">
      <w:pPr>
        <w:spacing w:after="0" w:line="240" w:lineRule="auto"/>
        <w:rPr>
          <w:rFonts w:ascii="Times New Roman" w:hAnsi="Times New Roman" w:cs="Times New Roman"/>
          <w:bCs/>
          <w:lang w:val="lt-LT"/>
        </w:rPr>
      </w:pPr>
      <w:r w:rsidRPr="00B308ED">
        <w:rPr>
          <w:rFonts w:ascii="Times New Roman" w:hAnsi="Times New Roman" w:cs="Times New Roman"/>
          <w:bCs/>
          <w:lang w:val="lt-LT"/>
        </w:rPr>
        <w:t xml:space="preserve">Scoppito (L’Aquila) </w:t>
      </w:r>
    </w:p>
    <w:p w:rsidR="004C35E7" w:rsidRPr="00B308ED" w:rsidRDefault="004C35E7" w:rsidP="004C35E7">
      <w:pPr>
        <w:pStyle w:val="Pagrindinistekstas"/>
        <w:spacing w:after="0"/>
        <w:rPr>
          <w:bCs/>
          <w:sz w:val="22"/>
          <w:szCs w:val="22"/>
        </w:rPr>
      </w:pPr>
      <w:r w:rsidRPr="00B308ED">
        <w:rPr>
          <w:bCs/>
          <w:sz w:val="22"/>
          <w:szCs w:val="22"/>
        </w:rPr>
        <w:t>Italija</w:t>
      </w:r>
    </w:p>
    <w:p w:rsidR="004C35E7" w:rsidRPr="00B308ED" w:rsidRDefault="004C35E7" w:rsidP="004C35E7">
      <w:pPr>
        <w:pStyle w:val="Pagrindinistekstas"/>
        <w:spacing w:after="0"/>
        <w:rPr>
          <w:bCs/>
          <w:sz w:val="22"/>
          <w:szCs w:val="22"/>
        </w:rPr>
      </w:pPr>
    </w:p>
    <w:p w:rsidR="004C35E7" w:rsidRPr="00B308ED" w:rsidRDefault="004C35E7" w:rsidP="004C35E7">
      <w:pPr>
        <w:pStyle w:val="Pagrindinistekstas"/>
        <w:spacing w:after="0"/>
        <w:rPr>
          <w:sz w:val="22"/>
          <w:szCs w:val="22"/>
        </w:rPr>
      </w:pPr>
      <w:r w:rsidRPr="00B308ED">
        <w:rPr>
          <w:bCs/>
          <w:sz w:val="22"/>
          <w:szCs w:val="22"/>
        </w:rPr>
        <w:t>arba</w:t>
      </w:r>
    </w:p>
    <w:p w:rsidR="004C35E7" w:rsidRPr="00B308ED" w:rsidRDefault="004C35E7" w:rsidP="004C35E7">
      <w:pPr>
        <w:spacing w:after="0" w:line="240" w:lineRule="auto"/>
        <w:jc w:val="both"/>
        <w:rPr>
          <w:rFonts w:ascii="Times New Roman" w:hAnsi="Times New Roman" w:cs="Times New Roman"/>
          <w:lang w:val="lt-LT"/>
        </w:rPr>
      </w:pPr>
    </w:p>
    <w:p w:rsidR="004C35E7" w:rsidRPr="00B308ED" w:rsidRDefault="004C35E7" w:rsidP="004C35E7">
      <w:pPr>
        <w:pStyle w:val="BTEMEASMCA"/>
      </w:pPr>
      <w:r w:rsidRPr="00B308ED">
        <w:t>Delpharm Dijon</w:t>
      </w:r>
    </w:p>
    <w:p w:rsidR="004C35E7" w:rsidRPr="00B308ED" w:rsidRDefault="004C35E7" w:rsidP="004C35E7">
      <w:pPr>
        <w:pStyle w:val="BTEMEASMCA"/>
      </w:pPr>
      <w:r w:rsidRPr="00B308ED">
        <w:t>6, boulevard de l’Europe</w:t>
      </w:r>
    </w:p>
    <w:p w:rsidR="004C35E7" w:rsidRPr="00B308ED" w:rsidRDefault="004C35E7" w:rsidP="004C35E7">
      <w:pPr>
        <w:pStyle w:val="BTEMEASMCA"/>
      </w:pPr>
      <w:r w:rsidRPr="00B308ED">
        <w:t>21800 Qetigny</w:t>
      </w:r>
    </w:p>
    <w:p w:rsidR="004C35E7" w:rsidRPr="00B308ED" w:rsidRDefault="004C35E7" w:rsidP="004C35E7">
      <w:pPr>
        <w:pStyle w:val="BTEMEASMCA"/>
      </w:pPr>
      <w:r w:rsidRPr="00B308ED">
        <w:t>Prancūzija</w:t>
      </w:r>
    </w:p>
    <w:p w:rsidR="004C35E7" w:rsidRDefault="004C35E7" w:rsidP="004C35E7">
      <w:pPr>
        <w:pStyle w:val="BTEMEASMCA"/>
      </w:pPr>
    </w:p>
    <w:p w:rsidR="00B7109A" w:rsidRDefault="00B7109A" w:rsidP="00B7109A">
      <w:pPr>
        <w:pStyle w:val="BTEMEASMCA"/>
      </w:pPr>
      <w:r>
        <w:t>arba</w:t>
      </w:r>
    </w:p>
    <w:p w:rsidR="00B7109A" w:rsidRDefault="00B7109A" w:rsidP="00B7109A">
      <w:pPr>
        <w:pStyle w:val="BTEMEASMCA"/>
      </w:pPr>
    </w:p>
    <w:p w:rsidR="00B7109A" w:rsidRDefault="00B7109A" w:rsidP="00B7109A">
      <w:pPr>
        <w:pStyle w:val="BTEMEASMCA"/>
      </w:pPr>
      <w:r>
        <w:t>S.C. ZENTIVA S.A.</w:t>
      </w:r>
    </w:p>
    <w:p w:rsidR="00B7109A" w:rsidRDefault="00B7109A" w:rsidP="00B7109A">
      <w:pPr>
        <w:pStyle w:val="BTEMEASMCA"/>
      </w:pPr>
      <w:r>
        <w:t>B-dul Theodor Pallady nr. 50</w:t>
      </w:r>
    </w:p>
    <w:p w:rsidR="00B7109A" w:rsidRDefault="00B7109A" w:rsidP="00B7109A">
      <w:pPr>
        <w:pStyle w:val="BTEMEASMCA"/>
      </w:pPr>
      <w:r>
        <w:t>Sector 3</w:t>
      </w:r>
    </w:p>
    <w:p w:rsidR="00B7109A" w:rsidRDefault="00B7109A" w:rsidP="00B7109A">
      <w:pPr>
        <w:pStyle w:val="BTEMEASMCA"/>
      </w:pPr>
      <w:r>
        <w:t>Bucuresti, 032266</w:t>
      </w:r>
    </w:p>
    <w:p w:rsidR="00B7109A" w:rsidRDefault="00B7109A" w:rsidP="00B7109A">
      <w:pPr>
        <w:pStyle w:val="BTEMEASMCA"/>
      </w:pPr>
      <w:r>
        <w:t>Rumunija</w:t>
      </w:r>
    </w:p>
    <w:p w:rsidR="00B7109A" w:rsidRPr="00B308ED" w:rsidRDefault="00B7109A" w:rsidP="00B7109A">
      <w:pPr>
        <w:pStyle w:val="BTEMEASMCA"/>
      </w:pPr>
    </w:p>
    <w:p w:rsidR="004C35E7" w:rsidRPr="00B308ED" w:rsidRDefault="004C35E7" w:rsidP="004C35E7">
      <w:pPr>
        <w:pStyle w:val="BTEMEASMCA"/>
      </w:pPr>
      <w:r w:rsidRPr="00B308ED">
        <w:t>Su pakuote pateikiamame lapelyje nurodomas gamintojo, atsakingo už konkrečios serijos išleidimą, pavadinimas ir adresas.</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bookmarkStart w:id="0" w:name="_Toc129243129"/>
      <w:bookmarkStart w:id="1" w:name="_Toc129243254"/>
      <w:bookmarkStart w:id="2" w:name="_Toc129243130"/>
      <w:bookmarkStart w:id="3" w:name="_Toc129243255"/>
      <w:r w:rsidRPr="00B308ED">
        <w:t>B.</w:t>
      </w:r>
      <w:r w:rsidRPr="00B308ED">
        <w:tab/>
        <w:t>TIEKIMO IR VARTOJIMO SĄLYGOS AR APRIBOJIMAI,</w:t>
      </w:r>
      <w:bookmarkEnd w:id="0"/>
      <w:bookmarkEnd w:id="1"/>
      <w:bookmarkEnd w:id="2"/>
      <w:bookmarkEnd w:id="3"/>
    </w:p>
    <w:p w:rsidR="004C35E7" w:rsidRPr="00B308ED" w:rsidRDefault="004C35E7" w:rsidP="004C35E7">
      <w:pPr>
        <w:pStyle w:val="BTEMEASMCA"/>
      </w:pPr>
    </w:p>
    <w:p w:rsidR="004C35E7" w:rsidRPr="00B308ED" w:rsidRDefault="004C35E7" w:rsidP="004C35E7">
      <w:pPr>
        <w:pStyle w:val="BTEMEASMCA"/>
      </w:pPr>
      <w:r w:rsidRPr="00B308ED">
        <w:t>Receptinis vaistinis preparatas.</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r w:rsidRPr="00B308ED">
        <w:br w:type="page"/>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Default="004C35E7" w:rsidP="004C35E7">
      <w:pPr>
        <w:pStyle w:val="TTEMEASMCA"/>
        <w:rPr>
          <w:lang w:val="lt-LT"/>
        </w:rPr>
      </w:pPr>
    </w:p>
    <w:p w:rsidR="004C35E7" w:rsidRPr="00B308ED" w:rsidRDefault="004C35E7" w:rsidP="004C35E7">
      <w:pPr>
        <w:pStyle w:val="TTEMEASMCA"/>
        <w:rPr>
          <w:lang w:val="lt-LT"/>
        </w:rPr>
      </w:pPr>
      <w:r w:rsidRPr="00B308ED">
        <w:rPr>
          <w:lang w:val="lt-LT"/>
        </w:rPr>
        <w:t>III PRIEDAS</w:t>
      </w:r>
    </w:p>
    <w:p w:rsidR="004C35E7" w:rsidRPr="00B308ED" w:rsidRDefault="004C35E7" w:rsidP="004C35E7">
      <w:pPr>
        <w:pStyle w:val="BTEMEASMCA"/>
      </w:pPr>
    </w:p>
    <w:p w:rsidR="004C35E7" w:rsidRPr="00B308ED" w:rsidRDefault="004C35E7" w:rsidP="004C35E7">
      <w:pPr>
        <w:pStyle w:val="TTEMEASMCA"/>
        <w:rPr>
          <w:lang w:val="lt-LT"/>
        </w:rPr>
      </w:pPr>
      <w:r w:rsidRPr="00B308ED">
        <w:rPr>
          <w:lang w:val="lt-LT"/>
        </w:rPr>
        <w:t>ŽENKLINIMAS IR PAKUOTĖS LAPELIS</w:t>
      </w:r>
      <w:r w:rsidRPr="00B308ED">
        <w:br w:type="page"/>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p>
    <w:p w:rsidR="004C35E7" w:rsidRDefault="004C35E7" w:rsidP="004C35E7">
      <w:pPr>
        <w:pStyle w:val="TTEMEASMCA"/>
        <w:rPr>
          <w:lang w:val="lt-LT"/>
        </w:rPr>
      </w:pPr>
    </w:p>
    <w:p w:rsidR="004C35E7" w:rsidRPr="00B308ED" w:rsidRDefault="004C35E7" w:rsidP="004C35E7">
      <w:pPr>
        <w:pStyle w:val="TTEMEASMCA"/>
        <w:rPr>
          <w:lang w:val="lt-LT"/>
        </w:rPr>
      </w:pPr>
      <w:r w:rsidRPr="00B308ED">
        <w:rPr>
          <w:lang w:val="lt-LT"/>
        </w:rPr>
        <w:t>A. ŽENKLINIMAS</w:t>
      </w:r>
      <w:r w:rsidRPr="00B308ED">
        <w:br w:type="page"/>
      </w:r>
    </w:p>
    <w:p w:rsidR="004C35E7" w:rsidRPr="00B308ED" w:rsidRDefault="004C35E7" w:rsidP="004C35E7">
      <w:pPr>
        <w:pStyle w:val="PI-1labEMEASMCA"/>
      </w:pPr>
      <w:r w:rsidRPr="00B308ED">
        <w:lastRenderedPageBreak/>
        <w:t>INFORMACIJA ANT IŠORINĖS PAKUOTĖS</w:t>
      </w:r>
    </w:p>
    <w:p w:rsidR="004C35E7" w:rsidRPr="00B308ED" w:rsidRDefault="004C35E7" w:rsidP="004C35E7">
      <w:pPr>
        <w:pStyle w:val="PI-1labEMEASMCA"/>
      </w:pPr>
    </w:p>
    <w:p w:rsidR="004C35E7" w:rsidRPr="00B308ED" w:rsidRDefault="004C35E7" w:rsidP="004C35E7">
      <w:pPr>
        <w:pStyle w:val="PI-1labEMEASMCA"/>
      </w:pPr>
      <w:r w:rsidRPr="00B308ED">
        <w:t xml:space="preserve">KARTONO DĖŽUTĖ </w:t>
      </w:r>
    </w:p>
    <w:p w:rsidR="004C35E7"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w:t>
      </w:r>
      <w:r w:rsidRPr="00B308ED">
        <w:tab/>
        <w:t>VAISTINIO PREPARATO PAVADINIMAS</w:t>
      </w:r>
    </w:p>
    <w:p w:rsidR="004C35E7" w:rsidRPr="00B308ED" w:rsidRDefault="004C35E7" w:rsidP="004C35E7">
      <w:pPr>
        <w:pStyle w:val="BTEMEASMCA"/>
      </w:pPr>
    </w:p>
    <w:p w:rsidR="004C35E7" w:rsidRPr="00B308ED" w:rsidRDefault="004C35E7" w:rsidP="004C35E7">
      <w:pPr>
        <w:pStyle w:val="BTEMEASMCA"/>
      </w:pPr>
      <w:r w:rsidRPr="00B308ED">
        <w:t>Cardace 2,5 mg tabletės</w:t>
      </w:r>
    </w:p>
    <w:p w:rsidR="004C35E7" w:rsidRPr="00B66017" w:rsidRDefault="004C35E7" w:rsidP="004C35E7">
      <w:pPr>
        <w:pStyle w:val="BTEMEASMCA"/>
        <w:rPr>
          <w:highlight w:val="lightGray"/>
        </w:rPr>
      </w:pPr>
      <w:r w:rsidRPr="00B66017">
        <w:rPr>
          <w:highlight w:val="lightGray"/>
        </w:rPr>
        <w:t>Cardace 5 mg tabletės</w:t>
      </w:r>
    </w:p>
    <w:p w:rsidR="004C35E7" w:rsidRPr="00B308ED" w:rsidRDefault="004C35E7" w:rsidP="004C35E7">
      <w:pPr>
        <w:spacing w:after="0" w:line="240" w:lineRule="auto"/>
        <w:rPr>
          <w:rFonts w:ascii="Times New Roman" w:hAnsi="Times New Roman" w:cs="Times New Roman"/>
          <w:lang w:val="lt-LT"/>
        </w:rPr>
      </w:pPr>
      <w:r w:rsidRPr="00B66017">
        <w:rPr>
          <w:rFonts w:ascii="Times New Roman" w:hAnsi="Times New Roman"/>
          <w:highlight w:val="lightGray"/>
          <w:lang w:val="lt-LT"/>
        </w:rPr>
        <w:t>Cardace 10 mg tabletės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BTEMEASMCA"/>
      </w:pPr>
      <w:r w:rsidRPr="00B308ED">
        <w:t>Ramiprilum</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2.</w:t>
      </w:r>
      <w:r w:rsidRPr="00B308ED">
        <w:tab/>
      </w:r>
      <w:r w:rsidRPr="000F6110">
        <w:t>VEIKLIOJI (-IOS) MEDŽIAGA (-OS) IR JOS (-Ų) KIEKIS (-IAI)</w:t>
      </w:r>
    </w:p>
    <w:p w:rsidR="004C35E7" w:rsidRPr="00B308ED" w:rsidRDefault="004C35E7" w:rsidP="004C35E7">
      <w:pPr>
        <w:pStyle w:val="BTEMEASMCA"/>
      </w:pPr>
    </w:p>
    <w:p w:rsidR="004C35E7" w:rsidRPr="00B308ED" w:rsidRDefault="004C35E7" w:rsidP="004C35E7">
      <w:pPr>
        <w:pStyle w:val="BTEMEASMCA"/>
      </w:pPr>
      <w:r w:rsidRPr="00B308ED">
        <w:t>Kiekvienoje tabletėje yra 2,5 mg ramiprilio.</w:t>
      </w:r>
    </w:p>
    <w:p w:rsidR="004C35E7" w:rsidRPr="00B66017" w:rsidRDefault="004C35E7" w:rsidP="004C35E7">
      <w:pPr>
        <w:pStyle w:val="BTEMEASMCA"/>
        <w:rPr>
          <w:highlight w:val="lightGray"/>
        </w:rPr>
      </w:pPr>
      <w:r w:rsidRPr="00B66017">
        <w:rPr>
          <w:highlight w:val="lightGray"/>
        </w:rPr>
        <w:t>Kiekvienoje tabletėje yra 5 mg ramiprilio.</w:t>
      </w:r>
    </w:p>
    <w:p w:rsidR="004C35E7" w:rsidRPr="00B308ED" w:rsidRDefault="004C35E7" w:rsidP="004C35E7">
      <w:pPr>
        <w:pStyle w:val="BTEMEASMCA"/>
      </w:pPr>
      <w:r w:rsidRPr="00B66017">
        <w:rPr>
          <w:highlight w:val="lightGray"/>
        </w:rPr>
        <w:t>Kiekvienoje tabletėje yra 10 mg ramiprilio.</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3.</w:t>
      </w:r>
      <w:r w:rsidRPr="00B308ED">
        <w:tab/>
        <w:t>PAGALBINIŲ MEDŽIAGŲ SĄRAŠAS</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4.</w:t>
      </w:r>
      <w:r w:rsidRPr="00B308ED">
        <w:tab/>
        <w:t>FARMACINĖ FORMA IR KIEKIS PAKUOTĖJE</w:t>
      </w:r>
    </w:p>
    <w:p w:rsidR="004C35E7" w:rsidRPr="00B308ED" w:rsidRDefault="004C35E7" w:rsidP="004C35E7">
      <w:pPr>
        <w:pStyle w:val="BTEMEASMCA"/>
      </w:pPr>
    </w:p>
    <w:p w:rsidR="004C35E7" w:rsidRPr="00B308ED" w:rsidRDefault="004C35E7" w:rsidP="004C35E7">
      <w:pPr>
        <w:pStyle w:val="BTEMEASMCA"/>
      </w:pPr>
      <w:r w:rsidRPr="00B308ED">
        <w:t>Tabletės</w:t>
      </w:r>
    </w:p>
    <w:p w:rsidR="004C35E7" w:rsidRDefault="004C35E7" w:rsidP="004C35E7">
      <w:pPr>
        <w:spacing w:after="0" w:line="240" w:lineRule="auto"/>
        <w:rPr>
          <w:rFonts w:ascii="Times New Roman" w:hAnsi="Times New Roman" w:cs="Times New Roman"/>
          <w:lang w:val="lt-LT"/>
        </w:rPr>
      </w:pPr>
      <w:r w:rsidRPr="00B66017">
        <w:rPr>
          <w:rFonts w:ascii="Times New Roman" w:hAnsi="Times New Roman" w:cs="Times New Roman"/>
          <w:i/>
          <w:highlight w:val="lightGray"/>
          <w:lang w:val="lt-LT"/>
        </w:rPr>
        <w:t>2,5 mg</w:t>
      </w:r>
      <w:r w:rsidRPr="00B66017">
        <w:rPr>
          <w:rFonts w:ascii="Times New Roman" w:hAnsi="Times New Roman" w:cs="Times New Roman"/>
          <w:highlight w:val="lightGray"/>
          <w:lang w:val="lt-LT"/>
        </w:rPr>
        <w:t>:</w:t>
      </w:r>
      <w:r w:rsidRPr="00B308ED">
        <w:rPr>
          <w:rFonts w:ascii="Times New Roman" w:hAnsi="Times New Roman" w:cs="Times New Roman"/>
          <w:lang w:val="lt-LT"/>
        </w:rPr>
        <w:t xml:space="preserve"> </w:t>
      </w:r>
    </w:p>
    <w:p w:rsidR="004C35E7"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7</w:t>
      </w:r>
      <w:r>
        <w:rPr>
          <w:rFonts w:ascii="Times New Roman" w:hAnsi="Times New Roman" w:cs="Times New Roman"/>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14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15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18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20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28</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45</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50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60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90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98</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 xml:space="preserve">99 </w:t>
      </w:r>
      <w:r w:rsidRPr="00B66017">
        <w:rPr>
          <w:rFonts w:ascii="Times New Roman" w:hAnsi="Times New Roman" w:cs="Times New Roman"/>
          <w:highlight w:val="lightGray"/>
          <w:lang w:val="lt-LT"/>
        </w:rPr>
        <w:t>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100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300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320 tablečių</w:t>
      </w:r>
    </w:p>
    <w:p w:rsidR="004C35E7" w:rsidRPr="00B308ED" w:rsidRDefault="004C35E7" w:rsidP="004C35E7">
      <w:pPr>
        <w:spacing w:after="0" w:line="240" w:lineRule="auto"/>
        <w:rPr>
          <w:rFonts w:ascii="Times New Roman" w:hAnsi="Times New Roman"/>
          <w:lang w:val="lt-LT"/>
        </w:rPr>
      </w:pPr>
      <w:r w:rsidRPr="00B66017">
        <w:rPr>
          <w:rFonts w:ascii="Times New Roman" w:hAnsi="Times New Roman"/>
          <w:highlight w:val="lightGray"/>
          <w:lang w:val="lt-LT"/>
        </w:rPr>
        <w:t>500 tablečių</w:t>
      </w:r>
    </w:p>
    <w:p w:rsidR="004C35E7" w:rsidRDefault="004C35E7" w:rsidP="004C35E7">
      <w:pPr>
        <w:spacing w:after="0" w:line="240" w:lineRule="auto"/>
        <w:rPr>
          <w:rFonts w:ascii="Times New Roman" w:hAnsi="Times New Roman"/>
          <w:i/>
          <w:lang w:val="lt-LT"/>
        </w:rPr>
      </w:pP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i/>
          <w:highlight w:val="lightGray"/>
          <w:lang w:val="lt-LT"/>
        </w:rPr>
        <w:t>5 mg</w:t>
      </w:r>
      <w:r w:rsidRPr="00B66017">
        <w:rPr>
          <w:rFonts w:ascii="Times New Roman" w:hAnsi="Times New Roman"/>
          <w:highlight w:val="lightGray"/>
          <w:lang w:val="lt-LT"/>
        </w:rPr>
        <w:t xml:space="preserve">: </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14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15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18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lastRenderedPageBreak/>
        <w:t>20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21</w:t>
      </w:r>
      <w:r w:rsidRPr="00B66017">
        <w:rPr>
          <w:rFonts w:ascii="Times New Roman" w:hAnsi="Times New Roman" w:cs="Times New Roman"/>
          <w:highlight w:val="lightGray"/>
          <w:lang w:val="lt-LT"/>
        </w:rPr>
        <w:t xml:space="preserve"> tabletė</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28</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45</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50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56</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90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98</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99</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100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300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320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 xml:space="preserve">500 tablečių </w:t>
      </w:r>
    </w:p>
    <w:p w:rsidR="004C35E7" w:rsidRPr="00B66017" w:rsidRDefault="004C35E7" w:rsidP="004C35E7">
      <w:pPr>
        <w:spacing w:after="0" w:line="240" w:lineRule="auto"/>
        <w:rPr>
          <w:rFonts w:ascii="Times New Roman" w:hAnsi="Times New Roman"/>
          <w:i/>
          <w:highlight w:val="lightGray"/>
          <w:lang w:val="lt-LT"/>
        </w:rPr>
      </w:pP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i/>
          <w:highlight w:val="lightGray"/>
          <w:lang w:val="lt-LT"/>
        </w:rPr>
        <w:t>10 mg</w:t>
      </w:r>
      <w:r w:rsidRPr="00B66017">
        <w:rPr>
          <w:rFonts w:ascii="Times New Roman" w:hAnsi="Times New Roman"/>
          <w:highlight w:val="lightGray"/>
          <w:lang w:val="lt-LT"/>
        </w:rPr>
        <w:t xml:space="preserve">: </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7</w:t>
      </w:r>
      <w:r>
        <w:rPr>
          <w:rFonts w:ascii="Times New Roman" w:hAnsi="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14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15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18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20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28</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45</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50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56</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90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98</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99</w:t>
      </w:r>
      <w:r w:rsidRPr="00B66017">
        <w:rPr>
          <w:rFonts w:ascii="Times New Roman" w:hAnsi="Times New Roman" w:cs="Times New Roman"/>
          <w:highlight w:val="lightGray"/>
          <w:lang w:val="lt-LT"/>
        </w:rPr>
        <w:t xml:space="preserve"> tabletės</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100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300 tablečių</w:t>
      </w:r>
    </w:p>
    <w:p w:rsidR="004C35E7" w:rsidRPr="00B66017" w:rsidRDefault="004C35E7" w:rsidP="004C35E7">
      <w:pPr>
        <w:spacing w:after="0" w:line="240" w:lineRule="auto"/>
        <w:rPr>
          <w:rFonts w:ascii="Times New Roman" w:hAnsi="Times New Roman"/>
          <w:highlight w:val="lightGray"/>
          <w:lang w:val="lt-LT"/>
        </w:rPr>
      </w:pPr>
      <w:r w:rsidRPr="00B66017">
        <w:rPr>
          <w:rFonts w:ascii="Times New Roman" w:hAnsi="Times New Roman"/>
          <w:highlight w:val="lightGray"/>
          <w:lang w:val="lt-LT"/>
        </w:rPr>
        <w:t>320 tablečių</w:t>
      </w:r>
    </w:p>
    <w:p w:rsidR="004C35E7" w:rsidRPr="00B308ED" w:rsidRDefault="004C35E7" w:rsidP="004C35E7">
      <w:pPr>
        <w:spacing w:after="0" w:line="240" w:lineRule="auto"/>
        <w:rPr>
          <w:rFonts w:ascii="Times New Roman" w:hAnsi="Times New Roman"/>
          <w:lang w:val="lt-LT"/>
        </w:rPr>
      </w:pPr>
      <w:r w:rsidRPr="00B66017">
        <w:rPr>
          <w:rFonts w:ascii="Times New Roman" w:hAnsi="Times New Roman"/>
          <w:highlight w:val="lightGray"/>
          <w:lang w:val="lt-LT"/>
        </w:rPr>
        <w:t>500 tablečių</w:t>
      </w:r>
      <w:r w:rsidRPr="00B308ED">
        <w:rPr>
          <w:rFonts w:ascii="Times New Roman" w:hAnsi="Times New Roman"/>
          <w:lang w:val="lt-LT"/>
        </w:rPr>
        <w:t xml:space="preserve"> </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5.</w:t>
      </w:r>
      <w:r w:rsidRPr="00B308ED">
        <w:tab/>
        <w:t>VARTOJIMO METODAS IR BŪDAS (-AI)</w:t>
      </w:r>
    </w:p>
    <w:p w:rsidR="004C35E7" w:rsidRPr="00B308ED" w:rsidRDefault="004C35E7" w:rsidP="004C35E7">
      <w:pPr>
        <w:pStyle w:val="BTEMEASMCA"/>
      </w:pPr>
    </w:p>
    <w:p w:rsidR="004C35E7" w:rsidRPr="00B308ED" w:rsidRDefault="004C35E7" w:rsidP="004C35E7">
      <w:pPr>
        <w:pStyle w:val="BTEMEASMCA"/>
      </w:pPr>
      <w:r w:rsidRPr="00B308ED">
        <w:t>Vartoti per burną.</w:t>
      </w:r>
    </w:p>
    <w:p w:rsidR="004C35E7" w:rsidRPr="00B308ED" w:rsidRDefault="004C35E7" w:rsidP="004C35E7">
      <w:pPr>
        <w:pStyle w:val="BTEMEASMCA"/>
      </w:pPr>
      <w:r w:rsidRPr="00B308ED">
        <w:t>Prieš vartojimą perskaitykite pakuotės lapelį.</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6.</w:t>
      </w:r>
      <w:r w:rsidRPr="00B308ED">
        <w:tab/>
        <w:t>SPECIALUS ĮSPĖJIMAS, KAD VAISTINĮ PREPARATĄ BŪTINA LAIKYTI VAIKAMS NEPASTEBIMOJE IR NEPASIEKIAMOJE VIETOJE</w:t>
      </w:r>
    </w:p>
    <w:p w:rsidR="004C35E7" w:rsidRPr="00B308ED" w:rsidRDefault="004C35E7" w:rsidP="004C35E7">
      <w:pPr>
        <w:pStyle w:val="BTEMEASMCA"/>
      </w:pPr>
    </w:p>
    <w:p w:rsidR="004C35E7" w:rsidRPr="00B308ED" w:rsidRDefault="004C35E7" w:rsidP="004C35E7">
      <w:pPr>
        <w:pStyle w:val="BTEMEASMCA"/>
      </w:pPr>
      <w:r w:rsidRPr="00B308ED">
        <w:t>Laikyti vaikams nepastebimoje ir nepasiekiamoje vietoje.</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7.</w:t>
      </w:r>
      <w:r w:rsidRPr="00B308ED">
        <w:tab/>
        <w:t>KITAS (-I) SPECIALUS (-ŪS) ĮSPĖJIMAS (-AI) (JEI REIKIA)</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8.</w:t>
      </w:r>
      <w:r w:rsidRPr="00B308ED">
        <w:tab/>
        <w:t>TINKAMUMO LAIKAS</w:t>
      </w:r>
    </w:p>
    <w:p w:rsidR="004C35E7" w:rsidRPr="00B308ED" w:rsidRDefault="004C35E7" w:rsidP="004C35E7">
      <w:pPr>
        <w:pStyle w:val="BTEMEASMCA"/>
      </w:pPr>
    </w:p>
    <w:p w:rsidR="004C35E7" w:rsidRPr="00B308ED" w:rsidRDefault="004C35E7" w:rsidP="004C35E7">
      <w:pPr>
        <w:pStyle w:val="BTEMEASMCA"/>
      </w:pPr>
      <w:r w:rsidRPr="00B308ED">
        <w:t>Tinka iki {mm/MMMM}</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9.</w:t>
      </w:r>
      <w:r w:rsidRPr="00B308ED">
        <w:tab/>
        <w:t>SPECIALIOS LAIKYMO SĄLYGOS</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10.</w:t>
      </w:r>
      <w:r w:rsidRPr="00B308ED">
        <w:tab/>
        <w:t>SPECIALIOS ATSARGUMO PRIEMONĖS DĖL NESUVARTOTO VAISTINIO PREPARATO AR JO ATLIEKŲ TVARKYMO (JEI REIKIA)</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11.</w:t>
      </w:r>
      <w:r w:rsidRPr="00B308ED">
        <w:tab/>
        <w:t>REGISTRUOTOJO PAVADINIMAS IR ADRESAS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 xml:space="preserve">UAB „SANOFI-AVENTIS LIETUVA” </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 xml:space="preserve">A.Juozapavičiaus g. 6/2 </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 xml:space="preserve">LT-09310 Vilnius </w:t>
      </w:r>
    </w:p>
    <w:p w:rsidR="004C35E7" w:rsidRPr="00B308ED" w:rsidRDefault="004C35E7" w:rsidP="004C35E7">
      <w:pPr>
        <w:pStyle w:val="BTEMEASMCA"/>
      </w:pPr>
      <w:r w:rsidRPr="00B308ED">
        <w:t>Lietuva</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12.</w:t>
      </w:r>
      <w:r w:rsidRPr="00B308ED">
        <w:tab/>
        <w:t>REGISTRACIJOS PAŽYMĖJIMO NUMERIS (-IAI)</w:t>
      </w:r>
    </w:p>
    <w:p w:rsidR="004C35E7" w:rsidRPr="00B308ED" w:rsidRDefault="004C35E7" w:rsidP="004C35E7">
      <w:pPr>
        <w:pStyle w:val="BTEMEASMCA"/>
      </w:pPr>
    </w:p>
    <w:p w:rsidR="004C35E7" w:rsidRPr="00B308ED" w:rsidRDefault="004C35E7" w:rsidP="004C35E7">
      <w:pPr>
        <w:pStyle w:val="BTEMEASMCA"/>
      </w:pPr>
      <w:r w:rsidRPr="00B308ED">
        <w:t xml:space="preserve">Cardace 2,5 mg </w:t>
      </w:r>
    </w:p>
    <w:p w:rsidR="004C35E7" w:rsidRPr="00B308ED" w:rsidRDefault="004C35E7" w:rsidP="004C35E7">
      <w:pPr>
        <w:pStyle w:val="BTEMEASMCA"/>
      </w:pPr>
      <w:r w:rsidRPr="00B308ED">
        <w:t>N28 – LT/1/97/1617/001</w:t>
      </w:r>
    </w:p>
    <w:p w:rsidR="004C35E7" w:rsidRPr="00B308ED" w:rsidRDefault="004C35E7" w:rsidP="004C35E7">
      <w:pPr>
        <w:pStyle w:val="BTEMEASMCA"/>
      </w:pPr>
      <w:r w:rsidRPr="00B308ED">
        <w:t>N98 – LT/1/97/1617/002</w:t>
      </w:r>
    </w:p>
    <w:p w:rsidR="004C35E7" w:rsidRPr="00B308ED" w:rsidRDefault="004C35E7" w:rsidP="004C35E7">
      <w:pPr>
        <w:pStyle w:val="BTEMEASMCA"/>
      </w:pPr>
      <w:r w:rsidRPr="00B308ED">
        <w:t xml:space="preserve">N7 – LT/1/97/1617/007 </w:t>
      </w:r>
    </w:p>
    <w:p w:rsidR="004C35E7" w:rsidRPr="00B308ED" w:rsidRDefault="004C35E7" w:rsidP="004C35E7">
      <w:pPr>
        <w:pStyle w:val="BTEMEASMCA"/>
      </w:pPr>
      <w:r w:rsidRPr="00B308ED">
        <w:t xml:space="preserve">N10 – LT/1/97/1617/008 </w:t>
      </w:r>
    </w:p>
    <w:p w:rsidR="004C35E7" w:rsidRPr="00B308ED" w:rsidRDefault="004C35E7" w:rsidP="004C35E7">
      <w:pPr>
        <w:pStyle w:val="BTEMEASMCA"/>
      </w:pPr>
      <w:r w:rsidRPr="00B308ED">
        <w:t xml:space="preserve">N14 – LT/1/97/1617/009 </w:t>
      </w:r>
    </w:p>
    <w:p w:rsidR="004C35E7" w:rsidRPr="00B308ED" w:rsidRDefault="004C35E7" w:rsidP="004C35E7">
      <w:pPr>
        <w:pStyle w:val="BTEMEASMCA"/>
      </w:pPr>
      <w:r w:rsidRPr="00B308ED">
        <w:t>N15 – LT/1/97/1617/010</w:t>
      </w:r>
    </w:p>
    <w:p w:rsidR="004C35E7" w:rsidRPr="00B308ED" w:rsidRDefault="004C35E7" w:rsidP="004C35E7">
      <w:pPr>
        <w:pStyle w:val="BTEMEASMCA"/>
      </w:pPr>
      <w:r w:rsidRPr="00B308ED">
        <w:t>N18 – LT/1/97/1617/011</w:t>
      </w:r>
    </w:p>
    <w:p w:rsidR="004C35E7" w:rsidRPr="00B308ED" w:rsidRDefault="004C35E7" w:rsidP="004C35E7">
      <w:pPr>
        <w:pStyle w:val="BTEMEASMCA"/>
      </w:pPr>
      <w:r w:rsidRPr="00B308ED">
        <w:t xml:space="preserve">N20 – LT/1/97/1617/012 </w:t>
      </w:r>
    </w:p>
    <w:p w:rsidR="004C35E7" w:rsidRPr="00B308ED" w:rsidRDefault="004C35E7" w:rsidP="004C35E7">
      <w:pPr>
        <w:pStyle w:val="BTEMEASMCA"/>
      </w:pPr>
      <w:r w:rsidRPr="00B308ED">
        <w:t>N30 – LT/1/97/1617/013</w:t>
      </w:r>
    </w:p>
    <w:p w:rsidR="004C35E7" w:rsidRPr="00B308ED" w:rsidRDefault="004C35E7" w:rsidP="004C35E7">
      <w:pPr>
        <w:pStyle w:val="BTEMEASMCA"/>
      </w:pPr>
      <w:r w:rsidRPr="00B308ED">
        <w:t xml:space="preserve">N45 – LT/1/97/1617/014 </w:t>
      </w:r>
    </w:p>
    <w:p w:rsidR="004C35E7" w:rsidRPr="00B308ED" w:rsidRDefault="004C35E7" w:rsidP="004C35E7">
      <w:pPr>
        <w:pStyle w:val="BTEMEASMCA"/>
      </w:pPr>
      <w:r w:rsidRPr="00B308ED">
        <w:t xml:space="preserve">N50 – LT/1/97/1617/015 </w:t>
      </w:r>
    </w:p>
    <w:p w:rsidR="004C35E7" w:rsidRPr="00B308ED" w:rsidRDefault="004C35E7" w:rsidP="004C35E7">
      <w:pPr>
        <w:pStyle w:val="BTEMEASMCA"/>
      </w:pPr>
      <w:r w:rsidRPr="00B308ED">
        <w:t xml:space="preserve">N60 – LT/1/97/1617/016 </w:t>
      </w:r>
    </w:p>
    <w:p w:rsidR="004C35E7" w:rsidRPr="00B308ED" w:rsidRDefault="004C35E7" w:rsidP="004C35E7">
      <w:pPr>
        <w:pStyle w:val="BTEMEASMCA"/>
      </w:pPr>
      <w:r w:rsidRPr="00B308ED">
        <w:t xml:space="preserve">N90 – LT/1/97/1617/017 </w:t>
      </w:r>
    </w:p>
    <w:p w:rsidR="004C35E7" w:rsidRPr="00B308ED" w:rsidRDefault="004C35E7" w:rsidP="004C35E7">
      <w:pPr>
        <w:pStyle w:val="BTEMEASMCA"/>
      </w:pPr>
      <w:r w:rsidRPr="00B308ED">
        <w:t xml:space="preserve">N99 – LT/1/97/1617/018 </w:t>
      </w:r>
    </w:p>
    <w:p w:rsidR="004C35E7" w:rsidRPr="00B308ED" w:rsidRDefault="004C35E7" w:rsidP="004C35E7">
      <w:pPr>
        <w:pStyle w:val="BTEMEASMCA"/>
      </w:pPr>
      <w:r w:rsidRPr="00B308ED">
        <w:t xml:space="preserve">N100 – LT/1/97/1617/019 </w:t>
      </w:r>
    </w:p>
    <w:p w:rsidR="004C35E7" w:rsidRPr="00B308ED" w:rsidRDefault="004C35E7" w:rsidP="004C35E7">
      <w:pPr>
        <w:pStyle w:val="BTEMEASMCA"/>
      </w:pPr>
      <w:r w:rsidRPr="00B308ED">
        <w:t>N300 – LT/1/97/1617/020</w:t>
      </w:r>
    </w:p>
    <w:p w:rsidR="004C35E7" w:rsidRPr="00B308ED" w:rsidRDefault="004C35E7" w:rsidP="004C35E7">
      <w:pPr>
        <w:pStyle w:val="BTEMEASMCA"/>
      </w:pPr>
      <w:r w:rsidRPr="00B308ED">
        <w:t>N320 – LT/1/97/1617/052</w:t>
      </w:r>
    </w:p>
    <w:p w:rsidR="004C35E7" w:rsidRPr="00B308ED" w:rsidRDefault="004C35E7" w:rsidP="004C35E7">
      <w:pPr>
        <w:pStyle w:val="BTEMEASMCA"/>
      </w:pPr>
      <w:r w:rsidRPr="00B308ED">
        <w:t>N500 – LT/1/97/1617/021</w:t>
      </w:r>
    </w:p>
    <w:p w:rsidR="004C35E7" w:rsidRPr="00B308ED" w:rsidRDefault="004C35E7" w:rsidP="004C35E7">
      <w:pPr>
        <w:pStyle w:val="BTEMEASMCA"/>
      </w:pPr>
    </w:p>
    <w:p w:rsidR="004C35E7" w:rsidRPr="00B308ED" w:rsidRDefault="004C35E7" w:rsidP="004C35E7">
      <w:pPr>
        <w:pStyle w:val="BTEMEASMCA"/>
      </w:pPr>
      <w:r w:rsidRPr="00B308ED">
        <w:t>Cardace 5 mg</w:t>
      </w:r>
    </w:p>
    <w:p w:rsidR="004C35E7" w:rsidRPr="00B308ED" w:rsidRDefault="004C35E7" w:rsidP="004C35E7">
      <w:pPr>
        <w:pStyle w:val="BTEMEASMCA"/>
      </w:pPr>
      <w:r w:rsidRPr="00B308ED">
        <w:t>N28 – LT/1/97/1617/003</w:t>
      </w:r>
    </w:p>
    <w:p w:rsidR="004C35E7" w:rsidRPr="00B308ED" w:rsidRDefault="004C35E7" w:rsidP="004C35E7">
      <w:pPr>
        <w:pStyle w:val="BTEMEASMCA"/>
      </w:pPr>
      <w:r w:rsidRPr="00B308ED">
        <w:t>N98 – LT/1/97/1617/004</w:t>
      </w:r>
    </w:p>
    <w:p w:rsidR="004C35E7" w:rsidRPr="00B308ED" w:rsidRDefault="004C35E7" w:rsidP="004C35E7">
      <w:pPr>
        <w:pStyle w:val="BTEMEASMCA"/>
      </w:pPr>
      <w:r w:rsidRPr="00B308ED">
        <w:t>N10 – LT/1/97/1617/022</w:t>
      </w:r>
    </w:p>
    <w:p w:rsidR="004C35E7" w:rsidRPr="00B308ED" w:rsidRDefault="004C35E7" w:rsidP="004C35E7">
      <w:pPr>
        <w:pStyle w:val="BTEMEASMCA"/>
      </w:pPr>
      <w:r w:rsidRPr="00B308ED">
        <w:t>N14 – LT/1/97/1617/023</w:t>
      </w:r>
    </w:p>
    <w:p w:rsidR="004C35E7" w:rsidRPr="00B308ED" w:rsidRDefault="004C35E7" w:rsidP="004C35E7">
      <w:pPr>
        <w:pStyle w:val="BTEMEASMCA"/>
      </w:pPr>
      <w:r w:rsidRPr="00B308ED">
        <w:t>N15 – LT/1/97/1617/024</w:t>
      </w:r>
    </w:p>
    <w:p w:rsidR="004C35E7" w:rsidRPr="00B308ED" w:rsidRDefault="004C35E7" w:rsidP="004C35E7">
      <w:pPr>
        <w:pStyle w:val="BTEMEASMCA"/>
      </w:pPr>
      <w:r w:rsidRPr="00B308ED">
        <w:t>N18 – LT/1/97/1617/025</w:t>
      </w:r>
    </w:p>
    <w:p w:rsidR="004C35E7" w:rsidRPr="00B308ED" w:rsidRDefault="004C35E7" w:rsidP="004C35E7">
      <w:pPr>
        <w:pStyle w:val="BTEMEASMCA"/>
      </w:pPr>
      <w:r w:rsidRPr="00B308ED">
        <w:t xml:space="preserve">N20 – LT/1/97/1617/026 </w:t>
      </w:r>
    </w:p>
    <w:p w:rsidR="004C35E7" w:rsidRPr="00B308ED" w:rsidRDefault="004C35E7" w:rsidP="004C35E7">
      <w:pPr>
        <w:pStyle w:val="BTEMEASMCA"/>
      </w:pPr>
      <w:r w:rsidRPr="00B308ED">
        <w:t>N21 – LT/1/97/1617/027</w:t>
      </w:r>
    </w:p>
    <w:p w:rsidR="004C35E7" w:rsidRPr="00B308ED" w:rsidRDefault="004C35E7" w:rsidP="004C35E7">
      <w:pPr>
        <w:pStyle w:val="BTEMEASMCA"/>
      </w:pPr>
      <w:r w:rsidRPr="00B308ED">
        <w:t>N30 – LT/1/97/1617/028</w:t>
      </w:r>
    </w:p>
    <w:p w:rsidR="004C35E7" w:rsidRPr="00B308ED" w:rsidRDefault="004C35E7" w:rsidP="004C35E7">
      <w:pPr>
        <w:pStyle w:val="BTEMEASMCA"/>
      </w:pPr>
      <w:r w:rsidRPr="00B308ED">
        <w:t xml:space="preserve">N45 – LT/1/97/1617/029 </w:t>
      </w:r>
    </w:p>
    <w:p w:rsidR="004C35E7" w:rsidRPr="00B308ED" w:rsidRDefault="004C35E7" w:rsidP="004C35E7">
      <w:pPr>
        <w:pStyle w:val="BTEMEASMCA"/>
      </w:pPr>
      <w:r w:rsidRPr="00B308ED">
        <w:lastRenderedPageBreak/>
        <w:t>N50 – LT/1/97/1617/030</w:t>
      </w:r>
    </w:p>
    <w:p w:rsidR="004C35E7" w:rsidRPr="00B308ED" w:rsidRDefault="004C35E7" w:rsidP="004C35E7">
      <w:pPr>
        <w:pStyle w:val="BTEMEASMCA"/>
      </w:pPr>
      <w:r w:rsidRPr="00B308ED">
        <w:t xml:space="preserve">N56 – LT/1/97/1617/031 </w:t>
      </w:r>
    </w:p>
    <w:p w:rsidR="004C35E7" w:rsidRPr="00B308ED" w:rsidRDefault="004C35E7" w:rsidP="004C35E7">
      <w:pPr>
        <w:pStyle w:val="BTEMEASMCA"/>
      </w:pPr>
      <w:r w:rsidRPr="00B308ED">
        <w:t xml:space="preserve">N90 – LT/1/97/1617/032 </w:t>
      </w:r>
    </w:p>
    <w:p w:rsidR="004C35E7" w:rsidRPr="00B308ED" w:rsidRDefault="004C35E7" w:rsidP="004C35E7">
      <w:pPr>
        <w:pStyle w:val="BTEMEASMCA"/>
      </w:pPr>
      <w:r w:rsidRPr="00B308ED">
        <w:t xml:space="preserve">N99 – LT/1/97/1617/033 </w:t>
      </w:r>
    </w:p>
    <w:p w:rsidR="004C35E7" w:rsidRPr="00B308ED" w:rsidRDefault="004C35E7" w:rsidP="004C35E7">
      <w:pPr>
        <w:pStyle w:val="BTEMEASMCA"/>
      </w:pPr>
      <w:r w:rsidRPr="00B308ED">
        <w:t xml:space="preserve">N100 – LT/1/97/1617/034 </w:t>
      </w:r>
    </w:p>
    <w:p w:rsidR="004C35E7" w:rsidRPr="00B308ED" w:rsidRDefault="004C35E7" w:rsidP="004C35E7">
      <w:pPr>
        <w:pStyle w:val="BTEMEASMCA"/>
      </w:pPr>
      <w:r w:rsidRPr="00B308ED">
        <w:t>N300 – LT/1/97/1617/035</w:t>
      </w:r>
    </w:p>
    <w:p w:rsidR="004C35E7" w:rsidRPr="00B308ED" w:rsidRDefault="004C35E7" w:rsidP="004C35E7">
      <w:pPr>
        <w:pStyle w:val="BTEMEASMCA"/>
      </w:pPr>
      <w:r w:rsidRPr="00B308ED">
        <w:t xml:space="preserve">N320 – LT/1/97/1617/053 </w:t>
      </w:r>
    </w:p>
    <w:p w:rsidR="004C35E7" w:rsidRPr="00B308ED" w:rsidRDefault="004C35E7" w:rsidP="004C35E7">
      <w:pPr>
        <w:pStyle w:val="BTEMEASMCA"/>
      </w:pPr>
      <w:r w:rsidRPr="00B308ED">
        <w:t>N500 – LT/1/97/1617/036</w:t>
      </w:r>
    </w:p>
    <w:p w:rsidR="004C35E7" w:rsidRPr="00B308ED" w:rsidRDefault="004C35E7" w:rsidP="004C35E7">
      <w:pPr>
        <w:pStyle w:val="BTEMEASMCA"/>
      </w:pPr>
    </w:p>
    <w:p w:rsidR="004C35E7" w:rsidRDefault="004C35E7" w:rsidP="004C35E7">
      <w:pPr>
        <w:pStyle w:val="BTEMEASMCA"/>
      </w:pPr>
    </w:p>
    <w:p w:rsidR="004C35E7" w:rsidRPr="00B308ED" w:rsidRDefault="004C35E7" w:rsidP="004C35E7">
      <w:pPr>
        <w:pStyle w:val="BTEMEASMCA"/>
      </w:pPr>
    </w:p>
    <w:p w:rsidR="004C35E7" w:rsidRPr="00B308ED" w:rsidRDefault="004C35E7" w:rsidP="004C35E7">
      <w:pPr>
        <w:pStyle w:val="BTEMEASMCA"/>
      </w:pPr>
      <w:r w:rsidRPr="00B308ED">
        <w:t>Cardace 10 mg</w:t>
      </w:r>
    </w:p>
    <w:p w:rsidR="004C35E7" w:rsidRPr="00B308ED" w:rsidRDefault="004C35E7" w:rsidP="004C35E7">
      <w:pPr>
        <w:pStyle w:val="BTEMEASMCA"/>
      </w:pPr>
      <w:r w:rsidRPr="00B308ED">
        <w:t>N28 – LT/1/97/1617/005</w:t>
      </w:r>
    </w:p>
    <w:p w:rsidR="004C35E7" w:rsidRPr="00B308ED" w:rsidRDefault="004C35E7" w:rsidP="004C35E7">
      <w:pPr>
        <w:pStyle w:val="BTEMEASMCA"/>
      </w:pPr>
      <w:r w:rsidRPr="00B308ED">
        <w:t>N98 – LT/1/97/1617/006</w:t>
      </w:r>
    </w:p>
    <w:p w:rsidR="004C35E7" w:rsidRPr="00B308ED" w:rsidRDefault="004C35E7" w:rsidP="004C35E7">
      <w:pPr>
        <w:pStyle w:val="BTEMEASMCA"/>
      </w:pPr>
      <w:r w:rsidRPr="00B308ED">
        <w:t>N7 – LT/1/97/1617/037</w:t>
      </w:r>
    </w:p>
    <w:p w:rsidR="004C35E7" w:rsidRPr="00B308ED" w:rsidRDefault="004C35E7" w:rsidP="004C35E7">
      <w:pPr>
        <w:pStyle w:val="BTEMEASMCA"/>
      </w:pPr>
      <w:r w:rsidRPr="00B308ED">
        <w:t>N10 – LT/1/97/1617/038</w:t>
      </w:r>
    </w:p>
    <w:p w:rsidR="004C35E7" w:rsidRPr="00B308ED" w:rsidRDefault="004C35E7" w:rsidP="004C35E7">
      <w:pPr>
        <w:pStyle w:val="BTEMEASMCA"/>
      </w:pPr>
      <w:r w:rsidRPr="00B308ED">
        <w:t>N14 – LT/1/97/1617/039</w:t>
      </w:r>
    </w:p>
    <w:p w:rsidR="004C35E7" w:rsidRPr="00B308ED" w:rsidRDefault="004C35E7" w:rsidP="004C35E7">
      <w:pPr>
        <w:pStyle w:val="BTEMEASMCA"/>
      </w:pPr>
      <w:r w:rsidRPr="00B308ED">
        <w:t>N15 – LT/1/97/1617/040</w:t>
      </w:r>
    </w:p>
    <w:p w:rsidR="004C35E7" w:rsidRPr="00B308ED" w:rsidRDefault="004C35E7" w:rsidP="004C35E7">
      <w:pPr>
        <w:pStyle w:val="BTEMEASMCA"/>
      </w:pPr>
      <w:r w:rsidRPr="00B308ED">
        <w:t>N18 – LT/1/97/1617/041</w:t>
      </w:r>
    </w:p>
    <w:p w:rsidR="004C35E7" w:rsidRPr="00B308ED" w:rsidRDefault="004C35E7" w:rsidP="004C35E7">
      <w:pPr>
        <w:pStyle w:val="BTEMEASMCA"/>
      </w:pPr>
      <w:r w:rsidRPr="00B308ED">
        <w:t xml:space="preserve">N20 – LT/1/97/1617/042 </w:t>
      </w:r>
    </w:p>
    <w:p w:rsidR="004C35E7" w:rsidRPr="00B308ED" w:rsidRDefault="004C35E7" w:rsidP="004C35E7">
      <w:pPr>
        <w:pStyle w:val="BTEMEASMCA"/>
      </w:pPr>
      <w:r w:rsidRPr="00B308ED">
        <w:t>N30 – LT/1/97/1617/043</w:t>
      </w:r>
    </w:p>
    <w:p w:rsidR="004C35E7" w:rsidRPr="00B308ED" w:rsidRDefault="004C35E7" w:rsidP="004C35E7">
      <w:pPr>
        <w:pStyle w:val="BTEMEASMCA"/>
      </w:pPr>
      <w:r w:rsidRPr="00B308ED">
        <w:t xml:space="preserve">N45 – LT/1/97/1617/044 </w:t>
      </w:r>
    </w:p>
    <w:p w:rsidR="004C35E7" w:rsidRPr="00B308ED" w:rsidRDefault="004C35E7" w:rsidP="004C35E7">
      <w:pPr>
        <w:pStyle w:val="BTEMEASMCA"/>
      </w:pPr>
      <w:r w:rsidRPr="00B308ED">
        <w:t>N50 – LT/1/97/1617/045</w:t>
      </w:r>
    </w:p>
    <w:p w:rsidR="004C35E7" w:rsidRPr="00B308ED" w:rsidRDefault="004C35E7" w:rsidP="004C35E7">
      <w:pPr>
        <w:pStyle w:val="BTEMEASMCA"/>
      </w:pPr>
      <w:r w:rsidRPr="00B308ED">
        <w:t xml:space="preserve">N56 – LT/1/97/1617/046 </w:t>
      </w:r>
    </w:p>
    <w:p w:rsidR="004C35E7" w:rsidRPr="00B308ED" w:rsidRDefault="004C35E7" w:rsidP="004C35E7">
      <w:pPr>
        <w:pStyle w:val="BTEMEASMCA"/>
      </w:pPr>
      <w:r w:rsidRPr="00B308ED">
        <w:t xml:space="preserve">N90 – LT/1/97/1617/047 </w:t>
      </w:r>
    </w:p>
    <w:p w:rsidR="004C35E7" w:rsidRPr="00B308ED" w:rsidRDefault="004C35E7" w:rsidP="004C35E7">
      <w:pPr>
        <w:pStyle w:val="BTEMEASMCA"/>
      </w:pPr>
      <w:r w:rsidRPr="00B308ED">
        <w:t xml:space="preserve">N99 – LT/1/97/1617/048 </w:t>
      </w:r>
    </w:p>
    <w:p w:rsidR="004C35E7" w:rsidRPr="00B308ED" w:rsidRDefault="004C35E7" w:rsidP="004C35E7">
      <w:pPr>
        <w:pStyle w:val="BTEMEASMCA"/>
      </w:pPr>
      <w:r w:rsidRPr="00B308ED">
        <w:t xml:space="preserve">N100 – LT/1/97/1617/049 </w:t>
      </w:r>
    </w:p>
    <w:p w:rsidR="004C35E7" w:rsidRPr="00B308ED" w:rsidRDefault="004C35E7" w:rsidP="004C35E7">
      <w:pPr>
        <w:pStyle w:val="BTEMEASMCA"/>
      </w:pPr>
      <w:r w:rsidRPr="00B308ED">
        <w:t>N300 – LT/1/97/1617/050</w:t>
      </w:r>
    </w:p>
    <w:p w:rsidR="004C35E7" w:rsidRPr="00B308ED" w:rsidRDefault="004C35E7" w:rsidP="004C35E7">
      <w:pPr>
        <w:pStyle w:val="BTEMEASMCA"/>
      </w:pPr>
      <w:r w:rsidRPr="00B308ED">
        <w:t xml:space="preserve">N320 – LT/1/97/1617/054 </w:t>
      </w:r>
    </w:p>
    <w:p w:rsidR="004C35E7" w:rsidRPr="00B308ED" w:rsidRDefault="004C35E7" w:rsidP="004C35E7">
      <w:pPr>
        <w:pStyle w:val="BTEMEASMCA"/>
      </w:pPr>
      <w:r w:rsidRPr="00B308ED">
        <w:t>N500 – LT/1/97/1617/051</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13.</w:t>
      </w:r>
      <w:r w:rsidRPr="00B308ED">
        <w:tab/>
        <w:t>SERIJOS NUMERIS</w:t>
      </w:r>
    </w:p>
    <w:p w:rsidR="004C35E7" w:rsidRPr="00B308ED" w:rsidRDefault="004C35E7" w:rsidP="004C35E7">
      <w:pPr>
        <w:pStyle w:val="BTEMEASMCA"/>
      </w:pPr>
    </w:p>
    <w:p w:rsidR="004C35E7" w:rsidRPr="00B308ED" w:rsidRDefault="004C35E7" w:rsidP="004C35E7">
      <w:pPr>
        <w:pStyle w:val="BTEMEASMCA"/>
      </w:pPr>
      <w:r w:rsidRPr="00B308ED">
        <w:t>Serija {numeris}</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14.</w:t>
      </w:r>
      <w:r w:rsidRPr="00B308ED">
        <w:tab/>
        <w:t>PARDAVIMO (IŠDAVIMO) TVARKA</w:t>
      </w:r>
    </w:p>
    <w:p w:rsidR="004C35E7" w:rsidRPr="00B308ED" w:rsidRDefault="004C35E7" w:rsidP="004C35E7">
      <w:pPr>
        <w:pStyle w:val="BTEMEASMCA"/>
      </w:pPr>
    </w:p>
    <w:p w:rsidR="004C35E7" w:rsidRPr="00B308ED" w:rsidRDefault="004C35E7" w:rsidP="004C35E7">
      <w:pPr>
        <w:pStyle w:val="BTEMEASMCA"/>
      </w:pPr>
      <w:r w:rsidRPr="00B308ED">
        <w:t xml:space="preserve">Receptinis </w:t>
      </w:r>
      <w:r w:rsidR="00230553">
        <w:t>vaistas</w:t>
      </w:r>
      <w:r w:rsidRPr="00B308ED">
        <w:t>.</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15.</w:t>
      </w:r>
      <w:r w:rsidRPr="00B308ED">
        <w:tab/>
        <w:t>VARTOJIMO INSTRUKCIJA</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16.</w:t>
      </w:r>
      <w:r w:rsidRPr="00B308ED">
        <w:tab/>
        <w:t>INFORMACIJA BRAILIO RAŠTU</w:t>
      </w:r>
    </w:p>
    <w:p w:rsidR="004C35E7" w:rsidRPr="00B308ED" w:rsidRDefault="004C35E7" w:rsidP="004C35E7">
      <w:pPr>
        <w:pStyle w:val="BTEMEASMCA"/>
      </w:pPr>
    </w:p>
    <w:p w:rsidR="004C35E7" w:rsidRPr="00B308ED" w:rsidRDefault="004C35E7" w:rsidP="004C35E7">
      <w:pPr>
        <w:pStyle w:val="BTEMEASMCA"/>
      </w:pPr>
      <w:r w:rsidRPr="00B308ED">
        <w:t>Cardace 2,5 mg</w:t>
      </w:r>
    </w:p>
    <w:p w:rsidR="004C35E7" w:rsidRPr="00B66017" w:rsidRDefault="004C35E7" w:rsidP="004C35E7">
      <w:pPr>
        <w:pStyle w:val="BTEMEASMCA"/>
        <w:rPr>
          <w:highlight w:val="lightGray"/>
        </w:rPr>
      </w:pPr>
      <w:r w:rsidRPr="00B66017">
        <w:rPr>
          <w:highlight w:val="lightGray"/>
        </w:rPr>
        <w:t xml:space="preserve">Cardace 5 mg </w:t>
      </w:r>
    </w:p>
    <w:p w:rsidR="004C35E7" w:rsidRPr="00B308ED" w:rsidRDefault="004C35E7" w:rsidP="004C35E7">
      <w:pPr>
        <w:pStyle w:val="BTEMEASMCA"/>
        <w:rPr>
          <w:shd w:val="clear" w:color="auto" w:fill="C0C0C0"/>
        </w:rPr>
      </w:pPr>
      <w:r w:rsidRPr="00B66017">
        <w:rPr>
          <w:highlight w:val="lightGray"/>
        </w:rPr>
        <w:t>Cardace 10 mg</w:t>
      </w:r>
    </w:p>
    <w:p w:rsidR="004C35E7" w:rsidRPr="00B308ED" w:rsidRDefault="004C35E7" w:rsidP="004C35E7">
      <w:pPr>
        <w:pStyle w:val="BTEMEASMCA"/>
      </w:pPr>
    </w:p>
    <w:p w:rsidR="00230553" w:rsidRPr="00230553" w:rsidRDefault="00230553" w:rsidP="00230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en-US" w:bidi="ar-SA"/>
        </w:rPr>
      </w:pPr>
      <w:r w:rsidRPr="00230553">
        <w:rPr>
          <w:rFonts w:ascii="Times New Roman" w:eastAsia="Times New Roman" w:hAnsi="Times New Roman" w:cs="Times New Roman"/>
          <w:b/>
          <w:noProof/>
          <w:lang w:val="lt-LT" w:eastAsia="en-US" w:bidi="ar-SA"/>
        </w:rPr>
        <w:t>17.</w:t>
      </w:r>
      <w:r w:rsidRPr="00230553">
        <w:rPr>
          <w:rFonts w:ascii="Times New Roman" w:eastAsia="Times New Roman" w:hAnsi="Times New Roman" w:cs="Times New Roman"/>
          <w:b/>
          <w:noProof/>
          <w:lang w:val="lt-LT" w:eastAsia="en-US" w:bidi="ar-SA"/>
        </w:rPr>
        <w:tab/>
        <w:t>UNIKALUS IDENTIFIKATORIUS – 2D BRŪKŠNINIS KODAS</w:t>
      </w: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r w:rsidRPr="00230553">
        <w:rPr>
          <w:rFonts w:ascii="Times New Roman" w:eastAsia="Times New Roman" w:hAnsi="Times New Roman" w:cs="Times New Roman"/>
          <w:noProof/>
          <w:highlight w:val="lightGray"/>
          <w:lang w:val="lt-LT" w:eastAsia="en-US" w:bidi="ar-SA"/>
        </w:rPr>
        <w:t>2D brūkšninis kodas su nurodytu unikaliu identifikatoriumi.</w:t>
      </w: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p>
    <w:p w:rsidR="00230553" w:rsidRPr="00230553" w:rsidRDefault="00230553" w:rsidP="0023055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lang w:val="lt-LT" w:eastAsia="en-US" w:bidi="ar-SA"/>
        </w:rPr>
      </w:pPr>
      <w:r w:rsidRPr="00230553">
        <w:rPr>
          <w:rFonts w:ascii="Times New Roman" w:eastAsia="Times New Roman" w:hAnsi="Times New Roman" w:cs="Times New Roman"/>
          <w:b/>
          <w:noProof/>
          <w:lang w:val="lt-LT" w:eastAsia="en-US" w:bidi="ar-SA"/>
        </w:rPr>
        <w:t>18.</w:t>
      </w:r>
      <w:r w:rsidRPr="00230553">
        <w:rPr>
          <w:rFonts w:ascii="Times New Roman" w:eastAsia="Times New Roman" w:hAnsi="Times New Roman" w:cs="Times New Roman"/>
          <w:b/>
          <w:noProof/>
          <w:lang w:val="lt-LT" w:eastAsia="en-US" w:bidi="ar-SA"/>
        </w:rPr>
        <w:tab/>
        <w:t>UNIKALUS IDENTIFIKATORIUS – ŽMONĖMS SUPRANTAMI DUOMENYS</w:t>
      </w: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r w:rsidRPr="00230553">
        <w:rPr>
          <w:rFonts w:ascii="Times New Roman" w:eastAsia="Times New Roman" w:hAnsi="Times New Roman" w:cs="Times New Roman"/>
          <w:noProof/>
          <w:lang w:val="lt-LT" w:eastAsia="en-US" w:bidi="ar-SA"/>
        </w:rPr>
        <w:t>PC: {numeris}</w:t>
      </w: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r w:rsidRPr="00230553">
        <w:rPr>
          <w:rFonts w:ascii="Times New Roman" w:eastAsia="Times New Roman" w:hAnsi="Times New Roman" w:cs="Times New Roman"/>
          <w:noProof/>
          <w:lang w:val="lt-LT" w:eastAsia="en-US" w:bidi="ar-SA"/>
        </w:rPr>
        <w:t>SN: {numeris}</w:t>
      </w: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r w:rsidRPr="00230553">
        <w:rPr>
          <w:rFonts w:ascii="Times New Roman" w:eastAsia="Times New Roman" w:hAnsi="Times New Roman" w:cs="Times New Roman"/>
          <w:noProof/>
          <w:lang w:val="lt-LT" w:eastAsia="en-US" w:bidi="ar-SA"/>
        </w:rPr>
        <w:t>NN: {numeris}</w:t>
      </w:r>
    </w:p>
    <w:p w:rsidR="00230553" w:rsidRPr="00230553" w:rsidRDefault="00230553" w:rsidP="00230553">
      <w:pPr>
        <w:tabs>
          <w:tab w:val="left" w:pos="540"/>
        </w:tabs>
        <w:spacing w:after="0" w:line="240" w:lineRule="auto"/>
        <w:rPr>
          <w:rFonts w:ascii="Times New Roman" w:eastAsia="Times New Roman" w:hAnsi="Times New Roman" w:cs="Times New Roman"/>
          <w:noProof/>
          <w:lang w:val="lt-LT" w:eastAsia="en-US" w:bidi="ar-SA"/>
        </w:rPr>
      </w:pPr>
    </w:p>
    <w:p w:rsidR="004C35E7" w:rsidRPr="00B308ED" w:rsidRDefault="004C35E7" w:rsidP="004C35E7">
      <w:pPr>
        <w:spacing w:after="0" w:line="240" w:lineRule="auto"/>
        <w:rPr>
          <w:rFonts w:ascii="Times New Roman" w:hAnsi="Times New Roman"/>
          <w:lang w:val="lt-LT"/>
        </w:rPr>
      </w:pPr>
      <w:r w:rsidRPr="000049E3">
        <w:rPr>
          <w:lang w:val="lt-LT"/>
        </w:rPr>
        <w:br w:type="page"/>
      </w:r>
    </w:p>
    <w:p w:rsidR="004C35E7" w:rsidRPr="00B308ED" w:rsidRDefault="004C35E7" w:rsidP="004C35E7">
      <w:pPr>
        <w:pStyle w:val="PI-1labEMEASMCA"/>
      </w:pPr>
      <w:r w:rsidRPr="00B308ED">
        <w:lastRenderedPageBreak/>
        <w:t xml:space="preserve">MINIMALI </w:t>
      </w:r>
      <w:r w:rsidRPr="00B308ED">
        <w:rPr>
          <w:caps/>
        </w:rPr>
        <w:t xml:space="preserve">informacija ant </w:t>
      </w:r>
      <w:r w:rsidRPr="00B308ED">
        <w:t>LIZDINIŲ PLOKŠTELIŲ ARBA DVISLUOKSNIŲ JUOSTELIŲ</w:t>
      </w:r>
    </w:p>
    <w:p w:rsidR="004C35E7" w:rsidRDefault="004C35E7" w:rsidP="004C35E7">
      <w:pPr>
        <w:pStyle w:val="PI-1labEMEASMCA"/>
      </w:pPr>
    </w:p>
    <w:p w:rsidR="004C35E7" w:rsidRPr="00B308ED" w:rsidRDefault="004C35E7" w:rsidP="004C35E7">
      <w:pPr>
        <w:pStyle w:val="PI-1labEMEASMCA"/>
      </w:pPr>
      <w:r w:rsidRPr="00B308ED">
        <w:t>LIZDINĖ PLOKŠTELĖ</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1.</w:t>
      </w:r>
      <w:r w:rsidRPr="00B308ED">
        <w:tab/>
        <w:t>VAISTINIO PREPARATO PAVADINIMAS</w:t>
      </w:r>
    </w:p>
    <w:p w:rsidR="004C35E7" w:rsidRPr="00B308ED" w:rsidRDefault="004C35E7" w:rsidP="004C35E7">
      <w:pPr>
        <w:pStyle w:val="BTEMEASMCA"/>
      </w:pPr>
    </w:p>
    <w:p w:rsidR="004C35E7" w:rsidRPr="00B308ED" w:rsidRDefault="004C35E7" w:rsidP="004C35E7">
      <w:pPr>
        <w:pStyle w:val="BTEMEASMCA"/>
      </w:pPr>
      <w:r w:rsidRPr="00B308ED">
        <w:t>Cardace 2,5 mg tabletės</w:t>
      </w:r>
    </w:p>
    <w:p w:rsidR="004C35E7" w:rsidRPr="00B66017" w:rsidRDefault="004C35E7" w:rsidP="004C35E7">
      <w:pPr>
        <w:pStyle w:val="BTEMEASMCA"/>
        <w:rPr>
          <w:highlight w:val="lightGray"/>
        </w:rPr>
      </w:pPr>
      <w:r w:rsidRPr="00B66017">
        <w:rPr>
          <w:highlight w:val="lightGray"/>
        </w:rPr>
        <w:t>Cardace 5 mg tabletės</w:t>
      </w:r>
    </w:p>
    <w:p w:rsidR="004C35E7" w:rsidRPr="00B308ED" w:rsidRDefault="004C35E7" w:rsidP="004C35E7">
      <w:pPr>
        <w:spacing w:after="0" w:line="240" w:lineRule="auto"/>
        <w:rPr>
          <w:rFonts w:ascii="Times New Roman" w:hAnsi="Times New Roman" w:cs="Times New Roman"/>
          <w:lang w:val="lt-LT"/>
        </w:rPr>
      </w:pPr>
      <w:r w:rsidRPr="00B66017">
        <w:rPr>
          <w:rFonts w:ascii="Times New Roman" w:hAnsi="Times New Roman"/>
          <w:highlight w:val="lightGray"/>
          <w:lang w:val="lt-LT"/>
        </w:rPr>
        <w:t>Cardace 10 mg tabletės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BTEMEASMCA"/>
      </w:pPr>
      <w:r w:rsidRPr="00B308ED">
        <w:t>Ramiprilum</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2.</w:t>
      </w:r>
      <w:r w:rsidRPr="00B308ED">
        <w:tab/>
        <w:t>REGISTRUOTOJO PAVADINIMAS</w:t>
      </w:r>
    </w:p>
    <w:p w:rsidR="004C35E7" w:rsidRPr="00B308ED" w:rsidRDefault="004C35E7" w:rsidP="004C35E7">
      <w:pPr>
        <w:pStyle w:val="BTEMEASMCA"/>
      </w:pPr>
    </w:p>
    <w:p w:rsidR="004C35E7" w:rsidRPr="00B308ED" w:rsidRDefault="004C35E7" w:rsidP="004C35E7">
      <w:pPr>
        <w:pStyle w:val="BTEMEASMCA"/>
      </w:pPr>
      <w:r w:rsidRPr="00B308ED">
        <w:t>SANOFI</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3.</w:t>
      </w:r>
      <w:r w:rsidRPr="00B308ED">
        <w:tab/>
        <w:t>TINKAMUMO LAIKAS</w:t>
      </w:r>
    </w:p>
    <w:p w:rsidR="004C35E7" w:rsidRPr="00B308ED" w:rsidRDefault="004C35E7" w:rsidP="004C35E7">
      <w:pPr>
        <w:pStyle w:val="BTEMEASMCA"/>
      </w:pPr>
    </w:p>
    <w:p w:rsidR="004C35E7" w:rsidRPr="00B308ED" w:rsidRDefault="004C35E7" w:rsidP="004C35E7">
      <w:pPr>
        <w:pStyle w:val="BTEMEASMCA"/>
      </w:pPr>
      <w:r w:rsidRPr="00B308ED">
        <w:t>EXP {mm/MMMM}</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4.</w:t>
      </w:r>
      <w:r w:rsidRPr="00B308ED">
        <w:tab/>
        <w:t>SERIJOS NUMERIS</w:t>
      </w:r>
    </w:p>
    <w:p w:rsidR="004C35E7" w:rsidRPr="00B308ED" w:rsidRDefault="004C35E7" w:rsidP="004C35E7">
      <w:pPr>
        <w:pStyle w:val="BTEMEASMCA"/>
      </w:pPr>
    </w:p>
    <w:p w:rsidR="004C35E7" w:rsidRPr="00B308ED" w:rsidRDefault="004C35E7" w:rsidP="004C35E7">
      <w:pPr>
        <w:pStyle w:val="BTEMEASMCA"/>
      </w:pPr>
      <w:r w:rsidRPr="00B308ED">
        <w:t>Lot {numeris}</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labEMEASMCA"/>
      </w:pPr>
      <w:r w:rsidRPr="00B308ED">
        <w:t>5.</w:t>
      </w:r>
      <w:r w:rsidRPr="00B308ED">
        <w:tab/>
        <w:t>KITA</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BTEMEASMCA"/>
      </w:pPr>
    </w:p>
    <w:p w:rsidR="004C35E7" w:rsidRPr="00B308ED" w:rsidRDefault="004C35E7" w:rsidP="004C35E7">
      <w:pPr>
        <w:spacing w:after="0" w:line="240" w:lineRule="auto"/>
        <w:rPr>
          <w:rFonts w:ascii="Times New Roman" w:eastAsia="Times New Roman" w:hAnsi="Times New Roman" w:cs="Times New Roman"/>
          <w:lang w:val="lt-LT" w:eastAsia="ar-SA" w:bidi="ar-SA"/>
        </w:rPr>
      </w:pPr>
      <w:r w:rsidRPr="00B308ED">
        <w:br w:type="page"/>
      </w:r>
    </w:p>
    <w:p w:rsidR="004C35E7" w:rsidRPr="00B308ED" w:rsidRDefault="004C35E7" w:rsidP="004C35E7">
      <w:pPr>
        <w:pStyle w:val="BTEMEASMCA"/>
      </w:pPr>
    </w:p>
    <w:p w:rsidR="004C35E7" w:rsidRPr="00B308ED" w:rsidRDefault="004C35E7" w:rsidP="004C35E7">
      <w:pPr>
        <w:pStyle w:val="TTEMEASMCA"/>
        <w:rPr>
          <w:lang w:val="lt-LT"/>
        </w:rPr>
      </w:pPr>
      <w:bookmarkStart w:id="4" w:name="_Toc129243128"/>
      <w:bookmarkStart w:id="5" w:name="_Toc129243253"/>
    </w:p>
    <w:p w:rsidR="004C35E7" w:rsidRPr="00B308ED" w:rsidRDefault="004C35E7" w:rsidP="004C35E7">
      <w:pPr>
        <w:pStyle w:val="TTEMEASMCA"/>
        <w:rPr>
          <w:lang w:val="lt-LT"/>
        </w:rPr>
      </w:pPr>
    </w:p>
    <w:bookmarkEnd w:id="4"/>
    <w:bookmarkEnd w:id="5"/>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p>
    <w:p w:rsidR="004C35E7" w:rsidRPr="00B308ED" w:rsidRDefault="004C35E7" w:rsidP="004C35E7">
      <w:pPr>
        <w:pStyle w:val="TTEMEASMCA"/>
        <w:rPr>
          <w:lang w:val="lt-LT"/>
        </w:rPr>
      </w:pPr>
      <w:r w:rsidRPr="00B308ED">
        <w:rPr>
          <w:lang w:val="lt-LT"/>
        </w:rPr>
        <w:t>B. PAKUOTĖS LAPELIS</w:t>
      </w:r>
      <w:r w:rsidRPr="00B308ED">
        <w:br w:type="page"/>
      </w:r>
      <w:r w:rsidRPr="00B308ED">
        <w:rPr>
          <w:caps w:val="0"/>
          <w:lang w:val="lt-LT"/>
        </w:rPr>
        <w:lastRenderedPageBreak/>
        <w:t>Pakuotės lapelis: informacija vartotojui</w:t>
      </w:r>
    </w:p>
    <w:p w:rsidR="004C35E7" w:rsidRPr="00B308ED" w:rsidRDefault="004C35E7" w:rsidP="004C35E7">
      <w:pPr>
        <w:pStyle w:val="BTEMEASMCA"/>
      </w:pPr>
    </w:p>
    <w:p w:rsidR="004C35E7" w:rsidRPr="00B308ED" w:rsidRDefault="004C35E7" w:rsidP="004C35E7">
      <w:pPr>
        <w:pStyle w:val="BTEMEASMCA"/>
        <w:jc w:val="center"/>
        <w:rPr>
          <w:b/>
        </w:rPr>
      </w:pPr>
      <w:r w:rsidRPr="00B308ED">
        <w:rPr>
          <w:b/>
        </w:rPr>
        <w:t>Cardace 2,5 mg tabletės</w:t>
      </w:r>
    </w:p>
    <w:p w:rsidR="004C35E7" w:rsidRPr="00B66017" w:rsidRDefault="004C35E7" w:rsidP="004C35E7">
      <w:pPr>
        <w:pStyle w:val="BTEMEASMCA"/>
        <w:jc w:val="center"/>
        <w:rPr>
          <w:b/>
          <w:highlight w:val="lightGray"/>
        </w:rPr>
      </w:pPr>
      <w:r w:rsidRPr="00B66017">
        <w:rPr>
          <w:b/>
          <w:highlight w:val="lightGray"/>
        </w:rPr>
        <w:t>Cardace 5 mg tabletės</w:t>
      </w:r>
    </w:p>
    <w:p w:rsidR="004C35E7" w:rsidRPr="00B308ED" w:rsidRDefault="004C35E7" w:rsidP="004C35E7">
      <w:pPr>
        <w:spacing w:after="0" w:line="240" w:lineRule="auto"/>
        <w:jc w:val="center"/>
        <w:rPr>
          <w:rFonts w:ascii="Times New Roman" w:hAnsi="Times New Roman" w:cs="Times New Roman"/>
          <w:b/>
          <w:lang w:val="lt-LT"/>
        </w:rPr>
      </w:pPr>
      <w:r w:rsidRPr="00B66017">
        <w:rPr>
          <w:rFonts w:ascii="Times New Roman" w:hAnsi="Times New Roman"/>
          <w:b/>
          <w:highlight w:val="lightGray"/>
          <w:lang w:val="lt-LT"/>
        </w:rPr>
        <w:t>Cardace 10 mg tabletės</w:t>
      </w:r>
      <w:r w:rsidRPr="00B308ED">
        <w:rPr>
          <w:rFonts w:ascii="Times New Roman" w:hAnsi="Times New Roman" w:cs="Times New Roman"/>
          <w:b/>
          <w:lang w:val="lt-LT"/>
        </w:rPr>
        <w:t xml:space="preserve"> </w:t>
      </w:r>
    </w:p>
    <w:p w:rsidR="004C35E7" w:rsidRPr="00B308ED" w:rsidRDefault="004C35E7" w:rsidP="004C35E7">
      <w:pPr>
        <w:pStyle w:val="BTEMEASMCA"/>
        <w:jc w:val="center"/>
      </w:pPr>
      <w:r w:rsidRPr="00B308ED">
        <w:t>Ramiprilis</w:t>
      </w:r>
    </w:p>
    <w:p w:rsidR="004C35E7" w:rsidRPr="00B308ED" w:rsidRDefault="004C35E7" w:rsidP="004C35E7">
      <w:pPr>
        <w:pStyle w:val="BTEMEASMCA"/>
      </w:pPr>
    </w:p>
    <w:p w:rsidR="004C35E7" w:rsidRPr="00B308ED" w:rsidRDefault="004C35E7" w:rsidP="004C35E7">
      <w:pPr>
        <w:pStyle w:val="BTbEMEASMCA"/>
      </w:pPr>
      <w:r w:rsidRPr="00B308ED">
        <w:t>Atidžiai perskaitykite visą šį lapelį, prieš pradėdami vartoti vaistą, nes jame pateikiama Jums svarbi informacija.</w:t>
      </w:r>
    </w:p>
    <w:p w:rsidR="004C35E7" w:rsidRPr="00B308ED" w:rsidRDefault="004C35E7" w:rsidP="004C35E7">
      <w:pPr>
        <w:pStyle w:val="BT-EMEASMCA"/>
        <w:numPr>
          <w:ilvl w:val="0"/>
          <w:numId w:val="10"/>
        </w:numPr>
        <w:tabs>
          <w:tab w:val="clear" w:pos="360"/>
        </w:tabs>
      </w:pPr>
      <w:r w:rsidRPr="00B308ED">
        <w:t>Neišmeskite šio lapelio, nes vėl gali prireikti jį perskaityti.</w:t>
      </w:r>
    </w:p>
    <w:p w:rsidR="004C35E7" w:rsidRPr="00B308ED" w:rsidRDefault="004C35E7" w:rsidP="004C35E7">
      <w:pPr>
        <w:pStyle w:val="BT-EMEASMCA"/>
        <w:numPr>
          <w:ilvl w:val="0"/>
          <w:numId w:val="10"/>
        </w:numPr>
        <w:tabs>
          <w:tab w:val="clear" w:pos="360"/>
        </w:tabs>
      </w:pPr>
      <w:r w:rsidRPr="00B308ED">
        <w:t>Jeigu kiltų daugiau klausimų, kreipkitės į gydytoją arba vaistininką.</w:t>
      </w:r>
    </w:p>
    <w:p w:rsidR="004C35E7" w:rsidRPr="00B308ED" w:rsidRDefault="004C35E7" w:rsidP="004C35E7">
      <w:pPr>
        <w:pStyle w:val="BT-EMEASMCA"/>
        <w:numPr>
          <w:ilvl w:val="0"/>
          <w:numId w:val="10"/>
        </w:numPr>
        <w:tabs>
          <w:tab w:val="clear" w:pos="360"/>
        </w:tabs>
      </w:pPr>
      <w:r w:rsidRPr="00B308ED">
        <w:t>Šis vaistas skirtas tik Jums, todėl kitiems žmonėms jo duoti negalima. Vaistas gali jiems pakenkti (net tiems, kurių ligos požymiai yra tokie patys kaip Jūsų).</w:t>
      </w:r>
    </w:p>
    <w:p w:rsidR="004C35E7" w:rsidRPr="00B308ED" w:rsidRDefault="004C35E7" w:rsidP="004C35E7">
      <w:pPr>
        <w:numPr>
          <w:ilvl w:val="0"/>
          <w:numId w:val="10"/>
        </w:numPr>
        <w:spacing w:after="0"/>
        <w:rPr>
          <w:rFonts w:ascii="Times New Roman" w:hAnsi="Times New Roman"/>
          <w:lang w:val="lt-LT"/>
        </w:rPr>
      </w:pPr>
      <w:r w:rsidRPr="00B308ED">
        <w:rPr>
          <w:rFonts w:ascii="Times New Roman" w:hAnsi="Times New Roman"/>
          <w:lang w:val="lt-LT"/>
        </w:rPr>
        <w:t xml:space="preserve">Jeigu pasireiškė šalutinis poveikis </w:t>
      </w:r>
      <w:r w:rsidRPr="00B308ED">
        <w:rPr>
          <w:rFonts w:ascii="Times New Roman" w:eastAsia="Times New Roman" w:hAnsi="Times New Roman" w:cs="Times New Roman"/>
          <w:lang w:val="lt-LT" w:eastAsia="ar-SA" w:bidi="ar-SA"/>
        </w:rPr>
        <w:t>(net jeigu jis</w:t>
      </w:r>
      <w:r w:rsidRPr="00B308ED">
        <w:rPr>
          <w:rFonts w:ascii="Times New Roman" w:hAnsi="Times New Roman"/>
          <w:lang w:val="lt-LT"/>
        </w:rPr>
        <w:t xml:space="preserve"> šiame lapelyje </w:t>
      </w:r>
      <w:r w:rsidRPr="00B308ED">
        <w:rPr>
          <w:rFonts w:ascii="Times New Roman" w:eastAsia="Times New Roman" w:hAnsi="Times New Roman" w:cs="Times New Roman"/>
          <w:lang w:val="lt-LT" w:eastAsia="ar-SA" w:bidi="ar-SA"/>
        </w:rPr>
        <w:t>nenurodytas), kreipkitės į gydytoją arba vaistininką. Žr. 4 skyrių</w:t>
      </w:r>
      <w:r w:rsidRPr="00B308ED">
        <w:rPr>
          <w:rFonts w:ascii="Times New Roman" w:hAnsi="Times New Roman"/>
          <w:lang w:val="lt-LT"/>
        </w:rPr>
        <w:t>.</w:t>
      </w:r>
    </w:p>
    <w:p w:rsidR="004C35E7" w:rsidRPr="00B308ED" w:rsidRDefault="004C35E7" w:rsidP="004C35E7">
      <w:pPr>
        <w:pStyle w:val="BT-EMEASMCA"/>
        <w:numPr>
          <w:ilvl w:val="0"/>
          <w:numId w:val="0"/>
        </w:numPr>
        <w:tabs>
          <w:tab w:val="clear" w:pos="360"/>
        </w:tabs>
      </w:pPr>
    </w:p>
    <w:p w:rsidR="004C35E7" w:rsidRPr="00B308ED" w:rsidRDefault="004C35E7" w:rsidP="004C35E7">
      <w:pPr>
        <w:pStyle w:val="BTbEMEASMCA"/>
      </w:pPr>
      <w:r w:rsidRPr="00B308ED">
        <w:t>Apie ką rašoma šiame lapelyje?</w:t>
      </w:r>
    </w:p>
    <w:p w:rsidR="004C35E7" w:rsidRPr="00B308ED" w:rsidRDefault="004C35E7" w:rsidP="004C35E7">
      <w:pPr>
        <w:pStyle w:val="BTEMEASMCA"/>
        <w:tabs>
          <w:tab w:val="left" w:pos="540"/>
        </w:tabs>
      </w:pPr>
      <w:r w:rsidRPr="00B308ED">
        <w:t>1.</w:t>
      </w:r>
      <w:r w:rsidRPr="00B308ED">
        <w:tab/>
        <w:t>Kas yra Cardace ir kam jis vartojamas</w:t>
      </w:r>
    </w:p>
    <w:p w:rsidR="004C35E7" w:rsidRPr="00B308ED" w:rsidRDefault="004C35E7" w:rsidP="004C35E7">
      <w:pPr>
        <w:pStyle w:val="BTEMEASMCA"/>
        <w:tabs>
          <w:tab w:val="left" w:pos="540"/>
        </w:tabs>
      </w:pPr>
      <w:r w:rsidRPr="00B308ED">
        <w:t>2.</w:t>
      </w:r>
      <w:r w:rsidRPr="00B308ED">
        <w:tab/>
        <w:t>Kas žinotina prieš vartojant Cardace</w:t>
      </w:r>
    </w:p>
    <w:p w:rsidR="004C35E7" w:rsidRPr="00B308ED" w:rsidRDefault="004C35E7" w:rsidP="004C35E7">
      <w:pPr>
        <w:pStyle w:val="BTEMEASMCA"/>
        <w:tabs>
          <w:tab w:val="left" w:pos="540"/>
        </w:tabs>
      </w:pPr>
      <w:r w:rsidRPr="00B308ED">
        <w:t>3.</w:t>
      </w:r>
      <w:r w:rsidRPr="00B308ED">
        <w:tab/>
        <w:t>Kaip vartoti Cardace</w:t>
      </w:r>
    </w:p>
    <w:p w:rsidR="004C35E7" w:rsidRPr="00B308ED" w:rsidRDefault="004C35E7" w:rsidP="004C35E7">
      <w:pPr>
        <w:pStyle w:val="BTEMEASMCA"/>
        <w:tabs>
          <w:tab w:val="left" w:pos="540"/>
        </w:tabs>
      </w:pPr>
      <w:r w:rsidRPr="00B308ED">
        <w:t>4.</w:t>
      </w:r>
      <w:r w:rsidRPr="00B308ED">
        <w:tab/>
        <w:t>Galimas šalutinis poveikis</w:t>
      </w:r>
    </w:p>
    <w:p w:rsidR="004C35E7" w:rsidRPr="00B308ED" w:rsidRDefault="004C35E7" w:rsidP="004C35E7">
      <w:pPr>
        <w:pStyle w:val="BTEMEASMCA"/>
        <w:tabs>
          <w:tab w:val="left" w:pos="540"/>
        </w:tabs>
      </w:pPr>
      <w:r w:rsidRPr="00B308ED">
        <w:t>5.</w:t>
      </w:r>
      <w:r w:rsidRPr="00B308ED">
        <w:tab/>
        <w:t>Kaip laikyti Cardace</w:t>
      </w:r>
    </w:p>
    <w:p w:rsidR="004C35E7" w:rsidRPr="00B308ED" w:rsidRDefault="004C35E7" w:rsidP="004C35E7">
      <w:pPr>
        <w:pStyle w:val="BTEMEASMCA"/>
        <w:tabs>
          <w:tab w:val="left" w:pos="540"/>
        </w:tabs>
      </w:pPr>
      <w:r w:rsidRPr="00B308ED">
        <w:t>6.</w:t>
      </w:r>
      <w:r w:rsidRPr="00B308ED">
        <w:tab/>
        <w:t>Pakuotės turinys ir kita informacija</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1.</w:t>
      </w:r>
      <w:r w:rsidRPr="00B308ED">
        <w:tab/>
        <w:t>Kas yra Cardace ir kam jis vartojamas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Cardace sudėtyje yra vaisto, vadinamo ramipriliu. Jis priklauso vaistų grupei, kuri vadinama AKF inhibitoriais (angiotenziną konvertuojančio fermento inhibitoriais).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Cardace veikimas:</w:t>
      </w:r>
    </w:p>
    <w:p w:rsidR="004C35E7" w:rsidRPr="00B308ED" w:rsidRDefault="004C35E7" w:rsidP="004C35E7">
      <w:pPr>
        <w:numPr>
          <w:ilvl w:val="0"/>
          <w:numId w:val="1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mažina medžiagų, kurios gali padidinti jūsų kraujospūdį, gamybą organizme;</w:t>
      </w:r>
    </w:p>
    <w:p w:rsidR="004C35E7" w:rsidRPr="00B308ED" w:rsidRDefault="004C35E7" w:rsidP="004C35E7">
      <w:pPr>
        <w:numPr>
          <w:ilvl w:val="0"/>
          <w:numId w:val="1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atpalaiduoja ir plečia kraujagysles;</w:t>
      </w:r>
    </w:p>
    <w:p w:rsidR="004C35E7" w:rsidRPr="00B308ED" w:rsidRDefault="004C35E7" w:rsidP="004C35E7">
      <w:pPr>
        <w:numPr>
          <w:ilvl w:val="0"/>
          <w:numId w:val="1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padeda širdžiai varinėti kraują po organizmą.</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Cardace gali būti vartojamas:</w:t>
      </w:r>
    </w:p>
    <w:p w:rsidR="004C35E7" w:rsidRPr="00B308ED" w:rsidRDefault="004C35E7" w:rsidP="004C35E7">
      <w:pPr>
        <w:numPr>
          <w:ilvl w:val="0"/>
          <w:numId w:val="1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aukšto kraujospūdžio (hipertenzijos) gydymui;</w:t>
      </w:r>
    </w:p>
    <w:p w:rsidR="004C35E7" w:rsidRPr="00B308ED" w:rsidRDefault="004C35E7" w:rsidP="004C35E7">
      <w:pPr>
        <w:numPr>
          <w:ilvl w:val="0"/>
          <w:numId w:val="1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sumažinti širdies smūgio arba insulto riziką;</w:t>
      </w:r>
    </w:p>
    <w:p w:rsidR="004C35E7" w:rsidRPr="00B308ED" w:rsidRDefault="004C35E7" w:rsidP="004C35E7">
      <w:pPr>
        <w:numPr>
          <w:ilvl w:val="0"/>
          <w:numId w:val="1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sumažinti inkstų sutrikimų riziką arba pristabdyti šių sutrikimų pablogėjimą (nesvarbu, sergate cukriniu diabetu, ar ne);</w:t>
      </w:r>
    </w:p>
    <w:p w:rsidR="004C35E7" w:rsidRPr="00B308ED" w:rsidRDefault="004C35E7" w:rsidP="004C35E7">
      <w:pPr>
        <w:numPr>
          <w:ilvl w:val="0"/>
          <w:numId w:val="1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širdies gydymui, kai ji nepakankamai aprūpina organizmą krauju (širdies nepakankamumas);</w:t>
      </w:r>
    </w:p>
    <w:p w:rsidR="004C35E7" w:rsidRPr="00B308ED" w:rsidRDefault="004C35E7" w:rsidP="004C35E7">
      <w:pPr>
        <w:numPr>
          <w:ilvl w:val="0"/>
          <w:numId w:val="1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širdies nepakankamumui, kuris atsirado po širdies smūgio (miokardo infarkto) gydyti.</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2.</w:t>
      </w:r>
      <w:r w:rsidRPr="00B308ED">
        <w:tab/>
        <w:t>Kas žinotina prieš vartojant Cardace</w:t>
      </w:r>
    </w:p>
    <w:p w:rsidR="004C35E7" w:rsidRPr="00B308ED" w:rsidRDefault="004C35E7" w:rsidP="004C35E7">
      <w:pPr>
        <w:pStyle w:val="BTEMEASMCA"/>
      </w:pPr>
    </w:p>
    <w:p w:rsidR="004C35E7" w:rsidRPr="00B308ED" w:rsidRDefault="004C35E7" w:rsidP="004C35E7">
      <w:pPr>
        <w:pStyle w:val="PI-3EMEASMCA"/>
        <w:spacing w:line="240" w:lineRule="auto"/>
      </w:pPr>
      <w:r w:rsidRPr="00B308ED">
        <w:t>Cardace vartoti negalima:</w:t>
      </w:r>
    </w:p>
    <w:p w:rsidR="004C35E7" w:rsidRPr="00B308ED" w:rsidRDefault="004C35E7" w:rsidP="004C35E7">
      <w:pPr>
        <w:numPr>
          <w:ilvl w:val="0"/>
          <w:numId w:val="1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 xml:space="preserve">Jeigu yra alergija ramipriliui, bet kuriam kitam AKF inhibitoriui arba bet kuriai pagalbinei šio vaisto medžiagai (jos išvardytos 6 skyriuje). </w:t>
      </w:r>
    </w:p>
    <w:p w:rsidR="004C35E7" w:rsidRPr="00B308ED" w:rsidRDefault="004C35E7" w:rsidP="004C35E7">
      <w:pPr>
        <w:suppressAutoHyphens/>
        <w:spacing w:after="0" w:line="240" w:lineRule="auto"/>
        <w:ind w:left="567"/>
        <w:rPr>
          <w:rFonts w:ascii="Times New Roman" w:hAnsi="Times New Roman" w:cs="Times New Roman"/>
          <w:lang w:val="lt-LT"/>
        </w:rPr>
      </w:pPr>
      <w:r w:rsidRPr="00B308ED">
        <w:rPr>
          <w:rFonts w:ascii="Times New Roman" w:hAnsi="Times New Roman" w:cs="Times New Roman"/>
          <w:lang w:val="lt-LT"/>
        </w:rPr>
        <w:t>Alergijos požymiai gali būti bėrimas, pasunkėjęs rijimas arba kvėpavimas, lūpų, veido, gerklės arba liežuvio tinimas.</w:t>
      </w:r>
    </w:p>
    <w:p w:rsidR="004C35E7" w:rsidRPr="00B308ED" w:rsidRDefault="004C35E7" w:rsidP="004C35E7">
      <w:pPr>
        <w:numPr>
          <w:ilvl w:val="0"/>
          <w:numId w:val="1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p>
    <w:p w:rsidR="004C35E7" w:rsidRPr="00B308ED" w:rsidRDefault="004C35E7" w:rsidP="004C35E7">
      <w:pPr>
        <w:numPr>
          <w:ilvl w:val="0"/>
          <w:numId w:val="1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Jums atliekama dializė arba bet kuri kita kraujo filtravimo procedūra. Cardace gali būti Jums netinkamas, priklausomai nuo to, koks aparatas yra naudojamas.</w:t>
      </w:r>
    </w:p>
    <w:p w:rsidR="004C35E7" w:rsidRPr="00B308ED" w:rsidRDefault="004C35E7" w:rsidP="004C35E7">
      <w:pPr>
        <w:numPr>
          <w:ilvl w:val="0"/>
          <w:numId w:val="1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Jums yra inkstų sutrikimų, kuomet yra sumažėjęs inkstų aprūpinimas krauju (inksto arterijos stenozė).</w:t>
      </w:r>
    </w:p>
    <w:p w:rsidR="004C35E7" w:rsidRPr="00B308ED" w:rsidRDefault="004C35E7" w:rsidP="004C35E7">
      <w:pPr>
        <w:numPr>
          <w:ilvl w:val="0"/>
          <w:numId w:val="19"/>
        </w:numPr>
        <w:spacing w:after="0"/>
        <w:rPr>
          <w:rFonts w:ascii="Times New Roman" w:hAnsi="Times New Roman" w:cs="Times New Roman"/>
          <w:lang w:val="lt-LT"/>
        </w:rPr>
      </w:pPr>
      <w:r w:rsidRPr="00B308ED">
        <w:rPr>
          <w:rFonts w:ascii="Times New Roman" w:hAnsi="Times New Roman" w:cs="Times New Roman"/>
          <w:lang w:val="lt-LT"/>
        </w:rPr>
        <w:t>Paskutinius 6 nėštumo mėnesius (žr. poskyrį toliau „Nėštumas ir žindymo laikotarpis“).</w:t>
      </w:r>
    </w:p>
    <w:p w:rsidR="004C35E7" w:rsidRPr="00B308ED" w:rsidRDefault="004C35E7" w:rsidP="004C35E7">
      <w:pPr>
        <w:numPr>
          <w:ilvl w:val="0"/>
          <w:numId w:val="1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Jūsų kraujospūdis yra nenormaliai žemas arba nestabilus. Jūsų gydytojas tai nustatys.</w:t>
      </w:r>
    </w:p>
    <w:p w:rsidR="004C35E7" w:rsidRPr="00B308ED" w:rsidRDefault="004C35E7" w:rsidP="004C35E7">
      <w:pPr>
        <w:numPr>
          <w:ilvl w:val="0"/>
          <w:numId w:val="19"/>
        </w:numPr>
        <w:spacing w:after="0" w:line="240" w:lineRule="auto"/>
        <w:rPr>
          <w:rFonts w:ascii="Times New Roman" w:hAnsi="Times New Roman" w:cs="Times New Roman"/>
          <w:lang w:val="lt-LT"/>
        </w:rPr>
      </w:pPr>
      <w:r w:rsidRPr="00B308ED">
        <w:rPr>
          <w:rFonts w:ascii="Times New Roman" w:hAnsi="Times New Roman" w:cs="Times New Roman"/>
          <w:lang w:val="lt-LT"/>
        </w:rPr>
        <w:t>Jeigu Jūs sergate cukriniu diabetu arba Jūsų inkstų veikla sutrikusi ir Jums skirtas kraujospūdį mažinantis vaistas, kurio sudėtyje yra aliskireno.</w:t>
      </w:r>
    </w:p>
    <w:p w:rsidR="004C35E7" w:rsidRPr="00B308ED" w:rsidRDefault="004C35E7" w:rsidP="004C35E7">
      <w:pPr>
        <w:pStyle w:val="BTEMEASMCA"/>
      </w:pPr>
    </w:p>
    <w:p w:rsidR="004C35E7" w:rsidRPr="00B308ED" w:rsidRDefault="004C35E7" w:rsidP="004C35E7">
      <w:pPr>
        <w:pStyle w:val="BTEMEASMCA"/>
      </w:pPr>
      <w:r w:rsidRPr="00B308ED">
        <w:t>Nevartokite Cardace jeigu bent vienas iš anksčiau išvardytų požymių Jums tinka. Jeigu abejojate, pasitarkite su gydytoju prieš pradėdami vartoti Cardace.</w:t>
      </w:r>
    </w:p>
    <w:p w:rsidR="004C35E7" w:rsidRPr="00B308ED" w:rsidRDefault="004C35E7" w:rsidP="004C35E7">
      <w:pPr>
        <w:pStyle w:val="BTEMEASMCA"/>
      </w:pPr>
    </w:p>
    <w:p w:rsidR="004C35E7" w:rsidRPr="00B308ED" w:rsidRDefault="004C35E7" w:rsidP="004C35E7">
      <w:pPr>
        <w:pStyle w:val="PI-3EMEASMCA"/>
        <w:spacing w:line="240" w:lineRule="auto"/>
      </w:pPr>
      <w:r w:rsidRPr="00B308ED">
        <w:t>Įspėjimai ir atsargumo priemonės</w:t>
      </w:r>
    </w:p>
    <w:p w:rsidR="004C35E7" w:rsidRPr="00B308ED" w:rsidRDefault="004C35E7" w:rsidP="004C35E7">
      <w:pPr>
        <w:pStyle w:val="PI-3EMEASMCA"/>
        <w:spacing w:line="240" w:lineRule="auto"/>
        <w:rPr>
          <w:b w:val="0"/>
          <w:bCs w:val="0"/>
        </w:rPr>
      </w:pPr>
      <w:r w:rsidRPr="00B308ED">
        <w:rPr>
          <w:b w:val="0"/>
          <w:bCs w:val="0"/>
        </w:rPr>
        <w:t>Pasitarkite su gydytoju arba vaistininku, prieš pradėdami vartoti Cardace:</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Jums yra širdies, kepenų arba inkstų funkcijos sutrikimų;</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Jūs netekote didelio kiekio organizmo druskų arba skysčių (jeigu vėmėte, viduriavote, prakaitavote gausiau nei paprastai, jeigu laikotės mažo druskos kiekio dietos, ilgai vartojate diuretikų (šlapimą varančių tablečių) arba jeigu Jums buvo atlikta dializė);</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Jums bus taikomas alergijos nuo bičių ir vapsvų įkandimų mažinimo gydymas (desensibilizacija);</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Jums bus skiriama anestetikų. Jie gali būti vartojami operacijos arba bet kurios dantų taisymo procedūros metu. Vieną dieną prieš gydymą Cardace vartojimą gali tekti nutraukti, kreipkitės į savo gydytoją patarimo;</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kalio koncentracija Jūsų kraujyje didelė (nustatoma kraujo tyrimų pagalba);</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 xml:space="preserve">jeigu vartojate vaistų, kurie gali mažinti natrio kiekį kraujyje, arba yra tokį poveikį sukelti galinti būklė. Gydytojas Jums gali nurodyti reguliariai atlikinėti kraujo tyrimus (tikrinti natrio kiekį kraujyje), ypač jeigu esate senyvo amžiaus; </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vartojate vaistų, vadinamų mTOR inhibitoriais (pvz., temsirolimuzo, everolimuzo, sirolimuzo)</w:t>
      </w:r>
      <w:r>
        <w:rPr>
          <w:rFonts w:ascii="Times New Roman" w:hAnsi="Times New Roman" w:cs="Times New Roman"/>
          <w:lang w:val="lt-LT"/>
        </w:rPr>
        <w:t>,</w:t>
      </w:r>
      <w:r w:rsidRPr="00B308ED">
        <w:rPr>
          <w:rFonts w:ascii="Times New Roman" w:hAnsi="Times New Roman" w:cs="Times New Roman"/>
          <w:lang w:val="lt-LT"/>
        </w:rPr>
        <w:t xml:space="preserve"> vildagliptino</w:t>
      </w:r>
      <w:r w:rsidRPr="001C39AF">
        <w:rPr>
          <w:lang w:val="lt-LT"/>
        </w:rPr>
        <w:t xml:space="preserve"> </w:t>
      </w:r>
      <w:r w:rsidRPr="00767209">
        <w:rPr>
          <w:rFonts w:ascii="Times New Roman" w:hAnsi="Times New Roman" w:cs="Times New Roman"/>
          <w:lang w:val="lt-LT"/>
        </w:rPr>
        <w:t>arba racekadotrilio</w:t>
      </w:r>
      <w:r w:rsidRPr="00B308ED">
        <w:rPr>
          <w:rFonts w:ascii="Times New Roman" w:hAnsi="Times New Roman" w:cs="Times New Roman"/>
          <w:lang w:val="lt-LT"/>
        </w:rPr>
        <w:t>, kadangi gali padidėti angioneurozinės edemos (sunkios alerginės reakcijos) pasireiškimo rizika;</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sergate sistemine jungiamojo audinio liga, pavyzdžiui sklerodermija arba raudonąja vilklige;</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manote, kad esate (arba galite tapti) nėščia, turite apie tai pasakyti savo gydytojui. Cardace vartoti nerekomenduojama pirmaisiais 3 nėštumo mėnesiais. Vartojamas po trečio nėštumo mėnesio šis vaistas gali padaryti didžiulės žalos Jūsų kūdikiui (žr. poskyrį toliau „Nėštumas ir žindymo laikotarpis“);</w:t>
      </w:r>
    </w:p>
    <w:p w:rsidR="004C35E7" w:rsidRPr="00B308ED" w:rsidRDefault="004C35E7" w:rsidP="004C35E7">
      <w:pPr>
        <w:numPr>
          <w:ilvl w:val="0"/>
          <w:numId w:val="2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vartojate kurį nors iš šių vaistų padidėjusiam kraujospūdžiui gydyti:</w:t>
      </w:r>
    </w:p>
    <w:p w:rsidR="004C35E7" w:rsidRPr="00B308ED" w:rsidRDefault="004C35E7" w:rsidP="004C35E7">
      <w:pPr>
        <w:suppressAutoHyphens/>
        <w:spacing w:after="0" w:line="240" w:lineRule="auto"/>
        <w:ind w:left="1134" w:hanging="567"/>
        <w:rPr>
          <w:rFonts w:ascii="Times New Roman" w:hAnsi="Times New Roman" w:cs="Times New Roman"/>
          <w:lang w:val="lt-LT"/>
        </w:rPr>
      </w:pPr>
      <w:r w:rsidRPr="00B308ED">
        <w:rPr>
          <w:rFonts w:ascii="Times New Roman" w:hAnsi="Times New Roman" w:cs="Times New Roman"/>
          <w:lang w:val="lt-LT"/>
        </w:rPr>
        <w:t>-</w:t>
      </w:r>
      <w:r w:rsidRPr="00B308ED">
        <w:rPr>
          <w:rFonts w:ascii="Times New Roman" w:hAnsi="Times New Roman" w:cs="Times New Roman"/>
          <w:lang w:val="lt-LT"/>
        </w:rPr>
        <w:tab/>
        <w:t>angiotenzino II receptorių blokatorių (ARB) (vadinamąjį sartaną, pavyzdžiui, valsartaną, telmisartaną, irbesartaną), ypač jeigu turite su diabetu susijusių inkstų sutrikimų;</w:t>
      </w:r>
    </w:p>
    <w:p w:rsidR="004C35E7" w:rsidRPr="00B308ED" w:rsidRDefault="004C35E7" w:rsidP="004C35E7">
      <w:pPr>
        <w:suppressAutoHyphens/>
        <w:spacing w:after="0" w:line="240" w:lineRule="auto"/>
        <w:ind w:left="1134" w:hanging="567"/>
        <w:rPr>
          <w:rFonts w:ascii="Times New Roman" w:hAnsi="Times New Roman" w:cs="Times New Roman"/>
          <w:lang w:val="lt-LT"/>
        </w:rPr>
      </w:pPr>
      <w:r w:rsidRPr="00B308ED">
        <w:rPr>
          <w:rFonts w:ascii="Times New Roman" w:hAnsi="Times New Roman" w:cs="Times New Roman"/>
          <w:lang w:val="lt-LT"/>
        </w:rPr>
        <w:t xml:space="preserve">- </w:t>
      </w:r>
      <w:r w:rsidRPr="00B308ED">
        <w:rPr>
          <w:rFonts w:ascii="Times New Roman" w:hAnsi="Times New Roman" w:cs="Times New Roman"/>
          <w:lang w:val="lt-LT"/>
        </w:rPr>
        <w:tab/>
        <w:t>aliskireną;</w:t>
      </w:r>
    </w:p>
    <w:p w:rsidR="004C35E7" w:rsidRPr="00B308ED" w:rsidRDefault="004C35E7" w:rsidP="004C35E7">
      <w:pPr>
        <w:suppressAutoHyphens/>
        <w:spacing w:after="0" w:line="240" w:lineRule="auto"/>
        <w:rPr>
          <w:rFonts w:ascii="Times New Roman" w:hAnsi="Times New Roman" w:cs="Times New Roman"/>
          <w:lang w:val="lt-LT"/>
        </w:rPr>
      </w:pPr>
    </w:p>
    <w:p w:rsidR="004C35E7" w:rsidRPr="00B308ED" w:rsidRDefault="004C35E7" w:rsidP="004C35E7">
      <w:p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Jūsų gydytojas gali reguliariai tirti Jūsų inkstų funkciją, kraujospūdį ir elektrolitų kiekį (pvz., kalio) kraujyje. Taip pat žiūrėkite informaciją, pateiktą poskyryje „Cardace vartoti negalima“.</w:t>
      </w:r>
    </w:p>
    <w:p w:rsidR="004C35E7" w:rsidRPr="00B308ED" w:rsidRDefault="004C35E7" w:rsidP="004C35E7">
      <w:pPr>
        <w:suppressAutoHyphens/>
        <w:spacing w:after="0" w:line="240" w:lineRule="auto"/>
        <w:rPr>
          <w:rFonts w:ascii="Times New Roman" w:hAnsi="Times New Roman" w:cs="Times New Roman"/>
          <w:i/>
          <w:lang w:val="lt-LT"/>
        </w:rPr>
      </w:pPr>
    </w:p>
    <w:p w:rsidR="004C35E7" w:rsidRPr="00B308ED" w:rsidRDefault="004C35E7" w:rsidP="004C35E7">
      <w:pPr>
        <w:pStyle w:val="BTEMEASMCA"/>
        <w:rPr>
          <w:b/>
        </w:rPr>
      </w:pPr>
      <w:r w:rsidRPr="00B308ED">
        <w:rPr>
          <w:b/>
        </w:rPr>
        <w:t>Vaikams ir paaugliams</w:t>
      </w:r>
    </w:p>
    <w:p w:rsidR="004C35E7" w:rsidRPr="00B308ED" w:rsidRDefault="004C35E7" w:rsidP="004C35E7">
      <w:pPr>
        <w:pStyle w:val="BTEMEASMCA"/>
      </w:pPr>
      <w:r w:rsidRPr="00B308ED">
        <w:t>Cardace nerekomenduojama vartoti vaikams ir jaunesniems kaip 18 metų paaugliams, nes Cardace saugumas ir efektyvumas vaikams dar neištirti.</w:t>
      </w:r>
    </w:p>
    <w:p w:rsidR="004C35E7" w:rsidRPr="00B308ED" w:rsidRDefault="004C35E7" w:rsidP="004C35E7">
      <w:pPr>
        <w:pStyle w:val="BTEMEASMCA"/>
      </w:pPr>
      <w:r w:rsidRPr="00B308ED">
        <w:t>Jeigu bent vienas iš anksčiau išvardytų požymių Jums tinka (arba abejojate), prieš pradėdami vartoti Cardace, pasitarkite su gydytoju.</w:t>
      </w:r>
    </w:p>
    <w:p w:rsidR="004C35E7" w:rsidRPr="00B308ED" w:rsidRDefault="004C35E7" w:rsidP="004C35E7">
      <w:pPr>
        <w:pStyle w:val="BTEMEASMCA"/>
      </w:pPr>
    </w:p>
    <w:p w:rsidR="004C35E7" w:rsidRPr="00B308ED" w:rsidRDefault="004C35E7" w:rsidP="004C35E7">
      <w:pPr>
        <w:pStyle w:val="BTEMEASMCA"/>
        <w:rPr>
          <w:b/>
          <w:bCs/>
        </w:rPr>
      </w:pPr>
      <w:r w:rsidRPr="00B308ED">
        <w:rPr>
          <w:b/>
          <w:bCs/>
        </w:rPr>
        <w:t>Kiti vaistai ir Cardace</w:t>
      </w:r>
    </w:p>
    <w:p w:rsidR="004C35E7" w:rsidRPr="00B308ED" w:rsidRDefault="004C35E7" w:rsidP="004C35E7">
      <w:pPr>
        <w:pStyle w:val="BTEMEASMCA"/>
      </w:pPr>
      <w:r w:rsidRPr="00B308ED">
        <w:t>Jeigu vartojate ar neseniai vartojote kitų vaistų arba dėl to nesate tikri, apie tai pasakykite gydytojui arba vaistininkui. Tai svarbu, nes Cardace gali daryti įtaką kai kurių vaistų veikimui. Taip pat kai kurie vaistai gali daryti įtaką Cardace veikimui.</w:t>
      </w:r>
    </w:p>
    <w:p w:rsidR="004C35E7" w:rsidRPr="00B308ED" w:rsidRDefault="004C35E7" w:rsidP="004C35E7">
      <w:pPr>
        <w:pStyle w:val="BTEMEASMCA"/>
      </w:pPr>
    </w:p>
    <w:p w:rsidR="004C35E7" w:rsidRPr="00B308ED" w:rsidRDefault="004C35E7" w:rsidP="004C35E7">
      <w:pPr>
        <w:pStyle w:val="BTEMEASMCA"/>
      </w:pPr>
      <w:r w:rsidRPr="00B308ED">
        <w:t>Pasakykite gydytojui, jeigu vartojate bet kurį iš išvardytų vaistų, kadangi jie gali silpninti Cardace poveikį.</w:t>
      </w:r>
    </w:p>
    <w:p w:rsidR="004C35E7" w:rsidRPr="00B308ED" w:rsidRDefault="004C35E7" w:rsidP="004C35E7">
      <w:pPr>
        <w:numPr>
          <w:ilvl w:val="0"/>
          <w:numId w:val="21"/>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Vaistai skausmo ir uždegimo malšinimui (pvz., nesteroidiniai vaistai nuo uždegimo (NVNU) tokie kaip ibuprofenas arba indometacinas ir aspirinas).</w:t>
      </w:r>
    </w:p>
    <w:p w:rsidR="004C35E7" w:rsidRPr="00B308ED" w:rsidRDefault="004C35E7" w:rsidP="004C35E7">
      <w:pPr>
        <w:numPr>
          <w:ilvl w:val="0"/>
          <w:numId w:val="21"/>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Vaistai žemo kraujospūdžio, šoko, širdies nepakankamumo, astmos arba alergijos gydymui, tokie kaip efedrinas, noradrenalinas, adrenalinas. Gydytojas nustatys Jūsų kraujospūdį.</w:t>
      </w:r>
    </w:p>
    <w:p w:rsidR="004C35E7" w:rsidRPr="00B308ED" w:rsidRDefault="004C35E7" w:rsidP="004C35E7">
      <w:pPr>
        <w:pStyle w:val="BTEMEASMCA"/>
      </w:pPr>
    </w:p>
    <w:p w:rsidR="004C35E7" w:rsidRPr="00B308ED" w:rsidRDefault="004C35E7" w:rsidP="004C35E7">
      <w:pPr>
        <w:pStyle w:val="BTEMEASMCA"/>
      </w:pPr>
      <w:r w:rsidRPr="00B308ED">
        <w:t>Pasakykite gydytojui, jeigu vartojate bet kurį iš išvardytų vaistų. Vartojant jų kartu su Cardace, gali padidėti nepageidaujamo poveikio rizika.</w:t>
      </w:r>
    </w:p>
    <w:p w:rsidR="004C35E7" w:rsidRPr="00B308ED" w:rsidRDefault="004C35E7" w:rsidP="004C35E7">
      <w:pPr>
        <w:numPr>
          <w:ilvl w:val="0"/>
          <w:numId w:val="22"/>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Vaistai skausmo ir uždegimo malšinimui (pvz. nesteroidiniai vaistai nuo uždegimo (NVNU) tokie kaip ibuprofenas arba indometacinas ir aspirinas).</w:t>
      </w:r>
    </w:p>
    <w:p w:rsidR="004C35E7" w:rsidRPr="00B308ED" w:rsidRDefault="004C35E7" w:rsidP="004C35E7">
      <w:pPr>
        <w:numPr>
          <w:ilvl w:val="0"/>
          <w:numId w:val="22"/>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Vaistai vėžio gydymui (chemoterapija).</w:t>
      </w:r>
    </w:p>
    <w:p w:rsidR="004C35E7" w:rsidRPr="00B308ED" w:rsidRDefault="004C35E7" w:rsidP="004C35E7">
      <w:pPr>
        <w:numPr>
          <w:ilvl w:val="0"/>
          <w:numId w:val="22"/>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Vaistai, tokie kaip ciklosporinas, vartojami organų atmetimo reakcijos stabdymui po transplantacijos.</w:t>
      </w:r>
    </w:p>
    <w:p w:rsidR="004C35E7" w:rsidRPr="00B308ED" w:rsidRDefault="004C35E7" w:rsidP="004C35E7">
      <w:pPr>
        <w:numPr>
          <w:ilvl w:val="0"/>
          <w:numId w:val="22"/>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Diuretikai (šlapimą varančios tabletės), pavyzdžiui furozemidas.</w:t>
      </w:r>
    </w:p>
    <w:p w:rsidR="004C35E7" w:rsidRPr="00B308ED" w:rsidRDefault="004C35E7" w:rsidP="004C35E7">
      <w:pPr>
        <w:numPr>
          <w:ilvl w:val="0"/>
          <w:numId w:val="22"/>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Vaistai, kurie gali padidinti kalio koncentraciją kraujyje, tokie kaip spironolaktonas, triamterenas, amiloridas, kalio druskos</w:t>
      </w:r>
      <w:r w:rsidRPr="00FD156A">
        <w:rPr>
          <w:rFonts w:ascii="Times New Roman" w:hAnsi="Times New Roman" w:cs="Times New Roman"/>
          <w:lang w:val="lt-LT"/>
        </w:rPr>
        <w:t>, trimetoprimas vienas arba derinyje su sulfametoksazolu (infekcijoms gydyti)</w:t>
      </w:r>
      <w:r w:rsidRPr="00B308ED">
        <w:rPr>
          <w:rFonts w:ascii="Times New Roman" w:hAnsi="Times New Roman" w:cs="Times New Roman"/>
          <w:lang w:val="lt-LT"/>
        </w:rPr>
        <w:t xml:space="preserve"> ir heparinas (kraujo „skystinimui“).</w:t>
      </w:r>
    </w:p>
    <w:p w:rsidR="004C35E7" w:rsidRPr="00B308ED" w:rsidRDefault="004C35E7" w:rsidP="004C35E7">
      <w:pPr>
        <w:numPr>
          <w:ilvl w:val="0"/>
          <w:numId w:val="22"/>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Steroidiniai vaistai uždegimo gydymui, tokie kaip prednizolonas.</w:t>
      </w:r>
    </w:p>
    <w:p w:rsidR="004C35E7" w:rsidRPr="00B308ED" w:rsidRDefault="004C35E7" w:rsidP="004C35E7">
      <w:pPr>
        <w:numPr>
          <w:ilvl w:val="0"/>
          <w:numId w:val="22"/>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Alopurinolis (vartojamo šlapimo rūgšties kiekio kraujyje mažinimui).</w:t>
      </w:r>
    </w:p>
    <w:p w:rsidR="004C35E7" w:rsidRPr="00B308ED" w:rsidRDefault="004C35E7" w:rsidP="004C35E7">
      <w:pPr>
        <w:numPr>
          <w:ilvl w:val="0"/>
          <w:numId w:val="23"/>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Prokainamidas (širdies ritmo sutrikimų gydymui).</w:t>
      </w:r>
    </w:p>
    <w:p w:rsidR="004C35E7" w:rsidRPr="00B308ED" w:rsidRDefault="004C35E7" w:rsidP="004C35E7">
      <w:pPr>
        <w:numPr>
          <w:ilvl w:val="0"/>
          <w:numId w:val="23"/>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Temsirolimuzas (vartojamas vėžiui gydyti).</w:t>
      </w:r>
    </w:p>
    <w:p w:rsidR="004C35E7" w:rsidRPr="00B308ED" w:rsidRDefault="004C35E7" w:rsidP="004C35E7">
      <w:pPr>
        <w:numPr>
          <w:ilvl w:val="0"/>
          <w:numId w:val="23"/>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Sirolimuzas, everolimuzas (vartojami persodinto organo atmetimo profilaktikai).</w:t>
      </w:r>
    </w:p>
    <w:p w:rsidR="004C35E7" w:rsidRDefault="004C35E7" w:rsidP="004C35E7">
      <w:pPr>
        <w:numPr>
          <w:ilvl w:val="0"/>
          <w:numId w:val="23"/>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Vildagliptinas (vartojamas 2 tipo cukriniam diabetui gydyti).</w:t>
      </w:r>
    </w:p>
    <w:p w:rsidR="004C35E7" w:rsidRPr="00B308ED" w:rsidRDefault="004C35E7" w:rsidP="004C35E7">
      <w:pPr>
        <w:numPr>
          <w:ilvl w:val="0"/>
          <w:numId w:val="23"/>
        </w:numPr>
        <w:suppressAutoHyphens/>
        <w:spacing w:after="0" w:line="240" w:lineRule="auto"/>
        <w:rPr>
          <w:rFonts w:ascii="Times New Roman" w:hAnsi="Times New Roman" w:cs="Times New Roman"/>
          <w:lang w:val="lt-LT"/>
        </w:rPr>
      </w:pPr>
      <w:r w:rsidRPr="00767209">
        <w:rPr>
          <w:rFonts w:ascii="Times New Roman" w:hAnsi="Times New Roman" w:cs="Times New Roman"/>
          <w:lang w:val="lt-LT"/>
        </w:rPr>
        <w:t>Racekadotrilis (vartojamas nuo viduriavimo)</w:t>
      </w:r>
      <w:r>
        <w:rPr>
          <w:rFonts w:ascii="Times New Roman" w:hAnsi="Times New Roman" w:cs="Times New Roman"/>
          <w:lang w:val="lt-LT"/>
        </w:rPr>
        <w:t>.</w:t>
      </w:r>
    </w:p>
    <w:p w:rsidR="004C35E7" w:rsidRPr="00B308ED" w:rsidRDefault="004C35E7" w:rsidP="004C35E7">
      <w:pPr>
        <w:numPr>
          <w:ilvl w:val="0"/>
          <w:numId w:val="23"/>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Jūsų gydytojui gali tekti pakeisti vaisto dozę ir (arba) imtis kitų atsargumo priemonių, jeigu vartojate angiotenzino II receptorių blokatorių (ARB) arba aliskireną (taip pat žiūrėkite informaciją, pateiktą poskyriuose „Cardace vartoti negalima“ ir „Įspėjimai ir atsargumo priemonės“).</w:t>
      </w:r>
    </w:p>
    <w:p w:rsidR="004C35E7" w:rsidRPr="00B308ED" w:rsidRDefault="004C35E7" w:rsidP="004C35E7">
      <w:pPr>
        <w:pStyle w:val="BTEMEASMCA"/>
      </w:pPr>
    </w:p>
    <w:p w:rsidR="004C35E7" w:rsidRPr="00B308ED" w:rsidRDefault="004C35E7" w:rsidP="004C35E7">
      <w:pPr>
        <w:pStyle w:val="BTEMEASMCA"/>
      </w:pPr>
      <w:r w:rsidRPr="00B308ED">
        <w:t>Pasakykite gydytojui, jeigu vartojate bet kurį iš išvardytų vaistų. Jų veikimui gali daryti įtaką kartu vartojamas Cardace.</w:t>
      </w:r>
    </w:p>
    <w:p w:rsidR="004C35E7" w:rsidRPr="00B308ED" w:rsidRDefault="004C35E7" w:rsidP="004C35E7">
      <w:pPr>
        <w:numPr>
          <w:ilvl w:val="0"/>
          <w:numId w:val="24"/>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Vaistai cukrinio diabeto gydymui, tokie kaip geriami vaistai gliukozės kiekio mažinimui ir insulinas. Cardace gali sumažinti cukraus kiekį kraujyje. Vartodami Cardace atidžiai sekite gliukozės lygį kraujyje.</w:t>
      </w:r>
    </w:p>
    <w:p w:rsidR="004C35E7" w:rsidRPr="00B308ED" w:rsidRDefault="004C35E7" w:rsidP="004C35E7">
      <w:pPr>
        <w:numPr>
          <w:ilvl w:val="0"/>
          <w:numId w:val="24"/>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Litis (psichikos sutrikimų gydymui). Cardace gali padidinti ličio kiekį kraujyje. Jūsų gydytojas turės atidžiai stebėti ličio kiekį kraujyje.</w:t>
      </w:r>
    </w:p>
    <w:p w:rsidR="004C35E7" w:rsidRPr="00B308ED" w:rsidRDefault="004C35E7" w:rsidP="004C35E7">
      <w:pPr>
        <w:pStyle w:val="BTEMEASMCA"/>
      </w:pPr>
      <w:r w:rsidRPr="00B308ED">
        <w:t>Jeigu bent vienas iš anksčiau išvardytų požymių Jums tinka (arba abejojate), prieš pradėdami vartoti Cardace, pasitarkite su gydytoju.</w:t>
      </w:r>
    </w:p>
    <w:p w:rsidR="004C35E7" w:rsidRPr="00B308ED" w:rsidRDefault="004C35E7" w:rsidP="004C35E7">
      <w:pPr>
        <w:pStyle w:val="BTEMEASMCA"/>
      </w:pPr>
    </w:p>
    <w:p w:rsidR="004C35E7" w:rsidRPr="00B308ED" w:rsidRDefault="004C35E7" w:rsidP="004C35E7">
      <w:pPr>
        <w:pStyle w:val="PI-3EMEASMCA"/>
        <w:spacing w:line="240" w:lineRule="auto"/>
      </w:pPr>
      <w:r w:rsidRPr="00B308ED">
        <w:t>Cardace vartojimas su maistu ir alkoholiu</w:t>
      </w:r>
    </w:p>
    <w:p w:rsidR="004C35E7" w:rsidRPr="00B308ED" w:rsidRDefault="004C35E7" w:rsidP="004C35E7">
      <w:pPr>
        <w:numPr>
          <w:ilvl w:val="0"/>
          <w:numId w:val="2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vartodami Cardace gersite alkoholio, jums gali suktis galva, galite jaustis apsvaigęs. Jeigu abejojate, kiek alkoholio galima gerti vartojant Cardace, pasitarkite su gydytoju, kadangi kraujospūdį mažinančių vaistų vartojimas gali stiprinti alkoholio poveikį.</w:t>
      </w:r>
    </w:p>
    <w:p w:rsidR="004C35E7" w:rsidRPr="00B308ED" w:rsidRDefault="004C35E7" w:rsidP="004C35E7">
      <w:pPr>
        <w:numPr>
          <w:ilvl w:val="0"/>
          <w:numId w:val="2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Cardace gali būti vartojamas su maistu arba be jo.</w:t>
      </w:r>
    </w:p>
    <w:p w:rsidR="004C35E7" w:rsidRPr="00B308ED" w:rsidRDefault="004C35E7" w:rsidP="004C35E7">
      <w:pPr>
        <w:pStyle w:val="BTEMEASMCA"/>
      </w:pPr>
    </w:p>
    <w:p w:rsidR="004C35E7" w:rsidRPr="00B308ED" w:rsidRDefault="004C35E7" w:rsidP="004C35E7">
      <w:pPr>
        <w:pStyle w:val="PI-3EMEASMCA"/>
        <w:spacing w:line="240" w:lineRule="auto"/>
      </w:pPr>
      <w:r w:rsidRPr="00B308ED">
        <w:t>Nėštumas ir žindymo laikotarpis</w:t>
      </w: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Nėštumas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Jeigu esate nėščia, (</w:t>
      </w:r>
      <w:r w:rsidRPr="00B308ED">
        <w:rPr>
          <w:rFonts w:ascii="Times New Roman" w:hAnsi="Times New Roman"/>
          <w:lang w:val="lt-LT"/>
        </w:rPr>
        <w:t>ar manote, kad galite būti pastojusi</w:t>
      </w:r>
      <w:r w:rsidRPr="00B308ED">
        <w:rPr>
          <w:rFonts w:ascii="Times New Roman" w:hAnsi="Times New Roman" w:cs="Times New Roman"/>
          <w:lang w:val="lt-LT"/>
        </w:rPr>
        <w:t xml:space="preserve">), pasakykite gydytojui. </w:t>
      </w:r>
    </w:p>
    <w:p w:rsidR="004C35E7" w:rsidRPr="00B308ED" w:rsidRDefault="004C35E7" w:rsidP="004C35E7">
      <w:pPr>
        <w:pStyle w:val="BT-EMEASMCA"/>
        <w:numPr>
          <w:ilvl w:val="0"/>
          <w:numId w:val="0"/>
        </w:numPr>
        <w:rPr>
          <w:rFonts w:eastAsia="SimSun"/>
        </w:rPr>
      </w:pPr>
      <w:r w:rsidRPr="00B308ED">
        <w:rPr>
          <w:rFonts w:eastAsia="SimSun"/>
        </w:rPr>
        <w:t xml:space="preserve">Jūs neturėtumėte vartoti Cardace pirmas 12 nėštumo savaičių, o po tryliktos nėštumo savaitės vaistą vartoti draudžiama, nes jis gali pakenkti jūsų kūdikiui. Nedelsdama pasakykite gydytojui, jeigu Cardace vartojimo metu pastojote. Prieš planuojant pastojimą, rekomenduojama paskirti kitą vaistą. </w:t>
      </w:r>
    </w:p>
    <w:p w:rsidR="004C35E7" w:rsidRPr="00B308ED" w:rsidRDefault="004C35E7" w:rsidP="004C35E7">
      <w:pPr>
        <w:pStyle w:val="BT-EMEASMCA"/>
        <w:numPr>
          <w:ilvl w:val="0"/>
          <w:numId w:val="0"/>
        </w:numPr>
      </w:pPr>
    </w:p>
    <w:p w:rsidR="004C35E7" w:rsidRPr="00B308ED" w:rsidRDefault="004C35E7" w:rsidP="004C35E7">
      <w:pPr>
        <w:pStyle w:val="BT-EMEASMCA"/>
        <w:numPr>
          <w:ilvl w:val="0"/>
          <w:numId w:val="0"/>
        </w:numPr>
        <w:rPr>
          <w:i/>
        </w:rPr>
      </w:pPr>
      <w:r w:rsidRPr="00B308ED">
        <w:rPr>
          <w:i/>
        </w:rPr>
        <w:t>Žindymo laikotarpis</w:t>
      </w:r>
    </w:p>
    <w:p w:rsidR="004C35E7" w:rsidRPr="00B308ED" w:rsidRDefault="004C35E7" w:rsidP="004C35E7">
      <w:pPr>
        <w:pStyle w:val="BT-EMEASMCA"/>
        <w:numPr>
          <w:ilvl w:val="0"/>
          <w:numId w:val="0"/>
        </w:numPr>
        <w:tabs>
          <w:tab w:val="clear" w:pos="360"/>
          <w:tab w:val="left" w:pos="0"/>
        </w:tabs>
      </w:pPr>
      <w:r w:rsidRPr="00B308ED">
        <w:t xml:space="preserve">Jeigu maitinate krūtimi, Cardace vartoti neturėtumėte. </w:t>
      </w:r>
    </w:p>
    <w:p w:rsidR="004C35E7" w:rsidRPr="00B308ED" w:rsidRDefault="004C35E7" w:rsidP="004C35E7">
      <w:pPr>
        <w:pStyle w:val="BT-EMEASMCA"/>
        <w:numPr>
          <w:ilvl w:val="0"/>
          <w:numId w:val="0"/>
        </w:numPr>
        <w:tabs>
          <w:tab w:val="clear" w:pos="360"/>
          <w:tab w:val="left" w:pos="0"/>
        </w:tabs>
      </w:pPr>
    </w:p>
    <w:p w:rsidR="004C35E7" w:rsidRPr="00B308ED" w:rsidRDefault="004C35E7" w:rsidP="004C35E7">
      <w:pPr>
        <w:pStyle w:val="BT-EMEASMCA"/>
        <w:numPr>
          <w:ilvl w:val="0"/>
          <w:numId w:val="0"/>
        </w:numPr>
        <w:tabs>
          <w:tab w:val="clear" w:pos="360"/>
          <w:tab w:val="left" w:pos="0"/>
        </w:tabs>
      </w:pPr>
      <w:r w:rsidRPr="00B308ED">
        <w:t>Prieš vartojant bet kokį vaistą, būtina pasitarti su gydytoju arba vaistininku.</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pStyle w:val="PI-3EMEASMCA"/>
        <w:spacing w:line="240" w:lineRule="auto"/>
      </w:pPr>
      <w:r w:rsidRPr="00B308ED">
        <w:t>Vairavimas ir mechanizmų valdymas</w:t>
      </w:r>
    </w:p>
    <w:p w:rsidR="004C35E7" w:rsidRPr="00B308ED" w:rsidRDefault="004C35E7" w:rsidP="004C35E7">
      <w:pPr>
        <w:pStyle w:val="BTEMEASMCA"/>
      </w:pPr>
      <w:r w:rsidRPr="00B308ED">
        <w:t>Vartodami Cardace galite jaustis apsvaigę. Tai labiau tikėtina tik pradėjus gerti Cardace arba pradėjus gerti didesnę dozę. Jeigu taip nutiktų, nevairuokite ir nevaldykite jokių įrankių ar mechanizmų.</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3.</w:t>
      </w:r>
      <w:r w:rsidRPr="00B308ED">
        <w:tab/>
        <w:t>Kaip vartoti Cardace</w:t>
      </w:r>
    </w:p>
    <w:p w:rsidR="004C35E7" w:rsidRPr="00B308ED" w:rsidRDefault="004C35E7" w:rsidP="004C35E7">
      <w:pPr>
        <w:pStyle w:val="BTEMEASMCA"/>
      </w:pPr>
    </w:p>
    <w:p w:rsidR="004C35E7" w:rsidRPr="00B308ED" w:rsidRDefault="004C35E7" w:rsidP="004C35E7">
      <w:pPr>
        <w:pStyle w:val="BTEMEASMCA"/>
      </w:pPr>
      <w:r w:rsidRPr="00B308ED">
        <w:t>Visada vartokite šį vaistą tiksliai kaip nurodė gydytojas. Jeigu abejojate, kreipkitės į gydytoją arba vaistininką.</w:t>
      </w:r>
    </w:p>
    <w:p w:rsidR="004C35E7" w:rsidRPr="00B308ED" w:rsidRDefault="004C35E7" w:rsidP="004C35E7">
      <w:pPr>
        <w:pStyle w:val="BTEMEASMCA"/>
      </w:pPr>
    </w:p>
    <w:p w:rsidR="004C35E7" w:rsidRPr="00B308ED" w:rsidRDefault="004C35E7" w:rsidP="004C35E7">
      <w:pPr>
        <w:pStyle w:val="BTEMEASMCA"/>
        <w:rPr>
          <w:b/>
          <w:shd w:val="clear" w:color="auto" w:fill="FFFF00"/>
        </w:rPr>
      </w:pPr>
      <w:r w:rsidRPr="00B308ED">
        <w:rPr>
          <w:b/>
        </w:rPr>
        <w:t>Kiek vartoti</w:t>
      </w:r>
    </w:p>
    <w:p w:rsidR="004C35E7" w:rsidRPr="00B308ED" w:rsidRDefault="004C35E7" w:rsidP="004C35E7">
      <w:pPr>
        <w:pStyle w:val="BTEMEASMCA"/>
        <w:rPr>
          <w:i/>
        </w:rPr>
      </w:pPr>
      <w:r w:rsidRPr="00B308ED">
        <w:rPr>
          <w:i/>
        </w:rPr>
        <w:t>Didelio kraujospūdžio gydymas:</w:t>
      </w:r>
    </w:p>
    <w:p w:rsidR="004C35E7" w:rsidRPr="00B308ED" w:rsidRDefault="004C35E7" w:rsidP="004C35E7">
      <w:pPr>
        <w:numPr>
          <w:ilvl w:val="0"/>
          <w:numId w:val="2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Įprasta pradinė dozė yra 1,25 mg arba 2,5 mg vieną kartą per parą.</w:t>
      </w:r>
    </w:p>
    <w:p w:rsidR="004C35E7" w:rsidRPr="00B308ED" w:rsidRDefault="004C35E7" w:rsidP="004C35E7">
      <w:pPr>
        <w:numPr>
          <w:ilvl w:val="0"/>
          <w:numId w:val="2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Jūsų gydytojas vaisto dozę koreguos iki kol Jūsų kraujospūdis bus kontroliuojamas.</w:t>
      </w:r>
    </w:p>
    <w:p w:rsidR="004C35E7" w:rsidRPr="00B308ED" w:rsidRDefault="004C35E7" w:rsidP="004C35E7">
      <w:pPr>
        <w:numPr>
          <w:ilvl w:val="0"/>
          <w:numId w:val="2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Didžiausia leistina dozė yra 10 mg vieną kartą per parą.</w:t>
      </w:r>
    </w:p>
    <w:p w:rsidR="004C35E7" w:rsidRPr="00B308ED" w:rsidRDefault="004C35E7" w:rsidP="004C35E7">
      <w:pPr>
        <w:numPr>
          <w:ilvl w:val="0"/>
          <w:numId w:val="2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Jeigu vartojate diuretikų (šlapimą varančių tablečių), Jūsų gydytojas gydymą jais gali nutraukti arba sumažinti vartojamas dozes prieš gydymo Cardace pradžią.</w:t>
      </w: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Širdies smūgio arba insulto rizikos mažinimas</w:t>
      </w:r>
    </w:p>
    <w:p w:rsidR="004C35E7" w:rsidRPr="00B308ED" w:rsidRDefault="004C35E7" w:rsidP="004C35E7">
      <w:pPr>
        <w:numPr>
          <w:ilvl w:val="0"/>
          <w:numId w:val="2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Įprasta pradinė dozė yra 2,5 mg vieną kartą per parą.</w:t>
      </w:r>
    </w:p>
    <w:p w:rsidR="004C35E7" w:rsidRPr="00B308ED" w:rsidRDefault="004C35E7" w:rsidP="004C35E7">
      <w:pPr>
        <w:numPr>
          <w:ilvl w:val="0"/>
          <w:numId w:val="2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Vėliau Jūsų gydytojas vartojamą dozę gali padidinti.</w:t>
      </w:r>
    </w:p>
    <w:p w:rsidR="004C35E7" w:rsidRPr="00B308ED" w:rsidRDefault="004C35E7" w:rsidP="004C35E7">
      <w:pPr>
        <w:numPr>
          <w:ilvl w:val="0"/>
          <w:numId w:val="2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Įprasta dozė yra 10 mg vieną kartą per parą.</w:t>
      </w: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Gydymas inkstų sutrikimų rizikos sumažinimui arba šių sutrikimų pablogėjimo pristabdymui</w:t>
      </w:r>
    </w:p>
    <w:p w:rsidR="004C35E7" w:rsidRPr="00B308ED" w:rsidRDefault="004C35E7" w:rsidP="004C35E7">
      <w:pPr>
        <w:numPr>
          <w:ilvl w:val="0"/>
          <w:numId w:val="2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Pradinė Jums skirta dozė gali būti 1,25 mg arba 2,5 mg vieną kartą per parą.</w:t>
      </w:r>
    </w:p>
    <w:p w:rsidR="004C35E7" w:rsidRPr="00B308ED" w:rsidRDefault="004C35E7" w:rsidP="004C35E7">
      <w:pPr>
        <w:numPr>
          <w:ilvl w:val="0"/>
          <w:numId w:val="2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Jūsų gydytojas vaisto dozę koreguos.</w:t>
      </w:r>
    </w:p>
    <w:p w:rsidR="004C35E7" w:rsidRPr="00B308ED" w:rsidRDefault="004C35E7" w:rsidP="004C35E7">
      <w:pPr>
        <w:numPr>
          <w:ilvl w:val="0"/>
          <w:numId w:val="2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Įprasta dozė yra 5 mg arba 10 mg vieną kartą per parą.</w:t>
      </w: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lastRenderedPageBreak/>
        <w:t>Širdies nepakankamumo gydymas</w:t>
      </w:r>
    </w:p>
    <w:p w:rsidR="004C35E7" w:rsidRPr="00B308ED" w:rsidRDefault="004C35E7" w:rsidP="004C35E7">
      <w:pPr>
        <w:numPr>
          <w:ilvl w:val="0"/>
          <w:numId w:val="3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Įprasta pradinė dozė yra 1,25 mg vieną kartą per parą.</w:t>
      </w:r>
    </w:p>
    <w:p w:rsidR="004C35E7" w:rsidRPr="00B308ED" w:rsidRDefault="004C35E7" w:rsidP="004C35E7">
      <w:pPr>
        <w:numPr>
          <w:ilvl w:val="0"/>
          <w:numId w:val="3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Jūsų gydytojas vaisto dozę koreguos.</w:t>
      </w:r>
    </w:p>
    <w:p w:rsidR="004C35E7" w:rsidRPr="00B308ED" w:rsidRDefault="004C35E7" w:rsidP="004C35E7">
      <w:pPr>
        <w:numPr>
          <w:ilvl w:val="0"/>
          <w:numId w:val="30"/>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Didžiausia leistina paros dozė yra 10 mg. Ją suvartoti rekomenduojama per du kartus.</w:t>
      </w:r>
    </w:p>
    <w:p w:rsidR="004C35E7" w:rsidRPr="00B308ED" w:rsidRDefault="004C35E7" w:rsidP="004C35E7">
      <w:pPr>
        <w:spacing w:after="0" w:line="240" w:lineRule="auto"/>
        <w:rPr>
          <w:rFonts w:ascii="Times New Roman" w:hAnsi="Times New Roman" w:cs="Times New Roman"/>
          <w:i/>
          <w:lang w:val="lt-LT"/>
        </w:rPr>
      </w:pPr>
      <w:r w:rsidRPr="00B308ED">
        <w:rPr>
          <w:rFonts w:ascii="Times New Roman" w:hAnsi="Times New Roman" w:cs="Times New Roman"/>
          <w:i/>
          <w:lang w:val="lt-LT"/>
        </w:rPr>
        <w:t>Gydymas po širdies smūgio</w:t>
      </w:r>
    </w:p>
    <w:p w:rsidR="004C35E7" w:rsidRPr="00B308ED" w:rsidRDefault="004C35E7" w:rsidP="004C35E7">
      <w:pPr>
        <w:numPr>
          <w:ilvl w:val="0"/>
          <w:numId w:val="31"/>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Įprasta dozė yra nuo 1,25 mg vieną kartą per parą iki 2,5 mg du kartus per parą.</w:t>
      </w:r>
    </w:p>
    <w:p w:rsidR="004C35E7" w:rsidRPr="00B308ED" w:rsidRDefault="004C35E7" w:rsidP="004C35E7">
      <w:pPr>
        <w:numPr>
          <w:ilvl w:val="0"/>
          <w:numId w:val="31"/>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Jūsų gydytojas vaisto dozę koreguos.</w:t>
      </w:r>
    </w:p>
    <w:p w:rsidR="004C35E7" w:rsidRPr="00B308ED" w:rsidRDefault="004C35E7" w:rsidP="004C35E7">
      <w:pPr>
        <w:numPr>
          <w:ilvl w:val="0"/>
          <w:numId w:val="31"/>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Įprasta dozė yra 10 mg vieną kartą per parą. Ją suvartoti rekomenduojama per du kartus.</w:t>
      </w:r>
    </w:p>
    <w:p w:rsidR="004C35E7" w:rsidRPr="00B308ED" w:rsidRDefault="004C35E7" w:rsidP="004C35E7">
      <w:pPr>
        <w:pStyle w:val="PI-3EMEASMCA"/>
        <w:spacing w:line="240" w:lineRule="auto"/>
        <w:rPr>
          <w:b w:val="0"/>
          <w:i/>
        </w:rPr>
      </w:pPr>
    </w:p>
    <w:p w:rsidR="004C35E7" w:rsidRPr="00B308ED" w:rsidRDefault="004C35E7" w:rsidP="004C35E7">
      <w:pPr>
        <w:pStyle w:val="PI-3EMEASMCA"/>
        <w:spacing w:line="240" w:lineRule="auto"/>
        <w:rPr>
          <w:b w:val="0"/>
          <w:i/>
        </w:rPr>
      </w:pPr>
      <w:r w:rsidRPr="00B308ED">
        <w:rPr>
          <w:b w:val="0"/>
          <w:i/>
        </w:rPr>
        <w:t>Senyvi pacientai</w:t>
      </w:r>
    </w:p>
    <w:p w:rsidR="004C35E7" w:rsidRPr="00B308ED" w:rsidRDefault="004C35E7" w:rsidP="004C35E7">
      <w:pPr>
        <w:pStyle w:val="BTEMEASMCA"/>
      </w:pPr>
      <w:r w:rsidRPr="00B308ED">
        <w:t>Jūsų gydytojas pradinę dozę sumažins, tolimesnis dozės koregavimas bus lėtesnis.</w:t>
      </w:r>
    </w:p>
    <w:p w:rsidR="004C35E7" w:rsidRPr="00B308ED" w:rsidRDefault="004C35E7" w:rsidP="004C35E7">
      <w:pPr>
        <w:pStyle w:val="BTEMEASMCA"/>
      </w:pPr>
    </w:p>
    <w:p w:rsidR="004C35E7" w:rsidRPr="00B308ED" w:rsidRDefault="004C35E7" w:rsidP="004C35E7">
      <w:pPr>
        <w:pStyle w:val="BTEMEASMCA"/>
        <w:rPr>
          <w:b/>
          <w:bCs/>
        </w:rPr>
      </w:pPr>
      <w:r w:rsidRPr="00B308ED">
        <w:rPr>
          <w:b/>
          <w:bCs/>
        </w:rPr>
        <w:t>Vartojimo metodas</w:t>
      </w:r>
    </w:p>
    <w:p w:rsidR="004C35E7" w:rsidRPr="00B308ED" w:rsidRDefault="004C35E7" w:rsidP="004C35E7">
      <w:pPr>
        <w:numPr>
          <w:ilvl w:val="0"/>
          <w:numId w:val="2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Šį vaistą vartokite per burną, kiekvieną dieną tuo pačiu metu.</w:t>
      </w:r>
    </w:p>
    <w:p w:rsidR="004C35E7" w:rsidRPr="00B308ED" w:rsidRDefault="004C35E7" w:rsidP="004C35E7">
      <w:pPr>
        <w:numPr>
          <w:ilvl w:val="0"/>
          <w:numId w:val="2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Nurykite visą tabletę užgerdami skysčiu.</w:t>
      </w:r>
    </w:p>
    <w:p w:rsidR="004C35E7" w:rsidRPr="00B308ED" w:rsidRDefault="004C35E7" w:rsidP="004C35E7">
      <w:pPr>
        <w:numPr>
          <w:ilvl w:val="0"/>
          <w:numId w:val="2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Tabletės negalima laužyti ar kramtyti.</w:t>
      </w:r>
    </w:p>
    <w:p w:rsidR="004C35E7" w:rsidRPr="00B308ED" w:rsidRDefault="004C35E7" w:rsidP="004C35E7">
      <w:pPr>
        <w:spacing w:after="0" w:line="240" w:lineRule="auto"/>
        <w:rPr>
          <w:rFonts w:ascii="Times New Roman" w:hAnsi="Times New Roman"/>
          <w:lang w:val="lt-LT"/>
        </w:rPr>
      </w:pPr>
    </w:p>
    <w:p w:rsidR="004C35E7" w:rsidRPr="00B308ED" w:rsidRDefault="004C35E7" w:rsidP="004C35E7">
      <w:pPr>
        <w:pStyle w:val="PI-3EMEASMCA"/>
        <w:spacing w:line="240" w:lineRule="auto"/>
      </w:pPr>
      <w:r w:rsidRPr="00B308ED">
        <w:t>Ką daryti pavartojus per didelę Cardace dozę?</w:t>
      </w:r>
    </w:p>
    <w:p w:rsidR="004C35E7" w:rsidRPr="00B308ED" w:rsidRDefault="004C35E7" w:rsidP="004C35E7">
      <w:pPr>
        <w:pStyle w:val="BTEMEASMCA"/>
      </w:pPr>
      <w:r w:rsidRPr="00B308ED">
        <w:t>Tuoj pat pasakykite gydytojui arba kreipkitės į artimiausios ligoninės skubios pagalbos skyrių. Nevairuokite, paprašykite, kad kas nors kitas Jus nuvežtų į ligoninę arba kvieskite greitąją pagalbą. Pasiimkite su savimi vaisto pakuotę, kad gydytojas žinotų, ką Jūs išgėrėte.</w:t>
      </w:r>
    </w:p>
    <w:p w:rsidR="004C35E7" w:rsidRPr="00B308ED" w:rsidRDefault="004C35E7" w:rsidP="004C35E7">
      <w:pPr>
        <w:pStyle w:val="BTEMEASMCA"/>
      </w:pPr>
    </w:p>
    <w:p w:rsidR="004C35E7" w:rsidRPr="00B308ED" w:rsidRDefault="004C35E7" w:rsidP="004C35E7">
      <w:pPr>
        <w:pStyle w:val="PI-3EMEASMCA"/>
        <w:spacing w:line="240" w:lineRule="auto"/>
      </w:pPr>
      <w:r w:rsidRPr="00B308ED">
        <w:t>Pamiršus pavartoti Cardace</w:t>
      </w:r>
    </w:p>
    <w:p w:rsidR="004C35E7" w:rsidRPr="00B308ED" w:rsidRDefault="004C35E7" w:rsidP="004C35E7">
      <w:pPr>
        <w:pStyle w:val="BTEMEASMCA"/>
        <w:numPr>
          <w:ilvl w:val="0"/>
          <w:numId w:val="32"/>
        </w:numPr>
      </w:pPr>
      <w:r w:rsidRPr="00B308ED">
        <w:t>Jeigu pamiršote išgerti vaisto dozę, kitą dozę vartokite įprastu metu.</w:t>
      </w:r>
    </w:p>
    <w:p w:rsidR="004C35E7" w:rsidRPr="00B308ED" w:rsidRDefault="004C35E7" w:rsidP="004C35E7">
      <w:pPr>
        <w:pStyle w:val="BTEMEASMCA"/>
        <w:numPr>
          <w:ilvl w:val="0"/>
          <w:numId w:val="32"/>
        </w:numPr>
      </w:pPr>
      <w:r w:rsidRPr="00B308ED">
        <w:t>Negalima vartoti dvigubos dozės norint kompensuoti praleistą tabletę.</w:t>
      </w:r>
    </w:p>
    <w:p w:rsidR="004C35E7" w:rsidRPr="00B308ED" w:rsidRDefault="004C35E7" w:rsidP="004C35E7">
      <w:pPr>
        <w:pStyle w:val="BTEMEASMCA"/>
      </w:pPr>
    </w:p>
    <w:p w:rsidR="004C35E7" w:rsidRPr="00B308ED" w:rsidRDefault="004C35E7" w:rsidP="004C35E7">
      <w:pPr>
        <w:pStyle w:val="BTEMEASMCA"/>
      </w:pPr>
      <w:r w:rsidRPr="00B308ED">
        <w:t>Jeigu kiltų daugiau klausimų dėl šio vaisto vartojimo, kreipkitės į gydytoją arba vaistininką.</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4.</w:t>
      </w:r>
      <w:r w:rsidRPr="00B308ED">
        <w:tab/>
        <w:t>Galimas šalutinis poveikis</w:t>
      </w:r>
    </w:p>
    <w:p w:rsidR="004C35E7" w:rsidRPr="00B308ED" w:rsidRDefault="004C35E7" w:rsidP="004C35E7">
      <w:pPr>
        <w:pStyle w:val="BTEMEASMCA"/>
      </w:pPr>
    </w:p>
    <w:p w:rsidR="004C35E7" w:rsidRPr="00B308ED" w:rsidRDefault="004C35E7" w:rsidP="004C35E7">
      <w:pPr>
        <w:pStyle w:val="BTEMEASMCA"/>
      </w:pPr>
      <w:r w:rsidRPr="00B308ED">
        <w:t>Šis vaistas, kaip ir visi kiti, gali sukelti šalutinį poveikį, nors jis pasireiškia ne visiems žmonėms.</w:t>
      </w:r>
    </w:p>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b/>
          <w:lang w:val="lt-LT"/>
        </w:rPr>
        <w:t>Nebevartokite Cardace ir tuojau pat susisiekite su gydytoju, jeigu pastebėsite bet kurį toliau išvardytą šalutinį poveikį – Jums gali būti reikalingas skubus gydymas.</w:t>
      </w:r>
    </w:p>
    <w:p w:rsidR="004C35E7" w:rsidRPr="00B308ED" w:rsidRDefault="004C35E7" w:rsidP="004C35E7">
      <w:pPr>
        <w:numPr>
          <w:ilvl w:val="0"/>
          <w:numId w:val="33"/>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Veido, lūpų arba gerklės ištinimas, dėl kurio pasidaro sunku ryti arba kvėpuoti, taip pat niežėjimas ir bėrimas. Tai gali būti sunkios alerginės reakcijos į Cardace požymiai.</w:t>
      </w:r>
    </w:p>
    <w:p w:rsidR="004C35E7" w:rsidRPr="00B308ED" w:rsidRDefault="004C35E7" w:rsidP="004C35E7">
      <w:pPr>
        <w:numPr>
          <w:ilvl w:val="0"/>
          <w:numId w:val="33"/>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Sunkios odos reakcijos, tokios kaip bėrimas, opos burnoje, esančių odos ligų pablogėjimas, paraudimai, odos pūslės arba lupimasis (kaip Stevens-Johnson‘o sindromas, toksinė epidermio nekrolizė arba daugiaformė eritema).</w:t>
      </w:r>
    </w:p>
    <w:p w:rsidR="004C35E7" w:rsidRPr="00B308ED" w:rsidRDefault="004C35E7" w:rsidP="004C35E7">
      <w:pPr>
        <w:tabs>
          <w:tab w:val="left" w:pos="360"/>
        </w:tabs>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b/>
          <w:lang w:val="lt-LT"/>
        </w:rPr>
        <w:t>Nedelsdami praneškite gydytojui, jeigu Jums pasireiškė:</w:t>
      </w:r>
    </w:p>
    <w:p w:rsidR="004C35E7" w:rsidRPr="00B308ED" w:rsidRDefault="004C35E7" w:rsidP="004C35E7">
      <w:pPr>
        <w:numPr>
          <w:ilvl w:val="0"/>
          <w:numId w:val="34"/>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Spartesnis širdies ritmas, nelygus arba stiprus širdies plakimas (palpitacijos), skausmas krūtinėje, spaudimo jausmas krūtinėje arba rimtesni sutrikimai tokie kaip širdies smūgis ir insultas.</w:t>
      </w:r>
    </w:p>
    <w:p w:rsidR="004C35E7" w:rsidRPr="00B308ED" w:rsidRDefault="004C35E7" w:rsidP="004C35E7">
      <w:pPr>
        <w:numPr>
          <w:ilvl w:val="0"/>
          <w:numId w:val="34"/>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Pasunkėjęs kvėpavimas arba kosulys. Tai gali būti plaučių sutrikimo požymiai.</w:t>
      </w:r>
    </w:p>
    <w:p w:rsidR="004C35E7" w:rsidRPr="00B308ED" w:rsidRDefault="004C35E7" w:rsidP="004C35E7">
      <w:pPr>
        <w:numPr>
          <w:ilvl w:val="0"/>
          <w:numId w:val="34"/>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Lengviau atsiranda kraujosruvos, kraujuojate ilgiau nei įprastai, yra bet kokie kraujavimo požymiai (pvz., dantenų kraujavimas), raudonos dėmės ant odos arba užsikrečiate infekcija lengviau nei įprastai, gerklės skausmas ir karščiavimas, nuovargio jausmas, alpulys, galvos svaigimas arba pabalusi oda. Tai gali būti kraujo arba kaulų čiulpų sutrikimų požymiai.</w:t>
      </w:r>
    </w:p>
    <w:p w:rsidR="004C35E7" w:rsidRPr="00B308ED" w:rsidRDefault="004C35E7" w:rsidP="004C35E7">
      <w:pPr>
        <w:numPr>
          <w:ilvl w:val="0"/>
          <w:numId w:val="34"/>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Stiprus pilvo viršutinės srities skausmas, galintis pereiti ir į nugarą. Tai gali būti pankreatito (kasos uždegimo) požymis.</w:t>
      </w:r>
    </w:p>
    <w:p w:rsidR="004C35E7" w:rsidRPr="00B308ED" w:rsidRDefault="004C35E7" w:rsidP="004C35E7">
      <w:pPr>
        <w:numPr>
          <w:ilvl w:val="0"/>
          <w:numId w:val="34"/>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Karščiavimas, šaltkrėtis, nuovargis, apetito netekimas, pilvo viršutinės srities skausmas, pykinimas, odos arba akių pageltimas (gelta). Tai gali būti kepenų sutrikimų, tokių kaip hepatitas (kepenų uždegimas) arba kepenų pažeidimo požymiai.</w:t>
      </w:r>
    </w:p>
    <w:p w:rsidR="004C35E7" w:rsidRPr="00B308ED" w:rsidRDefault="004C35E7" w:rsidP="004C35E7">
      <w:pPr>
        <w:spacing w:after="0" w:line="240" w:lineRule="auto"/>
        <w:rPr>
          <w:rFonts w:ascii="Times New Roman" w:hAnsi="Times New Roman" w:cs="Times New Roman"/>
          <w:b/>
          <w:lang w:val="lt-LT"/>
        </w:rPr>
      </w:pP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b/>
          <w:lang w:val="lt-LT"/>
        </w:rPr>
        <w:t xml:space="preserve">Kitas šalutinis poveikis </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Pasakykite gydytojui, jeigu bet kuris iš toliau išvardytų reiškinių pasunkėja arba tęsiasi ilgiau nei keletą dienų.</w:t>
      </w:r>
    </w:p>
    <w:p w:rsidR="004C35E7" w:rsidRPr="00B308ED" w:rsidRDefault="004C35E7" w:rsidP="004C35E7">
      <w:pPr>
        <w:spacing w:after="0" w:line="240" w:lineRule="auto"/>
        <w:rPr>
          <w:rFonts w:ascii="Times New Roman" w:hAnsi="Times New Roman" w:cs="Times New Roman"/>
          <w:b/>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b/>
          <w:lang w:val="lt-LT"/>
        </w:rPr>
        <w:t xml:space="preserve">Dažnas </w:t>
      </w:r>
      <w:r w:rsidRPr="00B308ED">
        <w:rPr>
          <w:rFonts w:ascii="Times New Roman" w:hAnsi="Times New Roman" w:cs="Times New Roman"/>
          <w:lang w:val="lt-LT"/>
        </w:rPr>
        <w:t xml:space="preserve">(gali pasireikšti </w:t>
      </w:r>
      <w:r>
        <w:rPr>
          <w:rFonts w:ascii="Times New Roman" w:hAnsi="Times New Roman" w:cs="Times New Roman"/>
          <w:lang w:val="lt-LT"/>
        </w:rPr>
        <w:t>mažiau</w:t>
      </w:r>
      <w:r w:rsidRPr="00B308ED">
        <w:rPr>
          <w:rFonts w:ascii="Times New Roman" w:hAnsi="Times New Roman" w:cs="Times New Roman"/>
          <w:lang w:val="lt-LT"/>
        </w:rPr>
        <w:t xml:space="preserve"> kaip 1 žmogui iš 10)</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Galvos skausmas arba nuovargio jausmas.</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Svaigulys. Tai labiau tikėtina išgėrus pirmąją Cardace dozę arba ją padidinus.</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Alpulys, hipotenzija (nenormaliai žemas kraujospūdis), ypač greitai stojantis arba sėdantis.</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Sausas erzinantis kosulys, sinusų uždegimas (sinusitas) arba bronchitas, oro trūkumas.</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Skrandžio arba vidurių skausmas, viduriavimas, virškinimo sutrikimas, pykinimo jausmas, vėmimas.</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Odos bėrimas su iškilimais arba be jų.</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Skausmas krūtinėje.</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Mėšlungis arba raumenų skausmas.</w:t>
      </w:r>
    </w:p>
    <w:p w:rsidR="004C35E7" w:rsidRPr="00B308ED" w:rsidRDefault="004C35E7" w:rsidP="004C35E7">
      <w:pPr>
        <w:numPr>
          <w:ilvl w:val="0"/>
          <w:numId w:val="35"/>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Kraujo tyrimais nustatytas didesnis nei įprastai kalio kiekis Jūsų kraujyje.</w:t>
      </w:r>
    </w:p>
    <w:p w:rsidR="004C35E7" w:rsidRPr="00B308ED" w:rsidRDefault="004C35E7" w:rsidP="004C35E7">
      <w:pPr>
        <w:tabs>
          <w:tab w:val="left" w:pos="360"/>
          <w:tab w:val="left" w:pos="720"/>
        </w:tabs>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b/>
          <w:lang w:val="lt-LT"/>
        </w:rPr>
        <w:t xml:space="preserve">Nedažnas </w:t>
      </w:r>
      <w:r w:rsidRPr="00B308ED">
        <w:rPr>
          <w:rFonts w:ascii="Times New Roman" w:hAnsi="Times New Roman" w:cs="Times New Roman"/>
          <w:lang w:val="lt-LT"/>
        </w:rPr>
        <w:t xml:space="preserve">(gali pasireikšti </w:t>
      </w:r>
      <w:r>
        <w:rPr>
          <w:rFonts w:ascii="Times New Roman" w:hAnsi="Times New Roman" w:cs="Times New Roman"/>
          <w:lang w:val="lt-LT"/>
        </w:rPr>
        <w:t>mažiau</w:t>
      </w:r>
      <w:r w:rsidRPr="00B308ED">
        <w:rPr>
          <w:rFonts w:ascii="Times New Roman" w:hAnsi="Times New Roman" w:cs="Times New Roman"/>
          <w:lang w:val="lt-LT"/>
        </w:rPr>
        <w:t xml:space="preserve"> kaip 1 žmogui iš 100)</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Pusiausvyros sutrikimas (</w:t>
      </w:r>
      <w:r w:rsidRPr="00B66017">
        <w:rPr>
          <w:rFonts w:ascii="Times New Roman" w:hAnsi="Times New Roman" w:cs="Times New Roman"/>
          <w:i/>
          <w:lang w:val="lt-LT"/>
        </w:rPr>
        <w:t>vertigo</w:t>
      </w:r>
      <w:r w:rsidRPr="00B308ED">
        <w:rPr>
          <w:rFonts w:ascii="Times New Roman" w:hAnsi="Times New Roman" w:cs="Times New Roman"/>
          <w:lang w:val="lt-LT"/>
        </w:rPr>
        <w:t>).</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Niežėjimas ir neįprasti pojūčiai odoje, tokie kaip tirpimas, dilgčiojimas, badymas, perštėjimas, deginimas arba odos pašiurpimas (parestezija).</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Skonio pojūčio dingimas arba sutrikimas.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Miego sutrikimai.</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Depresinė nuotaika, neramumas, didesnis nei įprastai nervingumas arba nenustygstamumas.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Užgulusi nosis, pasunkėjęs kvėpavimas arba astmos pablogėjimas.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Žarnyno ištinimas, vadinamas „žarnyno angioneurozine edema”, kuris pasireiškia tokiais simptomais kaip skausmas pilvo srityje, vėmimas ir viduriavimas.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Rėmuo, vidurių užkietėjimas arba burnos džiūvimas.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Gausesnis nei įprastai šlapinimasis per dieną.</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Gausesnis nei įprastai prakaitavimas.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Apetito sumažėjimas arba netekimas (anoreksija).</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Padažnėjęs arba nereguliarus širdies ritmas.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Rankų ir kojų patinimas. Tai gali rodyti, kad organizme sulaikoma daugiau nei įprastai skysčių.</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Veido ir kaklo paraudimas.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Neryškus matomas vaizdas.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Sąnarių skausmas.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Karščiavimas.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lastRenderedPageBreak/>
        <w:t>Vyrų potencijos sumažėjimas, lytinio vyrų ir moterų potraukio sumažėjimas.</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Kraujo tyrimais nustatytas padidėjęs tam tikrų baltųjų kraujo ląstelių kiekis (eozinofilija).</w:t>
      </w:r>
    </w:p>
    <w:p w:rsidR="004C35E7" w:rsidRPr="00B308ED" w:rsidRDefault="004C35E7" w:rsidP="004C35E7">
      <w:pPr>
        <w:numPr>
          <w:ilvl w:val="0"/>
          <w:numId w:val="36"/>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Kraujo tyrimais nustatyti kepenų, kasos arba inkstų veiklos pakitimai.</w:t>
      </w:r>
    </w:p>
    <w:p w:rsidR="004C35E7" w:rsidRPr="00B308ED" w:rsidRDefault="004C35E7" w:rsidP="004C35E7">
      <w:pPr>
        <w:tabs>
          <w:tab w:val="left" w:pos="1080"/>
        </w:tabs>
        <w:spacing w:after="0" w:line="240" w:lineRule="auto"/>
        <w:ind w:left="360"/>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b/>
          <w:lang w:val="lt-LT"/>
        </w:rPr>
        <w:t xml:space="preserve">Retas </w:t>
      </w:r>
      <w:r w:rsidRPr="00B308ED">
        <w:rPr>
          <w:rFonts w:ascii="Times New Roman" w:hAnsi="Times New Roman" w:cs="Times New Roman"/>
          <w:lang w:val="lt-LT"/>
        </w:rPr>
        <w:t xml:space="preserve">(gali pasireikšti </w:t>
      </w:r>
      <w:r>
        <w:rPr>
          <w:rFonts w:ascii="Times New Roman" w:hAnsi="Times New Roman" w:cs="Times New Roman"/>
          <w:lang w:val="lt-LT"/>
        </w:rPr>
        <w:t>mažiau</w:t>
      </w:r>
      <w:r w:rsidRPr="00B308ED">
        <w:rPr>
          <w:rFonts w:ascii="Times New Roman" w:hAnsi="Times New Roman" w:cs="Times New Roman"/>
          <w:lang w:val="lt-LT"/>
        </w:rPr>
        <w:t xml:space="preserve"> kaip 1 žmogui iš 1 000)</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Netikrumo, pasimetimo jausmas.</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Raudonas ištinęs liežuvis.</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Stiprus odos sluoksniavimasis arba lupimasis, bėrimas su niežuliu ir iškilimais.</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Nagų problemos (pvz., nagų iškritimas arba atsiskyrimas nuo nago guolio).</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Odos bėrimas arba kraujosruvos.</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Odos dėmės ir galūnių šalimas.</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Raudonos, niežtinčios, ištinusios arba pavandenijusios akys.</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Sutrikusi klausa ir spengimas ausyse.</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Silpnumo jausmas.</w:t>
      </w:r>
    </w:p>
    <w:p w:rsidR="004C35E7" w:rsidRPr="00B308ED" w:rsidRDefault="004C35E7" w:rsidP="004C35E7">
      <w:pPr>
        <w:numPr>
          <w:ilvl w:val="0"/>
          <w:numId w:val="37"/>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Kraujo tyrimais nustatytas raudonųjų, baltųjų kraujo ląstelių arba kraujo plokštelių (trombocitų) arba hemoglobino kiekio sumažėjimas.</w:t>
      </w:r>
    </w:p>
    <w:p w:rsidR="004C35E7" w:rsidRPr="00B308ED" w:rsidRDefault="004C35E7" w:rsidP="004C35E7">
      <w:pPr>
        <w:spacing w:after="0" w:line="240" w:lineRule="auto"/>
        <w:rPr>
          <w:rFonts w:ascii="Times New Roman" w:hAnsi="Times New Roman" w:cs="Times New Roman"/>
          <w:b/>
          <w:lang w:val="lt-LT"/>
        </w:rPr>
      </w:pP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b/>
          <w:lang w:val="lt-LT"/>
        </w:rPr>
        <w:t xml:space="preserve">Labai retas </w:t>
      </w:r>
      <w:r w:rsidRPr="00B308ED">
        <w:rPr>
          <w:rFonts w:ascii="Times New Roman" w:hAnsi="Times New Roman" w:cs="Times New Roman"/>
          <w:lang w:val="lt-LT"/>
        </w:rPr>
        <w:t xml:space="preserve">(gali pasireikšti </w:t>
      </w:r>
      <w:r>
        <w:rPr>
          <w:rFonts w:ascii="Times New Roman" w:hAnsi="Times New Roman" w:cs="Times New Roman"/>
          <w:lang w:val="lt-LT"/>
        </w:rPr>
        <w:t>mažiau</w:t>
      </w:r>
      <w:r w:rsidRPr="00B308ED">
        <w:rPr>
          <w:rFonts w:ascii="Times New Roman" w:hAnsi="Times New Roman" w:cs="Times New Roman"/>
          <w:lang w:val="lt-LT"/>
        </w:rPr>
        <w:t xml:space="preserve"> kaip 1 žmogui iš 10 000)</w:t>
      </w:r>
    </w:p>
    <w:p w:rsidR="004C35E7" w:rsidRPr="00B308ED" w:rsidRDefault="004C35E7" w:rsidP="004C35E7">
      <w:pPr>
        <w:numPr>
          <w:ilvl w:val="0"/>
          <w:numId w:val="38"/>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Didesnis nei įprastai jautrumas šviesai.</w:t>
      </w:r>
    </w:p>
    <w:p w:rsidR="004C35E7" w:rsidRPr="00B308ED" w:rsidRDefault="004C35E7" w:rsidP="004C35E7">
      <w:pPr>
        <w:spacing w:after="0" w:line="240" w:lineRule="auto"/>
        <w:rPr>
          <w:rFonts w:ascii="Times New Roman" w:hAnsi="Times New Roman" w:cs="Times New Roman"/>
          <w:b/>
          <w:lang w:val="lt-LT"/>
        </w:rPr>
      </w:pP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b/>
          <w:lang w:val="lt-LT"/>
        </w:rPr>
        <w:t>Kitoks pastebėtas šalutinis poveikis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Pasakykite gydytojui, jeigu bet kuris iš toliau išvardytų reiškinių pasunkėja arba tęsiasi ilgiau nei keletą dienų.</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Sunku sutelkti dėmesį.</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Ištinusi burna.</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Kraujo tyrimais nustatytas per mažas kraujo ląstelių kiekis kraujyje.</w:t>
      </w:r>
    </w:p>
    <w:p w:rsidR="004C35E7"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Kraujo tyrimais nustatytas mažesnis nei įprastai natrio kiekis kraujyje.</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Pr>
          <w:rFonts w:ascii="Times New Roman" w:hAnsi="Times New Roman" w:cs="Times New Roman"/>
          <w:lang w:val="lt-LT"/>
        </w:rPr>
        <w:t>K</w:t>
      </w:r>
      <w:r w:rsidRPr="00F236B5">
        <w:rPr>
          <w:rFonts w:ascii="Times New Roman" w:hAnsi="Times New Roman" w:cs="Times New Roman"/>
          <w:lang w:val="lt-LT"/>
        </w:rPr>
        <w:t>oncentruotas šlapimas (tamsios spalvos), bloga savijauta, raumenų mėšlungis,</w:t>
      </w:r>
      <w:r>
        <w:rPr>
          <w:rFonts w:ascii="Times New Roman" w:hAnsi="Times New Roman" w:cs="Times New Roman"/>
          <w:lang w:val="lt-LT"/>
        </w:rPr>
        <w:t xml:space="preserve"> sumišimas</w:t>
      </w:r>
      <w:r w:rsidRPr="00F236B5">
        <w:rPr>
          <w:rFonts w:ascii="Times New Roman" w:hAnsi="Times New Roman" w:cs="Times New Roman"/>
          <w:lang w:val="lt-LT"/>
        </w:rPr>
        <w:t xml:space="preserve"> ir priepuoliai, kuriuos gali sukelti sutrikęs ADH</w:t>
      </w:r>
      <w:r>
        <w:rPr>
          <w:rFonts w:ascii="Times New Roman" w:hAnsi="Times New Roman" w:cs="Times New Roman"/>
          <w:lang w:val="lt-LT"/>
        </w:rPr>
        <w:t xml:space="preserve"> (antidiurezinio hormono) </w:t>
      </w:r>
      <w:r w:rsidRPr="00F236B5">
        <w:rPr>
          <w:rFonts w:ascii="Times New Roman" w:hAnsi="Times New Roman" w:cs="Times New Roman"/>
          <w:lang w:val="lt-LT"/>
        </w:rPr>
        <w:t>išsiskyrimas. Jei Jums pasireiškia kuris nors iš šių</w:t>
      </w:r>
      <w:r>
        <w:rPr>
          <w:rFonts w:ascii="Times New Roman" w:hAnsi="Times New Roman" w:cs="Times New Roman"/>
          <w:lang w:val="lt-LT"/>
        </w:rPr>
        <w:t xml:space="preserve"> </w:t>
      </w:r>
      <w:r w:rsidRPr="00F236B5">
        <w:rPr>
          <w:rFonts w:ascii="Times New Roman" w:hAnsi="Times New Roman" w:cs="Times New Roman"/>
          <w:lang w:val="lt-LT"/>
        </w:rPr>
        <w:t>simptomų, nedelsiant kreipkitės į gydytoją.</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Kai sušąlate, pasikeičia Jūsų rankų ir kojų pirštų spalva, šylant atsiranda dilgčiojimo, skausmo pojūtis (Raynaud‘o fenomenas).</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Krūtų padidėjimas vyrams.</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Sulėtėjusi arba sutrikusi reakcija.</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Deginimo jausmas.</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Uoslės pokyčiai.</w:t>
      </w:r>
    </w:p>
    <w:p w:rsidR="004C35E7" w:rsidRPr="00B308ED" w:rsidRDefault="004C35E7" w:rsidP="004C35E7">
      <w:pPr>
        <w:numPr>
          <w:ilvl w:val="0"/>
          <w:numId w:val="39"/>
        </w:numPr>
        <w:suppressAutoHyphens/>
        <w:spacing w:after="0" w:line="240" w:lineRule="auto"/>
        <w:rPr>
          <w:rFonts w:ascii="Times New Roman" w:hAnsi="Times New Roman" w:cs="Times New Roman"/>
          <w:lang w:val="lt-LT"/>
        </w:rPr>
      </w:pPr>
      <w:r w:rsidRPr="00B308ED">
        <w:rPr>
          <w:rFonts w:ascii="Times New Roman" w:hAnsi="Times New Roman" w:cs="Times New Roman"/>
          <w:lang w:val="lt-LT"/>
        </w:rPr>
        <w:t>Plaukų slinkimas.</w:t>
      </w:r>
    </w:p>
    <w:p w:rsidR="004C35E7" w:rsidRPr="00B308ED"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eastAsia="Times New Roman" w:hAnsi="Times New Roman" w:cs="Times New Roman"/>
          <w:b/>
          <w:bCs/>
          <w:noProof/>
          <w:lang w:val="lt-LT" w:bidi="ar-SA"/>
        </w:rPr>
      </w:pPr>
      <w:r w:rsidRPr="00B308ED">
        <w:rPr>
          <w:rFonts w:ascii="Times New Roman" w:eastAsia="Times New Roman" w:hAnsi="Times New Roman" w:cs="Times New Roman"/>
          <w:b/>
          <w:bCs/>
          <w:noProof/>
          <w:lang w:val="lt-LT" w:bidi="ar-SA"/>
        </w:rPr>
        <w:t>Pranešimas apie šalutinį poveikį</w:t>
      </w:r>
    </w:p>
    <w:p w:rsidR="004C35E7" w:rsidRPr="00B308ED" w:rsidRDefault="004C35E7" w:rsidP="004C35E7">
      <w:pPr>
        <w:pStyle w:val="BTEMEASMCA"/>
      </w:pPr>
      <w:r w:rsidRPr="00B308ED">
        <w:rPr>
          <w:bCs/>
          <w:noProof/>
          <w:lang w:eastAsia="en-US"/>
        </w:rPr>
        <w:t xml:space="preserve">Jeigu pasireiškė šalutinis poveikis, įskaitant šiame lapelyje nenurodytą, pasakykite gydytojui arba vaistininkui. </w:t>
      </w:r>
      <w:r w:rsidRPr="002133D1">
        <w:t>Apie šalutinį poveikį taip pat galite pranešti Valstybinei vaistų kontrolės tarnybai prie Lietuvos Respublikos sveikatos apsaugos ministerijos nemokamu t</w:t>
      </w:r>
      <w:r w:rsidRPr="002133D1">
        <w:rPr>
          <w:lang w:eastAsia="zh-CN"/>
        </w:rPr>
        <w:t>elefonu 8 800 73568</w:t>
      </w:r>
      <w:r w:rsidRPr="002133D1">
        <w:t xml:space="preserve"> arba užpildyti interneto svetainėje </w:t>
      </w:r>
      <w:hyperlink r:id="rId10" w:history="1">
        <w:r w:rsidRPr="002133D1">
          <w:rPr>
            <w:rStyle w:val="Hipersaitas"/>
            <w:rFonts w:eastAsia="SimSun"/>
          </w:rPr>
          <w:t>www.vvkt.lt</w:t>
        </w:r>
      </w:hyperlink>
      <w:r w:rsidRPr="002133D1">
        <w:t xml:space="preserve"> esančią formą ir pateikti ją Valstybinei vaistų kontrolės tarnybai prie Lietuvos Respublikos sveikatos apsaugos ministerijos vienu iš šių būdų: raštu (adresu Žirmūnų g. 139A, LT-09120 Vilnius), </w:t>
      </w:r>
      <w:r w:rsidRPr="002133D1">
        <w:rPr>
          <w:lang w:eastAsia="zh-CN"/>
        </w:rPr>
        <w:t xml:space="preserve">nemokamu </w:t>
      </w:r>
      <w:r w:rsidRPr="002133D1">
        <w:t>fakso numeriu 8 800 20131</w:t>
      </w:r>
      <w:r w:rsidRPr="002133D1">
        <w:rPr>
          <w:lang w:eastAsia="zh-CN"/>
        </w:rPr>
        <w:t xml:space="preserve">, </w:t>
      </w:r>
      <w:r w:rsidRPr="002133D1">
        <w:t xml:space="preserve">el. paštu </w:t>
      </w:r>
      <w:hyperlink r:id="rId11" w:history="1">
        <w:r w:rsidRPr="002133D1">
          <w:rPr>
            <w:rStyle w:val="Hipersaitas"/>
            <w:rFonts w:eastAsia="SimSun"/>
          </w:rPr>
          <w:t>NepageidaujamaR@vvkt.lt</w:t>
        </w:r>
      </w:hyperlink>
      <w:r w:rsidRPr="002133D1">
        <w:t xml:space="preserve">, taip pat per Valstybinės vaistų kontrolės tarnybos prie Lietuvos Respublikos sveikatos apsaugos ministerijos interneto svetainę (adresu </w:t>
      </w:r>
      <w:hyperlink r:id="rId12" w:history="1">
        <w:r w:rsidRPr="002133D1">
          <w:rPr>
            <w:rStyle w:val="Hipersaitas"/>
            <w:rFonts w:eastAsia="SimSun"/>
          </w:rPr>
          <w:t>http://www.vvkt.lt</w:t>
        </w:r>
      </w:hyperlink>
      <w:r w:rsidRPr="002133D1">
        <w:t>). Pranešdami apie šalutinį poveikį galite mums padėti gauti daugiau informacijos apie šio vaisto saugumą.</w:t>
      </w:r>
      <w:r>
        <w:t xml:space="preserve"> </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pPr>
      <w:r w:rsidRPr="00B308ED">
        <w:t>5.</w:t>
      </w:r>
      <w:r w:rsidRPr="00B308ED">
        <w:tab/>
        <w:t>Kaip laikyti Cardace</w:t>
      </w:r>
    </w:p>
    <w:p w:rsidR="004C35E7" w:rsidRPr="00B308ED" w:rsidRDefault="004C35E7" w:rsidP="004C35E7">
      <w:pPr>
        <w:pStyle w:val="BTEMEASMCA"/>
      </w:pPr>
    </w:p>
    <w:p w:rsidR="004C35E7" w:rsidRPr="00B308ED" w:rsidRDefault="004C35E7" w:rsidP="004C35E7">
      <w:pPr>
        <w:pStyle w:val="BTEMEASMCA"/>
      </w:pPr>
      <w:r w:rsidRPr="00B308ED">
        <w:t xml:space="preserve">Šį vaistą laikykite vaikams nepastebimoje ir nepasiekiamoje vietoje. </w:t>
      </w:r>
    </w:p>
    <w:p w:rsidR="004C35E7" w:rsidRPr="00B308ED" w:rsidRDefault="004C35E7" w:rsidP="004C35E7">
      <w:pPr>
        <w:pStyle w:val="BTEMEASMCA"/>
      </w:pPr>
    </w:p>
    <w:p w:rsidR="004C35E7" w:rsidRPr="00B308ED" w:rsidRDefault="004C35E7" w:rsidP="004C35E7">
      <w:pPr>
        <w:pStyle w:val="BTEMEASMCA"/>
      </w:pPr>
      <w:r w:rsidRPr="00B308ED">
        <w:t>Ant dėžutės</w:t>
      </w:r>
      <w:r>
        <w:t xml:space="preserve"> ir</w:t>
      </w:r>
      <w:r w:rsidRPr="00B308ED">
        <w:t xml:space="preserve"> lizdinės plokštelės po „Tinka iki“ arba „EXP“ nurodytam tinkamumo laikui pasibaigus, šio vaisto vartoti negalima. Vaistas tinkamas vartoti iki paskutinės nurodyto mėnesio dienos. </w:t>
      </w:r>
    </w:p>
    <w:p w:rsidR="004C35E7" w:rsidRPr="00B308ED" w:rsidRDefault="004C35E7" w:rsidP="004C35E7">
      <w:pPr>
        <w:pStyle w:val="BTEMEASMCA"/>
      </w:pPr>
    </w:p>
    <w:p w:rsidR="004C35E7" w:rsidRPr="00B308ED" w:rsidRDefault="004C35E7" w:rsidP="004C35E7">
      <w:pPr>
        <w:pStyle w:val="BTEMEASMCA"/>
      </w:pPr>
      <w:r w:rsidRPr="00B308ED">
        <w:t xml:space="preserve">Šiam vaistui specialių laikymo sąlygų nereikia. </w:t>
      </w:r>
    </w:p>
    <w:p w:rsidR="004C35E7" w:rsidRPr="00B308ED" w:rsidRDefault="004C35E7" w:rsidP="004C35E7">
      <w:pPr>
        <w:pStyle w:val="BTEMEASMCA"/>
      </w:pPr>
    </w:p>
    <w:p w:rsidR="004C35E7" w:rsidRPr="00B308ED" w:rsidRDefault="004C35E7" w:rsidP="004C35E7">
      <w:pPr>
        <w:pStyle w:val="BTEMEASMCA"/>
      </w:pPr>
      <w:r w:rsidRPr="00B308ED">
        <w:t>Vaistų negalima išmesti į kanalizaciją arba su buitinėmis atliekomis. Kaip išmesti nereikalingus vaistus, klauskite vaistininko. Šios priemonės padės apsaugoti aplinką.</w:t>
      </w:r>
    </w:p>
    <w:p w:rsidR="004C35E7" w:rsidRPr="00B308ED" w:rsidRDefault="004C35E7" w:rsidP="004C35E7">
      <w:pPr>
        <w:pStyle w:val="BTEMEASMCA"/>
      </w:pPr>
    </w:p>
    <w:p w:rsidR="004C35E7" w:rsidRPr="00B308ED" w:rsidRDefault="004C35E7" w:rsidP="004C35E7">
      <w:pPr>
        <w:pStyle w:val="BTEMEASMCA"/>
      </w:pPr>
    </w:p>
    <w:p w:rsidR="004C35E7" w:rsidRPr="00B308ED" w:rsidRDefault="004C35E7" w:rsidP="004C35E7">
      <w:pPr>
        <w:pStyle w:val="PI-1EMEASMCA"/>
        <w:keepLines/>
      </w:pPr>
      <w:r w:rsidRPr="00B308ED">
        <w:t>6.</w:t>
      </w:r>
      <w:r w:rsidRPr="00B308ED">
        <w:tab/>
        <w:t>Pakuotės turinys ir kita informacija</w:t>
      </w:r>
    </w:p>
    <w:p w:rsidR="004C35E7" w:rsidRPr="00B308ED" w:rsidRDefault="004C35E7" w:rsidP="004C35E7">
      <w:pPr>
        <w:pStyle w:val="BTEMEASMCA"/>
        <w:keepNext/>
        <w:keepLines/>
      </w:pPr>
    </w:p>
    <w:p w:rsidR="004C35E7" w:rsidRPr="00B308ED" w:rsidRDefault="004C35E7" w:rsidP="004C35E7">
      <w:pPr>
        <w:pStyle w:val="PI-3EMEASMCA"/>
        <w:keepNext/>
        <w:keepLines/>
        <w:spacing w:line="240" w:lineRule="auto"/>
      </w:pPr>
      <w:r w:rsidRPr="00B308ED">
        <w:t>Cardace sudėtis</w:t>
      </w:r>
    </w:p>
    <w:p w:rsidR="004C35E7" w:rsidRPr="00B308ED" w:rsidRDefault="004C35E7" w:rsidP="004C35E7">
      <w:pPr>
        <w:pStyle w:val="PI-3EMEASMCA"/>
        <w:keepNext/>
        <w:keepLines/>
        <w:spacing w:line="240" w:lineRule="auto"/>
      </w:pPr>
    </w:p>
    <w:p w:rsidR="004C35E7" w:rsidRPr="00B308ED" w:rsidRDefault="004C35E7" w:rsidP="004C35E7">
      <w:pPr>
        <w:pStyle w:val="BTEMEASMCA"/>
        <w:keepNext/>
        <w:keepLines/>
      </w:pPr>
      <w:r w:rsidRPr="00B308ED">
        <w:t xml:space="preserve">Veiklioji medžiaga yra ramiprilis. </w:t>
      </w:r>
    </w:p>
    <w:p w:rsidR="004C35E7" w:rsidRPr="00B308ED" w:rsidRDefault="004C35E7" w:rsidP="004C35E7">
      <w:pPr>
        <w:pStyle w:val="BTEMEASMCA"/>
      </w:pPr>
    </w:p>
    <w:p w:rsidR="004C35E7" w:rsidRPr="00B308ED" w:rsidRDefault="004C35E7" w:rsidP="004C35E7">
      <w:pPr>
        <w:pStyle w:val="BTEMEASMCA"/>
      </w:pPr>
      <w:r w:rsidRPr="00B308ED">
        <w:rPr>
          <w:i/>
        </w:rPr>
        <w:t>2,5 mg</w:t>
      </w:r>
      <w:r w:rsidRPr="00B308ED">
        <w:t>. Kiekvienoje tabletėje yra 2,5 mg ramiprilio.</w:t>
      </w:r>
    </w:p>
    <w:p w:rsidR="004C35E7" w:rsidRPr="00B66017" w:rsidRDefault="004C35E7" w:rsidP="004C35E7">
      <w:pPr>
        <w:pStyle w:val="BTEMEASMCA"/>
        <w:rPr>
          <w:highlight w:val="lightGray"/>
        </w:rPr>
      </w:pPr>
      <w:r w:rsidRPr="00B66017">
        <w:rPr>
          <w:i/>
          <w:highlight w:val="lightGray"/>
        </w:rPr>
        <w:t>5 mg</w:t>
      </w:r>
      <w:r w:rsidRPr="00B66017">
        <w:rPr>
          <w:highlight w:val="lightGray"/>
        </w:rPr>
        <w:t>. Kiekvienoje tabletėje yra 5 mg ramiprilio.</w:t>
      </w:r>
    </w:p>
    <w:p w:rsidR="004C35E7" w:rsidRPr="00B308ED" w:rsidRDefault="004C35E7" w:rsidP="004C35E7">
      <w:pPr>
        <w:pStyle w:val="BTEMEASMCA"/>
      </w:pPr>
      <w:r w:rsidRPr="00B66017">
        <w:rPr>
          <w:i/>
          <w:highlight w:val="lightGray"/>
        </w:rPr>
        <w:t>10 mg</w:t>
      </w:r>
      <w:r w:rsidRPr="00B66017">
        <w:rPr>
          <w:highlight w:val="lightGray"/>
        </w:rPr>
        <w:t>. Kiekvienoje tabletėje yra10 mg ramiprilio.</w:t>
      </w:r>
    </w:p>
    <w:p w:rsidR="004C35E7" w:rsidRPr="00B308ED" w:rsidRDefault="004C35E7" w:rsidP="004C35E7">
      <w:pPr>
        <w:pStyle w:val="BTEMEASMCA"/>
      </w:pPr>
    </w:p>
    <w:p w:rsidR="004C35E7" w:rsidRPr="00B308ED" w:rsidRDefault="004C35E7" w:rsidP="004C35E7">
      <w:pPr>
        <w:pStyle w:val="BTEMEASMCA"/>
      </w:pPr>
      <w:r>
        <w:t>P</w:t>
      </w:r>
      <w:r w:rsidRPr="00B308ED">
        <w:t>agalbinės medžiagos yra:</w:t>
      </w:r>
    </w:p>
    <w:p w:rsidR="004C35E7" w:rsidRPr="00B308ED" w:rsidRDefault="004C35E7" w:rsidP="004C35E7">
      <w:pPr>
        <w:pStyle w:val="BTEMEASMCA"/>
      </w:pPr>
    </w:p>
    <w:p w:rsidR="004C35E7" w:rsidRPr="00B308ED" w:rsidRDefault="004C35E7" w:rsidP="004C35E7">
      <w:pPr>
        <w:pStyle w:val="BTEMEASMCA"/>
        <w:rPr>
          <w:i/>
        </w:rPr>
      </w:pPr>
      <w:r w:rsidRPr="00B308ED">
        <w:rPr>
          <w:i/>
        </w:rPr>
        <w:t>2,5 mg tabletės</w:t>
      </w:r>
    </w:p>
    <w:p w:rsidR="004C35E7" w:rsidRPr="00B308ED" w:rsidRDefault="004C35E7" w:rsidP="004C35E7">
      <w:pPr>
        <w:pStyle w:val="BTEMEASMCA"/>
      </w:pPr>
      <w:r w:rsidRPr="00B308ED">
        <w:t>Hipromeliozė</w:t>
      </w:r>
    </w:p>
    <w:p w:rsidR="004C35E7" w:rsidRPr="00B308ED" w:rsidRDefault="004C35E7" w:rsidP="004C35E7">
      <w:pPr>
        <w:pStyle w:val="BTEMEASMCA"/>
      </w:pPr>
      <w:r w:rsidRPr="00B308ED">
        <w:t>Pregelifikuotas kukurūzų krakmolas</w:t>
      </w:r>
    </w:p>
    <w:p w:rsidR="004C35E7" w:rsidRPr="00B308ED" w:rsidRDefault="004C35E7" w:rsidP="004C35E7">
      <w:pPr>
        <w:pStyle w:val="BTEMEASMCA"/>
      </w:pPr>
      <w:r w:rsidRPr="00B308ED">
        <w:t>Mikrokristalinė celiuliozė</w:t>
      </w:r>
    </w:p>
    <w:p w:rsidR="004C35E7" w:rsidRPr="00B308ED" w:rsidRDefault="004C35E7" w:rsidP="004C35E7">
      <w:pPr>
        <w:pStyle w:val="BTEMEASMCA"/>
      </w:pPr>
      <w:r w:rsidRPr="00B308ED">
        <w:t>Natrio stearilfumaratas</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Geltonasis geležies oksidas (E 172)</w:t>
      </w:r>
    </w:p>
    <w:p w:rsidR="004C35E7" w:rsidRPr="00B308ED" w:rsidRDefault="004C35E7" w:rsidP="004C35E7">
      <w:pPr>
        <w:pStyle w:val="BTEMEASMCA"/>
      </w:pPr>
    </w:p>
    <w:p w:rsidR="004C35E7" w:rsidRPr="00B66017" w:rsidRDefault="004C35E7" w:rsidP="004C35E7">
      <w:pPr>
        <w:pStyle w:val="BTEMEASMCA"/>
        <w:rPr>
          <w:i/>
          <w:highlight w:val="lightGray"/>
        </w:rPr>
      </w:pPr>
      <w:r w:rsidRPr="00B66017">
        <w:rPr>
          <w:i/>
          <w:highlight w:val="lightGray"/>
        </w:rPr>
        <w:t>5 mg tabletės</w:t>
      </w:r>
    </w:p>
    <w:p w:rsidR="004C35E7" w:rsidRPr="00B66017" w:rsidRDefault="004C35E7" w:rsidP="004C35E7">
      <w:pPr>
        <w:pStyle w:val="BTEMEASMCA"/>
        <w:rPr>
          <w:highlight w:val="lightGray"/>
        </w:rPr>
      </w:pPr>
      <w:r w:rsidRPr="00B66017">
        <w:rPr>
          <w:highlight w:val="lightGray"/>
        </w:rPr>
        <w:t>Hipromeliozė</w:t>
      </w:r>
    </w:p>
    <w:p w:rsidR="004C35E7" w:rsidRPr="00B66017" w:rsidRDefault="004C35E7" w:rsidP="004C35E7">
      <w:pPr>
        <w:pStyle w:val="BTEMEASMCA"/>
        <w:rPr>
          <w:highlight w:val="lightGray"/>
        </w:rPr>
      </w:pPr>
      <w:r w:rsidRPr="00B66017">
        <w:rPr>
          <w:highlight w:val="lightGray"/>
        </w:rPr>
        <w:t>Pregelifikuotas kukurūzų krakmolas</w:t>
      </w:r>
    </w:p>
    <w:p w:rsidR="004C35E7" w:rsidRPr="00B66017" w:rsidRDefault="004C35E7" w:rsidP="004C35E7">
      <w:pPr>
        <w:pStyle w:val="BTEMEASMCA"/>
        <w:rPr>
          <w:highlight w:val="lightGray"/>
        </w:rPr>
      </w:pPr>
      <w:r w:rsidRPr="00B66017">
        <w:rPr>
          <w:highlight w:val="lightGray"/>
        </w:rPr>
        <w:t>Mikrokristalinė celiuliozė</w:t>
      </w:r>
    </w:p>
    <w:p w:rsidR="004C35E7" w:rsidRPr="00B66017" w:rsidRDefault="004C35E7" w:rsidP="004C35E7">
      <w:pPr>
        <w:pStyle w:val="BTEMEASMCA"/>
        <w:rPr>
          <w:highlight w:val="lightGray"/>
        </w:rPr>
      </w:pPr>
      <w:r w:rsidRPr="00B66017">
        <w:rPr>
          <w:highlight w:val="lightGray"/>
        </w:rPr>
        <w:t>Natrio stearilfumaratas</w:t>
      </w:r>
    </w:p>
    <w:p w:rsidR="004C35E7" w:rsidRPr="00B66017" w:rsidRDefault="004C35E7" w:rsidP="004C35E7">
      <w:pPr>
        <w:spacing w:after="0" w:line="240" w:lineRule="auto"/>
        <w:rPr>
          <w:rFonts w:ascii="Times New Roman" w:hAnsi="Times New Roman" w:cs="Times New Roman"/>
          <w:highlight w:val="lightGray"/>
          <w:lang w:val="lt-LT"/>
        </w:rPr>
      </w:pPr>
      <w:r w:rsidRPr="00B66017">
        <w:rPr>
          <w:rFonts w:ascii="Times New Roman" w:hAnsi="Times New Roman" w:cs="Times New Roman"/>
          <w:highlight w:val="lightGray"/>
          <w:lang w:val="lt-LT"/>
        </w:rPr>
        <w:t>Raudonasis geležies oksidas (E 172)</w:t>
      </w:r>
    </w:p>
    <w:p w:rsidR="004C35E7" w:rsidRPr="00B66017" w:rsidRDefault="004C35E7" w:rsidP="004C35E7">
      <w:pPr>
        <w:spacing w:after="0" w:line="240" w:lineRule="auto"/>
        <w:rPr>
          <w:rFonts w:ascii="Times New Roman" w:hAnsi="Times New Roman" w:cs="Times New Roman"/>
          <w:highlight w:val="lightGray"/>
          <w:lang w:val="lt-LT"/>
        </w:rPr>
      </w:pPr>
    </w:p>
    <w:p w:rsidR="004C35E7" w:rsidRPr="00B66017" w:rsidRDefault="004C35E7" w:rsidP="004C35E7">
      <w:pPr>
        <w:pStyle w:val="BTEMEASMCA"/>
        <w:rPr>
          <w:i/>
          <w:highlight w:val="lightGray"/>
        </w:rPr>
      </w:pPr>
      <w:r w:rsidRPr="00B66017">
        <w:rPr>
          <w:i/>
          <w:highlight w:val="lightGray"/>
        </w:rPr>
        <w:t>10 mg tabletės</w:t>
      </w:r>
    </w:p>
    <w:p w:rsidR="004C35E7" w:rsidRPr="00B66017" w:rsidRDefault="004C35E7" w:rsidP="004C35E7">
      <w:pPr>
        <w:pStyle w:val="BTEMEASMCA"/>
        <w:rPr>
          <w:highlight w:val="lightGray"/>
        </w:rPr>
      </w:pPr>
      <w:r w:rsidRPr="00B66017">
        <w:rPr>
          <w:highlight w:val="lightGray"/>
        </w:rPr>
        <w:t>Hipromeliozė</w:t>
      </w:r>
    </w:p>
    <w:p w:rsidR="004C35E7" w:rsidRPr="00B66017" w:rsidRDefault="004C35E7" w:rsidP="004C35E7">
      <w:pPr>
        <w:pStyle w:val="BTEMEASMCA"/>
        <w:rPr>
          <w:highlight w:val="lightGray"/>
        </w:rPr>
      </w:pPr>
      <w:r w:rsidRPr="00B66017">
        <w:rPr>
          <w:highlight w:val="lightGray"/>
        </w:rPr>
        <w:t>Pregelifikuotas kukurūzų krakmolas</w:t>
      </w:r>
    </w:p>
    <w:p w:rsidR="004C35E7" w:rsidRPr="00B66017" w:rsidRDefault="004C35E7" w:rsidP="004C35E7">
      <w:pPr>
        <w:pStyle w:val="BTEMEASMCA"/>
        <w:rPr>
          <w:highlight w:val="lightGray"/>
        </w:rPr>
      </w:pPr>
      <w:r w:rsidRPr="00B66017">
        <w:rPr>
          <w:highlight w:val="lightGray"/>
        </w:rPr>
        <w:t>Mikrokristalinė celiuliozė</w:t>
      </w:r>
    </w:p>
    <w:p w:rsidR="004C35E7" w:rsidRPr="00B308ED" w:rsidRDefault="004C35E7" w:rsidP="004C35E7">
      <w:pPr>
        <w:pStyle w:val="BTEMEASMCA"/>
      </w:pPr>
      <w:r w:rsidRPr="00B66017">
        <w:rPr>
          <w:highlight w:val="lightGray"/>
        </w:rPr>
        <w:t>Natrio stearilfumaratas</w:t>
      </w:r>
    </w:p>
    <w:p w:rsidR="004C35E7" w:rsidRPr="00B308ED" w:rsidRDefault="004C35E7" w:rsidP="004C35E7">
      <w:pPr>
        <w:pStyle w:val="PI-3EMEASMCA"/>
        <w:spacing w:line="240" w:lineRule="auto"/>
      </w:pPr>
    </w:p>
    <w:p w:rsidR="004C35E7" w:rsidRPr="00B308ED" w:rsidRDefault="004C35E7" w:rsidP="004C35E7">
      <w:pPr>
        <w:pStyle w:val="PI-3EMEASMCA"/>
        <w:spacing w:line="240" w:lineRule="auto"/>
      </w:pPr>
      <w:r w:rsidRPr="00B308ED">
        <w:t>Cardace išvaizda ir kiekis pakuotėje</w:t>
      </w:r>
    </w:p>
    <w:p w:rsidR="004C35E7" w:rsidRPr="00B308ED" w:rsidRDefault="004C35E7" w:rsidP="004C35E7">
      <w:pPr>
        <w:pStyle w:val="BTEMEASMCA"/>
      </w:pPr>
    </w:p>
    <w:p w:rsidR="004C35E7" w:rsidRPr="00B308ED" w:rsidRDefault="004C35E7" w:rsidP="004C35E7">
      <w:pPr>
        <w:pStyle w:val="BTEMEASMCA"/>
      </w:pPr>
      <w:r w:rsidRPr="00B308ED">
        <w:t>Cardace 2,5 mg tabletės</w:t>
      </w:r>
    </w:p>
    <w:p w:rsidR="004C35E7" w:rsidRPr="00B308ED" w:rsidRDefault="004C35E7" w:rsidP="004C35E7">
      <w:pPr>
        <w:pStyle w:val="BTEMEASMCA"/>
      </w:pPr>
      <w:r w:rsidRPr="00B308ED">
        <w:t>Gelsvos ar geltonos, pailgos, 8</w:t>
      </w:r>
      <w:r>
        <w:t> mm</w:t>
      </w:r>
      <w:r w:rsidRPr="00B308ED">
        <w:t xml:space="preserve"> x 4 mm dydžio tabletės su vagele abiejose pusėse, kurių vienoje pusėje įspausta 2,5 ir kompanijos logo</w:t>
      </w:r>
      <w:r>
        <w:t>tipas</w:t>
      </w:r>
      <w:r w:rsidRPr="00B308ED">
        <w:t>, o kitoje pusėje įspausta HMR ir 2,5. Tabletę galima padalyti į lygias dozes.</w:t>
      </w:r>
    </w:p>
    <w:p w:rsidR="004C35E7" w:rsidRPr="00B308ED" w:rsidRDefault="004C35E7" w:rsidP="004C35E7">
      <w:pPr>
        <w:pStyle w:val="BTEMEASMCA"/>
      </w:pPr>
    </w:p>
    <w:p w:rsidR="004C35E7" w:rsidRPr="00B66017" w:rsidRDefault="004C35E7" w:rsidP="004C35E7">
      <w:pPr>
        <w:pStyle w:val="BTEMEASMCA"/>
        <w:rPr>
          <w:highlight w:val="lightGray"/>
        </w:rPr>
      </w:pPr>
      <w:r w:rsidRPr="00B66017">
        <w:rPr>
          <w:highlight w:val="lightGray"/>
        </w:rPr>
        <w:t>Cardace 5 mg tabletės</w:t>
      </w:r>
    </w:p>
    <w:p w:rsidR="004C35E7" w:rsidRPr="00B66017" w:rsidRDefault="004C35E7" w:rsidP="004C35E7">
      <w:pPr>
        <w:pStyle w:val="BTEMEASMCA"/>
        <w:rPr>
          <w:highlight w:val="lightGray"/>
        </w:rPr>
      </w:pPr>
      <w:r w:rsidRPr="00B66017">
        <w:rPr>
          <w:highlight w:val="lightGray"/>
        </w:rPr>
        <w:t>Rausvos, pailgos, 8</w:t>
      </w:r>
      <w:r>
        <w:rPr>
          <w:highlight w:val="lightGray"/>
        </w:rPr>
        <w:t> mm</w:t>
      </w:r>
      <w:r w:rsidRPr="00B66017">
        <w:rPr>
          <w:highlight w:val="lightGray"/>
        </w:rPr>
        <w:t xml:space="preserve"> x 4 mm dydžio tabletės su vagele abiejose pusėse, kurių vienoje pusėje įspausta 5 ir kompanijos logotipas, o kitoje pusėje įspausta HMP ir 5. Tabletę galima padalyti į lygias dozes.</w:t>
      </w:r>
    </w:p>
    <w:p w:rsidR="004C35E7" w:rsidRPr="00B66017" w:rsidRDefault="004C35E7" w:rsidP="004C35E7">
      <w:pPr>
        <w:pStyle w:val="BTEMEASMCA"/>
        <w:rPr>
          <w:highlight w:val="lightGray"/>
        </w:rPr>
      </w:pPr>
    </w:p>
    <w:p w:rsidR="004C35E7" w:rsidRPr="00B66017" w:rsidRDefault="004C35E7" w:rsidP="004C35E7">
      <w:pPr>
        <w:pStyle w:val="BTEMEASMCA"/>
        <w:rPr>
          <w:highlight w:val="lightGray"/>
        </w:rPr>
      </w:pPr>
      <w:r w:rsidRPr="00B66017">
        <w:rPr>
          <w:highlight w:val="lightGray"/>
        </w:rPr>
        <w:t>Cardace 10 mg tabletės</w:t>
      </w:r>
    </w:p>
    <w:p w:rsidR="004C35E7" w:rsidRPr="00B308ED" w:rsidRDefault="004C35E7" w:rsidP="004C35E7">
      <w:pPr>
        <w:pStyle w:val="BTEMEASMCA"/>
      </w:pPr>
      <w:r w:rsidRPr="00B66017">
        <w:rPr>
          <w:highlight w:val="lightGray"/>
        </w:rPr>
        <w:t>Baltos ar balkšvos, pailgos, 7</w:t>
      </w:r>
      <w:r>
        <w:rPr>
          <w:highlight w:val="lightGray"/>
        </w:rPr>
        <w:t> mm</w:t>
      </w:r>
      <w:r w:rsidRPr="00B66017">
        <w:rPr>
          <w:highlight w:val="lightGray"/>
        </w:rPr>
        <w:t xml:space="preserve"> x 4,5 mm dydžio tabletės su vagele abiejose pusėse, kurių vienoje pusėje įspausta HMO/HMO. Tabletę galima padalyti į lygias dozes.</w:t>
      </w:r>
    </w:p>
    <w:p w:rsidR="004C35E7" w:rsidRPr="00B308ED" w:rsidRDefault="004C35E7" w:rsidP="004C35E7">
      <w:pPr>
        <w:pStyle w:val="BTEMEASMCA"/>
      </w:pPr>
    </w:p>
    <w:p w:rsidR="004C35E7" w:rsidRPr="00B308ED" w:rsidRDefault="004C35E7" w:rsidP="004C35E7">
      <w:pPr>
        <w:pStyle w:val="BTEMEASMCA"/>
      </w:pPr>
      <w:r w:rsidRPr="00B308ED">
        <w:t>Cardace 2,5 mg tabletės yra tiekiamos po 7, 10, 14, 15, 18, 20, 28, 30, 45, 50, 60, 90, 98, 99, 100, 300, 320, 500 tablečių PVC ir aliuminio lizdinėse plokštelėse.</w:t>
      </w:r>
    </w:p>
    <w:p w:rsidR="004C35E7" w:rsidRPr="00B66017" w:rsidRDefault="004C35E7" w:rsidP="004C35E7">
      <w:pPr>
        <w:pStyle w:val="BTEMEASMCA"/>
        <w:rPr>
          <w:highlight w:val="lightGray"/>
        </w:rPr>
      </w:pPr>
      <w:r w:rsidRPr="00B66017">
        <w:rPr>
          <w:highlight w:val="lightGray"/>
        </w:rPr>
        <w:t xml:space="preserve">Cardace 5 mg tabletės yra tiekiamos po 10, 14, 15, 18, 20, 21, 28, 30, 45, 50, 56, 90, 98, 99, 100, 300, 320, 500 tablečių PVC ir aliuminio lizdinėse plokštelėse. </w:t>
      </w:r>
    </w:p>
    <w:p w:rsidR="004C35E7" w:rsidRPr="00B308ED" w:rsidRDefault="004C35E7" w:rsidP="004C35E7">
      <w:pPr>
        <w:pStyle w:val="BTEMEASMCA"/>
      </w:pPr>
      <w:r w:rsidRPr="00B66017">
        <w:rPr>
          <w:highlight w:val="lightGray"/>
        </w:rPr>
        <w:t>Cardace 10 mg tabletės yra tiekiamos po 7, 10, 14, 15, 18, 20, 28, 30, 45, 50, 56, 90, 98, 99, 100, 300, 320, 500 tablečių PVC ir aliuminio lizdinėse plokštelėse.</w:t>
      </w:r>
      <w:r w:rsidRPr="00B308ED">
        <w:t xml:space="preserve"> </w:t>
      </w:r>
    </w:p>
    <w:p w:rsidR="004C35E7" w:rsidRPr="00B308ED" w:rsidRDefault="004C35E7" w:rsidP="004C35E7">
      <w:pPr>
        <w:numPr>
          <w:ilvl w:val="12"/>
          <w:numId w:val="0"/>
        </w:numPr>
        <w:spacing w:after="0" w:line="240" w:lineRule="auto"/>
        <w:ind w:right="-2"/>
        <w:rPr>
          <w:rFonts w:ascii="Times New Roman" w:hAnsi="Times New Roman" w:cs="Times New Roman"/>
          <w:lang w:val="lt-LT"/>
        </w:rPr>
      </w:pPr>
    </w:p>
    <w:p w:rsidR="004C35E7" w:rsidRPr="00B308ED" w:rsidRDefault="004C35E7" w:rsidP="004C35E7">
      <w:pPr>
        <w:pStyle w:val="BTEMEASMCA"/>
      </w:pPr>
      <w:r w:rsidRPr="00B308ED">
        <w:t>Gali būti tiekiamos ne visų dydžių pakuotės.</w:t>
      </w:r>
    </w:p>
    <w:p w:rsidR="004C35E7" w:rsidRPr="00B308ED" w:rsidRDefault="004C35E7" w:rsidP="004C35E7">
      <w:pPr>
        <w:pStyle w:val="BTEMEASMCA"/>
      </w:pPr>
    </w:p>
    <w:p w:rsidR="004C35E7" w:rsidRPr="00B308ED" w:rsidRDefault="004C35E7" w:rsidP="004C35E7">
      <w:pPr>
        <w:pStyle w:val="PI-3EMEASMCA"/>
        <w:keepNext/>
        <w:keepLines/>
        <w:spacing w:line="240" w:lineRule="auto"/>
      </w:pPr>
      <w:r w:rsidRPr="00B308ED">
        <w:t>Registruotojas ir gamintojas</w:t>
      </w:r>
    </w:p>
    <w:p w:rsidR="004C35E7" w:rsidRPr="00B308ED" w:rsidRDefault="004C35E7" w:rsidP="004C35E7">
      <w:pPr>
        <w:pStyle w:val="BTEMEASMCA"/>
        <w:keepNext/>
        <w:keepLines/>
        <w:rPr>
          <w:i/>
        </w:rPr>
      </w:pPr>
    </w:p>
    <w:p w:rsidR="004C35E7" w:rsidRPr="00B308ED" w:rsidRDefault="004C35E7" w:rsidP="004C35E7">
      <w:pPr>
        <w:pStyle w:val="BTEMEASMCA"/>
        <w:keepNext/>
        <w:keepLines/>
        <w:rPr>
          <w:i/>
        </w:rPr>
      </w:pPr>
      <w:r w:rsidRPr="00B308ED">
        <w:rPr>
          <w:i/>
        </w:rPr>
        <w:t>Registruotojas</w:t>
      </w: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 xml:space="preserve">UAB „SANOFI-AVENTIS LIETUVA” </w:t>
      </w:r>
    </w:p>
    <w:p w:rsidR="004C35E7" w:rsidRPr="00B308ED" w:rsidRDefault="004C35E7" w:rsidP="004C35E7">
      <w:pPr>
        <w:keepNext/>
        <w:keepLines/>
        <w:spacing w:after="0" w:line="240" w:lineRule="auto"/>
        <w:rPr>
          <w:rFonts w:ascii="Times New Roman" w:hAnsi="Times New Roman" w:cs="Times New Roman"/>
          <w:lang w:val="lt-LT"/>
        </w:rPr>
      </w:pPr>
      <w:r w:rsidRPr="00B308ED">
        <w:rPr>
          <w:rFonts w:ascii="Times New Roman" w:hAnsi="Times New Roman" w:cs="Times New Roman"/>
          <w:lang w:val="lt-LT"/>
        </w:rPr>
        <w:t xml:space="preserve">A.Juozapavičiaus g. 6/2 </w:t>
      </w: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 xml:space="preserve">LT-09310 Vilnius </w:t>
      </w:r>
    </w:p>
    <w:p w:rsidR="004C35E7" w:rsidRPr="00B308ED" w:rsidRDefault="004C35E7" w:rsidP="004C35E7">
      <w:pPr>
        <w:pStyle w:val="BTEMEASMCA"/>
      </w:pPr>
      <w:r w:rsidRPr="00B308ED">
        <w:t>Lietuva</w:t>
      </w:r>
    </w:p>
    <w:p w:rsidR="004C35E7" w:rsidRPr="00B308ED" w:rsidRDefault="004C35E7" w:rsidP="004C35E7">
      <w:pPr>
        <w:pStyle w:val="BTEMEASMCA"/>
      </w:pPr>
    </w:p>
    <w:p w:rsidR="004C35E7" w:rsidRPr="00B308ED" w:rsidRDefault="004C35E7" w:rsidP="004C35E7">
      <w:pPr>
        <w:pStyle w:val="BTEMEASMCA"/>
        <w:rPr>
          <w:i/>
        </w:rPr>
      </w:pPr>
      <w:r w:rsidRPr="00B308ED">
        <w:rPr>
          <w:i/>
        </w:rPr>
        <w:t>Gamintojai</w:t>
      </w:r>
    </w:p>
    <w:p w:rsidR="004C35E7" w:rsidRPr="00B308ED" w:rsidRDefault="004C35E7" w:rsidP="004C35E7">
      <w:pPr>
        <w:spacing w:after="0" w:line="240" w:lineRule="auto"/>
        <w:rPr>
          <w:rFonts w:ascii="Times New Roman" w:hAnsi="Times New Roman" w:cs="Times New Roman"/>
          <w:bCs/>
          <w:lang w:val="lt-LT"/>
        </w:rPr>
      </w:pPr>
      <w:r w:rsidRPr="00B308ED">
        <w:rPr>
          <w:rFonts w:ascii="Times New Roman" w:hAnsi="Times New Roman" w:cs="Times New Roman"/>
          <w:bCs/>
          <w:lang w:val="lt-LT"/>
        </w:rPr>
        <w:t xml:space="preserve">Sanofi S.p.A. </w:t>
      </w:r>
    </w:p>
    <w:p w:rsidR="004C35E7" w:rsidRPr="00B308ED" w:rsidRDefault="004C35E7" w:rsidP="004C35E7">
      <w:pPr>
        <w:spacing w:after="0" w:line="240" w:lineRule="auto"/>
        <w:rPr>
          <w:rFonts w:ascii="Times New Roman" w:hAnsi="Times New Roman" w:cs="Times New Roman"/>
          <w:bCs/>
          <w:lang w:val="lt-LT"/>
        </w:rPr>
      </w:pPr>
      <w:r w:rsidRPr="00B308ED">
        <w:rPr>
          <w:rFonts w:ascii="Times New Roman" w:hAnsi="Times New Roman" w:cs="Times New Roman"/>
          <w:bCs/>
          <w:lang w:val="lt-LT"/>
        </w:rPr>
        <w:t>Strada Statale 17</w:t>
      </w:r>
    </w:p>
    <w:p w:rsidR="004C35E7" w:rsidRPr="00B308ED" w:rsidRDefault="004C35E7" w:rsidP="004C35E7">
      <w:pPr>
        <w:spacing w:after="0" w:line="240" w:lineRule="auto"/>
        <w:rPr>
          <w:rFonts w:ascii="Times New Roman" w:hAnsi="Times New Roman" w:cs="Times New Roman"/>
          <w:bCs/>
          <w:lang w:val="lt-LT"/>
        </w:rPr>
      </w:pPr>
      <w:r w:rsidRPr="00B308ED">
        <w:rPr>
          <w:rFonts w:ascii="Times New Roman" w:hAnsi="Times New Roman" w:cs="Times New Roman"/>
          <w:bCs/>
          <w:lang w:val="lt-LT"/>
        </w:rPr>
        <w:t xml:space="preserve">Km 22, 67019 </w:t>
      </w:r>
    </w:p>
    <w:p w:rsidR="004C35E7" w:rsidRPr="00B308ED" w:rsidRDefault="004C35E7" w:rsidP="004C35E7">
      <w:pPr>
        <w:spacing w:after="0" w:line="240" w:lineRule="auto"/>
        <w:rPr>
          <w:rFonts w:ascii="Times New Roman" w:hAnsi="Times New Roman" w:cs="Times New Roman"/>
          <w:bCs/>
          <w:lang w:val="lt-LT"/>
        </w:rPr>
      </w:pPr>
      <w:r w:rsidRPr="00B308ED">
        <w:rPr>
          <w:rFonts w:ascii="Times New Roman" w:hAnsi="Times New Roman" w:cs="Times New Roman"/>
          <w:bCs/>
          <w:lang w:val="lt-LT"/>
        </w:rPr>
        <w:t>Scoppito (L’Aquila)</w:t>
      </w:r>
    </w:p>
    <w:p w:rsidR="004C35E7" w:rsidRPr="00B308ED" w:rsidRDefault="004C35E7" w:rsidP="004C35E7">
      <w:pPr>
        <w:pStyle w:val="BTEMEASMCA"/>
      </w:pPr>
      <w:r w:rsidRPr="00B308ED">
        <w:t>Italija</w:t>
      </w:r>
    </w:p>
    <w:p w:rsidR="004C35E7" w:rsidRPr="00B308ED" w:rsidRDefault="004C35E7" w:rsidP="004C35E7">
      <w:pPr>
        <w:pStyle w:val="BTEMEASMCA"/>
      </w:pPr>
    </w:p>
    <w:p w:rsidR="004C35E7" w:rsidRPr="00B308ED" w:rsidRDefault="004C35E7" w:rsidP="004C35E7">
      <w:pPr>
        <w:pStyle w:val="BTEMEASMCA"/>
      </w:pPr>
      <w:r w:rsidRPr="00B308ED">
        <w:t>arba</w:t>
      </w:r>
    </w:p>
    <w:p w:rsidR="004C35E7" w:rsidRPr="00B308ED" w:rsidRDefault="004C35E7" w:rsidP="004C35E7">
      <w:pPr>
        <w:pStyle w:val="BTEMEASMCA"/>
      </w:pPr>
    </w:p>
    <w:p w:rsidR="004C35E7" w:rsidRPr="00B308ED" w:rsidRDefault="004C35E7" w:rsidP="004C35E7">
      <w:pPr>
        <w:pStyle w:val="BTEMEASMCA"/>
      </w:pPr>
      <w:r w:rsidRPr="00B308ED">
        <w:t>Delpharm Dijon</w:t>
      </w:r>
    </w:p>
    <w:p w:rsidR="004C35E7" w:rsidRPr="00B308ED" w:rsidRDefault="004C35E7" w:rsidP="004C35E7">
      <w:pPr>
        <w:pStyle w:val="BTEMEASMCA"/>
      </w:pPr>
      <w:r w:rsidRPr="00B308ED">
        <w:t>6, boulevard de l’Europe</w:t>
      </w:r>
    </w:p>
    <w:p w:rsidR="004C35E7" w:rsidRPr="00B308ED" w:rsidRDefault="004C35E7" w:rsidP="004C35E7">
      <w:pPr>
        <w:pStyle w:val="BTEMEASMCA"/>
      </w:pPr>
      <w:r w:rsidRPr="00B308ED">
        <w:t>21800 Quetigny</w:t>
      </w:r>
    </w:p>
    <w:p w:rsidR="004C35E7" w:rsidRPr="00B308ED" w:rsidRDefault="004C35E7" w:rsidP="004C35E7">
      <w:pPr>
        <w:pStyle w:val="BTEMEASMCA"/>
      </w:pPr>
      <w:r w:rsidRPr="00B308ED">
        <w:t>Prancūzija</w:t>
      </w:r>
    </w:p>
    <w:p w:rsidR="004C35E7" w:rsidRDefault="004C35E7" w:rsidP="004C35E7">
      <w:pPr>
        <w:pStyle w:val="BTEMEASMCA"/>
      </w:pPr>
    </w:p>
    <w:p w:rsidR="00B7109A" w:rsidRDefault="00B7109A" w:rsidP="00B7109A">
      <w:pPr>
        <w:pStyle w:val="BTEMEASMCA"/>
      </w:pPr>
      <w:r>
        <w:t>arba</w:t>
      </w:r>
    </w:p>
    <w:p w:rsidR="00B7109A" w:rsidRDefault="00B7109A" w:rsidP="00B7109A">
      <w:pPr>
        <w:pStyle w:val="BTEMEASMCA"/>
      </w:pPr>
    </w:p>
    <w:p w:rsidR="00B7109A" w:rsidRDefault="00B7109A" w:rsidP="00B7109A">
      <w:pPr>
        <w:pStyle w:val="BTEMEASMCA"/>
      </w:pPr>
      <w:r>
        <w:t>S.C. ZENTIVA S.A.</w:t>
      </w:r>
    </w:p>
    <w:p w:rsidR="00B7109A" w:rsidRDefault="00B7109A" w:rsidP="00B7109A">
      <w:pPr>
        <w:pStyle w:val="BTEMEASMCA"/>
      </w:pPr>
      <w:r>
        <w:t>B-dul Theodor Pallady nr. 50</w:t>
      </w:r>
    </w:p>
    <w:p w:rsidR="00B7109A" w:rsidRDefault="00B7109A" w:rsidP="00B7109A">
      <w:pPr>
        <w:pStyle w:val="BTEMEASMCA"/>
      </w:pPr>
      <w:r>
        <w:t>Sector 3</w:t>
      </w:r>
    </w:p>
    <w:p w:rsidR="00B7109A" w:rsidRDefault="00B7109A" w:rsidP="00B7109A">
      <w:pPr>
        <w:pStyle w:val="BTEMEASMCA"/>
      </w:pPr>
      <w:r>
        <w:t>Bucuresti, 032266</w:t>
      </w:r>
    </w:p>
    <w:p w:rsidR="00B7109A" w:rsidRDefault="00B7109A" w:rsidP="00B7109A">
      <w:pPr>
        <w:pStyle w:val="BTEMEASMCA"/>
      </w:pPr>
      <w:r>
        <w:t>Rumunija</w:t>
      </w:r>
    </w:p>
    <w:p w:rsidR="00B7109A" w:rsidRPr="00B308ED" w:rsidRDefault="00B7109A" w:rsidP="00B7109A">
      <w:pPr>
        <w:pStyle w:val="BTEMEASMCA"/>
      </w:pPr>
    </w:p>
    <w:p w:rsidR="004C35E7" w:rsidRPr="00B308ED" w:rsidRDefault="004C35E7" w:rsidP="004C35E7">
      <w:pPr>
        <w:spacing w:after="0" w:line="240" w:lineRule="auto"/>
        <w:rPr>
          <w:rFonts w:ascii="Times New Roman" w:hAnsi="Times New Roman" w:cs="Times New Roman"/>
          <w:lang w:val="lt-LT"/>
        </w:rPr>
      </w:pPr>
      <w:r w:rsidRPr="00B308ED">
        <w:rPr>
          <w:rFonts w:ascii="Times New Roman" w:hAnsi="Times New Roman" w:cs="Times New Roman"/>
          <w:lang w:val="lt-LT"/>
        </w:rPr>
        <w:t>Jeigu apie šį vaistą norite sužinoti daugiau, kreipkitės į registruotoją.</w:t>
      </w:r>
    </w:p>
    <w:p w:rsidR="004C35E7" w:rsidRPr="00B308ED" w:rsidRDefault="004C35E7" w:rsidP="004C35E7">
      <w:pPr>
        <w:pStyle w:val="Pagrindinistekstas"/>
        <w:spacing w:after="0"/>
        <w:rPr>
          <w:sz w:val="22"/>
          <w:szCs w:val="22"/>
        </w:rPr>
      </w:pPr>
    </w:p>
    <w:tbl>
      <w:tblPr>
        <w:tblW w:w="0" w:type="auto"/>
        <w:tblInd w:w="108" w:type="dxa"/>
        <w:tblLayout w:type="fixed"/>
        <w:tblLook w:val="0000" w:firstRow="0" w:lastRow="0" w:firstColumn="0" w:lastColumn="0" w:noHBand="0" w:noVBand="0"/>
      </w:tblPr>
      <w:tblGrid>
        <w:gridCol w:w="3960"/>
      </w:tblGrid>
      <w:tr w:rsidR="004C35E7" w:rsidRPr="00B308ED" w:rsidTr="00B7109A">
        <w:tc>
          <w:tcPr>
            <w:tcW w:w="3960" w:type="dxa"/>
          </w:tcPr>
          <w:p w:rsidR="004C35E7" w:rsidRPr="00B308ED" w:rsidRDefault="004C35E7" w:rsidP="00B7109A">
            <w:pPr>
              <w:pStyle w:val="Pagrindinistekstas"/>
              <w:spacing w:after="0"/>
              <w:rPr>
                <w:sz w:val="22"/>
                <w:szCs w:val="22"/>
              </w:rPr>
            </w:pPr>
            <w:r w:rsidRPr="00B308ED">
              <w:rPr>
                <w:sz w:val="22"/>
                <w:szCs w:val="22"/>
              </w:rPr>
              <w:t>UAB „SANOFI-AVENTIS LIETUVA”</w:t>
            </w:r>
          </w:p>
          <w:p w:rsidR="004C35E7" w:rsidRPr="00B308ED" w:rsidRDefault="004C35E7" w:rsidP="00B7109A">
            <w:pPr>
              <w:pStyle w:val="Pagrindinistekstas"/>
              <w:spacing w:after="0"/>
              <w:rPr>
                <w:sz w:val="22"/>
                <w:szCs w:val="22"/>
              </w:rPr>
            </w:pPr>
            <w:r w:rsidRPr="00B308ED">
              <w:rPr>
                <w:sz w:val="22"/>
                <w:szCs w:val="22"/>
              </w:rPr>
              <w:t>A.Juozapavičiaus g. 6/2</w:t>
            </w:r>
          </w:p>
          <w:p w:rsidR="004C35E7" w:rsidRPr="00B308ED" w:rsidRDefault="004C35E7" w:rsidP="00B7109A">
            <w:pPr>
              <w:pStyle w:val="Pagrindinistekstas"/>
              <w:spacing w:after="0"/>
              <w:rPr>
                <w:sz w:val="22"/>
                <w:szCs w:val="22"/>
              </w:rPr>
            </w:pPr>
            <w:r w:rsidRPr="00B308ED">
              <w:rPr>
                <w:sz w:val="22"/>
                <w:szCs w:val="22"/>
              </w:rPr>
              <w:lastRenderedPageBreak/>
              <w:t>Vilnius LT-09310</w:t>
            </w:r>
          </w:p>
          <w:p w:rsidR="004C35E7" w:rsidRPr="00B308ED" w:rsidRDefault="004C35E7" w:rsidP="00B7109A">
            <w:pPr>
              <w:pStyle w:val="Pagrindinistekstas"/>
              <w:spacing w:after="0"/>
              <w:rPr>
                <w:sz w:val="22"/>
                <w:szCs w:val="22"/>
              </w:rPr>
            </w:pPr>
            <w:r w:rsidRPr="00B308ED">
              <w:rPr>
                <w:sz w:val="22"/>
                <w:szCs w:val="22"/>
              </w:rPr>
              <w:t>Tel. + 370 5 275 52 24</w:t>
            </w:r>
          </w:p>
        </w:tc>
      </w:tr>
    </w:tbl>
    <w:p w:rsidR="004C35E7" w:rsidRPr="00B308ED" w:rsidRDefault="004C35E7" w:rsidP="004C35E7">
      <w:pPr>
        <w:pStyle w:val="BTEMEASMCA"/>
      </w:pPr>
    </w:p>
    <w:p w:rsidR="004C35E7" w:rsidRPr="00B308ED" w:rsidRDefault="004C35E7" w:rsidP="004C35E7">
      <w:pPr>
        <w:spacing w:after="0" w:line="240" w:lineRule="auto"/>
        <w:rPr>
          <w:rFonts w:ascii="Times New Roman" w:hAnsi="Times New Roman" w:cs="Times New Roman"/>
          <w:b/>
          <w:lang w:val="lt-LT"/>
        </w:rPr>
      </w:pPr>
      <w:r w:rsidRPr="00B308ED">
        <w:rPr>
          <w:rFonts w:ascii="Times New Roman" w:hAnsi="Times New Roman" w:cs="Times New Roman"/>
          <w:b/>
          <w:lang w:val="lt-LT"/>
        </w:rPr>
        <w:t>Šis vaistas EEE valstybėse narėse registruotas tokiais pavadinimais:</w:t>
      </w:r>
    </w:p>
    <w:p w:rsidR="004C35E7" w:rsidRPr="00B308ED" w:rsidRDefault="004C35E7" w:rsidP="004C35E7">
      <w:pPr>
        <w:spacing w:after="0" w:line="240" w:lineRule="auto"/>
        <w:rPr>
          <w:rFonts w:ascii="Times New Roman" w:hAnsi="Times New Roman" w:cs="Times New Roman"/>
          <w:b/>
          <w:lang w:val="lt-LT"/>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Austrija: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1,25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 xml:space="preserve">, Tritace 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Tabletten</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Belgija: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1,25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/comprimés/</w:t>
      </w:r>
      <w:r w:rsidRPr="00B308ED">
        <w:rPr>
          <w:rFonts w:ascii="Times New Roman" w:hAnsi="Times New Roman" w:cs="Times New Roman"/>
          <w:lang w:val="lt-LT"/>
        </w:rPr>
        <w:t xml:space="preserve"> Tabletten</w:t>
      </w:r>
      <w:r w:rsidRPr="00B308ED">
        <w:rPr>
          <w:rFonts w:ascii="Times New Roman" w:eastAsia="MS Mincho" w:hAnsi="Times New Roman" w:cs="Times New Roman"/>
          <w:lang w:val="lt-LT" w:eastAsia="ja-JP"/>
        </w:rPr>
        <w:t xml:space="preserve">, Tritace 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/comprimés/</w:t>
      </w:r>
      <w:r w:rsidRPr="00B308ED">
        <w:rPr>
          <w:rFonts w:ascii="Times New Roman" w:hAnsi="Times New Roman" w:cs="Times New Roman"/>
          <w:lang w:val="lt-LT"/>
        </w:rPr>
        <w:t xml:space="preserve"> Tabletten</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/comprimés/</w:t>
      </w:r>
      <w:r w:rsidRPr="00B308ED">
        <w:rPr>
          <w:rFonts w:ascii="Times New Roman" w:hAnsi="Times New Roman" w:cs="Times New Roman"/>
          <w:lang w:val="lt-LT"/>
        </w:rPr>
        <w:t xml:space="preserve"> Tabletten</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/comprimés/</w:t>
      </w:r>
      <w:r w:rsidRPr="00B308ED">
        <w:rPr>
          <w:rFonts w:ascii="Times New Roman" w:hAnsi="Times New Roman" w:cs="Times New Roman"/>
          <w:lang w:val="lt-LT"/>
        </w:rPr>
        <w:t xml:space="preserve"> Tabletten</w:t>
      </w:r>
      <w:r w:rsidRPr="00B308ED">
        <w:rPr>
          <w:rFonts w:ascii="Times New Roman" w:eastAsia="MS Mincho" w:hAnsi="Times New Roman" w:cs="Times New Roman"/>
          <w:lang w:val="lt-LT" w:eastAsia="ja-JP"/>
        </w:rPr>
        <w:t>,</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Bulgarija: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5 mg </w:t>
      </w:r>
      <w:r w:rsidRPr="00B308ED">
        <w:rPr>
          <w:rFonts w:ascii="Times New Roman" w:hAnsi="Times New Roman" w:cs="Times New Roman"/>
          <w:lang w:val="lt-LT"/>
        </w:rPr>
        <w:t>таблетки</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таблетки</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Kipras:</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Triatec 2,5 mg </w:t>
      </w:r>
      <w:r w:rsidRPr="00B308ED">
        <w:rPr>
          <w:rFonts w:ascii="Times New Roman" w:hAnsi="Times New Roman" w:cs="Times New Roman"/>
          <w:lang w:val="lt-LT"/>
        </w:rPr>
        <w:t>δισκία</w:t>
      </w:r>
      <w:r w:rsidRPr="00B308ED">
        <w:rPr>
          <w:rFonts w:ascii="Times New Roman" w:eastAsia="MS Mincho" w:hAnsi="Times New Roman" w:cs="Times New Roman"/>
          <w:lang w:val="lt-LT" w:eastAsia="ja-JP"/>
        </w:rPr>
        <w:t xml:space="preserve">, Triatec 5 mg </w:t>
      </w:r>
      <w:r w:rsidRPr="00B308ED">
        <w:rPr>
          <w:rFonts w:ascii="Times New Roman" w:hAnsi="Times New Roman" w:cs="Times New Roman"/>
          <w:lang w:val="lt-LT"/>
        </w:rPr>
        <w:t>δισκία</w:t>
      </w:r>
      <w:r w:rsidRPr="00B308ED">
        <w:rPr>
          <w:rFonts w:ascii="Times New Roman" w:eastAsia="MS Mincho" w:hAnsi="Times New Roman" w:cs="Times New Roman"/>
          <w:lang w:val="lt-LT" w:eastAsia="ja-JP"/>
        </w:rPr>
        <w:t xml:space="preserve">, Triatec 10 mg </w:t>
      </w:r>
      <w:r w:rsidRPr="00B308ED">
        <w:rPr>
          <w:rFonts w:ascii="Times New Roman" w:hAnsi="Times New Roman" w:cs="Times New Roman"/>
          <w:lang w:val="lt-LT"/>
        </w:rPr>
        <w:t>δισκία</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Čekija: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1,25 mg </w:t>
      </w:r>
      <w:r w:rsidRPr="00B308ED">
        <w:rPr>
          <w:rFonts w:ascii="Times New Roman" w:hAnsi="Times New Roman" w:cs="Times New Roman"/>
          <w:lang w:val="lt-LT"/>
        </w:rPr>
        <w:t>tablety</w:t>
      </w:r>
      <w:r w:rsidRPr="00B308ED">
        <w:rPr>
          <w:rFonts w:ascii="Times New Roman" w:eastAsia="MS Mincho" w:hAnsi="Times New Roman" w:cs="Times New Roman"/>
          <w:lang w:val="lt-LT" w:eastAsia="ja-JP"/>
        </w:rPr>
        <w:t xml:space="preserve">, Tritace 2,5 mg </w:t>
      </w:r>
      <w:r w:rsidRPr="00B308ED">
        <w:rPr>
          <w:rFonts w:ascii="Times New Roman" w:hAnsi="Times New Roman" w:cs="Times New Roman"/>
          <w:lang w:val="lt-LT"/>
        </w:rPr>
        <w:t>tablety</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tablety</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tablety</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Danija: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Triatec 1,25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 xml:space="preserve">, Triatec 2,5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 xml:space="preserve">, Triatec 5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 xml:space="preserve">, </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Estija: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Cardace 2,5 mg </w:t>
      </w:r>
      <w:r w:rsidRPr="00B308ED">
        <w:rPr>
          <w:rFonts w:ascii="Times New Roman" w:hAnsi="Times New Roman" w:cs="Times New Roman"/>
          <w:lang w:val="lt-LT"/>
        </w:rPr>
        <w:t>tabletid</w:t>
      </w:r>
      <w:r w:rsidRPr="00B308ED">
        <w:rPr>
          <w:rFonts w:ascii="Times New Roman" w:eastAsia="MS Mincho" w:hAnsi="Times New Roman" w:cs="Times New Roman"/>
          <w:lang w:val="lt-LT" w:eastAsia="ja-JP"/>
        </w:rPr>
        <w:t xml:space="preserve">, Cardace 5 mg </w:t>
      </w:r>
      <w:r w:rsidRPr="00B308ED">
        <w:rPr>
          <w:rFonts w:ascii="Times New Roman" w:hAnsi="Times New Roman" w:cs="Times New Roman"/>
          <w:lang w:val="lt-LT"/>
        </w:rPr>
        <w:t>tabletid</w:t>
      </w:r>
      <w:r w:rsidRPr="00B308ED">
        <w:rPr>
          <w:rFonts w:ascii="Times New Roman" w:eastAsia="MS Mincho" w:hAnsi="Times New Roman" w:cs="Times New Roman"/>
          <w:lang w:val="lt-LT" w:eastAsia="ja-JP"/>
        </w:rPr>
        <w:t xml:space="preserve">, Cardace 10 mg </w:t>
      </w:r>
      <w:r w:rsidRPr="00B308ED">
        <w:rPr>
          <w:rFonts w:ascii="Times New Roman" w:hAnsi="Times New Roman" w:cs="Times New Roman"/>
          <w:lang w:val="lt-LT"/>
        </w:rPr>
        <w:t>tabletid</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Suomija: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Cardace 2,5 mg </w:t>
      </w:r>
      <w:r w:rsidRPr="00B308ED">
        <w:rPr>
          <w:rFonts w:ascii="Times New Roman" w:hAnsi="Times New Roman" w:cs="Times New Roman"/>
          <w:lang w:val="lt-LT"/>
        </w:rPr>
        <w:t>tabletit</w:t>
      </w:r>
      <w:r w:rsidRPr="00B308ED">
        <w:rPr>
          <w:rFonts w:ascii="Times New Roman" w:eastAsia="MS Mincho" w:hAnsi="Times New Roman" w:cs="Times New Roman"/>
          <w:lang w:val="lt-LT" w:eastAsia="ja-JP"/>
        </w:rPr>
        <w:t xml:space="preserve">, Cardace 5 mg </w:t>
      </w:r>
      <w:r w:rsidRPr="00B308ED">
        <w:rPr>
          <w:rFonts w:ascii="Times New Roman" w:hAnsi="Times New Roman" w:cs="Times New Roman"/>
          <w:lang w:val="lt-LT"/>
        </w:rPr>
        <w:t>tabletit</w:t>
      </w:r>
      <w:r w:rsidRPr="00B308ED">
        <w:rPr>
          <w:rFonts w:ascii="Times New Roman" w:eastAsia="MS Mincho" w:hAnsi="Times New Roman" w:cs="Times New Roman"/>
          <w:lang w:val="lt-LT" w:eastAsia="ja-JP"/>
        </w:rPr>
        <w:t xml:space="preserve">, Cardace 10 mg </w:t>
      </w:r>
      <w:r w:rsidRPr="00B308ED">
        <w:rPr>
          <w:rFonts w:ascii="Times New Roman" w:hAnsi="Times New Roman" w:cs="Times New Roman"/>
          <w:lang w:val="lt-LT"/>
        </w:rPr>
        <w:t>tabletit</w:t>
      </w:r>
      <w:r w:rsidRPr="00B308ED">
        <w:rPr>
          <w:rFonts w:ascii="Times New Roman" w:eastAsia="MS Mincho" w:hAnsi="Times New Roman" w:cs="Times New Roman"/>
          <w:lang w:val="lt-LT" w:eastAsia="ja-JP"/>
        </w:rPr>
        <w:t>,</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Prancūzija: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Triatec 1,25 mg comprimé, Triatec 2,5 mg comprimé sécable, Triatec 5 mg comprimé sécable, Triatec 10 mg comprimé sécable</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Ramipril Zentiva 2,5 mg comprimés sécables, Ramipril Zentiva 5 mg comprimés sécables, Ramipril Zentiva 10 mg comprimés sécables</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keepNext/>
        <w:keepLines/>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Vokietija:</w:t>
      </w:r>
    </w:p>
    <w:p w:rsidR="004C35E7" w:rsidRPr="00B308ED" w:rsidRDefault="004C35E7" w:rsidP="004C35E7">
      <w:pPr>
        <w:keepNext/>
        <w:keepLines/>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Delix 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 xml:space="preserve">, Delix 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 xml:space="preserve">, Delix Protect 10 mg </w:t>
      </w:r>
      <w:r w:rsidRPr="00B308ED">
        <w:rPr>
          <w:rFonts w:ascii="Times New Roman" w:hAnsi="Times New Roman" w:cs="Times New Roman"/>
          <w:lang w:val="lt-LT"/>
        </w:rPr>
        <w:t>Tabletten</w:t>
      </w:r>
    </w:p>
    <w:p w:rsidR="004C35E7" w:rsidRPr="00B308ED" w:rsidRDefault="004C35E7" w:rsidP="004C35E7">
      <w:pPr>
        <w:keepNext/>
        <w:keepLines/>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Delix Protect Startset</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Ramilich 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 xml:space="preserve">, Ramilich 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 xml:space="preserve">, Ramilich 10 mg </w:t>
      </w:r>
      <w:r w:rsidRPr="00B308ED">
        <w:rPr>
          <w:rFonts w:ascii="Times New Roman" w:hAnsi="Times New Roman" w:cs="Times New Roman"/>
          <w:lang w:val="lt-LT"/>
        </w:rPr>
        <w:t>Tabletten</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Delix 1,25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Delix 1,25 mg </w:t>
      </w:r>
      <w:r w:rsidRPr="00B308ED">
        <w:rPr>
          <w:rFonts w:ascii="Times New Roman" w:hAnsi="Times New Roman" w:cs="Times New Roman"/>
          <w:lang w:val="lt-LT"/>
        </w:rPr>
        <w:t>Kapseln</w:t>
      </w:r>
      <w:r w:rsidRPr="00B308ED">
        <w:rPr>
          <w:rFonts w:ascii="Times New Roman" w:eastAsia="MS Mincho" w:hAnsi="Times New Roman" w:cs="Times New Roman"/>
          <w:lang w:val="lt-LT" w:eastAsia="ja-JP"/>
        </w:rPr>
        <w:t xml:space="preserve">, Delix P 2,5 mg </w:t>
      </w:r>
      <w:r w:rsidRPr="00B308ED">
        <w:rPr>
          <w:rFonts w:ascii="Times New Roman" w:hAnsi="Times New Roman" w:cs="Times New Roman"/>
          <w:lang w:val="lt-LT"/>
        </w:rPr>
        <w:t>Kapseln</w:t>
      </w:r>
      <w:r w:rsidRPr="00B308ED">
        <w:rPr>
          <w:rFonts w:ascii="Times New Roman" w:eastAsia="MS Mincho" w:hAnsi="Times New Roman" w:cs="Times New Roman"/>
          <w:lang w:val="lt-LT" w:eastAsia="ja-JP"/>
        </w:rPr>
        <w:t xml:space="preserve">, Delix P 5 mg </w:t>
      </w:r>
      <w:r w:rsidRPr="00B308ED">
        <w:rPr>
          <w:rFonts w:ascii="Times New Roman" w:hAnsi="Times New Roman" w:cs="Times New Roman"/>
          <w:lang w:val="lt-LT"/>
        </w:rPr>
        <w:t>Kapseln</w:t>
      </w:r>
      <w:r w:rsidRPr="00B308ED">
        <w:rPr>
          <w:rFonts w:ascii="Times New Roman" w:eastAsia="MS Mincho" w:hAnsi="Times New Roman" w:cs="Times New Roman"/>
          <w:lang w:val="lt-LT" w:eastAsia="ja-JP"/>
        </w:rPr>
        <w:t xml:space="preserve">, Delix P 10 mg </w:t>
      </w:r>
      <w:r w:rsidRPr="00B308ED">
        <w:rPr>
          <w:rFonts w:ascii="Times New Roman" w:hAnsi="Times New Roman" w:cs="Times New Roman"/>
          <w:lang w:val="lt-LT"/>
        </w:rPr>
        <w:t>Kapseln</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Graikija: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Triatec 2,5 mg </w:t>
      </w:r>
      <w:r w:rsidRPr="00B308ED">
        <w:rPr>
          <w:rFonts w:ascii="Times New Roman" w:hAnsi="Times New Roman" w:cs="Times New Roman"/>
          <w:lang w:val="lt-LT"/>
        </w:rPr>
        <w:t>δισκία</w:t>
      </w:r>
      <w:r w:rsidRPr="00B308ED">
        <w:rPr>
          <w:rFonts w:ascii="Times New Roman" w:eastAsia="MS Mincho" w:hAnsi="Times New Roman" w:cs="Times New Roman"/>
          <w:lang w:val="lt-LT" w:eastAsia="ja-JP"/>
        </w:rPr>
        <w:t xml:space="preserve">, Triatec 5 mg </w:t>
      </w:r>
      <w:r w:rsidRPr="00B308ED">
        <w:rPr>
          <w:rFonts w:ascii="Times New Roman" w:hAnsi="Times New Roman" w:cs="Times New Roman"/>
          <w:lang w:val="lt-LT"/>
        </w:rPr>
        <w:t>δισκία</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Vengrija: </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Mite 1,25 mg </w:t>
      </w:r>
      <w:r w:rsidRPr="00B308ED">
        <w:rPr>
          <w:rFonts w:ascii="Times New Roman" w:hAnsi="Times New Roman" w:cs="Times New Roman"/>
          <w:lang w:val="lt-LT"/>
        </w:rPr>
        <w:t>tabletta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2,5 mg </w:t>
      </w:r>
      <w:r w:rsidRPr="00B308ED">
        <w:rPr>
          <w:rFonts w:ascii="Times New Roman" w:hAnsi="Times New Roman" w:cs="Times New Roman"/>
          <w:lang w:val="lt-LT"/>
        </w:rPr>
        <w:t>tabletta</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tabletta</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tabletta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lastRenderedPageBreak/>
        <w:t xml:space="preserve">Ramipril - Zentiva 2,5 mg </w:t>
      </w:r>
      <w:r w:rsidRPr="00B308ED">
        <w:rPr>
          <w:rFonts w:ascii="Times New Roman" w:hAnsi="Times New Roman" w:cs="Times New Roman"/>
          <w:lang w:val="lt-LT"/>
        </w:rPr>
        <w:t>tabletta</w:t>
      </w:r>
      <w:r w:rsidRPr="00B308ED">
        <w:rPr>
          <w:rFonts w:ascii="Times New Roman" w:eastAsia="MS Mincho" w:hAnsi="Times New Roman" w:cs="Times New Roman"/>
          <w:lang w:val="lt-LT" w:eastAsia="ja-JP"/>
        </w:rPr>
        <w:t xml:space="preserve">, </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Ramipril - Zentiva 5 mg </w:t>
      </w:r>
      <w:r w:rsidRPr="00B308ED">
        <w:rPr>
          <w:rFonts w:ascii="Times New Roman" w:hAnsi="Times New Roman" w:cs="Times New Roman"/>
          <w:lang w:val="lt-LT"/>
        </w:rPr>
        <w:t>tabletta</w:t>
      </w:r>
      <w:r w:rsidRPr="00B308ED">
        <w:rPr>
          <w:rFonts w:ascii="Times New Roman" w:eastAsia="MS Mincho" w:hAnsi="Times New Roman" w:cs="Times New Roman"/>
          <w:lang w:val="lt-LT" w:eastAsia="ja-JP"/>
        </w:rPr>
        <w:t xml:space="preserve">, </w:t>
      </w:r>
    </w:p>
    <w:p w:rsidR="004C35E7" w:rsidRPr="00B308ED" w:rsidRDefault="004C35E7" w:rsidP="004C35E7">
      <w:pPr>
        <w:autoSpaceDE w:val="0"/>
        <w:autoSpaceDN w:val="0"/>
        <w:adjustRightInd w:val="0"/>
        <w:spacing w:after="0" w:line="240" w:lineRule="auto"/>
        <w:rPr>
          <w:rFonts w:ascii="Times New Roman" w:hAnsi="Times New Roman" w:cs="Times New Roman"/>
          <w:lang w:val="lt-LT"/>
        </w:rPr>
      </w:pPr>
      <w:r w:rsidRPr="00B308ED">
        <w:rPr>
          <w:rFonts w:ascii="Times New Roman" w:eastAsia="MS Mincho" w:hAnsi="Times New Roman" w:cs="Times New Roman"/>
          <w:lang w:val="lt-LT" w:eastAsia="ja-JP"/>
        </w:rPr>
        <w:t xml:space="preserve">Ramipril - Zentiva 10 mg </w:t>
      </w:r>
      <w:r w:rsidRPr="00B308ED">
        <w:rPr>
          <w:rFonts w:ascii="Times New Roman" w:hAnsi="Times New Roman" w:cs="Times New Roman"/>
          <w:lang w:val="lt-LT"/>
        </w:rPr>
        <w:t>tabletėta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Airija: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1,25 mg tabls, Tritace 2,5 mg tabls, Tritace 5 mg tabls, Tritace 10 mg tabls, </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Italija: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Triatec 1,25 mg </w:t>
      </w:r>
      <w:r w:rsidRPr="00B308ED">
        <w:rPr>
          <w:rFonts w:ascii="Times New Roman" w:hAnsi="Times New Roman" w:cs="Times New Roman"/>
          <w:lang w:val="lt-LT"/>
        </w:rPr>
        <w:t>compresse</w:t>
      </w:r>
      <w:r w:rsidRPr="00B308ED">
        <w:rPr>
          <w:rFonts w:ascii="Times New Roman" w:eastAsia="MS Mincho" w:hAnsi="Times New Roman" w:cs="Times New Roman"/>
          <w:lang w:val="lt-LT" w:eastAsia="ja-JP"/>
        </w:rPr>
        <w:t xml:space="preserve">, Triatec 2,5 mg </w:t>
      </w:r>
      <w:r w:rsidRPr="00B308ED">
        <w:rPr>
          <w:rFonts w:ascii="Times New Roman" w:hAnsi="Times New Roman" w:cs="Times New Roman"/>
          <w:lang w:val="lt-LT"/>
        </w:rPr>
        <w:t>compresse</w:t>
      </w:r>
      <w:r w:rsidRPr="00B308ED">
        <w:rPr>
          <w:rFonts w:ascii="Times New Roman" w:eastAsia="MS Mincho" w:hAnsi="Times New Roman" w:cs="Times New Roman"/>
          <w:lang w:val="lt-LT" w:eastAsia="ja-JP"/>
        </w:rPr>
        <w:t xml:space="preserve">, Triatec 5 mg </w:t>
      </w:r>
      <w:r w:rsidRPr="00B308ED">
        <w:rPr>
          <w:rFonts w:ascii="Times New Roman" w:hAnsi="Times New Roman" w:cs="Times New Roman"/>
          <w:lang w:val="lt-LT"/>
        </w:rPr>
        <w:t>compresse</w:t>
      </w:r>
      <w:r w:rsidRPr="00B308ED">
        <w:rPr>
          <w:rFonts w:ascii="Times New Roman" w:eastAsia="MS Mincho" w:hAnsi="Times New Roman" w:cs="Times New Roman"/>
          <w:lang w:val="lt-LT" w:eastAsia="ja-JP"/>
        </w:rPr>
        <w:t xml:space="preserve">, Triatec 10 mg </w:t>
      </w:r>
      <w:r w:rsidRPr="00B308ED">
        <w:rPr>
          <w:rFonts w:ascii="Times New Roman" w:hAnsi="Times New Roman" w:cs="Times New Roman"/>
          <w:lang w:val="lt-LT"/>
        </w:rPr>
        <w:t>compresse</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Ramipril Zentiva 2,5 mg </w:t>
      </w:r>
      <w:r w:rsidRPr="00B308ED">
        <w:rPr>
          <w:rFonts w:ascii="Times New Roman" w:hAnsi="Times New Roman" w:cs="Times New Roman"/>
          <w:lang w:val="lt-LT"/>
        </w:rPr>
        <w:t>compresse</w:t>
      </w:r>
      <w:r w:rsidRPr="00B308ED">
        <w:rPr>
          <w:rFonts w:ascii="Times New Roman" w:eastAsia="MS Mincho" w:hAnsi="Times New Roman" w:cs="Times New Roman"/>
          <w:lang w:val="lt-LT" w:eastAsia="ja-JP"/>
        </w:rPr>
        <w:t xml:space="preserve">, Ramipril Zentiva 5 mg </w:t>
      </w:r>
      <w:r w:rsidRPr="00B308ED">
        <w:rPr>
          <w:rFonts w:ascii="Times New Roman" w:hAnsi="Times New Roman" w:cs="Times New Roman"/>
          <w:lang w:val="lt-LT"/>
        </w:rPr>
        <w:t>compresse</w:t>
      </w:r>
      <w:r w:rsidRPr="00B308ED">
        <w:rPr>
          <w:rFonts w:ascii="Times New Roman" w:eastAsia="MS Mincho" w:hAnsi="Times New Roman" w:cs="Times New Roman"/>
          <w:lang w:val="lt-LT" w:eastAsia="ja-JP"/>
        </w:rPr>
        <w:t xml:space="preserve">, Ramipril Zentiva 10 mg </w:t>
      </w:r>
      <w:r w:rsidRPr="00B308ED">
        <w:rPr>
          <w:rFonts w:ascii="Times New Roman" w:hAnsi="Times New Roman" w:cs="Times New Roman"/>
          <w:lang w:val="lt-LT"/>
        </w:rPr>
        <w:t>compresse</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Latvija: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Cardace 2,5 mg </w:t>
      </w:r>
      <w:r w:rsidRPr="00B308ED">
        <w:rPr>
          <w:rFonts w:ascii="Times New Roman" w:hAnsi="Times New Roman" w:cs="Times New Roman"/>
          <w:lang w:val="lt-LT"/>
        </w:rPr>
        <w:t>tabletes</w:t>
      </w:r>
      <w:r w:rsidRPr="00B308ED">
        <w:rPr>
          <w:rFonts w:ascii="Times New Roman" w:eastAsia="MS Mincho" w:hAnsi="Times New Roman" w:cs="Times New Roman"/>
          <w:lang w:val="lt-LT" w:eastAsia="ja-JP"/>
        </w:rPr>
        <w:t xml:space="preserve">, Cardace 5 mg </w:t>
      </w:r>
      <w:r w:rsidRPr="00B308ED">
        <w:rPr>
          <w:rFonts w:ascii="Times New Roman" w:hAnsi="Times New Roman" w:cs="Times New Roman"/>
          <w:lang w:val="lt-LT"/>
        </w:rPr>
        <w:t>tabletes</w:t>
      </w:r>
      <w:r w:rsidRPr="00B308ED">
        <w:rPr>
          <w:rFonts w:ascii="Times New Roman" w:eastAsia="MS Mincho" w:hAnsi="Times New Roman" w:cs="Times New Roman"/>
          <w:lang w:val="lt-LT" w:eastAsia="ja-JP"/>
        </w:rPr>
        <w:t xml:space="preserve">, Cardace 10 mg </w:t>
      </w:r>
      <w:r w:rsidRPr="00B308ED">
        <w:rPr>
          <w:rFonts w:ascii="Times New Roman" w:hAnsi="Times New Roman" w:cs="Times New Roman"/>
          <w:lang w:val="lt-LT"/>
        </w:rPr>
        <w:t>tabletes</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Lietuva: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Cardace 2,5 mg </w:t>
      </w:r>
      <w:r w:rsidRPr="00B308ED">
        <w:rPr>
          <w:rFonts w:ascii="Times New Roman" w:hAnsi="Times New Roman" w:cs="Times New Roman"/>
          <w:lang w:val="lt-LT"/>
        </w:rPr>
        <w:t>tabletės</w:t>
      </w:r>
      <w:r w:rsidRPr="00B308ED">
        <w:rPr>
          <w:rFonts w:ascii="Times New Roman" w:eastAsia="MS Mincho" w:hAnsi="Times New Roman" w:cs="Times New Roman"/>
          <w:lang w:val="lt-LT" w:eastAsia="ja-JP"/>
        </w:rPr>
        <w:t xml:space="preserve">, Cardace 5 mg </w:t>
      </w:r>
      <w:r w:rsidRPr="00B308ED">
        <w:rPr>
          <w:rFonts w:ascii="Times New Roman" w:hAnsi="Times New Roman" w:cs="Times New Roman"/>
          <w:lang w:val="lt-LT"/>
        </w:rPr>
        <w:t>tabletės</w:t>
      </w:r>
      <w:r w:rsidRPr="00B308ED">
        <w:rPr>
          <w:rFonts w:ascii="Times New Roman" w:eastAsia="MS Mincho" w:hAnsi="Times New Roman" w:cs="Times New Roman"/>
          <w:lang w:val="lt-LT" w:eastAsia="ja-JP"/>
        </w:rPr>
        <w:t xml:space="preserve">, Cardace 10 mg </w:t>
      </w:r>
      <w:r w:rsidRPr="00B308ED">
        <w:rPr>
          <w:rFonts w:ascii="Times New Roman" w:hAnsi="Times New Roman" w:cs="Times New Roman"/>
          <w:lang w:val="lt-LT"/>
        </w:rPr>
        <w:t>tabletės</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Liuksemburgas:</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1,25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/comprimés/</w:t>
      </w:r>
      <w:r w:rsidRPr="00B308ED">
        <w:rPr>
          <w:rFonts w:ascii="Times New Roman" w:hAnsi="Times New Roman" w:cs="Times New Roman"/>
          <w:lang w:val="lt-LT"/>
        </w:rPr>
        <w:t xml:space="preserve"> Tabletten</w:t>
      </w:r>
      <w:r w:rsidRPr="00B308ED">
        <w:rPr>
          <w:rFonts w:ascii="Times New Roman" w:eastAsia="MS Mincho" w:hAnsi="Times New Roman" w:cs="Times New Roman"/>
          <w:lang w:val="lt-LT" w:eastAsia="ja-JP"/>
        </w:rPr>
        <w:t xml:space="preserve">, Tritace 2,5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/comprimés/</w:t>
      </w:r>
      <w:r w:rsidRPr="00B308ED">
        <w:rPr>
          <w:rFonts w:ascii="Times New Roman" w:hAnsi="Times New Roman" w:cs="Times New Roman"/>
          <w:lang w:val="lt-LT"/>
        </w:rPr>
        <w:t xml:space="preserve"> Tabletten</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/comprimés/</w:t>
      </w:r>
      <w:r w:rsidRPr="00B308ED">
        <w:rPr>
          <w:rFonts w:ascii="Times New Roman" w:hAnsi="Times New Roman" w:cs="Times New Roman"/>
          <w:lang w:val="lt-LT"/>
        </w:rPr>
        <w:t xml:space="preserve"> Tabletten</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tabletten</w:t>
      </w:r>
      <w:r w:rsidRPr="00B308ED">
        <w:rPr>
          <w:rFonts w:ascii="Times New Roman" w:eastAsia="MS Mincho" w:hAnsi="Times New Roman" w:cs="Times New Roman"/>
          <w:lang w:val="lt-LT" w:eastAsia="ja-JP"/>
        </w:rPr>
        <w:t>/comprimés/</w:t>
      </w:r>
      <w:r w:rsidRPr="00B308ED">
        <w:rPr>
          <w:rFonts w:ascii="Times New Roman" w:hAnsi="Times New Roman" w:cs="Times New Roman"/>
          <w:lang w:val="lt-LT"/>
        </w:rPr>
        <w:t xml:space="preserve"> Tabletten</w:t>
      </w:r>
      <w:r w:rsidRPr="00B308ED" w:rsidDel="00C551A6">
        <w:rPr>
          <w:rFonts w:ascii="Times New Roman" w:eastAsia="MS Mincho" w:hAnsi="Times New Roman" w:cs="Times New Roman"/>
          <w:lang w:val="lt-LT" w:eastAsia="ja-JP"/>
        </w:rPr>
        <w:t xml:space="preserve"> </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Norvegija: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Triatec 2,5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 xml:space="preserve">, Triatec 5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 xml:space="preserve">, Triatec 10 mg </w:t>
      </w:r>
      <w:r w:rsidRPr="00B308ED">
        <w:rPr>
          <w:rFonts w:ascii="Times New Roman" w:hAnsi="Times New Roman" w:cs="Times New Roman"/>
          <w:lang w:val="lt-LT"/>
        </w:rPr>
        <w:t>tabletter</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Lenkija: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2,5 mg </w:t>
      </w:r>
      <w:r w:rsidRPr="00B308ED">
        <w:rPr>
          <w:rFonts w:ascii="Times New Roman" w:hAnsi="Times New Roman" w:cs="Times New Roman"/>
          <w:lang w:val="lt-LT"/>
        </w:rPr>
        <w:t>tabletki</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tabletki</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tabletki</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Portugalija: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Triatec 2,5 mg </w:t>
      </w:r>
      <w:r w:rsidRPr="00B308ED">
        <w:rPr>
          <w:rFonts w:ascii="Times New Roman" w:hAnsi="Times New Roman" w:cs="Times New Roman"/>
          <w:lang w:val="lt-LT"/>
        </w:rPr>
        <w:t>comprimidos</w:t>
      </w:r>
      <w:r w:rsidRPr="00B308ED">
        <w:rPr>
          <w:rFonts w:ascii="Times New Roman" w:eastAsia="MS Mincho" w:hAnsi="Times New Roman" w:cs="Times New Roman"/>
          <w:lang w:val="lt-LT" w:eastAsia="ja-JP"/>
        </w:rPr>
        <w:t xml:space="preserve">, Triatec 5 mg </w:t>
      </w:r>
      <w:r w:rsidRPr="00B308ED">
        <w:rPr>
          <w:rFonts w:ascii="Times New Roman" w:hAnsi="Times New Roman" w:cs="Times New Roman"/>
          <w:lang w:val="lt-LT"/>
        </w:rPr>
        <w:t>comprimidos</w:t>
      </w:r>
      <w:r w:rsidRPr="00B308ED">
        <w:rPr>
          <w:rFonts w:ascii="Times New Roman" w:eastAsia="MS Mincho" w:hAnsi="Times New Roman" w:cs="Times New Roman"/>
          <w:lang w:val="lt-LT" w:eastAsia="ja-JP"/>
        </w:rPr>
        <w:t xml:space="preserve">, Triatec 10 mg </w:t>
      </w:r>
      <w:r w:rsidRPr="00B308ED">
        <w:rPr>
          <w:rFonts w:ascii="Times New Roman" w:hAnsi="Times New Roman" w:cs="Times New Roman"/>
          <w:lang w:val="lt-LT"/>
        </w:rPr>
        <w:t>comprimidos</w:t>
      </w:r>
      <w:r w:rsidRPr="00B308ED">
        <w:rPr>
          <w:rFonts w:ascii="Times New Roman" w:eastAsia="MS Mincho" w:hAnsi="Times New Roman" w:cs="Times New Roman"/>
          <w:lang w:val="lt-LT" w:eastAsia="ja-JP"/>
        </w:rPr>
        <w:t>,</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Triatec 1,25 mg </w:t>
      </w:r>
      <w:r w:rsidRPr="00B308ED">
        <w:rPr>
          <w:rFonts w:ascii="Times New Roman" w:hAnsi="Times New Roman" w:cs="Times New Roman"/>
          <w:lang w:val="lt-LT"/>
        </w:rPr>
        <w:t>cápsulas</w:t>
      </w:r>
      <w:r w:rsidRPr="00B308ED">
        <w:rPr>
          <w:rFonts w:ascii="Times New Roman" w:eastAsia="MS Mincho" w:hAnsi="Times New Roman" w:cs="Times New Roman"/>
          <w:lang w:val="lt-LT" w:eastAsia="ja-JP"/>
        </w:rPr>
        <w:t xml:space="preserve">, Triatec 2,5 mg </w:t>
      </w:r>
      <w:r w:rsidRPr="00B308ED">
        <w:rPr>
          <w:rFonts w:ascii="Times New Roman" w:hAnsi="Times New Roman" w:cs="Times New Roman"/>
          <w:lang w:val="lt-LT"/>
        </w:rPr>
        <w:t>cápsulas</w:t>
      </w:r>
      <w:r w:rsidRPr="00B308ED">
        <w:rPr>
          <w:rFonts w:ascii="Times New Roman" w:eastAsia="MS Mincho" w:hAnsi="Times New Roman" w:cs="Times New Roman"/>
          <w:lang w:val="lt-LT" w:eastAsia="ja-JP"/>
        </w:rPr>
        <w:t xml:space="preserve">, Triatec 5 mg </w:t>
      </w:r>
      <w:r w:rsidRPr="00B308ED">
        <w:rPr>
          <w:rFonts w:ascii="Times New Roman" w:hAnsi="Times New Roman" w:cs="Times New Roman"/>
          <w:lang w:val="lt-LT"/>
        </w:rPr>
        <w:t>cápsulas</w:t>
      </w:r>
      <w:r w:rsidRPr="00B308ED">
        <w:rPr>
          <w:rFonts w:ascii="Times New Roman" w:eastAsia="MS Mincho" w:hAnsi="Times New Roman" w:cs="Times New Roman"/>
          <w:lang w:val="lt-LT" w:eastAsia="ja-JP"/>
        </w:rPr>
        <w:t xml:space="preserve">, Triatec 10 mg </w:t>
      </w:r>
      <w:r w:rsidRPr="00B308ED">
        <w:rPr>
          <w:rFonts w:ascii="Times New Roman" w:hAnsi="Times New Roman" w:cs="Times New Roman"/>
          <w:lang w:val="lt-LT"/>
        </w:rPr>
        <w:t>cápsulas</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Rumunija: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2,5 mg </w:t>
      </w:r>
      <w:r w:rsidRPr="00B308ED">
        <w:rPr>
          <w:rFonts w:ascii="Times New Roman" w:hAnsi="Times New Roman" w:cs="Times New Roman"/>
          <w:lang w:val="lt-LT"/>
        </w:rPr>
        <w:t>comprimate</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comprimate</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comprimate</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Zenra 2,5 mg </w:t>
      </w:r>
      <w:r w:rsidRPr="00B308ED">
        <w:rPr>
          <w:rFonts w:ascii="Times New Roman" w:hAnsi="Times New Roman" w:cs="Times New Roman"/>
          <w:lang w:val="lt-LT"/>
        </w:rPr>
        <w:t>comprimate</w:t>
      </w:r>
      <w:r w:rsidRPr="00B308ED">
        <w:rPr>
          <w:rFonts w:ascii="Times New Roman" w:eastAsia="MS Mincho" w:hAnsi="Times New Roman" w:cs="Times New Roman"/>
          <w:lang w:val="lt-LT" w:eastAsia="ja-JP"/>
        </w:rPr>
        <w:t xml:space="preserve">, Zenra 5 mg </w:t>
      </w:r>
      <w:r w:rsidRPr="00B308ED">
        <w:rPr>
          <w:rFonts w:ascii="Times New Roman" w:hAnsi="Times New Roman" w:cs="Times New Roman"/>
          <w:lang w:val="lt-LT"/>
        </w:rPr>
        <w:t>comprimate</w:t>
      </w:r>
      <w:r w:rsidRPr="00B308ED">
        <w:rPr>
          <w:rFonts w:ascii="Times New Roman" w:eastAsia="MS Mincho" w:hAnsi="Times New Roman" w:cs="Times New Roman"/>
          <w:lang w:val="lt-LT" w:eastAsia="ja-JP"/>
        </w:rPr>
        <w:t xml:space="preserve">, Zenra 10 mg </w:t>
      </w:r>
      <w:r w:rsidRPr="00B308ED">
        <w:rPr>
          <w:rFonts w:ascii="Times New Roman" w:hAnsi="Times New Roman" w:cs="Times New Roman"/>
          <w:lang w:val="lt-LT"/>
        </w:rPr>
        <w:t>comprimate</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Slovakija: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1,25 mg </w:t>
      </w:r>
      <w:r w:rsidRPr="00B308ED">
        <w:rPr>
          <w:rFonts w:ascii="Times New Roman" w:hAnsi="Times New Roman" w:cs="Times New Roman"/>
          <w:lang w:val="lt-LT"/>
        </w:rPr>
        <w:t>tablety</w:t>
      </w:r>
      <w:r w:rsidRPr="00B308ED">
        <w:rPr>
          <w:rFonts w:ascii="Times New Roman" w:eastAsia="MS Mincho" w:hAnsi="Times New Roman" w:cs="Times New Roman"/>
          <w:lang w:val="lt-LT" w:eastAsia="ja-JP"/>
        </w:rPr>
        <w:t xml:space="preserve">, Tritace 2,5 mg </w:t>
      </w:r>
      <w:r w:rsidRPr="00B308ED">
        <w:rPr>
          <w:rFonts w:ascii="Times New Roman" w:hAnsi="Times New Roman" w:cs="Times New Roman"/>
          <w:lang w:val="lt-LT"/>
        </w:rPr>
        <w:t>tablety</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tablety</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tablety</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Slovėnija: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1,25 mg </w:t>
      </w:r>
      <w:r w:rsidRPr="00B308ED">
        <w:rPr>
          <w:rFonts w:ascii="Times New Roman" w:hAnsi="Times New Roman" w:cs="Times New Roman"/>
          <w:lang w:val="lt-LT"/>
        </w:rPr>
        <w:t>tablete</w:t>
      </w:r>
      <w:r w:rsidRPr="00B308ED">
        <w:rPr>
          <w:rFonts w:ascii="Times New Roman" w:eastAsia="MS Mincho" w:hAnsi="Times New Roman" w:cs="Times New Roman"/>
          <w:lang w:val="lt-LT" w:eastAsia="ja-JP"/>
        </w:rPr>
        <w:t xml:space="preserve">, Tritace 2,5 mg </w:t>
      </w:r>
      <w:r w:rsidRPr="00B308ED">
        <w:rPr>
          <w:rFonts w:ascii="Times New Roman" w:hAnsi="Times New Roman" w:cs="Times New Roman"/>
          <w:lang w:val="lt-LT"/>
        </w:rPr>
        <w:t>tablete</w:t>
      </w:r>
      <w:r w:rsidRPr="00B308ED">
        <w:rPr>
          <w:rFonts w:ascii="Times New Roman" w:eastAsia="MS Mincho" w:hAnsi="Times New Roman" w:cs="Times New Roman"/>
          <w:lang w:val="lt-LT" w:eastAsia="ja-JP"/>
        </w:rPr>
        <w:t xml:space="preserve">, Tritace 5 mg </w:t>
      </w:r>
      <w:r w:rsidRPr="00B308ED">
        <w:rPr>
          <w:rFonts w:ascii="Times New Roman" w:hAnsi="Times New Roman" w:cs="Times New Roman"/>
          <w:lang w:val="lt-LT"/>
        </w:rPr>
        <w:t>tablete</w:t>
      </w:r>
      <w:r w:rsidRPr="00B308ED">
        <w:rPr>
          <w:rFonts w:ascii="Times New Roman" w:eastAsia="MS Mincho" w:hAnsi="Times New Roman" w:cs="Times New Roman"/>
          <w:lang w:val="lt-LT" w:eastAsia="ja-JP"/>
        </w:rPr>
        <w:t xml:space="preserve">, Tritace 10 mg </w:t>
      </w:r>
      <w:r w:rsidRPr="00B308ED">
        <w:rPr>
          <w:rFonts w:ascii="Times New Roman" w:hAnsi="Times New Roman" w:cs="Times New Roman"/>
          <w:lang w:val="lt-LT"/>
        </w:rPr>
        <w:t>tablete</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keepNext/>
        <w:keepLines/>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Ispanija:</w:t>
      </w:r>
    </w:p>
    <w:p w:rsidR="004C35E7" w:rsidRPr="00B308ED" w:rsidRDefault="004C35E7" w:rsidP="004C35E7">
      <w:pPr>
        <w:keepNext/>
        <w:keepLines/>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Acovil 2,5 mg </w:t>
      </w:r>
      <w:r w:rsidRPr="00B308ED">
        <w:rPr>
          <w:rFonts w:ascii="Times New Roman" w:hAnsi="Times New Roman" w:cs="Times New Roman"/>
          <w:lang w:val="lt-LT"/>
        </w:rPr>
        <w:t>comprimidos</w:t>
      </w:r>
      <w:r w:rsidRPr="00B308ED">
        <w:rPr>
          <w:rFonts w:ascii="Times New Roman" w:eastAsia="MS Mincho" w:hAnsi="Times New Roman" w:cs="Times New Roman"/>
          <w:lang w:val="lt-LT" w:eastAsia="ja-JP"/>
        </w:rPr>
        <w:t xml:space="preserve">, Acovil 5 mg </w:t>
      </w:r>
      <w:r w:rsidRPr="00B308ED">
        <w:rPr>
          <w:rFonts w:ascii="Times New Roman" w:hAnsi="Times New Roman" w:cs="Times New Roman"/>
          <w:lang w:val="lt-LT"/>
        </w:rPr>
        <w:t>comprimidos</w:t>
      </w:r>
      <w:r w:rsidRPr="00B308ED">
        <w:rPr>
          <w:rFonts w:ascii="Times New Roman" w:eastAsia="MS Mincho" w:hAnsi="Times New Roman" w:cs="Times New Roman"/>
          <w:lang w:val="lt-LT" w:eastAsia="ja-JP"/>
        </w:rPr>
        <w:t xml:space="preserve">, Acovil 10 mg </w:t>
      </w:r>
      <w:r w:rsidRPr="00B308ED">
        <w:rPr>
          <w:rFonts w:ascii="Times New Roman" w:hAnsi="Times New Roman" w:cs="Times New Roman"/>
          <w:lang w:val="lt-LT"/>
        </w:rPr>
        <w:t>comprimidos</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Švedija:</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Triatec 1,25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 xml:space="preserve">, Triatec 2,5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 xml:space="preserve">, Triatec 5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 xml:space="preserve">, Triatec 10 mg </w:t>
      </w:r>
      <w:r w:rsidRPr="00B308ED">
        <w:rPr>
          <w:rFonts w:ascii="Times New Roman" w:hAnsi="Times New Roman" w:cs="Times New Roman"/>
          <w:lang w:val="lt-LT"/>
        </w:rPr>
        <w:t>tabletter</w:t>
      </w:r>
      <w:r w:rsidRPr="00B308ED">
        <w:rPr>
          <w:rFonts w:ascii="Times New Roman" w:eastAsia="MS Mincho" w:hAnsi="Times New Roman" w:cs="Times New Roman"/>
          <w:lang w:val="lt-LT" w:eastAsia="ja-JP"/>
        </w:rPr>
        <w:t>,</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Jungtinė Karalystė:</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 xml:space="preserve">Tritace 1,25 mg tablets, Tritace 2,5 mg tablets, Tritace 5 mg tablets, Tritace 10 mg tablets, </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r w:rsidRPr="00B308ED">
        <w:rPr>
          <w:rFonts w:ascii="Times New Roman" w:eastAsia="MS Mincho" w:hAnsi="Times New Roman" w:cs="Times New Roman"/>
          <w:lang w:val="lt-LT" w:eastAsia="ja-JP"/>
        </w:rPr>
        <w:t>Tritace Titration Pack tablets</w:t>
      </w:r>
    </w:p>
    <w:p w:rsidR="004C35E7" w:rsidRPr="00B308ED" w:rsidRDefault="004C35E7" w:rsidP="004C35E7">
      <w:pPr>
        <w:autoSpaceDE w:val="0"/>
        <w:autoSpaceDN w:val="0"/>
        <w:adjustRightInd w:val="0"/>
        <w:spacing w:after="0" w:line="240" w:lineRule="auto"/>
        <w:rPr>
          <w:rFonts w:ascii="Times New Roman" w:eastAsia="MS Mincho" w:hAnsi="Times New Roman" w:cs="Times New Roman"/>
          <w:lang w:val="lt-LT" w:eastAsia="ja-JP"/>
        </w:rPr>
      </w:pPr>
    </w:p>
    <w:p w:rsidR="004C35E7" w:rsidRPr="00B308ED" w:rsidRDefault="004C35E7" w:rsidP="004C35E7">
      <w:pPr>
        <w:autoSpaceDE w:val="0"/>
        <w:autoSpaceDN w:val="0"/>
        <w:adjustRightInd w:val="0"/>
        <w:spacing w:after="0" w:line="240" w:lineRule="auto"/>
        <w:rPr>
          <w:rFonts w:ascii="Times New Roman" w:hAnsi="Times New Roman" w:cs="Times New Roman"/>
          <w:b/>
          <w:bCs/>
          <w:lang w:val="lt-LT"/>
        </w:rPr>
      </w:pPr>
    </w:p>
    <w:p w:rsidR="004C35E7" w:rsidRPr="00B308ED" w:rsidRDefault="004C35E7" w:rsidP="004C35E7">
      <w:pPr>
        <w:autoSpaceDE w:val="0"/>
        <w:autoSpaceDN w:val="0"/>
        <w:adjustRightInd w:val="0"/>
        <w:spacing w:after="0" w:line="240" w:lineRule="auto"/>
        <w:rPr>
          <w:rFonts w:ascii="Times New Roman" w:eastAsia="MS Mincho" w:hAnsi="Times New Roman" w:cs="Times New Roman"/>
          <w:b/>
          <w:lang w:val="lt-LT" w:eastAsia="ja-JP"/>
        </w:rPr>
      </w:pPr>
      <w:r w:rsidRPr="00B308ED">
        <w:rPr>
          <w:rFonts w:ascii="Times New Roman" w:hAnsi="Times New Roman" w:cs="Times New Roman"/>
          <w:b/>
          <w:bCs/>
          <w:lang w:val="lt-LT"/>
        </w:rPr>
        <w:t xml:space="preserve">Šis pakuotės </w:t>
      </w:r>
      <w:r w:rsidRPr="00B308ED">
        <w:rPr>
          <w:rFonts w:ascii="Times New Roman" w:hAnsi="Times New Roman" w:cs="Times New Roman"/>
          <w:b/>
          <w:lang w:val="lt-LT"/>
        </w:rPr>
        <w:t xml:space="preserve">lapelis paskutinį kartą peržiūrėtas </w:t>
      </w:r>
      <w:r w:rsidR="00516A18">
        <w:rPr>
          <w:rFonts w:ascii="Times New Roman" w:hAnsi="Times New Roman" w:cs="Times New Roman"/>
          <w:b/>
          <w:lang w:val="lt-LT"/>
        </w:rPr>
        <w:t>2017-05-22.</w:t>
      </w:r>
    </w:p>
    <w:p w:rsidR="004C35E7" w:rsidRDefault="004C35E7" w:rsidP="004C35E7">
      <w:pPr>
        <w:spacing w:after="0" w:line="240" w:lineRule="auto"/>
        <w:rPr>
          <w:rFonts w:ascii="Times New Roman" w:hAnsi="Times New Roman" w:cs="Times New Roman"/>
          <w:lang w:val="lt-LT"/>
        </w:rPr>
      </w:pPr>
    </w:p>
    <w:p w:rsidR="004C35E7" w:rsidRPr="00B308ED" w:rsidRDefault="004C35E7" w:rsidP="004C35E7">
      <w:pPr>
        <w:spacing w:after="0" w:line="240" w:lineRule="auto"/>
        <w:rPr>
          <w:rFonts w:ascii="Times New Roman" w:hAnsi="Times New Roman" w:cs="Times New Roman"/>
          <w:lang w:val="lt-LT"/>
        </w:rPr>
      </w:pPr>
    </w:p>
    <w:p w:rsidR="004C35E7" w:rsidRPr="00C32D3A" w:rsidRDefault="004C35E7" w:rsidP="004C35E7">
      <w:pPr>
        <w:spacing w:after="0" w:line="240" w:lineRule="auto"/>
        <w:rPr>
          <w:rFonts w:ascii="Times New Roman" w:hAnsi="Times New Roman"/>
          <w:b/>
          <w:lang w:val="lt-LT"/>
        </w:rPr>
      </w:pPr>
      <w:r w:rsidRPr="00B308ED">
        <w:rPr>
          <w:rFonts w:ascii="Times New Roman" w:hAnsi="Times New Roman" w:cs="Times New Roman"/>
          <w:lang w:val="lt-LT"/>
        </w:rPr>
        <w:t>Išsami informacija apie šį vaistą</w:t>
      </w:r>
      <w:r w:rsidRPr="00B308ED">
        <w:rPr>
          <w:rFonts w:ascii="Times New Roman" w:hAnsi="Times New Roman"/>
          <w:lang w:val="lt-LT"/>
        </w:rPr>
        <w:t xml:space="preserve"> pateikiama Valstybinės vaistų kontrolės tarnybos prie Lietuvos Respublikos sveikatos apsaugos ministerijos </w:t>
      </w:r>
      <w:r w:rsidRPr="00B308ED">
        <w:rPr>
          <w:rFonts w:ascii="Times New Roman" w:hAnsi="Times New Roman" w:cs="Times New Roman"/>
          <w:lang w:val="lt-LT"/>
        </w:rPr>
        <w:t xml:space="preserve">tinklalapyje </w:t>
      </w:r>
      <w:hyperlink r:id="rId13" w:history="1">
        <w:r w:rsidRPr="00DD5076">
          <w:rPr>
            <w:rStyle w:val="Hipersaitas"/>
            <w:rFonts w:ascii="Times New Roman" w:hAnsi="Times New Roman" w:cs="Times New Roman"/>
            <w:lang w:val="lt-LT"/>
          </w:rPr>
          <w:t>http://www.vvkt.lt/</w:t>
        </w:r>
      </w:hyperlink>
      <w:r w:rsidRPr="00B308ED">
        <w:rPr>
          <w:rFonts w:ascii="Times New Roman" w:hAnsi="Times New Roman" w:cs="Times New Roman"/>
          <w:lang w:val="lt-LT"/>
        </w:rPr>
        <w:t>.</w:t>
      </w:r>
    </w:p>
    <w:p w:rsidR="004C35E7" w:rsidRPr="00C32D3A" w:rsidRDefault="004C35E7" w:rsidP="004C35E7">
      <w:pPr>
        <w:spacing w:after="0" w:line="240" w:lineRule="auto"/>
        <w:rPr>
          <w:rFonts w:ascii="Times New Roman" w:hAnsi="Times New Roman"/>
          <w:lang w:val="lt-LT"/>
        </w:rPr>
      </w:pPr>
    </w:p>
    <w:p w:rsidR="004C35E7" w:rsidRPr="00ED3EC5" w:rsidRDefault="004C35E7" w:rsidP="004C35E7">
      <w:pPr>
        <w:spacing w:after="0" w:line="240" w:lineRule="auto"/>
        <w:rPr>
          <w:rFonts w:ascii="Times New Roman" w:hAnsi="Times New Roman"/>
          <w:lang w:val="lt-LT"/>
        </w:rPr>
      </w:pPr>
      <w:bookmarkStart w:id="6" w:name="_GoBack"/>
      <w:bookmarkEnd w:id="6"/>
      <w:permStart w:id="1386763514" w:edGrp="everyone"/>
      <w:permEnd w:id="1386763514"/>
    </w:p>
    <w:p w:rsidR="00DA7652" w:rsidRPr="001379E0" w:rsidRDefault="00DA7652">
      <w:pPr>
        <w:rPr>
          <w:lang w:val="lt-LT"/>
        </w:rPr>
      </w:pPr>
    </w:p>
    <w:sectPr w:rsidR="00DA7652" w:rsidRPr="001379E0" w:rsidSect="00B7109A">
      <w:footerReference w:type="even" r:id="rId14"/>
      <w:footerReference w:type="default" r:id="rId15"/>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043" w:rsidRDefault="00230553">
      <w:pPr>
        <w:spacing w:after="0" w:line="240" w:lineRule="auto"/>
      </w:pPr>
      <w:r>
        <w:separator/>
      </w:r>
    </w:p>
  </w:endnote>
  <w:endnote w:type="continuationSeparator" w:id="0">
    <w:p w:rsidR="00111043" w:rsidRDefault="0023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okChampa">
    <w:altName w:val="Leelawadee UI"/>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9A" w:rsidRDefault="00B7109A" w:rsidP="00B7109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rsidR="00B7109A" w:rsidRDefault="00B7109A" w:rsidP="00B7109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9A" w:rsidRPr="0042116A" w:rsidRDefault="00B7109A" w:rsidP="00B7109A">
    <w:pPr>
      <w:pStyle w:val="Porat"/>
      <w:framePr w:wrap="around" w:vAnchor="text" w:hAnchor="margin" w:xAlign="center" w:y="1"/>
      <w:rPr>
        <w:rStyle w:val="Puslapionumeris"/>
        <w:rFonts w:ascii="Times New Roman" w:hAnsi="Times New Roman"/>
        <w:sz w:val="20"/>
      </w:rPr>
    </w:pPr>
    <w:r w:rsidRPr="0042116A">
      <w:rPr>
        <w:rStyle w:val="Puslapionumeris"/>
        <w:rFonts w:ascii="Times New Roman" w:hAnsi="Times New Roman"/>
        <w:sz w:val="20"/>
      </w:rPr>
      <w:fldChar w:fldCharType="begin"/>
    </w:r>
    <w:r w:rsidRPr="0042116A">
      <w:rPr>
        <w:rStyle w:val="Puslapionumeris"/>
        <w:rFonts w:ascii="Times New Roman" w:hAnsi="Times New Roman"/>
        <w:sz w:val="20"/>
      </w:rPr>
      <w:instrText xml:space="preserve">PAGE  </w:instrText>
    </w:r>
    <w:r w:rsidRPr="0042116A">
      <w:rPr>
        <w:rStyle w:val="Puslapionumeris"/>
        <w:rFonts w:ascii="Times New Roman" w:hAnsi="Times New Roman"/>
        <w:sz w:val="20"/>
      </w:rPr>
      <w:fldChar w:fldCharType="separate"/>
    </w:r>
    <w:r w:rsidR="001379E0">
      <w:rPr>
        <w:rStyle w:val="Puslapionumeris"/>
        <w:rFonts w:ascii="Times New Roman" w:hAnsi="Times New Roman"/>
        <w:noProof/>
        <w:sz w:val="20"/>
      </w:rPr>
      <w:t>38</w:t>
    </w:r>
    <w:r w:rsidRPr="0042116A">
      <w:rPr>
        <w:rStyle w:val="Puslapionumeris"/>
        <w:rFonts w:ascii="Times New Roman" w:hAnsi="Times New Roman"/>
        <w:sz w:val="20"/>
      </w:rPr>
      <w:fldChar w:fldCharType="end"/>
    </w:r>
  </w:p>
  <w:p w:rsidR="00B7109A" w:rsidRDefault="00B710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043" w:rsidRDefault="00230553">
      <w:pPr>
        <w:spacing w:after="0" w:line="240" w:lineRule="auto"/>
      </w:pPr>
      <w:r>
        <w:separator/>
      </w:r>
    </w:p>
  </w:footnote>
  <w:footnote w:type="continuationSeparator" w:id="0">
    <w:p w:rsidR="00111043" w:rsidRDefault="00230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5164570"/>
    <w:multiLevelType w:val="multilevel"/>
    <w:tmpl w:val="3D263A8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1134"/>
        </w:tabs>
        <w:ind w:left="1134"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F491209"/>
    <w:multiLevelType w:val="hybridMultilevel"/>
    <w:tmpl w:val="236C4AC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62235"/>
    <w:multiLevelType w:val="hybridMultilevel"/>
    <w:tmpl w:val="E9F0457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35EE6"/>
    <w:multiLevelType w:val="hybridMultilevel"/>
    <w:tmpl w:val="CA4A15B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D29CB"/>
    <w:multiLevelType w:val="multilevel"/>
    <w:tmpl w:val="FF76EC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rPr>
    </w:lvl>
    <w:lvl w:ilvl="2">
      <w:start w:val="1"/>
      <w:numFmt w:val="bullet"/>
      <w:lvlText w:val=""/>
      <w:lvlJc w:val="left"/>
      <w:pPr>
        <w:tabs>
          <w:tab w:val="num" w:pos="1803"/>
        </w:tabs>
        <w:ind w:left="1803" w:hanging="360"/>
      </w:pPr>
      <w:rPr>
        <w:rFonts w:ascii="Wingdings" w:hAnsi="Wingdings"/>
      </w:rPr>
    </w:lvl>
    <w:lvl w:ilvl="3">
      <w:start w:val="1"/>
      <w:numFmt w:val="bullet"/>
      <w:lvlText w:val=""/>
      <w:lvlJc w:val="left"/>
      <w:pPr>
        <w:tabs>
          <w:tab w:val="num" w:pos="2523"/>
        </w:tabs>
        <w:ind w:left="2523" w:hanging="360"/>
      </w:pPr>
      <w:rPr>
        <w:rFonts w:ascii="Symbol" w:hAnsi="Symbol"/>
      </w:rPr>
    </w:lvl>
    <w:lvl w:ilvl="4">
      <w:start w:val="1"/>
      <w:numFmt w:val="bullet"/>
      <w:lvlText w:val="o"/>
      <w:lvlJc w:val="left"/>
      <w:pPr>
        <w:tabs>
          <w:tab w:val="num" w:pos="3243"/>
        </w:tabs>
        <w:ind w:left="3243" w:hanging="360"/>
      </w:pPr>
      <w:rPr>
        <w:rFonts w:ascii="Courier New" w:hAnsi="Courier New" w:cs="Courier New"/>
      </w:rPr>
    </w:lvl>
    <w:lvl w:ilvl="5">
      <w:start w:val="1"/>
      <w:numFmt w:val="bullet"/>
      <w:lvlText w:val=""/>
      <w:lvlJc w:val="left"/>
      <w:pPr>
        <w:tabs>
          <w:tab w:val="num" w:pos="3963"/>
        </w:tabs>
        <w:ind w:left="3963" w:hanging="360"/>
      </w:pPr>
      <w:rPr>
        <w:rFonts w:ascii="Wingdings" w:hAnsi="Wingdings"/>
      </w:rPr>
    </w:lvl>
    <w:lvl w:ilvl="6">
      <w:start w:val="1"/>
      <w:numFmt w:val="bullet"/>
      <w:lvlText w:val=""/>
      <w:lvlJc w:val="left"/>
      <w:pPr>
        <w:tabs>
          <w:tab w:val="num" w:pos="4683"/>
        </w:tabs>
        <w:ind w:left="4683" w:hanging="360"/>
      </w:pPr>
      <w:rPr>
        <w:rFonts w:ascii="Symbol" w:hAnsi="Symbol"/>
      </w:rPr>
    </w:lvl>
    <w:lvl w:ilvl="7">
      <w:start w:val="1"/>
      <w:numFmt w:val="bullet"/>
      <w:lvlText w:val="o"/>
      <w:lvlJc w:val="left"/>
      <w:pPr>
        <w:tabs>
          <w:tab w:val="num" w:pos="5403"/>
        </w:tabs>
        <w:ind w:left="5403" w:hanging="360"/>
      </w:pPr>
      <w:rPr>
        <w:rFonts w:ascii="Courier New" w:hAnsi="Courier New" w:cs="Courier New"/>
      </w:rPr>
    </w:lvl>
    <w:lvl w:ilvl="8">
      <w:start w:val="1"/>
      <w:numFmt w:val="bullet"/>
      <w:lvlText w:val=""/>
      <w:lvlJc w:val="left"/>
      <w:pPr>
        <w:tabs>
          <w:tab w:val="num" w:pos="6123"/>
        </w:tabs>
        <w:ind w:left="6123" w:hanging="360"/>
      </w:pPr>
      <w:rPr>
        <w:rFonts w:ascii="Wingdings" w:hAnsi="Wingdings"/>
      </w:rPr>
    </w:lvl>
  </w:abstractNum>
  <w:abstractNum w:abstractNumId="7" w15:restartNumberingAfterBreak="0">
    <w:nsid w:val="21644289"/>
    <w:multiLevelType w:val="hybridMultilevel"/>
    <w:tmpl w:val="72628760"/>
    <w:lvl w:ilvl="0" w:tplc="130AE4C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C20DC"/>
    <w:multiLevelType w:val="hybridMultilevel"/>
    <w:tmpl w:val="81147B7A"/>
    <w:lvl w:ilvl="0" w:tplc="722A1A7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9010C"/>
    <w:multiLevelType w:val="multilevel"/>
    <w:tmpl w:val="A23ED6A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291130E4"/>
    <w:multiLevelType w:val="multilevel"/>
    <w:tmpl w:val="AF34FFA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303F1F16"/>
    <w:multiLevelType w:val="hybridMultilevel"/>
    <w:tmpl w:val="75F0F8B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228AD"/>
    <w:multiLevelType w:val="hybridMultilevel"/>
    <w:tmpl w:val="406E215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97201"/>
    <w:multiLevelType w:val="multilevel"/>
    <w:tmpl w:val="A798FACC"/>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34B65804"/>
    <w:multiLevelType w:val="hybridMultilevel"/>
    <w:tmpl w:val="B6F6708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485C3F"/>
    <w:multiLevelType w:val="hybridMultilevel"/>
    <w:tmpl w:val="6B98222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718A7"/>
    <w:multiLevelType w:val="hybridMultilevel"/>
    <w:tmpl w:val="FB52187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90545B"/>
    <w:multiLevelType w:val="multilevel"/>
    <w:tmpl w:val="EB12C478"/>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1134"/>
        </w:tabs>
        <w:ind w:left="1134"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3F8B7512"/>
    <w:multiLevelType w:val="hybridMultilevel"/>
    <w:tmpl w:val="2A3E0CE2"/>
    <w:lvl w:ilvl="0" w:tplc="9FCCD00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97610"/>
    <w:multiLevelType w:val="hybridMultilevel"/>
    <w:tmpl w:val="2EFE3CEE"/>
    <w:lvl w:ilvl="0" w:tplc="26E802B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56D3B"/>
    <w:multiLevelType w:val="hybridMultilevel"/>
    <w:tmpl w:val="90C2DD9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84DFC"/>
    <w:multiLevelType w:val="hybridMultilevel"/>
    <w:tmpl w:val="F46EBE72"/>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C083A"/>
    <w:multiLevelType w:val="hybridMultilevel"/>
    <w:tmpl w:val="74F2039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48651BD2"/>
    <w:multiLevelType w:val="hybridMultilevel"/>
    <w:tmpl w:val="ED3CCB32"/>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53AB2"/>
    <w:multiLevelType w:val="multilevel"/>
    <w:tmpl w:val="0CD24F18"/>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543F471D"/>
    <w:multiLevelType w:val="hybridMultilevel"/>
    <w:tmpl w:val="D6F64100"/>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D2321C"/>
    <w:multiLevelType w:val="hybridMultilevel"/>
    <w:tmpl w:val="4794774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441DFB"/>
    <w:multiLevelType w:val="hybridMultilevel"/>
    <w:tmpl w:val="D448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E87DE3"/>
    <w:multiLevelType w:val="multilevel"/>
    <w:tmpl w:val="A7A84B30"/>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
      <w:lvlJc w:val="left"/>
      <w:pPr>
        <w:tabs>
          <w:tab w:val="num" w:pos="567"/>
        </w:tabs>
        <w:ind w:left="567" w:hanging="567"/>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69595325"/>
    <w:multiLevelType w:val="hybridMultilevel"/>
    <w:tmpl w:val="D51AC54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E07537"/>
    <w:multiLevelType w:val="hybridMultilevel"/>
    <w:tmpl w:val="083C3A9A"/>
    <w:lvl w:ilvl="0" w:tplc="26E802B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27F63"/>
    <w:multiLevelType w:val="hybridMultilevel"/>
    <w:tmpl w:val="94DC3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814DF1"/>
    <w:multiLevelType w:val="hybridMultilevel"/>
    <w:tmpl w:val="B6C65C7A"/>
    <w:lvl w:ilvl="0" w:tplc="C54C691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80939"/>
    <w:multiLevelType w:val="hybridMultilevel"/>
    <w:tmpl w:val="F1A86270"/>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162342"/>
    <w:multiLevelType w:val="hybridMultilevel"/>
    <w:tmpl w:val="9CF014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23D5F"/>
    <w:multiLevelType w:val="hybridMultilevel"/>
    <w:tmpl w:val="68E47226"/>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D065BF"/>
    <w:multiLevelType w:val="hybridMultilevel"/>
    <w:tmpl w:val="39FCD5F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7A6765"/>
    <w:multiLevelType w:val="hybridMultilevel"/>
    <w:tmpl w:val="BF1AD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7532B"/>
    <w:multiLevelType w:val="hybridMultilevel"/>
    <w:tmpl w:val="CC8E14C2"/>
    <w:lvl w:ilvl="0" w:tplc="C54C69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28"/>
  </w:num>
  <w:num w:numId="5">
    <w:abstractNumId w:val="13"/>
  </w:num>
  <w:num w:numId="6">
    <w:abstractNumId w:val="15"/>
  </w:num>
  <w:num w:numId="7">
    <w:abstractNumId w:val="9"/>
  </w:num>
  <w:num w:numId="8">
    <w:abstractNumId w:val="7"/>
  </w:num>
  <w:num w:numId="9">
    <w:abstractNumId w:val="39"/>
  </w:num>
  <w:num w:numId="10">
    <w:abstractNumId w:val="6"/>
  </w:num>
  <w:num w:numId="11">
    <w:abstractNumId w:val="8"/>
  </w:num>
  <w:num w:numId="12">
    <w:abstractNumId w:val="2"/>
  </w:num>
  <w:num w:numId="13">
    <w:abstractNumId w:val="19"/>
  </w:num>
  <w:num w:numId="14">
    <w:abstractNumId w:val="10"/>
  </w:num>
  <w:num w:numId="15">
    <w:abstractNumId w:val="26"/>
  </w:num>
  <w:num w:numId="16">
    <w:abstractNumId w:val="35"/>
  </w:num>
  <w:num w:numId="17">
    <w:abstractNumId w:val="30"/>
  </w:num>
  <w:num w:numId="18">
    <w:abstractNumId w:val="45"/>
  </w:num>
  <w:num w:numId="19">
    <w:abstractNumId w:val="14"/>
  </w:num>
  <w:num w:numId="20">
    <w:abstractNumId w:val="31"/>
  </w:num>
  <w:num w:numId="21">
    <w:abstractNumId w:val="27"/>
  </w:num>
  <w:num w:numId="22">
    <w:abstractNumId w:val="11"/>
  </w:num>
  <w:num w:numId="23">
    <w:abstractNumId w:val="33"/>
  </w:num>
  <w:num w:numId="24">
    <w:abstractNumId w:val="43"/>
  </w:num>
  <w:num w:numId="25">
    <w:abstractNumId w:val="23"/>
  </w:num>
  <w:num w:numId="26">
    <w:abstractNumId w:val="25"/>
  </w:num>
  <w:num w:numId="27">
    <w:abstractNumId w:val="29"/>
  </w:num>
  <w:num w:numId="28">
    <w:abstractNumId w:val="5"/>
  </w:num>
  <w:num w:numId="29">
    <w:abstractNumId w:val="3"/>
  </w:num>
  <w:num w:numId="30">
    <w:abstractNumId w:val="36"/>
  </w:num>
  <w:num w:numId="31">
    <w:abstractNumId w:val="38"/>
  </w:num>
  <w:num w:numId="32">
    <w:abstractNumId w:val="4"/>
  </w:num>
  <w:num w:numId="33">
    <w:abstractNumId w:val="44"/>
  </w:num>
  <w:num w:numId="34">
    <w:abstractNumId w:val="24"/>
  </w:num>
  <w:num w:numId="35">
    <w:abstractNumId w:val="18"/>
  </w:num>
  <w:num w:numId="36">
    <w:abstractNumId w:val="12"/>
  </w:num>
  <w:num w:numId="37">
    <w:abstractNumId w:val="17"/>
  </w:num>
  <w:num w:numId="38">
    <w:abstractNumId w:val="16"/>
  </w:num>
  <w:num w:numId="39">
    <w:abstractNumId w:val="40"/>
  </w:num>
  <w:num w:numId="40">
    <w:abstractNumId w:val="42"/>
  </w:num>
  <w:num w:numId="41">
    <w:abstractNumId w:val="41"/>
  </w:num>
  <w:num w:numId="42">
    <w:abstractNumId w:val="20"/>
  </w:num>
  <w:num w:numId="43">
    <w:abstractNumId w:val="22"/>
  </w:num>
  <w:num w:numId="44">
    <w:abstractNumId w:val="21"/>
  </w:num>
  <w:num w:numId="45">
    <w:abstractNumId w:val="37"/>
  </w:num>
  <w:num w:numId="46">
    <w:abstractNumId w:val="4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3cFjB4xtJsArQlv1zkWaYA0W1d6TTaQ4N2DAUhYwVaIJO/+eCZ0anjmXbaW/lf3EMPFvypwLuQECk3d6NNSmQ==" w:salt="s/ZUGIewLhsf4brw5iJXPw=="/>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3E"/>
    <w:rsid w:val="000049E3"/>
    <w:rsid w:val="000C4659"/>
    <w:rsid w:val="00111043"/>
    <w:rsid w:val="001379E0"/>
    <w:rsid w:val="00230553"/>
    <w:rsid w:val="0025663C"/>
    <w:rsid w:val="004C35E7"/>
    <w:rsid w:val="00516A18"/>
    <w:rsid w:val="00916C3E"/>
    <w:rsid w:val="00B7109A"/>
    <w:rsid w:val="00DA7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18B68-9F77-47DF-975B-8AC06A69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35E7"/>
    <w:pPr>
      <w:spacing w:after="200" w:line="276" w:lineRule="auto"/>
    </w:pPr>
    <w:rPr>
      <w:rFonts w:ascii="Calibri" w:eastAsia="SimSun" w:hAnsi="Calibri" w:cs="DokChampa"/>
      <w:lang w:val="en-US" w:eastAsia="zh-CN" w:bidi="lo-LA"/>
    </w:rPr>
  </w:style>
  <w:style w:type="paragraph" w:styleId="Antrat1">
    <w:name w:val="heading 1"/>
    <w:basedOn w:val="prastasis"/>
    <w:next w:val="prastasis"/>
    <w:link w:val="Antrat1Diagrama"/>
    <w:qFormat/>
    <w:rsid w:val="004C35E7"/>
    <w:pPr>
      <w:keepNext/>
      <w:numPr>
        <w:numId w:val="1"/>
      </w:numPr>
      <w:suppressAutoHyphens/>
      <w:spacing w:before="240" w:after="60" w:line="240" w:lineRule="auto"/>
      <w:outlineLvl w:val="0"/>
    </w:pPr>
    <w:rPr>
      <w:rFonts w:ascii="Arial" w:eastAsia="Times New Roman" w:hAnsi="Arial" w:cs="Arial"/>
      <w:b/>
      <w:bCs/>
      <w:kern w:val="1"/>
      <w:sz w:val="32"/>
      <w:szCs w:val="32"/>
      <w:lang w:val="lt-LT" w:eastAsia="ar-SA" w:bidi="ar-SA"/>
    </w:rPr>
  </w:style>
  <w:style w:type="paragraph" w:styleId="Antrat2">
    <w:name w:val="heading 2"/>
    <w:aliases w:val="D70AR2,(eg 2.0,2.1),(eg 1.1),Level 2"/>
    <w:basedOn w:val="prastasis"/>
    <w:next w:val="prastasis"/>
    <w:link w:val="Antrat2Diagrama"/>
    <w:qFormat/>
    <w:rsid w:val="004C35E7"/>
    <w:pPr>
      <w:keepNext/>
      <w:numPr>
        <w:ilvl w:val="1"/>
        <w:numId w:val="1"/>
      </w:numPr>
      <w:suppressAutoHyphens/>
      <w:spacing w:before="240" w:after="60" w:line="240" w:lineRule="auto"/>
      <w:outlineLvl w:val="1"/>
    </w:pPr>
    <w:rPr>
      <w:rFonts w:ascii="Arial" w:eastAsia="Times New Roman" w:hAnsi="Arial" w:cs="Arial"/>
      <w:b/>
      <w:bCs/>
      <w:i/>
      <w:iCs/>
      <w:sz w:val="28"/>
      <w:szCs w:val="28"/>
      <w:lang w:val="lt-LT" w:eastAsia="ar-SA" w:bidi="ar-SA"/>
    </w:rPr>
  </w:style>
  <w:style w:type="paragraph" w:styleId="Antrat3">
    <w:name w:val="heading 3"/>
    <w:basedOn w:val="prastasis"/>
    <w:next w:val="prastasis"/>
    <w:link w:val="Antrat3Diagrama"/>
    <w:qFormat/>
    <w:rsid w:val="004C35E7"/>
    <w:pPr>
      <w:keepNext/>
      <w:numPr>
        <w:ilvl w:val="2"/>
        <w:numId w:val="1"/>
      </w:numPr>
      <w:suppressAutoHyphens/>
      <w:spacing w:before="240" w:after="60" w:line="240" w:lineRule="auto"/>
      <w:outlineLvl w:val="2"/>
    </w:pPr>
    <w:rPr>
      <w:rFonts w:ascii="Arial" w:eastAsia="Times New Roman" w:hAnsi="Arial" w:cs="Arial"/>
      <w:b/>
      <w:bCs/>
      <w:sz w:val="26"/>
      <w:szCs w:val="26"/>
      <w:lang w:val="lt-LT" w:eastAsia="ar-SA" w:bidi="ar-SA"/>
    </w:rPr>
  </w:style>
  <w:style w:type="paragraph" w:styleId="Antrat4">
    <w:name w:val="heading 4"/>
    <w:basedOn w:val="prastasis"/>
    <w:next w:val="prastasis"/>
    <w:link w:val="Antrat4Diagrama"/>
    <w:qFormat/>
    <w:rsid w:val="004C35E7"/>
    <w:pPr>
      <w:keepNext/>
      <w:spacing w:after="0" w:line="240" w:lineRule="auto"/>
      <w:outlineLvl w:val="3"/>
    </w:pPr>
    <w:rPr>
      <w:rFonts w:ascii="Times New Roman" w:eastAsia="Times New Roman" w:hAnsi="Times New Roman" w:cs="Times New Roman"/>
      <w:b/>
      <w:szCs w:val="20"/>
      <w:lang w:val="en-GB" w:eastAsia="en-US" w:bidi="ar-SA"/>
    </w:rPr>
  </w:style>
  <w:style w:type="paragraph" w:styleId="Antrat6">
    <w:name w:val="heading 6"/>
    <w:basedOn w:val="prastasis"/>
    <w:next w:val="prastasis"/>
    <w:link w:val="Antrat6Diagrama"/>
    <w:qFormat/>
    <w:rsid w:val="004C35E7"/>
    <w:pPr>
      <w:spacing w:before="240" w:after="60" w:line="240" w:lineRule="auto"/>
      <w:outlineLvl w:val="5"/>
    </w:pPr>
    <w:rPr>
      <w:rFonts w:ascii="Times New Roman" w:eastAsia="Times New Roman" w:hAnsi="Times New Roman" w:cs="Times New Roman"/>
      <w:b/>
      <w:bCs/>
      <w:lang w:val="lt-LT" w:eastAsia="en-US" w:bidi="ar-SA"/>
    </w:rPr>
  </w:style>
  <w:style w:type="paragraph" w:styleId="Antrat8">
    <w:name w:val="heading 8"/>
    <w:basedOn w:val="prastasis"/>
    <w:next w:val="prastasis"/>
    <w:link w:val="Antrat8Diagrama"/>
    <w:qFormat/>
    <w:rsid w:val="004C35E7"/>
    <w:pPr>
      <w:keepNext/>
      <w:spacing w:after="0" w:line="360" w:lineRule="auto"/>
      <w:outlineLvl w:val="7"/>
    </w:pPr>
    <w:rPr>
      <w:rFonts w:ascii="Arial" w:eastAsia="Times New Roman" w:hAnsi="Arial" w:cs="Times New Roman"/>
      <w:sz w:val="32"/>
      <w:szCs w:val="20"/>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35E7"/>
    <w:rPr>
      <w:rFonts w:ascii="Arial" w:eastAsia="Times New Roman" w:hAnsi="Arial" w:cs="Arial"/>
      <w:b/>
      <w:bCs/>
      <w:kern w:val="1"/>
      <w:sz w:val="32"/>
      <w:szCs w:val="32"/>
      <w:lang w:eastAsia="ar-SA"/>
    </w:rPr>
  </w:style>
  <w:style w:type="character" w:customStyle="1" w:styleId="Antrat2Diagrama">
    <w:name w:val="Antraštė 2 Diagrama"/>
    <w:aliases w:val="D70AR2 Diagrama,(eg 2.0 Diagrama,2.1) Diagrama,(eg 1.1) Diagrama,Level 2 Diagrama"/>
    <w:basedOn w:val="Numatytasispastraiposriftas"/>
    <w:link w:val="Antrat2"/>
    <w:rsid w:val="004C35E7"/>
    <w:rPr>
      <w:rFonts w:ascii="Arial" w:eastAsia="Times New Roman" w:hAnsi="Arial" w:cs="Arial"/>
      <w:b/>
      <w:bCs/>
      <w:i/>
      <w:iCs/>
      <w:sz w:val="28"/>
      <w:szCs w:val="28"/>
      <w:lang w:eastAsia="ar-SA"/>
    </w:rPr>
  </w:style>
  <w:style w:type="character" w:customStyle="1" w:styleId="Antrat3Diagrama">
    <w:name w:val="Antraštė 3 Diagrama"/>
    <w:basedOn w:val="Numatytasispastraiposriftas"/>
    <w:link w:val="Antrat3"/>
    <w:rsid w:val="004C35E7"/>
    <w:rPr>
      <w:rFonts w:ascii="Arial" w:eastAsia="Times New Roman" w:hAnsi="Arial" w:cs="Arial"/>
      <w:b/>
      <w:bCs/>
      <w:sz w:val="26"/>
      <w:szCs w:val="26"/>
      <w:lang w:eastAsia="ar-SA"/>
    </w:rPr>
  </w:style>
  <w:style w:type="character" w:customStyle="1" w:styleId="Antrat4Diagrama">
    <w:name w:val="Antraštė 4 Diagrama"/>
    <w:basedOn w:val="Numatytasispastraiposriftas"/>
    <w:link w:val="Antrat4"/>
    <w:rsid w:val="004C35E7"/>
    <w:rPr>
      <w:rFonts w:ascii="Times New Roman" w:eastAsia="Times New Roman" w:hAnsi="Times New Roman" w:cs="Times New Roman"/>
      <w:b/>
      <w:szCs w:val="20"/>
      <w:lang w:val="en-GB"/>
    </w:rPr>
  </w:style>
  <w:style w:type="character" w:customStyle="1" w:styleId="Antrat6Diagrama">
    <w:name w:val="Antraštė 6 Diagrama"/>
    <w:basedOn w:val="Numatytasispastraiposriftas"/>
    <w:link w:val="Antrat6"/>
    <w:rsid w:val="004C35E7"/>
    <w:rPr>
      <w:rFonts w:ascii="Times New Roman" w:eastAsia="Times New Roman" w:hAnsi="Times New Roman" w:cs="Times New Roman"/>
      <w:b/>
      <w:bCs/>
    </w:rPr>
  </w:style>
  <w:style w:type="character" w:customStyle="1" w:styleId="Antrat8Diagrama">
    <w:name w:val="Antraštė 8 Diagrama"/>
    <w:basedOn w:val="Numatytasispastraiposriftas"/>
    <w:link w:val="Antrat8"/>
    <w:rsid w:val="004C35E7"/>
    <w:rPr>
      <w:rFonts w:ascii="Arial" w:eastAsia="Times New Roman" w:hAnsi="Arial" w:cs="Times New Roman"/>
      <w:sz w:val="32"/>
      <w:szCs w:val="20"/>
      <w:lang w:val="en-GB"/>
    </w:rPr>
  </w:style>
  <w:style w:type="character" w:customStyle="1" w:styleId="WW8Num2z0">
    <w:name w:val="WW8Num2z0"/>
    <w:rsid w:val="004C35E7"/>
    <w:rPr>
      <w:rFonts w:ascii="Times New Roman" w:hAnsi="Times New Roman" w:cs="Times New Roman"/>
    </w:rPr>
  </w:style>
  <w:style w:type="character" w:customStyle="1" w:styleId="WW8Num2z1">
    <w:name w:val="WW8Num2z1"/>
    <w:rsid w:val="004C35E7"/>
    <w:rPr>
      <w:rFonts w:ascii="Courier New" w:hAnsi="Courier New" w:cs="Courier New"/>
    </w:rPr>
  </w:style>
  <w:style w:type="character" w:customStyle="1" w:styleId="WW8Num2z2">
    <w:name w:val="WW8Num2z2"/>
    <w:rsid w:val="004C35E7"/>
    <w:rPr>
      <w:rFonts w:ascii="Wingdings" w:hAnsi="Wingdings"/>
    </w:rPr>
  </w:style>
  <w:style w:type="character" w:customStyle="1" w:styleId="WW8Num2z3">
    <w:name w:val="WW8Num2z3"/>
    <w:rsid w:val="004C35E7"/>
    <w:rPr>
      <w:rFonts w:ascii="Symbol" w:hAnsi="Symbol"/>
    </w:rPr>
  </w:style>
  <w:style w:type="character" w:customStyle="1" w:styleId="WW8Num3z0">
    <w:name w:val="WW8Num3z0"/>
    <w:rsid w:val="004C35E7"/>
    <w:rPr>
      <w:rFonts w:ascii="Symbol" w:hAnsi="Symbol"/>
    </w:rPr>
  </w:style>
  <w:style w:type="character" w:customStyle="1" w:styleId="WW8Num4z0">
    <w:name w:val="WW8Num4z0"/>
    <w:rsid w:val="004C35E7"/>
    <w:rPr>
      <w:rFonts w:ascii="Symbol" w:hAnsi="Symbol"/>
    </w:rPr>
  </w:style>
  <w:style w:type="character" w:customStyle="1" w:styleId="WW8Num5z0">
    <w:name w:val="WW8Num5z0"/>
    <w:rsid w:val="004C35E7"/>
    <w:rPr>
      <w:rFonts w:ascii="Symbol" w:hAnsi="Symbol"/>
      <w:b w:val="0"/>
      <w:i w:val="0"/>
      <w:color w:val="auto"/>
      <w:sz w:val="24"/>
      <w:szCs w:val="24"/>
    </w:rPr>
  </w:style>
  <w:style w:type="character" w:customStyle="1" w:styleId="WW8Num6z0">
    <w:name w:val="WW8Num6z0"/>
    <w:rsid w:val="004C35E7"/>
    <w:rPr>
      <w:rFonts w:ascii="Symbol" w:hAnsi="Symbol"/>
    </w:rPr>
  </w:style>
  <w:style w:type="character" w:customStyle="1" w:styleId="WW8Num7z0">
    <w:name w:val="WW8Num7z0"/>
    <w:rsid w:val="004C35E7"/>
    <w:rPr>
      <w:rFonts w:ascii="Symbol" w:hAnsi="Symbol"/>
    </w:rPr>
  </w:style>
  <w:style w:type="character" w:customStyle="1" w:styleId="WW8Num8z0">
    <w:name w:val="WW8Num8z0"/>
    <w:rsid w:val="004C35E7"/>
    <w:rPr>
      <w:rFonts w:ascii="Symbol" w:hAnsi="Symbol"/>
    </w:rPr>
  </w:style>
  <w:style w:type="character" w:customStyle="1" w:styleId="WW8Num9z0">
    <w:name w:val="WW8Num9z0"/>
    <w:rsid w:val="004C35E7"/>
    <w:rPr>
      <w:rFonts w:ascii="Symbol" w:hAnsi="Symbol"/>
      <w:sz w:val="24"/>
      <w:szCs w:val="24"/>
    </w:rPr>
  </w:style>
  <w:style w:type="character" w:customStyle="1" w:styleId="WW8Num10z0">
    <w:name w:val="WW8Num10z0"/>
    <w:rsid w:val="004C35E7"/>
    <w:rPr>
      <w:rFonts w:ascii="Symbol" w:hAnsi="Symbol"/>
      <w:sz w:val="24"/>
      <w:szCs w:val="24"/>
    </w:rPr>
  </w:style>
  <w:style w:type="character" w:customStyle="1" w:styleId="WW8Num11z0">
    <w:name w:val="WW8Num11z0"/>
    <w:rsid w:val="004C35E7"/>
    <w:rPr>
      <w:rFonts w:ascii="Symbol" w:hAnsi="Symbol"/>
      <w:sz w:val="20"/>
      <w:szCs w:val="20"/>
    </w:rPr>
  </w:style>
  <w:style w:type="character" w:customStyle="1" w:styleId="Absatz-Standardschriftart">
    <w:name w:val="Absatz-Standardschriftart"/>
    <w:rsid w:val="004C35E7"/>
  </w:style>
  <w:style w:type="character" w:customStyle="1" w:styleId="WW8Num12z0">
    <w:name w:val="WW8Num12z0"/>
    <w:rsid w:val="004C35E7"/>
    <w:rPr>
      <w:rFonts w:ascii="Symbol" w:hAnsi="Symbol"/>
    </w:rPr>
  </w:style>
  <w:style w:type="character" w:customStyle="1" w:styleId="WW8Num13z0">
    <w:name w:val="WW8Num13z0"/>
    <w:rsid w:val="004C35E7"/>
    <w:rPr>
      <w:rFonts w:ascii="Symbol" w:hAnsi="Symbol"/>
      <w:sz w:val="24"/>
      <w:szCs w:val="24"/>
    </w:rPr>
  </w:style>
  <w:style w:type="character" w:customStyle="1" w:styleId="WW-Absatz-Standardschriftart">
    <w:name w:val="WW-Absatz-Standardschriftart"/>
    <w:rsid w:val="004C35E7"/>
  </w:style>
  <w:style w:type="character" w:customStyle="1" w:styleId="WW-Absatz-Standardschriftart1">
    <w:name w:val="WW-Absatz-Standardschriftart1"/>
    <w:rsid w:val="004C35E7"/>
  </w:style>
  <w:style w:type="character" w:customStyle="1" w:styleId="WW-Absatz-Standardschriftart11">
    <w:name w:val="WW-Absatz-Standardschriftart11"/>
    <w:rsid w:val="004C35E7"/>
  </w:style>
  <w:style w:type="character" w:customStyle="1" w:styleId="WW-Absatz-Standardschriftart111">
    <w:name w:val="WW-Absatz-Standardschriftart111"/>
    <w:rsid w:val="004C35E7"/>
  </w:style>
  <w:style w:type="character" w:customStyle="1" w:styleId="WW-Absatz-Standardschriftart1111">
    <w:name w:val="WW-Absatz-Standardschriftart1111"/>
    <w:rsid w:val="004C35E7"/>
  </w:style>
  <w:style w:type="character" w:customStyle="1" w:styleId="WW-Absatz-Standardschriftart11111">
    <w:name w:val="WW-Absatz-Standardschriftart11111"/>
    <w:rsid w:val="004C35E7"/>
  </w:style>
  <w:style w:type="character" w:customStyle="1" w:styleId="WW-Absatz-Standardschriftart111111">
    <w:name w:val="WW-Absatz-Standardschriftart111111"/>
    <w:rsid w:val="004C35E7"/>
  </w:style>
  <w:style w:type="character" w:customStyle="1" w:styleId="WW-Absatz-Standardschriftart1111111">
    <w:name w:val="WW-Absatz-Standardschriftart1111111"/>
    <w:rsid w:val="004C35E7"/>
  </w:style>
  <w:style w:type="character" w:customStyle="1" w:styleId="WW-Absatz-Standardschriftart11111111">
    <w:name w:val="WW-Absatz-Standardschriftart11111111"/>
    <w:rsid w:val="004C35E7"/>
  </w:style>
  <w:style w:type="character" w:customStyle="1" w:styleId="WW8Num1z0">
    <w:name w:val="WW8Num1z0"/>
    <w:rsid w:val="004C35E7"/>
    <w:rPr>
      <w:rFonts w:ascii="Times New Roman" w:hAnsi="Times New Roman" w:cs="Times New Roman"/>
    </w:rPr>
  </w:style>
  <w:style w:type="character" w:customStyle="1" w:styleId="WW8Num1z1">
    <w:name w:val="WW8Num1z1"/>
    <w:rsid w:val="004C35E7"/>
    <w:rPr>
      <w:rFonts w:ascii="Courier New" w:hAnsi="Courier New" w:cs="Courier New"/>
    </w:rPr>
  </w:style>
  <w:style w:type="character" w:customStyle="1" w:styleId="WW8Num1z2">
    <w:name w:val="WW8Num1z2"/>
    <w:rsid w:val="004C35E7"/>
    <w:rPr>
      <w:rFonts w:ascii="Wingdings" w:hAnsi="Wingdings"/>
    </w:rPr>
  </w:style>
  <w:style w:type="character" w:customStyle="1" w:styleId="WW8Num1z3">
    <w:name w:val="WW8Num1z3"/>
    <w:rsid w:val="004C35E7"/>
    <w:rPr>
      <w:rFonts w:ascii="Symbol" w:hAnsi="Symbol"/>
    </w:rPr>
  </w:style>
  <w:style w:type="character" w:styleId="Hipersaitas">
    <w:name w:val="Hyperlink"/>
    <w:uiPriority w:val="99"/>
    <w:rsid w:val="004C35E7"/>
    <w:rPr>
      <w:color w:val="0000FF"/>
      <w:u w:val="single"/>
    </w:rPr>
  </w:style>
  <w:style w:type="character" w:customStyle="1" w:styleId="PI-1labEMEASMCAChar">
    <w:name w:val="PI-1_lab EMEA_SMCA Char"/>
    <w:rsid w:val="004C35E7"/>
    <w:rPr>
      <w:b/>
      <w:sz w:val="22"/>
      <w:szCs w:val="22"/>
      <w:lang w:val="lt-LT" w:eastAsia="ar-SA" w:bidi="ar-SA"/>
    </w:rPr>
  </w:style>
  <w:style w:type="character" w:customStyle="1" w:styleId="TTEMEASMCAChar">
    <w:name w:val="TT EMEA_SMCA Char"/>
    <w:rsid w:val="004C35E7"/>
    <w:rPr>
      <w:b/>
      <w:caps/>
      <w:sz w:val="22"/>
      <w:szCs w:val="22"/>
      <w:lang w:val="en-US" w:eastAsia="ar-SA" w:bidi="ar-SA"/>
    </w:rPr>
  </w:style>
  <w:style w:type="character" w:customStyle="1" w:styleId="BTEMEASMCAChar">
    <w:name w:val="BT EMEA_SMCA Char"/>
    <w:rsid w:val="004C35E7"/>
    <w:rPr>
      <w:sz w:val="22"/>
      <w:szCs w:val="22"/>
      <w:lang w:val="lt-LT" w:eastAsia="ar-SA" w:bidi="ar-SA"/>
    </w:rPr>
  </w:style>
  <w:style w:type="character" w:customStyle="1" w:styleId="BTgEMEASMCAChar">
    <w:name w:val="BT(g) EMEA_SMCA Char"/>
    <w:rsid w:val="004C35E7"/>
    <w:rPr>
      <w:i/>
      <w:color w:val="008000"/>
      <w:sz w:val="22"/>
      <w:szCs w:val="22"/>
      <w:lang w:val="lt-LT" w:eastAsia="ar-SA" w:bidi="ar-SA"/>
    </w:rPr>
  </w:style>
  <w:style w:type="character" w:styleId="Komentaronuoroda">
    <w:name w:val="annotation reference"/>
    <w:rsid w:val="004C35E7"/>
    <w:rPr>
      <w:sz w:val="16"/>
      <w:szCs w:val="16"/>
    </w:rPr>
  </w:style>
  <w:style w:type="character" w:customStyle="1" w:styleId="Numeravimosimboliai">
    <w:name w:val="Numeravimo simboliai"/>
    <w:rsid w:val="004C35E7"/>
  </w:style>
  <w:style w:type="character" w:customStyle="1" w:styleId="WW8Num35z0">
    <w:name w:val="WW8Num35z0"/>
    <w:rsid w:val="004C35E7"/>
    <w:rPr>
      <w:rFonts w:ascii="Symbol" w:hAnsi="Symbol"/>
    </w:rPr>
  </w:style>
  <w:style w:type="character" w:customStyle="1" w:styleId="WW8Num30z0">
    <w:name w:val="WW8Num30z0"/>
    <w:rsid w:val="004C35E7"/>
    <w:rPr>
      <w:rFonts w:ascii="Symbol" w:hAnsi="Symbol"/>
    </w:rPr>
  </w:style>
  <w:style w:type="character" w:customStyle="1" w:styleId="WW8Num17z0">
    <w:name w:val="WW8Num17z0"/>
    <w:rsid w:val="004C35E7"/>
    <w:rPr>
      <w:rFonts w:ascii="Symbol" w:hAnsi="Symbol"/>
      <w:b w:val="0"/>
      <w:i w:val="0"/>
      <w:color w:val="auto"/>
      <w:sz w:val="24"/>
      <w:szCs w:val="24"/>
    </w:rPr>
  </w:style>
  <w:style w:type="character" w:customStyle="1" w:styleId="WW8Num18z0">
    <w:name w:val="WW8Num18z0"/>
    <w:rsid w:val="004C35E7"/>
    <w:rPr>
      <w:rFonts w:ascii="Symbol" w:hAnsi="Symbol"/>
    </w:rPr>
  </w:style>
  <w:style w:type="character" w:customStyle="1" w:styleId="WW8Num34z0">
    <w:name w:val="WW8Num34z0"/>
    <w:rsid w:val="004C35E7"/>
    <w:rPr>
      <w:rFonts w:ascii="Symbol" w:hAnsi="Symbol"/>
    </w:rPr>
  </w:style>
  <w:style w:type="character" w:customStyle="1" w:styleId="WW8Num19z0">
    <w:name w:val="WW8Num19z0"/>
    <w:rsid w:val="004C35E7"/>
    <w:rPr>
      <w:rFonts w:ascii="Symbol" w:hAnsi="Symbol"/>
    </w:rPr>
  </w:style>
  <w:style w:type="character" w:customStyle="1" w:styleId="WW8Num15z0">
    <w:name w:val="WW8Num15z0"/>
    <w:rsid w:val="004C35E7"/>
    <w:rPr>
      <w:rFonts w:ascii="Symbol" w:hAnsi="Symbol"/>
      <w:sz w:val="24"/>
      <w:szCs w:val="24"/>
    </w:rPr>
  </w:style>
  <w:style w:type="character" w:customStyle="1" w:styleId="WW8Num26z0">
    <w:name w:val="WW8Num26z0"/>
    <w:rsid w:val="004C35E7"/>
    <w:rPr>
      <w:rFonts w:ascii="Times New Roman" w:eastAsia="Times New Roman" w:hAnsi="Times New Roman"/>
    </w:rPr>
  </w:style>
  <w:style w:type="character" w:customStyle="1" w:styleId="WW8Num14z0">
    <w:name w:val="WW8Num14z0"/>
    <w:rsid w:val="004C35E7"/>
    <w:rPr>
      <w:rFonts w:ascii="Symbol" w:hAnsi="Symbol"/>
      <w:color w:val="auto"/>
      <w:sz w:val="24"/>
      <w:szCs w:val="24"/>
    </w:rPr>
  </w:style>
  <w:style w:type="character" w:customStyle="1" w:styleId="WW8Num23z0">
    <w:name w:val="WW8Num23z0"/>
    <w:rsid w:val="004C35E7"/>
    <w:rPr>
      <w:rFonts w:ascii="Symbol" w:hAnsi="Symbol"/>
      <w:sz w:val="20"/>
      <w:szCs w:val="20"/>
    </w:rPr>
  </w:style>
  <w:style w:type="character" w:customStyle="1" w:styleId="WW8Num33z0">
    <w:name w:val="WW8Num33z0"/>
    <w:rsid w:val="004C35E7"/>
    <w:rPr>
      <w:rFonts w:ascii="Symbol" w:hAnsi="Symbol"/>
    </w:rPr>
  </w:style>
  <w:style w:type="paragraph" w:customStyle="1" w:styleId="Antrat10">
    <w:name w:val="Antraštė1"/>
    <w:basedOn w:val="prastasis"/>
    <w:next w:val="Pagrindinistekstas"/>
    <w:rsid w:val="004C35E7"/>
    <w:pPr>
      <w:keepNext/>
      <w:suppressAutoHyphens/>
      <w:spacing w:before="240" w:after="120" w:line="240" w:lineRule="auto"/>
    </w:pPr>
    <w:rPr>
      <w:rFonts w:ascii="Arial" w:eastAsia="MS Mincho" w:hAnsi="Arial" w:cs="Tahoma"/>
      <w:sz w:val="28"/>
      <w:szCs w:val="28"/>
      <w:lang w:val="lt-LT" w:eastAsia="ar-SA" w:bidi="ar-SA"/>
    </w:rPr>
  </w:style>
  <w:style w:type="paragraph" w:styleId="Pagrindinistekstas">
    <w:name w:val="Body Text"/>
    <w:basedOn w:val="prastasis"/>
    <w:link w:val="PagrindinistekstasDiagrama"/>
    <w:rsid w:val="004C35E7"/>
    <w:pPr>
      <w:suppressAutoHyphens/>
      <w:spacing w:after="120" w:line="240" w:lineRule="auto"/>
    </w:pPr>
    <w:rPr>
      <w:rFonts w:ascii="Times New Roman" w:eastAsia="Times New Roman" w:hAnsi="Times New Roman" w:cs="Times New Roman"/>
      <w:sz w:val="24"/>
      <w:szCs w:val="24"/>
      <w:lang w:val="lt-LT" w:eastAsia="ar-SA" w:bidi="ar-SA"/>
    </w:rPr>
  </w:style>
  <w:style w:type="character" w:customStyle="1" w:styleId="PagrindinistekstasDiagrama">
    <w:name w:val="Pagrindinis tekstas Diagrama"/>
    <w:basedOn w:val="Numatytasispastraiposriftas"/>
    <w:link w:val="Pagrindinistekstas"/>
    <w:rsid w:val="004C35E7"/>
    <w:rPr>
      <w:rFonts w:ascii="Times New Roman" w:eastAsia="Times New Roman" w:hAnsi="Times New Roman" w:cs="Times New Roman"/>
      <w:sz w:val="24"/>
      <w:szCs w:val="24"/>
      <w:lang w:eastAsia="ar-SA"/>
    </w:rPr>
  </w:style>
  <w:style w:type="paragraph" w:styleId="Sraas">
    <w:name w:val="List"/>
    <w:basedOn w:val="Pagrindinistekstas"/>
    <w:rsid w:val="004C35E7"/>
    <w:rPr>
      <w:rFonts w:cs="Tahoma"/>
    </w:rPr>
  </w:style>
  <w:style w:type="paragraph" w:customStyle="1" w:styleId="Pavadinimas1">
    <w:name w:val="Pavadinimas1"/>
    <w:basedOn w:val="prastasis"/>
    <w:rsid w:val="004C35E7"/>
    <w:pPr>
      <w:suppressLineNumbers/>
      <w:suppressAutoHyphens/>
      <w:spacing w:before="120" w:after="120" w:line="240" w:lineRule="auto"/>
    </w:pPr>
    <w:rPr>
      <w:rFonts w:ascii="Times New Roman" w:eastAsia="Times New Roman" w:hAnsi="Times New Roman" w:cs="Tahoma"/>
      <w:i/>
      <w:iCs/>
      <w:sz w:val="24"/>
      <w:szCs w:val="24"/>
      <w:lang w:val="lt-LT" w:eastAsia="ar-SA" w:bidi="ar-SA"/>
    </w:rPr>
  </w:style>
  <w:style w:type="paragraph" w:customStyle="1" w:styleId="Rodykl">
    <w:name w:val="Rodyklė"/>
    <w:basedOn w:val="prastasis"/>
    <w:rsid w:val="004C35E7"/>
    <w:pPr>
      <w:suppressLineNumbers/>
      <w:suppressAutoHyphens/>
      <w:spacing w:after="0" w:line="240" w:lineRule="auto"/>
    </w:pPr>
    <w:rPr>
      <w:rFonts w:ascii="Times New Roman" w:eastAsia="Times New Roman" w:hAnsi="Times New Roman" w:cs="Tahoma"/>
      <w:sz w:val="24"/>
      <w:szCs w:val="24"/>
      <w:lang w:val="lt-LT" w:eastAsia="ar-SA" w:bidi="ar-SA"/>
    </w:rPr>
  </w:style>
  <w:style w:type="paragraph" w:customStyle="1" w:styleId="PI-1EMEASMCA">
    <w:name w:val="PI-1 EMEA_SMCA"/>
    <w:basedOn w:val="Antrat2"/>
    <w:rsid w:val="004C35E7"/>
    <w:pPr>
      <w:numPr>
        <w:ilvl w:val="0"/>
        <w:numId w:val="0"/>
      </w:num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rsid w:val="004C35E7"/>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cs="Times New Roman"/>
      <w:b/>
      <w:lang w:val="lt-LT" w:eastAsia="ar-SA" w:bidi="ar-SA"/>
    </w:rPr>
  </w:style>
  <w:style w:type="paragraph" w:customStyle="1" w:styleId="PI-2EMEASMCA">
    <w:name w:val="PI-2 EMEA_SMCA"/>
    <w:basedOn w:val="Antrat3"/>
    <w:rsid w:val="004C35E7"/>
    <w:pPr>
      <w:keepLines/>
      <w:numPr>
        <w:ilvl w:val="0"/>
        <w:numId w:val="0"/>
      </w:numPr>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prastasis"/>
    <w:rsid w:val="004C35E7"/>
    <w:pPr>
      <w:suppressAutoHyphens/>
      <w:spacing w:after="0" w:line="240" w:lineRule="auto"/>
    </w:pPr>
    <w:rPr>
      <w:rFonts w:ascii="Times New Roman" w:eastAsia="Times New Roman" w:hAnsi="Times New Roman" w:cs="Times New Roman"/>
      <w:lang w:val="lt-LT" w:eastAsia="ar-SA" w:bidi="ar-SA"/>
    </w:rPr>
  </w:style>
  <w:style w:type="paragraph" w:customStyle="1" w:styleId="TTEMEASMCA">
    <w:name w:val="TT EMEA_SMCA"/>
    <w:basedOn w:val="Antrat1"/>
    <w:rsid w:val="004C35E7"/>
    <w:pPr>
      <w:keepNext w:val="0"/>
      <w:numPr>
        <w:numId w:val="0"/>
      </w:numPr>
      <w:tabs>
        <w:tab w:val="left" w:pos="567"/>
      </w:tabs>
      <w:spacing w:before="0" w:after="0"/>
      <w:ind w:left="567" w:hanging="567"/>
      <w:jc w:val="center"/>
    </w:pPr>
    <w:rPr>
      <w:rFonts w:ascii="Times New Roman" w:hAnsi="Times New Roman" w:cs="Times New Roman"/>
      <w:bCs w:val="0"/>
      <w:caps/>
      <w:sz w:val="22"/>
      <w:szCs w:val="22"/>
      <w:lang w:val="en-US"/>
    </w:rPr>
  </w:style>
  <w:style w:type="paragraph" w:styleId="Debesliotekstas">
    <w:name w:val="Balloon Text"/>
    <w:basedOn w:val="prastasis"/>
    <w:link w:val="DebesliotekstasDiagrama"/>
    <w:rsid w:val="004C35E7"/>
    <w:pPr>
      <w:suppressAutoHyphens/>
      <w:spacing w:after="0" w:line="240" w:lineRule="auto"/>
    </w:pPr>
    <w:rPr>
      <w:rFonts w:ascii="Tahoma" w:eastAsia="Times New Roman" w:hAnsi="Tahoma" w:cs="Tahoma"/>
      <w:sz w:val="16"/>
      <w:szCs w:val="16"/>
      <w:lang w:val="lt-LT" w:eastAsia="ar-SA" w:bidi="ar-SA"/>
    </w:rPr>
  </w:style>
  <w:style w:type="character" w:customStyle="1" w:styleId="DebesliotekstasDiagrama">
    <w:name w:val="Debesėlio tekstas Diagrama"/>
    <w:basedOn w:val="Numatytasispastraiposriftas"/>
    <w:link w:val="Debesliotekstas"/>
    <w:rsid w:val="004C35E7"/>
    <w:rPr>
      <w:rFonts w:ascii="Tahoma" w:eastAsia="Times New Roman" w:hAnsi="Tahoma" w:cs="Tahoma"/>
      <w:sz w:val="16"/>
      <w:szCs w:val="16"/>
      <w:lang w:eastAsia="ar-SA"/>
    </w:rPr>
  </w:style>
  <w:style w:type="paragraph" w:customStyle="1" w:styleId="BTAnIIEMEASMCA">
    <w:name w:val="BT(AnII) EMEA_SMCA"/>
    <w:basedOn w:val="Debesliotekstas"/>
    <w:rsid w:val="004C35E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rsid w:val="004C35E7"/>
    <w:pPr>
      <w:numPr>
        <w:numId w:val="2"/>
      </w:numPr>
      <w:tabs>
        <w:tab w:val="left" w:pos="360"/>
      </w:tabs>
    </w:pPr>
  </w:style>
  <w:style w:type="paragraph" w:customStyle="1" w:styleId="PI-3EMEASMCA">
    <w:name w:val="PI-3 EMEA_SMCA"/>
    <w:basedOn w:val="prastasis"/>
    <w:rsid w:val="004C35E7"/>
    <w:pPr>
      <w:suppressAutoHyphens/>
      <w:spacing w:after="0" w:line="220" w:lineRule="exact"/>
    </w:pPr>
    <w:rPr>
      <w:rFonts w:ascii="Times New Roman" w:eastAsia="Times New Roman" w:hAnsi="Times New Roman" w:cs="Times New Roman"/>
      <w:b/>
      <w:bCs/>
      <w:lang w:val="lt-LT" w:eastAsia="ar-SA" w:bidi="ar-SA"/>
    </w:rPr>
  </w:style>
  <w:style w:type="paragraph" w:customStyle="1" w:styleId="BTbEMEASMCA">
    <w:name w:val="BT(b) EMEA_SMCA"/>
    <w:basedOn w:val="BTEMEASMCA"/>
    <w:rsid w:val="004C35E7"/>
    <w:rPr>
      <w:b/>
    </w:rPr>
  </w:style>
  <w:style w:type="paragraph" w:customStyle="1" w:styleId="BTbeEMEASMCA">
    <w:name w:val="BT(be) EMEA_SMCA"/>
    <w:basedOn w:val="BTEMEASMCA"/>
    <w:rsid w:val="004C35E7"/>
    <w:pPr>
      <w:jc w:val="center"/>
    </w:pPr>
    <w:rPr>
      <w:b/>
    </w:rPr>
  </w:style>
  <w:style w:type="paragraph" w:customStyle="1" w:styleId="BTeEMEASMCA">
    <w:name w:val="BT(e) EMEA_SMCA"/>
    <w:basedOn w:val="BTEMEASMCA"/>
    <w:rsid w:val="004C35E7"/>
    <w:pPr>
      <w:jc w:val="center"/>
    </w:pPr>
  </w:style>
  <w:style w:type="paragraph" w:customStyle="1" w:styleId="BTgEMEASMCA">
    <w:name w:val="BT(g) EMEA_SMCA"/>
    <w:basedOn w:val="BTEMEASMCA"/>
    <w:rsid w:val="004C35E7"/>
    <w:rPr>
      <w:i/>
      <w:color w:val="008000"/>
    </w:rPr>
  </w:style>
  <w:style w:type="paragraph" w:customStyle="1" w:styleId="BTuEMEASMCA">
    <w:name w:val="BT(u) EMEA_SMCA"/>
    <w:basedOn w:val="BTEMEASMCA"/>
    <w:rsid w:val="004C35E7"/>
    <w:rPr>
      <w:u w:val="single"/>
    </w:rPr>
  </w:style>
  <w:style w:type="paragraph" w:styleId="Komentarotekstas">
    <w:name w:val="annotation text"/>
    <w:basedOn w:val="prastasis"/>
    <w:link w:val="KomentarotekstasDiagrama"/>
    <w:rsid w:val="004C35E7"/>
    <w:pPr>
      <w:suppressAutoHyphens/>
      <w:spacing w:after="0" w:line="240" w:lineRule="auto"/>
    </w:pPr>
    <w:rPr>
      <w:rFonts w:ascii="Times New Roman" w:eastAsia="Times New Roman" w:hAnsi="Times New Roman" w:cs="Times New Roman"/>
      <w:sz w:val="20"/>
      <w:szCs w:val="20"/>
      <w:lang w:val="lt-LT" w:eastAsia="ar-SA" w:bidi="ar-SA"/>
    </w:rPr>
  </w:style>
  <w:style w:type="character" w:customStyle="1" w:styleId="KomentarotekstasDiagrama">
    <w:name w:val="Komentaro tekstas Diagrama"/>
    <w:basedOn w:val="Numatytasispastraiposriftas"/>
    <w:link w:val="Komentarotekstas"/>
    <w:rsid w:val="004C35E7"/>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rsid w:val="004C35E7"/>
    <w:rPr>
      <w:b/>
      <w:bCs/>
    </w:rPr>
  </w:style>
  <w:style w:type="character" w:customStyle="1" w:styleId="KomentarotemaDiagrama">
    <w:name w:val="Komentaro tema Diagrama"/>
    <w:basedOn w:val="KomentarotekstasDiagrama"/>
    <w:link w:val="Komentarotema"/>
    <w:rsid w:val="004C35E7"/>
    <w:rPr>
      <w:rFonts w:ascii="Times New Roman" w:eastAsia="Times New Roman" w:hAnsi="Times New Roman" w:cs="Times New Roman"/>
      <w:b/>
      <w:bCs/>
      <w:sz w:val="20"/>
      <w:szCs w:val="20"/>
      <w:lang w:eastAsia="ar-SA"/>
    </w:rPr>
  </w:style>
  <w:style w:type="paragraph" w:customStyle="1" w:styleId="Lentelsturinys">
    <w:name w:val="Lentelės turinys"/>
    <w:basedOn w:val="prastasis"/>
    <w:rsid w:val="004C35E7"/>
    <w:pPr>
      <w:suppressLineNumbers/>
      <w:suppressAutoHyphens/>
      <w:spacing w:after="0" w:line="240" w:lineRule="auto"/>
    </w:pPr>
    <w:rPr>
      <w:rFonts w:ascii="Times New Roman" w:eastAsia="Times New Roman" w:hAnsi="Times New Roman" w:cs="Times New Roman"/>
      <w:sz w:val="24"/>
      <w:szCs w:val="24"/>
      <w:lang w:val="lt-LT" w:eastAsia="ar-SA" w:bidi="ar-SA"/>
    </w:rPr>
  </w:style>
  <w:style w:type="paragraph" w:customStyle="1" w:styleId="Lentelsantrat">
    <w:name w:val="Lentelės antraštė"/>
    <w:basedOn w:val="Lentelsturinys"/>
    <w:rsid w:val="004C35E7"/>
    <w:pPr>
      <w:jc w:val="center"/>
    </w:pPr>
    <w:rPr>
      <w:b/>
      <w:bCs/>
    </w:rPr>
  </w:style>
  <w:style w:type="character" w:styleId="Grietas">
    <w:name w:val="Strong"/>
    <w:qFormat/>
    <w:rsid w:val="004C35E7"/>
    <w:rPr>
      <w:b/>
      <w:bCs/>
    </w:rPr>
  </w:style>
  <w:style w:type="paragraph" w:styleId="Antrats">
    <w:name w:val="header"/>
    <w:basedOn w:val="prastasis"/>
    <w:link w:val="AntratsDiagrama"/>
    <w:rsid w:val="004C35E7"/>
    <w:pPr>
      <w:tabs>
        <w:tab w:val="center" w:pos="4153"/>
        <w:tab w:val="right" w:pos="8306"/>
      </w:tabs>
      <w:spacing w:after="0" w:line="240" w:lineRule="auto"/>
    </w:pPr>
    <w:rPr>
      <w:rFonts w:ascii="Arial" w:eastAsia="Times New Roman" w:hAnsi="Arial" w:cs="Times New Roman"/>
      <w:sz w:val="20"/>
      <w:szCs w:val="20"/>
      <w:lang w:val="en-GB" w:eastAsia="en-US" w:bidi="ar-SA"/>
    </w:rPr>
  </w:style>
  <w:style w:type="character" w:customStyle="1" w:styleId="AntratsDiagrama">
    <w:name w:val="Antraštės Diagrama"/>
    <w:basedOn w:val="Numatytasispastraiposriftas"/>
    <w:link w:val="Antrats"/>
    <w:rsid w:val="004C35E7"/>
    <w:rPr>
      <w:rFonts w:ascii="Arial" w:eastAsia="Times New Roman" w:hAnsi="Arial" w:cs="Times New Roman"/>
      <w:sz w:val="20"/>
      <w:szCs w:val="20"/>
      <w:lang w:val="en-GB"/>
    </w:rPr>
  </w:style>
  <w:style w:type="paragraph" w:styleId="Porat">
    <w:name w:val="footer"/>
    <w:basedOn w:val="prastasis"/>
    <w:link w:val="PoratDiagrama"/>
    <w:rsid w:val="004C35E7"/>
    <w:pPr>
      <w:tabs>
        <w:tab w:val="center" w:pos="4536"/>
        <w:tab w:val="center" w:pos="8930"/>
      </w:tabs>
      <w:spacing w:after="0" w:line="240" w:lineRule="auto"/>
    </w:pPr>
    <w:rPr>
      <w:rFonts w:ascii="Arial" w:eastAsia="Times New Roman" w:hAnsi="Arial" w:cs="Times New Roman"/>
      <w:sz w:val="16"/>
      <w:szCs w:val="20"/>
      <w:lang w:val="en-GB" w:eastAsia="en-US" w:bidi="ar-SA"/>
    </w:rPr>
  </w:style>
  <w:style w:type="character" w:customStyle="1" w:styleId="PoratDiagrama">
    <w:name w:val="Poraštė Diagrama"/>
    <w:basedOn w:val="Numatytasispastraiposriftas"/>
    <w:link w:val="Porat"/>
    <w:rsid w:val="004C35E7"/>
    <w:rPr>
      <w:rFonts w:ascii="Arial" w:eastAsia="Times New Roman" w:hAnsi="Arial" w:cs="Times New Roman"/>
      <w:sz w:val="16"/>
      <w:szCs w:val="20"/>
      <w:lang w:val="en-GB"/>
    </w:rPr>
  </w:style>
  <w:style w:type="character" w:styleId="Puslapionumeris">
    <w:name w:val="page number"/>
    <w:basedOn w:val="Numatytasispastraiposriftas"/>
    <w:rsid w:val="004C35E7"/>
  </w:style>
  <w:style w:type="paragraph" w:customStyle="1" w:styleId="Pages">
    <w:name w:val="Pages"/>
    <w:basedOn w:val="Pagrindinistekstas"/>
    <w:rsid w:val="004C35E7"/>
    <w:pPr>
      <w:suppressAutoHyphens w:val="0"/>
      <w:spacing w:after="0"/>
    </w:pPr>
    <w:rPr>
      <w:rFonts w:ascii="Arial" w:hAnsi="Arial"/>
      <w:b/>
      <w:sz w:val="20"/>
      <w:szCs w:val="20"/>
      <w:lang w:val="en-US" w:eastAsia="en-US"/>
    </w:rPr>
  </w:style>
  <w:style w:type="paragraph" w:customStyle="1" w:styleId="MessageHeaderFirst">
    <w:name w:val="Message Header First"/>
    <w:basedOn w:val="Laikoantrat"/>
    <w:next w:val="Laikoantrat"/>
    <w:rsid w:val="004C35E7"/>
    <w:pPr>
      <w:spacing w:before="120"/>
    </w:pPr>
  </w:style>
  <w:style w:type="paragraph" w:styleId="Laikoantrat">
    <w:name w:val="Message Header"/>
    <w:basedOn w:val="Pagrindinistekstas"/>
    <w:link w:val="LaikoantratDiagrama1"/>
    <w:rsid w:val="004C35E7"/>
    <w:pPr>
      <w:keepLines/>
      <w:tabs>
        <w:tab w:val="left" w:pos="3600"/>
        <w:tab w:val="left" w:pos="4680"/>
      </w:tabs>
      <w:suppressAutoHyphens w:val="0"/>
      <w:spacing w:after="240"/>
      <w:ind w:left="1080" w:hanging="1080"/>
    </w:pPr>
    <w:rPr>
      <w:rFonts w:ascii="Arial" w:hAnsi="Arial"/>
      <w:sz w:val="20"/>
      <w:szCs w:val="20"/>
      <w:lang w:val="en-US" w:eastAsia="en-US"/>
    </w:rPr>
  </w:style>
  <w:style w:type="character" w:customStyle="1" w:styleId="LaikoantratDiagrama">
    <w:name w:val="Laiško antraštė Diagrama"/>
    <w:basedOn w:val="Numatytasispastraiposriftas"/>
    <w:link w:val="Laikoantrat1"/>
    <w:rsid w:val="004C35E7"/>
    <w:rPr>
      <w:rFonts w:asciiTheme="majorHAnsi" w:eastAsiaTheme="majorEastAsia" w:hAnsiTheme="majorHAnsi" w:cstheme="majorBidi"/>
      <w:sz w:val="24"/>
      <w:szCs w:val="24"/>
      <w:shd w:val="pct20" w:color="auto" w:fill="auto"/>
      <w:lang w:val="en-US" w:eastAsia="zh-CN" w:bidi="lo-LA"/>
    </w:rPr>
  </w:style>
  <w:style w:type="character" w:customStyle="1" w:styleId="LaikoantratDiagrama1">
    <w:name w:val="Laiško antraštė Diagrama1"/>
    <w:link w:val="Laikoantrat"/>
    <w:rsid w:val="004C35E7"/>
    <w:rPr>
      <w:rFonts w:ascii="Arial" w:eastAsia="Times New Roman" w:hAnsi="Arial" w:cs="Times New Roman"/>
      <w:sz w:val="20"/>
      <w:szCs w:val="20"/>
      <w:lang w:val="en-US"/>
    </w:rPr>
  </w:style>
  <w:style w:type="character" w:customStyle="1" w:styleId="MessageHeaderLabel">
    <w:name w:val="Message Header Label"/>
    <w:rsid w:val="004C35E7"/>
    <w:rPr>
      <w:rFonts w:ascii="Arial" w:hAnsi="Arial"/>
      <w:b/>
      <w:caps/>
      <w:sz w:val="18"/>
    </w:rPr>
  </w:style>
  <w:style w:type="paragraph" w:customStyle="1" w:styleId="MessageHeaderLast">
    <w:name w:val="Message Header Last"/>
    <w:basedOn w:val="Laikoantrat"/>
    <w:next w:val="Pagrindinistekstas"/>
    <w:rsid w:val="004C35E7"/>
    <w:pPr>
      <w:spacing w:after="360"/>
    </w:pPr>
  </w:style>
  <w:style w:type="paragraph" w:styleId="Pagrindinistekstas2">
    <w:name w:val="Body Text 2"/>
    <w:basedOn w:val="prastasis"/>
    <w:link w:val="Pagrindinistekstas2Diagrama"/>
    <w:rsid w:val="004C35E7"/>
    <w:pPr>
      <w:spacing w:after="0" w:line="260" w:lineRule="exact"/>
      <w:ind w:left="3828" w:hanging="3828"/>
    </w:pPr>
    <w:rPr>
      <w:rFonts w:ascii="Times New Roman" w:eastAsia="Times New Roman" w:hAnsi="Times New Roman" w:cs="Times New Roman"/>
      <w:szCs w:val="20"/>
      <w:lang w:val="en-GB" w:eastAsia="en-US" w:bidi="ar-SA"/>
    </w:rPr>
  </w:style>
  <w:style w:type="character" w:customStyle="1" w:styleId="Pagrindinistekstas2Diagrama">
    <w:name w:val="Pagrindinis tekstas 2 Diagrama"/>
    <w:basedOn w:val="Numatytasispastraiposriftas"/>
    <w:link w:val="Pagrindinistekstas2"/>
    <w:rsid w:val="004C35E7"/>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4C35E7"/>
    <w:pPr>
      <w:spacing w:after="0" w:line="260" w:lineRule="exact"/>
      <w:jc w:val="center"/>
    </w:pPr>
    <w:rPr>
      <w:rFonts w:ascii="Times New Roman" w:eastAsia="Times New Roman" w:hAnsi="Times New Roman" w:cs="Times New Roman"/>
      <w:b/>
      <w:szCs w:val="20"/>
      <w:lang w:val="en-GB" w:eastAsia="en-US" w:bidi="ar-SA"/>
    </w:rPr>
  </w:style>
  <w:style w:type="character" w:customStyle="1" w:styleId="Pagrindinistekstas3Diagrama">
    <w:name w:val="Pagrindinis tekstas 3 Diagrama"/>
    <w:basedOn w:val="Numatytasispastraiposriftas"/>
    <w:link w:val="Pagrindinistekstas3"/>
    <w:rsid w:val="004C35E7"/>
    <w:rPr>
      <w:rFonts w:ascii="Times New Roman" w:eastAsia="Times New Roman" w:hAnsi="Times New Roman" w:cs="Times New Roman"/>
      <w:b/>
      <w:szCs w:val="20"/>
      <w:lang w:val="en-GB"/>
    </w:rPr>
  </w:style>
  <w:style w:type="paragraph" w:styleId="Pavadinimas">
    <w:name w:val="Title"/>
    <w:basedOn w:val="prastasis"/>
    <w:link w:val="PavadinimasDiagrama"/>
    <w:qFormat/>
    <w:rsid w:val="004C35E7"/>
    <w:pPr>
      <w:spacing w:after="0" w:line="240" w:lineRule="auto"/>
      <w:jc w:val="center"/>
    </w:pPr>
    <w:rPr>
      <w:rFonts w:ascii="Times New Roman" w:eastAsia="Times New Roman" w:hAnsi="Times New Roman" w:cs="Times New Roman"/>
      <w:b/>
      <w:szCs w:val="20"/>
      <w:lang w:val="en-GB" w:eastAsia="en-US" w:bidi="ar-SA"/>
    </w:rPr>
  </w:style>
  <w:style w:type="character" w:customStyle="1" w:styleId="PavadinimasDiagrama">
    <w:name w:val="Pavadinimas Diagrama"/>
    <w:basedOn w:val="Numatytasispastraiposriftas"/>
    <w:link w:val="Pavadinimas"/>
    <w:rsid w:val="004C35E7"/>
    <w:rPr>
      <w:rFonts w:ascii="Times New Roman" w:eastAsia="Times New Roman" w:hAnsi="Times New Roman" w:cs="Times New Roman"/>
      <w:b/>
      <w:szCs w:val="20"/>
      <w:lang w:val="en-GB"/>
    </w:rPr>
  </w:style>
  <w:style w:type="paragraph" w:customStyle="1" w:styleId="copy">
    <w:name w:val="*copy"/>
    <w:rsid w:val="004C35E7"/>
    <w:pPr>
      <w:spacing w:after="0" w:line="240" w:lineRule="auto"/>
    </w:pPr>
    <w:rPr>
      <w:rFonts w:ascii="Times New Roman" w:eastAsia="Times New Roman" w:hAnsi="Times New Roman" w:cs="Times New Roman"/>
      <w:szCs w:val="20"/>
      <w:lang w:val="en-GB"/>
    </w:rPr>
  </w:style>
  <w:style w:type="paragraph" w:customStyle="1" w:styleId="Normal11">
    <w:name w:val="Normal11"/>
    <w:basedOn w:val="prastasis"/>
    <w:rsid w:val="004C35E7"/>
    <w:pPr>
      <w:spacing w:after="0" w:line="240" w:lineRule="auto"/>
      <w:jc w:val="both"/>
    </w:pPr>
    <w:rPr>
      <w:rFonts w:ascii="Times New Roman" w:eastAsia="Times New Roman" w:hAnsi="Times New Roman" w:cs="Times New Roman"/>
      <w:szCs w:val="20"/>
      <w:lang w:val="fr-FR" w:eastAsia="en-US" w:bidi="ar-SA"/>
    </w:rPr>
  </w:style>
  <w:style w:type="paragraph" w:customStyle="1" w:styleId="Instruction">
    <w:name w:val="Instruction"/>
    <w:basedOn w:val="prastasis"/>
    <w:rsid w:val="004C35E7"/>
    <w:pPr>
      <w:widowControl w:val="0"/>
      <w:tabs>
        <w:tab w:val="left" w:pos="567"/>
      </w:tabs>
      <w:spacing w:after="0" w:line="260" w:lineRule="exact"/>
      <w:jc w:val="both"/>
    </w:pPr>
    <w:rPr>
      <w:rFonts w:ascii="Times New Roman" w:eastAsia="Times New Roman" w:hAnsi="Times New Roman" w:cs="Times New Roman"/>
      <w:i/>
      <w:color w:val="0000FF"/>
      <w:szCs w:val="20"/>
      <w:lang w:val="fi-FI" w:bidi="ar-SA"/>
    </w:rPr>
  </w:style>
  <w:style w:type="paragraph" w:styleId="Pagrindiniotekstotrauka">
    <w:name w:val="Body Text Indent"/>
    <w:basedOn w:val="prastasis"/>
    <w:link w:val="PagrindiniotekstotraukaDiagrama"/>
    <w:rsid w:val="004C35E7"/>
    <w:pPr>
      <w:spacing w:after="0" w:line="240" w:lineRule="auto"/>
      <w:ind w:left="300"/>
    </w:pPr>
    <w:rPr>
      <w:rFonts w:ascii="Arial" w:eastAsia="Times New Roman" w:hAnsi="Arial" w:cs="Times New Roman"/>
      <w:sz w:val="18"/>
      <w:szCs w:val="20"/>
      <w:lang w:val="en-GB" w:eastAsia="en-US" w:bidi="ar-SA"/>
    </w:rPr>
  </w:style>
  <w:style w:type="character" w:customStyle="1" w:styleId="PagrindiniotekstotraukaDiagrama">
    <w:name w:val="Pagrindinio teksto įtrauka Diagrama"/>
    <w:basedOn w:val="Numatytasispastraiposriftas"/>
    <w:link w:val="Pagrindiniotekstotrauka"/>
    <w:rsid w:val="004C35E7"/>
    <w:rPr>
      <w:rFonts w:ascii="Arial" w:eastAsia="Times New Roman" w:hAnsi="Arial" w:cs="Times New Roman"/>
      <w:sz w:val="18"/>
      <w:szCs w:val="20"/>
      <w:lang w:val="en-GB"/>
    </w:rPr>
  </w:style>
  <w:style w:type="paragraph" w:styleId="Pagrindiniotekstotrauka2">
    <w:name w:val="Body Text Indent 2"/>
    <w:basedOn w:val="prastasis"/>
    <w:link w:val="Pagrindiniotekstotrauka2Diagrama"/>
    <w:rsid w:val="004C35E7"/>
    <w:pPr>
      <w:spacing w:after="0" w:line="240" w:lineRule="auto"/>
      <w:ind w:left="300"/>
    </w:pPr>
    <w:rPr>
      <w:rFonts w:ascii="Arial" w:eastAsia="Times New Roman" w:hAnsi="Arial" w:cs="Times New Roman"/>
      <w:sz w:val="20"/>
      <w:szCs w:val="20"/>
      <w:lang w:val="en-GB" w:eastAsia="en-US" w:bidi="ar-SA"/>
    </w:rPr>
  </w:style>
  <w:style w:type="character" w:customStyle="1" w:styleId="Pagrindiniotekstotrauka2Diagrama">
    <w:name w:val="Pagrindinio teksto įtrauka 2 Diagrama"/>
    <w:basedOn w:val="Numatytasispastraiposriftas"/>
    <w:link w:val="Pagrindiniotekstotrauka2"/>
    <w:rsid w:val="004C35E7"/>
    <w:rPr>
      <w:rFonts w:ascii="Arial" w:eastAsia="Times New Roman" w:hAnsi="Arial" w:cs="Times New Roman"/>
      <w:sz w:val="20"/>
      <w:szCs w:val="20"/>
      <w:lang w:val="en-GB"/>
    </w:rPr>
  </w:style>
  <w:style w:type="paragraph" w:customStyle="1" w:styleId="TblTextCenter">
    <w:name w:val="Tbl Text Center"/>
    <w:basedOn w:val="prastasis"/>
    <w:rsid w:val="004C35E7"/>
    <w:pPr>
      <w:spacing w:before="60" w:after="60" w:line="240" w:lineRule="auto"/>
      <w:jc w:val="center"/>
    </w:pPr>
    <w:rPr>
      <w:rFonts w:ascii="Arial Narrow" w:eastAsia="Times New Roman" w:hAnsi="Arial Narrow" w:cs="Times New Roman"/>
      <w:sz w:val="20"/>
      <w:szCs w:val="20"/>
      <w:lang w:eastAsia="en-US" w:bidi="ar-SA"/>
    </w:rPr>
  </w:style>
  <w:style w:type="paragraph" w:styleId="Sraopastraipa">
    <w:name w:val="List Paragraph"/>
    <w:basedOn w:val="prastasis"/>
    <w:uiPriority w:val="34"/>
    <w:qFormat/>
    <w:rsid w:val="004C35E7"/>
    <w:pPr>
      <w:ind w:left="720"/>
      <w:contextualSpacing/>
    </w:pPr>
  </w:style>
  <w:style w:type="character" w:styleId="Emfaz">
    <w:name w:val="Emphasis"/>
    <w:uiPriority w:val="20"/>
    <w:qFormat/>
    <w:rsid w:val="004C35E7"/>
    <w:rPr>
      <w:i/>
      <w:iCs/>
    </w:rPr>
  </w:style>
  <w:style w:type="paragraph" w:customStyle="1" w:styleId="Laikoantrat1">
    <w:name w:val="Laiško antraštė1"/>
    <w:basedOn w:val="Pagrindinistekstas"/>
    <w:link w:val="LaikoantratDiagrama"/>
    <w:rsid w:val="004C35E7"/>
    <w:pPr>
      <w:keepLines/>
      <w:tabs>
        <w:tab w:val="left" w:pos="3600"/>
        <w:tab w:val="left" w:pos="4680"/>
      </w:tabs>
      <w:suppressAutoHyphens w:val="0"/>
      <w:spacing w:after="240"/>
      <w:ind w:left="1080" w:hanging="1080"/>
    </w:pPr>
    <w:rPr>
      <w:rFonts w:asciiTheme="majorHAnsi" w:eastAsiaTheme="majorEastAsia" w:hAnsiTheme="majorHAnsi" w:cstheme="majorBidi"/>
      <w:lang w:val="en-US" w:eastAsia="zh-CN" w:bidi="lo-LA"/>
    </w:rPr>
  </w:style>
  <w:style w:type="paragraph" w:styleId="Pataisymai">
    <w:name w:val="Revision"/>
    <w:hidden/>
    <w:uiPriority w:val="99"/>
    <w:semiHidden/>
    <w:rsid w:val="004C35E7"/>
    <w:pPr>
      <w:spacing w:after="0" w:line="240" w:lineRule="auto"/>
    </w:pPr>
    <w:rPr>
      <w:rFonts w:ascii="Calibri" w:eastAsia="SimSun" w:hAnsi="Calibri" w:cs="DokChampa"/>
      <w:lang w:val="en-US" w:eastAsia="zh-CN" w:bidi="lo-LA"/>
    </w:rPr>
  </w:style>
  <w:style w:type="table" w:styleId="Lentelstinklelis">
    <w:name w:val="Table Grid"/>
    <w:basedOn w:val="prastojilentel"/>
    <w:uiPriority w:val="59"/>
    <w:rsid w:val="004C35E7"/>
    <w:pPr>
      <w:spacing w:after="0" w:line="240" w:lineRule="auto"/>
    </w:pPr>
    <w:rPr>
      <w:rFonts w:ascii="Calibri" w:eastAsia="SimSun" w:hAnsi="Calibri" w:cs="DokChampa"/>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49166</Words>
  <Characters>28025</Characters>
  <Application>Microsoft Office Word</Application>
  <DocSecurity>8</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77037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2017-05-30T05:10:00Z</dcterms:created>
  <dcterms:modified xsi:type="dcterms:W3CDTF">2017-05-30T05:10:00Z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