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B1" w:rsidRDefault="007E0FB1" w:rsidP="007E0FB1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Pakuotės lapelis: informacija vartotojui</w:t>
      </w:r>
    </w:p>
    <w:p w:rsidR="007E0FB1" w:rsidRDefault="007E0FB1" w:rsidP="007E0FB1">
      <w:pPr>
        <w:jc w:val="center"/>
        <w:rPr>
          <w:b/>
          <w:iCs/>
          <w:sz w:val="22"/>
          <w:szCs w:val="22"/>
        </w:rPr>
      </w:pPr>
    </w:p>
    <w:p w:rsidR="007E0FB1" w:rsidRDefault="007E0FB1" w:rsidP="007E0FB1">
      <w:pPr>
        <w:jc w:val="center"/>
        <w:rPr>
          <w:b/>
          <w:iCs/>
          <w:sz w:val="22"/>
          <w:szCs w:val="22"/>
        </w:rPr>
      </w:pPr>
      <w:proofErr w:type="spellStart"/>
      <w:r>
        <w:rPr>
          <w:b/>
          <w:iCs/>
          <w:sz w:val="22"/>
          <w:szCs w:val="22"/>
        </w:rPr>
        <w:t>Nootropil</w:t>
      </w:r>
      <w:proofErr w:type="spellEnd"/>
      <w:r>
        <w:rPr>
          <w:b/>
          <w:iCs/>
          <w:sz w:val="22"/>
          <w:szCs w:val="22"/>
        </w:rPr>
        <w:t xml:space="preserve"> 800 mg plėvele dengtos tabletės</w:t>
      </w:r>
    </w:p>
    <w:p w:rsidR="007E0FB1" w:rsidRDefault="007E0FB1" w:rsidP="007E0FB1">
      <w:pPr>
        <w:jc w:val="center"/>
        <w:rPr>
          <w:b/>
          <w:bCs/>
          <w:iCs/>
          <w:sz w:val="22"/>
          <w:szCs w:val="22"/>
        </w:rPr>
      </w:pPr>
      <w:proofErr w:type="spellStart"/>
      <w:r>
        <w:rPr>
          <w:b/>
          <w:sz w:val="22"/>
          <w:szCs w:val="22"/>
        </w:rPr>
        <w:t>Nootropil</w:t>
      </w:r>
      <w:proofErr w:type="spellEnd"/>
      <w:r>
        <w:rPr>
          <w:b/>
          <w:sz w:val="22"/>
          <w:szCs w:val="22"/>
        </w:rPr>
        <w:t xml:space="preserve"> 1200 mg </w:t>
      </w:r>
      <w:r>
        <w:rPr>
          <w:b/>
          <w:bCs/>
          <w:iCs/>
          <w:sz w:val="22"/>
          <w:szCs w:val="22"/>
        </w:rPr>
        <w:t>plėvele dengtos tabletės</w:t>
      </w:r>
    </w:p>
    <w:p w:rsidR="007E0FB1" w:rsidRDefault="007E0FB1" w:rsidP="007E0FB1">
      <w:pPr>
        <w:jc w:val="center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Piracetamas</w:t>
      </w:r>
      <w:proofErr w:type="spellEnd"/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r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7E0FB1" w:rsidRDefault="007E0FB1" w:rsidP="007E0FB1">
      <w:pPr>
        <w:ind w:left="720" w:hanging="36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Neišmeskite šio lapelio, nes vėl gali prireikti jį perskaityti.</w:t>
      </w:r>
    </w:p>
    <w:p w:rsidR="007E0FB1" w:rsidRDefault="007E0FB1" w:rsidP="007E0FB1">
      <w:pPr>
        <w:ind w:left="720" w:hanging="363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Jeigu kiltų daugiau klausimų, kreipkitės į gydytoją arba vaistininką.</w:t>
      </w:r>
    </w:p>
    <w:p w:rsidR="007E0FB1" w:rsidRDefault="007E0FB1" w:rsidP="007E0FB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Šis vaistas skirtas tik Jums, todėl kitiems žmonėms jo duoti negalima. Vaistas gali jiems pakenkti (net tiems, kurių ligos požymiai yra tokie patys kaip Jūsų). </w:t>
      </w:r>
    </w:p>
    <w:p w:rsidR="007E0FB1" w:rsidRDefault="007E0FB1" w:rsidP="007E0FB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7E0FB1" w:rsidRDefault="007E0FB1" w:rsidP="007E0FB1">
      <w:pPr>
        <w:ind w:left="720" w:hanging="363"/>
        <w:rPr>
          <w:sz w:val="22"/>
          <w:szCs w:val="22"/>
        </w:rPr>
      </w:pPr>
    </w:p>
    <w:p w:rsidR="007E0FB1" w:rsidRDefault="007E0FB1" w:rsidP="007E0FB1">
      <w:pPr>
        <w:ind w:left="357" w:hanging="357"/>
        <w:rPr>
          <w:sz w:val="22"/>
          <w:szCs w:val="22"/>
        </w:rPr>
      </w:pPr>
    </w:p>
    <w:p w:rsidR="007E0FB1" w:rsidRDefault="007E0FB1" w:rsidP="007E0FB1">
      <w:pPr>
        <w:ind w:hanging="567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Apie ką rašoma šiame lapelyje?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bookmarkStart w:id="0" w:name="OLE_LINK1"/>
      <w:proofErr w:type="spellStart"/>
      <w:r>
        <w:rPr>
          <w:sz w:val="22"/>
          <w:szCs w:val="22"/>
        </w:rPr>
        <w:t>Nootropil</w:t>
      </w:r>
      <w:bookmarkEnd w:id="0"/>
      <w:proofErr w:type="spellEnd"/>
      <w:r>
        <w:rPr>
          <w:sz w:val="22"/>
          <w:szCs w:val="22"/>
        </w:rPr>
        <w:t xml:space="preserve"> ir kam jis vartojamas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Galimas šalutinis poveikis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Nootropil</w:t>
      </w:r>
      <w:proofErr w:type="spellEnd"/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Pakuotės turinys ir kita informacija</w:t>
      </w:r>
    </w:p>
    <w:p w:rsidR="007E0FB1" w:rsidRDefault="007E0FB1" w:rsidP="007E0FB1">
      <w:pPr>
        <w:ind w:hanging="567"/>
        <w:rPr>
          <w:sz w:val="22"/>
          <w:szCs w:val="22"/>
        </w:rPr>
      </w:pPr>
    </w:p>
    <w:p w:rsidR="007E0FB1" w:rsidRDefault="007E0FB1" w:rsidP="007E0FB1">
      <w:pPr>
        <w:ind w:hanging="567"/>
        <w:rPr>
          <w:sz w:val="22"/>
          <w:szCs w:val="22"/>
        </w:rPr>
      </w:pPr>
    </w:p>
    <w:p w:rsidR="007E0FB1" w:rsidRDefault="007E0FB1" w:rsidP="007E0FB1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Kas yra </w:t>
      </w:r>
      <w:proofErr w:type="spellStart"/>
      <w:r>
        <w:rPr>
          <w:b/>
          <w:sz w:val="22"/>
          <w:szCs w:val="22"/>
        </w:rPr>
        <w:t>Nootropil</w:t>
      </w:r>
      <w:proofErr w:type="spellEnd"/>
      <w:r>
        <w:rPr>
          <w:b/>
          <w:sz w:val="22"/>
          <w:szCs w:val="22"/>
        </w:rPr>
        <w:t xml:space="preserve"> ir kam jis vartojamas</w:t>
      </w:r>
    </w:p>
    <w:p w:rsidR="007E0FB1" w:rsidRDefault="007E0FB1" w:rsidP="007E0FB1">
      <w:pPr>
        <w:pStyle w:val="Pagrindinistekstas2"/>
        <w:rPr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Veiklioji vaisto medžiaga, </w:t>
      </w:r>
      <w:proofErr w:type="spellStart"/>
      <w:r>
        <w:rPr>
          <w:sz w:val="22"/>
          <w:szCs w:val="22"/>
        </w:rPr>
        <w:t>piracetamas</w:t>
      </w:r>
      <w:proofErr w:type="spellEnd"/>
      <w:r>
        <w:rPr>
          <w:sz w:val="22"/>
          <w:szCs w:val="22"/>
        </w:rPr>
        <w:t>, pasižymi poveikiu neuronams (stiprina pažinimo funkcijas, tokias kaip: mokymasis, atmintis, dėmesys ir sąmonė) ir kraujagyslėms (trombocitų, eritrocitų tėkmei kraujagyslėmis, taip pat kraujagyslių sienelėms).</w:t>
      </w:r>
    </w:p>
    <w:p w:rsidR="007E0FB1" w:rsidRDefault="007E0FB1" w:rsidP="007E0FB1">
      <w:pPr>
        <w:pStyle w:val="Pagrindinistekstas2"/>
        <w:rPr>
          <w:szCs w:val="22"/>
        </w:rPr>
      </w:pPr>
    </w:p>
    <w:p w:rsidR="007E0FB1" w:rsidRDefault="007E0FB1" w:rsidP="007E0FB1">
      <w:pPr>
        <w:pStyle w:val="Pagrindinistekstas2"/>
        <w:rPr>
          <w:b/>
          <w:i/>
          <w:szCs w:val="22"/>
        </w:rPr>
      </w:pPr>
      <w:proofErr w:type="spellStart"/>
      <w:r>
        <w:rPr>
          <w:szCs w:val="22"/>
        </w:rPr>
        <w:t>Nootropil</w:t>
      </w:r>
      <w:proofErr w:type="spellEnd"/>
      <w:r>
        <w:rPr>
          <w:szCs w:val="22"/>
        </w:rPr>
        <w:t xml:space="preserve"> vartojamas žemiau išvardytais atvejais.</w:t>
      </w:r>
    </w:p>
    <w:p w:rsidR="007E0FB1" w:rsidRDefault="007E0FB1" w:rsidP="007E0FB1">
      <w:pPr>
        <w:pStyle w:val="Antrat2"/>
        <w:keepNext w:val="0"/>
        <w:keepLines w:val="0"/>
        <w:widowControl w:val="0"/>
        <w:spacing w:before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/>
          <w:color w:val="auto"/>
          <w:sz w:val="22"/>
          <w:szCs w:val="22"/>
        </w:rPr>
        <w:t>Suaugusiesiems</w:t>
      </w:r>
    </w:p>
    <w:p w:rsidR="007E0FB1" w:rsidRDefault="007E0FB1" w:rsidP="007E0FB1">
      <w:pPr>
        <w:numPr>
          <w:ilvl w:val="0"/>
          <w:numId w:val="2"/>
        </w:numPr>
        <w:tabs>
          <w:tab w:val="num" w:pos="426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Galvos smegenų žievės pažeidimo sukeltų raumenų traukulių, taip vadinamųjų </w:t>
      </w:r>
      <w:proofErr w:type="spellStart"/>
      <w:r>
        <w:rPr>
          <w:sz w:val="22"/>
          <w:szCs w:val="22"/>
        </w:rPr>
        <w:t>mioklonijų</w:t>
      </w:r>
      <w:proofErr w:type="spellEnd"/>
      <w:r>
        <w:rPr>
          <w:sz w:val="22"/>
          <w:szCs w:val="22"/>
        </w:rPr>
        <w:t xml:space="preserve"> gydymui (vartoti vieną arba derinti su kitais vaistais nuo epilepsijos).</w:t>
      </w:r>
    </w:p>
    <w:p w:rsidR="007E0FB1" w:rsidRDefault="007E0FB1" w:rsidP="007E0FB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Papildomam senyvų žmonių pažintinių funkcijų sutrikimų - atminties netekimo, susilpnėjusios dėmesio koncentracijos ir energijos stokos (išskyrus Alzheimerio ligos ir kitų silpnaprotysčių sukeltus) - gydymui.</w:t>
      </w:r>
    </w:p>
    <w:p w:rsidR="007E0FB1" w:rsidRDefault="007E0FB1" w:rsidP="007E0FB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Galvos svaigimo ir pusiausvyros sutrikimo (išskyrus galvos svaigulį dėl kraujotakos sutrikimų ir psichinių priežasčių) gydymui.</w:t>
      </w:r>
    </w:p>
    <w:p w:rsidR="007E0FB1" w:rsidRDefault="007E0FB1" w:rsidP="007E0FB1">
      <w:pPr>
        <w:rPr>
          <w:i/>
          <w:sz w:val="22"/>
          <w:szCs w:val="22"/>
        </w:rPr>
      </w:pPr>
    </w:p>
    <w:p w:rsidR="007E0FB1" w:rsidRDefault="007E0FB1" w:rsidP="007E0FB1">
      <w:pPr>
        <w:rPr>
          <w:i/>
          <w:sz w:val="22"/>
          <w:szCs w:val="22"/>
        </w:rPr>
      </w:pPr>
      <w:r>
        <w:rPr>
          <w:i/>
          <w:sz w:val="22"/>
          <w:szCs w:val="22"/>
        </w:rPr>
        <w:t>Vyresniems kaip 8 metų vaikams</w:t>
      </w:r>
    </w:p>
    <w:p w:rsidR="007E0FB1" w:rsidRDefault="007E0FB1" w:rsidP="007E0FB1">
      <w:pPr>
        <w:numPr>
          <w:ilvl w:val="0"/>
          <w:numId w:val="4"/>
        </w:numPr>
        <w:ind w:left="0" w:firstLine="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Skaitymo sutrikimo gydymui, derinant su kitais gydymo metodais, pavyzdžiui, </w:t>
      </w:r>
      <w:proofErr w:type="spellStart"/>
      <w:r>
        <w:rPr>
          <w:sz w:val="22"/>
          <w:szCs w:val="22"/>
        </w:rPr>
        <w:t>logopedija</w:t>
      </w:r>
      <w:proofErr w:type="spellEnd"/>
      <w:r>
        <w:rPr>
          <w:sz w:val="22"/>
          <w:szCs w:val="22"/>
        </w:rPr>
        <w:t>.</w:t>
      </w:r>
    </w:p>
    <w:p w:rsidR="007E0FB1" w:rsidRDefault="007E0FB1" w:rsidP="007E0FB1">
      <w:pPr>
        <w:rPr>
          <w:b/>
          <w:iCs/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</w:p>
    <w:p w:rsidR="007E0FB1" w:rsidRDefault="007E0FB1" w:rsidP="007E0FB1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Kas žinotina prieš vartojant </w:t>
      </w:r>
      <w:proofErr w:type="spellStart"/>
      <w:r>
        <w:rPr>
          <w:b/>
          <w:sz w:val="22"/>
          <w:szCs w:val="22"/>
        </w:rPr>
        <w:t>Nootropil</w:t>
      </w:r>
      <w:proofErr w:type="spellEnd"/>
    </w:p>
    <w:p w:rsidR="007E0FB1" w:rsidRDefault="007E0FB1" w:rsidP="007E0FB1">
      <w:pPr>
        <w:numPr>
          <w:ilvl w:val="12"/>
          <w:numId w:val="0"/>
        </w:numPr>
        <w:outlineLvl w:val="0"/>
        <w:rPr>
          <w:sz w:val="22"/>
          <w:szCs w:val="22"/>
        </w:rPr>
      </w:pPr>
    </w:p>
    <w:p w:rsidR="007E0FB1" w:rsidRDefault="007E0FB1" w:rsidP="007E0FB1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Nootropil</w:t>
      </w:r>
      <w:proofErr w:type="spellEnd"/>
      <w:r>
        <w:rPr>
          <w:b/>
          <w:bCs/>
          <w:sz w:val="22"/>
          <w:szCs w:val="22"/>
        </w:rPr>
        <w:t xml:space="preserve"> vartoti negalima:</w:t>
      </w:r>
    </w:p>
    <w:p w:rsidR="007E0FB1" w:rsidRDefault="007E0FB1" w:rsidP="007E0FB1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jeigu yra alergija </w:t>
      </w:r>
      <w:proofErr w:type="spellStart"/>
      <w:r>
        <w:rPr>
          <w:sz w:val="22"/>
          <w:szCs w:val="22"/>
        </w:rPr>
        <w:t>piracetamui</w:t>
      </w:r>
      <w:proofErr w:type="spellEnd"/>
      <w:r>
        <w:rPr>
          <w:sz w:val="22"/>
          <w:szCs w:val="22"/>
        </w:rPr>
        <w:t xml:space="preserve">, kitiems </w:t>
      </w:r>
      <w:proofErr w:type="spellStart"/>
      <w:r>
        <w:rPr>
          <w:sz w:val="22"/>
          <w:szCs w:val="22"/>
        </w:rPr>
        <w:t>pirolidono</w:t>
      </w:r>
      <w:proofErr w:type="spellEnd"/>
      <w:r>
        <w:rPr>
          <w:sz w:val="22"/>
          <w:szCs w:val="22"/>
        </w:rPr>
        <w:t xml:space="preserve"> dariniams arba bet kuriai pagalbinei šio vaisto medžiagai (jos išvardytos 6 skyriuje);</w:t>
      </w:r>
    </w:p>
    <w:p w:rsidR="007E0FB1" w:rsidRDefault="007E0FB1" w:rsidP="007E0FB1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jeigu sergate sunkiu inkstų funkcijos nepakankamumu;</w:t>
      </w:r>
    </w:p>
    <w:p w:rsidR="007E0FB1" w:rsidRDefault="007E0FB1" w:rsidP="007E0FB1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esant kraujo išsiliejimui galvos smegenyse; </w:t>
      </w:r>
    </w:p>
    <w:p w:rsidR="007E0FB1" w:rsidRDefault="007E0FB1" w:rsidP="007E0FB1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jeigu sergate </w:t>
      </w:r>
      <w:proofErr w:type="spellStart"/>
      <w:r>
        <w:rPr>
          <w:sz w:val="22"/>
          <w:szCs w:val="22"/>
        </w:rPr>
        <w:t>Hantingtono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chorėja</w:t>
      </w:r>
      <w:proofErr w:type="spellEnd"/>
      <w:r>
        <w:rPr>
          <w:sz w:val="22"/>
          <w:szCs w:val="22"/>
        </w:rPr>
        <w:t>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Įspėjimai ir atsargumo priemonės</w:t>
      </w:r>
    </w:p>
    <w:p w:rsidR="007E0FB1" w:rsidRDefault="007E0FB1" w:rsidP="007E0FB1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jeigu sergate inkstų ligomis;</w:t>
      </w:r>
    </w:p>
    <w:p w:rsidR="007E0FB1" w:rsidRDefault="007E0FB1" w:rsidP="007E0FB1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jeigu Jums nustatyta kraujo krešėjimo sutrikimų arba stipriai kraujuojate, yra kraujavimo pavojus (pavyzdžiui, virškinimo trakto opa), esate persirgę hemoraginiu insultu;</w:t>
      </w:r>
    </w:p>
    <w:p w:rsidR="007E0FB1" w:rsidRDefault="007E0FB1" w:rsidP="007E0FB1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praneškite gydytojui jei Jums ruošiamasi atlikti bet kokią didesnę operaciją, įskaitant ir dantų operaciją;</w:t>
      </w:r>
    </w:p>
    <w:p w:rsidR="007E0FB1" w:rsidRDefault="007E0FB1" w:rsidP="007E0FB1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jeigu vartojate antikoaguliantus ar trombocitų </w:t>
      </w:r>
      <w:proofErr w:type="spellStart"/>
      <w:r>
        <w:rPr>
          <w:sz w:val="22"/>
          <w:szCs w:val="22"/>
        </w:rPr>
        <w:t>agregaciją</w:t>
      </w:r>
      <w:proofErr w:type="spellEnd"/>
      <w:r>
        <w:rPr>
          <w:sz w:val="22"/>
          <w:szCs w:val="22"/>
        </w:rPr>
        <w:t xml:space="preserve"> slopinančius vaistus, įskaitant ir mažas aspirino dozes.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Pasitarkite su gydytoju arba vaistininku, prieš pradėdami vartoti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>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Kiti vaistai ir </w:t>
      </w:r>
      <w:proofErr w:type="spellStart"/>
      <w:r>
        <w:rPr>
          <w:b/>
          <w:sz w:val="22"/>
          <w:szCs w:val="22"/>
        </w:rPr>
        <w:t>Nootropil</w:t>
      </w:r>
      <w:proofErr w:type="spellEnd"/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Kartu vartojami kiti vaistai gali pakeisti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poveikį ir todėl prieš pradedant gydymą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turite pasakyti gydytojui apie visus kitus vaistus, kuriuos šiuo metu vartojate.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Buvo praneštas vienas atvejis, kai pacientui vartojant šį vaistą kartu su skydliaukės ekstraktu, pasireiškė sumišimas, dirglumas ir miego sutrikimai.</w:t>
      </w:r>
    </w:p>
    <w:p w:rsidR="007E0FB1" w:rsidRDefault="007E0FB1" w:rsidP="007E0FB1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Nootropil</w:t>
      </w:r>
      <w:proofErr w:type="spellEnd"/>
      <w:r>
        <w:rPr>
          <w:b/>
          <w:sz w:val="22"/>
          <w:szCs w:val="22"/>
        </w:rPr>
        <w:t xml:space="preserve"> vartojimas su maistu, gėrimais ir alkoholiu</w:t>
      </w:r>
    </w:p>
    <w:p w:rsidR="007E0FB1" w:rsidRDefault="007E0FB1" w:rsidP="007E0FB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Nootropil</w:t>
      </w:r>
      <w:proofErr w:type="spellEnd"/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galima gerti nevalgius ar valgymo metu. Tabletes reikia nuryti, užsigeriant stikline vandens.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Vartojant kartu su </w:t>
      </w:r>
      <w:proofErr w:type="spellStart"/>
      <w:r>
        <w:rPr>
          <w:sz w:val="22"/>
          <w:szCs w:val="22"/>
        </w:rPr>
        <w:t>piracetamu</w:t>
      </w:r>
      <w:proofErr w:type="spellEnd"/>
      <w:r>
        <w:rPr>
          <w:sz w:val="22"/>
          <w:szCs w:val="22"/>
        </w:rPr>
        <w:t xml:space="preserve"> alkoholį pastarasis įtakos vaisto koncentracijai kraujo plazmoje neturėjo; išgėrus 1,6 g </w:t>
      </w:r>
      <w:proofErr w:type="spellStart"/>
      <w:r>
        <w:rPr>
          <w:sz w:val="22"/>
          <w:szCs w:val="22"/>
        </w:rPr>
        <w:t>piracetamo</w:t>
      </w:r>
      <w:proofErr w:type="spellEnd"/>
      <w:r>
        <w:rPr>
          <w:sz w:val="22"/>
          <w:szCs w:val="22"/>
        </w:rPr>
        <w:t>, alkoholio koncentracija kraujyje nepakito.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r>
        <w:rPr>
          <w:b/>
          <w:sz w:val="22"/>
          <w:szCs w:val="22"/>
        </w:rPr>
        <w:t>Nėštumas ir žindymo laikotarpis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Nėra pakankamai duomenų apie šio vaisto vartojimą nėštumo metu. Prieš vartojant bet kokį vaistą nėštumo metu, visada būtina pasitarti su gydytoju. 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Šis vaistas išsiskiria į motinos pieną. Prieš vartojant bet kokį vaistą žindymo laikotarpiu, visada būtina pasitarti su gydytoju. 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r>
        <w:rPr>
          <w:b/>
          <w:sz w:val="22"/>
          <w:szCs w:val="22"/>
        </w:rPr>
        <w:t>Vairavimas ir mechanizmų valdymas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Gydymo pradžioje ar didinant vaisto dozę dėl galimų vartotojų individualių reakcijų į vaistą, kai kuriems asmenims gali pasireikšti lengva </w:t>
      </w:r>
      <w:proofErr w:type="spellStart"/>
      <w:r>
        <w:rPr>
          <w:sz w:val="22"/>
          <w:szCs w:val="22"/>
        </w:rPr>
        <w:t>somnolencija</w:t>
      </w:r>
      <w:proofErr w:type="spellEnd"/>
      <w:r>
        <w:rPr>
          <w:sz w:val="22"/>
          <w:szCs w:val="22"/>
        </w:rPr>
        <w:t xml:space="preserve"> arba kiti simptomai, turintys įtakos koncentracijai. Tokiais atvejais, rekomenduojama būti atsargiems atliekant užduotis, kurios reikalauja tikslumo, tokiuose kaip vairuojant transporto priemonę ar dirbant su mechanizmais.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Jūs esate atsakingas už savo gebėjimą vairuoti arba atlikti užduotis, reikalaujančias tikslumo. Vienas iš veiksnių, kuris veikia Jūsų atlikimą yra vaisto vartojimas dėl jo poveikio ir/ar šalutinio poveikio. Šie poveikiai ir šalutiniai poveikiai yra aprašyti kitur šiame pakuotės lapelyje. Todėl pakuotės lapelį turite perskaityti kruopščiai. Jeigu abejojate, kreipkitės į gydytoją arba vaistininką.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Nootropil</w:t>
      </w:r>
      <w:proofErr w:type="spellEnd"/>
      <w:r>
        <w:rPr>
          <w:b/>
          <w:sz w:val="22"/>
          <w:szCs w:val="22"/>
        </w:rPr>
        <w:t xml:space="preserve"> sudėtyje yra natrio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Kiekvienoje šio vaisto dozėje yra 46 mg natrio (valgomosios druskos sudedamosios dalies) 24 g </w:t>
      </w:r>
      <w:proofErr w:type="spellStart"/>
      <w:r>
        <w:rPr>
          <w:sz w:val="22"/>
          <w:szCs w:val="22"/>
        </w:rPr>
        <w:t>piracetamo</w:t>
      </w:r>
      <w:proofErr w:type="spellEnd"/>
      <w:r>
        <w:rPr>
          <w:sz w:val="22"/>
          <w:szCs w:val="22"/>
        </w:rPr>
        <w:t xml:space="preserve">. Tai atitinka 2,3 % didžiausios rekomenduojamos natrio paros normos suaugusiesiems. 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Kaip vartoti </w:t>
      </w:r>
      <w:proofErr w:type="spellStart"/>
      <w:r>
        <w:rPr>
          <w:b/>
          <w:sz w:val="22"/>
          <w:szCs w:val="22"/>
        </w:rPr>
        <w:t>Nootropil</w:t>
      </w:r>
      <w:proofErr w:type="spellEnd"/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Visada vartokite šį vaistą tiksliai kaip nurodė gydytojas. Jeigu abejojate, kreipkitės į gydytoją arba vaistininką. 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Gydytojas nustato individualias dozes kiekvienam pacientui. Laikykitės savo gydytojo nurodymų taip pat kai dozė koreguojama dėl bet kokios priežasties.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bookmarkStart w:id="1" w:name="OLE_LINK3"/>
      <w:bookmarkStart w:id="2" w:name="OLE_LINK2"/>
      <w:r>
        <w:rPr>
          <w:sz w:val="22"/>
          <w:szCs w:val="22"/>
        </w:rPr>
        <w:lastRenderedPageBreak/>
        <w:t>Tabletes reikia nuryti, užsigeriant stikline vandens</w:t>
      </w:r>
      <w:bookmarkEnd w:id="1"/>
      <w:bookmarkEnd w:id="2"/>
      <w:r>
        <w:rPr>
          <w:sz w:val="22"/>
          <w:szCs w:val="22"/>
        </w:rPr>
        <w:t xml:space="preserve">. 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i/>
          <w:sz w:val="22"/>
          <w:szCs w:val="22"/>
        </w:rPr>
      </w:pPr>
      <w:r>
        <w:rPr>
          <w:i/>
          <w:sz w:val="22"/>
          <w:szCs w:val="22"/>
        </w:rPr>
        <w:t>Suaugusieji</w:t>
      </w:r>
    </w:p>
    <w:p w:rsidR="007E0FB1" w:rsidRDefault="007E0FB1" w:rsidP="007E0FB1">
      <w:pPr>
        <w:pStyle w:val="Antrat3"/>
        <w:keepNext w:val="0"/>
        <w:keepLines w:val="0"/>
        <w:spacing w:before="0"/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 xml:space="preserve">Galvos smegenų žievės pažeidimo sukeltų </w:t>
      </w:r>
      <w:proofErr w:type="spellStart"/>
      <w:r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>mioklonijų</w:t>
      </w:r>
      <w:proofErr w:type="spellEnd"/>
      <w:r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 xml:space="preserve"> gydymas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Įprasta pradinė dozė yra 7,2 g </w:t>
      </w:r>
      <w:proofErr w:type="spellStart"/>
      <w:r>
        <w:rPr>
          <w:sz w:val="22"/>
          <w:szCs w:val="22"/>
        </w:rPr>
        <w:t>piracetamo</w:t>
      </w:r>
      <w:proofErr w:type="spellEnd"/>
      <w:r>
        <w:rPr>
          <w:sz w:val="22"/>
          <w:szCs w:val="22"/>
        </w:rPr>
        <w:t xml:space="preserve"> per parą (9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800 mg arba 6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1200 mg). Paros dozė gali būti didinama iki 4,8 g (6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800 mg arba 4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1200 mg) 3 dienų laikotarpyje. Didžiausia dozė yra 24 g (30 tablečių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800 mg arba 20 tablečių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1200 mg) per parą. Paros dozė yra dalijama į 2-3 dozes.</w:t>
      </w:r>
    </w:p>
    <w:p w:rsidR="007E0FB1" w:rsidRDefault="007E0FB1" w:rsidP="007E0FB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Kitų vaistų, kurie skiriami </w:t>
      </w:r>
      <w:proofErr w:type="spellStart"/>
      <w:r>
        <w:rPr>
          <w:iCs/>
          <w:sz w:val="22"/>
          <w:szCs w:val="22"/>
        </w:rPr>
        <w:t>mioklonijoms</w:t>
      </w:r>
      <w:proofErr w:type="spellEnd"/>
      <w:r>
        <w:rPr>
          <w:iCs/>
          <w:sz w:val="22"/>
          <w:szCs w:val="22"/>
        </w:rPr>
        <w:t xml:space="preserve"> gydyti, dozė turi būti pastovi. Atsižvelgiant į gydymo rezultatus, jei įmanoma, kitų vaistų dozę reikia mažinti.</w:t>
      </w:r>
    </w:p>
    <w:p w:rsidR="007E0FB1" w:rsidRDefault="007E0FB1" w:rsidP="007E0FB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Pradėjus gydyti </w:t>
      </w:r>
      <w:proofErr w:type="spellStart"/>
      <w:r>
        <w:rPr>
          <w:iCs/>
          <w:sz w:val="22"/>
          <w:szCs w:val="22"/>
        </w:rPr>
        <w:t>Nootropil</w:t>
      </w:r>
      <w:proofErr w:type="spellEnd"/>
      <w:r>
        <w:rPr>
          <w:iCs/>
          <w:sz w:val="22"/>
          <w:szCs w:val="22"/>
        </w:rPr>
        <w:t>, jį reikia vartoti tol, kol išlieka smegenų pažeidimo požymiai.</w:t>
      </w:r>
    </w:p>
    <w:p w:rsidR="007E0FB1" w:rsidRDefault="007E0FB1" w:rsidP="007E0FB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Pacientams, kurių liga prasideda staiga, po kurio laiko sveikata gali savaime pagerėti, todėl kas 6 mėnesius reikėtų bandyti dozę sumažinti arba gydymą baigti. Tai turi būti daroma mažinant </w:t>
      </w:r>
      <w:proofErr w:type="spellStart"/>
      <w:r>
        <w:rPr>
          <w:iCs/>
          <w:sz w:val="22"/>
          <w:szCs w:val="22"/>
        </w:rPr>
        <w:t>Nootropil</w:t>
      </w:r>
      <w:proofErr w:type="spellEnd"/>
      <w:r>
        <w:rPr>
          <w:iCs/>
          <w:sz w:val="22"/>
          <w:szCs w:val="22"/>
        </w:rPr>
        <w:t xml:space="preserve"> dozę po 1,2 g kas antrą dieną (esant </w:t>
      </w:r>
      <w:proofErr w:type="spellStart"/>
      <w:r>
        <w:rPr>
          <w:i/>
          <w:sz w:val="22"/>
          <w:szCs w:val="22"/>
        </w:rPr>
        <w:t>Lance</w:t>
      </w:r>
      <w:proofErr w:type="spellEnd"/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ar </w:t>
      </w:r>
      <w:r>
        <w:rPr>
          <w:i/>
          <w:sz w:val="22"/>
          <w:szCs w:val="22"/>
        </w:rPr>
        <w:t xml:space="preserve">Adams </w:t>
      </w:r>
      <w:r>
        <w:rPr>
          <w:iCs/>
          <w:sz w:val="22"/>
          <w:szCs w:val="22"/>
        </w:rPr>
        <w:t>sindromui dozė mažinama kas 3 ar 4 dienos), siekiant išvengti staigaus ligos atsinaujinimo ar traukulių pasikartojimo.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Pažintinių funkcijų sutrikimo gydymas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Rekomenduojama paros dozė yra nuo 2,4 g (3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800 mg arba 2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 1200 mg) iki 4,8 g (6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800 mg arba 4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1200 mg), kuri vartojama padalinus į dvi arba tris dalis.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pStyle w:val="Antrat1"/>
        <w:keepNext w:val="0"/>
        <w:keepLines w:val="0"/>
        <w:spacing w:before="0"/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>Svaigulio gydymas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Rekomenduojama paros dozė yra nuo 2,4 g (3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800 mg arba 2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1200 mg) iki 4,8 g (6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800 mg arba 4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1200 mg), kuri vartojama padalinus į dvi arba tris dalis.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i/>
          <w:sz w:val="22"/>
          <w:szCs w:val="22"/>
        </w:rPr>
      </w:pPr>
      <w:r>
        <w:rPr>
          <w:i/>
          <w:sz w:val="22"/>
          <w:szCs w:val="22"/>
        </w:rPr>
        <w:t>Vartojimas vaikams ir paaugliams</w:t>
      </w:r>
    </w:p>
    <w:p w:rsidR="007E0FB1" w:rsidRDefault="007E0FB1" w:rsidP="007E0FB1">
      <w:pPr>
        <w:pStyle w:val="Antrat1"/>
        <w:keepNext w:val="0"/>
        <w:keepLines w:val="0"/>
        <w:spacing w:before="0"/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</w:pPr>
      <w:r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 xml:space="preserve">Skaitymo sutrikimo gydymas kartu su </w:t>
      </w:r>
      <w:proofErr w:type="spellStart"/>
      <w:r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>logopedinėmis</w:t>
      </w:r>
      <w:proofErr w:type="spellEnd"/>
      <w:r>
        <w:rPr>
          <w:rFonts w:ascii="Times New Roman" w:hAnsi="Times New Roman"/>
          <w:b w:val="0"/>
          <w:i/>
          <w:color w:val="auto"/>
          <w:sz w:val="22"/>
          <w:szCs w:val="22"/>
          <w:u w:val="single"/>
        </w:rPr>
        <w:t xml:space="preserve"> priemonėmis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Vyresniems kaip 8 metų vaikams ir paaugliams rekomenduojama paros dozė yra apie 3,2 g (4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800 mg), kuri vartojama padalinus į dvi dalis.</w:t>
      </w:r>
    </w:p>
    <w:p w:rsidR="007E0FB1" w:rsidRDefault="007E0FB1" w:rsidP="007E0FB1">
      <w:pPr>
        <w:rPr>
          <w:b/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Ką daryti pavartojus per didelę </w:t>
      </w:r>
      <w:proofErr w:type="spellStart"/>
      <w:r>
        <w:rPr>
          <w:b/>
          <w:sz w:val="22"/>
          <w:szCs w:val="22"/>
        </w:rPr>
        <w:t>Nootropil</w:t>
      </w:r>
      <w:proofErr w:type="spellEnd"/>
      <w:r>
        <w:rPr>
          <w:b/>
          <w:sz w:val="22"/>
          <w:szCs w:val="22"/>
        </w:rPr>
        <w:t xml:space="preserve"> dozę?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Jeigu išgėrėte per didelę dozę arba jeigu pvz., vaikas atsitiktinai išgėrė vaisto, nedelsiant kreipkitės į gydytoją arba į artimiausią gydymo įstaigą dėl rizikos įvertinimo ir patarimo.</w:t>
      </w:r>
    </w:p>
    <w:p w:rsidR="007E0FB1" w:rsidRDefault="007E0FB1" w:rsidP="007E0FB1">
      <w:pPr>
        <w:rPr>
          <w:b/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Pamiršus pavartoti </w:t>
      </w:r>
      <w:proofErr w:type="spellStart"/>
      <w:r>
        <w:rPr>
          <w:b/>
          <w:sz w:val="22"/>
          <w:szCs w:val="22"/>
        </w:rPr>
        <w:t>Nootropil</w:t>
      </w:r>
      <w:proofErr w:type="spellEnd"/>
      <w:r>
        <w:rPr>
          <w:b/>
          <w:sz w:val="22"/>
          <w:szCs w:val="22"/>
        </w:rPr>
        <w:t xml:space="preserve"> 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Negalima vartoti dvigubos dozės norint kompensuoti praleistą dozę ir toliau tęskite gydymą, vartojant kitą dozę įprastine tvarka.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Nustojus vartoti </w:t>
      </w:r>
      <w:proofErr w:type="spellStart"/>
      <w:r>
        <w:rPr>
          <w:b/>
          <w:sz w:val="22"/>
          <w:szCs w:val="22"/>
        </w:rPr>
        <w:t>Nootropil</w:t>
      </w:r>
      <w:proofErr w:type="spellEnd"/>
      <w:r>
        <w:rPr>
          <w:b/>
          <w:sz w:val="22"/>
          <w:szCs w:val="22"/>
        </w:rPr>
        <w:t xml:space="preserve"> 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Vaisto vartojimo negalite nutraukti staiga, nes tai gali sukelti raumenų spazmus.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Jeigu vaisto vartojimas yra nutraukiamas arba dozė sumažinama, tai turi būti atlikta palaipsniui, mažinant paros dozę po 1,2 g (1,5 tabletės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800 mg arba 1 tabletė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1200 mg) kiekvieną kitą parą. Tai leis išvengti raumenų spazmų priepuolių.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Prieš nutraukiant vartoti vaistą arba pakoregavus dozę, visada pirmiausiai pasitarkite su gydytoju.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Jeigu kiltų daugiau klausimų dėl šio vaisto vartojimo, kreipkitės į gydytoją.</w:t>
      </w:r>
    </w:p>
    <w:p w:rsidR="007E0FB1" w:rsidRDefault="007E0FB1" w:rsidP="007E0FB1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</w:p>
    <w:p w:rsidR="007E0FB1" w:rsidRDefault="007E0FB1" w:rsidP="007E0FB1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</w:p>
    <w:p w:rsidR="007E0FB1" w:rsidRDefault="007E0FB1" w:rsidP="007E0FB1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4.</w:t>
      </w:r>
      <w:r>
        <w:rPr>
          <w:b/>
          <w:caps/>
          <w:sz w:val="22"/>
          <w:szCs w:val="22"/>
        </w:rPr>
        <w:tab/>
        <w:t>g</w:t>
      </w:r>
      <w:r>
        <w:rPr>
          <w:b/>
          <w:sz w:val="22"/>
          <w:szCs w:val="22"/>
        </w:rPr>
        <w:t>alimas šalutinis poveikis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Galimo šalutinio poveikio dažnis, išvardytas žemiau, yra apibūdinamas taip:</w:t>
      </w:r>
    </w:p>
    <w:p w:rsidR="007E0FB1" w:rsidRDefault="007E0FB1" w:rsidP="007E0FB1">
      <w:pPr>
        <w:ind w:left="810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labai dažnas (pasireiškia daugiau kaip 1 vartotojui iš 10); </w:t>
      </w:r>
    </w:p>
    <w:p w:rsidR="007E0FB1" w:rsidRDefault="007E0FB1" w:rsidP="007E0FB1">
      <w:pPr>
        <w:ind w:left="81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dažnas (pasireiškia nuo 1 iki 10 vartotojų iš 100); </w:t>
      </w:r>
    </w:p>
    <w:p w:rsidR="007E0FB1" w:rsidRDefault="007E0FB1" w:rsidP="007E0FB1">
      <w:pPr>
        <w:ind w:left="81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nedažnas (pasireiškia nuo 1 iki 10 vartotojų iš 1000); </w:t>
      </w:r>
    </w:p>
    <w:p w:rsidR="007E0FB1" w:rsidRDefault="007E0FB1" w:rsidP="007E0FB1">
      <w:pPr>
        <w:ind w:left="81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retas (pasireiškia nuo 1 iki 10 vartotojų iš 10 000); </w:t>
      </w:r>
    </w:p>
    <w:p w:rsidR="007E0FB1" w:rsidRDefault="007E0FB1" w:rsidP="007E0FB1">
      <w:pPr>
        <w:ind w:left="810"/>
        <w:rPr>
          <w:sz w:val="22"/>
          <w:szCs w:val="22"/>
        </w:rPr>
      </w:pPr>
      <w:r>
        <w:rPr>
          <w:noProof/>
          <w:sz w:val="22"/>
          <w:szCs w:val="22"/>
        </w:rPr>
        <w:t>labai retas (pasireiškia mažiau nei 1 vartotojui iš 10 000);</w:t>
      </w:r>
      <w:r>
        <w:rPr>
          <w:sz w:val="22"/>
          <w:szCs w:val="22"/>
        </w:rPr>
        <w:t xml:space="preserve"> </w:t>
      </w:r>
    </w:p>
    <w:p w:rsidR="007E0FB1" w:rsidRDefault="007E0FB1" w:rsidP="007E0FB1">
      <w:pPr>
        <w:ind w:left="810"/>
        <w:rPr>
          <w:sz w:val="22"/>
          <w:szCs w:val="22"/>
        </w:rPr>
      </w:pPr>
      <w:r>
        <w:rPr>
          <w:sz w:val="22"/>
          <w:szCs w:val="22"/>
        </w:rPr>
        <w:t>dažnis nežinomas (negali būti apskaičiuotas pagal turimus duomenis).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i/>
          <w:sz w:val="22"/>
          <w:szCs w:val="22"/>
        </w:rPr>
      </w:pPr>
      <w:r>
        <w:rPr>
          <w:i/>
          <w:sz w:val="22"/>
          <w:szCs w:val="22"/>
        </w:rPr>
        <w:t>Dažni: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hiperkinezija</w:t>
      </w:r>
      <w:proofErr w:type="spellEnd"/>
      <w:r>
        <w:rPr>
          <w:sz w:val="22"/>
          <w:szCs w:val="22"/>
        </w:rPr>
        <w:t xml:space="preserve"> (padidėjęs atskirų kūno dalių judrumas), svorio didėjimas, nervingumas.</w:t>
      </w:r>
    </w:p>
    <w:p w:rsidR="007E0FB1" w:rsidRDefault="007E0FB1" w:rsidP="007E0FB1">
      <w:pPr>
        <w:rPr>
          <w:sz w:val="22"/>
          <w:szCs w:val="22"/>
        </w:rPr>
      </w:pPr>
      <w:r>
        <w:rPr>
          <w:i/>
          <w:sz w:val="22"/>
          <w:szCs w:val="22"/>
        </w:rPr>
        <w:t>Nedažni:</w:t>
      </w:r>
      <w:r>
        <w:rPr>
          <w:sz w:val="22"/>
          <w:szCs w:val="22"/>
        </w:rPr>
        <w:t xml:space="preserve"> mieguistumas, depresija, </w:t>
      </w:r>
      <w:proofErr w:type="spellStart"/>
      <w:r>
        <w:rPr>
          <w:sz w:val="22"/>
          <w:szCs w:val="22"/>
        </w:rPr>
        <w:t>astenija</w:t>
      </w:r>
      <w:proofErr w:type="spellEnd"/>
      <w:r>
        <w:rPr>
          <w:sz w:val="22"/>
          <w:szCs w:val="22"/>
        </w:rPr>
        <w:t xml:space="preserve"> (bendras silpnumas).</w:t>
      </w:r>
    </w:p>
    <w:p w:rsidR="007E0FB1" w:rsidRDefault="007E0FB1" w:rsidP="007E0FB1">
      <w:pPr>
        <w:rPr>
          <w:sz w:val="22"/>
          <w:szCs w:val="22"/>
        </w:rPr>
      </w:pPr>
      <w:r>
        <w:rPr>
          <w:i/>
          <w:sz w:val="22"/>
          <w:szCs w:val="22"/>
        </w:rPr>
        <w:t>Dažnis nežinomas:</w:t>
      </w:r>
      <w:r>
        <w:rPr>
          <w:sz w:val="22"/>
          <w:szCs w:val="22"/>
        </w:rPr>
        <w:t xml:space="preserve"> svaigulys, pilvo skausmas, viduriavimas, pykinimas, vėmimas, ūminė greitai besivystanti padidėjusio jautrumo reakcija (</w:t>
      </w:r>
      <w:proofErr w:type="spellStart"/>
      <w:r>
        <w:rPr>
          <w:sz w:val="22"/>
          <w:szCs w:val="22"/>
        </w:rPr>
        <w:t>anafilaksija</w:t>
      </w:r>
      <w:proofErr w:type="spellEnd"/>
      <w:r>
        <w:rPr>
          <w:sz w:val="22"/>
          <w:szCs w:val="22"/>
        </w:rPr>
        <w:t>), padidėjęs jautrumas, nevalingi judesiai, pusiausvyros sutrikimas, pasunkėję epilepsijos požymiai, galvos skausmas, nemiga, susijaudinimas, nerimas, sumišimas, haliucinacijos, alerginis pabrinkimas (</w:t>
      </w:r>
      <w:proofErr w:type="spellStart"/>
      <w:r>
        <w:rPr>
          <w:sz w:val="22"/>
          <w:szCs w:val="22"/>
        </w:rPr>
        <w:t>angioneurozinė</w:t>
      </w:r>
      <w:proofErr w:type="spellEnd"/>
      <w:r>
        <w:rPr>
          <w:sz w:val="22"/>
          <w:szCs w:val="22"/>
        </w:rPr>
        <w:t xml:space="preserve"> edema), odos uždegimas, niežulys, dilgėlinė, su kraujavimu susiję sutrikimai.</w:t>
      </w:r>
    </w:p>
    <w:p w:rsidR="007E0FB1" w:rsidRDefault="007E0FB1" w:rsidP="007E0FB1">
      <w:pPr>
        <w:rPr>
          <w:b/>
          <w:noProof/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Pranešimas apie šalutinį poveikį</w:t>
      </w:r>
    </w:p>
    <w:p w:rsidR="007E0FB1" w:rsidRDefault="007E0FB1" w:rsidP="007E0FB1">
      <w:pPr>
        <w:ind w:right="139"/>
        <w:rPr>
          <w:sz w:val="22"/>
          <w:szCs w:val="22"/>
        </w:rPr>
      </w:pPr>
      <w:r>
        <w:rPr>
          <w:noProof/>
          <w:sz w:val="22"/>
          <w:szCs w:val="22"/>
        </w:rPr>
        <w:t>Jeigu pasireiškė šalutinis poveikis, įskaitant šiame lapelyje nenurodytą, pasakykite gydytojui arba vaistininkui</w:t>
      </w:r>
      <w:r>
        <w:rPr>
          <w:sz w:val="22"/>
          <w:szCs w:val="22"/>
        </w:rPr>
        <w:t>.</w:t>
      </w:r>
      <w:r>
        <w:rPr>
          <w:noProof/>
          <w:sz w:val="22"/>
          <w:szCs w:val="22"/>
        </w:rPr>
        <w:t xml:space="preserve">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numPr>
          <w:ilvl w:val="12"/>
          <w:numId w:val="0"/>
        </w:numPr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5.</w:t>
      </w:r>
      <w:r>
        <w:rPr>
          <w:b/>
          <w:caps/>
          <w:sz w:val="22"/>
          <w:szCs w:val="22"/>
        </w:rPr>
        <w:tab/>
        <w:t>K</w:t>
      </w:r>
      <w:r>
        <w:rPr>
          <w:b/>
          <w:sz w:val="22"/>
          <w:szCs w:val="22"/>
        </w:rPr>
        <w:t xml:space="preserve">aip laikyti </w:t>
      </w:r>
      <w:proofErr w:type="spellStart"/>
      <w:r>
        <w:rPr>
          <w:b/>
          <w:sz w:val="22"/>
          <w:szCs w:val="22"/>
        </w:rPr>
        <w:t>Nootropil</w:t>
      </w:r>
      <w:proofErr w:type="spellEnd"/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pStyle w:val="Pagrindinistekstas2"/>
        <w:rPr>
          <w:szCs w:val="22"/>
        </w:rPr>
      </w:pPr>
      <w:r>
        <w:rPr>
          <w:szCs w:val="22"/>
        </w:rPr>
        <w:t>Šį vaistą laikykite vaikams nepastebimoje ir nepasiekiamoje vietoje.</w:t>
      </w:r>
    </w:p>
    <w:p w:rsidR="007E0FB1" w:rsidRDefault="007E0FB1" w:rsidP="007E0FB1">
      <w:pPr>
        <w:ind w:left="567" w:hanging="567"/>
        <w:rPr>
          <w:noProof/>
          <w:sz w:val="22"/>
          <w:szCs w:val="22"/>
        </w:rPr>
      </w:pPr>
    </w:p>
    <w:p w:rsidR="007E0FB1" w:rsidRDefault="007E0FB1" w:rsidP="007E0FB1">
      <w:p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Šiam vaistui specialių laikymo sąlygų nereikia.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Ant dėžutės po „Tinka iki“ ir lizdinės plokštelės po „EXP“ nurodytam tinkamumo laikui pasibaigus, šio vaisto vartoti negalima. Vaistas tinkamas vartoti iki paskutinės nurodyto mėnesio dienos.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Pakuotės turinys ir kita informacija</w:t>
      </w:r>
    </w:p>
    <w:p w:rsidR="007E0FB1" w:rsidRDefault="007E0FB1" w:rsidP="007E0FB1">
      <w:pPr>
        <w:rPr>
          <w:b/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Nootropil</w:t>
      </w:r>
      <w:proofErr w:type="spellEnd"/>
      <w:r>
        <w:rPr>
          <w:b/>
          <w:sz w:val="22"/>
          <w:szCs w:val="22"/>
        </w:rPr>
        <w:t xml:space="preserve"> sudėtis</w:t>
      </w:r>
    </w:p>
    <w:p w:rsidR="007E0FB1" w:rsidRDefault="007E0FB1" w:rsidP="007E0FB1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Veiklioji medžiaga yra </w:t>
      </w:r>
      <w:proofErr w:type="spellStart"/>
      <w:r>
        <w:rPr>
          <w:sz w:val="22"/>
          <w:szCs w:val="22"/>
        </w:rPr>
        <w:t>piracetamas</w:t>
      </w:r>
      <w:proofErr w:type="spellEnd"/>
      <w:r>
        <w:rPr>
          <w:sz w:val="22"/>
          <w:szCs w:val="22"/>
        </w:rPr>
        <w:t xml:space="preserve">. </w:t>
      </w:r>
    </w:p>
    <w:p w:rsidR="007E0FB1" w:rsidRDefault="007E0FB1" w:rsidP="007E0FB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Kiekvienoje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800 mg tabletėje yra 800 mg </w:t>
      </w:r>
      <w:proofErr w:type="spellStart"/>
      <w:r>
        <w:rPr>
          <w:sz w:val="22"/>
          <w:szCs w:val="22"/>
        </w:rPr>
        <w:t>piracetamo</w:t>
      </w:r>
      <w:proofErr w:type="spellEnd"/>
      <w:r>
        <w:rPr>
          <w:sz w:val="22"/>
          <w:szCs w:val="22"/>
        </w:rPr>
        <w:t xml:space="preserve">. </w:t>
      </w:r>
    </w:p>
    <w:p w:rsidR="007E0FB1" w:rsidRDefault="007E0FB1" w:rsidP="007E0FB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Kiekvienoje </w:t>
      </w: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1200 mg tabletėje yra 1200 mg </w:t>
      </w:r>
      <w:proofErr w:type="spellStart"/>
      <w:r>
        <w:rPr>
          <w:sz w:val="22"/>
          <w:szCs w:val="22"/>
        </w:rPr>
        <w:t>piracetamo</w:t>
      </w:r>
      <w:proofErr w:type="spellEnd"/>
      <w:r>
        <w:rPr>
          <w:sz w:val="22"/>
          <w:szCs w:val="22"/>
        </w:rPr>
        <w:t>.</w:t>
      </w:r>
    </w:p>
    <w:p w:rsidR="007E0FB1" w:rsidRDefault="007E0FB1" w:rsidP="007E0FB1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Pagalbinės medžiagos yra </w:t>
      </w:r>
      <w:proofErr w:type="spellStart"/>
      <w:r>
        <w:rPr>
          <w:sz w:val="22"/>
          <w:szCs w:val="22"/>
        </w:rPr>
        <w:t>makrogolis</w:t>
      </w:r>
      <w:proofErr w:type="spellEnd"/>
      <w:r>
        <w:rPr>
          <w:sz w:val="22"/>
          <w:szCs w:val="22"/>
        </w:rPr>
        <w:t xml:space="preserve"> 6000 ir 400, koloidinis bevandenis silicio dioksidas, magnio </w:t>
      </w:r>
      <w:proofErr w:type="spellStart"/>
      <w:r>
        <w:rPr>
          <w:sz w:val="22"/>
          <w:szCs w:val="22"/>
        </w:rPr>
        <w:t>stearatas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kroskarmeliozės</w:t>
      </w:r>
      <w:proofErr w:type="spellEnd"/>
      <w:r>
        <w:rPr>
          <w:sz w:val="22"/>
          <w:szCs w:val="22"/>
        </w:rPr>
        <w:t xml:space="preserve"> natrio druska, </w:t>
      </w:r>
      <w:proofErr w:type="spellStart"/>
      <w:r>
        <w:rPr>
          <w:sz w:val="22"/>
          <w:szCs w:val="22"/>
        </w:rPr>
        <w:t>hipromeliozė</w:t>
      </w:r>
      <w:proofErr w:type="spellEnd"/>
      <w:r>
        <w:rPr>
          <w:sz w:val="22"/>
          <w:szCs w:val="22"/>
        </w:rPr>
        <w:t>, titano dioksidas (E171).</w:t>
      </w:r>
    </w:p>
    <w:p w:rsidR="007E0FB1" w:rsidRDefault="007E0FB1" w:rsidP="007E0FB1">
      <w:pPr>
        <w:rPr>
          <w:b/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Nootropil</w:t>
      </w:r>
      <w:proofErr w:type="spellEnd"/>
      <w:r>
        <w:rPr>
          <w:b/>
          <w:sz w:val="22"/>
          <w:szCs w:val="22"/>
        </w:rPr>
        <w:t xml:space="preserve"> išvaizda ir kiekis pakuotėje</w:t>
      </w:r>
    </w:p>
    <w:p w:rsidR="007E0FB1" w:rsidRDefault="007E0FB1" w:rsidP="007E0FB1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>Tabletės</w:t>
      </w:r>
      <w:r>
        <w:rPr>
          <w:sz w:val="22"/>
          <w:szCs w:val="22"/>
        </w:rPr>
        <w:t xml:space="preserve"> yra baltos, pailgos plėvele dengtos tabletės su vagele, pažymėtos N/N. Vagelė skirta tik tabletei perlaužti, kad būtų lengviau nuryti, bet ne jai padalyti į lygias dozes.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Tabletės yra lizdinėje plokštelėje.</w:t>
      </w: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Tiekiamos šios pakuotės:</w:t>
      </w:r>
    </w:p>
    <w:p w:rsidR="007E0FB1" w:rsidRDefault="007E0FB1" w:rsidP="007E0FB1">
      <w:pPr>
        <w:numPr>
          <w:ilvl w:val="0"/>
          <w:numId w:val="8"/>
        </w:numPr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Nootropil</w:t>
      </w:r>
      <w:proofErr w:type="spellEnd"/>
      <w:r>
        <w:rPr>
          <w:sz w:val="22"/>
          <w:szCs w:val="22"/>
        </w:rPr>
        <w:t xml:space="preserve"> 800 mg po 30 tablečių pakuotėje. </w:t>
      </w:r>
    </w:p>
    <w:p w:rsidR="007E0FB1" w:rsidRDefault="007E0FB1" w:rsidP="007E0FB1">
      <w:pPr>
        <w:numPr>
          <w:ilvl w:val="0"/>
          <w:numId w:val="8"/>
        </w:numPr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Nootropil</w:t>
      </w:r>
      <w:proofErr w:type="spellEnd"/>
      <w:r>
        <w:rPr>
          <w:sz w:val="22"/>
          <w:szCs w:val="22"/>
        </w:rPr>
        <w:t xml:space="preserve"> 1200 mg po 20 tablečių pakuotėje. </w:t>
      </w:r>
    </w:p>
    <w:p w:rsidR="007E0FB1" w:rsidRDefault="007E0FB1" w:rsidP="007E0FB1">
      <w:pPr>
        <w:rPr>
          <w:b/>
          <w:sz w:val="22"/>
          <w:szCs w:val="22"/>
        </w:rPr>
      </w:pPr>
    </w:p>
    <w:p w:rsidR="007E0FB1" w:rsidRDefault="007E0FB1" w:rsidP="007E0FB1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Registruotojas ir gamintojas</w:t>
      </w:r>
    </w:p>
    <w:p w:rsidR="007E0FB1" w:rsidRDefault="007E0FB1" w:rsidP="007E0FB1">
      <w:pPr>
        <w:keepNext/>
        <w:rPr>
          <w:sz w:val="22"/>
          <w:szCs w:val="22"/>
        </w:rPr>
      </w:pPr>
    </w:p>
    <w:p w:rsidR="007E0FB1" w:rsidRDefault="007E0FB1" w:rsidP="007E0FB1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Registruotojas</w:t>
      </w:r>
    </w:p>
    <w:p w:rsidR="007E0FB1" w:rsidRDefault="007E0FB1" w:rsidP="007E0FB1">
      <w:pPr>
        <w:keepNext/>
        <w:rPr>
          <w:sz w:val="22"/>
          <w:szCs w:val="22"/>
        </w:rPr>
      </w:pPr>
      <w:r>
        <w:rPr>
          <w:sz w:val="22"/>
          <w:szCs w:val="22"/>
        </w:rPr>
        <w:t xml:space="preserve">UCB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Finland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Bertel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Jungin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aukio</w:t>
      </w:r>
      <w:proofErr w:type="spellEnd"/>
      <w:r>
        <w:rPr>
          <w:sz w:val="22"/>
          <w:szCs w:val="22"/>
        </w:rPr>
        <w:t xml:space="preserve"> 5, 02600 </w:t>
      </w:r>
      <w:proofErr w:type="spellStart"/>
      <w:r>
        <w:rPr>
          <w:sz w:val="22"/>
          <w:szCs w:val="22"/>
        </w:rPr>
        <w:t>Espoo</w:t>
      </w:r>
      <w:proofErr w:type="spellEnd"/>
      <w:r>
        <w:rPr>
          <w:sz w:val="22"/>
          <w:szCs w:val="22"/>
        </w:rPr>
        <w:t>, Suomija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r>
        <w:rPr>
          <w:b/>
          <w:sz w:val="22"/>
          <w:szCs w:val="22"/>
        </w:rPr>
        <w:t>Gamintojas</w:t>
      </w:r>
    </w:p>
    <w:p w:rsidR="007E0FB1" w:rsidRDefault="007E0FB1" w:rsidP="007E0FB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UCB </w:t>
      </w:r>
      <w:proofErr w:type="spellStart"/>
      <w:r>
        <w:rPr>
          <w:bCs/>
          <w:sz w:val="22"/>
          <w:szCs w:val="22"/>
        </w:rPr>
        <w:t>Pharma</w:t>
      </w:r>
      <w:proofErr w:type="spellEnd"/>
      <w:r>
        <w:rPr>
          <w:bCs/>
          <w:sz w:val="22"/>
          <w:szCs w:val="22"/>
        </w:rPr>
        <w:t xml:space="preserve"> SA, </w:t>
      </w:r>
      <w:proofErr w:type="spellStart"/>
      <w:r>
        <w:rPr>
          <w:bCs/>
          <w:sz w:val="22"/>
          <w:szCs w:val="22"/>
        </w:rPr>
        <w:t>Chemin</w:t>
      </w:r>
      <w:proofErr w:type="spellEnd"/>
      <w:r>
        <w:rPr>
          <w:bCs/>
          <w:sz w:val="22"/>
          <w:szCs w:val="22"/>
        </w:rPr>
        <w:t xml:space="preserve"> du </w:t>
      </w:r>
      <w:proofErr w:type="spellStart"/>
      <w:r>
        <w:rPr>
          <w:bCs/>
          <w:sz w:val="22"/>
          <w:szCs w:val="22"/>
        </w:rPr>
        <w:t>Foriest</w:t>
      </w:r>
      <w:proofErr w:type="spellEnd"/>
      <w:r>
        <w:rPr>
          <w:bCs/>
          <w:sz w:val="22"/>
          <w:szCs w:val="22"/>
        </w:rPr>
        <w:t xml:space="preserve"> 1420, </w:t>
      </w:r>
      <w:proofErr w:type="spellStart"/>
      <w:r>
        <w:rPr>
          <w:bCs/>
          <w:sz w:val="22"/>
          <w:szCs w:val="22"/>
        </w:rPr>
        <w:t>Braine</w:t>
      </w:r>
      <w:proofErr w:type="spellEnd"/>
      <w:r>
        <w:rPr>
          <w:bCs/>
          <w:sz w:val="22"/>
          <w:szCs w:val="22"/>
        </w:rPr>
        <w:t xml:space="preserve">-l’ </w:t>
      </w:r>
      <w:proofErr w:type="spellStart"/>
      <w:r>
        <w:rPr>
          <w:bCs/>
          <w:sz w:val="22"/>
          <w:szCs w:val="22"/>
        </w:rPr>
        <w:t>Alleud</w:t>
      </w:r>
      <w:proofErr w:type="spellEnd"/>
      <w:r>
        <w:rPr>
          <w:bCs/>
          <w:sz w:val="22"/>
          <w:szCs w:val="22"/>
        </w:rPr>
        <w:t>, Belgija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>Jeigu apie šį vaistą norite sužinoti daugiau, kreipkitės į vietinį registruotojo atstovą.</w:t>
      </w:r>
    </w:p>
    <w:p w:rsidR="007E0FB1" w:rsidRDefault="007E0FB1" w:rsidP="007E0FB1">
      <w:pPr>
        <w:rPr>
          <w:sz w:val="22"/>
          <w:szCs w:val="22"/>
          <w:highlight w:val="yellow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7E0FB1" w:rsidTr="007E0FB1">
        <w:tc>
          <w:tcPr>
            <w:tcW w:w="4678" w:type="dxa"/>
            <w:hideMark/>
          </w:tcPr>
          <w:p w:rsidR="007E0FB1" w:rsidRDefault="007E0FB1">
            <w:pPr>
              <w:spacing w:line="25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UAB Medfiles</w:t>
            </w:r>
          </w:p>
          <w:p w:rsidR="007E0FB1" w:rsidRDefault="007E0FB1">
            <w:pPr>
              <w:spacing w:line="25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Laisvės pr. 75</w:t>
            </w:r>
          </w:p>
          <w:p w:rsidR="007E0FB1" w:rsidRDefault="007E0FB1">
            <w:pPr>
              <w:spacing w:line="25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Vilnius LT 06144</w:t>
            </w:r>
          </w:p>
          <w:p w:rsidR="007E0FB1" w:rsidRDefault="007E0FB1">
            <w:pPr>
              <w:spacing w:line="25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Tel. +370 5 246 1640</w:t>
            </w:r>
          </w:p>
        </w:tc>
      </w:tr>
    </w:tbl>
    <w:p w:rsidR="007E0FB1" w:rsidRDefault="007E0FB1" w:rsidP="007E0FB1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:rsidR="007E0FB1" w:rsidRDefault="007E0FB1" w:rsidP="007E0FB1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:rsidR="007E0FB1" w:rsidRDefault="007E0FB1" w:rsidP="007E0FB1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Šis pakuotės lapelis paskutinį kartą patvirtintas 2020-06-01.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  <w:r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>
          <w:rPr>
            <w:rStyle w:val="Hipersaitas"/>
            <w:sz w:val="22"/>
            <w:szCs w:val="22"/>
          </w:rPr>
          <w:t>http://www.vvkt.lt/</w:t>
        </w:r>
      </w:hyperlink>
      <w:r>
        <w:rPr>
          <w:sz w:val="22"/>
          <w:szCs w:val="22"/>
        </w:rPr>
        <w:t>.</w:t>
      </w: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>
      <w:pPr>
        <w:rPr>
          <w:sz w:val="22"/>
          <w:szCs w:val="22"/>
        </w:rPr>
      </w:pPr>
    </w:p>
    <w:p w:rsidR="007E0FB1" w:rsidRDefault="007E0FB1" w:rsidP="007E0FB1"/>
    <w:p w:rsidR="007E0FB1" w:rsidRDefault="007E0FB1" w:rsidP="007E0FB1"/>
    <w:p w:rsidR="007E0FB1" w:rsidRDefault="007E0FB1" w:rsidP="007E0FB1"/>
    <w:p w:rsidR="00AA1D8D" w:rsidRDefault="00AA1D8D">
      <w:bookmarkStart w:id="3" w:name="_GoBack"/>
      <w:bookmarkEnd w:id="3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1EF"/>
    <w:multiLevelType w:val="hybridMultilevel"/>
    <w:tmpl w:val="6630DA12"/>
    <w:lvl w:ilvl="0" w:tplc="9890497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C3F"/>
    <w:multiLevelType w:val="hybridMultilevel"/>
    <w:tmpl w:val="514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6C0E"/>
    <w:multiLevelType w:val="hybridMultilevel"/>
    <w:tmpl w:val="21840ABA"/>
    <w:lvl w:ilvl="0" w:tplc="1788045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184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6118E4"/>
    <w:multiLevelType w:val="hybridMultilevel"/>
    <w:tmpl w:val="232A72F4"/>
    <w:lvl w:ilvl="0" w:tplc="47F6F62C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013C"/>
    <w:multiLevelType w:val="hybridMultilevel"/>
    <w:tmpl w:val="E520A6CE"/>
    <w:lvl w:ilvl="0" w:tplc="63FE97A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12DB"/>
    <w:multiLevelType w:val="hybridMultilevel"/>
    <w:tmpl w:val="21A65274"/>
    <w:lvl w:ilvl="0" w:tplc="C47C4A2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6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</w:num>
  <w:num w:numId="4">
    <w:abstractNumId w:val="7"/>
    <w:lvlOverride w:ilvl="0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B1"/>
    <w:rsid w:val="007D2E28"/>
    <w:rsid w:val="007E0FB1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5051D-13AE-41B9-8D18-9DBEDEBE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E0FB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E0FB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7E0F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7E0FB1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7E0FB1"/>
    <w:rPr>
      <w:rFonts w:ascii="Cambria" w:eastAsia="Calibri" w:hAnsi="Cambria" w:cs="Times New Roman"/>
      <w:b/>
      <w:bCs/>
      <w:color w:val="365F91"/>
      <w:sz w:val="28"/>
      <w:szCs w:val="28"/>
      <w:lang w:eastAsia="x-none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7E0FB1"/>
    <w:rPr>
      <w:rFonts w:ascii="Cambria" w:eastAsia="Calibri" w:hAnsi="Cambria" w:cs="Times New Roman"/>
      <w:b/>
      <w:bCs/>
      <w:color w:val="4F81BD"/>
      <w:sz w:val="26"/>
      <w:szCs w:val="26"/>
      <w:lang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7E0FB1"/>
    <w:rPr>
      <w:rFonts w:ascii="Cambria" w:eastAsia="Calibri" w:hAnsi="Cambria" w:cs="Times New Roman"/>
      <w:b/>
      <w:bCs/>
      <w:color w:val="4F81BD"/>
      <w:sz w:val="24"/>
      <w:szCs w:val="24"/>
      <w:lang w:eastAsia="x-none"/>
    </w:rPr>
  </w:style>
  <w:style w:type="character" w:styleId="Hipersaitas">
    <w:name w:val="Hyperlink"/>
    <w:uiPriority w:val="99"/>
    <w:semiHidden/>
    <w:unhideWhenUsed/>
    <w:rsid w:val="007E0FB1"/>
    <w:rPr>
      <w:rFonts w:ascii="Times New Roman" w:hAnsi="Times New Roman" w:cs="Times New Roman" w:hint="default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E0FB1"/>
    <w:rPr>
      <w:sz w:val="22"/>
      <w:szCs w:val="20"/>
      <w:lang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E0FB1"/>
    <w:rPr>
      <w:rFonts w:ascii="Times New Roman" w:eastAsia="Calibri" w:hAnsi="Times New Roman" w:cs="Times New Roman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7789</Words>
  <Characters>4440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2020-06-15T12:12:00Z</dcterms:created>
  <dcterms:modified xsi:type="dcterms:W3CDTF">2020-06-15T12:12:00Z</dcterms:modified>
</cp:coreProperties>
</file>