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FA" w:rsidRPr="0012579F" w:rsidRDefault="00A547FA" w:rsidP="00A547F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lang w:val="lt-LT"/>
        </w:rPr>
      </w:pPr>
      <w:bookmarkStart w:id="0" w:name="_Toc129243138"/>
      <w:bookmarkStart w:id="1" w:name="_Toc129243263"/>
      <w:r w:rsidRPr="0012579F">
        <w:rPr>
          <w:rFonts w:ascii="Times New Roman" w:eastAsia="Times New Roman" w:hAnsi="Times New Roman"/>
          <w:b/>
          <w:lang w:val="lt-LT"/>
        </w:rPr>
        <w:t>Pakuotės lapelis: informacija vartotojui</w:t>
      </w:r>
      <w:bookmarkEnd w:id="0"/>
      <w:bookmarkEnd w:id="1"/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b/>
          <w:iCs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iCs/>
          <w:lang w:val="lt-LT" w:eastAsia="lt-LT"/>
        </w:rPr>
        <w:t xml:space="preserve"> 40 m</w:t>
      </w:r>
      <w:r w:rsidRPr="0012579F">
        <w:rPr>
          <w:rFonts w:ascii="Times New Roman" w:eastAsia="Times New Roman" w:hAnsi="Times New Roman"/>
          <w:b/>
          <w:lang w:val="lt-LT" w:eastAsia="lt-LT"/>
        </w:rPr>
        <w:t>g/ml geriamasis tirpalas</w:t>
      </w:r>
    </w:p>
    <w:p w:rsidR="00A547FA" w:rsidRPr="0012579F" w:rsidRDefault="00A547FA" w:rsidP="00A547FA">
      <w:pPr>
        <w:spacing w:after="0" w:line="240" w:lineRule="auto"/>
        <w:jc w:val="center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Rafinuotas ir kiekybiškai įvertintas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sausasis ekstraktas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12579F">
        <w:rPr>
          <w:rFonts w:ascii="Times New Roman" w:eastAsia="Times New Roman" w:hAnsi="Times New Roman"/>
          <w:b/>
          <w:noProof/>
          <w:lang w:val="lt-LT"/>
        </w:rPr>
        <w:t>Atidžiai perskaitykite visą šį lapelį, prieš pradėdami vartoti vaistą, nes jame pateikiama Jums svarbi informacija.</w:t>
      </w:r>
    </w:p>
    <w:p w:rsidR="00A547FA" w:rsidRPr="0012579F" w:rsidRDefault="00A547FA" w:rsidP="00A547F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Neišmeskite šio lapelio, nes vėl gali prireikti jį perskaityti.</w:t>
      </w:r>
    </w:p>
    <w:p w:rsidR="00A547FA" w:rsidRPr="0012579F" w:rsidRDefault="00A547FA" w:rsidP="00A547F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kiltų daugiau klausimų, kreipkitės į gydytoją arba vaistininką.</w:t>
      </w:r>
    </w:p>
    <w:p w:rsidR="00A547FA" w:rsidRPr="0012579F" w:rsidRDefault="00A547FA" w:rsidP="00A547F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A547FA" w:rsidRPr="0012579F" w:rsidRDefault="00A547FA" w:rsidP="00A547F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hAnsi="Times New Roman"/>
          <w:b/>
          <w:lang w:val="lt-LT"/>
        </w:rPr>
      </w:pPr>
      <w:r w:rsidRPr="0012579F">
        <w:rPr>
          <w:rFonts w:ascii="Times New Roman" w:hAnsi="Times New Roman"/>
          <w:b/>
          <w:lang w:val="lt-LT"/>
        </w:rPr>
        <w:t>Apie ką rašoma šiame lapelyje?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1.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Kas yra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ir kam jis vartojamas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2.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Kas žinotina prieš vartojant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3.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Kaip vartoti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4.</w:t>
      </w:r>
      <w:r w:rsidRPr="0012579F">
        <w:rPr>
          <w:rFonts w:ascii="Times New Roman" w:eastAsia="Times New Roman" w:hAnsi="Times New Roman"/>
          <w:lang w:val="lt-LT" w:eastAsia="lt-LT"/>
        </w:rPr>
        <w:tab/>
        <w:t>Galimas šalutinis poveikis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5.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Kaip laikyti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:rsidR="00A547FA" w:rsidRPr="0012579F" w:rsidRDefault="00A547FA" w:rsidP="00A547FA">
      <w:pPr>
        <w:tabs>
          <w:tab w:val="left" w:pos="720"/>
          <w:tab w:val="left" w:pos="1440"/>
          <w:tab w:val="left" w:pos="2775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6.</w:t>
      </w:r>
      <w:r w:rsidRPr="0012579F">
        <w:rPr>
          <w:rFonts w:ascii="Times New Roman" w:eastAsia="Times New Roman" w:hAnsi="Times New Roman"/>
          <w:lang w:val="lt-LT" w:eastAsia="lt-LT"/>
        </w:rPr>
        <w:tab/>
        <w:t>Pakuotės turinys ir kita informacija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spacing w:val="-3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spacing w:val="-3"/>
          <w:lang w:val="lt-LT" w:eastAsia="lt-LT"/>
        </w:rPr>
      </w:pP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1.</w:t>
      </w:r>
      <w:r w:rsidRPr="0012579F">
        <w:rPr>
          <w:rFonts w:ascii="Times New Roman" w:eastAsia="Times New Roman" w:hAnsi="Times New Roman"/>
          <w:b/>
          <w:lang w:val="lt-LT" w:eastAsia="lt-LT"/>
        </w:rPr>
        <w:tab/>
        <w:t xml:space="preserve">Kas yra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lang w:val="lt-LT" w:eastAsia="lt-LT"/>
        </w:rPr>
        <w:t xml:space="preserve"> ir kam jis vartojamas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sudėtyje yra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ekstrakto. Šis vaistas priklauso vaistų nuo demencijos grupei.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vartojamas: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simptominiam kognityvinių sutrikimų gydymui pacientams, sergantiems lengva ir vidutine demencija pirmine degeneracine Alzheimerio tipo, kraujagysline arba mišria demencija);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kraujagyslinės kilmės galvos svaigimo gretutiniam gydymui kartu su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vestibuline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reabilitacija.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Papildomam ūžesio ausyse gydymui.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2.</w:t>
      </w:r>
      <w:r w:rsidRPr="0012579F">
        <w:rPr>
          <w:rFonts w:ascii="Times New Roman" w:eastAsia="Times New Roman" w:hAnsi="Times New Roman"/>
          <w:b/>
          <w:lang w:val="lt-LT" w:eastAsia="lt-LT"/>
        </w:rPr>
        <w:tab/>
        <w:t xml:space="preserve">Kas žinotina prieš vartojant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vartoti negalima</w:t>
      </w:r>
    </w:p>
    <w:p w:rsidR="00A547FA" w:rsidRPr="0012579F" w:rsidRDefault="00A547FA" w:rsidP="00A547FA">
      <w:pPr>
        <w:numPr>
          <w:ilvl w:val="0"/>
          <w:numId w:val="1"/>
        </w:numPr>
        <w:spacing w:after="0" w:line="240" w:lineRule="auto"/>
        <w:ind w:hanging="720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yra alergija rafinuotam ginkmedžių lapų ekstraktui  arba bet kuriai pagalbinei tanakan medžiagai (jos išvardytos 6 skyriuje).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Įspėjimai ir atsargumo priemonės</w:t>
      </w: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  <w:lang w:val="lt-LT"/>
        </w:rPr>
      </w:pPr>
      <w:r w:rsidRPr="0012579F">
        <w:rPr>
          <w:rFonts w:ascii="Times New Roman" w:hAnsi="Times New Roman"/>
          <w:noProof/>
          <w:lang w:val="lt-LT"/>
        </w:rPr>
        <w:t>Pasitarkite su gydytoju arba vaistininku, prieš pradėdami vartoti tanakan.</w:t>
      </w: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Jei vartojate kitų vaistų, perskaitykite skyrių „Kiti vaistai ir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>“.</w:t>
      </w: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12579F">
        <w:rPr>
          <w:rFonts w:ascii="Times New Roman" w:hAnsi="Times New Roman"/>
          <w:lang w:val="lt-LT"/>
        </w:rPr>
        <w:t xml:space="preserve">Šio vaisto sudėtyje yra iki </w:t>
      </w:r>
      <w:r w:rsidRPr="0012579F">
        <w:rPr>
          <w:rFonts w:ascii="Times New Roman" w:hAnsi="Times New Roman"/>
        </w:rPr>
        <w:t>450</w:t>
      </w:r>
      <w:r w:rsidRPr="0012579F">
        <w:rPr>
          <w:rFonts w:ascii="Times New Roman" w:hAnsi="Times New Roman"/>
          <w:lang w:val="lt-LT"/>
        </w:rPr>
        <w:t xml:space="preserve"> mg etanolio (alkoholio) vienoje dozėje. Kenksmingas sergantiems alkoholizmu. Būtina atsižvelgti nėščiosioms, žindyvėms, vaikams ir didelės rizikos grupės (pvz., sergantiems kepenų ligomis ar epilepsija) pacientams.</w:t>
      </w:r>
    </w:p>
    <w:p w:rsidR="00A547FA" w:rsidRPr="0012579F" w:rsidRDefault="00A547FA" w:rsidP="00A547FA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12579F" w:rsidDel="00535BA6">
        <w:rPr>
          <w:rFonts w:ascii="Times New Roman" w:hAnsi="Times New Roman"/>
          <w:lang w:val="lt-LT" w:eastAsia="lt-LT"/>
        </w:rPr>
        <w:t xml:space="preserve"> </w:t>
      </w:r>
    </w:p>
    <w:p w:rsidR="00A547FA" w:rsidRPr="0012579F" w:rsidRDefault="00A547FA" w:rsidP="00A547FA">
      <w:pPr>
        <w:spacing w:after="0" w:line="240" w:lineRule="auto"/>
        <w:rPr>
          <w:rFonts w:ascii="Times New Roman" w:hAnsi="Times New Roman"/>
          <w:lang w:val="lt-LT"/>
        </w:rPr>
      </w:pPr>
      <w:r w:rsidRPr="0012579F">
        <w:rPr>
          <w:rFonts w:ascii="Times New Roman" w:hAnsi="Times New Roman"/>
          <w:b/>
          <w:lang w:val="lt-LT"/>
        </w:rPr>
        <w:t>Vaikams ir paaugliams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neskirtas vartoti jaunesniems nei 18 metų vaikams ir paaugliams. Tyrimų su šios amžiaus grupės pacientais nėra.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2579F">
        <w:rPr>
          <w:rFonts w:ascii="Times New Roman" w:eastAsia="Times New Roman" w:hAnsi="Times New Roman"/>
          <w:b/>
          <w:bCs/>
          <w:lang w:val="lt-LT"/>
        </w:rPr>
        <w:t xml:space="preserve">Kiti vaistai ir </w:t>
      </w: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vartojate arba neseniai vartojote kitų vaistų</w:t>
      </w:r>
      <w:r w:rsidRPr="0012579F">
        <w:rPr>
          <w:rFonts w:ascii="Times New Roman" w:hAnsi="Times New Roman"/>
          <w:lang w:val="lt-LT"/>
        </w:rPr>
        <w:t xml:space="preserve"> </w:t>
      </w:r>
      <w:r w:rsidRPr="0012579F">
        <w:rPr>
          <w:rFonts w:ascii="Times New Roman" w:eastAsia="Times New Roman" w:hAnsi="Times New Roman"/>
          <w:noProof/>
          <w:lang w:val="lt-LT"/>
        </w:rPr>
        <w:t>arba dėl to nesate tikri, apie tai pasakykite</w:t>
      </w:r>
      <w:r w:rsidRPr="0012579F" w:rsidDel="00B4669D">
        <w:rPr>
          <w:rFonts w:ascii="Times New Roman" w:eastAsia="Times New Roman" w:hAnsi="Times New Roman"/>
          <w:noProof/>
          <w:lang w:val="lt-LT"/>
        </w:rPr>
        <w:t xml:space="preserve"> </w:t>
      </w:r>
      <w:r w:rsidRPr="0012579F">
        <w:rPr>
          <w:rFonts w:ascii="Times New Roman" w:eastAsia="Times New Roman" w:hAnsi="Times New Roman"/>
          <w:noProof/>
          <w:lang w:val="lt-LT"/>
        </w:rPr>
        <w:t>gydytojui arba vaistininkui.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strike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Kai kurie vaistai gali sąveikauti su tanakan.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gali turėti įtakos kitų vaistų veikimui. Tai gali būti susiję su alkoholiu, nes vienoje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tirpalo dozėje yra 450 mg etanolio (alkoholio). Tai būtina prisiminti, kartu su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vartojant vaistų, kurie, vartojami su alkoholiu, sukelia reakcijas, mažinančias priklausomybę nuo alkoholio (karštį, paraudimą, vėmimą,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tachikardiją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>) arba centrinę nervų sistemą slopinančių vaistų.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Pasakykite gydytojui ar vaistininkui, jei vartojate raminamųjų ar kitų vaistų, kurie gali sąveikauti su alkoholiu.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vartojimas su maistu ir gėrimais</w:t>
      </w:r>
    </w:p>
    <w:p w:rsidR="00A547FA" w:rsidRPr="0012579F" w:rsidRDefault="00A547FA" w:rsidP="00A547FA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Dozę reikia vartoti valgio metu.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2579F">
        <w:rPr>
          <w:rFonts w:ascii="Times New Roman" w:eastAsia="Times New Roman" w:hAnsi="Times New Roman"/>
          <w:b/>
          <w:bCs/>
          <w:lang w:val="lt-LT"/>
        </w:rPr>
        <w:t>Nėštumas ir žindymo laikotarpis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vaistininkui.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 esate nėščia ir žindote kūdikį, turėtumėte vengti vartoti tanakan.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2579F">
        <w:rPr>
          <w:rFonts w:ascii="Times New Roman" w:eastAsia="Times New Roman" w:hAnsi="Times New Roman"/>
          <w:b/>
          <w:bCs/>
          <w:lang w:val="lt-LT"/>
        </w:rPr>
        <w:t>Vairavimas ir mechanizmų valdymas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Kai kurie žmonės pavartoję tanakan jaučia galvos svaigimą. Jei taip nutiko Jums, nevairuokite ir nevaldykite mechanizmų.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sudėtyje yra etanolio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 xml:space="preserve">tanakan tirpalo sudėtyje yra 57 % etanolio, maždaug 450 mg 1 ml dozėje (atitinka 11,54 ml alaus ir 4,77 ml vyno). </w:t>
      </w:r>
      <w:r w:rsidRPr="0012579F">
        <w:rPr>
          <w:rFonts w:ascii="Times New Roman" w:eastAsia="Times New Roman" w:hAnsi="Times New Roman"/>
          <w:lang w:val="lt-LT" w:eastAsia="lt-LT"/>
        </w:rPr>
        <w:t>Kenksmingas sergantiems alkoholizmu. Būtina atsižvelgti nėščiosioms, žindyvėms, vaikams ir didelės rizikos grupės (pvz., sergantiems kepenų ligomis ar epilepsija) pacientams.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3.</w:t>
      </w:r>
      <w:r w:rsidRPr="0012579F">
        <w:rPr>
          <w:rFonts w:ascii="Times New Roman" w:eastAsia="Times New Roman" w:hAnsi="Times New Roman"/>
          <w:b/>
          <w:lang w:val="lt-LT" w:eastAsia="lt-LT"/>
        </w:rPr>
        <w:tab/>
        <w:t xml:space="preserve">Kaip vartoti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 xml:space="preserve">Visada vartokite šį vaistą tiksliai, kaip nurodė gydytojas. Jeigu abejojate, kreipkitės į gydytoją arba vaistininką. 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Įprastas dozavimas vyresniems nei 18 metų suaugusiems:</w:t>
      </w:r>
    </w:p>
    <w:p w:rsidR="00A547FA" w:rsidRPr="0012579F" w:rsidRDefault="00A547FA" w:rsidP="00A547FA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/>
          <w:color w:val="222222"/>
          <w:lang w:val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esant </w:t>
      </w:r>
      <w:r w:rsidRPr="0012579F">
        <w:rPr>
          <w:rFonts w:ascii="Times New Roman" w:hAnsi="Times New Roman"/>
          <w:color w:val="222222"/>
          <w:lang w:val="lt-LT"/>
        </w:rPr>
        <w:t>lengvai ir vidutinei demencijai geriama po 1 ml geriamojo tirpalo 3 kartus per dieną arba po 3 ml geriamojo tirpalo 2 kartus per parą;</w:t>
      </w:r>
    </w:p>
    <w:p w:rsidR="00A547FA" w:rsidRPr="0012579F" w:rsidRDefault="00A547FA" w:rsidP="00A547FA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hAnsi="Times New Roman"/>
          <w:color w:val="222222"/>
          <w:lang w:val="lt-LT"/>
        </w:rPr>
        <w:t>galvos svaigimui, ūžesiui ausyse mažinti,</w:t>
      </w:r>
      <w:r w:rsidRPr="0012579F">
        <w:rPr>
          <w:rFonts w:ascii="Times New Roman" w:eastAsia="Times New Roman" w:hAnsi="Times New Roman"/>
          <w:lang w:val="lt-LT" w:eastAsia="lt-LT"/>
        </w:rPr>
        <w:t xml:space="preserve"> vienkartinė dozė yra 1 ml geriamojo tirpalo 3 kartus per parą.</w:t>
      </w:r>
    </w:p>
    <w:p w:rsidR="00A547FA" w:rsidRPr="0012579F" w:rsidRDefault="00A547FA" w:rsidP="00A547FA">
      <w:pPr>
        <w:spacing w:after="0" w:line="240" w:lineRule="auto"/>
        <w:jc w:val="both"/>
        <w:rPr>
          <w:rFonts w:ascii="Times New Roman" w:eastAsia="Times New Roman" w:hAnsi="Times New Roman"/>
          <w:b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jc w:val="both"/>
        <w:rPr>
          <w:rFonts w:ascii="Times New Roman" w:eastAsia="Times New Roman" w:hAnsi="Times New Roman"/>
          <w:i/>
          <w:lang w:val="lt-LT" w:eastAsia="lt-LT"/>
        </w:rPr>
      </w:pPr>
      <w:r w:rsidRPr="0012579F">
        <w:rPr>
          <w:rFonts w:ascii="Times New Roman" w:eastAsia="Times New Roman" w:hAnsi="Times New Roman"/>
          <w:i/>
          <w:lang w:val="lt-LT" w:eastAsia="lt-LT"/>
        </w:rPr>
        <w:t>Vartojimo metodas ir būdas</w:t>
      </w:r>
    </w:p>
    <w:p w:rsidR="00A547FA" w:rsidRPr="0012579F" w:rsidRDefault="00A547FA" w:rsidP="00A547FA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Vartoti per burną.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Geriamojo tirpalo pakuotėje yra graduota pipetė, skirta tiksliai dozei atmatuoti. 1 dozė yra 1 ml tirpalo.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Graduota pipete atseikėkite vieną tirpalo dozę ir sumaišykite ją su puse stiklinės vandens. Po kiekvieno panaudojimo graduotą pipetę įdėkite į specialų dėklą.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 xml:space="preserve">Ką daryti pavartojus per didelę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lang w:val="lt-LT" w:eastAsia="lt-LT"/>
        </w:rPr>
        <w:t xml:space="preserve"> dozę?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Reikšmingos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perdozavimo patirties nėra. Perdozavimo atveju reikia atsižvelgti į tai, kad sudėtyje yra alkoholio.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 xml:space="preserve">Pamiršus pavartoti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Negalima vartoti dvigubos dozės norint kompensuoti praleistą dozę.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2579F">
        <w:rPr>
          <w:rFonts w:ascii="Times New Roman" w:eastAsia="Times New Roman" w:hAnsi="Times New Roman"/>
          <w:b/>
          <w:bCs/>
          <w:lang w:val="lt-LT"/>
        </w:rPr>
        <w:t xml:space="preserve">Nustojus vartoti </w:t>
      </w: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2579F">
        <w:rPr>
          <w:rFonts w:ascii="Times New Roman" w:eastAsia="Times New Roman" w:hAnsi="Times New Roman"/>
          <w:lang w:val="lt-LT"/>
        </w:rPr>
        <w:t>Jeigu kiltų daugiau klausimų dėl šio vaisto vartojimo, kreipkitės į gydytoją arba vaistininką.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4.</w:t>
      </w:r>
      <w:r w:rsidRPr="0012579F">
        <w:rPr>
          <w:rFonts w:ascii="Times New Roman" w:eastAsia="Times New Roman" w:hAnsi="Times New Roman"/>
          <w:b/>
          <w:lang w:val="lt-LT" w:eastAsia="lt-LT"/>
        </w:rPr>
        <w:tab/>
        <w:t>Galimas šalutinis poveikis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2579F">
        <w:rPr>
          <w:rFonts w:ascii="Times New Roman" w:eastAsia="Times New Roman" w:hAnsi="Times New Roman"/>
          <w:lang w:val="lt-LT"/>
        </w:rPr>
        <w:t>Šis vaistas, kaip ir visi kiti, gali sukelti šalutinį poveikį, nors jis pasireiškia ne visiems žmonėms.</w:t>
      </w:r>
    </w:p>
    <w:p w:rsidR="00A547FA" w:rsidRPr="0012579F" w:rsidRDefault="00A547FA" w:rsidP="00A547FA">
      <w:pPr>
        <w:tabs>
          <w:tab w:val="left" w:pos="1296"/>
        </w:tabs>
        <w:autoSpaceDE w:val="0"/>
        <w:spacing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Nepageidaujamo poveiki dažnis apibūdinamas taip: </w:t>
      </w:r>
      <w:r w:rsidRPr="0012579F">
        <w:rPr>
          <w:rFonts w:ascii="Times New Roman" w:hAnsi="Times New Roman"/>
          <w:snapToGrid w:val="0"/>
          <w:lang w:val="lt-LT"/>
        </w:rPr>
        <w:t xml:space="preserve">labai dažnas (≥ 1/10), </w:t>
      </w:r>
      <w:r w:rsidRPr="0012579F">
        <w:rPr>
          <w:rFonts w:ascii="Times New Roman" w:eastAsia="Times New Roman" w:hAnsi="Times New Roman"/>
          <w:lang w:val="lt-LT" w:eastAsia="lt-LT"/>
        </w:rPr>
        <w:t>dažnas (nuo ≥1/100 iki &lt;1/10), nedažnas (nuo ≥1/1 000 iki &lt;1/100), retas (nuo ≥1/10 000 iki &lt;1/1 000)</w:t>
      </w:r>
      <w:r w:rsidRPr="0012579F">
        <w:rPr>
          <w:rFonts w:ascii="Times New Roman" w:hAnsi="Times New Roman"/>
          <w:lang w:val="lt-LT"/>
        </w:rPr>
        <w:t xml:space="preserve"> labai retas (&lt; 1/10 000) ir nežinomas (negali būti apskaičiuotas pagal turimus duomenis).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12579F">
        <w:rPr>
          <w:rFonts w:ascii="Times New Roman" w:eastAsia="Times New Roman" w:hAnsi="Times New Roman"/>
          <w:u w:val="single"/>
          <w:lang w:val="lt-LT" w:eastAsia="lt-LT"/>
        </w:rPr>
        <w:t>Saugumo duomenų santrauka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Dažniausiai pasireiškia šis šalutinis poveikis: pilvo skausmas, viduriavimas ir svaigulys.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Jei Jums pasireiškė sunki alerginė reakcija, taip vadinama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angioneurozinė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edema, sukelianti veido, lūpų, liežuvio ar gerklės tinimą, nedelsiant nutraukite vaisto vartojimą ir kreipkitės skubios medicininės pagalbos.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Kitas galimas šalutinis poveikis: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-</w:t>
      </w:r>
      <w:r w:rsidRPr="0012579F">
        <w:rPr>
          <w:rFonts w:ascii="Times New Roman" w:eastAsia="Times New Roman" w:hAnsi="Times New Roman"/>
          <w:lang w:val="lt-LT" w:eastAsia="lt-LT"/>
        </w:rPr>
        <w:tab/>
        <w:t>Dažnas (gali pasireikšti mažiau nei 1 iš 10 žmonių):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alerginė reakcija; 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pasunkėjęs kvėpavimas; 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galvos skausmas;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alpimas; 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nevirškinimas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>;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blogumas;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egzema;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niežulys. 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-</w:t>
      </w:r>
      <w:r w:rsidRPr="0012579F">
        <w:rPr>
          <w:rFonts w:ascii="Times New Roman" w:eastAsia="Times New Roman" w:hAnsi="Times New Roman"/>
          <w:lang w:val="lt-LT" w:eastAsia="lt-LT"/>
        </w:rPr>
        <w:tab/>
        <w:t>Nedažnas (gali pasireikšti mažiau nei 1 iš 100 žmonių):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dilgėlinė;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išbėrimas.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12579F">
        <w:rPr>
          <w:rFonts w:ascii="Times New Roman" w:eastAsia="Times New Roman" w:hAnsi="Times New Roman"/>
          <w:b/>
          <w:lang w:val="lt-LT"/>
        </w:rPr>
        <w:t>Pranešimas apie šalutinį poveikį</w:t>
      </w:r>
    </w:p>
    <w:p w:rsidR="00A547FA" w:rsidRPr="00842DF8" w:rsidRDefault="00A547FA" w:rsidP="00A547F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>Jeigu pasireiškė šalutinis poveikis, įskaitant šiame lapelyje nen</w:t>
      </w:r>
      <w:r>
        <w:rPr>
          <w:rFonts w:ascii="Times New Roman" w:eastAsia="Times New Roman" w:hAnsi="Times New Roman"/>
          <w:snapToGrid w:val="0"/>
          <w:szCs w:val="20"/>
          <w:lang w:val="lt-LT"/>
        </w:rPr>
        <w:t>urodytą, pasakykite gydytojui arba vaistininkui</w:t>
      </w: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>. Apie šalutinį poveikį taip pat galite pranešti Valstybinei vaistų kontrolės tarnybai prie Lietuvos Respublikos sveikatos apsaugos ministerijos nemokamu t</w:t>
      </w:r>
      <w:r w:rsidRPr="00842DF8">
        <w:rPr>
          <w:rFonts w:ascii="Times New Roman" w:eastAsia="Times New Roman" w:hAnsi="Times New Roman"/>
          <w:snapToGrid w:val="0"/>
          <w:szCs w:val="20"/>
          <w:lang w:val="lt-LT" w:eastAsia="zh-CN"/>
        </w:rPr>
        <w:t>elefonu 8 800 73568</w:t>
      </w: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 xml:space="preserve"> arba užpildyti interneto svetainėje </w:t>
      </w:r>
      <w:hyperlink r:id="rId5" w:history="1">
        <w:r w:rsidRPr="00842DF8">
          <w:rPr>
            <w:rFonts w:ascii="Times New Roman" w:eastAsia="SimSun" w:hAnsi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42DF8">
        <w:rPr>
          <w:rFonts w:ascii="Times New Roman" w:eastAsia="Times New Roman" w:hAnsi="Times New Roman"/>
          <w:snapToGrid w:val="0"/>
          <w:szCs w:val="20"/>
          <w:lang w:val="lt-LT" w:eastAsia="zh-CN"/>
        </w:rPr>
        <w:t xml:space="preserve">nemokamu </w:t>
      </w: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>fakso numeriu 8 800 20131</w:t>
      </w:r>
      <w:r w:rsidRPr="00842DF8">
        <w:rPr>
          <w:rFonts w:ascii="Times New Roman" w:eastAsia="Times New Roman" w:hAnsi="Times New Roman"/>
          <w:snapToGrid w:val="0"/>
          <w:szCs w:val="20"/>
          <w:lang w:val="lt-LT" w:eastAsia="zh-CN"/>
        </w:rPr>
        <w:t xml:space="preserve">, </w:t>
      </w: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 xml:space="preserve">el. paštu </w:t>
      </w:r>
      <w:hyperlink r:id="rId6" w:history="1">
        <w:r w:rsidRPr="00842DF8">
          <w:rPr>
            <w:rFonts w:ascii="Times New Roman" w:eastAsia="SimSun" w:hAnsi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842DF8">
          <w:rPr>
            <w:rFonts w:ascii="Times New Roman" w:eastAsia="SimSun" w:hAnsi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12579F">
        <w:rPr>
          <w:rFonts w:ascii="Times New Roman" w:eastAsia="Times New Roman" w:hAnsi="Times New Roman"/>
          <w:b/>
          <w:lang w:val="lt-LT" w:eastAsia="lt-LT"/>
        </w:rPr>
        <w:t>Kaip laikyti</w:t>
      </w:r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Šį vaistą laikykite vaikams nepastebimoje ir nepasiekiamoje vietoje.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Laikyti ne aukštesnėje kaip 25 °C.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Buteliuką laikyti išorinėje dėžutėje, kad </w:t>
      </w:r>
      <w:r>
        <w:rPr>
          <w:rFonts w:ascii="Times New Roman" w:eastAsia="Times New Roman" w:hAnsi="Times New Roman"/>
          <w:lang w:val="lt-LT" w:eastAsia="lt-LT"/>
        </w:rPr>
        <w:t>vaistas</w:t>
      </w:r>
      <w:r w:rsidRPr="0012579F">
        <w:rPr>
          <w:rFonts w:ascii="Times New Roman" w:eastAsia="Times New Roman" w:hAnsi="Times New Roman"/>
          <w:lang w:val="lt-LT" w:eastAsia="lt-LT"/>
        </w:rPr>
        <w:t xml:space="preserve"> būtų apsaugotas nuo šviesos.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Ant dėžutės ir buteliuko po „EXP“ nurodytam tinkamumo laikui pasibaigus, šio vaisto vartoti negalima. Vaistas tinka vartoti iki paskutinės nurodyto mėnesio dienos.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2579F">
        <w:rPr>
          <w:rFonts w:ascii="Times New Roman" w:eastAsia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6.</w:t>
      </w:r>
      <w:r w:rsidRPr="0012579F">
        <w:rPr>
          <w:rFonts w:ascii="Times New Roman" w:eastAsia="Times New Roman" w:hAnsi="Times New Roman"/>
          <w:lang w:val="lt-LT" w:eastAsia="lt-LT"/>
        </w:rPr>
        <w:tab/>
      </w:r>
      <w:r w:rsidRPr="0012579F">
        <w:rPr>
          <w:rFonts w:ascii="Times New Roman" w:eastAsia="Times New Roman" w:hAnsi="Times New Roman"/>
          <w:b/>
          <w:lang w:val="lt-LT" w:eastAsia="lt-LT"/>
        </w:rPr>
        <w:t>Pakuotės turinys ir kita informacija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sudėtis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-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Veiklioji medžiaga yra rafinuotas ir kiekybiškai įvertintas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sausasis ekstraktas. Viename ml tirpalo yra 40,00 mg </w:t>
      </w:r>
      <w:proofErr w:type="spellStart"/>
      <w:r w:rsidRPr="0012579F">
        <w:rPr>
          <w:rFonts w:ascii="Times New Roman" w:eastAsia="Times New Roman" w:hAnsi="Times New Roman"/>
          <w:i/>
          <w:iCs/>
          <w:lang w:val="lt-LT" w:eastAsia="lt-LT"/>
        </w:rPr>
        <w:t>Ginkgo</w:t>
      </w:r>
      <w:proofErr w:type="spellEnd"/>
      <w:r w:rsidRPr="0012579F">
        <w:rPr>
          <w:rFonts w:ascii="Times New Roman" w:eastAsia="Times New Roman" w:hAnsi="Times New Roman"/>
          <w:i/>
          <w:iCs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i/>
          <w:iCs/>
          <w:lang w:val="lt-LT" w:eastAsia="lt-LT"/>
        </w:rPr>
        <w:t>biloba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 L.,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folium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lapų) rafinuoto ir kiekybiškai įvertinto sausojo ekstrakto (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EGb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761) (35 – 67:1), atitinkančio:</w:t>
      </w:r>
    </w:p>
    <w:p w:rsidR="00A547FA" w:rsidRPr="0012579F" w:rsidRDefault="00A547FA" w:rsidP="00A547FA">
      <w:pPr>
        <w:keepLines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12579F">
        <w:rPr>
          <w:rFonts w:ascii="Times New Roman" w:eastAsia="Times New Roman" w:hAnsi="Times New Roman"/>
          <w:lang w:val="lt-LT" w:eastAsia="ar-SA"/>
        </w:rPr>
        <w:tab/>
        <w:t xml:space="preserve">8,80 mg – 10,80 mg </w:t>
      </w:r>
      <w:proofErr w:type="spellStart"/>
      <w:r w:rsidRPr="0012579F">
        <w:rPr>
          <w:rFonts w:ascii="Times New Roman" w:eastAsia="Times New Roman" w:hAnsi="Times New Roman"/>
          <w:lang w:val="lt-LT" w:eastAsia="ar-SA"/>
        </w:rPr>
        <w:t>flavonoidų</w:t>
      </w:r>
      <w:proofErr w:type="spellEnd"/>
      <w:r w:rsidRPr="0012579F">
        <w:rPr>
          <w:rFonts w:ascii="Times New Roman" w:eastAsia="Times New Roman" w:hAnsi="Times New Roman"/>
          <w:lang w:val="lt-LT" w:eastAsia="ar-SA"/>
        </w:rPr>
        <w:t xml:space="preserve">, išreikštų pagal flavonų glikozidus, </w:t>
      </w:r>
    </w:p>
    <w:p w:rsidR="00A547FA" w:rsidRPr="0012579F" w:rsidRDefault="00A547FA" w:rsidP="00A547FA">
      <w:pPr>
        <w:keepLines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12579F">
        <w:rPr>
          <w:rFonts w:ascii="Times New Roman" w:eastAsia="Times New Roman" w:hAnsi="Times New Roman"/>
          <w:lang w:val="lt-LT" w:eastAsia="ar-SA"/>
        </w:rPr>
        <w:tab/>
      </w:r>
      <w:r w:rsidRPr="0012579F">
        <w:rPr>
          <w:rFonts w:ascii="Times New Roman" w:eastAsia="Times New Roman" w:hAnsi="Times New Roman"/>
          <w:lang w:eastAsia="ar-SA"/>
        </w:rPr>
        <w:t>1</w:t>
      </w:r>
      <w:proofErr w:type="gramStart"/>
      <w:r w:rsidRPr="0012579F">
        <w:rPr>
          <w:rFonts w:ascii="Times New Roman" w:eastAsia="Times New Roman" w:hAnsi="Times New Roman"/>
          <w:lang w:eastAsia="ar-SA"/>
        </w:rPr>
        <w:t>,12</w:t>
      </w:r>
      <w:proofErr w:type="gramEnd"/>
      <w:r w:rsidRPr="0012579F">
        <w:rPr>
          <w:rFonts w:ascii="Times New Roman" w:eastAsia="Times New Roman" w:hAnsi="Times New Roman"/>
          <w:lang w:eastAsia="ar-SA"/>
        </w:rPr>
        <w:t xml:space="preserve"> mg – 1,36 mg of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ginkgolidų</w:t>
      </w:r>
      <w:proofErr w:type="spellEnd"/>
      <w:r w:rsidRPr="0012579F">
        <w:rPr>
          <w:rFonts w:ascii="Times New Roman" w:eastAsia="Times New Roman" w:hAnsi="Times New Roman"/>
          <w:lang w:eastAsia="ar-SA"/>
        </w:rPr>
        <w:t xml:space="preserve"> A, B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ir</w:t>
      </w:r>
      <w:proofErr w:type="spellEnd"/>
      <w:r w:rsidRPr="0012579F">
        <w:rPr>
          <w:rFonts w:ascii="Times New Roman" w:eastAsia="Times New Roman" w:hAnsi="Times New Roman"/>
          <w:lang w:eastAsia="ar-SA"/>
        </w:rPr>
        <w:t xml:space="preserve"> C,</w:t>
      </w:r>
    </w:p>
    <w:p w:rsidR="00A547FA" w:rsidRPr="0012579F" w:rsidRDefault="00A547FA" w:rsidP="00A547FA">
      <w:pPr>
        <w:keepLines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12579F">
        <w:rPr>
          <w:rFonts w:ascii="Times New Roman" w:eastAsia="Times New Roman" w:hAnsi="Times New Roman"/>
          <w:lang w:eastAsia="ar-SA"/>
        </w:rPr>
        <w:tab/>
        <w:t>1</w:t>
      </w:r>
      <w:proofErr w:type="gramStart"/>
      <w:r w:rsidRPr="0012579F">
        <w:rPr>
          <w:rFonts w:ascii="Times New Roman" w:eastAsia="Times New Roman" w:hAnsi="Times New Roman"/>
          <w:lang w:eastAsia="ar-SA"/>
        </w:rPr>
        <w:t>,04</w:t>
      </w:r>
      <w:proofErr w:type="gramEnd"/>
      <w:r w:rsidRPr="0012579F">
        <w:rPr>
          <w:rFonts w:ascii="Times New Roman" w:eastAsia="Times New Roman" w:hAnsi="Times New Roman"/>
          <w:lang w:eastAsia="ar-SA"/>
        </w:rPr>
        <w:t xml:space="preserve"> mg – 1,28 mg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bilobalido</w:t>
      </w:r>
      <w:proofErr w:type="spellEnd"/>
      <w:r w:rsidRPr="0012579F">
        <w:rPr>
          <w:rFonts w:ascii="Times New Roman" w:eastAsia="Times New Roman" w:hAnsi="Times New Roman"/>
          <w:lang w:eastAsia="ar-SA"/>
        </w:rPr>
        <w:t>.</w:t>
      </w:r>
    </w:p>
    <w:p w:rsidR="00A547FA" w:rsidRPr="0012579F" w:rsidRDefault="00A547FA" w:rsidP="00A547F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-</w:t>
      </w:r>
      <w:r w:rsidRPr="0012579F">
        <w:rPr>
          <w:rFonts w:ascii="Times New Roman" w:eastAsia="Times New Roman" w:hAnsi="Times New Roman"/>
          <w:noProof/>
          <w:lang w:val="lt-LT"/>
        </w:rPr>
        <w:tab/>
        <w:t>Pagalbinės medžiagos: tirpusis apelsinų eterinis aliejus, tirpusis citrinų eterinis aliejus, sacharino natrio druska, etanolis (96 %), išgrynintas vanduo.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išvaizda ir kiekis pakuotėje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Oranžinio atspalvio rusvas charakteringo kvapo tirpalas.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Kartono dėžutėje yra 30 ml tirpalo buteliukas ir graduota pipete tirpalui dozuoti.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Registruotojas</w:t>
      </w:r>
      <w:r w:rsidRPr="0012579F">
        <w:rPr>
          <w:rFonts w:ascii="Times New Roman" w:eastAsia="Times New Roman" w:hAnsi="Times New Roman"/>
          <w:b/>
          <w:bCs/>
          <w:lang w:val="lt-LT"/>
        </w:rPr>
        <w:t xml:space="preserve"> ir gamintojas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R</w:t>
      </w:r>
      <w:r>
        <w:rPr>
          <w:rFonts w:ascii="Times New Roman" w:eastAsia="Times New Roman" w:hAnsi="Times New Roman"/>
          <w:noProof/>
          <w:lang w:val="lt-LT"/>
        </w:rPr>
        <w:t>egistruotojas</w:t>
      </w:r>
    </w:p>
    <w:p w:rsidR="00A547FA" w:rsidRDefault="00A547FA" w:rsidP="00A547FA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IPSEN Consumer HealthCare </w:t>
      </w:r>
    </w:p>
    <w:p w:rsidR="00A547FA" w:rsidRDefault="00A547FA" w:rsidP="00A547FA">
      <w:pPr>
        <w:spacing w:after="0" w:line="240" w:lineRule="auto"/>
        <w:rPr>
          <w:rFonts w:ascii="Times New Roman" w:hAnsi="Times New Roman"/>
        </w:rPr>
      </w:pPr>
      <w:proofErr w:type="gramStart"/>
      <w:r w:rsidRPr="00A66F95">
        <w:rPr>
          <w:rFonts w:ascii="Times New Roman" w:hAnsi="Times New Roman"/>
        </w:rPr>
        <w:t>65</w:t>
      </w:r>
      <w:proofErr w:type="gramEnd"/>
      <w:r w:rsidRPr="00A66F95">
        <w:rPr>
          <w:rFonts w:ascii="Times New Roman" w:hAnsi="Times New Roman"/>
        </w:rPr>
        <w:t xml:space="preserve"> </w:t>
      </w:r>
      <w:proofErr w:type="spellStart"/>
      <w:r w:rsidRPr="00A66F95">
        <w:rPr>
          <w:rFonts w:ascii="Times New Roman" w:hAnsi="Times New Roman"/>
        </w:rPr>
        <w:t>quai</w:t>
      </w:r>
      <w:proofErr w:type="spellEnd"/>
      <w:r w:rsidRPr="00A66F95">
        <w:rPr>
          <w:rFonts w:ascii="Times New Roman" w:hAnsi="Times New Roman"/>
        </w:rPr>
        <w:t xml:space="preserve"> Georges Gorse </w:t>
      </w:r>
    </w:p>
    <w:p w:rsidR="00A547FA" w:rsidRDefault="00A547FA" w:rsidP="00A547FA">
      <w:pPr>
        <w:spacing w:after="0" w:line="240" w:lineRule="auto"/>
        <w:rPr>
          <w:rFonts w:ascii="Times New Roman" w:hAnsi="Times New Roman"/>
        </w:rPr>
      </w:pPr>
      <w:proofErr w:type="gramStart"/>
      <w:r w:rsidRPr="00A66F95">
        <w:rPr>
          <w:rFonts w:ascii="Times New Roman" w:hAnsi="Times New Roman"/>
        </w:rPr>
        <w:t>92100</w:t>
      </w:r>
      <w:proofErr w:type="gramEnd"/>
      <w:r w:rsidRPr="00A66F95">
        <w:rPr>
          <w:rFonts w:ascii="Times New Roman" w:hAnsi="Times New Roman"/>
        </w:rPr>
        <w:t xml:space="preserve"> Boulogne-Billancourt </w:t>
      </w:r>
    </w:p>
    <w:p w:rsidR="00A547FA" w:rsidRDefault="00A547FA" w:rsidP="00A547FA">
      <w:pPr>
        <w:spacing w:after="0" w:line="240" w:lineRule="auto"/>
      </w:pPr>
      <w:proofErr w:type="spellStart"/>
      <w:r w:rsidRPr="00A66F95">
        <w:rPr>
          <w:rFonts w:ascii="Times New Roman" w:hAnsi="Times New Roman"/>
        </w:rPr>
        <w:t>Prancūzija</w:t>
      </w:r>
      <w:proofErr w:type="spellEnd"/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Gamintojas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BEAUFOUR IPSEN INDUSTRIE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Rue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Ethe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Virton</w:t>
      </w:r>
      <w:proofErr w:type="spellEnd"/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  <w:r w:rsidRPr="0012579F">
        <w:rPr>
          <w:rFonts w:ascii="Times New Roman" w:eastAsia="Times New Roman" w:hAnsi="Times New Roman"/>
          <w:snapToGrid w:val="0"/>
          <w:lang w:val="lt-LT" w:eastAsia="lt-LT"/>
        </w:rPr>
        <w:t xml:space="preserve">28100 </w:t>
      </w:r>
      <w:proofErr w:type="spellStart"/>
      <w:r w:rsidRPr="0012579F">
        <w:rPr>
          <w:rFonts w:ascii="Times New Roman" w:eastAsia="Times New Roman" w:hAnsi="Times New Roman"/>
          <w:snapToGrid w:val="0"/>
          <w:lang w:val="lt-LT" w:eastAsia="lt-LT"/>
        </w:rPr>
        <w:t>Dreux</w:t>
      </w:r>
      <w:proofErr w:type="spellEnd"/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  <w:r w:rsidRPr="0012579F">
        <w:rPr>
          <w:rFonts w:ascii="Times New Roman" w:eastAsia="Times New Roman" w:hAnsi="Times New Roman"/>
          <w:snapToGrid w:val="0"/>
          <w:lang w:val="lt-LT" w:eastAsia="lt-LT"/>
        </w:rPr>
        <w:t>Prancūzija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12579F">
        <w:rPr>
          <w:rFonts w:ascii="Times New Roman" w:eastAsia="Times New Roman" w:hAnsi="Times New Roman"/>
          <w:b/>
          <w:bCs/>
          <w:noProof/>
          <w:lang w:val="lt-LT"/>
        </w:rPr>
        <w:t>Šis pakuotės lapelis</w:t>
      </w:r>
      <w:r w:rsidRPr="0012579F">
        <w:rPr>
          <w:rFonts w:ascii="Times New Roman" w:eastAsia="Times New Roman" w:hAnsi="Times New Roman"/>
          <w:b/>
          <w:noProof/>
          <w:lang w:val="lt-LT"/>
        </w:rPr>
        <w:t xml:space="preserve"> paskutinį kartą peržiūrėtas </w:t>
      </w:r>
      <w:r>
        <w:rPr>
          <w:rFonts w:ascii="Times New Roman" w:eastAsia="Times New Roman" w:hAnsi="Times New Roman"/>
          <w:b/>
          <w:noProof/>
          <w:lang w:val="lt-LT"/>
        </w:rPr>
        <w:t>2020-03-01.</w:t>
      </w: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547FA" w:rsidRPr="0012579F" w:rsidRDefault="00A547FA" w:rsidP="00A547FA">
      <w:pPr>
        <w:spacing w:after="0" w:line="240" w:lineRule="auto"/>
        <w:rPr>
          <w:rFonts w:ascii="Times New Roman" w:eastAsia="Times New Roman" w:hAnsi="Times New Roman"/>
          <w:noProof/>
          <w:color w:val="0000FF"/>
          <w:u w:val="single"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12579F">
          <w:rPr>
            <w:rFonts w:ascii="Times New Roman" w:eastAsia="Times New Roman" w:hAnsi="Times New Roman"/>
            <w:noProof/>
            <w:color w:val="0000FF"/>
            <w:u w:val="single"/>
            <w:lang w:val="lt-LT"/>
          </w:rPr>
          <w:t>http://www.vvkt.lt/</w:t>
        </w:r>
      </w:hyperlink>
    </w:p>
    <w:p w:rsidR="009041DB" w:rsidRDefault="009041DB">
      <w:bookmarkStart w:id="2" w:name="_GoBack"/>
      <w:bookmarkEnd w:id="2"/>
    </w:p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E73"/>
    <w:multiLevelType w:val="hybridMultilevel"/>
    <w:tmpl w:val="A9387C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708"/>
    <w:multiLevelType w:val="hybridMultilevel"/>
    <w:tmpl w:val="D3A050F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FA"/>
    <w:rsid w:val="00004415"/>
    <w:rsid w:val="000A110A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547FA"/>
    <w:rsid w:val="00AC23C0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6623A-FA3C-4208-AE97-5B0A56BA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47F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5589</Words>
  <Characters>3187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Pakuotės lapelis: informacija vartotojui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2024-01-02T12:46:00Z</dcterms:created>
  <dcterms:modified xsi:type="dcterms:W3CDTF">2024-01-02T12:47:00Z</dcterms:modified>
</cp:coreProperties>
</file>