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11" w:rsidRPr="009379CA" w:rsidRDefault="00626411" w:rsidP="00626411">
      <w:pPr>
        <w:spacing w:line="240" w:lineRule="auto"/>
        <w:jc w:val="center"/>
        <w:rPr>
          <w:b/>
        </w:rPr>
      </w:pPr>
      <w:r w:rsidRPr="009379CA">
        <w:rPr>
          <w:b/>
        </w:rPr>
        <w:t>Pakuotės lapelis: informacija vartotojui</w:t>
      </w:r>
    </w:p>
    <w:p w:rsidR="00626411" w:rsidRPr="00B877B4" w:rsidRDefault="00626411" w:rsidP="00626411">
      <w:pPr>
        <w:autoSpaceDE w:val="0"/>
        <w:autoSpaceDN w:val="0"/>
        <w:adjustRightInd w:val="0"/>
        <w:spacing w:line="240" w:lineRule="auto"/>
        <w:jc w:val="center"/>
        <w:rPr>
          <w:bCs/>
        </w:rPr>
      </w:pPr>
    </w:p>
    <w:p w:rsidR="00626411" w:rsidRPr="009379CA" w:rsidRDefault="00626411" w:rsidP="00626411">
      <w:pPr>
        <w:spacing w:line="240" w:lineRule="auto"/>
        <w:jc w:val="center"/>
        <w:rPr>
          <w:b/>
        </w:rPr>
      </w:pPr>
      <w:r w:rsidRPr="009379CA">
        <w:rPr>
          <w:b/>
        </w:rPr>
        <w:t>OSCILLOCOCCINUM piliulės, vienadozė talpyklė</w:t>
      </w:r>
    </w:p>
    <w:p w:rsidR="00626411" w:rsidRPr="009379CA" w:rsidRDefault="00626411" w:rsidP="00626411">
      <w:pPr>
        <w:spacing w:line="240" w:lineRule="auto"/>
        <w:ind w:right="-2"/>
      </w:pPr>
    </w:p>
    <w:p w:rsidR="00626411" w:rsidRPr="009379CA" w:rsidRDefault="00626411" w:rsidP="00626411">
      <w:pPr>
        <w:spacing w:line="240" w:lineRule="auto"/>
        <w:ind w:left="567" w:hanging="567"/>
        <w:jc w:val="center"/>
      </w:pPr>
      <w:r w:rsidRPr="009379CA">
        <w:t>Homeopatinis vaistas</w:t>
      </w:r>
    </w:p>
    <w:p w:rsidR="00626411" w:rsidRPr="009379CA" w:rsidRDefault="00626411" w:rsidP="00626411">
      <w:pPr>
        <w:spacing w:line="240" w:lineRule="auto"/>
        <w:ind w:right="-2"/>
      </w:pPr>
    </w:p>
    <w:p w:rsidR="00626411" w:rsidRPr="009379CA" w:rsidRDefault="00626411" w:rsidP="00626411">
      <w:pPr>
        <w:tabs>
          <w:tab w:val="clear" w:pos="567"/>
          <w:tab w:val="left" w:pos="0"/>
        </w:tabs>
        <w:spacing w:line="240" w:lineRule="auto"/>
        <w:outlineLvl w:val="0"/>
        <w:rPr>
          <w:b/>
        </w:rPr>
      </w:pPr>
      <w:r w:rsidRPr="009379CA">
        <w:rPr>
          <w:b/>
        </w:rPr>
        <w:t xml:space="preserve">Atidžiai perskaitykite visą šį </w:t>
      </w:r>
      <w:smartTag w:uri="schemas-tilde-lt/tildestengine" w:element="templates">
        <w:smartTagPr>
          <w:attr w:name="baseform" w:val="lapel|is"/>
          <w:attr w:name="id" w:val="-1"/>
          <w:attr w:name="text" w:val="lapeli"/>
        </w:smartTagPr>
        <w:r w:rsidRPr="009379CA">
          <w:rPr>
            <w:b/>
          </w:rPr>
          <w:t>lapelį</w:t>
        </w:r>
        <w:r w:rsidRPr="00B34FA1">
          <w:rPr>
            <w:b/>
            <w:noProof/>
            <w:szCs w:val="24"/>
          </w:rPr>
          <w:t>, prieš pradėdami vartoti vaistą</w:t>
        </w:r>
      </w:smartTag>
      <w:r w:rsidRPr="009379CA">
        <w:rPr>
          <w:b/>
        </w:rPr>
        <w:t>, nes jame pateikiama Jums svarbi informacija.</w:t>
      </w:r>
    </w:p>
    <w:p w:rsidR="00626411" w:rsidRPr="007B750D" w:rsidRDefault="00626411" w:rsidP="0062641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4"/>
        </w:rPr>
      </w:pPr>
      <w:r w:rsidRPr="00B34FA1">
        <w:rPr>
          <w:noProof/>
          <w:szCs w:val="24"/>
        </w:rPr>
        <w:t>Visada vartokite šį vaistą tiksliai kaip aprašyta šiame lapelyje arba kaip nurodė gydytojas arba</w:t>
      </w:r>
      <w:r>
        <w:rPr>
          <w:noProof/>
          <w:szCs w:val="24"/>
        </w:rPr>
        <w:t xml:space="preserve"> </w:t>
      </w:r>
      <w:r w:rsidRPr="00537684">
        <w:rPr>
          <w:noProof/>
          <w:szCs w:val="24"/>
        </w:rPr>
        <w:t>vaistininkas</w:t>
      </w:r>
      <w:r w:rsidRPr="007B750D">
        <w:t>.</w:t>
      </w:r>
    </w:p>
    <w:p w:rsidR="00626411" w:rsidRPr="007B750D" w:rsidRDefault="00626411" w:rsidP="00626411">
      <w:pPr>
        <w:spacing w:line="240" w:lineRule="auto"/>
      </w:pPr>
      <w:r w:rsidRPr="007B750D">
        <w:t>-</w:t>
      </w:r>
      <w:r w:rsidRPr="007B750D">
        <w:tab/>
        <w:t xml:space="preserve">Neišmeskite šio </w:t>
      </w:r>
      <w:smartTag w:uri="schemas-tilde-lt/tildestengine" w:element="templates">
        <w:smartTagPr>
          <w:attr w:name="baseform" w:val="lapel|is"/>
          <w:attr w:name="id" w:val="-1"/>
          <w:attr w:name="text" w:val="lapelio"/>
        </w:smartTagPr>
        <w:r w:rsidRPr="007B750D">
          <w:t>lapelio</w:t>
        </w:r>
      </w:smartTag>
      <w:r w:rsidRPr="007B750D">
        <w:t>, nes vėl gali prireikti jį perskaityti.</w:t>
      </w:r>
    </w:p>
    <w:p w:rsidR="00626411" w:rsidRPr="007B750D" w:rsidRDefault="00626411" w:rsidP="00626411">
      <w:pPr>
        <w:spacing w:line="240" w:lineRule="auto"/>
        <w:ind w:left="567" w:hanging="567"/>
      </w:pPr>
      <w:r w:rsidRPr="007B750D">
        <w:t>-</w:t>
      </w:r>
      <w:r w:rsidRPr="007B750D">
        <w:tab/>
        <w:t>Jeigu norite sužinoti daugiau arba pasitarti, kreipkitės į vaistininką.</w:t>
      </w:r>
    </w:p>
    <w:p w:rsidR="00626411" w:rsidRPr="00B877B4" w:rsidRDefault="00626411" w:rsidP="00626411">
      <w:pPr>
        <w:numPr>
          <w:ilvl w:val="0"/>
          <w:numId w:val="3"/>
        </w:numPr>
        <w:spacing w:line="240" w:lineRule="auto"/>
        <w:ind w:left="567" w:hanging="567"/>
        <w:jc w:val="both"/>
        <w:rPr>
          <w:noProof/>
          <w:szCs w:val="22"/>
        </w:rPr>
      </w:pPr>
      <w:r w:rsidRPr="007B750D">
        <w:t xml:space="preserve">Jeigu pasireiškė šalutinis poveikis </w:t>
      </w:r>
      <w:r w:rsidRPr="007B750D">
        <w:rPr>
          <w:noProof/>
          <w:szCs w:val="22"/>
        </w:rPr>
        <w:t>(net jeigu jis šiame lapelyje nenurodytas), kreipkitės į gydytoją arba vaistininką. Žr. 4</w:t>
      </w:r>
      <w:r>
        <w:rPr>
          <w:noProof/>
          <w:szCs w:val="22"/>
        </w:rPr>
        <w:t> </w:t>
      </w:r>
      <w:r w:rsidRPr="007B750D">
        <w:rPr>
          <w:noProof/>
          <w:szCs w:val="22"/>
        </w:rPr>
        <w:t>skyrių</w:t>
      </w:r>
      <w:r w:rsidRPr="007B750D">
        <w:t>.</w:t>
      </w:r>
    </w:p>
    <w:p w:rsidR="00626411" w:rsidRPr="007B750D" w:rsidRDefault="00626411" w:rsidP="00626411">
      <w:pPr>
        <w:pStyle w:val="Sraopastraipa"/>
        <w:numPr>
          <w:ilvl w:val="0"/>
          <w:numId w:val="3"/>
        </w:numPr>
        <w:spacing w:line="240" w:lineRule="auto"/>
        <w:ind w:left="567" w:hanging="567"/>
        <w:jc w:val="both"/>
      </w:pPr>
      <w:r w:rsidRPr="007B750D">
        <w:t>Jeigu per 3 dienas Jūsų savijauta nepagerėjo ar net pablogėjo, kreipkitės į gydytoją.</w:t>
      </w:r>
    </w:p>
    <w:p w:rsidR="00626411" w:rsidRPr="009379CA" w:rsidRDefault="00626411" w:rsidP="00626411">
      <w:pPr>
        <w:spacing w:line="240" w:lineRule="auto"/>
        <w:ind w:right="-2"/>
      </w:pPr>
    </w:p>
    <w:p w:rsidR="00626411" w:rsidRDefault="00626411" w:rsidP="00626411">
      <w:pPr>
        <w:keepNext/>
        <w:spacing w:line="240" w:lineRule="auto"/>
        <w:jc w:val="both"/>
        <w:outlineLvl w:val="3"/>
        <w:rPr>
          <w:b/>
          <w:bCs/>
          <w:szCs w:val="22"/>
        </w:rPr>
      </w:pPr>
      <w:r w:rsidRPr="00761D7E">
        <w:rPr>
          <w:b/>
          <w:bCs/>
          <w:szCs w:val="22"/>
        </w:rPr>
        <w:t>Apie ką rašoma šiame lapelyje?</w:t>
      </w:r>
    </w:p>
    <w:p w:rsidR="00626411" w:rsidRPr="00761D7E" w:rsidRDefault="00626411" w:rsidP="00626411">
      <w:pPr>
        <w:keepNext/>
        <w:spacing w:line="240" w:lineRule="auto"/>
        <w:ind w:left="284"/>
        <w:jc w:val="both"/>
        <w:outlineLvl w:val="3"/>
        <w:rPr>
          <w:b/>
          <w:bCs/>
          <w:szCs w:val="22"/>
        </w:rPr>
      </w:pPr>
    </w:p>
    <w:p w:rsidR="00626411" w:rsidRPr="009379CA" w:rsidRDefault="00626411" w:rsidP="00626411">
      <w:pPr>
        <w:spacing w:line="240" w:lineRule="auto"/>
      </w:pPr>
      <w:r w:rsidRPr="009379CA">
        <w:t>1.</w:t>
      </w:r>
      <w:r w:rsidRPr="009379CA">
        <w:tab/>
        <w:t>Kas yra OSCILLOCOCCINUM</w:t>
      </w:r>
      <w:r w:rsidRPr="009379CA">
        <w:rPr>
          <w:b/>
        </w:rPr>
        <w:t xml:space="preserve"> </w:t>
      </w:r>
      <w:r w:rsidRPr="009379CA">
        <w:t>ir kam jis vartojamas</w:t>
      </w:r>
    </w:p>
    <w:p w:rsidR="00626411" w:rsidRPr="009379CA" w:rsidRDefault="00626411" w:rsidP="00626411">
      <w:pPr>
        <w:spacing w:line="240" w:lineRule="auto"/>
        <w:ind w:left="567" w:hanging="567"/>
      </w:pPr>
      <w:r w:rsidRPr="009379CA">
        <w:t>2.</w:t>
      </w:r>
      <w:r w:rsidRPr="009379CA">
        <w:tab/>
        <w:t>Kas žinotina prieš vartojant OSCILLOCOCCINUM</w:t>
      </w:r>
    </w:p>
    <w:p w:rsidR="00626411" w:rsidRPr="009379CA" w:rsidRDefault="00626411" w:rsidP="00626411">
      <w:pPr>
        <w:spacing w:line="240" w:lineRule="auto"/>
        <w:ind w:left="567" w:hanging="567"/>
      </w:pPr>
      <w:r w:rsidRPr="009379CA">
        <w:t>3.</w:t>
      </w:r>
      <w:r w:rsidRPr="009379CA">
        <w:tab/>
        <w:t>Kaip vartoti OSCILLOCOCCINUM</w:t>
      </w:r>
    </w:p>
    <w:p w:rsidR="00626411" w:rsidRPr="009379CA" w:rsidRDefault="00626411" w:rsidP="00626411">
      <w:pPr>
        <w:spacing w:line="240" w:lineRule="auto"/>
        <w:ind w:left="567" w:hanging="567"/>
      </w:pPr>
      <w:r w:rsidRPr="009379CA">
        <w:t>4.</w:t>
      </w:r>
      <w:r w:rsidRPr="009379CA">
        <w:tab/>
        <w:t>Galimas šalutinis poveikis</w:t>
      </w:r>
    </w:p>
    <w:p w:rsidR="00626411" w:rsidRPr="009379CA" w:rsidRDefault="00626411" w:rsidP="00626411">
      <w:pPr>
        <w:spacing w:line="240" w:lineRule="auto"/>
        <w:ind w:left="567" w:hanging="567"/>
      </w:pPr>
      <w:r w:rsidRPr="009379CA">
        <w:t>5.</w:t>
      </w:r>
      <w:r w:rsidRPr="009379CA">
        <w:tab/>
        <w:t>Kaip laikyti OSCILLOCOCCINUM</w:t>
      </w:r>
    </w:p>
    <w:p w:rsidR="00626411" w:rsidRPr="009379CA" w:rsidRDefault="00626411" w:rsidP="00626411">
      <w:pPr>
        <w:spacing w:line="240" w:lineRule="auto"/>
        <w:ind w:left="567" w:hanging="567"/>
      </w:pPr>
      <w:r w:rsidRPr="009379CA">
        <w:t>6.</w:t>
      </w:r>
      <w:r w:rsidRPr="009379CA">
        <w:tab/>
      </w:r>
      <w:r w:rsidRPr="00B34FA1">
        <w:rPr>
          <w:noProof/>
          <w:szCs w:val="24"/>
        </w:rPr>
        <w:t>Pakuotės turinys ir k</w:t>
      </w:r>
      <w:r w:rsidRPr="009379CA">
        <w:t>ita informacija</w:t>
      </w:r>
    </w:p>
    <w:p w:rsidR="00626411" w:rsidRPr="009379CA" w:rsidRDefault="00626411" w:rsidP="00626411">
      <w:pPr>
        <w:spacing w:line="240" w:lineRule="auto"/>
      </w:pPr>
    </w:p>
    <w:p w:rsidR="00626411" w:rsidRPr="009379CA" w:rsidRDefault="00626411" w:rsidP="00626411">
      <w:pPr>
        <w:spacing w:line="240" w:lineRule="auto"/>
      </w:pPr>
    </w:p>
    <w:p w:rsidR="00626411" w:rsidRPr="00537684" w:rsidRDefault="00626411" w:rsidP="00626411">
      <w:pPr>
        <w:numPr>
          <w:ilvl w:val="0"/>
          <w:numId w:val="2"/>
        </w:numPr>
        <w:spacing w:line="240" w:lineRule="auto"/>
        <w:ind w:hanging="930"/>
        <w:rPr>
          <w:b/>
        </w:rPr>
      </w:pPr>
      <w:r w:rsidRPr="007B750D">
        <w:rPr>
          <w:b/>
        </w:rPr>
        <w:t>Kas yra OSCILLOCOCCINUM ir kam jis vartojamas</w:t>
      </w:r>
    </w:p>
    <w:p w:rsidR="00626411" w:rsidRPr="009379CA" w:rsidRDefault="00626411" w:rsidP="00626411">
      <w:pPr>
        <w:spacing w:line="240" w:lineRule="auto"/>
      </w:pPr>
    </w:p>
    <w:p w:rsidR="00626411" w:rsidRPr="009379CA" w:rsidRDefault="00626411" w:rsidP="00626411">
      <w:pPr>
        <w:spacing w:line="240" w:lineRule="auto"/>
      </w:pPr>
      <w:r w:rsidRPr="009379CA">
        <w:t>Virusinių peršalimo ligų simptomams lengvinti.</w:t>
      </w:r>
    </w:p>
    <w:p w:rsidR="00626411" w:rsidRPr="009379CA" w:rsidRDefault="00626411" w:rsidP="00626411">
      <w:pPr>
        <w:spacing w:line="240" w:lineRule="auto"/>
      </w:pPr>
    </w:p>
    <w:p w:rsidR="00626411" w:rsidRPr="009379CA" w:rsidRDefault="00626411" w:rsidP="00626411">
      <w:pPr>
        <w:spacing w:line="240" w:lineRule="auto"/>
      </w:pPr>
      <w:r w:rsidRPr="009379CA">
        <w:t>Indikacijos pagrįstos tik homeopatijos principais.</w:t>
      </w:r>
      <w:r w:rsidRPr="009379CA">
        <w:rPr>
          <w:i/>
        </w:rPr>
        <w:t xml:space="preserve"> </w:t>
      </w:r>
      <w:r w:rsidRPr="009379CA">
        <w:t>Jei ligos eiga sunkesnė, jos gydymui reikia naudoti kliniškai patikrintas priemones.</w:t>
      </w:r>
    </w:p>
    <w:p w:rsidR="00626411" w:rsidRDefault="00626411" w:rsidP="00626411">
      <w:pPr>
        <w:spacing w:line="240" w:lineRule="auto"/>
      </w:pPr>
    </w:p>
    <w:p w:rsidR="00626411" w:rsidRDefault="00626411" w:rsidP="00626411">
      <w:pPr>
        <w:spacing w:line="240" w:lineRule="auto"/>
      </w:pPr>
      <w:r w:rsidRPr="007B750D">
        <w:t xml:space="preserve">Jeigu per 3 dienas Jūsų savijauta nepagerėjo ar net </w:t>
      </w:r>
      <w:r w:rsidRPr="00537684">
        <w:t>pablogėjo</w:t>
      </w:r>
      <w:r w:rsidRPr="007B750D">
        <w:t>, kreipkitės į gydytoją.</w:t>
      </w:r>
    </w:p>
    <w:p w:rsidR="00626411" w:rsidRPr="009379CA" w:rsidRDefault="00626411" w:rsidP="00626411">
      <w:pPr>
        <w:spacing w:line="240" w:lineRule="auto"/>
      </w:pPr>
    </w:p>
    <w:p w:rsidR="00626411" w:rsidRPr="009379CA" w:rsidRDefault="00626411" w:rsidP="00626411">
      <w:pPr>
        <w:spacing w:line="240" w:lineRule="auto"/>
      </w:pPr>
    </w:p>
    <w:p w:rsidR="00626411" w:rsidRPr="009379CA" w:rsidRDefault="00626411" w:rsidP="00626411">
      <w:pPr>
        <w:numPr>
          <w:ilvl w:val="0"/>
          <w:numId w:val="2"/>
        </w:numPr>
        <w:spacing w:line="240" w:lineRule="auto"/>
        <w:ind w:hanging="930"/>
        <w:rPr>
          <w:b/>
          <w:caps/>
        </w:rPr>
      </w:pPr>
      <w:r w:rsidRPr="009379CA">
        <w:rPr>
          <w:b/>
        </w:rPr>
        <w:t>Kas žinotina prieš vartojant OSCILLOCOCCINUM</w:t>
      </w:r>
    </w:p>
    <w:p w:rsidR="00626411" w:rsidRPr="009379CA" w:rsidRDefault="00626411" w:rsidP="00626411">
      <w:pPr>
        <w:spacing w:line="240" w:lineRule="auto"/>
        <w:rPr>
          <w:caps/>
        </w:rPr>
      </w:pPr>
    </w:p>
    <w:p w:rsidR="00626411" w:rsidRPr="009379CA" w:rsidRDefault="00626411" w:rsidP="00626411">
      <w:pPr>
        <w:keepNext/>
        <w:spacing w:line="240" w:lineRule="auto"/>
        <w:jc w:val="both"/>
        <w:outlineLvl w:val="3"/>
        <w:rPr>
          <w:b/>
        </w:rPr>
      </w:pPr>
      <w:r w:rsidRPr="009379CA">
        <w:rPr>
          <w:b/>
        </w:rPr>
        <w:t>OSCILLOCOCCINUM vartoti negalima:</w:t>
      </w:r>
    </w:p>
    <w:p w:rsidR="00626411" w:rsidRPr="009379CA" w:rsidRDefault="00626411" w:rsidP="00626411">
      <w:pPr>
        <w:numPr>
          <w:ilvl w:val="1"/>
          <w:numId w:val="2"/>
        </w:numPr>
        <w:tabs>
          <w:tab w:val="clear" w:pos="1440"/>
          <w:tab w:val="num" w:pos="567"/>
        </w:tabs>
        <w:spacing w:line="240" w:lineRule="auto"/>
        <w:ind w:left="567" w:hanging="567"/>
        <w:jc w:val="both"/>
      </w:pPr>
      <w:r w:rsidRPr="009379CA">
        <w:t xml:space="preserve">jeigu yra alergija veikliajai arba bet kuriai pagalbinei </w:t>
      </w:r>
      <w:r w:rsidRPr="00B34FA1">
        <w:rPr>
          <w:noProof/>
          <w:szCs w:val="24"/>
        </w:rPr>
        <w:t>šio vaisto medžiagai (jos išvardytos 6</w:t>
      </w:r>
      <w:r>
        <w:rPr>
          <w:noProof/>
          <w:szCs w:val="24"/>
        </w:rPr>
        <w:t> </w:t>
      </w:r>
      <w:r w:rsidRPr="00B34FA1">
        <w:rPr>
          <w:noProof/>
          <w:szCs w:val="24"/>
        </w:rPr>
        <w:t>skyriuje)</w:t>
      </w:r>
      <w:r w:rsidRPr="009379CA">
        <w:t>.</w:t>
      </w:r>
    </w:p>
    <w:p w:rsidR="00626411" w:rsidRPr="009379CA" w:rsidRDefault="00626411" w:rsidP="00626411">
      <w:pPr>
        <w:numPr>
          <w:ilvl w:val="12"/>
          <w:numId w:val="0"/>
        </w:numPr>
        <w:spacing w:line="240" w:lineRule="auto"/>
      </w:pPr>
    </w:p>
    <w:p w:rsidR="00626411" w:rsidRPr="009619EA" w:rsidRDefault="00626411" w:rsidP="00626411">
      <w:pPr>
        <w:keepNext/>
        <w:spacing w:line="240" w:lineRule="auto"/>
        <w:jc w:val="both"/>
        <w:outlineLvl w:val="3"/>
        <w:rPr>
          <w:b/>
        </w:rPr>
      </w:pPr>
      <w:r w:rsidRPr="009619EA">
        <w:rPr>
          <w:b/>
        </w:rPr>
        <w:t>Kiti vaistai ir OSCILLOCOCCINUM</w:t>
      </w:r>
    </w:p>
    <w:p w:rsidR="00626411" w:rsidRPr="009619EA" w:rsidRDefault="00626411" w:rsidP="00626411">
      <w:pPr>
        <w:numPr>
          <w:ilvl w:val="12"/>
          <w:numId w:val="0"/>
        </w:numPr>
        <w:spacing w:line="240" w:lineRule="auto"/>
        <w:ind w:right="-2"/>
        <w:jc w:val="both"/>
      </w:pPr>
      <w:r w:rsidRPr="009619EA">
        <w:t>Jeigu vartojate ar neseniai vartojote kitų vaistų arba dėl to nesate tikri, apie tai pasakykite gydytojui arba vaistininkui.</w:t>
      </w:r>
    </w:p>
    <w:p w:rsidR="00626411" w:rsidRPr="009619EA" w:rsidRDefault="00626411" w:rsidP="00626411">
      <w:pPr>
        <w:numPr>
          <w:ilvl w:val="12"/>
          <w:numId w:val="0"/>
        </w:numPr>
        <w:spacing w:line="240" w:lineRule="auto"/>
      </w:pPr>
    </w:p>
    <w:p w:rsidR="00626411" w:rsidRPr="009619EA" w:rsidRDefault="00626411" w:rsidP="00626411">
      <w:pPr>
        <w:keepNext/>
        <w:spacing w:line="240" w:lineRule="auto"/>
        <w:jc w:val="both"/>
        <w:outlineLvl w:val="3"/>
        <w:rPr>
          <w:b/>
        </w:rPr>
      </w:pPr>
      <w:r w:rsidRPr="009619EA">
        <w:rPr>
          <w:b/>
        </w:rPr>
        <w:t>Nėštumas ir žindymo laikotarpis</w:t>
      </w:r>
    </w:p>
    <w:p w:rsidR="00626411" w:rsidRPr="009619EA" w:rsidRDefault="00626411" w:rsidP="00626411">
      <w:pPr>
        <w:spacing w:line="240" w:lineRule="auto"/>
      </w:pPr>
      <w:r w:rsidRPr="009619EA">
        <w:t>Prieš vartojant bet kokį vaistą, būtina pasitarti su gydytoju arba vaistininku.</w:t>
      </w:r>
    </w:p>
    <w:p w:rsidR="00626411" w:rsidRPr="009619EA" w:rsidRDefault="00626411" w:rsidP="00626411">
      <w:pPr>
        <w:numPr>
          <w:ilvl w:val="12"/>
          <w:numId w:val="0"/>
        </w:numPr>
        <w:spacing w:line="240" w:lineRule="auto"/>
      </w:pPr>
    </w:p>
    <w:p w:rsidR="00626411" w:rsidRPr="009619EA" w:rsidRDefault="00626411" w:rsidP="00626411">
      <w:pPr>
        <w:keepNext/>
        <w:spacing w:line="240" w:lineRule="auto"/>
        <w:jc w:val="both"/>
        <w:outlineLvl w:val="3"/>
        <w:rPr>
          <w:b/>
        </w:rPr>
      </w:pPr>
      <w:r w:rsidRPr="009619EA">
        <w:rPr>
          <w:b/>
        </w:rPr>
        <w:t>Vairavimas ir mechanizmų valdymas</w:t>
      </w:r>
    </w:p>
    <w:p w:rsidR="00626411" w:rsidRPr="009619EA" w:rsidRDefault="00626411" w:rsidP="00626411">
      <w:pPr>
        <w:spacing w:line="240" w:lineRule="auto"/>
      </w:pPr>
      <w:r w:rsidRPr="009619EA">
        <w:t>OSCILLOCOCCINUM gebėjimo vairuoti ir valdyti mechanizmus neveikia</w:t>
      </w:r>
    </w:p>
    <w:p w:rsidR="00626411" w:rsidRPr="009619EA" w:rsidRDefault="00626411" w:rsidP="00626411">
      <w:pPr>
        <w:spacing w:line="240" w:lineRule="auto"/>
        <w:rPr>
          <w:caps/>
        </w:rPr>
      </w:pPr>
    </w:p>
    <w:p w:rsidR="00626411" w:rsidRPr="009619EA" w:rsidRDefault="00626411" w:rsidP="00626411">
      <w:pPr>
        <w:spacing w:line="240" w:lineRule="auto"/>
      </w:pPr>
      <w:r w:rsidRPr="009619EA">
        <w:rPr>
          <w:b/>
        </w:rPr>
        <w:t xml:space="preserve">OSCILLOCOCCINUM </w:t>
      </w:r>
      <w:r>
        <w:rPr>
          <w:b/>
        </w:rPr>
        <w:t>sudėtyje yra</w:t>
      </w:r>
      <w:r>
        <w:t xml:space="preserve"> </w:t>
      </w:r>
      <w:r w:rsidRPr="00B877B4">
        <w:rPr>
          <w:b/>
          <w:bCs/>
        </w:rPr>
        <w:t>sacharozės ir laktozės</w:t>
      </w:r>
    </w:p>
    <w:p w:rsidR="00626411" w:rsidRPr="009619EA" w:rsidRDefault="00626411" w:rsidP="00626411">
      <w:pPr>
        <w:spacing w:line="240" w:lineRule="auto"/>
        <w:jc w:val="both"/>
      </w:pPr>
      <w:r w:rsidRPr="009619EA">
        <w:t>Jeigu gydytojas Jums yra sakęs, kad netoleruojate kokių nors angliavandenių, kreipkitės į jį prieš pradėdami vartoti šį vaistą.</w:t>
      </w:r>
    </w:p>
    <w:p w:rsidR="00626411" w:rsidRPr="009619EA" w:rsidRDefault="00626411" w:rsidP="00626411">
      <w:pPr>
        <w:tabs>
          <w:tab w:val="left" w:pos="6690"/>
        </w:tabs>
        <w:spacing w:line="240" w:lineRule="auto"/>
        <w:ind w:left="567" w:hanging="567"/>
      </w:pPr>
    </w:p>
    <w:p w:rsidR="00626411" w:rsidRPr="009619EA" w:rsidRDefault="00626411" w:rsidP="00626411">
      <w:pPr>
        <w:tabs>
          <w:tab w:val="left" w:pos="6690"/>
        </w:tabs>
        <w:spacing w:line="240" w:lineRule="auto"/>
      </w:pPr>
    </w:p>
    <w:p w:rsidR="00626411" w:rsidRPr="00537684" w:rsidRDefault="00626411" w:rsidP="00626411">
      <w:pPr>
        <w:spacing w:line="240" w:lineRule="auto"/>
        <w:ind w:left="567" w:hanging="567"/>
        <w:rPr>
          <w:b/>
        </w:rPr>
      </w:pPr>
      <w:r w:rsidRPr="00537684">
        <w:rPr>
          <w:b/>
        </w:rPr>
        <w:lastRenderedPageBreak/>
        <w:t>3.</w:t>
      </w:r>
      <w:r w:rsidRPr="00537684">
        <w:rPr>
          <w:b/>
        </w:rPr>
        <w:tab/>
      </w:r>
      <w:r w:rsidRPr="007B750D">
        <w:rPr>
          <w:b/>
        </w:rPr>
        <w:t xml:space="preserve">Kaip vartoti </w:t>
      </w:r>
      <w:r w:rsidRPr="00537684">
        <w:rPr>
          <w:b/>
        </w:rPr>
        <w:t>OSCILLOCOCCINUM</w:t>
      </w:r>
    </w:p>
    <w:p w:rsidR="00626411" w:rsidRPr="007B750D" w:rsidRDefault="00626411" w:rsidP="00626411">
      <w:pPr>
        <w:spacing w:line="240" w:lineRule="auto"/>
        <w:rPr>
          <w:highlight w:val="yellow"/>
        </w:rPr>
      </w:pPr>
    </w:p>
    <w:p w:rsidR="00626411" w:rsidRPr="00B34FA1" w:rsidRDefault="00626411" w:rsidP="0062641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 w:rsidRPr="00B34FA1">
        <w:rPr>
          <w:noProof/>
          <w:szCs w:val="24"/>
        </w:rPr>
        <w:t>Visada vartokite šį vaistą tiksliai kaip nurodė gydytojas arba vaistininkas.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Jeigu abejojate, kreipkitės į gydytoją arba vaistininką.</w:t>
      </w:r>
    </w:p>
    <w:p w:rsidR="00626411" w:rsidRDefault="00626411" w:rsidP="00626411">
      <w:pPr>
        <w:tabs>
          <w:tab w:val="left" w:pos="374"/>
          <w:tab w:val="left" w:pos="884"/>
        </w:tabs>
        <w:suppressAutoHyphens/>
        <w:spacing w:line="240" w:lineRule="auto"/>
        <w:jc w:val="both"/>
        <w:rPr>
          <w:spacing w:val="-2"/>
          <w:highlight w:val="yellow"/>
        </w:rPr>
      </w:pPr>
    </w:p>
    <w:p w:rsidR="00626411" w:rsidRPr="00537684" w:rsidRDefault="00626411" w:rsidP="00626411">
      <w:pPr>
        <w:tabs>
          <w:tab w:val="left" w:pos="374"/>
          <w:tab w:val="left" w:pos="884"/>
        </w:tabs>
        <w:suppressAutoHyphens/>
        <w:spacing w:line="240" w:lineRule="auto"/>
        <w:jc w:val="both"/>
        <w:rPr>
          <w:spacing w:val="-2"/>
        </w:rPr>
      </w:pPr>
      <w:r w:rsidRPr="00537684">
        <w:rPr>
          <w:spacing w:val="-2"/>
        </w:rPr>
        <w:t>Dozė priklauso nuo ligos stadijos:</w:t>
      </w:r>
    </w:p>
    <w:p w:rsidR="00626411" w:rsidRPr="007B750D" w:rsidRDefault="00626411" w:rsidP="00626411">
      <w:pPr>
        <w:numPr>
          <w:ilvl w:val="0"/>
          <w:numId w:val="1"/>
        </w:numPr>
        <w:suppressAutoHyphens/>
        <w:spacing w:line="240" w:lineRule="auto"/>
        <w:ind w:left="567" w:hanging="567"/>
        <w:jc w:val="both"/>
        <w:rPr>
          <w:spacing w:val="-2"/>
        </w:rPr>
      </w:pPr>
      <w:r w:rsidRPr="007B750D">
        <w:rPr>
          <w:i/>
          <w:spacing w:val="-2"/>
        </w:rPr>
        <w:t>inkubacijos laikotarpiu ir simptomams prasidėjus –</w:t>
      </w:r>
      <w:r w:rsidRPr="007B750D">
        <w:rPr>
          <w:spacing w:val="-2"/>
        </w:rPr>
        <w:t xml:space="preserve"> 1 dozė, kai tik atsiranda simptomų. Kartoti 2 ar 3 kartus kas 6 valandas; </w:t>
      </w:r>
    </w:p>
    <w:p w:rsidR="00626411" w:rsidRPr="007B750D" w:rsidRDefault="00626411" w:rsidP="00626411">
      <w:pPr>
        <w:numPr>
          <w:ilvl w:val="0"/>
          <w:numId w:val="1"/>
        </w:numPr>
        <w:suppressAutoHyphens/>
        <w:spacing w:line="240" w:lineRule="auto"/>
        <w:ind w:left="567" w:hanging="567"/>
        <w:jc w:val="both"/>
        <w:rPr>
          <w:spacing w:val="-2"/>
        </w:rPr>
      </w:pPr>
      <w:r w:rsidRPr="007B750D">
        <w:rPr>
          <w:i/>
          <w:spacing w:val="-2"/>
        </w:rPr>
        <w:t>sergant –</w:t>
      </w:r>
      <w:r w:rsidRPr="007B750D">
        <w:rPr>
          <w:spacing w:val="-2"/>
        </w:rPr>
        <w:t xml:space="preserve"> 1 dozė 2 kartus per parą (geriausiai ryte ir vakare) 1–3 paras.</w:t>
      </w:r>
    </w:p>
    <w:p w:rsidR="00626411" w:rsidRPr="007B750D" w:rsidRDefault="00626411" w:rsidP="00626411">
      <w:pPr>
        <w:spacing w:line="240" w:lineRule="auto"/>
        <w:rPr>
          <w:spacing w:val="-2"/>
        </w:rPr>
      </w:pPr>
    </w:p>
    <w:p w:rsidR="00626411" w:rsidRPr="007B750D" w:rsidRDefault="00626411" w:rsidP="00626411">
      <w:pPr>
        <w:spacing w:line="240" w:lineRule="auto"/>
        <w:rPr>
          <w:spacing w:val="-2"/>
        </w:rPr>
      </w:pPr>
      <w:r w:rsidRPr="007B750D">
        <w:rPr>
          <w:spacing w:val="-2"/>
        </w:rPr>
        <w:t>Jei simptomai tęsiasi ilgiau nei 3</w:t>
      </w:r>
      <w:r>
        <w:rPr>
          <w:spacing w:val="-2"/>
        </w:rPr>
        <w:t> </w:t>
      </w:r>
      <w:r w:rsidRPr="007B750D">
        <w:rPr>
          <w:spacing w:val="-2"/>
        </w:rPr>
        <w:t>paras, kreipkitės į gydytoją.</w:t>
      </w:r>
    </w:p>
    <w:p w:rsidR="00626411" w:rsidRPr="007B750D" w:rsidRDefault="00626411" w:rsidP="00626411">
      <w:pPr>
        <w:spacing w:line="240" w:lineRule="auto"/>
        <w:rPr>
          <w:spacing w:val="-2"/>
        </w:rPr>
      </w:pPr>
    </w:p>
    <w:p w:rsidR="00626411" w:rsidRPr="00B877B4" w:rsidRDefault="00626411" w:rsidP="00626411">
      <w:pPr>
        <w:spacing w:line="240" w:lineRule="auto"/>
        <w:rPr>
          <w:b/>
          <w:bCs/>
        </w:rPr>
      </w:pPr>
      <w:r w:rsidRPr="00B877B4">
        <w:rPr>
          <w:b/>
          <w:bCs/>
        </w:rPr>
        <w:t>Vartojimas vaikams</w:t>
      </w:r>
    </w:p>
    <w:p w:rsidR="00626411" w:rsidRPr="009619EA" w:rsidRDefault="00626411" w:rsidP="00626411">
      <w:pPr>
        <w:spacing w:line="240" w:lineRule="auto"/>
      </w:pPr>
      <w:r w:rsidRPr="00537684">
        <w:t>Prieš vartojimą piliules reikia ištirpinti vandenyje.</w:t>
      </w:r>
    </w:p>
    <w:p w:rsidR="00626411" w:rsidRDefault="00626411" w:rsidP="00626411">
      <w:pPr>
        <w:spacing w:line="240" w:lineRule="auto"/>
      </w:pPr>
    </w:p>
    <w:p w:rsidR="00626411" w:rsidRPr="009619EA" w:rsidRDefault="00626411" w:rsidP="00626411">
      <w:pPr>
        <w:spacing w:line="240" w:lineRule="auto"/>
      </w:pPr>
    </w:p>
    <w:p w:rsidR="00626411" w:rsidRPr="009619EA" w:rsidRDefault="00626411" w:rsidP="00626411">
      <w:pPr>
        <w:spacing w:line="240" w:lineRule="auto"/>
        <w:ind w:left="567" w:hanging="567"/>
        <w:rPr>
          <w:b/>
          <w:caps/>
        </w:rPr>
      </w:pPr>
      <w:r w:rsidRPr="009619EA">
        <w:rPr>
          <w:b/>
          <w:caps/>
        </w:rPr>
        <w:t>4.</w:t>
      </w:r>
      <w:r w:rsidRPr="009619EA">
        <w:rPr>
          <w:b/>
          <w:caps/>
        </w:rPr>
        <w:tab/>
      </w:r>
      <w:r w:rsidRPr="009619EA">
        <w:rPr>
          <w:b/>
        </w:rPr>
        <w:t>Galimas šalutinis poveikis</w:t>
      </w:r>
    </w:p>
    <w:p w:rsidR="00626411" w:rsidRPr="009619EA" w:rsidRDefault="00626411" w:rsidP="00626411">
      <w:pPr>
        <w:spacing w:line="240" w:lineRule="auto"/>
        <w:ind w:left="567" w:hanging="567"/>
      </w:pPr>
    </w:p>
    <w:p w:rsidR="00626411" w:rsidRPr="009619EA" w:rsidRDefault="00626411" w:rsidP="00626411">
      <w:pPr>
        <w:tabs>
          <w:tab w:val="left" w:pos="0"/>
        </w:tabs>
        <w:spacing w:line="240" w:lineRule="auto"/>
        <w:jc w:val="both"/>
        <w:outlineLvl w:val="0"/>
      </w:pPr>
      <w:r>
        <w:t>Šis vaistas</w:t>
      </w:r>
      <w:r w:rsidRPr="009619EA">
        <w:t xml:space="preserve">, kaip ir </w:t>
      </w:r>
      <w:r>
        <w:t xml:space="preserve">visi </w:t>
      </w:r>
      <w:r w:rsidRPr="009619EA">
        <w:t>kiti, gali sukelti šalutinį poveikį, nors jis pasireiškia ne visiems žmonėms.</w:t>
      </w:r>
    </w:p>
    <w:p w:rsidR="00626411" w:rsidRPr="009619EA" w:rsidRDefault="00626411" w:rsidP="00626411">
      <w:pPr>
        <w:spacing w:line="240" w:lineRule="auto"/>
      </w:pPr>
    </w:p>
    <w:p w:rsidR="00626411" w:rsidRPr="009A6764" w:rsidRDefault="00626411" w:rsidP="00626411">
      <w:pPr>
        <w:spacing w:line="240" w:lineRule="auto"/>
        <w:rPr>
          <w:b/>
        </w:rPr>
      </w:pPr>
      <w:r w:rsidRPr="009A6764">
        <w:rPr>
          <w:b/>
        </w:rPr>
        <w:t>Pranešimas apie šalutinį poveikį</w:t>
      </w:r>
    </w:p>
    <w:p w:rsidR="00626411" w:rsidRPr="00B877B4" w:rsidRDefault="00626411" w:rsidP="00626411">
      <w:pPr>
        <w:ind w:right="-449"/>
        <w:jc w:val="both"/>
      </w:pPr>
      <w:r w:rsidRPr="00947A47">
        <w:t>Jeigu pasireiškė šalutinis poveikis</w:t>
      </w:r>
      <w:r w:rsidRPr="009A6764">
        <w:t>, įskaitant</w:t>
      </w:r>
      <w:r w:rsidRPr="00947A47">
        <w:t xml:space="preserve"> šiame lapelyje nenurodytą, pasakykite gydytojui arba vaistininkui.</w:t>
      </w:r>
      <w:r w:rsidRPr="009A6764">
        <w:t xml:space="preserve"> </w:t>
      </w:r>
      <w:r w:rsidRPr="0036377A">
        <w:t>Apie šalutinį poveikį taip pat galite pranešti Valstybinei vaistų kontrolės tarnybai prie Lietuvos Respublikos sveikatos apsaugos ministerijos nemokamu t</w:t>
      </w:r>
      <w:r w:rsidRPr="0036377A">
        <w:rPr>
          <w:lang w:eastAsia="zh-CN"/>
        </w:rPr>
        <w:t>elefonu 8 800 73568</w:t>
      </w:r>
      <w:r w:rsidRPr="0036377A">
        <w:t xml:space="preserve"> arba užpildyti interneto svetainėje </w:t>
      </w:r>
      <w:hyperlink r:id="rId5" w:history="1">
        <w:r w:rsidRPr="0036377A">
          <w:rPr>
            <w:rStyle w:val="Hipersaitas"/>
            <w:rFonts w:eastAsia="SimSun"/>
          </w:rPr>
          <w:t>www.vvkt.lt</w:t>
        </w:r>
      </w:hyperlink>
      <w:r w:rsidRPr="0036377A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6377A">
        <w:rPr>
          <w:lang w:eastAsia="zh-CN"/>
        </w:rPr>
        <w:t xml:space="preserve">nemokamu </w:t>
      </w:r>
      <w:r w:rsidRPr="0036377A">
        <w:t>fakso numeriu 8 800 20131</w:t>
      </w:r>
      <w:r w:rsidRPr="0036377A">
        <w:rPr>
          <w:lang w:eastAsia="zh-CN"/>
        </w:rPr>
        <w:t xml:space="preserve">, </w:t>
      </w:r>
      <w:r w:rsidRPr="0036377A">
        <w:t xml:space="preserve">el. paštu </w:t>
      </w:r>
      <w:hyperlink r:id="rId6" w:history="1">
        <w:r w:rsidRPr="0036377A">
          <w:rPr>
            <w:rStyle w:val="Hipersaitas"/>
            <w:rFonts w:eastAsia="SimSun"/>
          </w:rPr>
          <w:t>NepageidaujamaR@vvkt.lt</w:t>
        </w:r>
      </w:hyperlink>
      <w:r w:rsidRPr="0036377A">
        <w:t xml:space="preserve">, taip pat per Valstybinės vaistų kontrolės tarnybos prie Lietuvos Respublikos sveikatos apsaugos ministerijos interneto svetainę (adresu </w:t>
      </w:r>
      <w:hyperlink r:id="rId7" w:history="1">
        <w:r w:rsidRPr="0036377A">
          <w:rPr>
            <w:rStyle w:val="Hipersaitas"/>
            <w:rFonts w:eastAsia="SimSun"/>
          </w:rPr>
          <w:t>http://www.vvkt.lt</w:t>
        </w:r>
      </w:hyperlink>
      <w:r w:rsidRPr="0036377A">
        <w:t>). Pranešdami apie šalutinį poveikį galite mums padėti gauti daugiau informacijos apie šio vaisto saugumą.</w:t>
      </w:r>
    </w:p>
    <w:p w:rsidR="00626411" w:rsidRPr="00947A47" w:rsidRDefault="00626411" w:rsidP="00626411">
      <w:pPr>
        <w:spacing w:line="240" w:lineRule="auto"/>
        <w:jc w:val="both"/>
      </w:pPr>
    </w:p>
    <w:p w:rsidR="00626411" w:rsidRPr="00947A47" w:rsidRDefault="00626411" w:rsidP="00626411">
      <w:pPr>
        <w:spacing w:line="240" w:lineRule="auto"/>
      </w:pPr>
    </w:p>
    <w:p w:rsidR="00626411" w:rsidRPr="00947A47" w:rsidRDefault="00626411" w:rsidP="00626411">
      <w:pPr>
        <w:spacing w:line="240" w:lineRule="auto"/>
        <w:ind w:left="567" w:right="-2" w:hanging="567"/>
        <w:rPr>
          <w:b/>
        </w:rPr>
      </w:pPr>
      <w:r w:rsidRPr="00947A47">
        <w:rPr>
          <w:b/>
        </w:rPr>
        <w:t>5.</w:t>
      </w:r>
      <w:r w:rsidRPr="00947A47">
        <w:rPr>
          <w:b/>
        </w:rPr>
        <w:tab/>
        <w:t>Kaip laikyti OSCILLOCOCCINUM</w:t>
      </w:r>
    </w:p>
    <w:p w:rsidR="00626411" w:rsidRPr="00947A47" w:rsidRDefault="00626411" w:rsidP="00626411">
      <w:pPr>
        <w:spacing w:line="240" w:lineRule="auto"/>
      </w:pPr>
    </w:p>
    <w:p w:rsidR="00626411" w:rsidRPr="00947A47" w:rsidRDefault="00626411" w:rsidP="00626411">
      <w:pPr>
        <w:spacing w:line="240" w:lineRule="auto"/>
      </w:pPr>
      <w:r>
        <w:t>Šį vaistą l</w:t>
      </w:r>
      <w:r w:rsidRPr="00947A47">
        <w:t>aiky</w:t>
      </w:r>
      <w:r>
        <w:t>kite</w:t>
      </w:r>
      <w:r w:rsidRPr="00947A47">
        <w:t xml:space="preserve"> vaikams nepastebimoje ir nepasiekiamoje vietoje.</w:t>
      </w:r>
    </w:p>
    <w:p w:rsidR="00626411" w:rsidRPr="00947A47" w:rsidRDefault="00626411" w:rsidP="00626411">
      <w:pPr>
        <w:spacing w:line="240" w:lineRule="auto"/>
      </w:pPr>
    </w:p>
    <w:p w:rsidR="00626411" w:rsidRPr="00947A47" w:rsidRDefault="00626411" w:rsidP="00626411">
      <w:pPr>
        <w:spacing w:line="240" w:lineRule="auto"/>
        <w:jc w:val="both"/>
      </w:pPr>
      <w:r w:rsidRPr="00947A47">
        <w:t xml:space="preserve">Ant dėžutės po „Tinka iki“ ir tūbelės nurodytam tinkamumo laikui pasibaigus, </w:t>
      </w:r>
      <w:r>
        <w:t>šio vaisto</w:t>
      </w:r>
      <w:r w:rsidRPr="00947A47">
        <w:t xml:space="preserve"> vartoti negalima. Vaistas tinka</w:t>
      </w:r>
      <w:r>
        <w:t>mas</w:t>
      </w:r>
      <w:r w:rsidRPr="00947A47">
        <w:t xml:space="preserve"> vartoti iki paskutinės nurodyto mėnesio dienos.</w:t>
      </w:r>
    </w:p>
    <w:p w:rsidR="00626411" w:rsidRPr="00947A47" w:rsidRDefault="00626411" w:rsidP="00626411">
      <w:pPr>
        <w:spacing w:line="240" w:lineRule="auto"/>
      </w:pPr>
    </w:p>
    <w:p w:rsidR="00626411" w:rsidRPr="00947A47" w:rsidRDefault="00626411" w:rsidP="00626411">
      <w:pPr>
        <w:spacing w:line="240" w:lineRule="auto"/>
      </w:pPr>
      <w:r w:rsidRPr="00947A47">
        <w:t>Šiam vaistui specialių laikymo sąlygų nereikia.</w:t>
      </w:r>
    </w:p>
    <w:p w:rsidR="00626411" w:rsidRPr="00947A47" w:rsidRDefault="00626411" w:rsidP="00626411">
      <w:pPr>
        <w:spacing w:line="240" w:lineRule="auto"/>
      </w:pPr>
    </w:p>
    <w:p w:rsidR="00626411" w:rsidRPr="00947A47" w:rsidRDefault="00626411" w:rsidP="00626411">
      <w:pPr>
        <w:spacing w:line="240" w:lineRule="auto"/>
      </w:pPr>
    </w:p>
    <w:p w:rsidR="00626411" w:rsidRPr="00947A47" w:rsidRDefault="00626411" w:rsidP="00626411">
      <w:pPr>
        <w:spacing w:line="240" w:lineRule="auto"/>
        <w:ind w:right="-2"/>
        <w:rPr>
          <w:b/>
        </w:rPr>
      </w:pPr>
      <w:r w:rsidRPr="00947A47">
        <w:rPr>
          <w:b/>
        </w:rPr>
        <w:t>6.</w:t>
      </w:r>
      <w:r w:rsidRPr="00947A47">
        <w:rPr>
          <w:b/>
        </w:rPr>
        <w:tab/>
      </w:r>
      <w:r w:rsidRPr="00D242A3">
        <w:rPr>
          <w:b/>
        </w:rPr>
        <w:t>Pakuotės turinys ir k</w:t>
      </w:r>
      <w:r w:rsidRPr="00947A47">
        <w:rPr>
          <w:b/>
        </w:rPr>
        <w:t>ita informacija</w:t>
      </w:r>
    </w:p>
    <w:p w:rsidR="00626411" w:rsidRPr="00947A47" w:rsidRDefault="00626411" w:rsidP="00626411">
      <w:pPr>
        <w:spacing w:line="240" w:lineRule="auto"/>
        <w:ind w:right="-2"/>
      </w:pPr>
    </w:p>
    <w:p w:rsidR="00626411" w:rsidRPr="00947A47" w:rsidRDefault="00626411" w:rsidP="00626411">
      <w:pPr>
        <w:spacing w:line="240" w:lineRule="auto"/>
        <w:ind w:right="-2"/>
        <w:outlineLvl w:val="0"/>
        <w:rPr>
          <w:b/>
        </w:rPr>
      </w:pPr>
      <w:r w:rsidRPr="00947A47">
        <w:rPr>
          <w:b/>
        </w:rPr>
        <w:t>OSCILLOCOCCINUM</w:t>
      </w:r>
      <w:r w:rsidRPr="00947A47">
        <w:t xml:space="preserve"> </w:t>
      </w:r>
      <w:r w:rsidRPr="00947A47">
        <w:rPr>
          <w:b/>
        </w:rPr>
        <w:t>sudėtis</w:t>
      </w:r>
    </w:p>
    <w:p w:rsidR="00626411" w:rsidRPr="00947A47" w:rsidRDefault="00626411" w:rsidP="00626411">
      <w:pPr>
        <w:spacing w:line="240" w:lineRule="auto"/>
        <w:ind w:right="-2"/>
        <w:outlineLvl w:val="0"/>
      </w:pPr>
    </w:p>
    <w:p w:rsidR="00626411" w:rsidRPr="00947A47" w:rsidRDefault="00626411" w:rsidP="00626411">
      <w:pPr>
        <w:tabs>
          <w:tab w:val="num" w:pos="0"/>
        </w:tabs>
        <w:spacing w:line="240" w:lineRule="auto"/>
        <w:ind w:left="567" w:hanging="567"/>
        <w:jc w:val="both"/>
      </w:pPr>
      <w:r>
        <w:t>-</w:t>
      </w:r>
      <w:r>
        <w:tab/>
      </w:r>
      <w:r w:rsidRPr="00947A47">
        <w:t>Veiklioji medžiaga yra laukinių ančių kepenų ir širdžių ekstraktas 200K potencijos. Vienoje dozėje (</w:t>
      </w:r>
      <w:smartTag w:uri="urn:schemas-microsoft-com:office:smarttags" w:element="metricconverter">
        <w:smartTagPr>
          <w:attr w:name="ProductID" w:val="1 g"/>
        </w:smartTagPr>
        <w:r w:rsidRPr="00947A47">
          <w:t>1 g</w:t>
        </w:r>
      </w:smartTag>
      <w:r w:rsidRPr="00947A47">
        <w:t>) yra 0,01 ml laukinių ančių (</w:t>
      </w:r>
      <w:r w:rsidRPr="00947A47">
        <w:rPr>
          <w:i/>
        </w:rPr>
        <w:t>Anas barbariae</w:t>
      </w:r>
      <w:r w:rsidRPr="00947A47">
        <w:t>) kepenų ir širdžių ekstrakto 200K potencijos.</w:t>
      </w:r>
    </w:p>
    <w:p w:rsidR="00626411" w:rsidRPr="00947A47" w:rsidRDefault="00626411" w:rsidP="00626411">
      <w:pPr>
        <w:tabs>
          <w:tab w:val="left" w:pos="884"/>
          <w:tab w:val="left" w:pos="4594"/>
        </w:tabs>
        <w:suppressAutoHyphens/>
        <w:spacing w:line="240" w:lineRule="auto"/>
        <w:ind w:left="567" w:hanging="567"/>
        <w:outlineLvl w:val="0"/>
      </w:pPr>
      <w:r w:rsidRPr="00947A47">
        <w:t>-</w:t>
      </w:r>
      <w:r w:rsidRPr="00947A47">
        <w:tab/>
        <w:t>Pagalbinės medžiagos yra sacharozė, laktozė monohidratas.</w:t>
      </w:r>
    </w:p>
    <w:p w:rsidR="00626411" w:rsidRPr="00947A47" w:rsidRDefault="00626411" w:rsidP="00626411">
      <w:pPr>
        <w:spacing w:line="240" w:lineRule="auto"/>
        <w:ind w:right="-2"/>
      </w:pPr>
    </w:p>
    <w:p w:rsidR="00626411" w:rsidRPr="00947A47" w:rsidRDefault="00626411" w:rsidP="00626411">
      <w:pPr>
        <w:spacing w:line="240" w:lineRule="auto"/>
        <w:ind w:right="-2"/>
        <w:outlineLvl w:val="0"/>
        <w:rPr>
          <w:b/>
        </w:rPr>
      </w:pPr>
      <w:r w:rsidRPr="00947A47">
        <w:rPr>
          <w:b/>
        </w:rPr>
        <w:t>OSCILLOCOCCINUM</w:t>
      </w:r>
      <w:r w:rsidRPr="00947A47">
        <w:t xml:space="preserve"> </w:t>
      </w:r>
      <w:r w:rsidRPr="00947A47">
        <w:rPr>
          <w:b/>
        </w:rPr>
        <w:t>išvaizda ir kiekis pakuotėje</w:t>
      </w:r>
    </w:p>
    <w:p w:rsidR="00626411" w:rsidRPr="00947A47" w:rsidRDefault="00626411" w:rsidP="00626411">
      <w:pPr>
        <w:spacing w:line="240" w:lineRule="auto"/>
      </w:pPr>
    </w:p>
    <w:p w:rsidR="00626411" w:rsidRPr="00947A47" w:rsidRDefault="00626411" w:rsidP="00626411">
      <w:pPr>
        <w:spacing w:line="240" w:lineRule="auto"/>
      </w:pPr>
      <w:r w:rsidRPr="00947A47">
        <w:t>Baltos, rutulio formos piliulės.</w:t>
      </w:r>
    </w:p>
    <w:p w:rsidR="00626411" w:rsidRPr="00947A47" w:rsidRDefault="00626411" w:rsidP="00626411">
      <w:pPr>
        <w:spacing w:line="240" w:lineRule="auto"/>
      </w:pPr>
      <w:r w:rsidRPr="00947A47">
        <w:t>Dėžutėje yra 6 arba 30</w:t>
      </w:r>
      <w:r>
        <w:t> </w:t>
      </w:r>
      <w:r w:rsidRPr="00947A47">
        <w:t xml:space="preserve">dozių po </w:t>
      </w:r>
      <w:smartTag w:uri="urn:schemas-microsoft-com:office:smarttags" w:element="metricconverter">
        <w:smartTagPr>
          <w:attr w:name="ProductID" w:val="1 g"/>
        </w:smartTagPr>
        <w:r w:rsidRPr="00947A47">
          <w:t>1 g</w:t>
        </w:r>
      </w:smartTag>
      <w:r w:rsidRPr="00947A47">
        <w:t xml:space="preserve"> (polipropileno tūbelė su polietileniniu kamšteliu).</w:t>
      </w:r>
    </w:p>
    <w:p w:rsidR="00626411" w:rsidRPr="00947A47" w:rsidRDefault="00626411" w:rsidP="00626411">
      <w:pPr>
        <w:spacing w:line="240" w:lineRule="auto"/>
      </w:pPr>
      <w:r w:rsidRPr="00947A47">
        <w:t>Ali būti tiekiamos ne visų dydžių pakuotės.</w:t>
      </w:r>
    </w:p>
    <w:p w:rsidR="00626411" w:rsidRPr="00947A47" w:rsidRDefault="00626411" w:rsidP="00626411">
      <w:pPr>
        <w:spacing w:line="240" w:lineRule="auto"/>
        <w:ind w:right="-2"/>
      </w:pPr>
    </w:p>
    <w:p w:rsidR="00626411" w:rsidRDefault="00626411" w:rsidP="00626411">
      <w:pPr>
        <w:numPr>
          <w:ilvl w:val="12"/>
          <w:numId w:val="0"/>
        </w:numPr>
        <w:spacing w:line="240" w:lineRule="auto"/>
        <w:ind w:right="-2"/>
        <w:outlineLvl w:val="0"/>
        <w:rPr>
          <w:b/>
        </w:rPr>
      </w:pPr>
      <w:r w:rsidRPr="00947A47">
        <w:rPr>
          <w:b/>
        </w:rPr>
        <w:t>R</w:t>
      </w:r>
      <w:r>
        <w:rPr>
          <w:b/>
        </w:rPr>
        <w:t>egistruo</w:t>
      </w:r>
      <w:r w:rsidRPr="00947A47">
        <w:rPr>
          <w:b/>
        </w:rPr>
        <w:t xml:space="preserve">tojas </w:t>
      </w:r>
      <w:r>
        <w:rPr>
          <w:b/>
        </w:rPr>
        <w:t>ir gamintojas</w:t>
      </w:r>
    </w:p>
    <w:p w:rsidR="00626411" w:rsidRDefault="00626411" w:rsidP="00626411">
      <w:pPr>
        <w:numPr>
          <w:ilvl w:val="12"/>
          <w:numId w:val="0"/>
        </w:numPr>
        <w:spacing w:line="240" w:lineRule="auto"/>
        <w:ind w:right="-2"/>
        <w:outlineLvl w:val="0"/>
        <w:rPr>
          <w:b/>
        </w:rPr>
      </w:pPr>
    </w:p>
    <w:p w:rsidR="00626411" w:rsidRPr="00B877B4" w:rsidRDefault="00626411" w:rsidP="00626411">
      <w:pPr>
        <w:numPr>
          <w:ilvl w:val="12"/>
          <w:numId w:val="0"/>
        </w:numPr>
        <w:spacing w:line="240" w:lineRule="auto"/>
        <w:ind w:right="-2"/>
        <w:outlineLvl w:val="0"/>
        <w:rPr>
          <w:bCs/>
          <w:i/>
          <w:iCs/>
        </w:rPr>
      </w:pPr>
      <w:r w:rsidRPr="00B877B4">
        <w:rPr>
          <w:bCs/>
          <w:i/>
          <w:iCs/>
        </w:rPr>
        <w:t>Registruotojas</w:t>
      </w:r>
    </w:p>
    <w:p w:rsidR="00626411" w:rsidRPr="00947A47" w:rsidRDefault="00626411" w:rsidP="00626411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</w:pPr>
      <w:r w:rsidRPr="00947A47">
        <w:t>BOIRON</w:t>
      </w:r>
    </w:p>
    <w:p w:rsidR="00626411" w:rsidRPr="00947A47" w:rsidRDefault="00626411" w:rsidP="00626411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  <w:rPr>
          <w:lang w:val="fr-FR"/>
        </w:rPr>
      </w:pPr>
      <w:r w:rsidRPr="00FA7018">
        <w:rPr>
          <w:lang w:val="fr-FR"/>
        </w:rPr>
        <w:t>2 avenue</w:t>
      </w:r>
      <w:r w:rsidRPr="00947A47">
        <w:rPr>
          <w:lang w:val="fr-FR"/>
        </w:rPr>
        <w:t xml:space="preserve"> de </w:t>
      </w:r>
      <w:r w:rsidRPr="00FA7018">
        <w:rPr>
          <w:lang w:val="fr-FR"/>
        </w:rPr>
        <w:t>l’Ouest Lyonnais</w:t>
      </w:r>
    </w:p>
    <w:p w:rsidR="00626411" w:rsidRPr="00FA7018" w:rsidRDefault="00626411" w:rsidP="00626411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  <w:rPr>
          <w:lang w:val="fr-FR"/>
        </w:rPr>
      </w:pPr>
      <w:r w:rsidRPr="00FA7018">
        <w:rPr>
          <w:lang w:val="fr-FR"/>
        </w:rPr>
        <w:t>69510 Messimy</w:t>
      </w:r>
    </w:p>
    <w:p w:rsidR="00626411" w:rsidRPr="00947A47" w:rsidRDefault="00626411" w:rsidP="00626411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</w:pPr>
      <w:r w:rsidRPr="00947A47">
        <w:t>Prancūzija</w:t>
      </w:r>
    </w:p>
    <w:p w:rsidR="00626411" w:rsidRPr="00947A47" w:rsidRDefault="00626411" w:rsidP="00626411">
      <w:pPr>
        <w:spacing w:line="240" w:lineRule="auto"/>
      </w:pPr>
    </w:p>
    <w:p w:rsidR="00626411" w:rsidRPr="00537684" w:rsidRDefault="00626411" w:rsidP="00626411">
      <w:pPr>
        <w:spacing w:line="240" w:lineRule="auto"/>
      </w:pPr>
      <w:r w:rsidRPr="00B877B4">
        <w:rPr>
          <w:i/>
          <w:iCs/>
          <w:noProof/>
        </w:rPr>
        <w:t>Gamintojas</w:t>
      </w:r>
    </w:p>
    <w:p w:rsidR="00626411" w:rsidRPr="00FA7018" w:rsidRDefault="00626411" w:rsidP="00626411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</w:pPr>
      <w:r w:rsidRPr="00FA7018">
        <w:t>BOIRON</w:t>
      </w:r>
    </w:p>
    <w:p w:rsidR="00626411" w:rsidRPr="00FA7018" w:rsidRDefault="00626411" w:rsidP="00626411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</w:pPr>
      <w:r>
        <w:t>20</w:t>
      </w:r>
      <w:r w:rsidRPr="00FA7018">
        <w:t xml:space="preserve"> rue de la Libération</w:t>
      </w:r>
    </w:p>
    <w:p w:rsidR="00626411" w:rsidRPr="00FA7018" w:rsidRDefault="00626411" w:rsidP="00626411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</w:pPr>
      <w:r w:rsidRPr="00FA7018">
        <w:t>69110 Sainte-Foy-lès-Lyon</w:t>
      </w:r>
    </w:p>
    <w:p w:rsidR="00626411" w:rsidRPr="00FA7018" w:rsidRDefault="00626411" w:rsidP="00626411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</w:pPr>
      <w:r w:rsidRPr="00FA7018">
        <w:t>Prancūzija</w:t>
      </w:r>
    </w:p>
    <w:p w:rsidR="00626411" w:rsidRDefault="00626411" w:rsidP="00626411">
      <w:pPr>
        <w:spacing w:line="240" w:lineRule="auto"/>
      </w:pPr>
    </w:p>
    <w:p w:rsidR="00626411" w:rsidRDefault="00626411" w:rsidP="00626411">
      <w:pPr>
        <w:spacing w:line="240" w:lineRule="auto"/>
      </w:pPr>
      <w:r>
        <w:t>arba</w:t>
      </w:r>
    </w:p>
    <w:p w:rsidR="00626411" w:rsidRDefault="00626411" w:rsidP="00626411">
      <w:pPr>
        <w:spacing w:line="240" w:lineRule="auto"/>
      </w:pPr>
    </w:p>
    <w:p w:rsidR="00626411" w:rsidRPr="0037371D" w:rsidRDefault="00626411" w:rsidP="00626411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37371D">
        <w:rPr>
          <w:rFonts w:eastAsia="Calibri"/>
        </w:rPr>
        <w:t>BOIRON</w:t>
      </w:r>
    </w:p>
    <w:p w:rsidR="00626411" w:rsidRPr="0037371D" w:rsidRDefault="00626411" w:rsidP="00626411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37371D">
        <w:rPr>
          <w:rFonts w:eastAsia="Calibri"/>
        </w:rPr>
        <w:t>2 avenue de l’Ouest Lyonnais</w:t>
      </w:r>
    </w:p>
    <w:p w:rsidR="00626411" w:rsidRPr="0037371D" w:rsidRDefault="00626411" w:rsidP="00626411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37371D">
        <w:rPr>
          <w:rFonts w:eastAsia="Calibri"/>
        </w:rPr>
        <w:t>69510 Messimy</w:t>
      </w:r>
    </w:p>
    <w:p w:rsidR="00626411" w:rsidRPr="0037371D" w:rsidRDefault="00626411" w:rsidP="00626411">
      <w:pPr>
        <w:spacing w:line="240" w:lineRule="auto"/>
      </w:pPr>
      <w:r w:rsidRPr="0037371D">
        <w:rPr>
          <w:rFonts w:eastAsia="Calibri"/>
        </w:rPr>
        <w:t>Prancūzija</w:t>
      </w:r>
    </w:p>
    <w:p w:rsidR="00626411" w:rsidRPr="00FA7018" w:rsidRDefault="00626411" w:rsidP="00626411">
      <w:pPr>
        <w:spacing w:line="240" w:lineRule="auto"/>
      </w:pPr>
    </w:p>
    <w:p w:rsidR="00626411" w:rsidRPr="00947A47" w:rsidRDefault="00626411" w:rsidP="00626411">
      <w:pPr>
        <w:spacing w:line="240" w:lineRule="auto"/>
      </w:pPr>
      <w:r w:rsidRPr="00947A47">
        <w:t xml:space="preserve">Jeigu apie šį vaistą norite sužinoti daugiau, kreipkitės į vietinį </w:t>
      </w:r>
      <w:r>
        <w:rPr>
          <w:noProof/>
          <w:szCs w:val="24"/>
        </w:rPr>
        <w:t>registruotojo</w:t>
      </w:r>
      <w:r w:rsidRPr="00B34FA1">
        <w:rPr>
          <w:noProof/>
          <w:szCs w:val="24"/>
        </w:rPr>
        <w:t xml:space="preserve"> </w:t>
      </w:r>
      <w:r w:rsidRPr="00947A47">
        <w:t>atstovą.</w:t>
      </w:r>
    </w:p>
    <w:p w:rsidR="00626411" w:rsidRPr="00947A47" w:rsidRDefault="00626411" w:rsidP="00626411">
      <w:pPr>
        <w:spacing w:line="240" w:lineRule="auto"/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626411" w:rsidRPr="00FA7018" w:rsidTr="00406200">
        <w:tc>
          <w:tcPr>
            <w:tcW w:w="4678" w:type="dxa"/>
          </w:tcPr>
          <w:p w:rsidR="00626411" w:rsidRPr="00647883" w:rsidRDefault="00626411" w:rsidP="00406200">
            <w:pPr>
              <w:spacing w:line="240" w:lineRule="auto"/>
              <w:ind w:left="-75"/>
            </w:pPr>
            <w:r w:rsidRPr="00647883">
              <w:t>UAB „Miečys“</w:t>
            </w:r>
          </w:p>
          <w:p w:rsidR="00626411" w:rsidRPr="00947A47" w:rsidRDefault="00626411" w:rsidP="00406200">
            <w:pPr>
              <w:spacing w:line="240" w:lineRule="auto"/>
              <w:ind w:left="-75"/>
            </w:pPr>
            <w:r w:rsidRPr="00947A47">
              <w:t>Masiuliškių g.15, Sutkūnai</w:t>
            </w:r>
          </w:p>
          <w:p w:rsidR="00626411" w:rsidRPr="00947A47" w:rsidRDefault="00626411" w:rsidP="00406200">
            <w:pPr>
              <w:spacing w:line="240" w:lineRule="auto"/>
              <w:ind w:left="-75"/>
            </w:pPr>
            <w:r w:rsidRPr="00947A47">
              <w:t>76104 Šiaulių raj.</w:t>
            </w:r>
          </w:p>
          <w:p w:rsidR="00626411" w:rsidRPr="00947A47" w:rsidRDefault="00626411" w:rsidP="00406200">
            <w:pPr>
              <w:spacing w:line="240" w:lineRule="auto"/>
              <w:ind w:left="-75"/>
            </w:pPr>
            <w:r w:rsidRPr="00947A47">
              <w:t>Tel. +37080012345</w:t>
            </w:r>
          </w:p>
        </w:tc>
      </w:tr>
    </w:tbl>
    <w:p w:rsidR="00626411" w:rsidRPr="00947A47" w:rsidRDefault="00626411" w:rsidP="00626411">
      <w:pPr>
        <w:spacing w:line="240" w:lineRule="auto"/>
      </w:pPr>
    </w:p>
    <w:p w:rsidR="00626411" w:rsidRPr="00947A47" w:rsidRDefault="00626411" w:rsidP="00626411">
      <w:pPr>
        <w:spacing w:line="240" w:lineRule="auto"/>
      </w:pPr>
      <w:r w:rsidRPr="00947A47">
        <w:rPr>
          <w:b/>
        </w:rPr>
        <w:t xml:space="preserve">Šis pakuotės </w:t>
      </w:r>
      <w:smartTag w:uri="schemas-tilde-lt/tildestengine" w:element="templates">
        <w:smartTagPr>
          <w:attr w:name="text" w:val="LAPELIS"/>
          <w:attr w:name="id" w:val="-1"/>
          <w:attr w:name="baseform" w:val="lapel|is"/>
        </w:smartTagPr>
        <w:r w:rsidRPr="00947A47">
          <w:rPr>
            <w:b/>
          </w:rPr>
          <w:t>lapelis</w:t>
        </w:r>
      </w:smartTag>
      <w:r w:rsidRPr="00947A47">
        <w:rPr>
          <w:b/>
        </w:rPr>
        <w:t xml:space="preserve"> paskutinį kartą </w:t>
      </w:r>
      <w:r w:rsidRPr="00B34FA1">
        <w:rPr>
          <w:b/>
        </w:rPr>
        <w:t xml:space="preserve">peržiūrėtas </w:t>
      </w:r>
      <w:r>
        <w:rPr>
          <w:b/>
        </w:rPr>
        <w:t>2021-08-09.</w:t>
      </w:r>
    </w:p>
    <w:p w:rsidR="00626411" w:rsidRDefault="00626411" w:rsidP="00626411">
      <w:pPr>
        <w:spacing w:line="240" w:lineRule="auto"/>
        <w:jc w:val="both"/>
      </w:pPr>
    </w:p>
    <w:p w:rsidR="00626411" w:rsidRPr="00F70E65" w:rsidRDefault="00626411" w:rsidP="00626411">
      <w:pPr>
        <w:numPr>
          <w:ilvl w:val="12"/>
          <w:numId w:val="0"/>
        </w:numPr>
        <w:spacing w:line="240" w:lineRule="auto"/>
        <w:ind w:right="-2"/>
        <w:jc w:val="both"/>
        <w:rPr>
          <w:szCs w:val="24"/>
        </w:rPr>
      </w:pPr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B34FA1"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</w:rPr>
        <w:t xml:space="preserve"> </w:t>
      </w:r>
      <w:hyperlink r:id="rId8" w:history="1">
        <w:r w:rsidRPr="00506E50">
          <w:rPr>
            <w:rStyle w:val="Hipersaitas"/>
            <w:rFonts w:eastAsia="SimSun"/>
          </w:rPr>
          <w:t>http://www.vvkt.lt/</w:t>
        </w:r>
      </w:hyperlink>
      <w:r w:rsidRPr="00F70E65">
        <w:t>.</w:t>
      </w:r>
    </w:p>
    <w:p w:rsidR="00626411" w:rsidRPr="00F21FE2" w:rsidRDefault="00626411" w:rsidP="00626411">
      <w:pPr>
        <w:tabs>
          <w:tab w:val="clear" w:pos="567"/>
        </w:tabs>
        <w:spacing w:line="240" w:lineRule="auto"/>
        <w:outlineLvl w:val="0"/>
      </w:pPr>
    </w:p>
    <w:p w:rsidR="009041DB" w:rsidRDefault="009041DB">
      <w:bookmarkStart w:id="0" w:name="_GoBack"/>
      <w:bookmarkEnd w:id="0"/>
    </w:p>
    <w:sectPr w:rsidR="009041DB" w:rsidSect="001374C5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062920"/>
      <w:docPartObj>
        <w:docPartGallery w:val="Page Numbers (Bottom of Page)"/>
        <w:docPartUnique/>
      </w:docPartObj>
    </w:sdtPr>
    <w:sdtEndPr/>
    <w:sdtContent>
      <w:p w:rsidR="00073324" w:rsidRDefault="0062641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26411">
          <w:rPr>
            <w:noProof/>
            <w:lang w:val="fr-FR"/>
          </w:rPr>
          <w:t>3</w:t>
        </w:r>
        <w:r>
          <w:fldChar w:fldCharType="end"/>
        </w:r>
      </w:p>
    </w:sdtContent>
  </w:sdt>
  <w:p w:rsidR="009821FA" w:rsidRDefault="00626411">
    <w:pPr>
      <w:pStyle w:val="Porat1"/>
      <w:tabs>
        <w:tab w:val="right" w:pos="8931"/>
      </w:tabs>
      <w:ind w:right="9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1FA" w:rsidRDefault="00626411">
    <w:pPr>
      <w:pStyle w:val="Pora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1"/>
        <w:rFonts w:cs="Arial"/>
      </w:rPr>
      <w:fldChar w:fldCharType="begin"/>
    </w:r>
    <w:r>
      <w:rPr>
        <w:rStyle w:val="Puslapionumeris1"/>
        <w:rFonts w:cs="Arial"/>
      </w:rPr>
      <w:instrText xml:space="preserve">PAGE  </w:instrText>
    </w:r>
    <w:r>
      <w:rPr>
        <w:rStyle w:val="Puslapionumeris1"/>
        <w:rFonts w:cs="Arial"/>
      </w:rPr>
      <w:fldChar w:fldCharType="separate"/>
    </w:r>
    <w:r>
      <w:rPr>
        <w:rStyle w:val="Puslapionumeris1"/>
        <w:rFonts w:cs="Arial"/>
      </w:rPr>
      <w:t>1</w:t>
    </w:r>
    <w:r>
      <w:rPr>
        <w:rStyle w:val="Puslapionumeris1"/>
        <w:rFonts w:cs="Arial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CA285E"/>
    <w:multiLevelType w:val="hybridMultilevel"/>
    <w:tmpl w:val="32C64086"/>
    <w:lvl w:ilvl="0" w:tplc="43DA8D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C89477F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6600F7"/>
    <w:multiLevelType w:val="hybridMultilevel"/>
    <w:tmpl w:val="97A87DB8"/>
    <w:lvl w:ilvl="0" w:tplc="974E3A8A">
      <w:start w:val="4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Arial" w:eastAsia="Times New Roman" w:hAnsi="Arial" w:hint="default"/>
      </w:rPr>
    </w:lvl>
    <w:lvl w:ilvl="1" w:tplc="150E2AF6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716804BC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F0A44738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A89626F8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753E3D4A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B4D4B72C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A71C5A94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5B4E303E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11"/>
    <w:rsid w:val="00626411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BA738-C518-4B44-8DD6-9EA48484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6411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orat1">
    <w:name w:val="Poraštė1"/>
    <w:basedOn w:val="prastasis"/>
    <w:rsid w:val="0062641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uslapionumeris1">
    <w:name w:val="Puslapio numeris1"/>
    <w:basedOn w:val="Numatytasispastraiposriftas"/>
    <w:rsid w:val="00626411"/>
  </w:style>
  <w:style w:type="paragraph" w:styleId="Porat">
    <w:name w:val="footer"/>
    <w:basedOn w:val="prastasis"/>
    <w:link w:val="PoratDiagrama"/>
    <w:uiPriority w:val="99"/>
    <w:unhideWhenUsed/>
    <w:rsid w:val="00626411"/>
    <w:pPr>
      <w:tabs>
        <w:tab w:val="clear" w:pos="567"/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26411"/>
    <w:rPr>
      <w:rFonts w:ascii="Times New Roman" w:hAnsi="Times New Roman" w:cs="Times New Roman"/>
      <w:szCs w:val="20"/>
      <w:lang w:eastAsia="lt-LT"/>
    </w:rPr>
  </w:style>
  <w:style w:type="character" w:styleId="Hipersaitas">
    <w:name w:val="Hyperlink"/>
    <w:uiPriority w:val="99"/>
    <w:rsid w:val="0062641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626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3366</Words>
  <Characters>1919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2021-08-30T12:10:00Z</dcterms:created>
  <dcterms:modified xsi:type="dcterms:W3CDTF">2021-08-30T12:11:00Z</dcterms:modified>
</cp:coreProperties>
</file>