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5F" w:rsidRPr="00156990" w:rsidRDefault="009D625F" w:rsidP="009D625F">
      <w:pPr>
        <w:tabs>
          <w:tab w:val="left" w:pos="567"/>
        </w:tabs>
        <w:spacing w:after="0" w:line="240" w:lineRule="auto"/>
        <w:jc w:val="center"/>
        <w:rPr>
          <w:rFonts w:ascii="Times New Roman" w:hAnsi="Times New Roman"/>
          <w:b/>
          <w:lang w:eastAsia="lt-LT"/>
        </w:rPr>
      </w:pPr>
      <w:r w:rsidRPr="00156990">
        <w:rPr>
          <w:rFonts w:ascii="Times New Roman" w:hAnsi="Times New Roman"/>
          <w:b/>
          <w:lang w:eastAsia="lt-LT"/>
        </w:rPr>
        <w:t>Pakuotės lapelis:</w:t>
      </w:r>
      <w:r w:rsidRPr="00156990">
        <w:rPr>
          <w:rFonts w:ascii="Times New Roman" w:hAnsi="Times New Roman"/>
          <w:b/>
          <w:bCs/>
          <w:iCs/>
          <w:lang w:eastAsia="lt-LT"/>
        </w:rPr>
        <w:t xml:space="preserve"> </w:t>
      </w:r>
      <w:r w:rsidRPr="00156990">
        <w:rPr>
          <w:rFonts w:ascii="Times New Roman" w:hAnsi="Times New Roman"/>
          <w:b/>
          <w:lang w:eastAsia="lt-LT"/>
        </w:rPr>
        <w:t>informacija vartotojui</w:t>
      </w:r>
    </w:p>
    <w:p w:rsidR="009D625F" w:rsidRPr="00156990" w:rsidRDefault="009D625F" w:rsidP="009D625F">
      <w:pPr>
        <w:tabs>
          <w:tab w:val="left" w:pos="567"/>
        </w:tabs>
        <w:spacing w:after="0" w:line="240" w:lineRule="auto"/>
        <w:jc w:val="center"/>
        <w:rPr>
          <w:rFonts w:ascii="Times New Roman" w:hAnsi="Times New Roman"/>
          <w:b/>
          <w:caps/>
          <w:lang w:eastAsia="lt-LT"/>
        </w:rPr>
      </w:pPr>
    </w:p>
    <w:p w:rsidR="009D625F" w:rsidRPr="00156990" w:rsidRDefault="009D625F" w:rsidP="009D625F">
      <w:pPr>
        <w:tabs>
          <w:tab w:val="left" w:pos="567"/>
        </w:tabs>
        <w:spacing w:after="0" w:line="240" w:lineRule="auto"/>
        <w:jc w:val="center"/>
        <w:outlineLvl w:val="6"/>
        <w:rPr>
          <w:rFonts w:ascii="Times New Roman" w:hAnsi="Times New Roman"/>
          <w:b/>
          <w:bCs/>
          <w:lang w:eastAsia="lt-LT"/>
        </w:rPr>
      </w:pPr>
      <w:r w:rsidRPr="00156990">
        <w:rPr>
          <w:rFonts w:ascii="Times New Roman" w:hAnsi="Times New Roman"/>
          <w:b/>
          <w:lang w:eastAsia="lt-LT"/>
        </w:rPr>
        <w:t>Omeprazol Actavis 20 mg skrandyje neirios kietosios kapsulės</w:t>
      </w:r>
    </w:p>
    <w:p w:rsidR="009D625F" w:rsidRPr="00156990" w:rsidRDefault="009D625F" w:rsidP="009D625F">
      <w:pPr>
        <w:tabs>
          <w:tab w:val="left" w:pos="567"/>
        </w:tabs>
        <w:spacing w:after="0" w:line="240" w:lineRule="auto"/>
        <w:jc w:val="center"/>
        <w:rPr>
          <w:rFonts w:ascii="Times New Roman" w:hAnsi="Times New Roman"/>
          <w:lang w:eastAsia="lt-LT"/>
        </w:rPr>
      </w:pPr>
      <w:r w:rsidRPr="00156990">
        <w:rPr>
          <w:rFonts w:ascii="Times New Roman" w:hAnsi="Times New Roman"/>
          <w:lang w:eastAsia="lt-LT"/>
        </w:rPr>
        <w:t>Omeprazolas</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Atidžiai perskaitykite visą šį lapelį, prieš pradėdami vartoti šį vaistą, nes jame pateikiama Jums svarbi informacija.</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Neišmeskite šio lapelio, nes vėl gali prireikti jį perskaityti.</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kiltų daugiau klausimų, kreipkitės į gydytoją arba vaistininką.</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Šis vaistas skirtas tik Jums, todėl kitiems žmonėms jo duoti negalima. Vaistas gali jiems pakenkti (net tiems, kurių ligos požymiai yra tokie patys kaip Jūsų.</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pasireiškė šalutinis poveikis (net jeigu jis šiame lapelyje nenurodytas), kreipkitės į gydytoją arba vaistininką. Žr. 4 skyrių.</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Apie ką rašoma šiame lapelyje?</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1.</w:t>
      </w:r>
      <w:r w:rsidRPr="00156990">
        <w:rPr>
          <w:rFonts w:ascii="Times New Roman" w:hAnsi="Times New Roman"/>
          <w:lang w:eastAsia="lt-LT"/>
        </w:rPr>
        <w:tab/>
        <w:t>Kas yra Omeprazol Actavis ir kam jis vartojamas</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2.</w:t>
      </w:r>
      <w:r w:rsidRPr="00156990">
        <w:rPr>
          <w:rFonts w:ascii="Times New Roman" w:hAnsi="Times New Roman"/>
          <w:lang w:eastAsia="lt-LT"/>
        </w:rPr>
        <w:tab/>
        <w:t xml:space="preserve">Kas žinotina prieš vartojant Omeprazol Actavis </w:t>
      </w:r>
    </w:p>
    <w:p w:rsidR="009D625F" w:rsidRPr="00156990" w:rsidRDefault="009D625F" w:rsidP="009D625F">
      <w:pPr>
        <w:tabs>
          <w:tab w:val="left" w:pos="567"/>
          <w:tab w:val="left" w:pos="709"/>
        </w:tabs>
        <w:spacing w:after="0" w:line="240" w:lineRule="auto"/>
        <w:ind w:left="567" w:hanging="567"/>
        <w:rPr>
          <w:rFonts w:ascii="Times New Roman" w:hAnsi="Times New Roman"/>
          <w:lang w:eastAsia="lt-LT"/>
        </w:rPr>
      </w:pPr>
      <w:r w:rsidRPr="00156990">
        <w:rPr>
          <w:rFonts w:ascii="Times New Roman" w:hAnsi="Times New Roman"/>
          <w:lang w:eastAsia="lt-LT"/>
        </w:rPr>
        <w:t>3.</w:t>
      </w:r>
      <w:r w:rsidRPr="00156990">
        <w:rPr>
          <w:rFonts w:ascii="Times New Roman" w:hAnsi="Times New Roman"/>
          <w:lang w:eastAsia="lt-LT"/>
        </w:rPr>
        <w:tab/>
        <w:t xml:space="preserve">Kaip vartoti Omeprazol Actavis </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4.</w:t>
      </w:r>
      <w:r w:rsidRPr="00156990">
        <w:rPr>
          <w:rFonts w:ascii="Times New Roman" w:hAnsi="Times New Roman"/>
          <w:lang w:eastAsia="lt-LT"/>
        </w:rPr>
        <w:tab/>
        <w:t>Galimas šalutinis poveikis</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5.</w:t>
      </w:r>
      <w:r w:rsidRPr="00156990">
        <w:rPr>
          <w:rFonts w:ascii="Times New Roman" w:hAnsi="Times New Roman"/>
          <w:lang w:eastAsia="lt-LT"/>
        </w:rPr>
        <w:tab/>
        <w:t xml:space="preserve">Kaip laikyti Omeprazol Actavis </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6.</w:t>
      </w:r>
      <w:r w:rsidRPr="00156990">
        <w:rPr>
          <w:rFonts w:ascii="Times New Roman" w:hAnsi="Times New Roman"/>
          <w:lang w:eastAsia="lt-LT"/>
        </w:rPr>
        <w:tab/>
        <w:t>Pakuotės turinys ir kita informacija</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1.</w:t>
      </w:r>
      <w:r w:rsidRPr="00156990">
        <w:rPr>
          <w:rFonts w:ascii="Times New Roman" w:hAnsi="Times New Roman"/>
          <w:b/>
          <w:lang w:eastAsia="lt-LT"/>
        </w:rPr>
        <w:tab/>
        <w:t>Kas yra Omeprazol Actavis ir kam jis vartojamas</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sudėtyje yra veikliosios medžiagos omeprazolo, kuri priklauso vaistų, vadinamų protonų siurblio inhibitoriais, grupei. Šie vaistai mažina rūgšties gamybą skrandyje.</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yra gydomos toliau nurodytos ligos.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Suaugusių žmonių:</w:t>
      </w:r>
    </w:p>
    <w:p w:rsidR="009D625F" w:rsidRPr="003963BD" w:rsidRDefault="009D625F" w:rsidP="009D625F">
      <w:pPr>
        <w:numPr>
          <w:ilvl w:val="0"/>
          <w:numId w:val="5"/>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refliukso iš skrandžio į stemplę liga (rūgštis iš skrandžio patenka į stemplę – vamzdelį, kuris jungia burnos ertmę su skrandžiu, ir sukelia skausmą, uždegimą, rėmenį);</w:t>
      </w:r>
    </w:p>
    <w:p w:rsidR="009D625F" w:rsidRPr="003963BD" w:rsidRDefault="009D625F" w:rsidP="009D625F">
      <w:pPr>
        <w:numPr>
          <w:ilvl w:val="0"/>
          <w:numId w:val="5"/>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viršutinės žarnyno dalies (dvylikapirštės žarnos) ar skrandžio opos;</w:t>
      </w:r>
    </w:p>
    <w:p w:rsidR="009D625F" w:rsidRPr="003963BD" w:rsidRDefault="009D625F" w:rsidP="009D625F">
      <w:pPr>
        <w:numPr>
          <w:ilvl w:val="0"/>
          <w:numId w:val="5"/>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 xml:space="preserve">bakterijų, vadinamų </w:t>
      </w:r>
      <w:r w:rsidRPr="00156990">
        <w:rPr>
          <w:rFonts w:ascii="Times New Roman" w:hAnsi="Times New Roman"/>
          <w:i/>
          <w:iCs/>
          <w:lang w:eastAsia="lt-LT"/>
        </w:rPr>
        <w:t>Helicobacter pylori</w:t>
      </w:r>
      <w:r w:rsidRPr="00156990">
        <w:rPr>
          <w:rFonts w:ascii="Times New Roman" w:hAnsi="Times New Roman"/>
          <w:lang w:eastAsia="lt-LT"/>
        </w:rPr>
        <w:t>, infekuotos opos (jeigu sergate šia liga, gydytojas taip pat gali skirti antibiotikų infekcijai sunaikinti, kad galėtų užgyti opa);</w:t>
      </w:r>
    </w:p>
    <w:p w:rsidR="009D625F" w:rsidRPr="003963BD" w:rsidRDefault="009D625F" w:rsidP="009D625F">
      <w:pPr>
        <w:numPr>
          <w:ilvl w:val="0"/>
          <w:numId w:val="5"/>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nesteroidinių vaistų nuo uždegimo sukeltos opos (Omeprazol Actavis taip pat galima vartoti norint išvengti opų susidarymo vartojant nesteroidinių vaistų nuo uždegimo);</w:t>
      </w:r>
    </w:p>
    <w:p w:rsidR="009D625F" w:rsidRPr="003963BD" w:rsidRDefault="009D625F" w:rsidP="009D625F">
      <w:pPr>
        <w:numPr>
          <w:ilvl w:val="0"/>
          <w:numId w:val="5"/>
        </w:numPr>
        <w:tabs>
          <w:tab w:val="left" w:pos="567"/>
        </w:tabs>
        <w:autoSpaceDE w:val="0"/>
        <w:autoSpaceDN w:val="0"/>
        <w:adjustRightInd w:val="0"/>
        <w:spacing w:after="0" w:line="240" w:lineRule="auto"/>
        <w:ind w:left="567" w:hanging="567"/>
        <w:contextualSpacing/>
        <w:rPr>
          <w:rFonts w:ascii="Times New Roman" w:hAnsi="Times New Roman"/>
          <w:lang w:val="sv-SE"/>
        </w:rPr>
      </w:pPr>
      <w:r w:rsidRPr="003963BD">
        <w:rPr>
          <w:rFonts w:ascii="Times New Roman" w:hAnsi="Times New Roman"/>
          <w:lang w:val="sv-SE"/>
        </w:rPr>
        <w:t>kasos auglių sukeltas rūgšties perteklius skrandyje (</w:t>
      </w:r>
      <w:r w:rsidRPr="003963BD">
        <w:rPr>
          <w:rFonts w:ascii="Times New Roman" w:hAnsi="Times New Roman"/>
          <w:i/>
          <w:lang w:val="sv-SE"/>
        </w:rPr>
        <w:t>Zollinger-Ellison</w:t>
      </w:r>
      <w:r w:rsidRPr="003963BD">
        <w:rPr>
          <w:rFonts w:ascii="Times New Roman" w:hAnsi="Times New Roman"/>
          <w:lang w:val="sv-SE"/>
        </w:rPr>
        <w:t xml:space="preserve"> sindromas).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Vaikų:</w:t>
      </w:r>
    </w:p>
    <w:p w:rsidR="009D625F" w:rsidRPr="00156990" w:rsidRDefault="009D625F" w:rsidP="009D625F">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Vyresnių kaip 1 metų vaikų, sveriančių ≥ 10 kg:</w:t>
      </w:r>
    </w:p>
    <w:p w:rsidR="009D625F" w:rsidRPr="003963BD" w:rsidRDefault="009D625F" w:rsidP="009D625F">
      <w:pPr>
        <w:numPr>
          <w:ilvl w:val="1"/>
          <w:numId w:val="6"/>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refliukso iš skrandžio į stemplę liga (rūgštis iš skrandžio patenka į stemplę – vamzdelį, kuris jungia burnos ertmę su skrandžiu, ir sukelia skausmą, uždegimą, rėmenį). Vaikams šios ligos simptomai gali būti skrandžio turinio atpylimas į burnos ertmę (regurgitacija), vėmimas ir menkas svorio augimas.</w:t>
      </w:r>
    </w:p>
    <w:p w:rsidR="009D625F" w:rsidRPr="00156990" w:rsidRDefault="009D625F" w:rsidP="009D625F">
      <w:pPr>
        <w:tabs>
          <w:tab w:val="left" w:pos="567"/>
        </w:tabs>
        <w:autoSpaceDE w:val="0"/>
        <w:autoSpaceDN w:val="0"/>
        <w:adjustRightInd w:val="0"/>
        <w:spacing w:after="0" w:line="240" w:lineRule="auto"/>
        <w:rPr>
          <w:rFonts w:ascii="Times New Roman" w:hAnsi="Times New Roman"/>
          <w:i/>
          <w:i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Vyresnių kaip 4 metų vaikų ir paauglių:</w:t>
      </w:r>
    </w:p>
    <w:p w:rsidR="009D625F" w:rsidRPr="00FE3E1B" w:rsidRDefault="009D625F" w:rsidP="009D625F">
      <w:pPr>
        <w:numPr>
          <w:ilvl w:val="1"/>
          <w:numId w:val="7"/>
        </w:numPr>
        <w:tabs>
          <w:tab w:val="left" w:pos="567"/>
        </w:tabs>
        <w:spacing w:after="0" w:line="240" w:lineRule="auto"/>
        <w:ind w:left="567" w:hanging="567"/>
        <w:contextualSpacing/>
        <w:rPr>
          <w:rFonts w:ascii="Times New Roman" w:hAnsi="Times New Roman"/>
          <w:lang w:eastAsia="lt-LT"/>
        </w:rPr>
      </w:pPr>
      <w:r w:rsidRPr="00156990">
        <w:rPr>
          <w:rFonts w:ascii="Times New Roman" w:hAnsi="Times New Roman"/>
          <w:lang w:eastAsia="lt-LT"/>
        </w:rPr>
        <w:t xml:space="preserve">bakterijų, vadinamų </w:t>
      </w:r>
      <w:r w:rsidRPr="00156990">
        <w:rPr>
          <w:rFonts w:ascii="Times New Roman" w:hAnsi="Times New Roman"/>
          <w:i/>
          <w:iCs/>
          <w:lang w:eastAsia="lt-LT"/>
        </w:rPr>
        <w:t>Helicobacter pylori</w:t>
      </w:r>
      <w:r w:rsidRPr="00156990">
        <w:rPr>
          <w:rFonts w:ascii="Times New Roman" w:hAnsi="Times New Roman"/>
          <w:lang w:eastAsia="lt-LT"/>
        </w:rPr>
        <w:t>, infekuotos opos (jeigu Jūsų vaikas serga šia liga, gydytojas taip pat gali skirti antibiotikų infekcijai sunaikinti, kad galėtų užgyti opa).</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2.</w:t>
      </w:r>
      <w:r w:rsidRPr="00156990">
        <w:rPr>
          <w:rFonts w:ascii="Times New Roman" w:hAnsi="Times New Roman"/>
          <w:b/>
          <w:lang w:eastAsia="lt-LT"/>
        </w:rPr>
        <w:tab/>
        <w:t>Kas žinotina prieš vartojant Omeprazol Actavis</w:t>
      </w:r>
      <w:r w:rsidRPr="00156990">
        <w:rPr>
          <w:rFonts w:ascii="Times New Roman" w:hAnsi="Times New Roman"/>
          <w:b/>
          <w:bCs/>
          <w:caps/>
          <w:lang w:eastAsia="lt-LT"/>
        </w:rPr>
        <w:t xml:space="preserve"> </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outlineLvl w:val="7"/>
        <w:rPr>
          <w:rFonts w:ascii="Times New Roman" w:hAnsi="Times New Roman"/>
          <w:b/>
          <w:bCs/>
          <w:iCs/>
          <w:caps/>
          <w:lang w:eastAsia="lt-LT"/>
        </w:rPr>
      </w:pPr>
      <w:r w:rsidRPr="00156990">
        <w:rPr>
          <w:rFonts w:ascii="Times New Roman" w:hAnsi="Times New Roman"/>
          <w:b/>
          <w:iCs/>
          <w:lang w:eastAsia="lt-LT"/>
        </w:rPr>
        <w:t xml:space="preserve">Omeprazol Actavis </w:t>
      </w:r>
      <w:r w:rsidRPr="00156990">
        <w:rPr>
          <w:rFonts w:ascii="Times New Roman" w:hAnsi="Times New Roman"/>
          <w:b/>
          <w:bCs/>
          <w:iCs/>
          <w:lang w:eastAsia="lt-LT"/>
        </w:rPr>
        <w:t>vartoti negalima</w:t>
      </w:r>
      <w:r w:rsidRPr="00156990">
        <w:rPr>
          <w:rFonts w:ascii="Times New Roman" w:hAnsi="Times New Roman"/>
          <w:b/>
          <w:iCs/>
          <w:lang w:eastAsia="lt-LT"/>
        </w:rPr>
        <w:t>:</w:t>
      </w:r>
    </w:p>
    <w:p w:rsidR="009D625F" w:rsidRPr="00156990" w:rsidRDefault="009D625F" w:rsidP="009D625F">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yra alergija omeprazolui arba bet kuriai pagalbinei šio vaisto medžiagai (jos išvardytos 6 skyriuje);</w:t>
      </w:r>
    </w:p>
    <w:p w:rsidR="009D625F" w:rsidRPr="00156990" w:rsidRDefault="009D625F" w:rsidP="009D625F">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yra alergija kitiems vaistams, priklausantiems protonų siurblio inhibitorių grupei (pvz., pantoprazolui, lansoprazolui, rabeprazolui, ezomeprazolui);</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vartojate vaistų, kurių sudėtyje yra nelfinaviro (nuo ŽIV infekcijos).</w:t>
      </w:r>
    </w:p>
    <w:p w:rsidR="009D625F" w:rsidRPr="00156990" w:rsidRDefault="009D625F" w:rsidP="009D625F">
      <w:pPr>
        <w:tabs>
          <w:tab w:val="left" w:pos="567"/>
        </w:tabs>
        <w:autoSpaceDE w:val="0"/>
        <w:autoSpaceDN w:val="0"/>
        <w:adjustRightInd w:val="0"/>
        <w:spacing w:after="0" w:line="240" w:lineRule="auto"/>
        <w:ind w:left="567" w:hanging="567"/>
        <w:rPr>
          <w:rFonts w:ascii="Times New Roman" w:hAnsi="Times New Roman"/>
          <w:lang w:eastAsia="lt-LT"/>
        </w:rPr>
      </w:pPr>
    </w:p>
    <w:p w:rsidR="009D625F" w:rsidRPr="00156990" w:rsidRDefault="009D625F" w:rsidP="009D625F">
      <w:pPr>
        <w:tabs>
          <w:tab w:val="left" w:pos="0"/>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abejojate, tai, prieš pradėdami vartoti Omeprazol Actavis, pasikonsultuokite su gydytoju arba vaistininku.</w:t>
      </w:r>
    </w:p>
    <w:p w:rsidR="009D625F" w:rsidRPr="00156990" w:rsidRDefault="009D625F" w:rsidP="009D625F">
      <w:pPr>
        <w:widowControl w:val="0"/>
        <w:tabs>
          <w:tab w:val="left" w:pos="567"/>
        </w:tabs>
        <w:spacing w:after="0" w:line="240" w:lineRule="auto"/>
        <w:jc w:val="both"/>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Įspėjimai ir atsargumo priemonės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Pasitarkite su gydytoju ar vaistininku, prieš pradėdami vartoti Omeprazol Actavis.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gali maskuoti kitų ligų simptomus, todėl tuojau pat pasikonsultuokite su gydytoju, jeigu prieš pradedant vartoti Omeprazol Actavis arba vartojant šį vaistą Jums pasireiškia kuris nors iš šių sutrikimų:</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be aiškios priežasties gerokai sumažėja kūno svoris arba sutrinka rijimas;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skauda skrandį arba nevirškina;</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pradedate vemti maistu arba krauju;</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išmatos tampa juodos arba suteptos krauju;</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stiprus arba nepraeinantis viduriavimas (vartojant omeprazolą, šiek tiek padidėja infekcinio viduriavimo rizika);</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pasireiškia sunkių kepenų sutrikimų.</w:t>
      </w:r>
    </w:p>
    <w:p w:rsidR="009D625F" w:rsidRPr="00156990" w:rsidRDefault="009D625F" w:rsidP="009D625F">
      <w:pPr>
        <w:tabs>
          <w:tab w:val="left" w:pos="0"/>
        </w:tabs>
        <w:spacing w:after="0" w:line="240" w:lineRule="auto"/>
        <w:rPr>
          <w:rFonts w:ascii="Times New Roman" w:hAnsi="Times New Roman"/>
          <w:noProof/>
          <w:lang w:eastAsia="lt-LT"/>
        </w:rPr>
      </w:pPr>
      <w:r w:rsidRPr="00156990">
        <w:rPr>
          <w:rFonts w:ascii="Times New Roman" w:hAnsi="Times New Roman"/>
          <w:noProof/>
          <w:lang w:eastAsia="lt-LT"/>
        </w:rPr>
        <w:t>Jeigu Jums kada nors pasireiškė odos reakcija po gydymo vaistu, panašiu į Omeprazol Actavis, kuriuo mažinamas skrandžio rūgštingumas.</w:t>
      </w:r>
    </w:p>
    <w:p w:rsidR="009D625F" w:rsidRPr="00156990" w:rsidRDefault="009D625F" w:rsidP="009D625F">
      <w:pPr>
        <w:tabs>
          <w:tab w:val="left" w:pos="0"/>
        </w:tabs>
        <w:spacing w:after="0" w:line="240" w:lineRule="auto"/>
        <w:rPr>
          <w:rFonts w:ascii="Times New Roman" w:hAnsi="Times New Roman"/>
          <w:noProof/>
          <w:lang w:eastAsia="lt-LT"/>
        </w:rPr>
      </w:pPr>
    </w:p>
    <w:p w:rsidR="009D625F" w:rsidRPr="00156990" w:rsidRDefault="009D625F" w:rsidP="009D625F">
      <w:pPr>
        <w:tabs>
          <w:tab w:val="left" w:pos="0"/>
        </w:tabs>
        <w:spacing w:after="0" w:line="240" w:lineRule="auto"/>
        <w:rPr>
          <w:rFonts w:ascii="Times New Roman" w:hAnsi="Times New Roman"/>
          <w:noProof/>
          <w:lang w:eastAsia="lt-LT"/>
        </w:rPr>
      </w:pPr>
      <w:r w:rsidRPr="00156990">
        <w:rPr>
          <w:rFonts w:ascii="Times New Roman" w:hAnsi="Times New Roman"/>
          <w:noProof/>
          <w:lang w:eastAsia="lt-LT"/>
        </w:rPr>
        <w:t>Jeigu Jums išbertų odą, ypač saulės apšviestose vietose, kuo skubiau pasakykite apie tai savo gydytojui, kadangi Jums gali tekti nutraukti gydymą Omeprazol Actavis. Taip pat nepamirškite pasakyti, jeigu Jums pasireiškia bet koks kitas neigiamas poveikis, kaip antai sąnarių skausmas.</w:t>
      </w:r>
    </w:p>
    <w:p w:rsidR="009D625F"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Default="009D625F" w:rsidP="009D625F">
      <w:pPr>
        <w:tabs>
          <w:tab w:val="left" w:pos="567"/>
        </w:tabs>
        <w:autoSpaceDE w:val="0"/>
        <w:autoSpaceDN w:val="0"/>
        <w:adjustRightInd w:val="0"/>
        <w:spacing w:after="0" w:line="240" w:lineRule="auto"/>
        <w:rPr>
          <w:rFonts w:ascii="Times New Roman" w:hAnsi="Times New Roman"/>
          <w:lang w:eastAsia="lt-LT"/>
        </w:rPr>
      </w:pPr>
      <w:r w:rsidRPr="001E0A87">
        <w:rPr>
          <w:rFonts w:ascii="Times New Roman" w:hAnsi="Times New Roman"/>
          <w:lang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Omeprazol Actavis vartosite ilgai (daugiau kaip 1 metus), tikriausiai gydytojas reguliariai tikrins Jūsų būklę.</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0"/>
        </w:tabs>
        <w:spacing w:after="0" w:line="240" w:lineRule="auto"/>
        <w:rPr>
          <w:rFonts w:ascii="Times New Roman" w:hAnsi="Times New Roman"/>
          <w:lang w:eastAsia="lt-LT"/>
        </w:rPr>
      </w:pPr>
      <w:r w:rsidRPr="00156990">
        <w:rPr>
          <w:rFonts w:ascii="Times New Roman" w:hAnsi="Times New Roman"/>
          <w:lang w:eastAsia="lt-LT"/>
        </w:rPr>
        <w:t>Jei pasireikštų koks nors naujas ar neįprastas simptomas arba kitas reiškinys, kito apsilankymo metu apie tai pasakykite gydytojui.</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Pasakykite savo gydytojui, prieš pradėdami vartoti šį vaistą, jeigu jums bus atliekamas specialus kraujo tyrimas (dėl chromogranino A).</w:t>
      </w:r>
    </w:p>
    <w:p w:rsidR="009D625F" w:rsidRPr="00156990" w:rsidRDefault="009D625F" w:rsidP="009D625F">
      <w:pPr>
        <w:tabs>
          <w:tab w:val="left" w:pos="567"/>
        </w:tabs>
        <w:spacing w:after="0" w:line="240" w:lineRule="auto"/>
        <w:rPr>
          <w:rFonts w:ascii="Times New Roman" w:hAnsi="Times New Roman"/>
          <w:b/>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Kiti vaistai ir Omeprazol Actavis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noProof/>
          <w:lang w:eastAsia="lt-LT"/>
        </w:rPr>
        <w:t>Jeigu vartojate ar neseniai vartojote kitų vaistų arba dėl to nesate tikri, apie tai pasakykite gydytojui arba vaistininkui.</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Tai svarbu dėl to, kad Omeprazol Actavis gali keisti kai kurių kitų vaistų veikimą, o kai kurie kiti vaistai gali keisti Omeprazol Actavis veikimą.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Omeprazol Actavis negalima vartoti kartu su vaistais, kurių sudėtyje yra </w:t>
      </w:r>
      <w:r w:rsidRPr="00156990">
        <w:rPr>
          <w:rFonts w:ascii="Times New Roman" w:hAnsi="Times New Roman"/>
          <w:b/>
          <w:bCs/>
          <w:lang w:eastAsia="lt-LT"/>
        </w:rPr>
        <w:t xml:space="preserve">nelfinaviro </w:t>
      </w:r>
      <w:r w:rsidRPr="00156990">
        <w:rPr>
          <w:rFonts w:ascii="Times New Roman" w:hAnsi="Times New Roman"/>
          <w:lang w:eastAsia="lt-LT"/>
        </w:rPr>
        <w:t>(jie vartojami ŽIV infekcijai gydyti).</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Pasakykite gydytojui arba vaistininkui, jeigu vartojate kurį nors iš šių vaistų:</w:t>
      </w:r>
    </w:p>
    <w:p w:rsidR="009D625F" w:rsidRPr="00156990" w:rsidRDefault="009D625F" w:rsidP="009D625F">
      <w:pPr>
        <w:numPr>
          <w:ilvl w:val="0"/>
          <w:numId w:val="2"/>
        </w:numPr>
        <w:tabs>
          <w:tab w:val="left" w:pos="567"/>
        </w:tabs>
        <w:autoSpaceDE w:val="0"/>
        <w:autoSpaceDN w:val="0"/>
        <w:adjustRightInd w:val="0"/>
        <w:spacing w:after="0" w:line="240" w:lineRule="auto"/>
        <w:ind w:hanging="720"/>
        <w:rPr>
          <w:rFonts w:ascii="Times New Roman" w:hAnsi="Times New Roman"/>
          <w:lang w:eastAsia="lt-LT"/>
        </w:rPr>
      </w:pPr>
      <w:r w:rsidRPr="00156990">
        <w:rPr>
          <w:rFonts w:ascii="Times New Roman" w:hAnsi="Times New Roman"/>
          <w:lang w:eastAsia="lt-LT"/>
        </w:rPr>
        <w:t>ketokonazolą, itrakonazolą arba vorikonazolą (jų skiriama grybelių sukeltoms infekcijoms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digoksiną (jo skiriama širdies ligoms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diazepamą (jo skiriama nerimui šalinti, raumenims atpalaiduoti ir epilepsijai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fenitoiną (jo skiriama epilepsijai gydyti; gydytojui gali reikėti Jus stebėti, kai pradedate arba baigiate vartoti Omeprazol Actavis);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vaistus kraujui skystinti, pvz., varfariną arba kitą vitamino K poveikį slopinantį vaistą (gydytojas turės Jus stebėti, kai pradedate arba baigiate vartoti Omeprazol Actavis);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rifampiciną (jo skiriama tuberkuliozei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atazanavirą (jo skiriama ŽIV infekcijai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takrolimuzą (jo skiriama organų transplantacijos atvejais);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jonažolės (</w:t>
      </w:r>
      <w:r w:rsidRPr="00156990">
        <w:rPr>
          <w:rFonts w:ascii="Times New Roman" w:hAnsi="Times New Roman"/>
          <w:i/>
          <w:iCs/>
          <w:lang w:eastAsia="lt-LT"/>
        </w:rPr>
        <w:t>Hypericum perforatum</w:t>
      </w:r>
      <w:r w:rsidRPr="00156990">
        <w:rPr>
          <w:rFonts w:ascii="Times New Roman" w:hAnsi="Times New Roman"/>
          <w:lang w:eastAsia="lt-LT"/>
        </w:rPr>
        <w:t>) preparatų (jų skiriama lengvai depresijai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cilostazolą (jo skiriama protarpiniam šlubumui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sakvinavirą (jo skiriama ŽIV infekcijai 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klopidogrelį (jo skiriama norint, kad nesusidarytų kraujo krešulių – trombų);</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metotreksatą (vaistą imuniniam organizmo atsakui slopinti).</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Jeigu kartu su Omeprazol Actavis gydytojas Jums skyrė antibiotikų amoksicilino ir klaritromicino </w:t>
      </w:r>
      <w:r w:rsidRPr="00156990">
        <w:rPr>
          <w:rFonts w:ascii="Times New Roman" w:hAnsi="Times New Roman"/>
          <w:i/>
          <w:iCs/>
          <w:lang w:eastAsia="lt-LT"/>
        </w:rPr>
        <w:t xml:space="preserve">Helicobacter pylori </w:t>
      </w:r>
      <w:r w:rsidRPr="00156990">
        <w:rPr>
          <w:rFonts w:ascii="Times New Roman" w:hAnsi="Times New Roman"/>
          <w:lang w:eastAsia="lt-LT"/>
        </w:rPr>
        <w:t>infekcijos sukeltoms opoms gydyti, tai labai svarbu jį informuoti apie visus kitus vaistus, kuriuos vartojate.</w:t>
      </w:r>
    </w:p>
    <w:p w:rsidR="009D625F" w:rsidRPr="00156990" w:rsidRDefault="009D625F" w:rsidP="009D625F">
      <w:pPr>
        <w:numPr>
          <w:ilvl w:val="12"/>
          <w:numId w:val="0"/>
        </w:numPr>
        <w:tabs>
          <w:tab w:val="left" w:pos="567"/>
        </w:tabs>
        <w:spacing w:after="0" w:line="240" w:lineRule="auto"/>
        <w:rPr>
          <w:rFonts w:ascii="Times New Roman" w:hAnsi="Times New Roman"/>
          <w:iCs/>
          <w:lang w:eastAsia="lt-LT"/>
        </w:rPr>
      </w:pPr>
    </w:p>
    <w:p w:rsidR="009D625F" w:rsidRPr="00156990" w:rsidRDefault="009D625F" w:rsidP="009D625F">
      <w:pPr>
        <w:numPr>
          <w:ilvl w:val="12"/>
          <w:numId w:val="0"/>
        </w:numPr>
        <w:tabs>
          <w:tab w:val="left" w:pos="567"/>
        </w:tabs>
        <w:spacing w:after="0" w:line="240" w:lineRule="auto"/>
        <w:rPr>
          <w:rFonts w:ascii="Times New Roman" w:hAnsi="Times New Roman"/>
          <w:b/>
          <w:lang w:eastAsia="lt-LT"/>
        </w:rPr>
      </w:pPr>
      <w:r w:rsidRPr="00156990">
        <w:rPr>
          <w:rFonts w:ascii="Times New Roman" w:hAnsi="Times New Roman"/>
          <w:b/>
          <w:lang w:eastAsia="lt-LT"/>
        </w:rPr>
        <w:t>Omeprazol Actavis vartojimas su maistu ir gėrimais</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Kapsules reikia nuryti nekramtytas, užsigeriant pakankamai skysčio (pvz., stikline vandens) prieš valgymą (pvz., pusryčius arba vakarienę).</w:t>
      </w:r>
    </w:p>
    <w:p w:rsidR="009D625F" w:rsidRPr="00156990" w:rsidRDefault="009D625F" w:rsidP="009D625F">
      <w:pPr>
        <w:numPr>
          <w:ilvl w:val="12"/>
          <w:numId w:val="0"/>
        </w:numPr>
        <w:tabs>
          <w:tab w:val="left" w:pos="567"/>
        </w:tabs>
        <w:spacing w:after="0" w:line="240" w:lineRule="auto"/>
        <w:rPr>
          <w:rFonts w:ascii="Times New Roman" w:hAnsi="Times New Roman"/>
          <w:b/>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Nėštumas ir žindymo laikotarpis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noProof/>
          <w:lang w:eastAsia="lt-LT"/>
        </w:rPr>
        <w:t>Jeigu esate nėščia, žindote kūdikį, manote, kad galbūt esate nėščia, arba planuojate pastoti, tai prieš vartodama šį vaistą, pasitarkite su gydytoju arba vaistininku.</w:t>
      </w:r>
      <w:r w:rsidRPr="00156990">
        <w:rPr>
          <w:rFonts w:ascii="Times New Roman" w:hAnsi="Times New Roman"/>
          <w:lang w:eastAsia="lt-LT"/>
        </w:rPr>
        <w:t xml:space="preserve"> </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Tokiu atveju gydytojas nuspręs, ar šiuo metu Jums galima vartoti Omeprazol Actavis.</w:t>
      </w:r>
    </w:p>
    <w:p w:rsidR="009D625F" w:rsidRPr="00156990" w:rsidRDefault="009D625F" w:rsidP="009D625F">
      <w:pPr>
        <w:tabs>
          <w:tab w:val="left" w:pos="567"/>
        </w:tabs>
        <w:spacing w:after="0" w:line="240" w:lineRule="auto"/>
        <w:rPr>
          <w:rFonts w:ascii="Times New Roman" w:hAnsi="Times New Roman"/>
          <w:b/>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Vairavimas ir mechanizmų valdymas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Gebėjimo vairuoti ar dirbti su įrankiais ir technika Omeprazol Actavis neturėtų veikti, tačiau gali pasireikšti toks šalutinis poveikis kaip galvos svaigimas ir regos sutrikimai (žr. 4 skyrių), kurį pajutus vairuoti ir valdyti mechanizmų negalima.</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b/>
          <w:lang w:eastAsia="lt-LT"/>
        </w:rPr>
      </w:pPr>
      <w:r w:rsidRPr="00156990">
        <w:rPr>
          <w:rFonts w:ascii="Times New Roman" w:hAnsi="Times New Roman"/>
          <w:b/>
          <w:lang w:eastAsia="lt-LT"/>
        </w:rPr>
        <w:t>Omeprazol Actavis sudėtyje yra sacharozės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gydytojas Jums yra sakęs, kad netoleruojate kokių nors angliavandenių, kreipkitės į jį prieš pradėdami vartoti šį vaistą.</w:t>
      </w:r>
    </w:p>
    <w:p w:rsidR="009D625F" w:rsidRDefault="009D625F" w:rsidP="009D625F">
      <w:pPr>
        <w:tabs>
          <w:tab w:val="left" w:pos="567"/>
        </w:tabs>
        <w:spacing w:after="0" w:line="240" w:lineRule="auto"/>
        <w:rPr>
          <w:rFonts w:ascii="Times New Roman" w:hAnsi="Times New Roman"/>
          <w:lang w:eastAsia="lt-LT"/>
        </w:rPr>
      </w:pPr>
    </w:p>
    <w:p w:rsidR="009D625F" w:rsidRPr="001754AD" w:rsidRDefault="009D625F" w:rsidP="009D625F">
      <w:pPr>
        <w:tabs>
          <w:tab w:val="left" w:pos="567"/>
        </w:tabs>
        <w:spacing w:after="0" w:line="240" w:lineRule="auto"/>
        <w:rPr>
          <w:rFonts w:ascii="Times New Roman" w:hAnsi="Times New Roman"/>
          <w:b/>
          <w:lang w:eastAsia="lt-LT"/>
        </w:rPr>
      </w:pPr>
      <w:r w:rsidRPr="001754AD">
        <w:rPr>
          <w:rFonts w:ascii="Times New Roman" w:hAnsi="Times New Roman"/>
          <w:b/>
          <w:lang w:eastAsia="lt-LT"/>
        </w:rPr>
        <w:t>Omepraz</w:t>
      </w:r>
      <w:r>
        <w:rPr>
          <w:rFonts w:ascii="Times New Roman" w:hAnsi="Times New Roman"/>
          <w:b/>
          <w:lang w:eastAsia="lt-LT"/>
        </w:rPr>
        <w:t xml:space="preserve">ol Actavis </w:t>
      </w:r>
      <w:r w:rsidRPr="001754AD">
        <w:rPr>
          <w:rFonts w:ascii="Times New Roman" w:hAnsi="Times New Roman"/>
          <w:b/>
          <w:lang w:eastAsia="lt-LT"/>
        </w:rPr>
        <w:t>sudėtyje yra natrio</w:t>
      </w:r>
    </w:p>
    <w:p w:rsidR="009D625F" w:rsidRDefault="009D625F" w:rsidP="009D625F">
      <w:pPr>
        <w:tabs>
          <w:tab w:val="left" w:pos="567"/>
        </w:tabs>
        <w:spacing w:after="0" w:line="240" w:lineRule="auto"/>
        <w:rPr>
          <w:rFonts w:ascii="Times New Roman" w:hAnsi="Times New Roman"/>
          <w:lang w:eastAsia="lt-LT"/>
        </w:rPr>
      </w:pPr>
      <w:r w:rsidRPr="006947CD">
        <w:rPr>
          <w:rFonts w:ascii="Times New Roman" w:hAnsi="Times New Roman"/>
          <w:lang w:eastAsia="lt-LT"/>
        </w:rPr>
        <w:t xml:space="preserve">Šio vaisto </w:t>
      </w:r>
      <w:r>
        <w:rPr>
          <w:rFonts w:ascii="Times New Roman" w:hAnsi="Times New Roman"/>
          <w:lang w:eastAsia="lt-LT"/>
        </w:rPr>
        <w:t xml:space="preserve">kiekvienoje </w:t>
      </w:r>
      <w:r w:rsidRPr="006947CD">
        <w:rPr>
          <w:rFonts w:ascii="Times New Roman" w:hAnsi="Times New Roman"/>
          <w:lang w:eastAsia="lt-LT"/>
        </w:rPr>
        <w:t>kapsulėje yra mažiau kaip 1 mmol (23 mg) natrio, t.y. jis beveik neturi reikšmės.</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Laboratoriniai tyrimai</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Omeprazol Actavis gali keisti neuroendokrininių navikų tyrimo rezultatus. Gydytojas gali liepti nevartoti omeprazolo 5 dienas iki tyrimo.</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3.</w:t>
      </w:r>
      <w:r w:rsidRPr="00156990">
        <w:rPr>
          <w:rFonts w:ascii="Times New Roman" w:hAnsi="Times New Roman"/>
          <w:b/>
          <w:lang w:eastAsia="lt-LT"/>
        </w:rPr>
        <w:tab/>
        <w:t>Kaip vartoti Omeprazol Actavis</w:t>
      </w:r>
      <w:r w:rsidRPr="00156990">
        <w:rPr>
          <w:rFonts w:ascii="Times New Roman" w:hAnsi="Times New Roman"/>
          <w:b/>
          <w:bCs/>
          <w:caps/>
          <w:lang w:eastAsia="lt-LT"/>
        </w:rPr>
        <w:t xml:space="preserve"> </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iCs/>
          <w:lang w:eastAsia="lt-LT"/>
        </w:rPr>
      </w:pPr>
      <w:r w:rsidRPr="00156990">
        <w:rPr>
          <w:rFonts w:ascii="Times New Roman" w:hAnsi="Times New Roman"/>
          <w:iCs/>
          <w:lang w:eastAsia="lt-LT"/>
        </w:rPr>
        <w:t>Visada vartokite šį vaistą tiksliai kaip nurodė gydytojas. Jeigu abejojate, kreipkitės į gydytoją arba vaistininką.</w:t>
      </w:r>
    </w:p>
    <w:p w:rsidR="009D625F" w:rsidRPr="00156990" w:rsidRDefault="009D625F" w:rsidP="009D625F">
      <w:pPr>
        <w:tabs>
          <w:tab w:val="left" w:pos="567"/>
        </w:tabs>
        <w:spacing w:after="0" w:line="240" w:lineRule="auto"/>
        <w:rPr>
          <w:rFonts w:ascii="Times New Roman" w:hAnsi="Times New Roman"/>
          <w:i/>
          <w:i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lastRenderedPageBreak/>
        <w:t>Kiek kapsulių ir kaip ilgai vartoti, nurodys gydytojas. Dozė ir vartojimo trukmė priklauso nuo Jūsų ligos ir amžiaus. Rekomenduojamos dozės nurodomos toliau.</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u w:val="single"/>
          <w:lang w:eastAsia="lt-LT"/>
        </w:rPr>
        <w:t>Suaugusiems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Refliukso iš skrandžio į stemplę ligos simptomams </w:t>
      </w:r>
      <w:r w:rsidRPr="00156990">
        <w:rPr>
          <w:rFonts w:ascii="Times New Roman" w:hAnsi="Times New Roman"/>
          <w:b/>
          <w:lang w:eastAsia="lt-LT"/>
        </w:rPr>
        <w:t>(</w:t>
      </w:r>
      <w:r w:rsidRPr="00156990">
        <w:rPr>
          <w:rFonts w:ascii="Times New Roman" w:hAnsi="Times New Roman"/>
          <w:b/>
          <w:bCs/>
          <w:lang w:eastAsia="lt-LT"/>
        </w:rPr>
        <w:t>rėmeniui ir rūgšties regurgitacijai</w:t>
      </w:r>
      <w:r w:rsidRPr="00156990">
        <w:rPr>
          <w:rFonts w:ascii="Times New Roman" w:hAnsi="Times New Roman"/>
          <w:b/>
          <w:lang w:eastAsia="lt-LT"/>
        </w:rPr>
        <w:t>)</w:t>
      </w:r>
      <w:r w:rsidRPr="00156990">
        <w:rPr>
          <w:rFonts w:ascii="Times New Roman" w:hAnsi="Times New Roman"/>
          <w:lang w:eastAsia="lt-LT"/>
        </w:rPr>
        <w:t xml:space="preserve"> palengvinti:</w:t>
      </w:r>
    </w:p>
    <w:p w:rsidR="009D625F" w:rsidRPr="00156990" w:rsidRDefault="009D625F" w:rsidP="009D625F">
      <w:pPr>
        <w:numPr>
          <w:ilvl w:val="0"/>
          <w:numId w:val="4"/>
        </w:numPr>
        <w:tabs>
          <w:tab w:val="left" w:pos="567"/>
        </w:tabs>
        <w:autoSpaceDE w:val="0"/>
        <w:autoSpaceDN w:val="0"/>
        <w:adjustRightInd w:val="0"/>
        <w:spacing w:after="0" w:line="240" w:lineRule="auto"/>
        <w:ind w:left="567" w:hanging="567"/>
        <w:contextualSpacing/>
        <w:rPr>
          <w:rFonts w:ascii="Times New Roman" w:hAnsi="Times New Roman"/>
          <w:lang w:eastAsia="lt-LT"/>
        </w:rPr>
      </w:pPr>
      <w:r w:rsidRPr="00156990">
        <w:rPr>
          <w:rFonts w:ascii="Times New Roman" w:hAnsi="Times New Roman"/>
          <w:lang w:eastAsia="lt-LT"/>
        </w:rPr>
        <w:t>nustatęs nežymų stemplės pažeidimą gydytojas paprastai skiria 20 mg 1 kartą per parą 4-8 savaites;</w:t>
      </w:r>
    </w:p>
    <w:p w:rsidR="009D625F" w:rsidRPr="00156990" w:rsidRDefault="009D625F" w:rsidP="009D625F">
      <w:pPr>
        <w:numPr>
          <w:ilvl w:val="0"/>
          <w:numId w:val="4"/>
        </w:numPr>
        <w:tabs>
          <w:tab w:val="left" w:pos="567"/>
        </w:tabs>
        <w:autoSpaceDE w:val="0"/>
        <w:autoSpaceDN w:val="0"/>
        <w:adjustRightInd w:val="0"/>
        <w:spacing w:after="0" w:line="240" w:lineRule="auto"/>
        <w:ind w:left="567" w:hanging="567"/>
        <w:contextualSpacing/>
        <w:rPr>
          <w:rFonts w:ascii="Times New Roman" w:hAnsi="Times New Roman"/>
          <w:lang w:eastAsia="lt-LT"/>
        </w:rPr>
      </w:pPr>
      <w:r w:rsidRPr="00156990">
        <w:rPr>
          <w:rFonts w:ascii="Times New Roman" w:hAnsi="Times New Roman"/>
          <w:lang w:eastAsia="lt-LT"/>
        </w:rPr>
        <w:t>jeigu per tą laiką stemplė neužgis, gydytojas gali nurodyti vartoti 40 mg dozę dar 8 savaites;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kai stemplė sugyja, paprastai skiriama 10 mg 1 kartą per parą;</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 stemplė nepažeista, paprastai skiriama 10 mg 1 kartą per parą.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Viršutinės žarnyno dalies (dvylikapirštės žarnos) opoms </w:t>
      </w:r>
      <w:r w:rsidRPr="00156990">
        <w:rPr>
          <w:rFonts w:ascii="Times New Roman" w:hAnsi="Times New Roman"/>
          <w:lang w:eastAsia="lt-LT"/>
        </w:rPr>
        <w:t>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2 savaites; jeigu per tą laiką opos neužgis, gydytojas gali nurodyti vartoti tą pačią dozę dar 2 savaites;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 dozę galima padidinti iki 40 mg 1 kartą per parą (ji vartojama 4 savaites).</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Skrandžio opoms </w:t>
      </w:r>
      <w:r w:rsidRPr="00156990">
        <w:rPr>
          <w:rFonts w:ascii="Times New Roman" w:hAnsi="Times New Roman"/>
          <w:lang w:eastAsia="lt-LT"/>
        </w:rPr>
        <w:t>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4 savaites; jeigu per tą laiką opos neužgis, gydytojas gali nurodyti vartoti tą pačią dozę dar 4 savaites;</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 dozę galima padidinti iki 40 mg 1 kartą per parą (ji vartojama 8 savaites).</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Dvylikapirštės žarnos ir skrandžio opų </w:t>
      </w:r>
      <w:r w:rsidRPr="00156990">
        <w:rPr>
          <w:rFonts w:ascii="Times New Roman" w:hAnsi="Times New Roman"/>
          <w:lang w:eastAsia="lt-LT"/>
        </w:rPr>
        <w:t>atsinaujinimui išvengti (profilaktikai):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10 mg arba 20 mg 1 kartą per parą. Gydytojas gali padidinti dozę iki 40 mg 1 kartą per parą.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Nesteroidinių vaistų nuo uždegimo sukeltoms </w:t>
      </w:r>
      <w:r w:rsidRPr="00156990">
        <w:rPr>
          <w:rFonts w:ascii="Times New Roman" w:hAnsi="Times New Roman"/>
          <w:lang w:eastAsia="lt-LT"/>
        </w:rPr>
        <w:t xml:space="preserve">dvylikapirštės žarnos ir skrandžio </w:t>
      </w:r>
      <w:r w:rsidRPr="00156990">
        <w:rPr>
          <w:rFonts w:ascii="Times New Roman" w:hAnsi="Times New Roman"/>
          <w:b/>
          <w:bCs/>
          <w:lang w:eastAsia="lt-LT"/>
        </w:rPr>
        <w:t xml:space="preserve">opoms </w:t>
      </w:r>
      <w:r w:rsidRPr="00156990">
        <w:rPr>
          <w:rFonts w:ascii="Times New Roman" w:hAnsi="Times New Roman"/>
          <w:lang w:eastAsia="lt-LT"/>
        </w:rPr>
        <w:t>gydyti: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4-8 savaites.</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Dvylikapirštės žarnos ir skrandžio opų profilaktikai vartojant nesteroidinių vaistų nuo uždegimo:</w:t>
      </w:r>
    </w:p>
    <w:p w:rsidR="009D625F" w:rsidRPr="00156990" w:rsidRDefault="009D625F" w:rsidP="009D625F">
      <w:pPr>
        <w:numPr>
          <w:ilvl w:val="0"/>
          <w:numId w:val="2"/>
        </w:numPr>
        <w:tabs>
          <w:tab w:val="left" w:pos="567"/>
        </w:tabs>
        <w:spacing w:after="0" w:line="240" w:lineRule="auto"/>
        <w:ind w:left="567" w:hanging="567"/>
        <w:rPr>
          <w:rFonts w:ascii="Times New Roman" w:hAnsi="Times New Roman"/>
          <w:b/>
          <w:lang w:eastAsia="lt-LT"/>
        </w:rPr>
      </w:pPr>
      <w:r w:rsidRPr="00156990">
        <w:rPr>
          <w:rFonts w:ascii="Times New Roman" w:hAnsi="Times New Roman"/>
          <w:lang w:eastAsia="lt-LT"/>
        </w:rPr>
        <w:t>paprastai skiriama 20 mg 1 kartą per parą.</w:t>
      </w:r>
    </w:p>
    <w:p w:rsidR="009D625F" w:rsidRPr="00156990" w:rsidRDefault="009D625F" w:rsidP="009D625F">
      <w:pPr>
        <w:tabs>
          <w:tab w:val="left" w:pos="567"/>
        </w:tabs>
        <w:spacing w:after="0" w:line="240" w:lineRule="auto"/>
        <w:rPr>
          <w:rFonts w:ascii="Times New Roman" w:hAnsi="Times New Roman"/>
          <w:b/>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Opoms, sukeltoms </w:t>
      </w:r>
      <w:r w:rsidRPr="00156990">
        <w:rPr>
          <w:rFonts w:ascii="Times New Roman" w:hAnsi="Times New Roman"/>
          <w:b/>
          <w:bCs/>
          <w:i/>
          <w:iCs/>
          <w:lang w:eastAsia="lt-LT"/>
        </w:rPr>
        <w:t xml:space="preserve">Helicobacter pylori </w:t>
      </w:r>
      <w:r w:rsidRPr="00156990">
        <w:rPr>
          <w:rFonts w:ascii="Times New Roman" w:hAnsi="Times New Roman"/>
          <w:b/>
          <w:bCs/>
          <w:lang w:eastAsia="lt-LT"/>
        </w:rPr>
        <w:t>infekcijos</w:t>
      </w:r>
      <w:r w:rsidRPr="00156990">
        <w:rPr>
          <w:rFonts w:ascii="Times New Roman" w:hAnsi="Times New Roman"/>
          <w:lang w:eastAsia="lt-LT"/>
        </w:rPr>
        <w:t>, gydyti ir jų atsinaujinimui išvengti: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po 20 mg Omeprazol Actavis 2 kartus per parą, 1 savaitę;</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gydytojas skirs kartu vartoti 2 antibiotikus iš 3 (amoksicilinas, klaritromicinas, metronidazolas).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Per didelei rūgšties gamybai skrandyje, sukeltai </w:t>
      </w:r>
      <w:r w:rsidRPr="00156990">
        <w:rPr>
          <w:rFonts w:ascii="Times New Roman" w:hAnsi="Times New Roman"/>
          <w:b/>
          <w:bCs/>
          <w:lang w:eastAsia="lt-LT"/>
        </w:rPr>
        <w:t>kasos auglių</w:t>
      </w:r>
      <w:r w:rsidRPr="00156990">
        <w:rPr>
          <w:rFonts w:ascii="Times New Roman" w:hAnsi="Times New Roman"/>
          <w:lang w:eastAsia="lt-LT"/>
        </w:rPr>
        <w:t xml:space="preserve">, slopinti </w:t>
      </w:r>
      <w:r w:rsidRPr="00156990">
        <w:rPr>
          <w:rFonts w:ascii="Times New Roman" w:hAnsi="Times New Roman"/>
          <w:b/>
          <w:lang w:eastAsia="lt-LT"/>
        </w:rPr>
        <w:t>(</w:t>
      </w:r>
      <w:r w:rsidRPr="00156990">
        <w:rPr>
          <w:rFonts w:ascii="Times New Roman" w:hAnsi="Times New Roman"/>
          <w:b/>
          <w:bCs/>
          <w:i/>
          <w:lang w:eastAsia="lt-LT"/>
        </w:rPr>
        <w:t>Zollinger-Ellison</w:t>
      </w:r>
      <w:r w:rsidRPr="00156990">
        <w:rPr>
          <w:rFonts w:ascii="Times New Roman" w:hAnsi="Times New Roman"/>
          <w:b/>
          <w:bCs/>
          <w:lang w:eastAsia="lt-LT"/>
        </w:rPr>
        <w:t xml:space="preserve"> sindromui gydyti</w:t>
      </w:r>
      <w:r w:rsidRPr="00156990">
        <w:rPr>
          <w:rFonts w:ascii="Times New Roman" w:hAnsi="Times New Roman"/>
          <w:b/>
          <w:lang w:eastAsia="lt-LT"/>
        </w:rPr>
        <w:t>)</w:t>
      </w:r>
      <w:r w:rsidRPr="00156990">
        <w:rPr>
          <w:rFonts w:ascii="Times New Roman" w:hAnsi="Times New Roman"/>
          <w:lang w:eastAsia="lt-LT"/>
        </w:rPr>
        <w:t>:</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paprastai skiriama 60 mg per parą;</w:t>
      </w:r>
    </w:p>
    <w:p w:rsidR="009D625F" w:rsidRPr="00156990" w:rsidRDefault="009D625F" w:rsidP="009D625F">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gydytojas koreguos šią dozę, atsižvelgdamas į Jūsų poreikį, ir taip pat nuspręs, kiek laiko Jums vartoti šį vaistą.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lang w:eastAsia="lt-LT"/>
        </w:rPr>
        <w:t>Vartojimas vaikams ir paaugliams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Refliukso iš skrandžio į stemplę ligos simptomams </w:t>
      </w:r>
      <w:r w:rsidRPr="00156990">
        <w:rPr>
          <w:rFonts w:ascii="Times New Roman" w:hAnsi="Times New Roman"/>
          <w:b/>
          <w:lang w:eastAsia="lt-LT"/>
        </w:rPr>
        <w:t>(</w:t>
      </w:r>
      <w:r w:rsidRPr="00156990">
        <w:rPr>
          <w:rFonts w:ascii="Times New Roman" w:hAnsi="Times New Roman"/>
          <w:b/>
          <w:bCs/>
          <w:lang w:eastAsia="lt-LT"/>
        </w:rPr>
        <w:t>rėmeniui ir rūgšties regurgitacijai</w:t>
      </w:r>
      <w:r w:rsidRPr="00156990">
        <w:rPr>
          <w:rFonts w:ascii="Times New Roman" w:hAnsi="Times New Roman"/>
          <w:b/>
          <w:lang w:eastAsia="lt-LT"/>
        </w:rPr>
        <w:t>)</w:t>
      </w:r>
      <w:r w:rsidRPr="00156990">
        <w:rPr>
          <w:rFonts w:ascii="Times New Roman" w:hAnsi="Times New Roman"/>
          <w:lang w:eastAsia="lt-LT"/>
        </w:rPr>
        <w:t xml:space="preserve"> palengvinti: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Omeprazol Actavis galima vartoti vyresniems kaip 1 metų vaikams, sveriantiems daugiau kaip 10 kg (tinkamą dozę parinks gydytojas pagal kūno svorį).</w:t>
      </w:r>
    </w:p>
    <w:p w:rsidR="009D625F" w:rsidRPr="00156990" w:rsidRDefault="009D625F" w:rsidP="009D625F">
      <w:pPr>
        <w:tabs>
          <w:tab w:val="left" w:pos="567"/>
        </w:tabs>
        <w:autoSpaceDE w:val="0"/>
        <w:autoSpaceDN w:val="0"/>
        <w:adjustRightInd w:val="0"/>
        <w:spacing w:after="0" w:line="240" w:lineRule="auto"/>
        <w:ind w:left="567" w:hanging="567"/>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Opoms, sukeltoms </w:t>
      </w:r>
      <w:r w:rsidRPr="00156990">
        <w:rPr>
          <w:rFonts w:ascii="Times New Roman" w:hAnsi="Times New Roman"/>
          <w:b/>
          <w:bCs/>
          <w:i/>
          <w:iCs/>
          <w:lang w:eastAsia="lt-LT"/>
        </w:rPr>
        <w:t xml:space="preserve">Helicobacter pylori </w:t>
      </w:r>
      <w:r w:rsidRPr="00156990">
        <w:rPr>
          <w:rFonts w:ascii="Times New Roman" w:hAnsi="Times New Roman"/>
          <w:b/>
          <w:bCs/>
          <w:lang w:eastAsia="lt-LT"/>
        </w:rPr>
        <w:t>infekcijos</w:t>
      </w:r>
      <w:r w:rsidRPr="00156990">
        <w:rPr>
          <w:rFonts w:ascii="Times New Roman" w:hAnsi="Times New Roman"/>
          <w:lang w:eastAsia="lt-LT"/>
        </w:rPr>
        <w:t>, gydyti ir jų atsinaujinimui išvengti:</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Omeprazol Actavis galima vartoti vyresniems kaip 4 metų vaikams (tinkamą dozę parinks gydytojas pagal kūno svorį);</w:t>
      </w:r>
    </w:p>
    <w:p w:rsidR="009D625F" w:rsidRPr="00156990" w:rsidRDefault="009D625F" w:rsidP="009D625F">
      <w:pPr>
        <w:numPr>
          <w:ilvl w:val="0"/>
          <w:numId w:val="2"/>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gydytojas skirs Jūsų vaikui kartu vartoti 2 antibiotikus (amoksiciliną ir klaritromiciną).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Vaisto vartojimas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Užgerkite kapsules stikline vandens.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lastRenderedPageBreak/>
        <w:t>Gerkite kapsules prieš valgį (pusryčius ar vakarienę) arba nevalgius.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Kapsulių kramtyti ar traiškyti negalima.</w:t>
      </w:r>
    </w:p>
    <w:p w:rsidR="009D625F" w:rsidRPr="00156990" w:rsidRDefault="009D625F" w:rsidP="009D625F">
      <w:pPr>
        <w:autoSpaceDE w:val="0"/>
        <w:autoSpaceDN w:val="0"/>
        <w:adjustRightInd w:val="0"/>
        <w:spacing w:after="0" w:line="240" w:lineRule="auto"/>
        <w:rPr>
          <w:rFonts w:ascii="Times New Roman" w:hAnsi="Times New Roman"/>
          <w:b/>
          <w:bCs/>
          <w:lang w:eastAsia="lt-LT"/>
        </w:rPr>
      </w:pPr>
    </w:p>
    <w:p w:rsidR="009D625F" w:rsidRPr="00156990" w:rsidRDefault="009D625F" w:rsidP="009D625F">
      <w:pPr>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Ką daryti, jeigu Jūsų vaikui sunkiai sekasi nuryti kapsules</w:t>
      </w:r>
    </w:p>
    <w:p w:rsidR="009D625F" w:rsidRPr="00156990" w:rsidRDefault="009D625F" w:rsidP="009D625F">
      <w:pPr>
        <w:tabs>
          <w:tab w:val="left" w:pos="0"/>
        </w:tabs>
        <w:spacing w:after="0" w:line="240" w:lineRule="auto"/>
        <w:rPr>
          <w:rFonts w:ascii="Times New Roman" w:hAnsi="Times New Roman"/>
          <w:noProof/>
        </w:rPr>
      </w:pPr>
      <w:r w:rsidRPr="00156990">
        <w:rPr>
          <w:rFonts w:ascii="Times New Roman" w:hAnsi="Times New Roman"/>
          <w:noProof/>
        </w:rPr>
        <w:t>Jeigu Jums ar Jūsų vaikui sunku praryti kapsulę, jas galima atverti ir granules sumaišyti su šaukštu sulčių. Gautą mišinį vartoti nedelsiant.</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Ką daryti pavartojus per didelę Omeprazol Actavis dozę?</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Pavartoję didesnę negu nurodė gydytojas Omeprazol Actavis dozę, nedelsdami kreipkitės į savo gydytoją arba vaistininką.</w:t>
      </w: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p>
    <w:p w:rsidR="009D625F" w:rsidRPr="00156990" w:rsidRDefault="009D625F" w:rsidP="009D625F">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Pamiršus pavartoti Omeprazol Actavis</w:t>
      </w:r>
    </w:p>
    <w:p w:rsidR="009D625F" w:rsidRPr="00156990" w:rsidRDefault="009D625F" w:rsidP="009D625F">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caps/>
          <w:lang w:eastAsia="lt-LT"/>
        </w:rPr>
        <w:t>4.</w:t>
      </w:r>
      <w:r w:rsidRPr="00156990">
        <w:rPr>
          <w:rFonts w:ascii="Times New Roman" w:hAnsi="Times New Roman"/>
          <w:b/>
          <w:caps/>
          <w:lang w:eastAsia="lt-LT"/>
        </w:rPr>
        <w:tab/>
      </w:r>
      <w:r w:rsidRPr="00156990">
        <w:rPr>
          <w:rFonts w:ascii="Times New Roman" w:hAnsi="Times New Roman"/>
          <w:b/>
          <w:lang w:eastAsia="lt-LT"/>
        </w:rPr>
        <w:t>Galimas šalutinis poveikis</w:t>
      </w:r>
      <w:r w:rsidRPr="00156990" w:rsidDel="009C6DD6">
        <w:rPr>
          <w:rFonts w:ascii="Times New Roman" w:hAnsi="Times New Roman"/>
          <w:b/>
          <w:caps/>
          <w:lang w:eastAsia="lt-LT"/>
        </w:rPr>
        <w:t xml:space="preserve"> </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lang w:eastAsia="lt-LT"/>
        </w:rPr>
        <w:t>Jeigu pastebėsite kurį nors iš toliau išvardyto labai reto, bet sunkaus, šalutinio poveikio, Omeprazol Actavis vartojimą nutraukite ir nedelsdami kreipkitės į gydytoją.</w:t>
      </w:r>
    </w:p>
    <w:p w:rsidR="009D625F" w:rsidRPr="00156990" w:rsidRDefault="009D625F" w:rsidP="009D625F">
      <w:pPr>
        <w:numPr>
          <w:ilvl w:val="0"/>
          <w:numId w:val="3"/>
        </w:numPr>
        <w:spacing w:after="0" w:line="240" w:lineRule="auto"/>
        <w:rPr>
          <w:rFonts w:ascii="Times New Roman" w:hAnsi="Times New Roman"/>
          <w:b/>
          <w:noProof/>
        </w:rPr>
      </w:pPr>
      <w:r w:rsidRPr="00156990">
        <w:rPr>
          <w:rFonts w:ascii="Times New Roman" w:hAnsi="Times New Roman"/>
          <w:noProof/>
        </w:rPr>
        <w:t>staiga prasidėjo švokštimas, lūpų, liežuvio, gerklų ar kūno tinimas, išbėrimas, alpimas ar sutriko rijimas (sunki alerginė reakcija);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 xml:space="preserve">paraudo, tapo pūslėta ir lupasi oda. Taip pat gali atsirasti lūpų, akių, burnos ertmės, nosies, lytinių organų pūslėtumas ir kraujuoti (tai gali būti </w:t>
      </w:r>
      <w:r w:rsidRPr="00156990">
        <w:rPr>
          <w:rFonts w:ascii="Times New Roman" w:hAnsi="Times New Roman"/>
          <w:i/>
          <w:noProof/>
        </w:rPr>
        <w:t>Stevens-Johnson</w:t>
      </w:r>
      <w:r w:rsidRPr="00156990">
        <w:rPr>
          <w:rFonts w:ascii="Times New Roman" w:hAnsi="Times New Roman"/>
          <w:noProof/>
        </w:rPr>
        <w:t xml:space="preserve"> sindromas arba toksinė epidermio nekrolizė);</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pagelto oda, patamsėjo šlapimas ir atsirado nuovargis (šie simptomai gali rodyti sutrikusią kepenų funkciją).</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lang w:eastAsia="lt-LT"/>
        </w:rPr>
        <w:t>Šalutinio poveikio atvejai gali pasireikšti tam tikru dažniu, kuris yra apibūdinamas taip:</w:t>
      </w:r>
    </w:p>
    <w:p w:rsidR="009D625F" w:rsidRPr="00156990" w:rsidRDefault="009D625F" w:rsidP="009D625F">
      <w:pPr>
        <w:spacing w:after="0" w:line="240" w:lineRule="auto"/>
        <w:rPr>
          <w:rFonts w:ascii="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tblGrid>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Labai dažni</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Pasireiškia daugiau kaip 1 vartotojui iš 10</w:t>
            </w:r>
          </w:p>
        </w:tc>
      </w:tr>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Dažni</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w:t>
            </w:r>
          </w:p>
        </w:tc>
      </w:tr>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Nedažni</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1000</w:t>
            </w:r>
          </w:p>
        </w:tc>
      </w:tr>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Reti</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10000</w:t>
            </w:r>
          </w:p>
        </w:tc>
      </w:tr>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Labai reti</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Pasireiškia mažiau kaip 1 vartotojui iš 10000</w:t>
            </w:r>
          </w:p>
        </w:tc>
      </w:tr>
      <w:tr w:rsidR="009D625F" w:rsidRPr="00156990" w:rsidTr="00CF325F">
        <w:tc>
          <w:tcPr>
            <w:tcW w:w="2268"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Dažnis nežinomas</w:t>
            </w:r>
          </w:p>
        </w:tc>
        <w:tc>
          <w:tcPr>
            <w:tcW w:w="5220" w:type="dxa"/>
          </w:tcPr>
          <w:p w:rsidR="009D625F" w:rsidRPr="00156990" w:rsidRDefault="009D625F" w:rsidP="00CF325F">
            <w:pPr>
              <w:spacing w:after="0" w:line="240" w:lineRule="auto"/>
              <w:jc w:val="both"/>
              <w:rPr>
                <w:rFonts w:ascii="Times New Roman" w:hAnsi="Times New Roman"/>
                <w:lang w:eastAsia="lt-LT"/>
              </w:rPr>
            </w:pPr>
            <w:r w:rsidRPr="00156990">
              <w:rPr>
                <w:rFonts w:ascii="Times New Roman" w:hAnsi="Times New Roman"/>
                <w:lang w:eastAsia="lt-LT"/>
              </w:rPr>
              <w:t xml:space="preserve">Dažnis negali būti apskaičiuotas pagal turimus duomenis </w:t>
            </w:r>
          </w:p>
        </w:tc>
      </w:tr>
    </w:tbl>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Toliau išvardytas kitas šalutinis poveikis.</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lang w:eastAsia="lt-LT"/>
        </w:rPr>
        <w:t>Dažni šalutinio poveikio atvejai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Galvos skausmas.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Poveikis skrandžiui ar žarnoms: viduriavimas, pilvo skausmas, vidurių užkietėjimas, dujų išėjimas.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Šleikštulys (pykinimas) ar vėmimas.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Gerybiniai skrandžio polipai.</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lang w:eastAsia="lt-LT"/>
        </w:rPr>
        <w:t>Nedažni šalutinio poveikio atvejai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Pėdų ir kulkšnių patinimas.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Sutrikęs miegas (nemiga).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Svaigulys, dilgčiojimo pojūtis („skruzdėlių bėgiojimas“), mieguistumas.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 xml:space="preserve">Galvos sukimasis </w:t>
      </w:r>
      <w:r w:rsidRPr="00156990">
        <w:rPr>
          <w:rFonts w:ascii="Times New Roman" w:hAnsi="Times New Roman"/>
          <w:i/>
          <w:noProof/>
        </w:rPr>
        <w:t>(vertigo)</w:t>
      </w:r>
      <w:r w:rsidRPr="00156990">
        <w:rPr>
          <w:rFonts w:ascii="Times New Roman" w:hAnsi="Times New Roman"/>
          <w:noProof/>
        </w:rPr>
        <w:t>.</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Kraujo tyrimų, kuriais tikrinama, kaip veikia kepenys, duomenų pokyčiai.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Odos išbėrimas, išbėrimas gumbais (dilgėlinė) ir odos niežulys.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Bendrasis negalavimas ir energijos stoka.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lastRenderedPageBreak/>
        <w:t>Klubo, riešo ar stuburo lūžis.</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lang w:eastAsia="lt-LT"/>
        </w:rPr>
        <w:t>Reti šalutinio poveikio atvejai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Kraujo rodmenų pokyčiai (sumažėjęs baltųjų kraujo kūnelių ar trombocitų kiekis). Tai gali sukelti silpnumą, kraujosruvas ar padažninti infekcines ligas.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Alerginės reakcijos, kartais labai sunkios, įskaitant lūpų, liežuvio ir gerklės patinimą, karščiavimą, švokštimą.</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Sumažėjęs natrio kiekis kraujyje. Tai gali sukelti silpnumą, vėmimą ir mėšlungį.</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Psichomotorinis sujaudinimas, sumišimas, depresija.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Skonio pokyčiai.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Regėjimo sutrikimai (pvz., sumažėjęs vaizdo ryškumas).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Staiga pasireiškęs švokštimas ar dusulys (bronchų spazmas).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Burnos sausumas.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Burnos ertmės uždegimas.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Grybelinė infekcija, vadinama pienlige, kuri gali pažeisti žarnas.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Kepenų sutrikimai, įskaitant geltą, dėl kurios gali pagelsti oda, patamsėti šlapimas ir atsirasti nuovargis.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Plaukų slinkimas (alopecija).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Odos išbėrimas ją paveikus saulės šviesai.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Sąnarių skausmai (artralgija) ar raumenų skausmai (mialgija).</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Sunkus inkstų pažeidimas (intersticinis nefritas).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Pagausėjęs prakaitavimas.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Mikroskopinis kolitas (storosios žarnos uždegimas).</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lang w:eastAsia="lt-LT"/>
        </w:rPr>
        <w:t>Labai reti šalutinio poveikio atvejai</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Sumažėjęs kraujo ląstelių kiekis – agranulocitozė (baltųjų kraujo ląstelių išnykimas).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Agresyvumas.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Matymas, jutimas ar girdėjimas to, ko nėra (haliucinacijos).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Sunkūs kepenų sutrikimai, pasireiškiantys kepenų nepakankamumu ir smegenų veiklos sutrikimu.</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 xml:space="preserve">Staiga prasidėjęs sunkus odos išbėrimas, pūslėtumas ar/ir lupimasis, kurie gali būti susiję su aukšta temperatūra ir sąnarių skausmais (daugiaformė eritema, </w:t>
      </w:r>
      <w:r w:rsidRPr="00156990">
        <w:rPr>
          <w:rFonts w:ascii="Times New Roman" w:hAnsi="Times New Roman"/>
          <w:i/>
          <w:noProof/>
        </w:rPr>
        <w:t>Stevens-Johnson</w:t>
      </w:r>
      <w:r w:rsidRPr="00156990">
        <w:rPr>
          <w:rFonts w:ascii="Times New Roman" w:hAnsi="Times New Roman"/>
          <w:noProof/>
        </w:rPr>
        <w:t xml:space="preserve"> sindromas, toksinė epidermio nekrolizė).</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Raumenų silpnumas.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Krūtų padidėjimas (vyrams).</w:t>
      </w:r>
    </w:p>
    <w:p w:rsidR="009D625F" w:rsidRPr="00156990" w:rsidRDefault="009D625F" w:rsidP="009D625F">
      <w:pPr>
        <w:spacing w:after="0" w:line="240" w:lineRule="auto"/>
        <w:ind w:left="567"/>
        <w:rPr>
          <w:rFonts w:ascii="Times New Roman" w:hAnsi="Times New Roman"/>
          <w:noProof/>
        </w:rPr>
      </w:pPr>
    </w:p>
    <w:p w:rsidR="009D625F" w:rsidRPr="00156990" w:rsidRDefault="009D625F" w:rsidP="009D625F">
      <w:pPr>
        <w:spacing w:after="0" w:line="240" w:lineRule="auto"/>
        <w:ind w:left="567" w:hanging="567"/>
        <w:rPr>
          <w:rFonts w:ascii="Times New Roman" w:hAnsi="Times New Roman"/>
          <w:b/>
          <w:noProof/>
        </w:rPr>
      </w:pPr>
      <w:r w:rsidRPr="00156990">
        <w:rPr>
          <w:rFonts w:ascii="Times New Roman" w:hAnsi="Times New Roman"/>
          <w:b/>
          <w:noProof/>
        </w:rPr>
        <w:t>Dažnis nežinomas</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Sumažėjęs magnio kiekis kraujyje.</w:t>
      </w:r>
    </w:p>
    <w:p w:rsidR="009D625F" w:rsidRPr="00156990" w:rsidRDefault="009D625F" w:rsidP="009D625F">
      <w:pPr>
        <w:numPr>
          <w:ilvl w:val="0"/>
          <w:numId w:val="3"/>
        </w:numPr>
        <w:spacing w:after="0" w:line="240" w:lineRule="auto"/>
        <w:rPr>
          <w:rFonts w:ascii="Times New Roman" w:hAnsi="Times New Roman"/>
          <w:noProof/>
        </w:rPr>
      </w:pPr>
      <w:r w:rsidRPr="00156990">
        <w:rPr>
          <w:rFonts w:ascii="Times New Roman" w:hAnsi="Times New Roman"/>
          <w:noProof/>
        </w:rPr>
        <w:t>Išbėrimas, galintis pasireikšti kartu su sąnąrių skausmu.</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lang w:eastAsia="lt-LT"/>
        </w:rPr>
      </w:pPr>
      <w:r w:rsidRPr="00156990">
        <w:rPr>
          <w:rFonts w:ascii="Times New Roman" w:hAnsi="Times New Roman"/>
          <w:lang w:eastAsia="lt-LT"/>
        </w:rPr>
        <w:t xml:space="preserve">Labai retais atvejais Omeprazol Actavis gali pažeisti baltąsias kraujo ląsteles ir susilpninti imuninę sistemą. Jeigu pasireiškia infekcija, kurios simptomai yra karščiavimas ir </w:t>
      </w:r>
      <w:r w:rsidRPr="00156990">
        <w:rPr>
          <w:rFonts w:ascii="Times New Roman" w:hAnsi="Times New Roman"/>
          <w:b/>
          <w:bCs/>
          <w:lang w:eastAsia="lt-LT"/>
        </w:rPr>
        <w:t>labai</w:t>
      </w:r>
      <w:r w:rsidRPr="00156990">
        <w:rPr>
          <w:rFonts w:ascii="Times New Roman" w:hAnsi="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lang w:eastAsia="lt-LT"/>
        </w:rPr>
      </w:pPr>
      <w:r w:rsidRPr="00156990">
        <w:rPr>
          <w:rFonts w:ascii="Times New Roman" w:hAnsi="Times New Roman"/>
          <w:lang w:eastAsia="lt-LT"/>
        </w:rPr>
        <w:t xml:space="preserve">Nesijaudinkite dėl šio galimo šalutinio poveikio atvejų sąrašo. Jums gali nepasireikšti nė vienas iš jų. </w:t>
      </w:r>
    </w:p>
    <w:p w:rsidR="009D625F" w:rsidRPr="00156990" w:rsidRDefault="009D625F" w:rsidP="009D625F">
      <w:pPr>
        <w:spacing w:after="0" w:line="240" w:lineRule="auto"/>
        <w:rPr>
          <w:rFonts w:ascii="Times New Roman" w:hAnsi="Times New Roman"/>
          <w:lang w:eastAsia="lt-LT"/>
        </w:rPr>
      </w:pPr>
    </w:p>
    <w:p w:rsidR="009D625F" w:rsidRPr="00156990" w:rsidRDefault="009D625F" w:rsidP="009D625F">
      <w:pPr>
        <w:spacing w:after="0" w:line="240" w:lineRule="auto"/>
        <w:rPr>
          <w:rFonts w:ascii="Times New Roman" w:hAnsi="Times New Roman"/>
          <w:b/>
          <w:lang w:eastAsia="lt-LT"/>
        </w:rPr>
      </w:pPr>
      <w:r w:rsidRPr="00156990">
        <w:rPr>
          <w:rFonts w:ascii="Times New Roman" w:hAnsi="Times New Roman"/>
          <w:b/>
          <w:noProof/>
          <w:lang w:eastAsia="lt-LT"/>
        </w:rPr>
        <w:t>Pranešimas apie šalutinį poveikį</w:t>
      </w:r>
    </w:p>
    <w:p w:rsidR="009D625F" w:rsidRPr="00156990" w:rsidRDefault="009D625F" w:rsidP="009D625F">
      <w:pPr>
        <w:spacing w:after="0" w:line="240" w:lineRule="auto"/>
        <w:ind w:right="-94"/>
        <w:rPr>
          <w:rFonts w:ascii="Times New Roman" w:hAnsi="Times New Roman"/>
          <w:noProof/>
          <w:lang w:eastAsia="lt-LT"/>
        </w:rPr>
      </w:pPr>
      <w:r w:rsidRPr="00156990">
        <w:rPr>
          <w:rFonts w:ascii="Times New Roman" w:hAnsi="Times New Roman"/>
          <w:noProof/>
          <w:lang w:eastAsia="lt-LT"/>
        </w:rPr>
        <w:t>Jeigu pasireiškė šalutinis poveikis, įskaitant šiame lapelyje nenurodytą, pasakykite gydytojui arba vaistininkui</w:t>
      </w:r>
      <w:r w:rsidRPr="00156990">
        <w:rPr>
          <w:rFonts w:ascii="Times New Roman" w:hAnsi="Times New Roman"/>
          <w:lang w:eastAsia="lt-LT"/>
        </w:rPr>
        <w:t>.</w:t>
      </w:r>
      <w:r w:rsidRPr="00156990">
        <w:rPr>
          <w:rFonts w:ascii="Times New Roman" w:hAnsi="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156990">
          <w:rPr>
            <w:rFonts w:ascii="Times New Roman" w:hAnsi="Times New Roman"/>
            <w:noProof/>
            <w:color w:val="0000FF"/>
            <w:u w:val="single"/>
            <w:lang w:eastAsia="lt-LT"/>
          </w:rPr>
          <w:t>www.vvkt.lt</w:t>
        </w:r>
      </w:hyperlink>
      <w:r w:rsidRPr="00156990">
        <w:rPr>
          <w:rFonts w:ascii="Times New Roman" w:hAnsi="Times New Roman"/>
          <w:noProof/>
          <w:lang w:eastAsia="lt-LT"/>
        </w:rPr>
        <w:t xml:space="preserve"> esančią formą ir pateikti ją Valstybinei vaistų kontrolės tarnybai prie </w:t>
      </w:r>
      <w:r w:rsidRPr="00156990">
        <w:rPr>
          <w:rFonts w:ascii="Times New Roman" w:hAnsi="Times New Roman"/>
          <w:noProof/>
          <w:lang w:eastAsia="lt-LT"/>
        </w:rPr>
        <w:lastRenderedPageBreak/>
        <w:t xml:space="preserve">Lietuvos Respublikos sveikatos apsaugos ministerijos vienu iš šių būdų: raštu (adresu Žirmūnų g. 139A, LT-09120 Vilnius), nemokamu fakso numeriu 8 800 20131, el. paštu </w:t>
      </w:r>
      <w:hyperlink r:id="rId6" w:history="1">
        <w:r w:rsidRPr="00156990">
          <w:rPr>
            <w:rFonts w:ascii="Times New Roman" w:hAnsi="Times New Roman"/>
            <w:noProof/>
            <w:color w:val="0000FF"/>
            <w:u w:val="single"/>
            <w:lang w:eastAsia="lt-LT"/>
          </w:rPr>
          <w:t>NepageidaujamaR@vvkt.lt</w:t>
        </w:r>
      </w:hyperlink>
      <w:r w:rsidRPr="00156990">
        <w:rPr>
          <w:rFonts w:ascii="Times New Roman" w:hAnsi="Times New Roman"/>
          <w:noProof/>
          <w:lang w:eastAsia="lt-LT"/>
        </w:rPr>
        <w:t xml:space="preserve">, taip pat per Valstybinės vaistų kontrolės tarnybos prie Lietuvos Respublikos sveikatos apsaugos ministerijos interneto svetainę (adresu </w:t>
      </w:r>
      <w:hyperlink r:id="rId7" w:history="1">
        <w:r w:rsidRPr="00156990">
          <w:rPr>
            <w:rFonts w:ascii="Times New Roman" w:hAnsi="Times New Roman"/>
            <w:noProof/>
            <w:color w:val="0000FF"/>
            <w:u w:val="single"/>
            <w:lang w:eastAsia="lt-LT"/>
          </w:rPr>
          <w:t>http://www.vvkt.lt</w:t>
        </w:r>
      </w:hyperlink>
      <w:r w:rsidRPr="00156990">
        <w:rPr>
          <w:rFonts w:ascii="Times New Roman" w:hAnsi="Times New Roman"/>
          <w:noProof/>
          <w:lang w:eastAsia="lt-LT"/>
        </w:rPr>
        <w:t>). Pranešdami apie šalutinį poveikį galite mums padėti gauti daugiau informacijos apie šio vaisto saugumą.</w:t>
      </w:r>
    </w:p>
    <w:p w:rsidR="009D625F" w:rsidRPr="00156990" w:rsidRDefault="009D625F" w:rsidP="009D625F">
      <w:pPr>
        <w:tabs>
          <w:tab w:val="left" w:pos="567"/>
        </w:tabs>
        <w:spacing w:after="0" w:line="240" w:lineRule="auto"/>
        <w:rPr>
          <w:rFonts w:ascii="Times New Roman" w:hAnsi="Times New Roman"/>
          <w:i/>
          <w:iCs/>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caps/>
          <w:lang w:eastAsia="lt-LT"/>
        </w:rPr>
        <w:t>5.</w:t>
      </w:r>
      <w:r w:rsidRPr="00156990">
        <w:rPr>
          <w:rFonts w:ascii="Times New Roman" w:hAnsi="Times New Roman"/>
          <w:b/>
          <w:caps/>
          <w:lang w:eastAsia="lt-LT"/>
        </w:rPr>
        <w:tab/>
      </w:r>
      <w:r w:rsidRPr="00156990">
        <w:rPr>
          <w:rFonts w:ascii="Times New Roman" w:hAnsi="Times New Roman"/>
          <w:b/>
          <w:lang w:eastAsia="lt-LT"/>
        </w:rPr>
        <w:t>Kaip laikyti Omeprazol Actavis</w:t>
      </w:r>
      <w:r w:rsidRPr="00156990">
        <w:rPr>
          <w:rFonts w:ascii="Times New Roman" w:hAnsi="Times New Roman"/>
          <w:b/>
          <w:bCs/>
          <w:caps/>
          <w:lang w:eastAsia="lt-LT"/>
        </w:rPr>
        <w:t xml:space="preserve"> </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spacing w:after="0" w:line="240" w:lineRule="auto"/>
        <w:ind w:right="-2"/>
        <w:rPr>
          <w:rFonts w:ascii="Times New Roman" w:hAnsi="Times New Roman"/>
          <w:lang w:eastAsia="lt-LT"/>
        </w:rPr>
      </w:pPr>
      <w:r w:rsidRPr="00156990">
        <w:rPr>
          <w:rFonts w:ascii="Times New Roman" w:hAnsi="Times New Roman"/>
          <w:noProof/>
          <w:lang w:eastAsia="lt-LT"/>
        </w:rPr>
        <w:t>Šį vaistą laikykite vaikams nepastebimoje ir nepasiekiamoje vietoje.</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Laikyti ne aukštesnėje kaip 25 </w:t>
      </w:r>
      <w:r w:rsidRPr="00156990">
        <w:rPr>
          <w:rFonts w:ascii="Times New Roman" w:hAnsi="Times New Roman"/>
          <w:vertAlign w:val="superscript"/>
          <w:lang w:eastAsia="lt-LT"/>
        </w:rPr>
        <w:t>o</w:t>
      </w:r>
      <w:r w:rsidRPr="00156990">
        <w:rPr>
          <w:rFonts w:ascii="Times New Roman" w:hAnsi="Times New Roman"/>
          <w:lang w:eastAsia="lt-LT"/>
        </w:rPr>
        <w:t>C temperatūroje.</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Laikyti gamintojo pakuotėje, kad vaistas būtų apsaugotas nuo šviesos ir drėgmės.</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Ant kartono dėžutės po „EXP</w:t>
      </w:r>
      <w:r w:rsidRPr="003963BD">
        <w:rPr>
          <w:rFonts w:ascii="Times New Roman" w:hAnsi="Times New Roman"/>
          <w:highlight w:val="lightGray"/>
        </w:rPr>
        <w:t>/</w:t>
      </w:r>
      <w:r w:rsidRPr="00156990">
        <w:rPr>
          <w:rFonts w:ascii="Times New Roman" w:hAnsi="Times New Roman"/>
          <w:highlight w:val="lightGray"/>
          <w:lang w:eastAsia="lt-LT"/>
        </w:rPr>
        <w:t>Tinka iki</w:t>
      </w:r>
      <w:r w:rsidRPr="00156990">
        <w:rPr>
          <w:rFonts w:ascii="Times New Roman" w:hAnsi="Times New Roman"/>
          <w:lang w:eastAsia="lt-LT"/>
        </w:rPr>
        <w:t>“ ir ant lizdinės plokštelės nurodytam tinkamumo laikui pasibaigus, šio vaisto vartoti negalima. Vaistas tinkamas vartoti iki paskutinės nurodyto mėnesio dienos.</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Vaistų negalima išmesti į kanalizaciją arba su buitinėmis atliekomis. Kaip išmesti nereikalingus vaistus, klauskite vaistininko. Šios priemonės padės apsaugoti aplinką.</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numPr>
          <w:ilvl w:val="12"/>
          <w:numId w:val="0"/>
        </w:numPr>
        <w:tabs>
          <w:tab w:val="left" w:pos="567"/>
        </w:tabs>
        <w:spacing w:after="0" w:line="240" w:lineRule="auto"/>
        <w:outlineLvl w:val="0"/>
        <w:rPr>
          <w:rFonts w:ascii="Times New Roman" w:hAnsi="Times New Roman"/>
          <w:b/>
          <w:lang w:eastAsia="lt-LT"/>
        </w:rPr>
      </w:pPr>
      <w:r w:rsidRPr="00156990">
        <w:rPr>
          <w:rFonts w:ascii="Times New Roman" w:hAnsi="Times New Roman"/>
          <w:b/>
          <w:lang w:eastAsia="lt-LT"/>
        </w:rPr>
        <w:t>6.</w:t>
      </w:r>
      <w:r w:rsidRPr="00156990">
        <w:rPr>
          <w:rFonts w:ascii="Times New Roman" w:hAnsi="Times New Roman"/>
          <w:lang w:eastAsia="lt-LT"/>
        </w:rPr>
        <w:tab/>
      </w:r>
      <w:r w:rsidRPr="00156990">
        <w:rPr>
          <w:rFonts w:ascii="Times New Roman" w:hAnsi="Times New Roman"/>
          <w:b/>
          <w:lang w:eastAsia="lt-LT"/>
        </w:rPr>
        <w:t>Pakuotės turinys ir kita informacija</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lang w:eastAsia="lt-LT"/>
        </w:rPr>
        <w:t>Omeprazol Actavis sudėtis</w:t>
      </w:r>
    </w:p>
    <w:p w:rsidR="009D625F" w:rsidRPr="00156990" w:rsidRDefault="009D625F" w:rsidP="009D625F">
      <w:pPr>
        <w:numPr>
          <w:ilvl w:val="0"/>
          <w:numId w:val="1"/>
        </w:numPr>
        <w:tabs>
          <w:tab w:val="left" w:pos="567"/>
        </w:tabs>
        <w:spacing w:after="0" w:line="240" w:lineRule="auto"/>
        <w:ind w:left="567" w:hanging="567"/>
        <w:rPr>
          <w:rFonts w:ascii="Times New Roman" w:hAnsi="Times New Roman"/>
          <w:lang w:eastAsia="lt-LT"/>
        </w:rPr>
      </w:pPr>
      <w:r w:rsidRPr="00156990">
        <w:rPr>
          <w:rFonts w:ascii="Times New Roman" w:hAnsi="Times New Roman"/>
          <w:iCs/>
          <w:lang w:eastAsia="lt-LT"/>
        </w:rPr>
        <w:t>Veiklioji medžiaga yra omeprazolas</w:t>
      </w:r>
      <w:r w:rsidRPr="00156990">
        <w:rPr>
          <w:rFonts w:ascii="Times New Roman" w:hAnsi="Times New Roman"/>
          <w:lang w:eastAsia="lt-LT"/>
        </w:rPr>
        <w:t>. Kiekvienoje skrandyje neirioje kietojoje kapsulėje yra 20 mg omeprazolo.</w:t>
      </w:r>
    </w:p>
    <w:p w:rsidR="009D625F" w:rsidRPr="00156990" w:rsidRDefault="009D625F" w:rsidP="009D625F">
      <w:pPr>
        <w:tabs>
          <w:tab w:val="left" w:pos="567"/>
        </w:tabs>
        <w:spacing w:after="0" w:line="240" w:lineRule="auto"/>
        <w:ind w:left="567" w:hanging="567"/>
        <w:rPr>
          <w:rFonts w:ascii="Times New Roman" w:hAnsi="Times New Roman"/>
          <w:lang w:eastAsia="lt-LT"/>
        </w:rPr>
      </w:pPr>
      <w:r w:rsidRPr="00156990">
        <w:rPr>
          <w:rFonts w:ascii="Times New Roman" w:hAnsi="Times New Roman"/>
          <w:iCs/>
          <w:lang w:eastAsia="lt-LT"/>
        </w:rPr>
        <w:t>-</w:t>
      </w:r>
      <w:r w:rsidRPr="00156990">
        <w:rPr>
          <w:rFonts w:ascii="Times New Roman" w:hAnsi="Times New Roman"/>
          <w:iCs/>
          <w:lang w:eastAsia="lt-LT"/>
        </w:rPr>
        <w:tab/>
        <w:t>Pagalbinės medžiagos kapsulės užpilde yra m</w:t>
      </w:r>
      <w:r w:rsidRPr="00156990">
        <w:rPr>
          <w:rFonts w:ascii="Times New Roman" w:hAnsi="Times New Roman"/>
          <w:lang w:eastAsia="lt-LT"/>
        </w:rPr>
        <w:t xml:space="preserve">agnio lengvasis subkarbonatas, hidroksipropilceliuliozė, dinatrio fosfatas dihidratas, </w:t>
      </w:r>
      <w:r>
        <w:rPr>
          <w:rFonts w:ascii="Times New Roman" w:hAnsi="Times New Roman"/>
          <w:lang w:eastAsia="lt-LT"/>
        </w:rPr>
        <w:t xml:space="preserve">kukurūzų </w:t>
      </w:r>
      <w:r w:rsidRPr="00156990">
        <w:rPr>
          <w:rFonts w:ascii="Times New Roman" w:hAnsi="Times New Roman"/>
          <w:lang w:eastAsia="lt-LT"/>
        </w:rPr>
        <w:t>krakmolas, talkas, sacharozė, metakrilo rūgšties ir etilakrilato 1:1 kopolimeras, titano dioksidas (E171), polisorbatas, makrogolis, koloidinis bevandenis silicio dioksidas, hipromeliozė; kapsulės korpuse – želatina, titano dioksidas (E171), raudonasis geležies oksidas (E172), geltonasis geležies oksidas (E172).</w:t>
      </w:r>
    </w:p>
    <w:p w:rsidR="009D625F" w:rsidRPr="00156990" w:rsidRDefault="009D625F" w:rsidP="009D625F">
      <w:pPr>
        <w:tabs>
          <w:tab w:val="left" w:pos="567"/>
        </w:tabs>
        <w:spacing w:after="0" w:line="240" w:lineRule="auto"/>
        <w:rPr>
          <w:rFonts w:ascii="Times New Roman" w:hAnsi="Times New Roman"/>
          <w:b/>
          <w:lang w:eastAsia="lt-LT"/>
        </w:rPr>
      </w:pPr>
    </w:p>
    <w:p w:rsidR="009D625F" w:rsidRPr="00156990" w:rsidRDefault="009D625F" w:rsidP="009D625F">
      <w:pPr>
        <w:tabs>
          <w:tab w:val="left" w:pos="567"/>
        </w:tabs>
        <w:spacing w:after="0" w:line="220" w:lineRule="exact"/>
        <w:rPr>
          <w:rFonts w:ascii="Times New Roman" w:hAnsi="Times New Roman"/>
          <w:b/>
          <w:bCs/>
        </w:rPr>
      </w:pPr>
      <w:r w:rsidRPr="00156990">
        <w:rPr>
          <w:rFonts w:ascii="Times New Roman" w:hAnsi="Times New Roman"/>
          <w:b/>
          <w:bCs/>
        </w:rPr>
        <w:t>Omeprazol Actavis išvaizda ir kiekis pakuotėje</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Kieta želatininė kapsulė, korpusas baltas, dangtelis oranžinės spalvos, užpildyta baltos arba beveik baltos spalvos granulėmis.</w:t>
      </w:r>
    </w:p>
    <w:p w:rsidR="009D625F" w:rsidRPr="00156990" w:rsidRDefault="009D625F" w:rsidP="009D625F">
      <w:pPr>
        <w:tabs>
          <w:tab w:val="left" w:pos="567"/>
        </w:tabs>
        <w:spacing w:after="0" w:line="240" w:lineRule="auto"/>
        <w:jc w:val="both"/>
        <w:rPr>
          <w:rFonts w:ascii="Times New Roman" w:hAnsi="Times New Roman"/>
          <w:lang w:eastAsia="lt-LT"/>
        </w:rPr>
      </w:pPr>
    </w:p>
    <w:p w:rsidR="009D625F" w:rsidRPr="00156990" w:rsidRDefault="009D625F" w:rsidP="009D625F">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Kapsulės supakuotos į PVC/PVDC/Al lizdines plokšteles po 10 ar Al/Al lizdines plokšteles po 7.</w:t>
      </w:r>
    </w:p>
    <w:p w:rsidR="009D625F" w:rsidRPr="00156990" w:rsidRDefault="009D625F" w:rsidP="009D625F">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Kartono dėžutėje yra 28 arba 30 skrandyje neirių kietųjų kapsulių.</w:t>
      </w:r>
    </w:p>
    <w:p w:rsidR="009D625F" w:rsidRPr="00156990" w:rsidRDefault="009D625F" w:rsidP="009D625F">
      <w:pPr>
        <w:tabs>
          <w:tab w:val="left" w:pos="567"/>
        </w:tabs>
        <w:spacing w:after="0" w:line="220" w:lineRule="exact"/>
        <w:rPr>
          <w:rFonts w:ascii="Times New Roman" w:hAnsi="Times New Roman"/>
          <w:bCs/>
        </w:rPr>
      </w:pPr>
    </w:p>
    <w:p w:rsidR="009D625F" w:rsidRPr="00156990" w:rsidRDefault="009D625F" w:rsidP="009D625F">
      <w:pPr>
        <w:tabs>
          <w:tab w:val="left" w:pos="567"/>
        </w:tabs>
        <w:spacing w:after="0" w:line="220" w:lineRule="exact"/>
        <w:rPr>
          <w:rFonts w:ascii="Times New Roman" w:hAnsi="Times New Roman"/>
          <w:bCs/>
        </w:rPr>
      </w:pPr>
      <w:r w:rsidRPr="00156990">
        <w:rPr>
          <w:rFonts w:ascii="Times New Roman" w:hAnsi="Times New Roman"/>
          <w:bCs/>
        </w:rPr>
        <w:t>Gali būti tiekiamos ne visų dydžių pakuotės.</w:t>
      </w:r>
    </w:p>
    <w:p w:rsidR="009D625F" w:rsidRPr="00156990" w:rsidRDefault="009D625F" w:rsidP="009D625F">
      <w:pPr>
        <w:tabs>
          <w:tab w:val="left" w:pos="567"/>
        </w:tabs>
        <w:spacing w:after="0" w:line="220" w:lineRule="exact"/>
        <w:rPr>
          <w:rFonts w:ascii="Times New Roman" w:hAnsi="Times New Roman"/>
          <w:bCs/>
        </w:rPr>
      </w:pPr>
    </w:p>
    <w:p w:rsidR="009D625F" w:rsidRPr="00156990" w:rsidRDefault="009D625F" w:rsidP="009D625F">
      <w:pPr>
        <w:tabs>
          <w:tab w:val="left" w:pos="567"/>
        </w:tabs>
        <w:spacing w:after="0" w:line="240" w:lineRule="auto"/>
        <w:rPr>
          <w:rFonts w:ascii="Times New Roman" w:hAnsi="Times New Roman"/>
          <w:b/>
          <w:bCs/>
          <w:lang w:eastAsia="lt-LT"/>
        </w:rPr>
      </w:pPr>
      <w:r w:rsidRPr="00156990">
        <w:rPr>
          <w:rFonts w:ascii="Times New Roman" w:hAnsi="Times New Roman"/>
          <w:b/>
          <w:bCs/>
          <w:lang w:eastAsia="lt-LT"/>
        </w:rPr>
        <w:t>Registruotojas ir gamintojas</w:t>
      </w:r>
    </w:p>
    <w:p w:rsidR="009D625F" w:rsidRPr="00156990" w:rsidRDefault="009D625F" w:rsidP="009D625F">
      <w:pPr>
        <w:tabs>
          <w:tab w:val="left" w:pos="567"/>
        </w:tabs>
        <w:spacing w:after="0" w:line="240" w:lineRule="auto"/>
        <w:rPr>
          <w:rFonts w:ascii="Times New Roman" w:hAnsi="Times New Roman"/>
          <w:bCs/>
          <w:i/>
          <w:lang w:eastAsia="lt-LT"/>
        </w:rPr>
      </w:pPr>
      <w:r w:rsidRPr="00156990">
        <w:rPr>
          <w:rFonts w:ascii="Times New Roman" w:hAnsi="Times New Roman"/>
          <w:bCs/>
          <w:i/>
          <w:lang w:eastAsia="lt-LT"/>
        </w:rPr>
        <w:t>Registruotojas</w:t>
      </w:r>
    </w:p>
    <w:p w:rsidR="009D625F" w:rsidRDefault="009D625F" w:rsidP="009D625F">
      <w:pPr>
        <w:tabs>
          <w:tab w:val="left" w:pos="567"/>
        </w:tabs>
        <w:spacing w:after="0" w:line="240" w:lineRule="auto"/>
        <w:rPr>
          <w:rFonts w:ascii="Times New Roman" w:hAnsi="Times New Roman"/>
        </w:rPr>
      </w:pPr>
      <w:r w:rsidRPr="00B36E41">
        <w:rPr>
          <w:rFonts w:ascii="Times New Roman" w:hAnsi="Times New Roman"/>
        </w:rPr>
        <w:t xml:space="preserve">Teva B.V. </w:t>
      </w:r>
    </w:p>
    <w:p w:rsidR="009D625F" w:rsidRDefault="009D625F" w:rsidP="009D625F">
      <w:pPr>
        <w:tabs>
          <w:tab w:val="left" w:pos="567"/>
        </w:tabs>
        <w:spacing w:after="0" w:line="240" w:lineRule="auto"/>
        <w:rPr>
          <w:rFonts w:ascii="Times New Roman" w:hAnsi="Times New Roman"/>
        </w:rPr>
      </w:pPr>
      <w:r w:rsidRPr="00B36E41">
        <w:rPr>
          <w:rFonts w:ascii="Times New Roman" w:hAnsi="Times New Roman"/>
        </w:rPr>
        <w:t xml:space="preserve">Swensweg 5 </w:t>
      </w:r>
    </w:p>
    <w:p w:rsidR="009D625F" w:rsidRDefault="009D625F" w:rsidP="009D625F">
      <w:pPr>
        <w:tabs>
          <w:tab w:val="left" w:pos="567"/>
        </w:tabs>
        <w:spacing w:after="0" w:line="240" w:lineRule="auto"/>
        <w:rPr>
          <w:rFonts w:ascii="Times New Roman" w:hAnsi="Times New Roman"/>
        </w:rPr>
      </w:pPr>
      <w:r w:rsidRPr="00B36E41">
        <w:rPr>
          <w:rFonts w:ascii="Times New Roman" w:hAnsi="Times New Roman"/>
        </w:rPr>
        <w:t xml:space="preserve">2031GA Haarlem </w:t>
      </w:r>
    </w:p>
    <w:p w:rsidR="009D625F" w:rsidRPr="00B36E41" w:rsidRDefault="009D625F" w:rsidP="009D625F">
      <w:pPr>
        <w:tabs>
          <w:tab w:val="left" w:pos="567"/>
        </w:tabs>
        <w:spacing w:after="0" w:line="240" w:lineRule="auto"/>
        <w:rPr>
          <w:rFonts w:ascii="Times New Roman" w:hAnsi="Times New Roman"/>
          <w:lang w:eastAsia="lt-LT"/>
        </w:rPr>
      </w:pPr>
      <w:r w:rsidRPr="00B36E41">
        <w:rPr>
          <w:rFonts w:ascii="Times New Roman" w:hAnsi="Times New Roman"/>
        </w:rPr>
        <w:t>Nyderlandai</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Cs/>
          <w:i/>
          <w:lang w:eastAsia="lt-LT"/>
        </w:rPr>
      </w:pPr>
      <w:r w:rsidRPr="00156990">
        <w:rPr>
          <w:rFonts w:ascii="Times New Roman" w:hAnsi="Times New Roman"/>
          <w:bCs/>
          <w:i/>
          <w:lang w:eastAsia="lt-LT"/>
        </w:rPr>
        <w:t>Gamintojas</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Balkanpharma-Razgrad AD</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68, Aprilsko Vastanie Blvd. </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7200 Razgrad </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lastRenderedPageBreak/>
        <w:t>Balkanpharma-Dupnitsa AD</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3, Samokovsko shosse Str., Dupnitsa</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Jeigu apie šį vaistą norite sužinoti daugiau, kreipkitės į vietinį registruotojo atstovą.</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UAB </w:t>
      </w:r>
      <w:r>
        <w:rPr>
          <w:rFonts w:ascii="Times New Roman" w:hAnsi="Times New Roman"/>
          <w:lang w:eastAsia="lt-LT"/>
        </w:rPr>
        <w:t>Teva Baltics</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Molėtų pl. 5</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LT-08409 Vilnius</w:t>
      </w:r>
    </w:p>
    <w:p w:rsidR="009D625F" w:rsidRPr="00156990" w:rsidRDefault="009D625F" w:rsidP="009D625F">
      <w:pPr>
        <w:tabs>
          <w:tab w:val="left" w:pos="567"/>
        </w:tabs>
        <w:spacing w:after="0" w:line="240" w:lineRule="auto"/>
        <w:rPr>
          <w:rFonts w:ascii="Times New Roman" w:hAnsi="Times New Roman"/>
          <w:lang w:eastAsia="lt-LT"/>
        </w:rPr>
      </w:pPr>
      <w:r w:rsidRPr="00156990">
        <w:rPr>
          <w:rFonts w:ascii="Times New Roman" w:hAnsi="Times New Roman"/>
          <w:lang w:eastAsia="lt-LT"/>
        </w:rPr>
        <w:t>Tel.: +370 5 266 02 03</w:t>
      </w: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Pr>
        <w:tabs>
          <w:tab w:val="left" w:pos="567"/>
        </w:tabs>
        <w:spacing w:after="0" w:line="240" w:lineRule="auto"/>
        <w:rPr>
          <w:rFonts w:ascii="Times New Roman" w:hAnsi="Times New Roman"/>
          <w:b/>
          <w:lang w:eastAsia="lt-LT"/>
        </w:rPr>
      </w:pPr>
      <w:r w:rsidRPr="00156990">
        <w:rPr>
          <w:rFonts w:ascii="Times New Roman" w:hAnsi="Times New Roman"/>
          <w:b/>
          <w:bCs/>
          <w:lang w:eastAsia="lt-LT"/>
        </w:rPr>
        <w:t xml:space="preserve">Šis pakuotės </w:t>
      </w:r>
      <w:r w:rsidRPr="00156990">
        <w:rPr>
          <w:rFonts w:ascii="Times New Roman" w:hAnsi="Times New Roman"/>
          <w:b/>
          <w:lang w:eastAsia="lt-LT"/>
        </w:rPr>
        <w:t>lapelis paskutinį kartą peržiūrėtas</w:t>
      </w:r>
      <w:r>
        <w:rPr>
          <w:rFonts w:ascii="Times New Roman" w:hAnsi="Times New Roman"/>
          <w:b/>
          <w:lang w:eastAsia="lt-LT"/>
        </w:rPr>
        <w:t xml:space="preserve"> 2023-04-03. </w:t>
      </w:r>
    </w:p>
    <w:p w:rsidR="009D625F" w:rsidRPr="00156990" w:rsidRDefault="009D625F" w:rsidP="009D625F">
      <w:pPr>
        <w:numPr>
          <w:ilvl w:val="12"/>
          <w:numId w:val="0"/>
        </w:numPr>
        <w:spacing w:after="0" w:line="240" w:lineRule="auto"/>
        <w:ind w:right="-2"/>
        <w:rPr>
          <w:rFonts w:ascii="Times New Roman" w:hAnsi="Times New Roman"/>
          <w:i/>
          <w:lang w:eastAsia="lt-LT"/>
        </w:rPr>
      </w:pPr>
    </w:p>
    <w:p w:rsidR="009D625F" w:rsidRPr="00156990" w:rsidRDefault="009D625F" w:rsidP="009D625F">
      <w:pPr>
        <w:tabs>
          <w:tab w:val="left" w:pos="567"/>
        </w:tabs>
        <w:spacing w:after="0" w:line="240" w:lineRule="auto"/>
        <w:rPr>
          <w:rFonts w:ascii="Times New Roman" w:hAnsi="Times New Roman"/>
          <w:color w:val="000000"/>
          <w:lang w:eastAsia="lt-LT"/>
        </w:rPr>
      </w:pPr>
      <w:r w:rsidRPr="00156990">
        <w:rPr>
          <w:rFonts w:ascii="Times New Roman" w:hAnsi="Times New Roman"/>
          <w:lang w:eastAsia="lt-LT"/>
        </w:rPr>
        <w:t>Išsami informacija apie šį vaistą pateikiama Valstybinės vaistų kontrolės tarnybos prie Lietuvos Respublikos sveikatos apsaugos ministerijos tinklalapyje</w:t>
      </w:r>
      <w:r w:rsidRPr="00156990">
        <w:rPr>
          <w:rFonts w:ascii="Times New Roman" w:hAnsi="Times New Roman"/>
          <w:i/>
          <w:lang w:eastAsia="lt-LT"/>
        </w:rPr>
        <w:t xml:space="preserve"> </w:t>
      </w:r>
      <w:hyperlink r:id="rId8" w:history="1">
        <w:r w:rsidRPr="00156990">
          <w:rPr>
            <w:rFonts w:ascii="Times New Roman" w:hAnsi="Times New Roman"/>
            <w:color w:val="0000FF"/>
            <w:u w:val="single"/>
            <w:lang w:eastAsia="lt-LT"/>
          </w:rPr>
          <w:t>http://wwww.vvkt.lt</w:t>
        </w:r>
      </w:hyperlink>
      <w:r w:rsidRPr="00156990">
        <w:rPr>
          <w:rFonts w:ascii="Times New Roman" w:hAnsi="Times New Roman"/>
          <w:color w:val="000000"/>
          <w:lang w:eastAsia="lt-LT"/>
        </w:rPr>
        <w:t>.</w:t>
      </w:r>
    </w:p>
    <w:p w:rsidR="009D625F" w:rsidRPr="00156990" w:rsidRDefault="009D625F" w:rsidP="009D625F">
      <w:pPr>
        <w:tabs>
          <w:tab w:val="left" w:pos="567"/>
        </w:tabs>
        <w:spacing w:after="0" w:line="240" w:lineRule="auto"/>
        <w:rPr>
          <w:rFonts w:ascii="Times New Roman" w:hAnsi="Times New Roman"/>
          <w:color w:val="000000"/>
          <w:lang w:eastAsia="lt-LT"/>
        </w:rPr>
      </w:pPr>
    </w:p>
    <w:p w:rsidR="009D625F" w:rsidRPr="00156990" w:rsidRDefault="009D625F" w:rsidP="009D625F">
      <w:pPr>
        <w:tabs>
          <w:tab w:val="left" w:pos="567"/>
        </w:tabs>
        <w:spacing w:after="0" w:line="240" w:lineRule="auto"/>
        <w:rPr>
          <w:rFonts w:ascii="Times New Roman" w:hAnsi="Times New Roman"/>
          <w:lang w:eastAsia="lt-LT"/>
        </w:rPr>
      </w:pPr>
    </w:p>
    <w:p w:rsidR="009D625F" w:rsidRPr="00156990" w:rsidRDefault="009D625F" w:rsidP="009D625F"/>
    <w:p w:rsidR="009D625F" w:rsidRPr="00156990" w:rsidRDefault="009D625F" w:rsidP="009D625F"/>
    <w:p w:rsidR="009D625F" w:rsidRDefault="009D625F" w:rsidP="009D625F"/>
    <w:p w:rsidR="009041DB" w:rsidRDefault="009041DB">
      <w:bookmarkStart w:id="0" w:name="_GoBack"/>
      <w:bookmarkEnd w:id="0"/>
    </w:p>
    <w:sectPr w:rsidR="009041DB" w:rsidSect="002517BF">
      <w:footerReference w:type="even" r:id="rId9"/>
      <w:footerReference w:type="default" r:id="rId1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DD" w:rsidRDefault="009D625F" w:rsidP="00251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2007DD" w:rsidRDefault="009D625F" w:rsidP="002517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DD" w:rsidRDefault="009D625F" w:rsidP="00251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rsidR="002007DD" w:rsidRDefault="009D625F" w:rsidP="002517BF">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DE769B"/>
    <w:multiLevelType w:val="hybridMultilevel"/>
    <w:tmpl w:val="C3FE6A66"/>
    <w:lvl w:ilvl="0" w:tplc="9C7E2FA8">
      <w:numFmt w:val="bullet"/>
      <w:lvlText w:val="-"/>
      <w:lvlJc w:val="left"/>
      <w:pPr>
        <w:ind w:left="720" w:hanging="360"/>
      </w:pPr>
      <w:rPr>
        <w:rFonts w:eastAsia="Times New Roman" w:hAnsi="Arial" w:hint="default"/>
      </w:rPr>
    </w:lvl>
    <w:lvl w:ilvl="1" w:tplc="9C7E2FA8">
      <w:numFmt w:val="bullet"/>
      <w:lvlText w:val="-"/>
      <w:lvlJc w:val="left"/>
      <w:pPr>
        <w:ind w:left="1440" w:hanging="360"/>
      </w:pPr>
      <w:rPr>
        <w:rFonts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8346C"/>
    <w:multiLevelType w:val="hybridMultilevel"/>
    <w:tmpl w:val="9D7C0902"/>
    <w:lvl w:ilvl="0" w:tplc="DEE6AAB0">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FA3F40"/>
    <w:multiLevelType w:val="hybridMultilevel"/>
    <w:tmpl w:val="7EBC9078"/>
    <w:lvl w:ilvl="0" w:tplc="9C7E2FA8">
      <w:numFmt w:val="bullet"/>
      <w:lvlText w:val="-"/>
      <w:lvlJc w:val="left"/>
      <w:pPr>
        <w:ind w:left="720" w:hanging="360"/>
      </w:pPr>
      <w:rPr>
        <w:rFonts w:eastAsia="Times New Roman" w:hAnsi="Arial" w:hint="default"/>
      </w:rPr>
    </w:lvl>
    <w:lvl w:ilvl="1" w:tplc="9C7E2FA8">
      <w:numFmt w:val="bullet"/>
      <w:lvlText w:val="-"/>
      <w:lvlJc w:val="left"/>
      <w:pPr>
        <w:ind w:left="1440" w:hanging="360"/>
      </w:pPr>
      <w:rPr>
        <w:rFonts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9935B1"/>
    <w:multiLevelType w:val="hybridMultilevel"/>
    <w:tmpl w:val="F5F68EE2"/>
    <w:lvl w:ilvl="0" w:tplc="9C7E2FA8">
      <w:numFmt w:val="bullet"/>
      <w:lvlText w:val="-"/>
      <w:lvlJc w:val="left"/>
      <w:pPr>
        <w:ind w:left="1440" w:hanging="360"/>
      </w:pPr>
      <w:rPr>
        <w:rFonts w:eastAsia="Times New Roman"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6EAC16FB"/>
    <w:multiLevelType w:val="hybridMultilevel"/>
    <w:tmpl w:val="B7C6D42C"/>
    <w:lvl w:ilvl="0" w:tplc="9C7E2FA8">
      <w:numFmt w:val="bullet"/>
      <w:lvlText w:val="-"/>
      <w:lvlJc w:val="left"/>
      <w:pPr>
        <w:ind w:left="720" w:hanging="360"/>
      </w:pPr>
      <w:rPr>
        <w:rFonts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25F"/>
    <w:rsid w:val="00004415"/>
    <w:rsid w:val="00234094"/>
    <w:rsid w:val="002A211A"/>
    <w:rsid w:val="00344695"/>
    <w:rsid w:val="00356AB3"/>
    <w:rsid w:val="004216A4"/>
    <w:rsid w:val="005311B8"/>
    <w:rsid w:val="006860E9"/>
    <w:rsid w:val="007003F6"/>
    <w:rsid w:val="009041DB"/>
    <w:rsid w:val="00975D35"/>
    <w:rsid w:val="009D625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A55E-8DD2-4B29-AB2A-22A1A67D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625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D625F"/>
    <w:pPr>
      <w:tabs>
        <w:tab w:val="center" w:pos="4819"/>
        <w:tab w:val="right" w:pos="9638"/>
      </w:tabs>
      <w:spacing w:after="0" w:line="240" w:lineRule="auto"/>
    </w:pPr>
    <w:rPr>
      <w:rFonts w:ascii="Times New Roman" w:hAnsi="Times New Roman"/>
      <w:szCs w:val="20"/>
      <w:lang w:eastAsia="lt-LT"/>
    </w:rPr>
  </w:style>
  <w:style w:type="character" w:customStyle="1" w:styleId="PoratDiagrama">
    <w:name w:val="Poraštė Diagrama"/>
    <w:basedOn w:val="Numatytasispastraiposriftas"/>
    <w:link w:val="Porat"/>
    <w:rsid w:val="009D625F"/>
    <w:rPr>
      <w:rFonts w:ascii="Times New Roman" w:eastAsia="Calibri" w:hAnsi="Times New Roman" w:cs="Times New Roman"/>
      <w:szCs w:val="20"/>
      <w:lang w:eastAsia="lt-LT"/>
    </w:rPr>
  </w:style>
  <w:style w:type="character" w:styleId="Puslapionumeris">
    <w:name w:val="page number"/>
    <w:rsid w:val="009D62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12160</Words>
  <Characters>6932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2023-05-05T10:52:00Z</dcterms:created>
  <dcterms:modified xsi:type="dcterms:W3CDTF">2023-05-05T10:52:00Z</dcterms:modified>
</cp:coreProperties>
</file>