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D7820E" w14:textId="77777777" w:rsidR="008F34FF" w:rsidRPr="00D43A2F" w:rsidRDefault="008F34FF" w:rsidP="008F34FF">
      <w:pPr>
        <w:rPr>
          <w:sz w:val="22"/>
          <w:szCs w:val="22"/>
        </w:rPr>
      </w:pPr>
    </w:p>
    <w:p w14:paraId="70A4FFBE" w14:textId="77777777" w:rsidR="008F34FF" w:rsidRPr="00D43A2F" w:rsidRDefault="008F34FF" w:rsidP="008F34FF">
      <w:pPr>
        <w:rPr>
          <w:sz w:val="22"/>
          <w:szCs w:val="22"/>
        </w:rPr>
      </w:pPr>
    </w:p>
    <w:p w14:paraId="04F3FFC2" w14:textId="77777777" w:rsidR="008F34FF" w:rsidRPr="00D43A2F" w:rsidRDefault="008F34FF" w:rsidP="008F34FF">
      <w:pPr>
        <w:rPr>
          <w:sz w:val="22"/>
          <w:szCs w:val="22"/>
        </w:rPr>
      </w:pPr>
    </w:p>
    <w:p w14:paraId="1FA75FF7" w14:textId="77777777" w:rsidR="008F34FF" w:rsidRPr="00D43A2F" w:rsidRDefault="008F34FF" w:rsidP="008F34FF">
      <w:pPr>
        <w:rPr>
          <w:sz w:val="22"/>
          <w:szCs w:val="22"/>
        </w:rPr>
      </w:pPr>
    </w:p>
    <w:p w14:paraId="731939D4" w14:textId="77777777" w:rsidR="008F34FF" w:rsidRPr="00D43A2F" w:rsidRDefault="008F34FF" w:rsidP="008F34FF">
      <w:pPr>
        <w:rPr>
          <w:sz w:val="22"/>
          <w:szCs w:val="22"/>
        </w:rPr>
      </w:pPr>
    </w:p>
    <w:p w14:paraId="29CC7593" w14:textId="77777777" w:rsidR="008F34FF" w:rsidRPr="00D43A2F" w:rsidRDefault="008F34FF" w:rsidP="008F34FF">
      <w:pPr>
        <w:rPr>
          <w:sz w:val="22"/>
          <w:szCs w:val="22"/>
        </w:rPr>
      </w:pPr>
    </w:p>
    <w:p w14:paraId="23C7501C" w14:textId="77777777" w:rsidR="008F34FF" w:rsidRPr="00D43A2F" w:rsidRDefault="008F34FF" w:rsidP="008F34FF">
      <w:pPr>
        <w:rPr>
          <w:sz w:val="22"/>
          <w:szCs w:val="22"/>
        </w:rPr>
      </w:pPr>
    </w:p>
    <w:p w14:paraId="3059157E" w14:textId="77777777" w:rsidR="008F34FF" w:rsidRPr="00D43A2F" w:rsidRDefault="008F34FF" w:rsidP="008F34FF">
      <w:pPr>
        <w:rPr>
          <w:sz w:val="22"/>
          <w:szCs w:val="22"/>
        </w:rPr>
      </w:pPr>
    </w:p>
    <w:p w14:paraId="649A5C03" w14:textId="77777777" w:rsidR="008F34FF" w:rsidRPr="00D43A2F" w:rsidRDefault="008F34FF" w:rsidP="008F34FF">
      <w:pPr>
        <w:rPr>
          <w:sz w:val="22"/>
          <w:szCs w:val="22"/>
        </w:rPr>
      </w:pPr>
    </w:p>
    <w:p w14:paraId="10C8C5BF" w14:textId="77777777" w:rsidR="008F34FF" w:rsidRPr="00D43A2F" w:rsidRDefault="008F34FF" w:rsidP="008F34FF">
      <w:pPr>
        <w:rPr>
          <w:sz w:val="22"/>
          <w:szCs w:val="22"/>
        </w:rPr>
      </w:pPr>
    </w:p>
    <w:p w14:paraId="0156DE06" w14:textId="77777777" w:rsidR="008F34FF" w:rsidRPr="00D43A2F" w:rsidRDefault="008F34FF" w:rsidP="008F34FF">
      <w:pPr>
        <w:pStyle w:val="BTEMEASMCA"/>
      </w:pPr>
    </w:p>
    <w:p w14:paraId="7C90310B" w14:textId="77777777" w:rsidR="008F34FF" w:rsidRPr="00D43A2F" w:rsidRDefault="008F34FF" w:rsidP="008F34FF">
      <w:pPr>
        <w:pStyle w:val="BTEMEASMCA"/>
      </w:pPr>
    </w:p>
    <w:p w14:paraId="42B65AEC" w14:textId="77777777" w:rsidR="008F34FF" w:rsidRPr="00D43A2F" w:rsidRDefault="008F34FF" w:rsidP="008F34FF">
      <w:pPr>
        <w:pStyle w:val="BTEMEASMCA"/>
      </w:pPr>
    </w:p>
    <w:p w14:paraId="68CAF2B6" w14:textId="77777777" w:rsidR="008F34FF" w:rsidRPr="00D43A2F" w:rsidRDefault="008F34FF" w:rsidP="008F34FF">
      <w:pPr>
        <w:pStyle w:val="BTEMEASMCA"/>
      </w:pPr>
    </w:p>
    <w:p w14:paraId="4CCE2E4C" w14:textId="77777777" w:rsidR="008F34FF" w:rsidRPr="00D43A2F" w:rsidRDefault="008F34FF" w:rsidP="008F34FF">
      <w:pPr>
        <w:pStyle w:val="BTEMEASMCA"/>
      </w:pPr>
    </w:p>
    <w:p w14:paraId="1CD2EEF5" w14:textId="77777777" w:rsidR="008F34FF" w:rsidRPr="00D43A2F" w:rsidRDefault="008F34FF" w:rsidP="008F34FF">
      <w:pPr>
        <w:pStyle w:val="BTEMEASMCA"/>
      </w:pPr>
    </w:p>
    <w:p w14:paraId="6325DC35" w14:textId="77777777" w:rsidR="008F34FF" w:rsidRPr="00D43A2F" w:rsidRDefault="008F34FF" w:rsidP="008F34FF">
      <w:pPr>
        <w:pStyle w:val="BTEMEASMCA"/>
      </w:pPr>
    </w:p>
    <w:p w14:paraId="3E7DC7BA" w14:textId="77777777" w:rsidR="008F34FF" w:rsidRPr="00D43A2F" w:rsidRDefault="008F34FF" w:rsidP="008F34FF">
      <w:pPr>
        <w:pStyle w:val="BTEMEASMCA"/>
      </w:pPr>
    </w:p>
    <w:p w14:paraId="7A6408AD" w14:textId="77777777" w:rsidR="008F34FF" w:rsidRPr="00D43A2F" w:rsidRDefault="008F34FF" w:rsidP="008F34FF">
      <w:pPr>
        <w:pStyle w:val="BTEMEASMCA"/>
      </w:pPr>
    </w:p>
    <w:p w14:paraId="6AADDA71" w14:textId="77777777" w:rsidR="008F34FF" w:rsidRPr="00D43A2F" w:rsidRDefault="008F34FF" w:rsidP="008F34FF">
      <w:pPr>
        <w:pStyle w:val="BTEMEASMCA"/>
      </w:pPr>
    </w:p>
    <w:p w14:paraId="2AA21C29" w14:textId="77777777" w:rsidR="008F34FF" w:rsidRPr="00D43A2F" w:rsidRDefault="008F34FF" w:rsidP="008F34FF">
      <w:pPr>
        <w:pStyle w:val="BTEMEASMCA"/>
      </w:pPr>
    </w:p>
    <w:p w14:paraId="281F1515" w14:textId="77777777" w:rsidR="008F34FF" w:rsidRPr="00D43A2F" w:rsidRDefault="008F34FF" w:rsidP="008F34FF">
      <w:pPr>
        <w:pStyle w:val="BTEMEASMCA"/>
      </w:pPr>
    </w:p>
    <w:p w14:paraId="4B788558" w14:textId="77777777" w:rsidR="008F34FF" w:rsidRPr="00D43A2F" w:rsidRDefault="008F34FF" w:rsidP="008F34FF">
      <w:pPr>
        <w:pStyle w:val="BTEMEASMCA"/>
      </w:pPr>
    </w:p>
    <w:p w14:paraId="69A05C14" w14:textId="77777777" w:rsidR="008F34FF" w:rsidRPr="00D43A2F" w:rsidRDefault="008F34FF" w:rsidP="008F34FF">
      <w:pPr>
        <w:pStyle w:val="TTEMEASMCA"/>
        <w:rPr>
          <w:lang w:val="lt-LT"/>
        </w:rPr>
      </w:pPr>
      <w:bookmarkStart w:id="0" w:name="_Toc129243096"/>
      <w:bookmarkStart w:id="1" w:name="_Toc129243221"/>
      <w:r w:rsidRPr="00D43A2F">
        <w:rPr>
          <w:lang w:val="lt-LT"/>
        </w:rPr>
        <w:t>I PRIEDAS</w:t>
      </w:r>
      <w:bookmarkEnd w:id="0"/>
      <w:bookmarkEnd w:id="1"/>
    </w:p>
    <w:p w14:paraId="47F966AC" w14:textId="77777777" w:rsidR="008F34FF" w:rsidRPr="00D43A2F" w:rsidRDefault="008F34FF" w:rsidP="008F34FF">
      <w:pPr>
        <w:pStyle w:val="BTEMEASMCA"/>
      </w:pPr>
    </w:p>
    <w:p w14:paraId="45E4B48B" w14:textId="77777777" w:rsidR="008F34FF" w:rsidRPr="00D43A2F" w:rsidRDefault="008F34FF" w:rsidP="008F34FF">
      <w:pPr>
        <w:pStyle w:val="TTEMEASMCA"/>
        <w:rPr>
          <w:lang w:val="lt-LT"/>
        </w:rPr>
      </w:pPr>
      <w:bookmarkStart w:id="2" w:name="_Toc129243097"/>
      <w:bookmarkStart w:id="3" w:name="_Toc129243222"/>
      <w:r w:rsidRPr="00D43A2F">
        <w:rPr>
          <w:lang w:val="lt-LT"/>
        </w:rPr>
        <w:t>PREPARATO CHARAKTERISTIKŲ SANTRAUKA</w:t>
      </w:r>
      <w:bookmarkEnd w:id="2"/>
      <w:bookmarkEnd w:id="3"/>
    </w:p>
    <w:p w14:paraId="71EF0D16" w14:textId="77777777" w:rsidR="008F34FF" w:rsidRPr="00D43A2F" w:rsidRDefault="008F34FF" w:rsidP="008F34FF">
      <w:pPr>
        <w:pStyle w:val="PI-1EMEASMCA"/>
      </w:pPr>
      <w:r w:rsidRPr="00D43A2F">
        <w:rPr>
          <w:bCs/>
          <w:iCs/>
        </w:rPr>
        <w:br w:type="page"/>
      </w:r>
      <w:bookmarkStart w:id="4" w:name="_Toc129243098"/>
      <w:bookmarkStart w:id="5" w:name="_Toc129243223"/>
      <w:r w:rsidRPr="00D43A2F">
        <w:lastRenderedPageBreak/>
        <w:t>1.</w:t>
      </w:r>
      <w:r w:rsidRPr="00D43A2F">
        <w:tab/>
        <w:t>VAISTINIO PREPARATO PAVADINIMAS</w:t>
      </w:r>
      <w:bookmarkEnd w:id="4"/>
      <w:bookmarkEnd w:id="5"/>
    </w:p>
    <w:p w14:paraId="7AD607F7" w14:textId="77777777" w:rsidR="008F34FF" w:rsidRPr="00D43A2F" w:rsidRDefault="008F34FF" w:rsidP="008F34FF">
      <w:pPr>
        <w:pStyle w:val="BTEMEASMCA"/>
      </w:pPr>
    </w:p>
    <w:p w14:paraId="7FFC7C0C" w14:textId="77777777" w:rsidR="008F34FF" w:rsidRPr="00D43A2F" w:rsidRDefault="008F34FF" w:rsidP="008F34FF">
      <w:pPr>
        <w:rPr>
          <w:sz w:val="22"/>
          <w:szCs w:val="22"/>
        </w:rPr>
      </w:pPr>
      <w:r w:rsidRPr="00D43A2F">
        <w:rPr>
          <w:sz w:val="22"/>
          <w:szCs w:val="22"/>
        </w:rPr>
        <w:t>METHYLPREDNISOLONE SOPHARMA 250 mg milteliai ir tirpiklis injekciniam</w:t>
      </w:r>
      <w:r>
        <w:rPr>
          <w:sz w:val="22"/>
          <w:szCs w:val="22"/>
        </w:rPr>
        <w:t xml:space="preserve"> ar </w:t>
      </w:r>
      <w:r w:rsidRPr="00D43A2F">
        <w:rPr>
          <w:sz w:val="22"/>
          <w:szCs w:val="22"/>
        </w:rPr>
        <w:t>infuziniam tirpalui</w:t>
      </w:r>
    </w:p>
    <w:p w14:paraId="142FD92A" w14:textId="77777777" w:rsidR="008F34FF" w:rsidRPr="00D43A2F" w:rsidRDefault="008F34FF" w:rsidP="008F34FF">
      <w:pPr>
        <w:pStyle w:val="BTEMEASMCA"/>
      </w:pPr>
    </w:p>
    <w:p w14:paraId="0AAADD07" w14:textId="77777777" w:rsidR="008F34FF" w:rsidRPr="00D43A2F" w:rsidRDefault="008F34FF" w:rsidP="008F34FF">
      <w:pPr>
        <w:pStyle w:val="BTEMEASMCA"/>
      </w:pPr>
    </w:p>
    <w:p w14:paraId="57EE14EE" w14:textId="77777777" w:rsidR="008F34FF" w:rsidRPr="00D43A2F" w:rsidRDefault="008F34FF" w:rsidP="008F34FF">
      <w:pPr>
        <w:pStyle w:val="PI-1EMEASMCA"/>
      </w:pPr>
      <w:bookmarkStart w:id="6" w:name="_Toc129243099"/>
      <w:bookmarkStart w:id="7" w:name="_Toc129243224"/>
      <w:r w:rsidRPr="00D43A2F">
        <w:t>2.</w:t>
      </w:r>
      <w:r w:rsidRPr="00D43A2F">
        <w:tab/>
        <w:t>KOKYBINĖ IR KIEKYBINĖ SUDĖTIS</w:t>
      </w:r>
      <w:bookmarkEnd w:id="6"/>
      <w:bookmarkEnd w:id="7"/>
    </w:p>
    <w:p w14:paraId="63A5E1EC" w14:textId="77777777" w:rsidR="008F34FF" w:rsidRPr="00D43A2F" w:rsidRDefault="008F34FF" w:rsidP="008F34FF">
      <w:pPr>
        <w:pStyle w:val="BTEMEASMCA"/>
      </w:pPr>
    </w:p>
    <w:p w14:paraId="6DD9176A" w14:textId="77777777" w:rsidR="008F34FF" w:rsidRPr="00D43A2F" w:rsidRDefault="008F34FF" w:rsidP="008F34FF">
      <w:pPr>
        <w:rPr>
          <w:sz w:val="22"/>
          <w:szCs w:val="22"/>
        </w:rPr>
      </w:pPr>
      <w:r w:rsidRPr="00D43A2F">
        <w:rPr>
          <w:sz w:val="22"/>
          <w:szCs w:val="22"/>
        </w:rPr>
        <w:t xml:space="preserve">Vienoje ampulėje yra </w:t>
      </w:r>
      <w:r w:rsidRPr="00D43A2F">
        <w:rPr>
          <w:iCs/>
          <w:sz w:val="22"/>
          <w:szCs w:val="22"/>
        </w:rPr>
        <w:t>250 mg metilprednizolono</w:t>
      </w:r>
      <w:r w:rsidRPr="00D43A2F">
        <w:rPr>
          <w:sz w:val="22"/>
          <w:szCs w:val="22"/>
        </w:rPr>
        <w:t xml:space="preserve"> (atitinka 331,4 mg metilprednizolono natrio sukcinato</w:t>
      </w:r>
      <w:r w:rsidRPr="00D43A2F">
        <w:rPr>
          <w:iCs/>
          <w:sz w:val="22"/>
          <w:szCs w:val="22"/>
        </w:rPr>
        <w:t>).</w:t>
      </w:r>
    </w:p>
    <w:p w14:paraId="3C6420F0" w14:textId="77777777" w:rsidR="008F34FF" w:rsidRPr="00D43A2F" w:rsidRDefault="008F34FF" w:rsidP="008F34FF">
      <w:pPr>
        <w:pStyle w:val="BTEMEASMCA"/>
      </w:pPr>
      <w:r w:rsidRPr="00D43A2F">
        <w:t xml:space="preserve">Ištirpinus 5 ml tirpiklio (injekcinio vandens), 1 ml </w:t>
      </w:r>
      <w:r>
        <w:t xml:space="preserve">paruošto </w:t>
      </w:r>
      <w:r w:rsidRPr="00D43A2F">
        <w:t xml:space="preserve">tirpalo būna 50 mg </w:t>
      </w:r>
      <w:r w:rsidRPr="00D43A2F">
        <w:rPr>
          <w:iCs/>
        </w:rPr>
        <w:t>metilprednizolono.</w:t>
      </w:r>
    </w:p>
    <w:p w14:paraId="68507286" w14:textId="77777777" w:rsidR="008F34FF" w:rsidRDefault="008F34FF" w:rsidP="008F34FF">
      <w:pPr>
        <w:pStyle w:val="BTEMEASMCA"/>
      </w:pPr>
    </w:p>
    <w:p w14:paraId="714668A0" w14:textId="77777777" w:rsidR="008F34FF" w:rsidRPr="00C87C42" w:rsidRDefault="008F34FF" w:rsidP="008F34FF">
      <w:pPr>
        <w:pStyle w:val="BTEMEASMCA"/>
      </w:pPr>
      <w:r w:rsidRPr="00B34FA1">
        <w:rPr>
          <w:u w:val="single"/>
        </w:rPr>
        <w:t xml:space="preserve">Pagalbinė medžiaga, </w:t>
      </w:r>
      <w:r w:rsidRPr="00B34FA1">
        <w:rPr>
          <w:noProof/>
          <w:szCs w:val="24"/>
          <w:u w:val="single"/>
        </w:rPr>
        <w:t xml:space="preserve">kurios </w:t>
      </w:r>
      <w:r w:rsidRPr="00B34FA1">
        <w:rPr>
          <w:u w:val="single"/>
        </w:rPr>
        <w:t>poveikis žinomas:</w:t>
      </w:r>
      <w:r>
        <w:rPr>
          <w:u w:val="single"/>
        </w:rPr>
        <w:t xml:space="preserve"> </w:t>
      </w:r>
      <w:r w:rsidRPr="00AE0F66">
        <w:t xml:space="preserve">1 ml paruošto tirpalo yra 16,85 mg natrio. </w:t>
      </w:r>
    </w:p>
    <w:p w14:paraId="3528BC2F" w14:textId="77777777" w:rsidR="008F34FF" w:rsidRPr="0094478C" w:rsidRDefault="008F34FF" w:rsidP="008F34FF">
      <w:pPr>
        <w:pStyle w:val="BTEMEASMCA"/>
      </w:pPr>
    </w:p>
    <w:p w14:paraId="76C82CDD" w14:textId="77777777" w:rsidR="008F34FF" w:rsidRPr="00D43A2F" w:rsidRDefault="008F34FF" w:rsidP="008F34FF">
      <w:pPr>
        <w:pStyle w:val="BTEMEASMCA"/>
      </w:pPr>
      <w:r w:rsidRPr="00D43A2F">
        <w:t>Visos pagalbinės medžiagos išvardytos 6.1 skyriuje.</w:t>
      </w:r>
    </w:p>
    <w:p w14:paraId="786E19A9" w14:textId="77777777" w:rsidR="008F34FF" w:rsidRPr="00D43A2F" w:rsidRDefault="008F34FF" w:rsidP="008F34FF">
      <w:pPr>
        <w:pStyle w:val="BTEMEASMCA"/>
      </w:pPr>
    </w:p>
    <w:p w14:paraId="32DB6081" w14:textId="77777777" w:rsidR="008F34FF" w:rsidRPr="00D43A2F" w:rsidRDefault="008F34FF" w:rsidP="008F34FF">
      <w:pPr>
        <w:pStyle w:val="BTEMEASMCA"/>
      </w:pPr>
    </w:p>
    <w:p w14:paraId="2512154C" w14:textId="77777777" w:rsidR="008F34FF" w:rsidRPr="00D43A2F" w:rsidRDefault="008F34FF" w:rsidP="008F34FF">
      <w:pPr>
        <w:pStyle w:val="PI-1EMEASMCA"/>
      </w:pPr>
      <w:bookmarkStart w:id="8" w:name="_Toc129243100"/>
      <w:bookmarkStart w:id="9" w:name="_Toc129243225"/>
      <w:r w:rsidRPr="00D43A2F">
        <w:t>3.</w:t>
      </w:r>
      <w:r w:rsidRPr="00D43A2F">
        <w:tab/>
        <w:t>FARMACINĖ FORMA</w:t>
      </w:r>
      <w:bookmarkEnd w:id="8"/>
      <w:bookmarkEnd w:id="9"/>
    </w:p>
    <w:p w14:paraId="41C7D5AF" w14:textId="77777777" w:rsidR="008F34FF" w:rsidRPr="00D43A2F" w:rsidRDefault="008F34FF" w:rsidP="008F34FF">
      <w:pPr>
        <w:pStyle w:val="BTEMEASMCA"/>
      </w:pPr>
    </w:p>
    <w:p w14:paraId="2A5D6295" w14:textId="77777777" w:rsidR="008F34FF" w:rsidRPr="00D43A2F" w:rsidRDefault="008F34FF" w:rsidP="008F34FF">
      <w:pPr>
        <w:pStyle w:val="Antrat1"/>
        <w:spacing w:before="0" w:after="0"/>
        <w:jc w:val="both"/>
        <w:rPr>
          <w:rFonts w:ascii="Times New Roman" w:hAnsi="Times New Roman" w:cs="Times New Roman"/>
          <w:sz w:val="22"/>
          <w:szCs w:val="22"/>
        </w:rPr>
      </w:pPr>
      <w:r w:rsidRPr="00D43A2F">
        <w:rPr>
          <w:rFonts w:ascii="Times New Roman" w:hAnsi="Times New Roman" w:cs="Times New Roman"/>
          <w:b w:val="0"/>
          <w:sz w:val="22"/>
          <w:szCs w:val="22"/>
        </w:rPr>
        <w:t>Milteliai ir tirpiklis injekciniam</w:t>
      </w:r>
      <w:r>
        <w:rPr>
          <w:rFonts w:ascii="Times New Roman" w:hAnsi="Times New Roman" w:cs="Times New Roman"/>
          <w:b w:val="0"/>
          <w:sz w:val="22"/>
          <w:szCs w:val="22"/>
        </w:rPr>
        <w:t xml:space="preserve"> ar </w:t>
      </w:r>
      <w:r w:rsidRPr="00D43A2F">
        <w:rPr>
          <w:rFonts w:ascii="Times New Roman" w:hAnsi="Times New Roman" w:cs="Times New Roman"/>
          <w:b w:val="0"/>
          <w:sz w:val="22"/>
          <w:szCs w:val="22"/>
        </w:rPr>
        <w:t>infuziniam tirpalui</w:t>
      </w:r>
      <w:r w:rsidRPr="00D43A2F">
        <w:rPr>
          <w:rFonts w:ascii="Times New Roman" w:hAnsi="Times New Roman" w:cs="Times New Roman"/>
          <w:sz w:val="22"/>
          <w:szCs w:val="22"/>
        </w:rPr>
        <w:t xml:space="preserve">. </w:t>
      </w:r>
    </w:p>
    <w:p w14:paraId="5B9BB6F5" w14:textId="77777777" w:rsidR="008F34FF" w:rsidRPr="00D43A2F" w:rsidRDefault="008F34FF" w:rsidP="008F34FF">
      <w:pPr>
        <w:pStyle w:val="BTEMEASMCA"/>
      </w:pPr>
    </w:p>
    <w:p w14:paraId="7FC6C41E" w14:textId="77777777" w:rsidR="008F34FF" w:rsidRPr="00D43A2F" w:rsidRDefault="008F34FF" w:rsidP="008F34FF">
      <w:pPr>
        <w:pStyle w:val="BTEMEASMCA"/>
      </w:pPr>
      <w:r>
        <w:t>B</w:t>
      </w:r>
      <w:r w:rsidRPr="00D43A2F">
        <w:t xml:space="preserve">altos arba beveik baltos spalvos milteliai. </w:t>
      </w:r>
    </w:p>
    <w:p w14:paraId="075EC16A" w14:textId="77777777" w:rsidR="008F34FF" w:rsidRPr="00D43A2F" w:rsidRDefault="008F34FF" w:rsidP="008F34FF">
      <w:pPr>
        <w:pStyle w:val="BTEMEASMCA"/>
      </w:pPr>
      <w:r>
        <w:t xml:space="preserve">Tirpiklis </w:t>
      </w:r>
      <w:r w:rsidRPr="00D43A2F">
        <w:t xml:space="preserve">yra bespalvis skaidrus skystis. </w:t>
      </w:r>
    </w:p>
    <w:p w14:paraId="592EC591" w14:textId="77777777" w:rsidR="008F34FF" w:rsidRPr="00D43A2F" w:rsidRDefault="008F34FF" w:rsidP="008F34FF">
      <w:pPr>
        <w:pStyle w:val="BTEMEASMCA"/>
      </w:pPr>
    </w:p>
    <w:p w14:paraId="725E1F25" w14:textId="77777777" w:rsidR="008F34FF" w:rsidRPr="00D43A2F" w:rsidRDefault="008F34FF" w:rsidP="008F34FF">
      <w:pPr>
        <w:pStyle w:val="BTEMEASMCA"/>
      </w:pPr>
    </w:p>
    <w:p w14:paraId="1FDDB59F" w14:textId="77777777" w:rsidR="008F34FF" w:rsidRPr="00D43A2F" w:rsidRDefault="008F34FF" w:rsidP="008F34FF">
      <w:pPr>
        <w:pStyle w:val="PI-1EMEASMCA"/>
      </w:pPr>
      <w:bookmarkStart w:id="10" w:name="_Toc129243101"/>
      <w:bookmarkStart w:id="11" w:name="_Toc129243226"/>
      <w:r w:rsidRPr="00D43A2F">
        <w:t>4.</w:t>
      </w:r>
      <w:r w:rsidRPr="00D43A2F">
        <w:tab/>
        <w:t>KLINIKINĖ INFORMACIJA</w:t>
      </w:r>
      <w:bookmarkEnd w:id="10"/>
      <w:bookmarkEnd w:id="11"/>
    </w:p>
    <w:p w14:paraId="178D4CE3" w14:textId="77777777" w:rsidR="008F34FF" w:rsidRPr="00D43A2F" w:rsidRDefault="008F34FF" w:rsidP="008F34FF">
      <w:pPr>
        <w:pStyle w:val="BTEMEASMCA"/>
      </w:pPr>
    </w:p>
    <w:p w14:paraId="22CB55D1" w14:textId="77777777" w:rsidR="008F34FF" w:rsidRPr="00D43A2F" w:rsidRDefault="008F34FF" w:rsidP="008F34FF">
      <w:pPr>
        <w:pStyle w:val="PI-2EMEASMCA"/>
      </w:pPr>
      <w:bookmarkStart w:id="12" w:name="_Toc129243102"/>
      <w:bookmarkStart w:id="13" w:name="_Toc129243227"/>
      <w:r w:rsidRPr="00D43A2F">
        <w:t>4.1</w:t>
      </w:r>
      <w:r w:rsidRPr="00D43A2F">
        <w:tab/>
        <w:t>Terapinės indikacijos</w:t>
      </w:r>
      <w:bookmarkEnd w:id="12"/>
      <w:bookmarkEnd w:id="13"/>
    </w:p>
    <w:p w14:paraId="6DA7F2FD" w14:textId="77777777" w:rsidR="008F34FF" w:rsidRPr="00D43A2F" w:rsidRDefault="008F34FF" w:rsidP="008F34FF">
      <w:pPr>
        <w:pStyle w:val="BTEMEASMCA"/>
      </w:pPr>
    </w:p>
    <w:p w14:paraId="5F21B95D" w14:textId="77777777" w:rsidR="008F34FF" w:rsidRPr="00D43A2F" w:rsidRDefault="008F34FF" w:rsidP="008F34FF">
      <w:pPr>
        <w:pStyle w:val="BTEMEASMCA"/>
      </w:pPr>
      <w:r w:rsidRPr="00D43A2F">
        <w:t>Ligų, kai būtini parenteriniu būdu vartojami gliukokortikoidai, gydymas:</w:t>
      </w:r>
    </w:p>
    <w:p w14:paraId="2BD0FC87" w14:textId="77777777" w:rsidR="008F34FF" w:rsidRPr="00D43A2F" w:rsidRDefault="008F34FF" w:rsidP="008F34FF">
      <w:pPr>
        <w:numPr>
          <w:ilvl w:val="0"/>
          <w:numId w:val="2"/>
        </w:numPr>
        <w:tabs>
          <w:tab w:val="clear" w:pos="720"/>
          <w:tab w:val="num" w:pos="567"/>
        </w:tabs>
        <w:ind w:left="567" w:hanging="567"/>
        <w:rPr>
          <w:sz w:val="22"/>
          <w:szCs w:val="22"/>
        </w:rPr>
      </w:pPr>
      <w:r w:rsidRPr="00D43A2F">
        <w:rPr>
          <w:sz w:val="22"/>
          <w:szCs w:val="22"/>
        </w:rPr>
        <w:t xml:space="preserve">sisteminių uždegiminių ligų pvz., sisteminės raudonosios vilkligės, reumatoidinio artrito; </w:t>
      </w:r>
    </w:p>
    <w:p w14:paraId="0B74956C" w14:textId="77777777" w:rsidR="008F34FF" w:rsidRPr="00D43A2F" w:rsidRDefault="008F34FF" w:rsidP="008F34FF">
      <w:pPr>
        <w:numPr>
          <w:ilvl w:val="0"/>
          <w:numId w:val="2"/>
        </w:numPr>
        <w:tabs>
          <w:tab w:val="clear" w:pos="720"/>
          <w:tab w:val="num" w:pos="567"/>
        </w:tabs>
        <w:ind w:left="567" w:hanging="567"/>
        <w:rPr>
          <w:sz w:val="22"/>
          <w:szCs w:val="22"/>
        </w:rPr>
      </w:pPr>
      <w:r w:rsidRPr="00D43A2F">
        <w:rPr>
          <w:sz w:val="22"/>
          <w:szCs w:val="22"/>
        </w:rPr>
        <w:t>odos ligų, pvz., sunkios daugiaformės raudonės (</w:t>
      </w:r>
      <w:r w:rsidRPr="00D43A2F">
        <w:rPr>
          <w:i/>
          <w:iCs/>
          <w:sz w:val="22"/>
          <w:szCs w:val="22"/>
        </w:rPr>
        <w:t>Stevens-Johnson</w:t>
      </w:r>
      <w:r w:rsidRPr="00D43A2F">
        <w:rPr>
          <w:sz w:val="22"/>
          <w:szCs w:val="22"/>
        </w:rPr>
        <w:t xml:space="preserve"> sindromo); </w:t>
      </w:r>
    </w:p>
    <w:p w14:paraId="12950390" w14:textId="77777777" w:rsidR="008F34FF" w:rsidRPr="00D43A2F" w:rsidRDefault="008F34FF" w:rsidP="008F34FF">
      <w:pPr>
        <w:numPr>
          <w:ilvl w:val="0"/>
          <w:numId w:val="2"/>
        </w:numPr>
        <w:tabs>
          <w:tab w:val="clear" w:pos="720"/>
          <w:tab w:val="num" w:pos="567"/>
        </w:tabs>
        <w:ind w:left="567" w:hanging="567"/>
        <w:rPr>
          <w:sz w:val="22"/>
          <w:szCs w:val="22"/>
        </w:rPr>
      </w:pPr>
      <w:r w:rsidRPr="00D43A2F">
        <w:rPr>
          <w:sz w:val="22"/>
          <w:szCs w:val="22"/>
        </w:rPr>
        <w:t>alerginių ligų, pvz., astmos;</w:t>
      </w:r>
    </w:p>
    <w:p w14:paraId="79B66F0B" w14:textId="77777777" w:rsidR="008F34FF" w:rsidRPr="00D43A2F" w:rsidRDefault="008F34FF" w:rsidP="008F34FF">
      <w:pPr>
        <w:numPr>
          <w:ilvl w:val="0"/>
          <w:numId w:val="2"/>
        </w:numPr>
        <w:tabs>
          <w:tab w:val="clear" w:pos="720"/>
          <w:tab w:val="num" w:pos="567"/>
        </w:tabs>
        <w:ind w:left="567" w:hanging="567"/>
        <w:rPr>
          <w:sz w:val="22"/>
          <w:szCs w:val="22"/>
        </w:rPr>
      </w:pPr>
      <w:r w:rsidRPr="00D43A2F">
        <w:rPr>
          <w:sz w:val="22"/>
          <w:szCs w:val="22"/>
        </w:rPr>
        <w:t>virškinimo trakto ligų, pvz., opinio kolito, Krono ligos;</w:t>
      </w:r>
    </w:p>
    <w:p w14:paraId="66CF00FD" w14:textId="77777777" w:rsidR="008F34FF" w:rsidRPr="00D43A2F" w:rsidRDefault="008F34FF" w:rsidP="008F34FF">
      <w:pPr>
        <w:numPr>
          <w:ilvl w:val="0"/>
          <w:numId w:val="2"/>
        </w:numPr>
        <w:tabs>
          <w:tab w:val="clear" w:pos="720"/>
          <w:tab w:val="num" w:pos="567"/>
        </w:tabs>
        <w:ind w:left="567" w:hanging="567"/>
        <w:rPr>
          <w:sz w:val="22"/>
          <w:szCs w:val="22"/>
        </w:rPr>
      </w:pPr>
      <w:r w:rsidRPr="00D43A2F">
        <w:rPr>
          <w:sz w:val="22"/>
          <w:szCs w:val="22"/>
        </w:rPr>
        <w:t>smegenų  edemos;</w:t>
      </w:r>
    </w:p>
    <w:p w14:paraId="2E65DDD3" w14:textId="77777777" w:rsidR="008F34FF" w:rsidRPr="00D43A2F" w:rsidRDefault="008F34FF" w:rsidP="008F34FF">
      <w:pPr>
        <w:numPr>
          <w:ilvl w:val="0"/>
          <w:numId w:val="2"/>
        </w:numPr>
        <w:tabs>
          <w:tab w:val="clear" w:pos="720"/>
          <w:tab w:val="num" w:pos="567"/>
        </w:tabs>
        <w:ind w:left="567" w:hanging="567"/>
        <w:rPr>
          <w:sz w:val="22"/>
          <w:szCs w:val="22"/>
        </w:rPr>
      </w:pPr>
      <w:r w:rsidRPr="00D43A2F">
        <w:rPr>
          <w:sz w:val="22"/>
          <w:szCs w:val="22"/>
        </w:rPr>
        <w:t>transplantanto atmetimo reakcijos.</w:t>
      </w:r>
    </w:p>
    <w:p w14:paraId="14FBC16B" w14:textId="77777777" w:rsidR="008F34FF" w:rsidRPr="00D43A2F" w:rsidRDefault="008F34FF" w:rsidP="008F34FF">
      <w:pPr>
        <w:pStyle w:val="BTEMEASMCA"/>
      </w:pPr>
    </w:p>
    <w:p w14:paraId="1937F094" w14:textId="77777777" w:rsidR="008F34FF" w:rsidRPr="00D43A2F" w:rsidRDefault="008F34FF" w:rsidP="008F34FF">
      <w:pPr>
        <w:pStyle w:val="PI-2EMEASMCA"/>
      </w:pPr>
      <w:bookmarkStart w:id="14" w:name="_Toc129243103"/>
      <w:bookmarkStart w:id="15" w:name="_Toc129243228"/>
      <w:r w:rsidRPr="00D43A2F">
        <w:t>4.2</w:t>
      </w:r>
      <w:r w:rsidRPr="00D43A2F">
        <w:tab/>
        <w:t>Dozavimas ir vartojimo metodas</w:t>
      </w:r>
    </w:p>
    <w:p w14:paraId="121514EA" w14:textId="77777777" w:rsidR="008F34FF" w:rsidRPr="00D43A2F" w:rsidRDefault="008F34FF" w:rsidP="008F34FF">
      <w:pPr>
        <w:pStyle w:val="BTEMEASMCA"/>
      </w:pPr>
    </w:p>
    <w:p w14:paraId="4DD022DC" w14:textId="77777777" w:rsidR="008F34FF" w:rsidRPr="00D43A2F" w:rsidRDefault="008F34FF" w:rsidP="008F34FF">
      <w:pPr>
        <w:rPr>
          <w:sz w:val="22"/>
          <w:szCs w:val="22"/>
        </w:rPr>
      </w:pPr>
      <w:r w:rsidRPr="00D43A2F">
        <w:rPr>
          <w:sz w:val="22"/>
          <w:szCs w:val="22"/>
        </w:rPr>
        <w:t xml:space="preserve">Rekomenduojamos dozės ir gydymo trukmė parenkamos individualiai, atsižvelgiant į paciento būklę ir ligos sunkumą. </w:t>
      </w:r>
    </w:p>
    <w:p w14:paraId="44D62132" w14:textId="77777777" w:rsidR="008F34FF" w:rsidRPr="00D43A2F" w:rsidRDefault="008F34FF" w:rsidP="008F34FF">
      <w:pPr>
        <w:rPr>
          <w:sz w:val="22"/>
          <w:szCs w:val="22"/>
        </w:rPr>
      </w:pPr>
    </w:p>
    <w:p w14:paraId="65C45BBF" w14:textId="77777777" w:rsidR="008F34FF" w:rsidRDefault="008F34FF" w:rsidP="008F34FF">
      <w:pPr>
        <w:rPr>
          <w:sz w:val="22"/>
          <w:szCs w:val="22"/>
          <w:u w:val="single"/>
        </w:rPr>
      </w:pPr>
      <w:r w:rsidRPr="005A3FA9">
        <w:rPr>
          <w:sz w:val="22"/>
          <w:szCs w:val="22"/>
          <w:u w:val="single"/>
        </w:rPr>
        <w:t>Dozavimas</w:t>
      </w:r>
    </w:p>
    <w:p w14:paraId="39008D66" w14:textId="77777777" w:rsidR="008F34FF" w:rsidRDefault="008F34FF" w:rsidP="008F34FF">
      <w:pPr>
        <w:rPr>
          <w:sz w:val="22"/>
          <w:szCs w:val="22"/>
          <w:u w:val="single"/>
        </w:rPr>
      </w:pPr>
    </w:p>
    <w:p w14:paraId="7A12DEDE" w14:textId="0CEDC6D7" w:rsidR="008F34FF" w:rsidRPr="00D43A2F" w:rsidRDefault="008F34FF" w:rsidP="008F34FF">
      <w:pPr>
        <w:rPr>
          <w:i/>
          <w:sz w:val="22"/>
          <w:szCs w:val="22"/>
        </w:rPr>
      </w:pPr>
      <w:r w:rsidRPr="005A3FA9">
        <w:rPr>
          <w:i/>
          <w:sz w:val="22"/>
          <w:szCs w:val="22"/>
          <w:u w:val="single"/>
        </w:rPr>
        <w:t>Suaugusieji</w:t>
      </w:r>
    </w:p>
    <w:p w14:paraId="40FCD2B9" w14:textId="77777777" w:rsidR="008F34FF" w:rsidRPr="00D43A2F" w:rsidRDefault="008F34FF" w:rsidP="008F34FF">
      <w:pPr>
        <w:rPr>
          <w:sz w:val="22"/>
          <w:szCs w:val="22"/>
        </w:rPr>
      </w:pPr>
      <w:r w:rsidRPr="00D43A2F">
        <w:rPr>
          <w:sz w:val="22"/>
          <w:szCs w:val="22"/>
        </w:rPr>
        <w:t xml:space="preserve">Anafilaksiniam šokui vartojama 125 mg metilprednizolono kas 2 – 6 valandas arba 250 mg kas 4 – 6  valandas. Galima skirti po 30 mg/kg kūno masės kas 24 valandas. Tirpalas infuzuojamas į veną ne greičiau kaip per 10 – 30 minučių. Jei paciento būklė negerėja, </w:t>
      </w:r>
      <w:r w:rsidRPr="00D43A2F">
        <w:rPr>
          <w:color w:val="000000"/>
          <w:sz w:val="22"/>
          <w:szCs w:val="22"/>
        </w:rPr>
        <w:t>didelėmis dozėmis</w:t>
      </w:r>
      <w:r w:rsidRPr="00D43A2F">
        <w:rPr>
          <w:sz w:val="22"/>
          <w:szCs w:val="22"/>
        </w:rPr>
        <w:t xml:space="preserve"> skiriam ne ilgiau kaip 48 – 72 valandas. Esant anafilaksinėms reakcijoms, pirmiausia turi būti švirkščiamas adrenalinas ar noradrenalinas, po to </w:t>
      </w:r>
      <w:r>
        <w:rPr>
          <w:sz w:val="22"/>
          <w:szCs w:val="22"/>
        </w:rPr>
        <w:t>leidžiamas</w:t>
      </w:r>
      <w:r w:rsidRPr="00D43A2F">
        <w:rPr>
          <w:sz w:val="22"/>
          <w:szCs w:val="22"/>
        </w:rPr>
        <w:t xml:space="preserve"> metilprednizolonas.</w:t>
      </w:r>
    </w:p>
    <w:p w14:paraId="3E2CE896" w14:textId="77777777" w:rsidR="008F34FF" w:rsidRPr="00D43A2F" w:rsidRDefault="008F34FF" w:rsidP="008F34FF">
      <w:pPr>
        <w:rPr>
          <w:sz w:val="22"/>
          <w:szCs w:val="22"/>
        </w:rPr>
      </w:pPr>
    </w:p>
    <w:p w14:paraId="5BE3931D" w14:textId="77777777" w:rsidR="008F34FF" w:rsidRPr="00D43A2F" w:rsidRDefault="008F34FF" w:rsidP="008F34FF">
      <w:pPr>
        <w:pStyle w:val="Pagrindinistekstas2"/>
        <w:spacing w:after="0" w:line="240" w:lineRule="auto"/>
        <w:rPr>
          <w:szCs w:val="22"/>
        </w:rPr>
      </w:pPr>
      <w:r w:rsidRPr="00D43A2F">
        <w:rPr>
          <w:szCs w:val="22"/>
        </w:rPr>
        <w:t>Slopinant imunitetą – persodintų organų atmetimo profilaktikai (ypač inkstų) – metilprednizolono</w:t>
      </w:r>
      <w:r>
        <w:rPr>
          <w:szCs w:val="22"/>
        </w:rPr>
        <w:t xml:space="preserve"> </w:t>
      </w:r>
      <w:r w:rsidRPr="00D43A2F">
        <w:rPr>
          <w:szCs w:val="22"/>
        </w:rPr>
        <w:t xml:space="preserve">infuzuojama į veną po 0,5 – 1 g kas 24 – 48 valandas, kol paciento būklė stabilizuojasi. </w:t>
      </w:r>
    </w:p>
    <w:p w14:paraId="448FAA75" w14:textId="77777777" w:rsidR="008F34FF" w:rsidRPr="00D43A2F" w:rsidRDefault="008F34FF" w:rsidP="008F34FF">
      <w:pPr>
        <w:pStyle w:val="Pagrindinistekstas2"/>
        <w:spacing w:after="0" w:line="240" w:lineRule="auto"/>
        <w:rPr>
          <w:szCs w:val="22"/>
        </w:rPr>
      </w:pPr>
    </w:p>
    <w:p w14:paraId="568B2C0F" w14:textId="77777777" w:rsidR="008F34FF" w:rsidRPr="00D43A2F" w:rsidRDefault="008F34FF" w:rsidP="008F34FF">
      <w:pPr>
        <w:rPr>
          <w:sz w:val="22"/>
          <w:szCs w:val="22"/>
        </w:rPr>
      </w:pPr>
      <w:r w:rsidRPr="00D43A2F">
        <w:rPr>
          <w:sz w:val="22"/>
          <w:szCs w:val="22"/>
        </w:rPr>
        <w:t xml:space="preserve">Smegenų edemai gydyti vartojama 40 – 125 mg kas 4 – 6 valandas į veną arba į raumenis. Gydymo trukmė 4-7 paros (kol paciento būklė stabilizuosis). </w:t>
      </w:r>
    </w:p>
    <w:p w14:paraId="34262852" w14:textId="77777777" w:rsidR="008F34FF" w:rsidRPr="00D43A2F" w:rsidRDefault="008F34FF" w:rsidP="008F34FF">
      <w:pPr>
        <w:rPr>
          <w:sz w:val="22"/>
          <w:szCs w:val="22"/>
        </w:rPr>
      </w:pPr>
    </w:p>
    <w:p w14:paraId="36E5A8B5" w14:textId="77777777" w:rsidR="008F34FF" w:rsidRPr="00D43A2F" w:rsidRDefault="008F34FF" w:rsidP="008F34FF">
      <w:pPr>
        <w:pStyle w:val="prastasiniatinklio"/>
        <w:spacing w:before="0" w:beforeAutospacing="0" w:after="0"/>
        <w:rPr>
          <w:sz w:val="22"/>
          <w:szCs w:val="22"/>
          <w:lang w:val="lt-LT"/>
        </w:rPr>
      </w:pPr>
      <w:r w:rsidRPr="00D43A2F">
        <w:rPr>
          <w:sz w:val="22"/>
          <w:szCs w:val="22"/>
          <w:lang w:val="lt-LT"/>
        </w:rPr>
        <w:lastRenderedPageBreak/>
        <w:t>Edemų, atsiradusių dėl smegenų naviko, gydymui rekomenduojamos toliau išvardyti dozavimo schemos:</w:t>
      </w:r>
    </w:p>
    <w:tbl>
      <w:tblPr>
        <w:tblW w:w="4750" w:type="pct"/>
        <w:tblCellSpacing w:w="0" w:type="dxa"/>
        <w:tblCellMar>
          <w:top w:w="60" w:type="dxa"/>
          <w:left w:w="60" w:type="dxa"/>
          <w:bottom w:w="60" w:type="dxa"/>
          <w:right w:w="60" w:type="dxa"/>
        </w:tblCellMar>
        <w:tblLook w:val="0000" w:firstRow="0" w:lastRow="0" w:firstColumn="0" w:lastColumn="0" w:noHBand="0" w:noVBand="0"/>
      </w:tblPr>
      <w:tblGrid>
        <w:gridCol w:w="1768"/>
        <w:gridCol w:w="1678"/>
        <w:gridCol w:w="1702"/>
        <w:gridCol w:w="1729"/>
        <w:gridCol w:w="1740"/>
      </w:tblGrid>
      <w:tr w:rsidR="008F34FF" w:rsidRPr="00D43A2F" w14:paraId="64DA989C" w14:textId="77777777" w:rsidTr="00CC7394">
        <w:trPr>
          <w:tblCellSpacing w:w="0" w:type="dxa"/>
        </w:trPr>
        <w:tc>
          <w:tcPr>
            <w:tcW w:w="1788" w:type="dxa"/>
          </w:tcPr>
          <w:p w14:paraId="2385F635" w14:textId="77777777" w:rsidR="008F34FF" w:rsidRPr="00D43A2F" w:rsidRDefault="008F34FF" w:rsidP="00CC7394">
            <w:pPr>
              <w:pStyle w:val="prastasiniatinklio"/>
              <w:spacing w:before="0" w:beforeAutospacing="0" w:after="0"/>
              <w:rPr>
                <w:lang w:val="lt-LT"/>
              </w:rPr>
            </w:pPr>
            <w:r w:rsidRPr="00D43A2F">
              <w:rPr>
                <w:sz w:val="22"/>
                <w:szCs w:val="22"/>
                <w:u w:val="single"/>
                <w:lang w:val="lt-LT"/>
              </w:rPr>
              <w:t>Schema A (1)</w:t>
            </w:r>
          </w:p>
        </w:tc>
        <w:tc>
          <w:tcPr>
            <w:tcW w:w="1710" w:type="dxa"/>
          </w:tcPr>
          <w:p w14:paraId="6543098C" w14:textId="77777777" w:rsidR="008F34FF" w:rsidRPr="00D43A2F" w:rsidRDefault="008F34FF" w:rsidP="00CC7394">
            <w:pPr>
              <w:pStyle w:val="prastasiniatinklio"/>
              <w:spacing w:before="0" w:beforeAutospacing="0" w:after="0"/>
              <w:rPr>
                <w:lang w:val="lt-LT"/>
              </w:rPr>
            </w:pPr>
            <w:r w:rsidRPr="00D43A2F">
              <w:rPr>
                <w:sz w:val="22"/>
                <w:szCs w:val="22"/>
                <w:u w:val="single"/>
                <w:lang w:val="lt-LT"/>
              </w:rPr>
              <w:t>Dozė (mg)</w:t>
            </w:r>
          </w:p>
        </w:tc>
        <w:tc>
          <w:tcPr>
            <w:tcW w:w="1722" w:type="dxa"/>
          </w:tcPr>
          <w:p w14:paraId="57D225D6" w14:textId="77777777" w:rsidR="008F34FF" w:rsidRPr="00D43A2F" w:rsidRDefault="008F34FF" w:rsidP="00CC7394">
            <w:pPr>
              <w:pStyle w:val="prastasiniatinklio"/>
              <w:spacing w:before="0" w:beforeAutospacing="0" w:after="0"/>
              <w:rPr>
                <w:lang w:val="lt-LT"/>
              </w:rPr>
            </w:pPr>
            <w:r w:rsidRPr="00D43A2F">
              <w:rPr>
                <w:sz w:val="22"/>
                <w:szCs w:val="22"/>
                <w:u w:val="single"/>
                <w:lang w:val="lt-LT"/>
              </w:rPr>
              <w:t>Vartojimo būdas</w:t>
            </w:r>
          </w:p>
        </w:tc>
        <w:tc>
          <w:tcPr>
            <w:tcW w:w="1746" w:type="dxa"/>
          </w:tcPr>
          <w:p w14:paraId="340264C0" w14:textId="77777777" w:rsidR="008F34FF" w:rsidRPr="00D43A2F" w:rsidRDefault="008F34FF" w:rsidP="00CC7394">
            <w:pPr>
              <w:pStyle w:val="prastasiniatinklio"/>
              <w:spacing w:before="0" w:beforeAutospacing="0" w:after="0"/>
              <w:rPr>
                <w:lang w:val="lt-LT"/>
              </w:rPr>
            </w:pPr>
            <w:r w:rsidRPr="00D43A2F">
              <w:rPr>
                <w:sz w:val="22"/>
                <w:szCs w:val="22"/>
                <w:u w:val="single"/>
                <w:lang w:val="lt-LT"/>
              </w:rPr>
              <w:t>Intervalas</w:t>
            </w:r>
          </w:p>
          <w:p w14:paraId="5ADFE3B4" w14:textId="77777777" w:rsidR="008F34FF" w:rsidRPr="00D43A2F" w:rsidRDefault="008F34FF" w:rsidP="00CC7394">
            <w:pPr>
              <w:pStyle w:val="prastasiniatinklio"/>
              <w:spacing w:before="0" w:beforeAutospacing="0" w:after="0"/>
              <w:rPr>
                <w:lang w:val="lt-LT"/>
              </w:rPr>
            </w:pPr>
            <w:r w:rsidRPr="00D43A2F">
              <w:rPr>
                <w:sz w:val="22"/>
                <w:szCs w:val="22"/>
                <w:lang w:val="lt-LT"/>
              </w:rPr>
              <w:t>valandomis</w:t>
            </w:r>
          </w:p>
        </w:tc>
        <w:tc>
          <w:tcPr>
            <w:tcW w:w="1765" w:type="dxa"/>
          </w:tcPr>
          <w:p w14:paraId="5A2F54F1" w14:textId="77777777" w:rsidR="008F34FF" w:rsidRPr="00D43A2F" w:rsidRDefault="008F34FF" w:rsidP="00CC7394">
            <w:pPr>
              <w:pStyle w:val="prastasiniatinklio"/>
              <w:spacing w:before="0" w:beforeAutospacing="0" w:after="0"/>
              <w:rPr>
                <w:lang w:val="lt-LT"/>
              </w:rPr>
            </w:pPr>
            <w:r w:rsidRPr="00D43A2F">
              <w:rPr>
                <w:sz w:val="22"/>
                <w:szCs w:val="22"/>
                <w:u w:val="single"/>
                <w:lang w:val="lt-LT"/>
              </w:rPr>
              <w:t>Trukmė</w:t>
            </w:r>
          </w:p>
        </w:tc>
      </w:tr>
      <w:tr w:rsidR="008F34FF" w:rsidRPr="00D43A2F" w14:paraId="1BD1989F" w14:textId="77777777" w:rsidTr="00CC7394">
        <w:trPr>
          <w:tblCellSpacing w:w="0" w:type="dxa"/>
        </w:trPr>
        <w:tc>
          <w:tcPr>
            <w:tcW w:w="1788" w:type="dxa"/>
          </w:tcPr>
          <w:p w14:paraId="311D8A90" w14:textId="77777777" w:rsidR="008F34FF" w:rsidRPr="00D43A2F" w:rsidRDefault="008F34FF" w:rsidP="00CC7394">
            <w:pPr>
              <w:pStyle w:val="prastasiniatinklio"/>
              <w:spacing w:before="0" w:beforeAutospacing="0" w:after="0"/>
              <w:rPr>
                <w:lang w:val="lt-LT"/>
              </w:rPr>
            </w:pPr>
            <w:r w:rsidRPr="00D43A2F">
              <w:rPr>
                <w:sz w:val="22"/>
                <w:szCs w:val="22"/>
                <w:lang w:val="lt-LT"/>
              </w:rPr>
              <w:t>Prieš operaciją</w:t>
            </w:r>
          </w:p>
        </w:tc>
        <w:tc>
          <w:tcPr>
            <w:tcW w:w="1710" w:type="dxa"/>
          </w:tcPr>
          <w:p w14:paraId="555993BF" w14:textId="77777777" w:rsidR="008F34FF" w:rsidRPr="00D43A2F" w:rsidRDefault="008F34FF" w:rsidP="00CC7394">
            <w:pPr>
              <w:pStyle w:val="prastasiniatinklio"/>
              <w:spacing w:before="0" w:beforeAutospacing="0" w:after="0"/>
              <w:rPr>
                <w:lang w:val="lt-LT"/>
              </w:rPr>
            </w:pPr>
            <w:r w:rsidRPr="00D43A2F">
              <w:rPr>
                <w:sz w:val="22"/>
                <w:szCs w:val="22"/>
                <w:lang w:val="lt-LT"/>
              </w:rPr>
              <w:t>20</w:t>
            </w:r>
          </w:p>
        </w:tc>
        <w:tc>
          <w:tcPr>
            <w:tcW w:w="1722" w:type="dxa"/>
          </w:tcPr>
          <w:p w14:paraId="6885F3A1" w14:textId="77777777" w:rsidR="008F34FF" w:rsidRPr="00D43A2F" w:rsidRDefault="008F34FF" w:rsidP="00CC7394">
            <w:pPr>
              <w:pStyle w:val="prastasiniatinklio"/>
              <w:spacing w:before="0" w:beforeAutospacing="0" w:after="0"/>
              <w:rPr>
                <w:lang w:val="lt-LT"/>
              </w:rPr>
            </w:pPr>
            <w:r w:rsidRPr="00D43A2F">
              <w:rPr>
                <w:sz w:val="22"/>
                <w:szCs w:val="22"/>
                <w:lang w:val="lt-LT"/>
              </w:rPr>
              <w:t>i.m.</w:t>
            </w:r>
          </w:p>
        </w:tc>
        <w:tc>
          <w:tcPr>
            <w:tcW w:w="1746" w:type="dxa"/>
          </w:tcPr>
          <w:p w14:paraId="75E0613E" w14:textId="77777777" w:rsidR="008F34FF" w:rsidRPr="00D43A2F" w:rsidRDefault="008F34FF" w:rsidP="00CC7394">
            <w:pPr>
              <w:pStyle w:val="prastasiniatinklio"/>
              <w:spacing w:before="0" w:beforeAutospacing="0" w:after="0"/>
              <w:rPr>
                <w:lang w:val="lt-LT"/>
              </w:rPr>
            </w:pPr>
            <w:r w:rsidRPr="00D43A2F">
              <w:rPr>
                <w:sz w:val="22"/>
                <w:szCs w:val="22"/>
                <w:lang w:val="lt-LT"/>
              </w:rPr>
              <w:t>3</w:t>
            </w:r>
            <w:r w:rsidRPr="00D43A2F">
              <w:rPr>
                <w:sz w:val="22"/>
                <w:szCs w:val="22"/>
                <w:lang w:val="lt-LT"/>
              </w:rPr>
              <w:noBreakHyphen/>
              <w:t>6</w:t>
            </w:r>
          </w:p>
        </w:tc>
        <w:tc>
          <w:tcPr>
            <w:tcW w:w="1765" w:type="dxa"/>
          </w:tcPr>
          <w:p w14:paraId="3BFF8E18" w14:textId="77777777" w:rsidR="008F34FF" w:rsidRPr="00D43A2F" w:rsidRDefault="008F34FF" w:rsidP="00CC7394">
            <w:pPr>
              <w:pStyle w:val="prastasiniatinklio"/>
              <w:spacing w:before="0" w:beforeAutospacing="0" w:after="0"/>
              <w:rPr>
                <w:lang w:val="lt-LT"/>
              </w:rPr>
            </w:pPr>
            <w:r w:rsidRPr="00D43A2F">
              <w:rPr>
                <w:sz w:val="22"/>
                <w:szCs w:val="22"/>
                <w:lang w:val="lt-LT"/>
              </w:rPr>
              <w:t> </w:t>
            </w:r>
          </w:p>
          <w:p w14:paraId="55FB1140" w14:textId="77777777" w:rsidR="008F34FF" w:rsidRPr="00D43A2F" w:rsidRDefault="008F34FF" w:rsidP="00CC7394">
            <w:pPr>
              <w:rPr>
                <w:color w:val="000000"/>
              </w:rPr>
            </w:pPr>
            <w:r w:rsidRPr="00D43A2F">
              <w:rPr>
                <w:color w:val="000000"/>
                <w:sz w:val="22"/>
                <w:szCs w:val="22"/>
              </w:rPr>
              <w:t> </w:t>
            </w:r>
          </w:p>
        </w:tc>
      </w:tr>
      <w:tr w:rsidR="008F34FF" w:rsidRPr="00D43A2F" w14:paraId="24F2EEE8" w14:textId="77777777" w:rsidTr="00CC7394">
        <w:trPr>
          <w:tblCellSpacing w:w="0" w:type="dxa"/>
        </w:trPr>
        <w:tc>
          <w:tcPr>
            <w:tcW w:w="1788" w:type="dxa"/>
          </w:tcPr>
          <w:p w14:paraId="52D8D378" w14:textId="77777777" w:rsidR="008F34FF" w:rsidRPr="00D43A2F" w:rsidRDefault="008F34FF" w:rsidP="00CC7394">
            <w:pPr>
              <w:pStyle w:val="prastasiniatinklio"/>
              <w:spacing w:before="0" w:beforeAutospacing="0" w:after="0"/>
              <w:rPr>
                <w:lang w:val="lt-LT"/>
              </w:rPr>
            </w:pPr>
            <w:r w:rsidRPr="00D43A2F">
              <w:rPr>
                <w:sz w:val="22"/>
                <w:szCs w:val="22"/>
                <w:lang w:val="lt-LT"/>
              </w:rPr>
              <w:t>Operacijos metu</w:t>
            </w:r>
          </w:p>
        </w:tc>
        <w:tc>
          <w:tcPr>
            <w:tcW w:w="1710" w:type="dxa"/>
          </w:tcPr>
          <w:p w14:paraId="633575EA" w14:textId="77777777" w:rsidR="008F34FF" w:rsidRPr="00D43A2F" w:rsidRDefault="008F34FF" w:rsidP="00CC7394">
            <w:pPr>
              <w:pStyle w:val="prastasiniatinklio"/>
              <w:spacing w:before="0" w:beforeAutospacing="0" w:after="0"/>
              <w:rPr>
                <w:lang w:val="lt-LT"/>
              </w:rPr>
            </w:pPr>
            <w:r w:rsidRPr="00D43A2F">
              <w:rPr>
                <w:sz w:val="22"/>
                <w:szCs w:val="22"/>
                <w:lang w:val="lt-LT"/>
              </w:rPr>
              <w:t>nuo 20 iki 40</w:t>
            </w:r>
          </w:p>
        </w:tc>
        <w:tc>
          <w:tcPr>
            <w:tcW w:w="1722" w:type="dxa"/>
          </w:tcPr>
          <w:p w14:paraId="14F96B40" w14:textId="77777777" w:rsidR="008F34FF" w:rsidRPr="00D43A2F" w:rsidRDefault="008F34FF" w:rsidP="00CC7394">
            <w:pPr>
              <w:pStyle w:val="prastasiniatinklio"/>
              <w:spacing w:before="0" w:beforeAutospacing="0" w:after="0"/>
              <w:rPr>
                <w:lang w:val="lt-LT"/>
              </w:rPr>
            </w:pPr>
            <w:r w:rsidRPr="00D43A2F">
              <w:rPr>
                <w:sz w:val="22"/>
                <w:szCs w:val="22"/>
                <w:lang w:val="lt-LT"/>
              </w:rPr>
              <w:t>i.v.</w:t>
            </w:r>
          </w:p>
        </w:tc>
        <w:tc>
          <w:tcPr>
            <w:tcW w:w="1746" w:type="dxa"/>
          </w:tcPr>
          <w:p w14:paraId="3F94368A" w14:textId="77777777" w:rsidR="008F34FF" w:rsidRPr="00D43A2F" w:rsidRDefault="008F34FF" w:rsidP="00CC7394">
            <w:pPr>
              <w:pStyle w:val="prastasiniatinklio"/>
              <w:spacing w:before="0" w:beforeAutospacing="0" w:after="0"/>
              <w:rPr>
                <w:lang w:val="lt-LT"/>
              </w:rPr>
            </w:pPr>
            <w:r w:rsidRPr="00D43A2F">
              <w:rPr>
                <w:sz w:val="22"/>
                <w:szCs w:val="22"/>
                <w:lang w:val="lt-LT"/>
              </w:rPr>
              <w:t>kas valandą</w:t>
            </w:r>
          </w:p>
        </w:tc>
        <w:tc>
          <w:tcPr>
            <w:tcW w:w="1765" w:type="dxa"/>
          </w:tcPr>
          <w:p w14:paraId="33FD2021" w14:textId="77777777" w:rsidR="008F34FF" w:rsidRPr="00D43A2F" w:rsidRDefault="008F34FF" w:rsidP="00CC7394">
            <w:pPr>
              <w:pStyle w:val="prastasiniatinklio"/>
              <w:spacing w:before="0" w:beforeAutospacing="0" w:after="0"/>
              <w:rPr>
                <w:lang w:val="lt-LT"/>
              </w:rPr>
            </w:pPr>
            <w:r w:rsidRPr="00D43A2F">
              <w:rPr>
                <w:sz w:val="22"/>
                <w:szCs w:val="22"/>
                <w:lang w:val="lt-LT"/>
              </w:rPr>
              <w:t> </w:t>
            </w:r>
          </w:p>
          <w:p w14:paraId="10C65D38" w14:textId="77777777" w:rsidR="008F34FF" w:rsidRPr="00D43A2F" w:rsidRDefault="008F34FF" w:rsidP="00CC7394">
            <w:pPr>
              <w:rPr>
                <w:color w:val="000000"/>
              </w:rPr>
            </w:pPr>
            <w:r w:rsidRPr="00D43A2F">
              <w:rPr>
                <w:color w:val="000000"/>
                <w:sz w:val="22"/>
                <w:szCs w:val="22"/>
              </w:rPr>
              <w:t> </w:t>
            </w:r>
          </w:p>
        </w:tc>
      </w:tr>
      <w:tr w:rsidR="008F34FF" w:rsidRPr="00D43A2F" w14:paraId="268CB9CB" w14:textId="77777777" w:rsidTr="00CC7394">
        <w:trPr>
          <w:tblCellSpacing w:w="0" w:type="dxa"/>
        </w:trPr>
        <w:tc>
          <w:tcPr>
            <w:tcW w:w="1788" w:type="dxa"/>
          </w:tcPr>
          <w:p w14:paraId="16C411A7" w14:textId="77777777" w:rsidR="008F34FF" w:rsidRPr="00D43A2F" w:rsidRDefault="008F34FF" w:rsidP="00CC7394">
            <w:pPr>
              <w:pStyle w:val="prastasiniatinklio"/>
              <w:spacing w:before="0" w:beforeAutospacing="0" w:after="0"/>
              <w:rPr>
                <w:lang w:val="lt-LT"/>
              </w:rPr>
            </w:pPr>
            <w:r w:rsidRPr="00D43A2F">
              <w:rPr>
                <w:sz w:val="22"/>
                <w:szCs w:val="22"/>
                <w:lang w:val="lt-LT"/>
              </w:rPr>
              <w:t>Po operacijos</w:t>
            </w:r>
          </w:p>
        </w:tc>
        <w:tc>
          <w:tcPr>
            <w:tcW w:w="1710" w:type="dxa"/>
          </w:tcPr>
          <w:p w14:paraId="7AE5DF33" w14:textId="77777777" w:rsidR="008F34FF" w:rsidRPr="00D43A2F" w:rsidRDefault="008F34FF" w:rsidP="00CC7394">
            <w:pPr>
              <w:pStyle w:val="prastasiniatinklio"/>
              <w:spacing w:before="0" w:beforeAutospacing="0" w:after="0"/>
              <w:rPr>
                <w:lang w:val="lt-LT"/>
              </w:rPr>
            </w:pPr>
            <w:r w:rsidRPr="00D43A2F">
              <w:rPr>
                <w:sz w:val="22"/>
                <w:szCs w:val="22"/>
                <w:lang w:val="lt-LT"/>
              </w:rPr>
              <w:t>20</w:t>
            </w:r>
          </w:p>
        </w:tc>
        <w:tc>
          <w:tcPr>
            <w:tcW w:w="1722" w:type="dxa"/>
          </w:tcPr>
          <w:p w14:paraId="5FB095D2" w14:textId="77777777" w:rsidR="008F34FF" w:rsidRPr="00D43A2F" w:rsidRDefault="008F34FF" w:rsidP="00CC7394">
            <w:pPr>
              <w:pStyle w:val="prastasiniatinklio"/>
              <w:spacing w:before="0" w:beforeAutospacing="0" w:after="0"/>
              <w:rPr>
                <w:lang w:val="lt-LT"/>
              </w:rPr>
            </w:pPr>
            <w:r w:rsidRPr="00D43A2F">
              <w:rPr>
                <w:sz w:val="22"/>
                <w:szCs w:val="22"/>
                <w:lang w:val="lt-LT"/>
              </w:rPr>
              <w:t>i.m.</w:t>
            </w:r>
          </w:p>
        </w:tc>
        <w:tc>
          <w:tcPr>
            <w:tcW w:w="1746" w:type="dxa"/>
          </w:tcPr>
          <w:p w14:paraId="14708184" w14:textId="77777777" w:rsidR="008F34FF" w:rsidRPr="00D43A2F" w:rsidRDefault="008F34FF" w:rsidP="00CC7394">
            <w:pPr>
              <w:pStyle w:val="prastasiniatinklio"/>
              <w:spacing w:before="0" w:beforeAutospacing="0" w:after="0"/>
              <w:rPr>
                <w:lang w:val="lt-LT"/>
              </w:rPr>
            </w:pPr>
            <w:r w:rsidRPr="00D43A2F">
              <w:rPr>
                <w:sz w:val="22"/>
                <w:szCs w:val="22"/>
                <w:lang w:val="lt-LT"/>
              </w:rPr>
              <w:t>3</w:t>
            </w:r>
          </w:p>
        </w:tc>
        <w:tc>
          <w:tcPr>
            <w:tcW w:w="1765" w:type="dxa"/>
          </w:tcPr>
          <w:p w14:paraId="3B2571D5" w14:textId="77777777" w:rsidR="008F34FF" w:rsidRPr="00D43A2F" w:rsidRDefault="008F34FF" w:rsidP="00CC7394">
            <w:pPr>
              <w:pStyle w:val="prastasiniatinklio"/>
              <w:spacing w:before="0" w:beforeAutospacing="0" w:after="0"/>
              <w:rPr>
                <w:lang w:val="lt-LT"/>
              </w:rPr>
            </w:pPr>
            <w:r w:rsidRPr="00D43A2F">
              <w:rPr>
                <w:sz w:val="22"/>
                <w:szCs w:val="22"/>
                <w:lang w:val="lt-LT"/>
              </w:rPr>
              <w:t>24 valandos</w:t>
            </w:r>
          </w:p>
        </w:tc>
      </w:tr>
      <w:tr w:rsidR="008F34FF" w:rsidRPr="00D43A2F" w14:paraId="7D0A364E" w14:textId="77777777" w:rsidTr="00CC7394">
        <w:trPr>
          <w:tblCellSpacing w:w="0" w:type="dxa"/>
        </w:trPr>
        <w:tc>
          <w:tcPr>
            <w:tcW w:w="1788" w:type="dxa"/>
          </w:tcPr>
          <w:p w14:paraId="7FC06A2C" w14:textId="77777777" w:rsidR="008F34FF" w:rsidRPr="00D43A2F" w:rsidRDefault="008F34FF" w:rsidP="00CC7394">
            <w:pPr>
              <w:pStyle w:val="prastasiniatinklio"/>
              <w:spacing w:before="0" w:beforeAutospacing="0" w:after="0"/>
              <w:rPr>
                <w:lang w:val="lt-LT"/>
              </w:rPr>
            </w:pPr>
            <w:r w:rsidRPr="00D43A2F">
              <w:rPr>
                <w:sz w:val="22"/>
                <w:szCs w:val="22"/>
                <w:lang w:val="lt-LT"/>
              </w:rPr>
              <w:t> </w:t>
            </w:r>
          </w:p>
          <w:p w14:paraId="13B61A7D" w14:textId="77777777" w:rsidR="008F34FF" w:rsidRPr="00D43A2F" w:rsidRDefault="008F34FF" w:rsidP="00CC7394">
            <w:pPr>
              <w:rPr>
                <w:color w:val="000000"/>
              </w:rPr>
            </w:pPr>
            <w:r w:rsidRPr="00D43A2F">
              <w:rPr>
                <w:color w:val="000000"/>
                <w:sz w:val="22"/>
                <w:szCs w:val="22"/>
              </w:rPr>
              <w:t> </w:t>
            </w:r>
          </w:p>
        </w:tc>
        <w:tc>
          <w:tcPr>
            <w:tcW w:w="1710" w:type="dxa"/>
          </w:tcPr>
          <w:p w14:paraId="4C22F4AB" w14:textId="77777777" w:rsidR="008F34FF" w:rsidRPr="00D43A2F" w:rsidRDefault="008F34FF" w:rsidP="00CC7394">
            <w:pPr>
              <w:pStyle w:val="prastasiniatinklio"/>
              <w:spacing w:before="0" w:beforeAutospacing="0" w:after="0"/>
              <w:rPr>
                <w:lang w:val="lt-LT"/>
              </w:rPr>
            </w:pPr>
            <w:r w:rsidRPr="00D43A2F">
              <w:rPr>
                <w:sz w:val="22"/>
                <w:szCs w:val="22"/>
                <w:lang w:val="lt-LT"/>
              </w:rPr>
              <w:t>16</w:t>
            </w:r>
          </w:p>
        </w:tc>
        <w:tc>
          <w:tcPr>
            <w:tcW w:w="1722" w:type="dxa"/>
          </w:tcPr>
          <w:p w14:paraId="741113FE" w14:textId="77777777" w:rsidR="008F34FF" w:rsidRPr="00D43A2F" w:rsidRDefault="008F34FF" w:rsidP="00CC7394">
            <w:pPr>
              <w:pStyle w:val="prastasiniatinklio"/>
              <w:spacing w:before="0" w:beforeAutospacing="0" w:after="0"/>
              <w:rPr>
                <w:lang w:val="lt-LT"/>
              </w:rPr>
            </w:pPr>
            <w:r w:rsidRPr="00D43A2F">
              <w:rPr>
                <w:sz w:val="22"/>
                <w:szCs w:val="22"/>
                <w:lang w:val="lt-LT"/>
              </w:rPr>
              <w:t>i.m.</w:t>
            </w:r>
          </w:p>
        </w:tc>
        <w:tc>
          <w:tcPr>
            <w:tcW w:w="1746" w:type="dxa"/>
          </w:tcPr>
          <w:p w14:paraId="4E38E93D" w14:textId="77777777" w:rsidR="008F34FF" w:rsidRPr="00D43A2F" w:rsidRDefault="008F34FF" w:rsidP="00CC7394">
            <w:pPr>
              <w:pStyle w:val="prastasiniatinklio"/>
              <w:spacing w:before="0" w:beforeAutospacing="0" w:after="0"/>
              <w:rPr>
                <w:lang w:val="lt-LT"/>
              </w:rPr>
            </w:pPr>
            <w:r w:rsidRPr="00D43A2F">
              <w:rPr>
                <w:sz w:val="22"/>
                <w:szCs w:val="22"/>
                <w:lang w:val="lt-LT"/>
              </w:rPr>
              <w:t>3</w:t>
            </w:r>
          </w:p>
        </w:tc>
        <w:tc>
          <w:tcPr>
            <w:tcW w:w="1765" w:type="dxa"/>
          </w:tcPr>
          <w:p w14:paraId="7858ADA3" w14:textId="77777777" w:rsidR="008F34FF" w:rsidRPr="00D43A2F" w:rsidRDefault="008F34FF" w:rsidP="00CC7394">
            <w:pPr>
              <w:pStyle w:val="prastasiniatinklio"/>
              <w:spacing w:before="0" w:beforeAutospacing="0" w:after="0"/>
              <w:rPr>
                <w:lang w:val="lt-LT"/>
              </w:rPr>
            </w:pPr>
            <w:r w:rsidRPr="00D43A2F">
              <w:rPr>
                <w:sz w:val="22"/>
                <w:szCs w:val="22"/>
                <w:lang w:val="lt-LT"/>
              </w:rPr>
              <w:t>24 valandos</w:t>
            </w:r>
          </w:p>
        </w:tc>
      </w:tr>
      <w:tr w:rsidR="008F34FF" w:rsidRPr="00D43A2F" w14:paraId="5E3F019F" w14:textId="77777777" w:rsidTr="00CC7394">
        <w:trPr>
          <w:tblCellSpacing w:w="0" w:type="dxa"/>
        </w:trPr>
        <w:tc>
          <w:tcPr>
            <w:tcW w:w="1788" w:type="dxa"/>
          </w:tcPr>
          <w:p w14:paraId="0BD2445A" w14:textId="77777777" w:rsidR="008F34FF" w:rsidRPr="00D43A2F" w:rsidRDefault="008F34FF" w:rsidP="00CC7394">
            <w:pPr>
              <w:pStyle w:val="prastasiniatinklio"/>
              <w:spacing w:before="0" w:beforeAutospacing="0" w:after="0"/>
              <w:rPr>
                <w:lang w:val="lt-LT"/>
              </w:rPr>
            </w:pPr>
            <w:r w:rsidRPr="00D43A2F">
              <w:rPr>
                <w:sz w:val="22"/>
                <w:szCs w:val="22"/>
                <w:lang w:val="lt-LT"/>
              </w:rPr>
              <w:t> </w:t>
            </w:r>
          </w:p>
          <w:p w14:paraId="1C94E778" w14:textId="77777777" w:rsidR="008F34FF" w:rsidRPr="00D43A2F" w:rsidRDefault="008F34FF" w:rsidP="00CC7394">
            <w:pPr>
              <w:rPr>
                <w:color w:val="000000"/>
              </w:rPr>
            </w:pPr>
            <w:r w:rsidRPr="00D43A2F">
              <w:rPr>
                <w:color w:val="000000"/>
                <w:sz w:val="22"/>
                <w:szCs w:val="22"/>
              </w:rPr>
              <w:t> </w:t>
            </w:r>
          </w:p>
        </w:tc>
        <w:tc>
          <w:tcPr>
            <w:tcW w:w="1710" w:type="dxa"/>
          </w:tcPr>
          <w:p w14:paraId="1780B7F8" w14:textId="77777777" w:rsidR="008F34FF" w:rsidRPr="00D43A2F" w:rsidRDefault="008F34FF" w:rsidP="00CC7394">
            <w:pPr>
              <w:pStyle w:val="prastasiniatinklio"/>
              <w:spacing w:before="0" w:beforeAutospacing="0" w:after="0"/>
              <w:rPr>
                <w:lang w:val="lt-LT"/>
              </w:rPr>
            </w:pPr>
            <w:r w:rsidRPr="00D43A2F">
              <w:rPr>
                <w:sz w:val="22"/>
                <w:szCs w:val="22"/>
                <w:lang w:val="lt-LT"/>
              </w:rPr>
              <w:t>12</w:t>
            </w:r>
          </w:p>
        </w:tc>
        <w:tc>
          <w:tcPr>
            <w:tcW w:w="1722" w:type="dxa"/>
          </w:tcPr>
          <w:p w14:paraId="401E629C" w14:textId="77777777" w:rsidR="008F34FF" w:rsidRPr="00D43A2F" w:rsidRDefault="008F34FF" w:rsidP="00CC7394">
            <w:pPr>
              <w:pStyle w:val="prastasiniatinklio"/>
              <w:spacing w:before="0" w:beforeAutospacing="0" w:after="0"/>
              <w:rPr>
                <w:lang w:val="lt-LT"/>
              </w:rPr>
            </w:pPr>
            <w:r w:rsidRPr="00D43A2F">
              <w:rPr>
                <w:sz w:val="22"/>
                <w:szCs w:val="22"/>
                <w:lang w:val="lt-LT"/>
              </w:rPr>
              <w:t>i.m.</w:t>
            </w:r>
          </w:p>
        </w:tc>
        <w:tc>
          <w:tcPr>
            <w:tcW w:w="1746" w:type="dxa"/>
          </w:tcPr>
          <w:p w14:paraId="68B9D961" w14:textId="77777777" w:rsidR="008F34FF" w:rsidRPr="00D43A2F" w:rsidRDefault="008F34FF" w:rsidP="00CC7394">
            <w:pPr>
              <w:pStyle w:val="prastasiniatinklio"/>
              <w:spacing w:before="0" w:beforeAutospacing="0" w:after="0"/>
              <w:rPr>
                <w:lang w:val="lt-LT"/>
              </w:rPr>
            </w:pPr>
            <w:r w:rsidRPr="00D43A2F">
              <w:rPr>
                <w:sz w:val="22"/>
                <w:szCs w:val="22"/>
                <w:lang w:val="lt-LT"/>
              </w:rPr>
              <w:t>3</w:t>
            </w:r>
          </w:p>
        </w:tc>
        <w:tc>
          <w:tcPr>
            <w:tcW w:w="1765" w:type="dxa"/>
          </w:tcPr>
          <w:p w14:paraId="3CD54EDB" w14:textId="77777777" w:rsidR="008F34FF" w:rsidRPr="00D43A2F" w:rsidRDefault="008F34FF" w:rsidP="00CC7394">
            <w:pPr>
              <w:pStyle w:val="prastasiniatinklio"/>
              <w:spacing w:before="0" w:beforeAutospacing="0" w:after="0"/>
              <w:rPr>
                <w:lang w:val="lt-LT"/>
              </w:rPr>
            </w:pPr>
            <w:r w:rsidRPr="00D43A2F">
              <w:rPr>
                <w:sz w:val="22"/>
                <w:szCs w:val="22"/>
                <w:lang w:val="lt-LT"/>
              </w:rPr>
              <w:t>24 valandos</w:t>
            </w:r>
          </w:p>
        </w:tc>
      </w:tr>
      <w:tr w:rsidR="008F34FF" w:rsidRPr="00D43A2F" w14:paraId="70BBAB69" w14:textId="77777777" w:rsidTr="00CC7394">
        <w:trPr>
          <w:tblCellSpacing w:w="0" w:type="dxa"/>
        </w:trPr>
        <w:tc>
          <w:tcPr>
            <w:tcW w:w="1788" w:type="dxa"/>
          </w:tcPr>
          <w:p w14:paraId="322E1757" w14:textId="77777777" w:rsidR="008F34FF" w:rsidRPr="00D43A2F" w:rsidRDefault="008F34FF" w:rsidP="00CC7394">
            <w:pPr>
              <w:pStyle w:val="prastasiniatinklio"/>
              <w:spacing w:before="0" w:beforeAutospacing="0" w:after="0"/>
              <w:rPr>
                <w:lang w:val="lt-LT"/>
              </w:rPr>
            </w:pPr>
            <w:r w:rsidRPr="00D43A2F">
              <w:rPr>
                <w:sz w:val="22"/>
                <w:szCs w:val="22"/>
                <w:lang w:val="lt-LT"/>
              </w:rPr>
              <w:t> </w:t>
            </w:r>
          </w:p>
          <w:p w14:paraId="2D4231A2" w14:textId="77777777" w:rsidR="008F34FF" w:rsidRPr="00D43A2F" w:rsidRDefault="008F34FF" w:rsidP="00CC7394">
            <w:pPr>
              <w:rPr>
                <w:color w:val="000000"/>
              </w:rPr>
            </w:pPr>
            <w:r w:rsidRPr="00D43A2F">
              <w:rPr>
                <w:color w:val="000000"/>
                <w:sz w:val="22"/>
                <w:szCs w:val="22"/>
              </w:rPr>
              <w:t> </w:t>
            </w:r>
          </w:p>
        </w:tc>
        <w:tc>
          <w:tcPr>
            <w:tcW w:w="1710" w:type="dxa"/>
          </w:tcPr>
          <w:p w14:paraId="5F76E333" w14:textId="77777777" w:rsidR="008F34FF" w:rsidRPr="00D43A2F" w:rsidRDefault="008F34FF" w:rsidP="00CC7394">
            <w:pPr>
              <w:pStyle w:val="prastasiniatinklio"/>
              <w:spacing w:before="0" w:beforeAutospacing="0" w:after="0"/>
              <w:rPr>
                <w:lang w:val="lt-LT"/>
              </w:rPr>
            </w:pPr>
            <w:r w:rsidRPr="00D43A2F">
              <w:rPr>
                <w:sz w:val="22"/>
                <w:szCs w:val="22"/>
                <w:lang w:val="lt-LT"/>
              </w:rPr>
              <w:t>8</w:t>
            </w:r>
          </w:p>
        </w:tc>
        <w:tc>
          <w:tcPr>
            <w:tcW w:w="1722" w:type="dxa"/>
          </w:tcPr>
          <w:p w14:paraId="6EF70313" w14:textId="77777777" w:rsidR="008F34FF" w:rsidRPr="00D43A2F" w:rsidRDefault="008F34FF" w:rsidP="00CC7394">
            <w:pPr>
              <w:pStyle w:val="prastasiniatinklio"/>
              <w:spacing w:before="0" w:beforeAutospacing="0" w:after="0"/>
              <w:rPr>
                <w:lang w:val="lt-LT"/>
              </w:rPr>
            </w:pPr>
            <w:r w:rsidRPr="00D43A2F">
              <w:rPr>
                <w:sz w:val="22"/>
                <w:szCs w:val="22"/>
                <w:lang w:val="lt-LT"/>
              </w:rPr>
              <w:t>i.m.</w:t>
            </w:r>
          </w:p>
        </w:tc>
        <w:tc>
          <w:tcPr>
            <w:tcW w:w="1746" w:type="dxa"/>
          </w:tcPr>
          <w:p w14:paraId="153DF128" w14:textId="77777777" w:rsidR="008F34FF" w:rsidRPr="00D43A2F" w:rsidRDefault="008F34FF" w:rsidP="00CC7394">
            <w:pPr>
              <w:pStyle w:val="prastasiniatinklio"/>
              <w:spacing w:before="0" w:beforeAutospacing="0" w:after="0"/>
              <w:rPr>
                <w:lang w:val="lt-LT"/>
              </w:rPr>
            </w:pPr>
            <w:r w:rsidRPr="00D43A2F">
              <w:rPr>
                <w:sz w:val="22"/>
                <w:szCs w:val="22"/>
                <w:lang w:val="lt-LT"/>
              </w:rPr>
              <w:t>3</w:t>
            </w:r>
          </w:p>
        </w:tc>
        <w:tc>
          <w:tcPr>
            <w:tcW w:w="1765" w:type="dxa"/>
          </w:tcPr>
          <w:p w14:paraId="04594BC0" w14:textId="77777777" w:rsidR="008F34FF" w:rsidRPr="00D43A2F" w:rsidRDefault="008F34FF" w:rsidP="00CC7394">
            <w:pPr>
              <w:pStyle w:val="prastasiniatinklio"/>
              <w:spacing w:before="0" w:beforeAutospacing="0" w:after="0"/>
              <w:rPr>
                <w:lang w:val="lt-LT"/>
              </w:rPr>
            </w:pPr>
            <w:r w:rsidRPr="00D43A2F">
              <w:rPr>
                <w:sz w:val="22"/>
                <w:szCs w:val="22"/>
                <w:lang w:val="lt-LT"/>
              </w:rPr>
              <w:t>24 valandos</w:t>
            </w:r>
          </w:p>
        </w:tc>
      </w:tr>
      <w:tr w:rsidR="008F34FF" w:rsidRPr="00D43A2F" w14:paraId="131DF139" w14:textId="77777777" w:rsidTr="00CC7394">
        <w:trPr>
          <w:tblCellSpacing w:w="0" w:type="dxa"/>
        </w:trPr>
        <w:tc>
          <w:tcPr>
            <w:tcW w:w="1788" w:type="dxa"/>
          </w:tcPr>
          <w:p w14:paraId="6AABD0DB" w14:textId="77777777" w:rsidR="008F34FF" w:rsidRPr="00D43A2F" w:rsidRDefault="008F34FF" w:rsidP="00CC7394">
            <w:pPr>
              <w:pStyle w:val="prastasiniatinklio"/>
              <w:spacing w:before="0" w:beforeAutospacing="0" w:after="0"/>
              <w:rPr>
                <w:lang w:val="lt-LT"/>
              </w:rPr>
            </w:pPr>
            <w:r w:rsidRPr="00D43A2F">
              <w:rPr>
                <w:sz w:val="22"/>
                <w:szCs w:val="22"/>
                <w:lang w:val="lt-LT"/>
              </w:rPr>
              <w:t> </w:t>
            </w:r>
          </w:p>
          <w:p w14:paraId="5C78492F" w14:textId="77777777" w:rsidR="008F34FF" w:rsidRPr="00D43A2F" w:rsidRDefault="008F34FF" w:rsidP="00CC7394">
            <w:pPr>
              <w:rPr>
                <w:color w:val="000000"/>
              </w:rPr>
            </w:pPr>
            <w:r w:rsidRPr="00D43A2F">
              <w:rPr>
                <w:color w:val="000000"/>
                <w:sz w:val="22"/>
                <w:szCs w:val="22"/>
              </w:rPr>
              <w:t> </w:t>
            </w:r>
          </w:p>
        </w:tc>
        <w:tc>
          <w:tcPr>
            <w:tcW w:w="1710" w:type="dxa"/>
          </w:tcPr>
          <w:p w14:paraId="0D9C71EF" w14:textId="77777777" w:rsidR="008F34FF" w:rsidRPr="00D43A2F" w:rsidRDefault="008F34FF" w:rsidP="00CC7394">
            <w:pPr>
              <w:pStyle w:val="prastasiniatinklio"/>
              <w:spacing w:before="0" w:beforeAutospacing="0" w:after="0"/>
              <w:rPr>
                <w:lang w:val="lt-LT"/>
              </w:rPr>
            </w:pPr>
            <w:r w:rsidRPr="00D43A2F">
              <w:rPr>
                <w:sz w:val="22"/>
                <w:szCs w:val="22"/>
                <w:lang w:val="lt-LT"/>
              </w:rPr>
              <w:t>4</w:t>
            </w:r>
          </w:p>
        </w:tc>
        <w:tc>
          <w:tcPr>
            <w:tcW w:w="1722" w:type="dxa"/>
          </w:tcPr>
          <w:p w14:paraId="45CB99D7" w14:textId="77777777" w:rsidR="008F34FF" w:rsidRPr="00D43A2F" w:rsidRDefault="008F34FF" w:rsidP="00CC7394">
            <w:pPr>
              <w:pStyle w:val="prastasiniatinklio"/>
              <w:spacing w:before="0" w:beforeAutospacing="0" w:after="0"/>
              <w:rPr>
                <w:lang w:val="lt-LT"/>
              </w:rPr>
            </w:pPr>
            <w:r w:rsidRPr="00D43A2F">
              <w:rPr>
                <w:sz w:val="22"/>
                <w:szCs w:val="22"/>
                <w:lang w:val="lt-LT"/>
              </w:rPr>
              <w:t>i.m.</w:t>
            </w:r>
          </w:p>
        </w:tc>
        <w:tc>
          <w:tcPr>
            <w:tcW w:w="1746" w:type="dxa"/>
          </w:tcPr>
          <w:p w14:paraId="2ED9B9E7" w14:textId="77777777" w:rsidR="008F34FF" w:rsidRPr="00D43A2F" w:rsidRDefault="008F34FF" w:rsidP="00CC7394">
            <w:pPr>
              <w:pStyle w:val="prastasiniatinklio"/>
              <w:spacing w:before="0" w:beforeAutospacing="0" w:after="0"/>
              <w:rPr>
                <w:lang w:val="lt-LT"/>
              </w:rPr>
            </w:pPr>
            <w:r w:rsidRPr="00D43A2F">
              <w:rPr>
                <w:sz w:val="22"/>
                <w:szCs w:val="22"/>
                <w:lang w:val="lt-LT"/>
              </w:rPr>
              <w:t>3</w:t>
            </w:r>
          </w:p>
        </w:tc>
        <w:tc>
          <w:tcPr>
            <w:tcW w:w="1765" w:type="dxa"/>
          </w:tcPr>
          <w:p w14:paraId="71BDA2DD" w14:textId="77777777" w:rsidR="008F34FF" w:rsidRPr="00D43A2F" w:rsidRDefault="008F34FF" w:rsidP="00CC7394">
            <w:pPr>
              <w:pStyle w:val="prastasiniatinklio"/>
              <w:spacing w:before="0" w:beforeAutospacing="0" w:after="0"/>
              <w:rPr>
                <w:lang w:val="lt-LT"/>
              </w:rPr>
            </w:pPr>
            <w:r w:rsidRPr="00D43A2F">
              <w:rPr>
                <w:sz w:val="22"/>
                <w:szCs w:val="22"/>
                <w:lang w:val="lt-LT"/>
              </w:rPr>
              <w:t>24 valandos</w:t>
            </w:r>
          </w:p>
        </w:tc>
      </w:tr>
      <w:tr w:rsidR="008F34FF" w:rsidRPr="00D43A2F" w14:paraId="010ECC2B" w14:textId="77777777" w:rsidTr="00CC7394">
        <w:trPr>
          <w:tblCellSpacing w:w="0" w:type="dxa"/>
        </w:trPr>
        <w:tc>
          <w:tcPr>
            <w:tcW w:w="1788" w:type="dxa"/>
          </w:tcPr>
          <w:p w14:paraId="7EBBD1C6" w14:textId="77777777" w:rsidR="008F34FF" w:rsidRPr="00D43A2F" w:rsidRDefault="008F34FF" w:rsidP="00CC7394">
            <w:pPr>
              <w:pStyle w:val="prastasiniatinklio"/>
              <w:spacing w:before="0" w:beforeAutospacing="0" w:after="0"/>
              <w:rPr>
                <w:lang w:val="lt-LT"/>
              </w:rPr>
            </w:pPr>
            <w:r w:rsidRPr="00D43A2F">
              <w:rPr>
                <w:sz w:val="22"/>
                <w:szCs w:val="22"/>
                <w:lang w:val="lt-LT"/>
              </w:rPr>
              <w:t> </w:t>
            </w:r>
          </w:p>
          <w:p w14:paraId="066B905F" w14:textId="77777777" w:rsidR="008F34FF" w:rsidRPr="00D43A2F" w:rsidRDefault="008F34FF" w:rsidP="00CC7394">
            <w:pPr>
              <w:rPr>
                <w:color w:val="000000"/>
              </w:rPr>
            </w:pPr>
            <w:r w:rsidRPr="00D43A2F">
              <w:rPr>
                <w:color w:val="000000"/>
                <w:sz w:val="22"/>
                <w:szCs w:val="22"/>
              </w:rPr>
              <w:t> </w:t>
            </w:r>
          </w:p>
        </w:tc>
        <w:tc>
          <w:tcPr>
            <w:tcW w:w="1710" w:type="dxa"/>
          </w:tcPr>
          <w:p w14:paraId="678E2E4D" w14:textId="77777777" w:rsidR="008F34FF" w:rsidRPr="00D43A2F" w:rsidRDefault="008F34FF" w:rsidP="00CC7394">
            <w:pPr>
              <w:pStyle w:val="prastasiniatinklio"/>
              <w:spacing w:before="0" w:beforeAutospacing="0" w:after="0"/>
              <w:rPr>
                <w:lang w:val="lt-LT"/>
              </w:rPr>
            </w:pPr>
            <w:r w:rsidRPr="00D43A2F">
              <w:rPr>
                <w:sz w:val="22"/>
                <w:szCs w:val="22"/>
                <w:lang w:val="lt-LT"/>
              </w:rPr>
              <w:t>4</w:t>
            </w:r>
          </w:p>
        </w:tc>
        <w:tc>
          <w:tcPr>
            <w:tcW w:w="1722" w:type="dxa"/>
          </w:tcPr>
          <w:p w14:paraId="54933D1A" w14:textId="77777777" w:rsidR="008F34FF" w:rsidRPr="00D43A2F" w:rsidRDefault="008F34FF" w:rsidP="00CC7394">
            <w:pPr>
              <w:pStyle w:val="prastasiniatinklio"/>
              <w:spacing w:before="0" w:beforeAutospacing="0" w:after="0"/>
              <w:rPr>
                <w:lang w:val="lt-LT"/>
              </w:rPr>
            </w:pPr>
            <w:r w:rsidRPr="00D43A2F">
              <w:rPr>
                <w:sz w:val="22"/>
                <w:szCs w:val="22"/>
                <w:lang w:val="lt-LT"/>
              </w:rPr>
              <w:t>i.m.</w:t>
            </w:r>
          </w:p>
        </w:tc>
        <w:tc>
          <w:tcPr>
            <w:tcW w:w="1746" w:type="dxa"/>
          </w:tcPr>
          <w:p w14:paraId="2F9BF553" w14:textId="77777777" w:rsidR="008F34FF" w:rsidRPr="00D43A2F" w:rsidRDefault="008F34FF" w:rsidP="00CC7394">
            <w:pPr>
              <w:pStyle w:val="prastasiniatinklio"/>
              <w:spacing w:before="0" w:beforeAutospacing="0" w:after="0"/>
              <w:rPr>
                <w:lang w:val="lt-LT"/>
              </w:rPr>
            </w:pPr>
            <w:r w:rsidRPr="00D43A2F">
              <w:rPr>
                <w:sz w:val="22"/>
                <w:szCs w:val="22"/>
                <w:lang w:val="lt-LT"/>
              </w:rPr>
              <w:t>6</w:t>
            </w:r>
          </w:p>
        </w:tc>
        <w:tc>
          <w:tcPr>
            <w:tcW w:w="1765" w:type="dxa"/>
          </w:tcPr>
          <w:p w14:paraId="0D1F33B1" w14:textId="77777777" w:rsidR="008F34FF" w:rsidRPr="00D43A2F" w:rsidRDefault="008F34FF" w:rsidP="00CC7394">
            <w:pPr>
              <w:pStyle w:val="prastasiniatinklio"/>
              <w:spacing w:before="0" w:beforeAutospacing="0" w:after="0"/>
              <w:rPr>
                <w:lang w:val="lt-LT"/>
              </w:rPr>
            </w:pPr>
            <w:r w:rsidRPr="00D43A2F">
              <w:rPr>
                <w:sz w:val="22"/>
                <w:szCs w:val="22"/>
                <w:lang w:val="lt-LT"/>
              </w:rPr>
              <w:t>24 valandos</w:t>
            </w:r>
          </w:p>
        </w:tc>
      </w:tr>
      <w:tr w:rsidR="008F34FF" w:rsidRPr="00D43A2F" w14:paraId="093D2516" w14:textId="77777777" w:rsidTr="00CC7394">
        <w:trPr>
          <w:tblCellSpacing w:w="0" w:type="dxa"/>
        </w:trPr>
        <w:tc>
          <w:tcPr>
            <w:tcW w:w="1788" w:type="dxa"/>
          </w:tcPr>
          <w:p w14:paraId="2FBB504F" w14:textId="77777777" w:rsidR="008F34FF" w:rsidRPr="00D43A2F" w:rsidRDefault="008F34FF" w:rsidP="00CC7394">
            <w:pPr>
              <w:pStyle w:val="prastasiniatinklio"/>
              <w:spacing w:before="0" w:beforeAutospacing="0" w:after="0"/>
              <w:rPr>
                <w:lang w:val="lt-LT"/>
              </w:rPr>
            </w:pPr>
            <w:r w:rsidRPr="00D43A2F">
              <w:rPr>
                <w:sz w:val="22"/>
                <w:szCs w:val="22"/>
                <w:lang w:val="lt-LT"/>
              </w:rPr>
              <w:t> </w:t>
            </w:r>
          </w:p>
          <w:p w14:paraId="4004B381" w14:textId="77777777" w:rsidR="008F34FF" w:rsidRPr="00D43A2F" w:rsidRDefault="008F34FF" w:rsidP="00CC7394">
            <w:pPr>
              <w:rPr>
                <w:color w:val="000000"/>
              </w:rPr>
            </w:pPr>
            <w:r w:rsidRPr="00D43A2F">
              <w:rPr>
                <w:color w:val="000000"/>
                <w:sz w:val="22"/>
                <w:szCs w:val="22"/>
              </w:rPr>
              <w:t> </w:t>
            </w:r>
          </w:p>
        </w:tc>
        <w:tc>
          <w:tcPr>
            <w:tcW w:w="1710" w:type="dxa"/>
          </w:tcPr>
          <w:p w14:paraId="0F6721D0" w14:textId="77777777" w:rsidR="008F34FF" w:rsidRPr="00D43A2F" w:rsidRDefault="008F34FF" w:rsidP="00CC7394">
            <w:pPr>
              <w:pStyle w:val="prastasiniatinklio"/>
              <w:spacing w:before="0" w:beforeAutospacing="0" w:after="0"/>
              <w:rPr>
                <w:lang w:val="lt-LT"/>
              </w:rPr>
            </w:pPr>
            <w:r w:rsidRPr="00D43A2F">
              <w:rPr>
                <w:sz w:val="22"/>
                <w:szCs w:val="22"/>
                <w:lang w:val="lt-LT"/>
              </w:rPr>
              <w:t>4</w:t>
            </w:r>
          </w:p>
        </w:tc>
        <w:tc>
          <w:tcPr>
            <w:tcW w:w="1722" w:type="dxa"/>
          </w:tcPr>
          <w:p w14:paraId="0288DE5D" w14:textId="77777777" w:rsidR="008F34FF" w:rsidRPr="00D43A2F" w:rsidRDefault="008F34FF" w:rsidP="00CC7394">
            <w:pPr>
              <w:pStyle w:val="prastasiniatinklio"/>
              <w:spacing w:before="0" w:beforeAutospacing="0" w:after="0"/>
              <w:rPr>
                <w:lang w:val="lt-LT"/>
              </w:rPr>
            </w:pPr>
            <w:r w:rsidRPr="00D43A2F">
              <w:rPr>
                <w:sz w:val="22"/>
                <w:szCs w:val="22"/>
                <w:lang w:val="lt-LT"/>
              </w:rPr>
              <w:t>i.m.</w:t>
            </w:r>
          </w:p>
        </w:tc>
        <w:tc>
          <w:tcPr>
            <w:tcW w:w="1746" w:type="dxa"/>
          </w:tcPr>
          <w:p w14:paraId="57C7594B" w14:textId="77777777" w:rsidR="008F34FF" w:rsidRPr="00D43A2F" w:rsidRDefault="008F34FF" w:rsidP="00CC7394">
            <w:pPr>
              <w:pStyle w:val="prastasiniatinklio"/>
              <w:spacing w:before="0" w:beforeAutospacing="0" w:after="0"/>
              <w:rPr>
                <w:lang w:val="lt-LT"/>
              </w:rPr>
            </w:pPr>
            <w:r w:rsidRPr="00D43A2F">
              <w:rPr>
                <w:sz w:val="22"/>
                <w:szCs w:val="22"/>
                <w:lang w:val="lt-LT"/>
              </w:rPr>
              <w:t>12</w:t>
            </w:r>
          </w:p>
        </w:tc>
        <w:tc>
          <w:tcPr>
            <w:tcW w:w="1765" w:type="dxa"/>
          </w:tcPr>
          <w:p w14:paraId="15B98557" w14:textId="77777777" w:rsidR="008F34FF" w:rsidRPr="00D43A2F" w:rsidRDefault="008F34FF" w:rsidP="00CC7394">
            <w:pPr>
              <w:pStyle w:val="prastasiniatinklio"/>
              <w:spacing w:before="0" w:beforeAutospacing="0" w:after="0"/>
              <w:rPr>
                <w:lang w:val="lt-LT"/>
              </w:rPr>
            </w:pPr>
            <w:r w:rsidRPr="00D43A2F">
              <w:rPr>
                <w:sz w:val="22"/>
                <w:szCs w:val="22"/>
                <w:lang w:val="lt-LT"/>
              </w:rPr>
              <w:t>24 valandos</w:t>
            </w:r>
          </w:p>
        </w:tc>
      </w:tr>
    </w:tbl>
    <w:p w14:paraId="09C4859A" w14:textId="77777777" w:rsidR="008F34FF" w:rsidRPr="00D43A2F" w:rsidRDefault="008F34FF" w:rsidP="008F34FF">
      <w:pPr>
        <w:rPr>
          <w:sz w:val="22"/>
          <w:szCs w:val="22"/>
        </w:rPr>
      </w:pPr>
    </w:p>
    <w:tbl>
      <w:tblPr>
        <w:tblW w:w="4750" w:type="pct"/>
        <w:tblCellSpacing w:w="0" w:type="dxa"/>
        <w:tblCellMar>
          <w:top w:w="60" w:type="dxa"/>
          <w:left w:w="60" w:type="dxa"/>
          <w:bottom w:w="60" w:type="dxa"/>
          <w:right w:w="60" w:type="dxa"/>
        </w:tblCellMar>
        <w:tblLook w:val="0000" w:firstRow="0" w:lastRow="0" w:firstColumn="0" w:lastColumn="0" w:noHBand="0" w:noVBand="0"/>
      </w:tblPr>
      <w:tblGrid>
        <w:gridCol w:w="1767"/>
        <w:gridCol w:w="1679"/>
        <w:gridCol w:w="1703"/>
        <w:gridCol w:w="1729"/>
        <w:gridCol w:w="1739"/>
      </w:tblGrid>
      <w:tr w:rsidR="008F34FF" w:rsidRPr="00D43A2F" w14:paraId="57503553" w14:textId="77777777" w:rsidTr="00CC7394">
        <w:trPr>
          <w:tblCellSpacing w:w="0" w:type="dxa"/>
        </w:trPr>
        <w:tc>
          <w:tcPr>
            <w:tcW w:w="1788" w:type="dxa"/>
          </w:tcPr>
          <w:p w14:paraId="534618CB" w14:textId="77777777" w:rsidR="008F34FF" w:rsidRPr="00D43A2F" w:rsidRDefault="008F34FF" w:rsidP="00CC7394">
            <w:pPr>
              <w:pStyle w:val="prastasiniatinklio"/>
              <w:spacing w:before="0" w:beforeAutospacing="0" w:after="0"/>
              <w:rPr>
                <w:lang w:val="lt-LT"/>
              </w:rPr>
            </w:pPr>
            <w:r w:rsidRPr="00D43A2F">
              <w:rPr>
                <w:sz w:val="22"/>
                <w:szCs w:val="22"/>
                <w:u w:val="single"/>
                <w:lang w:val="lt-LT"/>
              </w:rPr>
              <w:t>Schema B (2)</w:t>
            </w:r>
          </w:p>
        </w:tc>
        <w:tc>
          <w:tcPr>
            <w:tcW w:w="1710" w:type="dxa"/>
          </w:tcPr>
          <w:p w14:paraId="43321842" w14:textId="77777777" w:rsidR="008F34FF" w:rsidRPr="00D43A2F" w:rsidRDefault="008F34FF" w:rsidP="00CC7394">
            <w:pPr>
              <w:pStyle w:val="prastasiniatinklio"/>
              <w:spacing w:before="0" w:beforeAutospacing="0" w:after="0"/>
              <w:rPr>
                <w:lang w:val="lt-LT"/>
              </w:rPr>
            </w:pPr>
            <w:r w:rsidRPr="00D43A2F">
              <w:rPr>
                <w:sz w:val="22"/>
                <w:szCs w:val="22"/>
                <w:u w:val="single"/>
                <w:lang w:val="lt-LT"/>
              </w:rPr>
              <w:t>Dozė (mg)</w:t>
            </w:r>
          </w:p>
        </w:tc>
        <w:tc>
          <w:tcPr>
            <w:tcW w:w="1722" w:type="dxa"/>
          </w:tcPr>
          <w:p w14:paraId="73D9871F" w14:textId="77777777" w:rsidR="008F34FF" w:rsidRPr="00D43A2F" w:rsidRDefault="008F34FF" w:rsidP="00CC7394">
            <w:pPr>
              <w:pStyle w:val="prastasiniatinklio"/>
              <w:spacing w:before="0" w:beforeAutospacing="0" w:after="0"/>
              <w:rPr>
                <w:lang w:val="lt-LT"/>
              </w:rPr>
            </w:pPr>
            <w:r w:rsidRPr="00D43A2F">
              <w:rPr>
                <w:sz w:val="22"/>
                <w:szCs w:val="22"/>
                <w:u w:val="single"/>
                <w:lang w:val="lt-LT"/>
              </w:rPr>
              <w:t>Vartojimo būdas</w:t>
            </w:r>
          </w:p>
        </w:tc>
        <w:tc>
          <w:tcPr>
            <w:tcW w:w="1746" w:type="dxa"/>
          </w:tcPr>
          <w:p w14:paraId="7B21A6B8" w14:textId="77777777" w:rsidR="008F34FF" w:rsidRPr="00D43A2F" w:rsidRDefault="008F34FF" w:rsidP="00CC7394">
            <w:pPr>
              <w:pStyle w:val="prastasiniatinklio"/>
              <w:spacing w:before="0" w:beforeAutospacing="0" w:after="0"/>
              <w:rPr>
                <w:lang w:val="lt-LT"/>
              </w:rPr>
            </w:pPr>
            <w:r w:rsidRPr="00D43A2F">
              <w:rPr>
                <w:sz w:val="22"/>
                <w:szCs w:val="22"/>
                <w:u w:val="single"/>
                <w:lang w:val="lt-LT"/>
              </w:rPr>
              <w:t>Intervalas</w:t>
            </w:r>
          </w:p>
          <w:p w14:paraId="5505E7CA" w14:textId="77777777" w:rsidR="008F34FF" w:rsidRPr="00D43A2F" w:rsidRDefault="008F34FF" w:rsidP="00CC7394">
            <w:pPr>
              <w:pStyle w:val="prastasiniatinklio"/>
              <w:spacing w:before="0" w:beforeAutospacing="0" w:after="0"/>
              <w:rPr>
                <w:lang w:val="lt-LT"/>
              </w:rPr>
            </w:pPr>
            <w:r w:rsidRPr="00D43A2F">
              <w:rPr>
                <w:sz w:val="22"/>
                <w:szCs w:val="22"/>
                <w:lang w:val="lt-LT"/>
              </w:rPr>
              <w:t>valandomis</w:t>
            </w:r>
          </w:p>
        </w:tc>
        <w:tc>
          <w:tcPr>
            <w:tcW w:w="1765" w:type="dxa"/>
          </w:tcPr>
          <w:p w14:paraId="5E9A0F77" w14:textId="77777777" w:rsidR="008F34FF" w:rsidRPr="00D43A2F" w:rsidRDefault="008F34FF" w:rsidP="00CC7394">
            <w:pPr>
              <w:pStyle w:val="prastasiniatinklio"/>
              <w:spacing w:before="0" w:beforeAutospacing="0" w:after="0"/>
              <w:rPr>
                <w:lang w:val="lt-LT"/>
              </w:rPr>
            </w:pPr>
            <w:r w:rsidRPr="00D43A2F">
              <w:rPr>
                <w:sz w:val="22"/>
                <w:szCs w:val="22"/>
                <w:u w:val="single"/>
                <w:lang w:val="lt-LT"/>
              </w:rPr>
              <w:t>Trukmė</w:t>
            </w:r>
          </w:p>
        </w:tc>
      </w:tr>
      <w:tr w:rsidR="008F34FF" w:rsidRPr="00D43A2F" w14:paraId="6983E3B2" w14:textId="77777777" w:rsidTr="00CC7394">
        <w:trPr>
          <w:tblCellSpacing w:w="0" w:type="dxa"/>
        </w:trPr>
        <w:tc>
          <w:tcPr>
            <w:tcW w:w="1788" w:type="dxa"/>
          </w:tcPr>
          <w:p w14:paraId="3B1A9CFA" w14:textId="77777777" w:rsidR="008F34FF" w:rsidRPr="00D43A2F" w:rsidRDefault="008F34FF" w:rsidP="00CC7394">
            <w:pPr>
              <w:pStyle w:val="prastasiniatinklio"/>
              <w:spacing w:before="0" w:beforeAutospacing="0" w:after="0"/>
              <w:rPr>
                <w:lang w:val="lt-LT"/>
              </w:rPr>
            </w:pPr>
            <w:r w:rsidRPr="00D43A2F">
              <w:rPr>
                <w:sz w:val="22"/>
                <w:szCs w:val="22"/>
                <w:lang w:val="lt-LT"/>
              </w:rPr>
              <w:t>Prieš operaciją</w:t>
            </w:r>
          </w:p>
        </w:tc>
        <w:tc>
          <w:tcPr>
            <w:tcW w:w="1710" w:type="dxa"/>
          </w:tcPr>
          <w:p w14:paraId="0704E4E9" w14:textId="77777777" w:rsidR="008F34FF" w:rsidRPr="00D43A2F" w:rsidRDefault="008F34FF" w:rsidP="00CC7394">
            <w:pPr>
              <w:pStyle w:val="prastasiniatinklio"/>
              <w:spacing w:before="0" w:beforeAutospacing="0" w:after="0"/>
              <w:rPr>
                <w:lang w:val="lt-LT"/>
              </w:rPr>
            </w:pPr>
            <w:r w:rsidRPr="00D43A2F">
              <w:rPr>
                <w:sz w:val="22"/>
                <w:szCs w:val="22"/>
                <w:lang w:val="lt-LT"/>
              </w:rPr>
              <w:t>40</w:t>
            </w:r>
          </w:p>
        </w:tc>
        <w:tc>
          <w:tcPr>
            <w:tcW w:w="1722" w:type="dxa"/>
          </w:tcPr>
          <w:p w14:paraId="61CE7A10" w14:textId="77777777" w:rsidR="008F34FF" w:rsidRPr="00D43A2F" w:rsidRDefault="008F34FF" w:rsidP="00CC7394">
            <w:pPr>
              <w:pStyle w:val="prastasiniatinklio"/>
              <w:spacing w:before="0" w:beforeAutospacing="0" w:after="0"/>
              <w:rPr>
                <w:lang w:val="lt-LT"/>
              </w:rPr>
            </w:pPr>
            <w:r w:rsidRPr="00D43A2F">
              <w:rPr>
                <w:sz w:val="22"/>
                <w:szCs w:val="22"/>
                <w:lang w:val="lt-LT"/>
              </w:rPr>
              <w:t>i.m.</w:t>
            </w:r>
          </w:p>
        </w:tc>
        <w:tc>
          <w:tcPr>
            <w:tcW w:w="1746" w:type="dxa"/>
          </w:tcPr>
          <w:p w14:paraId="492D933A" w14:textId="77777777" w:rsidR="008F34FF" w:rsidRPr="00D43A2F" w:rsidRDefault="008F34FF" w:rsidP="00CC7394">
            <w:pPr>
              <w:pStyle w:val="prastasiniatinklio"/>
              <w:spacing w:before="0" w:beforeAutospacing="0" w:after="0"/>
              <w:rPr>
                <w:lang w:val="lt-LT"/>
              </w:rPr>
            </w:pPr>
            <w:r w:rsidRPr="00D43A2F">
              <w:rPr>
                <w:sz w:val="22"/>
                <w:szCs w:val="22"/>
                <w:lang w:val="lt-LT"/>
              </w:rPr>
              <w:t>6</w:t>
            </w:r>
          </w:p>
        </w:tc>
        <w:tc>
          <w:tcPr>
            <w:tcW w:w="1765" w:type="dxa"/>
          </w:tcPr>
          <w:p w14:paraId="7475E29F" w14:textId="77777777" w:rsidR="008F34FF" w:rsidRPr="00D43A2F" w:rsidRDefault="008F34FF" w:rsidP="00CC7394">
            <w:pPr>
              <w:pStyle w:val="prastasiniatinklio"/>
              <w:spacing w:before="0" w:beforeAutospacing="0" w:after="0"/>
              <w:rPr>
                <w:lang w:val="lt-LT"/>
              </w:rPr>
            </w:pPr>
            <w:r w:rsidRPr="00D43A2F">
              <w:rPr>
                <w:sz w:val="22"/>
                <w:szCs w:val="22"/>
                <w:lang w:val="lt-LT"/>
              </w:rPr>
              <w:t>2-3</w:t>
            </w:r>
          </w:p>
        </w:tc>
      </w:tr>
      <w:tr w:rsidR="008F34FF" w:rsidRPr="00D43A2F" w14:paraId="41590FE9" w14:textId="77777777" w:rsidTr="00CC7394">
        <w:trPr>
          <w:tblCellSpacing w:w="0" w:type="dxa"/>
        </w:trPr>
        <w:tc>
          <w:tcPr>
            <w:tcW w:w="1788" w:type="dxa"/>
          </w:tcPr>
          <w:p w14:paraId="03C32046" w14:textId="77777777" w:rsidR="008F34FF" w:rsidRPr="00D43A2F" w:rsidRDefault="008F34FF" w:rsidP="00CC7394">
            <w:pPr>
              <w:pStyle w:val="prastasiniatinklio"/>
              <w:spacing w:before="0" w:beforeAutospacing="0" w:after="0"/>
              <w:rPr>
                <w:lang w:val="lt-LT"/>
              </w:rPr>
            </w:pPr>
            <w:r w:rsidRPr="00D43A2F">
              <w:rPr>
                <w:sz w:val="22"/>
                <w:szCs w:val="22"/>
                <w:lang w:val="lt-LT"/>
              </w:rPr>
              <w:t>Po operacijos</w:t>
            </w:r>
          </w:p>
        </w:tc>
        <w:tc>
          <w:tcPr>
            <w:tcW w:w="1710" w:type="dxa"/>
          </w:tcPr>
          <w:p w14:paraId="6FB9D386" w14:textId="77777777" w:rsidR="008F34FF" w:rsidRPr="00D43A2F" w:rsidRDefault="008F34FF" w:rsidP="00CC7394">
            <w:pPr>
              <w:pStyle w:val="prastasiniatinklio"/>
              <w:spacing w:before="0" w:beforeAutospacing="0" w:after="0"/>
              <w:rPr>
                <w:lang w:val="lt-LT"/>
              </w:rPr>
            </w:pPr>
            <w:r w:rsidRPr="00D43A2F">
              <w:rPr>
                <w:sz w:val="22"/>
                <w:szCs w:val="22"/>
                <w:lang w:val="lt-LT"/>
              </w:rPr>
              <w:t>40</w:t>
            </w:r>
          </w:p>
        </w:tc>
        <w:tc>
          <w:tcPr>
            <w:tcW w:w="1722" w:type="dxa"/>
          </w:tcPr>
          <w:p w14:paraId="46F4C16D" w14:textId="77777777" w:rsidR="008F34FF" w:rsidRPr="00D43A2F" w:rsidRDefault="008F34FF" w:rsidP="00CC7394">
            <w:pPr>
              <w:pStyle w:val="prastasiniatinklio"/>
              <w:spacing w:before="0" w:beforeAutospacing="0" w:after="0"/>
              <w:rPr>
                <w:lang w:val="lt-LT"/>
              </w:rPr>
            </w:pPr>
            <w:r w:rsidRPr="00D43A2F">
              <w:rPr>
                <w:sz w:val="22"/>
                <w:szCs w:val="22"/>
                <w:lang w:val="lt-LT"/>
              </w:rPr>
              <w:t>i.m.</w:t>
            </w:r>
          </w:p>
        </w:tc>
        <w:tc>
          <w:tcPr>
            <w:tcW w:w="1746" w:type="dxa"/>
          </w:tcPr>
          <w:p w14:paraId="36AD5547" w14:textId="77777777" w:rsidR="008F34FF" w:rsidRPr="00D43A2F" w:rsidRDefault="008F34FF" w:rsidP="00CC7394">
            <w:pPr>
              <w:pStyle w:val="prastasiniatinklio"/>
              <w:spacing w:before="0" w:beforeAutospacing="0" w:after="0"/>
              <w:rPr>
                <w:lang w:val="lt-LT"/>
              </w:rPr>
            </w:pPr>
            <w:r w:rsidRPr="00D43A2F">
              <w:rPr>
                <w:sz w:val="22"/>
                <w:szCs w:val="22"/>
                <w:lang w:val="lt-LT"/>
              </w:rPr>
              <w:t>6</w:t>
            </w:r>
          </w:p>
        </w:tc>
        <w:tc>
          <w:tcPr>
            <w:tcW w:w="1765" w:type="dxa"/>
          </w:tcPr>
          <w:p w14:paraId="32AD671A" w14:textId="77777777" w:rsidR="008F34FF" w:rsidRPr="00D43A2F" w:rsidRDefault="008F34FF" w:rsidP="00CC7394">
            <w:pPr>
              <w:pStyle w:val="prastasiniatinklio"/>
              <w:spacing w:before="0" w:beforeAutospacing="0" w:after="0"/>
              <w:rPr>
                <w:lang w:val="lt-LT"/>
              </w:rPr>
            </w:pPr>
            <w:r w:rsidRPr="00D43A2F">
              <w:rPr>
                <w:sz w:val="22"/>
                <w:szCs w:val="22"/>
                <w:lang w:val="lt-LT"/>
              </w:rPr>
              <w:t>3-5</w:t>
            </w:r>
          </w:p>
        </w:tc>
      </w:tr>
      <w:tr w:rsidR="008F34FF" w:rsidRPr="00A30B60" w14:paraId="5DB1B1C5" w14:textId="77777777" w:rsidTr="00CC7394">
        <w:trPr>
          <w:tblCellSpacing w:w="0" w:type="dxa"/>
        </w:trPr>
        <w:tc>
          <w:tcPr>
            <w:tcW w:w="1788" w:type="dxa"/>
          </w:tcPr>
          <w:p w14:paraId="10C431B8" w14:textId="77777777" w:rsidR="008F34FF" w:rsidRPr="00D43A2F" w:rsidRDefault="008F34FF" w:rsidP="00CC7394">
            <w:pPr>
              <w:pStyle w:val="prastasiniatinklio"/>
              <w:spacing w:before="0" w:beforeAutospacing="0" w:after="0"/>
              <w:rPr>
                <w:lang w:val="lt-LT"/>
              </w:rPr>
            </w:pPr>
            <w:r w:rsidRPr="00D43A2F">
              <w:rPr>
                <w:sz w:val="22"/>
                <w:szCs w:val="22"/>
                <w:lang w:val="lt-LT"/>
              </w:rPr>
              <w:t> </w:t>
            </w:r>
          </w:p>
          <w:p w14:paraId="51B40BAD" w14:textId="77777777" w:rsidR="008F34FF" w:rsidRPr="00D43A2F" w:rsidRDefault="008F34FF" w:rsidP="00CC7394">
            <w:pPr>
              <w:pStyle w:val="prastasiniatinklio"/>
              <w:spacing w:before="0" w:beforeAutospacing="0" w:after="0"/>
              <w:rPr>
                <w:lang w:val="lt-LT"/>
              </w:rPr>
            </w:pPr>
            <w:r w:rsidRPr="00D43A2F">
              <w:rPr>
                <w:sz w:val="22"/>
                <w:szCs w:val="22"/>
                <w:lang w:val="lt-LT"/>
              </w:rPr>
              <w:t> </w:t>
            </w:r>
          </w:p>
        </w:tc>
        <w:tc>
          <w:tcPr>
            <w:tcW w:w="1710" w:type="dxa"/>
          </w:tcPr>
          <w:p w14:paraId="0330CFA8" w14:textId="77777777" w:rsidR="008F34FF" w:rsidRPr="00A30B60" w:rsidRDefault="008F34FF" w:rsidP="00CC7394">
            <w:pPr>
              <w:pStyle w:val="prastasiniatinklio"/>
              <w:spacing w:before="0" w:beforeAutospacing="0" w:after="0"/>
              <w:rPr>
                <w:lang w:val="lt-LT"/>
              </w:rPr>
            </w:pPr>
            <w:r w:rsidRPr="00A30B60">
              <w:rPr>
                <w:sz w:val="22"/>
                <w:szCs w:val="22"/>
                <w:lang w:val="lt-LT"/>
              </w:rPr>
              <w:t>20</w:t>
            </w:r>
          </w:p>
        </w:tc>
        <w:tc>
          <w:tcPr>
            <w:tcW w:w="1722" w:type="dxa"/>
          </w:tcPr>
          <w:p w14:paraId="029B116A" w14:textId="77777777" w:rsidR="008F34FF" w:rsidRPr="00A30B60" w:rsidRDefault="008F34FF" w:rsidP="00CC7394">
            <w:pPr>
              <w:pStyle w:val="prastasiniatinklio"/>
              <w:spacing w:before="0" w:beforeAutospacing="0" w:after="0"/>
              <w:rPr>
                <w:lang w:val="lt-LT"/>
              </w:rPr>
            </w:pPr>
            <w:r w:rsidRPr="00A30B60">
              <w:rPr>
                <w:sz w:val="22"/>
                <w:szCs w:val="22"/>
                <w:lang w:val="lt-LT"/>
              </w:rPr>
              <w:t>Vartoti per burną</w:t>
            </w:r>
          </w:p>
        </w:tc>
        <w:tc>
          <w:tcPr>
            <w:tcW w:w="1746" w:type="dxa"/>
          </w:tcPr>
          <w:p w14:paraId="11F7B786" w14:textId="77777777" w:rsidR="008F34FF" w:rsidRPr="00A30B60" w:rsidRDefault="008F34FF" w:rsidP="00CC7394">
            <w:pPr>
              <w:pStyle w:val="prastasiniatinklio"/>
              <w:spacing w:before="0" w:beforeAutospacing="0" w:after="0"/>
              <w:rPr>
                <w:lang w:val="lt-LT"/>
              </w:rPr>
            </w:pPr>
            <w:r w:rsidRPr="00A30B60">
              <w:rPr>
                <w:sz w:val="22"/>
                <w:szCs w:val="22"/>
                <w:lang w:val="lt-LT"/>
              </w:rPr>
              <w:t>6</w:t>
            </w:r>
          </w:p>
        </w:tc>
        <w:tc>
          <w:tcPr>
            <w:tcW w:w="1765" w:type="dxa"/>
          </w:tcPr>
          <w:p w14:paraId="67485A00" w14:textId="77777777" w:rsidR="008F34FF" w:rsidRPr="00A30B60" w:rsidRDefault="008F34FF" w:rsidP="00CC7394">
            <w:pPr>
              <w:pStyle w:val="prastasiniatinklio"/>
              <w:spacing w:before="0" w:beforeAutospacing="0" w:after="0"/>
              <w:rPr>
                <w:lang w:val="lt-LT"/>
              </w:rPr>
            </w:pPr>
            <w:r w:rsidRPr="00A30B60">
              <w:rPr>
                <w:sz w:val="22"/>
                <w:szCs w:val="22"/>
                <w:lang w:val="lt-LT"/>
              </w:rPr>
              <w:t>1</w:t>
            </w:r>
          </w:p>
        </w:tc>
      </w:tr>
      <w:tr w:rsidR="008F34FF" w:rsidRPr="00A30B60" w14:paraId="5F228553" w14:textId="77777777" w:rsidTr="00CC7394">
        <w:trPr>
          <w:tblCellSpacing w:w="0" w:type="dxa"/>
        </w:trPr>
        <w:tc>
          <w:tcPr>
            <w:tcW w:w="1788" w:type="dxa"/>
          </w:tcPr>
          <w:p w14:paraId="04FDBF4B" w14:textId="77777777" w:rsidR="008F34FF" w:rsidRPr="00A30B60" w:rsidRDefault="008F34FF" w:rsidP="00CC7394">
            <w:pPr>
              <w:pStyle w:val="prastasiniatinklio"/>
              <w:spacing w:before="0" w:beforeAutospacing="0" w:after="0"/>
              <w:rPr>
                <w:lang w:val="lt-LT"/>
              </w:rPr>
            </w:pPr>
            <w:r w:rsidRPr="00A30B60">
              <w:rPr>
                <w:sz w:val="22"/>
                <w:szCs w:val="22"/>
                <w:lang w:val="lt-LT"/>
              </w:rPr>
              <w:t> </w:t>
            </w:r>
          </w:p>
          <w:p w14:paraId="15A042DE" w14:textId="77777777" w:rsidR="008F34FF" w:rsidRPr="00A30B60" w:rsidRDefault="008F34FF" w:rsidP="00CC7394">
            <w:pPr>
              <w:pStyle w:val="prastasiniatinklio"/>
              <w:spacing w:before="0" w:beforeAutospacing="0" w:after="0"/>
              <w:rPr>
                <w:lang w:val="lt-LT"/>
              </w:rPr>
            </w:pPr>
            <w:r w:rsidRPr="00A30B60">
              <w:rPr>
                <w:sz w:val="22"/>
                <w:szCs w:val="22"/>
                <w:lang w:val="lt-LT"/>
              </w:rPr>
              <w:t> </w:t>
            </w:r>
          </w:p>
        </w:tc>
        <w:tc>
          <w:tcPr>
            <w:tcW w:w="1710" w:type="dxa"/>
          </w:tcPr>
          <w:p w14:paraId="4031EEFA" w14:textId="77777777" w:rsidR="008F34FF" w:rsidRPr="00A30B60" w:rsidRDefault="008F34FF" w:rsidP="00CC7394">
            <w:pPr>
              <w:pStyle w:val="prastasiniatinklio"/>
              <w:spacing w:before="0" w:beforeAutospacing="0" w:after="0"/>
              <w:rPr>
                <w:lang w:val="lt-LT"/>
              </w:rPr>
            </w:pPr>
            <w:r w:rsidRPr="00A30B60">
              <w:rPr>
                <w:sz w:val="22"/>
                <w:szCs w:val="22"/>
                <w:lang w:val="lt-LT"/>
              </w:rPr>
              <w:t>12</w:t>
            </w:r>
          </w:p>
        </w:tc>
        <w:tc>
          <w:tcPr>
            <w:tcW w:w="1722" w:type="dxa"/>
          </w:tcPr>
          <w:p w14:paraId="56A9CCBA" w14:textId="77777777" w:rsidR="008F34FF" w:rsidRPr="00A30B60" w:rsidRDefault="008F34FF" w:rsidP="00CC7394">
            <w:pPr>
              <w:pStyle w:val="prastasiniatinklio"/>
              <w:spacing w:before="0" w:beforeAutospacing="0" w:after="0"/>
              <w:rPr>
                <w:lang w:val="lt-LT"/>
              </w:rPr>
            </w:pPr>
            <w:r w:rsidRPr="00A30B60">
              <w:rPr>
                <w:sz w:val="22"/>
                <w:szCs w:val="22"/>
                <w:lang w:val="lt-LT"/>
              </w:rPr>
              <w:t>Vartoti per burną</w:t>
            </w:r>
          </w:p>
        </w:tc>
        <w:tc>
          <w:tcPr>
            <w:tcW w:w="1746" w:type="dxa"/>
          </w:tcPr>
          <w:p w14:paraId="4B1FE897" w14:textId="77777777" w:rsidR="008F34FF" w:rsidRPr="00A30B60" w:rsidRDefault="008F34FF" w:rsidP="00CC7394">
            <w:pPr>
              <w:pStyle w:val="prastasiniatinklio"/>
              <w:spacing w:before="0" w:beforeAutospacing="0" w:after="0"/>
              <w:rPr>
                <w:lang w:val="lt-LT"/>
              </w:rPr>
            </w:pPr>
            <w:r w:rsidRPr="00A30B60">
              <w:rPr>
                <w:sz w:val="22"/>
                <w:szCs w:val="22"/>
                <w:lang w:val="lt-LT"/>
              </w:rPr>
              <w:t>6</w:t>
            </w:r>
          </w:p>
        </w:tc>
        <w:tc>
          <w:tcPr>
            <w:tcW w:w="1765" w:type="dxa"/>
          </w:tcPr>
          <w:p w14:paraId="222ACDB6" w14:textId="77777777" w:rsidR="008F34FF" w:rsidRPr="00A30B60" w:rsidRDefault="008F34FF" w:rsidP="00CC7394">
            <w:pPr>
              <w:pStyle w:val="prastasiniatinklio"/>
              <w:spacing w:before="0" w:beforeAutospacing="0" w:after="0"/>
              <w:rPr>
                <w:lang w:val="lt-LT"/>
              </w:rPr>
            </w:pPr>
            <w:r w:rsidRPr="00A30B60">
              <w:rPr>
                <w:sz w:val="22"/>
                <w:szCs w:val="22"/>
                <w:lang w:val="lt-LT"/>
              </w:rPr>
              <w:t>1</w:t>
            </w:r>
          </w:p>
        </w:tc>
      </w:tr>
      <w:tr w:rsidR="008F34FF" w:rsidRPr="00A30B60" w14:paraId="3A6F5ABA" w14:textId="77777777" w:rsidTr="00CC7394">
        <w:trPr>
          <w:tblCellSpacing w:w="0" w:type="dxa"/>
        </w:trPr>
        <w:tc>
          <w:tcPr>
            <w:tcW w:w="1788" w:type="dxa"/>
          </w:tcPr>
          <w:p w14:paraId="4A61A28F" w14:textId="77777777" w:rsidR="008F34FF" w:rsidRPr="00A30B60" w:rsidRDefault="008F34FF" w:rsidP="00CC7394">
            <w:pPr>
              <w:pStyle w:val="prastasiniatinklio"/>
              <w:spacing w:before="0" w:beforeAutospacing="0" w:after="0"/>
              <w:rPr>
                <w:lang w:val="lt-LT"/>
              </w:rPr>
            </w:pPr>
            <w:r w:rsidRPr="00A30B60">
              <w:rPr>
                <w:sz w:val="22"/>
                <w:szCs w:val="22"/>
                <w:lang w:val="lt-LT"/>
              </w:rPr>
              <w:t> </w:t>
            </w:r>
          </w:p>
          <w:p w14:paraId="1EA626E3" w14:textId="77777777" w:rsidR="008F34FF" w:rsidRPr="00A30B60" w:rsidRDefault="008F34FF" w:rsidP="00CC7394">
            <w:pPr>
              <w:pStyle w:val="prastasiniatinklio"/>
              <w:spacing w:before="0" w:beforeAutospacing="0" w:after="0"/>
              <w:rPr>
                <w:lang w:val="lt-LT"/>
              </w:rPr>
            </w:pPr>
            <w:r w:rsidRPr="00A30B60">
              <w:rPr>
                <w:sz w:val="22"/>
                <w:szCs w:val="22"/>
                <w:lang w:val="lt-LT"/>
              </w:rPr>
              <w:t> </w:t>
            </w:r>
          </w:p>
        </w:tc>
        <w:tc>
          <w:tcPr>
            <w:tcW w:w="1710" w:type="dxa"/>
          </w:tcPr>
          <w:p w14:paraId="672E8B42" w14:textId="77777777" w:rsidR="008F34FF" w:rsidRPr="00A30B60" w:rsidRDefault="008F34FF" w:rsidP="00CC7394">
            <w:pPr>
              <w:pStyle w:val="prastasiniatinklio"/>
              <w:spacing w:before="0" w:beforeAutospacing="0" w:after="0"/>
              <w:rPr>
                <w:lang w:val="lt-LT"/>
              </w:rPr>
            </w:pPr>
            <w:r w:rsidRPr="00A30B60">
              <w:rPr>
                <w:sz w:val="22"/>
                <w:szCs w:val="22"/>
                <w:lang w:val="lt-LT"/>
              </w:rPr>
              <w:t>8</w:t>
            </w:r>
          </w:p>
        </w:tc>
        <w:tc>
          <w:tcPr>
            <w:tcW w:w="1722" w:type="dxa"/>
          </w:tcPr>
          <w:p w14:paraId="7FA15709" w14:textId="77777777" w:rsidR="008F34FF" w:rsidRPr="00A30B60" w:rsidRDefault="008F34FF" w:rsidP="00CC7394">
            <w:pPr>
              <w:pStyle w:val="prastasiniatinklio"/>
              <w:spacing w:before="0" w:beforeAutospacing="0" w:after="0"/>
              <w:rPr>
                <w:lang w:val="lt-LT"/>
              </w:rPr>
            </w:pPr>
            <w:r w:rsidRPr="00A30B60">
              <w:rPr>
                <w:sz w:val="22"/>
                <w:szCs w:val="22"/>
                <w:lang w:val="lt-LT"/>
              </w:rPr>
              <w:t>Vartoti per burną</w:t>
            </w:r>
          </w:p>
        </w:tc>
        <w:tc>
          <w:tcPr>
            <w:tcW w:w="1746" w:type="dxa"/>
          </w:tcPr>
          <w:p w14:paraId="6B950255" w14:textId="77777777" w:rsidR="008F34FF" w:rsidRPr="00A30B60" w:rsidRDefault="008F34FF" w:rsidP="00CC7394">
            <w:pPr>
              <w:pStyle w:val="prastasiniatinklio"/>
              <w:spacing w:before="0" w:beforeAutospacing="0" w:after="0"/>
              <w:rPr>
                <w:lang w:val="lt-LT"/>
              </w:rPr>
            </w:pPr>
            <w:r w:rsidRPr="00A30B60">
              <w:rPr>
                <w:sz w:val="22"/>
                <w:szCs w:val="22"/>
                <w:lang w:val="lt-LT"/>
              </w:rPr>
              <w:t>8</w:t>
            </w:r>
          </w:p>
        </w:tc>
        <w:tc>
          <w:tcPr>
            <w:tcW w:w="1765" w:type="dxa"/>
          </w:tcPr>
          <w:p w14:paraId="4E875FB4" w14:textId="77777777" w:rsidR="008F34FF" w:rsidRPr="00A30B60" w:rsidRDefault="008F34FF" w:rsidP="00CC7394">
            <w:pPr>
              <w:pStyle w:val="prastasiniatinklio"/>
              <w:spacing w:before="0" w:beforeAutospacing="0" w:after="0"/>
              <w:rPr>
                <w:lang w:val="lt-LT"/>
              </w:rPr>
            </w:pPr>
            <w:r w:rsidRPr="00A30B60">
              <w:rPr>
                <w:sz w:val="22"/>
                <w:szCs w:val="22"/>
                <w:lang w:val="lt-LT"/>
              </w:rPr>
              <w:t>1</w:t>
            </w:r>
          </w:p>
        </w:tc>
      </w:tr>
      <w:tr w:rsidR="008F34FF" w:rsidRPr="00A30B60" w14:paraId="28DAFCA2" w14:textId="77777777" w:rsidTr="00CC7394">
        <w:trPr>
          <w:tblCellSpacing w:w="0" w:type="dxa"/>
        </w:trPr>
        <w:tc>
          <w:tcPr>
            <w:tcW w:w="1788" w:type="dxa"/>
          </w:tcPr>
          <w:p w14:paraId="5CF85F58" w14:textId="77777777" w:rsidR="008F34FF" w:rsidRPr="00A30B60" w:rsidRDefault="008F34FF" w:rsidP="00CC7394">
            <w:pPr>
              <w:pStyle w:val="prastasiniatinklio"/>
              <w:spacing w:before="0" w:beforeAutospacing="0" w:after="0"/>
              <w:rPr>
                <w:lang w:val="lt-LT"/>
              </w:rPr>
            </w:pPr>
            <w:r w:rsidRPr="00A30B60">
              <w:rPr>
                <w:sz w:val="22"/>
                <w:szCs w:val="22"/>
                <w:lang w:val="lt-LT"/>
              </w:rPr>
              <w:lastRenderedPageBreak/>
              <w:t> </w:t>
            </w:r>
          </w:p>
          <w:p w14:paraId="3F6EA1A3" w14:textId="77777777" w:rsidR="008F34FF" w:rsidRPr="00A30B60" w:rsidRDefault="008F34FF" w:rsidP="00CC7394">
            <w:pPr>
              <w:pStyle w:val="prastasiniatinklio"/>
              <w:spacing w:before="0" w:beforeAutospacing="0" w:after="0"/>
              <w:rPr>
                <w:lang w:val="lt-LT"/>
              </w:rPr>
            </w:pPr>
            <w:r w:rsidRPr="00A30B60">
              <w:rPr>
                <w:sz w:val="22"/>
                <w:szCs w:val="22"/>
                <w:lang w:val="lt-LT"/>
              </w:rPr>
              <w:t> </w:t>
            </w:r>
          </w:p>
        </w:tc>
        <w:tc>
          <w:tcPr>
            <w:tcW w:w="1710" w:type="dxa"/>
          </w:tcPr>
          <w:p w14:paraId="123BCEEC" w14:textId="77777777" w:rsidR="008F34FF" w:rsidRPr="00A30B60" w:rsidRDefault="008F34FF" w:rsidP="00CC7394">
            <w:pPr>
              <w:pStyle w:val="prastasiniatinklio"/>
              <w:spacing w:before="0" w:beforeAutospacing="0" w:after="0"/>
              <w:rPr>
                <w:lang w:val="lt-LT"/>
              </w:rPr>
            </w:pPr>
            <w:r w:rsidRPr="00A30B60">
              <w:rPr>
                <w:sz w:val="22"/>
                <w:szCs w:val="22"/>
                <w:lang w:val="lt-LT"/>
              </w:rPr>
              <w:t>4</w:t>
            </w:r>
          </w:p>
        </w:tc>
        <w:tc>
          <w:tcPr>
            <w:tcW w:w="1722" w:type="dxa"/>
          </w:tcPr>
          <w:p w14:paraId="1B7DEC02" w14:textId="77777777" w:rsidR="008F34FF" w:rsidRPr="00A30B60" w:rsidRDefault="008F34FF" w:rsidP="00CC7394">
            <w:pPr>
              <w:pStyle w:val="prastasiniatinklio"/>
              <w:spacing w:before="0" w:beforeAutospacing="0" w:after="0"/>
              <w:rPr>
                <w:lang w:val="lt-LT"/>
              </w:rPr>
            </w:pPr>
            <w:r w:rsidRPr="00A30B60">
              <w:rPr>
                <w:sz w:val="22"/>
                <w:szCs w:val="22"/>
                <w:lang w:val="lt-LT"/>
              </w:rPr>
              <w:t>Vartoti per burną</w:t>
            </w:r>
          </w:p>
        </w:tc>
        <w:tc>
          <w:tcPr>
            <w:tcW w:w="1746" w:type="dxa"/>
          </w:tcPr>
          <w:p w14:paraId="48D3CC03" w14:textId="77777777" w:rsidR="008F34FF" w:rsidRPr="00A30B60" w:rsidRDefault="008F34FF" w:rsidP="00CC7394">
            <w:pPr>
              <w:pStyle w:val="prastasiniatinklio"/>
              <w:spacing w:before="0" w:beforeAutospacing="0" w:after="0"/>
              <w:rPr>
                <w:lang w:val="lt-LT"/>
              </w:rPr>
            </w:pPr>
            <w:r w:rsidRPr="00A30B60">
              <w:rPr>
                <w:sz w:val="22"/>
                <w:szCs w:val="22"/>
                <w:lang w:val="lt-LT"/>
              </w:rPr>
              <w:t>12</w:t>
            </w:r>
          </w:p>
        </w:tc>
        <w:tc>
          <w:tcPr>
            <w:tcW w:w="1765" w:type="dxa"/>
          </w:tcPr>
          <w:p w14:paraId="00466D47" w14:textId="77777777" w:rsidR="008F34FF" w:rsidRPr="00A30B60" w:rsidRDefault="008F34FF" w:rsidP="00CC7394">
            <w:pPr>
              <w:pStyle w:val="prastasiniatinklio"/>
              <w:spacing w:before="0" w:beforeAutospacing="0" w:after="0"/>
              <w:rPr>
                <w:lang w:val="lt-LT"/>
              </w:rPr>
            </w:pPr>
            <w:r w:rsidRPr="00A30B60">
              <w:rPr>
                <w:sz w:val="22"/>
                <w:szCs w:val="22"/>
                <w:lang w:val="lt-LT"/>
              </w:rPr>
              <w:t>1</w:t>
            </w:r>
          </w:p>
        </w:tc>
      </w:tr>
      <w:tr w:rsidR="008F34FF" w:rsidRPr="00D43A2F" w14:paraId="51AFD7EE" w14:textId="77777777" w:rsidTr="00CC7394">
        <w:trPr>
          <w:tblCellSpacing w:w="0" w:type="dxa"/>
        </w:trPr>
        <w:tc>
          <w:tcPr>
            <w:tcW w:w="1788" w:type="dxa"/>
          </w:tcPr>
          <w:p w14:paraId="741AA366" w14:textId="77777777" w:rsidR="008F34FF" w:rsidRPr="00A30B60" w:rsidRDefault="008F34FF" w:rsidP="00CC7394">
            <w:pPr>
              <w:pStyle w:val="prastasiniatinklio"/>
              <w:spacing w:before="0" w:beforeAutospacing="0" w:after="0"/>
              <w:rPr>
                <w:lang w:val="lt-LT"/>
              </w:rPr>
            </w:pPr>
            <w:r w:rsidRPr="00A30B60">
              <w:rPr>
                <w:sz w:val="22"/>
                <w:szCs w:val="22"/>
                <w:lang w:val="lt-LT"/>
              </w:rPr>
              <w:t> </w:t>
            </w:r>
          </w:p>
          <w:p w14:paraId="3CFB7265" w14:textId="77777777" w:rsidR="008F34FF" w:rsidRPr="00A30B60" w:rsidRDefault="008F34FF" w:rsidP="00CC7394">
            <w:pPr>
              <w:pStyle w:val="prastasiniatinklio"/>
              <w:spacing w:before="0" w:beforeAutospacing="0" w:after="0"/>
              <w:rPr>
                <w:lang w:val="lt-LT"/>
              </w:rPr>
            </w:pPr>
            <w:r w:rsidRPr="00A30B60">
              <w:rPr>
                <w:sz w:val="22"/>
                <w:szCs w:val="22"/>
                <w:lang w:val="lt-LT"/>
              </w:rPr>
              <w:t> </w:t>
            </w:r>
          </w:p>
        </w:tc>
        <w:tc>
          <w:tcPr>
            <w:tcW w:w="1710" w:type="dxa"/>
          </w:tcPr>
          <w:p w14:paraId="15606DBA" w14:textId="77777777" w:rsidR="008F34FF" w:rsidRPr="00A30B60" w:rsidRDefault="008F34FF" w:rsidP="00CC7394">
            <w:pPr>
              <w:pStyle w:val="prastasiniatinklio"/>
              <w:spacing w:before="0" w:beforeAutospacing="0" w:after="0"/>
              <w:rPr>
                <w:lang w:val="lt-LT"/>
              </w:rPr>
            </w:pPr>
            <w:r w:rsidRPr="00A30B60">
              <w:rPr>
                <w:sz w:val="22"/>
                <w:szCs w:val="22"/>
                <w:lang w:val="lt-LT"/>
              </w:rPr>
              <w:t>4</w:t>
            </w:r>
          </w:p>
        </w:tc>
        <w:tc>
          <w:tcPr>
            <w:tcW w:w="1722" w:type="dxa"/>
          </w:tcPr>
          <w:p w14:paraId="2F5E34AA" w14:textId="77777777" w:rsidR="008F34FF" w:rsidRPr="00A30B60" w:rsidRDefault="008F34FF" w:rsidP="00CC7394">
            <w:pPr>
              <w:pStyle w:val="prastasiniatinklio"/>
              <w:spacing w:before="0" w:beforeAutospacing="0" w:after="0"/>
              <w:rPr>
                <w:lang w:val="lt-LT"/>
              </w:rPr>
            </w:pPr>
            <w:r w:rsidRPr="00A30B60">
              <w:rPr>
                <w:sz w:val="22"/>
                <w:szCs w:val="22"/>
                <w:lang w:val="lt-LT"/>
              </w:rPr>
              <w:t>Vartoti per burną</w:t>
            </w:r>
          </w:p>
        </w:tc>
        <w:tc>
          <w:tcPr>
            <w:tcW w:w="1746" w:type="dxa"/>
          </w:tcPr>
          <w:p w14:paraId="4C172B29" w14:textId="77777777" w:rsidR="008F34FF" w:rsidRPr="00A30B60" w:rsidRDefault="008F34FF" w:rsidP="00CC7394">
            <w:pPr>
              <w:pStyle w:val="prastasiniatinklio"/>
              <w:spacing w:before="0" w:beforeAutospacing="0" w:after="0"/>
              <w:rPr>
                <w:lang w:val="lt-LT"/>
              </w:rPr>
            </w:pPr>
            <w:r w:rsidRPr="00A30B60">
              <w:rPr>
                <w:sz w:val="22"/>
                <w:szCs w:val="22"/>
                <w:lang w:val="lt-LT"/>
              </w:rPr>
              <w:t> </w:t>
            </w:r>
          </w:p>
          <w:p w14:paraId="2FDF8FB9" w14:textId="77777777" w:rsidR="008F34FF" w:rsidRPr="00A30B60" w:rsidRDefault="008F34FF" w:rsidP="00CC7394">
            <w:pPr>
              <w:pStyle w:val="prastasiniatinklio"/>
              <w:spacing w:before="0" w:beforeAutospacing="0" w:after="0"/>
              <w:rPr>
                <w:sz w:val="22"/>
                <w:szCs w:val="22"/>
                <w:lang w:val="lt-LT"/>
              </w:rPr>
            </w:pPr>
            <w:r w:rsidRPr="00A30B60">
              <w:rPr>
                <w:sz w:val="22"/>
                <w:szCs w:val="22"/>
                <w:lang w:val="lt-LT"/>
              </w:rPr>
              <w:t> </w:t>
            </w:r>
          </w:p>
        </w:tc>
        <w:tc>
          <w:tcPr>
            <w:tcW w:w="1765" w:type="dxa"/>
          </w:tcPr>
          <w:p w14:paraId="2E997F27" w14:textId="77777777" w:rsidR="008F34FF" w:rsidRPr="00A30B60" w:rsidRDefault="008F34FF" w:rsidP="00CC7394">
            <w:pPr>
              <w:pStyle w:val="prastasiniatinklio"/>
              <w:spacing w:before="0" w:beforeAutospacing="0" w:after="0"/>
              <w:rPr>
                <w:lang w:val="lt-LT"/>
              </w:rPr>
            </w:pPr>
            <w:r w:rsidRPr="00A30B60">
              <w:rPr>
                <w:sz w:val="22"/>
                <w:szCs w:val="22"/>
                <w:lang w:val="lt-LT"/>
              </w:rPr>
              <w:t>1</w:t>
            </w:r>
          </w:p>
        </w:tc>
      </w:tr>
    </w:tbl>
    <w:p w14:paraId="61FB9A5A" w14:textId="77777777" w:rsidR="008F34FF" w:rsidRPr="00D43A2F" w:rsidRDefault="008F34FF" w:rsidP="008F34FF">
      <w:pPr>
        <w:pStyle w:val="prastasiniatinklio"/>
        <w:spacing w:before="0" w:beforeAutospacing="0" w:after="0"/>
        <w:rPr>
          <w:sz w:val="22"/>
          <w:szCs w:val="22"/>
          <w:lang w:val="lt-LT"/>
        </w:rPr>
      </w:pPr>
      <w:r w:rsidRPr="00D43A2F">
        <w:rPr>
          <w:sz w:val="22"/>
          <w:szCs w:val="22"/>
          <w:lang w:val="lt-LT"/>
        </w:rPr>
        <w:t>Gydymą siekiama nutraukti po 10 dienų.</w:t>
      </w:r>
    </w:p>
    <w:p w14:paraId="0C5D672F" w14:textId="77777777" w:rsidR="008F34FF" w:rsidRPr="00D43A2F" w:rsidRDefault="008F34FF" w:rsidP="008F34FF">
      <w:pPr>
        <w:pStyle w:val="Pagrindinistekstas2"/>
        <w:spacing w:after="0" w:line="240" w:lineRule="auto"/>
        <w:rPr>
          <w:szCs w:val="22"/>
        </w:rPr>
      </w:pPr>
      <w:r w:rsidRPr="00D43A2F">
        <w:rPr>
          <w:szCs w:val="22"/>
        </w:rPr>
        <w:t>Vidutiniu ar sunkiu opiniu kolitu sergantiems pacientams metilprednizolono skiriama po 20 – 40 mg ilgomis infuzijomis 3 – 7 kartus per savaitę. Gydymo trukmė – dvi savaitės arba ilgiau, vėliau dozė mažinama šalutinių poveikių raidai silpninti. Kaip ir kiti gliukokortikoidai, metilprednizolonas netinka ligos remisijai palaikyti.</w:t>
      </w:r>
    </w:p>
    <w:p w14:paraId="764C2C8B" w14:textId="77777777" w:rsidR="008F34FF" w:rsidRPr="00D43A2F" w:rsidRDefault="008F34FF" w:rsidP="008F34FF">
      <w:pPr>
        <w:pStyle w:val="Pagrindinistekstas2"/>
        <w:spacing w:after="0" w:line="240" w:lineRule="auto"/>
        <w:rPr>
          <w:szCs w:val="22"/>
        </w:rPr>
      </w:pPr>
    </w:p>
    <w:p w14:paraId="6355D2B8" w14:textId="77777777" w:rsidR="008F34FF" w:rsidRPr="00D43A2F" w:rsidRDefault="008F34FF" w:rsidP="008F34FF">
      <w:pPr>
        <w:pStyle w:val="Pagrindinistekstas2"/>
        <w:spacing w:after="0" w:line="240" w:lineRule="auto"/>
        <w:rPr>
          <w:szCs w:val="22"/>
        </w:rPr>
      </w:pPr>
      <w:r w:rsidRPr="00D43A2F">
        <w:rPr>
          <w:szCs w:val="22"/>
        </w:rPr>
        <w:t>Sisteminėms uždegiminėms ligoms gydyti rekomenduojama metilprednizolono</w:t>
      </w:r>
      <w:r>
        <w:rPr>
          <w:szCs w:val="22"/>
        </w:rPr>
        <w:t xml:space="preserve"> </w:t>
      </w:r>
      <w:r w:rsidRPr="00D43A2F">
        <w:rPr>
          <w:szCs w:val="22"/>
        </w:rPr>
        <w:t>infuzuoti į veną po 1 g kas 24 valandas 1 – 4 paras arba 1 g per mėnesį, vartojant 6 mėnesius.</w:t>
      </w:r>
    </w:p>
    <w:p w14:paraId="6E81D15B" w14:textId="77777777" w:rsidR="008F34FF" w:rsidRPr="00D43A2F" w:rsidRDefault="008F34FF" w:rsidP="008F34FF">
      <w:pPr>
        <w:pStyle w:val="Pagrindinistekstas2"/>
        <w:spacing w:after="0" w:line="240" w:lineRule="auto"/>
        <w:rPr>
          <w:szCs w:val="22"/>
        </w:rPr>
      </w:pPr>
    </w:p>
    <w:p w14:paraId="05497B36" w14:textId="77777777" w:rsidR="008F34FF" w:rsidRPr="00D43A2F" w:rsidRDefault="008F34FF" w:rsidP="008F34FF">
      <w:pPr>
        <w:rPr>
          <w:color w:val="000000"/>
          <w:sz w:val="22"/>
          <w:szCs w:val="22"/>
        </w:rPr>
      </w:pPr>
      <w:r w:rsidRPr="00D43A2F">
        <w:rPr>
          <w:sz w:val="22"/>
          <w:szCs w:val="22"/>
        </w:rPr>
        <w:t xml:space="preserve">Kitų indikacijų atveju pradinė dozė gali svyruoti nuo 10 iki 500 mg, priklausomai nuo klinikinės būklės. Vartojimo trukmė parenkama atsižvelgiant į paciento būklę. Jeigu gydymui reikia didelių metilprednizolono dozių, jos </w:t>
      </w:r>
      <w:r w:rsidRPr="00D43A2F">
        <w:rPr>
          <w:color w:val="000000"/>
          <w:sz w:val="22"/>
          <w:szCs w:val="22"/>
        </w:rPr>
        <w:t xml:space="preserve">vartojamos tol, kol paciento būklė stabilizuosis, dažniausiai ne ilgiau kaip 48 – 72 valandas. </w:t>
      </w:r>
    </w:p>
    <w:p w14:paraId="6F087080" w14:textId="77777777" w:rsidR="008F34FF" w:rsidRPr="00D43A2F" w:rsidRDefault="008F34FF" w:rsidP="008F34FF">
      <w:pPr>
        <w:pStyle w:val="Pagrindinistekstas2"/>
        <w:spacing w:after="0" w:line="240" w:lineRule="auto"/>
        <w:rPr>
          <w:szCs w:val="22"/>
        </w:rPr>
      </w:pPr>
    </w:p>
    <w:p w14:paraId="31D0CCF2" w14:textId="77777777" w:rsidR="008F34FF" w:rsidRPr="00D43A2F" w:rsidRDefault="008F34FF" w:rsidP="008F34FF">
      <w:pPr>
        <w:rPr>
          <w:i/>
          <w:sz w:val="22"/>
          <w:szCs w:val="22"/>
          <w:u w:val="single"/>
        </w:rPr>
      </w:pPr>
      <w:r>
        <w:rPr>
          <w:i/>
          <w:sz w:val="22"/>
          <w:szCs w:val="22"/>
          <w:u w:val="single"/>
        </w:rPr>
        <w:t>Vaikų populiacija</w:t>
      </w:r>
    </w:p>
    <w:p w14:paraId="32532FDD" w14:textId="77777777" w:rsidR="008F34FF" w:rsidRPr="00D43A2F" w:rsidRDefault="008F34FF" w:rsidP="008F34FF">
      <w:pPr>
        <w:rPr>
          <w:sz w:val="22"/>
          <w:szCs w:val="22"/>
        </w:rPr>
      </w:pPr>
      <w:r w:rsidRPr="00D43A2F">
        <w:rPr>
          <w:sz w:val="22"/>
          <w:szCs w:val="22"/>
        </w:rPr>
        <w:t>Dozė parenkama pagal paciento būklės sunkumą ir neturėtų būti mažesnė kaip 0,5 mg/kg per parą. Ji vartojama tol, kol paciento būklė stabilizuojasi. Persodintų organų atmetimo reakcijų profilaktikai gali būti vartojamos ir didelės metilprednizolono dozės – 10 – 30 mg/kg per parą  Toks gydymas neturėtų būti tęsiamas ilgiau kaip tris paras.</w:t>
      </w:r>
    </w:p>
    <w:p w14:paraId="3C6003DB" w14:textId="77777777" w:rsidR="008F34FF" w:rsidRPr="00D43A2F" w:rsidRDefault="008F34FF" w:rsidP="008F34FF">
      <w:pPr>
        <w:rPr>
          <w:sz w:val="22"/>
          <w:szCs w:val="22"/>
        </w:rPr>
      </w:pPr>
    </w:p>
    <w:p w14:paraId="4A80C8D7" w14:textId="77777777" w:rsidR="008F34FF" w:rsidRPr="00D43A2F" w:rsidRDefault="008F34FF" w:rsidP="008F34FF">
      <w:pPr>
        <w:rPr>
          <w:i/>
          <w:sz w:val="22"/>
          <w:szCs w:val="22"/>
          <w:u w:val="single"/>
        </w:rPr>
      </w:pPr>
      <w:r>
        <w:rPr>
          <w:i/>
          <w:sz w:val="22"/>
          <w:szCs w:val="22"/>
          <w:u w:val="single"/>
        </w:rPr>
        <w:t>Senyviems pacientams ir pacientams, kurių inkstų funkcija sutrikusi</w:t>
      </w:r>
    </w:p>
    <w:p w14:paraId="49A5C99B" w14:textId="77777777" w:rsidR="008F34FF" w:rsidRPr="00D43A2F" w:rsidRDefault="008F34FF" w:rsidP="008F34FF">
      <w:pPr>
        <w:rPr>
          <w:sz w:val="22"/>
          <w:szCs w:val="22"/>
        </w:rPr>
      </w:pPr>
      <w:r w:rsidRPr="00D43A2F">
        <w:rPr>
          <w:sz w:val="22"/>
          <w:szCs w:val="22"/>
        </w:rPr>
        <w:t>Vyresnio amžiaus pacientus ir pacientus, kurių inkstų veikla sutrikusi, rekomenduojama gydyti atsargiai. Ar šiems pacientams reikia mažinti metilprednizolono dozę, duomenų nėra.</w:t>
      </w:r>
    </w:p>
    <w:p w14:paraId="78340F8E" w14:textId="77777777" w:rsidR="008F34FF" w:rsidRPr="00D43A2F" w:rsidRDefault="008F34FF" w:rsidP="008F34FF">
      <w:pPr>
        <w:rPr>
          <w:sz w:val="22"/>
          <w:szCs w:val="22"/>
        </w:rPr>
      </w:pPr>
    </w:p>
    <w:p w14:paraId="0045A909" w14:textId="77777777" w:rsidR="008F34FF" w:rsidRPr="00D43A2F" w:rsidRDefault="008F34FF" w:rsidP="008F34FF">
      <w:pPr>
        <w:rPr>
          <w:i/>
          <w:sz w:val="22"/>
          <w:szCs w:val="22"/>
          <w:u w:val="single"/>
        </w:rPr>
      </w:pPr>
      <w:r>
        <w:rPr>
          <w:i/>
          <w:sz w:val="22"/>
          <w:szCs w:val="22"/>
          <w:u w:val="single"/>
        </w:rPr>
        <w:t>Pacientams, kurių kepenų funkcija sutrikusi</w:t>
      </w:r>
    </w:p>
    <w:p w14:paraId="0B7267DC" w14:textId="77777777" w:rsidR="008F34FF" w:rsidRPr="00D43A2F" w:rsidRDefault="008F34FF" w:rsidP="008F34FF">
      <w:pPr>
        <w:rPr>
          <w:sz w:val="22"/>
          <w:szCs w:val="22"/>
        </w:rPr>
      </w:pPr>
      <w:r w:rsidRPr="00D43A2F">
        <w:rPr>
          <w:sz w:val="22"/>
          <w:szCs w:val="22"/>
        </w:rPr>
        <w:t>Pacientams, sergantiems kepenų ciroze arba kurių sunkia kepenų liga, gali tekti mažinti dozę, nes metilprednizolono poveikis gali sustiprėti.</w:t>
      </w:r>
    </w:p>
    <w:p w14:paraId="3F070F22" w14:textId="77777777" w:rsidR="008F34FF" w:rsidRDefault="008F34FF" w:rsidP="008F34FF">
      <w:pPr>
        <w:rPr>
          <w:sz w:val="22"/>
          <w:szCs w:val="22"/>
        </w:rPr>
      </w:pPr>
    </w:p>
    <w:p w14:paraId="7B81DCB8" w14:textId="18F1EC77" w:rsidR="008F34FF" w:rsidRDefault="008F34FF" w:rsidP="008F34FF">
      <w:pPr>
        <w:rPr>
          <w:sz w:val="22"/>
          <w:szCs w:val="22"/>
          <w:u w:val="single"/>
        </w:rPr>
      </w:pPr>
      <w:r>
        <w:rPr>
          <w:sz w:val="22"/>
          <w:szCs w:val="22"/>
          <w:u w:val="single"/>
        </w:rPr>
        <w:t>Vartojimo metodas</w:t>
      </w:r>
    </w:p>
    <w:p w14:paraId="3FFD81BE" w14:textId="77777777" w:rsidR="008F34FF" w:rsidRDefault="008F34FF" w:rsidP="008F34FF">
      <w:pPr>
        <w:rPr>
          <w:sz w:val="22"/>
          <w:szCs w:val="22"/>
        </w:rPr>
      </w:pPr>
      <w:r>
        <w:rPr>
          <w:sz w:val="22"/>
          <w:szCs w:val="22"/>
        </w:rPr>
        <w:t>Nurodymai, kaip paruošti ir praskiesti vaistinį preparatą, prieš jį skiriant pateikti 6.6 skyriuje.</w:t>
      </w:r>
    </w:p>
    <w:p w14:paraId="7B673C72" w14:textId="77777777" w:rsidR="008F34FF" w:rsidRPr="00D43A2F" w:rsidRDefault="008F34FF" w:rsidP="008F34FF">
      <w:pPr>
        <w:rPr>
          <w:sz w:val="22"/>
          <w:szCs w:val="22"/>
        </w:rPr>
      </w:pPr>
    </w:p>
    <w:p w14:paraId="4286ED3B" w14:textId="77777777" w:rsidR="008F34FF" w:rsidRPr="00D43A2F" w:rsidRDefault="008F34FF" w:rsidP="008F34FF">
      <w:pPr>
        <w:rPr>
          <w:sz w:val="22"/>
          <w:szCs w:val="22"/>
        </w:rPr>
      </w:pPr>
      <w:r w:rsidRPr="00D43A2F">
        <w:rPr>
          <w:sz w:val="22"/>
          <w:szCs w:val="22"/>
        </w:rPr>
        <w:t>Didžiausia leistina vienkartinė dozė – 500 mg metilprednizolono. Nerekomenduojama vartoti didesnių nei 1 g per parą dozių.</w:t>
      </w:r>
    </w:p>
    <w:p w14:paraId="4D47C82D" w14:textId="77777777" w:rsidR="008F34FF" w:rsidRPr="00D43A2F" w:rsidRDefault="008F34FF" w:rsidP="008F34FF">
      <w:pPr>
        <w:rPr>
          <w:sz w:val="22"/>
          <w:szCs w:val="22"/>
        </w:rPr>
      </w:pPr>
    </w:p>
    <w:p w14:paraId="55D734B9" w14:textId="77777777" w:rsidR="008F34FF" w:rsidRPr="00D43A2F" w:rsidRDefault="008F34FF" w:rsidP="008F34FF">
      <w:pPr>
        <w:rPr>
          <w:sz w:val="22"/>
          <w:szCs w:val="22"/>
        </w:rPr>
      </w:pPr>
      <w:r w:rsidRPr="00D43A2F">
        <w:rPr>
          <w:sz w:val="22"/>
          <w:szCs w:val="22"/>
        </w:rPr>
        <w:t xml:space="preserve">Gydymas gliukokortikoidais, tarp jų ir metilprednizolonu, vartojamas tik kaip pagalbinė priemonė ir negali pakeisti </w:t>
      </w:r>
      <w:r>
        <w:rPr>
          <w:sz w:val="22"/>
          <w:szCs w:val="22"/>
        </w:rPr>
        <w:t>į</w:t>
      </w:r>
      <w:r w:rsidRPr="00D43A2F">
        <w:rPr>
          <w:sz w:val="22"/>
          <w:szCs w:val="22"/>
        </w:rPr>
        <w:t>prastinio gydymo būdo. Dozę mažinti ir gydymą nutraukti galima tik palaipsniui.</w:t>
      </w:r>
    </w:p>
    <w:p w14:paraId="3C0E76E6" w14:textId="77777777" w:rsidR="008F34FF" w:rsidRPr="00D43A2F" w:rsidRDefault="008F34FF" w:rsidP="008F34FF">
      <w:pPr>
        <w:rPr>
          <w:sz w:val="22"/>
          <w:szCs w:val="22"/>
        </w:rPr>
      </w:pPr>
    </w:p>
    <w:p w14:paraId="11F4194B" w14:textId="77777777" w:rsidR="008F34FF" w:rsidRPr="00D43A2F" w:rsidRDefault="008F34FF" w:rsidP="008F34FF">
      <w:pPr>
        <w:rPr>
          <w:sz w:val="22"/>
          <w:szCs w:val="22"/>
        </w:rPr>
      </w:pPr>
      <w:r w:rsidRPr="00D43A2F">
        <w:rPr>
          <w:sz w:val="22"/>
          <w:szCs w:val="22"/>
        </w:rPr>
        <w:t xml:space="preserve">Norint sumažinti nepageidaujamo poveikio pasireiškimo dažnį, preparatą rekomenduojama vartoti kaip galima mažesnėmis dozėmis ir kuo trumpesnį laiką.  </w:t>
      </w:r>
    </w:p>
    <w:bookmarkEnd w:id="14"/>
    <w:bookmarkEnd w:id="15"/>
    <w:p w14:paraId="5C7B0D83" w14:textId="77777777" w:rsidR="008F34FF" w:rsidRPr="00D43A2F" w:rsidRDefault="008F34FF" w:rsidP="008F34FF">
      <w:pPr>
        <w:pStyle w:val="BTEMEASMCA"/>
      </w:pPr>
    </w:p>
    <w:p w14:paraId="77C24E6D" w14:textId="77777777" w:rsidR="008F34FF" w:rsidRPr="00D43A2F" w:rsidRDefault="008F34FF" w:rsidP="008F34FF">
      <w:pPr>
        <w:pStyle w:val="PI-2EMEASMCA"/>
      </w:pPr>
      <w:bookmarkStart w:id="16" w:name="_Toc129243104"/>
      <w:bookmarkStart w:id="17" w:name="_Toc129243229"/>
      <w:r w:rsidRPr="00D43A2F">
        <w:t>4.3</w:t>
      </w:r>
      <w:r w:rsidRPr="00D43A2F">
        <w:tab/>
        <w:t>Kontraindikacijos</w:t>
      </w:r>
    </w:p>
    <w:p w14:paraId="7447A4C1" w14:textId="77777777" w:rsidR="008F34FF" w:rsidRPr="00D43A2F" w:rsidRDefault="008F34FF" w:rsidP="008F34FF">
      <w:pPr>
        <w:pStyle w:val="BTEMEASMCA"/>
      </w:pPr>
    </w:p>
    <w:p w14:paraId="7B88755F" w14:textId="77777777" w:rsidR="008F34FF" w:rsidRPr="00D43A2F" w:rsidRDefault="008F34FF" w:rsidP="008F34FF">
      <w:pPr>
        <w:numPr>
          <w:ilvl w:val="0"/>
          <w:numId w:val="2"/>
        </w:numPr>
        <w:rPr>
          <w:sz w:val="22"/>
          <w:szCs w:val="22"/>
        </w:rPr>
      </w:pPr>
      <w:r w:rsidRPr="00D43A2F">
        <w:rPr>
          <w:sz w:val="22"/>
          <w:szCs w:val="22"/>
        </w:rPr>
        <w:t xml:space="preserve">Padidėjęs jautrumas metilprednizolonui ar bet kuriai </w:t>
      </w:r>
      <w:r w:rsidRPr="00683774">
        <w:rPr>
          <w:noProof/>
          <w:snapToGrid w:val="0"/>
          <w:sz w:val="22"/>
        </w:rPr>
        <w:t xml:space="preserve">6.1 skyriuje nurodytai </w:t>
      </w:r>
      <w:r w:rsidRPr="00D43A2F">
        <w:rPr>
          <w:sz w:val="22"/>
          <w:szCs w:val="22"/>
        </w:rPr>
        <w:t>pagalbinei medžiagai;</w:t>
      </w:r>
    </w:p>
    <w:p w14:paraId="3D0BC80E" w14:textId="77777777" w:rsidR="008F34FF" w:rsidRPr="00D43A2F" w:rsidRDefault="008F34FF" w:rsidP="008F34FF">
      <w:pPr>
        <w:numPr>
          <w:ilvl w:val="0"/>
          <w:numId w:val="2"/>
        </w:numPr>
        <w:rPr>
          <w:sz w:val="22"/>
          <w:szCs w:val="22"/>
        </w:rPr>
      </w:pPr>
      <w:r w:rsidRPr="00D43A2F">
        <w:rPr>
          <w:sz w:val="22"/>
          <w:szCs w:val="22"/>
        </w:rPr>
        <w:t>Ūminės ar lėtinės virusinės ar bakterinės infekcijos, taip pat sisteminės grybelinės infekcijos, kurioms neskirtas adekvatus specifinis antimikrobinis ar chemoterapinis gydymas;</w:t>
      </w:r>
    </w:p>
    <w:p w14:paraId="08069562" w14:textId="77777777" w:rsidR="008F34FF" w:rsidRPr="00D43A2F" w:rsidRDefault="008F34FF" w:rsidP="008F34FF">
      <w:pPr>
        <w:numPr>
          <w:ilvl w:val="0"/>
          <w:numId w:val="2"/>
        </w:numPr>
        <w:rPr>
          <w:sz w:val="22"/>
          <w:szCs w:val="22"/>
        </w:rPr>
      </w:pPr>
      <w:r w:rsidRPr="00D43A2F">
        <w:rPr>
          <w:sz w:val="22"/>
          <w:szCs w:val="22"/>
        </w:rPr>
        <w:t>Smegenų edema sergant maliarija.</w:t>
      </w:r>
    </w:p>
    <w:bookmarkEnd w:id="16"/>
    <w:bookmarkEnd w:id="17"/>
    <w:p w14:paraId="7F9D9156" w14:textId="77777777" w:rsidR="008F34FF" w:rsidRPr="00D43A2F" w:rsidRDefault="008F34FF" w:rsidP="008F34FF">
      <w:pPr>
        <w:pStyle w:val="Pagrindinistekstas"/>
        <w:spacing w:after="0"/>
        <w:rPr>
          <w:szCs w:val="22"/>
        </w:rPr>
      </w:pPr>
    </w:p>
    <w:p w14:paraId="5ADD8E0C" w14:textId="77777777" w:rsidR="008F34FF" w:rsidRPr="00D43A2F" w:rsidRDefault="008F34FF" w:rsidP="008F34FF">
      <w:pPr>
        <w:pStyle w:val="PI-2EMEASMCA"/>
      </w:pPr>
      <w:bookmarkStart w:id="18" w:name="_Toc129243105"/>
      <w:bookmarkStart w:id="19" w:name="_Toc129243230"/>
      <w:r w:rsidRPr="00D43A2F">
        <w:lastRenderedPageBreak/>
        <w:t>4.4</w:t>
      </w:r>
      <w:r w:rsidRPr="00D43A2F">
        <w:tab/>
        <w:t>Specialūs įspėjimai ir atsargumo priemonės</w:t>
      </w:r>
    </w:p>
    <w:p w14:paraId="009F3B4E" w14:textId="77777777" w:rsidR="008F34FF" w:rsidRPr="00D43A2F" w:rsidRDefault="008F34FF" w:rsidP="008F34FF">
      <w:pPr>
        <w:pStyle w:val="BTEMEASMCA"/>
      </w:pPr>
    </w:p>
    <w:p w14:paraId="77B2C3BF" w14:textId="77777777" w:rsidR="008F34FF" w:rsidRPr="00D43A2F" w:rsidRDefault="008F34FF" w:rsidP="008F34FF">
      <w:pPr>
        <w:rPr>
          <w:sz w:val="22"/>
          <w:szCs w:val="22"/>
        </w:rPr>
      </w:pPr>
      <w:r w:rsidRPr="00D43A2F">
        <w:rPr>
          <w:sz w:val="22"/>
          <w:szCs w:val="22"/>
        </w:rPr>
        <w:t>Sisteminis ilgalaikis gydymas gliukokortikoidais gali susilpninti antinksčių žievės funkciją. Šis poveikis gali trukti net keletą mėnesių, nutraukus gydymą. Jeigu per šį laikotarpį įvyksta bet kokia trauma, liga ar reikalinga operacija, reikia paskirti didesnę metilprednizolono dozę arba metilprednizoloną pakeisti kitu gliukokortikoidu. Norint išvengti nepageidaujamo poveikio, gliukokortikoidų vartojimo negalima nutraukti staiga. Dozė mažinama palaipsniui (žr. 4.8).</w:t>
      </w:r>
    </w:p>
    <w:p w14:paraId="200C813B" w14:textId="77777777" w:rsidR="008F34FF" w:rsidRPr="00D43A2F" w:rsidRDefault="008F34FF" w:rsidP="008F34FF">
      <w:pPr>
        <w:rPr>
          <w:sz w:val="22"/>
          <w:szCs w:val="22"/>
        </w:rPr>
      </w:pPr>
    </w:p>
    <w:p w14:paraId="1AC689C8" w14:textId="77777777" w:rsidR="008F34FF" w:rsidRPr="00D43A2F" w:rsidRDefault="008F34FF" w:rsidP="008F34FF">
      <w:pPr>
        <w:rPr>
          <w:sz w:val="22"/>
          <w:szCs w:val="22"/>
        </w:rPr>
      </w:pPr>
      <w:r w:rsidRPr="00D43A2F">
        <w:rPr>
          <w:sz w:val="22"/>
          <w:szCs w:val="22"/>
        </w:rPr>
        <w:t>Kortikosteroidai slopina uždegiminį procesą bei imuninę organizmo funkciją, todėl labai padidėja naujų bakterinių, virusinių ar grybelinių infekcijų atsiradimo dažnis. Sunkiau pastebimi tampa kai kurie jau esančių infekcijų simptomai.</w:t>
      </w:r>
    </w:p>
    <w:p w14:paraId="4DA06CDC" w14:textId="77777777" w:rsidR="008F34FF" w:rsidRPr="00D43A2F" w:rsidRDefault="008F34FF" w:rsidP="008F34FF">
      <w:pPr>
        <w:rPr>
          <w:sz w:val="22"/>
          <w:szCs w:val="22"/>
        </w:rPr>
      </w:pPr>
    </w:p>
    <w:p w14:paraId="1E7D1E66" w14:textId="77777777" w:rsidR="008F34FF" w:rsidRPr="00D43A2F" w:rsidRDefault="008F34FF" w:rsidP="008F34FF">
      <w:pPr>
        <w:rPr>
          <w:sz w:val="22"/>
          <w:szCs w:val="22"/>
        </w:rPr>
      </w:pPr>
      <w:r w:rsidRPr="00D43A2F">
        <w:rPr>
          <w:sz w:val="22"/>
          <w:szCs w:val="22"/>
        </w:rPr>
        <w:t>Specialių atsargumo priemonių ir nuolatinio stebėjimo, skiriant metilprednizolo</w:t>
      </w:r>
      <w:r>
        <w:rPr>
          <w:sz w:val="22"/>
          <w:szCs w:val="22"/>
        </w:rPr>
        <w:t>no</w:t>
      </w:r>
      <w:r w:rsidRPr="00D43A2F">
        <w:rPr>
          <w:sz w:val="22"/>
          <w:szCs w:val="22"/>
        </w:rPr>
        <w:t>, reikia pacientams, sergantiems viena ar keliomis iš žemiau išvardintų ligų:</w:t>
      </w:r>
    </w:p>
    <w:p w14:paraId="4103E6CD" w14:textId="77777777" w:rsidR="008F34FF" w:rsidRPr="00D43A2F" w:rsidRDefault="008F34FF" w:rsidP="008F34FF">
      <w:pPr>
        <w:numPr>
          <w:ilvl w:val="0"/>
          <w:numId w:val="2"/>
        </w:numPr>
        <w:rPr>
          <w:sz w:val="22"/>
          <w:szCs w:val="22"/>
        </w:rPr>
      </w:pPr>
      <w:r w:rsidRPr="00D43A2F">
        <w:rPr>
          <w:sz w:val="22"/>
          <w:szCs w:val="22"/>
        </w:rPr>
        <w:t>Osteoporoze (ypač moterims po menopauzės);</w:t>
      </w:r>
    </w:p>
    <w:p w14:paraId="4DBA25B5" w14:textId="77777777" w:rsidR="008F34FF" w:rsidRPr="00D43A2F" w:rsidRDefault="008F34FF" w:rsidP="008F34FF">
      <w:pPr>
        <w:numPr>
          <w:ilvl w:val="0"/>
          <w:numId w:val="2"/>
        </w:numPr>
        <w:rPr>
          <w:sz w:val="22"/>
          <w:szCs w:val="22"/>
        </w:rPr>
      </w:pPr>
      <w:r w:rsidRPr="00D43A2F">
        <w:rPr>
          <w:sz w:val="22"/>
          <w:szCs w:val="22"/>
        </w:rPr>
        <w:t>Arterine hipertenzija ar staziniu širdies nepakankamumu;</w:t>
      </w:r>
    </w:p>
    <w:p w14:paraId="7945656B" w14:textId="77777777" w:rsidR="008F34FF" w:rsidRPr="00D43A2F" w:rsidRDefault="008F34FF" w:rsidP="008F34FF">
      <w:pPr>
        <w:numPr>
          <w:ilvl w:val="0"/>
          <w:numId w:val="2"/>
        </w:numPr>
        <w:rPr>
          <w:sz w:val="22"/>
          <w:szCs w:val="22"/>
        </w:rPr>
      </w:pPr>
      <w:r w:rsidRPr="00D43A2F">
        <w:rPr>
          <w:sz w:val="22"/>
          <w:szCs w:val="22"/>
        </w:rPr>
        <w:t>Psichikos sutrikimais;</w:t>
      </w:r>
    </w:p>
    <w:p w14:paraId="7650C3D0" w14:textId="77777777" w:rsidR="008F34FF" w:rsidRPr="00D43A2F" w:rsidRDefault="008F34FF" w:rsidP="008F34FF">
      <w:pPr>
        <w:numPr>
          <w:ilvl w:val="0"/>
          <w:numId w:val="2"/>
        </w:numPr>
        <w:rPr>
          <w:sz w:val="22"/>
          <w:szCs w:val="22"/>
        </w:rPr>
      </w:pPr>
      <w:r w:rsidRPr="00D43A2F">
        <w:rPr>
          <w:sz w:val="22"/>
          <w:szCs w:val="22"/>
        </w:rPr>
        <w:t>Cukriniu diabetu (arba jei šeimos nariai serga šia liga);</w:t>
      </w:r>
    </w:p>
    <w:p w14:paraId="1374EBD7" w14:textId="77777777" w:rsidR="008F34FF" w:rsidRPr="00D43A2F" w:rsidRDefault="008F34FF" w:rsidP="008F34FF">
      <w:pPr>
        <w:numPr>
          <w:ilvl w:val="0"/>
          <w:numId w:val="2"/>
        </w:numPr>
        <w:rPr>
          <w:sz w:val="22"/>
          <w:szCs w:val="22"/>
        </w:rPr>
      </w:pPr>
      <w:r w:rsidRPr="00D43A2F">
        <w:rPr>
          <w:sz w:val="22"/>
          <w:szCs w:val="22"/>
        </w:rPr>
        <w:t>Neaktyvia tuberkulioze;</w:t>
      </w:r>
    </w:p>
    <w:p w14:paraId="07885287" w14:textId="77777777" w:rsidR="008F34FF" w:rsidRPr="00D43A2F" w:rsidRDefault="008F34FF" w:rsidP="008F34FF">
      <w:pPr>
        <w:numPr>
          <w:ilvl w:val="0"/>
          <w:numId w:val="2"/>
        </w:numPr>
        <w:rPr>
          <w:sz w:val="22"/>
          <w:szCs w:val="22"/>
        </w:rPr>
      </w:pPr>
      <w:r w:rsidRPr="00D43A2F">
        <w:rPr>
          <w:sz w:val="22"/>
          <w:szCs w:val="22"/>
        </w:rPr>
        <w:t>Glaukoma (arba jei šia liga serga šeimos nariai);</w:t>
      </w:r>
    </w:p>
    <w:p w14:paraId="13D2BA18" w14:textId="77777777" w:rsidR="008F34FF" w:rsidRPr="00D43A2F" w:rsidRDefault="008F34FF" w:rsidP="008F34FF">
      <w:pPr>
        <w:numPr>
          <w:ilvl w:val="0"/>
          <w:numId w:val="2"/>
        </w:numPr>
        <w:rPr>
          <w:sz w:val="22"/>
          <w:szCs w:val="22"/>
        </w:rPr>
      </w:pPr>
      <w:r w:rsidRPr="00D43A2F">
        <w:rPr>
          <w:sz w:val="22"/>
          <w:szCs w:val="22"/>
        </w:rPr>
        <w:t>Anksčiau vartoti kortikosteroidai buvo sukėlę miopatiją;</w:t>
      </w:r>
    </w:p>
    <w:p w14:paraId="1639F546" w14:textId="77777777" w:rsidR="008F34FF" w:rsidRPr="00D43A2F" w:rsidRDefault="008F34FF" w:rsidP="008F34FF">
      <w:pPr>
        <w:numPr>
          <w:ilvl w:val="0"/>
          <w:numId w:val="2"/>
        </w:numPr>
        <w:rPr>
          <w:sz w:val="22"/>
          <w:szCs w:val="22"/>
        </w:rPr>
      </w:pPr>
      <w:r w:rsidRPr="00D43A2F">
        <w:rPr>
          <w:sz w:val="22"/>
          <w:szCs w:val="22"/>
        </w:rPr>
        <w:t>Kepenų nepakankamumu arba kepenų ciroze;</w:t>
      </w:r>
    </w:p>
    <w:p w14:paraId="48834E01" w14:textId="77777777" w:rsidR="008F34FF" w:rsidRPr="00D43A2F" w:rsidRDefault="008F34FF" w:rsidP="008F34FF">
      <w:pPr>
        <w:numPr>
          <w:ilvl w:val="0"/>
          <w:numId w:val="2"/>
        </w:numPr>
        <w:rPr>
          <w:sz w:val="22"/>
          <w:szCs w:val="22"/>
        </w:rPr>
      </w:pPr>
      <w:r w:rsidRPr="00D43A2F">
        <w:rPr>
          <w:sz w:val="22"/>
          <w:szCs w:val="22"/>
        </w:rPr>
        <w:t>Inkstų nepakankamumu;</w:t>
      </w:r>
    </w:p>
    <w:p w14:paraId="70545274" w14:textId="77777777" w:rsidR="008F34FF" w:rsidRPr="00D43A2F" w:rsidRDefault="008F34FF" w:rsidP="008F34FF">
      <w:pPr>
        <w:numPr>
          <w:ilvl w:val="0"/>
          <w:numId w:val="2"/>
        </w:numPr>
        <w:rPr>
          <w:sz w:val="22"/>
          <w:szCs w:val="22"/>
        </w:rPr>
      </w:pPr>
      <w:r w:rsidRPr="00D43A2F">
        <w:rPr>
          <w:sz w:val="22"/>
          <w:szCs w:val="22"/>
        </w:rPr>
        <w:t>Epilepsija;</w:t>
      </w:r>
    </w:p>
    <w:p w14:paraId="6DEC2107" w14:textId="77777777" w:rsidR="008F34FF" w:rsidRPr="00D43A2F" w:rsidRDefault="008F34FF" w:rsidP="008F34FF">
      <w:pPr>
        <w:numPr>
          <w:ilvl w:val="0"/>
          <w:numId w:val="2"/>
        </w:numPr>
        <w:rPr>
          <w:sz w:val="22"/>
          <w:szCs w:val="22"/>
        </w:rPr>
      </w:pPr>
      <w:r w:rsidRPr="00D43A2F">
        <w:rPr>
          <w:sz w:val="22"/>
          <w:szCs w:val="22"/>
        </w:rPr>
        <w:t>Virškinimo trakto sutrikimais, pvz. pepsine opa, sritiniu ileitu, opiniu kolitu ar divertikulitu (padidėjusi kraujavimo ir perforacijos rizika);</w:t>
      </w:r>
    </w:p>
    <w:p w14:paraId="16BBF12C" w14:textId="77777777" w:rsidR="008F34FF" w:rsidRPr="00D43A2F" w:rsidRDefault="008F34FF" w:rsidP="008F34FF">
      <w:pPr>
        <w:numPr>
          <w:ilvl w:val="0"/>
          <w:numId w:val="2"/>
        </w:numPr>
        <w:rPr>
          <w:sz w:val="22"/>
          <w:szCs w:val="22"/>
        </w:rPr>
      </w:pPr>
      <w:r w:rsidRPr="00D43A2F">
        <w:rPr>
          <w:sz w:val="22"/>
          <w:szCs w:val="22"/>
        </w:rPr>
        <w:t>Turintiems trombozės riziką;</w:t>
      </w:r>
    </w:p>
    <w:p w14:paraId="431FE08D" w14:textId="77777777" w:rsidR="008F34FF" w:rsidRDefault="008F34FF" w:rsidP="008F34FF">
      <w:pPr>
        <w:ind w:left="720"/>
        <w:rPr>
          <w:sz w:val="22"/>
          <w:szCs w:val="22"/>
        </w:rPr>
      </w:pPr>
    </w:p>
    <w:p w14:paraId="38F66A93" w14:textId="77777777" w:rsidR="008F34FF" w:rsidRPr="00D43A2F" w:rsidRDefault="008F34FF" w:rsidP="008F34FF">
      <w:pPr>
        <w:rPr>
          <w:sz w:val="22"/>
          <w:szCs w:val="22"/>
        </w:rPr>
      </w:pPr>
      <w:r w:rsidRPr="00D43A2F">
        <w:rPr>
          <w:sz w:val="22"/>
          <w:szCs w:val="22"/>
        </w:rPr>
        <w:t>K</w:t>
      </w:r>
      <w:r>
        <w:rPr>
          <w:sz w:val="22"/>
          <w:szCs w:val="22"/>
        </w:rPr>
        <w:t>ita</w:t>
      </w:r>
    </w:p>
    <w:p w14:paraId="60634BB6" w14:textId="77777777" w:rsidR="008F34FF" w:rsidRPr="00D43A2F" w:rsidRDefault="008F34FF" w:rsidP="008F34FF">
      <w:pPr>
        <w:rPr>
          <w:sz w:val="22"/>
          <w:szCs w:val="22"/>
        </w:rPr>
      </w:pPr>
    </w:p>
    <w:p w14:paraId="5C5C7BCD" w14:textId="77777777" w:rsidR="008F34FF" w:rsidRPr="00D43A2F" w:rsidRDefault="008F34FF" w:rsidP="008F34FF">
      <w:pPr>
        <w:rPr>
          <w:sz w:val="22"/>
          <w:szCs w:val="22"/>
        </w:rPr>
      </w:pPr>
      <w:r w:rsidRPr="00D43A2F">
        <w:rPr>
          <w:sz w:val="22"/>
          <w:szCs w:val="22"/>
        </w:rPr>
        <w:t>Gydant gliukokortikoidais, gali susilpnėti diagnostikai svarbūs simptomai, pavyzdžiui, virškinimo trakto komplikacijų sukeltas skausmas. Taip pat vartojantiems gliukokortikoidus gali išryškėti latentinis hiperparatiroidizmas.</w:t>
      </w:r>
    </w:p>
    <w:p w14:paraId="63065CE2" w14:textId="77777777" w:rsidR="008F34FF" w:rsidRPr="00D43A2F" w:rsidRDefault="008F34FF" w:rsidP="008F34FF">
      <w:pPr>
        <w:rPr>
          <w:sz w:val="22"/>
          <w:szCs w:val="22"/>
        </w:rPr>
      </w:pPr>
    </w:p>
    <w:p w14:paraId="06263C25" w14:textId="77777777" w:rsidR="008F34FF" w:rsidRPr="00D43A2F" w:rsidRDefault="008F34FF" w:rsidP="008F34FF">
      <w:pPr>
        <w:rPr>
          <w:sz w:val="22"/>
          <w:szCs w:val="22"/>
        </w:rPr>
      </w:pPr>
      <w:r w:rsidRPr="00D43A2F">
        <w:rPr>
          <w:sz w:val="22"/>
          <w:szCs w:val="22"/>
        </w:rPr>
        <w:t>Jei įmanoma, metilprednizolonu gydomiems pacientams nereikėtų kartu skirti salicilatų ir prostaglandinų inhibitorių, kadangi gliukokortikoidai sustiprina šių vaistų ulcerogeninį poveikį (žr. 4.5.).</w:t>
      </w:r>
    </w:p>
    <w:p w14:paraId="03DE1C74" w14:textId="77777777" w:rsidR="008F34FF" w:rsidRPr="00D43A2F" w:rsidRDefault="008F34FF" w:rsidP="008F34FF">
      <w:pPr>
        <w:rPr>
          <w:sz w:val="22"/>
          <w:szCs w:val="22"/>
        </w:rPr>
      </w:pPr>
    </w:p>
    <w:p w14:paraId="7AF64CC7" w14:textId="77777777" w:rsidR="008F34FF" w:rsidRPr="00D43A2F" w:rsidRDefault="008F34FF" w:rsidP="008F34FF">
      <w:pPr>
        <w:rPr>
          <w:sz w:val="22"/>
          <w:szCs w:val="22"/>
        </w:rPr>
      </w:pPr>
      <w:r w:rsidRPr="00D43A2F">
        <w:rPr>
          <w:sz w:val="22"/>
          <w:szCs w:val="22"/>
        </w:rPr>
        <w:t>Reikia atkreipti dėmesį į padidėjusią skrandžio opų ir kraujavimo riziką ir tuomet, kai metilprednizolono vartojama kartu su antikoaguliantais (žr. 4.5.). Gydant gliukokortikoidais, gali sumažėti antikoaguliantų poveikis. Todėl protrombino laiką, ypač tarptautinį normalizuotą santykį (TNR), būtina tikrinti tiek normaliai, tiek ir keičiant vaist</w:t>
      </w:r>
      <w:r>
        <w:rPr>
          <w:sz w:val="22"/>
          <w:szCs w:val="22"/>
        </w:rPr>
        <w:t>inį preparatą</w:t>
      </w:r>
      <w:r w:rsidRPr="00D43A2F">
        <w:rPr>
          <w:sz w:val="22"/>
          <w:szCs w:val="22"/>
        </w:rPr>
        <w:t xml:space="preserve"> ar jo dozę. </w:t>
      </w:r>
    </w:p>
    <w:p w14:paraId="55EC68CD" w14:textId="77777777" w:rsidR="008F34FF" w:rsidRPr="00D43A2F" w:rsidRDefault="008F34FF" w:rsidP="008F34FF">
      <w:pPr>
        <w:rPr>
          <w:sz w:val="22"/>
          <w:szCs w:val="22"/>
        </w:rPr>
      </w:pPr>
    </w:p>
    <w:p w14:paraId="697D59B6" w14:textId="77777777" w:rsidR="008F34FF" w:rsidRPr="00D43A2F" w:rsidRDefault="008F34FF" w:rsidP="008F34FF">
      <w:pPr>
        <w:rPr>
          <w:sz w:val="22"/>
          <w:szCs w:val="22"/>
        </w:rPr>
      </w:pPr>
      <w:r w:rsidRPr="00D43A2F">
        <w:rPr>
          <w:sz w:val="22"/>
          <w:szCs w:val="22"/>
        </w:rPr>
        <w:t>Nesirgusiems pacientams reikėtų vengti kontakto su asmenimis, sergančiais vėjaraupiais, juostine pūsline ar tymais. Šios infekcijos vartojantiems metilprednizoloną gali būti labai sunkios. Dėl susilpnėjusios antikūnų gamybos, tokiems pacientams nereikėtų vartoti nei gyvų, nei jokių kitų vakcinų</w:t>
      </w:r>
    </w:p>
    <w:p w14:paraId="08E781C6" w14:textId="77777777" w:rsidR="008F34FF" w:rsidRPr="00D43A2F" w:rsidRDefault="008F34FF" w:rsidP="008F34FF">
      <w:pPr>
        <w:rPr>
          <w:sz w:val="22"/>
          <w:szCs w:val="22"/>
        </w:rPr>
      </w:pPr>
    </w:p>
    <w:p w14:paraId="346A3690" w14:textId="77777777" w:rsidR="008F34FF" w:rsidRPr="00D43A2F" w:rsidRDefault="008F34FF" w:rsidP="008F34FF">
      <w:pPr>
        <w:rPr>
          <w:sz w:val="22"/>
          <w:szCs w:val="22"/>
        </w:rPr>
      </w:pPr>
      <w:r w:rsidRPr="00D43A2F">
        <w:rPr>
          <w:sz w:val="22"/>
          <w:szCs w:val="22"/>
        </w:rPr>
        <w:t>Dėl gliukokortikoidų vartojimo gali atsinaujinti neaktyvi tuberkuliozė.</w:t>
      </w:r>
    </w:p>
    <w:p w14:paraId="69BBFD8A" w14:textId="77777777" w:rsidR="008F34FF" w:rsidRPr="00D43A2F" w:rsidRDefault="008F34FF" w:rsidP="008F34FF">
      <w:pPr>
        <w:rPr>
          <w:sz w:val="22"/>
          <w:szCs w:val="22"/>
        </w:rPr>
      </w:pPr>
    </w:p>
    <w:p w14:paraId="6BFA7F0E" w14:textId="77777777" w:rsidR="008F34FF" w:rsidRDefault="008F34FF" w:rsidP="008F34FF">
      <w:pPr>
        <w:rPr>
          <w:sz w:val="22"/>
          <w:szCs w:val="22"/>
        </w:rPr>
      </w:pPr>
      <w:r w:rsidRPr="00D43A2F">
        <w:rPr>
          <w:sz w:val="22"/>
          <w:szCs w:val="22"/>
        </w:rPr>
        <w:t>Dėl gliukokortikoidų gali sutrikti elektrolitų pusiausvyra ar atsirasti kalio trūkumas organizme. Pacientai, vartojantys digoksiną, turėtų imtis specialių atsargumo priemonių, nes metilprednizolonas ir kartu vartojami širdį veikiantys glikozidai didina hipokalemijos atsiradimo riziką. (žr. 4.8).</w:t>
      </w:r>
    </w:p>
    <w:p w14:paraId="03E939D2" w14:textId="77777777" w:rsidR="008F34FF" w:rsidRDefault="008F34FF" w:rsidP="008F34FF">
      <w:pPr>
        <w:rPr>
          <w:sz w:val="22"/>
          <w:szCs w:val="22"/>
        </w:rPr>
      </w:pPr>
    </w:p>
    <w:p w14:paraId="255BD8F9" w14:textId="77777777" w:rsidR="008F34FF" w:rsidRPr="00B612EE" w:rsidRDefault="008F34FF" w:rsidP="008F34FF">
      <w:pPr>
        <w:autoSpaceDE w:val="0"/>
        <w:autoSpaceDN w:val="0"/>
        <w:adjustRightInd w:val="0"/>
        <w:rPr>
          <w:bCs/>
          <w:i/>
          <w:sz w:val="22"/>
          <w:szCs w:val="22"/>
        </w:rPr>
      </w:pPr>
      <w:r w:rsidRPr="00B612EE">
        <w:rPr>
          <w:bCs/>
          <w:i/>
          <w:sz w:val="22"/>
          <w:szCs w:val="22"/>
        </w:rPr>
        <w:t>Poveikis kepenims, tulžies pūslei ir latakams</w:t>
      </w:r>
    </w:p>
    <w:p w14:paraId="4F9F9E53" w14:textId="77777777" w:rsidR="008F34FF" w:rsidRPr="00D43A2F" w:rsidRDefault="008F34FF" w:rsidP="008F34FF">
      <w:pPr>
        <w:rPr>
          <w:sz w:val="22"/>
          <w:szCs w:val="22"/>
        </w:rPr>
      </w:pPr>
      <w:r w:rsidRPr="00B612EE">
        <w:rPr>
          <w:bCs/>
          <w:sz w:val="22"/>
          <w:szCs w:val="22"/>
        </w:rPr>
        <w:t>Skiriant ciklinį pulsinį gydymą intraveniniu metilprednizolonu (įprastai, kai pradinė</w:t>
      </w:r>
      <w:r>
        <w:rPr>
          <w:bCs/>
          <w:sz w:val="22"/>
          <w:szCs w:val="22"/>
        </w:rPr>
        <w:t xml:space="preserve"> </w:t>
      </w:r>
      <w:r w:rsidRPr="00B612EE">
        <w:rPr>
          <w:bCs/>
          <w:sz w:val="22"/>
          <w:szCs w:val="22"/>
        </w:rPr>
        <w:t xml:space="preserve">dozė yra ≥ 1 g per parą), gali pasireikšti </w:t>
      </w:r>
      <w:r>
        <w:rPr>
          <w:bCs/>
          <w:sz w:val="22"/>
          <w:szCs w:val="22"/>
        </w:rPr>
        <w:t>metilprednizolono</w:t>
      </w:r>
      <w:r w:rsidRPr="00B612EE">
        <w:rPr>
          <w:bCs/>
          <w:sz w:val="22"/>
          <w:szCs w:val="22"/>
        </w:rPr>
        <w:t xml:space="preserve"> sukeliamas kepenų pažeidimas,</w:t>
      </w:r>
      <w:r>
        <w:rPr>
          <w:bCs/>
          <w:sz w:val="22"/>
          <w:szCs w:val="22"/>
        </w:rPr>
        <w:t xml:space="preserve"> </w:t>
      </w:r>
      <w:r w:rsidRPr="00B612EE">
        <w:rPr>
          <w:bCs/>
          <w:sz w:val="22"/>
          <w:szCs w:val="22"/>
        </w:rPr>
        <w:t xml:space="preserve">įskaitant ūminį hepatitą arba </w:t>
      </w:r>
      <w:r w:rsidRPr="00B612EE">
        <w:rPr>
          <w:bCs/>
          <w:sz w:val="22"/>
          <w:szCs w:val="22"/>
        </w:rPr>
        <w:lastRenderedPageBreak/>
        <w:t>kepenų fermentų aktyvumo padidėjimą. Pranešta apie</w:t>
      </w:r>
      <w:r>
        <w:rPr>
          <w:bCs/>
          <w:sz w:val="22"/>
          <w:szCs w:val="22"/>
        </w:rPr>
        <w:t xml:space="preserve"> </w:t>
      </w:r>
      <w:r w:rsidRPr="00B612EE">
        <w:rPr>
          <w:bCs/>
          <w:sz w:val="22"/>
          <w:szCs w:val="22"/>
        </w:rPr>
        <w:t>retus hepatotoksiškumo atvejus. Laikas iki šių reiškinių pasireiškimo pradžios gali</w:t>
      </w:r>
      <w:r>
        <w:rPr>
          <w:bCs/>
          <w:sz w:val="22"/>
          <w:szCs w:val="22"/>
        </w:rPr>
        <w:t xml:space="preserve"> </w:t>
      </w:r>
      <w:r w:rsidRPr="00B612EE">
        <w:rPr>
          <w:bCs/>
          <w:sz w:val="22"/>
          <w:szCs w:val="22"/>
        </w:rPr>
        <w:t>būti kelios savaitės ar daugiau. Pranešama, kad nutraukus gydymą nepageidaujami</w:t>
      </w:r>
      <w:r>
        <w:rPr>
          <w:bCs/>
          <w:sz w:val="22"/>
          <w:szCs w:val="22"/>
        </w:rPr>
        <w:t xml:space="preserve"> </w:t>
      </w:r>
      <w:r w:rsidRPr="00B612EE">
        <w:rPr>
          <w:bCs/>
          <w:sz w:val="22"/>
          <w:szCs w:val="22"/>
        </w:rPr>
        <w:t>reiškiniai dažniausiai išnykdavo. Todėl būtinas tinkamas stebėjimas.</w:t>
      </w:r>
    </w:p>
    <w:p w14:paraId="3989B623" w14:textId="77777777" w:rsidR="008F34FF" w:rsidRPr="00D43A2F" w:rsidRDefault="008F34FF" w:rsidP="008F34FF">
      <w:pPr>
        <w:rPr>
          <w:sz w:val="22"/>
          <w:szCs w:val="22"/>
        </w:rPr>
      </w:pPr>
    </w:p>
    <w:p w14:paraId="731D2A56" w14:textId="77777777" w:rsidR="008F34FF" w:rsidRDefault="008F34FF" w:rsidP="008F34FF">
      <w:pPr>
        <w:rPr>
          <w:sz w:val="22"/>
          <w:szCs w:val="22"/>
        </w:rPr>
      </w:pPr>
      <w:r w:rsidRPr="00D43A2F">
        <w:rPr>
          <w:sz w:val="22"/>
          <w:szCs w:val="22"/>
        </w:rPr>
        <w:t>Kortikosteroidų negalima skirti pacientams, patyrusiems galvos traumą ar insultą. Toks metilprednizolono poveikis nėra pagrįstas ir gali tik pakenkti pacientui.</w:t>
      </w:r>
    </w:p>
    <w:p w14:paraId="40EE2C57" w14:textId="77777777" w:rsidR="008F34FF" w:rsidRDefault="008F34FF" w:rsidP="008F34FF">
      <w:pPr>
        <w:rPr>
          <w:sz w:val="22"/>
          <w:szCs w:val="22"/>
        </w:rPr>
      </w:pPr>
    </w:p>
    <w:p w14:paraId="0C27CC44" w14:textId="77777777" w:rsidR="008F34FF" w:rsidRPr="00F36D10" w:rsidRDefault="008F34FF" w:rsidP="008F34FF">
      <w:pPr>
        <w:autoSpaceDE w:val="0"/>
        <w:autoSpaceDN w:val="0"/>
        <w:adjustRightInd w:val="0"/>
        <w:rPr>
          <w:bCs/>
          <w:sz w:val="22"/>
          <w:szCs w:val="22"/>
        </w:rPr>
      </w:pPr>
      <w:r w:rsidRPr="00B612EE">
        <w:rPr>
          <w:bCs/>
          <w:sz w:val="22"/>
          <w:szCs w:val="22"/>
        </w:rPr>
        <w:t>Gauta pranešimų, kad vartojant kortikosteroidų pasireiškė trombozė, įskaitant venų</w:t>
      </w:r>
      <w:r>
        <w:rPr>
          <w:bCs/>
          <w:sz w:val="22"/>
          <w:szCs w:val="22"/>
        </w:rPr>
        <w:t xml:space="preserve"> </w:t>
      </w:r>
      <w:r w:rsidRPr="00B612EE">
        <w:rPr>
          <w:bCs/>
          <w:sz w:val="22"/>
          <w:szCs w:val="22"/>
        </w:rPr>
        <w:t>tromboemboliją. Todėl pacientai, kuriems pasireiškia tromboembolinių sutrikimų arba</w:t>
      </w:r>
      <w:r>
        <w:rPr>
          <w:bCs/>
          <w:sz w:val="22"/>
          <w:szCs w:val="22"/>
        </w:rPr>
        <w:t xml:space="preserve"> </w:t>
      </w:r>
      <w:r w:rsidRPr="00B612EE">
        <w:rPr>
          <w:bCs/>
          <w:sz w:val="22"/>
          <w:szCs w:val="22"/>
        </w:rPr>
        <w:t>kuriems gali būti didesnė šių sutrikimų pasireiškimo rizika, kortikosteroidų turi vartoti</w:t>
      </w:r>
      <w:r>
        <w:rPr>
          <w:bCs/>
          <w:sz w:val="22"/>
          <w:szCs w:val="22"/>
        </w:rPr>
        <w:t xml:space="preserve"> </w:t>
      </w:r>
      <w:r w:rsidRPr="00B612EE">
        <w:rPr>
          <w:bCs/>
          <w:sz w:val="22"/>
          <w:szCs w:val="22"/>
        </w:rPr>
        <w:t>atsargiai.</w:t>
      </w:r>
    </w:p>
    <w:p w14:paraId="6DD40B31" w14:textId="77777777" w:rsidR="008F34FF" w:rsidRPr="00D43A2F" w:rsidRDefault="008F34FF" w:rsidP="008F34FF">
      <w:pPr>
        <w:rPr>
          <w:sz w:val="22"/>
          <w:szCs w:val="22"/>
        </w:rPr>
      </w:pPr>
    </w:p>
    <w:p w14:paraId="7ABE435E" w14:textId="77777777" w:rsidR="008F34FF" w:rsidRPr="00D43A2F" w:rsidRDefault="008F34FF" w:rsidP="008F34FF">
      <w:pPr>
        <w:rPr>
          <w:i/>
          <w:sz w:val="22"/>
          <w:szCs w:val="22"/>
        </w:rPr>
      </w:pPr>
      <w:r>
        <w:rPr>
          <w:i/>
          <w:sz w:val="22"/>
          <w:szCs w:val="22"/>
        </w:rPr>
        <w:t>Vaikų populiacija</w:t>
      </w:r>
    </w:p>
    <w:p w14:paraId="702B74FE" w14:textId="77777777" w:rsidR="008F34FF" w:rsidRPr="00D43A2F" w:rsidRDefault="008F34FF" w:rsidP="008F34FF">
      <w:pPr>
        <w:rPr>
          <w:sz w:val="22"/>
          <w:szCs w:val="22"/>
        </w:rPr>
      </w:pPr>
      <w:r w:rsidRPr="00D43A2F">
        <w:rPr>
          <w:sz w:val="22"/>
          <w:szCs w:val="22"/>
        </w:rPr>
        <w:t xml:space="preserve">Gliukokortikoidai lėtina kūdikių ir vaikų augimą, todėl juos reikia gydyti kuo mažesnėmis dozėmis ir kuo trumpiau. </w:t>
      </w:r>
    </w:p>
    <w:p w14:paraId="4E341A40" w14:textId="77777777" w:rsidR="008F34FF" w:rsidRPr="00D43A2F" w:rsidRDefault="008F34FF" w:rsidP="008F34FF">
      <w:pPr>
        <w:rPr>
          <w:sz w:val="22"/>
          <w:szCs w:val="22"/>
        </w:rPr>
      </w:pPr>
    </w:p>
    <w:p w14:paraId="3FDFEB55" w14:textId="77777777" w:rsidR="008F34FF" w:rsidRPr="00D43A2F" w:rsidRDefault="008F34FF" w:rsidP="008F34FF">
      <w:pPr>
        <w:rPr>
          <w:i/>
          <w:sz w:val="22"/>
          <w:szCs w:val="22"/>
        </w:rPr>
      </w:pPr>
      <w:r w:rsidRPr="00D43A2F">
        <w:rPr>
          <w:i/>
          <w:sz w:val="22"/>
          <w:szCs w:val="22"/>
        </w:rPr>
        <w:t>Senyvi pacientai</w:t>
      </w:r>
    </w:p>
    <w:p w14:paraId="29B6195B" w14:textId="5FEC7442" w:rsidR="0059196C" w:rsidRPr="0059196C" w:rsidRDefault="008F34FF" w:rsidP="008F34FF">
      <w:pPr>
        <w:rPr>
          <w:sz w:val="22"/>
          <w:szCs w:val="22"/>
        </w:rPr>
      </w:pPr>
      <w:r w:rsidRPr="00D43A2F">
        <w:rPr>
          <w:sz w:val="22"/>
          <w:szCs w:val="22"/>
        </w:rPr>
        <w:t>Senyviems pacientams gliukokortikoidų reikia skirti atsargiai, kadangi jiems padidėja kai kurių nepageidaujamų reakcijų rizika: pepsinės opos, arterinės hipertenzijos, osteoporozės, hipokalemijos, cukrinio diabeto ir kt.</w:t>
      </w:r>
    </w:p>
    <w:bookmarkEnd w:id="18"/>
    <w:bookmarkEnd w:id="19"/>
    <w:p w14:paraId="49F78010" w14:textId="77777777" w:rsidR="008F34FF" w:rsidRPr="00D43A2F" w:rsidRDefault="008F34FF" w:rsidP="008F34FF">
      <w:pPr>
        <w:pStyle w:val="BTEMEASMCA"/>
      </w:pPr>
    </w:p>
    <w:p w14:paraId="36F8D502" w14:textId="77777777" w:rsidR="008F34FF" w:rsidRPr="00D43A2F" w:rsidRDefault="008F34FF" w:rsidP="008F34FF">
      <w:pPr>
        <w:pStyle w:val="PI-2EMEASMCA"/>
      </w:pPr>
      <w:bookmarkStart w:id="20" w:name="_Toc129243106"/>
      <w:bookmarkStart w:id="21" w:name="_Toc129243231"/>
      <w:r w:rsidRPr="00D43A2F">
        <w:t>4.5</w:t>
      </w:r>
      <w:r w:rsidRPr="00D43A2F">
        <w:tab/>
        <w:t>Sąveika su kitais vaistiniais preparatais ir kitokia sąveika</w:t>
      </w:r>
    </w:p>
    <w:p w14:paraId="0310767C" w14:textId="77777777" w:rsidR="008F34FF" w:rsidRPr="00D43A2F" w:rsidRDefault="008F34FF" w:rsidP="008F34FF">
      <w:pPr>
        <w:pStyle w:val="BTEMEASMCA"/>
      </w:pPr>
    </w:p>
    <w:p w14:paraId="355DBBA7" w14:textId="14095A37" w:rsidR="008F34FF" w:rsidRPr="00D43A2F" w:rsidRDefault="008F34FF" w:rsidP="009D27A8">
      <w:pPr>
        <w:pStyle w:val="Antrat6"/>
        <w:widowControl w:val="0"/>
        <w:spacing w:before="0" w:after="0"/>
      </w:pPr>
      <w:r w:rsidRPr="00D43A2F">
        <w:rPr>
          <w:b w:val="0"/>
          <w:i/>
        </w:rPr>
        <w:t>Cholinesterazės inhibitoriai</w:t>
      </w:r>
    </w:p>
    <w:p w14:paraId="67F4D234" w14:textId="77777777" w:rsidR="008F34FF" w:rsidRPr="00D43A2F" w:rsidRDefault="008F34FF" w:rsidP="008F34FF">
      <w:pPr>
        <w:rPr>
          <w:sz w:val="22"/>
          <w:szCs w:val="22"/>
        </w:rPr>
      </w:pPr>
      <w:r w:rsidRPr="00D43A2F">
        <w:rPr>
          <w:sz w:val="22"/>
          <w:szCs w:val="22"/>
        </w:rPr>
        <w:t xml:space="preserve">Sunkiąja miastenija sergantiems pacientams, kuriems gliukokortikoidų skiriama kartu su cholinesterazės inhibitoriais, gali atsirasti raumenų silpnumas. </w:t>
      </w:r>
    </w:p>
    <w:p w14:paraId="3630FB3E" w14:textId="77777777" w:rsidR="008F34FF" w:rsidRPr="00D43A2F" w:rsidRDefault="008F34FF" w:rsidP="008F34FF">
      <w:pPr>
        <w:rPr>
          <w:sz w:val="22"/>
          <w:szCs w:val="22"/>
        </w:rPr>
      </w:pPr>
    </w:p>
    <w:p w14:paraId="36F42071" w14:textId="45D6A04F" w:rsidR="008F34FF" w:rsidRPr="00D43A2F" w:rsidRDefault="008F34FF" w:rsidP="008F34FF">
      <w:pPr>
        <w:rPr>
          <w:sz w:val="22"/>
          <w:szCs w:val="22"/>
        </w:rPr>
      </w:pPr>
      <w:r w:rsidRPr="00D43A2F">
        <w:rPr>
          <w:i/>
          <w:sz w:val="22"/>
          <w:szCs w:val="22"/>
        </w:rPr>
        <w:t>Antikoaguliantai</w:t>
      </w:r>
    </w:p>
    <w:p w14:paraId="4E8D4F1D" w14:textId="77777777" w:rsidR="008F34FF" w:rsidRPr="00D43A2F" w:rsidRDefault="008F34FF" w:rsidP="008F34FF">
      <w:pPr>
        <w:rPr>
          <w:sz w:val="22"/>
          <w:szCs w:val="22"/>
        </w:rPr>
      </w:pPr>
      <w:r w:rsidRPr="00D43A2F">
        <w:rPr>
          <w:sz w:val="22"/>
          <w:szCs w:val="22"/>
        </w:rPr>
        <w:t>Antikoaguliantų, vartojamų kartu su gliukokortikoidais, poveikis gali ir sustiprėti, ir susilpnėti. Antikoaguliantus vartojant kartu su metilprednizolonu, reikia nuolat matuoti protrombino laiką (žr. 4.4.).</w:t>
      </w:r>
    </w:p>
    <w:p w14:paraId="1E20F0FE" w14:textId="77777777" w:rsidR="008F34FF" w:rsidRPr="00D43A2F" w:rsidRDefault="008F34FF" w:rsidP="008F34FF">
      <w:pPr>
        <w:rPr>
          <w:sz w:val="22"/>
          <w:szCs w:val="22"/>
        </w:rPr>
      </w:pPr>
    </w:p>
    <w:p w14:paraId="0E42A24E" w14:textId="55D0D69B" w:rsidR="008F34FF" w:rsidRPr="00D43A2F" w:rsidRDefault="008F34FF" w:rsidP="008F34FF">
      <w:pPr>
        <w:rPr>
          <w:sz w:val="22"/>
          <w:szCs w:val="22"/>
        </w:rPr>
      </w:pPr>
      <w:r w:rsidRPr="00D43A2F">
        <w:rPr>
          <w:i/>
          <w:sz w:val="22"/>
          <w:szCs w:val="22"/>
        </w:rPr>
        <w:t>Salicilatai ir kiti nesteroidiniai priešuždegiminiai vaist</w:t>
      </w:r>
      <w:r>
        <w:rPr>
          <w:i/>
          <w:sz w:val="22"/>
          <w:szCs w:val="22"/>
        </w:rPr>
        <w:t>iniai preparatai</w:t>
      </w:r>
      <w:r w:rsidRPr="00D43A2F">
        <w:rPr>
          <w:i/>
          <w:sz w:val="22"/>
          <w:szCs w:val="22"/>
        </w:rPr>
        <w:t xml:space="preserve"> </w:t>
      </w:r>
    </w:p>
    <w:p w14:paraId="2D5945E8" w14:textId="77777777" w:rsidR="008F34FF" w:rsidRPr="00D43A2F" w:rsidRDefault="008F34FF" w:rsidP="008F34FF">
      <w:pPr>
        <w:rPr>
          <w:sz w:val="22"/>
          <w:szCs w:val="22"/>
        </w:rPr>
      </w:pPr>
      <w:r w:rsidRPr="00D43A2F">
        <w:rPr>
          <w:sz w:val="22"/>
          <w:szCs w:val="22"/>
        </w:rPr>
        <w:t>Kartu vartojant salicilatus, indometaciną ir kitus nesteroidinius priešuždegiminius vaist</w:t>
      </w:r>
      <w:r>
        <w:rPr>
          <w:sz w:val="22"/>
          <w:szCs w:val="22"/>
        </w:rPr>
        <w:t>inius preparatus</w:t>
      </w:r>
      <w:r w:rsidRPr="00D43A2F">
        <w:rPr>
          <w:sz w:val="22"/>
          <w:szCs w:val="22"/>
        </w:rPr>
        <w:t xml:space="preserve">, gali padidėti virškinamojo trakto opų atsiradimo ir kraujavimo iš virškinamojo trakto rizika (žr. 4.4.). Metilprednizolonas gali mažinti salicilatų koncentraciją serume, nes didina inkstų klirensą.  </w:t>
      </w:r>
    </w:p>
    <w:p w14:paraId="54DB9844" w14:textId="77777777" w:rsidR="008F34FF" w:rsidRPr="00D43A2F" w:rsidRDefault="008F34FF" w:rsidP="008F34FF">
      <w:pPr>
        <w:rPr>
          <w:sz w:val="22"/>
          <w:szCs w:val="22"/>
        </w:rPr>
      </w:pPr>
    </w:p>
    <w:p w14:paraId="07D7C691" w14:textId="47C5E554" w:rsidR="008F34FF" w:rsidRPr="00D43A2F" w:rsidRDefault="008F34FF" w:rsidP="008F34FF">
      <w:pPr>
        <w:rPr>
          <w:sz w:val="22"/>
          <w:szCs w:val="22"/>
        </w:rPr>
      </w:pPr>
      <w:r w:rsidRPr="00D43A2F">
        <w:rPr>
          <w:i/>
          <w:sz w:val="22"/>
          <w:szCs w:val="22"/>
        </w:rPr>
        <w:t>Insulinas ir geriamieji vaist</w:t>
      </w:r>
      <w:r>
        <w:rPr>
          <w:i/>
          <w:sz w:val="22"/>
          <w:szCs w:val="22"/>
        </w:rPr>
        <w:t>iniai preparatai</w:t>
      </w:r>
      <w:r w:rsidRPr="00D43A2F">
        <w:rPr>
          <w:i/>
          <w:sz w:val="22"/>
          <w:szCs w:val="22"/>
        </w:rPr>
        <w:t xml:space="preserve"> nuo diabeto</w:t>
      </w:r>
    </w:p>
    <w:p w14:paraId="7BE9515C" w14:textId="77777777" w:rsidR="008F34FF" w:rsidRPr="00D43A2F" w:rsidRDefault="008F34FF" w:rsidP="008F34FF">
      <w:pPr>
        <w:rPr>
          <w:sz w:val="22"/>
          <w:szCs w:val="22"/>
        </w:rPr>
      </w:pPr>
      <w:r w:rsidRPr="00D43A2F">
        <w:rPr>
          <w:sz w:val="22"/>
          <w:szCs w:val="22"/>
        </w:rPr>
        <w:t>Metilprednizolonas gali iš dalies mažinti hipoglikeminį geriamųjų vaist</w:t>
      </w:r>
      <w:r>
        <w:rPr>
          <w:sz w:val="22"/>
          <w:szCs w:val="22"/>
        </w:rPr>
        <w:t>inių preparatų</w:t>
      </w:r>
      <w:r w:rsidRPr="00D43A2F">
        <w:rPr>
          <w:sz w:val="22"/>
          <w:szCs w:val="22"/>
        </w:rPr>
        <w:t xml:space="preserve"> nuo diabeto ir insulino poveikį. </w:t>
      </w:r>
    </w:p>
    <w:p w14:paraId="40E32877" w14:textId="77777777" w:rsidR="008F34FF" w:rsidRPr="00D43A2F" w:rsidRDefault="008F34FF" w:rsidP="008F34FF">
      <w:pPr>
        <w:rPr>
          <w:sz w:val="22"/>
          <w:szCs w:val="22"/>
        </w:rPr>
      </w:pPr>
    </w:p>
    <w:p w14:paraId="7EF822E7" w14:textId="0DFBAC5F" w:rsidR="008F34FF" w:rsidRPr="00D43A2F" w:rsidRDefault="008F34FF" w:rsidP="008F34FF">
      <w:pPr>
        <w:rPr>
          <w:sz w:val="22"/>
          <w:szCs w:val="22"/>
        </w:rPr>
      </w:pPr>
      <w:r w:rsidRPr="00D43A2F">
        <w:rPr>
          <w:i/>
          <w:sz w:val="22"/>
          <w:szCs w:val="22"/>
        </w:rPr>
        <w:t>Fermentus sužadinantys vaist</w:t>
      </w:r>
      <w:r>
        <w:rPr>
          <w:i/>
          <w:sz w:val="22"/>
          <w:szCs w:val="22"/>
        </w:rPr>
        <w:t>iniai preparatai</w:t>
      </w:r>
    </w:p>
    <w:p w14:paraId="105FEA30" w14:textId="77777777" w:rsidR="008F34FF" w:rsidRPr="00D43A2F" w:rsidRDefault="008F34FF" w:rsidP="008F34FF">
      <w:pPr>
        <w:rPr>
          <w:sz w:val="22"/>
          <w:szCs w:val="22"/>
        </w:rPr>
      </w:pPr>
      <w:r w:rsidRPr="00D43A2F">
        <w:rPr>
          <w:sz w:val="22"/>
          <w:szCs w:val="22"/>
        </w:rPr>
        <w:t>Fermentus sužadinantys vaist</w:t>
      </w:r>
      <w:r>
        <w:rPr>
          <w:sz w:val="22"/>
          <w:szCs w:val="22"/>
        </w:rPr>
        <w:t>iniai preparatai</w:t>
      </w:r>
      <w:r w:rsidRPr="00D43A2F">
        <w:rPr>
          <w:sz w:val="22"/>
          <w:szCs w:val="22"/>
        </w:rPr>
        <w:t>, pvz., karbamazepinas, fenobarbitalis, fenitoinas, primidonas ir rifampicinas, didina sisteminį metilprednizolono klirensą, todėl silpnėja gliukokortikoidų poveikis.</w:t>
      </w:r>
    </w:p>
    <w:p w14:paraId="4AA7E710" w14:textId="77777777" w:rsidR="008F34FF" w:rsidRPr="00D43A2F" w:rsidRDefault="008F34FF" w:rsidP="008F34FF">
      <w:pPr>
        <w:rPr>
          <w:sz w:val="22"/>
          <w:szCs w:val="22"/>
        </w:rPr>
      </w:pPr>
    </w:p>
    <w:p w14:paraId="20467062" w14:textId="0B107EB9" w:rsidR="008F34FF" w:rsidRPr="00D43A2F" w:rsidRDefault="008F34FF" w:rsidP="008F34FF">
      <w:pPr>
        <w:rPr>
          <w:sz w:val="22"/>
          <w:szCs w:val="22"/>
        </w:rPr>
      </w:pPr>
      <w:r w:rsidRPr="00D43A2F">
        <w:rPr>
          <w:i/>
          <w:sz w:val="22"/>
          <w:szCs w:val="22"/>
        </w:rPr>
        <w:t>Fermentus slopinantys vaist</w:t>
      </w:r>
      <w:r>
        <w:rPr>
          <w:i/>
          <w:sz w:val="22"/>
          <w:szCs w:val="22"/>
        </w:rPr>
        <w:t>iniai preparatai</w:t>
      </w:r>
    </w:p>
    <w:p w14:paraId="49522E93" w14:textId="77777777" w:rsidR="008F34FF" w:rsidRPr="00D43A2F" w:rsidRDefault="008F34FF" w:rsidP="008F34FF">
      <w:pPr>
        <w:rPr>
          <w:sz w:val="22"/>
          <w:szCs w:val="22"/>
        </w:rPr>
      </w:pPr>
      <w:r w:rsidRPr="00D43A2F">
        <w:rPr>
          <w:sz w:val="22"/>
          <w:szCs w:val="22"/>
        </w:rPr>
        <w:t>Vaistai, slopinantys CYP3A4, pvz., klaritromicinas, eritromicinas, itrakonazol</w:t>
      </w:r>
      <w:r>
        <w:rPr>
          <w:sz w:val="22"/>
          <w:szCs w:val="22"/>
        </w:rPr>
        <w:t>a</w:t>
      </w:r>
      <w:r w:rsidRPr="00D43A2F">
        <w:rPr>
          <w:sz w:val="22"/>
          <w:szCs w:val="22"/>
        </w:rPr>
        <w:t>s, ketokonazol</w:t>
      </w:r>
      <w:r>
        <w:rPr>
          <w:sz w:val="22"/>
          <w:szCs w:val="22"/>
        </w:rPr>
        <w:t>a</w:t>
      </w:r>
      <w:r w:rsidRPr="00D43A2F">
        <w:rPr>
          <w:sz w:val="22"/>
          <w:szCs w:val="22"/>
        </w:rPr>
        <w:t>s ir troleandomicinas, didina metilprednizolono koncentraciją plazmoje ir lėtina jo eliminaciją, todėl gali stiprėti ir gydomasis, ir nepageidaujamas metilprednizolono poveikis. Metilprednizoloną vartojant su šiais vaist</w:t>
      </w:r>
      <w:r>
        <w:rPr>
          <w:sz w:val="22"/>
          <w:szCs w:val="22"/>
        </w:rPr>
        <w:t>iniais preparatais</w:t>
      </w:r>
      <w:r w:rsidRPr="00D43A2F">
        <w:rPr>
          <w:sz w:val="22"/>
          <w:szCs w:val="22"/>
        </w:rPr>
        <w:t xml:space="preserve">, reikia nuolat stebėti metilprednizolono koncentraciją organizme. </w:t>
      </w:r>
    </w:p>
    <w:p w14:paraId="70D1A879" w14:textId="77777777" w:rsidR="008F34FF" w:rsidRPr="00D43A2F" w:rsidRDefault="008F34FF" w:rsidP="008F34FF">
      <w:pPr>
        <w:rPr>
          <w:sz w:val="22"/>
          <w:szCs w:val="22"/>
        </w:rPr>
      </w:pPr>
    </w:p>
    <w:p w14:paraId="47923568" w14:textId="12DA3A41" w:rsidR="008F34FF" w:rsidRPr="00D43A2F" w:rsidRDefault="008F34FF" w:rsidP="008F34FF">
      <w:pPr>
        <w:rPr>
          <w:sz w:val="22"/>
          <w:szCs w:val="22"/>
        </w:rPr>
      </w:pPr>
      <w:r w:rsidRPr="00D43A2F">
        <w:rPr>
          <w:i/>
          <w:sz w:val="22"/>
          <w:szCs w:val="22"/>
        </w:rPr>
        <w:t>Estrogenai</w:t>
      </w:r>
    </w:p>
    <w:p w14:paraId="4F17AE72" w14:textId="77777777" w:rsidR="008F34FF" w:rsidRPr="00D43A2F" w:rsidRDefault="008F34FF" w:rsidP="008F34FF">
      <w:pPr>
        <w:rPr>
          <w:sz w:val="22"/>
          <w:szCs w:val="22"/>
        </w:rPr>
      </w:pPr>
      <w:r w:rsidRPr="00D43A2F">
        <w:rPr>
          <w:sz w:val="22"/>
          <w:szCs w:val="22"/>
        </w:rPr>
        <w:t>Estrogenai, lėtindami metilprednizolono metabolizmą, gali stiprinti jo poveikį. Nustatyta, kad estrogenai ne tik trumpina metilprednizolono pusinės eliminacijos periodą, bet ir mažina jo imuninę sistemą slopinantį poveikį.</w:t>
      </w:r>
    </w:p>
    <w:p w14:paraId="5A8C392F" w14:textId="77777777" w:rsidR="008F34FF" w:rsidRPr="00D43A2F" w:rsidRDefault="008F34FF" w:rsidP="008F34FF">
      <w:pPr>
        <w:rPr>
          <w:sz w:val="22"/>
          <w:szCs w:val="22"/>
        </w:rPr>
      </w:pPr>
    </w:p>
    <w:p w14:paraId="0B07D0D4" w14:textId="58F9882F" w:rsidR="008F34FF" w:rsidRPr="00D43A2F" w:rsidRDefault="008F34FF" w:rsidP="008F34FF">
      <w:pPr>
        <w:rPr>
          <w:sz w:val="22"/>
          <w:szCs w:val="22"/>
        </w:rPr>
      </w:pPr>
      <w:r w:rsidRPr="00D43A2F">
        <w:rPr>
          <w:i/>
          <w:sz w:val="22"/>
          <w:szCs w:val="22"/>
        </w:rPr>
        <w:t>Amfotericinas B, diuretikai ir vidurius paleidžiantys vaist</w:t>
      </w:r>
      <w:r>
        <w:rPr>
          <w:i/>
          <w:sz w:val="22"/>
          <w:szCs w:val="22"/>
        </w:rPr>
        <w:t>iniai preparatai</w:t>
      </w:r>
    </w:p>
    <w:p w14:paraId="45E313CE" w14:textId="77777777" w:rsidR="008F34FF" w:rsidRPr="00D43A2F" w:rsidRDefault="008F34FF" w:rsidP="008F34FF">
      <w:pPr>
        <w:rPr>
          <w:sz w:val="22"/>
          <w:szCs w:val="22"/>
        </w:rPr>
      </w:pPr>
      <w:r w:rsidRPr="00D43A2F">
        <w:rPr>
          <w:sz w:val="22"/>
          <w:szCs w:val="22"/>
        </w:rPr>
        <w:lastRenderedPageBreak/>
        <w:t>Metilprednizolonas gali skatinti pasišalinti kalį iš pacientų, kartu vartojančių šiuos vaist</w:t>
      </w:r>
      <w:r>
        <w:rPr>
          <w:sz w:val="22"/>
          <w:szCs w:val="22"/>
        </w:rPr>
        <w:t>inius preparatus</w:t>
      </w:r>
      <w:r w:rsidRPr="00D43A2F">
        <w:rPr>
          <w:sz w:val="22"/>
          <w:szCs w:val="22"/>
        </w:rPr>
        <w:t>, organizmo.</w:t>
      </w:r>
    </w:p>
    <w:p w14:paraId="337BA7EB" w14:textId="77777777" w:rsidR="008F34FF" w:rsidRPr="00D43A2F" w:rsidRDefault="008F34FF" w:rsidP="008F34FF">
      <w:pPr>
        <w:rPr>
          <w:sz w:val="22"/>
          <w:szCs w:val="22"/>
        </w:rPr>
      </w:pPr>
    </w:p>
    <w:p w14:paraId="6C1C24AD" w14:textId="77EA523B" w:rsidR="008F34FF" w:rsidRPr="00D43A2F" w:rsidRDefault="008F34FF" w:rsidP="008F34FF">
      <w:pPr>
        <w:rPr>
          <w:sz w:val="22"/>
          <w:szCs w:val="22"/>
        </w:rPr>
      </w:pPr>
      <w:r w:rsidRPr="00D43A2F">
        <w:rPr>
          <w:i/>
          <w:sz w:val="22"/>
          <w:szCs w:val="22"/>
        </w:rPr>
        <w:t>Imunosupresantai</w:t>
      </w:r>
    </w:p>
    <w:p w14:paraId="0EB7F849" w14:textId="77777777" w:rsidR="008F34FF" w:rsidRPr="00D43A2F" w:rsidRDefault="008F34FF" w:rsidP="008F34FF">
      <w:pPr>
        <w:rPr>
          <w:sz w:val="22"/>
          <w:szCs w:val="22"/>
        </w:rPr>
      </w:pPr>
      <w:r w:rsidRPr="00D43A2F">
        <w:rPr>
          <w:sz w:val="22"/>
          <w:szCs w:val="22"/>
        </w:rPr>
        <w:t>Metilprednizolonas stiprina kartu vartojamų kitų imunosupresantų imunitetą slopinantį poveikį, todėl arba stiprėja gydomasis poveikis, arba didėja įvairių nepageidaujamų reakcijų rizika. Gliukokortikoidai gerina antiemetinių vaist</w:t>
      </w:r>
      <w:r>
        <w:rPr>
          <w:sz w:val="22"/>
          <w:szCs w:val="22"/>
        </w:rPr>
        <w:t>inių preparatų</w:t>
      </w:r>
      <w:r w:rsidRPr="00D43A2F">
        <w:rPr>
          <w:sz w:val="22"/>
          <w:szCs w:val="22"/>
        </w:rPr>
        <w:t xml:space="preserve">, skiriamų priešvėžinių vaistų sukeltam vėmimui gydyti, pykinimą slopinantį poveikį. Registruota pavienių traukulių atvejų, kai metilprednizolono buvo vartojama kartu su ciklosporinu. </w:t>
      </w:r>
    </w:p>
    <w:p w14:paraId="42BCD0AD" w14:textId="77777777" w:rsidR="008F34FF" w:rsidRPr="00D43A2F" w:rsidRDefault="008F34FF" w:rsidP="008F34FF">
      <w:pPr>
        <w:rPr>
          <w:sz w:val="22"/>
          <w:szCs w:val="22"/>
        </w:rPr>
      </w:pPr>
    </w:p>
    <w:p w14:paraId="34FA94EA" w14:textId="7361957F" w:rsidR="008F34FF" w:rsidRPr="00D43A2F" w:rsidRDefault="008F34FF" w:rsidP="008F34FF">
      <w:pPr>
        <w:rPr>
          <w:sz w:val="22"/>
          <w:szCs w:val="22"/>
        </w:rPr>
      </w:pPr>
      <w:r w:rsidRPr="00D43A2F">
        <w:rPr>
          <w:i/>
          <w:sz w:val="22"/>
          <w:szCs w:val="22"/>
        </w:rPr>
        <w:t>Imunizacija</w:t>
      </w:r>
    </w:p>
    <w:p w14:paraId="0C2F978C" w14:textId="77777777" w:rsidR="008F34FF" w:rsidRPr="00D43A2F" w:rsidRDefault="008F34FF" w:rsidP="008F34FF">
      <w:pPr>
        <w:rPr>
          <w:sz w:val="22"/>
          <w:szCs w:val="22"/>
        </w:rPr>
      </w:pPr>
      <w:r w:rsidRPr="00D43A2F">
        <w:rPr>
          <w:sz w:val="22"/>
          <w:szCs w:val="22"/>
        </w:rPr>
        <w:t xml:space="preserve">Kartu vartojant gliukokortikoidus, gali silpnėti imunizacinis skiepų poveikis ir didėti skiepų sukeliamų neurologinių komplikacijų rizika. Gyvų virusų vakcinos pacientams, vartojantiems gliukokortikoidus, gali didinti virusinės infekcijos riziką. </w:t>
      </w:r>
    </w:p>
    <w:p w14:paraId="18D594BA" w14:textId="77777777" w:rsidR="008F34FF" w:rsidRPr="00D43A2F" w:rsidRDefault="008F34FF" w:rsidP="008F34FF">
      <w:pPr>
        <w:rPr>
          <w:sz w:val="22"/>
          <w:szCs w:val="22"/>
        </w:rPr>
      </w:pPr>
    </w:p>
    <w:p w14:paraId="1ADABEC8" w14:textId="01B110EB" w:rsidR="008F34FF" w:rsidRPr="00D43A2F" w:rsidRDefault="008F34FF" w:rsidP="008F34FF">
      <w:pPr>
        <w:rPr>
          <w:sz w:val="22"/>
          <w:szCs w:val="22"/>
        </w:rPr>
      </w:pPr>
      <w:r w:rsidRPr="00D43A2F">
        <w:rPr>
          <w:i/>
          <w:sz w:val="22"/>
          <w:szCs w:val="22"/>
        </w:rPr>
        <w:t>Kiti</w:t>
      </w:r>
    </w:p>
    <w:p w14:paraId="54D5B919" w14:textId="77777777" w:rsidR="008F34FF" w:rsidRPr="00D43A2F" w:rsidRDefault="008F34FF" w:rsidP="008F34FF">
      <w:pPr>
        <w:rPr>
          <w:sz w:val="22"/>
          <w:szCs w:val="22"/>
        </w:rPr>
      </w:pPr>
      <w:r w:rsidRPr="00D43A2F">
        <w:rPr>
          <w:sz w:val="22"/>
          <w:szCs w:val="22"/>
        </w:rPr>
        <w:t xml:space="preserve">Registruoti du sunkūs ūminės miopatijos atvejai senyviems pacientams, kartu vartojusiems doksakuro chloridą ir metilprednizoloną. </w:t>
      </w:r>
    </w:p>
    <w:p w14:paraId="262AE7FF" w14:textId="77777777" w:rsidR="008F34FF" w:rsidRPr="00D43A2F" w:rsidRDefault="008F34FF" w:rsidP="008F34FF">
      <w:pPr>
        <w:rPr>
          <w:sz w:val="22"/>
          <w:szCs w:val="22"/>
        </w:rPr>
      </w:pPr>
    </w:p>
    <w:p w14:paraId="5712FB66" w14:textId="77777777" w:rsidR="008F34FF" w:rsidRPr="00D43A2F" w:rsidRDefault="008F34FF" w:rsidP="008F34FF">
      <w:pPr>
        <w:rPr>
          <w:sz w:val="22"/>
          <w:szCs w:val="22"/>
        </w:rPr>
      </w:pPr>
      <w:r w:rsidRPr="00D43A2F">
        <w:rPr>
          <w:sz w:val="22"/>
          <w:szCs w:val="22"/>
        </w:rPr>
        <w:t>Galima sąveika su širdį veikiančiais glikozidais.</w:t>
      </w:r>
    </w:p>
    <w:p w14:paraId="0E436920" w14:textId="77777777" w:rsidR="008F34FF" w:rsidRPr="00D43A2F" w:rsidRDefault="008F34FF" w:rsidP="008F34FF">
      <w:pPr>
        <w:rPr>
          <w:sz w:val="22"/>
          <w:szCs w:val="22"/>
        </w:rPr>
      </w:pPr>
    </w:p>
    <w:p w14:paraId="636A510C" w14:textId="77777777" w:rsidR="002D0E20" w:rsidRDefault="008F34FF" w:rsidP="008F34FF">
      <w:pPr>
        <w:rPr>
          <w:sz w:val="22"/>
          <w:szCs w:val="22"/>
        </w:rPr>
      </w:pPr>
      <w:r w:rsidRPr="00D43A2F">
        <w:rPr>
          <w:sz w:val="22"/>
          <w:szCs w:val="22"/>
        </w:rPr>
        <w:t>Ilgalaikis gydymas gliukokortikoidais gali mažinti somatotropino efektyvumą.</w:t>
      </w:r>
    </w:p>
    <w:p w14:paraId="1CAC7F83" w14:textId="77777777" w:rsidR="002D0E20" w:rsidRDefault="002D0E20" w:rsidP="008F34FF">
      <w:pPr>
        <w:rPr>
          <w:sz w:val="22"/>
          <w:szCs w:val="22"/>
        </w:rPr>
      </w:pPr>
    </w:p>
    <w:p w14:paraId="4B24A7C6" w14:textId="20A494C4" w:rsidR="008F34FF" w:rsidRPr="00D43A2F" w:rsidRDefault="002D0E20" w:rsidP="008F34FF">
      <w:pPr>
        <w:rPr>
          <w:sz w:val="22"/>
          <w:szCs w:val="22"/>
        </w:rPr>
      </w:pPr>
      <w:r w:rsidRPr="0059196C">
        <w:rPr>
          <w:sz w:val="22"/>
          <w:szCs w:val="22"/>
        </w:rPr>
        <w:t>Tikėtina, kad, kartu taikomas gydymas CYP3A inhibitoriais, įskaitant vaistinius preparatus, kurių sudėtyje yra kobicistato, padidins sisteminio šalutinio poveikio riziką.</w:t>
      </w:r>
      <w:r>
        <w:rPr>
          <w:sz w:val="22"/>
          <w:szCs w:val="22"/>
        </w:rPr>
        <w:t xml:space="preserve"> </w:t>
      </w:r>
      <w:r w:rsidRPr="003B40BD">
        <w:rPr>
          <w:sz w:val="22"/>
          <w:szCs w:val="22"/>
        </w:rPr>
        <w:t>Tokio derinio turi būti vengiama, išskyrus atvejus, kai jo teikiama nauda viršija padidėjusią kortikosteroidų sisteminio nepageidaujamo poveikio riziką – tokiais atvejais pacientai turi būti stebimi dėl sisteminio kortikosteroidų šalutinio poveikio.</w:t>
      </w:r>
      <w:r w:rsidR="008F34FF" w:rsidRPr="00D43A2F">
        <w:rPr>
          <w:sz w:val="22"/>
          <w:szCs w:val="22"/>
        </w:rPr>
        <w:t xml:space="preserve"> </w:t>
      </w:r>
    </w:p>
    <w:p w14:paraId="584524C7" w14:textId="77777777" w:rsidR="008F34FF" w:rsidRPr="00D43A2F" w:rsidRDefault="008F34FF" w:rsidP="008F34FF">
      <w:pPr>
        <w:pStyle w:val="Pagrindinistekstas"/>
        <w:spacing w:after="0"/>
        <w:rPr>
          <w:szCs w:val="22"/>
        </w:rPr>
      </w:pPr>
      <w:bookmarkStart w:id="22" w:name="_Toc129243107"/>
      <w:bookmarkStart w:id="23" w:name="_Toc129243232"/>
      <w:bookmarkEnd w:id="20"/>
      <w:bookmarkEnd w:id="21"/>
    </w:p>
    <w:p w14:paraId="6FA0DBEE" w14:textId="77777777" w:rsidR="008F34FF" w:rsidRPr="00D43A2F" w:rsidRDefault="008F34FF" w:rsidP="008F34FF">
      <w:pPr>
        <w:pStyle w:val="PI-2EMEASMCA"/>
      </w:pPr>
      <w:r w:rsidRPr="00D43A2F">
        <w:t>4.6</w:t>
      </w:r>
      <w:r w:rsidRPr="00D43A2F">
        <w:tab/>
      </w:r>
      <w:r>
        <w:t>Vaisingumas, n</w:t>
      </w:r>
      <w:r w:rsidRPr="00D43A2F">
        <w:t>ėštumo ir žindymo laikotarpis</w:t>
      </w:r>
    </w:p>
    <w:p w14:paraId="09221A0C" w14:textId="77777777" w:rsidR="008F34FF" w:rsidRPr="00D43A2F" w:rsidRDefault="008F34FF" w:rsidP="008F34FF">
      <w:pPr>
        <w:pStyle w:val="BTEMEASMCA"/>
      </w:pPr>
    </w:p>
    <w:p w14:paraId="7C4DF714" w14:textId="77777777" w:rsidR="008F34FF" w:rsidRPr="00D43A2F" w:rsidRDefault="008F34FF" w:rsidP="008F34FF">
      <w:pPr>
        <w:rPr>
          <w:sz w:val="22"/>
          <w:szCs w:val="22"/>
        </w:rPr>
      </w:pPr>
      <w:r w:rsidRPr="00D43A2F">
        <w:rPr>
          <w:sz w:val="22"/>
          <w:szCs w:val="22"/>
        </w:rPr>
        <w:t xml:space="preserve">Metilprednizolonas praeina pro placentos barjerą ir išsiskiria į motinos pieną. </w:t>
      </w:r>
    </w:p>
    <w:p w14:paraId="560CA75C" w14:textId="77777777" w:rsidR="008F34FF" w:rsidRDefault="008F34FF" w:rsidP="008F34FF">
      <w:pPr>
        <w:rPr>
          <w:sz w:val="22"/>
          <w:szCs w:val="22"/>
        </w:rPr>
      </w:pPr>
    </w:p>
    <w:p w14:paraId="3E7D603E" w14:textId="6FA0C93E" w:rsidR="008F34FF" w:rsidRPr="009D27A8" w:rsidRDefault="00973A6B" w:rsidP="008F34FF">
      <w:pPr>
        <w:rPr>
          <w:sz w:val="22"/>
          <w:szCs w:val="22"/>
          <w:u w:val="single"/>
        </w:rPr>
      </w:pPr>
      <w:r w:rsidRPr="009D27A8">
        <w:rPr>
          <w:sz w:val="22"/>
          <w:szCs w:val="22"/>
          <w:u w:val="single"/>
        </w:rPr>
        <w:t>Nėštumas</w:t>
      </w:r>
    </w:p>
    <w:p w14:paraId="6AE212F9" w14:textId="77777777" w:rsidR="008F34FF" w:rsidRPr="00D43A2F" w:rsidRDefault="008F34FF" w:rsidP="008F34FF">
      <w:pPr>
        <w:rPr>
          <w:sz w:val="22"/>
          <w:szCs w:val="22"/>
        </w:rPr>
      </w:pPr>
      <w:r w:rsidRPr="00D43A2F">
        <w:rPr>
          <w:sz w:val="22"/>
          <w:szCs w:val="22"/>
        </w:rPr>
        <w:t xml:space="preserve">Kai kurių nėščiųjų gydymas gliukokortikoidais sulėtino vaisiaus augimą ir šiek tiek susiaurino arterinį lataką. Tyrimų su gyvūnais duomenimis, galima nedidelė įgimtų anomalijų, pavyzdžiui, lūpos ir/arba gomurio nesuaugimo, rizika, nors tokia žala žmonėms neįrodyta. Gydymas gliukokortikoidais trečiuoju nėštumo trimestru gali sukelti panašias nepageidaujamas reakcijas kaip ir ilgalaikis gydymas gliukokortikoidais. Numatoma nėščiųjų gydymo gliukokortikoidais nauda turi būti kruopščiai įvertinta ir palyginta su galima rizika vaisiui. Tačiau būtino gydymo šiuo vaistu nereikėtų nutraukti. Nėščiųjų, gydytų gliukokortikoidais, naujagimius reikia atidžiai stebėti dėl hipoadrenalizmo požymių. </w:t>
      </w:r>
    </w:p>
    <w:p w14:paraId="7DFEBC3C" w14:textId="77777777" w:rsidR="008F34FF" w:rsidRDefault="008F34FF" w:rsidP="008F34FF">
      <w:pPr>
        <w:rPr>
          <w:sz w:val="22"/>
          <w:szCs w:val="22"/>
        </w:rPr>
      </w:pPr>
    </w:p>
    <w:p w14:paraId="30884BA6" w14:textId="77777777" w:rsidR="008F34FF" w:rsidRPr="009D27A8" w:rsidRDefault="008F34FF" w:rsidP="008F34FF">
      <w:pPr>
        <w:rPr>
          <w:sz w:val="22"/>
          <w:szCs w:val="22"/>
          <w:u w:val="single"/>
        </w:rPr>
      </w:pPr>
      <w:r w:rsidRPr="009D27A8">
        <w:rPr>
          <w:sz w:val="22"/>
          <w:szCs w:val="22"/>
          <w:u w:val="single"/>
        </w:rPr>
        <w:t>Žindymas</w:t>
      </w:r>
    </w:p>
    <w:p w14:paraId="77CAF0E6" w14:textId="77777777" w:rsidR="008F34FF" w:rsidRDefault="008F34FF" w:rsidP="008F34FF">
      <w:pPr>
        <w:rPr>
          <w:sz w:val="22"/>
          <w:szCs w:val="22"/>
        </w:rPr>
      </w:pPr>
      <w:r w:rsidRPr="00D43A2F">
        <w:rPr>
          <w:sz w:val="22"/>
          <w:szCs w:val="22"/>
        </w:rPr>
        <w:t>Ilgalaikio gydymo gliukokortikoidais metu žindyti nerekomenduojama.</w:t>
      </w:r>
    </w:p>
    <w:p w14:paraId="3F88A057" w14:textId="77777777" w:rsidR="008F34FF" w:rsidRDefault="008F34FF" w:rsidP="008F34FF">
      <w:pPr>
        <w:rPr>
          <w:sz w:val="22"/>
          <w:szCs w:val="22"/>
        </w:rPr>
      </w:pPr>
    </w:p>
    <w:p w14:paraId="777BFBF3" w14:textId="77777777" w:rsidR="008F34FF" w:rsidRPr="009D27A8" w:rsidRDefault="008F34FF" w:rsidP="008F34FF">
      <w:pPr>
        <w:ind w:left="567" w:hanging="567"/>
        <w:rPr>
          <w:sz w:val="22"/>
          <w:szCs w:val="22"/>
          <w:u w:val="single"/>
        </w:rPr>
      </w:pPr>
      <w:r w:rsidRPr="009D27A8">
        <w:rPr>
          <w:sz w:val="22"/>
          <w:szCs w:val="22"/>
          <w:u w:val="single"/>
        </w:rPr>
        <w:t>Vaisingumas</w:t>
      </w:r>
    </w:p>
    <w:p w14:paraId="6A7D8B04" w14:textId="77777777" w:rsidR="008F34FF" w:rsidRPr="00B612EE" w:rsidRDefault="008F34FF" w:rsidP="008F34FF">
      <w:pPr>
        <w:autoSpaceDE w:val="0"/>
        <w:autoSpaceDN w:val="0"/>
        <w:adjustRightInd w:val="0"/>
        <w:rPr>
          <w:bCs/>
          <w:sz w:val="22"/>
          <w:szCs w:val="22"/>
        </w:rPr>
      </w:pPr>
      <w:r w:rsidRPr="00B612EE">
        <w:rPr>
          <w:bCs/>
          <w:sz w:val="22"/>
          <w:szCs w:val="22"/>
        </w:rPr>
        <w:t>Duomenų, gautų atlikus tyrimus su gyvūnais, nepakanka, kad būtų galima spręsti apie</w:t>
      </w:r>
    </w:p>
    <w:p w14:paraId="6D4B0E76" w14:textId="77777777" w:rsidR="008F34FF" w:rsidRPr="00B612EE" w:rsidRDefault="008F34FF" w:rsidP="008F34FF">
      <w:pPr>
        <w:autoSpaceDE w:val="0"/>
        <w:autoSpaceDN w:val="0"/>
        <w:adjustRightInd w:val="0"/>
        <w:rPr>
          <w:bCs/>
          <w:sz w:val="22"/>
          <w:szCs w:val="22"/>
        </w:rPr>
      </w:pPr>
      <w:r w:rsidRPr="00B612EE">
        <w:rPr>
          <w:bCs/>
          <w:sz w:val="22"/>
          <w:szCs w:val="22"/>
        </w:rPr>
        <w:t>poveikį vaisingumui.</w:t>
      </w:r>
    </w:p>
    <w:p w14:paraId="2EEEAFCD" w14:textId="06554FE1" w:rsidR="008F34FF" w:rsidRPr="00D43A2F" w:rsidRDefault="008F34FF" w:rsidP="009D27A8">
      <w:pPr>
        <w:rPr>
          <w:sz w:val="22"/>
          <w:szCs w:val="22"/>
        </w:rPr>
      </w:pPr>
      <w:r w:rsidRPr="00D43A2F">
        <w:rPr>
          <w:sz w:val="22"/>
          <w:szCs w:val="22"/>
        </w:rPr>
        <w:t xml:space="preserve"> </w:t>
      </w:r>
    </w:p>
    <w:p w14:paraId="15DB1B20" w14:textId="3AB2CB94" w:rsidR="008F34FF" w:rsidRPr="00D43A2F" w:rsidRDefault="008F34FF" w:rsidP="008F34FF">
      <w:pPr>
        <w:pStyle w:val="PI-2EMEASMCA"/>
      </w:pPr>
      <w:bookmarkStart w:id="24" w:name="_Toc129243108"/>
      <w:bookmarkStart w:id="25" w:name="_Toc129243233"/>
      <w:bookmarkEnd w:id="22"/>
      <w:bookmarkEnd w:id="23"/>
      <w:r w:rsidRPr="00D43A2F">
        <w:t>4.7</w:t>
      </w:r>
      <w:r w:rsidRPr="00D43A2F">
        <w:tab/>
        <w:t>Poveikis gebėjimui vairuoti ir valdyti mechanizmus</w:t>
      </w:r>
      <w:bookmarkEnd w:id="24"/>
      <w:bookmarkEnd w:id="25"/>
    </w:p>
    <w:p w14:paraId="11AC5153" w14:textId="77777777" w:rsidR="008F34FF" w:rsidRPr="00D43A2F" w:rsidRDefault="008F34FF" w:rsidP="008F34FF">
      <w:pPr>
        <w:pStyle w:val="BTEMEASMCA"/>
      </w:pPr>
    </w:p>
    <w:p w14:paraId="1AB8A78F" w14:textId="77777777" w:rsidR="008F34FF" w:rsidRPr="00D43A2F" w:rsidRDefault="008F34FF" w:rsidP="008F34FF">
      <w:pPr>
        <w:pStyle w:val="BTEMEASMCA"/>
      </w:pPr>
      <w:r w:rsidRPr="00D43A2F">
        <w:t>Gliukokortikoidai gebėjimo vairuoti ir valdyti mechanizmus paprastai neveikia. Su gydymu ar gydymo nutraukimu susiję nuotaikos pokyčiai gali veikti gebėjimą vairuoti.</w:t>
      </w:r>
    </w:p>
    <w:p w14:paraId="3900DA96" w14:textId="77777777" w:rsidR="008F34FF" w:rsidRPr="00D43A2F" w:rsidRDefault="008F34FF" w:rsidP="008F34FF">
      <w:pPr>
        <w:pStyle w:val="BTEMEASMCA"/>
      </w:pPr>
    </w:p>
    <w:p w14:paraId="70CE8AD3" w14:textId="77777777" w:rsidR="008F34FF" w:rsidRPr="00D43A2F" w:rsidRDefault="008F34FF" w:rsidP="008F34FF">
      <w:pPr>
        <w:numPr>
          <w:ilvl w:val="1"/>
          <w:numId w:val="4"/>
        </w:numPr>
        <w:outlineLvl w:val="0"/>
        <w:rPr>
          <w:b/>
          <w:noProof/>
          <w:sz w:val="22"/>
          <w:szCs w:val="22"/>
        </w:rPr>
      </w:pPr>
      <w:bookmarkStart w:id="26" w:name="_Toc129243109"/>
      <w:bookmarkStart w:id="27" w:name="_Toc129243234"/>
      <w:r w:rsidRPr="00D43A2F">
        <w:rPr>
          <w:b/>
          <w:noProof/>
          <w:sz w:val="22"/>
          <w:szCs w:val="22"/>
        </w:rPr>
        <w:t>Nepageidaujamas poveikis</w:t>
      </w:r>
    </w:p>
    <w:p w14:paraId="3EB0B4CB" w14:textId="77777777" w:rsidR="008F34FF" w:rsidRPr="00D43A2F" w:rsidRDefault="008F34FF" w:rsidP="008F34FF">
      <w:pPr>
        <w:pStyle w:val="BTEMEASMCA"/>
      </w:pPr>
    </w:p>
    <w:p w14:paraId="1C149834" w14:textId="77777777" w:rsidR="008F34FF" w:rsidRPr="00D43A2F" w:rsidRDefault="008F34FF" w:rsidP="008F34FF">
      <w:pPr>
        <w:rPr>
          <w:sz w:val="22"/>
          <w:szCs w:val="22"/>
        </w:rPr>
      </w:pPr>
      <w:r w:rsidRPr="00D43A2F">
        <w:rPr>
          <w:sz w:val="22"/>
          <w:szCs w:val="22"/>
        </w:rPr>
        <w:lastRenderedPageBreak/>
        <w:t xml:space="preserve">Metilprednizolono sukeliamos nepageidaujamos reakcijos yra panašios į tas, kurias sukelia kiti gliukokortikoidai. Nepanašu, kad vienkartinė, nors ir didelė, metilprednizolono dozė ar trumpas vienos savaitės gydymo kursas galėtų būti žalingi. Priešingai, nepageidaujamos reakcijos yra dažnos ilgai gydant. </w:t>
      </w:r>
    </w:p>
    <w:p w14:paraId="5D1FCF2B" w14:textId="77777777" w:rsidR="008F34FF" w:rsidRPr="00D43A2F" w:rsidRDefault="008F34FF" w:rsidP="008F34FF">
      <w:pPr>
        <w:rPr>
          <w:sz w:val="22"/>
          <w:szCs w:val="22"/>
        </w:rPr>
      </w:pPr>
    </w:p>
    <w:p w14:paraId="285B7B04" w14:textId="77777777" w:rsidR="008F34FF" w:rsidRPr="00D43A2F" w:rsidRDefault="008F34FF" w:rsidP="008F34FF">
      <w:pPr>
        <w:pStyle w:val="Pavadinimas"/>
        <w:jc w:val="left"/>
        <w:rPr>
          <w:i/>
          <w:noProof/>
          <w:szCs w:val="22"/>
          <w:lang w:val="lt-LT"/>
        </w:rPr>
      </w:pPr>
      <w:r w:rsidRPr="00D43A2F">
        <w:rPr>
          <w:b w:val="0"/>
          <w:i/>
          <w:noProof/>
          <w:szCs w:val="22"/>
          <w:lang w:val="lt-LT"/>
        </w:rPr>
        <w:t>Infekcijos ir infestacijos</w:t>
      </w:r>
    </w:p>
    <w:p w14:paraId="588B0C7D" w14:textId="77777777" w:rsidR="008F34FF" w:rsidRPr="00D43A2F" w:rsidRDefault="008F34FF" w:rsidP="008F34FF">
      <w:pPr>
        <w:rPr>
          <w:sz w:val="22"/>
          <w:szCs w:val="22"/>
        </w:rPr>
      </w:pPr>
      <w:r w:rsidRPr="00D43A2F">
        <w:rPr>
          <w:sz w:val="22"/>
          <w:szCs w:val="22"/>
        </w:rPr>
        <w:t xml:space="preserve">Gliukokortikoidai gali pasunkinti lėtines infekcijas ar maskuoti infekcijų požymius (žr. 4.3.). Taip pat gali sulėtėti žaizdų gijimas ir randinio audinio formavimasis. </w:t>
      </w:r>
    </w:p>
    <w:p w14:paraId="696AEE8D" w14:textId="77777777" w:rsidR="008F34FF" w:rsidRPr="00D43A2F" w:rsidRDefault="008F34FF" w:rsidP="008F34FF">
      <w:pPr>
        <w:pStyle w:val="Pavadinimas"/>
        <w:jc w:val="left"/>
        <w:rPr>
          <w:b w:val="0"/>
          <w:i/>
          <w:noProof/>
          <w:szCs w:val="22"/>
          <w:lang w:val="lt-LT"/>
        </w:rPr>
      </w:pPr>
    </w:p>
    <w:p w14:paraId="464E7A94" w14:textId="77777777" w:rsidR="008F34FF" w:rsidRPr="00D43A2F" w:rsidRDefault="008F34FF" w:rsidP="008F34FF">
      <w:pPr>
        <w:pStyle w:val="Pavadinimas"/>
        <w:jc w:val="left"/>
        <w:rPr>
          <w:i/>
          <w:noProof/>
          <w:szCs w:val="22"/>
          <w:lang w:val="lt-LT"/>
        </w:rPr>
      </w:pPr>
      <w:r w:rsidRPr="00D43A2F">
        <w:rPr>
          <w:b w:val="0"/>
          <w:i/>
          <w:noProof/>
          <w:szCs w:val="22"/>
          <w:lang w:val="lt-LT"/>
        </w:rPr>
        <w:t>Kraujo ir limfinės sistemos sutrikimai</w:t>
      </w:r>
    </w:p>
    <w:p w14:paraId="4BC1540F" w14:textId="77777777" w:rsidR="008F34FF" w:rsidRPr="00D43A2F" w:rsidRDefault="008F34FF" w:rsidP="008F34FF">
      <w:pPr>
        <w:rPr>
          <w:sz w:val="22"/>
          <w:szCs w:val="22"/>
        </w:rPr>
      </w:pPr>
      <w:r w:rsidRPr="00D43A2F">
        <w:rPr>
          <w:sz w:val="22"/>
          <w:szCs w:val="22"/>
        </w:rPr>
        <w:t>Bendras leukocitų skaičius padidėja</w:t>
      </w:r>
      <w:r>
        <w:rPr>
          <w:sz w:val="22"/>
          <w:szCs w:val="22"/>
        </w:rPr>
        <w:t xml:space="preserve"> (leukocitozė)</w:t>
      </w:r>
      <w:r w:rsidRPr="00D43A2F">
        <w:rPr>
          <w:sz w:val="22"/>
          <w:szCs w:val="22"/>
        </w:rPr>
        <w:t xml:space="preserve">, o eozinofilų, monocitų ir limfocitų skaičius sumažėja. Taip pat sumažėja limfinio audinio tūris. </w:t>
      </w:r>
    </w:p>
    <w:p w14:paraId="52C2AA8D" w14:textId="77777777" w:rsidR="008F34FF" w:rsidRPr="00D43A2F" w:rsidRDefault="008F34FF" w:rsidP="008F34FF">
      <w:pPr>
        <w:rPr>
          <w:sz w:val="22"/>
          <w:szCs w:val="22"/>
        </w:rPr>
      </w:pPr>
      <w:r w:rsidRPr="00D43A2F">
        <w:rPr>
          <w:sz w:val="22"/>
          <w:szCs w:val="22"/>
        </w:rPr>
        <w:t xml:space="preserve">Kraujo krešumas gali padidėti, todėl gali didėti trombozių rizika. Kitos reakcijos, susijusios su gliukokortikoidų poveikiu kraujo krešumui, yra poodinė ekchimozė, purpura ir mėlynojo kojos piršto sindromas. </w:t>
      </w:r>
    </w:p>
    <w:p w14:paraId="1115BAAB" w14:textId="77777777" w:rsidR="008F34FF" w:rsidRPr="00D43A2F" w:rsidRDefault="008F34FF" w:rsidP="008F34FF">
      <w:pPr>
        <w:rPr>
          <w:sz w:val="22"/>
          <w:szCs w:val="22"/>
        </w:rPr>
      </w:pPr>
    </w:p>
    <w:p w14:paraId="09A6E4A0" w14:textId="77777777" w:rsidR="008F34FF" w:rsidRPr="00D43A2F" w:rsidRDefault="008F34FF" w:rsidP="008F34FF">
      <w:pPr>
        <w:rPr>
          <w:sz w:val="22"/>
          <w:szCs w:val="22"/>
        </w:rPr>
      </w:pPr>
      <w:r w:rsidRPr="00D43A2F">
        <w:rPr>
          <w:i/>
          <w:noProof/>
          <w:sz w:val="22"/>
          <w:szCs w:val="22"/>
        </w:rPr>
        <w:t>Imuninės sistemos sutrikimai</w:t>
      </w:r>
    </w:p>
    <w:p w14:paraId="629D91EF" w14:textId="77777777" w:rsidR="008F34FF" w:rsidRPr="00D43A2F" w:rsidRDefault="008F34FF" w:rsidP="008F34FF">
      <w:pPr>
        <w:rPr>
          <w:sz w:val="22"/>
          <w:szCs w:val="22"/>
        </w:rPr>
      </w:pPr>
      <w:r w:rsidRPr="00D43A2F">
        <w:rPr>
          <w:sz w:val="22"/>
          <w:szCs w:val="22"/>
        </w:rPr>
        <w:t xml:space="preserve">Aprašyta alerginių, iš jų ir anafilaksinių, reakcijų nuo įvairių metilprednizolono druskų ar pagalbinių medžiagų, pasibaigusių mirtimi. </w:t>
      </w:r>
    </w:p>
    <w:p w14:paraId="51F4666C" w14:textId="77777777" w:rsidR="008F34FF" w:rsidRPr="00D43A2F" w:rsidRDefault="008F34FF" w:rsidP="008F34FF">
      <w:pPr>
        <w:rPr>
          <w:sz w:val="22"/>
          <w:szCs w:val="22"/>
        </w:rPr>
      </w:pPr>
    </w:p>
    <w:p w14:paraId="280A2CF4" w14:textId="77777777" w:rsidR="008F34FF" w:rsidRPr="00D43A2F" w:rsidRDefault="008F34FF" w:rsidP="008F34FF">
      <w:pPr>
        <w:rPr>
          <w:i/>
          <w:sz w:val="22"/>
          <w:szCs w:val="22"/>
        </w:rPr>
      </w:pPr>
      <w:r w:rsidRPr="00D43A2F">
        <w:rPr>
          <w:i/>
          <w:noProof/>
          <w:sz w:val="22"/>
          <w:szCs w:val="22"/>
        </w:rPr>
        <w:t>Endokrininiai sutrikimai bei metabolizmo ir mitybos sutrikimai</w:t>
      </w:r>
    </w:p>
    <w:p w14:paraId="296B5FD0" w14:textId="77777777" w:rsidR="008F34FF" w:rsidRPr="00D43A2F" w:rsidRDefault="008F34FF" w:rsidP="008F34FF">
      <w:pPr>
        <w:rPr>
          <w:sz w:val="22"/>
          <w:szCs w:val="22"/>
        </w:rPr>
      </w:pPr>
      <w:r w:rsidRPr="00D43A2F">
        <w:rPr>
          <w:sz w:val="22"/>
          <w:szCs w:val="22"/>
        </w:rPr>
        <w:t>Dėl ilgalaikio gydymo gliukokortikoidais galimi antinksčių slopinimas ir atrofija, todėl stresas, pavyzdžiui, operacija ar infekcija, gali sukelti hipotenziją, hipoglikemiją ar net mirtį, jeigu prireikus nedidinama steroidų koncentracija (žr. 4.4.).</w:t>
      </w:r>
    </w:p>
    <w:p w14:paraId="174779DE" w14:textId="77777777" w:rsidR="008F34FF" w:rsidRPr="00D43A2F" w:rsidRDefault="008F34FF" w:rsidP="008F34FF">
      <w:pPr>
        <w:rPr>
          <w:sz w:val="22"/>
          <w:szCs w:val="22"/>
        </w:rPr>
      </w:pPr>
      <w:r w:rsidRPr="00D43A2F">
        <w:rPr>
          <w:sz w:val="22"/>
          <w:szCs w:val="22"/>
        </w:rPr>
        <w:t>Ilgai vartojant metilprednizoloną, gali pasireikšti simptomai, būdingi Kušingo sindromui. Pirmųjų jatrogeninio</w:t>
      </w:r>
      <w:r>
        <w:rPr>
          <w:sz w:val="22"/>
          <w:szCs w:val="22"/>
        </w:rPr>
        <w:t xml:space="preserve"> </w:t>
      </w:r>
      <w:r w:rsidRPr="00D43A2F">
        <w:rPr>
          <w:sz w:val="22"/>
          <w:szCs w:val="22"/>
        </w:rPr>
        <w:t>Kušingo sindromo požymių paprastai atsiranda praėjus dviem</w:t>
      </w:r>
      <w:r>
        <w:rPr>
          <w:sz w:val="22"/>
          <w:szCs w:val="22"/>
        </w:rPr>
        <w:t>s</w:t>
      </w:r>
      <w:r w:rsidRPr="00D43A2F">
        <w:rPr>
          <w:sz w:val="22"/>
          <w:szCs w:val="22"/>
        </w:rPr>
        <w:t xml:space="preserve"> savaitėm</w:t>
      </w:r>
      <w:r>
        <w:rPr>
          <w:sz w:val="22"/>
          <w:szCs w:val="22"/>
        </w:rPr>
        <w:t>s</w:t>
      </w:r>
      <w:r w:rsidRPr="00D43A2F">
        <w:rPr>
          <w:sz w:val="22"/>
          <w:szCs w:val="22"/>
        </w:rPr>
        <w:t xml:space="preserve"> nuo gydymo pradžios. Gliukokortikoidai lėtina vaikų augimą. </w:t>
      </w:r>
      <w:r>
        <w:rPr>
          <w:sz w:val="22"/>
          <w:szCs w:val="22"/>
        </w:rPr>
        <w:t xml:space="preserve">Taip pat gali pasireikšti </w:t>
      </w:r>
      <w:r w:rsidRPr="00B612EE">
        <w:rPr>
          <w:bCs/>
          <w:sz w:val="22"/>
          <w:szCs w:val="22"/>
        </w:rPr>
        <w:t>epidurinė lipomatozė.</w:t>
      </w:r>
    </w:p>
    <w:p w14:paraId="2C1B022E" w14:textId="77777777" w:rsidR="008F34FF" w:rsidRPr="00D43A2F" w:rsidRDefault="008F34FF" w:rsidP="008F34FF">
      <w:pPr>
        <w:rPr>
          <w:sz w:val="22"/>
          <w:szCs w:val="22"/>
        </w:rPr>
      </w:pPr>
    </w:p>
    <w:p w14:paraId="232F71F5" w14:textId="77777777" w:rsidR="008F34FF" w:rsidRPr="00D43A2F" w:rsidRDefault="008F34FF" w:rsidP="008F34FF">
      <w:pPr>
        <w:widowControl w:val="0"/>
        <w:tabs>
          <w:tab w:val="left" w:pos="567"/>
        </w:tabs>
        <w:rPr>
          <w:sz w:val="22"/>
          <w:szCs w:val="22"/>
        </w:rPr>
      </w:pPr>
      <w:r w:rsidRPr="00D43A2F">
        <w:rPr>
          <w:i/>
          <w:noProof/>
          <w:sz w:val="22"/>
          <w:szCs w:val="22"/>
        </w:rPr>
        <w:t>Psichikos sutrikimai</w:t>
      </w:r>
    </w:p>
    <w:p w14:paraId="6E339646" w14:textId="77777777" w:rsidR="008F34FF" w:rsidRPr="00D43A2F" w:rsidRDefault="008F34FF" w:rsidP="008F34FF">
      <w:pPr>
        <w:rPr>
          <w:sz w:val="22"/>
          <w:szCs w:val="22"/>
        </w:rPr>
      </w:pPr>
      <w:r w:rsidRPr="00D43A2F">
        <w:rPr>
          <w:sz w:val="22"/>
          <w:szCs w:val="22"/>
        </w:rPr>
        <w:t xml:space="preserve">Dažni neryškūs, paprastai savaime praeinantys psichikos pokyčiai, pavyzdžiui, pagerėjusi nuotaika ir dėmesio sutelkimas, nemiga, kiti nuotaikos pokyčiai, svyruojantys nuo švelnios euforijos iki hipomanijos. Sunkesniems ir retesniems psichikos pokyčiams priklauso depresija, demencija ir psichozė, dėl kurių tenka mažinti dozę, nutraukti gydymą ar, pačiais sunkiausiais atvejais, gydyti antipsichoziniais vaistais. </w:t>
      </w:r>
    </w:p>
    <w:p w14:paraId="4C18E634" w14:textId="77777777" w:rsidR="008F34FF" w:rsidRPr="00D43A2F" w:rsidRDefault="008F34FF" w:rsidP="008F34FF">
      <w:pPr>
        <w:rPr>
          <w:sz w:val="22"/>
          <w:szCs w:val="22"/>
        </w:rPr>
      </w:pPr>
      <w:r w:rsidRPr="00D43A2F">
        <w:rPr>
          <w:sz w:val="22"/>
          <w:szCs w:val="22"/>
        </w:rPr>
        <w:t xml:space="preserve">Psichikos sutrikimų gali pasireikšti ir nutraukus gydymą. </w:t>
      </w:r>
    </w:p>
    <w:p w14:paraId="72442C95" w14:textId="77777777" w:rsidR="008F34FF" w:rsidRPr="00D43A2F" w:rsidRDefault="008F34FF" w:rsidP="008F34FF">
      <w:pPr>
        <w:rPr>
          <w:sz w:val="22"/>
          <w:szCs w:val="22"/>
        </w:rPr>
      </w:pPr>
    </w:p>
    <w:p w14:paraId="3C6F4C36" w14:textId="77777777" w:rsidR="008F34FF" w:rsidRPr="00D43A2F" w:rsidRDefault="008F34FF" w:rsidP="008F34FF">
      <w:pPr>
        <w:rPr>
          <w:sz w:val="22"/>
          <w:szCs w:val="22"/>
        </w:rPr>
      </w:pPr>
      <w:r w:rsidRPr="00D43A2F">
        <w:rPr>
          <w:i/>
          <w:noProof/>
          <w:sz w:val="22"/>
          <w:szCs w:val="22"/>
        </w:rPr>
        <w:t>Nervų sistemos sutrikimai</w:t>
      </w:r>
    </w:p>
    <w:p w14:paraId="14CB85AB" w14:textId="77777777" w:rsidR="008F34FF" w:rsidRPr="00D43A2F" w:rsidRDefault="008F34FF" w:rsidP="008F34FF">
      <w:pPr>
        <w:rPr>
          <w:sz w:val="22"/>
          <w:szCs w:val="22"/>
        </w:rPr>
      </w:pPr>
      <w:r w:rsidRPr="00D43A2F">
        <w:rPr>
          <w:sz w:val="22"/>
          <w:szCs w:val="22"/>
        </w:rPr>
        <w:t xml:space="preserve">Su ilgalaikiu gydymu gliukokortikoidais siejami pavieniai įvairių organinių smegenų sindromų, pavyzdžiui, gerybinės intrakranijinės hipertenzijos ir traukulių, atvejai. </w:t>
      </w:r>
    </w:p>
    <w:p w14:paraId="5ED3A0A0" w14:textId="77777777" w:rsidR="008F34FF" w:rsidRPr="00D43A2F" w:rsidRDefault="008F34FF" w:rsidP="008F34FF">
      <w:pPr>
        <w:rPr>
          <w:sz w:val="22"/>
          <w:szCs w:val="22"/>
        </w:rPr>
      </w:pPr>
    </w:p>
    <w:p w14:paraId="77C5FA1B" w14:textId="77777777" w:rsidR="008F34FF" w:rsidRPr="00D43A2F" w:rsidRDefault="008F34FF" w:rsidP="008F34FF">
      <w:pPr>
        <w:rPr>
          <w:i/>
          <w:sz w:val="22"/>
          <w:szCs w:val="22"/>
        </w:rPr>
      </w:pPr>
      <w:r w:rsidRPr="00D43A2F">
        <w:rPr>
          <w:i/>
          <w:noProof/>
          <w:sz w:val="22"/>
          <w:szCs w:val="22"/>
        </w:rPr>
        <w:t>Akių sutrikimai</w:t>
      </w:r>
    </w:p>
    <w:p w14:paraId="0118D1CD" w14:textId="77777777" w:rsidR="008F34FF" w:rsidRPr="00D43A2F" w:rsidRDefault="008F34FF" w:rsidP="008F34FF">
      <w:pPr>
        <w:rPr>
          <w:sz w:val="22"/>
          <w:szCs w:val="22"/>
        </w:rPr>
      </w:pPr>
      <w:r w:rsidRPr="00D43A2F">
        <w:rPr>
          <w:sz w:val="22"/>
          <w:szCs w:val="22"/>
        </w:rPr>
        <w:t>Po sisteminio gliukokortikoidų vartojimo gali pasireikšti tokios akių reakcijos, kaip padidėjęs akispūdis, glaukoma</w:t>
      </w:r>
      <w:r>
        <w:rPr>
          <w:sz w:val="22"/>
          <w:szCs w:val="22"/>
        </w:rPr>
        <w:t>,</w:t>
      </w:r>
      <w:r w:rsidRPr="00D43A2F">
        <w:rPr>
          <w:sz w:val="22"/>
          <w:szCs w:val="22"/>
        </w:rPr>
        <w:t xml:space="preserve"> katarakta</w:t>
      </w:r>
      <w:r>
        <w:rPr>
          <w:sz w:val="22"/>
          <w:szCs w:val="22"/>
        </w:rPr>
        <w:t>, chorioretinopatija</w:t>
      </w:r>
      <w:r w:rsidRPr="00D43A2F">
        <w:rPr>
          <w:sz w:val="22"/>
          <w:szCs w:val="22"/>
        </w:rPr>
        <w:t xml:space="preserve">. </w:t>
      </w:r>
    </w:p>
    <w:p w14:paraId="30355FD8" w14:textId="77777777" w:rsidR="008F34FF" w:rsidRPr="00D43A2F" w:rsidRDefault="008F34FF" w:rsidP="008F34FF">
      <w:pPr>
        <w:widowControl w:val="0"/>
        <w:tabs>
          <w:tab w:val="left" w:pos="567"/>
        </w:tabs>
        <w:rPr>
          <w:i/>
          <w:noProof/>
          <w:sz w:val="22"/>
          <w:szCs w:val="22"/>
        </w:rPr>
      </w:pPr>
    </w:p>
    <w:p w14:paraId="0AAAA80E" w14:textId="77777777" w:rsidR="008F34FF" w:rsidRPr="00D43A2F" w:rsidRDefault="008F34FF" w:rsidP="008F34FF">
      <w:pPr>
        <w:widowControl w:val="0"/>
        <w:tabs>
          <w:tab w:val="left" w:pos="567"/>
        </w:tabs>
        <w:rPr>
          <w:i/>
          <w:sz w:val="22"/>
          <w:szCs w:val="22"/>
        </w:rPr>
      </w:pPr>
      <w:r w:rsidRPr="00D43A2F">
        <w:rPr>
          <w:i/>
          <w:noProof/>
          <w:sz w:val="22"/>
          <w:szCs w:val="22"/>
        </w:rPr>
        <w:t>Širdies sutrikimai</w:t>
      </w:r>
    </w:p>
    <w:p w14:paraId="4FFDE41C" w14:textId="77777777" w:rsidR="008F34FF" w:rsidRDefault="008F34FF" w:rsidP="008F34FF">
      <w:pPr>
        <w:rPr>
          <w:sz w:val="22"/>
          <w:szCs w:val="22"/>
        </w:rPr>
      </w:pPr>
      <w:r w:rsidRPr="00D43A2F">
        <w:rPr>
          <w:sz w:val="22"/>
          <w:szCs w:val="22"/>
        </w:rPr>
        <w:t>Skiriant injekcinį metilprednizoloną buvo praneštą apie prieširdžių virpėjimo ir miokardo infarkto išsivystymo atvejus.</w:t>
      </w:r>
    </w:p>
    <w:p w14:paraId="5A24DF26" w14:textId="77777777" w:rsidR="008F34FF" w:rsidRDefault="008F34FF" w:rsidP="008F34FF">
      <w:pPr>
        <w:rPr>
          <w:sz w:val="22"/>
          <w:szCs w:val="22"/>
        </w:rPr>
      </w:pPr>
    </w:p>
    <w:p w14:paraId="53919636" w14:textId="77777777" w:rsidR="008F34FF" w:rsidRDefault="008F34FF" w:rsidP="008F34FF">
      <w:pPr>
        <w:rPr>
          <w:i/>
          <w:sz w:val="22"/>
          <w:szCs w:val="22"/>
        </w:rPr>
      </w:pPr>
      <w:r>
        <w:rPr>
          <w:i/>
          <w:sz w:val="22"/>
          <w:szCs w:val="22"/>
        </w:rPr>
        <w:t>Kraujagyslių sutrikimai</w:t>
      </w:r>
    </w:p>
    <w:p w14:paraId="133C748E" w14:textId="77777777" w:rsidR="008F34FF" w:rsidRPr="00D43A2F" w:rsidRDefault="008F34FF" w:rsidP="008F34FF">
      <w:pPr>
        <w:rPr>
          <w:sz w:val="22"/>
          <w:szCs w:val="22"/>
        </w:rPr>
      </w:pPr>
      <w:r w:rsidRPr="00D43A2F">
        <w:rPr>
          <w:sz w:val="22"/>
          <w:szCs w:val="22"/>
        </w:rPr>
        <w:t xml:space="preserve">Hipertenzija yra gerai žinoma nepageidaujama reakcija, pasireiškianti ilgai gydant metilprednizolonu. Kitas su gydymu gliukokortikoidais siejamas žalingas poveikis širdies ir kraujagyslių sistemai yra padidėjusi aterosklerozės, </w:t>
      </w:r>
      <w:r>
        <w:rPr>
          <w:sz w:val="22"/>
          <w:szCs w:val="22"/>
        </w:rPr>
        <w:t>trombozinių reiškinių</w:t>
      </w:r>
      <w:r w:rsidRPr="00D43A2F">
        <w:rPr>
          <w:sz w:val="22"/>
          <w:szCs w:val="22"/>
        </w:rPr>
        <w:t xml:space="preserve"> ir vaskulito rizika. </w:t>
      </w:r>
    </w:p>
    <w:p w14:paraId="11502462" w14:textId="77777777" w:rsidR="008F34FF" w:rsidRPr="00D43A2F" w:rsidRDefault="008F34FF" w:rsidP="008F34FF">
      <w:pPr>
        <w:rPr>
          <w:sz w:val="22"/>
          <w:szCs w:val="22"/>
        </w:rPr>
      </w:pPr>
    </w:p>
    <w:p w14:paraId="4A90914D" w14:textId="77777777" w:rsidR="008F34FF" w:rsidRPr="00D43A2F" w:rsidRDefault="008F34FF" w:rsidP="008F34FF">
      <w:pPr>
        <w:widowControl w:val="0"/>
        <w:tabs>
          <w:tab w:val="left" w:pos="567"/>
        </w:tabs>
        <w:rPr>
          <w:i/>
          <w:noProof/>
          <w:sz w:val="22"/>
          <w:szCs w:val="22"/>
        </w:rPr>
      </w:pPr>
      <w:r w:rsidRPr="00D43A2F">
        <w:rPr>
          <w:i/>
          <w:noProof/>
          <w:sz w:val="22"/>
          <w:szCs w:val="22"/>
        </w:rPr>
        <w:t>Virškinimo trakto sutrikimai</w:t>
      </w:r>
    </w:p>
    <w:p w14:paraId="27231EAD" w14:textId="77777777" w:rsidR="008F34FF" w:rsidRPr="00D43A2F" w:rsidRDefault="008F34FF" w:rsidP="008F34FF">
      <w:pPr>
        <w:widowControl w:val="0"/>
        <w:tabs>
          <w:tab w:val="left" w:pos="567"/>
        </w:tabs>
        <w:rPr>
          <w:sz w:val="22"/>
          <w:szCs w:val="22"/>
        </w:rPr>
      </w:pPr>
      <w:r w:rsidRPr="00D43A2F">
        <w:rPr>
          <w:sz w:val="22"/>
          <w:szCs w:val="22"/>
        </w:rPr>
        <w:t>Manoma, kad gliukokortikoidai patys rečiau sukelia virškinimo trakto sutrikimų ir dažniau didina komplikacijų (pvz., kraujavimo ar perforacijos) pacientams, sergantiems įvairiomis lėtinėmis ar kitomis ligomis, pavyzdžiui, pepsine opa, pankreatitu, sritiniu ileitu ar opiniu kolitu (žr. 4.4.), riziką.</w:t>
      </w:r>
    </w:p>
    <w:p w14:paraId="095C9550" w14:textId="77777777" w:rsidR="008F34FF" w:rsidRDefault="008F34FF" w:rsidP="008F34FF">
      <w:pPr>
        <w:widowControl w:val="0"/>
        <w:tabs>
          <w:tab w:val="left" w:pos="567"/>
        </w:tabs>
        <w:rPr>
          <w:sz w:val="22"/>
          <w:szCs w:val="22"/>
        </w:rPr>
      </w:pPr>
    </w:p>
    <w:p w14:paraId="3FD8D5F6" w14:textId="77777777" w:rsidR="008F34FF" w:rsidRPr="00B612EE" w:rsidRDefault="008F34FF" w:rsidP="008F34FF">
      <w:pPr>
        <w:autoSpaceDE w:val="0"/>
        <w:autoSpaceDN w:val="0"/>
        <w:adjustRightInd w:val="0"/>
        <w:rPr>
          <w:i/>
          <w:sz w:val="22"/>
          <w:szCs w:val="22"/>
        </w:rPr>
      </w:pPr>
      <w:r w:rsidRPr="00B612EE">
        <w:rPr>
          <w:i/>
          <w:sz w:val="22"/>
          <w:szCs w:val="22"/>
        </w:rPr>
        <w:t>Kepenų, tulžies pūslės ir latakų sutrikimai</w:t>
      </w:r>
    </w:p>
    <w:p w14:paraId="7C95052C" w14:textId="77777777" w:rsidR="008F34FF" w:rsidRPr="00462B8F" w:rsidRDefault="008F34FF" w:rsidP="008F34FF">
      <w:pPr>
        <w:autoSpaceDE w:val="0"/>
        <w:autoSpaceDN w:val="0"/>
        <w:adjustRightInd w:val="0"/>
        <w:rPr>
          <w:sz w:val="22"/>
          <w:szCs w:val="22"/>
        </w:rPr>
      </w:pPr>
      <w:r w:rsidRPr="00B612EE">
        <w:rPr>
          <w:bCs/>
          <w:sz w:val="22"/>
          <w:szCs w:val="22"/>
        </w:rPr>
        <w:t>Hepatitas, padidėjęs kepenų fermentų aktyvumas.</w:t>
      </w:r>
    </w:p>
    <w:p w14:paraId="7BF45BC5" w14:textId="77777777" w:rsidR="008F34FF" w:rsidRPr="00D43A2F" w:rsidRDefault="008F34FF" w:rsidP="008F34FF">
      <w:pPr>
        <w:widowControl w:val="0"/>
        <w:tabs>
          <w:tab w:val="left" w:pos="567"/>
        </w:tabs>
        <w:rPr>
          <w:sz w:val="22"/>
          <w:szCs w:val="22"/>
        </w:rPr>
      </w:pPr>
    </w:p>
    <w:p w14:paraId="68719F42" w14:textId="77777777" w:rsidR="008F34FF" w:rsidRPr="00D43A2F" w:rsidRDefault="008F34FF" w:rsidP="008F34FF">
      <w:pPr>
        <w:widowControl w:val="0"/>
        <w:tabs>
          <w:tab w:val="left" w:pos="567"/>
        </w:tabs>
        <w:rPr>
          <w:i/>
          <w:sz w:val="22"/>
          <w:szCs w:val="22"/>
        </w:rPr>
      </w:pPr>
      <w:r w:rsidRPr="00D43A2F">
        <w:rPr>
          <w:i/>
          <w:noProof/>
          <w:sz w:val="22"/>
          <w:szCs w:val="22"/>
        </w:rPr>
        <w:t>Odos ir poodinio audinio sutrikimai</w:t>
      </w:r>
    </w:p>
    <w:p w14:paraId="69F78935" w14:textId="77777777" w:rsidR="008F34FF" w:rsidRPr="00D43A2F" w:rsidRDefault="008F34FF" w:rsidP="008F34FF">
      <w:pPr>
        <w:rPr>
          <w:sz w:val="22"/>
          <w:szCs w:val="22"/>
        </w:rPr>
      </w:pPr>
      <w:r w:rsidRPr="00D43A2F">
        <w:rPr>
          <w:sz w:val="22"/>
          <w:szCs w:val="22"/>
        </w:rPr>
        <w:t xml:space="preserve">Dėl sisteminio gydymo gliukokortikoidais gali atsirasti spuogų, padidėti plaukuotumas, strijų, ekchimozių ir atrofinių odos pokyčių. Registruota poodinės atrofijos atvejų po injekcijų į raumenis ar sąnarius. Injekcijos vietos pažeidimai buvo odos atrofija, sterilūs pūliniai, depigmentacija, leukoderma ir retai – riebalinio audinio atrofija. </w:t>
      </w:r>
    </w:p>
    <w:p w14:paraId="5857951D" w14:textId="77777777" w:rsidR="008F34FF" w:rsidRPr="00D43A2F" w:rsidRDefault="008F34FF" w:rsidP="008F34FF">
      <w:pPr>
        <w:rPr>
          <w:sz w:val="22"/>
          <w:szCs w:val="22"/>
        </w:rPr>
      </w:pPr>
      <w:r w:rsidRPr="00D43A2F">
        <w:rPr>
          <w:sz w:val="22"/>
          <w:szCs w:val="22"/>
        </w:rPr>
        <w:t>Retai pasitaikė per dvi savaites po gydymo nutraukimo atsiradęs posteroidinis poodinio ląstelyno uždegimas, pasireiškiantis raudonais, kietais, šiltais poodiniais mazgais. Šie sutrikimai praėjo savaime.</w:t>
      </w:r>
    </w:p>
    <w:p w14:paraId="330051BA" w14:textId="77777777" w:rsidR="008F34FF" w:rsidRPr="00D43A2F" w:rsidRDefault="008F34FF" w:rsidP="008F34FF">
      <w:pPr>
        <w:rPr>
          <w:sz w:val="22"/>
          <w:szCs w:val="22"/>
        </w:rPr>
      </w:pPr>
    </w:p>
    <w:p w14:paraId="2E4C1E65" w14:textId="77777777" w:rsidR="008F34FF" w:rsidRPr="00D43A2F" w:rsidRDefault="008F34FF" w:rsidP="008F34FF">
      <w:pPr>
        <w:rPr>
          <w:i/>
          <w:sz w:val="22"/>
          <w:szCs w:val="22"/>
        </w:rPr>
      </w:pPr>
      <w:r w:rsidRPr="00D43A2F">
        <w:rPr>
          <w:i/>
          <w:noProof/>
          <w:sz w:val="22"/>
          <w:szCs w:val="22"/>
        </w:rPr>
        <w:t>Skeleto, raumenų ir jungiamojo audinio sutrikimai</w:t>
      </w:r>
    </w:p>
    <w:p w14:paraId="3936C9A8" w14:textId="77777777" w:rsidR="008F34FF" w:rsidRPr="00D43A2F" w:rsidRDefault="008F34FF" w:rsidP="008F34FF">
      <w:pPr>
        <w:rPr>
          <w:sz w:val="22"/>
          <w:szCs w:val="22"/>
        </w:rPr>
      </w:pPr>
      <w:r w:rsidRPr="00D43A2F">
        <w:rPr>
          <w:sz w:val="22"/>
          <w:szCs w:val="22"/>
        </w:rPr>
        <w:t xml:space="preserve">Gali būti raumenų atrofija, fibrozė, silpnumas ir miopatija. </w:t>
      </w:r>
    </w:p>
    <w:p w14:paraId="05E2F805" w14:textId="77777777" w:rsidR="008F34FF" w:rsidRPr="00D43A2F" w:rsidRDefault="008F34FF" w:rsidP="008F34FF">
      <w:pPr>
        <w:rPr>
          <w:sz w:val="22"/>
          <w:szCs w:val="22"/>
        </w:rPr>
      </w:pPr>
      <w:r w:rsidRPr="00D43A2F">
        <w:rPr>
          <w:sz w:val="22"/>
          <w:szCs w:val="22"/>
        </w:rPr>
        <w:t xml:space="preserve">Osteoporozė yra dažna gliukokortikoidų sukelta komplikacija (žr. 4.4.). Su gydymu gliukokortikoidais taip pat siejama avaskulinė kaulų nekrozė, ypač pažeidžianti šlaunikaulio ar žastikaulio galvą. </w:t>
      </w:r>
    </w:p>
    <w:p w14:paraId="6F517DF4" w14:textId="77777777" w:rsidR="008F34FF" w:rsidRPr="00D43A2F" w:rsidRDefault="008F34FF" w:rsidP="008F34FF">
      <w:pPr>
        <w:rPr>
          <w:sz w:val="22"/>
          <w:szCs w:val="22"/>
        </w:rPr>
      </w:pPr>
    </w:p>
    <w:p w14:paraId="2459E4F1" w14:textId="77777777" w:rsidR="008F34FF" w:rsidRPr="00D43A2F" w:rsidRDefault="008F34FF" w:rsidP="008F34FF">
      <w:pPr>
        <w:rPr>
          <w:i/>
          <w:noProof/>
          <w:sz w:val="22"/>
          <w:szCs w:val="22"/>
        </w:rPr>
      </w:pPr>
      <w:r w:rsidRPr="00D43A2F">
        <w:rPr>
          <w:i/>
          <w:noProof/>
          <w:sz w:val="22"/>
          <w:szCs w:val="22"/>
        </w:rPr>
        <w:t>Inkstų ir šlapimo takų sutrikimai</w:t>
      </w:r>
    </w:p>
    <w:p w14:paraId="27B0A939" w14:textId="77777777" w:rsidR="008F34FF" w:rsidRPr="00D43A2F" w:rsidRDefault="008F34FF" w:rsidP="008F34FF">
      <w:pPr>
        <w:rPr>
          <w:sz w:val="22"/>
          <w:szCs w:val="22"/>
        </w:rPr>
      </w:pPr>
      <w:r w:rsidRPr="00D43A2F">
        <w:rPr>
          <w:sz w:val="22"/>
          <w:szCs w:val="22"/>
        </w:rPr>
        <w:t>Gydymas gliukokortikoidais gali skatinti susidaryti šlapimo akmenis ir šiek tiek padidinti leukocitų bei eritrocitų kiekį šlapime.</w:t>
      </w:r>
    </w:p>
    <w:p w14:paraId="3F58C7F9" w14:textId="77777777" w:rsidR="008F34FF" w:rsidRPr="00D43A2F" w:rsidRDefault="008F34FF" w:rsidP="008F34FF">
      <w:pPr>
        <w:rPr>
          <w:sz w:val="22"/>
          <w:szCs w:val="22"/>
        </w:rPr>
      </w:pPr>
    </w:p>
    <w:p w14:paraId="4BFC743F" w14:textId="77777777" w:rsidR="008F34FF" w:rsidRPr="00D43A2F" w:rsidRDefault="008F34FF" w:rsidP="008F34FF">
      <w:pPr>
        <w:rPr>
          <w:sz w:val="22"/>
          <w:szCs w:val="22"/>
        </w:rPr>
      </w:pPr>
      <w:r w:rsidRPr="00D43A2F">
        <w:rPr>
          <w:i/>
          <w:noProof/>
          <w:sz w:val="22"/>
          <w:szCs w:val="22"/>
        </w:rPr>
        <w:t>Lytinės sistemos sutrikimai</w:t>
      </w:r>
    </w:p>
    <w:p w14:paraId="2F047818" w14:textId="77777777" w:rsidR="008F34FF" w:rsidRPr="00D43A2F" w:rsidRDefault="008F34FF" w:rsidP="008F34FF">
      <w:pPr>
        <w:rPr>
          <w:sz w:val="22"/>
          <w:szCs w:val="22"/>
        </w:rPr>
      </w:pPr>
      <w:r w:rsidRPr="00D43A2F">
        <w:rPr>
          <w:sz w:val="22"/>
          <w:szCs w:val="22"/>
        </w:rPr>
        <w:t xml:space="preserve">Gliukokortikoidai gali bloginti spermos kokybę ir sukelti amenorėją. </w:t>
      </w:r>
    </w:p>
    <w:p w14:paraId="597FF713" w14:textId="77777777" w:rsidR="008F34FF" w:rsidRPr="00D43A2F" w:rsidRDefault="008F34FF" w:rsidP="008F34FF">
      <w:pPr>
        <w:rPr>
          <w:sz w:val="22"/>
          <w:szCs w:val="22"/>
        </w:rPr>
      </w:pPr>
    </w:p>
    <w:p w14:paraId="1D368340" w14:textId="77777777" w:rsidR="008F34FF" w:rsidRPr="00D43A2F" w:rsidRDefault="008F34FF" w:rsidP="008F34FF">
      <w:pPr>
        <w:widowControl w:val="0"/>
        <w:tabs>
          <w:tab w:val="left" w:pos="567"/>
        </w:tabs>
        <w:rPr>
          <w:i/>
          <w:sz w:val="22"/>
          <w:szCs w:val="22"/>
        </w:rPr>
      </w:pPr>
      <w:r w:rsidRPr="00D43A2F">
        <w:rPr>
          <w:i/>
          <w:noProof/>
          <w:sz w:val="22"/>
          <w:szCs w:val="22"/>
        </w:rPr>
        <w:t>Bendri</w:t>
      </w:r>
      <w:r>
        <w:rPr>
          <w:i/>
          <w:noProof/>
          <w:sz w:val="22"/>
          <w:szCs w:val="22"/>
        </w:rPr>
        <w:t>eji</w:t>
      </w:r>
      <w:r w:rsidRPr="00D43A2F">
        <w:rPr>
          <w:i/>
          <w:noProof/>
          <w:sz w:val="22"/>
          <w:szCs w:val="22"/>
        </w:rPr>
        <w:t xml:space="preserve"> sutrikimai ir vartojimo vietos pažeidimai</w:t>
      </w:r>
    </w:p>
    <w:p w14:paraId="4F55DE94" w14:textId="77777777" w:rsidR="008F34FF" w:rsidRPr="00D43A2F" w:rsidRDefault="008F34FF" w:rsidP="008F34FF">
      <w:pPr>
        <w:rPr>
          <w:sz w:val="22"/>
          <w:szCs w:val="22"/>
        </w:rPr>
      </w:pPr>
      <w:r w:rsidRPr="00D43A2F">
        <w:rPr>
          <w:sz w:val="22"/>
          <w:szCs w:val="22"/>
        </w:rPr>
        <w:t xml:space="preserve">Staiga nutraukus ilgalaikį gydymą, gali pasireikšti nutraukimo sindromas (žr. 4.4.). Simptomų stiprumas priklauso nuo žievės atrofijos laipsnio. Lengvesniais atvejais būna galvos skausmas, pykinimas, pilvo skausmas, galvos svaigimas, anoreksija, silpnumas, nepastovi nuotaika ir karščiavimas. Sunkesniais atvejais gali pasireikšti psichikos sutrikimų ir gerybinė intrakranijinė hipertenzija. Registruota mirties atvejų dėl antinksčių žievės nepakankamumo po staiga nutraukto gydymo gliukokortikoidais. Nutraukus gydymą, reumatu sergantiems pacientams gali pasireikšti „steroidinis pseudoreumatas“. </w:t>
      </w:r>
    </w:p>
    <w:p w14:paraId="2C48B3AD" w14:textId="77777777" w:rsidR="008F34FF" w:rsidRPr="00D43A2F" w:rsidRDefault="008F34FF" w:rsidP="008F34FF">
      <w:pPr>
        <w:rPr>
          <w:sz w:val="22"/>
          <w:szCs w:val="22"/>
        </w:rPr>
      </w:pPr>
    </w:p>
    <w:p w14:paraId="7C21BA80" w14:textId="77777777" w:rsidR="008F34FF" w:rsidRDefault="008F34FF" w:rsidP="008F34FF">
      <w:pPr>
        <w:rPr>
          <w:sz w:val="22"/>
          <w:szCs w:val="22"/>
        </w:rPr>
      </w:pPr>
      <w:r w:rsidRPr="00D43A2F">
        <w:rPr>
          <w:sz w:val="22"/>
          <w:szCs w:val="22"/>
        </w:rPr>
        <w:t xml:space="preserve">Metilprednizolonas neryškiai padidina druskų ir vandens sulaikymą. </w:t>
      </w:r>
    </w:p>
    <w:p w14:paraId="34FCCBB8" w14:textId="77777777" w:rsidR="008F34FF" w:rsidRDefault="008F34FF" w:rsidP="008F34FF">
      <w:pPr>
        <w:rPr>
          <w:sz w:val="22"/>
          <w:szCs w:val="22"/>
        </w:rPr>
      </w:pPr>
    </w:p>
    <w:p w14:paraId="61201833" w14:textId="77777777" w:rsidR="008F34FF" w:rsidRPr="0040555B" w:rsidRDefault="008F34FF" w:rsidP="008F34FF">
      <w:pPr>
        <w:autoSpaceDE w:val="0"/>
        <w:autoSpaceDN w:val="0"/>
        <w:adjustRightInd w:val="0"/>
        <w:jc w:val="both"/>
        <w:rPr>
          <w:sz w:val="22"/>
          <w:szCs w:val="22"/>
          <w:u w:val="single"/>
        </w:rPr>
      </w:pPr>
      <w:r w:rsidRPr="0040555B">
        <w:rPr>
          <w:noProof/>
          <w:sz w:val="22"/>
          <w:szCs w:val="22"/>
          <w:u w:val="single"/>
        </w:rPr>
        <w:t>Pranešimas apie įtariamas nepageidaujamas reakcijas</w:t>
      </w:r>
    </w:p>
    <w:p w14:paraId="274D4BDF" w14:textId="25B552E8" w:rsidR="008F34FF" w:rsidRPr="0040555B" w:rsidRDefault="008F34FF" w:rsidP="008F34FF">
      <w:pPr>
        <w:rPr>
          <w:sz w:val="22"/>
          <w:szCs w:val="22"/>
        </w:rPr>
      </w:pPr>
      <w:r w:rsidRPr="0040555B">
        <w:rPr>
          <w:noProof/>
          <w:sz w:val="22"/>
          <w:szCs w:val="22"/>
        </w:rPr>
        <w:t>Svarbu pranešti apie įtariamas nepageidaujamas reakcijas, pastebėtas po vaistinio preparato registracijos, nes tai leidžia nuolat stebėti vaistinio preparato naudos ir rizikos santykį.Sveikatos priežiūros specialistai turi pranešti apie bet kokias įtariamas nepageidaujamas reakcijas, užpildę interneto svetainėje http://</w:t>
      </w:r>
      <w:hyperlink r:id="rId7" w:history="1">
        <w:r w:rsidRPr="0040555B">
          <w:rPr>
            <w:rStyle w:val="Hipersaitas"/>
            <w:rFonts w:eastAsia="SimSun"/>
            <w:noProof/>
          </w:rPr>
          <w:t>www.vvkt.lt</w:t>
        </w:r>
      </w:hyperlink>
      <w:r w:rsidRPr="0040555B">
        <w:rPr>
          <w:noProof/>
          <w:sz w:val="22"/>
          <w:szCs w:val="22"/>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8" w:history="1">
        <w:r w:rsidRPr="0040555B">
          <w:rPr>
            <w:rStyle w:val="Hipersaitas"/>
            <w:rFonts w:eastAsia="SimSun"/>
            <w:noProof/>
          </w:rPr>
          <w:t>NepageidaujamaR@vvkt.lt</w:t>
        </w:r>
      </w:hyperlink>
      <w:r w:rsidRPr="0040555B">
        <w:rPr>
          <w:noProof/>
          <w:sz w:val="22"/>
          <w:szCs w:val="22"/>
        </w:rPr>
        <w:t xml:space="preserve">), per interneto svetainę (adresu </w:t>
      </w:r>
      <w:hyperlink r:id="rId9" w:history="1">
        <w:r w:rsidR="009D27A8" w:rsidRPr="00B428BC">
          <w:rPr>
            <w:rStyle w:val="Hipersaitas"/>
            <w:noProof/>
            <w:sz w:val="22"/>
            <w:szCs w:val="22"/>
          </w:rPr>
          <w:t>http://www.vvkt.lt</w:t>
        </w:r>
      </w:hyperlink>
      <w:r w:rsidR="009D27A8">
        <w:rPr>
          <w:noProof/>
          <w:sz w:val="22"/>
          <w:szCs w:val="22"/>
        </w:rPr>
        <w:t xml:space="preserve"> </w:t>
      </w:r>
      <w:r w:rsidRPr="0040555B">
        <w:rPr>
          <w:noProof/>
          <w:sz w:val="22"/>
          <w:szCs w:val="22"/>
        </w:rPr>
        <w:t>).</w:t>
      </w:r>
    </w:p>
    <w:bookmarkEnd w:id="26"/>
    <w:bookmarkEnd w:id="27"/>
    <w:p w14:paraId="5B6480B4" w14:textId="77777777" w:rsidR="008F34FF" w:rsidRPr="00D43A2F" w:rsidRDefault="008F34FF" w:rsidP="008F34FF">
      <w:pPr>
        <w:pStyle w:val="BTEMEASMCA"/>
      </w:pPr>
    </w:p>
    <w:p w14:paraId="39AA594D" w14:textId="77777777" w:rsidR="008F34FF" w:rsidRPr="00D43A2F" w:rsidRDefault="008F34FF" w:rsidP="008F34FF">
      <w:pPr>
        <w:pStyle w:val="PI-2EMEASMCA"/>
      </w:pPr>
      <w:bookmarkStart w:id="28" w:name="_Toc129243110"/>
      <w:bookmarkStart w:id="29" w:name="_Toc129243235"/>
      <w:r w:rsidRPr="00D43A2F">
        <w:t>4.9</w:t>
      </w:r>
      <w:r w:rsidRPr="00D43A2F">
        <w:tab/>
        <w:t>Perdozavimas</w:t>
      </w:r>
      <w:bookmarkEnd w:id="28"/>
      <w:bookmarkEnd w:id="29"/>
    </w:p>
    <w:p w14:paraId="5730A5A1" w14:textId="77777777" w:rsidR="008F34FF" w:rsidRPr="00D43A2F" w:rsidRDefault="008F34FF" w:rsidP="008F34FF">
      <w:pPr>
        <w:pStyle w:val="BTEMEASMCA"/>
      </w:pPr>
    </w:p>
    <w:p w14:paraId="004EF659" w14:textId="77777777" w:rsidR="008F34FF" w:rsidRPr="00D43A2F" w:rsidRDefault="008F34FF" w:rsidP="008F34FF">
      <w:pPr>
        <w:pStyle w:val="Pagrindinistekstas"/>
        <w:spacing w:after="0"/>
        <w:rPr>
          <w:szCs w:val="22"/>
        </w:rPr>
      </w:pPr>
      <w:r w:rsidRPr="00D43A2F">
        <w:rPr>
          <w:szCs w:val="22"/>
        </w:rPr>
        <w:t>Ūminė intoksikacija metilprednizolonu mažai tikėtina. Ilgai vartotas per dideles dozės reikia mažinti laipsniškai, kad būtų išvengta antinksčių slopinimo (žr. 4.4. ir 4.8.). Gana didelės vienkartinės dozės nesukelia sunkių nepageidaujamų reakcijų. Gydymas simptominis ir tuomet, kada galima, dozė koreguojama arba gydymas nutraukiamas.</w:t>
      </w:r>
    </w:p>
    <w:p w14:paraId="704D542D" w14:textId="77777777" w:rsidR="008F34FF" w:rsidRPr="00D43A2F" w:rsidRDefault="008F34FF" w:rsidP="008F34FF">
      <w:pPr>
        <w:pStyle w:val="BTEMEASMCA"/>
      </w:pPr>
    </w:p>
    <w:p w14:paraId="61A323C1" w14:textId="77777777" w:rsidR="008F34FF" w:rsidRPr="00D43A2F" w:rsidRDefault="008F34FF" w:rsidP="008F34FF">
      <w:pPr>
        <w:pStyle w:val="BTEMEASMCA"/>
      </w:pPr>
    </w:p>
    <w:p w14:paraId="4A9F906F" w14:textId="77777777" w:rsidR="008F34FF" w:rsidRPr="00D43A2F" w:rsidRDefault="008F34FF" w:rsidP="008F34FF">
      <w:pPr>
        <w:pStyle w:val="PI-1EMEASMCA"/>
      </w:pPr>
      <w:bookmarkStart w:id="30" w:name="_Toc129243111"/>
      <w:bookmarkStart w:id="31" w:name="_Toc129243236"/>
      <w:r w:rsidRPr="00D43A2F">
        <w:t>5.</w:t>
      </w:r>
      <w:r w:rsidRPr="00D43A2F">
        <w:tab/>
        <w:t>FARMAKOLOGINĖS SAVYBĖS</w:t>
      </w:r>
      <w:bookmarkEnd w:id="30"/>
      <w:bookmarkEnd w:id="31"/>
    </w:p>
    <w:p w14:paraId="6674CCB0" w14:textId="77777777" w:rsidR="008F34FF" w:rsidRPr="00D43A2F" w:rsidRDefault="008F34FF" w:rsidP="008F34FF">
      <w:pPr>
        <w:pStyle w:val="BTEMEASMCA"/>
      </w:pPr>
    </w:p>
    <w:p w14:paraId="29DD5807" w14:textId="77777777" w:rsidR="008F34FF" w:rsidRPr="00D43A2F" w:rsidRDefault="008F34FF" w:rsidP="008F34FF">
      <w:pPr>
        <w:pStyle w:val="PI-2EMEASMCA"/>
      </w:pPr>
      <w:bookmarkStart w:id="32" w:name="_Toc129243112"/>
      <w:bookmarkStart w:id="33" w:name="_Toc129243237"/>
      <w:r w:rsidRPr="00D43A2F">
        <w:t>5.1</w:t>
      </w:r>
      <w:r w:rsidRPr="00D43A2F">
        <w:tab/>
        <w:t>Farmakodinaminės savybės</w:t>
      </w:r>
      <w:bookmarkEnd w:id="32"/>
      <w:bookmarkEnd w:id="33"/>
    </w:p>
    <w:p w14:paraId="2B86C116" w14:textId="77777777" w:rsidR="008F34FF" w:rsidRPr="00D43A2F" w:rsidRDefault="008F34FF" w:rsidP="008F34FF">
      <w:pPr>
        <w:pStyle w:val="BTEMEASMCA"/>
      </w:pPr>
    </w:p>
    <w:p w14:paraId="6BAA39D6" w14:textId="77777777" w:rsidR="008F34FF" w:rsidRPr="00D43A2F" w:rsidRDefault="008F34FF" w:rsidP="008F34FF">
      <w:pPr>
        <w:pStyle w:val="Pagrindinistekstas"/>
        <w:spacing w:after="0"/>
        <w:rPr>
          <w:szCs w:val="22"/>
        </w:rPr>
      </w:pPr>
      <w:r w:rsidRPr="00D43A2F">
        <w:rPr>
          <w:szCs w:val="22"/>
        </w:rPr>
        <w:t>Farmakoterapinė grupė – gliukokortikoidai, ATC kodas- H02AB04</w:t>
      </w:r>
    </w:p>
    <w:p w14:paraId="7C79C691" w14:textId="77777777" w:rsidR="008F34FF" w:rsidRPr="00D43A2F" w:rsidRDefault="008F34FF" w:rsidP="008F34FF">
      <w:pPr>
        <w:pStyle w:val="Pagrindinistekstas"/>
        <w:spacing w:after="0"/>
        <w:rPr>
          <w:szCs w:val="22"/>
        </w:rPr>
      </w:pPr>
    </w:p>
    <w:p w14:paraId="66C3A461" w14:textId="77777777" w:rsidR="008F34FF" w:rsidRPr="00D43A2F" w:rsidRDefault="008F34FF" w:rsidP="008F34FF">
      <w:pPr>
        <w:rPr>
          <w:sz w:val="22"/>
          <w:szCs w:val="22"/>
        </w:rPr>
      </w:pPr>
      <w:r w:rsidRPr="00D43A2F">
        <w:rPr>
          <w:sz w:val="22"/>
          <w:szCs w:val="22"/>
        </w:rPr>
        <w:t>Kaip ir kiti gliukokortikoidai, metilprednizolonas jungiasi prie intracitoplazminių receptorių. Steroido-receptoriaus kompleksas pernešamas į branduolį, kur jungiasi prie DNR ir keičia baltymų genų transkripciją. Gliukokortikoidai slopina daugelio baltymų sintezę, pavyzdžiui, įvairių fermentų, kurie yra svarbūs sergančiųjų reumatoidiniu artritu sąnarių irimui, ar citokinų, kurie svarbūs imuniniams ir uždegiminiams procesams. Taip pat svarbus neuroendokrininis</w:t>
      </w:r>
      <w:r>
        <w:rPr>
          <w:sz w:val="22"/>
          <w:szCs w:val="22"/>
        </w:rPr>
        <w:t xml:space="preserve"> </w:t>
      </w:r>
      <w:r w:rsidRPr="00D43A2F">
        <w:rPr>
          <w:sz w:val="22"/>
          <w:szCs w:val="22"/>
        </w:rPr>
        <w:t xml:space="preserve">gliukokortikoidų poveikis yra kai kurių baltymų, pavyzdžiui, lipokortino, sintezės skatinimas. Pagrindinis šio kompleksinio poveikio efektas yra sumažėjęs uždegiminis ir imuninis atsakas. </w:t>
      </w:r>
    </w:p>
    <w:p w14:paraId="7A86193E" w14:textId="77777777" w:rsidR="008F34FF" w:rsidRPr="00D43A2F" w:rsidRDefault="008F34FF" w:rsidP="008F34FF">
      <w:pPr>
        <w:rPr>
          <w:sz w:val="22"/>
          <w:szCs w:val="22"/>
        </w:rPr>
      </w:pPr>
    </w:p>
    <w:p w14:paraId="058350F8" w14:textId="77777777" w:rsidR="008F34FF" w:rsidRPr="00D43A2F" w:rsidRDefault="008F34FF" w:rsidP="008F34FF">
      <w:pPr>
        <w:rPr>
          <w:sz w:val="22"/>
          <w:szCs w:val="22"/>
        </w:rPr>
      </w:pPr>
      <w:r w:rsidRPr="00D43A2F">
        <w:rPr>
          <w:sz w:val="22"/>
          <w:szCs w:val="22"/>
        </w:rPr>
        <w:t xml:space="preserve">Gliukokortikoidai, taip pat ir metilprednizolonas, saugo nuo audinių atsako į daugelį stimuliuojančių veiksnių, pavyzdžiui, į spindulinius, mechaninius, cheminius, infekcinius ar imunologinius dirgiklius, ar slopina šį atsaką. Todėl jie silpnina simptomus, neveikdami pačios ligos. Metilprednizolonas uždegimą slopina bent penkis kartus stipriau negu hidrokortizonas. </w:t>
      </w:r>
    </w:p>
    <w:p w14:paraId="19C5EDDF" w14:textId="77777777" w:rsidR="008F34FF" w:rsidRPr="00D43A2F" w:rsidRDefault="008F34FF" w:rsidP="008F34FF">
      <w:pPr>
        <w:rPr>
          <w:sz w:val="22"/>
          <w:szCs w:val="22"/>
        </w:rPr>
      </w:pPr>
    </w:p>
    <w:p w14:paraId="59434B31" w14:textId="77777777" w:rsidR="008F34FF" w:rsidRPr="00D43A2F" w:rsidRDefault="008F34FF" w:rsidP="008F34FF">
      <w:pPr>
        <w:rPr>
          <w:sz w:val="22"/>
          <w:szCs w:val="22"/>
        </w:rPr>
      </w:pPr>
      <w:r w:rsidRPr="00D43A2F">
        <w:rPr>
          <w:sz w:val="22"/>
          <w:szCs w:val="22"/>
        </w:rPr>
        <w:t>Gliukokortikoidai ir metilprednizolonas veikia endokrininę sistemą, slopindami AKTH sekreciją ir endogeninio kortizolio gamybą ir, kai vartojami ilgai, sukeldami dalinę antinksčių žievės atrofiją. Po vienkartinės 40 mg metilprednizolono dozės kortikotropino</w:t>
      </w:r>
      <w:r>
        <w:rPr>
          <w:sz w:val="22"/>
          <w:szCs w:val="22"/>
        </w:rPr>
        <w:t xml:space="preserve"> </w:t>
      </w:r>
      <w:r w:rsidRPr="00D43A2F">
        <w:rPr>
          <w:sz w:val="22"/>
          <w:szCs w:val="22"/>
        </w:rPr>
        <w:t xml:space="preserve">nesekretuojama 1,5 dienos. Gliukokortikoidai taip pat dalyvauja angliavandenių, kalcio, vitamino D, baltymų ir riebalų metabolizme, jie didina gliukozės koncentraciją kraujyje, mineralinį kaulų tankį, sukelia raumenų atrofiją ir dislipidemiją. Kitos įvairaus gliukokortikoidų veikimo pasekmės yra hipertenzija ir elgesio bei nuotaikos pokyčiai. </w:t>
      </w:r>
    </w:p>
    <w:p w14:paraId="05A88613" w14:textId="77777777" w:rsidR="008F34FF" w:rsidRPr="00D43A2F" w:rsidRDefault="008F34FF" w:rsidP="008F34FF">
      <w:pPr>
        <w:rPr>
          <w:sz w:val="22"/>
          <w:szCs w:val="22"/>
        </w:rPr>
      </w:pPr>
    </w:p>
    <w:p w14:paraId="2D2C3044" w14:textId="77777777" w:rsidR="008F34FF" w:rsidRPr="00D43A2F" w:rsidRDefault="008F34FF" w:rsidP="008F34FF">
      <w:pPr>
        <w:pStyle w:val="Pagrindinistekstas"/>
        <w:spacing w:after="0"/>
        <w:rPr>
          <w:szCs w:val="22"/>
        </w:rPr>
      </w:pPr>
      <w:r w:rsidRPr="00D43A2F">
        <w:rPr>
          <w:szCs w:val="22"/>
        </w:rPr>
        <w:t>Metilprednizolo</w:t>
      </w:r>
      <w:r>
        <w:rPr>
          <w:szCs w:val="22"/>
        </w:rPr>
        <w:t xml:space="preserve">no </w:t>
      </w:r>
      <w:r w:rsidRPr="00D43A2F">
        <w:rPr>
          <w:szCs w:val="22"/>
        </w:rPr>
        <w:t>mineralokortikoidinis poveikis neryškus.</w:t>
      </w:r>
    </w:p>
    <w:p w14:paraId="13445E5F" w14:textId="77777777" w:rsidR="008F34FF" w:rsidRPr="00D43A2F" w:rsidRDefault="008F34FF" w:rsidP="008F34FF">
      <w:pPr>
        <w:pStyle w:val="BTEMEASMCA"/>
      </w:pPr>
    </w:p>
    <w:p w14:paraId="40E528CB" w14:textId="77777777" w:rsidR="008F34FF" w:rsidRPr="00D43A2F" w:rsidRDefault="008F34FF" w:rsidP="008F34FF">
      <w:pPr>
        <w:pStyle w:val="PI-2EMEASMCA"/>
        <w:numPr>
          <w:ilvl w:val="1"/>
          <w:numId w:val="5"/>
        </w:numPr>
      </w:pPr>
      <w:bookmarkStart w:id="34" w:name="_Toc129243113"/>
      <w:bookmarkStart w:id="35" w:name="_Toc129243238"/>
      <w:r w:rsidRPr="00D43A2F">
        <w:t>Farmakokinetinės savybės</w:t>
      </w:r>
    </w:p>
    <w:p w14:paraId="325ADC1F" w14:textId="77777777" w:rsidR="008F34FF" w:rsidRPr="00D43A2F" w:rsidRDefault="008F34FF" w:rsidP="008F34FF">
      <w:pPr>
        <w:pStyle w:val="PI-2EMEASMCA"/>
        <w:ind w:left="0" w:firstLine="0"/>
      </w:pPr>
    </w:p>
    <w:p w14:paraId="62BB6C13" w14:textId="77777777" w:rsidR="008F34FF" w:rsidRPr="005A3FA9" w:rsidRDefault="008F34FF" w:rsidP="008F34FF">
      <w:pPr>
        <w:pStyle w:val="Pagrindinistekstas"/>
        <w:spacing w:after="0"/>
        <w:rPr>
          <w:color w:val="000000"/>
          <w:szCs w:val="22"/>
          <w:u w:val="single"/>
        </w:rPr>
      </w:pPr>
      <w:r w:rsidRPr="005A3FA9">
        <w:rPr>
          <w:color w:val="000000"/>
          <w:szCs w:val="22"/>
          <w:u w:val="single"/>
        </w:rPr>
        <w:t>Absorbcija</w:t>
      </w:r>
    </w:p>
    <w:p w14:paraId="4B2DF470" w14:textId="77777777" w:rsidR="008F34FF" w:rsidRPr="00D43A2F" w:rsidRDefault="008F34FF" w:rsidP="008F34FF">
      <w:pPr>
        <w:pStyle w:val="Pagrindinistekstas"/>
        <w:spacing w:after="0"/>
        <w:rPr>
          <w:szCs w:val="22"/>
        </w:rPr>
      </w:pPr>
      <w:r w:rsidRPr="00D43A2F">
        <w:rPr>
          <w:szCs w:val="22"/>
        </w:rPr>
        <w:t>Metilprednizolono vandenilio sukcinato natrio druska gerai tirpsta vandenyje ir greitai absorbuojama. Didžiausia plazmos koncentracija pasiekiama per 1 – 2 val</w:t>
      </w:r>
      <w:r>
        <w:rPr>
          <w:szCs w:val="22"/>
        </w:rPr>
        <w:t>.</w:t>
      </w:r>
      <w:r w:rsidRPr="00D43A2F">
        <w:rPr>
          <w:szCs w:val="22"/>
        </w:rPr>
        <w:t xml:space="preserve"> pavartojus per burną arba parenteriniu būdu.</w:t>
      </w:r>
    </w:p>
    <w:p w14:paraId="3D0736DE" w14:textId="77777777" w:rsidR="008F34FF" w:rsidRPr="00D43A2F" w:rsidRDefault="008F34FF" w:rsidP="008F34FF">
      <w:pPr>
        <w:pStyle w:val="Pagrindinistekstas"/>
        <w:spacing w:after="0"/>
        <w:rPr>
          <w:szCs w:val="22"/>
        </w:rPr>
      </w:pPr>
    </w:p>
    <w:p w14:paraId="58D0B5BE" w14:textId="77777777" w:rsidR="008F34FF" w:rsidRPr="005A3FA9" w:rsidRDefault="008F34FF" w:rsidP="008F34FF">
      <w:pPr>
        <w:pStyle w:val="Pagrindinistekstas"/>
        <w:spacing w:after="0"/>
        <w:rPr>
          <w:szCs w:val="22"/>
          <w:u w:val="single"/>
        </w:rPr>
      </w:pPr>
      <w:r w:rsidRPr="005A3FA9">
        <w:rPr>
          <w:szCs w:val="22"/>
          <w:u w:val="single"/>
        </w:rPr>
        <w:t>Pasiskirstymas</w:t>
      </w:r>
    </w:p>
    <w:p w14:paraId="59D924B8" w14:textId="77777777" w:rsidR="008F34FF" w:rsidRPr="00D43A2F" w:rsidRDefault="008F34FF" w:rsidP="008F34FF">
      <w:pPr>
        <w:pStyle w:val="Pagrindinistekstas"/>
        <w:spacing w:after="0"/>
        <w:rPr>
          <w:szCs w:val="22"/>
        </w:rPr>
      </w:pPr>
      <w:r w:rsidRPr="00D43A2F">
        <w:rPr>
          <w:szCs w:val="22"/>
        </w:rPr>
        <w:t xml:space="preserve">Kraujyje apie 95% </w:t>
      </w:r>
      <w:r>
        <w:rPr>
          <w:szCs w:val="22"/>
        </w:rPr>
        <w:t>metilprednizolono</w:t>
      </w:r>
      <w:r w:rsidRPr="00D43A2F">
        <w:rPr>
          <w:szCs w:val="22"/>
        </w:rPr>
        <w:t xml:space="preserve"> greitai jungiasi su plazmos baltymais, ypač su globulinais ir išnešiojamas į plaučius, inkstus, plonąjį žarnyną, odą, kepenis ir raumenis. Farmakologiniu poveikiu pasižymi tik laisvas metilprednizolonas. </w:t>
      </w:r>
    </w:p>
    <w:p w14:paraId="7A6299DB" w14:textId="77777777" w:rsidR="008F34FF" w:rsidRPr="00D43A2F" w:rsidRDefault="008F34FF" w:rsidP="008F34FF">
      <w:pPr>
        <w:pStyle w:val="Pagrindinistekstas"/>
        <w:spacing w:after="0"/>
        <w:rPr>
          <w:szCs w:val="22"/>
        </w:rPr>
      </w:pPr>
    </w:p>
    <w:p w14:paraId="33B55FCB" w14:textId="77777777" w:rsidR="008F34FF" w:rsidRPr="00D43A2F" w:rsidRDefault="008F34FF" w:rsidP="008F34FF">
      <w:pPr>
        <w:pStyle w:val="Pagrindinistekstas"/>
        <w:spacing w:after="0"/>
        <w:rPr>
          <w:b/>
          <w:szCs w:val="22"/>
        </w:rPr>
      </w:pPr>
      <w:r w:rsidRPr="005A3FA9">
        <w:rPr>
          <w:szCs w:val="22"/>
          <w:u w:val="single"/>
        </w:rPr>
        <w:t>Biotransformacija</w:t>
      </w:r>
    </w:p>
    <w:p w14:paraId="5028C4B0" w14:textId="77777777" w:rsidR="008F34FF" w:rsidRPr="00D43A2F" w:rsidRDefault="008F34FF" w:rsidP="008F34FF">
      <w:pPr>
        <w:pStyle w:val="Pagrindinistekstas"/>
        <w:spacing w:after="0"/>
        <w:rPr>
          <w:b/>
          <w:szCs w:val="22"/>
        </w:rPr>
      </w:pPr>
      <w:r w:rsidRPr="00D43A2F">
        <w:rPr>
          <w:szCs w:val="22"/>
        </w:rPr>
        <w:t xml:space="preserve">Daugiausia </w:t>
      </w:r>
      <w:r>
        <w:rPr>
          <w:szCs w:val="22"/>
        </w:rPr>
        <w:t xml:space="preserve">vaistinio </w:t>
      </w:r>
      <w:r w:rsidRPr="00D43A2F">
        <w:rPr>
          <w:szCs w:val="22"/>
        </w:rPr>
        <w:t xml:space="preserve">preparato metabolizuojama kepenyse. </w:t>
      </w:r>
      <w:r>
        <w:rPr>
          <w:szCs w:val="22"/>
        </w:rPr>
        <w:t>Metilpredizolono</w:t>
      </w:r>
      <w:r w:rsidRPr="00D43A2F">
        <w:rPr>
          <w:szCs w:val="22"/>
        </w:rPr>
        <w:t xml:space="preserve"> metabolitai (keto- ir hidroksi- junginiai) yra neaktyvūs hormonai. Laikas, per kurį </w:t>
      </w:r>
      <w:r>
        <w:rPr>
          <w:szCs w:val="22"/>
        </w:rPr>
        <w:t>metilprednizolono</w:t>
      </w:r>
      <w:r w:rsidRPr="00D43A2F">
        <w:rPr>
          <w:szCs w:val="22"/>
        </w:rPr>
        <w:t xml:space="preserve"> koncentracija sumažėja per pusę, yra 100 minučių. Veikimo trukmė – 12 – 26 valandos. </w:t>
      </w:r>
    </w:p>
    <w:p w14:paraId="470E7AE4" w14:textId="77777777" w:rsidR="008F34FF" w:rsidRPr="00D43A2F" w:rsidRDefault="008F34FF" w:rsidP="008F34FF">
      <w:pPr>
        <w:pStyle w:val="Pagrindinistekstas"/>
        <w:spacing w:after="0"/>
        <w:rPr>
          <w:b/>
          <w:szCs w:val="22"/>
        </w:rPr>
      </w:pPr>
    </w:p>
    <w:p w14:paraId="118D4656" w14:textId="77777777" w:rsidR="008F34FF" w:rsidRPr="005A3FA9" w:rsidRDefault="008F34FF" w:rsidP="008F34FF">
      <w:pPr>
        <w:pStyle w:val="Pagrindinistekstas"/>
        <w:spacing w:after="0"/>
        <w:rPr>
          <w:color w:val="000000"/>
          <w:szCs w:val="22"/>
          <w:u w:val="single"/>
        </w:rPr>
      </w:pPr>
      <w:r w:rsidRPr="005A3FA9">
        <w:rPr>
          <w:szCs w:val="22"/>
          <w:u w:val="single"/>
        </w:rPr>
        <w:t>Eliminacija</w:t>
      </w:r>
    </w:p>
    <w:p w14:paraId="73D00BFC" w14:textId="77777777" w:rsidR="008F34FF" w:rsidRPr="00D43A2F" w:rsidRDefault="008F34FF" w:rsidP="008F34FF">
      <w:pPr>
        <w:pStyle w:val="Pagrindinistekstas"/>
        <w:spacing w:after="0"/>
        <w:rPr>
          <w:szCs w:val="22"/>
        </w:rPr>
      </w:pPr>
      <w:r w:rsidRPr="00D43A2F">
        <w:rPr>
          <w:szCs w:val="22"/>
        </w:rPr>
        <w:t xml:space="preserve">Apie 85 proc. pavartotos dozės išsiskiria su šlapimu per 24 valandas, 10 proc. - su fekalijomis. Metilprednizolonas pereina placentos barjerą ir išsiskiria į pieną. </w:t>
      </w:r>
      <w:r>
        <w:rPr>
          <w:szCs w:val="22"/>
        </w:rPr>
        <w:t>Metilprednizolono</w:t>
      </w:r>
      <w:r w:rsidRPr="00D43A2F">
        <w:rPr>
          <w:szCs w:val="22"/>
        </w:rPr>
        <w:t xml:space="preserve"> metabolitai (keto- ir hidroksi- junginiai) daugiausiai išsiskiria su šlapimu.</w:t>
      </w:r>
    </w:p>
    <w:bookmarkEnd w:id="34"/>
    <w:bookmarkEnd w:id="35"/>
    <w:p w14:paraId="0F68ABF9" w14:textId="77777777" w:rsidR="008F34FF" w:rsidRPr="00D43A2F" w:rsidRDefault="008F34FF" w:rsidP="008F34FF">
      <w:pPr>
        <w:pStyle w:val="Pagrindinistekstas"/>
        <w:spacing w:after="0"/>
        <w:rPr>
          <w:szCs w:val="22"/>
        </w:rPr>
      </w:pPr>
    </w:p>
    <w:p w14:paraId="3D9A38D0" w14:textId="77777777" w:rsidR="008F34FF" w:rsidRPr="00D43A2F" w:rsidRDefault="008F34FF" w:rsidP="008F34FF">
      <w:pPr>
        <w:pStyle w:val="PI-2EMEASMCA"/>
      </w:pPr>
      <w:bookmarkStart w:id="36" w:name="_Toc129243114"/>
      <w:bookmarkStart w:id="37" w:name="_Toc129243239"/>
      <w:r w:rsidRPr="00D43A2F">
        <w:t>5.3</w:t>
      </w:r>
      <w:r w:rsidRPr="00D43A2F">
        <w:tab/>
        <w:t>Ikiklinikinių saugumo tyrimų duomenys</w:t>
      </w:r>
    </w:p>
    <w:p w14:paraId="608256BB" w14:textId="77777777" w:rsidR="008F34FF" w:rsidRPr="00D43A2F" w:rsidRDefault="008F34FF" w:rsidP="008F34FF">
      <w:pPr>
        <w:pStyle w:val="BTEMEASMCA"/>
      </w:pPr>
    </w:p>
    <w:p w14:paraId="0346359B" w14:textId="77777777" w:rsidR="008F34FF" w:rsidRPr="00D43A2F" w:rsidRDefault="008F34FF" w:rsidP="008F34FF">
      <w:pPr>
        <w:pStyle w:val="Pagrindinistekstas"/>
        <w:spacing w:after="0"/>
        <w:rPr>
          <w:szCs w:val="22"/>
        </w:rPr>
      </w:pPr>
      <w:r w:rsidRPr="00D43A2F">
        <w:rPr>
          <w:szCs w:val="22"/>
        </w:rPr>
        <w:t>Tiriamiems gyvūnams preparato sušvirkštus į veną, metilprednizolonas pasižymėjo silpnu toksiškumu. Ūmi LD</w:t>
      </w:r>
      <w:r w:rsidRPr="00D43A2F">
        <w:rPr>
          <w:szCs w:val="22"/>
          <w:vertAlign w:val="subscript"/>
        </w:rPr>
        <w:t>50</w:t>
      </w:r>
      <w:r w:rsidRPr="00D43A2F">
        <w:rPr>
          <w:szCs w:val="22"/>
        </w:rPr>
        <w:t xml:space="preserve"> žiurkėms ir pelėms – atitinkamai 650 ir 770 mg/kg kūno masės.</w:t>
      </w:r>
    </w:p>
    <w:p w14:paraId="37831D7A" w14:textId="77777777" w:rsidR="008F34FF" w:rsidRPr="00D43A2F" w:rsidRDefault="008F34FF" w:rsidP="008F34FF">
      <w:pPr>
        <w:pStyle w:val="Pagrindinistekstas"/>
        <w:spacing w:after="0"/>
        <w:rPr>
          <w:szCs w:val="22"/>
        </w:rPr>
      </w:pPr>
      <w:r w:rsidRPr="00D43A2F">
        <w:rPr>
          <w:szCs w:val="22"/>
        </w:rPr>
        <w:t xml:space="preserve">Teratogeninio poveikio tyrimai su žiurkėmis parodė, kad didelės kortikosteroidų dozės sukelia vaisiaus apsigimimų, bet metilprednizolonas, lyginant su kitais gliukokortikoidais, pasižymi mažiausiu teratogeniniu poveikiu. </w:t>
      </w:r>
    </w:p>
    <w:bookmarkEnd w:id="36"/>
    <w:bookmarkEnd w:id="37"/>
    <w:p w14:paraId="3C0EA492" w14:textId="77777777" w:rsidR="008F34FF" w:rsidRPr="00A30B60" w:rsidRDefault="008F34FF" w:rsidP="008F34FF">
      <w:pPr>
        <w:pStyle w:val="BTEMEASMCA"/>
      </w:pPr>
      <w:r w:rsidRPr="00D43A2F">
        <w:rPr>
          <w:color w:val="333333"/>
        </w:rPr>
        <w:t xml:space="preserve">Remiantis įprastais klinikinių tyrimų duomenimis, specifinis pavojus žmogui, įvertinus farmakologinį saugumą, kartotinių dozių toksiškumą, genotoksiškumą, galimą kancerogeniškumą ir toksinį poveikį </w:t>
      </w:r>
      <w:r w:rsidRPr="00A30B60">
        <w:t>reprodukcijai, nebuvo nustatytas.</w:t>
      </w:r>
    </w:p>
    <w:p w14:paraId="18CC37F4" w14:textId="77777777" w:rsidR="008F34FF" w:rsidRPr="00D43A2F" w:rsidRDefault="008F34FF" w:rsidP="008F34FF">
      <w:pPr>
        <w:pStyle w:val="BTEMEASMCA"/>
      </w:pPr>
    </w:p>
    <w:p w14:paraId="6D8B46FB" w14:textId="77777777" w:rsidR="008F34FF" w:rsidRPr="00D43A2F" w:rsidRDefault="008F34FF" w:rsidP="008F34FF">
      <w:pPr>
        <w:pStyle w:val="BTEMEASMCA"/>
      </w:pPr>
    </w:p>
    <w:p w14:paraId="132F05FE" w14:textId="77777777" w:rsidR="008F34FF" w:rsidRPr="00D43A2F" w:rsidRDefault="008F34FF" w:rsidP="008F34FF">
      <w:pPr>
        <w:pStyle w:val="PI-1EMEASMCA"/>
      </w:pPr>
      <w:bookmarkStart w:id="38" w:name="_Toc129243115"/>
      <w:bookmarkStart w:id="39" w:name="_Toc129243240"/>
      <w:r w:rsidRPr="00D43A2F">
        <w:t>6.</w:t>
      </w:r>
      <w:r w:rsidRPr="00D43A2F">
        <w:tab/>
        <w:t>FARMACINĖ INFORMACIJA</w:t>
      </w:r>
      <w:bookmarkEnd w:id="38"/>
      <w:bookmarkEnd w:id="39"/>
    </w:p>
    <w:p w14:paraId="0E05B007" w14:textId="77777777" w:rsidR="008F34FF" w:rsidRPr="00D43A2F" w:rsidRDefault="008F34FF" w:rsidP="008F34FF">
      <w:pPr>
        <w:pStyle w:val="BTEMEASMCA"/>
      </w:pPr>
    </w:p>
    <w:p w14:paraId="0B3EAC5A" w14:textId="77777777" w:rsidR="008F34FF" w:rsidRPr="00D43A2F" w:rsidRDefault="008F34FF" w:rsidP="008F34FF">
      <w:pPr>
        <w:pStyle w:val="PI-2EMEASMCA"/>
      </w:pPr>
      <w:bookmarkStart w:id="40" w:name="_Toc129243116"/>
      <w:bookmarkStart w:id="41" w:name="_Toc129243241"/>
      <w:r w:rsidRPr="00D43A2F">
        <w:t>6.1</w:t>
      </w:r>
      <w:r w:rsidRPr="00D43A2F">
        <w:tab/>
        <w:t>Pagalbinių medžiagų sąrašas</w:t>
      </w:r>
      <w:bookmarkEnd w:id="40"/>
      <w:bookmarkEnd w:id="41"/>
    </w:p>
    <w:p w14:paraId="7E66A7D2" w14:textId="77777777" w:rsidR="008F34FF" w:rsidRPr="00D43A2F" w:rsidRDefault="008F34FF" w:rsidP="008F34FF">
      <w:pPr>
        <w:pStyle w:val="PI-2EMEASMCA"/>
      </w:pPr>
      <w:bookmarkStart w:id="42" w:name="_Toc129243117"/>
      <w:bookmarkStart w:id="43" w:name="_Toc129243242"/>
    </w:p>
    <w:p w14:paraId="43412D28" w14:textId="77777777" w:rsidR="008F34FF" w:rsidRPr="009D27A8" w:rsidRDefault="008F34FF" w:rsidP="008F34FF">
      <w:pPr>
        <w:pStyle w:val="PI-2EMEASMCA"/>
        <w:rPr>
          <w:b w:val="0"/>
          <w:u w:val="single"/>
        </w:rPr>
      </w:pPr>
      <w:r w:rsidRPr="009D27A8">
        <w:rPr>
          <w:b w:val="0"/>
          <w:u w:val="single"/>
        </w:rPr>
        <w:t>Milteliai</w:t>
      </w:r>
    </w:p>
    <w:p w14:paraId="366E39C3" w14:textId="77777777" w:rsidR="008F34FF" w:rsidRPr="00D43A2F" w:rsidRDefault="008F34FF" w:rsidP="008F34FF">
      <w:pPr>
        <w:pStyle w:val="Pagrindinistekstas"/>
        <w:spacing w:after="0"/>
        <w:rPr>
          <w:szCs w:val="22"/>
        </w:rPr>
      </w:pPr>
      <w:r w:rsidRPr="00D43A2F">
        <w:rPr>
          <w:szCs w:val="22"/>
        </w:rPr>
        <w:t>Dinatrio fosfatas dihidratas</w:t>
      </w:r>
    </w:p>
    <w:p w14:paraId="3DAACCB3" w14:textId="77777777" w:rsidR="008F34FF" w:rsidRPr="00D43A2F" w:rsidRDefault="008F34FF" w:rsidP="008F34FF">
      <w:pPr>
        <w:pStyle w:val="Pagrindinistekstas"/>
        <w:spacing w:after="0"/>
        <w:rPr>
          <w:szCs w:val="22"/>
        </w:rPr>
      </w:pPr>
      <w:r w:rsidRPr="00D43A2F">
        <w:rPr>
          <w:szCs w:val="22"/>
        </w:rPr>
        <w:t>Natrio-divandenilio fosfatas monohidratas</w:t>
      </w:r>
    </w:p>
    <w:p w14:paraId="5C7BC737" w14:textId="77777777" w:rsidR="008F34FF" w:rsidRPr="00D43A2F" w:rsidRDefault="008F34FF" w:rsidP="008F34FF">
      <w:pPr>
        <w:pStyle w:val="Pagrindinistekstas"/>
        <w:spacing w:after="0"/>
        <w:rPr>
          <w:szCs w:val="22"/>
        </w:rPr>
      </w:pPr>
    </w:p>
    <w:p w14:paraId="1396812B" w14:textId="77777777" w:rsidR="008F34FF" w:rsidRPr="009D27A8" w:rsidRDefault="008F34FF" w:rsidP="008F34FF">
      <w:pPr>
        <w:pStyle w:val="Pagrindinistekstas"/>
        <w:spacing w:after="0"/>
        <w:rPr>
          <w:szCs w:val="22"/>
          <w:u w:val="single"/>
        </w:rPr>
      </w:pPr>
      <w:r w:rsidRPr="009D27A8">
        <w:rPr>
          <w:szCs w:val="22"/>
          <w:u w:val="single"/>
        </w:rPr>
        <w:t>Tirpiklis</w:t>
      </w:r>
    </w:p>
    <w:p w14:paraId="0FE60F96" w14:textId="77777777" w:rsidR="008F34FF" w:rsidRPr="00D43A2F" w:rsidRDefault="008F34FF" w:rsidP="008F34FF">
      <w:pPr>
        <w:pStyle w:val="Pagrindinistekstas"/>
        <w:spacing w:after="0"/>
        <w:rPr>
          <w:szCs w:val="22"/>
        </w:rPr>
      </w:pPr>
      <w:r w:rsidRPr="00D43A2F">
        <w:rPr>
          <w:szCs w:val="22"/>
        </w:rPr>
        <w:t>Injekcinis vanduo</w:t>
      </w:r>
    </w:p>
    <w:p w14:paraId="07F0B37B" w14:textId="77777777" w:rsidR="008F34FF" w:rsidRPr="00D43A2F" w:rsidRDefault="008F34FF" w:rsidP="008F34FF">
      <w:pPr>
        <w:pStyle w:val="PI-2EMEASMCA"/>
      </w:pPr>
    </w:p>
    <w:p w14:paraId="38221BD3" w14:textId="6F674BF6" w:rsidR="008F34FF" w:rsidRPr="00D43A2F" w:rsidRDefault="008F34FF" w:rsidP="008F34FF">
      <w:pPr>
        <w:pStyle w:val="PI-2EMEASMCA"/>
      </w:pPr>
      <w:r w:rsidRPr="00D43A2F">
        <w:t>6.2</w:t>
      </w:r>
      <w:r w:rsidRPr="00D43A2F">
        <w:tab/>
        <w:t>Nesuderinamumas</w:t>
      </w:r>
      <w:bookmarkEnd w:id="42"/>
      <w:bookmarkEnd w:id="43"/>
    </w:p>
    <w:p w14:paraId="0F923297" w14:textId="77777777" w:rsidR="008F34FF" w:rsidRPr="00D43A2F" w:rsidRDefault="008F34FF" w:rsidP="008F34FF">
      <w:pPr>
        <w:pStyle w:val="BTEMEASMCA"/>
      </w:pPr>
    </w:p>
    <w:p w14:paraId="76AB8286" w14:textId="77777777" w:rsidR="008F34FF" w:rsidRPr="00D43A2F" w:rsidRDefault="008F34FF" w:rsidP="008F34FF">
      <w:pPr>
        <w:rPr>
          <w:sz w:val="22"/>
          <w:szCs w:val="22"/>
        </w:rPr>
      </w:pPr>
      <w:r w:rsidRPr="00D43A2F">
        <w:rPr>
          <w:sz w:val="22"/>
          <w:szCs w:val="22"/>
        </w:rPr>
        <w:t xml:space="preserve">Paruošto ir praskiesto </w:t>
      </w:r>
      <w:r>
        <w:rPr>
          <w:sz w:val="22"/>
          <w:szCs w:val="22"/>
        </w:rPr>
        <w:t xml:space="preserve">vaistinio </w:t>
      </w:r>
      <w:r w:rsidRPr="00D43A2F">
        <w:rPr>
          <w:sz w:val="22"/>
          <w:szCs w:val="22"/>
        </w:rPr>
        <w:t xml:space="preserve">preparato negalima maišyti su kitais vaistiniais preparatais, išskyrus 6.6 skyriuje išvardytus vaistinius preparatus. </w:t>
      </w:r>
    </w:p>
    <w:p w14:paraId="2CBB4D4F" w14:textId="77777777" w:rsidR="008F34FF" w:rsidRPr="00D43A2F" w:rsidRDefault="008F34FF" w:rsidP="008F34FF">
      <w:pPr>
        <w:pStyle w:val="Pagrindinistekstas"/>
        <w:spacing w:after="0"/>
        <w:rPr>
          <w:szCs w:val="22"/>
        </w:rPr>
      </w:pPr>
    </w:p>
    <w:p w14:paraId="2891A8A4" w14:textId="77777777" w:rsidR="008F34FF" w:rsidRPr="00D43A2F" w:rsidRDefault="008F34FF" w:rsidP="008F34FF">
      <w:pPr>
        <w:pStyle w:val="PI-2EMEASMCA"/>
      </w:pPr>
      <w:bookmarkStart w:id="44" w:name="_Toc129243118"/>
      <w:bookmarkStart w:id="45" w:name="_Toc129243243"/>
      <w:r w:rsidRPr="00D43A2F">
        <w:t>6.3</w:t>
      </w:r>
      <w:r w:rsidRPr="00D43A2F">
        <w:tab/>
        <w:t>Tinkamumo laikas</w:t>
      </w:r>
      <w:bookmarkEnd w:id="44"/>
      <w:bookmarkEnd w:id="45"/>
    </w:p>
    <w:p w14:paraId="76FF665B" w14:textId="77777777" w:rsidR="008F34FF" w:rsidRPr="00D43A2F" w:rsidRDefault="008F34FF" w:rsidP="008F34FF">
      <w:pPr>
        <w:pStyle w:val="BTEMEASMCA"/>
      </w:pPr>
    </w:p>
    <w:p w14:paraId="3F06958A" w14:textId="77777777" w:rsidR="008F34FF" w:rsidRPr="00D43A2F" w:rsidRDefault="008F34FF" w:rsidP="008F34FF">
      <w:pPr>
        <w:pStyle w:val="Pagrindinistekstas"/>
        <w:spacing w:after="0"/>
        <w:rPr>
          <w:szCs w:val="22"/>
        </w:rPr>
      </w:pPr>
      <w:r w:rsidRPr="00D43A2F">
        <w:rPr>
          <w:szCs w:val="22"/>
        </w:rPr>
        <w:t>5 metai.</w:t>
      </w:r>
    </w:p>
    <w:p w14:paraId="7AA398EF" w14:textId="77777777" w:rsidR="008F34FF" w:rsidRPr="00D43A2F" w:rsidRDefault="008F34FF" w:rsidP="008F34FF">
      <w:pPr>
        <w:pStyle w:val="BTEMEASMCA"/>
      </w:pPr>
      <w:r w:rsidRPr="00D43A2F">
        <w:t>Paruoštą ir praskiestą tirpalą vartoti nedelsiant.</w:t>
      </w:r>
    </w:p>
    <w:p w14:paraId="712F05CD" w14:textId="77777777" w:rsidR="008F34FF" w:rsidRPr="00D43A2F" w:rsidRDefault="008F34FF" w:rsidP="008F34FF">
      <w:pPr>
        <w:pStyle w:val="BTEMEASMCA"/>
      </w:pPr>
    </w:p>
    <w:p w14:paraId="33FE88C7" w14:textId="77777777" w:rsidR="008F34FF" w:rsidRPr="00D43A2F" w:rsidRDefault="008F34FF" w:rsidP="008F34FF">
      <w:pPr>
        <w:pStyle w:val="PI-2EMEASMCA"/>
      </w:pPr>
      <w:bookmarkStart w:id="46" w:name="_Toc129243119"/>
      <w:bookmarkStart w:id="47" w:name="_Toc129243244"/>
      <w:r w:rsidRPr="00D43A2F">
        <w:t>6.4</w:t>
      </w:r>
      <w:r w:rsidRPr="00D43A2F">
        <w:tab/>
        <w:t>Specialios laikymo sąlygos</w:t>
      </w:r>
      <w:bookmarkEnd w:id="46"/>
      <w:bookmarkEnd w:id="47"/>
    </w:p>
    <w:p w14:paraId="46D20525" w14:textId="77777777" w:rsidR="008F34FF" w:rsidRPr="00D43A2F" w:rsidRDefault="008F34FF" w:rsidP="008F34FF">
      <w:pPr>
        <w:pStyle w:val="BTEMEASMCA"/>
      </w:pPr>
    </w:p>
    <w:p w14:paraId="021C47E5" w14:textId="77777777" w:rsidR="008F34FF" w:rsidRPr="00D43A2F" w:rsidRDefault="008F34FF" w:rsidP="008F34FF">
      <w:pPr>
        <w:pStyle w:val="Pagrindinistekstas"/>
        <w:spacing w:after="0"/>
        <w:rPr>
          <w:szCs w:val="22"/>
        </w:rPr>
      </w:pPr>
      <w:r w:rsidRPr="00D43A2F">
        <w:rPr>
          <w:szCs w:val="22"/>
        </w:rPr>
        <w:t xml:space="preserve">Laikyti ne aukštesnėje kaip 25 </w:t>
      </w:r>
      <w:r w:rsidRPr="00D43A2F">
        <w:rPr>
          <w:szCs w:val="22"/>
        </w:rPr>
        <w:sym w:font="Symbol" w:char="F0B0"/>
      </w:r>
      <w:r w:rsidRPr="00D43A2F">
        <w:rPr>
          <w:szCs w:val="22"/>
        </w:rPr>
        <w:t>C temperatūroje.</w:t>
      </w:r>
    </w:p>
    <w:p w14:paraId="11FEBB71" w14:textId="77777777" w:rsidR="008F34FF" w:rsidRPr="00D43A2F" w:rsidRDefault="008F34FF" w:rsidP="008F34FF">
      <w:pPr>
        <w:pStyle w:val="Pagrindinistekstas"/>
        <w:spacing w:after="0"/>
        <w:rPr>
          <w:szCs w:val="22"/>
        </w:rPr>
      </w:pPr>
      <w:r w:rsidRPr="00D43A2F">
        <w:rPr>
          <w:szCs w:val="22"/>
        </w:rPr>
        <w:t>Negalima užšaldyti.</w:t>
      </w:r>
    </w:p>
    <w:p w14:paraId="746987B6" w14:textId="55FBCFE6" w:rsidR="008F34FF" w:rsidRPr="00D43A2F" w:rsidRDefault="008F34FF" w:rsidP="008F34FF">
      <w:pPr>
        <w:pStyle w:val="Pagrindinistekstas"/>
        <w:spacing w:after="0"/>
        <w:rPr>
          <w:szCs w:val="22"/>
        </w:rPr>
      </w:pPr>
      <w:r w:rsidRPr="00D43A2F">
        <w:rPr>
          <w:szCs w:val="22"/>
        </w:rPr>
        <w:t xml:space="preserve">Ampules laikyti išorinėje dėžutėje, kad </w:t>
      </w:r>
      <w:r w:rsidR="00CC7394">
        <w:rPr>
          <w:szCs w:val="22"/>
        </w:rPr>
        <w:t xml:space="preserve">vaistinis </w:t>
      </w:r>
      <w:r w:rsidRPr="00D43A2F">
        <w:rPr>
          <w:szCs w:val="22"/>
        </w:rPr>
        <w:t xml:space="preserve">preparatas būtų apsaugotas nuo šviesos. </w:t>
      </w:r>
    </w:p>
    <w:p w14:paraId="0F8841AA" w14:textId="77777777" w:rsidR="008F34FF" w:rsidRPr="00D43A2F" w:rsidRDefault="008F34FF" w:rsidP="008F34FF">
      <w:pPr>
        <w:rPr>
          <w:sz w:val="22"/>
          <w:szCs w:val="22"/>
        </w:rPr>
      </w:pPr>
      <w:r w:rsidRPr="00D43A2F">
        <w:rPr>
          <w:sz w:val="22"/>
          <w:szCs w:val="22"/>
        </w:rPr>
        <w:t>Paruošto/praskiesto vaistinio preparato laikymo sąlygos nurodytos 6.3 skyriuje.</w:t>
      </w:r>
    </w:p>
    <w:p w14:paraId="794BC3A3" w14:textId="77777777" w:rsidR="008F34FF" w:rsidRPr="00D43A2F" w:rsidRDefault="008F34FF" w:rsidP="008F34FF">
      <w:pPr>
        <w:rPr>
          <w:sz w:val="22"/>
          <w:szCs w:val="22"/>
        </w:rPr>
      </w:pPr>
    </w:p>
    <w:p w14:paraId="6A9D3CD9" w14:textId="77777777" w:rsidR="008F34FF" w:rsidRPr="00D43A2F" w:rsidRDefault="008F34FF" w:rsidP="008F34FF">
      <w:pPr>
        <w:pStyle w:val="PI-2EMEASMCA"/>
      </w:pPr>
      <w:bookmarkStart w:id="48" w:name="_Toc129243120"/>
      <w:bookmarkStart w:id="49" w:name="_Toc129243245"/>
      <w:r w:rsidRPr="00D43A2F">
        <w:t>6.5</w:t>
      </w:r>
      <w:r w:rsidRPr="00D43A2F">
        <w:tab/>
        <w:t>Pakuotė ir jos turinys</w:t>
      </w:r>
      <w:bookmarkEnd w:id="48"/>
      <w:bookmarkEnd w:id="49"/>
    </w:p>
    <w:p w14:paraId="2D343BC2" w14:textId="77777777" w:rsidR="008F34FF" w:rsidRPr="00D43A2F" w:rsidRDefault="008F34FF" w:rsidP="008F34FF">
      <w:pPr>
        <w:pStyle w:val="BTEMEASMCA"/>
      </w:pPr>
    </w:p>
    <w:p w14:paraId="47E53CAB" w14:textId="77777777" w:rsidR="008F34FF" w:rsidRDefault="008F34FF" w:rsidP="008F34FF">
      <w:pPr>
        <w:pStyle w:val="Pagrindinistekstas"/>
        <w:spacing w:after="0"/>
      </w:pPr>
      <w:r w:rsidRPr="00D43A2F">
        <w:rPr>
          <w:szCs w:val="22"/>
        </w:rPr>
        <w:t>Milteliai tiekiami 10 ml bespalvio skaidraus stiklo ampulėmis</w:t>
      </w:r>
      <w:r>
        <w:rPr>
          <w:szCs w:val="22"/>
        </w:rPr>
        <w:t xml:space="preserve">, kuriose yra 250 mg </w:t>
      </w:r>
      <w:r w:rsidRPr="00D43A2F">
        <w:rPr>
          <w:iCs/>
          <w:szCs w:val="22"/>
        </w:rPr>
        <w:t>metilprednizolono</w:t>
      </w:r>
      <w:r w:rsidRPr="00D43A2F">
        <w:rPr>
          <w:szCs w:val="22"/>
        </w:rPr>
        <w:t xml:space="preserve">. </w:t>
      </w:r>
      <w:r w:rsidRPr="00D43A2F">
        <w:t xml:space="preserve">Ant ampulės yra </w:t>
      </w:r>
      <w:r>
        <w:t>spalvotas taškas</w:t>
      </w:r>
      <w:r w:rsidRPr="00D43A2F">
        <w:t>, žymintis laužimo vietą.</w:t>
      </w:r>
    </w:p>
    <w:p w14:paraId="405558FE" w14:textId="77777777" w:rsidR="008F34FF" w:rsidRDefault="008F34FF" w:rsidP="008F34FF">
      <w:pPr>
        <w:pStyle w:val="Pagrindinistekstas"/>
        <w:spacing w:after="0"/>
        <w:rPr>
          <w:szCs w:val="22"/>
        </w:rPr>
      </w:pPr>
      <w:r w:rsidRPr="00D43A2F">
        <w:rPr>
          <w:szCs w:val="22"/>
        </w:rPr>
        <w:t xml:space="preserve">Tirpiklis tiekiamas 5 ml bespalvio skaidraus stiklo ampulėmis. </w:t>
      </w:r>
      <w:r w:rsidRPr="00D43A2F">
        <w:t xml:space="preserve">Ant ampulės yra </w:t>
      </w:r>
      <w:r>
        <w:t>spalvotas taškas</w:t>
      </w:r>
      <w:r w:rsidRPr="00D43A2F">
        <w:t>, žymintis laužimo vietą.</w:t>
      </w:r>
    </w:p>
    <w:p w14:paraId="2543DF31" w14:textId="77777777" w:rsidR="008F34FF" w:rsidRPr="00D43A2F" w:rsidRDefault="008F34FF" w:rsidP="008F34FF">
      <w:pPr>
        <w:pStyle w:val="Pagrindinistekstas"/>
        <w:spacing w:after="0"/>
        <w:rPr>
          <w:szCs w:val="22"/>
        </w:rPr>
      </w:pPr>
      <w:r w:rsidRPr="00D43A2F">
        <w:rPr>
          <w:szCs w:val="22"/>
        </w:rPr>
        <w:t xml:space="preserve">Kartono dėžutėje yra 5 miltelių ampulės, 5 tirpiklio ampulės ir pakuotės lapelis. </w:t>
      </w:r>
    </w:p>
    <w:p w14:paraId="37D62940" w14:textId="77777777" w:rsidR="008F34FF" w:rsidRPr="00D43A2F" w:rsidRDefault="008F34FF" w:rsidP="008F34FF">
      <w:pPr>
        <w:pStyle w:val="BTEMEASMCA"/>
      </w:pPr>
    </w:p>
    <w:p w14:paraId="2DF95CE9" w14:textId="77777777" w:rsidR="008F34FF" w:rsidRPr="00D43A2F" w:rsidRDefault="008F34FF" w:rsidP="008F34FF">
      <w:pPr>
        <w:pStyle w:val="PI-2EMEASMCA"/>
      </w:pPr>
      <w:bookmarkStart w:id="50" w:name="_Toc129243121"/>
      <w:bookmarkStart w:id="51" w:name="_Toc129243246"/>
      <w:r w:rsidRPr="00D43A2F">
        <w:t>6.6</w:t>
      </w:r>
      <w:r w:rsidRPr="00D43A2F">
        <w:tab/>
        <w:t>Specialūs reikalavimai atliekoms tvarkyti ir vaistiniam preparatui ruošti</w:t>
      </w:r>
      <w:bookmarkEnd w:id="50"/>
      <w:bookmarkEnd w:id="51"/>
    </w:p>
    <w:p w14:paraId="526E1642" w14:textId="77777777" w:rsidR="008F34FF" w:rsidRDefault="008F34FF" w:rsidP="008F34FF">
      <w:pPr>
        <w:rPr>
          <w:bCs/>
          <w:sz w:val="22"/>
          <w:szCs w:val="22"/>
        </w:rPr>
      </w:pPr>
    </w:p>
    <w:p w14:paraId="6458C3FB" w14:textId="77777777" w:rsidR="008F34FF" w:rsidRPr="00263EC4" w:rsidRDefault="008F34FF" w:rsidP="008F34FF">
      <w:pPr>
        <w:rPr>
          <w:sz w:val="22"/>
          <w:szCs w:val="22"/>
        </w:rPr>
      </w:pPr>
      <w:r w:rsidRPr="00263EC4">
        <w:rPr>
          <w:sz w:val="22"/>
          <w:szCs w:val="22"/>
        </w:rPr>
        <w:t>P</w:t>
      </w:r>
      <w:r>
        <w:rPr>
          <w:sz w:val="22"/>
          <w:szCs w:val="22"/>
        </w:rPr>
        <w:t>aruoštą vaistinį p</w:t>
      </w:r>
      <w:r w:rsidRPr="00263EC4">
        <w:rPr>
          <w:sz w:val="22"/>
          <w:szCs w:val="22"/>
        </w:rPr>
        <w:t xml:space="preserve">reparatą galima </w:t>
      </w:r>
      <w:r>
        <w:rPr>
          <w:sz w:val="22"/>
          <w:szCs w:val="22"/>
        </w:rPr>
        <w:t>leisti</w:t>
      </w:r>
      <w:r w:rsidRPr="00263EC4">
        <w:rPr>
          <w:sz w:val="22"/>
          <w:szCs w:val="22"/>
        </w:rPr>
        <w:t xml:space="preserve"> į raumenis arba į veną. Didelės metilprednizolono dozės infuzuojam</w:t>
      </w:r>
      <w:r>
        <w:rPr>
          <w:sz w:val="22"/>
          <w:szCs w:val="22"/>
        </w:rPr>
        <w:t>o</w:t>
      </w:r>
      <w:r w:rsidRPr="00263EC4">
        <w:rPr>
          <w:sz w:val="22"/>
          <w:szCs w:val="22"/>
        </w:rPr>
        <w:t xml:space="preserve">s į veną. Dozės, kurios neviršija 250 mg, turi būti infuzuojamos ne greičiau kaip per 5 minutes, o didesnės kaip 250 mg – per 30 minučių ar ilgiau. </w:t>
      </w:r>
    </w:p>
    <w:p w14:paraId="3C636480" w14:textId="77777777" w:rsidR="008F34FF" w:rsidRPr="00DB741E" w:rsidRDefault="008F34FF" w:rsidP="008F34FF">
      <w:pPr>
        <w:rPr>
          <w:sz w:val="22"/>
          <w:szCs w:val="22"/>
        </w:rPr>
      </w:pPr>
    </w:p>
    <w:p w14:paraId="1F6554C9" w14:textId="4FF6E682" w:rsidR="008F34FF" w:rsidRPr="00B6144D" w:rsidRDefault="008F34FF" w:rsidP="008F34FF">
      <w:pPr>
        <w:rPr>
          <w:sz w:val="22"/>
          <w:szCs w:val="22"/>
        </w:rPr>
      </w:pPr>
      <w:r w:rsidRPr="009D27A8">
        <w:rPr>
          <w:i/>
          <w:sz w:val="22"/>
          <w:szCs w:val="22"/>
        </w:rPr>
        <w:t>Tirpalo paruošimas:</w:t>
      </w:r>
    </w:p>
    <w:p w14:paraId="0D726E8D" w14:textId="77777777" w:rsidR="008F34FF" w:rsidRDefault="008F34FF" w:rsidP="008F34FF">
      <w:pPr>
        <w:pStyle w:val="BTEMEASMCA"/>
      </w:pPr>
      <w:r w:rsidRPr="00701FA3">
        <w:t xml:space="preserve">Tirpalo ruošimas injekcijoms:  milteliai tirpinami ampulėje, panaudojant nedidelį kiekį tirpiklio injekcinio vandens) tol, kol tirpalas pasidaro skaidrus. Gautas tirpalas praskiedžiamas likusiu tirpiklio kiekiu ir gerai išmaišomas. </w:t>
      </w:r>
    </w:p>
    <w:p w14:paraId="7A07CE4B" w14:textId="77777777" w:rsidR="008F34FF" w:rsidRPr="00701FA3" w:rsidRDefault="008F34FF" w:rsidP="008F34FF">
      <w:pPr>
        <w:pStyle w:val="BTEMEASMCA"/>
      </w:pPr>
    </w:p>
    <w:p w14:paraId="1882007F" w14:textId="77777777" w:rsidR="008F34FF" w:rsidRPr="00894A12" w:rsidRDefault="008F34FF" w:rsidP="008F34FF">
      <w:pPr>
        <w:rPr>
          <w:sz w:val="22"/>
          <w:szCs w:val="22"/>
        </w:rPr>
      </w:pPr>
      <w:r w:rsidRPr="00894A12">
        <w:rPr>
          <w:sz w:val="22"/>
          <w:szCs w:val="22"/>
        </w:rPr>
        <w:t>Tirpalo ruošimas infuzijoms: tirpalas ruošiamas aukščiau aprašytu metodu. Gautas tirpalas skiedžiamas skirtingu infuzinio tirpalo kiekiu – 5 proc. vandeniniu dekstrozės tirpalu, izotoniniu fiziologiniu tirpalu arba 5 proc. dekstrozės tirpalu izotoniniame fiziologiniame tirpale.</w:t>
      </w:r>
    </w:p>
    <w:p w14:paraId="4E59B551" w14:textId="77777777" w:rsidR="008F34FF" w:rsidRPr="00263EC4" w:rsidRDefault="008F34FF" w:rsidP="008F34FF">
      <w:pPr>
        <w:pStyle w:val="Pagrindinistekstas"/>
        <w:spacing w:after="0"/>
        <w:rPr>
          <w:bCs/>
          <w:szCs w:val="22"/>
        </w:rPr>
      </w:pPr>
    </w:p>
    <w:p w14:paraId="628DD292" w14:textId="77777777" w:rsidR="008F34FF" w:rsidRPr="00D43A2F" w:rsidRDefault="008F34FF" w:rsidP="008F34FF">
      <w:pPr>
        <w:pStyle w:val="BTEMEASMCA"/>
      </w:pPr>
      <w:r w:rsidRPr="00D43A2F">
        <w:t>Paruoštas tirpalas yra skaidrus, bespalvis skystis.</w:t>
      </w:r>
    </w:p>
    <w:p w14:paraId="75D40553" w14:textId="77777777" w:rsidR="008F34FF" w:rsidRPr="00D43A2F" w:rsidRDefault="008F34FF" w:rsidP="008F34FF">
      <w:pPr>
        <w:pStyle w:val="BTEMEASMCA"/>
      </w:pPr>
    </w:p>
    <w:p w14:paraId="61DD3CA2" w14:textId="77777777" w:rsidR="008F34FF" w:rsidRPr="00D43A2F" w:rsidRDefault="008F34FF" w:rsidP="008F34FF">
      <w:pPr>
        <w:pStyle w:val="BTEMEASMCA"/>
      </w:pPr>
      <w:r w:rsidRPr="00D43A2F">
        <w:t xml:space="preserve">Ištirpinus 5 ml tirpiklio (injekcinio vandens), 1 ml tirpalo būna 50 mg metilprednizolono. </w:t>
      </w:r>
    </w:p>
    <w:p w14:paraId="7F6BF9E0" w14:textId="77777777" w:rsidR="008F34FF" w:rsidRDefault="008F34FF" w:rsidP="008F34FF">
      <w:pPr>
        <w:pStyle w:val="BTEMEASMCA"/>
      </w:pPr>
      <w:r w:rsidRPr="00D43A2F">
        <w:t>Paruoštą ir praskiestą tirpalą reikia vartoti nedelsiant.</w:t>
      </w:r>
    </w:p>
    <w:p w14:paraId="6C5DFD35" w14:textId="77777777" w:rsidR="008F34FF" w:rsidRDefault="008F34FF" w:rsidP="008F34FF">
      <w:pPr>
        <w:pStyle w:val="BTEMEASMCA"/>
      </w:pPr>
    </w:p>
    <w:p w14:paraId="6CC7DDC0" w14:textId="77777777" w:rsidR="008F34FF" w:rsidRPr="00D43A2F" w:rsidRDefault="008F34FF" w:rsidP="008F34FF">
      <w:pPr>
        <w:pStyle w:val="BTEMEASMCA"/>
      </w:pPr>
      <w:r>
        <w:lastRenderedPageBreak/>
        <w:t>Vaistinio preparato negalima maišyti su kitais vaistais viename švirkšte.</w:t>
      </w:r>
    </w:p>
    <w:p w14:paraId="4A93068F" w14:textId="77777777" w:rsidR="008F34FF" w:rsidRPr="00D43A2F" w:rsidRDefault="008F34FF" w:rsidP="008F34FF">
      <w:pPr>
        <w:pStyle w:val="BTEMEASMCA"/>
      </w:pPr>
    </w:p>
    <w:p w14:paraId="056F86E0" w14:textId="77777777" w:rsidR="008F34FF" w:rsidRPr="00D43A2F" w:rsidRDefault="008F34FF" w:rsidP="008F34FF">
      <w:pPr>
        <w:pStyle w:val="BTEMEASMCA"/>
      </w:pPr>
      <w:r w:rsidRPr="00894A12">
        <w:rPr>
          <w:noProof/>
        </w:rPr>
        <w:t>Nesuvartotą vaistinį preparatą ar atliekas reikia tvarkyti laikantis vietinių reikalavimų.</w:t>
      </w:r>
    </w:p>
    <w:p w14:paraId="2295FA92" w14:textId="77777777" w:rsidR="008F34FF" w:rsidRDefault="008F34FF" w:rsidP="008F34FF">
      <w:pPr>
        <w:pStyle w:val="BTEMEASMCA"/>
      </w:pPr>
    </w:p>
    <w:p w14:paraId="5BFDFDE6" w14:textId="77777777" w:rsidR="00685F23" w:rsidRPr="00D43A2F" w:rsidRDefault="00685F23" w:rsidP="008F34FF">
      <w:pPr>
        <w:pStyle w:val="BTEMEASMCA"/>
      </w:pPr>
    </w:p>
    <w:p w14:paraId="6EBA798B" w14:textId="77777777" w:rsidR="008F34FF" w:rsidRPr="00D43A2F" w:rsidRDefault="008F34FF" w:rsidP="008F34FF">
      <w:pPr>
        <w:pStyle w:val="PI-1EMEASMCA"/>
      </w:pPr>
      <w:bookmarkStart w:id="52" w:name="_Toc129243122"/>
      <w:bookmarkStart w:id="53" w:name="_Toc129243247"/>
      <w:r w:rsidRPr="00D43A2F">
        <w:t>7.</w:t>
      </w:r>
      <w:r w:rsidRPr="00D43A2F">
        <w:tab/>
      </w:r>
      <w:r w:rsidRPr="000A79DC">
        <w:t>REGISTRUOTOJAS</w:t>
      </w:r>
      <w:bookmarkEnd w:id="52"/>
      <w:bookmarkEnd w:id="53"/>
    </w:p>
    <w:p w14:paraId="02D5C6C8" w14:textId="77777777" w:rsidR="008F34FF" w:rsidRPr="00D43A2F" w:rsidRDefault="008F34FF" w:rsidP="008F34FF">
      <w:pPr>
        <w:pStyle w:val="BTEMEASMCA"/>
      </w:pPr>
    </w:p>
    <w:p w14:paraId="5E378EBE" w14:textId="77777777" w:rsidR="008F34FF" w:rsidRDefault="008F34FF" w:rsidP="008F34FF">
      <w:pPr>
        <w:rPr>
          <w:sz w:val="22"/>
          <w:szCs w:val="22"/>
        </w:rPr>
      </w:pPr>
      <w:r w:rsidRPr="00B26A15">
        <w:rPr>
          <w:sz w:val="22"/>
          <w:szCs w:val="22"/>
        </w:rPr>
        <w:t xml:space="preserve">SOPHARMA AD </w:t>
      </w:r>
    </w:p>
    <w:p w14:paraId="146BEFB0" w14:textId="77777777" w:rsidR="008F34FF" w:rsidRDefault="008F34FF" w:rsidP="008F34FF">
      <w:pPr>
        <w:rPr>
          <w:sz w:val="22"/>
          <w:szCs w:val="22"/>
        </w:rPr>
      </w:pPr>
      <w:r w:rsidRPr="00B26A15">
        <w:rPr>
          <w:sz w:val="22"/>
          <w:szCs w:val="22"/>
        </w:rPr>
        <w:t xml:space="preserve">16 IlienskoShosse Str. </w:t>
      </w:r>
    </w:p>
    <w:p w14:paraId="0BD6E332" w14:textId="77777777" w:rsidR="008F34FF" w:rsidRDefault="008F34FF" w:rsidP="008F34FF">
      <w:pPr>
        <w:rPr>
          <w:sz w:val="22"/>
          <w:szCs w:val="22"/>
        </w:rPr>
      </w:pPr>
      <w:r w:rsidRPr="00B26A15">
        <w:rPr>
          <w:sz w:val="22"/>
          <w:szCs w:val="22"/>
        </w:rPr>
        <w:t xml:space="preserve">Sofia 1220 </w:t>
      </w:r>
    </w:p>
    <w:p w14:paraId="4DD6A7BD" w14:textId="77777777" w:rsidR="008F34FF" w:rsidRPr="00B26A15" w:rsidRDefault="008F34FF" w:rsidP="008F34FF">
      <w:pPr>
        <w:rPr>
          <w:sz w:val="22"/>
          <w:szCs w:val="22"/>
        </w:rPr>
      </w:pPr>
      <w:r w:rsidRPr="00B26A15">
        <w:rPr>
          <w:sz w:val="22"/>
          <w:szCs w:val="22"/>
        </w:rPr>
        <w:t>Bulgarija</w:t>
      </w:r>
    </w:p>
    <w:p w14:paraId="3EEDEECD" w14:textId="77777777" w:rsidR="008F34FF" w:rsidRPr="00D43A2F" w:rsidRDefault="008F34FF" w:rsidP="008F34FF">
      <w:pPr>
        <w:pStyle w:val="BTEMEASMCA"/>
      </w:pPr>
    </w:p>
    <w:p w14:paraId="48EF12F4" w14:textId="77777777" w:rsidR="008F34FF" w:rsidRPr="00D43A2F" w:rsidRDefault="008F34FF" w:rsidP="008F34FF">
      <w:pPr>
        <w:pStyle w:val="BTEMEASMCA"/>
      </w:pPr>
    </w:p>
    <w:p w14:paraId="16B6E45F" w14:textId="77777777" w:rsidR="008F34FF" w:rsidRPr="00D43A2F" w:rsidRDefault="008F34FF" w:rsidP="008F34FF">
      <w:pPr>
        <w:pStyle w:val="PI-1EMEASMCA"/>
      </w:pPr>
      <w:bookmarkStart w:id="54" w:name="_Toc129243123"/>
      <w:bookmarkStart w:id="55" w:name="_Toc129243248"/>
      <w:r w:rsidRPr="00D43A2F">
        <w:t>8.</w:t>
      </w:r>
      <w:r w:rsidRPr="00D43A2F">
        <w:tab/>
      </w:r>
      <w:r w:rsidRPr="000A79DC">
        <w:t xml:space="preserve">REGISTRACIJOS </w:t>
      </w:r>
      <w:r w:rsidRPr="000A79DC">
        <w:rPr>
          <w:noProof/>
        </w:rPr>
        <w:t>PAŽYMĖJIMO</w:t>
      </w:r>
      <w:r w:rsidRPr="000A79DC">
        <w:t xml:space="preserve"> NUMERIS (-IAI)</w:t>
      </w:r>
      <w:bookmarkEnd w:id="54"/>
      <w:bookmarkEnd w:id="55"/>
    </w:p>
    <w:p w14:paraId="0163E02A" w14:textId="77777777" w:rsidR="008F34FF" w:rsidRPr="00D43A2F" w:rsidRDefault="008F34FF" w:rsidP="008F34FF">
      <w:pPr>
        <w:pStyle w:val="BTEMEASMCA"/>
      </w:pPr>
    </w:p>
    <w:p w14:paraId="6F9B61F4" w14:textId="77777777" w:rsidR="008F34FF" w:rsidRDefault="008F34FF" w:rsidP="008F34FF">
      <w:pPr>
        <w:pStyle w:val="BTEMEASMCA"/>
      </w:pPr>
      <w:r>
        <w:t>LT/1/02/2326/001</w:t>
      </w:r>
    </w:p>
    <w:p w14:paraId="3709BE69" w14:textId="77777777" w:rsidR="008F34FF" w:rsidRPr="00D43A2F" w:rsidRDefault="008F34FF" w:rsidP="008F34FF">
      <w:pPr>
        <w:pStyle w:val="BTEMEASMCA"/>
      </w:pPr>
    </w:p>
    <w:p w14:paraId="0BDA8F66" w14:textId="77777777" w:rsidR="008F34FF" w:rsidRPr="00D43A2F" w:rsidRDefault="008F34FF" w:rsidP="008F34FF">
      <w:pPr>
        <w:pStyle w:val="BTEMEASMCA"/>
      </w:pPr>
    </w:p>
    <w:p w14:paraId="5ABBF9F2" w14:textId="77777777" w:rsidR="008F34FF" w:rsidRPr="00D43A2F" w:rsidRDefault="008F34FF" w:rsidP="008F34FF">
      <w:pPr>
        <w:pStyle w:val="PI-1EMEASMCA"/>
      </w:pPr>
      <w:bookmarkStart w:id="56" w:name="_Toc129243124"/>
      <w:bookmarkStart w:id="57" w:name="_Toc129243249"/>
      <w:r w:rsidRPr="00D43A2F">
        <w:t>9.</w:t>
      </w:r>
      <w:r w:rsidRPr="00D43A2F">
        <w:tab/>
      </w:r>
      <w:r w:rsidRPr="000A79DC">
        <w:t>REGISTRAVIMO / PERREGISTRAVIMO DATA</w:t>
      </w:r>
      <w:bookmarkEnd w:id="56"/>
      <w:bookmarkEnd w:id="57"/>
    </w:p>
    <w:p w14:paraId="78709419" w14:textId="77777777" w:rsidR="008F34FF" w:rsidRPr="00D43A2F" w:rsidRDefault="008F34FF" w:rsidP="008F34FF">
      <w:pPr>
        <w:pStyle w:val="BTEMEASMCA"/>
      </w:pPr>
    </w:p>
    <w:p w14:paraId="11EE8576" w14:textId="62BCB988" w:rsidR="008F34FF" w:rsidRDefault="008F34FF" w:rsidP="008F34FF">
      <w:pPr>
        <w:pStyle w:val="Pagrindinistekstas"/>
        <w:spacing w:after="0"/>
        <w:rPr>
          <w:szCs w:val="22"/>
        </w:rPr>
      </w:pPr>
      <w:r>
        <w:rPr>
          <w:szCs w:val="22"/>
        </w:rPr>
        <w:t>Registravimo data  2002 m. balandžio  02 d.</w:t>
      </w:r>
    </w:p>
    <w:p w14:paraId="0682B572" w14:textId="7D267470" w:rsidR="008F34FF" w:rsidRPr="00D43A2F" w:rsidRDefault="008F34FF" w:rsidP="008F34FF">
      <w:pPr>
        <w:pStyle w:val="Pagrindinistekstas"/>
        <w:spacing w:after="0"/>
        <w:rPr>
          <w:szCs w:val="22"/>
        </w:rPr>
      </w:pPr>
      <w:r>
        <w:rPr>
          <w:szCs w:val="22"/>
        </w:rPr>
        <w:t>Paskutinio perregistravimo data  2011 m. vasario  09 d</w:t>
      </w:r>
    </w:p>
    <w:p w14:paraId="5F778505" w14:textId="77777777" w:rsidR="008F34FF" w:rsidRPr="00D43A2F" w:rsidRDefault="008F34FF" w:rsidP="008F34FF">
      <w:pPr>
        <w:pStyle w:val="BTEMEASMCA"/>
      </w:pPr>
    </w:p>
    <w:p w14:paraId="0736E9E9" w14:textId="77777777" w:rsidR="008F34FF" w:rsidRPr="00D43A2F" w:rsidRDefault="008F34FF" w:rsidP="008F34FF">
      <w:pPr>
        <w:pStyle w:val="BTEMEASMCA"/>
      </w:pPr>
    </w:p>
    <w:p w14:paraId="60B841FF" w14:textId="77777777" w:rsidR="008F34FF" w:rsidRPr="00D43A2F" w:rsidRDefault="008F34FF" w:rsidP="008F34FF">
      <w:pPr>
        <w:pStyle w:val="PI-1EMEASMCA"/>
      </w:pPr>
      <w:bookmarkStart w:id="58" w:name="_Toc129243125"/>
      <w:bookmarkStart w:id="59" w:name="_Toc129243250"/>
      <w:r w:rsidRPr="00D43A2F">
        <w:t>10.</w:t>
      </w:r>
      <w:r w:rsidRPr="00D43A2F">
        <w:tab/>
        <w:t>TEKSTO PERŽIŪROS DATA</w:t>
      </w:r>
      <w:bookmarkEnd w:id="58"/>
      <w:bookmarkEnd w:id="59"/>
    </w:p>
    <w:p w14:paraId="17C8AFE0" w14:textId="77777777" w:rsidR="008F34FF" w:rsidRDefault="008F34FF" w:rsidP="008F34FF">
      <w:pPr>
        <w:pStyle w:val="BTEMEASMCA"/>
      </w:pPr>
    </w:p>
    <w:p w14:paraId="434B102A" w14:textId="44DA113B" w:rsidR="008F34FF" w:rsidRDefault="000370F8" w:rsidP="008F34FF">
      <w:pPr>
        <w:pStyle w:val="BTEMEASMCA"/>
      </w:pPr>
      <w:r>
        <w:t>2017-11-07</w:t>
      </w:r>
    </w:p>
    <w:p w14:paraId="7D551A2C" w14:textId="77777777" w:rsidR="000370F8" w:rsidRPr="00D43A2F" w:rsidRDefault="000370F8" w:rsidP="008F34FF">
      <w:pPr>
        <w:pStyle w:val="BTEMEASMCA"/>
      </w:pPr>
    </w:p>
    <w:p w14:paraId="31B7F579" w14:textId="77777777" w:rsidR="008F34FF" w:rsidRPr="00432743" w:rsidRDefault="008F34FF" w:rsidP="008F34FF">
      <w:pPr>
        <w:pStyle w:val="Paprastasistekstas"/>
        <w:tabs>
          <w:tab w:val="left" w:pos="5954"/>
          <w:tab w:val="left" w:pos="6237"/>
          <w:tab w:val="left" w:pos="6663"/>
          <w:tab w:val="left" w:pos="6946"/>
        </w:tabs>
        <w:rPr>
          <w:rFonts w:ascii="Times New Roman" w:hAnsi="Times New Roman"/>
          <w:sz w:val="22"/>
          <w:szCs w:val="22"/>
          <w:lang w:val="lt-LT"/>
        </w:rPr>
      </w:pPr>
      <w:r w:rsidRPr="00432743">
        <w:rPr>
          <w:rFonts w:ascii="Times New Roman" w:hAnsi="Times New Roman"/>
          <w:noProof/>
          <w:sz w:val="22"/>
          <w:szCs w:val="22"/>
          <w:lang w:val="lt-LT"/>
        </w:rPr>
        <w:t>Išsami informacija apie šį vaistinį preparatą pateikiama Valstybinės vaistų kontrolės tarnybos prie Lietuvos Respublikos sveikatos apsaugos ministerijos tinklalapyj</w:t>
      </w:r>
      <w:r w:rsidRPr="00126F6D">
        <w:rPr>
          <w:rFonts w:ascii="Times New Roman" w:hAnsi="Times New Roman"/>
          <w:noProof/>
          <w:sz w:val="22"/>
          <w:szCs w:val="22"/>
          <w:lang w:val="lt-LT"/>
        </w:rPr>
        <w:t>e</w:t>
      </w:r>
      <w:r>
        <w:rPr>
          <w:rFonts w:ascii="Times New Roman" w:hAnsi="Times New Roman"/>
          <w:noProof/>
          <w:sz w:val="22"/>
          <w:szCs w:val="22"/>
          <w:lang w:val="lt-LT"/>
        </w:rPr>
        <w:t xml:space="preserve"> </w:t>
      </w:r>
      <w:hyperlink r:id="rId10" w:history="1">
        <w:r w:rsidRPr="00102696">
          <w:rPr>
            <w:rStyle w:val="Hipersaitas"/>
            <w:noProof/>
            <w:lang w:val="lt-LT"/>
          </w:rPr>
          <w:t>http://www.</w:t>
        </w:r>
        <w:r w:rsidRPr="00102696">
          <w:rPr>
            <w:rStyle w:val="Hipersaitas"/>
            <w:lang w:val="lt-LT"/>
          </w:rPr>
          <w:t>vvkt.lt</w:t>
        </w:r>
      </w:hyperlink>
    </w:p>
    <w:p w14:paraId="7950F11B" w14:textId="77777777" w:rsidR="008F34FF" w:rsidRPr="00D43A2F" w:rsidRDefault="008F34FF" w:rsidP="008F34FF">
      <w:pPr>
        <w:pStyle w:val="BTEMEASMCA"/>
      </w:pPr>
      <w:r w:rsidRPr="00D43A2F">
        <w:br w:type="page"/>
      </w:r>
    </w:p>
    <w:p w14:paraId="313E83F5" w14:textId="77777777" w:rsidR="008F34FF" w:rsidRPr="00D43A2F" w:rsidRDefault="008F34FF" w:rsidP="008F34FF">
      <w:pPr>
        <w:pStyle w:val="BTEMEASMCA"/>
      </w:pPr>
    </w:p>
    <w:p w14:paraId="46591E41" w14:textId="77777777" w:rsidR="008F34FF" w:rsidRPr="00D43A2F" w:rsidRDefault="008F34FF" w:rsidP="008F34FF">
      <w:pPr>
        <w:pStyle w:val="BTEMEASMCA"/>
      </w:pPr>
    </w:p>
    <w:p w14:paraId="63EA6BB1" w14:textId="77777777" w:rsidR="008F34FF" w:rsidRPr="00D43A2F" w:rsidRDefault="008F34FF" w:rsidP="008F34FF">
      <w:pPr>
        <w:pStyle w:val="BTEMEASMCA"/>
      </w:pPr>
    </w:p>
    <w:p w14:paraId="33325B77" w14:textId="77777777" w:rsidR="008F34FF" w:rsidRPr="00D43A2F" w:rsidRDefault="008F34FF" w:rsidP="008F34FF">
      <w:pPr>
        <w:pStyle w:val="BTEMEASMCA"/>
      </w:pPr>
    </w:p>
    <w:p w14:paraId="2DEBA8DE" w14:textId="77777777" w:rsidR="008F34FF" w:rsidRPr="00D43A2F" w:rsidRDefault="008F34FF" w:rsidP="008F34FF">
      <w:pPr>
        <w:pStyle w:val="BTEMEASMCA"/>
      </w:pPr>
    </w:p>
    <w:p w14:paraId="44BA0ECF" w14:textId="77777777" w:rsidR="008F34FF" w:rsidRPr="00D43A2F" w:rsidRDefault="008F34FF" w:rsidP="008F34FF">
      <w:pPr>
        <w:pStyle w:val="BTEMEASMCA"/>
      </w:pPr>
    </w:p>
    <w:p w14:paraId="30D703F3" w14:textId="77777777" w:rsidR="008F34FF" w:rsidRPr="00D43A2F" w:rsidRDefault="008F34FF" w:rsidP="008F34FF">
      <w:pPr>
        <w:pStyle w:val="BTEMEASMCA"/>
      </w:pPr>
    </w:p>
    <w:p w14:paraId="43BF5892" w14:textId="77777777" w:rsidR="008F34FF" w:rsidRPr="00D43A2F" w:rsidRDefault="008F34FF" w:rsidP="008F34FF">
      <w:pPr>
        <w:pStyle w:val="BTEMEASMCA"/>
      </w:pPr>
    </w:p>
    <w:p w14:paraId="1EB5A3F8" w14:textId="77777777" w:rsidR="008F34FF" w:rsidRPr="00D43A2F" w:rsidRDefault="008F34FF" w:rsidP="008F34FF">
      <w:pPr>
        <w:pStyle w:val="BTEMEASMCA"/>
      </w:pPr>
    </w:p>
    <w:p w14:paraId="39602D26" w14:textId="77777777" w:rsidR="008F34FF" w:rsidRPr="00D43A2F" w:rsidRDefault="008F34FF" w:rsidP="008F34FF">
      <w:pPr>
        <w:pStyle w:val="BTEMEASMCA"/>
      </w:pPr>
    </w:p>
    <w:p w14:paraId="39B0CC4B" w14:textId="77777777" w:rsidR="008F34FF" w:rsidRPr="00D43A2F" w:rsidRDefault="008F34FF" w:rsidP="008F34FF">
      <w:pPr>
        <w:pStyle w:val="BTEMEASMCA"/>
      </w:pPr>
    </w:p>
    <w:p w14:paraId="4E9A29A5" w14:textId="77777777" w:rsidR="008F34FF" w:rsidRPr="00D43A2F" w:rsidRDefault="008F34FF" w:rsidP="008F34FF">
      <w:pPr>
        <w:pStyle w:val="BTEMEASMCA"/>
      </w:pPr>
    </w:p>
    <w:p w14:paraId="0B3C74F6" w14:textId="77777777" w:rsidR="008F34FF" w:rsidRPr="00D43A2F" w:rsidRDefault="008F34FF" w:rsidP="008F34FF">
      <w:pPr>
        <w:pStyle w:val="BTEMEASMCA"/>
      </w:pPr>
    </w:p>
    <w:p w14:paraId="295FC8ED" w14:textId="77777777" w:rsidR="008F34FF" w:rsidRPr="00D43A2F" w:rsidRDefault="008F34FF" w:rsidP="008F34FF">
      <w:pPr>
        <w:pStyle w:val="BTEMEASMCA"/>
      </w:pPr>
    </w:p>
    <w:p w14:paraId="5AABF17B" w14:textId="77777777" w:rsidR="008F34FF" w:rsidRPr="00D43A2F" w:rsidRDefault="008F34FF" w:rsidP="008F34FF">
      <w:pPr>
        <w:pStyle w:val="BTEMEASMCA"/>
      </w:pPr>
    </w:p>
    <w:p w14:paraId="115BDD2B" w14:textId="77777777" w:rsidR="008F34FF" w:rsidRPr="00D43A2F" w:rsidRDefault="008F34FF" w:rsidP="008F34FF">
      <w:pPr>
        <w:pStyle w:val="BTEMEASMCA"/>
      </w:pPr>
    </w:p>
    <w:p w14:paraId="0C407A2A" w14:textId="77777777" w:rsidR="008F34FF" w:rsidRPr="00D43A2F" w:rsidRDefault="008F34FF" w:rsidP="008F34FF">
      <w:pPr>
        <w:pStyle w:val="BTEMEASMCA"/>
      </w:pPr>
    </w:p>
    <w:p w14:paraId="209B51EF" w14:textId="77777777" w:rsidR="008F34FF" w:rsidRPr="00D43A2F" w:rsidRDefault="008F34FF" w:rsidP="008F34FF">
      <w:pPr>
        <w:pStyle w:val="BTEMEASMCA"/>
      </w:pPr>
    </w:p>
    <w:p w14:paraId="01A30BE7" w14:textId="77777777" w:rsidR="008F34FF" w:rsidRPr="00D43A2F" w:rsidRDefault="008F34FF" w:rsidP="008F34FF">
      <w:pPr>
        <w:pStyle w:val="BTEMEASMCA"/>
      </w:pPr>
    </w:p>
    <w:p w14:paraId="670C5ABB" w14:textId="77777777" w:rsidR="008F34FF" w:rsidRPr="00D43A2F" w:rsidRDefault="008F34FF" w:rsidP="008F34FF">
      <w:pPr>
        <w:pStyle w:val="BTEMEASMCA"/>
      </w:pPr>
    </w:p>
    <w:p w14:paraId="6001B284" w14:textId="77777777" w:rsidR="008F34FF" w:rsidRPr="00D43A2F" w:rsidRDefault="008F34FF" w:rsidP="008F34FF">
      <w:pPr>
        <w:pStyle w:val="BTEMEASMCA"/>
      </w:pPr>
    </w:p>
    <w:p w14:paraId="3C2A5D8D" w14:textId="77777777" w:rsidR="008F34FF" w:rsidRPr="00D43A2F" w:rsidRDefault="008F34FF" w:rsidP="008F34FF">
      <w:pPr>
        <w:pStyle w:val="BTEMEASMCA"/>
      </w:pPr>
    </w:p>
    <w:p w14:paraId="4053BDC5" w14:textId="77777777" w:rsidR="008F34FF" w:rsidRDefault="008F34FF" w:rsidP="008F34FF">
      <w:pPr>
        <w:pStyle w:val="TTEMEASMCA"/>
        <w:rPr>
          <w:lang w:val="lt-LT"/>
        </w:rPr>
      </w:pPr>
      <w:bookmarkStart w:id="60" w:name="_Toc129243128"/>
      <w:bookmarkStart w:id="61" w:name="_Toc129243253"/>
    </w:p>
    <w:p w14:paraId="67A3F658" w14:textId="77777777" w:rsidR="008F34FF" w:rsidRPr="00D43A2F" w:rsidRDefault="008F34FF" w:rsidP="008F34FF">
      <w:pPr>
        <w:pStyle w:val="TTEMEASMCA"/>
        <w:rPr>
          <w:lang w:val="lt-LT"/>
        </w:rPr>
      </w:pPr>
      <w:r w:rsidRPr="00D43A2F">
        <w:rPr>
          <w:lang w:val="lt-LT"/>
        </w:rPr>
        <w:t>II PRIEDAS</w:t>
      </w:r>
      <w:bookmarkEnd w:id="60"/>
      <w:bookmarkEnd w:id="61"/>
    </w:p>
    <w:p w14:paraId="182E8EA0" w14:textId="77777777" w:rsidR="008F34FF" w:rsidRPr="00D43A2F" w:rsidRDefault="008F34FF" w:rsidP="008F34FF">
      <w:pPr>
        <w:pStyle w:val="TTEMEASMCA"/>
        <w:rPr>
          <w:lang w:val="lt-LT"/>
        </w:rPr>
      </w:pPr>
    </w:p>
    <w:p w14:paraId="4D223EE1" w14:textId="3A025751" w:rsidR="008F34FF" w:rsidRPr="00D43A2F" w:rsidRDefault="008F34FF" w:rsidP="008F34FF">
      <w:pPr>
        <w:pStyle w:val="TTEMEASMCA"/>
        <w:rPr>
          <w:lang w:val="lt-LT"/>
        </w:rPr>
      </w:pPr>
      <w:r w:rsidRPr="00565C61">
        <w:rPr>
          <w:lang w:val="lt-LT"/>
        </w:rPr>
        <w:t>REGISTRACIJOS</w:t>
      </w:r>
      <w:r w:rsidR="00685F23">
        <w:rPr>
          <w:lang w:val="lt-LT"/>
        </w:rPr>
        <w:t xml:space="preserve"> </w:t>
      </w:r>
      <w:r w:rsidRPr="00D43A2F">
        <w:rPr>
          <w:lang w:val="lt-LT"/>
        </w:rPr>
        <w:t>SĄLYGOS</w:t>
      </w:r>
    </w:p>
    <w:p w14:paraId="35D324C4" w14:textId="77777777" w:rsidR="008F34FF" w:rsidRPr="00D43A2F" w:rsidRDefault="008F34FF" w:rsidP="008F34FF">
      <w:pPr>
        <w:pStyle w:val="BTEMEASMCA"/>
      </w:pPr>
    </w:p>
    <w:p w14:paraId="003643AE" w14:textId="77777777" w:rsidR="008F34FF" w:rsidRPr="00D43A2F" w:rsidRDefault="008F34FF" w:rsidP="008F34FF">
      <w:pPr>
        <w:pStyle w:val="BTAnIIEMEASMCA"/>
        <w:rPr>
          <w:rFonts w:cs="Times New Roman"/>
          <w:highlight w:val="yellow"/>
          <w:lang w:val="lt-LT"/>
        </w:rPr>
      </w:pPr>
      <w:r w:rsidRPr="00D43A2F">
        <w:rPr>
          <w:rFonts w:cs="Times New Roman"/>
          <w:lang w:val="lt-LT"/>
        </w:rPr>
        <w:t>A.</w:t>
      </w:r>
      <w:r w:rsidRPr="00D43A2F">
        <w:rPr>
          <w:rFonts w:cs="Times New Roman"/>
          <w:lang w:val="lt-LT"/>
        </w:rPr>
        <w:tab/>
      </w:r>
      <w:r w:rsidRPr="00565C61">
        <w:rPr>
          <w:noProof/>
          <w:szCs w:val="24"/>
          <w:lang w:val="lt-LT"/>
        </w:rPr>
        <w:t>GAMINTOJAS (-AI), ATSAKINGAS (-I) UŽ SERIJŲ IŠLEIDIMĄ</w:t>
      </w:r>
    </w:p>
    <w:p w14:paraId="3CCF20D6" w14:textId="77777777" w:rsidR="008F34FF" w:rsidRPr="00D43A2F" w:rsidRDefault="008F34FF" w:rsidP="008F34FF">
      <w:pPr>
        <w:pStyle w:val="BTEMEASMCA"/>
        <w:rPr>
          <w:highlight w:val="yellow"/>
        </w:rPr>
      </w:pPr>
    </w:p>
    <w:p w14:paraId="712B752D" w14:textId="77777777" w:rsidR="008F34FF" w:rsidRPr="00D43A2F" w:rsidRDefault="008F34FF" w:rsidP="008F34FF">
      <w:pPr>
        <w:pStyle w:val="BTAnIIEMEASMCA"/>
        <w:rPr>
          <w:rFonts w:cs="Times New Roman"/>
          <w:lang w:val="lt-LT"/>
        </w:rPr>
      </w:pPr>
      <w:r w:rsidRPr="00D43A2F">
        <w:rPr>
          <w:rFonts w:cs="Times New Roman"/>
          <w:lang w:val="lt-LT"/>
        </w:rPr>
        <w:t>B.</w:t>
      </w:r>
      <w:r w:rsidRPr="00D43A2F">
        <w:rPr>
          <w:rFonts w:cs="Times New Roman"/>
          <w:lang w:val="lt-LT"/>
        </w:rPr>
        <w:tab/>
      </w:r>
      <w:r w:rsidRPr="00565C61">
        <w:rPr>
          <w:lang w:val="lt-LT"/>
        </w:rPr>
        <w:t>TIEKIMO IR VARTOJIMO SĄLYGOS AR APRIBOJIMAI</w:t>
      </w:r>
    </w:p>
    <w:p w14:paraId="2B3B39DB" w14:textId="77777777" w:rsidR="008F34FF" w:rsidRPr="00D43A2F" w:rsidRDefault="008F34FF" w:rsidP="008F34FF">
      <w:pPr>
        <w:pStyle w:val="BTEMEASMCA"/>
        <w:rPr>
          <w:highlight w:val="yellow"/>
        </w:rPr>
      </w:pPr>
    </w:p>
    <w:p w14:paraId="1A275FCD" w14:textId="77777777" w:rsidR="008F34FF" w:rsidRPr="00D43A2F" w:rsidRDefault="008F34FF" w:rsidP="008F34FF">
      <w:pPr>
        <w:pStyle w:val="PI-1EMEASMCA"/>
      </w:pPr>
    </w:p>
    <w:p w14:paraId="7392FBC2" w14:textId="77777777" w:rsidR="008F34FF" w:rsidRPr="00D43A2F" w:rsidRDefault="008F34FF" w:rsidP="008F34FF">
      <w:pPr>
        <w:pStyle w:val="PI-1EMEASMCA"/>
      </w:pPr>
    </w:p>
    <w:p w14:paraId="68D13BD5" w14:textId="77777777" w:rsidR="008F34FF" w:rsidRPr="00D43A2F" w:rsidRDefault="008F34FF" w:rsidP="008F34FF">
      <w:pPr>
        <w:pStyle w:val="PI-1EMEASMCA"/>
      </w:pPr>
    </w:p>
    <w:p w14:paraId="3DF14C0C" w14:textId="77777777" w:rsidR="008F34FF" w:rsidRPr="00D43A2F" w:rsidRDefault="008F34FF" w:rsidP="008F34FF">
      <w:pPr>
        <w:pStyle w:val="PI-1EMEASMCA"/>
      </w:pPr>
    </w:p>
    <w:p w14:paraId="6CFF30E3" w14:textId="77777777" w:rsidR="008F34FF" w:rsidRPr="00D43A2F" w:rsidRDefault="008F34FF" w:rsidP="008F34FF">
      <w:pPr>
        <w:pStyle w:val="PI-1EMEASMCA"/>
      </w:pPr>
    </w:p>
    <w:p w14:paraId="15036E14" w14:textId="77777777" w:rsidR="008F34FF" w:rsidRPr="00D43A2F" w:rsidRDefault="008F34FF" w:rsidP="008F34FF">
      <w:pPr>
        <w:pStyle w:val="PI-1EMEASMCA"/>
      </w:pPr>
      <w:r w:rsidRPr="00D43A2F">
        <w:br w:type="page"/>
      </w:r>
    </w:p>
    <w:p w14:paraId="3FA2A140" w14:textId="77777777" w:rsidR="008F34FF" w:rsidRPr="00D43A2F" w:rsidRDefault="008F34FF" w:rsidP="008F34FF">
      <w:pPr>
        <w:pStyle w:val="PI-1EMEASMCA"/>
      </w:pPr>
      <w:r w:rsidRPr="00D43A2F">
        <w:lastRenderedPageBreak/>
        <w:t>A.</w:t>
      </w:r>
      <w:r w:rsidRPr="00D43A2F">
        <w:tab/>
      </w:r>
      <w:r w:rsidRPr="00F876A6">
        <w:t>GAMINTOJAS (-AI) , ATSAKINGAS (-I) UŽ SERIJŲ IŠLEIDIMĄ</w:t>
      </w:r>
    </w:p>
    <w:p w14:paraId="5D10DFA0" w14:textId="77777777" w:rsidR="008F34FF" w:rsidRPr="00D43A2F" w:rsidRDefault="008F34FF" w:rsidP="008F34FF">
      <w:pPr>
        <w:pStyle w:val="BTEMEASMCA"/>
        <w:rPr>
          <w:highlight w:val="yellow"/>
        </w:rPr>
      </w:pPr>
    </w:p>
    <w:p w14:paraId="6B5FF2FC" w14:textId="77777777" w:rsidR="008F34FF" w:rsidRPr="00D43A2F" w:rsidRDefault="008F34FF" w:rsidP="008F34FF">
      <w:pPr>
        <w:pStyle w:val="BTuEMEASMCA"/>
      </w:pPr>
      <w:r w:rsidRPr="00B34FA1">
        <w:rPr>
          <w:noProof/>
          <w:szCs w:val="24"/>
        </w:rPr>
        <w:t>Gamintojo (-ų), atsakingo (-ų) už serijų išleidimą, pavadinimas (-ai) ir adresas (-ai)</w:t>
      </w:r>
    </w:p>
    <w:p w14:paraId="5AF9A308" w14:textId="77777777" w:rsidR="008F34FF" w:rsidRPr="00D43A2F" w:rsidRDefault="008F34FF" w:rsidP="008F34FF">
      <w:pPr>
        <w:pStyle w:val="BTEMEASMCA"/>
      </w:pPr>
    </w:p>
    <w:p w14:paraId="35F062EB" w14:textId="77777777" w:rsidR="008F34FF" w:rsidRDefault="008F34FF" w:rsidP="008F34FF">
      <w:pPr>
        <w:rPr>
          <w:sz w:val="22"/>
          <w:szCs w:val="22"/>
        </w:rPr>
      </w:pPr>
      <w:r w:rsidRPr="00B26A15">
        <w:rPr>
          <w:sz w:val="22"/>
          <w:szCs w:val="22"/>
        </w:rPr>
        <w:t xml:space="preserve">SOPHARMA AD </w:t>
      </w:r>
    </w:p>
    <w:p w14:paraId="620F9242" w14:textId="77777777" w:rsidR="008F34FF" w:rsidRDefault="008F34FF" w:rsidP="008F34FF">
      <w:pPr>
        <w:rPr>
          <w:sz w:val="22"/>
          <w:szCs w:val="22"/>
        </w:rPr>
      </w:pPr>
      <w:r w:rsidRPr="00B26A15">
        <w:rPr>
          <w:sz w:val="22"/>
          <w:szCs w:val="22"/>
        </w:rPr>
        <w:t xml:space="preserve">16 IlienskoShosse Str. </w:t>
      </w:r>
    </w:p>
    <w:p w14:paraId="0A6AD35C" w14:textId="77777777" w:rsidR="008F34FF" w:rsidRDefault="008F34FF" w:rsidP="008F34FF">
      <w:pPr>
        <w:rPr>
          <w:sz w:val="22"/>
          <w:szCs w:val="22"/>
        </w:rPr>
      </w:pPr>
      <w:r w:rsidRPr="00B26A15">
        <w:rPr>
          <w:sz w:val="22"/>
          <w:szCs w:val="22"/>
        </w:rPr>
        <w:t xml:space="preserve">Sofia 1220 </w:t>
      </w:r>
    </w:p>
    <w:p w14:paraId="3F3B1AAF" w14:textId="77777777" w:rsidR="008F34FF" w:rsidRPr="00B26A15" w:rsidRDefault="008F34FF" w:rsidP="008F34FF">
      <w:pPr>
        <w:rPr>
          <w:sz w:val="22"/>
          <w:szCs w:val="22"/>
        </w:rPr>
      </w:pPr>
      <w:r w:rsidRPr="00B26A15">
        <w:rPr>
          <w:sz w:val="22"/>
          <w:szCs w:val="22"/>
        </w:rPr>
        <w:t>Bulgarija</w:t>
      </w:r>
    </w:p>
    <w:p w14:paraId="597B7022" w14:textId="77777777" w:rsidR="008F34FF" w:rsidRPr="00D43A2F" w:rsidRDefault="008F34FF" w:rsidP="008F34FF">
      <w:pPr>
        <w:pStyle w:val="BTEMEASMCA"/>
        <w:rPr>
          <w:highlight w:val="yellow"/>
        </w:rPr>
      </w:pPr>
    </w:p>
    <w:p w14:paraId="6F89A9E8" w14:textId="77777777" w:rsidR="008F34FF" w:rsidRPr="00D43A2F" w:rsidRDefault="008F34FF" w:rsidP="008F34FF">
      <w:pPr>
        <w:pStyle w:val="BTEMEASMCA"/>
        <w:rPr>
          <w:highlight w:val="yellow"/>
        </w:rPr>
      </w:pPr>
    </w:p>
    <w:p w14:paraId="0F481628" w14:textId="77777777" w:rsidR="008F34FF" w:rsidRPr="00D43A2F" w:rsidRDefault="008F34FF" w:rsidP="008F34FF">
      <w:pPr>
        <w:pStyle w:val="PI-1EMEASMCA"/>
      </w:pPr>
      <w:bookmarkStart w:id="62" w:name="_Toc129243129"/>
      <w:bookmarkStart w:id="63" w:name="_Toc129243254"/>
      <w:r w:rsidRPr="00D43A2F">
        <w:t>B.</w:t>
      </w:r>
      <w:r w:rsidRPr="00D43A2F">
        <w:tab/>
      </w:r>
      <w:r w:rsidRPr="005A3FA9">
        <w:rPr>
          <w:noProof/>
          <w:szCs w:val="24"/>
        </w:rPr>
        <w:t>TIEKIMO IR VARTOJIMO SĄLYGOS AR APRIBOJIMAI</w:t>
      </w:r>
      <w:bookmarkEnd w:id="62"/>
      <w:bookmarkEnd w:id="63"/>
    </w:p>
    <w:p w14:paraId="5B86AD29" w14:textId="77777777" w:rsidR="008F34FF" w:rsidRPr="00D43A2F" w:rsidRDefault="008F34FF" w:rsidP="008F34FF">
      <w:pPr>
        <w:pStyle w:val="BTEMEASMCA"/>
      </w:pPr>
    </w:p>
    <w:p w14:paraId="58ADD350" w14:textId="77777777" w:rsidR="008F34FF" w:rsidRPr="00D43A2F" w:rsidRDefault="008F34FF" w:rsidP="008F34FF">
      <w:pPr>
        <w:pStyle w:val="BTEMEASMCA"/>
      </w:pPr>
      <w:r w:rsidRPr="00D43A2F">
        <w:t>Receptinis vaistinis preparatas</w:t>
      </w:r>
      <w:r>
        <w:t>.</w:t>
      </w:r>
    </w:p>
    <w:p w14:paraId="1F90809A" w14:textId="77777777" w:rsidR="008F34FF" w:rsidRPr="00D43A2F" w:rsidRDefault="008F34FF" w:rsidP="008F34FF">
      <w:pPr>
        <w:pStyle w:val="BTEMEASMCA"/>
        <w:rPr>
          <w:highlight w:val="yellow"/>
        </w:rPr>
      </w:pPr>
    </w:p>
    <w:p w14:paraId="05A253F0" w14:textId="77777777" w:rsidR="008F34FF" w:rsidRPr="00D43A2F" w:rsidRDefault="008F34FF" w:rsidP="008F34FF">
      <w:pPr>
        <w:pStyle w:val="BTEMEASMCA"/>
        <w:rPr>
          <w:highlight w:val="yellow"/>
        </w:rPr>
      </w:pPr>
    </w:p>
    <w:p w14:paraId="3F7AD64F" w14:textId="77777777" w:rsidR="008F34FF" w:rsidRPr="00D43A2F" w:rsidRDefault="008F34FF" w:rsidP="008F34FF">
      <w:pPr>
        <w:pStyle w:val="BTEMEASMCA"/>
      </w:pPr>
    </w:p>
    <w:p w14:paraId="667C7069" w14:textId="77777777" w:rsidR="008F34FF" w:rsidRPr="00D43A2F" w:rsidRDefault="008F34FF" w:rsidP="008F34FF">
      <w:pPr>
        <w:pStyle w:val="BTEMEASMCA"/>
      </w:pPr>
    </w:p>
    <w:p w14:paraId="4EF15292" w14:textId="77777777" w:rsidR="008F34FF" w:rsidRPr="00D43A2F" w:rsidRDefault="008F34FF" w:rsidP="008F34FF">
      <w:pPr>
        <w:pStyle w:val="BTEMEASMCA"/>
      </w:pPr>
    </w:p>
    <w:p w14:paraId="1AF9907F" w14:textId="77777777" w:rsidR="008F34FF" w:rsidRPr="00D43A2F" w:rsidRDefault="008F34FF" w:rsidP="008F34FF">
      <w:pPr>
        <w:pStyle w:val="BTEMEASMCA"/>
      </w:pPr>
    </w:p>
    <w:p w14:paraId="7329095D" w14:textId="77777777" w:rsidR="008F34FF" w:rsidRPr="00D43A2F" w:rsidRDefault="008F34FF" w:rsidP="008F34FF">
      <w:pPr>
        <w:pStyle w:val="BTEMEASMCA"/>
      </w:pPr>
    </w:p>
    <w:p w14:paraId="08591B97" w14:textId="77777777" w:rsidR="008F34FF" w:rsidRPr="00D43A2F" w:rsidRDefault="008F34FF" w:rsidP="008F34FF">
      <w:pPr>
        <w:pStyle w:val="BTEMEASMCA"/>
      </w:pPr>
    </w:p>
    <w:p w14:paraId="5D842B6C" w14:textId="77777777" w:rsidR="008F34FF" w:rsidRPr="00D43A2F" w:rsidRDefault="008F34FF" w:rsidP="008F34FF">
      <w:pPr>
        <w:pStyle w:val="BTEMEASMCA"/>
      </w:pPr>
    </w:p>
    <w:p w14:paraId="3282B796" w14:textId="77777777" w:rsidR="008F34FF" w:rsidRPr="00D43A2F" w:rsidRDefault="008F34FF" w:rsidP="008F34FF">
      <w:pPr>
        <w:pStyle w:val="BTEMEASMCA"/>
      </w:pPr>
    </w:p>
    <w:p w14:paraId="5BC9B7CD" w14:textId="77777777" w:rsidR="008F34FF" w:rsidRPr="00D43A2F" w:rsidRDefault="008F34FF" w:rsidP="008F34FF">
      <w:pPr>
        <w:pStyle w:val="BTEMEASMCA"/>
      </w:pPr>
    </w:p>
    <w:p w14:paraId="649D2A28" w14:textId="77777777" w:rsidR="008F34FF" w:rsidRPr="00D43A2F" w:rsidRDefault="008F34FF" w:rsidP="008F34FF">
      <w:pPr>
        <w:pStyle w:val="BTEMEASMCA"/>
      </w:pPr>
    </w:p>
    <w:p w14:paraId="7C6735F1" w14:textId="77777777" w:rsidR="008F34FF" w:rsidRPr="00D43A2F" w:rsidRDefault="008F34FF" w:rsidP="008F34FF">
      <w:pPr>
        <w:pStyle w:val="BTEMEASMCA"/>
      </w:pPr>
    </w:p>
    <w:p w14:paraId="1E8D5098" w14:textId="77777777" w:rsidR="008F34FF" w:rsidRPr="00D43A2F" w:rsidRDefault="008F34FF" w:rsidP="008F34FF">
      <w:pPr>
        <w:pStyle w:val="BTEMEASMCA"/>
      </w:pPr>
    </w:p>
    <w:p w14:paraId="2E599C61" w14:textId="77777777" w:rsidR="008F34FF" w:rsidRPr="00D43A2F" w:rsidRDefault="008F34FF" w:rsidP="008F34FF">
      <w:pPr>
        <w:pStyle w:val="BTEMEASMCA"/>
      </w:pPr>
    </w:p>
    <w:p w14:paraId="3ED101D1" w14:textId="77777777" w:rsidR="008F34FF" w:rsidRPr="00D43A2F" w:rsidRDefault="008F34FF" w:rsidP="008F34FF">
      <w:pPr>
        <w:pStyle w:val="BTEMEASMCA"/>
      </w:pPr>
    </w:p>
    <w:p w14:paraId="733F7AD3" w14:textId="77777777" w:rsidR="008F34FF" w:rsidRPr="00D43A2F" w:rsidRDefault="008F34FF" w:rsidP="008F34FF">
      <w:pPr>
        <w:pStyle w:val="BTEMEASMCA"/>
      </w:pPr>
    </w:p>
    <w:p w14:paraId="6557F0ED" w14:textId="77777777" w:rsidR="008F34FF" w:rsidRPr="00D43A2F" w:rsidRDefault="008F34FF" w:rsidP="008F34FF">
      <w:pPr>
        <w:pStyle w:val="BTEMEASMCA"/>
      </w:pPr>
    </w:p>
    <w:p w14:paraId="79C2B319" w14:textId="77777777" w:rsidR="008F34FF" w:rsidRPr="00D43A2F" w:rsidRDefault="008F34FF" w:rsidP="008F34FF">
      <w:pPr>
        <w:pStyle w:val="BTEMEASMCA"/>
      </w:pPr>
    </w:p>
    <w:p w14:paraId="3D5DC1B7" w14:textId="77777777" w:rsidR="008F34FF" w:rsidRPr="00D43A2F" w:rsidRDefault="008F34FF" w:rsidP="008F34FF">
      <w:pPr>
        <w:pStyle w:val="BTEMEASMCA"/>
      </w:pPr>
    </w:p>
    <w:p w14:paraId="50DD583B" w14:textId="77777777" w:rsidR="008F34FF" w:rsidRPr="00D43A2F" w:rsidRDefault="008F34FF" w:rsidP="008F34FF">
      <w:pPr>
        <w:pStyle w:val="BTEMEASMCA"/>
      </w:pPr>
    </w:p>
    <w:p w14:paraId="568EA59A" w14:textId="77777777" w:rsidR="008F34FF" w:rsidRPr="00D43A2F" w:rsidRDefault="008F34FF" w:rsidP="008F34FF">
      <w:pPr>
        <w:pStyle w:val="BTEMEASMCA"/>
      </w:pPr>
    </w:p>
    <w:p w14:paraId="3973DA70" w14:textId="77777777" w:rsidR="008F34FF" w:rsidRPr="00D43A2F" w:rsidRDefault="008F34FF" w:rsidP="008F34FF">
      <w:pPr>
        <w:pStyle w:val="BTEMEASMCA"/>
      </w:pPr>
    </w:p>
    <w:p w14:paraId="2C8FDE32" w14:textId="77777777" w:rsidR="008F34FF" w:rsidRPr="00D43A2F" w:rsidRDefault="008F34FF" w:rsidP="008F34FF">
      <w:pPr>
        <w:pStyle w:val="BTEMEASMCA"/>
      </w:pPr>
    </w:p>
    <w:p w14:paraId="264BE009" w14:textId="77777777" w:rsidR="008F34FF" w:rsidRPr="00D43A2F" w:rsidRDefault="008F34FF" w:rsidP="008F34FF">
      <w:pPr>
        <w:pStyle w:val="TTEMEASMCA"/>
        <w:rPr>
          <w:lang w:val="lt-LT"/>
        </w:rPr>
      </w:pPr>
    </w:p>
    <w:p w14:paraId="47DE71C4" w14:textId="77777777" w:rsidR="008F34FF" w:rsidRPr="00D43A2F" w:rsidRDefault="008F34FF" w:rsidP="008F34FF">
      <w:pPr>
        <w:pStyle w:val="TTEMEASMCA"/>
        <w:rPr>
          <w:lang w:val="lt-LT"/>
        </w:rPr>
      </w:pPr>
    </w:p>
    <w:p w14:paraId="3BBF4465" w14:textId="77777777" w:rsidR="008F34FF" w:rsidRPr="00D43A2F" w:rsidRDefault="008F34FF" w:rsidP="008F34FF">
      <w:pPr>
        <w:pStyle w:val="TTEMEASMCA"/>
        <w:rPr>
          <w:lang w:val="lt-LT"/>
        </w:rPr>
      </w:pPr>
    </w:p>
    <w:p w14:paraId="33AFA884" w14:textId="77777777" w:rsidR="008F34FF" w:rsidRPr="00D43A2F" w:rsidRDefault="008F34FF" w:rsidP="008F34FF">
      <w:pPr>
        <w:pStyle w:val="TTEMEASMCA"/>
        <w:rPr>
          <w:lang w:val="lt-LT"/>
        </w:rPr>
      </w:pPr>
    </w:p>
    <w:p w14:paraId="74E090EA" w14:textId="77777777" w:rsidR="008F34FF" w:rsidRPr="00D43A2F" w:rsidRDefault="008F34FF" w:rsidP="008F34FF">
      <w:pPr>
        <w:pStyle w:val="TTEMEASMCA"/>
        <w:rPr>
          <w:lang w:val="lt-LT"/>
        </w:rPr>
      </w:pPr>
    </w:p>
    <w:p w14:paraId="66244D5A" w14:textId="77777777" w:rsidR="008F34FF" w:rsidRPr="00D43A2F" w:rsidRDefault="008F34FF" w:rsidP="008F34FF">
      <w:pPr>
        <w:pStyle w:val="TTEMEASMCA"/>
        <w:rPr>
          <w:lang w:val="lt-LT"/>
        </w:rPr>
      </w:pPr>
    </w:p>
    <w:p w14:paraId="19B868B7" w14:textId="77777777" w:rsidR="008F34FF" w:rsidRPr="00D43A2F" w:rsidRDefault="008F34FF" w:rsidP="008F34FF">
      <w:pPr>
        <w:pStyle w:val="TTEMEASMCA"/>
        <w:rPr>
          <w:lang w:val="lt-LT"/>
        </w:rPr>
      </w:pPr>
    </w:p>
    <w:p w14:paraId="5295E0FD" w14:textId="77777777" w:rsidR="008F34FF" w:rsidRPr="00D43A2F" w:rsidRDefault="008F34FF" w:rsidP="008F34FF">
      <w:pPr>
        <w:pStyle w:val="TTEMEASMCA"/>
        <w:rPr>
          <w:lang w:val="lt-LT"/>
        </w:rPr>
      </w:pPr>
    </w:p>
    <w:p w14:paraId="5AE51FB4" w14:textId="77777777" w:rsidR="008F34FF" w:rsidRPr="00D43A2F" w:rsidRDefault="008F34FF" w:rsidP="008F34FF">
      <w:pPr>
        <w:pStyle w:val="TTEMEASMCA"/>
        <w:rPr>
          <w:lang w:val="lt-LT"/>
        </w:rPr>
      </w:pPr>
    </w:p>
    <w:p w14:paraId="22FE1568" w14:textId="77777777" w:rsidR="008F34FF" w:rsidRPr="00D43A2F" w:rsidRDefault="008F34FF" w:rsidP="008F34FF">
      <w:pPr>
        <w:pStyle w:val="TTEMEASMCA"/>
        <w:rPr>
          <w:lang w:val="lt-LT"/>
        </w:rPr>
      </w:pPr>
    </w:p>
    <w:p w14:paraId="08880888" w14:textId="77777777" w:rsidR="008F34FF" w:rsidRPr="00D43A2F" w:rsidRDefault="008F34FF" w:rsidP="008F34FF">
      <w:pPr>
        <w:pStyle w:val="TTEMEASMCA"/>
        <w:rPr>
          <w:lang w:val="lt-LT"/>
        </w:rPr>
      </w:pPr>
    </w:p>
    <w:p w14:paraId="65BC0366" w14:textId="77777777" w:rsidR="008F34FF" w:rsidRPr="00D43A2F" w:rsidRDefault="008F34FF" w:rsidP="008F34FF">
      <w:pPr>
        <w:pStyle w:val="TTEMEASMCA"/>
        <w:rPr>
          <w:lang w:val="lt-LT"/>
        </w:rPr>
      </w:pPr>
    </w:p>
    <w:p w14:paraId="78DB5085" w14:textId="77777777" w:rsidR="008F34FF" w:rsidRPr="00D43A2F" w:rsidRDefault="008F34FF" w:rsidP="008F34FF">
      <w:pPr>
        <w:pStyle w:val="TTEMEASMCA"/>
        <w:rPr>
          <w:lang w:val="lt-LT"/>
        </w:rPr>
      </w:pPr>
    </w:p>
    <w:p w14:paraId="10ACF0CF" w14:textId="77777777" w:rsidR="008F34FF" w:rsidRPr="00D43A2F" w:rsidRDefault="008F34FF" w:rsidP="008F34FF">
      <w:pPr>
        <w:pStyle w:val="TTEMEASMCA"/>
        <w:rPr>
          <w:lang w:val="lt-LT"/>
        </w:rPr>
      </w:pPr>
    </w:p>
    <w:p w14:paraId="559EFDA7" w14:textId="77777777" w:rsidR="008F34FF" w:rsidRPr="00D43A2F" w:rsidRDefault="008F34FF" w:rsidP="008F34FF">
      <w:pPr>
        <w:pStyle w:val="TTEMEASMCA"/>
        <w:rPr>
          <w:lang w:val="lt-LT"/>
        </w:rPr>
      </w:pPr>
    </w:p>
    <w:p w14:paraId="4F75E24F" w14:textId="77777777" w:rsidR="008F34FF" w:rsidRPr="00D43A2F" w:rsidRDefault="008F34FF" w:rsidP="008F34FF">
      <w:pPr>
        <w:pStyle w:val="TTEMEASMCA"/>
        <w:rPr>
          <w:lang w:val="lt-LT"/>
        </w:rPr>
      </w:pPr>
    </w:p>
    <w:p w14:paraId="7877C717" w14:textId="77777777" w:rsidR="008F34FF" w:rsidRPr="00D43A2F" w:rsidRDefault="008F34FF" w:rsidP="008F34FF">
      <w:pPr>
        <w:pStyle w:val="TTEMEASMCA"/>
        <w:rPr>
          <w:lang w:val="lt-LT"/>
        </w:rPr>
      </w:pPr>
    </w:p>
    <w:p w14:paraId="261DA7C1" w14:textId="77777777" w:rsidR="008F34FF" w:rsidRPr="00D43A2F" w:rsidRDefault="008F34FF" w:rsidP="008F34FF">
      <w:pPr>
        <w:pStyle w:val="TTEMEASMCA"/>
        <w:rPr>
          <w:lang w:val="lt-LT"/>
        </w:rPr>
      </w:pPr>
    </w:p>
    <w:p w14:paraId="5AB96E41" w14:textId="77777777" w:rsidR="008F34FF" w:rsidRPr="00D43A2F" w:rsidRDefault="008F34FF" w:rsidP="008F34FF">
      <w:pPr>
        <w:pStyle w:val="TTEMEASMCA"/>
        <w:rPr>
          <w:lang w:val="lt-LT"/>
        </w:rPr>
      </w:pPr>
    </w:p>
    <w:p w14:paraId="16C796F9" w14:textId="77777777" w:rsidR="008F34FF" w:rsidRPr="00D43A2F" w:rsidRDefault="008F34FF" w:rsidP="008F34FF">
      <w:pPr>
        <w:pStyle w:val="TTEMEASMCA"/>
        <w:rPr>
          <w:lang w:val="lt-LT"/>
        </w:rPr>
      </w:pPr>
    </w:p>
    <w:p w14:paraId="01F77C64" w14:textId="77777777" w:rsidR="008F34FF" w:rsidRPr="00D43A2F" w:rsidRDefault="008F34FF" w:rsidP="008F34FF">
      <w:pPr>
        <w:pStyle w:val="TTEMEASMCA"/>
        <w:rPr>
          <w:lang w:val="lt-LT"/>
        </w:rPr>
      </w:pPr>
    </w:p>
    <w:p w14:paraId="0E6BC912" w14:textId="77777777" w:rsidR="008F34FF" w:rsidRPr="00D43A2F" w:rsidRDefault="008F34FF" w:rsidP="008F34FF">
      <w:pPr>
        <w:pStyle w:val="TTEMEASMCA"/>
        <w:rPr>
          <w:lang w:val="lt-LT"/>
        </w:rPr>
      </w:pPr>
    </w:p>
    <w:p w14:paraId="580D689E" w14:textId="77777777" w:rsidR="008F34FF" w:rsidRPr="00D43A2F" w:rsidRDefault="008F34FF" w:rsidP="008F34FF">
      <w:pPr>
        <w:pStyle w:val="TTEMEASMCA"/>
        <w:rPr>
          <w:lang w:val="lt-LT"/>
        </w:rPr>
      </w:pPr>
    </w:p>
    <w:p w14:paraId="15736545" w14:textId="77777777" w:rsidR="008F34FF" w:rsidRPr="00D43A2F" w:rsidRDefault="008F34FF" w:rsidP="008F34FF">
      <w:pPr>
        <w:pStyle w:val="TTEMEASMCA"/>
        <w:rPr>
          <w:lang w:val="lt-LT"/>
        </w:rPr>
      </w:pPr>
    </w:p>
    <w:p w14:paraId="0700C2D0" w14:textId="77777777" w:rsidR="008F34FF" w:rsidRPr="00D43A2F" w:rsidRDefault="008F34FF" w:rsidP="008F34FF">
      <w:pPr>
        <w:pStyle w:val="TTEMEASMCA"/>
        <w:rPr>
          <w:lang w:val="lt-LT"/>
        </w:rPr>
      </w:pPr>
    </w:p>
    <w:p w14:paraId="433E68A0" w14:textId="77777777" w:rsidR="008F34FF" w:rsidRPr="00D43A2F" w:rsidRDefault="008F34FF" w:rsidP="008F34FF">
      <w:pPr>
        <w:pStyle w:val="TTEMEASMCA"/>
        <w:rPr>
          <w:lang w:val="lt-LT"/>
        </w:rPr>
      </w:pPr>
    </w:p>
    <w:p w14:paraId="4C408B68" w14:textId="77777777" w:rsidR="008F34FF" w:rsidRPr="00D43A2F" w:rsidRDefault="008F34FF" w:rsidP="008F34FF">
      <w:pPr>
        <w:pStyle w:val="TTEMEASMCA"/>
        <w:rPr>
          <w:lang w:val="lt-LT"/>
        </w:rPr>
      </w:pPr>
    </w:p>
    <w:p w14:paraId="6330E0FB" w14:textId="77777777" w:rsidR="008F34FF" w:rsidRPr="00D43A2F" w:rsidRDefault="008F34FF" w:rsidP="008F34FF">
      <w:pPr>
        <w:pStyle w:val="TTEMEASMCA"/>
        <w:rPr>
          <w:lang w:val="lt-LT"/>
        </w:rPr>
      </w:pPr>
    </w:p>
    <w:p w14:paraId="6533F2F8" w14:textId="77777777" w:rsidR="008F34FF" w:rsidRPr="00D43A2F" w:rsidRDefault="008F34FF" w:rsidP="008F34FF">
      <w:pPr>
        <w:pStyle w:val="TTEMEASMCA"/>
        <w:rPr>
          <w:lang w:val="lt-LT"/>
        </w:rPr>
      </w:pPr>
    </w:p>
    <w:p w14:paraId="14FD029E" w14:textId="77777777" w:rsidR="008F34FF" w:rsidRPr="00D43A2F" w:rsidRDefault="008F34FF" w:rsidP="008F34FF">
      <w:pPr>
        <w:pStyle w:val="TTEMEASMCA"/>
        <w:ind w:left="0" w:firstLine="0"/>
        <w:jc w:val="left"/>
        <w:rPr>
          <w:lang w:val="lt-LT"/>
        </w:rPr>
      </w:pPr>
    </w:p>
    <w:p w14:paraId="495A17CD" w14:textId="77777777" w:rsidR="008F34FF" w:rsidRDefault="008F34FF" w:rsidP="008F34FF">
      <w:pPr>
        <w:pStyle w:val="TTEMEASMCA"/>
        <w:rPr>
          <w:lang w:val="lt-LT"/>
        </w:rPr>
      </w:pPr>
    </w:p>
    <w:p w14:paraId="204FFA5A" w14:textId="77777777" w:rsidR="008F34FF" w:rsidRDefault="008F34FF" w:rsidP="008F34FF">
      <w:pPr>
        <w:pStyle w:val="TTEMEASMCA"/>
        <w:rPr>
          <w:lang w:val="lt-LT"/>
        </w:rPr>
      </w:pPr>
    </w:p>
    <w:p w14:paraId="3744113C" w14:textId="77777777" w:rsidR="008F34FF" w:rsidRDefault="008F34FF" w:rsidP="008F34FF">
      <w:pPr>
        <w:pStyle w:val="TTEMEASMCA"/>
        <w:rPr>
          <w:lang w:val="lt-LT"/>
        </w:rPr>
      </w:pPr>
    </w:p>
    <w:p w14:paraId="4955E9A9" w14:textId="77777777" w:rsidR="008F34FF" w:rsidRDefault="008F34FF" w:rsidP="008F34FF">
      <w:pPr>
        <w:pStyle w:val="TTEMEASMCA"/>
        <w:rPr>
          <w:lang w:val="lt-LT"/>
        </w:rPr>
      </w:pPr>
    </w:p>
    <w:p w14:paraId="7FF1E171" w14:textId="77777777" w:rsidR="008F34FF" w:rsidRDefault="008F34FF" w:rsidP="008F34FF">
      <w:pPr>
        <w:pStyle w:val="TTEMEASMCA"/>
        <w:rPr>
          <w:lang w:val="lt-LT"/>
        </w:rPr>
      </w:pPr>
    </w:p>
    <w:p w14:paraId="7D629F36" w14:textId="77777777" w:rsidR="008F34FF" w:rsidRDefault="008F34FF" w:rsidP="008F34FF">
      <w:pPr>
        <w:pStyle w:val="TTEMEASMCA"/>
        <w:rPr>
          <w:lang w:val="lt-LT"/>
        </w:rPr>
      </w:pPr>
    </w:p>
    <w:p w14:paraId="4B82E1DD" w14:textId="77777777" w:rsidR="008F34FF" w:rsidRDefault="008F34FF" w:rsidP="008F34FF">
      <w:pPr>
        <w:pStyle w:val="TTEMEASMCA"/>
        <w:rPr>
          <w:lang w:val="lt-LT"/>
        </w:rPr>
      </w:pPr>
    </w:p>
    <w:p w14:paraId="771FAFE0" w14:textId="77777777" w:rsidR="008F34FF" w:rsidRDefault="008F34FF" w:rsidP="008F34FF">
      <w:pPr>
        <w:pStyle w:val="TTEMEASMCA"/>
        <w:rPr>
          <w:lang w:val="lt-LT"/>
        </w:rPr>
      </w:pPr>
    </w:p>
    <w:p w14:paraId="15AB275A" w14:textId="77777777" w:rsidR="008F34FF" w:rsidRDefault="008F34FF" w:rsidP="008F34FF">
      <w:pPr>
        <w:pStyle w:val="TTEMEASMCA"/>
        <w:rPr>
          <w:lang w:val="lt-LT"/>
        </w:rPr>
      </w:pPr>
    </w:p>
    <w:p w14:paraId="62116EA7" w14:textId="77777777" w:rsidR="008F34FF" w:rsidRDefault="008F34FF" w:rsidP="008F34FF">
      <w:pPr>
        <w:pStyle w:val="TTEMEASMCA"/>
        <w:rPr>
          <w:lang w:val="lt-LT"/>
        </w:rPr>
      </w:pPr>
    </w:p>
    <w:p w14:paraId="51CED708" w14:textId="77777777" w:rsidR="008F34FF" w:rsidRDefault="008F34FF" w:rsidP="008F34FF">
      <w:pPr>
        <w:pStyle w:val="TTEMEASMCA"/>
        <w:rPr>
          <w:lang w:val="lt-LT"/>
        </w:rPr>
      </w:pPr>
    </w:p>
    <w:p w14:paraId="071C29FF" w14:textId="77777777" w:rsidR="008F34FF" w:rsidRDefault="008F34FF" w:rsidP="008F34FF">
      <w:pPr>
        <w:pStyle w:val="TTEMEASMCA"/>
        <w:rPr>
          <w:lang w:val="lt-LT"/>
        </w:rPr>
      </w:pPr>
    </w:p>
    <w:p w14:paraId="5E83D82D" w14:textId="77777777" w:rsidR="008F34FF" w:rsidRDefault="008F34FF" w:rsidP="008F34FF">
      <w:pPr>
        <w:pStyle w:val="TTEMEASMCA"/>
        <w:rPr>
          <w:lang w:val="lt-LT"/>
        </w:rPr>
      </w:pPr>
    </w:p>
    <w:p w14:paraId="03092D90" w14:textId="77777777" w:rsidR="008F34FF" w:rsidRPr="00D43A2F" w:rsidRDefault="008F34FF" w:rsidP="008F34FF">
      <w:pPr>
        <w:pStyle w:val="TTEMEASMCA"/>
        <w:rPr>
          <w:lang w:val="lt-LT"/>
        </w:rPr>
      </w:pPr>
      <w:r w:rsidRPr="00D43A2F">
        <w:rPr>
          <w:lang w:val="lt-LT"/>
        </w:rPr>
        <w:t>III PRIEDAS</w:t>
      </w:r>
    </w:p>
    <w:p w14:paraId="1225A06B" w14:textId="77777777" w:rsidR="008F34FF" w:rsidRPr="00D43A2F" w:rsidRDefault="008F34FF" w:rsidP="008F34FF">
      <w:pPr>
        <w:pStyle w:val="BTEMEASMCA"/>
      </w:pPr>
    </w:p>
    <w:p w14:paraId="4887D7B4" w14:textId="77777777" w:rsidR="008F34FF" w:rsidRPr="00D43A2F" w:rsidRDefault="008F34FF" w:rsidP="008F34FF">
      <w:pPr>
        <w:pStyle w:val="TTEMEASMCA"/>
        <w:rPr>
          <w:lang w:val="lt-LT"/>
        </w:rPr>
      </w:pPr>
      <w:r w:rsidRPr="00D43A2F">
        <w:rPr>
          <w:lang w:val="lt-LT"/>
        </w:rPr>
        <w:t>ŽENKLINIMAS IR PAKUOTĖS LAPELIS</w:t>
      </w:r>
    </w:p>
    <w:p w14:paraId="1E6AF307" w14:textId="77777777" w:rsidR="008F34FF" w:rsidRPr="00D43A2F" w:rsidRDefault="008F34FF" w:rsidP="008F34FF">
      <w:pPr>
        <w:pStyle w:val="BTEMEASMCA"/>
      </w:pPr>
      <w:r w:rsidRPr="00D43A2F">
        <w:br w:type="page"/>
      </w:r>
    </w:p>
    <w:p w14:paraId="07FA16D5" w14:textId="77777777" w:rsidR="008F34FF" w:rsidRPr="00D43A2F" w:rsidRDefault="008F34FF" w:rsidP="008F34FF">
      <w:pPr>
        <w:pStyle w:val="BTEMEASMCA"/>
      </w:pPr>
    </w:p>
    <w:p w14:paraId="204AA134" w14:textId="77777777" w:rsidR="008F34FF" w:rsidRPr="00D43A2F" w:rsidRDefault="008F34FF" w:rsidP="008F34FF">
      <w:pPr>
        <w:pStyle w:val="BTEMEASMCA"/>
      </w:pPr>
    </w:p>
    <w:p w14:paraId="6A1707BA" w14:textId="77777777" w:rsidR="008F34FF" w:rsidRPr="00D43A2F" w:rsidRDefault="008F34FF" w:rsidP="008F34FF">
      <w:pPr>
        <w:pStyle w:val="BTEMEASMCA"/>
      </w:pPr>
    </w:p>
    <w:p w14:paraId="1090617C" w14:textId="77777777" w:rsidR="008F34FF" w:rsidRPr="00D43A2F" w:rsidRDefault="008F34FF" w:rsidP="008F34FF">
      <w:pPr>
        <w:pStyle w:val="BTEMEASMCA"/>
      </w:pPr>
    </w:p>
    <w:p w14:paraId="0DF88FA4" w14:textId="77777777" w:rsidR="008F34FF" w:rsidRPr="00D43A2F" w:rsidRDefault="008F34FF" w:rsidP="008F34FF">
      <w:pPr>
        <w:pStyle w:val="BTEMEASMCA"/>
      </w:pPr>
    </w:p>
    <w:p w14:paraId="13AB45E5" w14:textId="77777777" w:rsidR="008F34FF" w:rsidRPr="00D43A2F" w:rsidRDefault="008F34FF" w:rsidP="008F34FF">
      <w:pPr>
        <w:pStyle w:val="BTEMEASMCA"/>
      </w:pPr>
    </w:p>
    <w:p w14:paraId="2CA52853" w14:textId="77777777" w:rsidR="008F34FF" w:rsidRPr="00D43A2F" w:rsidRDefault="008F34FF" w:rsidP="008F34FF">
      <w:pPr>
        <w:pStyle w:val="BTEMEASMCA"/>
      </w:pPr>
    </w:p>
    <w:p w14:paraId="5708D297" w14:textId="77777777" w:rsidR="008F34FF" w:rsidRPr="00D43A2F" w:rsidRDefault="008F34FF" w:rsidP="008F34FF">
      <w:pPr>
        <w:pStyle w:val="BTEMEASMCA"/>
      </w:pPr>
    </w:p>
    <w:p w14:paraId="0883CDEA" w14:textId="77777777" w:rsidR="008F34FF" w:rsidRPr="00D43A2F" w:rsidRDefault="008F34FF" w:rsidP="008F34FF">
      <w:pPr>
        <w:pStyle w:val="BTEMEASMCA"/>
      </w:pPr>
    </w:p>
    <w:p w14:paraId="437F426E" w14:textId="77777777" w:rsidR="008F34FF" w:rsidRPr="00D43A2F" w:rsidRDefault="008F34FF" w:rsidP="008F34FF">
      <w:pPr>
        <w:pStyle w:val="BTEMEASMCA"/>
      </w:pPr>
    </w:p>
    <w:p w14:paraId="04244730" w14:textId="77777777" w:rsidR="008F34FF" w:rsidRPr="00D43A2F" w:rsidRDefault="008F34FF" w:rsidP="008F34FF">
      <w:pPr>
        <w:pStyle w:val="BTEMEASMCA"/>
      </w:pPr>
    </w:p>
    <w:p w14:paraId="7ECBAC03" w14:textId="77777777" w:rsidR="008F34FF" w:rsidRPr="00D43A2F" w:rsidRDefault="008F34FF" w:rsidP="008F34FF">
      <w:pPr>
        <w:pStyle w:val="BTEMEASMCA"/>
      </w:pPr>
    </w:p>
    <w:p w14:paraId="6692FC67" w14:textId="77777777" w:rsidR="008F34FF" w:rsidRPr="00D43A2F" w:rsidRDefault="008F34FF" w:rsidP="008F34FF">
      <w:pPr>
        <w:pStyle w:val="BTEMEASMCA"/>
      </w:pPr>
    </w:p>
    <w:p w14:paraId="2FE9EB70" w14:textId="77777777" w:rsidR="008F34FF" w:rsidRPr="00D43A2F" w:rsidRDefault="008F34FF" w:rsidP="008F34FF">
      <w:pPr>
        <w:pStyle w:val="BTEMEASMCA"/>
      </w:pPr>
    </w:p>
    <w:p w14:paraId="3BF9F05E" w14:textId="77777777" w:rsidR="008F34FF" w:rsidRPr="00D43A2F" w:rsidRDefault="008F34FF" w:rsidP="008F34FF">
      <w:pPr>
        <w:pStyle w:val="BTEMEASMCA"/>
      </w:pPr>
    </w:p>
    <w:p w14:paraId="7E872754" w14:textId="77777777" w:rsidR="008F34FF" w:rsidRPr="00D43A2F" w:rsidRDefault="008F34FF" w:rsidP="008F34FF">
      <w:pPr>
        <w:pStyle w:val="BTEMEASMCA"/>
      </w:pPr>
    </w:p>
    <w:p w14:paraId="21FCB1E9" w14:textId="77777777" w:rsidR="008F34FF" w:rsidRPr="00D43A2F" w:rsidRDefault="008F34FF" w:rsidP="008F34FF">
      <w:pPr>
        <w:pStyle w:val="BTEMEASMCA"/>
      </w:pPr>
    </w:p>
    <w:p w14:paraId="7641FCCD" w14:textId="77777777" w:rsidR="008F34FF" w:rsidRPr="00D43A2F" w:rsidRDefault="008F34FF" w:rsidP="008F34FF">
      <w:pPr>
        <w:pStyle w:val="BTEMEASMCA"/>
      </w:pPr>
    </w:p>
    <w:p w14:paraId="5C8C3769" w14:textId="77777777" w:rsidR="008F34FF" w:rsidRPr="00D43A2F" w:rsidRDefault="008F34FF" w:rsidP="008F34FF">
      <w:pPr>
        <w:pStyle w:val="BTEMEASMCA"/>
      </w:pPr>
    </w:p>
    <w:p w14:paraId="0A36A990" w14:textId="77777777" w:rsidR="008F34FF" w:rsidRPr="00D43A2F" w:rsidRDefault="008F34FF" w:rsidP="008F34FF">
      <w:pPr>
        <w:pStyle w:val="BTEMEASMCA"/>
      </w:pPr>
    </w:p>
    <w:p w14:paraId="6E13BACC" w14:textId="77777777" w:rsidR="008F34FF" w:rsidRPr="00D43A2F" w:rsidRDefault="008F34FF" w:rsidP="008F34FF">
      <w:pPr>
        <w:pStyle w:val="BTEMEASMCA"/>
      </w:pPr>
    </w:p>
    <w:p w14:paraId="05F21AE0" w14:textId="77777777" w:rsidR="008F34FF" w:rsidRPr="00D43A2F" w:rsidRDefault="008F34FF" w:rsidP="008F34FF">
      <w:pPr>
        <w:pStyle w:val="BTEMEASMCA"/>
      </w:pPr>
    </w:p>
    <w:p w14:paraId="33FDB31B" w14:textId="77777777" w:rsidR="008F34FF" w:rsidRDefault="008F34FF" w:rsidP="008F34FF">
      <w:pPr>
        <w:pStyle w:val="TTEMEASMCA"/>
        <w:rPr>
          <w:lang w:val="lt-LT"/>
        </w:rPr>
      </w:pPr>
    </w:p>
    <w:p w14:paraId="26CCE156" w14:textId="77777777" w:rsidR="008F34FF" w:rsidRPr="00D43A2F" w:rsidRDefault="008F34FF" w:rsidP="008F34FF">
      <w:pPr>
        <w:pStyle w:val="TTEMEASMCA"/>
        <w:rPr>
          <w:lang w:val="lt-LT"/>
        </w:rPr>
      </w:pPr>
      <w:r w:rsidRPr="00D43A2F">
        <w:rPr>
          <w:lang w:val="lt-LT"/>
        </w:rPr>
        <w:t>A. ŽENKLINIMAS</w:t>
      </w:r>
    </w:p>
    <w:p w14:paraId="1CED6182" w14:textId="77777777" w:rsidR="008F34FF" w:rsidRPr="00D43A2F" w:rsidRDefault="008F34FF" w:rsidP="008F34FF">
      <w:pPr>
        <w:pStyle w:val="BTEMEASMCA"/>
      </w:pPr>
      <w:r w:rsidRPr="00D43A2F">
        <w:br w:type="page"/>
      </w:r>
    </w:p>
    <w:p w14:paraId="01AEDC2C" w14:textId="77777777" w:rsidR="009F75D0" w:rsidRPr="00D43A2F" w:rsidRDefault="009F75D0" w:rsidP="009F75D0">
      <w:pPr>
        <w:pStyle w:val="PI-1labEMEASMCA"/>
      </w:pPr>
      <w:r w:rsidRPr="00D43A2F">
        <w:lastRenderedPageBreak/>
        <w:t>INFORMACIJA ANT IŠORINĖS PAKUOTĖS</w:t>
      </w:r>
    </w:p>
    <w:p w14:paraId="2C4127F4" w14:textId="77777777" w:rsidR="009F75D0" w:rsidRPr="00D43A2F" w:rsidRDefault="009F75D0" w:rsidP="009F75D0">
      <w:pPr>
        <w:pStyle w:val="PI-1labEMEASMCA"/>
      </w:pPr>
    </w:p>
    <w:p w14:paraId="5AA6764F" w14:textId="77777777" w:rsidR="009F75D0" w:rsidRPr="00D43A2F" w:rsidRDefault="009F75D0" w:rsidP="009F75D0">
      <w:pPr>
        <w:pStyle w:val="PI-1labEMEASMCA"/>
        <w:rPr>
          <w:bCs/>
        </w:rPr>
      </w:pPr>
      <w:r w:rsidRPr="00D43A2F">
        <w:t>KARTONO DĖŽUTĖ</w:t>
      </w:r>
    </w:p>
    <w:p w14:paraId="3F15AE29" w14:textId="77777777" w:rsidR="009F75D0" w:rsidRDefault="009F75D0" w:rsidP="009F75D0">
      <w:pPr>
        <w:pStyle w:val="BTEMEASMCA"/>
      </w:pPr>
    </w:p>
    <w:p w14:paraId="3DC71F3B" w14:textId="77777777" w:rsidR="009F75D0" w:rsidRPr="00D43A2F" w:rsidRDefault="009F75D0" w:rsidP="009F75D0">
      <w:pPr>
        <w:pStyle w:val="BTEMEASMCA"/>
      </w:pPr>
    </w:p>
    <w:p w14:paraId="1B05E716" w14:textId="77777777" w:rsidR="009F75D0" w:rsidRPr="00D43A2F" w:rsidRDefault="009F75D0" w:rsidP="009F75D0">
      <w:pPr>
        <w:pStyle w:val="PI-1labEMEASMCA"/>
      </w:pPr>
      <w:r w:rsidRPr="00D43A2F">
        <w:t>1.</w:t>
      </w:r>
      <w:r w:rsidRPr="00D43A2F">
        <w:tab/>
        <w:t>VAISTINIO PREPARATO PAVADINIMAS</w:t>
      </w:r>
    </w:p>
    <w:p w14:paraId="4C7F09DD" w14:textId="77777777" w:rsidR="009F75D0" w:rsidRPr="00D43A2F" w:rsidRDefault="009F75D0" w:rsidP="009F75D0">
      <w:pPr>
        <w:pStyle w:val="BTEMEASMCA"/>
      </w:pPr>
    </w:p>
    <w:p w14:paraId="40AA3914" w14:textId="77777777" w:rsidR="009F75D0" w:rsidRPr="00D43A2F" w:rsidRDefault="009F75D0" w:rsidP="009F75D0">
      <w:pPr>
        <w:pStyle w:val="Pagrindinistekstas"/>
        <w:spacing w:after="0"/>
        <w:rPr>
          <w:szCs w:val="22"/>
        </w:rPr>
      </w:pPr>
      <w:r w:rsidRPr="00D43A2F">
        <w:rPr>
          <w:szCs w:val="22"/>
        </w:rPr>
        <w:t>METHYLPREDNISOLONE SOPHARMA 250 mg milteliai ir tirpiklis injekciniam</w:t>
      </w:r>
      <w:r>
        <w:rPr>
          <w:szCs w:val="22"/>
        </w:rPr>
        <w:t xml:space="preserve"> ar </w:t>
      </w:r>
      <w:r w:rsidRPr="00D43A2F">
        <w:rPr>
          <w:szCs w:val="22"/>
        </w:rPr>
        <w:t>infuziniam tirpalui</w:t>
      </w:r>
    </w:p>
    <w:p w14:paraId="5D5C8D47" w14:textId="77777777" w:rsidR="009F75D0" w:rsidRPr="00D43A2F" w:rsidRDefault="009F75D0" w:rsidP="009F75D0">
      <w:pPr>
        <w:rPr>
          <w:sz w:val="22"/>
          <w:szCs w:val="22"/>
        </w:rPr>
      </w:pPr>
      <w:proofErr w:type="spellStart"/>
      <w:r w:rsidRPr="00D43A2F">
        <w:rPr>
          <w:sz w:val="22"/>
          <w:szCs w:val="22"/>
        </w:rPr>
        <w:t>Metilprednizolonas</w:t>
      </w:r>
      <w:proofErr w:type="spellEnd"/>
    </w:p>
    <w:p w14:paraId="42A4D4E7" w14:textId="77777777" w:rsidR="009F75D0" w:rsidRPr="00D43A2F" w:rsidRDefault="009F75D0" w:rsidP="009F75D0">
      <w:pPr>
        <w:pStyle w:val="BTEMEASMCA"/>
      </w:pPr>
    </w:p>
    <w:p w14:paraId="48888247" w14:textId="77777777" w:rsidR="009F75D0" w:rsidRPr="00D43A2F" w:rsidRDefault="009F75D0" w:rsidP="009F75D0">
      <w:pPr>
        <w:pStyle w:val="BTEMEASMCA"/>
      </w:pPr>
    </w:p>
    <w:p w14:paraId="37FAA7E6" w14:textId="77777777" w:rsidR="009F75D0" w:rsidRPr="00D43A2F" w:rsidRDefault="009F75D0" w:rsidP="009F75D0">
      <w:pPr>
        <w:pStyle w:val="PI-1labEMEASMCA"/>
      </w:pPr>
      <w:r w:rsidRPr="00D43A2F">
        <w:t>2.</w:t>
      </w:r>
      <w:r w:rsidRPr="00D43A2F">
        <w:tab/>
        <w:t>VEIKLIOJI MEDŽIAGA IR JOS KIEKIS</w:t>
      </w:r>
    </w:p>
    <w:p w14:paraId="2607EEAF" w14:textId="77777777" w:rsidR="009F75D0" w:rsidRPr="00D43A2F" w:rsidRDefault="009F75D0" w:rsidP="009F75D0">
      <w:pPr>
        <w:pStyle w:val="BTEMEASMCA"/>
      </w:pPr>
    </w:p>
    <w:p w14:paraId="195C7808" w14:textId="77777777" w:rsidR="009F75D0" w:rsidRPr="00D43A2F" w:rsidRDefault="009F75D0" w:rsidP="009F75D0">
      <w:pPr>
        <w:rPr>
          <w:sz w:val="22"/>
          <w:szCs w:val="22"/>
        </w:rPr>
      </w:pPr>
      <w:r w:rsidRPr="00D43A2F">
        <w:rPr>
          <w:sz w:val="22"/>
          <w:szCs w:val="22"/>
        </w:rPr>
        <w:t xml:space="preserve">Vienoje ampulėje yra 250 mg </w:t>
      </w:r>
      <w:proofErr w:type="spellStart"/>
      <w:r w:rsidRPr="00D43A2F">
        <w:rPr>
          <w:sz w:val="22"/>
          <w:szCs w:val="22"/>
        </w:rPr>
        <w:t>metilprednizolono</w:t>
      </w:r>
      <w:proofErr w:type="spellEnd"/>
      <w:r w:rsidRPr="00D43A2F">
        <w:rPr>
          <w:sz w:val="22"/>
          <w:szCs w:val="22"/>
        </w:rPr>
        <w:t xml:space="preserve"> (natrio </w:t>
      </w:r>
      <w:proofErr w:type="spellStart"/>
      <w:r w:rsidRPr="00D43A2F">
        <w:rPr>
          <w:sz w:val="22"/>
          <w:szCs w:val="22"/>
        </w:rPr>
        <w:t>sukcinato</w:t>
      </w:r>
      <w:proofErr w:type="spellEnd"/>
      <w:r w:rsidRPr="00D43A2F">
        <w:rPr>
          <w:sz w:val="22"/>
          <w:szCs w:val="22"/>
        </w:rPr>
        <w:t xml:space="preserve"> pavidalu).</w:t>
      </w:r>
    </w:p>
    <w:p w14:paraId="0B759730" w14:textId="77777777" w:rsidR="009F75D0" w:rsidRPr="00D43A2F" w:rsidRDefault="009F75D0" w:rsidP="009F75D0">
      <w:pPr>
        <w:rPr>
          <w:sz w:val="22"/>
          <w:szCs w:val="22"/>
        </w:rPr>
      </w:pPr>
      <w:r w:rsidRPr="00D43A2F">
        <w:rPr>
          <w:sz w:val="22"/>
          <w:szCs w:val="22"/>
        </w:rPr>
        <w:t xml:space="preserve">Ištirpinus 5 ml tirpiklio (injekcinio vandens), 1 ml tirpalo </w:t>
      </w:r>
      <w:r>
        <w:rPr>
          <w:sz w:val="22"/>
          <w:szCs w:val="22"/>
        </w:rPr>
        <w:t>yra</w:t>
      </w:r>
      <w:r w:rsidRPr="00D43A2F">
        <w:rPr>
          <w:sz w:val="22"/>
          <w:szCs w:val="22"/>
        </w:rPr>
        <w:t xml:space="preserve"> 50 mg </w:t>
      </w:r>
      <w:proofErr w:type="spellStart"/>
      <w:r w:rsidRPr="00D43A2F">
        <w:rPr>
          <w:iCs/>
          <w:sz w:val="22"/>
          <w:szCs w:val="22"/>
        </w:rPr>
        <w:t>metilprednizolono</w:t>
      </w:r>
      <w:proofErr w:type="spellEnd"/>
      <w:r w:rsidRPr="00D43A2F">
        <w:rPr>
          <w:iCs/>
          <w:sz w:val="22"/>
          <w:szCs w:val="22"/>
        </w:rPr>
        <w:t>.</w:t>
      </w:r>
    </w:p>
    <w:p w14:paraId="3935BC78" w14:textId="77777777" w:rsidR="009F75D0" w:rsidRPr="00D43A2F" w:rsidRDefault="009F75D0" w:rsidP="009F75D0">
      <w:pPr>
        <w:pStyle w:val="BTEMEASMCA"/>
      </w:pPr>
    </w:p>
    <w:p w14:paraId="5D8C0BA1" w14:textId="77777777" w:rsidR="009F75D0" w:rsidRPr="00D43A2F" w:rsidRDefault="009F75D0" w:rsidP="009F75D0">
      <w:pPr>
        <w:pStyle w:val="BTEMEASMCA"/>
      </w:pPr>
    </w:p>
    <w:p w14:paraId="60A6F6A1" w14:textId="77777777" w:rsidR="009F75D0" w:rsidRPr="00D43A2F" w:rsidRDefault="009F75D0" w:rsidP="009F75D0">
      <w:pPr>
        <w:pStyle w:val="PI-1labEMEASMCA"/>
        <w:rPr>
          <w:highlight w:val="lightGray"/>
        </w:rPr>
      </w:pPr>
      <w:r w:rsidRPr="00D43A2F">
        <w:t>3.</w:t>
      </w:r>
      <w:r w:rsidRPr="00D43A2F">
        <w:tab/>
        <w:t>PAGALBINIŲ MEDŽIAGŲ SĄRAŠAS</w:t>
      </w:r>
    </w:p>
    <w:p w14:paraId="005061D9" w14:textId="77777777" w:rsidR="009F75D0" w:rsidRPr="00D43A2F" w:rsidRDefault="009F75D0" w:rsidP="009F75D0">
      <w:pPr>
        <w:pStyle w:val="BTEMEASMCA"/>
      </w:pPr>
    </w:p>
    <w:p w14:paraId="26C66FC4" w14:textId="77777777" w:rsidR="009F75D0" w:rsidRPr="00D43A2F" w:rsidRDefault="009F75D0" w:rsidP="009F75D0">
      <w:pPr>
        <w:pStyle w:val="Pagrindinistekstas"/>
        <w:spacing w:after="0"/>
        <w:rPr>
          <w:szCs w:val="22"/>
        </w:rPr>
      </w:pPr>
      <w:r w:rsidRPr="00D43A2F">
        <w:rPr>
          <w:szCs w:val="22"/>
        </w:rPr>
        <w:t xml:space="preserve">Pagalbinės medžiagos: </w:t>
      </w:r>
      <w:proofErr w:type="spellStart"/>
      <w:r w:rsidRPr="00D43A2F">
        <w:rPr>
          <w:szCs w:val="22"/>
        </w:rPr>
        <w:t>dinatrio</w:t>
      </w:r>
      <w:proofErr w:type="spellEnd"/>
      <w:r w:rsidRPr="00D43A2F">
        <w:rPr>
          <w:szCs w:val="22"/>
        </w:rPr>
        <w:t xml:space="preserve"> fosfatas </w:t>
      </w:r>
      <w:proofErr w:type="spellStart"/>
      <w:r w:rsidRPr="00D43A2F">
        <w:rPr>
          <w:szCs w:val="22"/>
        </w:rPr>
        <w:t>dihidratas</w:t>
      </w:r>
      <w:proofErr w:type="spellEnd"/>
      <w:r w:rsidRPr="00D43A2F">
        <w:rPr>
          <w:szCs w:val="22"/>
        </w:rPr>
        <w:t>, natrio-</w:t>
      </w:r>
      <w:proofErr w:type="spellStart"/>
      <w:r w:rsidRPr="00D43A2F">
        <w:rPr>
          <w:szCs w:val="22"/>
        </w:rPr>
        <w:t>divandenilio</w:t>
      </w:r>
      <w:proofErr w:type="spellEnd"/>
      <w:r w:rsidRPr="00D43A2F">
        <w:rPr>
          <w:szCs w:val="22"/>
        </w:rPr>
        <w:t xml:space="preserve"> fosfatas </w:t>
      </w:r>
      <w:proofErr w:type="spellStart"/>
      <w:r w:rsidRPr="00D43A2F">
        <w:rPr>
          <w:szCs w:val="22"/>
        </w:rPr>
        <w:t>monohidratas</w:t>
      </w:r>
      <w:proofErr w:type="spellEnd"/>
    </w:p>
    <w:p w14:paraId="25BA72F2" w14:textId="77777777" w:rsidR="009F75D0" w:rsidRPr="00D43A2F" w:rsidRDefault="009F75D0" w:rsidP="009F75D0">
      <w:pPr>
        <w:jc w:val="both"/>
        <w:rPr>
          <w:sz w:val="22"/>
          <w:szCs w:val="22"/>
        </w:rPr>
      </w:pPr>
    </w:p>
    <w:p w14:paraId="7CD86D60" w14:textId="77777777" w:rsidR="009F75D0" w:rsidRPr="00D43A2F" w:rsidRDefault="009F75D0" w:rsidP="009F75D0">
      <w:pPr>
        <w:pStyle w:val="BTEMEASMCA"/>
      </w:pPr>
    </w:p>
    <w:p w14:paraId="15E8F650" w14:textId="77777777" w:rsidR="009F75D0" w:rsidRPr="00D43A2F" w:rsidRDefault="009F75D0" w:rsidP="009F75D0">
      <w:pPr>
        <w:pStyle w:val="PI-1labEMEASMCA"/>
      </w:pPr>
      <w:r w:rsidRPr="00D43A2F">
        <w:t>4.</w:t>
      </w:r>
      <w:r w:rsidRPr="00D43A2F">
        <w:tab/>
        <w:t>FARMACINĖ FORMA IR KIEKIS PAKUOTĖJE</w:t>
      </w:r>
    </w:p>
    <w:p w14:paraId="253E070C" w14:textId="77777777" w:rsidR="009F75D0" w:rsidRPr="00D43A2F" w:rsidRDefault="009F75D0" w:rsidP="009F75D0">
      <w:pPr>
        <w:pStyle w:val="BTEMEASMCA"/>
      </w:pPr>
    </w:p>
    <w:p w14:paraId="57A122BC" w14:textId="77777777" w:rsidR="009F75D0" w:rsidRPr="00D43A2F" w:rsidRDefault="009F75D0" w:rsidP="009F75D0">
      <w:pPr>
        <w:rPr>
          <w:sz w:val="22"/>
          <w:szCs w:val="22"/>
        </w:rPr>
      </w:pPr>
      <w:r w:rsidRPr="00D43A2F">
        <w:rPr>
          <w:sz w:val="22"/>
          <w:szCs w:val="22"/>
          <w:highlight w:val="lightGray"/>
        </w:rPr>
        <w:t>Milteliai ir tirpiklis injekciniam</w:t>
      </w:r>
      <w:r>
        <w:rPr>
          <w:sz w:val="22"/>
          <w:szCs w:val="22"/>
          <w:highlight w:val="lightGray"/>
        </w:rPr>
        <w:t xml:space="preserve"> ar </w:t>
      </w:r>
      <w:r w:rsidRPr="00D43A2F">
        <w:rPr>
          <w:sz w:val="22"/>
          <w:szCs w:val="22"/>
          <w:highlight w:val="lightGray"/>
        </w:rPr>
        <w:t>infuziniam tirpalui</w:t>
      </w:r>
    </w:p>
    <w:p w14:paraId="5BBE7C28" w14:textId="77777777" w:rsidR="009F75D0" w:rsidRPr="00D43A2F" w:rsidRDefault="009F75D0" w:rsidP="009F75D0">
      <w:pPr>
        <w:rPr>
          <w:sz w:val="22"/>
          <w:szCs w:val="22"/>
        </w:rPr>
      </w:pPr>
      <w:r w:rsidRPr="00D43A2F">
        <w:rPr>
          <w:sz w:val="22"/>
          <w:szCs w:val="22"/>
        </w:rPr>
        <w:t xml:space="preserve">5 ampulės miltelių </w:t>
      </w:r>
    </w:p>
    <w:p w14:paraId="35AE0005" w14:textId="77777777" w:rsidR="009F75D0" w:rsidRPr="00D43A2F" w:rsidRDefault="009F75D0" w:rsidP="009F75D0">
      <w:pPr>
        <w:rPr>
          <w:sz w:val="22"/>
          <w:szCs w:val="22"/>
        </w:rPr>
      </w:pPr>
      <w:r w:rsidRPr="00D43A2F">
        <w:rPr>
          <w:sz w:val="22"/>
          <w:szCs w:val="22"/>
        </w:rPr>
        <w:t xml:space="preserve">5 ampulės tirpiklio </w:t>
      </w:r>
    </w:p>
    <w:p w14:paraId="6F439276" w14:textId="77777777" w:rsidR="009F75D0" w:rsidRPr="00D43A2F" w:rsidRDefault="009F75D0" w:rsidP="009F75D0">
      <w:pPr>
        <w:pStyle w:val="BTEMEASMCA"/>
      </w:pPr>
    </w:p>
    <w:p w14:paraId="0E56A01F" w14:textId="77777777" w:rsidR="009F75D0" w:rsidRPr="00D43A2F" w:rsidRDefault="009F75D0" w:rsidP="009F75D0">
      <w:pPr>
        <w:pStyle w:val="BTEMEASMCA"/>
      </w:pPr>
    </w:p>
    <w:p w14:paraId="2C49846E" w14:textId="77777777" w:rsidR="009F75D0" w:rsidRPr="00D43A2F" w:rsidRDefault="009F75D0" w:rsidP="009F75D0">
      <w:pPr>
        <w:pStyle w:val="PI-1labEMEASMCA"/>
        <w:rPr>
          <w:highlight w:val="lightGray"/>
        </w:rPr>
      </w:pPr>
      <w:r w:rsidRPr="00D43A2F">
        <w:t>5.</w:t>
      </w:r>
      <w:r w:rsidRPr="00D43A2F">
        <w:tab/>
        <w:t>VARTOJIMO METODAS IR BŪDAS (-AI)</w:t>
      </w:r>
    </w:p>
    <w:p w14:paraId="1B6A2829" w14:textId="77777777" w:rsidR="009F75D0" w:rsidRPr="00D43A2F" w:rsidRDefault="009F75D0" w:rsidP="009F75D0">
      <w:pPr>
        <w:pStyle w:val="BTEMEASMCA"/>
      </w:pPr>
    </w:p>
    <w:p w14:paraId="52936936" w14:textId="77777777" w:rsidR="009F75D0" w:rsidRPr="00D43A2F" w:rsidRDefault="009F75D0" w:rsidP="009F75D0">
      <w:pPr>
        <w:rPr>
          <w:sz w:val="22"/>
          <w:szCs w:val="22"/>
        </w:rPr>
      </w:pPr>
      <w:r>
        <w:rPr>
          <w:sz w:val="22"/>
          <w:szCs w:val="22"/>
        </w:rPr>
        <w:t>Leisti</w:t>
      </w:r>
      <w:r w:rsidRPr="00D43A2F">
        <w:rPr>
          <w:sz w:val="22"/>
          <w:szCs w:val="22"/>
        </w:rPr>
        <w:t xml:space="preserve"> į raumenis arba į veną.</w:t>
      </w:r>
    </w:p>
    <w:p w14:paraId="7C381EEB" w14:textId="77777777" w:rsidR="009F75D0" w:rsidRPr="00D43A2F" w:rsidRDefault="009F75D0" w:rsidP="009F75D0">
      <w:pPr>
        <w:pStyle w:val="BTEMEASMCA"/>
      </w:pPr>
    </w:p>
    <w:p w14:paraId="10072991" w14:textId="77777777" w:rsidR="009F75D0" w:rsidRPr="00D43A2F" w:rsidRDefault="009F75D0" w:rsidP="009F75D0">
      <w:pPr>
        <w:pStyle w:val="BTEMEASMCA"/>
      </w:pPr>
      <w:r w:rsidRPr="00D43A2F">
        <w:t>Prieš vartojimą perskaitykite pakuotės lapelį.</w:t>
      </w:r>
    </w:p>
    <w:p w14:paraId="7DD24D74" w14:textId="77777777" w:rsidR="009F75D0" w:rsidRPr="00D43A2F" w:rsidRDefault="009F75D0" w:rsidP="009F75D0">
      <w:pPr>
        <w:pStyle w:val="BTEMEASMCA"/>
      </w:pPr>
    </w:p>
    <w:p w14:paraId="07F25AAC" w14:textId="77777777" w:rsidR="009F75D0" w:rsidRPr="00D43A2F" w:rsidRDefault="009F75D0" w:rsidP="009F75D0">
      <w:pPr>
        <w:pStyle w:val="BTEMEASMCA"/>
      </w:pPr>
    </w:p>
    <w:p w14:paraId="778D31F4" w14:textId="77777777" w:rsidR="009F75D0" w:rsidRPr="00D43A2F" w:rsidRDefault="009F75D0" w:rsidP="009F75D0">
      <w:pPr>
        <w:pStyle w:val="PI-1labEMEASMCA"/>
      </w:pPr>
      <w:r w:rsidRPr="00D43A2F">
        <w:t>6.</w:t>
      </w:r>
      <w:r w:rsidRPr="00D43A2F">
        <w:tab/>
        <w:t xml:space="preserve">SPECIALUS ĮSPĖJIMAS, KAD VAISTINĮ PREPARATĄ BŪTINA LAIKYTI VAIKAMS  NEPASTEBIMOJE </w:t>
      </w:r>
      <w:r>
        <w:t xml:space="preserve">IR NEPASIEKIAMOJE </w:t>
      </w:r>
      <w:r w:rsidRPr="00D43A2F">
        <w:t>VIETOJE</w:t>
      </w:r>
    </w:p>
    <w:p w14:paraId="7EC243B1" w14:textId="77777777" w:rsidR="009F75D0" w:rsidRPr="00D43A2F" w:rsidRDefault="009F75D0" w:rsidP="009F75D0">
      <w:pPr>
        <w:pStyle w:val="BTEMEASMCA"/>
      </w:pPr>
    </w:p>
    <w:p w14:paraId="7DABC66C" w14:textId="77777777" w:rsidR="009F75D0" w:rsidRPr="00D43A2F" w:rsidRDefault="009F75D0" w:rsidP="009F75D0">
      <w:pPr>
        <w:pStyle w:val="BTEMEASMCA"/>
      </w:pPr>
      <w:r w:rsidRPr="00D43A2F">
        <w:t xml:space="preserve">Laikyti vaikams  nepastebimoje </w:t>
      </w:r>
      <w:r>
        <w:t xml:space="preserve">ir nepasiekiamoje </w:t>
      </w:r>
      <w:r w:rsidRPr="00D43A2F">
        <w:t>vietoje.</w:t>
      </w:r>
    </w:p>
    <w:p w14:paraId="41E81771" w14:textId="77777777" w:rsidR="009F75D0" w:rsidRPr="00D43A2F" w:rsidRDefault="009F75D0" w:rsidP="009F75D0">
      <w:pPr>
        <w:pStyle w:val="BTEMEASMCA"/>
      </w:pPr>
    </w:p>
    <w:p w14:paraId="7FD82DC7" w14:textId="77777777" w:rsidR="009F75D0" w:rsidRPr="00D43A2F" w:rsidRDefault="009F75D0" w:rsidP="009F75D0">
      <w:pPr>
        <w:pStyle w:val="BTEMEASMCA"/>
      </w:pPr>
    </w:p>
    <w:p w14:paraId="2361226E" w14:textId="77777777" w:rsidR="009F75D0" w:rsidRPr="00D43A2F" w:rsidRDefault="009F75D0" w:rsidP="009F75D0">
      <w:pPr>
        <w:pStyle w:val="PI-1labEMEASMCA"/>
        <w:rPr>
          <w:highlight w:val="lightGray"/>
        </w:rPr>
      </w:pPr>
      <w:r w:rsidRPr="00D43A2F">
        <w:t>7.</w:t>
      </w:r>
      <w:r w:rsidRPr="00D43A2F">
        <w:tab/>
        <w:t>KITAS (-I) SPECIALUS (-ŪS) ĮSPĖJIMAS (-AI) (JEI REIKIA)</w:t>
      </w:r>
    </w:p>
    <w:p w14:paraId="6072A89B" w14:textId="77777777" w:rsidR="009F75D0" w:rsidRPr="00D43A2F" w:rsidRDefault="009F75D0" w:rsidP="009F75D0">
      <w:pPr>
        <w:pStyle w:val="BTEMEASMCA"/>
      </w:pPr>
    </w:p>
    <w:p w14:paraId="29BB2990" w14:textId="77777777" w:rsidR="009F75D0" w:rsidRPr="00D43A2F" w:rsidRDefault="009F75D0" w:rsidP="009F75D0">
      <w:pPr>
        <w:pStyle w:val="BTEMEASMCA"/>
      </w:pPr>
    </w:p>
    <w:p w14:paraId="0C363855" w14:textId="77777777" w:rsidR="009F75D0" w:rsidRPr="00D43A2F" w:rsidRDefault="009F75D0" w:rsidP="009F75D0">
      <w:pPr>
        <w:pStyle w:val="PI-1labEMEASMCA"/>
        <w:rPr>
          <w:highlight w:val="lightGray"/>
        </w:rPr>
      </w:pPr>
      <w:r w:rsidRPr="00D43A2F">
        <w:t>8.</w:t>
      </w:r>
      <w:r w:rsidRPr="00D43A2F">
        <w:tab/>
        <w:t>TINKAMUMO LAIKAS</w:t>
      </w:r>
    </w:p>
    <w:p w14:paraId="171BBF24" w14:textId="77777777" w:rsidR="009F75D0" w:rsidRPr="00D43A2F" w:rsidRDefault="009F75D0" w:rsidP="009F75D0">
      <w:pPr>
        <w:pStyle w:val="BTEMEASMCA"/>
      </w:pPr>
    </w:p>
    <w:p w14:paraId="1E808CA4" w14:textId="77777777" w:rsidR="009F75D0" w:rsidRDefault="009F75D0" w:rsidP="009F75D0">
      <w:pPr>
        <w:pStyle w:val="Pagrindinistekstas"/>
        <w:spacing w:after="0"/>
        <w:rPr>
          <w:szCs w:val="22"/>
        </w:rPr>
      </w:pPr>
      <w:r>
        <w:rPr>
          <w:szCs w:val="22"/>
        </w:rPr>
        <w:t>EXP: {mm/MMMM}</w:t>
      </w:r>
    </w:p>
    <w:p w14:paraId="44A02AC6" w14:textId="77777777" w:rsidR="009F75D0" w:rsidRPr="00D43A2F" w:rsidRDefault="009F75D0" w:rsidP="009F75D0">
      <w:pPr>
        <w:pStyle w:val="BTEMEASMCA"/>
      </w:pPr>
      <w:r w:rsidRPr="00D43A2F">
        <w:t>Paruoštą ir praskiestą tirpalą vartoti nedelsiant.</w:t>
      </w:r>
    </w:p>
    <w:p w14:paraId="4F95B470" w14:textId="77777777" w:rsidR="009F75D0" w:rsidRPr="00D43A2F" w:rsidRDefault="009F75D0" w:rsidP="009F75D0">
      <w:pPr>
        <w:pStyle w:val="BTEMEASMCA"/>
      </w:pPr>
    </w:p>
    <w:p w14:paraId="3D38039B" w14:textId="77777777" w:rsidR="009F75D0" w:rsidRPr="00D43A2F" w:rsidRDefault="009F75D0" w:rsidP="009F75D0">
      <w:pPr>
        <w:pStyle w:val="BTEMEASMCA"/>
      </w:pPr>
    </w:p>
    <w:p w14:paraId="28EF1FC3" w14:textId="77777777" w:rsidR="009F75D0" w:rsidRPr="00D43A2F" w:rsidRDefault="009F75D0" w:rsidP="009F75D0">
      <w:pPr>
        <w:pStyle w:val="PI-1labEMEASMCA"/>
      </w:pPr>
      <w:r w:rsidRPr="00D43A2F">
        <w:t>9.</w:t>
      </w:r>
      <w:r w:rsidRPr="00D43A2F">
        <w:tab/>
        <w:t>SPECIALIOS LAIKYMO SĄLYGOS</w:t>
      </w:r>
    </w:p>
    <w:p w14:paraId="78A23622" w14:textId="77777777" w:rsidR="009F75D0" w:rsidRPr="00D43A2F" w:rsidRDefault="009F75D0" w:rsidP="009F75D0">
      <w:pPr>
        <w:pStyle w:val="BTEMEASMCA"/>
      </w:pPr>
    </w:p>
    <w:p w14:paraId="02039C55" w14:textId="77777777" w:rsidR="009F75D0" w:rsidRPr="00D43A2F" w:rsidRDefault="009F75D0" w:rsidP="009F75D0">
      <w:pPr>
        <w:rPr>
          <w:sz w:val="22"/>
          <w:szCs w:val="22"/>
        </w:rPr>
      </w:pPr>
      <w:r w:rsidRPr="00D43A2F">
        <w:rPr>
          <w:sz w:val="22"/>
          <w:szCs w:val="22"/>
        </w:rPr>
        <w:t>Laikyti ne aukštesnėje kaip 25 ºC temperatūroje.</w:t>
      </w:r>
    </w:p>
    <w:p w14:paraId="5F912498" w14:textId="77777777" w:rsidR="009F75D0" w:rsidRPr="00D43A2F" w:rsidRDefault="009F75D0" w:rsidP="009F75D0">
      <w:pPr>
        <w:rPr>
          <w:sz w:val="22"/>
          <w:szCs w:val="22"/>
        </w:rPr>
      </w:pPr>
      <w:r w:rsidRPr="00D43A2F">
        <w:rPr>
          <w:sz w:val="22"/>
          <w:szCs w:val="22"/>
        </w:rPr>
        <w:lastRenderedPageBreak/>
        <w:t>Negalima užšaldyti.</w:t>
      </w:r>
    </w:p>
    <w:p w14:paraId="5E35D281" w14:textId="77777777" w:rsidR="009F75D0" w:rsidRPr="00D43A2F" w:rsidRDefault="009F75D0" w:rsidP="009F75D0">
      <w:pPr>
        <w:pStyle w:val="Pagrindinistekstas"/>
        <w:spacing w:after="0"/>
        <w:rPr>
          <w:szCs w:val="22"/>
        </w:rPr>
      </w:pPr>
      <w:r w:rsidRPr="00D43A2F">
        <w:rPr>
          <w:szCs w:val="22"/>
        </w:rPr>
        <w:t xml:space="preserve">Ampules laikyti išorinėje dėžutėje, kad </w:t>
      </w:r>
      <w:r>
        <w:rPr>
          <w:szCs w:val="22"/>
        </w:rPr>
        <w:t>vaistas</w:t>
      </w:r>
      <w:r w:rsidRPr="00D43A2F">
        <w:rPr>
          <w:szCs w:val="22"/>
        </w:rPr>
        <w:t xml:space="preserve"> būtų apsaugotas nuo šviesos.</w:t>
      </w:r>
    </w:p>
    <w:p w14:paraId="51D9964C" w14:textId="77777777" w:rsidR="009F75D0" w:rsidRPr="00D43A2F" w:rsidRDefault="009F75D0" w:rsidP="009F75D0">
      <w:pPr>
        <w:pStyle w:val="BTEMEASMCA"/>
      </w:pPr>
    </w:p>
    <w:p w14:paraId="2367CFFB" w14:textId="77777777" w:rsidR="009F75D0" w:rsidRPr="00D43A2F" w:rsidRDefault="009F75D0" w:rsidP="009F75D0">
      <w:pPr>
        <w:pStyle w:val="BTEMEASMCA"/>
      </w:pPr>
    </w:p>
    <w:p w14:paraId="60A29903" w14:textId="77777777" w:rsidR="009F75D0" w:rsidRPr="00D43A2F" w:rsidRDefault="009F75D0" w:rsidP="009F75D0">
      <w:pPr>
        <w:pStyle w:val="PI-1labEMEASMCA"/>
      </w:pPr>
      <w:r w:rsidRPr="00D43A2F">
        <w:t>10.</w:t>
      </w:r>
      <w:r w:rsidRPr="00D43A2F">
        <w:tab/>
        <w:t xml:space="preserve">SPECIALIOS ATSARGUMO PRIEMONĖS DĖL NESUVARTOTO </w:t>
      </w:r>
      <w:r w:rsidRPr="00D43A2F">
        <w:rPr>
          <w:bCs/>
        </w:rPr>
        <w:t xml:space="preserve">VAISTINIO PREPARATO AR JO ATLIEKŲ </w:t>
      </w:r>
      <w:r w:rsidRPr="00D43A2F">
        <w:t>TVARKYMO (JEI REIKIA)</w:t>
      </w:r>
    </w:p>
    <w:p w14:paraId="58D4F735" w14:textId="77777777" w:rsidR="009F75D0" w:rsidRPr="00D43A2F" w:rsidRDefault="009F75D0" w:rsidP="009F75D0">
      <w:pPr>
        <w:pStyle w:val="BTEMEASMCA"/>
      </w:pPr>
    </w:p>
    <w:p w14:paraId="7D1C9467" w14:textId="77777777" w:rsidR="009F75D0" w:rsidRPr="00D43A2F" w:rsidRDefault="009F75D0" w:rsidP="009F75D0">
      <w:pPr>
        <w:pStyle w:val="BTEMEASMCA"/>
      </w:pPr>
    </w:p>
    <w:p w14:paraId="4C761FB0" w14:textId="77777777" w:rsidR="009F75D0" w:rsidRPr="00D43A2F" w:rsidRDefault="009F75D0" w:rsidP="009F75D0">
      <w:pPr>
        <w:pStyle w:val="PI-1labEMEASMCA"/>
      </w:pPr>
      <w:r w:rsidRPr="00D43A2F">
        <w:t>11.</w:t>
      </w:r>
      <w:r w:rsidRPr="00D43A2F">
        <w:tab/>
      </w:r>
      <w:r w:rsidRPr="005A3FA9">
        <w:rPr>
          <w:caps/>
          <w:szCs w:val="24"/>
        </w:rPr>
        <w:t>REGISTRUOTOJO</w:t>
      </w:r>
      <w:r w:rsidRPr="00D43A2F">
        <w:t xml:space="preserve"> PAVADINIMAS IR ADRESAS</w:t>
      </w:r>
    </w:p>
    <w:p w14:paraId="6AAA8EE8" w14:textId="77777777" w:rsidR="009F75D0" w:rsidRPr="00D43A2F" w:rsidRDefault="009F75D0" w:rsidP="009F75D0">
      <w:pPr>
        <w:pStyle w:val="BTEMEASMCA"/>
      </w:pPr>
    </w:p>
    <w:p w14:paraId="2C3950AB" w14:textId="77777777" w:rsidR="009F75D0" w:rsidRDefault="009F75D0" w:rsidP="009F75D0">
      <w:pPr>
        <w:rPr>
          <w:sz w:val="22"/>
          <w:szCs w:val="22"/>
        </w:rPr>
      </w:pPr>
      <w:r w:rsidRPr="00B26A15">
        <w:rPr>
          <w:sz w:val="22"/>
          <w:szCs w:val="22"/>
        </w:rPr>
        <w:t xml:space="preserve">SOPHARMA AD </w:t>
      </w:r>
    </w:p>
    <w:p w14:paraId="2DD889A9" w14:textId="77777777" w:rsidR="009F75D0" w:rsidRDefault="009F75D0" w:rsidP="009F75D0">
      <w:pPr>
        <w:rPr>
          <w:sz w:val="22"/>
          <w:szCs w:val="22"/>
        </w:rPr>
      </w:pPr>
      <w:r w:rsidRPr="00B26A15">
        <w:rPr>
          <w:sz w:val="22"/>
          <w:szCs w:val="22"/>
        </w:rPr>
        <w:t xml:space="preserve">16 </w:t>
      </w:r>
      <w:proofErr w:type="spellStart"/>
      <w:r w:rsidRPr="00B26A15">
        <w:rPr>
          <w:sz w:val="22"/>
          <w:szCs w:val="22"/>
        </w:rPr>
        <w:t>IlienskoShosse</w:t>
      </w:r>
      <w:proofErr w:type="spellEnd"/>
      <w:r w:rsidRPr="00B26A15">
        <w:rPr>
          <w:sz w:val="22"/>
          <w:szCs w:val="22"/>
        </w:rPr>
        <w:t xml:space="preserve"> Str. </w:t>
      </w:r>
    </w:p>
    <w:p w14:paraId="6725F48E" w14:textId="77777777" w:rsidR="009F75D0" w:rsidRDefault="009F75D0" w:rsidP="009F75D0">
      <w:pPr>
        <w:rPr>
          <w:sz w:val="22"/>
          <w:szCs w:val="22"/>
        </w:rPr>
      </w:pPr>
      <w:proofErr w:type="spellStart"/>
      <w:r w:rsidRPr="00B26A15">
        <w:rPr>
          <w:sz w:val="22"/>
          <w:szCs w:val="22"/>
        </w:rPr>
        <w:t>Sofia</w:t>
      </w:r>
      <w:proofErr w:type="spellEnd"/>
      <w:r w:rsidRPr="00B26A15">
        <w:rPr>
          <w:sz w:val="22"/>
          <w:szCs w:val="22"/>
        </w:rPr>
        <w:t xml:space="preserve"> 1220 </w:t>
      </w:r>
    </w:p>
    <w:p w14:paraId="3623D576" w14:textId="77777777" w:rsidR="009F75D0" w:rsidRPr="00B26A15" w:rsidRDefault="009F75D0" w:rsidP="009F75D0">
      <w:pPr>
        <w:rPr>
          <w:sz w:val="22"/>
          <w:szCs w:val="22"/>
        </w:rPr>
      </w:pPr>
      <w:r w:rsidRPr="00B26A15">
        <w:rPr>
          <w:sz w:val="22"/>
          <w:szCs w:val="22"/>
        </w:rPr>
        <w:t>Bulgarija</w:t>
      </w:r>
    </w:p>
    <w:p w14:paraId="17C0DC99" w14:textId="77777777" w:rsidR="009F75D0" w:rsidRDefault="009F75D0" w:rsidP="009F75D0">
      <w:pPr>
        <w:pStyle w:val="BTEMEASMCA"/>
      </w:pPr>
    </w:p>
    <w:p w14:paraId="5CDB8D0E" w14:textId="77777777" w:rsidR="009F75D0" w:rsidRPr="00D43A2F" w:rsidRDefault="009F75D0" w:rsidP="009F75D0">
      <w:pPr>
        <w:pStyle w:val="BTEMEASMCA"/>
      </w:pPr>
    </w:p>
    <w:p w14:paraId="6DBF4A1E" w14:textId="77777777" w:rsidR="009F75D0" w:rsidRPr="00D43A2F" w:rsidRDefault="009F75D0" w:rsidP="009F75D0">
      <w:pPr>
        <w:pStyle w:val="PI-1labEMEASMCA"/>
      </w:pPr>
      <w:r w:rsidRPr="00D43A2F">
        <w:t>12.</w:t>
      </w:r>
      <w:r w:rsidRPr="00D43A2F">
        <w:tab/>
      </w:r>
      <w:r w:rsidRPr="005A3FA9">
        <w:rPr>
          <w:szCs w:val="24"/>
        </w:rPr>
        <w:t xml:space="preserve">REGISTRACIJOS PAŽYMĖJIMO NUMERIS (-IAI) </w:t>
      </w:r>
    </w:p>
    <w:p w14:paraId="5E8B60A6" w14:textId="77777777" w:rsidR="009F75D0" w:rsidRPr="00D43A2F" w:rsidRDefault="009F75D0" w:rsidP="009F75D0">
      <w:pPr>
        <w:pStyle w:val="BTEMEASMCA"/>
      </w:pPr>
    </w:p>
    <w:p w14:paraId="2407B4F8" w14:textId="77777777" w:rsidR="009F75D0" w:rsidRDefault="009F75D0" w:rsidP="009F75D0">
      <w:pPr>
        <w:pStyle w:val="BTEMEASMCA"/>
      </w:pPr>
      <w:r>
        <w:t>LT/1/02/2326/001</w:t>
      </w:r>
    </w:p>
    <w:p w14:paraId="56B660D0" w14:textId="77777777" w:rsidR="009F75D0" w:rsidRPr="00D43A2F" w:rsidRDefault="009F75D0" w:rsidP="009F75D0">
      <w:pPr>
        <w:pStyle w:val="BTEMEASMCA"/>
      </w:pPr>
    </w:p>
    <w:p w14:paraId="2DACF9C9" w14:textId="77777777" w:rsidR="009F75D0" w:rsidRPr="00D43A2F" w:rsidRDefault="009F75D0" w:rsidP="009F75D0">
      <w:pPr>
        <w:pStyle w:val="BTEMEASMCA"/>
      </w:pPr>
    </w:p>
    <w:p w14:paraId="5FF74EE9" w14:textId="77777777" w:rsidR="009F75D0" w:rsidRPr="00D43A2F" w:rsidRDefault="009F75D0" w:rsidP="009F75D0">
      <w:pPr>
        <w:pStyle w:val="PI-1labEMEASMCA"/>
      </w:pPr>
      <w:r w:rsidRPr="00D43A2F">
        <w:t>13.</w:t>
      </w:r>
      <w:r w:rsidRPr="00D43A2F">
        <w:tab/>
        <w:t>SERIJOS NUMERIS</w:t>
      </w:r>
    </w:p>
    <w:p w14:paraId="2D9B3802" w14:textId="77777777" w:rsidR="009F75D0" w:rsidRPr="00D43A2F" w:rsidRDefault="009F75D0" w:rsidP="009F75D0">
      <w:pPr>
        <w:pStyle w:val="BTEMEASMCA"/>
      </w:pPr>
    </w:p>
    <w:p w14:paraId="36C065C4" w14:textId="77777777" w:rsidR="009F75D0" w:rsidRPr="00D43A2F" w:rsidRDefault="009F75D0" w:rsidP="009F75D0">
      <w:pPr>
        <w:pStyle w:val="Pagrindinistekstas"/>
        <w:spacing w:after="0"/>
        <w:rPr>
          <w:szCs w:val="22"/>
        </w:rPr>
      </w:pPr>
      <w:proofErr w:type="spellStart"/>
      <w:r>
        <w:rPr>
          <w:szCs w:val="22"/>
        </w:rPr>
        <w:t>Lot</w:t>
      </w:r>
      <w:proofErr w:type="spellEnd"/>
      <w:r>
        <w:rPr>
          <w:szCs w:val="22"/>
        </w:rPr>
        <w:t>: {numeris}</w:t>
      </w:r>
    </w:p>
    <w:p w14:paraId="0E0CDD28" w14:textId="77777777" w:rsidR="009F75D0" w:rsidRPr="00D43A2F" w:rsidRDefault="009F75D0" w:rsidP="009F75D0">
      <w:pPr>
        <w:pStyle w:val="BTEMEASMCA"/>
      </w:pPr>
    </w:p>
    <w:p w14:paraId="1E8D0FEA" w14:textId="77777777" w:rsidR="009F75D0" w:rsidRPr="00D43A2F" w:rsidRDefault="009F75D0" w:rsidP="009F75D0">
      <w:pPr>
        <w:pStyle w:val="BTEMEASMCA"/>
      </w:pPr>
    </w:p>
    <w:p w14:paraId="24A84952" w14:textId="77777777" w:rsidR="009F75D0" w:rsidRPr="00D43A2F" w:rsidRDefault="009F75D0" w:rsidP="009F75D0">
      <w:pPr>
        <w:pStyle w:val="PI-1labEMEASMCA"/>
      </w:pPr>
      <w:r w:rsidRPr="00D43A2F">
        <w:t>14.</w:t>
      </w:r>
      <w:r w:rsidRPr="00D43A2F">
        <w:tab/>
        <w:t>PARDAVIMO (IŠDAVIMO) TVARKA</w:t>
      </w:r>
    </w:p>
    <w:p w14:paraId="671182F0" w14:textId="77777777" w:rsidR="009F75D0" w:rsidRPr="00D43A2F" w:rsidRDefault="009F75D0" w:rsidP="009F75D0">
      <w:pPr>
        <w:pStyle w:val="BTEMEASMCA"/>
      </w:pPr>
    </w:p>
    <w:p w14:paraId="25D91B37" w14:textId="77777777" w:rsidR="009F75D0" w:rsidRPr="00D43A2F" w:rsidRDefault="009F75D0" w:rsidP="009F75D0">
      <w:pPr>
        <w:pStyle w:val="BTEMEASMCA"/>
      </w:pPr>
      <w:r w:rsidRPr="00D43A2F">
        <w:t>Receptinis vaist</w:t>
      </w:r>
      <w:r>
        <w:t>as.</w:t>
      </w:r>
    </w:p>
    <w:p w14:paraId="14F5C149" w14:textId="77777777" w:rsidR="009F75D0" w:rsidRPr="00D43A2F" w:rsidRDefault="009F75D0" w:rsidP="009F75D0">
      <w:pPr>
        <w:pStyle w:val="BTEMEASMCA"/>
      </w:pPr>
    </w:p>
    <w:p w14:paraId="3304B8C1" w14:textId="77777777" w:rsidR="009F75D0" w:rsidRPr="00D43A2F" w:rsidRDefault="009F75D0" w:rsidP="009F75D0">
      <w:pPr>
        <w:pStyle w:val="BTEMEASMCA"/>
      </w:pPr>
    </w:p>
    <w:p w14:paraId="57309689" w14:textId="77777777" w:rsidR="009F75D0" w:rsidRPr="00D43A2F" w:rsidRDefault="009F75D0" w:rsidP="009F75D0">
      <w:pPr>
        <w:pStyle w:val="PI-1labEMEASMCA"/>
      </w:pPr>
      <w:r w:rsidRPr="00D43A2F">
        <w:t>15.</w:t>
      </w:r>
      <w:r w:rsidRPr="00D43A2F">
        <w:tab/>
        <w:t>VARTOJIMO INSTRUKCIJA</w:t>
      </w:r>
    </w:p>
    <w:p w14:paraId="7E0BD81D" w14:textId="77777777" w:rsidR="009F75D0" w:rsidRPr="00D43A2F" w:rsidRDefault="009F75D0" w:rsidP="009F75D0">
      <w:pPr>
        <w:pStyle w:val="BTEMEASMCA"/>
      </w:pPr>
    </w:p>
    <w:p w14:paraId="276EC247" w14:textId="77777777" w:rsidR="009F75D0" w:rsidRPr="00D43A2F" w:rsidRDefault="009F75D0" w:rsidP="009F75D0">
      <w:pPr>
        <w:pStyle w:val="BTEMEASMCA"/>
      </w:pPr>
    </w:p>
    <w:p w14:paraId="5F1FED71" w14:textId="77777777" w:rsidR="009F75D0" w:rsidRPr="00D43A2F" w:rsidRDefault="009F75D0" w:rsidP="009F75D0">
      <w:pPr>
        <w:pStyle w:val="PI-1labEMEASMCA"/>
      </w:pPr>
      <w:r w:rsidRPr="00D43A2F">
        <w:t>16.</w:t>
      </w:r>
      <w:r w:rsidRPr="00D43A2F">
        <w:tab/>
        <w:t>INFORMACIJA BRAILIO RAŠTU</w:t>
      </w:r>
    </w:p>
    <w:p w14:paraId="66E4E51C" w14:textId="77777777" w:rsidR="009F75D0" w:rsidRPr="00D43A2F" w:rsidRDefault="009F75D0" w:rsidP="009F75D0">
      <w:pPr>
        <w:pStyle w:val="BTEMEASMCA"/>
      </w:pPr>
    </w:p>
    <w:p w14:paraId="763653F0" w14:textId="77777777" w:rsidR="009F75D0" w:rsidRPr="005A3FA9" w:rsidRDefault="009F75D0" w:rsidP="009F75D0">
      <w:pPr>
        <w:rPr>
          <w:sz w:val="22"/>
          <w:szCs w:val="22"/>
        </w:rPr>
      </w:pPr>
      <w:r w:rsidRPr="005A3FA9">
        <w:rPr>
          <w:sz w:val="22"/>
          <w:szCs w:val="22"/>
          <w:highlight w:val="lightGray"/>
        </w:rPr>
        <w:t>Priimtas</w:t>
      </w:r>
      <w:r>
        <w:rPr>
          <w:sz w:val="22"/>
          <w:szCs w:val="22"/>
          <w:highlight w:val="lightGray"/>
        </w:rPr>
        <w:t xml:space="preserve"> </w:t>
      </w:r>
      <w:r w:rsidRPr="005A3FA9">
        <w:rPr>
          <w:sz w:val="22"/>
          <w:szCs w:val="22"/>
          <w:highlight w:val="lightGray"/>
        </w:rPr>
        <w:t>pagrindimas informacijos Brailio raštu nepateikti.</w:t>
      </w:r>
    </w:p>
    <w:p w14:paraId="1D3F0631" w14:textId="77777777" w:rsidR="009F75D0" w:rsidRDefault="009F75D0" w:rsidP="009F75D0">
      <w:pPr>
        <w:pStyle w:val="BTEMEASMCA"/>
      </w:pPr>
    </w:p>
    <w:p w14:paraId="15DD3DC6" w14:textId="77777777" w:rsidR="009F75D0" w:rsidRPr="00067B16" w:rsidRDefault="009F75D0" w:rsidP="009F75D0">
      <w:pPr>
        <w:rPr>
          <w:noProof/>
          <w:szCs w:val="22"/>
          <w:shd w:val="clear" w:color="auto" w:fill="CCCCCC"/>
        </w:rPr>
      </w:pPr>
    </w:p>
    <w:p w14:paraId="6397A2B4" w14:textId="77777777" w:rsidR="009F75D0" w:rsidRPr="00685F23" w:rsidRDefault="009F75D0" w:rsidP="009F75D0">
      <w:pPr>
        <w:pStyle w:val="Sraopastraipa"/>
        <w:keepNext/>
        <w:numPr>
          <w:ilvl w:val="0"/>
          <w:numId w:val="8"/>
        </w:numPr>
        <w:pBdr>
          <w:top w:val="single" w:sz="4" w:space="1" w:color="auto"/>
          <w:left w:val="single" w:sz="4" w:space="4" w:color="auto"/>
          <w:bottom w:val="single" w:sz="4" w:space="1" w:color="auto"/>
          <w:right w:val="single" w:sz="4" w:space="4" w:color="auto"/>
        </w:pBdr>
        <w:tabs>
          <w:tab w:val="left" w:pos="567"/>
        </w:tabs>
        <w:ind w:hanging="1440"/>
        <w:outlineLvl w:val="0"/>
        <w:rPr>
          <w:i/>
          <w:noProof/>
        </w:rPr>
      </w:pPr>
      <w:r w:rsidRPr="004C2C3F">
        <w:rPr>
          <w:b/>
          <w:noProof/>
        </w:rPr>
        <w:t>UNIKALUS IDENTIFIKATORIUS – 2D BRŪKŠNINIS KODAS</w:t>
      </w:r>
    </w:p>
    <w:p w14:paraId="4B49C20F" w14:textId="77777777" w:rsidR="009F75D0" w:rsidRPr="00C937E7" w:rsidRDefault="009F75D0" w:rsidP="009F75D0">
      <w:pPr>
        <w:rPr>
          <w:noProof/>
        </w:rPr>
      </w:pPr>
    </w:p>
    <w:p w14:paraId="67A69E27" w14:textId="77777777" w:rsidR="009F75D0" w:rsidRPr="00C937E7" w:rsidRDefault="009F75D0" w:rsidP="009F75D0">
      <w:pPr>
        <w:rPr>
          <w:noProof/>
          <w:szCs w:val="22"/>
          <w:shd w:val="clear" w:color="auto" w:fill="CCCCCC"/>
        </w:rPr>
      </w:pPr>
      <w:r>
        <w:rPr>
          <w:noProof/>
          <w:highlight w:val="lightGray"/>
        </w:rPr>
        <w:t>2D brūkšninis kodas su nurodytu unikaliu identifikatoriumi.</w:t>
      </w:r>
    </w:p>
    <w:p w14:paraId="7E0E1CCD" w14:textId="77777777" w:rsidR="009F75D0" w:rsidRPr="00C937E7" w:rsidRDefault="009F75D0" w:rsidP="009F75D0">
      <w:pPr>
        <w:rPr>
          <w:noProof/>
        </w:rPr>
      </w:pPr>
    </w:p>
    <w:p w14:paraId="7E73CE1E" w14:textId="77777777" w:rsidR="009F75D0" w:rsidRPr="00C937E7" w:rsidRDefault="009F75D0" w:rsidP="009F75D0">
      <w:pPr>
        <w:rPr>
          <w:noProof/>
        </w:rPr>
      </w:pPr>
    </w:p>
    <w:p w14:paraId="3BB75999" w14:textId="77777777" w:rsidR="009F75D0" w:rsidRPr="00685F23" w:rsidRDefault="009F75D0" w:rsidP="009F75D0">
      <w:pPr>
        <w:pStyle w:val="Sraopastraipa"/>
        <w:keepNext/>
        <w:numPr>
          <w:ilvl w:val="0"/>
          <w:numId w:val="8"/>
        </w:numPr>
        <w:pBdr>
          <w:top w:val="single" w:sz="4" w:space="1" w:color="auto"/>
          <w:left w:val="single" w:sz="4" w:space="4" w:color="auto"/>
          <w:bottom w:val="single" w:sz="4" w:space="1" w:color="auto"/>
          <w:right w:val="single" w:sz="4" w:space="4" w:color="auto"/>
        </w:pBdr>
        <w:tabs>
          <w:tab w:val="left" w:pos="567"/>
        </w:tabs>
        <w:ind w:hanging="1440"/>
        <w:outlineLvl w:val="0"/>
        <w:rPr>
          <w:i/>
          <w:noProof/>
        </w:rPr>
      </w:pPr>
      <w:r w:rsidRPr="004C2C3F">
        <w:rPr>
          <w:b/>
          <w:noProof/>
        </w:rPr>
        <w:t>UNIKALUS IDENTIFIKATORIUS – ŽMONĖMS SUPRANTAMI DUOMENYS</w:t>
      </w:r>
    </w:p>
    <w:p w14:paraId="03F51070" w14:textId="77777777" w:rsidR="009F75D0" w:rsidRPr="00C937E7" w:rsidRDefault="009F75D0" w:rsidP="009F75D0">
      <w:pPr>
        <w:rPr>
          <w:noProof/>
        </w:rPr>
      </w:pPr>
    </w:p>
    <w:p w14:paraId="6B844199" w14:textId="77777777" w:rsidR="009F75D0" w:rsidRPr="00345F79" w:rsidRDefault="009F75D0" w:rsidP="009F75D0">
      <w:pPr>
        <w:rPr>
          <w:color w:val="008000"/>
          <w:szCs w:val="22"/>
        </w:rPr>
      </w:pPr>
      <w:r>
        <w:t>PC: {numeris}</w:t>
      </w:r>
    </w:p>
    <w:p w14:paraId="4BD56B2A" w14:textId="77777777" w:rsidR="009F75D0" w:rsidRPr="00C937E7" w:rsidRDefault="009F75D0" w:rsidP="009F75D0">
      <w:pPr>
        <w:rPr>
          <w:szCs w:val="22"/>
        </w:rPr>
      </w:pPr>
      <w:r>
        <w:t>SN: {numeris}</w:t>
      </w:r>
    </w:p>
    <w:p w14:paraId="557D0957" w14:textId="77777777" w:rsidR="009F75D0" w:rsidRPr="00C937E7" w:rsidRDefault="009F75D0" w:rsidP="009F75D0">
      <w:pPr>
        <w:rPr>
          <w:szCs w:val="22"/>
        </w:rPr>
      </w:pPr>
      <w:r w:rsidRPr="00957075">
        <w:rPr>
          <w:highlight w:val="lightGray"/>
        </w:rPr>
        <w:t>NN: {numeris}</w:t>
      </w:r>
    </w:p>
    <w:p w14:paraId="38DC3BB4" w14:textId="77777777" w:rsidR="009F75D0" w:rsidRPr="00D43A2F" w:rsidRDefault="009F75D0" w:rsidP="009F75D0">
      <w:pPr>
        <w:pStyle w:val="BTEMEASMCA"/>
      </w:pPr>
      <w:r w:rsidRPr="00D43A2F">
        <w:br w:type="page"/>
      </w:r>
    </w:p>
    <w:p w14:paraId="73EB2DD9" w14:textId="77777777" w:rsidR="009F75D0" w:rsidRPr="00D43A2F" w:rsidRDefault="009F75D0" w:rsidP="009F75D0">
      <w:pPr>
        <w:pStyle w:val="PI-1labEMEASMCA"/>
      </w:pPr>
      <w:r w:rsidRPr="00D43A2F">
        <w:lastRenderedPageBreak/>
        <w:t>MINIMALI INFORMACIJA ANT MAŽŲ VIDINIŲPAKUOČIŲ</w:t>
      </w:r>
    </w:p>
    <w:p w14:paraId="204AC649" w14:textId="77777777" w:rsidR="009F75D0" w:rsidRPr="00D43A2F" w:rsidRDefault="009F75D0" w:rsidP="009F75D0">
      <w:pPr>
        <w:pStyle w:val="PI-1labEMEASMCA"/>
      </w:pPr>
    </w:p>
    <w:p w14:paraId="6FA59A16" w14:textId="77777777" w:rsidR="009F75D0" w:rsidRPr="00D43A2F" w:rsidRDefault="009F75D0" w:rsidP="009F75D0">
      <w:pPr>
        <w:pStyle w:val="PI-1labEMEASMCA"/>
      </w:pPr>
      <w:r w:rsidRPr="00D43A2F">
        <w:t>MILTELIŲ AMPULĖ</w:t>
      </w:r>
    </w:p>
    <w:p w14:paraId="3F152757" w14:textId="77777777" w:rsidR="009F75D0" w:rsidRPr="00D43A2F" w:rsidRDefault="009F75D0" w:rsidP="009F75D0">
      <w:pPr>
        <w:pStyle w:val="BTEMEASMCA"/>
      </w:pPr>
    </w:p>
    <w:p w14:paraId="29931D6F" w14:textId="77777777" w:rsidR="009F75D0" w:rsidRPr="00D43A2F" w:rsidRDefault="009F75D0" w:rsidP="009F75D0">
      <w:pPr>
        <w:pStyle w:val="BTEMEASMCA"/>
      </w:pPr>
    </w:p>
    <w:p w14:paraId="0BDCE339" w14:textId="77777777" w:rsidR="009F75D0" w:rsidRPr="00D43A2F" w:rsidRDefault="009F75D0" w:rsidP="009F75D0">
      <w:pPr>
        <w:pStyle w:val="PI-1labEMEASMCA"/>
      </w:pPr>
      <w:r w:rsidRPr="00D43A2F">
        <w:t>1.</w:t>
      </w:r>
      <w:r w:rsidRPr="00D43A2F">
        <w:tab/>
        <w:t>VAISTINIO PREPARATO PAVADINIMAS IR VARTOJIMO BŪDAS (-AI)</w:t>
      </w:r>
    </w:p>
    <w:p w14:paraId="3405C884" w14:textId="77777777" w:rsidR="009F75D0" w:rsidRPr="00D43A2F" w:rsidRDefault="009F75D0" w:rsidP="009F75D0">
      <w:pPr>
        <w:pStyle w:val="BTEMEASMCA"/>
      </w:pPr>
    </w:p>
    <w:p w14:paraId="5CEA3C61" w14:textId="77777777" w:rsidR="009F75D0" w:rsidRPr="00D43A2F" w:rsidRDefault="009F75D0" w:rsidP="009F75D0">
      <w:pPr>
        <w:pStyle w:val="Pagrindinistekstas"/>
        <w:spacing w:after="0"/>
        <w:rPr>
          <w:szCs w:val="22"/>
        </w:rPr>
      </w:pPr>
      <w:r w:rsidRPr="00D43A2F">
        <w:rPr>
          <w:szCs w:val="22"/>
        </w:rPr>
        <w:t>METHYLPREDNISOLONE SOPHARMA 250 mg milteliai injekciniam</w:t>
      </w:r>
      <w:r>
        <w:rPr>
          <w:szCs w:val="22"/>
        </w:rPr>
        <w:t xml:space="preserve"> ar </w:t>
      </w:r>
      <w:r w:rsidRPr="00D43A2F">
        <w:rPr>
          <w:szCs w:val="22"/>
        </w:rPr>
        <w:t>infuziniam tirpalui</w:t>
      </w:r>
    </w:p>
    <w:p w14:paraId="211B3992" w14:textId="77777777" w:rsidR="009F75D0" w:rsidRPr="00D43A2F" w:rsidRDefault="009F75D0" w:rsidP="009F75D0">
      <w:pPr>
        <w:rPr>
          <w:sz w:val="22"/>
          <w:szCs w:val="22"/>
        </w:rPr>
      </w:pPr>
      <w:proofErr w:type="spellStart"/>
      <w:r w:rsidRPr="00D43A2F">
        <w:rPr>
          <w:sz w:val="22"/>
          <w:szCs w:val="22"/>
        </w:rPr>
        <w:t>Metilprednizolonas</w:t>
      </w:r>
      <w:proofErr w:type="spellEnd"/>
    </w:p>
    <w:p w14:paraId="2C7C51D5" w14:textId="77777777" w:rsidR="009F75D0" w:rsidRPr="00D43A2F" w:rsidRDefault="009F75D0" w:rsidP="009F75D0">
      <w:pPr>
        <w:pStyle w:val="BTEMEASMCA"/>
      </w:pPr>
    </w:p>
    <w:p w14:paraId="385C3045" w14:textId="77777777" w:rsidR="009F75D0" w:rsidRPr="00D43A2F" w:rsidRDefault="009F75D0" w:rsidP="009F75D0">
      <w:pPr>
        <w:rPr>
          <w:bCs/>
          <w:sz w:val="22"/>
          <w:szCs w:val="22"/>
        </w:rPr>
      </w:pPr>
      <w:proofErr w:type="spellStart"/>
      <w:r>
        <w:rPr>
          <w:sz w:val="22"/>
          <w:szCs w:val="22"/>
        </w:rPr>
        <w:t>i.m</w:t>
      </w:r>
      <w:proofErr w:type="spellEnd"/>
      <w:r>
        <w:rPr>
          <w:sz w:val="22"/>
          <w:szCs w:val="22"/>
        </w:rPr>
        <w:t xml:space="preserve">., </w:t>
      </w:r>
      <w:proofErr w:type="spellStart"/>
      <w:r>
        <w:rPr>
          <w:sz w:val="22"/>
          <w:szCs w:val="22"/>
        </w:rPr>
        <w:t>i.v</w:t>
      </w:r>
      <w:proofErr w:type="spellEnd"/>
      <w:r w:rsidRPr="00D43A2F">
        <w:rPr>
          <w:sz w:val="22"/>
          <w:szCs w:val="22"/>
        </w:rPr>
        <w:t>.</w:t>
      </w:r>
    </w:p>
    <w:p w14:paraId="43B4A361" w14:textId="77777777" w:rsidR="009F75D0" w:rsidRPr="00D43A2F" w:rsidRDefault="009F75D0" w:rsidP="009F75D0">
      <w:pPr>
        <w:pStyle w:val="BTEMEASMCA"/>
      </w:pPr>
    </w:p>
    <w:p w14:paraId="03EC91B0" w14:textId="77777777" w:rsidR="009F75D0" w:rsidRPr="00D43A2F" w:rsidRDefault="009F75D0" w:rsidP="009F75D0">
      <w:pPr>
        <w:pStyle w:val="BTEMEASMCA"/>
      </w:pPr>
    </w:p>
    <w:p w14:paraId="259DD16D" w14:textId="77777777" w:rsidR="009F75D0" w:rsidRPr="00D43A2F" w:rsidRDefault="009F75D0" w:rsidP="009F75D0">
      <w:pPr>
        <w:pStyle w:val="PI-1labEMEASMCA"/>
      </w:pPr>
      <w:r w:rsidRPr="00D43A2F">
        <w:t>2.</w:t>
      </w:r>
      <w:r w:rsidRPr="00D43A2F">
        <w:tab/>
        <w:t>VARTOJIMO METODAS</w:t>
      </w:r>
    </w:p>
    <w:p w14:paraId="3277F6D3" w14:textId="77777777" w:rsidR="009F75D0" w:rsidRPr="00D43A2F" w:rsidRDefault="009F75D0" w:rsidP="009F75D0">
      <w:pPr>
        <w:pStyle w:val="BTEMEASMCA"/>
      </w:pPr>
    </w:p>
    <w:p w14:paraId="3F44C748" w14:textId="77777777" w:rsidR="009F75D0" w:rsidRPr="00D43A2F" w:rsidRDefault="009F75D0" w:rsidP="009F75D0">
      <w:pPr>
        <w:pStyle w:val="BTEMEASMCA"/>
      </w:pPr>
    </w:p>
    <w:p w14:paraId="4C9DEBB3" w14:textId="77777777" w:rsidR="009F75D0" w:rsidRPr="00D43A2F" w:rsidRDefault="009F75D0" w:rsidP="009F75D0">
      <w:pPr>
        <w:pStyle w:val="PI-1labEMEASMCA"/>
      </w:pPr>
      <w:r w:rsidRPr="00D43A2F">
        <w:t>3.</w:t>
      </w:r>
      <w:r w:rsidRPr="00D43A2F">
        <w:tab/>
        <w:t>TINKAMUMO LAIKAS</w:t>
      </w:r>
    </w:p>
    <w:p w14:paraId="616803FF" w14:textId="77777777" w:rsidR="009F75D0" w:rsidRPr="00D43A2F" w:rsidRDefault="009F75D0" w:rsidP="009F75D0">
      <w:pPr>
        <w:pStyle w:val="BTEMEASMCA"/>
      </w:pPr>
    </w:p>
    <w:p w14:paraId="6E6E42E6" w14:textId="77777777" w:rsidR="009F75D0" w:rsidRDefault="009F75D0" w:rsidP="009F75D0">
      <w:pPr>
        <w:pStyle w:val="Pagrindinistekstas"/>
        <w:spacing w:after="0"/>
        <w:rPr>
          <w:szCs w:val="22"/>
        </w:rPr>
      </w:pPr>
      <w:r>
        <w:rPr>
          <w:szCs w:val="22"/>
        </w:rPr>
        <w:t>EXP {mm/MMMM}</w:t>
      </w:r>
    </w:p>
    <w:p w14:paraId="170955A9" w14:textId="77777777" w:rsidR="009F75D0" w:rsidRPr="00D43A2F" w:rsidRDefault="009F75D0" w:rsidP="009F75D0">
      <w:pPr>
        <w:pStyle w:val="BTEMEASMCA"/>
      </w:pPr>
    </w:p>
    <w:p w14:paraId="5C2801A5" w14:textId="77777777" w:rsidR="009F75D0" w:rsidRPr="00D43A2F" w:rsidRDefault="009F75D0" w:rsidP="009F75D0">
      <w:pPr>
        <w:pStyle w:val="BTEMEASMCA"/>
      </w:pPr>
    </w:p>
    <w:p w14:paraId="05D3FB33" w14:textId="77777777" w:rsidR="009F75D0" w:rsidRPr="00D43A2F" w:rsidRDefault="009F75D0" w:rsidP="009F75D0">
      <w:pPr>
        <w:pStyle w:val="PI-1labEMEASMCA"/>
        <w:rPr>
          <w:highlight w:val="lightGray"/>
        </w:rPr>
      </w:pPr>
      <w:r w:rsidRPr="00D43A2F">
        <w:t>4.</w:t>
      </w:r>
      <w:r w:rsidRPr="00D43A2F">
        <w:tab/>
        <w:t>SERIJOS NUMERIS</w:t>
      </w:r>
    </w:p>
    <w:p w14:paraId="3058885A" w14:textId="77777777" w:rsidR="009F75D0" w:rsidRPr="00D43A2F" w:rsidRDefault="009F75D0" w:rsidP="009F75D0">
      <w:pPr>
        <w:pStyle w:val="BTEMEASMCA"/>
      </w:pPr>
    </w:p>
    <w:p w14:paraId="4F73C0B5" w14:textId="77777777" w:rsidR="009F75D0" w:rsidRPr="00D43A2F" w:rsidRDefault="009F75D0" w:rsidP="009F75D0">
      <w:pPr>
        <w:pStyle w:val="Pagrindinistekstas"/>
        <w:spacing w:after="0"/>
        <w:rPr>
          <w:szCs w:val="22"/>
        </w:rPr>
      </w:pPr>
      <w:proofErr w:type="spellStart"/>
      <w:r>
        <w:rPr>
          <w:szCs w:val="22"/>
        </w:rPr>
        <w:t>Lot</w:t>
      </w:r>
      <w:proofErr w:type="spellEnd"/>
      <w:r>
        <w:rPr>
          <w:szCs w:val="22"/>
        </w:rPr>
        <w:t xml:space="preserve"> {numeris}</w:t>
      </w:r>
    </w:p>
    <w:p w14:paraId="26B4BBB1" w14:textId="77777777" w:rsidR="009F75D0" w:rsidRPr="00D43A2F" w:rsidRDefault="009F75D0" w:rsidP="009F75D0">
      <w:pPr>
        <w:pStyle w:val="Pagrindinistekstas"/>
        <w:spacing w:after="0"/>
        <w:rPr>
          <w:szCs w:val="22"/>
        </w:rPr>
      </w:pPr>
    </w:p>
    <w:p w14:paraId="7E914A44" w14:textId="77777777" w:rsidR="009F75D0" w:rsidRPr="00D43A2F" w:rsidRDefault="009F75D0" w:rsidP="009F75D0">
      <w:pPr>
        <w:pStyle w:val="BTEMEASMCA"/>
      </w:pPr>
    </w:p>
    <w:p w14:paraId="26DB1228" w14:textId="77777777" w:rsidR="009F75D0" w:rsidRPr="00D43A2F" w:rsidRDefault="009F75D0" w:rsidP="009F75D0">
      <w:pPr>
        <w:pStyle w:val="PI-1labEMEASMCA"/>
        <w:rPr>
          <w:highlight w:val="lightGray"/>
        </w:rPr>
      </w:pPr>
      <w:r w:rsidRPr="00D43A2F">
        <w:t>5.</w:t>
      </w:r>
      <w:r w:rsidRPr="00D43A2F">
        <w:tab/>
        <w:t>KIEKIS (MASĖ, TŪRIS ARBA VIENETAI)</w:t>
      </w:r>
    </w:p>
    <w:p w14:paraId="3D546152" w14:textId="77777777" w:rsidR="009F75D0" w:rsidRPr="00D43A2F" w:rsidRDefault="009F75D0" w:rsidP="009F75D0">
      <w:pPr>
        <w:pStyle w:val="BTEMEASMCA"/>
      </w:pPr>
    </w:p>
    <w:p w14:paraId="692669FE" w14:textId="77777777" w:rsidR="009F75D0" w:rsidRPr="00D43A2F" w:rsidRDefault="009F75D0" w:rsidP="009F75D0">
      <w:pPr>
        <w:rPr>
          <w:sz w:val="22"/>
          <w:szCs w:val="22"/>
        </w:rPr>
      </w:pPr>
      <w:r w:rsidRPr="00D43A2F">
        <w:rPr>
          <w:sz w:val="22"/>
          <w:szCs w:val="22"/>
        </w:rPr>
        <w:t>250 mg</w:t>
      </w:r>
    </w:p>
    <w:p w14:paraId="01BD2200" w14:textId="77777777" w:rsidR="009F75D0" w:rsidRPr="00D43A2F" w:rsidRDefault="009F75D0" w:rsidP="009F75D0">
      <w:pPr>
        <w:pStyle w:val="BTEMEASMCA"/>
      </w:pPr>
    </w:p>
    <w:p w14:paraId="4FCDFC9E" w14:textId="77777777" w:rsidR="009F75D0" w:rsidRPr="00D43A2F" w:rsidRDefault="009F75D0" w:rsidP="009F75D0">
      <w:pPr>
        <w:pStyle w:val="BTEMEASMCA"/>
      </w:pPr>
    </w:p>
    <w:p w14:paraId="2C611018" w14:textId="77777777" w:rsidR="009F75D0" w:rsidRPr="00D43A2F" w:rsidRDefault="009F75D0" w:rsidP="009F75D0">
      <w:pPr>
        <w:pStyle w:val="PI-1labEMEASMCA"/>
        <w:rPr>
          <w:highlight w:val="lightGray"/>
        </w:rPr>
      </w:pPr>
      <w:r w:rsidRPr="00D43A2F">
        <w:t>6.</w:t>
      </w:r>
      <w:r w:rsidRPr="00D43A2F">
        <w:tab/>
        <w:t>KITA</w:t>
      </w:r>
    </w:p>
    <w:p w14:paraId="22B33945" w14:textId="77777777" w:rsidR="009F75D0" w:rsidRPr="00D43A2F" w:rsidRDefault="009F75D0" w:rsidP="009F75D0">
      <w:pPr>
        <w:pStyle w:val="BTEMEASMCA"/>
      </w:pPr>
    </w:p>
    <w:p w14:paraId="50A8C9A8" w14:textId="77777777" w:rsidR="009F75D0" w:rsidRPr="00D43A2F" w:rsidRDefault="009F75D0" w:rsidP="009F75D0">
      <w:pPr>
        <w:pStyle w:val="BTEMEASMCA"/>
      </w:pPr>
      <w:r w:rsidRPr="00D43A2F">
        <w:rPr>
          <w:highlight w:val="lightGray"/>
        </w:rPr>
        <w:t>{</w:t>
      </w:r>
      <w:proofErr w:type="spellStart"/>
      <w:r w:rsidRPr="00D43A2F">
        <w:rPr>
          <w:highlight w:val="lightGray"/>
        </w:rPr>
        <w:t>Sopharma</w:t>
      </w:r>
      <w:proofErr w:type="spellEnd"/>
      <w:r>
        <w:rPr>
          <w:highlight w:val="lightGray"/>
        </w:rPr>
        <w:t xml:space="preserve"> </w:t>
      </w:r>
      <w:proofErr w:type="spellStart"/>
      <w:r w:rsidRPr="00D43A2F">
        <w:rPr>
          <w:highlight w:val="lightGray"/>
        </w:rPr>
        <w:t>logo</w:t>
      </w:r>
      <w:proofErr w:type="spellEnd"/>
      <w:r w:rsidRPr="00D43A2F">
        <w:rPr>
          <w:highlight w:val="lightGray"/>
        </w:rPr>
        <w:t>}</w:t>
      </w:r>
      <w:r w:rsidRPr="00D43A2F">
        <w:br w:type="page"/>
      </w:r>
    </w:p>
    <w:p w14:paraId="764D17B5" w14:textId="77777777" w:rsidR="009F75D0" w:rsidRPr="00D43A2F" w:rsidRDefault="009F75D0" w:rsidP="009F75D0">
      <w:pPr>
        <w:pStyle w:val="PI-1labEMEASMCA"/>
      </w:pPr>
      <w:r w:rsidRPr="00D43A2F">
        <w:lastRenderedPageBreak/>
        <w:t>MINIMALI INFORMACIJA ANT MAŽŲ VIDINIŲPAKUOČIŲ</w:t>
      </w:r>
    </w:p>
    <w:p w14:paraId="06936741" w14:textId="77777777" w:rsidR="009F75D0" w:rsidRPr="00D43A2F" w:rsidRDefault="009F75D0" w:rsidP="009F75D0">
      <w:pPr>
        <w:pStyle w:val="PI-1labEMEASMCA"/>
      </w:pPr>
    </w:p>
    <w:p w14:paraId="5FECDCB0" w14:textId="77777777" w:rsidR="009F75D0" w:rsidRPr="00D43A2F" w:rsidRDefault="009F75D0" w:rsidP="009F75D0">
      <w:pPr>
        <w:pStyle w:val="PI-1labEMEASMCA"/>
      </w:pPr>
      <w:r w:rsidRPr="00D43A2F">
        <w:t>TIRPIKLIO AMPULĖ</w:t>
      </w:r>
    </w:p>
    <w:p w14:paraId="1CDB2EFF" w14:textId="77777777" w:rsidR="009F75D0" w:rsidRPr="00D43A2F" w:rsidRDefault="009F75D0" w:rsidP="009F75D0">
      <w:pPr>
        <w:pStyle w:val="BTEMEASMCA"/>
      </w:pPr>
    </w:p>
    <w:p w14:paraId="1FA6A50F" w14:textId="77777777" w:rsidR="009F75D0" w:rsidRPr="00D43A2F" w:rsidRDefault="009F75D0" w:rsidP="009F75D0">
      <w:pPr>
        <w:pStyle w:val="BTEMEASMCA"/>
      </w:pPr>
    </w:p>
    <w:p w14:paraId="571701AC" w14:textId="77777777" w:rsidR="009F75D0" w:rsidRPr="00D43A2F" w:rsidRDefault="009F75D0" w:rsidP="009F75D0">
      <w:pPr>
        <w:pStyle w:val="PI-1labEMEASMCA"/>
      </w:pPr>
      <w:r w:rsidRPr="00D43A2F">
        <w:t>1.</w:t>
      </w:r>
      <w:r w:rsidRPr="00D43A2F">
        <w:tab/>
        <w:t>VAISTINIO PREPARATO PAVADINIMAS IR VARTOJIMO BŪDAS (-AI)</w:t>
      </w:r>
    </w:p>
    <w:p w14:paraId="28A7F96E" w14:textId="77777777" w:rsidR="009F75D0" w:rsidRPr="00D43A2F" w:rsidRDefault="009F75D0" w:rsidP="009F75D0">
      <w:pPr>
        <w:pStyle w:val="BTEMEASMCA"/>
      </w:pPr>
    </w:p>
    <w:p w14:paraId="4F18B18C" w14:textId="77777777" w:rsidR="009F75D0" w:rsidRPr="00D43A2F" w:rsidRDefault="009F75D0" w:rsidP="009F75D0">
      <w:pPr>
        <w:pStyle w:val="Pagrindinistekstas"/>
        <w:spacing w:after="0"/>
        <w:rPr>
          <w:szCs w:val="22"/>
        </w:rPr>
      </w:pPr>
      <w:r w:rsidRPr="00D43A2F">
        <w:rPr>
          <w:szCs w:val="22"/>
        </w:rPr>
        <w:t xml:space="preserve">METHYLPREDNISOLONE SOPHARMA 250 mg tirpiklis </w:t>
      </w:r>
      <w:proofErr w:type="spellStart"/>
      <w:r w:rsidRPr="00D43A2F">
        <w:rPr>
          <w:szCs w:val="22"/>
        </w:rPr>
        <w:t>parenteriniam</w:t>
      </w:r>
      <w:proofErr w:type="spellEnd"/>
      <w:r w:rsidRPr="00D43A2F">
        <w:rPr>
          <w:szCs w:val="22"/>
        </w:rPr>
        <w:t xml:space="preserve"> vartojimui</w:t>
      </w:r>
    </w:p>
    <w:p w14:paraId="016037BB" w14:textId="77777777" w:rsidR="009F75D0" w:rsidRPr="00D43A2F" w:rsidRDefault="009F75D0" w:rsidP="009F75D0">
      <w:pPr>
        <w:rPr>
          <w:sz w:val="22"/>
          <w:szCs w:val="22"/>
        </w:rPr>
      </w:pPr>
      <w:r w:rsidRPr="00D43A2F">
        <w:rPr>
          <w:sz w:val="22"/>
          <w:szCs w:val="22"/>
        </w:rPr>
        <w:t>Injekcinis vanduo</w:t>
      </w:r>
    </w:p>
    <w:p w14:paraId="6346BBAD" w14:textId="77777777" w:rsidR="009F75D0" w:rsidRPr="00D43A2F" w:rsidRDefault="009F75D0" w:rsidP="009F75D0">
      <w:pPr>
        <w:rPr>
          <w:bCs/>
          <w:sz w:val="22"/>
          <w:szCs w:val="22"/>
        </w:rPr>
      </w:pPr>
      <w:r w:rsidRPr="00D43A2F">
        <w:rPr>
          <w:sz w:val="22"/>
          <w:szCs w:val="22"/>
        </w:rPr>
        <w:t>Milteliams ištirpinti</w:t>
      </w:r>
    </w:p>
    <w:p w14:paraId="2B9AC546" w14:textId="77777777" w:rsidR="009F75D0" w:rsidRPr="00D43A2F" w:rsidRDefault="009F75D0" w:rsidP="009F75D0">
      <w:pPr>
        <w:pStyle w:val="BTEMEASMCA"/>
      </w:pPr>
    </w:p>
    <w:p w14:paraId="6B8EE32C" w14:textId="77777777" w:rsidR="009F75D0" w:rsidRPr="00D43A2F" w:rsidRDefault="009F75D0" w:rsidP="009F75D0">
      <w:pPr>
        <w:pStyle w:val="BTEMEASMCA"/>
      </w:pPr>
    </w:p>
    <w:p w14:paraId="63ADF988" w14:textId="77777777" w:rsidR="009F75D0" w:rsidRPr="00D43A2F" w:rsidRDefault="009F75D0" w:rsidP="009F75D0">
      <w:pPr>
        <w:pStyle w:val="PI-1labEMEASMCA"/>
      </w:pPr>
      <w:r w:rsidRPr="00D43A2F">
        <w:t>2.</w:t>
      </w:r>
      <w:r w:rsidRPr="00D43A2F">
        <w:tab/>
        <w:t>VARTOJIMO METODAS</w:t>
      </w:r>
    </w:p>
    <w:p w14:paraId="244ABBA3" w14:textId="77777777" w:rsidR="009F75D0" w:rsidRPr="00D43A2F" w:rsidRDefault="009F75D0" w:rsidP="009F75D0">
      <w:pPr>
        <w:pStyle w:val="BTEMEASMCA"/>
      </w:pPr>
    </w:p>
    <w:p w14:paraId="620D1EE6" w14:textId="77777777" w:rsidR="009F75D0" w:rsidRPr="00D43A2F" w:rsidRDefault="009F75D0" w:rsidP="009F75D0">
      <w:pPr>
        <w:pStyle w:val="BTEMEASMCA"/>
      </w:pPr>
    </w:p>
    <w:p w14:paraId="2C6750B9" w14:textId="77777777" w:rsidR="009F75D0" w:rsidRPr="00D43A2F" w:rsidRDefault="009F75D0" w:rsidP="009F75D0">
      <w:pPr>
        <w:pStyle w:val="PI-1labEMEASMCA"/>
      </w:pPr>
      <w:r w:rsidRPr="00D43A2F">
        <w:t>3.</w:t>
      </w:r>
      <w:r w:rsidRPr="00D43A2F">
        <w:tab/>
        <w:t>TINKAMUMO LAIKAS</w:t>
      </w:r>
    </w:p>
    <w:p w14:paraId="129083A7" w14:textId="77777777" w:rsidR="009F75D0" w:rsidRPr="00D43A2F" w:rsidRDefault="009F75D0" w:rsidP="009F75D0">
      <w:pPr>
        <w:pStyle w:val="BTEMEASMCA"/>
      </w:pPr>
    </w:p>
    <w:p w14:paraId="4D176B38" w14:textId="77777777" w:rsidR="009F75D0" w:rsidRDefault="009F75D0" w:rsidP="009F75D0">
      <w:pPr>
        <w:pStyle w:val="Pagrindinistekstas"/>
        <w:spacing w:after="0"/>
        <w:rPr>
          <w:szCs w:val="22"/>
        </w:rPr>
      </w:pPr>
      <w:r>
        <w:rPr>
          <w:szCs w:val="22"/>
        </w:rPr>
        <w:t>EXP {mm/MMMM}</w:t>
      </w:r>
    </w:p>
    <w:p w14:paraId="16791D1C" w14:textId="77777777" w:rsidR="009F75D0" w:rsidRPr="00D43A2F" w:rsidRDefault="009F75D0" w:rsidP="009F75D0">
      <w:pPr>
        <w:pStyle w:val="BTEMEASMCA"/>
      </w:pPr>
    </w:p>
    <w:p w14:paraId="3F5E85E0" w14:textId="77777777" w:rsidR="009F75D0" w:rsidRPr="00D43A2F" w:rsidRDefault="009F75D0" w:rsidP="009F75D0">
      <w:pPr>
        <w:pStyle w:val="BTEMEASMCA"/>
      </w:pPr>
    </w:p>
    <w:p w14:paraId="2842BFE3" w14:textId="77777777" w:rsidR="009F75D0" w:rsidRPr="00D43A2F" w:rsidRDefault="009F75D0" w:rsidP="009F75D0">
      <w:pPr>
        <w:pStyle w:val="PI-1labEMEASMCA"/>
        <w:rPr>
          <w:highlight w:val="lightGray"/>
        </w:rPr>
      </w:pPr>
      <w:r w:rsidRPr="00D43A2F">
        <w:t>4.</w:t>
      </w:r>
      <w:r w:rsidRPr="00D43A2F">
        <w:tab/>
        <w:t>SERIJOS NUMERIS</w:t>
      </w:r>
    </w:p>
    <w:p w14:paraId="23C83551" w14:textId="77777777" w:rsidR="009F75D0" w:rsidRPr="00D43A2F" w:rsidRDefault="009F75D0" w:rsidP="009F75D0">
      <w:pPr>
        <w:pStyle w:val="BTEMEASMCA"/>
      </w:pPr>
    </w:p>
    <w:p w14:paraId="52B233B3" w14:textId="77777777" w:rsidR="009F75D0" w:rsidRPr="00D43A2F" w:rsidRDefault="009F75D0" w:rsidP="009F75D0">
      <w:pPr>
        <w:pStyle w:val="Pagrindinistekstas"/>
        <w:spacing w:after="0"/>
        <w:rPr>
          <w:szCs w:val="22"/>
        </w:rPr>
      </w:pPr>
      <w:proofErr w:type="spellStart"/>
      <w:r>
        <w:rPr>
          <w:szCs w:val="22"/>
        </w:rPr>
        <w:t>Lot</w:t>
      </w:r>
      <w:proofErr w:type="spellEnd"/>
      <w:r w:rsidRPr="00D43A2F">
        <w:rPr>
          <w:szCs w:val="22"/>
        </w:rPr>
        <w:t xml:space="preserve"> </w:t>
      </w:r>
      <w:r>
        <w:rPr>
          <w:szCs w:val="22"/>
        </w:rPr>
        <w:t>{numeris}</w:t>
      </w:r>
    </w:p>
    <w:p w14:paraId="19763A9D" w14:textId="77777777" w:rsidR="009F75D0" w:rsidRPr="00D43A2F" w:rsidRDefault="009F75D0" w:rsidP="009F75D0">
      <w:pPr>
        <w:pStyle w:val="Pagrindinistekstas"/>
        <w:spacing w:after="0"/>
        <w:rPr>
          <w:szCs w:val="22"/>
        </w:rPr>
      </w:pPr>
    </w:p>
    <w:p w14:paraId="67B351AE" w14:textId="77777777" w:rsidR="009F75D0" w:rsidRPr="00D43A2F" w:rsidRDefault="009F75D0" w:rsidP="009F75D0">
      <w:pPr>
        <w:pStyle w:val="BTEMEASMCA"/>
      </w:pPr>
    </w:p>
    <w:p w14:paraId="65516656" w14:textId="77777777" w:rsidR="009F75D0" w:rsidRPr="00D43A2F" w:rsidRDefault="009F75D0" w:rsidP="009F75D0">
      <w:pPr>
        <w:pStyle w:val="PI-1labEMEASMCA"/>
        <w:rPr>
          <w:highlight w:val="lightGray"/>
        </w:rPr>
      </w:pPr>
      <w:r w:rsidRPr="00D43A2F">
        <w:t>5.</w:t>
      </w:r>
      <w:r w:rsidRPr="00D43A2F">
        <w:tab/>
        <w:t>KIEKIS (MASĖ, TŪRIS ARBA VIENETAI)</w:t>
      </w:r>
    </w:p>
    <w:p w14:paraId="7ECFE12E" w14:textId="77777777" w:rsidR="009F75D0" w:rsidRPr="00D43A2F" w:rsidRDefault="009F75D0" w:rsidP="009F75D0">
      <w:pPr>
        <w:pStyle w:val="BTEMEASMCA"/>
      </w:pPr>
    </w:p>
    <w:p w14:paraId="07FEB027" w14:textId="77777777" w:rsidR="009F75D0" w:rsidRPr="00D43A2F" w:rsidRDefault="009F75D0" w:rsidP="009F75D0">
      <w:pPr>
        <w:rPr>
          <w:sz w:val="22"/>
          <w:szCs w:val="22"/>
        </w:rPr>
      </w:pPr>
      <w:r w:rsidRPr="00D43A2F">
        <w:rPr>
          <w:sz w:val="22"/>
          <w:szCs w:val="22"/>
        </w:rPr>
        <w:t>5 ml</w:t>
      </w:r>
    </w:p>
    <w:p w14:paraId="50B8872F" w14:textId="77777777" w:rsidR="009F75D0" w:rsidRPr="00D43A2F" w:rsidRDefault="009F75D0" w:rsidP="009F75D0">
      <w:pPr>
        <w:pStyle w:val="BTEMEASMCA"/>
      </w:pPr>
    </w:p>
    <w:p w14:paraId="5226E6B2" w14:textId="77777777" w:rsidR="009F75D0" w:rsidRPr="00D43A2F" w:rsidRDefault="009F75D0" w:rsidP="009F75D0">
      <w:pPr>
        <w:pStyle w:val="BTEMEASMCA"/>
      </w:pPr>
    </w:p>
    <w:p w14:paraId="396D2596" w14:textId="77777777" w:rsidR="009F75D0" w:rsidRPr="00D43A2F" w:rsidRDefault="009F75D0" w:rsidP="009F75D0">
      <w:pPr>
        <w:pStyle w:val="PI-1labEMEASMCA"/>
        <w:rPr>
          <w:highlight w:val="lightGray"/>
        </w:rPr>
      </w:pPr>
      <w:r w:rsidRPr="00D43A2F">
        <w:t>6.</w:t>
      </w:r>
      <w:r w:rsidRPr="00D43A2F">
        <w:tab/>
        <w:t>KITA</w:t>
      </w:r>
    </w:p>
    <w:p w14:paraId="2B47CD0D" w14:textId="77777777" w:rsidR="009F75D0" w:rsidRPr="00D43A2F" w:rsidRDefault="009F75D0" w:rsidP="009F75D0">
      <w:pPr>
        <w:pStyle w:val="BTEMEASMCA"/>
      </w:pPr>
    </w:p>
    <w:p w14:paraId="7C92323A" w14:textId="77777777" w:rsidR="009F75D0" w:rsidRPr="00D43A2F" w:rsidRDefault="009F75D0" w:rsidP="009F75D0">
      <w:pPr>
        <w:pStyle w:val="BTEMEASMCA"/>
      </w:pPr>
      <w:r w:rsidRPr="00D43A2F">
        <w:rPr>
          <w:highlight w:val="lightGray"/>
        </w:rPr>
        <w:t>{</w:t>
      </w:r>
      <w:proofErr w:type="spellStart"/>
      <w:r w:rsidRPr="00D43A2F">
        <w:rPr>
          <w:highlight w:val="lightGray"/>
        </w:rPr>
        <w:t>Sopharma</w:t>
      </w:r>
      <w:proofErr w:type="spellEnd"/>
      <w:r>
        <w:rPr>
          <w:highlight w:val="lightGray"/>
        </w:rPr>
        <w:t xml:space="preserve"> </w:t>
      </w:r>
      <w:proofErr w:type="spellStart"/>
      <w:r w:rsidRPr="00D43A2F">
        <w:rPr>
          <w:highlight w:val="lightGray"/>
        </w:rPr>
        <w:t>logo</w:t>
      </w:r>
      <w:proofErr w:type="spellEnd"/>
      <w:r w:rsidRPr="00D43A2F">
        <w:rPr>
          <w:highlight w:val="lightGray"/>
        </w:rPr>
        <w:t>}</w:t>
      </w:r>
    </w:p>
    <w:p w14:paraId="0F9DD85B" w14:textId="77777777" w:rsidR="009F75D0" w:rsidRPr="00D43A2F" w:rsidRDefault="009F75D0" w:rsidP="009F75D0">
      <w:pPr>
        <w:pStyle w:val="BTEMEASMCA"/>
      </w:pPr>
    </w:p>
    <w:p w14:paraId="3581C325" w14:textId="77777777" w:rsidR="009F75D0" w:rsidRPr="00D43A2F" w:rsidRDefault="009F75D0" w:rsidP="009F75D0">
      <w:pPr>
        <w:pStyle w:val="BTEMEASMCA"/>
      </w:pPr>
    </w:p>
    <w:p w14:paraId="4E284319" w14:textId="77777777" w:rsidR="009F75D0" w:rsidRPr="00D43A2F" w:rsidRDefault="009F75D0" w:rsidP="009F75D0">
      <w:pPr>
        <w:pStyle w:val="BTEMEASMCA"/>
      </w:pPr>
    </w:p>
    <w:p w14:paraId="79A2FC0E" w14:textId="77777777" w:rsidR="009F75D0" w:rsidRPr="00D43A2F" w:rsidRDefault="009F75D0" w:rsidP="009F75D0">
      <w:pPr>
        <w:pStyle w:val="BTEMEASMCA"/>
      </w:pPr>
    </w:p>
    <w:p w14:paraId="7CACAD74" w14:textId="77777777" w:rsidR="009F75D0" w:rsidRPr="00D43A2F" w:rsidRDefault="009F75D0" w:rsidP="009F75D0">
      <w:pPr>
        <w:pStyle w:val="BTEMEASMCA"/>
      </w:pPr>
    </w:p>
    <w:p w14:paraId="07872B76" w14:textId="77777777" w:rsidR="009F75D0" w:rsidRPr="00D43A2F" w:rsidRDefault="009F75D0" w:rsidP="009F75D0">
      <w:pPr>
        <w:pStyle w:val="BTEMEASMCA"/>
      </w:pPr>
    </w:p>
    <w:p w14:paraId="679B0C21" w14:textId="77777777" w:rsidR="009F75D0" w:rsidRPr="00D43A2F" w:rsidRDefault="009F75D0" w:rsidP="009F75D0">
      <w:pPr>
        <w:pStyle w:val="BTEMEASMCA"/>
      </w:pPr>
    </w:p>
    <w:p w14:paraId="422D4C05" w14:textId="77777777" w:rsidR="009F75D0" w:rsidRPr="00D43A2F" w:rsidRDefault="009F75D0" w:rsidP="009F75D0">
      <w:pPr>
        <w:pStyle w:val="BTEMEASMCA"/>
      </w:pPr>
    </w:p>
    <w:p w14:paraId="5ECA2339" w14:textId="77777777" w:rsidR="009F75D0" w:rsidRPr="00D43A2F" w:rsidRDefault="009F75D0" w:rsidP="009F75D0">
      <w:pPr>
        <w:pStyle w:val="BTEMEASMCA"/>
      </w:pPr>
    </w:p>
    <w:p w14:paraId="0BB61F85" w14:textId="77777777" w:rsidR="009F75D0" w:rsidRPr="00D43A2F" w:rsidRDefault="009F75D0" w:rsidP="009F75D0">
      <w:pPr>
        <w:pStyle w:val="BTEMEASMCA"/>
      </w:pPr>
    </w:p>
    <w:p w14:paraId="64E3F4AD" w14:textId="77777777" w:rsidR="009F75D0" w:rsidRPr="00D43A2F" w:rsidRDefault="009F75D0" w:rsidP="009F75D0">
      <w:pPr>
        <w:pStyle w:val="BTEMEASMCA"/>
      </w:pPr>
    </w:p>
    <w:p w14:paraId="182E7601" w14:textId="77777777" w:rsidR="009F75D0" w:rsidRPr="00D43A2F" w:rsidRDefault="009F75D0" w:rsidP="009F75D0">
      <w:pPr>
        <w:pStyle w:val="BTEMEASMCA"/>
      </w:pPr>
    </w:p>
    <w:p w14:paraId="4971C015" w14:textId="77777777" w:rsidR="009F75D0" w:rsidRPr="00D43A2F" w:rsidRDefault="009F75D0" w:rsidP="009F75D0">
      <w:pPr>
        <w:pStyle w:val="BTEMEASMCA"/>
      </w:pPr>
    </w:p>
    <w:p w14:paraId="2BE2B68E" w14:textId="77777777" w:rsidR="009F75D0" w:rsidRPr="00D43A2F" w:rsidRDefault="009F75D0" w:rsidP="009F75D0">
      <w:pPr>
        <w:pStyle w:val="BTEMEASMCA"/>
      </w:pPr>
    </w:p>
    <w:p w14:paraId="33821FA8" w14:textId="77777777" w:rsidR="009F75D0" w:rsidRPr="00D43A2F" w:rsidRDefault="009F75D0" w:rsidP="009F75D0">
      <w:pPr>
        <w:pStyle w:val="BTEMEASMCA"/>
      </w:pPr>
    </w:p>
    <w:p w14:paraId="2205411B" w14:textId="77777777" w:rsidR="009F75D0" w:rsidRPr="00D43A2F" w:rsidRDefault="009F75D0" w:rsidP="009F75D0">
      <w:pPr>
        <w:pStyle w:val="BTEMEASMCA"/>
      </w:pPr>
    </w:p>
    <w:p w14:paraId="3E9F70D1" w14:textId="77777777" w:rsidR="009F75D0" w:rsidRPr="00D43A2F" w:rsidRDefault="009F75D0" w:rsidP="009F75D0">
      <w:pPr>
        <w:pStyle w:val="BTEMEASMCA"/>
      </w:pPr>
    </w:p>
    <w:p w14:paraId="05B7CAC3" w14:textId="77777777" w:rsidR="009F75D0" w:rsidRPr="00D43A2F" w:rsidRDefault="009F75D0" w:rsidP="009F75D0">
      <w:pPr>
        <w:pStyle w:val="BTEMEASMCA"/>
      </w:pPr>
    </w:p>
    <w:p w14:paraId="76EA3D3B" w14:textId="77777777" w:rsidR="009F75D0" w:rsidRPr="00D43A2F" w:rsidRDefault="009F75D0" w:rsidP="009F75D0">
      <w:pPr>
        <w:pStyle w:val="BTEMEASMCA"/>
      </w:pPr>
    </w:p>
    <w:p w14:paraId="133BE896" w14:textId="77777777" w:rsidR="009F75D0" w:rsidRPr="00D43A2F" w:rsidRDefault="009F75D0" w:rsidP="009F75D0">
      <w:pPr>
        <w:pStyle w:val="BTEMEASMCA"/>
      </w:pPr>
    </w:p>
    <w:p w14:paraId="7C56888C" w14:textId="77777777" w:rsidR="009F75D0" w:rsidRPr="00D43A2F" w:rsidRDefault="009F75D0" w:rsidP="009F75D0">
      <w:pPr>
        <w:pStyle w:val="BTEMEASMCA"/>
      </w:pPr>
    </w:p>
    <w:p w14:paraId="1EC15CB2" w14:textId="77777777" w:rsidR="009F75D0" w:rsidRPr="00D43A2F" w:rsidRDefault="009F75D0" w:rsidP="009F75D0">
      <w:pPr>
        <w:pStyle w:val="BTEMEASMCA"/>
      </w:pPr>
    </w:p>
    <w:p w14:paraId="7B0DD9A0" w14:textId="77777777" w:rsidR="009F75D0" w:rsidRPr="00D43A2F" w:rsidRDefault="009F75D0" w:rsidP="009F75D0">
      <w:pPr>
        <w:pStyle w:val="BTEMEASMCA"/>
      </w:pPr>
    </w:p>
    <w:p w14:paraId="5D62BB78" w14:textId="77777777" w:rsidR="009F75D0" w:rsidRPr="00D43A2F" w:rsidRDefault="009F75D0" w:rsidP="009F75D0">
      <w:pPr>
        <w:pStyle w:val="TTEMEASMCA"/>
        <w:rPr>
          <w:lang w:val="lt-LT"/>
        </w:rPr>
      </w:pPr>
      <w:bookmarkStart w:id="64" w:name="_Toc129243137"/>
      <w:bookmarkStart w:id="65" w:name="_Toc129243262"/>
    </w:p>
    <w:p w14:paraId="2FBEDD9C" w14:textId="77777777" w:rsidR="009F75D0" w:rsidRPr="00D43A2F" w:rsidRDefault="009F75D0" w:rsidP="009F75D0">
      <w:pPr>
        <w:pStyle w:val="TTEMEASMCA"/>
        <w:rPr>
          <w:lang w:val="lt-LT"/>
        </w:rPr>
      </w:pPr>
    </w:p>
    <w:p w14:paraId="48487C8B" w14:textId="77777777" w:rsidR="009F75D0" w:rsidRPr="00D43A2F" w:rsidRDefault="009F75D0" w:rsidP="009F75D0">
      <w:pPr>
        <w:pStyle w:val="TTEMEASMCA"/>
        <w:rPr>
          <w:lang w:val="lt-LT"/>
        </w:rPr>
      </w:pPr>
    </w:p>
    <w:p w14:paraId="1FDEB64B" w14:textId="77777777" w:rsidR="009F75D0" w:rsidRPr="00D43A2F" w:rsidRDefault="009F75D0" w:rsidP="009F75D0">
      <w:pPr>
        <w:pStyle w:val="TTEMEASMCA"/>
        <w:rPr>
          <w:lang w:val="lt-LT"/>
        </w:rPr>
      </w:pPr>
    </w:p>
    <w:p w14:paraId="3E040DE6" w14:textId="77777777" w:rsidR="009F75D0" w:rsidRPr="00D43A2F" w:rsidRDefault="009F75D0" w:rsidP="009F75D0">
      <w:pPr>
        <w:pStyle w:val="TTEMEASMCA"/>
        <w:rPr>
          <w:lang w:val="lt-LT"/>
        </w:rPr>
      </w:pPr>
    </w:p>
    <w:p w14:paraId="3C96024D" w14:textId="77777777" w:rsidR="009F75D0" w:rsidRPr="00D43A2F" w:rsidRDefault="009F75D0" w:rsidP="009F75D0">
      <w:pPr>
        <w:pStyle w:val="TTEMEASMCA"/>
        <w:rPr>
          <w:lang w:val="lt-LT"/>
        </w:rPr>
      </w:pPr>
    </w:p>
    <w:p w14:paraId="61E32454" w14:textId="77777777" w:rsidR="009F75D0" w:rsidRPr="00D43A2F" w:rsidRDefault="009F75D0" w:rsidP="009F75D0">
      <w:pPr>
        <w:pStyle w:val="TTEMEASMCA"/>
        <w:rPr>
          <w:lang w:val="lt-LT"/>
        </w:rPr>
      </w:pPr>
    </w:p>
    <w:p w14:paraId="61F59AFB" w14:textId="77777777" w:rsidR="009F75D0" w:rsidRPr="00D43A2F" w:rsidRDefault="009F75D0" w:rsidP="009F75D0">
      <w:pPr>
        <w:pStyle w:val="TTEMEASMCA"/>
        <w:rPr>
          <w:lang w:val="lt-LT"/>
        </w:rPr>
      </w:pPr>
    </w:p>
    <w:p w14:paraId="264781AD" w14:textId="77777777" w:rsidR="009F75D0" w:rsidRPr="00D43A2F" w:rsidRDefault="009F75D0" w:rsidP="009F75D0">
      <w:pPr>
        <w:pStyle w:val="TTEMEASMCA"/>
        <w:rPr>
          <w:lang w:val="lt-LT"/>
        </w:rPr>
      </w:pPr>
    </w:p>
    <w:p w14:paraId="2046924E" w14:textId="77777777" w:rsidR="009F75D0" w:rsidRPr="00D43A2F" w:rsidRDefault="009F75D0" w:rsidP="009F75D0">
      <w:pPr>
        <w:pStyle w:val="TTEMEASMCA"/>
        <w:rPr>
          <w:lang w:val="lt-LT"/>
        </w:rPr>
      </w:pPr>
    </w:p>
    <w:p w14:paraId="4E67869D" w14:textId="77777777" w:rsidR="009F75D0" w:rsidRPr="00D43A2F" w:rsidRDefault="009F75D0" w:rsidP="009F75D0">
      <w:pPr>
        <w:pStyle w:val="TTEMEASMCA"/>
        <w:rPr>
          <w:lang w:val="lt-LT"/>
        </w:rPr>
      </w:pPr>
    </w:p>
    <w:p w14:paraId="74A40B6D" w14:textId="77777777" w:rsidR="009F75D0" w:rsidRPr="00D43A2F" w:rsidRDefault="009F75D0" w:rsidP="009F75D0">
      <w:pPr>
        <w:pStyle w:val="TTEMEASMCA"/>
        <w:rPr>
          <w:lang w:val="lt-LT"/>
        </w:rPr>
      </w:pPr>
    </w:p>
    <w:p w14:paraId="54573EFF" w14:textId="77777777" w:rsidR="009F75D0" w:rsidRPr="00D43A2F" w:rsidRDefault="009F75D0" w:rsidP="009F75D0">
      <w:pPr>
        <w:pStyle w:val="TTEMEASMCA"/>
        <w:rPr>
          <w:lang w:val="lt-LT"/>
        </w:rPr>
      </w:pPr>
    </w:p>
    <w:p w14:paraId="321893C8" w14:textId="77777777" w:rsidR="009F75D0" w:rsidRPr="00D43A2F" w:rsidRDefault="009F75D0" w:rsidP="009F75D0">
      <w:pPr>
        <w:pStyle w:val="TTEMEASMCA"/>
        <w:rPr>
          <w:lang w:val="lt-LT"/>
        </w:rPr>
      </w:pPr>
    </w:p>
    <w:p w14:paraId="73EA1CA5" w14:textId="77777777" w:rsidR="009F75D0" w:rsidRPr="00D43A2F" w:rsidRDefault="009F75D0" w:rsidP="009F75D0">
      <w:pPr>
        <w:pStyle w:val="TTEMEASMCA"/>
        <w:rPr>
          <w:lang w:val="lt-LT"/>
        </w:rPr>
      </w:pPr>
    </w:p>
    <w:p w14:paraId="7759E099" w14:textId="77777777" w:rsidR="009F75D0" w:rsidRPr="00D43A2F" w:rsidRDefault="009F75D0" w:rsidP="009F75D0">
      <w:pPr>
        <w:pStyle w:val="TTEMEASMCA"/>
        <w:rPr>
          <w:lang w:val="lt-LT"/>
        </w:rPr>
      </w:pPr>
    </w:p>
    <w:p w14:paraId="4E0A34C2" w14:textId="77777777" w:rsidR="009F75D0" w:rsidRPr="00D43A2F" w:rsidRDefault="009F75D0" w:rsidP="009F75D0">
      <w:pPr>
        <w:pStyle w:val="TTEMEASMCA"/>
        <w:rPr>
          <w:lang w:val="lt-LT"/>
        </w:rPr>
      </w:pPr>
    </w:p>
    <w:p w14:paraId="7896D4F5" w14:textId="77777777" w:rsidR="009F75D0" w:rsidRPr="00D43A2F" w:rsidRDefault="009F75D0" w:rsidP="009F75D0">
      <w:pPr>
        <w:pStyle w:val="TTEMEASMCA"/>
        <w:rPr>
          <w:lang w:val="lt-LT"/>
        </w:rPr>
      </w:pPr>
    </w:p>
    <w:p w14:paraId="4D74BD14" w14:textId="77777777" w:rsidR="009F75D0" w:rsidRPr="00D43A2F" w:rsidRDefault="009F75D0" w:rsidP="009F75D0">
      <w:pPr>
        <w:pStyle w:val="TTEMEASMCA"/>
        <w:rPr>
          <w:lang w:val="lt-LT"/>
        </w:rPr>
      </w:pPr>
    </w:p>
    <w:p w14:paraId="12868EB2" w14:textId="77777777" w:rsidR="009F75D0" w:rsidRPr="00D43A2F" w:rsidRDefault="009F75D0" w:rsidP="009F75D0">
      <w:pPr>
        <w:pStyle w:val="TTEMEASMCA"/>
        <w:rPr>
          <w:lang w:val="lt-LT"/>
        </w:rPr>
      </w:pPr>
    </w:p>
    <w:p w14:paraId="4F1D01C1" w14:textId="77777777" w:rsidR="009F75D0" w:rsidRPr="00D43A2F" w:rsidRDefault="009F75D0" w:rsidP="009F75D0">
      <w:pPr>
        <w:pStyle w:val="TTEMEASMCA"/>
        <w:rPr>
          <w:lang w:val="lt-LT"/>
        </w:rPr>
      </w:pPr>
    </w:p>
    <w:p w14:paraId="26D920B5" w14:textId="77777777" w:rsidR="009F75D0" w:rsidRDefault="009F75D0" w:rsidP="009F75D0">
      <w:pPr>
        <w:pStyle w:val="TTEMEASMCA"/>
        <w:rPr>
          <w:lang w:val="lt-LT"/>
        </w:rPr>
      </w:pPr>
    </w:p>
    <w:p w14:paraId="72C88031" w14:textId="77777777" w:rsidR="009F75D0" w:rsidRPr="00D43A2F" w:rsidRDefault="009F75D0" w:rsidP="009F75D0">
      <w:pPr>
        <w:pStyle w:val="TTEMEASMCA"/>
        <w:rPr>
          <w:lang w:val="lt-LT"/>
        </w:rPr>
      </w:pPr>
      <w:r w:rsidRPr="00D43A2F">
        <w:rPr>
          <w:lang w:val="lt-LT"/>
        </w:rPr>
        <w:t>B. PAKUOTĖS LAPELIS</w:t>
      </w:r>
      <w:bookmarkEnd w:id="64"/>
      <w:bookmarkEnd w:id="65"/>
    </w:p>
    <w:p w14:paraId="10EAB9BC" w14:textId="77777777" w:rsidR="009F75D0" w:rsidRPr="00D43A2F" w:rsidRDefault="009F75D0" w:rsidP="009F75D0">
      <w:pPr>
        <w:pStyle w:val="TTEMEASMCA"/>
        <w:rPr>
          <w:lang w:val="lt-LT"/>
        </w:rPr>
      </w:pPr>
      <w:r w:rsidRPr="00D43A2F">
        <w:rPr>
          <w:lang w:val="lt-LT"/>
        </w:rPr>
        <w:br w:type="page"/>
      </w:r>
    </w:p>
    <w:p w14:paraId="17E4245C" w14:textId="77777777" w:rsidR="009F75D0" w:rsidRDefault="009F75D0" w:rsidP="009F75D0">
      <w:pPr>
        <w:pStyle w:val="BTEMEASMCA"/>
        <w:jc w:val="center"/>
        <w:rPr>
          <w:b/>
        </w:rPr>
      </w:pPr>
      <w:r w:rsidRPr="005A3FA9">
        <w:rPr>
          <w:b/>
        </w:rPr>
        <w:lastRenderedPageBreak/>
        <w:t>Pakuotės lapelis:</w:t>
      </w:r>
      <w:r>
        <w:rPr>
          <w:b/>
        </w:rPr>
        <w:t xml:space="preserve"> </w:t>
      </w:r>
      <w:r w:rsidRPr="00E66C55">
        <w:rPr>
          <w:b/>
        </w:rPr>
        <w:t>informacija</w:t>
      </w:r>
      <w:r>
        <w:rPr>
          <w:b/>
        </w:rPr>
        <w:t xml:space="preserve"> </w:t>
      </w:r>
      <w:r w:rsidRPr="005A3FA9">
        <w:rPr>
          <w:b/>
        </w:rPr>
        <w:t>vartotojui</w:t>
      </w:r>
    </w:p>
    <w:p w14:paraId="2653A6B4" w14:textId="77777777" w:rsidR="009F75D0" w:rsidRPr="005A3FA9" w:rsidRDefault="009F75D0" w:rsidP="009F75D0">
      <w:pPr>
        <w:pStyle w:val="BTEMEASMCA"/>
        <w:jc w:val="center"/>
        <w:rPr>
          <w:b/>
        </w:rPr>
      </w:pPr>
    </w:p>
    <w:p w14:paraId="722F1397" w14:textId="77777777" w:rsidR="009F75D0" w:rsidRPr="00D43A2F" w:rsidRDefault="009F75D0" w:rsidP="009F75D0">
      <w:pPr>
        <w:jc w:val="center"/>
        <w:rPr>
          <w:b/>
          <w:sz w:val="22"/>
          <w:szCs w:val="22"/>
        </w:rPr>
      </w:pPr>
      <w:r w:rsidRPr="00D43A2F">
        <w:rPr>
          <w:b/>
          <w:sz w:val="22"/>
          <w:szCs w:val="22"/>
        </w:rPr>
        <w:t>METHYLPREDNISOLONE SOPHARMA 250 mg milteliai ir tirpiklis injekciniam</w:t>
      </w:r>
      <w:r>
        <w:rPr>
          <w:b/>
          <w:sz w:val="22"/>
          <w:szCs w:val="22"/>
        </w:rPr>
        <w:t xml:space="preserve"> ar </w:t>
      </w:r>
      <w:r w:rsidRPr="00D43A2F">
        <w:rPr>
          <w:b/>
          <w:sz w:val="22"/>
          <w:szCs w:val="22"/>
        </w:rPr>
        <w:t>infuzinia</w:t>
      </w:r>
      <w:r>
        <w:rPr>
          <w:b/>
          <w:sz w:val="22"/>
          <w:szCs w:val="22"/>
        </w:rPr>
        <w:t>m</w:t>
      </w:r>
      <w:r w:rsidRPr="00D43A2F">
        <w:rPr>
          <w:b/>
          <w:sz w:val="22"/>
          <w:szCs w:val="22"/>
        </w:rPr>
        <w:t xml:space="preserve"> tirpalui</w:t>
      </w:r>
    </w:p>
    <w:p w14:paraId="130F7DA5" w14:textId="77777777" w:rsidR="009F75D0" w:rsidRPr="00D43A2F" w:rsidRDefault="009F75D0" w:rsidP="009F75D0">
      <w:pPr>
        <w:jc w:val="center"/>
        <w:rPr>
          <w:bCs/>
          <w:sz w:val="22"/>
          <w:szCs w:val="22"/>
        </w:rPr>
      </w:pPr>
      <w:proofErr w:type="spellStart"/>
      <w:r w:rsidRPr="00D43A2F">
        <w:rPr>
          <w:bCs/>
          <w:sz w:val="22"/>
          <w:szCs w:val="22"/>
        </w:rPr>
        <w:t>Metilprednizolonas</w:t>
      </w:r>
      <w:proofErr w:type="spellEnd"/>
    </w:p>
    <w:p w14:paraId="5453EB19" w14:textId="77777777" w:rsidR="009F75D0" w:rsidRPr="00D43A2F" w:rsidRDefault="009F75D0" w:rsidP="009F75D0">
      <w:pPr>
        <w:pStyle w:val="BTEMEASMCA"/>
      </w:pPr>
    </w:p>
    <w:p w14:paraId="326EF4DA" w14:textId="77777777" w:rsidR="009F75D0" w:rsidRPr="00D43A2F" w:rsidRDefault="009F75D0" w:rsidP="009F75D0">
      <w:pPr>
        <w:pStyle w:val="BTbEMEASMCA"/>
      </w:pPr>
      <w:r w:rsidRPr="00D43A2F">
        <w:t>Atidžiai perskaitykite visą šį lapelį, prieš pradėdami vartoti vaistą.</w:t>
      </w:r>
    </w:p>
    <w:p w14:paraId="65B40FB5" w14:textId="77777777" w:rsidR="009F75D0" w:rsidRPr="00D43A2F" w:rsidRDefault="009F75D0" w:rsidP="009F75D0">
      <w:pPr>
        <w:pStyle w:val="BT-EMEASMCA"/>
      </w:pPr>
      <w:r w:rsidRPr="00D43A2F">
        <w:t>Neišmeskite šio lapelio, nes vėl gali prireikti jį perskaityti.</w:t>
      </w:r>
    </w:p>
    <w:p w14:paraId="47CB7BA7" w14:textId="77777777" w:rsidR="009F75D0" w:rsidRPr="00D43A2F" w:rsidRDefault="009F75D0" w:rsidP="009F75D0">
      <w:pPr>
        <w:pStyle w:val="BT-EMEASMCA"/>
      </w:pPr>
      <w:r w:rsidRPr="00D43A2F">
        <w:t>Jeigu kiltų daugiau klausimų, kreipkitės į gydytoją arba vaistininką.</w:t>
      </w:r>
    </w:p>
    <w:p w14:paraId="64539AE5" w14:textId="77777777" w:rsidR="009F75D0" w:rsidRPr="00D43A2F" w:rsidRDefault="009F75D0" w:rsidP="009F75D0">
      <w:pPr>
        <w:pStyle w:val="BT-EMEASMCA"/>
      </w:pPr>
      <w:r w:rsidRPr="00B34FA1">
        <w:rPr>
          <w:noProof/>
          <w:szCs w:val="24"/>
        </w:rPr>
        <w:t>Šis vaistas skirtas tik Jums, todėl kitiems žmonėms jo duoti negalima.Vaistas gali jiems pakenkti (net tiems, kurių ligos požymiai yra tokie patys kaip Jūsų).</w:t>
      </w:r>
    </w:p>
    <w:p w14:paraId="766A2C3D" w14:textId="77777777" w:rsidR="009F75D0" w:rsidRPr="00D43A2F" w:rsidRDefault="009F75D0" w:rsidP="009F75D0">
      <w:pPr>
        <w:pStyle w:val="BT-EMEASMCA"/>
      </w:pPr>
      <w:r w:rsidRPr="00B34FA1">
        <w:rPr>
          <w:noProof/>
          <w:szCs w:val="24"/>
        </w:rPr>
        <w:t>Jeigu pasireiškė šalutinis poveikis (net jeigu jis šiame lapel</w:t>
      </w:r>
      <w:r>
        <w:rPr>
          <w:noProof/>
          <w:szCs w:val="24"/>
        </w:rPr>
        <w:t>yje nenurodytas), kreipkitės į gydytoją arba vaistininką</w:t>
      </w:r>
      <w:r w:rsidRPr="00B34FA1">
        <w:rPr>
          <w:noProof/>
          <w:szCs w:val="24"/>
        </w:rPr>
        <w:t>. Žr. 4 skyrių.</w:t>
      </w:r>
    </w:p>
    <w:p w14:paraId="62301353" w14:textId="77777777" w:rsidR="009F75D0" w:rsidRPr="00D43A2F" w:rsidRDefault="009F75D0" w:rsidP="009F75D0">
      <w:pPr>
        <w:pStyle w:val="BTEMEASMCA"/>
      </w:pPr>
    </w:p>
    <w:p w14:paraId="69623808" w14:textId="77777777" w:rsidR="009F75D0" w:rsidRDefault="009F75D0" w:rsidP="009F75D0">
      <w:pPr>
        <w:pStyle w:val="Antrat4"/>
        <w:rPr>
          <w:rFonts w:ascii="Times New Roman" w:hAnsi="Times New Roman"/>
          <w:b/>
          <w:i w:val="0"/>
          <w:sz w:val="22"/>
        </w:rPr>
      </w:pPr>
      <w:r w:rsidRPr="005A3FA9">
        <w:rPr>
          <w:rFonts w:ascii="Times New Roman" w:hAnsi="Times New Roman"/>
          <w:b/>
          <w:i w:val="0"/>
          <w:color w:val="000000" w:themeColor="text1"/>
          <w:sz w:val="22"/>
        </w:rPr>
        <w:t>Apie ką rašoma šiame lapelyje?</w:t>
      </w:r>
    </w:p>
    <w:p w14:paraId="780C85C9" w14:textId="77777777" w:rsidR="009F75D0" w:rsidRPr="005A3FA9" w:rsidRDefault="009F75D0" w:rsidP="009F75D0"/>
    <w:p w14:paraId="13756C07" w14:textId="77777777" w:rsidR="009F75D0" w:rsidRPr="00D43A2F" w:rsidRDefault="009F75D0" w:rsidP="009F75D0">
      <w:pPr>
        <w:pStyle w:val="BTEMEASMCA"/>
        <w:ind w:left="567" w:hanging="567"/>
      </w:pPr>
      <w:r w:rsidRPr="00D43A2F">
        <w:t>1.</w:t>
      </w:r>
      <w:r w:rsidRPr="00D43A2F">
        <w:tab/>
        <w:t xml:space="preserve">Kas yra </w:t>
      </w:r>
      <w:r w:rsidRPr="00D43A2F">
        <w:rPr>
          <w:bCs/>
        </w:rPr>
        <w:t>METHYLPREDNISOLONE SOPHARMA</w:t>
      </w:r>
      <w:r w:rsidRPr="00D43A2F">
        <w:t xml:space="preserve"> ir kam jis vartojamas</w:t>
      </w:r>
    </w:p>
    <w:p w14:paraId="1ABE13B3" w14:textId="77777777" w:rsidR="009F75D0" w:rsidRPr="00D43A2F" w:rsidRDefault="009F75D0" w:rsidP="009F75D0">
      <w:pPr>
        <w:pStyle w:val="BTEMEASMCA"/>
        <w:ind w:left="567" w:hanging="567"/>
      </w:pPr>
      <w:r w:rsidRPr="00D43A2F">
        <w:t>2.</w:t>
      </w:r>
      <w:r w:rsidRPr="00D43A2F">
        <w:tab/>
        <w:t xml:space="preserve">Kas žinotina prieš vartojant </w:t>
      </w:r>
      <w:r w:rsidRPr="00D43A2F">
        <w:rPr>
          <w:bCs/>
        </w:rPr>
        <w:t>METHYLPREDNISOLONE SOPHARMA</w:t>
      </w:r>
    </w:p>
    <w:p w14:paraId="090674A0" w14:textId="77777777" w:rsidR="009F75D0" w:rsidRPr="00D43A2F" w:rsidRDefault="009F75D0" w:rsidP="009F75D0">
      <w:pPr>
        <w:pStyle w:val="BTEMEASMCA"/>
        <w:ind w:left="567" w:hanging="567"/>
      </w:pPr>
      <w:r w:rsidRPr="00D43A2F">
        <w:t>3.</w:t>
      </w:r>
      <w:r w:rsidRPr="00D43A2F">
        <w:tab/>
        <w:t>Kaip vartoti METHYLPREDNISOLONE SOPHARMA</w:t>
      </w:r>
    </w:p>
    <w:p w14:paraId="57B4D33F" w14:textId="77777777" w:rsidR="009F75D0" w:rsidRPr="00D43A2F" w:rsidRDefault="009F75D0" w:rsidP="009F75D0">
      <w:pPr>
        <w:pStyle w:val="BTEMEASMCA"/>
        <w:ind w:left="567" w:hanging="567"/>
      </w:pPr>
      <w:r w:rsidRPr="00D43A2F">
        <w:t>4.</w:t>
      </w:r>
      <w:r w:rsidRPr="00D43A2F">
        <w:tab/>
        <w:t>Galimas šalutinis poveikis</w:t>
      </w:r>
    </w:p>
    <w:p w14:paraId="4F190FC5" w14:textId="77777777" w:rsidR="009F75D0" w:rsidRPr="00D43A2F" w:rsidRDefault="009F75D0" w:rsidP="009F75D0">
      <w:pPr>
        <w:pStyle w:val="BTEMEASMCA"/>
        <w:ind w:left="567" w:hanging="567"/>
      </w:pPr>
      <w:r w:rsidRPr="00D43A2F">
        <w:t>5.</w:t>
      </w:r>
      <w:r w:rsidRPr="00D43A2F">
        <w:tab/>
        <w:t>Kaip laikyti METHYLPREDNISOLONE SOPHARMA</w:t>
      </w:r>
    </w:p>
    <w:p w14:paraId="0F7EEA63" w14:textId="77777777" w:rsidR="009F75D0" w:rsidRPr="00D43A2F" w:rsidRDefault="009F75D0" w:rsidP="009F75D0">
      <w:pPr>
        <w:pStyle w:val="BTEMEASMCA"/>
        <w:ind w:left="567" w:hanging="567"/>
      </w:pPr>
      <w:r w:rsidRPr="00D43A2F">
        <w:t>6.</w:t>
      </w:r>
      <w:r w:rsidRPr="00D43A2F">
        <w:tab/>
      </w:r>
      <w:r w:rsidRPr="00B34FA1">
        <w:rPr>
          <w:noProof/>
          <w:szCs w:val="24"/>
        </w:rPr>
        <w:t>Pakuotės turinys ir kita informacija</w:t>
      </w:r>
    </w:p>
    <w:p w14:paraId="12F28812" w14:textId="77777777" w:rsidR="009F75D0" w:rsidRPr="00D43A2F" w:rsidRDefault="009F75D0" w:rsidP="009F75D0">
      <w:pPr>
        <w:pStyle w:val="BTEMEASMCA"/>
      </w:pPr>
    </w:p>
    <w:p w14:paraId="7D5AE58A" w14:textId="77777777" w:rsidR="009F75D0" w:rsidRPr="00D43A2F" w:rsidRDefault="009F75D0" w:rsidP="009F75D0">
      <w:pPr>
        <w:pStyle w:val="BTEMEASMCA"/>
      </w:pPr>
    </w:p>
    <w:p w14:paraId="2324D885" w14:textId="77777777" w:rsidR="009F75D0" w:rsidRPr="00D43A2F" w:rsidRDefault="009F75D0" w:rsidP="009F75D0">
      <w:pPr>
        <w:pStyle w:val="PI-1EMEASMCA"/>
      </w:pPr>
      <w:bookmarkStart w:id="66" w:name="_Toc129243139"/>
      <w:bookmarkStart w:id="67" w:name="_Toc129243264"/>
      <w:r w:rsidRPr="00D43A2F">
        <w:t>1.</w:t>
      </w:r>
      <w:r w:rsidRPr="00D43A2F">
        <w:tab/>
      </w:r>
      <w:r>
        <w:t xml:space="preserve">Kas yra </w:t>
      </w:r>
      <w:r w:rsidRPr="00D43A2F">
        <w:rPr>
          <w:bCs/>
        </w:rPr>
        <w:t>METHYLPREDNISOLONE SOPHARMA</w:t>
      </w:r>
      <w:bookmarkEnd w:id="66"/>
      <w:bookmarkEnd w:id="67"/>
      <w:r>
        <w:rPr>
          <w:bCs/>
        </w:rPr>
        <w:t xml:space="preserve"> </w:t>
      </w:r>
      <w:r>
        <w:t>ir kam jis vartojamas</w:t>
      </w:r>
    </w:p>
    <w:p w14:paraId="579323AE" w14:textId="77777777" w:rsidR="009F75D0" w:rsidRPr="00D43A2F" w:rsidRDefault="009F75D0" w:rsidP="009F75D0">
      <w:pPr>
        <w:pStyle w:val="BTEMEASMCA"/>
      </w:pPr>
    </w:p>
    <w:p w14:paraId="42CCC159" w14:textId="77777777" w:rsidR="009F75D0" w:rsidRPr="00D43A2F" w:rsidRDefault="009F75D0" w:rsidP="009F75D0">
      <w:pPr>
        <w:pStyle w:val="Pagrindinistekstas"/>
        <w:spacing w:after="0"/>
        <w:rPr>
          <w:szCs w:val="22"/>
        </w:rPr>
      </w:pPr>
      <w:r w:rsidRPr="00D43A2F">
        <w:rPr>
          <w:bCs/>
          <w:szCs w:val="22"/>
        </w:rPr>
        <w:t xml:space="preserve">METHYLPREDNISOLONE SOPHARMA yra </w:t>
      </w:r>
      <w:r w:rsidRPr="00D43A2F">
        <w:rPr>
          <w:iCs/>
          <w:szCs w:val="22"/>
        </w:rPr>
        <w:t>kortikosteroidų grupės vaistas</w:t>
      </w:r>
      <w:r w:rsidRPr="00D43A2F">
        <w:rPr>
          <w:szCs w:val="22"/>
        </w:rPr>
        <w:t>.</w:t>
      </w:r>
    </w:p>
    <w:p w14:paraId="442245D4" w14:textId="77777777" w:rsidR="009F75D0" w:rsidRPr="00D43A2F" w:rsidRDefault="009F75D0" w:rsidP="009F75D0">
      <w:pPr>
        <w:pStyle w:val="Pagrindinistekstas"/>
        <w:spacing w:after="0"/>
        <w:rPr>
          <w:szCs w:val="22"/>
        </w:rPr>
      </w:pPr>
    </w:p>
    <w:p w14:paraId="71DDAF54" w14:textId="77777777" w:rsidR="009F75D0" w:rsidRPr="00D43A2F" w:rsidRDefault="009F75D0" w:rsidP="009F75D0">
      <w:pPr>
        <w:pStyle w:val="BTEMEASMCA"/>
      </w:pPr>
      <w:r w:rsidRPr="00D43A2F">
        <w:t xml:space="preserve">METHYLPREDNISOLONE SOPHARMA vartojamas ligų, kai būtini </w:t>
      </w:r>
      <w:proofErr w:type="spellStart"/>
      <w:r w:rsidRPr="00D43A2F">
        <w:t>parenteriniu</w:t>
      </w:r>
      <w:proofErr w:type="spellEnd"/>
      <w:r w:rsidRPr="00D43A2F">
        <w:t xml:space="preserve"> būdu vartojami </w:t>
      </w:r>
      <w:proofErr w:type="spellStart"/>
      <w:r w:rsidRPr="00D43A2F">
        <w:t>gliukokortikoidai</w:t>
      </w:r>
      <w:proofErr w:type="spellEnd"/>
      <w:r w:rsidRPr="00D43A2F">
        <w:t>, gydymui:</w:t>
      </w:r>
    </w:p>
    <w:p w14:paraId="609C1722" w14:textId="77777777" w:rsidR="009F75D0" w:rsidRPr="00D43A2F" w:rsidRDefault="009F75D0" w:rsidP="009F75D0">
      <w:pPr>
        <w:numPr>
          <w:ilvl w:val="0"/>
          <w:numId w:val="2"/>
        </w:numPr>
        <w:tabs>
          <w:tab w:val="clear" w:pos="720"/>
          <w:tab w:val="num" w:pos="567"/>
        </w:tabs>
        <w:ind w:left="567" w:hanging="567"/>
        <w:rPr>
          <w:sz w:val="22"/>
          <w:szCs w:val="22"/>
        </w:rPr>
      </w:pPr>
      <w:r w:rsidRPr="00D43A2F">
        <w:rPr>
          <w:sz w:val="22"/>
          <w:szCs w:val="22"/>
        </w:rPr>
        <w:t xml:space="preserve">sisteminių uždegiminių ligų pvz., sisteminės raudonosios vilkligės, reumatoidinio artrito, </w:t>
      </w:r>
    </w:p>
    <w:p w14:paraId="5F3069A9" w14:textId="77777777" w:rsidR="009F75D0" w:rsidRPr="00D43A2F" w:rsidRDefault="009F75D0" w:rsidP="009F75D0">
      <w:pPr>
        <w:numPr>
          <w:ilvl w:val="0"/>
          <w:numId w:val="2"/>
        </w:numPr>
        <w:tabs>
          <w:tab w:val="clear" w:pos="720"/>
          <w:tab w:val="num" w:pos="567"/>
        </w:tabs>
        <w:ind w:left="567" w:hanging="567"/>
        <w:rPr>
          <w:sz w:val="22"/>
          <w:szCs w:val="22"/>
        </w:rPr>
      </w:pPr>
      <w:r w:rsidRPr="00D43A2F">
        <w:rPr>
          <w:sz w:val="22"/>
          <w:szCs w:val="22"/>
        </w:rPr>
        <w:t>odos ligų, pvz., sunkios daugiaformės raudonės (</w:t>
      </w:r>
      <w:proofErr w:type="spellStart"/>
      <w:r w:rsidRPr="00D43A2F">
        <w:rPr>
          <w:i/>
          <w:iCs/>
          <w:sz w:val="22"/>
          <w:szCs w:val="22"/>
        </w:rPr>
        <w:t>Stevens-Johnson</w:t>
      </w:r>
      <w:proofErr w:type="spellEnd"/>
      <w:r w:rsidRPr="00D43A2F">
        <w:rPr>
          <w:sz w:val="22"/>
          <w:szCs w:val="22"/>
        </w:rPr>
        <w:t xml:space="preserve"> sindromo);</w:t>
      </w:r>
    </w:p>
    <w:p w14:paraId="5F527154" w14:textId="77777777" w:rsidR="009F75D0" w:rsidRPr="00D43A2F" w:rsidRDefault="009F75D0" w:rsidP="009F75D0">
      <w:pPr>
        <w:numPr>
          <w:ilvl w:val="0"/>
          <w:numId w:val="2"/>
        </w:numPr>
        <w:tabs>
          <w:tab w:val="clear" w:pos="720"/>
          <w:tab w:val="num" w:pos="567"/>
        </w:tabs>
        <w:ind w:left="567" w:hanging="567"/>
        <w:rPr>
          <w:sz w:val="22"/>
          <w:szCs w:val="22"/>
        </w:rPr>
      </w:pPr>
      <w:r w:rsidRPr="00D43A2F">
        <w:rPr>
          <w:sz w:val="22"/>
          <w:szCs w:val="22"/>
        </w:rPr>
        <w:t>alerginių ligų, pvz., astmos;</w:t>
      </w:r>
    </w:p>
    <w:p w14:paraId="78D283CC" w14:textId="77777777" w:rsidR="009F75D0" w:rsidRPr="00D43A2F" w:rsidRDefault="009F75D0" w:rsidP="009F75D0">
      <w:pPr>
        <w:numPr>
          <w:ilvl w:val="0"/>
          <w:numId w:val="2"/>
        </w:numPr>
        <w:tabs>
          <w:tab w:val="clear" w:pos="720"/>
          <w:tab w:val="num" w:pos="567"/>
        </w:tabs>
        <w:ind w:left="567" w:hanging="567"/>
        <w:rPr>
          <w:sz w:val="22"/>
          <w:szCs w:val="22"/>
        </w:rPr>
      </w:pPr>
      <w:r w:rsidRPr="00D43A2F">
        <w:rPr>
          <w:sz w:val="22"/>
          <w:szCs w:val="22"/>
        </w:rPr>
        <w:t>virškinimo trakto ligų, pvz., opinio kolito, Krono ligos;</w:t>
      </w:r>
    </w:p>
    <w:p w14:paraId="3F17129C" w14:textId="77777777" w:rsidR="009F75D0" w:rsidRPr="00D43A2F" w:rsidRDefault="009F75D0" w:rsidP="009F75D0">
      <w:pPr>
        <w:numPr>
          <w:ilvl w:val="0"/>
          <w:numId w:val="2"/>
        </w:numPr>
        <w:tabs>
          <w:tab w:val="clear" w:pos="720"/>
          <w:tab w:val="num" w:pos="567"/>
        </w:tabs>
        <w:ind w:left="567" w:hanging="567"/>
        <w:rPr>
          <w:sz w:val="22"/>
          <w:szCs w:val="22"/>
        </w:rPr>
      </w:pPr>
      <w:r>
        <w:rPr>
          <w:sz w:val="22"/>
          <w:szCs w:val="22"/>
        </w:rPr>
        <w:t xml:space="preserve">smegenų </w:t>
      </w:r>
      <w:r w:rsidRPr="00D43A2F">
        <w:rPr>
          <w:sz w:val="22"/>
          <w:szCs w:val="22"/>
        </w:rPr>
        <w:t>edemos;</w:t>
      </w:r>
    </w:p>
    <w:p w14:paraId="7331BAEB" w14:textId="77777777" w:rsidR="009F75D0" w:rsidRPr="00D43A2F" w:rsidRDefault="009F75D0" w:rsidP="009F75D0">
      <w:pPr>
        <w:numPr>
          <w:ilvl w:val="0"/>
          <w:numId w:val="2"/>
        </w:numPr>
        <w:tabs>
          <w:tab w:val="clear" w:pos="720"/>
          <w:tab w:val="num" w:pos="567"/>
        </w:tabs>
        <w:ind w:left="567" w:hanging="567"/>
        <w:rPr>
          <w:sz w:val="22"/>
          <w:szCs w:val="22"/>
        </w:rPr>
      </w:pPr>
      <w:proofErr w:type="spellStart"/>
      <w:r w:rsidRPr="00D43A2F">
        <w:rPr>
          <w:sz w:val="22"/>
          <w:szCs w:val="22"/>
        </w:rPr>
        <w:t>transplantanto</w:t>
      </w:r>
      <w:proofErr w:type="spellEnd"/>
      <w:r w:rsidRPr="00D43A2F">
        <w:rPr>
          <w:sz w:val="22"/>
          <w:szCs w:val="22"/>
        </w:rPr>
        <w:t xml:space="preserve"> atmetimo reakcijos;</w:t>
      </w:r>
    </w:p>
    <w:p w14:paraId="55DCB7D0" w14:textId="77777777" w:rsidR="009F75D0" w:rsidRDefault="009F75D0" w:rsidP="009F75D0">
      <w:pPr>
        <w:pStyle w:val="BTEMEASMCA"/>
      </w:pPr>
    </w:p>
    <w:p w14:paraId="0F849CE1" w14:textId="77777777" w:rsidR="009F75D0" w:rsidRPr="00D43A2F" w:rsidRDefault="009F75D0" w:rsidP="009F75D0">
      <w:pPr>
        <w:pStyle w:val="BTEMEASMCA"/>
      </w:pPr>
    </w:p>
    <w:p w14:paraId="6D830FF2" w14:textId="77777777" w:rsidR="009F75D0" w:rsidRPr="00D43A2F" w:rsidRDefault="009F75D0" w:rsidP="009F75D0">
      <w:pPr>
        <w:pStyle w:val="PI-1EMEASMCA"/>
      </w:pPr>
      <w:bookmarkStart w:id="68" w:name="_Toc129243140"/>
      <w:bookmarkStart w:id="69" w:name="_Toc129243265"/>
      <w:r w:rsidRPr="00D43A2F">
        <w:t>2.</w:t>
      </w:r>
      <w:r w:rsidRPr="00D43A2F">
        <w:tab/>
      </w:r>
      <w:r>
        <w:t>Kas žinotina prieš vartojant</w:t>
      </w:r>
      <w:bookmarkEnd w:id="68"/>
      <w:bookmarkEnd w:id="69"/>
      <w:r>
        <w:t xml:space="preserve"> </w:t>
      </w:r>
      <w:r w:rsidRPr="00D43A2F">
        <w:rPr>
          <w:bCs/>
        </w:rPr>
        <w:t>METHYLPREDNISOLONE SOPHARMA</w:t>
      </w:r>
    </w:p>
    <w:p w14:paraId="58079732" w14:textId="77777777" w:rsidR="009F75D0" w:rsidRPr="00D43A2F" w:rsidRDefault="009F75D0" w:rsidP="009F75D0">
      <w:pPr>
        <w:pStyle w:val="BTEMEASMCA"/>
      </w:pPr>
    </w:p>
    <w:p w14:paraId="364042BD" w14:textId="77777777" w:rsidR="009F75D0" w:rsidRPr="00D43A2F" w:rsidRDefault="009F75D0" w:rsidP="009F75D0">
      <w:pPr>
        <w:pStyle w:val="PI-3EMEASMCA"/>
        <w:spacing w:line="240" w:lineRule="auto"/>
      </w:pPr>
      <w:r w:rsidRPr="00D43A2F">
        <w:t>METHYLPREDNISOLONE SOPHARMA vartoti negalima:</w:t>
      </w:r>
    </w:p>
    <w:p w14:paraId="5A4D23E0" w14:textId="77777777" w:rsidR="009F75D0" w:rsidRPr="00D43A2F" w:rsidRDefault="009F75D0" w:rsidP="009F75D0">
      <w:pPr>
        <w:numPr>
          <w:ilvl w:val="0"/>
          <w:numId w:val="2"/>
        </w:numPr>
        <w:rPr>
          <w:sz w:val="22"/>
          <w:szCs w:val="22"/>
        </w:rPr>
      </w:pPr>
      <w:r>
        <w:rPr>
          <w:sz w:val="22"/>
          <w:szCs w:val="22"/>
        </w:rPr>
        <w:t>jeigu yra p</w:t>
      </w:r>
      <w:r w:rsidRPr="00D43A2F">
        <w:rPr>
          <w:sz w:val="22"/>
          <w:szCs w:val="22"/>
        </w:rPr>
        <w:t xml:space="preserve">adidėjęs jautrumas </w:t>
      </w:r>
      <w:proofErr w:type="spellStart"/>
      <w:r w:rsidRPr="00D43A2F">
        <w:rPr>
          <w:sz w:val="22"/>
          <w:szCs w:val="22"/>
        </w:rPr>
        <w:t>metilprednizolonui</w:t>
      </w:r>
      <w:proofErr w:type="spellEnd"/>
      <w:r w:rsidRPr="00D43A2F">
        <w:rPr>
          <w:sz w:val="22"/>
          <w:szCs w:val="22"/>
        </w:rPr>
        <w:t xml:space="preserve"> ar bet kuriai pagalbinei medžiagai</w:t>
      </w:r>
      <w:r w:rsidRPr="00AA0181">
        <w:rPr>
          <w:noProof/>
          <w:snapToGrid w:val="0"/>
          <w:sz w:val="22"/>
        </w:rPr>
        <w:t xml:space="preserve"> (jos išvardytos 6 skyriuje)</w:t>
      </w:r>
      <w:r>
        <w:rPr>
          <w:noProof/>
          <w:snapToGrid w:val="0"/>
          <w:sz w:val="22"/>
        </w:rPr>
        <w:t>;</w:t>
      </w:r>
    </w:p>
    <w:p w14:paraId="5C6632B2" w14:textId="77777777" w:rsidR="009F75D0" w:rsidRPr="00D43A2F" w:rsidRDefault="009F75D0" w:rsidP="009F75D0">
      <w:pPr>
        <w:numPr>
          <w:ilvl w:val="0"/>
          <w:numId w:val="2"/>
        </w:numPr>
        <w:rPr>
          <w:sz w:val="22"/>
          <w:szCs w:val="22"/>
        </w:rPr>
      </w:pPr>
      <w:r>
        <w:rPr>
          <w:sz w:val="22"/>
          <w:szCs w:val="22"/>
        </w:rPr>
        <w:t>jeigu yra ū</w:t>
      </w:r>
      <w:r w:rsidRPr="00D43A2F">
        <w:rPr>
          <w:sz w:val="22"/>
          <w:szCs w:val="22"/>
        </w:rPr>
        <w:t>minės ar lėtinės virusinės ar bakterinės infekcijos, taip pat sisteminės grybelinės infekcijos, kurioms neskirtas adekvatus specifinis antimikrobinis ar chemoterapinis gydymas;</w:t>
      </w:r>
    </w:p>
    <w:p w14:paraId="57B3CD33" w14:textId="77777777" w:rsidR="009F75D0" w:rsidRPr="00D43A2F" w:rsidRDefault="009F75D0" w:rsidP="009F75D0">
      <w:pPr>
        <w:numPr>
          <w:ilvl w:val="0"/>
          <w:numId w:val="2"/>
        </w:numPr>
        <w:rPr>
          <w:sz w:val="22"/>
          <w:szCs w:val="22"/>
        </w:rPr>
      </w:pPr>
      <w:r>
        <w:rPr>
          <w:sz w:val="22"/>
          <w:szCs w:val="22"/>
        </w:rPr>
        <w:t>jeigu yra s</w:t>
      </w:r>
      <w:r w:rsidRPr="00D43A2F">
        <w:rPr>
          <w:sz w:val="22"/>
          <w:szCs w:val="22"/>
        </w:rPr>
        <w:t>megenų edema sergant maliarija.</w:t>
      </w:r>
    </w:p>
    <w:p w14:paraId="27D40501" w14:textId="77777777" w:rsidR="009F75D0" w:rsidRPr="00D43A2F" w:rsidRDefault="009F75D0" w:rsidP="009F75D0">
      <w:pPr>
        <w:pStyle w:val="BTEMEASMCA"/>
      </w:pPr>
    </w:p>
    <w:p w14:paraId="0BD0CB49" w14:textId="77777777" w:rsidR="009F75D0" w:rsidRDefault="009F75D0" w:rsidP="009F75D0">
      <w:pPr>
        <w:pStyle w:val="BTEMEASMCA"/>
        <w:rPr>
          <w:b/>
        </w:rPr>
      </w:pPr>
      <w:r w:rsidRPr="005A3FA9">
        <w:rPr>
          <w:b/>
        </w:rPr>
        <w:t>Įspėjimai ir atsargumo priemonės</w:t>
      </w:r>
    </w:p>
    <w:p w14:paraId="641373C7" w14:textId="77777777" w:rsidR="009F75D0" w:rsidRPr="00B34FA1" w:rsidRDefault="009F75D0" w:rsidP="009F75D0">
      <w:pPr>
        <w:numPr>
          <w:ilvl w:val="12"/>
          <w:numId w:val="0"/>
        </w:numPr>
        <w:ind w:right="-2"/>
      </w:pPr>
      <w:r>
        <w:rPr>
          <w:noProof/>
        </w:rPr>
        <w:t xml:space="preserve">Pasitarkite su gydytoju, </w:t>
      </w:r>
      <w:r w:rsidRPr="00B34FA1">
        <w:rPr>
          <w:noProof/>
        </w:rPr>
        <w:t>vaistini</w:t>
      </w:r>
      <w:r>
        <w:rPr>
          <w:noProof/>
        </w:rPr>
        <w:t>nku arba slaugytoju</w:t>
      </w:r>
      <w:r w:rsidRPr="00B34FA1">
        <w:rPr>
          <w:noProof/>
        </w:rPr>
        <w:t xml:space="preserve">, prieš pradėdami vartoti </w:t>
      </w:r>
      <w:r w:rsidRPr="00D43A2F">
        <w:rPr>
          <w:sz w:val="22"/>
          <w:szCs w:val="22"/>
        </w:rPr>
        <w:t>METHYLPREDNISOLONE SOPHARMA</w:t>
      </w:r>
      <w:r w:rsidRPr="00B34FA1">
        <w:rPr>
          <w:noProof/>
        </w:rPr>
        <w:t>.</w:t>
      </w:r>
    </w:p>
    <w:p w14:paraId="594D8557" w14:textId="77777777" w:rsidR="009F75D0" w:rsidRPr="005A3FA9" w:rsidRDefault="009F75D0" w:rsidP="009F75D0">
      <w:pPr>
        <w:pStyle w:val="BTEMEASMCA"/>
        <w:rPr>
          <w:b/>
        </w:rPr>
      </w:pPr>
    </w:p>
    <w:p w14:paraId="0E01319A" w14:textId="77777777" w:rsidR="009F75D0" w:rsidRPr="00D43A2F" w:rsidRDefault="009F75D0" w:rsidP="009F75D0">
      <w:pPr>
        <w:rPr>
          <w:sz w:val="22"/>
          <w:szCs w:val="22"/>
        </w:rPr>
      </w:pPr>
      <w:r w:rsidRPr="00D43A2F">
        <w:rPr>
          <w:sz w:val="22"/>
          <w:szCs w:val="22"/>
        </w:rPr>
        <w:t>Specialių atsargumo priemonių ir nuolatinio stebėjimo, skiriant METHYLPREDNISOLONE SOPHARMA, reikia pacientams, sergantiems viena ar keliomis iš žemiau išvardintų ligų:</w:t>
      </w:r>
    </w:p>
    <w:p w14:paraId="5ED89000" w14:textId="77777777" w:rsidR="009F75D0" w:rsidRPr="00D43A2F" w:rsidRDefault="009F75D0" w:rsidP="009F75D0">
      <w:pPr>
        <w:numPr>
          <w:ilvl w:val="0"/>
          <w:numId w:val="2"/>
        </w:numPr>
        <w:rPr>
          <w:sz w:val="22"/>
          <w:szCs w:val="22"/>
        </w:rPr>
      </w:pPr>
      <w:r>
        <w:rPr>
          <w:sz w:val="22"/>
          <w:szCs w:val="22"/>
        </w:rPr>
        <w:t>o</w:t>
      </w:r>
      <w:r w:rsidRPr="00D43A2F">
        <w:rPr>
          <w:sz w:val="22"/>
          <w:szCs w:val="22"/>
        </w:rPr>
        <w:t>steoporoze (ypač moterims po menopauzės);</w:t>
      </w:r>
    </w:p>
    <w:p w14:paraId="35192C8A" w14:textId="77777777" w:rsidR="009F75D0" w:rsidRPr="00D43A2F" w:rsidRDefault="009F75D0" w:rsidP="009F75D0">
      <w:pPr>
        <w:numPr>
          <w:ilvl w:val="0"/>
          <w:numId w:val="2"/>
        </w:numPr>
        <w:rPr>
          <w:sz w:val="22"/>
          <w:szCs w:val="22"/>
        </w:rPr>
      </w:pPr>
      <w:r>
        <w:rPr>
          <w:sz w:val="22"/>
          <w:szCs w:val="22"/>
        </w:rPr>
        <w:t>a</w:t>
      </w:r>
      <w:r w:rsidRPr="00D43A2F">
        <w:rPr>
          <w:sz w:val="22"/>
          <w:szCs w:val="22"/>
        </w:rPr>
        <w:t xml:space="preserve">rterine hipertenzija ar </w:t>
      </w:r>
      <w:proofErr w:type="spellStart"/>
      <w:r w:rsidRPr="00D43A2F">
        <w:rPr>
          <w:sz w:val="22"/>
          <w:szCs w:val="22"/>
        </w:rPr>
        <w:t>staziniu</w:t>
      </w:r>
      <w:proofErr w:type="spellEnd"/>
      <w:r w:rsidRPr="00D43A2F">
        <w:rPr>
          <w:sz w:val="22"/>
          <w:szCs w:val="22"/>
        </w:rPr>
        <w:t xml:space="preserve"> širdies nepakankamumu;</w:t>
      </w:r>
    </w:p>
    <w:p w14:paraId="21CE6A20" w14:textId="77777777" w:rsidR="009F75D0" w:rsidRPr="00D43A2F" w:rsidRDefault="009F75D0" w:rsidP="009F75D0">
      <w:pPr>
        <w:numPr>
          <w:ilvl w:val="0"/>
          <w:numId w:val="2"/>
        </w:numPr>
        <w:rPr>
          <w:sz w:val="22"/>
          <w:szCs w:val="22"/>
        </w:rPr>
      </w:pPr>
      <w:r>
        <w:rPr>
          <w:sz w:val="22"/>
          <w:szCs w:val="22"/>
        </w:rPr>
        <w:t>p</w:t>
      </w:r>
      <w:r w:rsidRPr="00D43A2F">
        <w:rPr>
          <w:sz w:val="22"/>
          <w:szCs w:val="22"/>
        </w:rPr>
        <w:t>sichikos sutrikimais;</w:t>
      </w:r>
    </w:p>
    <w:p w14:paraId="06CA05C0" w14:textId="77777777" w:rsidR="009F75D0" w:rsidRPr="00D43A2F" w:rsidRDefault="009F75D0" w:rsidP="009F75D0">
      <w:pPr>
        <w:numPr>
          <w:ilvl w:val="0"/>
          <w:numId w:val="2"/>
        </w:numPr>
        <w:rPr>
          <w:sz w:val="22"/>
          <w:szCs w:val="22"/>
        </w:rPr>
      </w:pPr>
      <w:r>
        <w:rPr>
          <w:sz w:val="22"/>
          <w:szCs w:val="22"/>
        </w:rPr>
        <w:t>c</w:t>
      </w:r>
      <w:r w:rsidRPr="00D43A2F">
        <w:rPr>
          <w:sz w:val="22"/>
          <w:szCs w:val="22"/>
        </w:rPr>
        <w:t>ukriniu diabetu (arba jei šeimos nariai serga šia liga);</w:t>
      </w:r>
    </w:p>
    <w:p w14:paraId="0F4B4C1A" w14:textId="77777777" w:rsidR="009F75D0" w:rsidRPr="00D43A2F" w:rsidRDefault="009F75D0" w:rsidP="009F75D0">
      <w:pPr>
        <w:numPr>
          <w:ilvl w:val="0"/>
          <w:numId w:val="2"/>
        </w:numPr>
        <w:rPr>
          <w:sz w:val="22"/>
          <w:szCs w:val="22"/>
        </w:rPr>
      </w:pPr>
      <w:r>
        <w:rPr>
          <w:sz w:val="22"/>
          <w:szCs w:val="22"/>
        </w:rPr>
        <w:lastRenderedPageBreak/>
        <w:t>n</w:t>
      </w:r>
      <w:r w:rsidRPr="00D43A2F">
        <w:rPr>
          <w:sz w:val="22"/>
          <w:szCs w:val="22"/>
        </w:rPr>
        <w:t>eaktyvia tuberkulioze;</w:t>
      </w:r>
    </w:p>
    <w:p w14:paraId="56B34182" w14:textId="77777777" w:rsidR="009F75D0" w:rsidRPr="00D43A2F" w:rsidRDefault="009F75D0" w:rsidP="009F75D0">
      <w:pPr>
        <w:numPr>
          <w:ilvl w:val="0"/>
          <w:numId w:val="2"/>
        </w:numPr>
        <w:rPr>
          <w:sz w:val="22"/>
          <w:szCs w:val="22"/>
        </w:rPr>
      </w:pPr>
      <w:r>
        <w:rPr>
          <w:sz w:val="22"/>
          <w:szCs w:val="22"/>
        </w:rPr>
        <w:t>g</w:t>
      </w:r>
      <w:r w:rsidRPr="00D43A2F">
        <w:rPr>
          <w:sz w:val="22"/>
          <w:szCs w:val="22"/>
        </w:rPr>
        <w:t>laukoma (arba jei šia liga serga šeimos nariai);</w:t>
      </w:r>
    </w:p>
    <w:p w14:paraId="35E4FDAE" w14:textId="77777777" w:rsidR="009F75D0" w:rsidRPr="00D43A2F" w:rsidRDefault="009F75D0" w:rsidP="009F75D0">
      <w:pPr>
        <w:numPr>
          <w:ilvl w:val="0"/>
          <w:numId w:val="2"/>
        </w:numPr>
        <w:rPr>
          <w:sz w:val="22"/>
          <w:szCs w:val="22"/>
        </w:rPr>
      </w:pPr>
      <w:r>
        <w:rPr>
          <w:sz w:val="22"/>
          <w:szCs w:val="22"/>
        </w:rPr>
        <w:t>a</w:t>
      </w:r>
      <w:r w:rsidRPr="00D43A2F">
        <w:rPr>
          <w:sz w:val="22"/>
          <w:szCs w:val="22"/>
        </w:rPr>
        <w:t xml:space="preserve">nksčiau vartoti kortikosteroidai buvo sukėlę </w:t>
      </w:r>
      <w:proofErr w:type="spellStart"/>
      <w:r w:rsidRPr="00D43A2F">
        <w:rPr>
          <w:sz w:val="22"/>
          <w:szCs w:val="22"/>
        </w:rPr>
        <w:t>miopatiją</w:t>
      </w:r>
      <w:proofErr w:type="spellEnd"/>
      <w:r w:rsidRPr="00D43A2F">
        <w:rPr>
          <w:sz w:val="22"/>
          <w:szCs w:val="22"/>
        </w:rPr>
        <w:t>;</w:t>
      </w:r>
    </w:p>
    <w:p w14:paraId="2CE4D3CE" w14:textId="77777777" w:rsidR="009F75D0" w:rsidRPr="00D43A2F" w:rsidRDefault="009F75D0" w:rsidP="009F75D0">
      <w:pPr>
        <w:numPr>
          <w:ilvl w:val="0"/>
          <w:numId w:val="2"/>
        </w:numPr>
        <w:rPr>
          <w:sz w:val="22"/>
          <w:szCs w:val="22"/>
        </w:rPr>
      </w:pPr>
      <w:r>
        <w:rPr>
          <w:sz w:val="22"/>
          <w:szCs w:val="22"/>
        </w:rPr>
        <w:t>k</w:t>
      </w:r>
      <w:r w:rsidRPr="00D43A2F">
        <w:rPr>
          <w:sz w:val="22"/>
          <w:szCs w:val="22"/>
        </w:rPr>
        <w:t>epenų nepakankamumu arba kepenų ciroze;</w:t>
      </w:r>
    </w:p>
    <w:p w14:paraId="619E4646" w14:textId="77777777" w:rsidR="009F75D0" w:rsidRPr="00D43A2F" w:rsidRDefault="009F75D0" w:rsidP="009F75D0">
      <w:pPr>
        <w:numPr>
          <w:ilvl w:val="0"/>
          <w:numId w:val="2"/>
        </w:numPr>
        <w:rPr>
          <w:sz w:val="22"/>
          <w:szCs w:val="22"/>
        </w:rPr>
      </w:pPr>
      <w:r>
        <w:rPr>
          <w:sz w:val="22"/>
          <w:szCs w:val="22"/>
        </w:rPr>
        <w:t>i</w:t>
      </w:r>
      <w:r w:rsidRPr="00D43A2F">
        <w:rPr>
          <w:sz w:val="22"/>
          <w:szCs w:val="22"/>
        </w:rPr>
        <w:t>nkstų nepakankamumu;</w:t>
      </w:r>
    </w:p>
    <w:p w14:paraId="0FFACD5D" w14:textId="77777777" w:rsidR="009F75D0" w:rsidRPr="00D43A2F" w:rsidRDefault="009F75D0" w:rsidP="009F75D0">
      <w:pPr>
        <w:numPr>
          <w:ilvl w:val="0"/>
          <w:numId w:val="2"/>
        </w:numPr>
        <w:rPr>
          <w:sz w:val="22"/>
          <w:szCs w:val="22"/>
        </w:rPr>
      </w:pPr>
      <w:r>
        <w:rPr>
          <w:sz w:val="22"/>
          <w:szCs w:val="22"/>
        </w:rPr>
        <w:t>e</w:t>
      </w:r>
      <w:r w:rsidRPr="00D43A2F">
        <w:rPr>
          <w:sz w:val="22"/>
          <w:szCs w:val="22"/>
        </w:rPr>
        <w:t>pilepsija;</w:t>
      </w:r>
    </w:p>
    <w:p w14:paraId="23A52BC6" w14:textId="77777777" w:rsidR="009F75D0" w:rsidRPr="00D43A2F" w:rsidRDefault="009F75D0" w:rsidP="009F75D0">
      <w:pPr>
        <w:numPr>
          <w:ilvl w:val="0"/>
          <w:numId w:val="2"/>
        </w:numPr>
        <w:rPr>
          <w:sz w:val="22"/>
          <w:szCs w:val="22"/>
        </w:rPr>
      </w:pPr>
      <w:r>
        <w:rPr>
          <w:sz w:val="22"/>
          <w:szCs w:val="22"/>
        </w:rPr>
        <w:t>v</w:t>
      </w:r>
      <w:r w:rsidRPr="00D43A2F">
        <w:rPr>
          <w:sz w:val="22"/>
          <w:szCs w:val="22"/>
        </w:rPr>
        <w:t xml:space="preserve">irškinimo trakto sutrikimais, pvz., pepsine opa, sritiniu ileitu, opiniu kolitu ar </w:t>
      </w:r>
      <w:proofErr w:type="spellStart"/>
      <w:r w:rsidRPr="00D43A2F">
        <w:rPr>
          <w:sz w:val="22"/>
          <w:szCs w:val="22"/>
        </w:rPr>
        <w:t>divertikulitu</w:t>
      </w:r>
      <w:proofErr w:type="spellEnd"/>
      <w:r w:rsidRPr="00D43A2F">
        <w:rPr>
          <w:sz w:val="22"/>
          <w:szCs w:val="22"/>
        </w:rPr>
        <w:t xml:space="preserve"> (padidėjusi kraujavimo ir perforacijos rizika);</w:t>
      </w:r>
    </w:p>
    <w:p w14:paraId="128D0D3F" w14:textId="77777777" w:rsidR="009F75D0" w:rsidRPr="005762D7" w:rsidRDefault="009F75D0" w:rsidP="009F75D0">
      <w:pPr>
        <w:numPr>
          <w:ilvl w:val="0"/>
          <w:numId w:val="2"/>
        </w:numPr>
        <w:rPr>
          <w:sz w:val="22"/>
          <w:szCs w:val="22"/>
        </w:rPr>
      </w:pPr>
      <w:r>
        <w:rPr>
          <w:sz w:val="22"/>
          <w:szCs w:val="22"/>
        </w:rPr>
        <w:t>t</w:t>
      </w:r>
      <w:r w:rsidRPr="00D43A2F">
        <w:rPr>
          <w:sz w:val="22"/>
          <w:szCs w:val="22"/>
        </w:rPr>
        <w:t>urintiems trombozės riziką;</w:t>
      </w:r>
    </w:p>
    <w:p w14:paraId="4841D3D9" w14:textId="77777777" w:rsidR="009F75D0" w:rsidRDefault="009F75D0" w:rsidP="009F75D0">
      <w:pPr>
        <w:pStyle w:val="BTEMEASMCA"/>
      </w:pPr>
    </w:p>
    <w:p w14:paraId="2068FAE2" w14:textId="77777777" w:rsidR="009F75D0" w:rsidRDefault="009F75D0" w:rsidP="009F75D0">
      <w:pPr>
        <w:pStyle w:val="BTEMEASMCA"/>
      </w:pPr>
      <w:r>
        <w:t>Kita</w:t>
      </w:r>
    </w:p>
    <w:p w14:paraId="766D7BC7" w14:textId="77777777" w:rsidR="009F75D0" w:rsidRPr="00D43A2F" w:rsidRDefault="009F75D0" w:rsidP="009F75D0">
      <w:pPr>
        <w:rPr>
          <w:sz w:val="22"/>
          <w:szCs w:val="22"/>
        </w:rPr>
      </w:pPr>
      <w:r w:rsidRPr="00D43A2F">
        <w:rPr>
          <w:sz w:val="22"/>
          <w:szCs w:val="22"/>
        </w:rPr>
        <w:t xml:space="preserve">Sisteminis ilgalaikis gydymas </w:t>
      </w:r>
      <w:proofErr w:type="spellStart"/>
      <w:r w:rsidRPr="00D43A2F">
        <w:rPr>
          <w:sz w:val="22"/>
          <w:szCs w:val="22"/>
        </w:rPr>
        <w:t>gliukokortikoidais</w:t>
      </w:r>
      <w:proofErr w:type="spellEnd"/>
      <w:r w:rsidRPr="00D43A2F">
        <w:rPr>
          <w:sz w:val="22"/>
          <w:szCs w:val="22"/>
        </w:rPr>
        <w:t xml:space="preserve"> gali </w:t>
      </w:r>
      <w:proofErr w:type="spellStart"/>
      <w:r w:rsidRPr="00D43A2F">
        <w:rPr>
          <w:sz w:val="22"/>
          <w:szCs w:val="22"/>
        </w:rPr>
        <w:t>susilpninti</w:t>
      </w:r>
      <w:proofErr w:type="spellEnd"/>
      <w:r w:rsidRPr="00D43A2F">
        <w:rPr>
          <w:sz w:val="22"/>
          <w:szCs w:val="22"/>
        </w:rPr>
        <w:t xml:space="preserve"> antinksčių žievės funkciją. Šis poveikis gali trukti net keletą mėnesių, nutraukus gydymą. Jeigu per šį laikotarpį įvyksta bet kokia trauma, liga ar reikalinga operacija, reikia paskirti didesnę METHYLPREDNISOLONE SOPHARMA dozę arba pakeisti jį kitu </w:t>
      </w:r>
      <w:proofErr w:type="spellStart"/>
      <w:r w:rsidRPr="00D43A2F">
        <w:rPr>
          <w:sz w:val="22"/>
          <w:szCs w:val="22"/>
        </w:rPr>
        <w:t>gliukokortikoidu</w:t>
      </w:r>
      <w:proofErr w:type="spellEnd"/>
      <w:r w:rsidRPr="00D43A2F">
        <w:rPr>
          <w:sz w:val="22"/>
          <w:szCs w:val="22"/>
        </w:rPr>
        <w:t>. Norint išvengti nepageidaujamo poveikio, METHYLPREDNISOLONE SOPHARMA vartojimo negalima nutraukti staiga. Dozė mažinama palaipsniui.</w:t>
      </w:r>
    </w:p>
    <w:p w14:paraId="61326CAA" w14:textId="77777777" w:rsidR="009F75D0" w:rsidRPr="00D43A2F" w:rsidRDefault="009F75D0" w:rsidP="009F75D0">
      <w:pPr>
        <w:rPr>
          <w:sz w:val="22"/>
          <w:szCs w:val="22"/>
        </w:rPr>
      </w:pPr>
    </w:p>
    <w:p w14:paraId="667F9AD6" w14:textId="77777777" w:rsidR="009F75D0" w:rsidRPr="00D43A2F" w:rsidRDefault="009F75D0" w:rsidP="009F75D0">
      <w:pPr>
        <w:rPr>
          <w:sz w:val="22"/>
          <w:szCs w:val="22"/>
        </w:rPr>
      </w:pPr>
      <w:r w:rsidRPr="00D43A2F">
        <w:rPr>
          <w:sz w:val="22"/>
          <w:szCs w:val="22"/>
        </w:rPr>
        <w:t xml:space="preserve">METHYLPREDNISOLONE SOPHARMA slopina uždegiminį procesą bei imuninę organizmo funkciją, todėl labai padidėja naujų bakterinių, virusinių ar grybelinių infekcijų atsiradimo dažnis. </w:t>
      </w:r>
    </w:p>
    <w:p w14:paraId="4863DEDB" w14:textId="77777777" w:rsidR="009F75D0" w:rsidRPr="00D43A2F" w:rsidRDefault="009F75D0" w:rsidP="009F75D0">
      <w:pPr>
        <w:pStyle w:val="BTEMEASMCA"/>
      </w:pPr>
    </w:p>
    <w:p w14:paraId="3A694C9A" w14:textId="77777777" w:rsidR="009F75D0" w:rsidRPr="00D43A2F" w:rsidRDefault="009F75D0" w:rsidP="009F75D0">
      <w:pPr>
        <w:rPr>
          <w:sz w:val="22"/>
          <w:szCs w:val="22"/>
        </w:rPr>
      </w:pPr>
      <w:r w:rsidRPr="00D43A2F">
        <w:rPr>
          <w:sz w:val="22"/>
          <w:szCs w:val="22"/>
        </w:rPr>
        <w:t xml:space="preserve">Gydant METHYLPREDNISOLONE SOPHARMA, gali susilpnėti diagnostikai svarbūs simptomai, pavyzdžiui, virškinimo trakto komplikacijų sukeltas skausmas. </w:t>
      </w:r>
    </w:p>
    <w:p w14:paraId="74AC9000" w14:textId="77777777" w:rsidR="009F75D0" w:rsidRPr="00D43A2F" w:rsidRDefault="009F75D0" w:rsidP="009F75D0">
      <w:pPr>
        <w:rPr>
          <w:sz w:val="22"/>
          <w:szCs w:val="22"/>
        </w:rPr>
      </w:pPr>
    </w:p>
    <w:p w14:paraId="1B1D4AF6" w14:textId="77777777" w:rsidR="009F75D0" w:rsidRPr="00D43A2F" w:rsidRDefault="009F75D0" w:rsidP="009F75D0">
      <w:pPr>
        <w:rPr>
          <w:sz w:val="22"/>
          <w:szCs w:val="22"/>
        </w:rPr>
      </w:pPr>
      <w:r w:rsidRPr="00D43A2F">
        <w:rPr>
          <w:sz w:val="22"/>
          <w:szCs w:val="22"/>
        </w:rPr>
        <w:t xml:space="preserve">Dėl </w:t>
      </w:r>
      <w:proofErr w:type="spellStart"/>
      <w:r w:rsidRPr="00D43A2F">
        <w:rPr>
          <w:sz w:val="22"/>
          <w:szCs w:val="22"/>
        </w:rPr>
        <w:t>gliukokortikoidų</w:t>
      </w:r>
      <w:proofErr w:type="spellEnd"/>
      <w:r w:rsidRPr="00D43A2F">
        <w:rPr>
          <w:sz w:val="22"/>
          <w:szCs w:val="22"/>
        </w:rPr>
        <w:t xml:space="preserve"> vartojimo gali atsinaujinti neaktyvi tuberkuliozė.</w:t>
      </w:r>
    </w:p>
    <w:p w14:paraId="4DD175B1" w14:textId="77777777" w:rsidR="009F75D0" w:rsidRPr="00D43A2F" w:rsidRDefault="009F75D0" w:rsidP="009F75D0">
      <w:pPr>
        <w:rPr>
          <w:sz w:val="22"/>
          <w:szCs w:val="22"/>
        </w:rPr>
      </w:pPr>
    </w:p>
    <w:p w14:paraId="779CD539" w14:textId="77777777" w:rsidR="009F75D0" w:rsidRPr="00D43A2F" w:rsidRDefault="009F75D0" w:rsidP="009F75D0">
      <w:pPr>
        <w:rPr>
          <w:sz w:val="22"/>
          <w:szCs w:val="22"/>
        </w:rPr>
      </w:pPr>
      <w:r w:rsidRPr="00D43A2F">
        <w:rPr>
          <w:sz w:val="22"/>
          <w:szCs w:val="22"/>
        </w:rPr>
        <w:t xml:space="preserve">Dėl METHYLPREDNISOLONE SOPHARMA vartojimo gali sutrikti elektrolitų pusiausvyra ar atsirasti kalio trūkumas organizme. Pacientai, vartojantys </w:t>
      </w:r>
      <w:proofErr w:type="spellStart"/>
      <w:r w:rsidRPr="00D43A2F">
        <w:rPr>
          <w:sz w:val="22"/>
          <w:szCs w:val="22"/>
        </w:rPr>
        <w:t>digoksiną</w:t>
      </w:r>
      <w:proofErr w:type="spellEnd"/>
      <w:r w:rsidRPr="00D43A2F">
        <w:rPr>
          <w:sz w:val="22"/>
          <w:szCs w:val="22"/>
        </w:rPr>
        <w:t xml:space="preserve">, turėtų imtis specialių atsargumo priemonių, nes METHYLPREDNISOLONE SOPHARMA vartojant kartu su dioksinu, gali padidėti </w:t>
      </w:r>
      <w:proofErr w:type="spellStart"/>
      <w:r w:rsidRPr="00D43A2F">
        <w:rPr>
          <w:sz w:val="22"/>
          <w:szCs w:val="22"/>
        </w:rPr>
        <w:t>hipokalemijos</w:t>
      </w:r>
      <w:proofErr w:type="spellEnd"/>
      <w:r w:rsidRPr="00D43A2F">
        <w:rPr>
          <w:sz w:val="22"/>
          <w:szCs w:val="22"/>
        </w:rPr>
        <w:t xml:space="preserve"> atsiradimo rizika.</w:t>
      </w:r>
    </w:p>
    <w:p w14:paraId="56ACE850" w14:textId="77777777" w:rsidR="009F75D0" w:rsidRPr="00D43A2F" w:rsidRDefault="009F75D0" w:rsidP="009F75D0">
      <w:pPr>
        <w:rPr>
          <w:sz w:val="22"/>
          <w:szCs w:val="22"/>
        </w:rPr>
      </w:pPr>
    </w:p>
    <w:p w14:paraId="42592199" w14:textId="77777777" w:rsidR="009F75D0" w:rsidRPr="00D43A2F" w:rsidRDefault="009F75D0" w:rsidP="009F75D0">
      <w:pPr>
        <w:rPr>
          <w:sz w:val="22"/>
          <w:szCs w:val="22"/>
        </w:rPr>
      </w:pPr>
      <w:r w:rsidRPr="00D43A2F">
        <w:rPr>
          <w:sz w:val="22"/>
          <w:szCs w:val="22"/>
        </w:rPr>
        <w:t>METHYLPREDNISOLONE SOPHARMA negalima skirti pacientams, patyrusiems galvos traumą ar insultą. Toks poveikis nėra pagrįstas ir gali tik pakenkti pacientui.</w:t>
      </w:r>
    </w:p>
    <w:p w14:paraId="706AD0EE" w14:textId="77777777" w:rsidR="009F75D0" w:rsidRPr="00D43A2F" w:rsidRDefault="009F75D0" w:rsidP="009F75D0">
      <w:pPr>
        <w:rPr>
          <w:sz w:val="22"/>
          <w:szCs w:val="22"/>
        </w:rPr>
      </w:pPr>
    </w:p>
    <w:p w14:paraId="4CDE3F4F" w14:textId="77777777" w:rsidR="009F75D0" w:rsidRPr="00D43A2F" w:rsidRDefault="009F75D0" w:rsidP="009F75D0">
      <w:pPr>
        <w:rPr>
          <w:i/>
          <w:sz w:val="22"/>
          <w:szCs w:val="22"/>
        </w:rPr>
      </w:pPr>
      <w:r w:rsidRPr="00D43A2F">
        <w:rPr>
          <w:i/>
          <w:sz w:val="22"/>
          <w:szCs w:val="22"/>
        </w:rPr>
        <w:t>Vaikai</w:t>
      </w:r>
    </w:p>
    <w:p w14:paraId="052F957E" w14:textId="77777777" w:rsidR="009F75D0" w:rsidRPr="00D43A2F" w:rsidRDefault="009F75D0" w:rsidP="009F75D0">
      <w:pPr>
        <w:rPr>
          <w:sz w:val="22"/>
          <w:szCs w:val="22"/>
        </w:rPr>
      </w:pPr>
      <w:r w:rsidRPr="00D43A2F">
        <w:rPr>
          <w:sz w:val="22"/>
          <w:szCs w:val="22"/>
        </w:rPr>
        <w:t xml:space="preserve">METHYLPREDNISOLONE SOPHARMA lėtina kūdikių ir vaikų augimą, todėl juos reikia gydyti kuo mažesnėmis dozėmis ir kuo trumpiau. </w:t>
      </w:r>
    </w:p>
    <w:p w14:paraId="0D86A372" w14:textId="77777777" w:rsidR="009F75D0" w:rsidRPr="00D43A2F" w:rsidRDefault="009F75D0" w:rsidP="009F75D0">
      <w:pPr>
        <w:rPr>
          <w:sz w:val="22"/>
          <w:szCs w:val="22"/>
        </w:rPr>
      </w:pPr>
    </w:p>
    <w:p w14:paraId="01390763" w14:textId="77777777" w:rsidR="009F75D0" w:rsidRPr="00D43A2F" w:rsidRDefault="009F75D0" w:rsidP="009F75D0">
      <w:pPr>
        <w:rPr>
          <w:i/>
          <w:sz w:val="22"/>
          <w:szCs w:val="22"/>
        </w:rPr>
      </w:pPr>
      <w:r w:rsidRPr="00D43A2F">
        <w:rPr>
          <w:i/>
          <w:sz w:val="22"/>
          <w:szCs w:val="22"/>
        </w:rPr>
        <w:t>Senyvi pacientai</w:t>
      </w:r>
    </w:p>
    <w:p w14:paraId="03DD1292" w14:textId="77777777" w:rsidR="009F75D0" w:rsidRPr="00D43A2F" w:rsidRDefault="009F75D0" w:rsidP="009F75D0">
      <w:pPr>
        <w:rPr>
          <w:sz w:val="22"/>
          <w:szCs w:val="22"/>
        </w:rPr>
      </w:pPr>
      <w:r w:rsidRPr="00D43A2F">
        <w:rPr>
          <w:sz w:val="22"/>
          <w:szCs w:val="22"/>
        </w:rPr>
        <w:t xml:space="preserve">Senyviems pacientams METHYLPREDNISOLONE SOPHARMA reikia skirti atsargiai, kadangi jiems padidėja kai kurių nepageidaujamų reakcijų atsiradimo rizika: </w:t>
      </w:r>
      <w:proofErr w:type="spellStart"/>
      <w:r w:rsidRPr="00D43A2F">
        <w:rPr>
          <w:sz w:val="22"/>
          <w:szCs w:val="22"/>
        </w:rPr>
        <w:t>pepsinės</w:t>
      </w:r>
      <w:proofErr w:type="spellEnd"/>
      <w:r w:rsidRPr="00D43A2F">
        <w:rPr>
          <w:sz w:val="22"/>
          <w:szCs w:val="22"/>
        </w:rPr>
        <w:t xml:space="preserve"> opos, arterinės hipertenzijos, osteoporozės, </w:t>
      </w:r>
      <w:proofErr w:type="spellStart"/>
      <w:r w:rsidRPr="00D43A2F">
        <w:rPr>
          <w:sz w:val="22"/>
          <w:szCs w:val="22"/>
        </w:rPr>
        <w:t>hipokalemijos</w:t>
      </w:r>
      <w:proofErr w:type="spellEnd"/>
      <w:r w:rsidRPr="00D43A2F">
        <w:rPr>
          <w:sz w:val="22"/>
          <w:szCs w:val="22"/>
        </w:rPr>
        <w:t>, cukrinio diabeto ir kt.</w:t>
      </w:r>
    </w:p>
    <w:p w14:paraId="531E27F5" w14:textId="77777777" w:rsidR="009F75D0" w:rsidRPr="00D43A2F" w:rsidRDefault="009F75D0" w:rsidP="009F75D0">
      <w:pPr>
        <w:pStyle w:val="BTEMEASMCA"/>
      </w:pPr>
    </w:p>
    <w:p w14:paraId="46EFBAD4" w14:textId="77777777" w:rsidR="009F75D0" w:rsidRPr="00D43A2F" w:rsidRDefault="009F75D0" w:rsidP="009F75D0">
      <w:pPr>
        <w:pStyle w:val="PI-3EMEASMCA"/>
        <w:spacing w:line="240" w:lineRule="auto"/>
      </w:pPr>
      <w:r>
        <w:t xml:space="preserve">Kiti vaistai ir </w:t>
      </w:r>
      <w:r w:rsidRPr="00D43A2F">
        <w:rPr>
          <w:bCs w:val="0"/>
        </w:rPr>
        <w:t>METHYLPREDNISOLONE SOPHARMA</w:t>
      </w:r>
    </w:p>
    <w:p w14:paraId="75DF22EA" w14:textId="77777777" w:rsidR="009F75D0" w:rsidRDefault="009F75D0" w:rsidP="009F75D0">
      <w:pPr>
        <w:pStyle w:val="BTEMEASMCA"/>
        <w:rPr>
          <w:noProof/>
          <w:szCs w:val="24"/>
        </w:rPr>
      </w:pPr>
      <w:r w:rsidRPr="00B34FA1">
        <w:rPr>
          <w:noProof/>
          <w:szCs w:val="24"/>
        </w:rPr>
        <w:t>Jeigu vartojate ar neseniai vartojote kitų vaistų</w:t>
      </w:r>
      <w:r>
        <w:rPr>
          <w:noProof/>
          <w:szCs w:val="24"/>
        </w:rPr>
        <w:t>, įskaitant vaistus, įsigytus be recepto,</w:t>
      </w:r>
      <w:r w:rsidRPr="00B34FA1">
        <w:rPr>
          <w:noProof/>
          <w:szCs w:val="24"/>
        </w:rPr>
        <w:t xml:space="preserve"> </w:t>
      </w:r>
      <w:r>
        <w:rPr>
          <w:noProof/>
          <w:szCs w:val="24"/>
        </w:rPr>
        <w:t>, apie tai pasakykite gydytojui.</w:t>
      </w:r>
    </w:p>
    <w:p w14:paraId="0C4B6B4A" w14:textId="77777777" w:rsidR="009F75D0" w:rsidRPr="00D43A2F" w:rsidRDefault="009F75D0" w:rsidP="009F75D0">
      <w:pPr>
        <w:pStyle w:val="BTEMEASMCA"/>
      </w:pPr>
    </w:p>
    <w:p w14:paraId="445FA829" w14:textId="77777777" w:rsidR="009F75D0" w:rsidRPr="00D43A2F" w:rsidRDefault="009F75D0" w:rsidP="009F75D0">
      <w:pPr>
        <w:pStyle w:val="BTEMEASMCA"/>
      </w:pPr>
      <w:r w:rsidRPr="00D43A2F">
        <w:t>Vartojant METHYLPREDNISOLONE SOPHARMA, galima sąveika su šių grupių vaistiniais preparatais:</w:t>
      </w:r>
    </w:p>
    <w:p w14:paraId="24C3022A" w14:textId="77777777" w:rsidR="009F75D0" w:rsidRPr="00D43A2F" w:rsidRDefault="009F75D0" w:rsidP="009F75D0">
      <w:pPr>
        <w:pStyle w:val="BT-EMEASMCA"/>
      </w:pPr>
      <w:proofErr w:type="spellStart"/>
      <w:r>
        <w:t>c</w:t>
      </w:r>
      <w:r w:rsidRPr="00D43A2F">
        <w:t>holinesterazės</w:t>
      </w:r>
      <w:proofErr w:type="spellEnd"/>
      <w:r w:rsidRPr="00D43A2F">
        <w:t xml:space="preserve"> inhibitoriais (vartojami sergant Alzheimerio liga);</w:t>
      </w:r>
    </w:p>
    <w:p w14:paraId="6836D3DB" w14:textId="77777777" w:rsidR="009F75D0" w:rsidRPr="00D43A2F" w:rsidRDefault="009F75D0" w:rsidP="009F75D0">
      <w:pPr>
        <w:pStyle w:val="BT-EMEASMCA"/>
      </w:pPr>
      <w:r>
        <w:t>a</w:t>
      </w:r>
      <w:r w:rsidRPr="00D43A2F">
        <w:t xml:space="preserve">ntikoaguliantais (slopina kraujo krešėjimą), pvz., </w:t>
      </w:r>
      <w:proofErr w:type="spellStart"/>
      <w:r w:rsidRPr="00D43A2F">
        <w:t>varfarinu</w:t>
      </w:r>
      <w:proofErr w:type="spellEnd"/>
      <w:r w:rsidRPr="00D43A2F">
        <w:t>;</w:t>
      </w:r>
    </w:p>
    <w:p w14:paraId="1A6A6728" w14:textId="77777777" w:rsidR="009F75D0" w:rsidRPr="00D43A2F" w:rsidRDefault="009F75D0" w:rsidP="009F75D0">
      <w:pPr>
        <w:pStyle w:val="BT-EMEASMCA"/>
      </w:pPr>
      <w:proofErr w:type="spellStart"/>
      <w:r>
        <w:t>s</w:t>
      </w:r>
      <w:r w:rsidRPr="00D43A2F">
        <w:t>alicilatais</w:t>
      </w:r>
      <w:proofErr w:type="spellEnd"/>
      <w:r w:rsidRPr="00D43A2F">
        <w:t xml:space="preserve"> ir kitais nesteroidiniais priešuždegiminiais vaistais, pvz. aspirinu;</w:t>
      </w:r>
    </w:p>
    <w:p w14:paraId="7F0420E6" w14:textId="77777777" w:rsidR="009F75D0" w:rsidRPr="00D43A2F" w:rsidRDefault="009F75D0" w:rsidP="009F75D0">
      <w:pPr>
        <w:pStyle w:val="BT-EMEASMCA"/>
      </w:pPr>
      <w:r>
        <w:t>v</w:t>
      </w:r>
      <w:r w:rsidRPr="00D43A2F">
        <w:t>aistais, mažinančiais gliukozės kiekį kraujyje: pvz. insulinu ir geriamaisiais vaistais nuo diabeto;</w:t>
      </w:r>
    </w:p>
    <w:p w14:paraId="5C6F20AC" w14:textId="77777777" w:rsidR="009F75D0" w:rsidRPr="00D43A2F" w:rsidRDefault="009F75D0" w:rsidP="009F75D0">
      <w:pPr>
        <w:pStyle w:val="BT-EMEASMCA"/>
      </w:pPr>
      <w:r>
        <w:t>f</w:t>
      </w:r>
      <w:r w:rsidRPr="00D43A2F">
        <w:t xml:space="preserve">ermentus sužadinančiais vaistais, pvz., </w:t>
      </w:r>
      <w:proofErr w:type="spellStart"/>
      <w:r w:rsidRPr="00D43A2F">
        <w:t>karbamazepinu</w:t>
      </w:r>
      <w:proofErr w:type="spellEnd"/>
      <w:r w:rsidRPr="00D43A2F">
        <w:t xml:space="preserve"> (vaistas depresijai ir epilepsijai gydyti), </w:t>
      </w:r>
      <w:proofErr w:type="spellStart"/>
      <w:r w:rsidRPr="00D43A2F">
        <w:t>fenobarbitaliu</w:t>
      </w:r>
      <w:proofErr w:type="spellEnd"/>
      <w:r w:rsidRPr="00D43A2F">
        <w:t xml:space="preserve"> (vaistas epilepsijai gydyti), </w:t>
      </w:r>
      <w:proofErr w:type="spellStart"/>
      <w:r w:rsidRPr="00D43A2F">
        <w:t>rifampicinu</w:t>
      </w:r>
      <w:proofErr w:type="spellEnd"/>
      <w:r w:rsidRPr="00D43A2F">
        <w:t xml:space="preserve"> (antibiotikas) ir kt.;</w:t>
      </w:r>
    </w:p>
    <w:p w14:paraId="2E454FE9" w14:textId="77777777" w:rsidR="009F75D0" w:rsidRPr="00D43A2F" w:rsidRDefault="009F75D0" w:rsidP="009F75D0">
      <w:pPr>
        <w:pStyle w:val="BT-EMEASMCA"/>
      </w:pPr>
      <w:r>
        <w:t>f</w:t>
      </w:r>
      <w:r w:rsidRPr="00D43A2F">
        <w:t>ermentus slopinančiais vaistais: pvz., antibiotikais (</w:t>
      </w:r>
      <w:proofErr w:type="spellStart"/>
      <w:r w:rsidRPr="00D43A2F">
        <w:t>klaritromicinas</w:t>
      </w:r>
      <w:proofErr w:type="spellEnd"/>
      <w:r w:rsidRPr="00D43A2F">
        <w:t xml:space="preserve">, </w:t>
      </w:r>
      <w:proofErr w:type="spellStart"/>
      <w:r w:rsidRPr="00D43A2F">
        <w:t>eritromicinas</w:t>
      </w:r>
      <w:proofErr w:type="spellEnd"/>
      <w:r w:rsidRPr="00D43A2F">
        <w:t xml:space="preserve">), </w:t>
      </w:r>
      <w:proofErr w:type="spellStart"/>
      <w:r w:rsidRPr="00D43A2F">
        <w:t>ketokonazoliu</w:t>
      </w:r>
      <w:proofErr w:type="spellEnd"/>
      <w:r w:rsidRPr="00D43A2F">
        <w:t xml:space="preserve"> (priešgrybelinis vaistas) ir kt.;</w:t>
      </w:r>
    </w:p>
    <w:p w14:paraId="341766ED" w14:textId="77777777" w:rsidR="009F75D0" w:rsidRPr="00D43A2F" w:rsidRDefault="009F75D0" w:rsidP="009F75D0">
      <w:pPr>
        <w:pStyle w:val="BT-EMEASMCA"/>
      </w:pPr>
      <w:r>
        <w:lastRenderedPageBreak/>
        <w:t>e</w:t>
      </w:r>
      <w:r w:rsidRPr="00D43A2F">
        <w:t>strogenais (lytiniai hormonai);</w:t>
      </w:r>
    </w:p>
    <w:p w14:paraId="00D45E4E" w14:textId="77777777" w:rsidR="009F75D0" w:rsidRPr="00D43A2F" w:rsidRDefault="009F75D0" w:rsidP="009F75D0">
      <w:pPr>
        <w:pStyle w:val="BT-EMEASMCA"/>
      </w:pPr>
      <w:proofErr w:type="spellStart"/>
      <w:r>
        <w:t>a</w:t>
      </w:r>
      <w:r w:rsidRPr="00D43A2F">
        <w:t>mfotericinu</w:t>
      </w:r>
      <w:proofErr w:type="spellEnd"/>
      <w:r w:rsidRPr="00D43A2F">
        <w:t xml:space="preserve"> B (priešgrybelinis vaistas), diuretikais (skatina šlapimo išsiskyrimą), vidurius paleidžiančiais vaistais;</w:t>
      </w:r>
    </w:p>
    <w:p w14:paraId="6E327F65" w14:textId="77777777" w:rsidR="009F75D0" w:rsidRPr="00D43A2F" w:rsidRDefault="009F75D0" w:rsidP="009F75D0">
      <w:pPr>
        <w:pStyle w:val="BT-EMEASMCA"/>
      </w:pPr>
      <w:proofErr w:type="spellStart"/>
      <w:r>
        <w:t>i</w:t>
      </w:r>
      <w:r w:rsidRPr="00D43A2F">
        <w:t>munosupresantais</w:t>
      </w:r>
      <w:proofErr w:type="spellEnd"/>
      <w:r w:rsidRPr="00D43A2F">
        <w:t xml:space="preserve"> (slopina imuninės sistemos veiklą): pvz., </w:t>
      </w:r>
      <w:proofErr w:type="spellStart"/>
      <w:r w:rsidRPr="00D43A2F">
        <w:t>ciklosporinu</w:t>
      </w:r>
      <w:proofErr w:type="spellEnd"/>
      <w:r w:rsidRPr="00D43A2F">
        <w:t>;</w:t>
      </w:r>
    </w:p>
    <w:p w14:paraId="224E3437" w14:textId="77777777" w:rsidR="009F75D0" w:rsidRPr="00D43A2F" w:rsidRDefault="009F75D0" w:rsidP="009F75D0">
      <w:pPr>
        <w:pStyle w:val="BT-EMEASMCA"/>
      </w:pPr>
      <w:r>
        <w:t>š</w:t>
      </w:r>
      <w:r w:rsidRPr="00D43A2F">
        <w:t xml:space="preserve">irdį veikiančiais glikozidais (gerina širdies veiklą), pvz. </w:t>
      </w:r>
      <w:proofErr w:type="spellStart"/>
      <w:r w:rsidRPr="00D43A2F">
        <w:t>digoksinu</w:t>
      </w:r>
      <w:proofErr w:type="spellEnd"/>
      <w:r w:rsidRPr="00D43A2F">
        <w:t>.</w:t>
      </w:r>
    </w:p>
    <w:p w14:paraId="2D35DE00" w14:textId="77777777" w:rsidR="009F75D0" w:rsidRPr="00D43A2F" w:rsidRDefault="009F75D0" w:rsidP="009F75D0">
      <w:pPr>
        <w:pStyle w:val="BT-EMEASMCA"/>
        <w:numPr>
          <w:ilvl w:val="0"/>
          <w:numId w:val="0"/>
        </w:numPr>
      </w:pPr>
    </w:p>
    <w:p w14:paraId="06926C70" w14:textId="77777777" w:rsidR="009F75D0" w:rsidRPr="00D43A2F" w:rsidRDefault="009F75D0" w:rsidP="009F75D0">
      <w:pPr>
        <w:pStyle w:val="BTEMEASMCA"/>
      </w:pPr>
      <w:r w:rsidRPr="00D43A2F">
        <w:t xml:space="preserve">Kartu vartojant </w:t>
      </w:r>
      <w:proofErr w:type="spellStart"/>
      <w:r w:rsidRPr="00D43A2F">
        <w:t>gliukokortikoidų</w:t>
      </w:r>
      <w:proofErr w:type="spellEnd"/>
      <w:r w:rsidRPr="00D43A2F">
        <w:t xml:space="preserve"> (mažina uždegimą ir imuninės sistemos aktyvumą), gali silpnėti </w:t>
      </w:r>
      <w:proofErr w:type="spellStart"/>
      <w:r w:rsidRPr="00D43A2F">
        <w:t>imunizacinis</w:t>
      </w:r>
      <w:proofErr w:type="spellEnd"/>
      <w:r w:rsidRPr="00D43A2F">
        <w:t xml:space="preserve"> skiepų poveikis ir didėti skiepų sukeliamų neurologinių komplikacijų rizika.</w:t>
      </w:r>
    </w:p>
    <w:p w14:paraId="3A56AE46" w14:textId="77777777" w:rsidR="009F75D0" w:rsidRPr="00D43A2F" w:rsidRDefault="009F75D0" w:rsidP="009F75D0">
      <w:pPr>
        <w:pStyle w:val="BTEMEASMCA"/>
      </w:pPr>
    </w:p>
    <w:p w14:paraId="2A688601" w14:textId="77777777" w:rsidR="009F75D0" w:rsidRDefault="009F75D0" w:rsidP="009F75D0">
      <w:pPr>
        <w:pStyle w:val="BTEMEASMCA"/>
      </w:pPr>
      <w:r w:rsidRPr="00D43A2F">
        <w:t xml:space="preserve">Ilgalaikis gydymas </w:t>
      </w:r>
      <w:proofErr w:type="spellStart"/>
      <w:r w:rsidRPr="00D43A2F">
        <w:t>gliukokortikoidais</w:t>
      </w:r>
      <w:proofErr w:type="spellEnd"/>
      <w:r w:rsidRPr="00D43A2F">
        <w:t xml:space="preserve"> gali mažinti </w:t>
      </w:r>
      <w:proofErr w:type="spellStart"/>
      <w:r w:rsidRPr="00D43A2F">
        <w:t>somatotropino</w:t>
      </w:r>
      <w:proofErr w:type="spellEnd"/>
      <w:r w:rsidRPr="00D43A2F">
        <w:t xml:space="preserve"> (augimo hormonas) efektyvumą.</w:t>
      </w:r>
    </w:p>
    <w:p w14:paraId="06E98E49" w14:textId="77777777" w:rsidR="009F75D0" w:rsidRDefault="009F75D0" w:rsidP="009F75D0">
      <w:pPr>
        <w:pStyle w:val="BTEMEASMCA"/>
      </w:pPr>
    </w:p>
    <w:p w14:paraId="490449A8" w14:textId="77777777" w:rsidR="009F75D0" w:rsidRPr="00D43A2F" w:rsidRDefault="009F75D0" w:rsidP="009F75D0">
      <w:pPr>
        <w:pStyle w:val="BTEMEASMCA"/>
      </w:pPr>
      <w:r>
        <w:t xml:space="preserve">Vartojant kai kuriuos vaistus, gali sustiprėti METHYLPREDNISOLONE SOPHARMA poveikis ir, jeigu jūs vartojate tuos vaistus (įskaitant kai kuriuos vaistus nuo ŽIV, pvz., </w:t>
      </w:r>
      <w:proofErr w:type="spellStart"/>
      <w:r>
        <w:t>ritonavirą</w:t>
      </w:r>
      <w:proofErr w:type="spellEnd"/>
      <w:r>
        <w:t xml:space="preserve">, </w:t>
      </w:r>
      <w:proofErr w:type="spellStart"/>
      <w:r>
        <w:t>kobicistatą</w:t>
      </w:r>
      <w:proofErr w:type="spellEnd"/>
      <w:r>
        <w:t>), jūsų gydytojas gali pageidauti atidžiai stebėti jūsų būklę.</w:t>
      </w:r>
    </w:p>
    <w:p w14:paraId="448A8248" w14:textId="77777777" w:rsidR="009F75D0" w:rsidRPr="00D43A2F" w:rsidRDefault="009F75D0" w:rsidP="009F75D0">
      <w:pPr>
        <w:pStyle w:val="BTEMEASMCA"/>
      </w:pPr>
    </w:p>
    <w:p w14:paraId="10B4CC3E" w14:textId="77777777" w:rsidR="009F75D0" w:rsidRDefault="009F75D0" w:rsidP="009F75D0">
      <w:pPr>
        <w:pStyle w:val="PI-3EMEASMCA"/>
        <w:spacing w:line="240" w:lineRule="auto"/>
      </w:pPr>
      <w:r w:rsidRPr="00D43A2F">
        <w:t>Nėštumas</w:t>
      </w:r>
      <w:r>
        <w:t xml:space="preserve">, </w:t>
      </w:r>
      <w:r w:rsidRPr="00D43A2F">
        <w:t>žindymo laikotarpis</w:t>
      </w:r>
      <w:r>
        <w:t xml:space="preserve"> ir vaisingumas</w:t>
      </w:r>
    </w:p>
    <w:p w14:paraId="030C0FF6" w14:textId="77777777" w:rsidR="009F75D0" w:rsidRPr="005A3FA9" w:rsidRDefault="009F75D0" w:rsidP="009F75D0">
      <w:pPr>
        <w:pStyle w:val="PI-3EMEASMCA"/>
        <w:spacing w:line="240" w:lineRule="auto"/>
        <w:rPr>
          <w:b w:val="0"/>
          <w:noProof/>
          <w:szCs w:val="24"/>
        </w:rPr>
      </w:pPr>
      <w:r w:rsidRPr="005A3FA9">
        <w:rPr>
          <w:b w:val="0"/>
          <w:noProof/>
          <w:szCs w:val="24"/>
        </w:rPr>
        <w:t>Jeigu esate nėščia, žindote kūdikį, manote, kad galbūt esate nėščia, arba planuojate pastoti, tai prieš vartodama šį vaistą,</w:t>
      </w:r>
      <w:r w:rsidRPr="00F7716E">
        <w:rPr>
          <w:b w:val="0"/>
          <w:noProof/>
          <w:szCs w:val="24"/>
        </w:rPr>
        <w:t xml:space="preserve"> pasitarkite su gydytojuarba</w:t>
      </w:r>
      <w:r w:rsidRPr="005A3FA9">
        <w:rPr>
          <w:b w:val="0"/>
          <w:noProof/>
          <w:szCs w:val="24"/>
        </w:rPr>
        <w:t>vais</w:t>
      </w:r>
      <w:r w:rsidRPr="00F7716E">
        <w:rPr>
          <w:b w:val="0"/>
          <w:noProof/>
          <w:szCs w:val="24"/>
        </w:rPr>
        <w:t>tininku</w:t>
      </w:r>
      <w:r w:rsidRPr="005A3FA9">
        <w:rPr>
          <w:b w:val="0"/>
          <w:noProof/>
          <w:szCs w:val="24"/>
        </w:rPr>
        <w:t>.</w:t>
      </w:r>
    </w:p>
    <w:p w14:paraId="00CD1501" w14:textId="77777777" w:rsidR="009F75D0" w:rsidRPr="00D43A2F" w:rsidRDefault="009F75D0" w:rsidP="009F75D0">
      <w:pPr>
        <w:pStyle w:val="PI-3EMEASMCA"/>
        <w:spacing w:line="240" w:lineRule="auto"/>
      </w:pPr>
    </w:p>
    <w:p w14:paraId="56AB8987" w14:textId="77777777" w:rsidR="009F75D0" w:rsidRPr="00D43A2F" w:rsidRDefault="009F75D0" w:rsidP="009F75D0">
      <w:pPr>
        <w:pStyle w:val="Pagrindinistekstas"/>
        <w:spacing w:after="0"/>
        <w:rPr>
          <w:szCs w:val="22"/>
        </w:rPr>
      </w:pPr>
      <w:r w:rsidRPr="00D43A2F">
        <w:rPr>
          <w:szCs w:val="22"/>
        </w:rPr>
        <w:t xml:space="preserve">Skiriant METHYLPREDNISOLONE SOPHARMA moterims nėštumo, gimdymo arba žindymo metu, būtina tiksliai įvertinti naudos ir rizikos santykį. </w:t>
      </w:r>
    </w:p>
    <w:p w14:paraId="0DC7D96E" w14:textId="77777777" w:rsidR="009F75D0" w:rsidRPr="00D43A2F" w:rsidRDefault="009F75D0" w:rsidP="009F75D0">
      <w:pPr>
        <w:pStyle w:val="Pagrindinistekstas"/>
        <w:spacing w:after="0"/>
        <w:rPr>
          <w:szCs w:val="22"/>
        </w:rPr>
      </w:pPr>
      <w:r w:rsidRPr="00D43A2F">
        <w:rPr>
          <w:szCs w:val="22"/>
        </w:rPr>
        <w:t>Preparato nerekomenduojama skirti pirmuosius tris nėštumo mėnesius (išskyrus išskirtinius atvejus).</w:t>
      </w:r>
    </w:p>
    <w:p w14:paraId="46ED0C14" w14:textId="77777777" w:rsidR="009F75D0" w:rsidRPr="00D43A2F" w:rsidRDefault="009F75D0" w:rsidP="009F75D0">
      <w:pPr>
        <w:pStyle w:val="Pagrindinistekstas"/>
        <w:spacing w:after="0"/>
        <w:rPr>
          <w:szCs w:val="22"/>
        </w:rPr>
      </w:pPr>
      <w:r w:rsidRPr="00D43A2F">
        <w:rPr>
          <w:szCs w:val="22"/>
        </w:rPr>
        <w:t xml:space="preserve">Žindyti nerekomenduojama ilgalaikio </w:t>
      </w:r>
      <w:proofErr w:type="spellStart"/>
      <w:r w:rsidRPr="00D43A2F">
        <w:rPr>
          <w:szCs w:val="22"/>
        </w:rPr>
        <w:t>metilprednizolono</w:t>
      </w:r>
      <w:proofErr w:type="spellEnd"/>
      <w:r w:rsidRPr="00D43A2F">
        <w:rPr>
          <w:szCs w:val="22"/>
        </w:rPr>
        <w:t xml:space="preserve"> vartojimo metu.</w:t>
      </w:r>
    </w:p>
    <w:p w14:paraId="0EF5412C" w14:textId="77777777" w:rsidR="009F75D0" w:rsidRPr="00D43A2F" w:rsidRDefault="009F75D0" w:rsidP="009F75D0">
      <w:pPr>
        <w:pStyle w:val="BTEMEASMCA"/>
      </w:pPr>
    </w:p>
    <w:p w14:paraId="71D1E9A8" w14:textId="77777777" w:rsidR="009F75D0" w:rsidRPr="00D43A2F" w:rsidRDefault="009F75D0" w:rsidP="009F75D0">
      <w:pPr>
        <w:pStyle w:val="PI-3EMEASMCA"/>
        <w:spacing w:line="240" w:lineRule="auto"/>
      </w:pPr>
      <w:r w:rsidRPr="00D43A2F">
        <w:t>Vairavimas ir mechanizmų valdymas</w:t>
      </w:r>
    </w:p>
    <w:p w14:paraId="1CFDC679" w14:textId="77777777" w:rsidR="009F75D0" w:rsidRPr="00D43A2F" w:rsidRDefault="009F75D0" w:rsidP="009F75D0">
      <w:pPr>
        <w:pStyle w:val="Pagrindinistekstas"/>
        <w:spacing w:after="0"/>
        <w:rPr>
          <w:szCs w:val="22"/>
        </w:rPr>
      </w:pPr>
      <w:r w:rsidRPr="00D43A2F">
        <w:rPr>
          <w:szCs w:val="22"/>
        </w:rPr>
        <w:t>Duomenų apie METHYLPREDNISOLONE SOPHARMA nepalankų poveikį vairuojant ar valdant mechanizmus nėra.</w:t>
      </w:r>
    </w:p>
    <w:p w14:paraId="4EB3CDEC" w14:textId="77777777" w:rsidR="009F75D0" w:rsidRPr="00D43A2F" w:rsidRDefault="009F75D0" w:rsidP="009F75D0">
      <w:pPr>
        <w:pStyle w:val="BTEMEASMCA"/>
      </w:pPr>
    </w:p>
    <w:p w14:paraId="62EFB8E3" w14:textId="77777777" w:rsidR="009F75D0" w:rsidRPr="00D43A2F" w:rsidRDefault="009F75D0" w:rsidP="009F75D0">
      <w:pPr>
        <w:rPr>
          <w:b/>
          <w:sz w:val="22"/>
          <w:szCs w:val="22"/>
        </w:rPr>
      </w:pPr>
      <w:r w:rsidRPr="00D43A2F">
        <w:rPr>
          <w:b/>
          <w:sz w:val="22"/>
          <w:szCs w:val="22"/>
        </w:rPr>
        <w:t xml:space="preserve">METHYLPREDNISOLONE SOPHARMA </w:t>
      </w:r>
      <w:r>
        <w:rPr>
          <w:b/>
          <w:sz w:val="22"/>
          <w:szCs w:val="22"/>
        </w:rPr>
        <w:t>sudėtyje yra natrio</w:t>
      </w:r>
    </w:p>
    <w:p w14:paraId="2194DAB9" w14:textId="77777777" w:rsidR="009F75D0" w:rsidRDefault="009F75D0" w:rsidP="009F75D0">
      <w:pPr>
        <w:pStyle w:val="BTEMEASMCA"/>
      </w:pPr>
    </w:p>
    <w:p w14:paraId="6697A127" w14:textId="77777777" w:rsidR="009F75D0" w:rsidRPr="00D43A2F" w:rsidRDefault="009F75D0" w:rsidP="009F75D0">
      <w:pPr>
        <w:pStyle w:val="BTEMEASMCA"/>
      </w:pPr>
      <w:r>
        <w:t>1 ml paruošto tirpalo yra 16,85 mg natrio.</w:t>
      </w:r>
    </w:p>
    <w:p w14:paraId="620E4CFA" w14:textId="77777777" w:rsidR="009F75D0" w:rsidRPr="00D43A2F" w:rsidRDefault="009F75D0" w:rsidP="009F75D0">
      <w:pPr>
        <w:pStyle w:val="BTEMEASMCA"/>
      </w:pPr>
    </w:p>
    <w:p w14:paraId="59ABFDAB" w14:textId="77777777" w:rsidR="009F75D0" w:rsidRPr="00D43A2F" w:rsidRDefault="009F75D0" w:rsidP="009F75D0">
      <w:pPr>
        <w:pStyle w:val="BTEMEASMCA"/>
      </w:pPr>
    </w:p>
    <w:p w14:paraId="362F63B6" w14:textId="77777777" w:rsidR="009F75D0" w:rsidRPr="00D43A2F" w:rsidRDefault="009F75D0" w:rsidP="009F75D0">
      <w:pPr>
        <w:pStyle w:val="PI-1EMEASMCA"/>
      </w:pPr>
      <w:bookmarkStart w:id="70" w:name="_Toc129243141"/>
      <w:bookmarkStart w:id="71" w:name="_Toc129243266"/>
      <w:r w:rsidRPr="00D43A2F">
        <w:t>3.</w:t>
      </w:r>
      <w:r w:rsidRPr="00D43A2F">
        <w:tab/>
      </w:r>
      <w:r>
        <w:t>Kaip vartoti</w:t>
      </w:r>
      <w:bookmarkEnd w:id="70"/>
      <w:bookmarkEnd w:id="71"/>
      <w:r>
        <w:t xml:space="preserve"> </w:t>
      </w:r>
      <w:r w:rsidRPr="00D43A2F">
        <w:rPr>
          <w:bCs/>
        </w:rPr>
        <w:t>METHYLPREDNISOLONE SOPHARMA</w:t>
      </w:r>
    </w:p>
    <w:p w14:paraId="531107BF" w14:textId="77777777" w:rsidR="009F75D0" w:rsidRPr="00D43A2F" w:rsidRDefault="009F75D0" w:rsidP="009F75D0">
      <w:pPr>
        <w:pStyle w:val="BTEMEASMCA"/>
      </w:pPr>
    </w:p>
    <w:p w14:paraId="4F6300EE" w14:textId="77777777" w:rsidR="009F75D0" w:rsidRDefault="009F75D0" w:rsidP="009F75D0">
      <w:pPr>
        <w:pStyle w:val="Pagrindinistekstas"/>
        <w:spacing w:after="0"/>
        <w:rPr>
          <w:noProof/>
          <w:szCs w:val="24"/>
        </w:rPr>
      </w:pPr>
      <w:r w:rsidRPr="00B34FA1">
        <w:rPr>
          <w:noProof/>
          <w:szCs w:val="24"/>
        </w:rPr>
        <w:t>Visada vartokite šį vaistą tiksliai kaip nuro</w:t>
      </w:r>
      <w:r>
        <w:rPr>
          <w:noProof/>
          <w:szCs w:val="24"/>
        </w:rPr>
        <w:t>dė gydytojas arba vaistininkas</w:t>
      </w:r>
      <w:r w:rsidRPr="00B34FA1">
        <w:rPr>
          <w:noProof/>
          <w:szCs w:val="24"/>
        </w:rPr>
        <w:t>.</w:t>
      </w:r>
      <w:r>
        <w:rPr>
          <w:noProof/>
          <w:szCs w:val="24"/>
        </w:rPr>
        <w:t xml:space="preserve">Jeigu abejojate, kreipkitės į  </w:t>
      </w:r>
      <w:r w:rsidRPr="00B34FA1">
        <w:rPr>
          <w:noProof/>
          <w:szCs w:val="24"/>
        </w:rPr>
        <w:t>gydyto</w:t>
      </w:r>
      <w:r>
        <w:rPr>
          <w:noProof/>
          <w:szCs w:val="24"/>
        </w:rPr>
        <w:t>ją arba vaistininką</w:t>
      </w:r>
      <w:r w:rsidRPr="00B34FA1">
        <w:rPr>
          <w:noProof/>
          <w:szCs w:val="24"/>
        </w:rPr>
        <w:t>.</w:t>
      </w:r>
    </w:p>
    <w:p w14:paraId="24277C6F" w14:textId="77777777" w:rsidR="009F75D0" w:rsidRDefault="009F75D0" w:rsidP="009F75D0">
      <w:pPr>
        <w:pStyle w:val="Pagrindinistekstas"/>
        <w:spacing w:after="0"/>
        <w:rPr>
          <w:szCs w:val="22"/>
        </w:rPr>
      </w:pPr>
    </w:p>
    <w:p w14:paraId="19DD7D3A" w14:textId="77777777" w:rsidR="009F75D0" w:rsidRPr="00D43A2F" w:rsidRDefault="009F75D0" w:rsidP="009F75D0">
      <w:pPr>
        <w:pStyle w:val="Pagrindinistekstas"/>
        <w:spacing w:after="0"/>
        <w:rPr>
          <w:szCs w:val="22"/>
        </w:rPr>
      </w:pPr>
      <w:r w:rsidRPr="00D43A2F">
        <w:rPr>
          <w:szCs w:val="22"/>
        </w:rPr>
        <w:t xml:space="preserve">METHYLPREDNISOLONE SOPHARMA dozę ir gydymo kursą, priklausomai nuo ligos sunkumo ir ligonio atsako į vaistą, turi parinkti gydytojas. </w:t>
      </w:r>
    </w:p>
    <w:p w14:paraId="6119D7CF" w14:textId="77777777" w:rsidR="009F75D0" w:rsidRPr="00D43A2F" w:rsidRDefault="009F75D0" w:rsidP="009F75D0">
      <w:pPr>
        <w:pStyle w:val="Pagrindinistekstas"/>
        <w:spacing w:after="0"/>
        <w:rPr>
          <w:szCs w:val="22"/>
        </w:rPr>
      </w:pPr>
    </w:p>
    <w:p w14:paraId="377913D0" w14:textId="77777777" w:rsidR="009F75D0" w:rsidRPr="00D43A2F" w:rsidRDefault="009F75D0" w:rsidP="009F75D0">
      <w:pPr>
        <w:rPr>
          <w:sz w:val="22"/>
          <w:szCs w:val="22"/>
        </w:rPr>
      </w:pPr>
      <w:r w:rsidRPr="00D43A2F">
        <w:rPr>
          <w:sz w:val="22"/>
          <w:szCs w:val="22"/>
        </w:rPr>
        <w:t xml:space="preserve">METHYLPREDNISOLONE SOPHARMA galima </w:t>
      </w:r>
      <w:r>
        <w:rPr>
          <w:sz w:val="22"/>
          <w:szCs w:val="22"/>
        </w:rPr>
        <w:t>leisti</w:t>
      </w:r>
      <w:r w:rsidRPr="00D43A2F">
        <w:rPr>
          <w:sz w:val="22"/>
          <w:szCs w:val="22"/>
        </w:rPr>
        <w:t xml:space="preserve"> į raumenis arba į veną. Didelės METHYLPREDNISOLONE SOPHARMA dozės </w:t>
      </w:r>
      <w:proofErr w:type="spellStart"/>
      <w:r w:rsidRPr="00D43A2F">
        <w:rPr>
          <w:sz w:val="22"/>
          <w:szCs w:val="22"/>
        </w:rPr>
        <w:t>infuzuojamas</w:t>
      </w:r>
      <w:proofErr w:type="spellEnd"/>
      <w:r w:rsidRPr="00D43A2F">
        <w:rPr>
          <w:sz w:val="22"/>
          <w:szCs w:val="22"/>
        </w:rPr>
        <w:t xml:space="preserve"> į veną. Dozės, kurios neviršija 250 mg, turi būti </w:t>
      </w:r>
      <w:proofErr w:type="spellStart"/>
      <w:r w:rsidRPr="00D43A2F">
        <w:rPr>
          <w:sz w:val="22"/>
          <w:szCs w:val="22"/>
        </w:rPr>
        <w:t>infuzuojamos</w:t>
      </w:r>
      <w:proofErr w:type="spellEnd"/>
      <w:r w:rsidRPr="00D43A2F">
        <w:rPr>
          <w:sz w:val="22"/>
          <w:szCs w:val="22"/>
        </w:rPr>
        <w:t xml:space="preserve"> ne greičiau kaip per 5 minutes, o didesnės kaip 250 mg – per 30 minučių ar ilgiau. </w:t>
      </w:r>
    </w:p>
    <w:p w14:paraId="3AF9F6D1" w14:textId="77777777" w:rsidR="009F75D0" w:rsidRPr="00D43A2F" w:rsidRDefault="009F75D0" w:rsidP="009F75D0">
      <w:pPr>
        <w:pStyle w:val="Pagrindinistekstas"/>
        <w:spacing w:after="0"/>
        <w:rPr>
          <w:szCs w:val="22"/>
        </w:rPr>
      </w:pPr>
    </w:p>
    <w:p w14:paraId="227E8B1E" w14:textId="77777777" w:rsidR="009F75D0" w:rsidRPr="009A2E72" w:rsidRDefault="009F75D0" w:rsidP="009F75D0">
      <w:pPr>
        <w:pStyle w:val="Pagrindinistekstas"/>
        <w:spacing w:after="0"/>
        <w:rPr>
          <w:i/>
          <w:szCs w:val="22"/>
        </w:rPr>
      </w:pPr>
      <w:r w:rsidRPr="009A2E72">
        <w:rPr>
          <w:i/>
          <w:szCs w:val="22"/>
        </w:rPr>
        <w:t>Tirpalo paruošimas</w:t>
      </w:r>
    </w:p>
    <w:p w14:paraId="6BABB38B" w14:textId="77777777" w:rsidR="009F75D0" w:rsidRPr="00D43A2F" w:rsidRDefault="009F75D0" w:rsidP="009F75D0">
      <w:pPr>
        <w:pStyle w:val="BTEMEASMCA"/>
      </w:pPr>
      <w:r w:rsidRPr="00D43A2F">
        <w:t xml:space="preserve">Tirpalo ruošimas injekcijoms: METHYLPREDNISOLONE SOPHARMA milteliai tirpinami ampulėje, panaudojant nedidelį kiekį tirpiklio (injekcinio vandens) tol, kol tirpalas pasidaro skaidrus. Gautas tirpalas praskiedžiamas likusiu tirpiklio kiekiu ir gerai išmaišomas. </w:t>
      </w:r>
    </w:p>
    <w:p w14:paraId="3513DDCC" w14:textId="77777777" w:rsidR="009F75D0" w:rsidRDefault="009F75D0" w:rsidP="009F75D0">
      <w:pPr>
        <w:rPr>
          <w:sz w:val="22"/>
          <w:szCs w:val="22"/>
        </w:rPr>
      </w:pPr>
      <w:r w:rsidRPr="00D43A2F">
        <w:rPr>
          <w:sz w:val="22"/>
          <w:szCs w:val="22"/>
        </w:rPr>
        <w:t xml:space="preserve">Tirpalo ruošimas infuzijoms: : tirpalas ruošiamas aukščiau aprašytu metodu. Gautas tirpalas skiedžiamas skirtingu infuzinio tirpalo kiekiu – 5 proc. vandeniniu </w:t>
      </w:r>
      <w:proofErr w:type="spellStart"/>
      <w:r w:rsidRPr="00D43A2F">
        <w:rPr>
          <w:sz w:val="22"/>
          <w:szCs w:val="22"/>
        </w:rPr>
        <w:t>dekstrozės</w:t>
      </w:r>
      <w:proofErr w:type="spellEnd"/>
      <w:r w:rsidRPr="00D43A2F">
        <w:rPr>
          <w:sz w:val="22"/>
          <w:szCs w:val="22"/>
        </w:rPr>
        <w:t xml:space="preserve"> tirpalu, </w:t>
      </w:r>
      <w:proofErr w:type="spellStart"/>
      <w:r w:rsidRPr="00D43A2F">
        <w:rPr>
          <w:sz w:val="22"/>
          <w:szCs w:val="22"/>
        </w:rPr>
        <w:t>izotoniniu</w:t>
      </w:r>
      <w:proofErr w:type="spellEnd"/>
      <w:r w:rsidRPr="00D43A2F">
        <w:rPr>
          <w:sz w:val="22"/>
          <w:szCs w:val="22"/>
        </w:rPr>
        <w:t xml:space="preserve"> fiziologiniu tirpalu arba 5 proc. </w:t>
      </w:r>
      <w:proofErr w:type="spellStart"/>
      <w:r w:rsidRPr="00D43A2F">
        <w:rPr>
          <w:sz w:val="22"/>
          <w:szCs w:val="22"/>
        </w:rPr>
        <w:t>dekstrozės</w:t>
      </w:r>
      <w:proofErr w:type="spellEnd"/>
      <w:r w:rsidRPr="00D43A2F">
        <w:rPr>
          <w:sz w:val="22"/>
          <w:szCs w:val="22"/>
        </w:rPr>
        <w:t xml:space="preserve"> tirpalu </w:t>
      </w:r>
      <w:proofErr w:type="spellStart"/>
      <w:r w:rsidRPr="00D43A2F">
        <w:rPr>
          <w:sz w:val="22"/>
          <w:szCs w:val="22"/>
        </w:rPr>
        <w:t>izotoniniame</w:t>
      </w:r>
      <w:proofErr w:type="spellEnd"/>
      <w:r w:rsidRPr="00D43A2F">
        <w:rPr>
          <w:sz w:val="22"/>
          <w:szCs w:val="22"/>
        </w:rPr>
        <w:t xml:space="preserve"> fiziologiniame tirpale</w:t>
      </w:r>
      <w:r>
        <w:rPr>
          <w:sz w:val="22"/>
          <w:szCs w:val="22"/>
        </w:rPr>
        <w:t>.</w:t>
      </w:r>
    </w:p>
    <w:p w14:paraId="5630B027" w14:textId="77777777" w:rsidR="009F75D0" w:rsidRPr="00D43A2F" w:rsidRDefault="009F75D0" w:rsidP="009F75D0">
      <w:pPr>
        <w:pStyle w:val="BTEMEASMCA"/>
      </w:pPr>
      <w:r w:rsidRPr="00D43A2F">
        <w:t>Paruoštas tirpalas yra skaidrus, bespalvis skystis.</w:t>
      </w:r>
    </w:p>
    <w:p w14:paraId="24E2A83A" w14:textId="77777777" w:rsidR="009F75D0" w:rsidRPr="00D43A2F" w:rsidRDefault="009F75D0" w:rsidP="009F75D0">
      <w:pPr>
        <w:rPr>
          <w:sz w:val="22"/>
          <w:szCs w:val="22"/>
        </w:rPr>
      </w:pPr>
    </w:p>
    <w:p w14:paraId="265C8DAB" w14:textId="77777777" w:rsidR="009F75D0" w:rsidRPr="00D43A2F" w:rsidRDefault="009F75D0" w:rsidP="009F75D0">
      <w:pPr>
        <w:pStyle w:val="BTEMEASMCA"/>
      </w:pPr>
      <w:r w:rsidRPr="00D43A2F">
        <w:t>Paruoštą ir praskiestą tirpalą vartoti nedelsiant.</w:t>
      </w:r>
    </w:p>
    <w:p w14:paraId="47B38F5E" w14:textId="77777777" w:rsidR="009F75D0" w:rsidRPr="00D43A2F" w:rsidRDefault="009F75D0" w:rsidP="009F75D0">
      <w:pPr>
        <w:pStyle w:val="Pagrindinistekstas"/>
        <w:spacing w:after="0"/>
        <w:rPr>
          <w:szCs w:val="22"/>
        </w:rPr>
      </w:pPr>
    </w:p>
    <w:p w14:paraId="4E8FF678" w14:textId="77777777" w:rsidR="009F75D0" w:rsidRPr="00D43A2F" w:rsidRDefault="009F75D0" w:rsidP="009F75D0">
      <w:pPr>
        <w:rPr>
          <w:sz w:val="22"/>
          <w:szCs w:val="22"/>
        </w:rPr>
      </w:pPr>
      <w:r w:rsidRPr="00D43A2F">
        <w:rPr>
          <w:b/>
          <w:sz w:val="22"/>
          <w:szCs w:val="22"/>
        </w:rPr>
        <w:lastRenderedPageBreak/>
        <w:t>Dozavimas</w:t>
      </w:r>
    </w:p>
    <w:p w14:paraId="03EF33F6" w14:textId="77777777" w:rsidR="009F75D0" w:rsidRPr="00D43A2F" w:rsidRDefault="009F75D0" w:rsidP="009F75D0">
      <w:pPr>
        <w:rPr>
          <w:sz w:val="22"/>
          <w:szCs w:val="22"/>
        </w:rPr>
      </w:pPr>
      <w:r w:rsidRPr="00D43A2F">
        <w:rPr>
          <w:sz w:val="22"/>
          <w:szCs w:val="22"/>
        </w:rPr>
        <w:t>Didžiausia leistina vienkartinė dozė – 500 mg METHYLPREDNISOLONE SOPHARMA. Nerekomenduojama vartoti didesnių nei 1 g per parą dozių.</w:t>
      </w:r>
    </w:p>
    <w:p w14:paraId="0AA91A18" w14:textId="77777777" w:rsidR="009F75D0" w:rsidRPr="00D43A2F" w:rsidRDefault="009F75D0" w:rsidP="009F75D0">
      <w:pPr>
        <w:rPr>
          <w:sz w:val="22"/>
          <w:szCs w:val="22"/>
        </w:rPr>
      </w:pPr>
    </w:p>
    <w:p w14:paraId="145AC744" w14:textId="77777777" w:rsidR="009F75D0" w:rsidRPr="00D43A2F" w:rsidRDefault="009F75D0" w:rsidP="009F75D0">
      <w:pPr>
        <w:rPr>
          <w:i/>
          <w:sz w:val="22"/>
          <w:szCs w:val="22"/>
        </w:rPr>
      </w:pPr>
      <w:r>
        <w:rPr>
          <w:i/>
          <w:sz w:val="22"/>
          <w:szCs w:val="22"/>
          <w:u w:val="single"/>
        </w:rPr>
        <w:t>Suaugusiems</w:t>
      </w:r>
    </w:p>
    <w:p w14:paraId="799B262F" w14:textId="77777777" w:rsidR="009F75D0" w:rsidRPr="00D43A2F" w:rsidRDefault="009F75D0" w:rsidP="009F75D0">
      <w:pPr>
        <w:rPr>
          <w:sz w:val="22"/>
          <w:szCs w:val="22"/>
        </w:rPr>
      </w:pPr>
      <w:r w:rsidRPr="00D43A2F">
        <w:rPr>
          <w:sz w:val="22"/>
          <w:szCs w:val="22"/>
        </w:rPr>
        <w:t xml:space="preserve">Anafilaksiniam šokui vartojama 125 mg METHYLPREDNISOLONE SOPHARMA kas 2 – 6 valandas arba 250 mg kas 4 – 6  valandas. Galima skirti po 30 mg/kg kūno masės kas 24 valandas. Tirpalas </w:t>
      </w:r>
      <w:proofErr w:type="spellStart"/>
      <w:r w:rsidRPr="00D43A2F">
        <w:rPr>
          <w:sz w:val="22"/>
          <w:szCs w:val="22"/>
        </w:rPr>
        <w:t>infuzuojamas</w:t>
      </w:r>
      <w:proofErr w:type="spellEnd"/>
      <w:r w:rsidRPr="00D43A2F">
        <w:rPr>
          <w:sz w:val="22"/>
          <w:szCs w:val="22"/>
        </w:rPr>
        <w:t xml:space="preserve"> į veną ne greičiau kaip per 10 – 30 minučių. Jei paciento būklė negerėja, </w:t>
      </w:r>
      <w:r w:rsidRPr="00D43A2F">
        <w:rPr>
          <w:color w:val="000000"/>
          <w:sz w:val="22"/>
          <w:szCs w:val="22"/>
        </w:rPr>
        <w:t>didelėmis dozėmis</w:t>
      </w:r>
      <w:r w:rsidRPr="00D43A2F">
        <w:rPr>
          <w:sz w:val="22"/>
          <w:szCs w:val="22"/>
        </w:rPr>
        <w:t xml:space="preserve"> skiriam ne ilgiau kaip 48 – 72 valandas. </w:t>
      </w:r>
    </w:p>
    <w:p w14:paraId="5014D8E7" w14:textId="77777777" w:rsidR="009F75D0" w:rsidRPr="00D43A2F" w:rsidRDefault="009F75D0" w:rsidP="009F75D0">
      <w:pPr>
        <w:rPr>
          <w:sz w:val="22"/>
          <w:szCs w:val="22"/>
        </w:rPr>
      </w:pPr>
    </w:p>
    <w:p w14:paraId="4AD1EB43" w14:textId="77777777" w:rsidR="009F75D0" w:rsidRPr="00D43A2F" w:rsidRDefault="009F75D0" w:rsidP="009F75D0">
      <w:pPr>
        <w:pStyle w:val="Pagrindinistekstas2"/>
        <w:spacing w:after="0" w:line="240" w:lineRule="auto"/>
        <w:rPr>
          <w:szCs w:val="22"/>
        </w:rPr>
      </w:pPr>
      <w:r w:rsidRPr="00D43A2F">
        <w:rPr>
          <w:szCs w:val="22"/>
        </w:rPr>
        <w:t xml:space="preserve">Slopinant imunitetą – persodintų organų atmetimo profilaktikai (ypač inkstų) – METHYLPREDNISOLONE SOPHARMA </w:t>
      </w:r>
      <w:proofErr w:type="spellStart"/>
      <w:r w:rsidRPr="00D43A2F">
        <w:rPr>
          <w:szCs w:val="22"/>
        </w:rPr>
        <w:t>infuzuojama</w:t>
      </w:r>
      <w:proofErr w:type="spellEnd"/>
      <w:r w:rsidRPr="00D43A2F">
        <w:rPr>
          <w:szCs w:val="22"/>
        </w:rPr>
        <w:t xml:space="preserve"> į veną po 0,5 – 1 g kas 24 – 48 valandas, kol paciento būklė stabilizuojasi. </w:t>
      </w:r>
    </w:p>
    <w:p w14:paraId="723B3EE8" w14:textId="77777777" w:rsidR="009F75D0" w:rsidRPr="00D43A2F" w:rsidRDefault="009F75D0" w:rsidP="009F75D0">
      <w:pPr>
        <w:pStyle w:val="Pagrindinistekstas2"/>
        <w:spacing w:after="0" w:line="240" w:lineRule="auto"/>
        <w:rPr>
          <w:szCs w:val="22"/>
        </w:rPr>
      </w:pPr>
    </w:p>
    <w:p w14:paraId="65E934C1" w14:textId="77777777" w:rsidR="009F75D0" w:rsidRPr="00D43A2F" w:rsidRDefault="009F75D0" w:rsidP="009F75D0">
      <w:pPr>
        <w:rPr>
          <w:sz w:val="22"/>
          <w:szCs w:val="22"/>
        </w:rPr>
      </w:pPr>
      <w:r w:rsidRPr="00D43A2F">
        <w:rPr>
          <w:sz w:val="22"/>
          <w:szCs w:val="22"/>
        </w:rPr>
        <w:t xml:space="preserve">Smegenų edemai gydyti vartojama 40 – 125 mg kas 4 – 6 valandas į veną arba į raumenis. Gydymo trukmė 4-7 paros (kol paciento būklė stabilizuosis). </w:t>
      </w:r>
    </w:p>
    <w:p w14:paraId="3E99AE4C" w14:textId="77777777" w:rsidR="009F75D0" w:rsidRPr="00D43A2F" w:rsidRDefault="009F75D0" w:rsidP="009F75D0">
      <w:pPr>
        <w:rPr>
          <w:sz w:val="22"/>
          <w:szCs w:val="22"/>
        </w:rPr>
      </w:pPr>
    </w:p>
    <w:p w14:paraId="28C07FD0" w14:textId="77777777" w:rsidR="009F75D0" w:rsidRPr="00D43A2F" w:rsidRDefault="009F75D0" w:rsidP="009F75D0">
      <w:pPr>
        <w:pStyle w:val="Pagrindinistekstas2"/>
        <w:spacing w:after="0" w:line="240" w:lineRule="auto"/>
        <w:rPr>
          <w:szCs w:val="22"/>
        </w:rPr>
      </w:pPr>
      <w:r w:rsidRPr="00D43A2F">
        <w:rPr>
          <w:szCs w:val="22"/>
        </w:rPr>
        <w:t xml:space="preserve">Vidutiniu ar sunkiu opiniu kolitu sergantiems pacientams METHYLPREDNISOLONE SOPHARMA skiriama po 20 – 40 mg ilgomis infuzijomis 3 – 7 kartus per savaitę. Gydymo trukmė – dvi savaitės arba ilgiau, vėliau dozė mažinama šalutinių poveikių raidai silpninti. Kaip ir kiti </w:t>
      </w:r>
      <w:proofErr w:type="spellStart"/>
      <w:r w:rsidRPr="00D43A2F">
        <w:rPr>
          <w:szCs w:val="22"/>
        </w:rPr>
        <w:t>gliukokortikoidai</w:t>
      </w:r>
      <w:proofErr w:type="spellEnd"/>
      <w:r w:rsidRPr="00D43A2F">
        <w:rPr>
          <w:szCs w:val="22"/>
        </w:rPr>
        <w:t>, METHYLPREDNISOLONE SOPHARMA netinka ligos remisijai palaikyti.</w:t>
      </w:r>
    </w:p>
    <w:p w14:paraId="7BF41F1B" w14:textId="77777777" w:rsidR="009F75D0" w:rsidRPr="00D43A2F" w:rsidRDefault="009F75D0" w:rsidP="009F75D0">
      <w:pPr>
        <w:pStyle w:val="Pagrindinistekstas2"/>
        <w:spacing w:after="0" w:line="240" w:lineRule="auto"/>
        <w:rPr>
          <w:szCs w:val="22"/>
        </w:rPr>
      </w:pPr>
    </w:p>
    <w:p w14:paraId="5F5A5920" w14:textId="77777777" w:rsidR="009F75D0" w:rsidRPr="00D43A2F" w:rsidRDefault="009F75D0" w:rsidP="009F75D0">
      <w:pPr>
        <w:pStyle w:val="Pagrindinistekstas2"/>
        <w:spacing w:after="0" w:line="240" w:lineRule="auto"/>
        <w:rPr>
          <w:szCs w:val="22"/>
        </w:rPr>
      </w:pPr>
      <w:r w:rsidRPr="00D43A2F">
        <w:rPr>
          <w:szCs w:val="22"/>
        </w:rPr>
        <w:t xml:space="preserve">Sisteminėms uždegiminėms ligoms gydyti rekomenduojama </w:t>
      </w:r>
      <w:proofErr w:type="spellStart"/>
      <w:r w:rsidRPr="00D43A2F">
        <w:rPr>
          <w:szCs w:val="22"/>
        </w:rPr>
        <w:t>metilprednizolono</w:t>
      </w:r>
      <w:proofErr w:type="spellEnd"/>
      <w:r>
        <w:rPr>
          <w:szCs w:val="22"/>
        </w:rPr>
        <w:t xml:space="preserve"> </w:t>
      </w:r>
      <w:proofErr w:type="spellStart"/>
      <w:r w:rsidRPr="00D43A2F">
        <w:rPr>
          <w:szCs w:val="22"/>
        </w:rPr>
        <w:t>infuzuoti</w:t>
      </w:r>
      <w:proofErr w:type="spellEnd"/>
      <w:r w:rsidRPr="00D43A2F">
        <w:rPr>
          <w:szCs w:val="22"/>
        </w:rPr>
        <w:t xml:space="preserve"> į veną po 1 g kas 24 valandas 1 – 4 paras arba 1 g per mėnesį, vartojant 6 mėnesius.</w:t>
      </w:r>
    </w:p>
    <w:p w14:paraId="281A0674" w14:textId="77777777" w:rsidR="009F75D0" w:rsidRPr="00D43A2F" w:rsidRDefault="009F75D0" w:rsidP="009F75D0">
      <w:pPr>
        <w:pStyle w:val="Pagrindinistekstas2"/>
        <w:spacing w:after="0" w:line="240" w:lineRule="auto"/>
        <w:rPr>
          <w:szCs w:val="22"/>
        </w:rPr>
      </w:pPr>
    </w:p>
    <w:p w14:paraId="09766437" w14:textId="77777777" w:rsidR="009F75D0" w:rsidRPr="00D43A2F" w:rsidRDefault="009F75D0" w:rsidP="009F75D0">
      <w:pPr>
        <w:pStyle w:val="Pagrindinistekstas2"/>
        <w:spacing w:after="0" w:line="240" w:lineRule="auto"/>
        <w:rPr>
          <w:color w:val="000000"/>
          <w:szCs w:val="22"/>
        </w:rPr>
      </w:pPr>
      <w:r w:rsidRPr="00D43A2F">
        <w:rPr>
          <w:szCs w:val="22"/>
        </w:rPr>
        <w:t xml:space="preserve">Kitų indikacijų atveju pradinė dozė gali svyruoti nuo 10 iki 500 mg, priklausomai nuo klinikinės būklės. Vartojimo trukmė parenkama atsižvelgiant į paciento būklę. Jeigu gydymui reikia didelių METHYLPREDNISOLONE SOPHARMA dozių, jos </w:t>
      </w:r>
      <w:r w:rsidRPr="00D43A2F">
        <w:rPr>
          <w:color w:val="000000"/>
          <w:szCs w:val="22"/>
        </w:rPr>
        <w:t>vartojamos tol, kol paciento būklė stabilizuosis, dažniausiai ne ilgiau kaip 48 – 72 valandas.</w:t>
      </w:r>
    </w:p>
    <w:p w14:paraId="1DEF3DD1" w14:textId="77777777" w:rsidR="009F75D0" w:rsidRPr="00D43A2F" w:rsidRDefault="009F75D0" w:rsidP="009F75D0">
      <w:pPr>
        <w:pStyle w:val="Pagrindinistekstas2"/>
        <w:spacing w:after="0" w:line="240" w:lineRule="auto"/>
        <w:rPr>
          <w:szCs w:val="22"/>
        </w:rPr>
      </w:pPr>
    </w:p>
    <w:p w14:paraId="7E23385D" w14:textId="77777777" w:rsidR="009F75D0" w:rsidRPr="005A3FA9" w:rsidRDefault="009F75D0" w:rsidP="009F75D0">
      <w:pPr>
        <w:rPr>
          <w:b/>
          <w:sz w:val="22"/>
          <w:szCs w:val="22"/>
        </w:rPr>
      </w:pPr>
      <w:r w:rsidRPr="005A3FA9">
        <w:rPr>
          <w:b/>
          <w:sz w:val="22"/>
          <w:szCs w:val="22"/>
        </w:rPr>
        <w:t>Vartojimas vaikams ir paaugliams</w:t>
      </w:r>
    </w:p>
    <w:p w14:paraId="283645E4" w14:textId="77777777" w:rsidR="009F75D0" w:rsidRPr="00D43A2F" w:rsidRDefault="009F75D0" w:rsidP="009F75D0">
      <w:pPr>
        <w:rPr>
          <w:sz w:val="22"/>
          <w:szCs w:val="22"/>
        </w:rPr>
      </w:pPr>
      <w:r w:rsidRPr="00D43A2F">
        <w:rPr>
          <w:sz w:val="22"/>
          <w:szCs w:val="22"/>
        </w:rPr>
        <w:t>Dozė parenkama pagal paciento būklės sunkumą ir neturėtų būti mažesnė kaip 0,5 mg/kg per parą. Ji vartojama tol, kol paciento būklė stabilizuojasi. Persodintų organų atmetimo reakcijų profilaktikai gali būti vartojamos ir didelės METHYLPREDNISOLONE SOPHARMA dozės – 10 – 30 mg/kg per parą  Toks gydymas neturėtų būti tęsiamas ilgiau kaip tris paras.</w:t>
      </w:r>
    </w:p>
    <w:p w14:paraId="45240A47" w14:textId="77777777" w:rsidR="009F75D0" w:rsidRPr="00D43A2F" w:rsidRDefault="009F75D0" w:rsidP="009F75D0">
      <w:pPr>
        <w:rPr>
          <w:sz w:val="22"/>
          <w:szCs w:val="22"/>
        </w:rPr>
      </w:pPr>
    </w:p>
    <w:p w14:paraId="12AB2674" w14:textId="77777777" w:rsidR="009F75D0" w:rsidRPr="00D43A2F" w:rsidRDefault="009F75D0" w:rsidP="009F75D0">
      <w:pPr>
        <w:rPr>
          <w:i/>
          <w:sz w:val="22"/>
          <w:szCs w:val="22"/>
          <w:u w:val="single"/>
        </w:rPr>
      </w:pPr>
      <w:r>
        <w:rPr>
          <w:i/>
          <w:sz w:val="22"/>
          <w:szCs w:val="22"/>
          <w:u w:val="single"/>
        </w:rPr>
        <w:t>Senyviems pacientams ir pacientams, kurių inkstų funkcija sutrikusi</w:t>
      </w:r>
    </w:p>
    <w:p w14:paraId="4AEEEFC1" w14:textId="77777777" w:rsidR="009F75D0" w:rsidRPr="00D43A2F" w:rsidRDefault="009F75D0" w:rsidP="009F75D0">
      <w:pPr>
        <w:rPr>
          <w:sz w:val="22"/>
          <w:szCs w:val="22"/>
        </w:rPr>
      </w:pPr>
      <w:r w:rsidRPr="00D43A2F">
        <w:rPr>
          <w:sz w:val="22"/>
          <w:szCs w:val="22"/>
        </w:rPr>
        <w:t>Vyresnio amžiaus pacientus ir pacientus, kurių inkstų veikla sutrikusi, rekomenduojama gydyti atsargiai. Ar šiems pacientams reikia mažinti METHYLPREDNISOLONE SOPHARMA dozę, duomenų nėra.</w:t>
      </w:r>
    </w:p>
    <w:p w14:paraId="4B70A11E" w14:textId="77777777" w:rsidR="009F75D0" w:rsidRPr="00D43A2F" w:rsidRDefault="009F75D0" w:rsidP="009F75D0">
      <w:pPr>
        <w:rPr>
          <w:sz w:val="22"/>
          <w:szCs w:val="22"/>
        </w:rPr>
      </w:pPr>
    </w:p>
    <w:p w14:paraId="3AE1EC37" w14:textId="77777777" w:rsidR="009F75D0" w:rsidRPr="00D43A2F" w:rsidRDefault="009F75D0" w:rsidP="009F75D0">
      <w:pPr>
        <w:rPr>
          <w:i/>
          <w:sz w:val="22"/>
          <w:szCs w:val="22"/>
          <w:u w:val="single"/>
        </w:rPr>
      </w:pPr>
      <w:r>
        <w:rPr>
          <w:i/>
          <w:sz w:val="22"/>
          <w:szCs w:val="22"/>
          <w:u w:val="single"/>
        </w:rPr>
        <w:t>Pacientams, kurių kepenų funkcija sutrikusi</w:t>
      </w:r>
    </w:p>
    <w:p w14:paraId="082FDE8A" w14:textId="77777777" w:rsidR="009F75D0" w:rsidRPr="00D43A2F" w:rsidRDefault="009F75D0" w:rsidP="009F75D0">
      <w:pPr>
        <w:rPr>
          <w:sz w:val="22"/>
          <w:szCs w:val="22"/>
        </w:rPr>
      </w:pPr>
      <w:r w:rsidRPr="00D43A2F">
        <w:rPr>
          <w:sz w:val="22"/>
          <w:szCs w:val="22"/>
        </w:rPr>
        <w:t>Pacientams, sergantiems kepenų ciroze arba kurių sunkia kepenų liga, gali tekti mažinti dozę, nes METHYLPREDNISOLONE SOPHARMA poveikis gali sustiprėti.</w:t>
      </w:r>
    </w:p>
    <w:p w14:paraId="2F78FE78" w14:textId="77777777" w:rsidR="009F75D0" w:rsidRPr="00D43A2F" w:rsidRDefault="009F75D0" w:rsidP="009F75D0">
      <w:pPr>
        <w:rPr>
          <w:sz w:val="22"/>
          <w:szCs w:val="22"/>
        </w:rPr>
      </w:pPr>
    </w:p>
    <w:p w14:paraId="4FC70D1F" w14:textId="77777777" w:rsidR="009F75D0" w:rsidRPr="00D43A2F" w:rsidRDefault="009F75D0" w:rsidP="009F75D0">
      <w:pPr>
        <w:rPr>
          <w:sz w:val="22"/>
          <w:szCs w:val="22"/>
        </w:rPr>
      </w:pPr>
      <w:r w:rsidRPr="00D43A2F">
        <w:rPr>
          <w:sz w:val="22"/>
          <w:szCs w:val="22"/>
        </w:rPr>
        <w:t>Dozę mažinti ir gydymą nutraukti galima tik palaipsniui.</w:t>
      </w:r>
    </w:p>
    <w:p w14:paraId="224F3BB3" w14:textId="77777777" w:rsidR="009F75D0" w:rsidRPr="00D43A2F" w:rsidRDefault="009F75D0" w:rsidP="009F75D0">
      <w:pPr>
        <w:rPr>
          <w:sz w:val="22"/>
          <w:szCs w:val="22"/>
        </w:rPr>
      </w:pPr>
    </w:p>
    <w:p w14:paraId="54B208E9" w14:textId="77777777" w:rsidR="009F75D0" w:rsidRPr="00D43A2F" w:rsidRDefault="009F75D0" w:rsidP="009F75D0">
      <w:pPr>
        <w:pStyle w:val="PI-3EMEASMCA"/>
        <w:spacing w:line="240" w:lineRule="auto"/>
      </w:pPr>
      <w:r w:rsidRPr="00D43A2F">
        <w:t>Pavartojus per didelę METHYLPREDNISOLONE SOPHARMA dozę</w:t>
      </w:r>
    </w:p>
    <w:p w14:paraId="4D0CA60A" w14:textId="77777777" w:rsidR="009F75D0" w:rsidRPr="00D43A2F" w:rsidRDefault="009F75D0" w:rsidP="009F75D0">
      <w:pPr>
        <w:pStyle w:val="Pagrindinistekstas"/>
        <w:spacing w:after="0"/>
        <w:rPr>
          <w:szCs w:val="22"/>
        </w:rPr>
      </w:pPr>
      <w:r w:rsidRPr="00D43A2F">
        <w:rPr>
          <w:szCs w:val="22"/>
        </w:rPr>
        <w:t>Perdozuoti galima, jei vartojamos didelės METHYLPREDNISOLONE SOPHARMA dozės, o fiziologiniai poreikiai normalūs. Taikomas simptominis gydymas. Jei įmanoma, dozė koreguojama arba gydymas nutraukiamas.</w:t>
      </w:r>
    </w:p>
    <w:p w14:paraId="794AADD6" w14:textId="77777777" w:rsidR="009F75D0" w:rsidRPr="00D43A2F" w:rsidRDefault="009F75D0" w:rsidP="009F75D0">
      <w:pPr>
        <w:pStyle w:val="BTEMEASMCA"/>
      </w:pPr>
    </w:p>
    <w:p w14:paraId="40FBF3A3" w14:textId="77777777" w:rsidR="009F75D0" w:rsidRPr="00D43A2F" w:rsidRDefault="009F75D0" w:rsidP="009F75D0">
      <w:pPr>
        <w:pStyle w:val="PI-3EMEASMCA"/>
        <w:spacing w:line="240" w:lineRule="auto"/>
      </w:pPr>
      <w:r w:rsidRPr="00D43A2F">
        <w:t>Nustojus vartoti METHYLPREDNISOLONE SOPHARMA</w:t>
      </w:r>
    </w:p>
    <w:p w14:paraId="1CBE88A9" w14:textId="77777777" w:rsidR="009F75D0" w:rsidRPr="00D43A2F" w:rsidRDefault="009F75D0" w:rsidP="009F75D0">
      <w:pPr>
        <w:pStyle w:val="BTEMEASMCA"/>
      </w:pPr>
      <w:r w:rsidRPr="00D43A2F">
        <w:t>Jeigu kiltų daugiau klausimų dėl šio vaisto vartojimo, kreipkitės į gydytoją arba vaistininką.</w:t>
      </w:r>
    </w:p>
    <w:p w14:paraId="548D8A11" w14:textId="77777777" w:rsidR="009F75D0" w:rsidRPr="00D43A2F" w:rsidRDefault="009F75D0" w:rsidP="009F75D0">
      <w:pPr>
        <w:pStyle w:val="BTEMEASMCA"/>
      </w:pPr>
    </w:p>
    <w:p w14:paraId="54F6A3BD" w14:textId="77777777" w:rsidR="009F75D0" w:rsidRPr="00D43A2F" w:rsidRDefault="009F75D0" w:rsidP="009F75D0">
      <w:pPr>
        <w:pStyle w:val="BTEMEASMCA"/>
      </w:pPr>
    </w:p>
    <w:p w14:paraId="14F46347" w14:textId="77777777" w:rsidR="009F75D0" w:rsidRPr="00D43A2F" w:rsidRDefault="009F75D0" w:rsidP="009F75D0">
      <w:pPr>
        <w:pStyle w:val="PI-1EMEASMCA"/>
      </w:pPr>
      <w:bookmarkStart w:id="72" w:name="_Toc129243142"/>
      <w:bookmarkStart w:id="73" w:name="_Toc129243267"/>
      <w:r w:rsidRPr="00D43A2F">
        <w:lastRenderedPageBreak/>
        <w:t>4.</w:t>
      </w:r>
      <w:r w:rsidRPr="00D43A2F">
        <w:tab/>
      </w:r>
      <w:r w:rsidRPr="00B34FA1">
        <w:t>Galimas šalutinis poveikis</w:t>
      </w:r>
      <w:bookmarkEnd w:id="72"/>
      <w:bookmarkEnd w:id="73"/>
    </w:p>
    <w:p w14:paraId="7E91578E" w14:textId="77777777" w:rsidR="009F75D0" w:rsidRPr="00D43A2F" w:rsidRDefault="009F75D0" w:rsidP="009F75D0">
      <w:pPr>
        <w:pStyle w:val="BTEMEASMCA"/>
      </w:pPr>
    </w:p>
    <w:p w14:paraId="28D8EEB4" w14:textId="77777777" w:rsidR="009F75D0" w:rsidRPr="005A3FA9" w:rsidRDefault="009F75D0" w:rsidP="009F75D0">
      <w:pPr>
        <w:numPr>
          <w:ilvl w:val="12"/>
          <w:numId w:val="0"/>
        </w:numPr>
        <w:ind w:right="-29"/>
        <w:rPr>
          <w:sz w:val="22"/>
          <w:szCs w:val="22"/>
        </w:rPr>
      </w:pPr>
      <w:r w:rsidRPr="005A3FA9">
        <w:rPr>
          <w:noProof/>
          <w:sz w:val="22"/>
          <w:szCs w:val="22"/>
        </w:rPr>
        <w:t>Šis vaistas, kaip ir visi kiti, gali sukelti šalutinį poveikį, nors jis pasireiškia ne visiems žmonėms.</w:t>
      </w:r>
    </w:p>
    <w:p w14:paraId="254A3CA5" w14:textId="77777777" w:rsidR="009F75D0" w:rsidRDefault="009F75D0" w:rsidP="009F75D0">
      <w:pPr>
        <w:pStyle w:val="BTEMEASMCA"/>
      </w:pPr>
    </w:p>
    <w:p w14:paraId="2C0543D5" w14:textId="77777777" w:rsidR="009F75D0" w:rsidRPr="00D43A2F" w:rsidRDefault="009F75D0" w:rsidP="009F75D0">
      <w:pPr>
        <w:pStyle w:val="BTEMEASMCA"/>
      </w:pPr>
      <w:r w:rsidRPr="00D43A2F">
        <w:t>Jeigu pasireiškė sunkus šalutinis poveikis arba pastebėjote šiame lapelyje nenurodytą šalutinį poveikį, pasakykite gydytojui arba vaistininkui.</w:t>
      </w:r>
    </w:p>
    <w:p w14:paraId="61081D91" w14:textId="77777777" w:rsidR="009F75D0" w:rsidRPr="00D43A2F" w:rsidRDefault="009F75D0" w:rsidP="009F75D0">
      <w:pPr>
        <w:pStyle w:val="BTEMEASMCA"/>
      </w:pPr>
    </w:p>
    <w:p w14:paraId="0F631FB1" w14:textId="77777777" w:rsidR="009F75D0" w:rsidRPr="00D43A2F" w:rsidRDefault="009F75D0" w:rsidP="009F75D0">
      <w:pPr>
        <w:pStyle w:val="Pavadinimas"/>
        <w:jc w:val="left"/>
        <w:rPr>
          <w:b w:val="0"/>
          <w:noProof/>
          <w:szCs w:val="22"/>
          <w:lang w:val="lt-LT"/>
        </w:rPr>
      </w:pPr>
      <w:r w:rsidRPr="00D43A2F">
        <w:rPr>
          <w:b w:val="0"/>
          <w:noProof/>
          <w:szCs w:val="22"/>
          <w:lang w:val="lt-LT"/>
        </w:rPr>
        <w:t>Vartojant  METHYLPREDNISOLONE SOPHARMA gali pasireikšti šios nepageidaujamos reakcijos:</w:t>
      </w:r>
    </w:p>
    <w:p w14:paraId="68C37EDF" w14:textId="77777777" w:rsidR="009F75D0" w:rsidRPr="00D43A2F" w:rsidRDefault="009F75D0" w:rsidP="009F75D0">
      <w:pPr>
        <w:pStyle w:val="Pavadinimas"/>
        <w:jc w:val="left"/>
        <w:rPr>
          <w:b w:val="0"/>
          <w:i/>
          <w:noProof/>
          <w:szCs w:val="22"/>
          <w:lang w:val="lt-LT"/>
        </w:rPr>
      </w:pPr>
    </w:p>
    <w:p w14:paraId="2EE72C58" w14:textId="77777777" w:rsidR="009F75D0" w:rsidRDefault="009F75D0" w:rsidP="009F75D0">
      <w:pPr>
        <w:numPr>
          <w:ilvl w:val="0"/>
          <w:numId w:val="6"/>
        </w:numPr>
        <w:tabs>
          <w:tab w:val="clear" w:pos="930"/>
          <w:tab w:val="num" w:pos="567"/>
        </w:tabs>
        <w:ind w:left="567" w:hanging="425"/>
        <w:rPr>
          <w:sz w:val="22"/>
          <w:szCs w:val="22"/>
        </w:rPr>
      </w:pPr>
      <w:r w:rsidRPr="00D43A2F">
        <w:rPr>
          <w:i/>
          <w:sz w:val="22"/>
          <w:szCs w:val="22"/>
          <w:u w:val="single"/>
        </w:rPr>
        <w:t>Skysčių ir elektrolitų pusiausvyros sutrikimai</w:t>
      </w:r>
      <w:r w:rsidRPr="00D43A2F">
        <w:rPr>
          <w:i/>
          <w:sz w:val="22"/>
          <w:szCs w:val="22"/>
        </w:rPr>
        <w:t>:</w:t>
      </w:r>
      <w:r w:rsidRPr="00D43A2F">
        <w:rPr>
          <w:sz w:val="22"/>
          <w:szCs w:val="22"/>
        </w:rPr>
        <w:t xml:space="preserve"> natrio kaupimasis, širdies nepakankamumas šiam poveikiui jautriems asmenims, sumažėjęs ar padidėjęs kraujo spaudimas, skysčių susilaikymas, kalio kiekio sumažėjimas, </w:t>
      </w:r>
      <w:proofErr w:type="spellStart"/>
      <w:r w:rsidRPr="00D43A2F">
        <w:rPr>
          <w:sz w:val="22"/>
          <w:szCs w:val="22"/>
        </w:rPr>
        <w:t>hipokalieminė</w:t>
      </w:r>
      <w:proofErr w:type="spellEnd"/>
      <w:r>
        <w:rPr>
          <w:sz w:val="22"/>
          <w:szCs w:val="22"/>
        </w:rPr>
        <w:t xml:space="preserve"> </w:t>
      </w:r>
      <w:proofErr w:type="spellStart"/>
      <w:r w:rsidRPr="00D43A2F">
        <w:rPr>
          <w:sz w:val="22"/>
          <w:szCs w:val="22"/>
        </w:rPr>
        <w:t>alkalozė</w:t>
      </w:r>
      <w:proofErr w:type="spellEnd"/>
      <w:r w:rsidRPr="00D43A2F">
        <w:rPr>
          <w:sz w:val="22"/>
          <w:szCs w:val="22"/>
        </w:rPr>
        <w:t xml:space="preserve">, padidėjusi </w:t>
      </w:r>
      <w:proofErr w:type="spellStart"/>
      <w:r w:rsidRPr="00D43A2F">
        <w:rPr>
          <w:sz w:val="22"/>
          <w:szCs w:val="22"/>
        </w:rPr>
        <w:t>koaguliacija</w:t>
      </w:r>
      <w:proofErr w:type="spellEnd"/>
      <w:r w:rsidRPr="00D43A2F">
        <w:rPr>
          <w:sz w:val="22"/>
          <w:szCs w:val="22"/>
        </w:rPr>
        <w:t>, leukocitų kiekio kraujyje pagausėjimas.</w:t>
      </w:r>
    </w:p>
    <w:p w14:paraId="759D050E" w14:textId="77777777" w:rsidR="009F75D0" w:rsidRPr="009430FC" w:rsidRDefault="009F75D0" w:rsidP="009F75D0">
      <w:pPr>
        <w:pStyle w:val="Sraopastraipa"/>
        <w:numPr>
          <w:ilvl w:val="0"/>
          <w:numId w:val="6"/>
        </w:numPr>
        <w:tabs>
          <w:tab w:val="clear" w:pos="930"/>
        </w:tabs>
        <w:autoSpaceDE w:val="0"/>
        <w:autoSpaceDN w:val="0"/>
        <w:adjustRightInd w:val="0"/>
        <w:ind w:left="567" w:hanging="425"/>
      </w:pPr>
      <w:r w:rsidRPr="00700D38">
        <w:rPr>
          <w:i/>
          <w:sz w:val="22"/>
          <w:szCs w:val="22"/>
          <w:u w:val="single"/>
        </w:rPr>
        <w:t>Kraujo ir limfinės sistemos sutrikimai</w:t>
      </w:r>
      <w:r w:rsidRPr="00F43648">
        <w:rPr>
          <w:sz w:val="22"/>
          <w:szCs w:val="22"/>
        </w:rPr>
        <w:t xml:space="preserve">: </w:t>
      </w:r>
      <w:r>
        <w:rPr>
          <w:sz w:val="22"/>
          <w:szCs w:val="22"/>
        </w:rPr>
        <w:t>b</w:t>
      </w:r>
      <w:r w:rsidRPr="00F43648">
        <w:rPr>
          <w:bCs/>
          <w:sz w:val="22"/>
          <w:szCs w:val="22"/>
        </w:rPr>
        <w:t>altųjų kraujo ląstelių kiekio padidėjimas</w:t>
      </w:r>
      <w:r>
        <w:rPr>
          <w:bCs/>
          <w:sz w:val="22"/>
          <w:szCs w:val="22"/>
        </w:rPr>
        <w:t>.</w:t>
      </w:r>
    </w:p>
    <w:p w14:paraId="23D7E92B" w14:textId="77777777" w:rsidR="009F75D0" w:rsidRPr="00D43A2F" w:rsidRDefault="009F75D0" w:rsidP="009F75D0">
      <w:pPr>
        <w:numPr>
          <w:ilvl w:val="0"/>
          <w:numId w:val="6"/>
        </w:numPr>
        <w:tabs>
          <w:tab w:val="clear" w:pos="930"/>
          <w:tab w:val="num" w:pos="567"/>
        </w:tabs>
        <w:ind w:left="567" w:hanging="425"/>
        <w:rPr>
          <w:sz w:val="22"/>
          <w:szCs w:val="22"/>
        </w:rPr>
      </w:pPr>
      <w:r w:rsidRPr="00D43A2F">
        <w:rPr>
          <w:i/>
          <w:sz w:val="22"/>
          <w:szCs w:val="22"/>
          <w:u w:val="single"/>
        </w:rPr>
        <w:t>Poveikis širdies ir kraujagyslių sistemai</w:t>
      </w:r>
      <w:r w:rsidRPr="00D43A2F">
        <w:rPr>
          <w:i/>
          <w:sz w:val="22"/>
          <w:szCs w:val="22"/>
        </w:rPr>
        <w:t>:</w:t>
      </w:r>
      <w:r w:rsidRPr="00D43A2F">
        <w:rPr>
          <w:sz w:val="22"/>
          <w:szCs w:val="22"/>
        </w:rPr>
        <w:t xml:space="preserve"> miokardo (širdies raumens) plyšimas po miokardo infarkto; širdies ritmo sutrikimas (aritmija), </w:t>
      </w:r>
      <w:proofErr w:type="spellStart"/>
      <w:r w:rsidRPr="00D43A2F">
        <w:rPr>
          <w:sz w:val="22"/>
          <w:szCs w:val="22"/>
        </w:rPr>
        <w:t>tromboembolija</w:t>
      </w:r>
      <w:proofErr w:type="spellEnd"/>
      <w:r w:rsidRPr="00D43A2F">
        <w:rPr>
          <w:sz w:val="22"/>
          <w:szCs w:val="22"/>
        </w:rPr>
        <w:t xml:space="preserve"> (kraujagyslės užsikimšimas </w:t>
      </w:r>
      <w:proofErr w:type="spellStart"/>
      <w:r w:rsidRPr="00D43A2F">
        <w:rPr>
          <w:sz w:val="22"/>
          <w:szCs w:val="22"/>
        </w:rPr>
        <w:t>trombu</w:t>
      </w:r>
      <w:proofErr w:type="spellEnd"/>
      <w:r w:rsidRPr="00D43A2F">
        <w:rPr>
          <w:sz w:val="22"/>
          <w:szCs w:val="22"/>
        </w:rPr>
        <w:t>)</w:t>
      </w:r>
      <w:r>
        <w:rPr>
          <w:sz w:val="22"/>
          <w:szCs w:val="22"/>
        </w:rPr>
        <w:t>, padidėjęs kraujo krešėjimas</w:t>
      </w:r>
      <w:r w:rsidRPr="00D43A2F">
        <w:rPr>
          <w:sz w:val="22"/>
          <w:szCs w:val="22"/>
        </w:rPr>
        <w:t>.</w:t>
      </w:r>
    </w:p>
    <w:p w14:paraId="2D18CC7F" w14:textId="77777777" w:rsidR="009F75D0" w:rsidRPr="00D43A2F" w:rsidRDefault="009F75D0" w:rsidP="009F75D0">
      <w:pPr>
        <w:numPr>
          <w:ilvl w:val="0"/>
          <w:numId w:val="6"/>
        </w:numPr>
        <w:tabs>
          <w:tab w:val="clear" w:pos="930"/>
          <w:tab w:val="num" w:pos="567"/>
        </w:tabs>
        <w:ind w:left="567" w:hanging="425"/>
        <w:rPr>
          <w:sz w:val="22"/>
          <w:szCs w:val="22"/>
        </w:rPr>
      </w:pPr>
      <w:r w:rsidRPr="00D43A2F">
        <w:rPr>
          <w:i/>
          <w:sz w:val="22"/>
          <w:szCs w:val="22"/>
          <w:u w:val="single"/>
        </w:rPr>
        <w:t>Kaulų ir raumenų sistema</w:t>
      </w:r>
      <w:r w:rsidRPr="00D43A2F">
        <w:rPr>
          <w:i/>
          <w:sz w:val="22"/>
          <w:szCs w:val="22"/>
        </w:rPr>
        <w:t>:</w:t>
      </w:r>
      <w:r w:rsidRPr="00D43A2F">
        <w:rPr>
          <w:sz w:val="22"/>
          <w:szCs w:val="22"/>
        </w:rPr>
        <w:t xml:space="preserve"> steroidinė </w:t>
      </w:r>
      <w:proofErr w:type="spellStart"/>
      <w:r w:rsidRPr="00D43A2F">
        <w:rPr>
          <w:sz w:val="22"/>
          <w:szCs w:val="22"/>
        </w:rPr>
        <w:t>miopatija</w:t>
      </w:r>
      <w:proofErr w:type="spellEnd"/>
      <w:r w:rsidRPr="00D43A2F">
        <w:rPr>
          <w:sz w:val="22"/>
          <w:szCs w:val="22"/>
        </w:rPr>
        <w:t xml:space="preserve"> (raumenų liga), raumenų silpnumas, kaulo išretėjimas (osteoporozė), patologiniai kaulų lūžiai, slankstelių lūžiai, </w:t>
      </w:r>
      <w:proofErr w:type="spellStart"/>
      <w:r w:rsidRPr="00D43A2F">
        <w:rPr>
          <w:sz w:val="22"/>
          <w:szCs w:val="22"/>
        </w:rPr>
        <w:t>aseptinė</w:t>
      </w:r>
      <w:proofErr w:type="spellEnd"/>
      <w:r w:rsidRPr="00D43A2F">
        <w:rPr>
          <w:sz w:val="22"/>
          <w:szCs w:val="22"/>
        </w:rPr>
        <w:t xml:space="preserve"> nekrozė (dalies organo žuvimas), sausgyslių plyšimai (ypač Achilo sausgyslės), nuovargis.</w:t>
      </w:r>
    </w:p>
    <w:p w14:paraId="2B69EE9E" w14:textId="77777777" w:rsidR="009F75D0" w:rsidRDefault="009F75D0" w:rsidP="009F75D0">
      <w:pPr>
        <w:numPr>
          <w:ilvl w:val="0"/>
          <w:numId w:val="6"/>
        </w:numPr>
        <w:tabs>
          <w:tab w:val="clear" w:pos="930"/>
          <w:tab w:val="num" w:pos="567"/>
        </w:tabs>
        <w:ind w:left="567" w:hanging="425"/>
        <w:rPr>
          <w:sz w:val="22"/>
          <w:szCs w:val="22"/>
        </w:rPr>
      </w:pPr>
      <w:r w:rsidRPr="00D43A2F">
        <w:rPr>
          <w:i/>
          <w:sz w:val="22"/>
          <w:szCs w:val="22"/>
          <w:u w:val="single"/>
        </w:rPr>
        <w:t>Virškinimo sistema</w:t>
      </w:r>
      <w:r w:rsidRPr="00D43A2F">
        <w:rPr>
          <w:i/>
          <w:sz w:val="22"/>
          <w:szCs w:val="22"/>
        </w:rPr>
        <w:t>:</w:t>
      </w:r>
      <w:r w:rsidRPr="00D43A2F">
        <w:rPr>
          <w:sz w:val="22"/>
          <w:szCs w:val="22"/>
        </w:rPr>
        <w:t xml:space="preserve"> skrandžio opa, prakiurimas ir kraujavimas iš skrandžio, kasos uždegimas, stemplės uždegimas, žarnų prakiurimas (perforacija), stemplės išopėjimas, stemplės grybelinė liga, pykinimas, vėmimas, blogas skonis.</w:t>
      </w:r>
    </w:p>
    <w:p w14:paraId="19F3EC02" w14:textId="77777777" w:rsidR="009F75D0" w:rsidRPr="00102696" w:rsidRDefault="009F75D0" w:rsidP="009F75D0">
      <w:pPr>
        <w:pStyle w:val="Sraopastraipa"/>
        <w:numPr>
          <w:ilvl w:val="0"/>
          <w:numId w:val="6"/>
        </w:numPr>
        <w:tabs>
          <w:tab w:val="clear" w:pos="930"/>
          <w:tab w:val="num" w:pos="567"/>
        </w:tabs>
        <w:autoSpaceDE w:val="0"/>
        <w:autoSpaceDN w:val="0"/>
        <w:adjustRightInd w:val="0"/>
        <w:ind w:left="567" w:hanging="425"/>
        <w:rPr>
          <w:bCs/>
        </w:rPr>
      </w:pPr>
      <w:r w:rsidRPr="00700D38">
        <w:rPr>
          <w:i/>
          <w:sz w:val="22"/>
          <w:szCs w:val="22"/>
          <w:u w:val="single"/>
        </w:rPr>
        <w:t>Kepenų, tulžies pūslės ir latakų sutrikimai</w:t>
      </w:r>
      <w:r w:rsidRPr="00F43648">
        <w:rPr>
          <w:sz w:val="22"/>
          <w:szCs w:val="22"/>
        </w:rPr>
        <w:t xml:space="preserve">: </w:t>
      </w:r>
      <w:proofErr w:type="spellStart"/>
      <w:r>
        <w:rPr>
          <w:sz w:val="22"/>
          <w:szCs w:val="22"/>
        </w:rPr>
        <w:t>m</w:t>
      </w:r>
      <w:r w:rsidRPr="00F43648">
        <w:rPr>
          <w:bCs/>
          <w:sz w:val="22"/>
          <w:szCs w:val="22"/>
        </w:rPr>
        <w:t>etilprednizolonas</w:t>
      </w:r>
      <w:proofErr w:type="spellEnd"/>
      <w:r w:rsidRPr="00F43648">
        <w:rPr>
          <w:bCs/>
          <w:sz w:val="22"/>
          <w:szCs w:val="22"/>
        </w:rPr>
        <w:t xml:space="preserve"> gali pažeisti kepenis; gauta pranešimų apie hepatitą ir</w:t>
      </w:r>
      <w:r w:rsidRPr="00102696">
        <w:rPr>
          <w:bCs/>
        </w:rPr>
        <w:t xml:space="preserve"> </w:t>
      </w:r>
      <w:r w:rsidRPr="00F43648">
        <w:rPr>
          <w:bCs/>
          <w:sz w:val="22"/>
          <w:szCs w:val="22"/>
        </w:rPr>
        <w:t>padidėjusį kepenų fermentų aktyvumą.</w:t>
      </w:r>
    </w:p>
    <w:p w14:paraId="3DB1BC94" w14:textId="77777777" w:rsidR="009F75D0" w:rsidRPr="00D43A2F" w:rsidRDefault="009F75D0" w:rsidP="009F75D0">
      <w:pPr>
        <w:numPr>
          <w:ilvl w:val="0"/>
          <w:numId w:val="6"/>
        </w:numPr>
        <w:tabs>
          <w:tab w:val="clear" w:pos="930"/>
          <w:tab w:val="num" w:pos="567"/>
        </w:tabs>
        <w:ind w:left="567" w:hanging="425"/>
        <w:rPr>
          <w:sz w:val="22"/>
          <w:szCs w:val="22"/>
        </w:rPr>
      </w:pPr>
      <w:r w:rsidRPr="00D43A2F">
        <w:rPr>
          <w:i/>
          <w:sz w:val="22"/>
          <w:szCs w:val="22"/>
          <w:u w:val="single"/>
        </w:rPr>
        <w:t>Poveikis odai</w:t>
      </w:r>
      <w:r w:rsidRPr="00D43A2F">
        <w:rPr>
          <w:i/>
          <w:sz w:val="22"/>
          <w:szCs w:val="22"/>
        </w:rPr>
        <w:t>:</w:t>
      </w:r>
      <w:r w:rsidRPr="00D43A2F">
        <w:rPr>
          <w:sz w:val="22"/>
          <w:szCs w:val="22"/>
        </w:rPr>
        <w:t xml:space="preserve"> blogesnis žaizdų gijimas, įvairaus dydžio kraujosruvos, išplonėjusi ir skilinėjanti oda, mėlynės, </w:t>
      </w:r>
      <w:proofErr w:type="spellStart"/>
      <w:r w:rsidRPr="00D43A2F">
        <w:rPr>
          <w:sz w:val="22"/>
          <w:szCs w:val="22"/>
        </w:rPr>
        <w:t>strijos</w:t>
      </w:r>
      <w:proofErr w:type="spellEnd"/>
      <w:r w:rsidRPr="00D43A2F">
        <w:rPr>
          <w:sz w:val="22"/>
          <w:szCs w:val="22"/>
        </w:rPr>
        <w:t xml:space="preserve">, </w:t>
      </w:r>
      <w:proofErr w:type="spellStart"/>
      <w:r w:rsidRPr="00D43A2F">
        <w:rPr>
          <w:sz w:val="22"/>
          <w:szCs w:val="22"/>
        </w:rPr>
        <w:t>telangiektazijos</w:t>
      </w:r>
      <w:proofErr w:type="spellEnd"/>
      <w:r w:rsidRPr="00D43A2F">
        <w:rPr>
          <w:sz w:val="22"/>
          <w:szCs w:val="22"/>
        </w:rPr>
        <w:t xml:space="preserve"> (odos sutrikimas), spuogai.</w:t>
      </w:r>
    </w:p>
    <w:p w14:paraId="669C47EA" w14:textId="77777777" w:rsidR="009F75D0" w:rsidRPr="009430FC" w:rsidRDefault="009F75D0" w:rsidP="009F75D0">
      <w:pPr>
        <w:numPr>
          <w:ilvl w:val="0"/>
          <w:numId w:val="6"/>
        </w:numPr>
        <w:tabs>
          <w:tab w:val="clear" w:pos="930"/>
          <w:tab w:val="num" w:pos="567"/>
        </w:tabs>
        <w:ind w:left="567" w:hanging="425"/>
        <w:rPr>
          <w:sz w:val="22"/>
          <w:szCs w:val="22"/>
        </w:rPr>
      </w:pPr>
      <w:r w:rsidRPr="009430FC">
        <w:rPr>
          <w:i/>
          <w:sz w:val="22"/>
          <w:szCs w:val="22"/>
          <w:u w:val="single"/>
        </w:rPr>
        <w:t>Medžiagų apykaita</w:t>
      </w:r>
      <w:r w:rsidRPr="009430FC">
        <w:rPr>
          <w:i/>
          <w:sz w:val="22"/>
          <w:szCs w:val="22"/>
        </w:rPr>
        <w:t>:</w:t>
      </w:r>
      <w:r w:rsidRPr="009430FC">
        <w:rPr>
          <w:sz w:val="22"/>
          <w:szCs w:val="22"/>
        </w:rPr>
        <w:t xml:space="preserve"> neigiamas azoto balansas dėl baltymų skaidymo</w:t>
      </w:r>
      <w:r w:rsidRPr="0073723A">
        <w:rPr>
          <w:sz w:val="22"/>
          <w:szCs w:val="22"/>
        </w:rPr>
        <w:t>, r</w:t>
      </w:r>
      <w:r w:rsidRPr="0073723A">
        <w:rPr>
          <w:bCs/>
          <w:sz w:val="22"/>
          <w:szCs w:val="22"/>
        </w:rPr>
        <w:t>iebalų kaupimasis tam tikrose kūno vietose</w:t>
      </w:r>
      <w:r w:rsidRPr="009430FC">
        <w:rPr>
          <w:sz w:val="22"/>
          <w:szCs w:val="22"/>
        </w:rPr>
        <w:t>.</w:t>
      </w:r>
    </w:p>
    <w:p w14:paraId="147FC729" w14:textId="77777777" w:rsidR="009F75D0" w:rsidRPr="00D43A2F" w:rsidRDefault="009F75D0" w:rsidP="009F75D0">
      <w:pPr>
        <w:numPr>
          <w:ilvl w:val="0"/>
          <w:numId w:val="6"/>
        </w:numPr>
        <w:tabs>
          <w:tab w:val="clear" w:pos="930"/>
          <w:tab w:val="num" w:pos="567"/>
        </w:tabs>
        <w:ind w:left="567" w:hanging="425"/>
        <w:rPr>
          <w:sz w:val="22"/>
          <w:szCs w:val="22"/>
        </w:rPr>
      </w:pPr>
      <w:r w:rsidRPr="00D43A2F">
        <w:rPr>
          <w:i/>
          <w:sz w:val="22"/>
          <w:szCs w:val="22"/>
          <w:u w:val="single"/>
        </w:rPr>
        <w:t>Nervų sistema</w:t>
      </w:r>
      <w:r w:rsidRPr="00D43A2F">
        <w:rPr>
          <w:i/>
          <w:sz w:val="22"/>
          <w:szCs w:val="22"/>
        </w:rPr>
        <w:t>:</w:t>
      </w:r>
      <w:r w:rsidRPr="00D43A2F">
        <w:rPr>
          <w:sz w:val="22"/>
          <w:szCs w:val="22"/>
        </w:rPr>
        <w:t xml:space="preserve"> padidėjęs spaudimas kaukolėje, smegenų tariamieji augliai, gali pasunkėti esami psichikos sutrikimai, traukuliai, dirglumas, euforija, depresija, mintys apie savižudybę, nuotaikų kaita, </w:t>
      </w:r>
      <w:proofErr w:type="spellStart"/>
      <w:r w:rsidRPr="00D43A2F">
        <w:rPr>
          <w:sz w:val="22"/>
          <w:szCs w:val="22"/>
        </w:rPr>
        <w:t>psichotinės</w:t>
      </w:r>
      <w:proofErr w:type="spellEnd"/>
      <w:r w:rsidRPr="00D43A2F">
        <w:rPr>
          <w:sz w:val="22"/>
          <w:szCs w:val="22"/>
        </w:rPr>
        <w:t xml:space="preserve"> reakcijos (įskaitant maniją, haliucinacijas, šizofrenijos pasunkėjimą), elgesio sutrikimai, irzlumas, nerimas, miego sutrikimai, priepuoliai, kognityvinė disfunkcija, įskaitant sumišimą ir amneziją.</w:t>
      </w:r>
    </w:p>
    <w:p w14:paraId="050819A2" w14:textId="77777777" w:rsidR="009F75D0" w:rsidRPr="00D43A2F" w:rsidRDefault="009F75D0" w:rsidP="009F75D0">
      <w:pPr>
        <w:numPr>
          <w:ilvl w:val="0"/>
          <w:numId w:val="6"/>
        </w:numPr>
        <w:tabs>
          <w:tab w:val="clear" w:pos="930"/>
          <w:tab w:val="num" w:pos="567"/>
        </w:tabs>
        <w:ind w:left="567" w:hanging="425"/>
        <w:rPr>
          <w:sz w:val="22"/>
          <w:szCs w:val="22"/>
        </w:rPr>
      </w:pPr>
      <w:r w:rsidRPr="00D43A2F">
        <w:rPr>
          <w:i/>
          <w:sz w:val="22"/>
          <w:szCs w:val="22"/>
          <w:u w:val="single"/>
        </w:rPr>
        <w:t>Endokrininė sistema</w:t>
      </w:r>
      <w:r w:rsidRPr="00D43A2F">
        <w:rPr>
          <w:i/>
          <w:sz w:val="22"/>
          <w:szCs w:val="22"/>
        </w:rPr>
        <w:t xml:space="preserve">: </w:t>
      </w:r>
      <w:r w:rsidRPr="00D43A2F">
        <w:rPr>
          <w:sz w:val="22"/>
          <w:szCs w:val="22"/>
        </w:rPr>
        <w:t xml:space="preserve">mėnesinių ciklo sutrikimai, mėnesinių nebuvimas, </w:t>
      </w:r>
      <w:proofErr w:type="spellStart"/>
      <w:r w:rsidRPr="00D43A2F">
        <w:rPr>
          <w:sz w:val="22"/>
          <w:szCs w:val="22"/>
        </w:rPr>
        <w:t>Kušingo</w:t>
      </w:r>
      <w:proofErr w:type="spellEnd"/>
      <w:r w:rsidRPr="00D43A2F">
        <w:rPr>
          <w:sz w:val="22"/>
          <w:szCs w:val="22"/>
        </w:rPr>
        <w:t xml:space="preserve"> sindromas, padidėjęs plaukuotumas, viršsvoris, padidėjęs apetitas, kankorėžinės liaukos ir antinksčių sistemos slopinimas, gliukozės toleravimo pablogėjimas, latentinio cukrinio diabeto išryškėjimas, didesnis insulino ar geriamųjų vaistų nuo diabeto poreikis, vaikams slopinamas augimas, neigiamas kalcio balansas.</w:t>
      </w:r>
    </w:p>
    <w:p w14:paraId="22CC15FF" w14:textId="77777777" w:rsidR="009F75D0" w:rsidRPr="00D43A2F" w:rsidRDefault="009F75D0" w:rsidP="009F75D0">
      <w:pPr>
        <w:numPr>
          <w:ilvl w:val="0"/>
          <w:numId w:val="6"/>
        </w:numPr>
        <w:tabs>
          <w:tab w:val="clear" w:pos="930"/>
          <w:tab w:val="num" w:pos="567"/>
        </w:tabs>
        <w:ind w:left="567" w:hanging="425"/>
        <w:rPr>
          <w:sz w:val="22"/>
          <w:szCs w:val="22"/>
        </w:rPr>
      </w:pPr>
      <w:r w:rsidRPr="00D43A2F">
        <w:rPr>
          <w:i/>
          <w:sz w:val="22"/>
          <w:szCs w:val="22"/>
          <w:u w:val="single"/>
        </w:rPr>
        <w:t>Poveikis akims</w:t>
      </w:r>
      <w:r w:rsidRPr="00D43A2F">
        <w:rPr>
          <w:i/>
          <w:sz w:val="22"/>
          <w:szCs w:val="22"/>
        </w:rPr>
        <w:t>:</w:t>
      </w:r>
      <w:r w:rsidRPr="00D43A2F">
        <w:rPr>
          <w:sz w:val="22"/>
          <w:szCs w:val="22"/>
        </w:rPr>
        <w:t xml:space="preserve"> glaukoma (akių liga, kurios metu padidėja akispūdis), </w:t>
      </w:r>
      <w:proofErr w:type="spellStart"/>
      <w:r w:rsidRPr="00D43A2F">
        <w:rPr>
          <w:sz w:val="22"/>
          <w:szCs w:val="22"/>
        </w:rPr>
        <w:t>papiloedema</w:t>
      </w:r>
      <w:proofErr w:type="spellEnd"/>
      <w:r w:rsidRPr="00D43A2F">
        <w:rPr>
          <w:sz w:val="22"/>
          <w:szCs w:val="22"/>
        </w:rPr>
        <w:t xml:space="preserve"> (optinio disko patinimas), su galimu optinio nervo pakenkimu, ragenos ar </w:t>
      </w:r>
      <w:proofErr w:type="spellStart"/>
      <w:r w:rsidRPr="00D43A2F">
        <w:rPr>
          <w:sz w:val="22"/>
          <w:szCs w:val="22"/>
        </w:rPr>
        <w:t>skleros</w:t>
      </w:r>
      <w:proofErr w:type="spellEnd"/>
      <w:r w:rsidRPr="00D43A2F">
        <w:rPr>
          <w:sz w:val="22"/>
          <w:szCs w:val="22"/>
        </w:rPr>
        <w:t xml:space="preserve"> išplonėjimas, užpakalinė </w:t>
      </w:r>
      <w:proofErr w:type="spellStart"/>
      <w:r w:rsidRPr="00D43A2F">
        <w:rPr>
          <w:sz w:val="22"/>
          <w:szCs w:val="22"/>
        </w:rPr>
        <w:t>pokapsulinė</w:t>
      </w:r>
      <w:proofErr w:type="spellEnd"/>
      <w:r w:rsidRPr="00D43A2F">
        <w:rPr>
          <w:sz w:val="22"/>
          <w:szCs w:val="22"/>
        </w:rPr>
        <w:t xml:space="preserve"> katarakta (lęšiuko padrumstėjimas), padidėjęs akispūdis, išverstakumas, akių virusinės ar grybelinės infekcijos paūmėjimas</w:t>
      </w:r>
      <w:r>
        <w:rPr>
          <w:sz w:val="22"/>
          <w:szCs w:val="22"/>
        </w:rPr>
        <w:t xml:space="preserve">, </w:t>
      </w:r>
      <w:r w:rsidRPr="00102696">
        <w:rPr>
          <w:bCs/>
        </w:rPr>
        <w:t>t</w:t>
      </w:r>
      <w:r w:rsidRPr="001D3882">
        <w:rPr>
          <w:bCs/>
          <w:sz w:val="22"/>
          <w:szCs w:val="22"/>
        </w:rPr>
        <w:t xml:space="preserve">inklainės ir </w:t>
      </w:r>
      <w:proofErr w:type="spellStart"/>
      <w:r w:rsidRPr="001D3882">
        <w:rPr>
          <w:bCs/>
          <w:sz w:val="22"/>
          <w:szCs w:val="22"/>
        </w:rPr>
        <w:t>gyslainės</w:t>
      </w:r>
      <w:proofErr w:type="spellEnd"/>
      <w:r w:rsidRPr="001D3882">
        <w:rPr>
          <w:bCs/>
          <w:sz w:val="22"/>
          <w:szCs w:val="22"/>
        </w:rPr>
        <w:t xml:space="preserve"> membranos ligos</w:t>
      </w:r>
      <w:r w:rsidRPr="00D43A2F">
        <w:rPr>
          <w:sz w:val="22"/>
          <w:szCs w:val="22"/>
        </w:rPr>
        <w:t>.</w:t>
      </w:r>
    </w:p>
    <w:p w14:paraId="0A74AFAE" w14:textId="77777777" w:rsidR="009F75D0" w:rsidRPr="00D43A2F" w:rsidRDefault="009F75D0" w:rsidP="009F75D0">
      <w:pPr>
        <w:numPr>
          <w:ilvl w:val="0"/>
          <w:numId w:val="6"/>
        </w:numPr>
        <w:tabs>
          <w:tab w:val="clear" w:pos="930"/>
          <w:tab w:val="num" w:pos="567"/>
        </w:tabs>
        <w:ind w:left="567" w:hanging="425"/>
        <w:rPr>
          <w:sz w:val="22"/>
          <w:szCs w:val="22"/>
        </w:rPr>
      </w:pPr>
      <w:r w:rsidRPr="00D43A2F">
        <w:rPr>
          <w:i/>
          <w:sz w:val="22"/>
          <w:szCs w:val="22"/>
          <w:u w:val="single"/>
        </w:rPr>
        <w:t>Imuninė sistema</w:t>
      </w:r>
      <w:r w:rsidRPr="00D43A2F">
        <w:rPr>
          <w:i/>
          <w:sz w:val="22"/>
          <w:szCs w:val="22"/>
        </w:rPr>
        <w:t>:</w:t>
      </w:r>
      <w:r w:rsidRPr="00D43A2F">
        <w:rPr>
          <w:sz w:val="22"/>
          <w:szCs w:val="22"/>
        </w:rPr>
        <w:t xml:space="preserve"> slaptos eigos infekcinės ligos, latentinių infekcinių ligų suaktyvėjimas, mikroorganizmų sukeltos infekcinės ligos, galimas odos mėginių reakcijų susilpnėjimas, padidėjusio jautrumo reakcijos (įskaitant anafilaksinį šoką, širdies sustojimą ir </w:t>
      </w:r>
      <w:proofErr w:type="spellStart"/>
      <w:r w:rsidRPr="00D43A2F">
        <w:rPr>
          <w:sz w:val="22"/>
          <w:szCs w:val="22"/>
        </w:rPr>
        <w:t>bronchospazmą</w:t>
      </w:r>
      <w:proofErr w:type="spellEnd"/>
      <w:r w:rsidRPr="00D43A2F">
        <w:rPr>
          <w:sz w:val="22"/>
          <w:szCs w:val="22"/>
        </w:rPr>
        <w:t>).</w:t>
      </w:r>
    </w:p>
    <w:p w14:paraId="39846A19" w14:textId="77777777" w:rsidR="009F75D0" w:rsidRPr="00D43A2F" w:rsidRDefault="009F75D0" w:rsidP="009F75D0">
      <w:pPr>
        <w:numPr>
          <w:ilvl w:val="0"/>
          <w:numId w:val="6"/>
        </w:numPr>
        <w:tabs>
          <w:tab w:val="clear" w:pos="930"/>
          <w:tab w:val="num" w:pos="567"/>
        </w:tabs>
        <w:ind w:left="567" w:hanging="425"/>
        <w:rPr>
          <w:sz w:val="22"/>
          <w:szCs w:val="22"/>
        </w:rPr>
      </w:pPr>
      <w:r w:rsidRPr="00D43A2F">
        <w:rPr>
          <w:i/>
          <w:sz w:val="22"/>
          <w:szCs w:val="22"/>
          <w:u w:val="single"/>
        </w:rPr>
        <w:t>Tyrimų rodmenys:</w:t>
      </w:r>
      <w:r w:rsidRPr="00D43A2F">
        <w:rPr>
          <w:sz w:val="22"/>
          <w:szCs w:val="22"/>
        </w:rPr>
        <w:t xml:space="preserve"> gali padidėti tam tikri tyrimų rodmenys (</w:t>
      </w:r>
      <w:proofErr w:type="spellStart"/>
      <w:r w:rsidRPr="00D43A2F">
        <w:rPr>
          <w:sz w:val="22"/>
          <w:szCs w:val="22"/>
        </w:rPr>
        <w:t>alaninas</w:t>
      </w:r>
      <w:proofErr w:type="spellEnd"/>
      <w:r w:rsidRPr="00D43A2F">
        <w:rPr>
          <w:sz w:val="22"/>
          <w:szCs w:val="22"/>
        </w:rPr>
        <w:t xml:space="preserve"> (ALT, SGPT), </w:t>
      </w:r>
      <w:proofErr w:type="spellStart"/>
      <w:r w:rsidRPr="00D43A2F">
        <w:rPr>
          <w:sz w:val="22"/>
          <w:szCs w:val="22"/>
        </w:rPr>
        <w:t>aspartato</w:t>
      </w:r>
      <w:proofErr w:type="spellEnd"/>
      <w:r w:rsidRPr="00D43A2F">
        <w:rPr>
          <w:sz w:val="22"/>
          <w:szCs w:val="22"/>
        </w:rPr>
        <w:t xml:space="preserve"> (AST, SGOT) </w:t>
      </w:r>
      <w:proofErr w:type="spellStart"/>
      <w:r w:rsidRPr="00D43A2F">
        <w:rPr>
          <w:sz w:val="22"/>
          <w:szCs w:val="22"/>
        </w:rPr>
        <w:t>transaminazės</w:t>
      </w:r>
      <w:proofErr w:type="spellEnd"/>
      <w:r w:rsidRPr="00D43A2F">
        <w:rPr>
          <w:sz w:val="22"/>
          <w:szCs w:val="22"/>
        </w:rPr>
        <w:t xml:space="preserve"> ir šarminė </w:t>
      </w:r>
      <w:proofErr w:type="spellStart"/>
      <w:r w:rsidRPr="00D43A2F">
        <w:rPr>
          <w:sz w:val="22"/>
          <w:szCs w:val="22"/>
        </w:rPr>
        <w:t>fosfatazė</w:t>
      </w:r>
      <w:proofErr w:type="spellEnd"/>
      <w:r w:rsidRPr="00D43A2F">
        <w:rPr>
          <w:sz w:val="22"/>
          <w:szCs w:val="22"/>
        </w:rPr>
        <w:t>).</w:t>
      </w:r>
    </w:p>
    <w:p w14:paraId="27E70A4A" w14:textId="77777777" w:rsidR="009F75D0" w:rsidRPr="00D43A2F" w:rsidRDefault="009F75D0" w:rsidP="009F75D0">
      <w:pPr>
        <w:numPr>
          <w:ilvl w:val="0"/>
          <w:numId w:val="6"/>
        </w:numPr>
        <w:tabs>
          <w:tab w:val="clear" w:pos="930"/>
          <w:tab w:val="num" w:pos="567"/>
        </w:tabs>
        <w:ind w:left="567" w:hanging="425"/>
        <w:rPr>
          <w:sz w:val="22"/>
          <w:szCs w:val="22"/>
        </w:rPr>
      </w:pPr>
      <w:r w:rsidRPr="00D43A2F">
        <w:rPr>
          <w:i/>
          <w:sz w:val="22"/>
          <w:szCs w:val="22"/>
          <w:u w:val="single"/>
        </w:rPr>
        <w:t>Bendrieji sutrikimai:</w:t>
      </w:r>
      <w:r w:rsidRPr="00D43A2F">
        <w:rPr>
          <w:sz w:val="22"/>
          <w:szCs w:val="22"/>
        </w:rPr>
        <w:t xml:space="preserve"> didelės </w:t>
      </w:r>
      <w:proofErr w:type="spellStart"/>
      <w:r w:rsidRPr="00D43A2F">
        <w:rPr>
          <w:sz w:val="22"/>
          <w:szCs w:val="22"/>
        </w:rPr>
        <w:t>gliukokortikoidų</w:t>
      </w:r>
      <w:proofErr w:type="spellEnd"/>
      <w:r w:rsidRPr="00D43A2F">
        <w:rPr>
          <w:sz w:val="22"/>
          <w:szCs w:val="22"/>
        </w:rPr>
        <w:t xml:space="preserve"> dozės gali sukelti nuolatinį žagsėjimą.</w:t>
      </w:r>
    </w:p>
    <w:p w14:paraId="65827E1D" w14:textId="77777777" w:rsidR="009F75D0" w:rsidRPr="00D43A2F" w:rsidRDefault="009F75D0" w:rsidP="009F75D0">
      <w:pPr>
        <w:pStyle w:val="Pagrindinistekstas"/>
        <w:spacing w:after="0"/>
        <w:rPr>
          <w:szCs w:val="22"/>
        </w:rPr>
      </w:pPr>
    </w:p>
    <w:p w14:paraId="5A2D1871" w14:textId="77777777" w:rsidR="009F75D0" w:rsidRPr="00D43A2F" w:rsidRDefault="009F75D0" w:rsidP="009F75D0">
      <w:pPr>
        <w:rPr>
          <w:sz w:val="22"/>
          <w:szCs w:val="22"/>
        </w:rPr>
      </w:pPr>
      <w:r w:rsidRPr="00D43A2F">
        <w:rPr>
          <w:sz w:val="22"/>
          <w:szCs w:val="22"/>
        </w:rPr>
        <w:t xml:space="preserve">Nutraukimo požymiai: dėl per greito </w:t>
      </w:r>
      <w:proofErr w:type="spellStart"/>
      <w:r w:rsidRPr="00D43A2F">
        <w:rPr>
          <w:sz w:val="22"/>
          <w:szCs w:val="22"/>
        </w:rPr>
        <w:t>gliukokortikoidų</w:t>
      </w:r>
      <w:proofErr w:type="spellEnd"/>
      <w:r w:rsidRPr="00D43A2F">
        <w:rPr>
          <w:sz w:val="22"/>
          <w:szCs w:val="22"/>
        </w:rPr>
        <w:t xml:space="preserve"> dozės mažinimo po ilgalaikio gydymo gali išsivystyti ūmus antinksčių nepakankamumas, </w:t>
      </w:r>
      <w:proofErr w:type="spellStart"/>
      <w:r w:rsidRPr="00D43A2F">
        <w:rPr>
          <w:sz w:val="22"/>
          <w:szCs w:val="22"/>
        </w:rPr>
        <w:t>hipotenzija</w:t>
      </w:r>
      <w:proofErr w:type="spellEnd"/>
      <w:r w:rsidRPr="00D43A2F">
        <w:rPr>
          <w:sz w:val="22"/>
          <w:szCs w:val="22"/>
        </w:rPr>
        <w:t>, mirtis. Nutraukimo sindromas taip pat gali pasireikšti karščiavimu, raumenų skausmu, sąnarių skausmu, rinitu, konjunktyvitu, skausmingais niežtinčiais odos mazgais, svorio kritimu.</w:t>
      </w:r>
    </w:p>
    <w:p w14:paraId="0F0F9533" w14:textId="77777777" w:rsidR="009F75D0" w:rsidRPr="00D43A2F" w:rsidRDefault="009F75D0" w:rsidP="009F75D0">
      <w:pPr>
        <w:pStyle w:val="BTEMEASMCA"/>
      </w:pPr>
    </w:p>
    <w:p w14:paraId="63DB7973" w14:textId="77777777" w:rsidR="009F75D0" w:rsidRDefault="009F75D0" w:rsidP="009F75D0">
      <w:pPr>
        <w:pStyle w:val="BTEMEASMCA"/>
      </w:pPr>
      <w:r w:rsidRPr="00D43A2F">
        <w:t>Jeigu pasireiškė sunkus šalutinis poveikis arba pastebėjote šiame lapelyje nenurodytą šalutinį poveikį, pasakykite gydytojui arba vaistininkui.</w:t>
      </w:r>
    </w:p>
    <w:p w14:paraId="75CF2C42" w14:textId="77777777" w:rsidR="009F75D0" w:rsidRDefault="009F75D0" w:rsidP="009F75D0">
      <w:pPr>
        <w:pStyle w:val="BTEMEASMCA"/>
      </w:pPr>
    </w:p>
    <w:p w14:paraId="27E1C701" w14:textId="77777777" w:rsidR="009F75D0" w:rsidRPr="005A3FA9" w:rsidRDefault="009F75D0" w:rsidP="009F75D0">
      <w:pPr>
        <w:rPr>
          <w:b/>
          <w:sz w:val="22"/>
          <w:szCs w:val="22"/>
        </w:rPr>
      </w:pPr>
      <w:r w:rsidRPr="005A3FA9">
        <w:rPr>
          <w:b/>
          <w:noProof/>
          <w:sz w:val="22"/>
          <w:szCs w:val="22"/>
        </w:rPr>
        <w:t>Pranešimas apie šalutinį poveikį</w:t>
      </w:r>
    </w:p>
    <w:p w14:paraId="1B9C41EA" w14:textId="77777777" w:rsidR="009F75D0" w:rsidRPr="005A3FA9" w:rsidRDefault="009F75D0" w:rsidP="009F75D0">
      <w:pPr>
        <w:ind w:right="-449"/>
        <w:rPr>
          <w:noProof/>
          <w:sz w:val="22"/>
          <w:szCs w:val="22"/>
        </w:rPr>
      </w:pPr>
      <w:r w:rsidRPr="005A3FA9">
        <w:rPr>
          <w:sz w:val="22"/>
          <w:szCs w:val="22"/>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5A3FA9">
        <w:rPr>
          <w:sz w:val="22"/>
          <w:szCs w:val="22"/>
          <w:lang w:eastAsia="zh-CN"/>
        </w:rPr>
        <w:t>elefonu 8 800 73568</w:t>
      </w:r>
      <w:r w:rsidRPr="005A3FA9">
        <w:rPr>
          <w:sz w:val="22"/>
          <w:szCs w:val="22"/>
        </w:rPr>
        <w:t xml:space="preserve"> arba užpildyti interneto svetainėje </w:t>
      </w:r>
      <w:hyperlink r:id="rId11" w:history="1">
        <w:r w:rsidRPr="005A3FA9">
          <w:rPr>
            <w:rStyle w:val="Hipersaitas"/>
            <w:rFonts w:eastAsia="SimSun"/>
          </w:rPr>
          <w:t>www.vvkt.lt</w:t>
        </w:r>
      </w:hyperlink>
      <w:r w:rsidRPr="005A3FA9">
        <w:rPr>
          <w:sz w:val="22"/>
          <w:szCs w:val="22"/>
        </w:rPr>
        <w:t xml:space="preserve"> esančią formą ir pateikti ją Valstybinei vaistų kontrolės tarnybai prie Lietuvos Respublikos sveikatos apsaugos ministerijos vienu iš šių būdų: raštu (adresu Žirmūnų g. 139A, LT-09120 Vilnius), </w:t>
      </w:r>
      <w:r w:rsidRPr="005A3FA9">
        <w:rPr>
          <w:sz w:val="22"/>
          <w:szCs w:val="22"/>
          <w:lang w:eastAsia="zh-CN"/>
        </w:rPr>
        <w:t xml:space="preserve">nemokamu </w:t>
      </w:r>
      <w:r w:rsidRPr="005A3FA9">
        <w:rPr>
          <w:sz w:val="22"/>
          <w:szCs w:val="22"/>
        </w:rPr>
        <w:t>fakso numeriu 8 800 20131</w:t>
      </w:r>
      <w:r w:rsidRPr="005A3FA9">
        <w:rPr>
          <w:sz w:val="22"/>
          <w:szCs w:val="22"/>
          <w:lang w:eastAsia="zh-CN"/>
        </w:rPr>
        <w:t xml:space="preserve">, </w:t>
      </w:r>
      <w:r w:rsidRPr="005A3FA9">
        <w:rPr>
          <w:sz w:val="22"/>
          <w:szCs w:val="22"/>
        </w:rPr>
        <w:t xml:space="preserve">el. paštu </w:t>
      </w:r>
      <w:hyperlink r:id="rId12" w:history="1">
        <w:r w:rsidRPr="005A3FA9">
          <w:rPr>
            <w:rStyle w:val="Hipersaitas"/>
            <w:rFonts w:eastAsia="SimSun"/>
          </w:rPr>
          <w:t>NepageidaujamaR@vvkt.lt</w:t>
        </w:r>
      </w:hyperlink>
      <w:r w:rsidRPr="005A3FA9">
        <w:rPr>
          <w:sz w:val="22"/>
          <w:szCs w:val="22"/>
        </w:rPr>
        <w:t xml:space="preserve">, taip pat per Valstybinės vaistų kontrolės tarnybos prie Lietuvos Respublikos sveikatos apsaugos ministerijos interneto svetainę (adresu </w:t>
      </w:r>
      <w:hyperlink r:id="rId13" w:history="1">
        <w:r w:rsidRPr="005A3FA9">
          <w:rPr>
            <w:rStyle w:val="Hipersaitas"/>
            <w:rFonts w:eastAsia="SimSun"/>
          </w:rPr>
          <w:t>http://www.vvkt.lt</w:t>
        </w:r>
      </w:hyperlink>
      <w:r w:rsidRPr="005A3FA9">
        <w:rPr>
          <w:sz w:val="22"/>
          <w:szCs w:val="22"/>
        </w:rPr>
        <w:t>). Pranešdami apie šalutinį poveikį galite mums padėti gauti daugiau informacijos apie šio vaisto saugumą.</w:t>
      </w:r>
    </w:p>
    <w:p w14:paraId="54996B99" w14:textId="77777777" w:rsidR="009F75D0" w:rsidRPr="00D43A2F" w:rsidRDefault="009F75D0" w:rsidP="009F75D0">
      <w:pPr>
        <w:pStyle w:val="BTEMEASMCA"/>
      </w:pPr>
    </w:p>
    <w:p w14:paraId="1CC1B243" w14:textId="77777777" w:rsidR="009F75D0" w:rsidRPr="00D43A2F" w:rsidRDefault="009F75D0" w:rsidP="009F75D0">
      <w:pPr>
        <w:pStyle w:val="BTEMEASMCA"/>
      </w:pPr>
    </w:p>
    <w:p w14:paraId="4DE07A79" w14:textId="77777777" w:rsidR="009F75D0" w:rsidRPr="00D43A2F" w:rsidRDefault="009F75D0" w:rsidP="009F75D0">
      <w:pPr>
        <w:pStyle w:val="PI-1EMEASMCA"/>
      </w:pPr>
      <w:bookmarkStart w:id="74" w:name="_Toc129243143"/>
      <w:bookmarkStart w:id="75" w:name="_Toc129243268"/>
      <w:r w:rsidRPr="00D43A2F">
        <w:t>5.</w:t>
      </w:r>
      <w:r w:rsidRPr="00D43A2F">
        <w:tab/>
      </w:r>
      <w:r>
        <w:t>Kaip laikyti</w:t>
      </w:r>
      <w:bookmarkEnd w:id="74"/>
      <w:bookmarkEnd w:id="75"/>
      <w:r>
        <w:t xml:space="preserve"> </w:t>
      </w:r>
      <w:r w:rsidRPr="00D43A2F">
        <w:rPr>
          <w:bCs/>
        </w:rPr>
        <w:t>METHYLPREDNISOLONE SOPHARMA</w:t>
      </w:r>
    </w:p>
    <w:p w14:paraId="37C74E65" w14:textId="77777777" w:rsidR="009F75D0" w:rsidRPr="00D43A2F" w:rsidRDefault="009F75D0" w:rsidP="009F75D0">
      <w:pPr>
        <w:pStyle w:val="BTEMEASMCA"/>
      </w:pPr>
    </w:p>
    <w:p w14:paraId="74175BBE" w14:textId="77777777" w:rsidR="009F75D0" w:rsidRPr="00D43A2F" w:rsidRDefault="009F75D0" w:rsidP="009F75D0">
      <w:pPr>
        <w:rPr>
          <w:sz w:val="22"/>
          <w:szCs w:val="22"/>
        </w:rPr>
      </w:pPr>
      <w:r>
        <w:rPr>
          <w:sz w:val="22"/>
          <w:szCs w:val="22"/>
        </w:rPr>
        <w:t xml:space="preserve">Šį vaistą laikykite </w:t>
      </w:r>
      <w:r w:rsidRPr="00D43A2F">
        <w:rPr>
          <w:sz w:val="22"/>
          <w:szCs w:val="22"/>
        </w:rPr>
        <w:t xml:space="preserve">vaikams nepastebimoje </w:t>
      </w:r>
      <w:r>
        <w:rPr>
          <w:sz w:val="22"/>
          <w:szCs w:val="22"/>
        </w:rPr>
        <w:t xml:space="preserve">ir nepasiekiamoje </w:t>
      </w:r>
      <w:r w:rsidRPr="00D43A2F">
        <w:rPr>
          <w:sz w:val="22"/>
          <w:szCs w:val="22"/>
        </w:rPr>
        <w:t>vietoje.</w:t>
      </w:r>
    </w:p>
    <w:p w14:paraId="3F278D2C" w14:textId="77777777" w:rsidR="009F75D0" w:rsidRPr="00D43A2F" w:rsidRDefault="009F75D0" w:rsidP="009F75D0">
      <w:pPr>
        <w:rPr>
          <w:sz w:val="22"/>
          <w:szCs w:val="22"/>
        </w:rPr>
      </w:pPr>
    </w:p>
    <w:p w14:paraId="6B5FA247" w14:textId="77777777" w:rsidR="009F75D0" w:rsidRPr="00D43A2F" w:rsidRDefault="009F75D0" w:rsidP="009F75D0">
      <w:pPr>
        <w:rPr>
          <w:sz w:val="22"/>
          <w:szCs w:val="22"/>
        </w:rPr>
      </w:pPr>
      <w:r w:rsidRPr="00D43A2F">
        <w:rPr>
          <w:sz w:val="22"/>
          <w:szCs w:val="22"/>
        </w:rPr>
        <w:t>Laikyti ne aukštesnėje kaip 25 ºC temperatūroje.</w:t>
      </w:r>
    </w:p>
    <w:p w14:paraId="4EE18111" w14:textId="77777777" w:rsidR="009F75D0" w:rsidRPr="00D43A2F" w:rsidRDefault="009F75D0" w:rsidP="009F75D0">
      <w:pPr>
        <w:rPr>
          <w:sz w:val="22"/>
          <w:szCs w:val="22"/>
        </w:rPr>
      </w:pPr>
      <w:r w:rsidRPr="00D43A2F">
        <w:rPr>
          <w:sz w:val="22"/>
          <w:szCs w:val="22"/>
        </w:rPr>
        <w:t>Negalima užšaldyti.</w:t>
      </w:r>
    </w:p>
    <w:p w14:paraId="3C214C02" w14:textId="77777777" w:rsidR="009F75D0" w:rsidRPr="00D43A2F" w:rsidRDefault="009F75D0" w:rsidP="009F75D0">
      <w:pPr>
        <w:pStyle w:val="Pagrindinistekstas"/>
        <w:spacing w:after="0"/>
        <w:rPr>
          <w:szCs w:val="22"/>
        </w:rPr>
      </w:pPr>
      <w:r w:rsidRPr="00D43A2F">
        <w:rPr>
          <w:szCs w:val="22"/>
        </w:rPr>
        <w:t xml:space="preserve">Ampules laikyti išorinėje dėžutėje, kad </w:t>
      </w:r>
      <w:r>
        <w:rPr>
          <w:szCs w:val="22"/>
        </w:rPr>
        <w:t>vaistas</w:t>
      </w:r>
      <w:r w:rsidRPr="00D43A2F">
        <w:rPr>
          <w:szCs w:val="22"/>
        </w:rPr>
        <w:t xml:space="preserve"> būtų apsaugotas nuo šviesos.</w:t>
      </w:r>
    </w:p>
    <w:p w14:paraId="646DB29B" w14:textId="77777777" w:rsidR="009F75D0" w:rsidRPr="00D43A2F" w:rsidRDefault="009F75D0" w:rsidP="009F75D0">
      <w:pPr>
        <w:rPr>
          <w:sz w:val="22"/>
          <w:szCs w:val="22"/>
        </w:rPr>
      </w:pPr>
    </w:p>
    <w:p w14:paraId="5F69C1E4" w14:textId="77777777" w:rsidR="009F75D0" w:rsidRPr="00D43A2F" w:rsidRDefault="009F75D0" w:rsidP="009F75D0">
      <w:pPr>
        <w:rPr>
          <w:sz w:val="22"/>
          <w:szCs w:val="22"/>
        </w:rPr>
      </w:pPr>
      <w:r w:rsidRPr="00D43A2F">
        <w:rPr>
          <w:sz w:val="22"/>
          <w:szCs w:val="22"/>
        </w:rPr>
        <w:t>Ant ampulės ir dėžutės po „</w:t>
      </w:r>
      <w:r>
        <w:rPr>
          <w:sz w:val="22"/>
          <w:szCs w:val="22"/>
        </w:rPr>
        <w:t>EXP</w:t>
      </w:r>
      <w:r w:rsidRPr="00D43A2F">
        <w:rPr>
          <w:sz w:val="22"/>
          <w:szCs w:val="22"/>
        </w:rPr>
        <w:t xml:space="preserve">“ nurodytam laikui pasibaigus, </w:t>
      </w:r>
      <w:r>
        <w:rPr>
          <w:sz w:val="22"/>
          <w:szCs w:val="22"/>
        </w:rPr>
        <w:t>šio vaisto</w:t>
      </w:r>
      <w:r w:rsidRPr="00D43A2F">
        <w:rPr>
          <w:sz w:val="22"/>
          <w:szCs w:val="22"/>
        </w:rPr>
        <w:t xml:space="preserve"> vartoti negalima. Vaistas tinka vartoti iki paskutinės nurodyto mėnesio dienos.</w:t>
      </w:r>
    </w:p>
    <w:p w14:paraId="77404302" w14:textId="77777777" w:rsidR="009F75D0" w:rsidRPr="00D43A2F" w:rsidRDefault="009F75D0" w:rsidP="009F75D0">
      <w:pPr>
        <w:pStyle w:val="BTEMEASMCA"/>
      </w:pPr>
    </w:p>
    <w:p w14:paraId="7757953D" w14:textId="77777777" w:rsidR="009F75D0" w:rsidRPr="00D43A2F" w:rsidRDefault="009F75D0" w:rsidP="009F75D0">
      <w:pPr>
        <w:pStyle w:val="BTEMEASMCA"/>
      </w:pPr>
      <w:r w:rsidRPr="00D43A2F">
        <w:t xml:space="preserve">Vaistų negalima išpilti į kanalizaciją arba išmesti su buitinėmis atliekomis. Kaip </w:t>
      </w:r>
      <w:r>
        <w:t>išmesti</w:t>
      </w:r>
      <w:r w:rsidRPr="00D43A2F">
        <w:t xml:space="preserve"> nereikalingus vaistus, klauskite vaistininko. Šios priemonės padės apsaugoti aplinką</w:t>
      </w:r>
    </w:p>
    <w:p w14:paraId="76054C8D" w14:textId="77777777" w:rsidR="009F75D0" w:rsidRPr="00D43A2F" w:rsidRDefault="009F75D0" w:rsidP="009F75D0">
      <w:pPr>
        <w:pStyle w:val="BTEMEASMCA"/>
      </w:pPr>
    </w:p>
    <w:p w14:paraId="4456C61E" w14:textId="77777777" w:rsidR="009F75D0" w:rsidRPr="00D43A2F" w:rsidRDefault="009F75D0" w:rsidP="009F75D0">
      <w:pPr>
        <w:pStyle w:val="BTEMEASMCA"/>
      </w:pPr>
    </w:p>
    <w:p w14:paraId="4FFB4158" w14:textId="77777777" w:rsidR="009F75D0" w:rsidRPr="00D43A2F" w:rsidRDefault="009F75D0" w:rsidP="009F75D0">
      <w:pPr>
        <w:pStyle w:val="PI-1EMEASMCA"/>
      </w:pPr>
      <w:bookmarkStart w:id="76" w:name="_Toc129243144"/>
      <w:bookmarkStart w:id="77" w:name="_Toc129243269"/>
      <w:r w:rsidRPr="00D43A2F">
        <w:t>6.</w:t>
      </w:r>
      <w:r w:rsidRPr="00D43A2F">
        <w:tab/>
      </w:r>
      <w:r w:rsidRPr="00B34FA1">
        <w:t>Pakuotės turinys ir kita informacija</w:t>
      </w:r>
      <w:bookmarkEnd w:id="76"/>
      <w:bookmarkEnd w:id="77"/>
    </w:p>
    <w:p w14:paraId="75069BA4" w14:textId="77777777" w:rsidR="009F75D0" w:rsidRPr="00D43A2F" w:rsidRDefault="009F75D0" w:rsidP="009F75D0">
      <w:pPr>
        <w:pStyle w:val="BTEMEASMCA"/>
      </w:pPr>
    </w:p>
    <w:p w14:paraId="198DD825" w14:textId="77777777" w:rsidR="009F75D0" w:rsidRDefault="009F75D0" w:rsidP="009F75D0">
      <w:pPr>
        <w:pStyle w:val="PI-3EMEASMCA"/>
        <w:spacing w:line="240" w:lineRule="auto"/>
      </w:pPr>
      <w:r w:rsidRPr="00D43A2F">
        <w:t>METHYLPREDNISOLONE SOPHARMA sudėtis</w:t>
      </w:r>
    </w:p>
    <w:p w14:paraId="71A9B6C4" w14:textId="77777777" w:rsidR="009F75D0" w:rsidRPr="00D43A2F" w:rsidRDefault="009F75D0" w:rsidP="009F75D0">
      <w:pPr>
        <w:tabs>
          <w:tab w:val="left" w:pos="567"/>
        </w:tabs>
        <w:rPr>
          <w:sz w:val="22"/>
          <w:szCs w:val="22"/>
        </w:rPr>
      </w:pPr>
      <w:r w:rsidRPr="00D43A2F">
        <w:rPr>
          <w:sz w:val="22"/>
          <w:szCs w:val="22"/>
        </w:rPr>
        <w:t>-</w:t>
      </w:r>
      <w:r w:rsidRPr="00D43A2F">
        <w:rPr>
          <w:sz w:val="22"/>
          <w:szCs w:val="22"/>
        </w:rPr>
        <w:tab/>
        <w:t xml:space="preserve">Veiklioji medžiaga yra </w:t>
      </w:r>
      <w:proofErr w:type="spellStart"/>
      <w:r w:rsidRPr="00D43A2F">
        <w:rPr>
          <w:sz w:val="22"/>
          <w:szCs w:val="22"/>
        </w:rPr>
        <w:t>metilprednizolonas</w:t>
      </w:r>
      <w:proofErr w:type="spellEnd"/>
      <w:r w:rsidRPr="00D43A2F">
        <w:rPr>
          <w:sz w:val="22"/>
          <w:szCs w:val="22"/>
        </w:rPr>
        <w:t xml:space="preserve">. Vienoje miltelių </w:t>
      </w:r>
      <w:r w:rsidRPr="00D43A2F">
        <w:rPr>
          <w:bCs/>
          <w:sz w:val="22"/>
          <w:szCs w:val="22"/>
        </w:rPr>
        <w:t xml:space="preserve">ampulėje yra 250 mg </w:t>
      </w:r>
      <w:proofErr w:type="spellStart"/>
      <w:r w:rsidRPr="00D43A2F">
        <w:rPr>
          <w:bCs/>
          <w:sz w:val="22"/>
          <w:szCs w:val="22"/>
        </w:rPr>
        <w:t>metilprednizolono</w:t>
      </w:r>
      <w:proofErr w:type="spellEnd"/>
      <w:r w:rsidRPr="00D43A2F">
        <w:rPr>
          <w:bCs/>
          <w:sz w:val="22"/>
          <w:szCs w:val="22"/>
        </w:rPr>
        <w:t xml:space="preserve"> (</w:t>
      </w:r>
      <w:proofErr w:type="spellStart"/>
      <w:r w:rsidRPr="00D43A2F">
        <w:rPr>
          <w:sz w:val="22"/>
          <w:szCs w:val="22"/>
        </w:rPr>
        <w:t>metilprednizolono</w:t>
      </w:r>
      <w:proofErr w:type="spellEnd"/>
      <w:r w:rsidRPr="00D43A2F">
        <w:rPr>
          <w:sz w:val="22"/>
          <w:szCs w:val="22"/>
        </w:rPr>
        <w:t xml:space="preserve"> natrio </w:t>
      </w:r>
      <w:proofErr w:type="spellStart"/>
      <w:r w:rsidRPr="00D43A2F">
        <w:rPr>
          <w:sz w:val="22"/>
          <w:szCs w:val="22"/>
        </w:rPr>
        <w:t>sukcinato</w:t>
      </w:r>
      <w:proofErr w:type="spellEnd"/>
      <w:r w:rsidRPr="00D43A2F">
        <w:rPr>
          <w:sz w:val="22"/>
          <w:szCs w:val="22"/>
        </w:rPr>
        <w:t xml:space="preserve"> pavidalu</w:t>
      </w:r>
      <w:r w:rsidRPr="00D43A2F">
        <w:rPr>
          <w:iCs/>
          <w:sz w:val="22"/>
          <w:szCs w:val="22"/>
        </w:rPr>
        <w:t xml:space="preserve">). </w:t>
      </w:r>
      <w:r w:rsidRPr="00D43A2F">
        <w:rPr>
          <w:sz w:val="22"/>
          <w:szCs w:val="22"/>
        </w:rPr>
        <w:t xml:space="preserve">Ištirpinus 5 ml tirpiklio (injekcinio vandens), 1 ml tirpalo </w:t>
      </w:r>
      <w:r>
        <w:rPr>
          <w:sz w:val="22"/>
          <w:szCs w:val="22"/>
        </w:rPr>
        <w:t>yra</w:t>
      </w:r>
      <w:r w:rsidRPr="00D43A2F">
        <w:rPr>
          <w:sz w:val="22"/>
          <w:szCs w:val="22"/>
        </w:rPr>
        <w:t xml:space="preserve"> 50 mg </w:t>
      </w:r>
      <w:proofErr w:type="spellStart"/>
      <w:r w:rsidRPr="00D43A2F">
        <w:rPr>
          <w:iCs/>
          <w:sz w:val="22"/>
          <w:szCs w:val="22"/>
        </w:rPr>
        <w:t>metilprednizolono</w:t>
      </w:r>
      <w:proofErr w:type="spellEnd"/>
      <w:r w:rsidRPr="00D43A2F">
        <w:rPr>
          <w:sz w:val="22"/>
          <w:szCs w:val="22"/>
        </w:rPr>
        <w:t xml:space="preserve">. </w:t>
      </w:r>
    </w:p>
    <w:p w14:paraId="16D5674E" w14:textId="77777777" w:rsidR="009F75D0" w:rsidRPr="00D43A2F" w:rsidRDefault="009F75D0" w:rsidP="009F75D0">
      <w:pPr>
        <w:pStyle w:val="BT-EMEASMCA"/>
      </w:pPr>
      <w:r w:rsidRPr="00D43A2F">
        <w:t xml:space="preserve">Pagalbinės medžiagos yra </w:t>
      </w:r>
      <w:proofErr w:type="spellStart"/>
      <w:r w:rsidRPr="00D43A2F">
        <w:t>dinatrio</w:t>
      </w:r>
      <w:proofErr w:type="spellEnd"/>
      <w:r w:rsidRPr="00D43A2F">
        <w:t xml:space="preserve"> fosfatas </w:t>
      </w:r>
      <w:proofErr w:type="spellStart"/>
      <w:r w:rsidRPr="00D43A2F">
        <w:t>dihidratas</w:t>
      </w:r>
      <w:proofErr w:type="spellEnd"/>
      <w:r w:rsidRPr="00D43A2F">
        <w:t>, natrio-</w:t>
      </w:r>
      <w:proofErr w:type="spellStart"/>
      <w:r w:rsidRPr="00D43A2F">
        <w:t>divandenilio</w:t>
      </w:r>
      <w:proofErr w:type="spellEnd"/>
      <w:r w:rsidRPr="00D43A2F">
        <w:t xml:space="preserve"> fosfatas </w:t>
      </w:r>
      <w:proofErr w:type="spellStart"/>
      <w:r w:rsidRPr="00D43A2F">
        <w:t>monohidratas</w:t>
      </w:r>
      <w:proofErr w:type="spellEnd"/>
      <w:r w:rsidRPr="00D43A2F">
        <w:t>. Tirpiklis- injekcinis vanduo.</w:t>
      </w:r>
    </w:p>
    <w:p w14:paraId="13E8D69B" w14:textId="77777777" w:rsidR="009F75D0" w:rsidRPr="00D43A2F" w:rsidRDefault="009F75D0" w:rsidP="009F75D0">
      <w:pPr>
        <w:pStyle w:val="BT-EMEASMCA"/>
        <w:numPr>
          <w:ilvl w:val="0"/>
          <w:numId w:val="0"/>
        </w:numPr>
      </w:pPr>
    </w:p>
    <w:p w14:paraId="667DC5C8" w14:textId="77777777" w:rsidR="009F75D0" w:rsidRPr="00D43A2F" w:rsidRDefault="009F75D0" w:rsidP="009F75D0">
      <w:pPr>
        <w:pStyle w:val="PI-3EMEASMCA"/>
        <w:spacing w:line="240" w:lineRule="auto"/>
      </w:pPr>
      <w:r w:rsidRPr="00D43A2F">
        <w:t>METHYLPREDNISOLONE SOPHARMA išvaizda ir kiekis pakuotėje</w:t>
      </w:r>
    </w:p>
    <w:p w14:paraId="021982D2" w14:textId="77777777" w:rsidR="009F75D0" w:rsidRPr="00D43A2F" w:rsidRDefault="009F75D0" w:rsidP="009F75D0">
      <w:pPr>
        <w:pStyle w:val="BTEMEASMCA"/>
      </w:pPr>
      <w:r w:rsidRPr="00D43A2F">
        <w:t>METHYLPREDNISOLONE SOPHARMA 250 mg milteliai injekciniam</w:t>
      </w:r>
      <w:r>
        <w:t xml:space="preserve"> ar </w:t>
      </w:r>
      <w:r w:rsidRPr="00D43A2F">
        <w:t xml:space="preserve">infuziniam tirpalui yra baltos arba beveik baltos spalvos milteliai, supilti į bespalvio skaidraus stiklo ampulę. Ant ampulės yra </w:t>
      </w:r>
      <w:r>
        <w:t>spalvotas taškas</w:t>
      </w:r>
      <w:r w:rsidRPr="00D43A2F">
        <w:t xml:space="preserve">, žymintis laužimo vietą.   </w:t>
      </w:r>
    </w:p>
    <w:p w14:paraId="27BC5AC1" w14:textId="77777777" w:rsidR="009F75D0" w:rsidRPr="00D43A2F" w:rsidRDefault="009F75D0" w:rsidP="009F75D0">
      <w:pPr>
        <w:pStyle w:val="BTEMEASMCA"/>
      </w:pPr>
      <w:r w:rsidRPr="00D43A2F">
        <w:t xml:space="preserve">METHYLPREDNISOLONE SOPHARMA 250 mg tirpiklis </w:t>
      </w:r>
      <w:proofErr w:type="spellStart"/>
      <w:r w:rsidRPr="00D43A2F">
        <w:t>parenteriniam</w:t>
      </w:r>
      <w:proofErr w:type="spellEnd"/>
      <w:r w:rsidRPr="00D43A2F">
        <w:t xml:space="preserve"> vartojimui yra bespalvis skaidrus skystis, supiltas į bespalvio skaidraus stiklo ampulę. Ant ampulės yra </w:t>
      </w:r>
      <w:r>
        <w:t>spalvotas taškas</w:t>
      </w:r>
      <w:r w:rsidRPr="00D43A2F">
        <w:t>, žymintis laužimo vietą.</w:t>
      </w:r>
    </w:p>
    <w:p w14:paraId="7FF254E2" w14:textId="77777777" w:rsidR="009F75D0" w:rsidRPr="00D43A2F" w:rsidRDefault="009F75D0" w:rsidP="009F75D0">
      <w:pPr>
        <w:pStyle w:val="Pagrindinistekstas"/>
        <w:spacing w:after="0"/>
        <w:rPr>
          <w:szCs w:val="22"/>
        </w:rPr>
      </w:pPr>
    </w:p>
    <w:p w14:paraId="0EAF70D8" w14:textId="77777777" w:rsidR="009F75D0" w:rsidRPr="00D43A2F" w:rsidRDefault="009F75D0" w:rsidP="009F75D0">
      <w:pPr>
        <w:pStyle w:val="Pagrindinistekstas"/>
        <w:spacing w:after="0"/>
        <w:rPr>
          <w:szCs w:val="22"/>
        </w:rPr>
      </w:pPr>
      <w:r w:rsidRPr="00D43A2F">
        <w:rPr>
          <w:szCs w:val="22"/>
        </w:rPr>
        <w:t xml:space="preserve">Kartono dėžutėje yra 5 miltelių ampulės, 5 tirpiklio ampulės ir pakuotės lapelis. </w:t>
      </w:r>
    </w:p>
    <w:p w14:paraId="7B88C2FD" w14:textId="77777777" w:rsidR="009F75D0" w:rsidRPr="00D43A2F" w:rsidRDefault="009F75D0" w:rsidP="009F75D0">
      <w:pPr>
        <w:pStyle w:val="BTEMEASMCA"/>
      </w:pPr>
    </w:p>
    <w:p w14:paraId="48AD70C6" w14:textId="77777777" w:rsidR="009F75D0" w:rsidRPr="00D43A2F" w:rsidRDefault="009F75D0" w:rsidP="009F75D0">
      <w:pPr>
        <w:pStyle w:val="BTEMEASMCA"/>
      </w:pPr>
      <w:r>
        <w:rPr>
          <w:b/>
        </w:rPr>
        <w:t>Registruotojas</w:t>
      </w:r>
      <w:r w:rsidRPr="00D43A2F">
        <w:rPr>
          <w:b/>
        </w:rPr>
        <w:t xml:space="preserve"> ir gamintojas</w:t>
      </w:r>
    </w:p>
    <w:p w14:paraId="40CC485A" w14:textId="77777777" w:rsidR="009F75D0" w:rsidRDefault="009F75D0" w:rsidP="009F75D0">
      <w:pPr>
        <w:rPr>
          <w:sz w:val="22"/>
          <w:szCs w:val="22"/>
        </w:rPr>
      </w:pPr>
      <w:r w:rsidRPr="00B26A15">
        <w:rPr>
          <w:sz w:val="22"/>
          <w:szCs w:val="22"/>
        </w:rPr>
        <w:t xml:space="preserve">SOPHARMA AD </w:t>
      </w:r>
    </w:p>
    <w:p w14:paraId="7800782A" w14:textId="77777777" w:rsidR="009F75D0" w:rsidRDefault="009F75D0" w:rsidP="009F75D0">
      <w:pPr>
        <w:rPr>
          <w:sz w:val="22"/>
          <w:szCs w:val="22"/>
        </w:rPr>
      </w:pPr>
      <w:r w:rsidRPr="00B26A15">
        <w:rPr>
          <w:sz w:val="22"/>
          <w:szCs w:val="22"/>
        </w:rPr>
        <w:t xml:space="preserve">16 </w:t>
      </w:r>
      <w:proofErr w:type="spellStart"/>
      <w:r w:rsidRPr="00B26A15">
        <w:rPr>
          <w:sz w:val="22"/>
          <w:szCs w:val="22"/>
        </w:rPr>
        <w:t>IlienskoShosse</w:t>
      </w:r>
      <w:proofErr w:type="spellEnd"/>
      <w:r w:rsidRPr="00B26A15">
        <w:rPr>
          <w:sz w:val="22"/>
          <w:szCs w:val="22"/>
        </w:rPr>
        <w:t xml:space="preserve"> Str. </w:t>
      </w:r>
    </w:p>
    <w:p w14:paraId="450ECA6F" w14:textId="77777777" w:rsidR="009F75D0" w:rsidRDefault="009F75D0" w:rsidP="009F75D0">
      <w:pPr>
        <w:rPr>
          <w:sz w:val="22"/>
          <w:szCs w:val="22"/>
        </w:rPr>
      </w:pPr>
      <w:proofErr w:type="spellStart"/>
      <w:r w:rsidRPr="00B26A15">
        <w:rPr>
          <w:sz w:val="22"/>
          <w:szCs w:val="22"/>
        </w:rPr>
        <w:t>Sofia</w:t>
      </w:r>
      <w:proofErr w:type="spellEnd"/>
      <w:r w:rsidRPr="00B26A15">
        <w:rPr>
          <w:sz w:val="22"/>
          <w:szCs w:val="22"/>
        </w:rPr>
        <w:t xml:space="preserve"> 1220 </w:t>
      </w:r>
    </w:p>
    <w:p w14:paraId="6378E2CF" w14:textId="77777777" w:rsidR="009F75D0" w:rsidRPr="00B26A15" w:rsidRDefault="009F75D0" w:rsidP="009F75D0">
      <w:pPr>
        <w:rPr>
          <w:sz w:val="22"/>
          <w:szCs w:val="22"/>
        </w:rPr>
      </w:pPr>
      <w:r w:rsidRPr="00B26A15">
        <w:rPr>
          <w:sz w:val="22"/>
          <w:szCs w:val="22"/>
        </w:rPr>
        <w:t>Bulgarija</w:t>
      </w:r>
    </w:p>
    <w:p w14:paraId="2FA1FAEA" w14:textId="77777777" w:rsidR="009F75D0" w:rsidRPr="00D43A2F" w:rsidRDefault="009F75D0" w:rsidP="009F75D0">
      <w:pPr>
        <w:pStyle w:val="BTEMEASMCA"/>
      </w:pPr>
    </w:p>
    <w:p w14:paraId="7423A312" w14:textId="77777777" w:rsidR="009F75D0" w:rsidRPr="00D43A2F" w:rsidRDefault="009F75D0" w:rsidP="009F75D0">
      <w:pPr>
        <w:pStyle w:val="BTbEMEASMCA"/>
      </w:pPr>
      <w:r w:rsidRPr="00D43A2F">
        <w:rPr>
          <w:bCs/>
        </w:rPr>
        <w:t>Šis pakuotės lapelis</w:t>
      </w:r>
      <w:r w:rsidRPr="00D43A2F">
        <w:t xml:space="preserve"> paskutinį kartą patvirtintas</w:t>
      </w:r>
      <w:r>
        <w:t xml:space="preserve"> 2019-12-12.</w:t>
      </w:r>
    </w:p>
    <w:p w14:paraId="1633CEFF" w14:textId="77777777" w:rsidR="009F75D0" w:rsidRPr="005762D7" w:rsidRDefault="009F75D0" w:rsidP="009F75D0">
      <w:pPr>
        <w:rPr>
          <w:sz w:val="22"/>
          <w:szCs w:val="22"/>
        </w:rPr>
      </w:pPr>
    </w:p>
    <w:p w14:paraId="47A303FF" w14:textId="4E4FC59F" w:rsidR="00C10222" w:rsidRDefault="009F75D0">
      <w:r w:rsidRPr="005762D7">
        <w:rPr>
          <w:sz w:val="22"/>
          <w:szCs w:val="22"/>
        </w:rPr>
        <w:t xml:space="preserve">Išsami informacija apie šį vaistą pateikiama Valstybinės vaistų kontrolės tarnybos prie Lietuvos Respublikos sveikatos apsaugos ministerijos tinklalapyje </w:t>
      </w:r>
      <w:hyperlink r:id="rId14" w:history="1">
        <w:r w:rsidRPr="005762D7">
          <w:rPr>
            <w:rStyle w:val="Hipersaitas"/>
            <w:rFonts w:eastAsia="SimSun"/>
          </w:rPr>
          <w:t>http://www.vvkt.lt/</w:t>
        </w:r>
      </w:hyperlink>
      <w:r w:rsidRPr="005762D7">
        <w:rPr>
          <w:sz w:val="22"/>
          <w:szCs w:val="22"/>
        </w:rPr>
        <w:t>.</w:t>
      </w:r>
      <w:r>
        <w:rPr>
          <w:sz w:val="22"/>
          <w:szCs w:val="22"/>
        </w:rPr>
        <w:t xml:space="preserve">        </w:t>
      </w:r>
      <w:bookmarkStart w:id="78" w:name="_GoBack"/>
      <w:bookmarkEnd w:id="78"/>
      <w:r w:rsidR="004060CA">
        <w:rPr>
          <w:sz w:val="22"/>
          <w:szCs w:val="22"/>
        </w:rPr>
        <w:t xml:space="preserve">   </w:t>
      </w:r>
    </w:p>
    <w:sectPr w:rsidR="00C10222" w:rsidSect="00CC7394">
      <w:footerReference w:type="default" r:id="rId15"/>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85AD60" w14:textId="77777777" w:rsidR="0006710E" w:rsidRDefault="0006710E">
      <w:r>
        <w:separator/>
      </w:r>
    </w:p>
  </w:endnote>
  <w:endnote w:type="continuationSeparator" w:id="0">
    <w:p w14:paraId="1466D8E4" w14:textId="77777777" w:rsidR="0006710E" w:rsidRDefault="000671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1F0BA2" w14:textId="7B389DB6" w:rsidR="00CC7394" w:rsidRDefault="00CC7394">
    <w:pPr>
      <w:pStyle w:val="Porat"/>
      <w:jc w:val="right"/>
      <w:rPr>
        <w:sz w:val="22"/>
        <w:szCs w:val="22"/>
      </w:rPr>
    </w:pPr>
    <w:r>
      <w:rPr>
        <w:rStyle w:val="Puslapionumeris"/>
      </w:rPr>
      <w:fldChar w:fldCharType="begin"/>
    </w:r>
    <w:r>
      <w:rPr>
        <w:rStyle w:val="Puslapionumeris"/>
      </w:rPr>
      <w:instrText xml:space="preserve"> PAGE </w:instrText>
    </w:r>
    <w:r>
      <w:rPr>
        <w:rStyle w:val="Puslapionumeris"/>
      </w:rPr>
      <w:fldChar w:fldCharType="separate"/>
    </w:r>
    <w:r w:rsidR="009F75D0">
      <w:rPr>
        <w:rStyle w:val="Puslapionumeris"/>
        <w:noProof/>
      </w:rPr>
      <w:t>27</w:t>
    </w:r>
    <w:r>
      <w:rPr>
        <w:rStyle w:val="Puslapionumeri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79A403" w14:textId="77777777" w:rsidR="0006710E" w:rsidRDefault="0006710E">
      <w:r>
        <w:separator/>
      </w:r>
    </w:p>
  </w:footnote>
  <w:footnote w:type="continuationSeparator" w:id="0">
    <w:p w14:paraId="6B681B3E" w14:textId="77777777" w:rsidR="0006710E" w:rsidRDefault="000671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F62F34"/>
    <w:multiLevelType w:val="hybridMultilevel"/>
    <w:tmpl w:val="FB3245C2"/>
    <w:lvl w:ilvl="0" w:tplc="F0D49080">
      <w:start w:val="4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E6E207F"/>
    <w:multiLevelType w:val="hybridMultilevel"/>
    <w:tmpl w:val="2B5CCAEA"/>
    <w:lvl w:ilvl="0" w:tplc="F034B8F6">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957371C"/>
    <w:multiLevelType w:val="hybridMultilevel"/>
    <w:tmpl w:val="32649C58"/>
    <w:lvl w:ilvl="0" w:tplc="04602EDC">
      <w:start w:val="17"/>
      <w:numFmt w:val="decimal"/>
      <w:lvlText w:val="%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D5C5715"/>
    <w:multiLevelType w:val="hybridMultilevel"/>
    <w:tmpl w:val="00285910"/>
    <w:lvl w:ilvl="0" w:tplc="249A8BEA">
      <w:start w:val="10"/>
      <w:numFmt w:val="bullet"/>
      <w:lvlText w:val="-"/>
      <w:lvlJc w:val="left"/>
      <w:pPr>
        <w:tabs>
          <w:tab w:val="num" w:pos="930"/>
        </w:tabs>
        <w:ind w:left="930" w:hanging="57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6B87595B"/>
    <w:multiLevelType w:val="multilevel"/>
    <w:tmpl w:val="86526A3E"/>
    <w:lvl w:ilvl="0">
      <w:start w:val="5"/>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num w:numId="1">
    <w:abstractNumId w:val="4"/>
  </w:num>
  <w:num w:numId="2">
    <w:abstractNumId w:val="0"/>
  </w:num>
  <w:num w:numId="3">
    <w:abstractNumId w:val="1"/>
  </w:num>
  <w:num w:numId="4">
    <w:abstractNumId w:val="5"/>
  </w:num>
  <w:num w:numId="5">
    <w:abstractNumId w:val="6"/>
  </w:num>
  <w:num w:numId="6">
    <w:abstractNumId w:val="3"/>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0"/>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34FF"/>
    <w:rsid w:val="000370F8"/>
    <w:rsid w:val="0006710E"/>
    <w:rsid w:val="00087652"/>
    <w:rsid w:val="001F6B3C"/>
    <w:rsid w:val="00231DAB"/>
    <w:rsid w:val="002D0E20"/>
    <w:rsid w:val="003B0FF6"/>
    <w:rsid w:val="003B40BD"/>
    <w:rsid w:val="004060CA"/>
    <w:rsid w:val="00484EDB"/>
    <w:rsid w:val="004C2C3F"/>
    <w:rsid w:val="0059196C"/>
    <w:rsid w:val="00635FFF"/>
    <w:rsid w:val="00685F23"/>
    <w:rsid w:val="006B1AE1"/>
    <w:rsid w:val="008F34FF"/>
    <w:rsid w:val="00973A6B"/>
    <w:rsid w:val="00981161"/>
    <w:rsid w:val="009A4410"/>
    <w:rsid w:val="009D27A8"/>
    <w:rsid w:val="009E2D0F"/>
    <w:rsid w:val="009F75D0"/>
    <w:rsid w:val="00BC45AF"/>
    <w:rsid w:val="00C10222"/>
    <w:rsid w:val="00C37C62"/>
    <w:rsid w:val="00C7615C"/>
    <w:rsid w:val="00C94504"/>
    <w:rsid w:val="00CC7394"/>
    <w:rsid w:val="00DA6B60"/>
    <w:rsid w:val="00E9546A"/>
    <w:rsid w:val="00FC55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EAA8135"/>
  <w14:defaultImageDpi w14:val="300"/>
  <w15:docId w15:val="{15B0EBE0-8D3E-45F3-AA5B-67C544810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F34FF"/>
    <w:rPr>
      <w:rFonts w:ascii="Times New Roman" w:eastAsia="Times New Roman" w:hAnsi="Times New Roman" w:cs="Times New Roman"/>
      <w:lang w:val="lt-LT"/>
    </w:rPr>
  </w:style>
  <w:style w:type="paragraph" w:styleId="Antrat1">
    <w:name w:val="heading 1"/>
    <w:basedOn w:val="prastasis"/>
    <w:next w:val="prastasis"/>
    <w:link w:val="Antrat1Diagrama"/>
    <w:qFormat/>
    <w:rsid w:val="008F34FF"/>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qFormat/>
    <w:rsid w:val="008F34FF"/>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qFormat/>
    <w:rsid w:val="008F34FF"/>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uiPriority w:val="9"/>
    <w:semiHidden/>
    <w:unhideWhenUsed/>
    <w:qFormat/>
    <w:rsid w:val="008F34FF"/>
    <w:pPr>
      <w:keepNext/>
      <w:keepLines/>
      <w:spacing w:before="40"/>
      <w:outlineLvl w:val="3"/>
    </w:pPr>
    <w:rPr>
      <w:rFonts w:asciiTheme="majorHAnsi" w:eastAsiaTheme="majorEastAsia" w:hAnsiTheme="majorHAnsi" w:cstheme="majorBidi"/>
      <w:i/>
      <w:iCs/>
      <w:color w:val="365F91" w:themeColor="accent1" w:themeShade="BF"/>
    </w:rPr>
  </w:style>
  <w:style w:type="paragraph" w:styleId="Antrat5">
    <w:name w:val="heading 5"/>
    <w:basedOn w:val="prastasis"/>
    <w:next w:val="prastasis"/>
    <w:link w:val="Antrat5Diagrama"/>
    <w:qFormat/>
    <w:rsid w:val="008F34FF"/>
    <w:pPr>
      <w:spacing w:before="240" w:after="60"/>
      <w:outlineLvl w:val="4"/>
    </w:pPr>
    <w:rPr>
      <w:b/>
      <w:bCs/>
      <w:i/>
      <w:iCs/>
      <w:sz w:val="26"/>
      <w:szCs w:val="26"/>
      <w:lang w:eastAsia="lt-LT"/>
    </w:rPr>
  </w:style>
  <w:style w:type="paragraph" w:styleId="Antrat6">
    <w:name w:val="heading 6"/>
    <w:basedOn w:val="prastasis"/>
    <w:next w:val="prastasis"/>
    <w:link w:val="Antrat6Diagrama"/>
    <w:qFormat/>
    <w:rsid w:val="008F34FF"/>
    <w:pPr>
      <w:spacing w:before="240" w:after="60"/>
      <w:outlineLvl w:val="5"/>
    </w:pPr>
    <w:rPr>
      <w:b/>
      <w:bCs/>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8F34FF"/>
    <w:rPr>
      <w:rFonts w:ascii="Arial" w:eastAsia="Times New Roman" w:hAnsi="Arial" w:cs="Arial"/>
      <w:b/>
      <w:bCs/>
      <w:kern w:val="32"/>
      <w:sz w:val="32"/>
      <w:szCs w:val="32"/>
      <w:lang w:val="lt-LT"/>
    </w:rPr>
  </w:style>
  <w:style w:type="character" w:customStyle="1" w:styleId="Antrat2Diagrama">
    <w:name w:val="Antraštė 2 Diagrama"/>
    <w:basedOn w:val="Numatytasispastraiposriftas"/>
    <w:link w:val="Antrat2"/>
    <w:rsid w:val="008F34FF"/>
    <w:rPr>
      <w:rFonts w:ascii="Arial" w:eastAsia="Times New Roman" w:hAnsi="Arial" w:cs="Arial"/>
      <w:b/>
      <w:bCs/>
      <w:i/>
      <w:iCs/>
      <w:sz w:val="28"/>
      <w:szCs w:val="28"/>
      <w:lang w:val="lt-LT"/>
    </w:rPr>
  </w:style>
  <w:style w:type="character" w:customStyle="1" w:styleId="Antrat3Diagrama">
    <w:name w:val="Antraštė 3 Diagrama"/>
    <w:basedOn w:val="Numatytasispastraiposriftas"/>
    <w:link w:val="Antrat3"/>
    <w:rsid w:val="008F34FF"/>
    <w:rPr>
      <w:rFonts w:ascii="Arial" w:eastAsia="Times New Roman" w:hAnsi="Arial" w:cs="Arial"/>
      <w:b/>
      <w:bCs/>
      <w:sz w:val="26"/>
      <w:szCs w:val="26"/>
      <w:lang w:val="lt-LT"/>
    </w:rPr>
  </w:style>
  <w:style w:type="character" w:customStyle="1" w:styleId="Antrat4Diagrama">
    <w:name w:val="Antraštė 4 Diagrama"/>
    <w:basedOn w:val="Numatytasispastraiposriftas"/>
    <w:link w:val="Antrat4"/>
    <w:uiPriority w:val="9"/>
    <w:semiHidden/>
    <w:rsid w:val="008F34FF"/>
    <w:rPr>
      <w:rFonts w:asciiTheme="majorHAnsi" w:eastAsiaTheme="majorEastAsia" w:hAnsiTheme="majorHAnsi" w:cstheme="majorBidi"/>
      <w:i/>
      <w:iCs/>
      <w:color w:val="365F91" w:themeColor="accent1" w:themeShade="BF"/>
      <w:lang w:val="lt-LT"/>
    </w:rPr>
  </w:style>
  <w:style w:type="character" w:customStyle="1" w:styleId="Antrat5Diagrama">
    <w:name w:val="Antraštė 5 Diagrama"/>
    <w:basedOn w:val="Numatytasispastraiposriftas"/>
    <w:link w:val="Antrat5"/>
    <w:rsid w:val="008F34FF"/>
    <w:rPr>
      <w:rFonts w:ascii="Times New Roman" w:eastAsia="Times New Roman" w:hAnsi="Times New Roman" w:cs="Times New Roman"/>
      <w:b/>
      <w:bCs/>
      <w:i/>
      <w:iCs/>
      <w:sz w:val="26"/>
      <w:szCs w:val="26"/>
      <w:lang w:val="lt-LT" w:eastAsia="lt-LT"/>
    </w:rPr>
  </w:style>
  <w:style w:type="character" w:customStyle="1" w:styleId="Antrat6Diagrama">
    <w:name w:val="Antraštė 6 Diagrama"/>
    <w:basedOn w:val="Numatytasispastraiposriftas"/>
    <w:link w:val="Antrat6"/>
    <w:rsid w:val="008F34FF"/>
    <w:rPr>
      <w:rFonts w:ascii="Times New Roman" w:eastAsia="Times New Roman" w:hAnsi="Times New Roman" w:cs="Times New Roman"/>
      <w:b/>
      <w:bCs/>
      <w:sz w:val="22"/>
      <w:szCs w:val="22"/>
      <w:lang w:val="lt-LT"/>
    </w:rPr>
  </w:style>
  <w:style w:type="character" w:styleId="Hipersaitas">
    <w:name w:val="Hyperlink"/>
    <w:basedOn w:val="Numatytasispastraiposriftas"/>
    <w:uiPriority w:val="99"/>
    <w:rsid w:val="008F34FF"/>
    <w:rPr>
      <w:color w:val="0000FF"/>
      <w:u w:val="single"/>
    </w:rPr>
  </w:style>
  <w:style w:type="paragraph" w:customStyle="1" w:styleId="PI-1EMEASMCA">
    <w:name w:val="PI-1 EMEA_SMCA"/>
    <w:basedOn w:val="Antrat2"/>
    <w:autoRedefine/>
    <w:rsid w:val="008F34FF"/>
    <w:pPr>
      <w:tabs>
        <w:tab w:val="left" w:pos="567"/>
      </w:tabs>
      <w:spacing w:before="0" w:after="0"/>
      <w:ind w:left="567" w:hanging="567"/>
    </w:pPr>
    <w:rPr>
      <w:rFonts w:ascii="Times New Roman" w:hAnsi="Times New Roman" w:cs="Times New Roman"/>
      <w:bCs w:val="0"/>
      <w:i w:val="0"/>
      <w:iCs w:val="0"/>
      <w:sz w:val="22"/>
      <w:szCs w:val="22"/>
    </w:rPr>
  </w:style>
  <w:style w:type="paragraph" w:customStyle="1" w:styleId="PI-1labEMEASMCA">
    <w:name w:val="PI-1_lab EMEA_SMCA"/>
    <w:basedOn w:val="prastasis"/>
    <w:autoRedefine/>
    <w:rsid w:val="008F34FF"/>
    <w:pPr>
      <w:pBdr>
        <w:top w:val="single" w:sz="4" w:space="1" w:color="auto"/>
        <w:left w:val="single" w:sz="4" w:space="4" w:color="auto"/>
        <w:bottom w:val="single" w:sz="4" w:space="1" w:color="auto"/>
        <w:right w:val="single" w:sz="4" w:space="4" w:color="auto"/>
      </w:pBdr>
      <w:tabs>
        <w:tab w:val="left" w:pos="540"/>
      </w:tabs>
    </w:pPr>
    <w:rPr>
      <w:b/>
      <w:noProof/>
      <w:sz w:val="22"/>
      <w:szCs w:val="22"/>
    </w:rPr>
  </w:style>
  <w:style w:type="character" w:customStyle="1" w:styleId="PI-1labEMEASMCAChar">
    <w:name w:val="PI-1_lab EMEA_SMCA Char"/>
    <w:basedOn w:val="Numatytasispastraiposriftas"/>
    <w:rsid w:val="008F34FF"/>
    <w:rPr>
      <w:b/>
      <w:noProof/>
      <w:sz w:val="22"/>
      <w:szCs w:val="22"/>
      <w:lang w:val="lt-LT" w:eastAsia="en-US" w:bidi="ar-SA"/>
    </w:rPr>
  </w:style>
  <w:style w:type="paragraph" w:customStyle="1" w:styleId="PI-2EMEASMCA">
    <w:name w:val="PI-2 EMEA_SMCA"/>
    <w:basedOn w:val="Antrat3"/>
    <w:autoRedefine/>
    <w:rsid w:val="008F34FF"/>
    <w:pPr>
      <w:keepLines/>
      <w:tabs>
        <w:tab w:val="left" w:pos="567"/>
      </w:tabs>
      <w:spacing w:before="0" w:after="0"/>
      <w:ind w:left="567" w:hanging="567"/>
    </w:pPr>
    <w:rPr>
      <w:rFonts w:ascii="Times New Roman" w:hAnsi="Times New Roman" w:cs="Times New Roman"/>
      <w:bCs w:val="0"/>
      <w:kern w:val="28"/>
      <w:sz w:val="22"/>
      <w:szCs w:val="22"/>
    </w:rPr>
  </w:style>
  <w:style w:type="paragraph" w:customStyle="1" w:styleId="BTEMEASMCA">
    <w:name w:val="BT EMEA_SMCA"/>
    <w:basedOn w:val="prastasis"/>
    <w:autoRedefine/>
    <w:rsid w:val="008F34FF"/>
    <w:rPr>
      <w:sz w:val="22"/>
      <w:szCs w:val="22"/>
    </w:rPr>
  </w:style>
  <w:style w:type="paragraph" w:customStyle="1" w:styleId="TTEMEASMCA">
    <w:name w:val="TT EMEA_SMCA"/>
    <w:basedOn w:val="Antrat1"/>
    <w:autoRedefine/>
    <w:rsid w:val="008F34FF"/>
    <w:pPr>
      <w:keepNext w:val="0"/>
      <w:tabs>
        <w:tab w:val="left" w:pos="567"/>
      </w:tabs>
      <w:spacing w:before="0" w:after="0"/>
      <w:ind w:left="567" w:hanging="567"/>
      <w:jc w:val="center"/>
    </w:pPr>
    <w:rPr>
      <w:rFonts w:ascii="Times New Roman" w:hAnsi="Times New Roman" w:cs="Times New Roman"/>
      <w:bCs w:val="0"/>
      <w:caps/>
      <w:kern w:val="0"/>
      <w:sz w:val="22"/>
      <w:szCs w:val="22"/>
      <w:lang w:val="en-US"/>
    </w:rPr>
  </w:style>
  <w:style w:type="character" w:customStyle="1" w:styleId="TTEMEASMCAChar">
    <w:name w:val="TT EMEA_SMCA Char"/>
    <w:basedOn w:val="Numatytasispastraiposriftas"/>
    <w:rsid w:val="008F34FF"/>
    <w:rPr>
      <w:b/>
      <w:caps/>
      <w:sz w:val="22"/>
      <w:szCs w:val="22"/>
      <w:lang w:val="en-US" w:eastAsia="en-US" w:bidi="ar-SA"/>
    </w:rPr>
  </w:style>
  <w:style w:type="paragraph" w:customStyle="1" w:styleId="BTAnIIEMEASMCA">
    <w:name w:val="BT(AnII) EMEA_SMCA"/>
    <w:basedOn w:val="Debesliotekstas"/>
    <w:autoRedefine/>
    <w:rsid w:val="008F34FF"/>
    <w:pPr>
      <w:tabs>
        <w:tab w:val="left" w:pos="1701"/>
      </w:tabs>
      <w:ind w:left="1701" w:hanging="567"/>
    </w:pPr>
    <w:rPr>
      <w:rFonts w:ascii="Times New Roman" w:hAnsi="Times New Roman"/>
      <w:b/>
      <w:sz w:val="22"/>
      <w:szCs w:val="22"/>
      <w:lang w:val="en-GB"/>
    </w:rPr>
  </w:style>
  <w:style w:type="paragraph" w:customStyle="1" w:styleId="BT-EMEASMCA">
    <w:name w:val="BT- EMEA_SMCA"/>
    <w:basedOn w:val="BTEMEASMCA"/>
    <w:autoRedefine/>
    <w:rsid w:val="008F34FF"/>
    <w:pPr>
      <w:numPr>
        <w:numId w:val="1"/>
      </w:numPr>
      <w:tabs>
        <w:tab w:val="clear" w:pos="720"/>
        <w:tab w:val="num" w:pos="360"/>
      </w:tabs>
      <w:ind w:left="0" w:firstLine="0"/>
    </w:pPr>
  </w:style>
  <w:style w:type="paragraph" w:customStyle="1" w:styleId="PI-3EMEASMCA">
    <w:name w:val="PI-3 EMEA_SMCA"/>
    <w:basedOn w:val="prastasis"/>
    <w:autoRedefine/>
    <w:rsid w:val="008F34FF"/>
    <w:pPr>
      <w:spacing w:line="220" w:lineRule="exact"/>
    </w:pPr>
    <w:rPr>
      <w:b/>
      <w:bCs/>
      <w:sz w:val="22"/>
      <w:szCs w:val="22"/>
    </w:rPr>
  </w:style>
  <w:style w:type="paragraph" w:customStyle="1" w:styleId="BTbEMEASMCA">
    <w:name w:val="BT(b) EMEA_SMCA"/>
    <w:basedOn w:val="BTEMEASMCA"/>
    <w:autoRedefine/>
    <w:rsid w:val="008F34FF"/>
    <w:rPr>
      <w:b/>
    </w:rPr>
  </w:style>
  <w:style w:type="character" w:customStyle="1" w:styleId="BTEMEASMCAChar">
    <w:name w:val="BT EMEA_SMCA Char"/>
    <w:basedOn w:val="Numatytasispastraiposriftas"/>
    <w:rsid w:val="008F34FF"/>
    <w:rPr>
      <w:sz w:val="22"/>
      <w:szCs w:val="22"/>
      <w:lang w:val="lt-LT" w:eastAsia="en-US" w:bidi="ar-SA"/>
    </w:rPr>
  </w:style>
  <w:style w:type="paragraph" w:customStyle="1" w:styleId="BTuEMEASMCA">
    <w:name w:val="BT(u) EMEA_SMCA"/>
    <w:basedOn w:val="BTEMEASMCA"/>
    <w:autoRedefine/>
    <w:rsid w:val="008F34FF"/>
    <w:rPr>
      <w:u w:val="single"/>
    </w:rPr>
  </w:style>
  <w:style w:type="paragraph" w:styleId="Pagrindinistekstas2">
    <w:name w:val="Body Text 2"/>
    <w:basedOn w:val="prastasis"/>
    <w:link w:val="Pagrindinistekstas2Diagrama"/>
    <w:rsid w:val="008F34FF"/>
    <w:pPr>
      <w:spacing w:after="120" w:line="480" w:lineRule="auto"/>
    </w:pPr>
    <w:rPr>
      <w:sz w:val="22"/>
      <w:szCs w:val="20"/>
      <w:lang w:eastAsia="lt-LT"/>
    </w:rPr>
  </w:style>
  <w:style w:type="character" w:customStyle="1" w:styleId="Pagrindinistekstas2Diagrama">
    <w:name w:val="Pagrindinis tekstas 2 Diagrama"/>
    <w:basedOn w:val="Numatytasispastraiposriftas"/>
    <w:link w:val="Pagrindinistekstas2"/>
    <w:rsid w:val="008F34FF"/>
    <w:rPr>
      <w:rFonts w:ascii="Times New Roman" w:eastAsia="Times New Roman" w:hAnsi="Times New Roman" w:cs="Times New Roman"/>
      <w:sz w:val="22"/>
      <w:szCs w:val="20"/>
      <w:lang w:val="lt-LT" w:eastAsia="lt-LT"/>
    </w:rPr>
  </w:style>
  <w:style w:type="paragraph" w:styleId="Pagrindinistekstas">
    <w:name w:val="Body Text"/>
    <w:basedOn w:val="prastasis"/>
    <w:link w:val="PagrindinistekstasDiagrama"/>
    <w:rsid w:val="008F34FF"/>
    <w:pPr>
      <w:spacing w:after="120"/>
    </w:pPr>
    <w:rPr>
      <w:sz w:val="22"/>
      <w:szCs w:val="20"/>
      <w:lang w:eastAsia="lt-LT"/>
    </w:rPr>
  </w:style>
  <w:style w:type="character" w:customStyle="1" w:styleId="PagrindinistekstasDiagrama">
    <w:name w:val="Pagrindinis tekstas Diagrama"/>
    <w:basedOn w:val="Numatytasispastraiposriftas"/>
    <w:link w:val="Pagrindinistekstas"/>
    <w:rsid w:val="008F34FF"/>
    <w:rPr>
      <w:rFonts w:ascii="Times New Roman" w:eastAsia="Times New Roman" w:hAnsi="Times New Roman" w:cs="Times New Roman"/>
      <w:sz w:val="22"/>
      <w:szCs w:val="20"/>
      <w:lang w:val="lt-LT" w:eastAsia="lt-LT"/>
    </w:rPr>
  </w:style>
  <w:style w:type="paragraph" w:styleId="Porat">
    <w:name w:val="footer"/>
    <w:basedOn w:val="prastasis"/>
    <w:link w:val="PoratDiagrama"/>
    <w:rsid w:val="008F34FF"/>
    <w:pPr>
      <w:tabs>
        <w:tab w:val="center" w:pos="4819"/>
        <w:tab w:val="right" w:pos="9638"/>
      </w:tabs>
    </w:pPr>
  </w:style>
  <w:style w:type="character" w:customStyle="1" w:styleId="PoratDiagrama">
    <w:name w:val="Poraštė Diagrama"/>
    <w:basedOn w:val="Numatytasispastraiposriftas"/>
    <w:link w:val="Porat"/>
    <w:rsid w:val="008F34FF"/>
    <w:rPr>
      <w:rFonts w:ascii="Times New Roman" w:eastAsia="Times New Roman" w:hAnsi="Times New Roman" w:cs="Times New Roman"/>
      <w:lang w:val="lt-LT"/>
    </w:rPr>
  </w:style>
  <w:style w:type="character" w:styleId="Puslapionumeris">
    <w:name w:val="page number"/>
    <w:basedOn w:val="Numatytasispastraiposriftas"/>
    <w:rsid w:val="008F34FF"/>
  </w:style>
  <w:style w:type="paragraph" w:styleId="Debesliotekstas">
    <w:name w:val="Balloon Text"/>
    <w:basedOn w:val="prastasis"/>
    <w:link w:val="DebesliotekstasDiagrama"/>
    <w:semiHidden/>
    <w:rsid w:val="008F34FF"/>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8F34FF"/>
    <w:rPr>
      <w:rFonts w:ascii="Tahoma" w:eastAsia="Times New Roman" w:hAnsi="Tahoma" w:cs="Tahoma"/>
      <w:sz w:val="16"/>
      <w:szCs w:val="16"/>
      <w:lang w:val="lt-LT"/>
    </w:rPr>
  </w:style>
  <w:style w:type="character" w:styleId="Komentaronuoroda">
    <w:name w:val="annotation reference"/>
    <w:basedOn w:val="Numatytasispastraiposriftas"/>
    <w:semiHidden/>
    <w:rsid w:val="008F34FF"/>
    <w:rPr>
      <w:sz w:val="16"/>
      <w:szCs w:val="16"/>
    </w:rPr>
  </w:style>
  <w:style w:type="paragraph" w:styleId="Komentarotekstas">
    <w:name w:val="annotation text"/>
    <w:basedOn w:val="prastasis"/>
    <w:link w:val="KomentarotekstasDiagrama"/>
    <w:semiHidden/>
    <w:rsid w:val="008F34FF"/>
    <w:rPr>
      <w:sz w:val="20"/>
      <w:szCs w:val="20"/>
    </w:rPr>
  </w:style>
  <w:style w:type="character" w:customStyle="1" w:styleId="KomentarotekstasDiagrama">
    <w:name w:val="Komentaro tekstas Diagrama"/>
    <w:basedOn w:val="Numatytasispastraiposriftas"/>
    <w:link w:val="Komentarotekstas"/>
    <w:semiHidden/>
    <w:rsid w:val="008F34FF"/>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semiHidden/>
    <w:rsid w:val="008F34FF"/>
    <w:rPr>
      <w:b/>
      <w:bCs/>
    </w:rPr>
  </w:style>
  <w:style w:type="character" w:customStyle="1" w:styleId="KomentarotemaDiagrama">
    <w:name w:val="Komentaro tema Diagrama"/>
    <w:basedOn w:val="KomentarotekstasDiagrama"/>
    <w:link w:val="Komentarotema"/>
    <w:semiHidden/>
    <w:rsid w:val="008F34FF"/>
    <w:rPr>
      <w:rFonts w:ascii="Times New Roman" w:eastAsia="Times New Roman" w:hAnsi="Times New Roman" w:cs="Times New Roman"/>
      <w:b/>
      <w:bCs/>
      <w:sz w:val="20"/>
      <w:szCs w:val="20"/>
      <w:lang w:val="lt-LT"/>
    </w:rPr>
  </w:style>
  <w:style w:type="paragraph" w:styleId="prastasiniatinklio">
    <w:name w:val="Normal (Web)"/>
    <w:basedOn w:val="prastasis"/>
    <w:rsid w:val="008F34FF"/>
    <w:pPr>
      <w:spacing w:before="100" w:beforeAutospacing="1" w:after="100" w:afterAutospacing="1"/>
    </w:pPr>
    <w:rPr>
      <w:lang w:val="en-US"/>
    </w:rPr>
  </w:style>
  <w:style w:type="paragraph" w:customStyle="1" w:styleId="TableCell">
    <w:name w:val="TableCell"/>
    <w:basedOn w:val="prastasis"/>
    <w:rsid w:val="008F34FF"/>
    <w:rPr>
      <w:szCs w:val="20"/>
      <w:lang w:val="en-GB"/>
    </w:rPr>
  </w:style>
  <w:style w:type="paragraph" w:styleId="Pavadinimas">
    <w:name w:val="Title"/>
    <w:basedOn w:val="prastasis"/>
    <w:link w:val="PavadinimasDiagrama"/>
    <w:qFormat/>
    <w:rsid w:val="008F34FF"/>
    <w:pPr>
      <w:jc w:val="center"/>
    </w:pPr>
    <w:rPr>
      <w:b/>
      <w:sz w:val="22"/>
      <w:szCs w:val="20"/>
      <w:lang w:val="en-GB"/>
    </w:rPr>
  </w:style>
  <w:style w:type="character" w:customStyle="1" w:styleId="PavadinimasDiagrama">
    <w:name w:val="Pavadinimas Diagrama"/>
    <w:basedOn w:val="Numatytasispastraiposriftas"/>
    <w:link w:val="Pavadinimas"/>
    <w:rsid w:val="008F34FF"/>
    <w:rPr>
      <w:rFonts w:ascii="Times New Roman" w:eastAsia="Times New Roman" w:hAnsi="Times New Roman" w:cs="Times New Roman"/>
      <w:b/>
      <w:sz w:val="22"/>
      <w:szCs w:val="20"/>
      <w:lang w:val="en-GB"/>
    </w:rPr>
  </w:style>
  <w:style w:type="character" w:styleId="Perirtashipersaitas">
    <w:name w:val="FollowedHyperlink"/>
    <w:basedOn w:val="Numatytasispastraiposriftas"/>
    <w:rsid w:val="008F34FF"/>
    <w:rPr>
      <w:color w:val="800080"/>
      <w:u w:val="single"/>
    </w:rPr>
  </w:style>
  <w:style w:type="paragraph" w:styleId="Paprastasistekstas">
    <w:name w:val="Plain Text"/>
    <w:basedOn w:val="prastasis"/>
    <w:link w:val="PaprastasistekstasDiagrama"/>
    <w:uiPriority w:val="99"/>
    <w:rsid w:val="008F34FF"/>
    <w:rPr>
      <w:rFonts w:ascii="Courier New" w:eastAsia="SimSun" w:hAnsi="Courier New"/>
      <w:sz w:val="20"/>
      <w:szCs w:val="20"/>
      <w:lang w:val="en-US"/>
    </w:rPr>
  </w:style>
  <w:style w:type="character" w:customStyle="1" w:styleId="PaprastasistekstasDiagrama">
    <w:name w:val="Paprastasis tekstas Diagrama"/>
    <w:basedOn w:val="Numatytasispastraiposriftas"/>
    <w:link w:val="Paprastasistekstas"/>
    <w:uiPriority w:val="99"/>
    <w:rsid w:val="008F34FF"/>
    <w:rPr>
      <w:rFonts w:ascii="Courier New" w:eastAsia="SimSun" w:hAnsi="Courier New" w:cs="Times New Roman"/>
      <w:sz w:val="20"/>
      <w:szCs w:val="20"/>
    </w:rPr>
  </w:style>
  <w:style w:type="paragraph" w:styleId="Sraopastraipa">
    <w:name w:val="List Paragraph"/>
    <w:basedOn w:val="prastasis"/>
    <w:uiPriority w:val="34"/>
    <w:qFormat/>
    <w:rsid w:val="008F34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hyperlink" Target="mailto:NepageidaujamaR@vvkt.l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vkt.lt/"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ema.europa.eu" TargetMode="Externa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hyperlink" Target="http://www.ema.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27</Pages>
  <Words>31420</Words>
  <Characters>17910</Characters>
  <Application>Microsoft Office Word</Application>
  <DocSecurity>0</DocSecurity>
  <Lines>149</Lines>
  <Paragraphs>98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49232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Vaidas Skyrius</dc:creator>
  <cp:keywords/>
  <dc:description/>
  <cp:lastModifiedBy>Albina Burkauskaitė</cp:lastModifiedBy>
  <cp:revision>3</cp:revision>
  <dcterms:created xsi:type="dcterms:W3CDTF">2019-12-12T08:03:00Z</dcterms:created>
  <dcterms:modified xsi:type="dcterms:W3CDTF">2019-12-12T08:05:00Z</dcterms:modified>
</cp:coreProperties>
</file>