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54" w:rsidRDefault="001A6254" w:rsidP="001A6254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Pakuotės lapelis: informacija vartotojui</w:t>
      </w:r>
      <w:r>
        <w:rPr>
          <w:b/>
          <w:sz w:val="22"/>
          <w:szCs w:val="22"/>
        </w:rPr>
        <w:t xml:space="preserve"> </w:t>
      </w:r>
    </w:p>
    <w:p w:rsidR="001A6254" w:rsidRDefault="001A6254" w:rsidP="001A6254">
      <w:pPr>
        <w:jc w:val="center"/>
        <w:rPr>
          <w:b/>
          <w:sz w:val="22"/>
          <w:szCs w:val="22"/>
        </w:rPr>
      </w:pPr>
    </w:p>
    <w:p w:rsidR="001A6254" w:rsidRDefault="001A6254" w:rsidP="001A6254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NANIPRUS 30 mg milteliai ir tirpiklis infuziniam tirpalui</w:t>
      </w:r>
    </w:p>
    <w:p w:rsidR="001A6254" w:rsidRDefault="001A6254" w:rsidP="001A6254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Natrio </w:t>
      </w:r>
      <w:proofErr w:type="spellStart"/>
      <w:r>
        <w:rPr>
          <w:color w:val="000000"/>
          <w:sz w:val="22"/>
          <w:szCs w:val="22"/>
        </w:rPr>
        <w:t>nitroprusidas</w:t>
      </w:r>
      <w:proofErr w:type="spellEnd"/>
    </w:p>
    <w:p w:rsidR="001A6254" w:rsidRDefault="001A6254" w:rsidP="001A6254">
      <w:pPr>
        <w:jc w:val="center"/>
        <w:rPr>
          <w:sz w:val="22"/>
          <w:szCs w:val="22"/>
        </w:rPr>
      </w:pPr>
    </w:p>
    <w:p w:rsidR="001A6254" w:rsidRDefault="001A6254" w:rsidP="001A6254">
      <w:pPr>
        <w:pStyle w:val="BTbEMEASMCA"/>
      </w:pPr>
      <w:r>
        <w:t>Atidžiai perskaitykite visą šį lapelį, prieš pradėdami vartoti vaistą, nes jame pateikiama Jums svarbi informacija.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Neišmeskite šio lapelio, nes vėl gali prireikti jį perskaityti.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Jeigu kiltų daugiau klausimų, kreipkitės į gydytoją arba vaistininką.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Šis vaistas skirtas tik Jums, todėl kitiems žmonėms jo duoti negalima. Vaistas gali jiems pakenkti (net tiems, kurių ligos požymiai yra tokie patys kaip Jūsų).</w:t>
      </w:r>
    </w:p>
    <w:p w:rsidR="001A6254" w:rsidRDefault="001A6254" w:rsidP="001A6254">
      <w:pPr>
        <w:ind w:left="567" w:right="-2" w:hanging="567"/>
        <w:rPr>
          <w:noProof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b/>
          <w:szCs w:val="22"/>
          <w:lang w:val="lt-LT"/>
        </w:rPr>
      </w:pPr>
      <w:r>
        <w:rPr>
          <w:b/>
          <w:szCs w:val="22"/>
          <w:lang w:val="lt-LT"/>
        </w:rPr>
        <w:t>Apie ką rašoma šiame lapelyje?</w:t>
      </w:r>
    </w:p>
    <w:p w:rsidR="001A6254" w:rsidRDefault="001A6254" w:rsidP="001A6254">
      <w:pPr>
        <w:pStyle w:val="Pagrindinistekstas"/>
        <w:spacing w:after="0"/>
        <w:rPr>
          <w:b/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>Kas yra NANIPRUS ir kam jis vartojamas</w:t>
      </w: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>Kas žinotina prieš vartojant NANIPRUS</w:t>
      </w: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>Kaip vartoti NANIPRUS</w:t>
      </w: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 xml:space="preserve">Kaip laikyti NANIPRUS </w:t>
      </w:r>
    </w:p>
    <w:p w:rsidR="001A6254" w:rsidRDefault="001A6254" w:rsidP="001A6254">
      <w:pPr>
        <w:pStyle w:val="Pagrindinistekstas"/>
        <w:spacing w:after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>Pakuotės turinys ir kita informacija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1.</w:t>
      </w:r>
      <w:r>
        <w:rPr>
          <w:rFonts w:ascii="Times New Roman" w:hAnsi="Times New Roman"/>
          <w:i w:val="0"/>
          <w:sz w:val="22"/>
          <w:szCs w:val="22"/>
        </w:rPr>
        <w:tab/>
        <w:t xml:space="preserve">Kas yra </w:t>
      </w:r>
      <w:r>
        <w:rPr>
          <w:rFonts w:ascii="Times New Roman" w:hAnsi="Times New Roman"/>
          <w:bCs w:val="0"/>
          <w:i w:val="0"/>
          <w:sz w:val="22"/>
          <w:szCs w:val="22"/>
        </w:rPr>
        <w:t>NANIPRUS</w:t>
      </w:r>
      <w:r>
        <w:rPr>
          <w:rFonts w:ascii="Times New Roman" w:hAnsi="Times New Roman"/>
          <w:i w:val="0"/>
          <w:sz w:val="22"/>
          <w:szCs w:val="22"/>
        </w:rPr>
        <w:t xml:space="preserve"> ir kam jis vartojamas?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NANIPRUS yra kraujospūdį mažinantis ir kraujagysles plečiantis vaistas.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NANIPRUS vartojamas:</w:t>
      </w:r>
    </w:p>
    <w:p w:rsidR="001A6254" w:rsidRDefault="001A6254" w:rsidP="001A625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hipertenzinei</w:t>
      </w:r>
      <w:proofErr w:type="spellEnd"/>
      <w:r>
        <w:rPr>
          <w:sz w:val="22"/>
          <w:szCs w:val="22"/>
        </w:rPr>
        <w:t xml:space="preserve"> krizei gydyti;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 xml:space="preserve">-         kontroliuojamai </w:t>
      </w:r>
      <w:proofErr w:type="spellStart"/>
      <w:r>
        <w:rPr>
          <w:szCs w:val="22"/>
          <w:lang w:val="lt-LT"/>
        </w:rPr>
        <w:t>hipotenzijai</w:t>
      </w:r>
      <w:proofErr w:type="spellEnd"/>
      <w:r>
        <w:rPr>
          <w:szCs w:val="22"/>
          <w:lang w:val="lt-LT"/>
        </w:rPr>
        <w:t xml:space="preserve"> sukelti operacijų metu ir širdies nepakankamumui gydyti.</w:t>
      </w:r>
    </w:p>
    <w:p w:rsidR="001A6254" w:rsidRDefault="001A6254" w:rsidP="001A6254">
      <w:pPr>
        <w:pStyle w:val="Pagrindinistekstas"/>
        <w:spacing w:after="0"/>
        <w:rPr>
          <w:bCs/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2.</w:t>
      </w:r>
      <w:r>
        <w:rPr>
          <w:rFonts w:ascii="Times New Roman" w:hAnsi="Times New Roman"/>
          <w:i w:val="0"/>
          <w:sz w:val="22"/>
          <w:szCs w:val="22"/>
        </w:rPr>
        <w:tab/>
        <w:t>Kas žinotina prieš vartojant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NANIPRUS vartoti negalima</w:t>
      </w:r>
      <w:r>
        <w:rPr>
          <w:b/>
          <w:bCs/>
          <w:sz w:val="22"/>
          <w:szCs w:val="22"/>
        </w:rPr>
        <w:t>: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ind w:left="567" w:hanging="567"/>
        <w:rPr>
          <w:color w:val="auto"/>
        </w:rPr>
      </w:pPr>
      <w:r>
        <w:rPr>
          <w:color w:val="auto"/>
        </w:rPr>
        <w:t>jeigu yra alergija natrio nitroprusidui arba bet kuriai pagalbinei šio vaisto medžiagai (jos išvardytos 6 skyriuje);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arterinė-veninė aneurizma (kraujagyslių išsiplėtimas);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aortos susiaurėjimas;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padidėjęs spaudimas kaukolės viduje;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rStyle w:val="st"/>
          <w:color w:val="auto"/>
        </w:rPr>
        <w:t>neįprastai žemas kraujo spaudimas</w:t>
      </w:r>
      <w:r>
        <w:rPr>
          <w:color w:val="auto"/>
        </w:rPr>
        <w:t>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rStyle w:val="st"/>
        </w:rPr>
      </w:pPr>
      <w:r>
        <w:rPr>
          <w:rStyle w:val="st"/>
          <w:color w:val="auto"/>
        </w:rPr>
        <w:t>sumažėjęs bendras kraujo kiekis;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</w:pPr>
      <w:r>
        <w:rPr>
          <w:rStyle w:val="st"/>
          <w:color w:val="auto"/>
        </w:rPr>
        <w:t>skydliaukės funkcijos nepakankamumas</w:t>
      </w:r>
      <w:r>
        <w:rPr>
          <w:color w:val="auto"/>
        </w:rPr>
        <w:t>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kai yra Leberio regos nervo atrofija;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kai yra tabako sukelta ambliopija (regėjimo susilpnėjimas, nesant objektyvių pakitimų akyje);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kai yra didelis vitamino B</w:t>
      </w:r>
      <w:r>
        <w:rPr>
          <w:bCs/>
          <w:color w:val="auto"/>
          <w:vertAlign w:val="subscript"/>
        </w:rPr>
        <w:t>12</w:t>
      </w:r>
      <w:r>
        <w:rPr>
          <w:color w:val="auto"/>
        </w:rPr>
        <w:t xml:space="preserve"> trūkumas;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kepenų nepakankamumas;</w:t>
      </w:r>
    </w:p>
    <w:p w:rsidR="001A6254" w:rsidRDefault="001A6254" w:rsidP="001A6254">
      <w:pPr>
        <w:pStyle w:val="BT-EMEASMCA"/>
        <w:tabs>
          <w:tab w:val="clear" w:pos="360"/>
          <w:tab w:val="clear" w:pos="540"/>
          <w:tab w:val="num" w:pos="567"/>
          <w:tab w:val="num" w:pos="720"/>
        </w:tabs>
        <w:ind w:left="567" w:hanging="567"/>
        <w:rPr>
          <w:color w:val="auto"/>
        </w:rPr>
      </w:pPr>
      <w:r>
        <w:rPr>
          <w:color w:val="auto"/>
        </w:rPr>
        <w:t>jei yra sumažėjęs methemoglobino reduktazių aktyvumas (fermentų, skaidančių tam tikros formos hemoglobiną, kuris negali veiksmingai išnešioti deguonies po organizmą, nepakankamumas);</w:t>
      </w:r>
    </w:p>
    <w:p w:rsidR="001A6254" w:rsidRDefault="001A6254" w:rsidP="001A6254">
      <w:pPr>
        <w:pStyle w:val="BT-EMEASMCA"/>
        <w:tabs>
          <w:tab w:val="clear" w:pos="360"/>
          <w:tab w:val="num" w:pos="720"/>
        </w:tabs>
        <w:rPr>
          <w:color w:val="auto"/>
        </w:rPr>
      </w:pPr>
      <w:r>
        <w:rPr>
          <w:color w:val="auto"/>
        </w:rPr>
        <w:t>inkstų nepakankamumas;</w:t>
      </w:r>
    </w:p>
    <w:p w:rsidR="001A6254" w:rsidRDefault="001A6254" w:rsidP="001A6254">
      <w:pPr>
        <w:tabs>
          <w:tab w:val="left" w:pos="0"/>
          <w:tab w:val="left" w:pos="5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simptominė hipertenzija (tokia kaip esant arteriniams-veniniams šuntams arba aortos susiaurėjimui);</w:t>
      </w:r>
    </w:p>
    <w:p w:rsidR="001A6254" w:rsidRDefault="001A6254" w:rsidP="001A6254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žindymo laikotarpiu.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Įspėjimai ir atsargumo priemonės</w:t>
      </w:r>
    </w:p>
    <w:p w:rsidR="001A6254" w:rsidRDefault="001A6254" w:rsidP="001A6254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 xml:space="preserve">Pasitarkite su gydytoju arba vaistininku, prieš pradėdami vartoti </w:t>
      </w:r>
      <w:r>
        <w:rPr>
          <w:sz w:val="22"/>
          <w:szCs w:val="22"/>
        </w:rPr>
        <w:t>NANIPRUS.</w:t>
      </w:r>
    </w:p>
    <w:p w:rsidR="001A6254" w:rsidRDefault="001A6254" w:rsidP="001A6254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A6254" w:rsidRDefault="001A6254" w:rsidP="001A6254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Specialių atsargumo priemonių reikia:</w:t>
      </w:r>
    </w:p>
    <w:p w:rsidR="001A6254" w:rsidRDefault="001A6254" w:rsidP="001A6254">
      <w:pPr>
        <w:pStyle w:val="Antrat3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         jeigu per mažas natrio kiekis kraujyje 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hiponatremija</w:t>
      </w:r>
      <w:proofErr w:type="spellEnd"/>
      <w:r>
        <w:rPr>
          <w:rFonts w:ascii="Times New Roman" w:hAnsi="Times New Roman"/>
          <w:b w:val="0"/>
          <w:sz w:val="22"/>
          <w:szCs w:val="22"/>
        </w:rPr>
        <w:t>);</w:t>
      </w:r>
      <w:r>
        <w:rPr>
          <w:rFonts w:ascii="Times New Roman" w:hAnsi="Times New Roman"/>
          <w:sz w:val="22"/>
          <w:szCs w:val="22"/>
        </w:rPr>
        <w:t xml:space="preserve">   </w:t>
      </w:r>
    </w:p>
    <w:p w:rsidR="001A6254" w:rsidRDefault="001A6254" w:rsidP="001A6254">
      <w:pPr>
        <w:pStyle w:val="Antrat3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         jeigu sergate išemine širdies liga;</w:t>
      </w:r>
    </w:p>
    <w:p w:rsidR="001A6254" w:rsidRDefault="001A6254" w:rsidP="001A625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sergate širdies nepakankamumu;</w:t>
      </w:r>
    </w:p>
    <w:p w:rsidR="001A6254" w:rsidRDefault="001A6254" w:rsidP="001A625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sutrikusi smegenų kraujotaka;</w:t>
      </w:r>
      <w:r>
        <w:rPr>
          <w:sz w:val="22"/>
          <w:szCs w:val="22"/>
        </w:rPr>
        <w:tab/>
      </w:r>
    </w:p>
    <w:p w:rsidR="001A6254" w:rsidRDefault="001A6254" w:rsidP="001A625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esate senyvas;</w:t>
      </w:r>
    </w:p>
    <w:p w:rsidR="001A6254" w:rsidRDefault="001A6254" w:rsidP="001A625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vartojate fosfodiesterazės-5 inhibitorių.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ind w:left="567" w:hanging="567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Kiti vaistai ir NANIPRUS</w:t>
      </w:r>
    </w:p>
    <w:p w:rsidR="001A6254" w:rsidRDefault="001A6254" w:rsidP="001A625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Jeigu vartojate arba neseniai vartojote kitų vaistų, įskaitant įsigytus be recepto, pasakykite gydytojui. Jam ypač svarbu pasakyti, jeigu vartojate vaistų nuo didelio kraujospūdžio ligos, ar fosfodiesterazės-5 inhibitorių (t. y. preparatų nuo erekcijos sutrikimo, pvz., Viagra).</w:t>
      </w:r>
    </w:p>
    <w:p w:rsidR="001A6254" w:rsidRDefault="001A6254" w:rsidP="001A6254">
      <w:pPr>
        <w:rPr>
          <w:b/>
          <w:bCs/>
          <w:sz w:val="22"/>
          <w:szCs w:val="22"/>
        </w:rPr>
      </w:pPr>
    </w:p>
    <w:p w:rsidR="001A6254" w:rsidRDefault="001A6254" w:rsidP="001A62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Nėštumas ir žindymo laikotarpis</w:t>
      </w:r>
    </w:p>
    <w:p w:rsidR="001A6254" w:rsidRDefault="001A6254" w:rsidP="001A6254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Nėščioms NANIPRUS skirti reikėtų atsargiai įvertinant naudos/rizikos santykį. NANIPRUS neskiriama laktacijos laikotarpiu, nes, preparatui skylant, susidaro cianidai, kurie gali toksiškai veikti naujagimį.</w:t>
      </w:r>
    </w:p>
    <w:p w:rsidR="001A6254" w:rsidRDefault="001A6254" w:rsidP="001A6254">
      <w:pPr>
        <w:pStyle w:val="Pagrindinistekstas"/>
        <w:spacing w:after="0"/>
        <w:rPr>
          <w:b/>
          <w:szCs w:val="22"/>
          <w:lang w:val="lt-LT"/>
        </w:rPr>
      </w:pPr>
    </w:p>
    <w:p w:rsidR="001A6254" w:rsidRDefault="001A6254" w:rsidP="001A62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Vairavimas ir mechanizmų valdymas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Preparatas skiriamas tik stacionaruose gydomiems ligoniams.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3.</w:t>
      </w:r>
      <w:r>
        <w:rPr>
          <w:rFonts w:ascii="Times New Roman" w:hAnsi="Times New Roman"/>
          <w:i w:val="0"/>
          <w:sz w:val="22"/>
          <w:szCs w:val="22"/>
        </w:rPr>
        <w:tab/>
        <w:t>Kaip vartoti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bCs/>
          <w:szCs w:val="22"/>
          <w:lang w:val="lt-LT"/>
        </w:rPr>
        <w:t xml:space="preserve">NANIPRUS </w:t>
      </w:r>
      <w:r>
        <w:rPr>
          <w:szCs w:val="22"/>
          <w:lang w:val="lt-LT"/>
        </w:rPr>
        <w:t>gydoma tik ligoninėje. Paruoštas jo tirpalas lašinamas į veną, gydytojui nuolat stebint širdies ir kraujagyslių sistemos būklę. Tikslią vaisto dozę ir gydymo juo trukmę nustato gydytojas.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pStyle w:val="Pagrindinistekstas"/>
        <w:spacing w:after="0"/>
        <w:rPr>
          <w:b/>
          <w:szCs w:val="22"/>
          <w:lang w:val="lt-LT"/>
        </w:rPr>
      </w:pPr>
      <w:r>
        <w:rPr>
          <w:b/>
          <w:szCs w:val="22"/>
          <w:lang w:val="lt-LT"/>
        </w:rPr>
        <w:t>Ką daryti pavartojus per didelę NANIPRUS dozę?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 xml:space="preserve">Kadangi NANIPRUS gydoma tik ligoninėje per didelė dozė Jums neturėtų būti sulašinta. 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Ūminio perdozavimo, t. y. NANIPRUS sulašinus per greitai, atveju pasireiškia pernelyg didelė </w:t>
      </w:r>
      <w:proofErr w:type="spellStart"/>
      <w:r>
        <w:rPr>
          <w:sz w:val="22"/>
          <w:szCs w:val="22"/>
          <w:lang w:eastAsia="lt-LT"/>
        </w:rPr>
        <w:t>hipotenzija</w:t>
      </w:r>
      <w:proofErr w:type="spellEnd"/>
      <w:r>
        <w:rPr>
          <w:sz w:val="22"/>
          <w:szCs w:val="22"/>
          <w:lang w:eastAsia="lt-LT"/>
        </w:rPr>
        <w:t xml:space="preserve"> ir toksinis natrio </w:t>
      </w:r>
      <w:proofErr w:type="spellStart"/>
      <w:r>
        <w:rPr>
          <w:sz w:val="22"/>
          <w:szCs w:val="22"/>
          <w:lang w:eastAsia="lt-LT"/>
        </w:rPr>
        <w:t>nitroprusido</w:t>
      </w:r>
      <w:proofErr w:type="spellEnd"/>
      <w:r>
        <w:rPr>
          <w:sz w:val="22"/>
          <w:szCs w:val="22"/>
          <w:lang w:eastAsia="lt-LT"/>
        </w:rPr>
        <w:t xml:space="preserve"> metabolitų (cianido ir </w:t>
      </w:r>
      <w:proofErr w:type="spellStart"/>
      <w:r>
        <w:rPr>
          <w:sz w:val="22"/>
          <w:szCs w:val="22"/>
          <w:lang w:eastAsia="lt-LT"/>
        </w:rPr>
        <w:t>tiocianato</w:t>
      </w:r>
      <w:proofErr w:type="spellEnd"/>
      <w:r>
        <w:rPr>
          <w:sz w:val="22"/>
          <w:szCs w:val="22"/>
          <w:lang w:eastAsia="lt-LT"/>
        </w:rPr>
        <w:t>) poveikis.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Pernelyg didelės </w:t>
      </w:r>
      <w:proofErr w:type="spellStart"/>
      <w:r>
        <w:rPr>
          <w:sz w:val="22"/>
          <w:szCs w:val="22"/>
          <w:lang w:eastAsia="lt-LT"/>
        </w:rPr>
        <w:t>hipotenzijos</w:t>
      </w:r>
      <w:proofErr w:type="spellEnd"/>
      <w:r>
        <w:rPr>
          <w:sz w:val="22"/>
          <w:szCs w:val="22"/>
          <w:lang w:eastAsia="lt-LT"/>
        </w:rPr>
        <w:t xml:space="preserve"> simptomai yra galvos svaigimas ir skausmas, didelis prakaitavimas, raumenų trūkčiojimas, nervingumas arba </w:t>
      </w:r>
      <w:proofErr w:type="spellStart"/>
      <w:r>
        <w:rPr>
          <w:sz w:val="22"/>
          <w:szCs w:val="22"/>
          <w:lang w:eastAsia="lt-LT"/>
        </w:rPr>
        <w:t>ažitacija</w:t>
      </w:r>
      <w:proofErr w:type="spellEnd"/>
      <w:r>
        <w:rPr>
          <w:sz w:val="22"/>
          <w:szCs w:val="22"/>
          <w:lang w:eastAsia="lt-LT"/>
        </w:rPr>
        <w:t xml:space="preserve">, neramumas, pilvo skausmas, refleksinė </w:t>
      </w:r>
      <w:proofErr w:type="spellStart"/>
      <w:r>
        <w:rPr>
          <w:sz w:val="22"/>
          <w:szCs w:val="22"/>
          <w:lang w:eastAsia="lt-LT"/>
        </w:rPr>
        <w:t>tachikardija</w:t>
      </w:r>
      <w:proofErr w:type="spellEnd"/>
      <w:r>
        <w:rPr>
          <w:sz w:val="22"/>
          <w:szCs w:val="22"/>
          <w:lang w:eastAsia="lt-LT"/>
        </w:rPr>
        <w:t xml:space="preserve"> (dažnas širdies ritmas) bei kt. 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Svarbiausi intoksikacijos cianidu simptomai yra refleksų išnykimas, </w:t>
      </w:r>
      <w:proofErr w:type="spellStart"/>
      <w:r>
        <w:rPr>
          <w:sz w:val="22"/>
          <w:szCs w:val="22"/>
          <w:lang w:eastAsia="lt-LT"/>
        </w:rPr>
        <w:t>hipotenzija</w:t>
      </w:r>
      <w:proofErr w:type="spellEnd"/>
      <w:r>
        <w:rPr>
          <w:sz w:val="22"/>
          <w:szCs w:val="22"/>
          <w:lang w:eastAsia="lt-LT"/>
        </w:rPr>
        <w:t xml:space="preserve"> (mažas kraujospūdis), rausva odos spalva, labai paviršutiniškas kvėpavimas, vyzdžių išsiplėtimas, koma. 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Svarbiausi intoksikacijos </w:t>
      </w:r>
      <w:proofErr w:type="spellStart"/>
      <w:r>
        <w:rPr>
          <w:sz w:val="22"/>
          <w:szCs w:val="22"/>
          <w:lang w:eastAsia="lt-LT"/>
        </w:rPr>
        <w:t>tiocianatu</w:t>
      </w:r>
      <w:proofErr w:type="spellEnd"/>
      <w:r>
        <w:rPr>
          <w:sz w:val="22"/>
          <w:szCs w:val="22"/>
          <w:lang w:eastAsia="lt-LT"/>
        </w:rPr>
        <w:t xml:space="preserve"> simptomai yra galvos svaigimas ir skausmas, pykinimas ir vėmimas, dusulys, sąmonės pritemimas, spengimas ausyse, </w:t>
      </w:r>
      <w:proofErr w:type="spellStart"/>
      <w:r>
        <w:rPr>
          <w:sz w:val="22"/>
          <w:szCs w:val="22"/>
          <w:lang w:eastAsia="lt-LT"/>
        </w:rPr>
        <w:t>delyras</w:t>
      </w:r>
      <w:proofErr w:type="spellEnd"/>
      <w:r>
        <w:rPr>
          <w:sz w:val="22"/>
          <w:szCs w:val="22"/>
          <w:lang w:eastAsia="lt-LT"/>
        </w:rPr>
        <w:t xml:space="preserve"> ir kt.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 xml:space="preserve">Jeigu minėtų simptomų atsiranda, nedelsdami pasakykite gydytojui, kuris prireikus imsis reikiamų gydymo priemonių. 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4.</w:t>
      </w:r>
      <w:r>
        <w:rPr>
          <w:rFonts w:ascii="Times New Roman" w:hAnsi="Times New Roman"/>
          <w:i w:val="0"/>
          <w:sz w:val="22"/>
          <w:szCs w:val="22"/>
        </w:rPr>
        <w:tab/>
        <w:t>Galimas šalutinis poveikis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Svarbiausios nepageidaujamos reakcijos yra pernelyg didelė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 ir intoksikacija vaistinio preparato skilimo produktais. Kitokios nepageidaujamos reakcijos, pastebėtos gydant NANIPRUS, išvardytos toliau. Jų dažnis nežinomas.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Širdies sutrikimai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 xml:space="preserve">Krūtinės anginos simptomų sustiprėjimas (per daug sumažėjus kraujospūdžiui), </w:t>
      </w:r>
      <w:proofErr w:type="spellStart"/>
      <w:r>
        <w:rPr>
          <w:rFonts w:ascii="Times New Roman" w:hAnsi="Times New Roman"/>
          <w:szCs w:val="22"/>
          <w:lang w:val="lt-LT"/>
        </w:rPr>
        <w:t>tachikardija</w:t>
      </w:r>
      <w:proofErr w:type="spellEnd"/>
      <w:r>
        <w:rPr>
          <w:rFonts w:ascii="Times New Roman" w:hAnsi="Times New Roman"/>
          <w:szCs w:val="22"/>
          <w:lang w:val="lt-LT"/>
        </w:rPr>
        <w:t xml:space="preserve"> (dažnas širdies plakimas), elektrokardiogramos pokyčiai.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Kraujagyslių sutrikimai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 xml:space="preserve">Sunki </w:t>
      </w:r>
      <w:proofErr w:type="spellStart"/>
      <w:r>
        <w:rPr>
          <w:rFonts w:ascii="Times New Roman" w:hAnsi="Times New Roman"/>
          <w:szCs w:val="22"/>
          <w:lang w:val="lt-LT"/>
        </w:rPr>
        <w:t>hipotenzija</w:t>
      </w:r>
      <w:proofErr w:type="spellEnd"/>
      <w:r>
        <w:rPr>
          <w:rFonts w:ascii="Times New Roman" w:hAnsi="Times New Roman"/>
          <w:szCs w:val="22"/>
          <w:lang w:val="lt-LT"/>
        </w:rPr>
        <w:t xml:space="preserve"> (</w:t>
      </w:r>
      <w:r>
        <w:rPr>
          <w:rStyle w:val="st"/>
          <w:rFonts w:ascii="Times New Roman" w:hAnsi="Times New Roman"/>
          <w:szCs w:val="22"/>
          <w:lang w:val="lt-LT"/>
        </w:rPr>
        <w:t>neįprastai žemas kraujo spaudimas)</w:t>
      </w:r>
      <w:r>
        <w:rPr>
          <w:rFonts w:ascii="Times New Roman" w:hAnsi="Times New Roman"/>
          <w:szCs w:val="22"/>
          <w:lang w:val="lt-LT"/>
        </w:rPr>
        <w:t xml:space="preserve"> nepakankamai sumažėjęs kraujospūdis, paraudimas.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Virškinimo sistemos sutrikimai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 xml:space="preserve">Vėmimas, pykinimas, žarnų nepraeinamumas. 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Nervų sistemos sutrikimai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 xml:space="preserve">Galvos skausmas, galvos svaigimas, </w:t>
      </w:r>
      <w:r>
        <w:rPr>
          <w:rFonts w:ascii="Times New Roman" w:hAnsi="Times New Roman"/>
          <w:bCs/>
          <w:szCs w:val="22"/>
          <w:lang w:val="lt-LT"/>
        </w:rPr>
        <w:t>spaudimo padidėjimas kaukolės viduje</w:t>
      </w:r>
      <w:r>
        <w:rPr>
          <w:rFonts w:ascii="Times New Roman" w:hAnsi="Times New Roman"/>
          <w:szCs w:val="22"/>
          <w:lang w:val="lt-LT"/>
        </w:rPr>
        <w:t>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Bendrieji sutrikimai ir vartojimo vietos pažeidimai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>Silpnumas, pripratimas (daugiau tikėtinas jaunesniems pacientams negu pagyvenusiems), infuzijos vietos reakcija (pvz., dirginimas, skausmas, paraudimas, niežėjimas), išbėrimas.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Kraujo ir limfinės sistemos sutrikimai</w:t>
      </w:r>
    </w:p>
    <w:p w:rsidR="001A6254" w:rsidRDefault="001A6254" w:rsidP="001A625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Methemoglobinemija</w:t>
      </w:r>
      <w:proofErr w:type="spellEnd"/>
      <w:r>
        <w:rPr>
          <w:color w:val="auto"/>
          <w:sz w:val="22"/>
          <w:szCs w:val="22"/>
        </w:rPr>
        <w:t xml:space="preserve"> (būklė, kai kraujyje susidaro pernelyg daug neįprastos formos hemoglobino, kuris negali veiksmingai išnešioti deguonies po organizmą), trombocitų </w:t>
      </w:r>
      <w:proofErr w:type="spellStart"/>
      <w:r>
        <w:rPr>
          <w:color w:val="auto"/>
          <w:sz w:val="22"/>
          <w:szCs w:val="22"/>
        </w:rPr>
        <w:t>agregacijos</w:t>
      </w:r>
      <w:proofErr w:type="spellEnd"/>
      <w:r>
        <w:rPr>
          <w:color w:val="auto"/>
          <w:sz w:val="22"/>
          <w:szCs w:val="22"/>
        </w:rPr>
        <w:t xml:space="preserve"> (tam tikrų kraujo ląstelių gebėjimas formuoti kraujo krešulį) susilpnėjimas.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Jeigu pasireiškė šalutinis poveikis įskaitant šiame lapelyje nenurodytą, pasakykite gydytojui arba vaistininkui.</w:t>
      </w:r>
    </w:p>
    <w:p w:rsidR="001A6254" w:rsidRDefault="001A6254" w:rsidP="001A6254">
      <w:pPr>
        <w:pStyle w:val="Pagrindinistekstas"/>
        <w:spacing w:after="0"/>
        <w:rPr>
          <w:bCs/>
          <w:szCs w:val="22"/>
          <w:lang w:val="lt-LT"/>
        </w:rPr>
      </w:pPr>
    </w:p>
    <w:p w:rsidR="001A6254" w:rsidRDefault="001A6254" w:rsidP="001A6254">
      <w:pPr>
        <w:rPr>
          <w:b/>
          <w:snapToGrid w:val="0"/>
          <w:color w:val="000000" w:themeColor="text1"/>
          <w:sz w:val="22"/>
          <w:szCs w:val="22"/>
        </w:rPr>
      </w:pPr>
      <w:r>
        <w:rPr>
          <w:b/>
          <w:noProof/>
          <w:snapToGrid w:val="0"/>
          <w:color w:val="000000" w:themeColor="text1"/>
          <w:sz w:val="22"/>
          <w:szCs w:val="22"/>
        </w:rPr>
        <w:t>Pranešimas apie šalutinį poveikį</w:t>
      </w:r>
    </w:p>
    <w:p w:rsidR="001A6254" w:rsidRDefault="001A6254" w:rsidP="001A6254">
      <w:pPr>
        <w:ind w:right="-449"/>
        <w:rPr>
          <w:noProof/>
          <w:snapToGrid w:val="0"/>
          <w:color w:val="000000" w:themeColor="text1"/>
          <w:sz w:val="22"/>
          <w:szCs w:val="22"/>
        </w:rPr>
      </w:pPr>
      <w:r>
        <w:rPr>
          <w:noProof/>
          <w:snapToGrid w:val="0"/>
          <w:color w:val="000000" w:themeColor="text1"/>
          <w:sz w:val="22"/>
          <w:szCs w:val="22"/>
        </w:rPr>
        <w:t>Jeigu pasireiškė šalutinis poveikis, įskaitant šiame lapelyje nenurodytą, pasakykite gydytojui arba vaistininkui</w:t>
      </w:r>
      <w:r>
        <w:rPr>
          <w:snapToGrid w:val="0"/>
          <w:color w:val="000000" w:themeColor="text1"/>
          <w:sz w:val="22"/>
          <w:szCs w:val="22"/>
        </w:rPr>
        <w:t>.</w:t>
      </w:r>
      <w:r>
        <w:rPr>
          <w:noProof/>
          <w:snapToGrid w:val="0"/>
          <w:color w:val="000000" w:themeColor="text1"/>
          <w:sz w:val="22"/>
          <w:szCs w:val="22"/>
        </w:rPr>
        <w:t xml:space="preserve"> Apie šalutinį poveikį taip pat galite pranešti Valstybinei vaistų kontrolės tarnybai prie Lietuvos Respublikos sveikatos apsaugos ministerijos  nemokamu telefonu 8 800 73568 arba užpildyti interneto svetainėje </w:t>
      </w:r>
      <w:hyperlink r:id="rId5" w:history="1">
        <w:r>
          <w:rPr>
            <w:rStyle w:val="Hipersaitas"/>
            <w:rFonts w:eastAsia="SimSun"/>
            <w:noProof/>
            <w:snapToGrid w:val="0"/>
            <w:color w:val="000000" w:themeColor="text1"/>
            <w:sz w:val="22"/>
            <w:szCs w:val="22"/>
          </w:rPr>
          <w:t>www.vvkt.lt</w:t>
        </w:r>
      </w:hyperlink>
      <w:r>
        <w:rPr>
          <w:noProof/>
          <w:snapToGrid w:val="0"/>
          <w:color w:val="000000" w:themeColor="text1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 Žirmūnų g. 139A, LT 09120 Vilnius); nemokamu fakso numeriu 8 800 20131</w:t>
      </w:r>
      <w:r>
        <w:rPr>
          <w:rFonts w:eastAsia="Calibri"/>
          <w:noProof/>
          <w:snapToGrid w:val="0"/>
          <w:color w:val="000000" w:themeColor="text1"/>
          <w:sz w:val="22"/>
          <w:szCs w:val="22"/>
          <w:lang w:eastAsia="zh-CN"/>
        </w:rPr>
        <w:t xml:space="preserve"> </w:t>
      </w:r>
      <w:r>
        <w:rPr>
          <w:noProof/>
          <w:snapToGrid w:val="0"/>
          <w:color w:val="000000" w:themeColor="text1"/>
          <w:sz w:val="22"/>
          <w:szCs w:val="22"/>
        </w:rPr>
        <w:t xml:space="preserve">el. paštu </w:t>
      </w:r>
      <w:hyperlink r:id="rId6" w:history="1">
        <w:r>
          <w:rPr>
            <w:rStyle w:val="Hipersaitas"/>
            <w:rFonts w:eastAsia="SimSun"/>
            <w:noProof/>
            <w:snapToGrid w:val="0"/>
            <w:color w:val="000000" w:themeColor="text1"/>
            <w:sz w:val="22"/>
            <w:szCs w:val="22"/>
          </w:rPr>
          <w:t>NepageidaujamaR@vvkt.lt</w:t>
        </w:r>
      </w:hyperlink>
      <w:r>
        <w:rPr>
          <w:noProof/>
          <w:snapToGrid w:val="0"/>
          <w:color w:val="000000" w:themeColor="text1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noProof/>
            <w:snapToGrid w:val="0"/>
            <w:color w:val="000000" w:themeColor="text1"/>
            <w:sz w:val="22"/>
            <w:szCs w:val="22"/>
          </w:rPr>
          <w:t>http://www.vvkt.lt</w:t>
        </w:r>
      </w:hyperlink>
      <w:r>
        <w:rPr>
          <w:noProof/>
          <w:snapToGrid w:val="0"/>
          <w:color w:val="000000" w:themeColor="text1"/>
          <w:sz w:val="22"/>
          <w:szCs w:val="22"/>
        </w:rPr>
        <w:t xml:space="preserve"> ). Pranešdami apie šalutinį poveikį galite mums padėti gauti daugiau informacijos apie šio vaisto saugumą.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5.</w:t>
      </w:r>
      <w:r>
        <w:rPr>
          <w:rFonts w:ascii="Times New Roman" w:hAnsi="Times New Roman"/>
          <w:i w:val="0"/>
          <w:sz w:val="22"/>
          <w:szCs w:val="22"/>
        </w:rPr>
        <w:tab/>
        <w:t xml:space="preserve">Kaip laikyti </w:t>
      </w:r>
      <w:r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numPr>
          <w:ilvl w:val="12"/>
          <w:numId w:val="0"/>
        </w:numPr>
        <w:ind w:right="-2"/>
        <w:rPr>
          <w:noProof/>
          <w:szCs w:val="22"/>
        </w:rPr>
      </w:pPr>
      <w:r>
        <w:t>Šį vaistą laikykite vaikams nepastebimoje ir nepasiekiamoje vietoje.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Laikyti ne aukštesnėje kaip 25 ºC temperatūroje.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Laikyti gamintojo pakuotėje, kad vaistas būtų apsaugotas nuo drėgmės ir šviesos.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Negalima užšaldyti!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Paruoštą infuzinį tirpalą nedelsiant įdėti į juodą polietileninį maišelį, esantį pakuotėje.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Paruoštas infuzinis tirpalas tinka vartoti 24 valandas.</w:t>
      </w:r>
    </w:p>
    <w:p w:rsidR="001A6254" w:rsidRDefault="001A6254" w:rsidP="001A6254">
      <w:pPr>
        <w:pStyle w:val="BTEMEASMCA"/>
      </w:pPr>
    </w:p>
    <w:p w:rsidR="001A6254" w:rsidRDefault="001A6254" w:rsidP="001A6254">
      <w:pPr>
        <w:pStyle w:val="BTEMEASMCA"/>
      </w:pPr>
      <w:r>
        <w:t xml:space="preserve">Ant dėžutės ir ampulių po </w:t>
      </w:r>
      <w:r>
        <w:rPr>
          <w:color w:val="000000"/>
          <w:spacing w:val="-1"/>
        </w:rPr>
        <w:t>„EXP</w:t>
      </w:r>
      <w:r>
        <w:t>“ nurodytam tinkamumo laikui pasibaigus, šio vaisto vartoti negalima. Vaistas tinkamas vartoti iki paskutinės nurodyto mėnesio dienos.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</w:p>
    <w:p w:rsidR="001A6254" w:rsidRDefault="001A6254" w:rsidP="001A6254">
      <w:pPr>
        <w:pStyle w:val="Antrat1"/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  <w:t>Pakuotės turinys ir kita informacija</w:t>
      </w: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  <w:r>
        <w:rPr>
          <w:b/>
          <w:szCs w:val="22"/>
          <w:lang w:val="lt-LT"/>
        </w:rPr>
        <w:t>NANIPRUS sudėtis</w:t>
      </w:r>
    </w:p>
    <w:p w:rsidR="001A6254" w:rsidRDefault="001A6254" w:rsidP="001A6254">
      <w:pPr>
        <w:pStyle w:val="Pagrindinistekstas"/>
        <w:numPr>
          <w:ilvl w:val="0"/>
          <w:numId w:val="2"/>
        </w:numPr>
        <w:tabs>
          <w:tab w:val="num" w:pos="567"/>
        </w:tabs>
        <w:spacing w:after="0"/>
        <w:ind w:left="567" w:hanging="567"/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Veiklioji medžiaga yra natrio </w:t>
      </w:r>
      <w:proofErr w:type="spellStart"/>
      <w:r>
        <w:rPr>
          <w:szCs w:val="22"/>
          <w:lang w:val="lt-LT"/>
        </w:rPr>
        <w:t>nitroprusidas</w:t>
      </w:r>
      <w:proofErr w:type="spellEnd"/>
      <w:r>
        <w:rPr>
          <w:szCs w:val="22"/>
          <w:lang w:val="lt-LT"/>
        </w:rPr>
        <w:t xml:space="preserve">. Vienoje ampulėje yra 30 mg natrio </w:t>
      </w:r>
    </w:p>
    <w:p w:rsidR="001A6254" w:rsidRDefault="001A6254" w:rsidP="001A6254">
      <w:pPr>
        <w:pStyle w:val="Pagrindinistekstas"/>
        <w:spacing w:after="0"/>
        <w:ind w:left="567"/>
        <w:jc w:val="both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nitroprusido</w:t>
      </w:r>
      <w:proofErr w:type="spellEnd"/>
      <w:r>
        <w:rPr>
          <w:szCs w:val="22"/>
          <w:lang w:val="lt-LT"/>
        </w:rPr>
        <w:t>.</w:t>
      </w:r>
    </w:p>
    <w:p w:rsidR="001A6254" w:rsidRDefault="001A6254" w:rsidP="001A6254">
      <w:pPr>
        <w:pStyle w:val="Pagrindinistekstas"/>
        <w:numPr>
          <w:ilvl w:val="0"/>
          <w:numId w:val="2"/>
        </w:numPr>
        <w:tabs>
          <w:tab w:val="num" w:pos="567"/>
        </w:tabs>
        <w:spacing w:after="0"/>
        <w:ind w:left="567" w:hanging="567"/>
        <w:jc w:val="both"/>
        <w:rPr>
          <w:szCs w:val="22"/>
          <w:lang w:val="lt-LT"/>
        </w:rPr>
      </w:pPr>
      <w:r>
        <w:rPr>
          <w:szCs w:val="22"/>
          <w:lang w:val="lt-LT"/>
        </w:rPr>
        <w:t>Pagalbinė medžiaga yra natrio citratas (E331).</w:t>
      </w:r>
    </w:p>
    <w:p w:rsidR="001A6254" w:rsidRDefault="001A6254" w:rsidP="001A6254">
      <w:pPr>
        <w:pStyle w:val="Pagrindinistekstas"/>
        <w:spacing w:after="0"/>
        <w:jc w:val="both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jc w:val="both"/>
        <w:rPr>
          <w:szCs w:val="22"/>
          <w:lang w:val="lt-LT"/>
        </w:rPr>
      </w:pPr>
      <w:r>
        <w:rPr>
          <w:szCs w:val="22"/>
          <w:lang w:val="lt-LT"/>
        </w:rPr>
        <w:t>Vienoje 5 ml ampulėje yra tirpiklis - injekcinis vanduo.</w:t>
      </w: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  <w:r>
        <w:rPr>
          <w:b/>
          <w:szCs w:val="22"/>
          <w:lang w:val="lt-LT"/>
        </w:rPr>
        <w:t>NANIPRUS išvaizda ir kiekis pakuotėje</w:t>
      </w: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jc w:val="both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Liofilizuoti</w:t>
      </w:r>
      <w:proofErr w:type="spellEnd"/>
      <w:r>
        <w:rPr>
          <w:szCs w:val="22"/>
          <w:lang w:val="lt-LT"/>
        </w:rPr>
        <w:t xml:space="preserve"> milteliai yra oranžinės spalvos.</w:t>
      </w:r>
    </w:p>
    <w:p w:rsidR="001A6254" w:rsidRDefault="001A6254" w:rsidP="001A6254">
      <w:pPr>
        <w:pStyle w:val="Pagrindinistekstas"/>
        <w:spacing w:after="0"/>
        <w:jc w:val="both"/>
        <w:rPr>
          <w:b/>
          <w:szCs w:val="22"/>
          <w:lang w:val="lt-LT"/>
        </w:rPr>
      </w:pPr>
      <w:r>
        <w:rPr>
          <w:szCs w:val="22"/>
          <w:lang w:val="lt-LT"/>
        </w:rPr>
        <w:t>Tirpiklis yra bespalvis, skaidrus skystis.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Kartono dėžutėje yra viena 10 ml ampulė su laužymo žyme, kurioje yra infuziniam tirpalui ruošti skirti milteliai, ir viena 5 ml ampulė su laužymo žyme, kurioje yra tirpiklis. Taip pat dėžutėje yra įdėti brūžiklis, juodas polietileninis maišelis ir pakuotės lapelis.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pStyle w:val="PI-3EMEASMCA"/>
        <w:spacing w:line="240" w:lineRule="auto"/>
      </w:pPr>
      <w:r>
        <w:t>Registruotojas ir gamintojas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SOPHARMA AD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16 </w:t>
      </w:r>
      <w:proofErr w:type="spellStart"/>
      <w:r>
        <w:rPr>
          <w:sz w:val="22"/>
          <w:szCs w:val="22"/>
        </w:rPr>
        <w:t>Iliensko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Shosse</w:t>
      </w:r>
      <w:proofErr w:type="spellEnd"/>
      <w:r>
        <w:rPr>
          <w:sz w:val="22"/>
          <w:szCs w:val="22"/>
        </w:rPr>
        <w:t xml:space="preserve"> Str. </w:t>
      </w:r>
    </w:p>
    <w:p w:rsidR="001A6254" w:rsidRDefault="001A6254" w:rsidP="001A625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Sofia</w:t>
      </w:r>
      <w:proofErr w:type="spellEnd"/>
      <w:r>
        <w:rPr>
          <w:sz w:val="22"/>
          <w:szCs w:val="22"/>
        </w:rPr>
        <w:t xml:space="preserve"> 1220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Bulgarija</w:t>
      </w:r>
    </w:p>
    <w:p w:rsidR="001A6254" w:rsidRDefault="001A6254" w:rsidP="001A6254">
      <w:pPr>
        <w:pStyle w:val="BTbEMEASMCA"/>
        <w:rPr>
          <w:b w:val="0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Jeigu apie šį vaistą norite sužinoti daugiau, kreipkitės į vietinį registruotojo atstovą: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UAB „Maras“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Panerių g. 243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Kaunas 48439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El. paštas: </w:t>
      </w:r>
      <w:hyperlink r:id="rId8" w:history="1">
        <w:r>
          <w:rPr>
            <w:rStyle w:val="Hipersaitas"/>
            <w:sz w:val="22"/>
            <w:szCs w:val="22"/>
          </w:rPr>
          <w:t>info@maras.lt</w:t>
        </w:r>
      </w:hyperlink>
      <w:r>
        <w:rPr>
          <w:sz w:val="22"/>
          <w:szCs w:val="22"/>
        </w:rPr>
        <w:t xml:space="preserve"> </w:t>
      </w:r>
    </w:p>
    <w:p w:rsidR="001A6254" w:rsidRDefault="001A6254" w:rsidP="001A6254">
      <w:pPr>
        <w:pStyle w:val="BTbEMEASMCA"/>
        <w:rPr>
          <w:b w:val="0"/>
        </w:rPr>
      </w:pPr>
    </w:p>
    <w:p w:rsidR="001A6254" w:rsidRDefault="001A6254" w:rsidP="001A6254">
      <w:pPr>
        <w:pStyle w:val="BTbEMEASMCA"/>
      </w:pPr>
      <w:r>
        <w:rPr>
          <w:bCs/>
        </w:rPr>
        <w:t>Šis pakuotės lapelis</w:t>
      </w:r>
      <w:r>
        <w:t xml:space="preserve"> paskutinį kartą patvirtintas 2019-10-07.</w:t>
      </w:r>
    </w:p>
    <w:p w:rsidR="001A6254" w:rsidRDefault="001A6254" w:rsidP="001A6254">
      <w:pPr>
        <w:pStyle w:val="BTbEMEASMCA"/>
        <w:rPr>
          <w:b w:val="0"/>
        </w:rPr>
      </w:pPr>
    </w:p>
    <w:p w:rsidR="001A6254" w:rsidRDefault="001A6254" w:rsidP="001A6254">
      <w:pPr>
        <w:pStyle w:val="BTbEMEASMCA"/>
        <w:rPr>
          <w:b w:val="0"/>
        </w:rPr>
      </w:pPr>
    </w:p>
    <w:p w:rsidR="001A6254" w:rsidRDefault="001A6254" w:rsidP="001A6254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9" w:history="1">
        <w:r>
          <w:rPr>
            <w:rStyle w:val="Hipersaitas"/>
            <w:rFonts w:eastAsia="SimSun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1A6254" w:rsidRDefault="001A6254" w:rsidP="001A6254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---------------------------------------------------------------------------------------------------------------------------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>Toliau pateikta informacija skirta tik sveikatos priežiūros specialistams: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rPr>
          <w:szCs w:val="22"/>
          <w:lang w:val="lt-LT"/>
        </w:rPr>
      </w:pPr>
      <w:r>
        <w:rPr>
          <w:szCs w:val="22"/>
          <w:lang w:val="lt-LT"/>
        </w:rPr>
        <w:t>Kaip gydyti NANIPRUS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NANIPRUS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reikia pradėti lašinti lėtai. </w:t>
      </w:r>
      <w:proofErr w:type="spellStart"/>
      <w:r>
        <w:rPr>
          <w:sz w:val="22"/>
          <w:szCs w:val="22"/>
        </w:rPr>
        <w:t>Hipotenzinis</w:t>
      </w:r>
      <w:proofErr w:type="spellEnd"/>
      <w:r>
        <w:rPr>
          <w:sz w:val="22"/>
          <w:szCs w:val="22"/>
        </w:rPr>
        <w:t xml:space="preserve"> jo poveikis pasireiškia tuoj pat ir, nutraukus infuziją, šis poveikis greitai silpnėja, kadangi vaistinio preparato pusinės eliminacijos laikas yra labai trumpas. Dozės nustatymo fazės metu dozę reikia didinti kruopščiai, kas 1 – 2 min. matuojant kraujospūdį. Infuziją reikia baigti palaipsniui mažinant lašinimo greitį. Prieš pradedant gydyti 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>ir gydymo juo metu, reikia atidžiai įvertinti kitų kartu vartojamų vaistinių preparatų, galinčių mažinti kraujospūdį, poveikį.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</w:rPr>
      </w:pPr>
      <w:r>
        <w:rPr>
          <w:i/>
          <w:sz w:val="22"/>
          <w:szCs w:val="22"/>
        </w:rPr>
        <w:t>Suaugusiems žmonėms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lastRenderedPageBreak/>
        <w:t>Hipertenzinės</w:t>
      </w:r>
      <w:proofErr w:type="spellEnd"/>
      <w:r>
        <w:rPr>
          <w:sz w:val="22"/>
          <w:szCs w:val="22"/>
          <w:u w:val="single"/>
        </w:rPr>
        <w:t xml:space="preserve"> krizės gydymas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Pacientams, nevartojantiems kitų </w:t>
      </w:r>
      <w:proofErr w:type="spellStart"/>
      <w:r>
        <w:rPr>
          <w:sz w:val="22"/>
          <w:szCs w:val="22"/>
        </w:rPr>
        <w:t>antihipertenzinių</w:t>
      </w:r>
      <w:proofErr w:type="spellEnd"/>
      <w:r>
        <w:rPr>
          <w:sz w:val="22"/>
          <w:szCs w:val="22"/>
        </w:rPr>
        <w:t xml:space="preserve"> preparatų, pradinė dozė yra nuo 0,3 iki 1,5 µg/kg per minutę, kuri atidžiai stebint pamažu didinama, kol pasiekiamas norimas kraujospūdžio sumažėjimas.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Vidutinė reikiama dozė palaikyti kraujospūdį kuris būtų nuo 30 iki 40 % mažesnis  nei </w:t>
      </w:r>
      <w:proofErr w:type="spellStart"/>
      <w:r>
        <w:rPr>
          <w:sz w:val="22"/>
          <w:szCs w:val="22"/>
        </w:rPr>
        <w:t>diastolinis</w:t>
      </w:r>
      <w:proofErr w:type="spellEnd"/>
      <w:r>
        <w:rPr>
          <w:sz w:val="22"/>
          <w:szCs w:val="22"/>
        </w:rPr>
        <w:t xml:space="preserve"> kraujospūdis prieš pradedant gydymą,  yra 3 µg/kg per minutę ir paprastai vidutinė dozė svyruoja nuo 0,5 iki 6 </w:t>
      </w:r>
      <w:proofErr w:type="spellStart"/>
      <w:r>
        <w:rPr>
          <w:sz w:val="22"/>
          <w:szCs w:val="22"/>
        </w:rPr>
        <w:t>mikrogramų</w:t>
      </w:r>
      <w:proofErr w:type="spellEnd"/>
      <w:r>
        <w:rPr>
          <w:sz w:val="22"/>
          <w:szCs w:val="22"/>
        </w:rPr>
        <w:t xml:space="preserve">/kg per minutę.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Maksimalus rekomenduojamas greitis yra 8-10 µg/kg per minutę; trukmė turi būti ne ilgesnė nei 10 minučių, ir jei nėra atsako, po 10 minučių infuziją nutraukti.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Esant atsakui, natrio </w:t>
      </w:r>
      <w:proofErr w:type="spellStart"/>
      <w:r>
        <w:rPr>
          <w:sz w:val="22"/>
          <w:szCs w:val="22"/>
        </w:rPr>
        <w:t>nitroprusidas</w:t>
      </w:r>
      <w:proofErr w:type="spellEnd"/>
      <w:r>
        <w:rPr>
          <w:sz w:val="22"/>
          <w:szCs w:val="22"/>
        </w:rPr>
        <w:t xml:space="preserve"> turi būti skiriamas tik kelias valandas, norint išvengti toksinio cianidų poveikio.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Pacientams, vartojantiems kitų </w:t>
      </w:r>
      <w:proofErr w:type="spellStart"/>
      <w:r>
        <w:rPr>
          <w:sz w:val="22"/>
          <w:szCs w:val="22"/>
        </w:rPr>
        <w:t>antihipertenzinių</w:t>
      </w:r>
      <w:proofErr w:type="spellEnd"/>
      <w:r>
        <w:rPr>
          <w:sz w:val="22"/>
          <w:szCs w:val="22"/>
        </w:rPr>
        <w:t xml:space="preserve"> preparatų, reikia vartoti mažesnes dozes.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Gydymo pradžioje vaistinio preparato reikia lašinti po 0,2 </w:t>
      </w:r>
      <w:proofErr w:type="spellStart"/>
      <w:r>
        <w:rPr>
          <w:sz w:val="22"/>
          <w:szCs w:val="22"/>
        </w:rPr>
        <w:t>mikrogramo</w:t>
      </w:r>
      <w:proofErr w:type="spellEnd"/>
      <w:r>
        <w:rPr>
          <w:sz w:val="22"/>
          <w:szCs w:val="22"/>
        </w:rPr>
        <w:t>/kg kūno svorio per min., nebent, atsižvelgiant į paciento būklę, būtų nustatyta mažesnė dozė. Kas 3–5 min. infuzijos greitį reikia dvigubinti tol, kol kraujospūdis sumažėja tiek, kiek reikia. Vidutinis infuzijos greitis gali būti nuo 0,2 </w:t>
      </w:r>
      <w:proofErr w:type="spellStart"/>
      <w:r>
        <w:rPr>
          <w:sz w:val="22"/>
          <w:szCs w:val="22"/>
        </w:rPr>
        <w:t>mikrogramo</w:t>
      </w:r>
      <w:proofErr w:type="spellEnd"/>
      <w:r>
        <w:rPr>
          <w:sz w:val="22"/>
          <w:szCs w:val="22"/>
        </w:rPr>
        <w:t>/kg kūno svorio iki daugiau kaip 10 </w:t>
      </w:r>
      <w:proofErr w:type="spellStart"/>
      <w:r>
        <w:rPr>
          <w:sz w:val="22"/>
          <w:szCs w:val="22"/>
        </w:rPr>
        <w:t>mikrogramų</w:t>
      </w:r>
      <w:proofErr w:type="spellEnd"/>
      <w:r>
        <w:rPr>
          <w:sz w:val="22"/>
          <w:szCs w:val="22"/>
        </w:rPr>
        <w:t xml:space="preserve">/kg kūno svorio per min. 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Kontroliuojama </w:t>
      </w:r>
      <w:proofErr w:type="spellStart"/>
      <w:r>
        <w:rPr>
          <w:sz w:val="22"/>
          <w:szCs w:val="22"/>
          <w:u w:val="single"/>
        </w:rPr>
        <w:t>hipotenzija</w:t>
      </w:r>
      <w:proofErr w:type="spellEnd"/>
      <w:r>
        <w:rPr>
          <w:sz w:val="22"/>
          <w:szCs w:val="22"/>
          <w:u w:val="single"/>
        </w:rPr>
        <w:t xml:space="preserve"> chirurginės procedūros metu </w:t>
      </w:r>
      <w:r>
        <w:rPr>
          <w:sz w:val="22"/>
          <w:szCs w:val="22"/>
        </w:rPr>
        <w:t xml:space="preserve">Kontroliuojamai </w:t>
      </w:r>
      <w:proofErr w:type="spellStart"/>
      <w:r>
        <w:rPr>
          <w:sz w:val="22"/>
          <w:szCs w:val="22"/>
        </w:rPr>
        <w:t>hipotenzijai</w:t>
      </w:r>
      <w:proofErr w:type="spellEnd"/>
      <w:r>
        <w:rPr>
          <w:sz w:val="22"/>
          <w:szCs w:val="22"/>
        </w:rPr>
        <w:t xml:space="preserve"> anestezijos metu sukelti rekomenduojama neviršyti 1 – 1,5 mg/kg kūno svorio dozės (žr. skyrių „Pavartojus per didelę NANIPRUS dozę”).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</w:rPr>
      </w:pPr>
      <w:r>
        <w:rPr>
          <w:i/>
          <w:sz w:val="22"/>
          <w:szCs w:val="22"/>
        </w:rPr>
        <w:t>Dozavimas vaikams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Vaikams ir paaugliams dažniausiai reikia didesnės dozės.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</w:rPr>
      </w:pPr>
      <w:r>
        <w:rPr>
          <w:i/>
          <w:sz w:val="22"/>
          <w:szCs w:val="22"/>
        </w:rPr>
        <w:t>Dozavimas senyviems žmonėms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Senyviems žmonėms dažniausiai reikia mažesnės dozės.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Siekiant išvengti toksinio cianido poveikio, rekomenduojama kartu lašinti 10 % natrio </w:t>
      </w:r>
      <w:proofErr w:type="spellStart"/>
      <w:r>
        <w:rPr>
          <w:sz w:val="22"/>
          <w:szCs w:val="22"/>
        </w:rPr>
        <w:t>tiosulfato</w:t>
      </w:r>
      <w:proofErr w:type="spellEnd"/>
      <w:r>
        <w:rPr>
          <w:sz w:val="22"/>
          <w:szCs w:val="22"/>
        </w:rPr>
        <w:t xml:space="preserve"> tirpalo santykiu 10:1 (NANIPRUS tirpalas: natrio </w:t>
      </w:r>
      <w:proofErr w:type="spellStart"/>
      <w:r>
        <w:rPr>
          <w:sz w:val="22"/>
          <w:szCs w:val="22"/>
        </w:rPr>
        <w:t>tiosulfatas</w:t>
      </w:r>
      <w:proofErr w:type="spellEnd"/>
      <w:r>
        <w:rPr>
          <w:sz w:val="22"/>
          <w:szCs w:val="22"/>
        </w:rPr>
        <w:t xml:space="preserve">) pagal tūrį, kas atitinka santykį 1:10 (NANIPRUS: natrio </w:t>
      </w:r>
      <w:proofErr w:type="spellStart"/>
      <w:r>
        <w:rPr>
          <w:sz w:val="22"/>
          <w:szCs w:val="22"/>
        </w:rPr>
        <w:t>tiosulfatas</w:t>
      </w:r>
      <w:proofErr w:type="spellEnd"/>
      <w:r>
        <w:rPr>
          <w:sz w:val="22"/>
          <w:szCs w:val="22"/>
        </w:rPr>
        <w:t>) pagal masę (m/m) (žr. poskyrį „Intoksikacijos cianidu profilaktika“). Šiai infuzijai reikia naudoti kitą intraveninį kateterį.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Jeigu NANIPRUS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lašinama ilgai (keletą dienų), reikia sekti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koncentraciją, ypač tiems pacientams, kurių inkstų ar kepenų funkcija sutrikusi.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koncentracija turi būti ne didesnė kaip 6 mg/100 ml.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Kadangi NANIPRUS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>būtina dozuoti tiksliai, reikia naudoti infuzinę pompą arba kitokią tikslaus dozavimo įrangą.</w:t>
      </w:r>
    </w:p>
    <w:p w:rsidR="001A6254" w:rsidRDefault="001A6254" w:rsidP="001A6254">
      <w:pPr>
        <w:tabs>
          <w:tab w:val="left" w:pos="8100"/>
        </w:tabs>
        <w:rPr>
          <w:b/>
          <w:sz w:val="22"/>
          <w:szCs w:val="22"/>
          <w:u w:val="single"/>
        </w:rPr>
      </w:pPr>
    </w:p>
    <w:p w:rsidR="001A6254" w:rsidRDefault="001A6254" w:rsidP="001A6254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Infuzinio tirpalo ruošimas</w:t>
      </w:r>
      <w:r>
        <w:rPr>
          <w:b/>
          <w:sz w:val="22"/>
          <w:szCs w:val="22"/>
        </w:rPr>
        <w:t xml:space="preserve">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Ampulėje esančius miltelius (vienoje gintaro spalvos ampulėje yra 30 mg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dihidrato</w:t>
      </w:r>
      <w:proofErr w:type="spellEnd"/>
      <w:r>
        <w:rPr>
          <w:sz w:val="22"/>
          <w:szCs w:val="22"/>
        </w:rPr>
        <w:t xml:space="preserve">) reikia ištirpinti injekciniame vandenyje arba 5 % gliukozės tirpale. Paruoštas </w:t>
      </w:r>
      <w:r>
        <w:rPr>
          <w:sz w:val="22"/>
          <w:szCs w:val="22"/>
          <w:u w:val="single"/>
        </w:rPr>
        <w:t xml:space="preserve">koncentratas būna rausvai rudos spalvos ir tiesiogiai jo </w:t>
      </w:r>
      <w:proofErr w:type="spellStart"/>
      <w:r>
        <w:rPr>
          <w:sz w:val="22"/>
          <w:szCs w:val="22"/>
          <w:u w:val="single"/>
        </w:rPr>
        <w:t>injekuoti</w:t>
      </w:r>
      <w:proofErr w:type="spellEnd"/>
      <w:r>
        <w:rPr>
          <w:sz w:val="22"/>
          <w:szCs w:val="22"/>
          <w:u w:val="single"/>
        </w:rPr>
        <w:t xml:space="preserve"> negalima.</w:t>
      </w:r>
      <w:r>
        <w:rPr>
          <w:sz w:val="22"/>
          <w:szCs w:val="22"/>
        </w:rPr>
        <w:t xml:space="preserve"> Koncentratą galima skiesti tiktai 5 % gliukozės tirpalu. 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>infuzinis tirpalas vartojamas tik šviežias, paruoštas prieš pat infuziją.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</w:rPr>
      </w:pPr>
      <w:r>
        <w:rPr>
          <w:i/>
          <w:sz w:val="22"/>
          <w:szCs w:val="22"/>
        </w:rPr>
        <w:t>Svarbios pastabos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>reikia saugoti nuo šviesos, todėl paruoštą infuzinį tirpalą reikia dėti į pakuotėje esantį juodos spalvos  polietileninį maišelį Paruošto infuzinio tirpalo tinkamumo laikas yra 24 val.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Paruoštas infuzinis tirpalas yra šiek tiek gelsvas. Ryškios spalvos tirpalo vartoti negalima. Į paruoštą infuzinį tirpalą kitų vaistinių preparatų dėti negalima.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Saugiausia paruoštą tirpalą lašinti per atskirą venos kateterį, kad būtų galima išvengti vaistinio preparato susikaupimo infuziniuose vamzdeliuose arba periferinėse venose.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Perfuzatorius</w:t>
      </w:r>
      <w:proofErr w:type="spellEnd"/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Naudojant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infuzinę įranga, 50 ml 5 % gliukozės tirpalo reikia įtraukti į 50 ml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švirkštą. Vienoje ampulėje esantys milteliai tirpinami 3 ml 5 % gliukozės tirpalo, kuris įšvirkščiamas iš 50 ml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švirkšto. Ištirpinus miltelius, gautas koncentratas įtraukiamas į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švirkštą ir gerai sumaišomas.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Dozavimo lentelė naudojant švirkštą-pompą</w:t>
      </w:r>
    </w:p>
    <w:p w:rsidR="001A6254" w:rsidRDefault="001A6254" w:rsidP="001A6254">
      <w:pPr>
        <w:jc w:val="both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54"/>
        <w:gridCol w:w="478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31"/>
      </w:tblGrid>
      <w:tr w:rsidR="001A6254" w:rsidTr="001A6254">
        <w:trPr>
          <w:cantSplit/>
          <w:trHeight w:val="570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Natrio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nitropru-sido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dihidratas</w:t>
            </w:r>
            <w:proofErr w:type="spellEnd"/>
          </w:p>
          <w:p w:rsidR="001A6254" w:rsidRDefault="001A6254">
            <w:pPr>
              <w:rPr>
                <w:sz w:val="22"/>
                <w:szCs w:val="22"/>
                <w:lang w:val="en-US"/>
              </w:rPr>
            </w:pPr>
          </w:p>
          <w:p w:rsidR="001A6254" w:rsidRDefault="001A6254">
            <w:pPr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mikrogra-mų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/kg </w:t>
            </w:r>
            <w:proofErr w:type="spellStart"/>
            <w:r>
              <w:rPr>
                <w:sz w:val="22"/>
                <w:szCs w:val="22"/>
                <w:lang w:val="en-US"/>
              </w:rPr>
              <w:t>kūno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svorio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per min.</w:t>
            </w:r>
          </w:p>
        </w:tc>
        <w:tc>
          <w:tcPr>
            <w:tcW w:w="8647" w:type="dxa"/>
            <w:gridSpan w:val="1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Infuzijos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greitis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ml/val.</w:t>
            </w:r>
          </w:p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Kūno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svoris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(kg)</w:t>
            </w:r>
          </w:p>
        </w:tc>
      </w:tr>
      <w:tr w:rsidR="001A6254" w:rsidTr="001A6254">
        <w:trPr>
          <w:cantSplit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A6254" w:rsidRDefault="001A6254">
            <w:pPr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100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9,6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10,4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14,4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16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8,8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13,8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16,3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18,8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25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9,6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14,4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17,6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19,2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25,6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27,2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28,8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32</w:t>
            </w:r>
          </w:p>
        </w:tc>
      </w:tr>
      <w:tr w:rsidR="001A6254" w:rsidTr="001A6254">
        <w:trPr>
          <w:cantSplit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10" w:color="auto" w:fill="FFFFFF"/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27,5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37,5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47,5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50</w:t>
            </w:r>
          </w:p>
        </w:tc>
      </w:tr>
    </w:tbl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Infuzomatas</w:t>
      </w:r>
      <w:proofErr w:type="spellEnd"/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Naudojant </w:t>
      </w:r>
      <w:proofErr w:type="spellStart"/>
      <w:r>
        <w:rPr>
          <w:sz w:val="22"/>
          <w:szCs w:val="22"/>
        </w:rPr>
        <w:t>infuzomato</w:t>
      </w:r>
      <w:proofErr w:type="spellEnd"/>
      <w:r>
        <w:rPr>
          <w:sz w:val="22"/>
          <w:szCs w:val="22"/>
        </w:rPr>
        <w:t xml:space="preserve"> infuzinę įrangą, vienoje ampulėje esančią sausąją medžiagą reikia ištirpinti injekciniame vandenyje arba 5 % gliukozės tirpale. Paruoštą tirpalą reikia suleisti į 250 ml arba 500 ml 5 % gliukozės tirpalą. Kontroliuojamai </w:t>
      </w:r>
      <w:proofErr w:type="spellStart"/>
      <w:r>
        <w:rPr>
          <w:sz w:val="22"/>
          <w:szCs w:val="22"/>
        </w:rPr>
        <w:t>hipotenzijai</w:t>
      </w:r>
      <w:proofErr w:type="spellEnd"/>
      <w:r>
        <w:rPr>
          <w:sz w:val="22"/>
          <w:szCs w:val="22"/>
        </w:rPr>
        <w:t xml:space="preserve"> sukelti operacijos metu paruoštą tirpalą rekomenduojama skiesti 250 ml. Dozavimo lentelėje parodyta, kaip apskaičiuoti dozę. Šioje lentelėje nurodytą infuzijos greitį ml/val. reikia padauginti iš 5, jeigu skiedžiama 250 ml gliukozės tirpalo, ir padauginti iš 10, jeigu skiedžiama 500 ml. Kadangi naudojant </w:t>
      </w:r>
      <w:proofErr w:type="spellStart"/>
      <w:r>
        <w:rPr>
          <w:sz w:val="22"/>
          <w:szCs w:val="22"/>
        </w:rPr>
        <w:t>infuzomato</w:t>
      </w:r>
      <w:proofErr w:type="spellEnd"/>
      <w:r>
        <w:rPr>
          <w:sz w:val="22"/>
          <w:szCs w:val="22"/>
        </w:rPr>
        <w:t xml:space="preserve"> sistemą suleidžiamas didesnis skysčio kiekis, todėl ilgalaikei infuzijai geriau tinka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infuzinė įranga.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Intoksikacijos cianidu profilaktika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Jeigu infuzija trunka kelias dienas, pvz., gydant </w:t>
      </w:r>
      <w:proofErr w:type="spellStart"/>
      <w:r>
        <w:rPr>
          <w:sz w:val="22"/>
          <w:szCs w:val="22"/>
        </w:rPr>
        <w:t>hipertenzinę</w:t>
      </w:r>
      <w:proofErr w:type="spellEnd"/>
      <w:r>
        <w:rPr>
          <w:sz w:val="22"/>
          <w:szCs w:val="22"/>
        </w:rPr>
        <w:t xml:space="preserve"> krizę, gali būti viršyta anksčiau nurodyta dozė. Siekiant išvengti intoksikacijos cianidu, kartu su NANIPRUS būtina lašinti, tačiau į kitą veną, natrio </w:t>
      </w:r>
      <w:proofErr w:type="spellStart"/>
      <w:r>
        <w:rPr>
          <w:sz w:val="22"/>
          <w:szCs w:val="22"/>
        </w:rPr>
        <w:t>tiosulfato</w:t>
      </w:r>
      <w:proofErr w:type="spellEnd"/>
      <w:r>
        <w:rPr>
          <w:sz w:val="22"/>
          <w:szCs w:val="22"/>
        </w:rPr>
        <w:t>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Rekomenduojama įtraukti į </w:t>
      </w:r>
      <w:proofErr w:type="spellStart"/>
      <w:r>
        <w:rPr>
          <w:sz w:val="22"/>
          <w:szCs w:val="22"/>
        </w:rPr>
        <w:t>perfinį</w:t>
      </w:r>
      <w:proofErr w:type="spellEnd"/>
      <w:r>
        <w:rPr>
          <w:sz w:val="22"/>
          <w:szCs w:val="22"/>
        </w:rPr>
        <w:t xml:space="preserve"> švirkštą įprastinio 10 % natrio </w:t>
      </w:r>
      <w:proofErr w:type="spellStart"/>
      <w:r>
        <w:rPr>
          <w:sz w:val="22"/>
          <w:szCs w:val="22"/>
        </w:rPr>
        <w:t>tiosulfato</w:t>
      </w:r>
      <w:proofErr w:type="spellEnd"/>
      <w:r>
        <w:rPr>
          <w:sz w:val="22"/>
          <w:szCs w:val="22"/>
        </w:rPr>
        <w:t xml:space="preserve"> tirpalo ir </w:t>
      </w:r>
      <w:proofErr w:type="spellStart"/>
      <w:r>
        <w:rPr>
          <w:sz w:val="22"/>
          <w:szCs w:val="22"/>
        </w:rPr>
        <w:t>infuzuoti</w:t>
      </w:r>
      <w:proofErr w:type="spellEnd"/>
      <w:r>
        <w:rPr>
          <w:sz w:val="22"/>
          <w:szCs w:val="22"/>
        </w:rPr>
        <w:t xml:space="preserve"> jo santykiu 10:1 (NANIPRUS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tirpalo: natrio </w:t>
      </w:r>
      <w:proofErr w:type="spellStart"/>
      <w:r>
        <w:rPr>
          <w:sz w:val="22"/>
          <w:szCs w:val="22"/>
        </w:rPr>
        <w:t>tiosulfato</w:t>
      </w:r>
      <w:proofErr w:type="spellEnd"/>
      <w:r>
        <w:rPr>
          <w:sz w:val="22"/>
          <w:szCs w:val="22"/>
        </w:rPr>
        <w:t xml:space="preserve"> tirpalo) tūrio.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Leidžiant 250 ml ar 500 ml NANIPRUS tirpalo </w:t>
      </w:r>
      <w:proofErr w:type="spellStart"/>
      <w:r>
        <w:rPr>
          <w:sz w:val="22"/>
          <w:szCs w:val="22"/>
        </w:rPr>
        <w:t>infuzomatu</w:t>
      </w:r>
      <w:proofErr w:type="spellEnd"/>
      <w:r>
        <w:rPr>
          <w:sz w:val="22"/>
          <w:szCs w:val="22"/>
        </w:rPr>
        <w:t>, santykis yra 50:1 ir (arba) 100:1 atitinkamai.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Žr. dozavimo lentelę (taip pat žr. skyrių „Pavartojus per didelę NANIPRUS dozę”).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18"/>
        <w:gridCol w:w="2268"/>
        <w:gridCol w:w="2410"/>
        <w:gridCol w:w="1984"/>
      </w:tblGrid>
      <w:tr w:rsidR="001A6254" w:rsidTr="001A6254">
        <w:trPr>
          <w:cantSplit/>
        </w:trPr>
        <w:tc>
          <w:tcPr>
            <w:tcW w:w="71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NANIPRUS</w:t>
            </w:r>
            <w:r>
              <w:rPr>
                <w:cap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Natrio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tiosulfatas</w:t>
            </w:r>
            <w:proofErr w:type="spellEnd"/>
          </w:p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10%</w:t>
            </w:r>
          </w:p>
        </w:tc>
      </w:tr>
      <w:tr w:rsidR="001A6254" w:rsidTr="001A6254">
        <w:trPr>
          <w:cantSplit/>
        </w:trPr>
        <w:tc>
          <w:tcPr>
            <w:tcW w:w="2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Perfuzatoriumi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50 ml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Infuzomatu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250 ml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Infuzomatu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500 ml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</w:p>
        </w:tc>
      </w:tr>
      <w:tr w:rsidR="001A6254" w:rsidTr="001A6254">
        <w:trPr>
          <w:cantSplit/>
        </w:trPr>
        <w:tc>
          <w:tcPr>
            <w:tcW w:w="2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1–10 ml/val.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5–50 ml/val.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10–100 ml/val.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ml/val.</w:t>
            </w:r>
          </w:p>
        </w:tc>
      </w:tr>
      <w:tr w:rsidR="001A6254" w:rsidTr="001A6254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11–20 ml/val.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50–100 ml/val.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101–200 ml/val.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ml/val.</w:t>
            </w:r>
          </w:p>
        </w:tc>
      </w:tr>
      <w:tr w:rsidR="001A6254" w:rsidTr="001A6254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21–30 ml/val.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101–150 ml/val.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201–300 ml/val.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ml/val.</w:t>
            </w:r>
          </w:p>
        </w:tc>
      </w:tr>
      <w:tr w:rsidR="001A6254" w:rsidTr="001A6254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31–40 ml/val.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151–200 ml/val.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301–400 ml/val.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A6254" w:rsidRDefault="001A62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ml/val.</w:t>
            </w:r>
          </w:p>
        </w:tc>
      </w:tr>
    </w:tbl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Jeigu NANIPRUS lašinama kelias dienas, būtina sekti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koncentraciją, ypač tiems pacientams, kurių inkstų funkcija yra pažeista.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koncentracija turi būti ne didesnė kaip 6 mg/100 ml.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Kokios nors kitokios informacijos apie dozavimą pacientams, kurių kepenų ar inkstų veikla sutrikusi, nėra.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Pasireiškus intoksikacijai </w:t>
      </w:r>
      <w:proofErr w:type="spellStart"/>
      <w:r>
        <w:rPr>
          <w:sz w:val="22"/>
          <w:szCs w:val="22"/>
        </w:rPr>
        <w:t>tiocianatu</w:t>
      </w:r>
      <w:proofErr w:type="spellEnd"/>
      <w:r>
        <w:rPr>
          <w:sz w:val="22"/>
          <w:szCs w:val="22"/>
        </w:rPr>
        <w:t xml:space="preserve">,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infuziją reikia nutraukti, prireikus </w:t>
      </w:r>
      <w:proofErr w:type="spellStart"/>
      <w:r>
        <w:rPr>
          <w:sz w:val="22"/>
          <w:szCs w:val="22"/>
        </w:rPr>
        <w:t>tiocianatą</w:t>
      </w:r>
      <w:proofErr w:type="spellEnd"/>
      <w:r>
        <w:rPr>
          <w:sz w:val="22"/>
          <w:szCs w:val="22"/>
        </w:rPr>
        <w:t xml:space="preserve"> šalinti dialize. </w:t>
      </w: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Specialūs įspėjimai ir atsargumo priemonės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. Gydant NANIPRUS, didžiausias pavojus yra </w:t>
      </w:r>
      <w:proofErr w:type="spellStart"/>
      <w:r>
        <w:rPr>
          <w:sz w:val="22"/>
          <w:szCs w:val="22"/>
        </w:rPr>
        <w:t>hipotenzijos</w:t>
      </w:r>
      <w:proofErr w:type="spellEnd"/>
      <w:r>
        <w:rPr>
          <w:sz w:val="22"/>
          <w:szCs w:val="22"/>
        </w:rPr>
        <w:t xml:space="preserve"> pasireiškimas ir per didelio kiekio cianido metabolitų sankaupa organizme. Pernelyg didelė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, net trikdanti gyvybinių organų </w:t>
      </w:r>
      <w:proofErr w:type="spellStart"/>
      <w:r>
        <w:rPr>
          <w:sz w:val="22"/>
          <w:szCs w:val="22"/>
        </w:rPr>
        <w:t>perfuziją</w:t>
      </w:r>
      <w:proofErr w:type="spellEnd"/>
      <w:r>
        <w:rPr>
          <w:sz w:val="22"/>
          <w:szCs w:val="22"/>
        </w:rPr>
        <w:t xml:space="preserve">, gali pasireikšti net trumpam per daug pagreitinus infuziją. Infuziją sustabdžius,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 praeina per 1 – 10 min.(šiuo laikotarpiu paciento galvą reikėtų nuleisti žemiau). Jeigu infuziją sustabdžius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 per kelias minutes nepraeina, jos priežastis yra ne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poveikis, bet kita, todėl būtina ją nustatyti.  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Siekiant išvengti intoksikacijos cianido skilimo produktais </w:t>
      </w:r>
      <w:r>
        <w:rPr>
          <w:sz w:val="22"/>
          <w:szCs w:val="22"/>
        </w:rPr>
        <w:t>(dėl silpnos organizmo detoksikuojamosios funkcijos), taip pat žr. 4.9 skyrių).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/>
        </w:rPr>
        <w:t xml:space="preserve">Natrio </w:t>
      </w:r>
      <w:proofErr w:type="spellStart"/>
      <w:r>
        <w:rPr>
          <w:rFonts w:ascii="Times New Roman" w:hAnsi="Times New Roman"/>
          <w:szCs w:val="22"/>
          <w:lang w:val="lt-LT"/>
        </w:rPr>
        <w:t>nitroprusido</w:t>
      </w:r>
      <w:proofErr w:type="spellEnd"/>
      <w:r>
        <w:rPr>
          <w:rFonts w:ascii="Times New Roman" w:hAnsi="Times New Roman"/>
          <w:szCs w:val="22"/>
          <w:lang w:val="lt-LT"/>
        </w:rPr>
        <w:t xml:space="preserve"> infuzija turi būti atliekama kartu su nepertraukiama natrio </w:t>
      </w:r>
      <w:proofErr w:type="spellStart"/>
      <w:r>
        <w:rPr>
          <w:rFonts w:ascii="Times New Roman" w:hAnsi="Times New Roman"/>
          <w:szCs w:val="22"/>
          <w:lang w:val="lt-LT"/>
        </w:rPr>
        <w:t>tiosulfato</w:t>
      </w:r>
      <w:proofErr w:type="spellEnd"/>
      <w:r>
        <w:rPr>
          <w:rFonts w:ascii="Times New Roman" w:hAnsi="Times New Roman"/>
          <w:szCs w:val="22"/>
          <w:lang w:val="lt-LT"/>
        </w:rPr>
        <w:t xml:space="preserve"> infuzija santykiu 1:10 (natrio </w:t>
      </w:r>
      <w:proofErr w:type="spellStart"/>
      <w:r>
        <w:rPr>
          <w:rFonts w:ascii="Times New Roman" w:hAnsi="Times New Roman"/>
          <w:szCs w:val="22"/>
          <w:lang w:val="lt-LT"/>
        </w:rPr>
        <w:t>nitroprusidas</w:t>
      </w:r>
      <w:proofErr w:type="spellEnd"/>
      <w:r>
        <w:rPr>
          <w:rFonts w:ascii="Times New Roman" w:hAnsi="Times New Roman"/>
          <w:szCs w:val="22"/>
          <w:lang w:val="lt-LT"/>
        </w:rPr>
        <w:t xml:space="preserve">: natrio </w:t>
      </w:r>
      <w:proofErr w:type="spellStart"/>
      <w:r>
        <w:rPr>
          <w:rFonts w:ascii="Times New Roman" w:hAnsi="Times New Roman"/>
          <w:szCs w:val="22"/>
          <w:lang w:val="lt-LT"/>
        </w:rPr>
        <w:t>tiosulfatas</w:t>
      </w:r>
      <w:proofErr w:type="spellEnd"/>
      <w:r>
        <w:rPr>
          <w:rFonts w:ascii="Times New Roman" w:hAnsi="Times New Roman"/>
          <w:szCs w:val="22"/>
          <w:lang w:val="lt-LT"/>
        </w:rPr>
        <w:t xml:space="preserve"> (</w:t>
      </w:r>
      <w:r>
        <w:rPr>
          <w:rFonts w:ascii="Times New Roman" w:hAnsi="Times New Roman"/>
          <w:i/>
          <w:szCs w:val="22"/>
          <w:lang w:val="lt-LT"/>
        </w:rPr>
        <w:t>m/m</w:t>
      </w:r>
      <w:r>
        <w:rPr>
          <w:rFonts w:ascii="Times New Roman" w:hAnsi="Times New Roman"/>
          <w:szCs w:val="22"/>
          <w:lang w:val="lt-LT"/>
        </w:rPr>
        <w:t xml:space="preserve">). Būtina atidžiai stebėti natrio </w:t>
      </w:r>
      <w:proofErr w:type="spellStart"/>
      <w:r>
        <w:rPr>
          <w:rFonts w:ascii="Times New Roman" w:hAnsi="Times New Roman"/>
          <w:szCs w:val="22"/>
          <w:lang w:val="lt-LT"/>
        </w:rPr>
        <w:t>tiosulfato</w:t>
      </w:r>
      <w:proofErr w:type="spellEnd"/>
      <w:r>
        <w:rPr>
          <w:rFonts w:ascii="Times New Roman" w:hAnsi="Times New Roman"/>
          <w:szCs w:val="22"/>
          <w:lang w:val="lt-LT"/>
        </w:rPr>
        <w:t xml:space="preserve"> koncentraciją, ypač tiems pacientams, kurių inkstų ir kepenų funkcija yra pažeista, bei ilgalaikės infuzijos metu. </w:t>
      </w:r>
      <w:proofErr w:type="spellStart"/>
      <w:r>
        <w:rPr>
          <w:rFonts w:ascii="Times New Roman" w:hAnsi="Times New Roman"/>
          <w:szCs w:val="22"/>
          <w:lang w:val="lt-LT"/>
        </w:rPr>
        <w:t>Metabolinė</w:t>
      </w:r>
      <w:proofErr w:type="spellEnd"/>
      <w:r>
        <w:rPr>
          <w:rFonts w:ascii="Times New Roman" w:hAnsi="Times New Roman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Cs w:val="22"/>
          <w:lang w:val="lt-LT"/>
        </w:rPr>
        <w:t>acidozė</w:t>
      </w:r>
      <w:proofErr w:type="spellEnd"/>
      <w:r>
        <w:rPr>
          <w:rFonts w:ascii="Times New Roman" w:hAnsi="Times New Roman"/>
          <w:szCs w:val="22"/>
          <w:lang w:val="lt-LT"/>
        </w:rPr>
        <w:t xml:space="preserve"> gali būti pirmasis intoksikacijos cianidais požymis.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Prieš vartojant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reikia pašalinti anemiją ir </w:t>
      </w:r>
      <w:proofErr w:type="spellStart"/>
      <w:r>
        <w:rPr>
          <w:sz w:val="22"/>
          <w:szCs w:val="22"/>
        </w:rPr>
        <w:t>hipovolemiją</w:t>
      </w:r>
      <w:proofErr w:type="spellEnd"/>
      <w:r>
        <w:rPr>
          <w:sz w:val="22"/>
          <w:szCs w:val="22"/>
        </w:rPr>
        <w:t>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Jei infuzijos reikia kelias dienas, reikia stebėti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koncentraciją kraujyje, nes jis gali kauptis kraujyje, ypač pacientams, kuriems yra sutrikusi inkstų funkcija arba </w:t>
      </w:r>
      <w:proofErr w:type="spellStart"/>
      <w:r>
        <w:rPr>
          <w:sz w:val="22"/>
          <w:szCs w:val="22"/>
        </w:rPr>
        <w:t>hiponatremija</w:t>
      </w:r>
      <w:proofErr w:type="spellEnd"/>
      <w:r>
        <w:rPr>
          <w:sz w:val="22"/>
          <w:szCs w:val="22"/>
        </w:rPr>
        <w:t xml:space="preserve">. 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Tiocianatas</w:t>
      </w:r>
      <w:proofErr w:type="spellEnd"/>
      <w:r>
        <w:rPr>
          <w:sz w:val="22"/>
          <w:szCs w:val="22"/>
        </w:rPr>
        <w:t xml:space="preserve">,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metabolitas, slopina jodo sujungimą ir suvartojimą, todėl natrio </w:t>
      </w:r>
      <w:proofErr w:type="spellStart"/>
      <w:r>
        <w:rPr>
          <w:sz w:val="22"/>
          <w:szCs w:val="22"/>
        </w:rPr>
        <w:t>nitroprusidą</w:t>
      </w:r>
      <w:proofErr w:type="spellEnd"/>
      <w:r>
        <w:rPr>
          <w:sz w:val="22"/>
          <w:szCs w:val="22"/>
        </w:rPr>
        <w:t xml:space="preserve"> reikia atsargiai vartoti pacientams, sergantiems </w:t>
      </w:r>
      <w:proofErr w:type="spellStart"/>
      <w:r>
        <w:rPr>
          <w:sz w:val="22"/>
          <w:szCs w:val="22"/>
        </w:rPr>
        <w:t>hipotiroze</w:t>
      </w:r>
      <w:proofErr w:type="spellEnd"/>
      <w:r>
        <w:rPr>
          <w:sz w:val="22"/>
          <w:szCs w:val="22"/>
        </w:rPr>
        <w:t xml:space="preserve">. 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Didesnė kaip 6 mg/100 ml </w:t>
      </w:r>
      <w:proofErr w:type="spellStart"/>
      <w:r>
        <w:rPr>
          <w:sz w:val="22"/>
          <w:szCs w:val="22"/>
        </w:rPr>
        <w:t>tiocianato</w:t>
      </w:r>
      <w:proofErr w:type="spellEnd"/>
      <w:r>
        <w:rPr>
          <w:sz w:val="22"/>
          <w:szCs w:val="22"/>
        </w:rPr>
        <w:t xml:space="preserve"> koncentracija yra toksinė. Intoksikacija pasireiškia silpnumu, vėmimu, galvos svaigimu, ūžimu ausyse.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infuzijos metu būtina atidžiai sekti EKG ir svarbiausius </w:t>
      </w:r>
      <w:proofErr w:type="spellStart"/>
      <w:r>
        <w:rPr>
          <w:sz w:val="22"/>
          <w:szCs w:val="22"/>
        </w:rPr>
        <w:t>hemodinamikos</w:t>
      </w:r>
      <w:proofErr w:type="spellEnd"/>
      <w:r>
        <w:rPr>
          <w:sz w:val="22"/>
          <w:szCs w:val="22"/>
        </w:rPr>
        <w:t xml:space="preserve"> rodmenis.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Operacijos metu kraujospūdį geriausia matuoti tiesioginiai per </w:t>
      </w:r>
      <w:proofErr w:type="spellStart"/>
      <w:r>
        <w:rPr>
          <w:sz w:val="22"/>
          <w:szCs w:val="22"/>
        </w:rPr>
        <w:t>intraarterinę</w:t>
      </w:r>
      <w:proofErr w:type="spellEnd"/>
      <w:r>
        <w:rPr>
          <w:sz w:val="22"/>
          <w:szCs w:val="22"/>
        </w:rPr>
        <w:t xml:space="preserve"> kaniulę. Jei infuzija trunka keletą dienų, kraujospūdį galima matuoti naudojant pripučiamą </w:t>
      </w:r>
      <w:proofErr w:type="spellStart"/>
      <w:r>
        <w:rPr>
          <w:sz w:val="22"/>
          <w:szCs w:val="22"/>
        </w:rPr>
        <w:t>manžetę</w:t>
      </w:r>
      <w:proofErr w:type="spellEnd"/>
      <w:r>
        <w:rPr>
          <w:sz w:val="22"/>
          <w:szCs w:val="22"/>
        </w:rPr>
        <w:t>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Ligonius, kurių kepenų ar inkstų funkcija sutrikusi, NANIPRUS reikia gydyti atsargiai. 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t xml:space="preserve">Atsarga būtina ir gydant ligonius, kuriems yra </w:t>
      </w:r>
      <w:proofErr w:type="spellStart"/>
      <w:r>
        <w:rPr>
          <w:szCs w:val="22"/>
          <w:lang w:val="lt-LT"/>
        </w:rPr>
        <w:t>hiponatremija</w:t>
      </w:r>
      <w:proofErr w:type="spellEnd"/>
      <w:r>
        <w:rPr>
          <w:szCs w:val="22"/>
          <w:lang w:val="lt-LT"/>
        </w:rPr>
        <w:t>, hipotermija, išeminė širdies liga ar smegenų kraujotakos sutrikimas.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Jei pacientas pastarąsias kelias dienas vartojo 5-fosfodiesterazės inhibitorių, reikia atidžiai įvertinti NANIPRUS tirpalo, palyginti su kitų </w:t>
      </w:r>
      <w:proofErr w:type="spellStart"/>
      <w:r>
        <w:rPr>
          <w:sz w:val="22"/>
          <w:szCs w:val="22"/>
        </w:rPr>
        <w:t>vazodilatatorių</w:t>
      </w:r>
      <w:proofErr w:type="spellEnd"/>
      <w:r>
        <w:rPr>
          <w:sz w:val="22"/>
          <w:szCs w:val="22"/>
        </w:rPr>
        <w:t xml:space="preserve">, galimos naudos ir sunkios </w:t>
      </w:r>
      <w:proofErr w:type="spellStart"/>
      <w:r>
        <w:rPr>
          <w:sz w:val="22"/>
          <w:szCs w:val="22"/>
        </w:rPr>
        <w:t>hipotenzijos</w:t>
      </w:r>
      <w:proofErr w:type="spellEnd"/>
      <w:r>
        <w:rPr>
          <w:sz w:val="22"/>
          <w:szCs w:val="22"/>
        </w:rPr>
        <w:t xml:space="preserve">, kuri galima dėl 5-fosfodiesterazės inhibitorių (pvz., </w:t>
      </w:r>
      <w:proofErr w:type="spellStart"/>
      <w:r>
        <w:rPr>
          <w:sz w:val="22"/>
          <w:szCs w:val="22"/>
        </w:rPr>
        <w:t>sildenafilio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Viagra</w:t>
      </w:r>
      <w:proofErr w:type="spellEnd"/>
      <w:r>
        <w:rPr>
          <w:sz w:val="22"/>
          <w:szCs w:val="22"/>
        </w:rPr>
        <w:t xml:space="preserve">) sukeliamo </w:t>
      </w:r>
      <w:proofErr w:type="spellStart"/>
      <w:r>
        <w:rPr>
          <w:sz w:val="22"/>
          <w:szCs w:val="22"/>
        </w:rPr>
        <w:t>hipotenzinio</w:t>
      </w:r>
      <w:proofErr w:type="spellEnd"/>
      <w:r>
        <w:rPr>
          <w:sz w:val="22"/>
          <w:szCs w:val="22"/>
        </w:rPr>
        <w:t xml:space="preserve"> poveikio stiprinimo, rizikos santykį. Tačiau, jeigu NANIPRUS</w:t>
      </w:r>
      <w:r>
        <w:rPr>
          <w:b/>
          <w:caps/>
          <w:sz w:val="22"/>
          <w:szCs w:val="22"/>
        </w:rPr>
        <w:t xml:space="preserve"> </w:t>
      </w:r>
      <w:r>
        <w:rPr>
          <w:bCs/>
          <w:sz w:val="22"/>
          <w:szCs w:val="22"/>
        </w:rPr>
        <w:t>tirpalo vartoti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>būtina, juo reikia gydyti labai atsargiai, būtina atidžiai stebėti kraujospūdį ir atitinkamai koreguoti vaistinio preparato dozę.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Pacientus, kuriems yra padidėjęs </w:t>
      </w:r>
      <w:proofErr w:type="spellStart"/>
      <w:r>
        <w:rPr>
          <w:sz w:val="22"/>
          <w:szCs w:val="22"/>
        </w:rPr>
        <w:t>intrakranijinis</w:t>
      </w:r>
      <w:proofErr w:type="spellEnd"/>
      <w:r>
        <w:rPr>
          <w:sz w:val="22"/>
          <w:szCs w:val="22"/>
        </w:rPr>
        <w:t xml:space="preserve"> spaudimas, reikia atidžiai stebėti.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NANIPRUS ilgalaikiam gydymui netinka.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Dėl ūminio miokardo infarkto gali labai sumažėti spaudimas aortoje ir dėl to padidėti </w:t>
      </w:r>
      <w:proofErr w:type="spellStart"/>
      <w:r>
        <w:rPr>
          <w:sz w:val="22"/>
          <w:szCs w:val="22"/>
        </w:rPr>
        <w:t>diastolinės</w:t>
      </w:r>
      <w:proofErr w:type="spellEnd"/>
      <w:r>
        <w:rPr>
          <w:sz w:val="22"/>
          <w:szCs w:val="22"/>
        </w:rPr>
        <w:t xml:space="preserve"> koronarinės </w:t>
      </w:r>
      <w:proofErr w:type="spellStart"/>
      <w:r>
        <w:rPr>
          <w:sz w:val="22"/>
          <w:szCs w:val="22"/>
        </w:rPr>
        <w:t>perfuzijos</w:t>
      </w:r>
      <w:proofErr w:type="spellEnd"/>
      <w:r>
        <w:rPr>
          <w:sz w:val="22"/>
          <w:szCs w:val="22"/>
        </w:rPr>
        <w:t xml:space="preserve"> sumažėjimo rizika. Ūminio širdies nepakankamumo metu, kai yra mažas prisipildymo spaudimas, gali toliau mažėti širdies išstumiamo kraujo kiekis. 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Gali pasireikšti </w:t>
      </w:r>
      <w:proofErr w:type="spellStart"/>
      <w:r>
        <w:rPr>
          <w:sz w:val="22"/>
          <w:szCs w:val="22"/>
        </w:rPr>
        <w:t>tachifilaksija</w:t>
      </w:r>
      <w:proofErr w:type="spellEnd"/>
      <w:r>
        <w:rPr>
          <w:sz w:val="22"/>
          <w:szCs w:val="22"/>
        </w:rPr>
        <w:t xml:space="preserve"> ir atoveiksmio hipertenzija.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 xml:space="preserve"> vartojimo negalima nutraukti staiga,  nes gali atsirasti atoveiksmio reiškinių.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Senyvi pacientai gali būti jautresni </w:t>
      </w:r>
      <w:proofErr w:type="spellStart"/>
      <w:r>
        <w:rPr>
          <w:sz w:val="22"/>
          <w:szCs w:val="22"/>
        </w:rPr>
        <w:t>hipotenziniam</w:t>
      </w:r>
      <w:proofErr w:type="spellEnd"/>
      <w:r>
        <w:rPr>
          <w:sz w:val="22"/>
          <w:szCs w:val="22"/>
        </w:rPr>
        <w:t xml:space="preserve"> poveikiui. Taip pat senyviems pacientams yra didesnė nuo amžiaus priklausomo inkstų funkcijos sutrikimo tikimybė, dėl ko pacientams, vartojantiems natrio </w:t>
      </w:r>
      <w:proofErr w:type="spellStart"/>
      <w:r>
        <w:rPr>
          <w:sz w:val="22"/>
          <w:szCs w:val="22"/>
        </w:rPr>
        <w:t>nitroprusido</w:t>
      </w:r>
      <w:proofErr w:type="spellEnd"/>
      <w:r>
        <w:rPr>
          <w:sz w:val="22"/>
          <w:szCs w:val="22"/>
        </w:rPr>
        <w:t>, gali prireikti būti atsargesniems.</w:t>
      </w: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Sąveika su kitais vaistiniais preparatais ir kitokia sąveika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Hipotenzinį</w:t>
      </w:r>
      <w:proofErr w:type="spellEnd"/>
      <w:r>
        <w:rPr>
          <w:sz w:val="22"/>
          <w:szCs w:val="22"/>
        </w:rPr>
        <w:t xml:space="preserve"> NANIPRUS</w:t>
      </w:r>
      <w:r>
        <w:rPr>
          <w:b/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poveikį stiprina </w:t>
      </w:r>
      <w:proofErr w:type="spellStart"/>
      <w:r>
        <w:rPr>
          <w:sz w:val="22"/>
          <w:szCs w:val="22"/>
        </w:rPr>
        <w:t>vazodilatatoriai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antihipertenziniai</w:t>
      </w:r>
      <w:proofErr w:type="spellEnd"/>
      <w:r>
        <w:rPr>
          <w:sz w:val="22"/>
          <w:szCs w:val="22"/>
        </w:rPr>
        <w:t xml:space="preserve"> vaistiniai preparatai, raminamieji medikamentai, alkoholis ir anestetikai. Tikėtina, kad prieš NANIPRUS pavartoti 5-</w:t>
      </w:r>
      <w:r>
        <w:rPr>
          <w:sz w:val="22"/>
          <w:szCs w:val="22"/>
        </w:rPr>
        <w:br/>
        <w:t>-</w:t>
      </w:r>
      <w:proofErr w:type="spellStart"/>
      <w:r>
        <w:rPr>
          <w:sz w:val="22"/>
          <w:szCs w:val="22"/>
        </w:rPr>
        <w:t>fosfodiesterazės</w:t>
      </w:r>
      <w:proofErr w:type="spellEnd"/>
      <w:r>
        <w:rPr>
          <w:sz w:val="22"/>
          <w:szCs w:val="22"/>
        </w:rPr>
        <w:t xml:space="preserve"> inhibitoriai (pvz., </w:t>
      </w:r>
      <w:proofErr w:type="spellStart"/>
      <w:r>
        <w:rPr>
          <w:sz w:val="22"/>
          <w:szCs w:val="22"/>
        </w:rPr>
        <w:t>sildenafilis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Viagra</w:t>
      </w:r>
      <w:proofErr w:type="spellEnd"/>
      <w:r>
        <w:rPr>
          <w:sz w:val="22"/>
          <w:szCs w:val="22"/>
        </w:rPr>
        <w:t xml:space="preserve">), greitai ir labai sustiprina </w:t>
      </w:r>
      <w:proofErr w:type="spellStart"/>
      <w:r>
        <w:rPr>
          <w:sz w:val="22"/>
          <w:szCs w:val="22"/>
        </w:rPr>
        <w:t>hipotenzinį</w:t>
      </w:r>
      <w:proofErr w:type="spellEnd"/>
      <w:r>
        <w:rPr>
          <w:sz w:val="22"/>
          <w:szCs w:val="22"/>
        </w:rPr>
        <w:t xml:space="preserve"> poveikį.</w:t>
      </w: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Nesuderinamumas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Paruošto infuzinio tirpalo su kitais vaistais maišyti negalima.</w:t>
      </w: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Perdozavimas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 xml:space="preserve">Gydymo natrio </w:t>
      </w:r>
      <w:proofErr w:type="spellStart"/>
      <w:r>
        <w:rPr>
          <w:sz w:val="22"/>
          <w:szCs w:val="22"/>
        </w:rPr>
        <w:t>nitroprusidu</w:t>
      </w:r>
      <w:proofErr w:type="spellEnd"/>
      <w:r>
        <w:rPr>
          <w:sz w:val="22"/>
          <w:szCs w:val="22"/>
        </w:rPr>
        <w:t xml:space="preserve"> metu, priklausomai nuo gydymo trukmės ir dozės, gali atsirasti toksinis cianidų poveikis. Trumpas gydymas 2,5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/kg/min doze paprastai yra gerai toleruojamas. 10 valandų trukmės 5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/kg/min dozės infuzija, 4 valandų trukmės  10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>/kg/min dozės infuzija ir 1,5 valandos trukmės 20μg/kg/min dozės infuzija gali sukelti gyvybei pavojingą cianidų kiekio susikaupimą.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>Simptomai</w:t>
      </w: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Ūminio perdozavimo, t. y. NANIPRUS </w:t>
      </w:r>
      <w:proofErr w:type="spellStart"/>
      <w:r>
        <w:rPr>
          <w:sz w:val="22"/>
          <w:szCs w:val="22"/>
          <w:lang w:eastAsia="lt-LT"/>
        </w:rPr>
        <w:t>infuzavus</w:t>
      </w:r>
      <w:proofErr w:type="spellEnd"/>
      <w:r>
        <w:rPr>
          <w:sz w:val="22"/>
          <w:szCs w:val="22"/>
          <w:lang w:eastAsia="lt-LT"/>
        </w:rPr>
        <w:t xml:space="preserve"> per greitai, atveju pasireiškia pernelyg didelė </w:t>
      </w:r>
      <w:proofErr w:type="spellStart"/>
      <w:r>
        <w:rPr>
          <w:sz w:val="22"/>
          <w:szCs w:val="22"/>
          <w:lang w:eastAsia="lt-LT"/>
        </w:rPr>
        <w:t>hipotenzija</w:t>
      </w:r>
      <w:proofErr w:type="spellEnd"/>
      <w:r>
        <w:rPr>
          <w:sz w:val="22"/>
          <w:szCs w:val="22"/>
          <w:lang w:eastAsia="lt-LT"/>
        </w:rPr>
        <w:t xml:space="preserve"> ir toksinis metabolitų (cianido ir </w:t>
      </w:r>
      <w:proofErr w:type="spellStart"/>
      <w:r>
        <w:rPr>
          <w:sz w:val="22"/>
          <w:szCs w:val="22"/>
          <w:lang w:eastAsia="lt-LT"/>
        </w:rPr>
        <w:t>tiocianato</w:t>
      </w:r>
      <w:proofErr w:type="spellEnd"/>
      <w:r>
        <w:rPr>
          <w:sz w:val="22"/>
          <w:szCs w:val="22"/>
          <w:lang w:eastAsia="lt-LT"/>
        </w:rPr>
        <w:t>) poveikis.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Pernelyg didelė </w:t>
      </w:r>
      <w:proofErr w:type="spellStart"/>
      <w:r>
        <w:rPr>
          <w:sz w:val="22"/>
          <w:szCs w:val="22"/>
          <w:lang w:eastAsia="lt-LT"/>
        </w:rPr>
        <w:t>hipotenzija</w:t>
      </w:r>
      <w:proofErr w:type="spellEnd"/>
      <w:r>
        <w:rPr>
          <w:sz w:val="22"/>
          <w:szCs w:val="22"/>
          <w:lang w:eastAsia="lt-LT"/>
        </w:rPr>
        <w:t xml:space="preserve">, būna susijusi su galvos svaigimu ir skausmu, dideliu prakaitavimu, raumenų trūkčiojimu, nervingumu arba </w:t>
      </w:r>
      <w:proofErr w:type="spellStart"/>
      <w:r>
        <w:rPr>
          <w:sz w:val="22"/>
          <w:szCs w:val="22"/>
          <w:lang w:eastAsia="lt-LT"/>
        </w:rPr>
        <w:t>ažitacija</w:t>
      </w:r>
      <w:proofErr w:type="spellEnd"/>
      <w:r>
        <w:rPr>
          <w:sz w:val="22"/>
          <w:szCs w:val="22"/>
          <w:lang w:eastAsia="lt-LT"/>
        </w:rPr>
        <w:t xml:space="preserve">, neramumu, pilvo skausmu, </w:t>
      </w:r>
      <w:proofErr w:type="spellStart"/>
      <w:r>
        <w:rPr>
          <w:sz w:val="22"/>
          <w:szCs w:val="22"/>
          <w:lang w:eastAsia="lt-LT"/>
        </w:rPr>
        <w:t>reflrekcine</w:t>
      </w:r>
      <w:proofErr w:type="spellEnd"/>
      <w:r>
        <w:rPr>
          <w:sz w:val="22"/>
          <w:szCs w:val="22"/>
          <w:lang w:eastAsia="lt-LT"/>
        </w:rPr>
        <w:t xml:space="preserve"> </w:t>
      </w:r>
      <w:proofErr w:type="spellStart"/>
      <w:r>
        <w:rPr>
          <w:sz w:val="22"/>
          <w:szCs w:val="22"/>
          <w:lang w:eastAsia="lt-LT"/>
        </w:rPr>
        <w:t>tachikardija</w:t>
      </w:r>
      <w:proofErr w:type="spellEnd"/>
      <w:r>
        <w:rPr>
          <w:sz w:val="22"/>
          <w:szCs w:val="22"/>
          <w:lang w:eastAsia="lt-LT"/>
        </w:rPr>
        <w:t xml:space="preserve"> bei kt. 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Toksinis metabolitų poveikis labiau tikėtinas pacientams, kuriems yra inkstų funkcijos sutrikimas arba </w:t>
      </w:r>
      <w:proofErr w:type="spellStart"/>
      <w:r>
        <w:rPr>
          <w:sz w:val="22"/>
          <w:szCs w:val="22"/>
          <w:lang w:eastAsia="lt-LT"/>
        </w:rPr>
        <w:t>hiponatremija</w:t>
      </w:r>
      <w:proofErr w:type="spellEnd"/>
      <w:r>
        <w:rPr>
          <w:sz w:val="22"/>
          <w:szCs w:val="22"/>
          <w:lang w:eastAsia="lt-LT"/>
        </w:rPr>
        <w:t xml:space="preserve">. Svarbiausi intoksikacijos cianidu simptomai yra refleksų išnykimas, </w:t>
      </w:r>
      <w:proofErr w:type="spellStart"/>
      <w:r>
        <w:rPr>
          <w:sz w:val="22"/>
          <w:szCs w:val="22"/>
          <w:lang w:eastAsia="lt-LT"/>
        </w:rPr>
        <w:t>hipotenzija</w:t>
      </w:r>
      <w:proofErr w:type="spellEnd"/>
      <w:r>
        <w:rPr>
          <w:sz w:val="22"/>
          <w:szCs w:val="22"/>
          <w:lang w:eastAsia="lt-LT"/>
        </w:rPr>
        <w:t xml:space="preserve">, rausva odos spalva, labai paviršutiniškas kvėpavimas, vyzdžių išsiplėtimas, koma. Svarbiausi intoksikacijos </w:t>
      </w:r>
      <w:proofErr w:type="spellStart"/>
      <w:r>
        <w:rPr>
          <w:sz w:val="22"/>
          <w:szCs w:val="22"/>
          <w:lang w:eastAsia="lt-LT"/>
        </w:rPr>
        <w:t>tiocianatu</w:t>
      </w:r>
      <w:proofErr w:type="spellEnd"/>
      <w:r>
        <w:rPr>
          <w:sz w:val="22"/>
          <w:szCs w:val="22"/>
          <w:lang w:eastAsia="lt-LT"/>
        </w:rPr>
        <w:t xml:space="preserve"> simptomai yra galvos svaigimas ir skausmas, pykinimas ir vėmimas, dusulys, sąmonės pritemimas, spengimas ausyse, </w:t>
      </w:r>
      <w:proofErr w:type="spellStart"/>
      <w:r>
        <w:rPr>
          <w:sz w:val="22"/>
          <w:szCs w:val="22"/>
          <w:lang w:eastAsia="lt-LT"/>
        </w:rPr>
        <w:t>delyras</w:t>
      </w:r>
      <w:proofErr w:type="spellEnd"/>
      <w:r>
        <w:rPr>
          <w:sz w:val="22"/>
          <w:szCs w:val="22"/>
          <w:lang w:eastAsia="lt-LT"/>
        </w:rPr>
        <w:t xml:space="preserve"> ir kt.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>Gydymas</w:t>
      </w:r>
    </w:p>
    <w:p w:rsidR="001A6254" w:rsidRDefault="001A6254" w:rsidP="001A6254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>
        <w:rPr>
          <w:rFonts w:ascii="Times New Roman" w:hAnsi="Times New Roman"/>
          <w:szCs w:val="22"/>
          <w:lang w:val="lt-LT" w:eastAsia="lt-LT"/>
        </w:rPr>
        <w:t xml:space="preserve">Infuziją sulėtinus arba trumpam sustabdžius, </w:t>
      </w:r>
      <w:proofErr w:type="spellStart"/>
      <w:r>
        <w:rPr>
          <w:rFonts w:ascii="Times New Roman" w:hAnsi="Times New Roman"/>
          <w:szCs w:val="22"/>
          <w:lang w:val="lt-LT" w:eastAsia="lt-LT"/>
        </w:rPr>
        <w:t>hipotenzija</w:t>
      </w:r>
      <w:proofErr w:type="spellEnd"/>
      <w:r>
        <w:rPr>
          <w:rFonts w:ascii="Times New Roman" w:hAnsi="Times New Roman"/>
          <w:szCs w:val="22"/>
          <w:lang w:val="lt-LT" w:eastAsia="lt-LT"/>
        </w:rPr>
        <w:t xml:space="preserve"> paprastai praeina savaime. Pacientą šiuo laikotarpiu k</w:t>
      </w:r>
      <w:r>
        <w:rPr>
          <w:rFonts w:ascii="Times New Roman" w:hAnsi="Times New Roman"/>
          <w:szCs w:val="22"/>
          <w:lang w:val="lt-LT"/>
        </w:rPr>
        <w:t>elioms minutėms reikia paguldyti taip, kad galva būtų žemiau (</w:t>
      </w:r>
      <w:proofErr w:type="spellStart"/>
      <w:r>
        <w:rPr>
          <w:rFonts w:ascii="Times New Roman" w:hAnsi="Times New Roman"/>
          <w:szCs w:val="22"/>
          <w:lang w:val="lt-LT"/>
        </w:rPr>
        <w:t>Trendelenburgo</w:t>
      </w:r>
      <w:proofErr w:type="spellEnd"/>
      <w:r>
        <w:rPr>
          <w:rFonts w:ascii="Times New Roman" w:hAnsi="Times New Roman"/>
          <w:szCs w:val="22"/>
          <w:lang w:val="lt-LT"/>
        </w:rPr>
        <w:t xml:space="preserve"> padėtyje).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Jeigu atsiranda cianido intoksikacijos simptomų, infuziją būtina nutraukti ir taikyti skubų gydymą. 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Cianido intoksikaciją rekomenduojama gydyti tuoj pat veikiančiu priešnuodžiu, pvz., suleisti į veną 3,4 mg/kg kūno svorio 4-dimetilaminofenolio hidrochlorido (4-DAMP, </w:t>
      </w:r>
      <w:proofErr w:type="spellStart"/>
      <w:r>
        <w:rPr>
          <w:i/>
          <w:szCs w:val="22"/>
          <w:lang w:val="lt-LT"/>
        </w:rPr>
        <w:t>Köhler-Chemie</w:t>
      </w:r>
      <w:proofErr w:type="spellEnd"/>
      <w:r>
        <w:rPr>
          <w:szCs w:val="22"/>
          <w:lang w:val="lt-LT"/>
        </w:rPr>
        <w:t xml:space="preserve">). Jis sukelia </w:t>
      </w:r>
      <w:proofErr w:type="spellStart"/>
      <w:r>
        <w:rPr>
          <w:szCs w:val="22"/>
          <w:lang w:val="lt-LT"/>
        </w:rPr>
        <w:t>methemoglobinemiją</w:t>
      </w:r>
      <w:proofErr w:type="spellEnd"/>
      <w:r>
        <w:rPr>
          <w:szCs w:val="22"/>
          <w:lang w:val="lt-LT"/>
        </w:rPr>
        <w:t xml:space="preserve">, todėl po to rekomenduojama </w:t>
      </w:r>
      <w:proofErr w:type="spellStart"/>
      <w:r>
        <w:rPr>
          <w:szCs w:val="22"/>
          <w:lang w:val="lt-LT"/>
        </w:rPr>
        <w:t>infuzuoti</w:t>
      </w:r>
      <w:proofErr w:type="spellEnd"/>
      <w:r>
        <w:rPr>
          <w:szCs w:val="22"/>
          <w:lang w:val="lt-LT"/>
        </w:rPr>
        <w:t xml:space="preserve"> 50–100 mg/kg kūno svorio natrio </w:t>
      </w:r>
      <w:proofErr w:type="spellStart"/>
      <w:r>
        <w:rPr>
          <w:szCs w:val="22"/>
          <w:lang w:val="lt-LT"/>
        </w:rPr>
        <w:t>tiosulfato</w:t>
      </w:r>
      <w:proofErr w:type="spellEnd"/>
      <w:r>
        <w:rPr>
          <w:szCs w:val="22"/>
          <w:lang w:val="lt-LT"/>
        </w:rPr>
        <w:t xml:space="preserve">. </w:t>
      </w:r>
    </w:p>
    <w:p w:rsidR="001A6254" w:rsidRDefault="001A6254" w:rsidP="001A6254">
      <w:pPr>
        <w:rPr>
          <w:sz w:val="22"/>
          <w:szCs w:val="22"/>
          <w:lang w:eastAsia="lt-LT"/>
        </w:rPr>
      </w:pPr>
    </w:p>
    <w:p w:rsidR="001A6254" w:rsidRDefault="001A6254" w:rsidP="001A625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Jeigu atsiranda intoksikacijos </w:t>
      </w:r>
      <w:proofErr w:type="spellStart"/>
      <w:r>
        <w:rPr>
          <w:sz w:val="22"/>
          <w:szCs w:val="22"/>
          <w:lang w:eastAsia="lt-LT"/>
        </w:rPr>
        <w:t>tiocianatu</w:t>
      </w:r>
      <w:proofErr w:type="spellEnd"/>
      <w:r>
        <w:rPr>
          <w:sz w:val="22"/>
          <w:szCs w:val="22"/>
          <w:lang w:eastAsia="lt-LT"/>
        </w:rPr>
        <w:t xml:space="preserve"> požymių ir simptomų, infuziją būtina nutraukti. Prireikus </w:t>
      </w:r>
      <w:proofErr w:type="spellStart"/>
      <w:r>
        <w:rPr>
          <w:sz w:val="22"/>
          <w:szCs w:val="22"/>
          <w:lang w:eastAsia="lt-LT"/>
        </w:rPr>
        <w:t>tiocianatą</w:t>
      </w:r>
      <w:proofErr w:type="spellEnd"/>
      <w:r>
        <w:rPr>
          <w:sz w:val="22"/>
          <w:szCs w:val="22"/>
          <w:lang w:eastAsia="lt-LT"/>
        </w:rPr>
        <w:t xml:space="preserve"> iš organizmo galima pašalinti hemodialize. </w:t>
      </w: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Antra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Tinkamumo laikas ir laikymo sąlygos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Laikyti ne aukštesnėje kaip 25 ºC temperatūroje.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Laikyti gamintojo pakuotėje, kad vaistas būtų apsaugotas nuo drėgmės ir šviesos.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Negalima užšaldyti!</w:t>
      </w:r>
    </w:p>
    <w:p w:rsidR="001A6254" w:rsidRDefault="001A6254" w:rsidP="001A6254">
      <w:pPr>
        <w:rPr>
          <w:sz w:val="22"/>
          <w:szCs w:val="22"/>
        </w:rPr>
      </w:pPr>
      <w:r>
        <w:rPr>
          <w:sz w:val="22"/>
          <w:szCs w:val="22"/>
        </w:rPr>
        <w:t>Paruošto infuzinio tirpalo tinkamumo laikas yra 24 val. Jį reikia saugoti nuo šviesos.</w:t>
      </w: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pStyle w:val="Pagrindinistekstas"/>
        <w:spacing w:after="0"/>
        <w:rPr>
          <w:szCs w:val="22"/>
          <w:lang w:val="lt-LT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rPr>
          <w:sz w:val="22"/>
          <w:szCs w:val="22"/>
        </w:rPr>
      </w:pPr>
    </w:p>
    <w:p w:rsidR="001A6254" w:rsidRDefault="001A6254" w:rsidP="001A6254">
      <w:pPr>
        <w:pStyle w:val="TTEMEASMCA"/>
      </w:pPr>
    </w:p>
    <w:p w:rsidR="001A6254" w:rsidRDefault="001A6254" w:rsidP="001A6254"/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05BEA7C0"/>
    <w:lvl w:ilvl="0" w:tplc="FB1E37EC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930EB"/>
    <w:multiLevelType w:val="hybridMultilevel"/>
    <w:tmpl w:val="3BC0BC1C"/>
    <w:lvl w:ilvl="0" w:tplc="0409000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69AB6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54"/>
    <w:rsid w:val="001A6254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BA1C1-4F5B-438F-95EC-3C95854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A62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A62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A625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A625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rsid w:val="001A625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semiHidden/>
    <w:rsid w:val="001A6254"/>
    <w:rPr>
      <w:rFonts w:ascii="Arial" w:eastAsia="Times New Roman" w:hAnsi="Arial" w:cs="Times New Roman"/>
      <w:b/>
      <w:bCs/>
      <w:sz w:val="26"/>
      <w:szCs w:val="26"/>
    </w:rPr>
  </w:style>
  <w:style w:type="character" w:styleId="Hipersaitas">
    <w:name w:val="Hyperlink"/>
    <w:semiHidden/>
    <w:unhideWhenUsed/>
    <w:rsid w:val="001A625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1A6254"/>
    <w:pPr>
      <w:spacing w:after="120"/>
    </w:pPr>
    <w:rPr>
      <w:sz w:val="22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625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TEMEASMCAChar">
    <w:name w:val="BT EMEA_SMCA Char"/>
    <w:link w:val="BTEMEASMCA"/>
    <w:locked/>
    <w:rsid w:val="001A6254"/>
    <w:rPr>
      <w:rFonts w:ascii="Times New Roman" w:eastAsia="Batang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1A6254"/>
    <w:rPr>
      <w:rFonts w:eastAsia="Batang"/>
      <w:noProof/>
      <w:sz w:val="22"/>
      <w:szCs w:val="22"/>
    </w:rPr>
  </w:style>
  <w:style w:type="character" w:customStyle="1" w:styleId="TTEMEASMCAChar">
    <w:name w:val="TT EMEA_SMCA Char"/>
    <w:link w:val="TTEMEASMCA"/>
    <w:locked/>
    <w:rsid w:val="001A6254"/>
    <w:rPr>
      <w:rFonts w:ascii="Times New Roman" w:eastAsia="Batang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1A6254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Batang" w:hAnsi="Times New Roman"/>
      <w:bCs w:val="0"/>
      <w:caps/>
      <w:kern w:val="0"/>
      <w:sz w:val="22"/>
      <w:szCs w:val="22"/>
    </w:rPr>
  </w:style>
  <w:style w:type="paragraph" w:customStyle="1" w:styleId="BT-EMEASMCA">
    <w:name w:val="BT- EMEA_SMCA"/>
    <w:basedOn w:val="BTEMEASMCA"/>
    <w:autoRedefine/>
    <w:rsid w:val="001A6254"/>
    <w:pPr>
      <w:numPr>
        <w:numId w:val="1"/>
      </w:numPr>
      <w:tabs>
        <w:tab w:val="clear" w:pos="720"/>
        <w:tab w:val="num" w:pos="360"/>
        <w:tab w:val="num" w:pos="540"/>
      </w:tabs>
      <w:ind w:left="0" w:firstLine="0"/>
    </w:pPr>
    <w:rPr>
      <w:color w:val="000033"/>
    </w:rPr>
  </w:style>
  <w:style w:type="paragraph" w:customStyle="1" w:styleId="PI-3EMEASMCA">
    <w:name w:val="PI-3 EMEA_SMCA"/>
    <w:basedOn w:val="prastasis"/>
    <w:autoRedefine/>
    <w:rsid w:val="001A625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1A6254"/>
    <w:rPr>
      <w:b/>
      <w:noProof w:val="0"/>
    </w:rPr>
  </w:style>
  <w:style w:type="paragraph" w:customStyle="1" w:styleId="Default">
    <w:name w:val="Default"/>
    <w:rsid w:val="001A625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lt-LT"/>
    </w:rPr>
  </w:style>
  <w:style w:type="paragraph" w:customStyle="1" w:styleId="coretext">
    <w:name w:val="coretext"/>
    <w:basedOn w:val="prastasis"/>
    <w:rsid w:val="001A6254"/>
    <w:pPr>
      <w:spacing w:before="120"/>
      <w:ind w:left="851"/>
      <w:jc w:val="both"/>
    </w:pPr>
    <w:rPr>
      <w:rFonts w:ascii="Arial" w:hAnsi="Arial"/>
      <w:sz w:val="22"/>
      <w:szCs w:val="20"/>
      <w:lang w:val="en-GB" w:eastAsia="de-DE"/>
    </w:rPr>
  </w:style>
  <w:style w:type="character" w:customStyle="1" w:styleId="st">
    <w:name w:val="st"/>
    <w:basedOn w:val="Numatytasispastraiposriftas"/>
    <w:rsid w:val="001A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14331</Words>
  <Characters>8170</Characters>
  <Application>Microsoft Office Word</Application>
  <DocSecurity>0</DocSecurity>
  <Lines>68</Lines>
  <Paragraphs>44</Paragraphs>
  <ScaleCrop>false</ScaleCrop>
  <Company/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2019-10-08T07:46:00Z</dcterms:created>
  <dcterms:modified xsi:type="dcterms:W3CDTF">2019-10-08T07:46:00Z</dcterms:modified>
</cp:coreProperties>
</file>