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94" w:rsidRPr="00BF5A7F" w:rsidRDefault="00156D94" w:rsidP="00156D94">
      <w:pPr>
        <w:contextualSpacing/>
        <w:jc w:val="center"/>
        <w:rPr>
          <w:b/>
          <w:sz w:val="22"/>
          <w:szCs w:val="22"/>
          <w:lang w:eastAsia="lt-LT"/>
        </w:rPr>
      </w:pPr>
      <w:bookmarkStart w:id="0" w:name="_Toc129243263"/>
      <w:bookmarkStart w:id="1" w:name="_Toc129243138"/>
      <w:bookmarkStart w:id="2" w:name="_GoBack"/>
      <w:bookmarkEnd w:id="2"/>
      <w:r w:rsidRPr="00BF5A7F">
        <w:rPr>
          <w:b/>
          <w:sz w:val="22"/>
          <w:szCs w:val="22"/>
        </w:rPr>
        <w:t>Pakuotės lapelis:</w:t>
      </w:r>
      <w:r w:rsidRPr="00BF5A7F">
        <w:rPr>
          <w:b/>
          <w:bCs/>
          <w:iCs/>
          <w:sz w:val="22"/>
          <w:szCs w:val="22"/>
        </w:rPr>
        <w:t xml:space="preserve"> </w:t>
      </w:r>
      <w:r w:rsidRPr="00BF5A7F">
        <w:rPr>
          <w:b/>
          <w:sz w:val="22"/>
          <w:szCs w:val="22"/>
        </w:rPr>
        <w:t>informacija vartotojui</w:t>
      </w:r>
      <w:bookmarkEnd w:id="0"/>
      <w:bookmarkEnd w:id="1"/>
    </w:p>
    <w:p w:rsidR="00156D94" w:rsidRPr="00BF5A7F" w:rsidRDefault="00156D94" w:rsidP="00156D94">
      <w:pPr>
        <w:contextualSpacing/>
        <w:jc w:val="center"/>
        <w:rPr>
          <w:b/>
          <w:sz w:val="22"/>
          <w:szCs w:val="22"/>
        </w:rPr>
      </w:pPr>
    </w:p>
    <w:p w:rsidR="00156D94" w:rsidRPr="00BF5A7F" w:rsidRDefault="00156D94" w:rsidP="00156D94">
      <w:pPr>
        <w:contextualSpacing/>
        <w:jc w:val="center"/>
        <w:rPr>
          <w:b/>
          <w:sz w:val="22"/>
          <w:szCs w:val="22"/>
        </w:rPr>
      </w:pPr>
      <w:r w:rsidRPr="00BF5A7F">
        <w:rPr>
          <w:b/>
          <w:sz w:val="22"/>
          <w:szCs w:val="22"/>
        </w:rPr>
        <w:t>Loratin 10</w:t>
      </w:r>
      <w:r>
        <w:rPr>
          <w:b/>
          <w:sz w:val="22"/>
          <w:szCs w:val="22"/>
        </w:rPr>
        <w:t> </w:t>
      </w:r>
      <w:r w:rsidRPr="00BF5A7F">
        <w:rPr>
          <w:b/>
          <w:sz w:val="22"/>
          <w:szCs w:val="22"/>
        </w:rPr>
        <w:t>mg tabletės</w:t>
      </w:r>
    </w:p>
    <w:p w:rsidR="00156D94" w:rsidRPr="00BF5A7F" w:rsidRDefault="00156D94" w:rsidP="00156D94">
      <w:pPr>
        <w:contextualSpacing/>
        <w:jc w:val="center"/>
        <w:rPr>
          <w:sz w:val="22"/>
          <w:szCs w:val="22"/>
        </w:rPr>
      </w:pPr>
      <w:r w:rsidRPr="00BF5A7F">
        <w:rPr>
          <w:sz w:val="22"/>
          <w:szCs w:val="22"/>
        </w:rPr>
        <w:t>Loratadinas</w:t>
      </w:r>
    </w:p>
    <w:p w:rsidR="00156D94" w:rsidRPr="00BF5A7F" w:rsidRDefault="00156D94" w:rsidP="00156D94">
      <w:pPr>
        <w:contextualSpacing/>
        <w:rPr>
          <w:sz w:val="22"/>
          <w:szCs w:val="22"/>
        </w:rPr>
      </w:pPr>
    </w:p>
    <w:p w:rsidR="00156D94" w:rsidRPr="00BF5A7F" w:rsidRDefault="00156D94" w:rsidP="00156D94">
      <w:pPr>
        <w:suppressAutoHyphens/>
        <w:contextualSpacing/>
        <w:rPr>
          <w:snapToGrid w:val="0"/>
          <w:sz w:val="22"/>
          <w:szCs w:val="22"/>
        </w:rPr>
      </w:pPr>
      <w:r w:rsidRPr="00BF5A7F">
        <w:rPr>
          <w:b/>
          <w:sz w:val="22"/>
          <w:szCs w:val="22"/>
        </w:rPr>
        <w:t xml:space="preserve">Atidžiai perskaitykite visą šį lapelį, </w:t>
      </w:r>
      <w:r w:rsidRPr="00BF5A7F">
        <w:rPr>
          <w:b/>
          <w:snapToGrid w:val="0"/>
          <w:sz w:val="22"/>
          <w:szCs w:val="22"/>
        </w:rPr>
        <w:t>prieš pradėdami vartoti vaistą, nes jame pateikiama Jums svarbi informacija.</w:t>
      </w:r>
    </w:p>
    <w:p w:rsidR="00156D94" w:rsidRPr="00BF5A7F" w:rsidRDefault="00156D94" w:rsidP="00156D94">
      <w:pPr>
        <w:numPr>
          <w:ilvl w:val="0"/>
          <w:numId w:val="1"/>
        </w:numPr>
        <w:ind w:left="567" w:hanging="567"/>
        <w:contextualSpacing/>
        <w:rPr>
          <w:sz w:val="22"/>
          <w:szCs w:val="22"/>
        </w:rPr>
      </w:pPr>
      <w:r w:rsidRPr="00BF5A7F">
        <w:rPr>
          <w:sz w:val="22"/>
          <w:szCs w:val="22"/>
        </w:rPr>
        <w:t>Neišmeskite šio lapelio, nes vėl gali prireikti jį perskaityti.</w:t>
      </w:r>
    </w:p>
    <w:p w:rsidR="00156D94" w:rsidRPr="00BF5A7F" w:rsidRDefault="00156D94" w:rsidP="00156D94">
      <w:pPr>
        <w:numPr>
          <w:ilvl w:val="0"/>
          <w:numId w:val="1"/>
        </w:numPr>
        <w:ind w:left="567" w:hanging="567"/>
        <w:contextualSpacing/>
        <w:rPr>
          <w:sz w:val="22"/>
          <w:szCs w:val="22"/>
        </w:rPr>
      </w:pPr>
      <w:r w:rsidRPr="00BF5A7F">
        <w:rPr>
          <w:sz w:val="22"/>
          <w:szCs w:val="22"/>
        </w:rPr>
        <w:t>Jeigu kiltų daugiau klausimų, kreipkitės į gydytoją arba vaistininką.</w:t>
      </w:r>
    </w:p>
    <w:p w:rsidR="00156D94" w:rsidRPr="00BF5A7F" w:rsidRDefault="00156D94" w:rsidP="00156D94">
      <w:pPr>
        <w:numPr>
          <w:ilvl w:val="0"/>
          <w:numId w:val="1"/>
        </w:numPr>
        <w:ind w:left="567" w:hanging="567"/>
        <w:contextualSpacing/>
        <w:rPr>
          <w:sz w:val="22"/>
          <w:szCs w:val="22"/>
        </w:rPr>
      </w:pPr>
      <w:r w:rsidRPr="00BF5A7F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156D94" w:rsidRPr="00BF5A7F" w:rsidRDefault="00156D94" w:rsidP="00156D94">
      <w:pPr>
        <w:numPr>
          <w:ilvl w:val="0"/>
          <w:numId w:val="1"/>
        </w:numPr>
        <w:ind w:left="567" w:hanging="567"/>
        <w:contextualSpacing/>
        <w:rPr>
          <w:sz w:val="22"/>
          <w:szCs w:val="22"/>
        </w:rPr>
      </w:pPr>
      <w:r w:rsidRPr="00BF5A7F">
        <w:rPr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156D94" w:rsidRPr="00BF5A7F" w:rsidRDefault="00156D94" w:rsidP="00156D94">
      <w:pPr>
        <w:contextualSpacing/>
        <w:rPr>
          <w:sz w:val="22"/>
          <w:szCs w:val="22"/>
        </w:rPr>
      </w:pPr>
    </w:p>
    <w:p w:rsidR="00156D94" w:rsidRPr="00BF5A7F" w:rsidRDefault="00156D94" w:rsidP="00156D94">
      <w:pPr>
        <w:contextualSpacing/>
        <w:rPr>
          <w:b/>
          <w:sz w:val="22"/>
          <w:szCs w:val="22"/>
          <w:lang w:eastAsia="lt-LT"/>
        </w:rPr>
      </w:pPr>
      <w:r w:rsidRPr="00BF5A7F">
        <w:rPr>
          <w:b/>
          <w:sz w:val="22"/>
          <w:szCs w:val="22"/>
          <w:lang w:eastAsia="lt-LT"/>
        </w:rPr>
        <w:t>Apie ką rašoma šiame lapelyje?</w:t>
      </w:r>
    </w:p>
    <w:p w:rsidR="00156D94" w:rsidRPr="00BF5A7F" w:rsidRDefault="00156D94" w:rsidP="00156D94">
      <w:pPr>
        <w:contextualSpacing/>
        <w:rPr>
          <w:b/>
          <w:sz w:val="22"/>
          <w:szCs w:val="22"/>
          <w:lang w:eastAsia="lt-LT"/>
        </w:rPr>
      </w:pPr>
    </w:p>
    <w:p w:rsidR="00156D94" w:rsidRPr="00BF5A7F" w:rsidRDefault="00156D94" w:rsidP="00156D94">
      <w:pPr>
        <w:tabs>
          <w:tab w:val="left" w:pos="567"/>
        </w:tabs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1.</w:t>
      </w:r>
      <w:r w:rsidRPr="00BF5A7F">
        <w:rPr>
          <w:sz w:val="22"/>
          <w:szCs w:val="22"/>
          <w:lang w:eastAsia="lt-LT"/>
        </w:rPr>
        <w:tab/>
        <w:t>Kas yra Loratin ir kam jis vartojamas</w:t>
      </w:r>
    </w:p>
    <w:p w:rsidR="00156D94" w:rsidRPr="00BF5A7F" w:rsidRDefault="00156D94" w:rsidP="00156D94">
      <w:pPr>
        <w:tabs>
          <w:tab w:val="left" w:pos="567"/>
        </w:tabs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2.</w:t>
      </w:r>
      <w:r w:rsidRPr="00BF5A7F">
        <w:rPr>
          <w:sz w:val="22"/>
          <w:szCs w:val="22"/>
          <w:lang w:eastAsia="lt-LT"/>
        </w:rPr>
        <w:tab/>
        <w:t>Kas žinotina prieš vartojant Loratin</w:t>
      </w:r>
    </w:p>
    <w:p w:rsidR="00156D94" w:rsidRPr="00BF5A7F" w:rsidRDefault="00156D94" w:rsidP="00156D94">
      <w:pPr>
        <w:tabs>
          <w:tab w:val="left" w:pos="567"/>
        </w:tabs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3.</w:t>
      </w:r>
      <w:r w:rsidRPr="00BF5A7F">
        <w:rPr>
          <w:sz w:val="22"/>
          <w:szCs w:val="22"/>
          <w:lang w:eastAsia="lt-LT"/>
        </w:rPr>
        <w:tab/>
        <w:t>Kaip vartoti Loratin</w:t>
      </w:r>
    </w:p>
    <w:p w:rsidR="00156D94" w:rsidRPr="00BF5A7F" w:rsidRDefault="00156D94" w:rsidP="00156D94">
      <w:pPr>
        <w:tabs>
          <w:tab w:val="left" w:pos="567"/>
        </w:tabs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4.</w:t>
      </w:r>
      <w:r w:rsidRPr="00BF5A7F">
        <w:rPr>
          <w:sz w:val="22"/>
          <w:szCs w:val="22"/>
          <w:lang w:eastAsia="lt-LT"/>
        </w:rPr>
        <w:tab/>
        <w:t>Galimas šalutinis poveikis</w:t>
      </w:r>
    </w:p>
    <w:p w:rsidR="00156D94" w:rsidRPr="00BF5A7F" w:rsidRDefault="00156D94" w:rsidP="00156D94">
      <w:pPr>
        <w:tabs>
          <w:tab w:val="left" w:pos="567"/>
        </w:tabs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5.</w:t>
      </w:r>
      <w:r w:rsidRPr="00BF5A7F">
        <w:rPr>
          <w:sz w:val="22"/>
          <w:szCs w:val="22"/>
          <w:lang w:eastAsia="lt-LT"/>
        </w:rPr>
        <w:tab/>
        <w:t>Kaip laikyti Loratin</w:t>
      </w:r>
    </w:p>
    <w:p w:rsidR="00156D94" w:rsidRPr="00BF5A7F" w:rsidRDefault="00156D94" w:rsidP="00156D94">
      <w:pPr>
        <w:tabs>
          <w:tab w:val="left" w:pos="567"/>
        </w:tabs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6.</w:t>
      </w:r>
      <w:r w:rsidRPr="00BF5A7F">
        <w:rPr>
          <w:sz w:val="22"/>
          <w:szCs w:val="22"/>
          <w:lang w:eastAsia="lt-LT"/>
        </w:rPr>
        <w:tab/>
        <w:t>Pakuotės turinys ir kita informacija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numPr>
          <w:ilvl w:val="12"/>
          <w:numId w:val="0"/>
        </w:numPr>
        <w:tabs>
          <w:tab w:val="left" w:pos="567"/>
        </w:tabs>
        <w:contextualSpacing/>
        <w:outlineLvl w:val="0"/>
        <w:rPr>
          <w:b/>
          <w:caps/>
          <w:sz w:val="22"/>
          <w:szCs w:val="22"/>
          <w:lang w:eastAsia="lt-LT"/>
        </w:rPr>
      </w:pPr>
      <w:r w:rsidRPr="00BF5A7F">
        <w:rPr>
          <w:b/>
          <w:sz w:val="22"/>
          <w:szCs w:val="22"/>
          <w:lang w:eastAsia="lt-LT"/>
        </w:rPr>
        <w:t>1.</w:t>
      </w:r>
      <w:r w:rsidRPr="00BF5A7F">
        <w:rPr>
          <w:b/>
          <w:sz w:val="22"/>
          <w:szCs w:val="22"/>
          <w:lang w:eastAsia="lt-LT"/>
        </w:rPr>
        <w:tab/>
        <w:t xml:space="preserve">Kas yra Loratin ir kam jis vartojamas 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Loratin priklauso antihistamininių vaistų grupei. 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6D0969" w:rsidRDefault="00156D94" w:rsidP="00156D94">
      <w:pPr>
        <w:contextualSpacing/>
        <w:rPr>
          <w:sz w:val="22"/>
          <w:szCs w:val="22"/>
          <w:lang w:eastAsia="lt-LT"/>
        </w:rPr>
      </w:pPr>
      <w:r w:rsidRPr="00747C5A">
        <w:rPr>
          <w:sz w:val="22"/>
          <w:szCs w:val="22"/>
          <w:lang w:eastAsia="lt-LT"/>
        </w:rPr>
        <w:t>Loratin vartojamas palengvinti</w:t>
      </w:r>
      <w:r w:rsidRPr="006D0969">
        <w:rPr>
          <w:sz w:val="22"/>
          <w:szCs w:val="22"/>
          <w:lang w:eastAsia="lt-LT"/>
        </w:rPr>
        <w:t>:</w:t>
      </w:r>
    </w:p>
    <w:p w:rsidR="00156D94" w:rsidRPr="00BF5A7F" w:rsidRDefault="00156D94" w:rsidP="00156D94">
      <w:pPr>
        <w:numPr>
          <w:ilvl w:val="0"/>
          <w:numId w:val="2"/>
        </w:numPr>
        <w:tabs>
          <w:tab w:val="num" w:pos="374"/>
        </w:tabs>
        <w:ind w:left="374"/>
        <w:contextualSpacing/>
        <w:rPr>
          <w:sz w:val="22"/>
          <w:szCs w:val="22"/>
          <w:lang w:eastAsia="lt-LT"/>
        </w:rPr>
      </w:pPr>
      <w:r w:rsidRPr="00747C5A">
        <w:rPr>
          <w:sz w:val="22"/>
          <w:szCs w:val="22"/>
          <w:lang w:eastAsia="lt-LT"/>
        </w:rPr>
        <w:t>alerginės slogos</w:t>
      </w:r>
      <w:r w:rsidRPr="00BF5A7F">
        <w:rPr>
          <w:sz w:val="22"/>
          <w:szCs w:val="22"/>
          <w:lang w:eastAsia="lt-LT"/>
        </w:rPr>
        <w:t xml:space="preserve"> simptomams (čiauduliui, niežuliui, išskyrų iš nosies tekėjimui) bei akių niežėjimui ir perštėjimui.</w:t>
      </w:r>
    </w:p>
    <w:p w:rsidR="00156D94" w:rsidRPr="00BF5A7F" w:rsidRDefault="00156D94" w:rsidP="00156D94">
      <w:pPr>
        <w:numPr>
          <w:ilvl w:val="0"/>
          <w:numId w:val="2"/>
        </w:numPr>
        <w:tabs>
          <w:tab w:val="num" w:pos="374"/>
        </w:tabs>
        <w:ind w:left="374"/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lėtinės </w:t>
      </w:r>
      <w:r w:rsidRPr="00747C5A">
        <w:rPr>
          <w:sz w:val="22"/>
          <w:szCs w:val="22"/>
          <w:lang w:eastAsia="lt-LT"/>
        </w:rPr>
        <w:t>dilgėlinės</w:t>
      </w:r>
      <w:r w:rsidRPr="00BF5A7F">
        <w:rPr>
          <w:sz w:val="22"/>
          <w:szCs w:val="22"/>
          <w:lang w:eastAsia="lt-LT"/>
        </w:rPr>
        <w:t xml:space="preserve"> sukeltam odos niežuliui, paraudimui bei ruplėms.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numPr>
          <w:ilvl w:val="12"/>
          <w:numId w:val="0"/>
        </w:numPr>
        <w:contextualSpacing/>
        <w:outlineLvl w:val="0"/>
        <w:rPr>
          <w:b/>
          <w:sz w:val="22"/>
          <w:szCs w:val="22"/>
          <w:lang w:eastAsia="lt-LT"/>
        </w:rPr>
      </w:pPr>
    </w:p>
    <w:p w:rsidR="00156D94" w:rsidRPr="00BF5A7F" w:rsidRDefault="00156D94" w:rsidP="00156D94">
      <w:pPr>
        <w:numPr>
          <w:ilvl w:val="12"/>
          <w:numId w:val="0"/>
        </w:numPr>
        <w:tabs>
          <w:tab w:val="left" w:pos="567"/>
        </w:tabs>
        <w:contextualSpacing/>
        <w:outlineLvl w:val="0"/>
        <w:rPr>
          <w:caps/>
          <w:sz w:val="22"/>
          <w:szCs w:val="22"/>
          <w:lang w:eastAsia="lt-LT"/>
        </w:rPr>
      </w:pPr>
      <w:r w:rsidRPr="00BF5A7F">
        <w:rPr>
          <w:b/>
          <w:sz w:val="22"/>
          <w:szCs w:val="22"/>
          <w:lang w:eastAsia="lt-LT"/>
        </w:rPr>
        <w:t>2.</w:t>
      </w:r>
      <w:r w:rsidRPr="00BF5A7F">
        <w:rPr>
          <w:b/>
          <w:sz w:val="22"/>
          <w:szCs w:val="22"/>
          <w:lang w:eastAsia="lt-LT"/>
        </w:rPr>
        <w:tab/>
        <w:t>Kas žinotina prieš vartojant Loratin</w:t>
      </w:r>
    </w:p>
    <w:p w:rsidR="00156D94" w:rsidRPr="00BF5A7F" w:rsidRDefault="00156D94" w:rsidP="00156D94">
      <w:pPr>
        <w:keepNext/>
        <w:contextualSpacing/>
        <w:outlineLvl w:val="2"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keepNext/>
        <w:contextualSpacing/>
        <w:outlineLvl w:val="2"/>
        <w:rPr>
          <w:b/>
          <w:sz w:val="22"/>
          <w:szCs w:val="22"/>
          <w:lang w:eastAsia="lt-LT"/>
        </w:rPr>
      </w:pPr>
      <w:r w:rsidRPr="00BF5A7F">
        <w:rPr>
          <w:b/>
          <w:sz w:val="22"/>
          <w:szCs w:val="22"/>
          <w:lang w:eastAsia="lt-LT"/>
        </w:rPr>
        <w:t>Loratin vartoti negalima:</w:t>
      </w:r>
    </w:p>
    <w:p w:rsidR="00156D94" w:rsidRPr="00BF5A7F" w:rsidRDefault="00156D94" w:rsidP="00156D94">
      <w:pPr>
        <w:widowControl w:val="0"/>
        <w:numPr>
          <w:ilvl w:val="0"/>
          <w:numId w:val="2"/>
        </w:numPr>
        <w:tabs>
          <w:tab w:val="num" w:pos="374"/>
        </w:tabs>
        <w:ind w:left="374"/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jeigu yra alergija loratadinui arba bet kuriai pagalbinei šio vaisto medžiagai (jos išvardytos 6 skyriuje).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keepNext/>
        <w:contextualSpacing/>
        <w:outlineLvl w:val="2"/>
        <w:rPr>
          <w:b/>
          <w:sz w:val="22"/>
          <w:szCs w:val="22"/>
          <w:lang w:eastAsia="lt-LT"/>
        </w:rPr>
      </w:pPr>
      <w:r w:rsidRPr="00BF5A7F">
        <w:rPr>
          <w:b/>
          <w:sz w:val="22"/>
          <w:szCs w:val="22"/>
          <w:lang w:eastAsia="lt-LT"/>
        </w:rPr>
        <w:t>Įspėjimai ir atsargumo priemonės</w:t>
      </w:r>
    </w:p>
    <w:p w:rsidR="00156D94" w:rsidRPr="00BF5A7F" w:rsidRDefault="00156D94" w:rsidP="00156D94">
      <w:pPr>
        <w:ind w:left="14"/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</w:rPr>
        <w:t>Pasitarkite su gydytoju arba vaistininku, prieš pradėdami vartoti Loratin:</w:t>
      </w:r>
    </w:p>
    <w:p w:rsidR="00156D94" w:rsidRPr="00BF5A7F" w:rsidRDefault="00156D94" w:rsidP="00156D94">
      <w:pPr>
        <w:numPr>
          <w:ilvl w:val="0"/>
          <w:numId w:val="2"/>
        </w:numPr>
        <w:tabs>
          <w:tab w:val="num" w:pos="374"/>
        </w:tabs>
        <w:ind w:left="374"/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jeigu yra labai sutrikusi Jūsų kepenų veikla. Žr. dozavimo rekomendacijas 3 skyriaus poskyryje „Pacientams, kurių kepenų veikla sutrikusi“.</w:t>
      </w:r>
    </w:p>
    <w:p w:rsidR="00156D94" w:rsidRPr="00BF5A7F" w:rsidRDefault="00156D94" w:rsidP="00156D94">
      <w:pPr>
        <w:numPr>
          <w:ilvl w:val="0"/>
          <w:numId w:val="2"/>
        </w:numPr>
        <w:tabs>
          <w:tab w:val="num" w:pos="374"/>
        </w:tabs>
        <w:ind w:left="374"/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jeigu Jums reikia atlikti bet kokį odos tyrimą. Gali prireikti pertraukti Loratin vartojimą likus ne mažiau kaip 48</w:t>
      </w:r>
      <w:r>
        <w:rPr>
          <w:sz w:val="22"/>
          <w:szCs w:val="22"/>
          <w:lang w:eastAsia="lt-LT"/>
        </w:rPr>
        <w:t> </w:t>
      </w:r>
      <w:r w:rsidRPr="00BF5A7F">
        <w:rPr>
          <w:sz w:val="22"/>
          <w:szCs w:val="22"/>
          <w:lang w:eastAsia="lt-LT"/>
        </w:rPr>
        <w:t>valandoms iki tyrimo, nes šis vaistas gali pakeisti jo rezultatus.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keepNext/>
        <w:contextualSpacing/>
        <w:outlineLvl w:val="2"/>
        <w:rPr>
          <w:b/>
          <w:sz w:val="22"/>
          <w:szCs w:val="22"/>
          <w:lang w:eastAsia="lt-LT"/>
        </w:rPr>
      </w:pPr>
      <w:r w:rsidRPr="00BF5A7F">
        <w:rPr>
          <w:b/>
          <w:sz w:val="22"/>
          <w:szCs w:val="22"/>
          <w:lang w:eastAsia="lt-LT"/>
        </w:rPr>
        <w:t>Kiti vaistai ir Loratin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Jeigu vartojate ar neseniai vartojote kitų vaistų arba dėl to nesate tikri, apie tai pasakykite gydytojui arba vaistininkui.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Nebuvo pastebėta reikšmingos Loratin sąveikos su kitais vaistais.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keepNext/>
        <w:contextualSpacing/>
        <w:outlineLvl w:val="2"/>
        <w:rPr>
          <w:b/>
          <w:sz w:val="22"/>
          <w:szCs w:val="22"/>
          <w:lang w:eastAsia="lt-LT"/>
        </w:rPr>
      </w:pPr>
      <w:r w:rsidRPr="00BF5A7F">
        <w:rPr>
          <w:b/>
          <w:sz w:val="22"/>
          <w:szCs w:val="22"/>
          <w:lang w:eastAsia="lt-LT"/>
        </w:rPr>
        <w:t>Nėštumas ir žindymo laikotarpis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</w:rPr>
        <w:t xml:space="preserve">Jeigu esate nėščia, žindote kūdikį, manote, kad galbūt esate nėščia, arba planuojate pastoti, tai prieš vartodama šį vaistą, pasitarkite </w:t>
      </w:r>
      <w:r w:rsidRPr="00BF5A7F">
        <w:rPr>
          <w:sz w:val="22"/>
          <w:szCs w:val="22"/>
          <w:lang w:eastAsia="lt-LT"/>
        </w:rPr>
        <w:t>su gydytoju arba vaistininku.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Nėštumo ir žindymo laikotarpiu </w:t>
      </w:r>
      <w:r w:rsidRPr="00747C5A">
        <w:rPr>
          <w:sz w:val="22"/>
          <w:szCs w:val="22"/>
          <w:lang w:eastAsia="lt-LT"/>
        </w:rPr>
        <w:t>nerekomenduojama</w:t>
      </w:r>
      <w:r w:rsidRPr="004A7C74">
        <w:rPr>
          <w:sz w:val="22"/>
          <w:szCs w:val="22"/>
          <w:lang w:eastAsia="lt-LT"/>
        </w:rPr>
        <w:t xml:space="preserve"> </w:t>
      </w:r>
      <w:r w:rsidRPr="00BF5A7F">
        <w:rPr>
          <w:sz w:val="22"/>
          <w:szCs w:val="22"/>
          <w:lang w:eastAsia="lt-LT"/>
        </w:rPr>
        <w:t>vartoti Loratin tablečių.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keepNext/>
        <w:contextualSpacing/>
        <w:outlineLvl w:val="2"/>
        <w:rPr>
          <w:b/>
          <w:sz w:val="22"/>
          <w:szCs w:val="22"/>
          <w:lang w:eastAsia="lt-LT"/>
        </w:rPr>
      </w:pPr>
      <w:r w:rsidRPr="00BF5A7F">
        <w:rPr>
          <w:b/>
          <w:sz w:val="22"/>
          <w:szCs w:val="22"/>
          <w:lang w:eastAsia="lt-LT"/>
        </w:rPr>
        <w:t>Vairavimas ir mechanizmų valdymas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Vairuoti ar valdyti mechanizmus galima tik įsitikinus, kad Loratin nesukelia Jums mieguistumo.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keepNext/>
        <w:contextualSpacing/>
        <w:outlineLvl w:val="2"/>
        <w:rPr>
          <w:b/>
          <w:sz w:val="22"/>
          <w:szCs w:val="22"/>
          <w:lang w:eastAsia="lt-LT"/>
        </w:rPr>
      </w:pPr>
      <w:r w:rsidRPr="00BF5A7F">
        <w:rPr>
          <w:b/>
          <w:sz w:val="22"/>
          <w:szCs w:val="22"/>
          <w:lang w:eastAsia="lt-LT"/>
        </w:rPr>
        <w:t>Loratin sudėtyje yra laktozės</w:t>
      </w:r>
    </w:p>
    <w:p w:rsidR="00156D94" w:rsidRPr="00BF5A7F" w:rsidRDefault="00156D94" w:rsidP="00156D94">
      <w:pPr>
        <w:widowControl w:val="0"/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Jeigu gydytojas Jums yra sakęs, kad netoleruojate kokių nors angliavandenių, kreipkitės į jį prieš pradėdami vartoti šį vaistą.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numPr>
          <w:ilvl w:val="12"/>
          <w:numId w:val="0"/>
        </w:numPr>
        <w:tabs>
          <w:tab w:val="left" w:pos="567"/>
        </w:tabs>
        <w:contextualSpacing/>
        <w:outlineLvl w:val="0"/>
        <w:rPr>
          <w:b/>
          <w:caps/>
          <w:sz w:val="22"/>
          <w:szCs w:val="22"/>
          <w:lang w:eastAsia="lt-LT"/>
        </w:rPr>
      </w:pPr>
      <w:r w:rsidRPr="00BF5A7F">
        <w:rPr>
          <w:b/>
          <w:sz w:val="22"/>
          <w:szCs w:val="22"/>
          <w:lang w:eastAsia="lt-LT"/>
        </w:rPr>
        <w:t>3.</w:t>
      </w:r>
      <w:r w:rsidRPr="00BF5A7F">
        <w:rPr>
          <w:b/>
          <w:sz w:val="22"/>
          <w:szCs w:val="22"/>
          <w:lang w:eastAsia="lt-LT"/>
        </w:rPr>
        <w:tab/>
        <w:t>Kaip vartoti Loratin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Visada vartokite šį vaistą tiksliai kaip nurodė gydytojas. Jeigu abejojate, kreipkitės į gydytoją arba vaistininką.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iCs/>
          <w:sz w:val="22"/>
          <w:szCs w:val="22"/>
          <w:lang w:eastAsia="lt-LT"/>
        </w:rPr>
      </w:pPr>
      <w:r>
        <w:rPr>
          <w:iCs/>
          <w:sz w:val="22"/>
          <w:szCs w:val="22"/>
          <w:lang w:eastAsia="lt-LT"/>
        </w:rPr>
        <w:t>Rekomenduojama</w:t>
      </w:r>
      <w:r w:rsidRPr="00BF5A7F">
        <w:rPr>
          <w:iCs/>
          <w:sz w:val="22"/>
          <w:szCs w:val="22"/>
          <w:lang w:eastAsia="lt-LT"/>
        </w:rPr>
        <w:t xml:space="preserve"> dozė yra: </w:t>
      </w:r>
    </w:p>
    <w:p w:rsidR="00156D94" w:rsidRPr="00747C5A" w:rsidRDefault="00156D94" w:rsidP="00156D94">
      <w:pPr>
        <w:contextualSpacing/>
        <w:outlineLvl w:val="8"/>
        <w:rPr>
          <w:bCs/>
          <w:iCs/>
          <w:sz w:val="22"/>
          <w:szCs w:val="22"/>
          <w:lang w:eastAsia="lt-LT"/>
        </w:rPr>
      </w:pPr>
      <w:r w:rsidRPr="00747C5A">
        <w:rPr>
          <w:bCs/>
          <w:iCs/>
          <w:sz w:val="22"/>
          <w:szCs w:val="22"/>
          <w:lang w:eastAsia="lt-LT"/>
        </w:rPr>
        <w:t xml:space="preserve">Suaugusiesiems ir vaikams, vyresniems negu 12 metų </w:t>
      </w:r>
    </w:p>
    <w:p w:rsidR="00156D94" w:rsidRPr="00BF5A7F" w:rsidRDefault="00156D94" w:rsidP="00156D94">
      <w:pPr>
        <w:pStyle w:val="Sraopastraipa"/>
        <w:numPr>
          <w:ilvl w:val="0"/>
          <w:numId w:val="4"/>
        </w:numPr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1</w:t>
      </w:r>
      <w:r>
        <w:rPr>
          <w:sz w:val="22"/>
          <w:szCs w:val="22"/>
          <w:lang w:eastAsia="lt-LT"/>
        </w:rPr>
        <w:t> </w:t>
      </w:r>
      <w:r w:rsidRPr="00BF5A7F">
        <w:rPr>
          <w:sz w:val="22"/>
          <w:szCs w:val="22"/>
          <w:lang w:eastAsia="lt-LT"/>
        </w:rPr>
        <w:t>tabletė per dieną.</w:t>
      </w:r>
    </w:p>
    <w:p w:rsidR="00156D94" w:rsidRDefault="00156D94" w:rsidP="00156D94">
      <w:pPr>
        <w:contextualSpacing/>
        <w:rPr>
          <w:b/>
          <w:sz w:val="22"/>
          <w:szCs w:val="22"/>
          <w:lang w:eastAsia="lt-LT"/>
        </w:rPr>
      </w:pPr>
    </w:p>
    <w:p w:rsidR="00156D94" w:rsidRPr="00747C5A" w:rsidRDefault="00156D94" w:rsidP="00156D94">
      <w:pPr>
        <w:contextualSpacing/>
        <w:rPr>
          <w:b/>
          <w:sz w:val="22"/>
          <w:szCs w:val="22"/>
          <w:lang w:eastAsia="lt-LT"/>
        </w:rPr>
      </w:pPr>
      <w:r w:rsidRPr="00747C5A">
        <w:rPr>
          <w:b/>
          <w:sz w:val="22"/>
          <w:szCs w:val="22"/>
          <w:lang w:eastAsia="lt-LT"/>
        </w:rPr>
        <w:t xml:space="preserve">Vartojimas vaikams </w:t>
      </w:r>
    </w:p>
    <w:p w:rsidR="00156D94" w:rsidRPr="00747C5A" w:rsidRDefault="00156D94" w:rsidP="00156D94">
      <w:pPr>
        <w:contextualSpacing/>
        <w:rPr>
          <w:iCs/>
          <w:sz w:val="22"/>
          <w:szCs w:val="22"/>
          <w:lang w:eastAsia="lt-LT"/>
        </w:rPr>
      </w:pPr>
      <w:r w:rsidRPr="00747C5A">
        <w:rPr>
          <w:iCs/>
          <w:sz w:val="22"/>
          <w:szCs w:val="22"/>
          <w:lang w:eastAsia="lt-LT"/>
        </w:rPr>
        <w:t xml:space="preserve">Vaikams nuo 2 iki 12 metų </w:t>
      </w:r>
    </w:p>
    <w:p w:rsidR="00156D94" w:rsidRPr="00BF5A7F" w:rsidRDefault="00156D94" w:rsidP="00156D94">
      <w:pPr>
        <w:pStyle w:val="Sraopastraipa"/>
        <w:numPr>
          <w:ilvl w:val="0"/>
          <w:numId w:val="4"/>
        </w:numPr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jei kūno svoris didesnis negu 30</w:t>
      </w:r>
      <w:r>
        <w:rPr>
          <w:sz w:val="22"/>
          <w:szCs w:val="22"/>
          <w:lang w:eastAsia="lt-LT"/>
        </w:rPr>
        <w:t> </w:t>
      </w:r>
      <w:r w:rsidRPr="00BF5A7F">
        <w:rPr>
          <w:sz w:val="22"/>
          <w:szCs w:val="22"/>
          <w:lang w:eastAsia="lt-LT"/>
        </w:rPr>
        <w:t>kg: 1</w:t>
      </w:r>
      <w:r>
        <w:rPr>
          <w:sz w:val="22"/>
          <w:szCs w:val="22"/>
          <w:lang w:eastAsia="lt-LT"/>
        </w:rPr>
        <w:t> </w:t>
      </w:r>
      <w:r w:rsidRPr="00BF5A7F">
        <w:rPr>
          <w:sz w:val="22"/>
          <w:szCs w:val="22"/>
          <w:lang w:eastAsia="lt-LT"/>
        </w:rPr>
        <w:t>tabletė per dieną.</w:t>
      </w:r>
    </w:p>
    <w:p w:rsidR="00156D94" w:rsidRPr="00BF5A7F" w:rsidRDefault="00156D94" w:rsidP="00156D94">
      <w:pPr>
        <w:pStyle w:val="Sraopastraipa"/>
        <w:numPr>
          <w:ilvl w:val="0"/>
          <w:numId w:val="4"/>
        </w:numPr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jei kūno svoris mažesnis negu 30</w:t>
      </w:r>
      <w:r>
        <w:rPr>
          <w:sz w:val="22"/>
          <w:szCs w:val="22"/>
          <w:lang w:eastAsia="lt-LT"/>
        </w:rPr>
        <w:t> </w:t>
      </w:r>
      <w:r w:rsidRPr="00BF5A7F">
        <w:rPr>
          <w:sz w:val="22"/>
          <w:szCs w:val="22"/>
          <w:lang w:eastAsia="lt-LT"/>
        </w:rPr>
        <w:t>kg: Loratin vartoti negalima.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747C5A" w:rsidRDefault="00156D94" w:rsidP="00156D94">
      <w:pPr>
        <w:contextualSpacing/>
        <w:rPr>
          <w:iCs/>
          <w:sz w:val="22"/>
          <w:szCs w:val="22"/>
          <w:lang w:eastAsia="lt-LT"/>
        </w:rPr>
      </w:pPr>
      <w:r w:rsidRPr="00747C5A">
        <w:rPr>
          <w:iCs/>
          <w:sz w:val="22"/>
          <w:szCs w:val="22"/>
          <w:lang w:eastAsia="lt-LT"/>
        </w:rPr>
        <w:t>Vaikams, jaunesniems nei 2 metų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Jaunesniems kaip 2</w:t>
      </w:r>
      <w:r>
        <w:rPr>
          <w:sz w:val="22"/>
          <w:szCs w:val="22"/>
          <w:lang w:eastAsia="lt-LT"/>
        </w:rPr>
        <w:t> </w:t>
      </w:r>
      <w:r w:rsidRPr="00BF5A7F">
        <w:rPr>
          <w:sz w:val="22"/>
          <w:szCs w:val="22"/>
          <w:lang w:eastAsia="lt-LT"/>
        </w:rPr>
        <w:t>metų vaikams Loratin saugumas ir veiksmingumas nenustatytas.</w:t>
      </w:r>
    </w:p>
    <w:p w:rsidR="00156D94" w:rsidRPr="00BF5A7F" w:rsidRDefault="00156D94" w:rsidP="00156D94">
      <w:pPr>
        <w:contextualSpacing/>
        <w:rPr>
          <w:sz w:val="22"/>
          <w:szCs w:val="22"/>
          <w:u w:val="single"/>
          <w:lang w:eastAsia="lt-LT"/>
        </w:rPr>
      </w:pPr>
    </w:p>
    <w:p w:rsidR="00156D94" w:rsidRPr="00BF5A7F" w:rsidRDefault="00156D94" w:rsidP="00156D94">
      <w:pPr>
        <w:contextualSpacing/>
        <w:rPr>
          <w:b/>
          <w:sz w:val="22"/>
          <w:szCs w:val="22"/>
          <w:lang w:eastAsia="lt-LT"/>
        </w:rPr>
      </w:pPr>
      <w:r w:rsidRPr="00747C5A">
        <w:rPr>
          <w:sz w:val="22"/>
          <w:szCs w:val="22"/>
          <w:lang w:eastAsia="lt-LT"/>
        </w:rPr>
        <w:t xml:space="preserve">Pacientams, kurių kepenų </w:t>
      </w:r>
      <w:r>
        <w:rPr>
          <w:sz w:val="22"/>
          <w:szCs w:val="22"/>
          <w:lang w:eastAsia="lt-LT"/>
        </w:rPr>
        <w:t>funkcij</w:t>
      </w:r>
      <w:r w:rsidRPr="00747C5A">
        <w:rPr>
          <w:sz w:val="22"/>
          <w:szCs w:val="22"/>
          <w:lang w:eastAsia="lt-LT"/>
        </w:rPr>
        <w:t>a sutrikusi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Jei ligonis serga sunkia kepenų liga, gydymo pradžioje rekomenduojama gerti vieną</w:t>
      </w:r>
      <w:r w:rsidRPr="00BF5A7F">
        <w:rPr>
          <w:caps/>
          <w:sz w:val="22"/>
          <w:szCs w:val="22"/>
          <w:lang w:eastAsia="lt-LT"/>
        </w:rPr>
        <w:t xml:space="preserve"> </w:t>
      </w:r>
      <w:r w:rsidRPr="00BF5A7F">
        <w:rPr>
          <w:sz w:val="22"/>
          <w:szCs w:val="22"/>
          <w:lang w:eastAsia="lt-LT"/>
        </w:rPr>
        <w:t>tabletę (10</w:t>
      </w:r>
      <w:r>
        <w:rPr>
          <w:sz w:val="22"/>
          <w:szCs w:val="22"/>
          <w:lang w:eastAsia="lt-LT"/>
        </w:rPr>
        <w:t> </w:t>
      </w:r>
      <w:r w:rsidRPr="00BF5A7F">
        <w:rPr>
          <w:sz w:val="22"/>
          <w:szCs w:val="22"/>
          <w:lang w:eastAsia="lt-LT"/>
        </w:rPr>
        <w:t xml:space="preserve">mg loratadino) kas antrą dieną. Vėliau dozę galima palaipsniui didinti. 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747C5A" w:rsidRDefault="00156D94" w:rsidP="00156D94">
      <w:pPr>
        <w:contextualSpacing/>
        <w:rPr>
          <w:sz w:val="22"/>
          <w:szCs w:val="22"/>
          <w:lang w:eastAsia="lt-LT"/>
        </w:rPr>
      </w:pPr>
      <w:r w:rsidRPr="00747C5A">
        <w:rPr>
          <w:sz w:val="22"/>
          <w:szCs w:val="22"/>
          <w:lang w:eastAsia="lt-LT"/>
        </w:rPr>
        <w:t xml:space="preserve">Senyviems pacientams ir pacientams, kurių inkstų </w:t>
      </w:r>
      <w:r>
        <w:rPr>
          <w:sz w:val="22"/>
          <w:szCs w:val="22"/>
          <w:lang w:eastAsia="lt-LT"/>
        </w:rPr>
        <w:t>funkcij</w:t>
      </w:r>
      <w:r w:rsidRPr="00747C5A">
        <w:rPr>
          <w:sz w:val="22"/>
          <w:szCs w:val="22"/>
          <w:lang w:eastAsia="lt-LT"/>
        </w:rPr>
        <w:t>a sutrikusi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Senyviems žmonėms ir pacientams, sergantiems inkstų veiklos nepakankamumu, dozės koreguoti nereikia. 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747C5A" w:rsidRDefault="00156D94" w:rsidP="00156D94">
      <w:pPr>
        <w:contextualSpacing/>
        <w:rPr>
          <w:sz w:val="22"/>
          <w:szCs w:val="22"/>
          <w:lang w:eastAsia="lt-LT"/>
        </w:rPr>
      </w:pPr>
      <w:r w:rsidRPr="00747C5A">
        <w:rPr>
          <w:sz w:val="22"/>
          <w:szCs w:val="22"/>
          <w:lang w:eastAsia="lt-LT"/>
        </w:rPr>
        <w:t>Vartojimo metodas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Tabletę reikia išgerti nekramtytą, užsigeriant trupučiu skysčio.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747C5A" w:rsidRDefault="00156D94" w:rsidP="00156D94">
      <w:pPr>
        <w:contextualSpacing/>
        <w:rPr>
          <w:sz w:val="22"/>
          <w:szCs w:val="22"/>
          <w:lang w:eastAsia="lt-LT"/>
        </w:rPr>
      </w:pPr>
      <w:r w:rsidRPr="00747C5A">
        <w:rPr>
          <w:sz w:val="22"/>
          <w:szCs w:val="22"/>
          <w:lang w:eastAsia="lt-LT"/>
        </w:rPr>
        <w:t>Gydymo trukmė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Gydymo trukmę nustato gydytojas. Paprastai vaisto vartojimo trukmė priklauso nuo ligos eigos ir neturėtų trukti ilgiau kaip 6</w:t>
      </w:r>
      <w:r>
        <w:rPr>
          <w:sz w:val="22"/>
          <w:szCs w:val="22"/>
          <w:lang w:eastAsia="lt-LT"/>
        </w:rPr>
        <w:t> </w:t>
      </w:r>
      <w:r w:rsidRPr="00BF5A7F">
        <w:rPr>
          <w:sz w:val="22"/>
          <w:szCs w:val="22"/>
          <w:lang w:eastAsia="lt-LT"/>
        </w:rPr>
        <w:t>mėnesius.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Kadangi ilgesnio gydymo patirtis nepakankama, dilgėlinę gydyti šiuo vaistu rekomenduojama ne ilgiau kaip 4</w:t>
      </w:r>
      <w:r>
        <w:rPr>
          <w:sz w:val="22"/>
          <w:szCs w:val="22"/>
          <w:lang w:eastAsia="lt-LT"/>
        </w:rPr>
        <w:t> </w:t>
      </w:r>
      <w:r w:rsidRPr="00BF5A7F">
        <w:rPr>
          <w:sz w:val="22"/>
          <w:szCs w:val="22"/>
          <w:lang w:eastAsia="lt-LT"/>
        </w:rPr>
        <w:t>savaites.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Vaikams nuo 2 iki 12</w:t>
      </w:r>
      <w:r>
        <w:rPr>
          <w:sz w:val="22"/>
          <w:szCs w:val="22"/>
          <w:lang w:eastAsia="lt-LT"/>
        </w:rPr>
        <w:t> </w:t>
      </w:r>
      <w:r w:rsidRPr="00BF5A7F">
        <w:rPr>
          <w:sz w:val="22"/>
          <w:szCs w:val="22"/>
          <w:lang w:eastAsia="lt-LT"/>
        </w:rPr>
        <w:t>metų vaisto galima vartoti ne ilgiau kaip 2</w:t>
      </w:r>
      <w:r>
        <w:rPr>
          <w:sz w:val="22"/>
          <w:szCs w:val="22"/>
          <w:lang w:eastAsia="lt-LT"/>
        </w:rPr>
        <w:t> </w:t>
      </w:r>
      <w:r w:rsidRPr="00BF5A7F">
        <w:rPr>
          <w:sz w:val="22"/>
          <w:szCs w:val="22"/>
          <w:lang w:eastAsia="lt-LT"/>
        </w:rPr>
        <w:t>savaites.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keepNext/>
        <w:contextualSpacing/>
        <w:outlineLvl w:val="2"/>
        <w:rPr>
          <w:b/>
          <w:sz w:val="22"/>
          <w:szCs w:val="22"/>
          <w:lang w:eastAsia="lt-LT"/>
        </w:rPr>
      </w:pPr>
      <w:r w:rsidRPr="00BF5A7F">
        <w:rPr>
          <w:b/>
          <w:sz w:val="22"/>
          <w:szCs w:val="22"/>
          <w:lang w:eastAsia="lt-LT"/>
        </w:rPr>
        <w:t>Ką daryti pavartojus per didelę Loratin dozę?</w:t>
      </w:r>
    </w:p>
    <w:p w:rsidR="00156D94" w:rsidRPr="00BF5A7F" w:rsidRDefault="00156D94" w:rsidP="00156D94">
      <w:pPr>
        <w:contextualSpacing/>
        <w:rPr>
          <w:iCs/>
          <w:sz w:val="22"/>
          <w:szCs w:val="22"/>
          <w:lang w:eastAsia="lt-LT"/>
        </w:rPr>
      </w:pPr>
      <w:r w:rsidRPr="00BF5A7F">
        <w:rPr>
          <w:iCs/>
          <w:sz w:val="22"/>
          <w:szCs w:val="22"/>
          <w:lang w:eastAsia="lt-LT"/>
        </w:rPr>
        <w:t>Jeigu išgėrėte per daug</w:t>
      </w:r>
      <w:r w:rsidRPr="00BF5A7F">
        <w:rPr>
          <w:sz w:val="22"/>
          <w:szCs w:val="22"/>
          <w:lang w:eastAsia="lt-LT"/>
        </w:rPr>
        <w:t xml:space="preserve"> Loratin tablečių</w:t>
      </w:r>
      <w:r w:rsidRPr="00BF5A7F">
        <w:rPr>
          <w:iCs/>
          <w:sz w:val="22"/>
          <w:szCs w:val="22"/>
          <w:lang w:eastAsia="lt-LT"/>
        </w:rPr>
        <w:t>, nedels</w:t>
      </w:r>
      <w:r>
        <w:rPr>
          <w:iCs/>
          <w:sz w:val="22"/>
          <w:szCs w:val="22"/>
          <w:lang w:eastAsia="lt-LT"/>
        </w:rPr>
        <w:t>dami</w:t>
      </w:r>
      <w:r w:rsidRPr="00BF5A7F">
        <w:rPr>
          <w:iCs/>
          <w:sz w:val="22"/>
          <w:szCs w:val="22"/>
          <w:lang w:eastAsia="lt-LT"/>
        </w:rPr>
        <w:t xml:space="preserve"> kreipkitės į gydytoją.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Perdozavus gali atsirasti labai didelis mieguistumas, galvos skausmas, padidėti širdies susitraukimų dažnis. 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keepNext/>
        <w:contextualSpacing/>
        <w:outlineLvl w:val="2"/>
        <w:rPr>
          <w:b/>
          <w:sz w:val="22"/>
          <w:szCs w:val="22"/>
          <w:lang w:eastAsia="lt-LT"/>
        </w:rPr>
      </w:pPr>
      <w:r w:rsidRPr="00BF5A7F">
        <w:rPr>
          <w:b/>
          <w:sz w:val="22"/>
          <w:szCs w:val="22"/>
          <w:lang w:eastAsia="lt-LT"/>
        </w:rPr>
        <w:t>Pamiršus pavartoti Loratin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Išgerkite praleistą dozę, kai tik prisiminsite. Toliau vaisto vartokite kaip įprasta. Negalima vartoti dvigubos dozės norint kompensuoti praleistą</w:t>
      </w:r>
      <w:r w:rsidRPr="00BF5A7F" w:rsidDel="00A02DD5">
        <w:rPr>
          <w:sz w:val="22"/>
          <w:szCs w:val="22"/>
          <w:lang w:eastAsia="lt-LT"/>
        </w:rPr>
        <w:t xml:space="preserve"> </w:t>
      </w:r>
      <w:r w:rsidRPr="00BF5A7F">
        <w:rPr>
          <w:sz w:val="22"/>
          <w:szCs w:val="22"/>
          <w:lang w:eastAsia="lt-LT"/>
        </w:rPr>
        <w:t>dozę.</w:t>
      </w:r>
    </w:p>
    <w:p w:rsidR="00156D94" w:rsidRPr="00BF5A7F" w:rsidRDefault="00156D94" w:rsidP="00156D94">
      <w:pPr>
        <w:keepNext/>
        <w:contextualSpacing/>
        <w:outlineLvl w:val="2"/>
        <w:rPr>
          <w:b/>
          <w:sz w:val="22"/>
          <w:szCs w:val="22"/>
          <w:lang w:eastAsia="lt-LT"/>
        </w:rPr>
      </w:pPr>
    </w:p>
    <w:p w:rsidR="00156D94" w:rsidRPr="00BF5A7F" w:rsidRDefault="00156D94" w:rsidP="00156D94">
      <w:pPr>
        <w:keepNext/>
        <w:contextualSpacing/>
        <w:outlineLvl w:val="2"/>
        <w:rPr>
          <w:b/>
          <w:sz w:val="22"/>
          <w:szCs w:val="22"/>
          <w:lang w:eastAsia="lt-LT"/>
        </w:rPr>
      </w:pPr>
      <w:r w:rsidRPr="00BF5A7F">
        <w:rPr>
          <w:b/>
          <w:sz w:val="22"/>
          <w:szCs w:val="22"/>
          <w:lang w:eastAsia="lt-LT"/>
        </w:rPr>
        <w:t>Nustojus vartoti Loratin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Prieš nutraukiant ar pertraukiant Loratin vartojimą pasitarkite su gydytoju, kadangi gali vėl atsirasti ligos simptomų.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lastRenderedPageBreak/>
        <w:t>Jeigu kiltų daugiau klausimų dėl šio vaisto vartojimo, kreipkitės į gydytoją arba vaistininką.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numPr>
          <w:ilvl w:val="12"/>
          <w:numId w:val="0"/>
        </w:numPr>
        <w:tabs>
          <w:tab w:val="left" w:pos="567"/>
        </w:tabs>
        <w:contextualSpacing/>
        <w:outlineLvl w:val="0"/>
        <w:rPr>
          <w:b/>
          <w:caps/>
          <w:sz w:val="22"/>
          <w:szCs w:val="22"/>
          <w:lang w:eastAsia="lt-LT"/>
        </w:rPr>
      </w:pPr>
      <w:r w:rsidRPr="00BF5A7F">
        <w:rPr>
          <w:b/>
          <w:caps/>
          <w:sz w:val="22"/>
          <w:szCs w:val="22"/>
          <w:lang w:eastAsia="lt-LT"/>
        </w:rPr>
        <w:t>4.</w:t>
      </w:r>
      <w:r w:rsidRPr="00BF5A7F">
        <w:rPr>
          <w:b/>
          <w:caps/>
          <w:sz w:val="22"/>
          <w:szCs w:val="22"/>
          <w:lang w:eastAsia="lt-LT"/>
        </w:rPr>
        <w:tab/>
      </w:r>
      <w:r w:rsidRPr="00BF5A7F">
        <w:rPr>
          <w:b/>
          <w:sz w:val="22"/>
          <w:szCs w:val="22"/>
          <w:lang w:eastAsia="lt-LT"/>
        </w:rPr>
        <w:t>Galimas šalutinis poveikis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Šis vaistas, kaip ir visi kiti, gali sukelti šalutinį poveikį, nors jis pasireiškia ne visiems žmonėms.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Šalutiniai poveikiai gali pasireikšti tokiu dažnumu: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i/>
          <w:sz w:val="22"/>
          <w:szCs w:val="22"/>
          <w:lang w:eastAsia="lt-LT"/>
        </w:rPr>
        <w:t>Dažnas šalutinis poveikis</w:t>
      </w:r>
      <w:r w:rsidRPr="00BF5A7F">
        <w:rPr>
          <w:sz w:val="22"/>
          <w:szCs w:val="22"/>
          <w:lang w:eastAsia="lt-LT"/>
        </w:rPr>
        <w:t xml:space="preserve"> (pasireiškia mažiau negu 1 iš 10 žmonių) </w:t>
      </w:r>
    </w:p>
    <w:p w:rsidR="00156D94" w:rsidRPr="00BF5A7F" w:rsidRDefault="00156D94" w:rsidP="00156D94">
      <w:pPr>
        <w:pStyle w:val="Sraopastraipa"/>
        <w:numPr>
          <w:ilvl w:val="0"/>
          <w:numId w:val="5"/>
        </w:numPr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nervingumas ir nuovargis vaikams, </w:t>
      </w:r>
    </w:p>
    <w:p w:rsidR="00156D94" w:rsidRPr="00BF5A7F" w:rsidRDefault="00156D94" w:rsidP="00156D94">
      <w:pPr>
        <w:pStyle w:val="Sraopastraipa"/>
        <w:numPr>
          <w:ilvl w:val="0"/>
          <w:numId w:val="5"/>
        </w:numPr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galvos skausmas.</w:t>
      </w:r>
    </w:p>
    <w:p w:rsidR="00156D94" w:rsidRPr="00BF5A7F" w:rsidRDefault="00156D94" w:rsidP="00156D94">
      <w:pPr>
        <w:contextualSpacing/>
        <w:rPr>
          <w:b/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i/>
          <w:sz w:val="22"/>
          <w:szCs w:val="22"/>
          <w:lang w:eastAsia="lt-LT"/>
        </w:rPr>
        <w:t>Nedažnas šalutinis poveikis</w:t>
      </w:r>
      <w:r w:rsidRPr="00BF5A7F">
        <w:rPr>
          <w:sz w:val="22"/>
          <w:szCs w:val="22"/>
          <w:lang w:eastAsia="lt-LT"/>
        </w:rPr>
        <w:t xml:space="preserve"> (pasireiškia mažiau negu 1 iš 100 žmonių) </w:t>
      </w:r>
    </w:p>
    <w:p w:rsidR="00156D94" w:rsidRPr="00BF5A7F" w:rsidRDefault="00156D94" w:rsidP="00156D94">
      <w:pPr>
        <w:pStyle w:val="Sraopastraipa"/>
        <w:numPr>
          <w:ilvl w:val="0"/>
          <w:numId w:val="6"/>
        </w:numPr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apetito padidėjimas, </w:t>
      </w:r>
    </w:p>
    <w:p w:rsidR="00156D94" w:rsidRPr="00BF5A7F" w:rsidRDefault="00156D94" w:rsidP="00156D94">
      <w:pPr>
        <w:pStyle w:val="Sraopastraipa"/>
        <w:numPr>
          <w:ilvl w:val="0"/>
          <w:numId w:val="6"/>
        </w:numPr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miego sutrikimai.</w:t>
      </w:r>
    </w:p>
    <w:p w:rsidR="00156D94" w:rsidRPr="00BF5A7F" w:rsidRDefault="00156D94" w:rsidP="00156D94">
      <w:pPr>
        <w:contextualSpacing/>
        <w:rPr>
          <w:b/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i/>
          <w:sz w:val="22"/>
          <w:szCs w:val="22"/>
          <w:lang w:eastAsia="lt-LT"/>
        </w:rPr>
        <w:t>Labai retas šalutinis poveikis</w:t>
      </w:r>
      <w:r w:rsidRPr="00BF5A7F">
        <w:rPr>
          <w:sz w:val="22"/>
          <w:szCs w:val="22"/>
          <w:lang w:eastAsia="lt-LT"/>
        </w:rPr>
        <w:t xml:space="preserve"> (pasireiškia mažiau negu 1 iš 10000 žmonių) </w:t>
      </w:r>
    </w:p>
    <w:p w:rsidR="00156D94" w:rsidRPr="00BF5A7F" w:rsidRDefault="00156D94" w:rsidP="00156D94">
      <w:pPr>
        <w:numPr>
          <w:ilvl w:val="0"/>
          <w:numId w:val="3"/>
        </w:num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Sunki alerginė reakcija, pasireiškianti staiga pasunkėjusiu kvėpavimu, labai stipriu galvos svaigimu ar kolapsu, veido ar gerklės pabrinkimu. </w:t>
      </w:r>
      <w:r w:rsidRPr="00BF5A7F">
        <w:rPr>
          <w:b/>
          <w:sz w:val="22"/>
          <w:szCs w:val="22"/>
          <w:lang w:eastAsia="lt-LT"/>
        </w:rPr>
        <w:t>Jeigu Jums atsiranda bet kuris minėtas simptomas, nedels</w:t>
      </w:r>
      <w:r>
        <w:rPr>
          <w:b/>
          <w:sz w:val="22"/>
          <w:szCs w:val="22"/>
          <w:lang w:eastAsia="lt-LT"/>
        </w:rPr>
        <w:t>dami</w:t>
      </w:r>
      <w:r w:rsidRPr="00BF5A7F">
        <w:rPr>
          <w:b/>
          <w:sz w:val="22"/>
          <w:szCs w:val="22"/>
          <w:lang w:eastAsia="lt-LT"/>
        </w:rPr>
        <w:t xml:space="preserve"> kreipkitės į savo gydytoją ar greitąją medicinos pagalbą</w:t>
      </w:r>
      <w:r w:rsidRPr="00747C5A">
        <w:rPr>
          <w:b/>
          <w:sz w:val="22"/>
          <w:szCs w:val="22"/>
          <w:lang w:eastAsia="lt-LT"/>
        </w:rPr>
        <w:t>.</w:t>
      </w:r>
    </w:p>
    <w:p w:rsidR="00156D94" w:rsidRPr="00BF5A7F" w:rsidRDefault="00156D94" w:rsidP="00156D94">
      <w:pPr>
        <w:numPr>
          <w:ilvl w:val="0"/>
          <w:numId w:val="3"/>
        </w:num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galvos svaigimas, </w:t>
      </w:r>
    </w:p>
    <w:p w:rsidR="00156D94" w:rsidRPr="00BF5A7F" w:rsidRDefault="00156D94" w:rsidP="00156D94">
      <w:pPr>
        <w:numPr>
          <w:ilvl w:val="0"/>
          <w:numId w:val="3"/>
        </w:num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širdies plakimo padažnėjimas, </w:t>
      </w:r>
    </w:p>
    <w:p w:rsidR="00156D94" w:rsidRPr="00BF5A7F" w:rsidRDefault="00156D94" w:rsidP="00156D94">
      <w:pPr>
        <w:numPr>
          <w:ilvl w:val="0"/>
          <w:numId w:val="3"/>
        </w:num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smarkaus širdies plakimo pojūtis, </w:t>
      </w:r>
    </w:p>
    <w:p w:rsidR="00156D94" w:rsidRPr="00BF5A7F" w:rsidRDefault="00156D94" w:rsidP="00156D94">
      <w:pPr>
        <w:numPr>
          <w:ilvl w:val="0"/>
          <w:numId w:val="3"/>
        </w:num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pykinimas,</w:t>
      </w:r>
    </w:p>
    <w:p w:rsidR="00156D94" w:rsidRPr="00BF5A7F" w:rsidRDefault="00156D94" w:rsidP="00156D94">
      <w:pPr>
        <w:numPr>
          <w:ilvl w:val="0"/>
          <w:numId w:val="3"/>
        </w:num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burnos džiūvimas, </w:t>
      </w:r>
    </w:p>
    <w:p w:rsidR="00156D94" w:rsidRPr="00BF5A7F" w:rsidRDefault="00156D94" w:rsidP="00156D94">
      <w:pPr>
        <w:numPr>
          <w:ilvl w:val="0"/>
          <w:numId w:val="3"/>
        </w:num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skrandžio gleivinės uždegimas, </w:t>
      </w:r>
    </w:p>
    <w:p w:rsidR="00156D94" w:rsidRPr="00BF5A7F" w:rsidRDefault="00156D94" w:rsidP="00156D94">
      <w:pPr>
        <w:numPr>
          <w:ilvl w:val="0"/>
          <w:numId w:val="3"/>
        </w:num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nenormali kepenų funkcija, </w:t>
      </w:r>
    </w:p>
    <w:p w:rsidR="00156D94" w:rsidRPr="00BF5A7F" w:rsidRDefault="00156D94" w:rsidP="00156D94">
      <w:pPr>
        <w:numPr>
          <w:ilvl w:val="0"/>
          <w:numId w:val="3"/>
        </w:num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išbėrimas, </w:t>
      </w:r>
    </w:p>
    <w:p w:rsidR="00156D94" w:rsidRPr="00BF5A7F" w:rsidRDefault="00156D94" w:rsidP="00156D94">
      <w:pPr>
        <w:numPr>
          <w:ilvl w:val="0"/>
          <w:numId w:val="3"/>
        </w:num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plaukų slinkimas, </w:t>
      </w:r>
    </w:p>
    <w:p w:rsidR="00156D94" w:rsidRPr="00BF5A7F" w:rsidRDefault="00156D94" w:rsidP="00156D94">
      <w:pPr>
        <w:numPr>
          <w:ilvl w:val="0"/>
          <w:numId w:val="3"/>
        </w:num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traukuliai, </w:t>
      </w:r>
    </w:p>
    <w:p w:rsidR="00156D94" w:rsidRPr="00BF5A7F" w:rsidRDefault="00156D94" w:rsidP="00156D94">
      <w:pPr>
        <w:numPr>
          <w:ilvl w:val="0"/>
          <w:numId w:val="3"/>
        </w:num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nuovargis. 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747C5A">
        <w:rPr>
          <w:i/>
          <w:sz w:val="22"/>
          <w:szCs w:val="22"/>
          <w:lang w:eastAsia="lt-LT"/>
        </w:rPr>
        <w:t>Šalutinis poveikis, kurio dažnis nežinomas</w:t>
      </w:r>
      <w:r w:rsidRPr="00BF5A7F">
        <w:rPr>
          <w:sz w:val="22"/>
          <w:szCs w:val="22"/>
          <w:lang w:eastAsia="lt-LT"/>
        </w:rPr>
        <w:t xml:space="preserve"> (negali būti apskaičiuotas pagal turimus duomenis)</w:t>
      </w:r>
    </w:p>
    <w:p w:rsidR="00156D94" w:rsidRDefault="00156D94" w:rsidP="00156D94">
      <w:pPr>
        <w:numPr>
          <w:ilvl w:val="0"/>
          <w:numId w:val="3"/>
        </w:num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padidėjęs kūno svoris.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tabs>
          <w:tab w:val="left" w:pos="567"/>
        </w:tabs>
        <w:contextualSpacing/>
        <w:rPr>
          <w:b/>
          <w:snapToGrid w:val="0"/>
          <w:sz w:val="22"/>
          <w:szCs w:val="22"/>
        </w:rPr>
      </w:pPr>
      <w:r w:rsidRPr="00BF5A7F">
        <w:rPr>
          <w:b/>
          <w:snapToGrid w:val="0"/>
          <w:sz w:val="22"/>
          <w:szCs w:val="22"/>
        </w:rPr>
        <w:t>Pranešimas apie šalutinį poveikį</w:t>
      </w:r>
    </w:p>
    <w:p w:rsidR="00156D94" w:rsidRPr="00BF5A7F" w:rsidRDefault="00156D94" w:rsidP="00156D94">
      <w:pPr>
        <w:tabs>
          <w:tab w:val="left" w:pos="567"/>
        </w:tabs>
        <w:ind w:right="-449"/>
        <w:contextualSpacing/>
        <w:rPr>
          <w:snapToGrid w:val="0"/>
          <w:sz w:val="22"/>
          <w:szCs w:val="22"/>
        </w:rPr>
      </w:pPr>
      <w:r w:rsidRPr="00BF5A7F">
        <w:rPr>
          <w:snapToGrid w:val="0"/>
          <w:sz w:val="22"/>
          <w:szCs w:val="22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BF5A7F">
        <w:rPr>
          <w:snapToGrid w:val="0"/>
          <w:sz w:val="22"/>
          <w:szCs w:val="22"/>
          <w:lang w:eastAsia="zh-CN"/>
        </w:rPr>
        <w:t>elefonu 8 800 73568</w:t>
      </w:r>
      <w:r w:rsidRPr="00BF5A7F">
        <w:rPr>
          <w:snapToGrid w:val="0"/>
          <w:sz w:val="22"/>
          <w:szCs w:val="22"/>
        </w:rPr>
        <w:t xml:space="preserve"> arba užpildyti interneto svetainėje </w:t>
      </w:r>
      <w:hyperlink r:id="rId6" w:history="1">
        <w:r w:rsidRPr="00BF5A7F">
          <w:rPr>
            <w:rFonts w:eastAsia="SimSun"/>
            <w:snapToGrid w:val="0"/>
            <w:color w:val="0000FF"/>
            <w:sz w:val="22"/>
            <w:szCs w:val="22"/>
            <w:u w:val="single"/>
          </w:rPr>
          <w:t>www.vvkt.lt</w:t>
        </w:r>
      </w:hyperlink>
      <w:r w:rsidRPr="00BF5A7F">
        <w:rPr>
          <w:snapToGrid w:val="0"/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BF5A7F">
        <w:rPr>
          <w:snapToGrid w:val="0"/>
          <w:sz w:val="22"/>
          <w:szCs w:val="22"/>
          <w:lang w:eastAsia="zh-CN"/>
        </w:rPr>
        <w:t xml:space="preserve">nemokamu </w:t>
      </w:r>
      <w:r w:rsidRPr="00BF5A7F">
        <w:rPr>
          <w:snapToGrid w:val="0"/>
          <w:sz w:val="22"/>
          <w:szCs w:val="22"/>
        </w:rPr>
        <w:t>fakso numeriu 8 800 20131</w:t>
      </w:r>
      <w:r w:rsidRPr="00BF5A7F">
        <w:rPr>
          <w:snapToGrid w:val="0"/>
          <w:sz w:val="22"/>
          <w:szCs w:val="22"/>
          <w:lang w:eastAsia="zh-CN"/>
        </w:rPr>
        <w:t xml:space="preserve">, </w:t>
      </w:r>
      <w:r w:rsidRPr="00BF5A7F">
        <w:rPr>
          <w:snapToGrid w:val="0"/>
          <w:sz w:val="22"/>
          <w:szCs w:val="22"/>
        </w:rPr>
        <w:t xml:space="preserve">el. paštu </w:t>
      </w:r>
      <w:hyperlink r:id="rId7" w:history="1">
        <w:r w:rsidRPr="00BF5A7F">
          <w:rPr>
            <w:rFonts w:eastAsia="SimSun"/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BF5A7F">
        <w:rPr>
          <w:snapToGrid w:val="0"/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BF5A7F">
          <w:rPr>
            <w:rFonts w:eastAsia="SimSun"/>
            <w:snapToGrid w:val="0"/>
            <w:color w:val="0000FF"/>
            <w:sz w:val="22"/>
            <w:szCs w:val="22"/>
            <w:u w:val="single"/>
          </w:rPr>
          <w:t>http://www.vvkt.lt</w:t>
        </w:r>
      </w:hyperlink>
      <w:r w:rsidRPr="00BF5A7F">
        <w:rPr>
          <w:snapToGrid w:val="0"/>
          <w:sz w:val="22"/>
          <w:szCs w:val="22"/>
        </w:rPr>
        <w:t>). Pranešdami apie šalutinį poveikį galite mums padėti gauti daugiau informacijos apie šio vaisto saugumą.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numPr>
          <w:ilvl w:val="12"/>
          <w:numId w:val="0"/>
        </w:numPr>
        <w:tabs>
          <w:tab w:val="left" w:pos="567"/>
        </w:tabs>
        <w:contextualSpacing/>
        <w:outlineLvl w:val="0"/>
        <w:rPr>
          <w:b/>
          <w:caps/>
          <w:sz w:val="22"/>
          <w:szCs w:val="22"/>
          <w:lang w:eastAsia="lt-LT"/>
        </w:rPr>
      </w:pPr>
      <w:r w:rsidRPr="00BF5A7F">
        <w:rPr>
          <w:b/>
          <w:caps/>
          <w:sz w:val="22"/>
          <w:szCs w:val="22"/>
          <w:lang w:eastAsia="lt-LT"/>
        </w:rPr>
        <w:t>5.</w:t>
      </w:r>
      <w:r w:rsidRPr="00BF5A7F">
        <w:rPr>
          <w:b/>
          <w:caps/>
          <w:sz w:val="22"/>
          <w:szCs w:val="22"/>
          <w:lang w:eastAsia="lt-LT"/>
        </w:rPr>
        <w:tab/>
      </w:r>
      <w:r w:rsidRPr="00BF5A7F">
        <w:rPr>
          <w:b/>
          <w:sz w:val="22"/>
          <w:szCs w:val="22"/>
          <w:lang w:eastAsia="lt-LT"/>
        </w:rPr>
        <w:t>Kaip laikyti Loratin</w:t>
      </w:r>
    </w:p>
    <w:p w:rsidR="00156D94" w:rsidRPr="00BF5A7F" w:rsidRDefault="00156D94" w:rsidP="00156D94">
      <w:pPr>
        <w:numPr>
          <w:ilvl w:val="12"/>
          <w:numId w:val="0"/>
        </w:numPr>
        <w:contextualSpacing/>
        <w:outlineLvl w:val="0"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</w:rPr>
      </w:pPr>
      <w:r w:rsidRPr="00BF5A7F">
        <w:rPr>
          <w:sz w:val="22"/>
          <w:szCs w:val="22"/>
        </w:rPr>
        <w:t>Šį vaistą laikykite vaikams nepastebimoje ir nepasiekiamoje vietoje.</w:t>
      </w:r>
    </w:p>
    <w:p w:rsidR="00156D94" w:rsidRDefault="00156D94" w:rsidP="00156D94">
      <w:pPr>
        <w:contextualSpacing/>
        <w:rPr>
          <w:sz w:val="22"/>
          <w:szCs w:val="22"/>
        </w:rPr>
      </w:pPr>
    </w:p>
    <w:p w:rsidR="00156D94" w:rsidRPr="00BF5A7F" w:rsidRDefault="00156D94" w:rsidP="00156D94">
      <w:pPr>
        <w:contextualSpacing/>
        <w:rPr>
          <w:sz w:val="22"/>
          <w:szCs w:val="22"/>
        </w:rPr>
      </w:pPr>
      <w:r w:rsidRPr="00BF5A7F">
        <w:rPr>
          <w:sz w:val="22"/>
          <w:szCs w:val="22"/>
        </w:rPr>
        <w:t>Ant  dėžutės po „</w:t>
      </w:r>
      <w:r>
        <w:rPr>
          <w:sz w:val="22"/>
          <w:szCs w:val="22"/>
        </w:rPr>
        <w:t>EXP</w:t>
      </w:r>
      <w:r w:rsidRPr="00BF5A7F">
        <w:rPr>
          <w:sz w:val="22"/>
          <w:szCs w:val="22"/>
        </w:rPr>
        <w:t>“ ir lizdinės plokštelės nurodytam tinkamumo laikui pasibaigus, šio vaisto vartoti negalima. Vaistas tink</w:t>
      </w:r>
      <w:r>
        <w:rPr>
          <w:sz w:val="22"/>
          <w:szCs w:val="22"/>
        </w:rPr>
        <w:t>a</w:t>
      </w:r>
      <w:r w:rsidRPr="00BF5A7F">
        <w:rPr>
          <w:sz w:val="22"/>
          <w:szCs w:val="22"/>
        </w:rPr>
        <w:t>mas vartoti iki paskutinės nurodyto mėnesio dienos.</w:t>
      </w:r>
    </w:p>
    <w:p w:rsidR="00156D94" w:rsidRPr="00BF5A7F" w:rsidRDefault="00156D94" w:rsidP="00156D94">
      <w:pPr>
        <w:contextualSpacing/>
        <w:rPr>
          <w:sz w:val="22"/>
          <w:szCs w:val="22"/>
        </w:rPr>
      </w:pPr>
    </w:p>
    <w:p w:rsidR="00156D94" w:rsidRPr="00BF5A7F" w:rsidRDefault="00156D94" w:rsidP="00156D94">
      <w:pPr>
        <w:contextualSpacing/>
        <w:rPr>
          <w:sz w:val="22"/>
          <w:szCs w:val="22"/>
        </w:rPr>
      </w:pPr>
      <w:r w:rsidRPr="00BF5A7F">
        <w:rPr>
          <w:sz w:val="22"/>
          <w:szCs w:val="22"/>
        </w:rPr>
        <w:t>Šiam vaistui specialių laikymo sąlygų nereikia.</w:t>
      </w:r>
    </w:p>
    <w:p w:rsidR="00156D94" w:rsidRPr="00BF5A7F" w:rsidRDefault="00156D94" w:rsidP="00156D94">
      <w:pPr>
        <w:contextualSpacing/>
        <w:rPr>
          <w:sz w:val="22"/>
          <w:szCs w:val="22"/>
        </w:rPr>
      </w:pPr>
    </w:p>
    <w:p w:rsidR="00156D94" w:rsidRPr="00BF5A7F" w:rsidRDefault="00156D94" w:rsidP="00156D94">
      <w:pPr>
        <w:contextualSpacing/>
        <w:rPr>
          <w:sz w:val="22"/>
          <w:szCs w:val="22"/>
        </w:rPr>
      </w:pPr>
      <w:r w:rsidRPr="00BF5A7F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156D94" w:rsidRPr="00BF5A7F" w:rsidRDefault="00156D94" w:rsidP="00156D94">
      <w:pPr>
        <w:contextualSpacing/>
        <w:rPr>
          <w:sz w:val="22"/>
          <w:szCs w:val="22"/>
        </w:rPr>
      </w:pPr>
    </w:p>
    <w:p w:rsidR="00156D94" w:rsidRPr="00BF5A7F" w:rsidRDefault="00156D94" w:rsidP="00156D94">
      <w:pPr>
        <w:contextualSpacing/>
        <w:rPr>
          <w:sz w:val="22"/>
          <w:szCs w:val="22"/>
        </w:rPr>
      </w:pPr>
    </w:p>
    <w:p w:rsidR="00156D94" w:rsidRPr="00BF5A7F" w:rsidRDefault="00156D94" w:rsidP="00156D94">
      <w:pPr>
        <w:keepNext/>
        <w:tabs>
          <w:tab w:val="left" w:pos="567"/>
        </w:tabs>
        <w:ind w:left="567" w:hanging="567"/>
        <w:contextualSpacing/>
        <w:outlineLvl w:val="1"/>
        <w:rPr>
          <w:b/>
          <w:sz w:val="22"/>
          <w:szCs w:val="22"/>
        </w:rPr>
      </w:pPr>
      <w:bookmarkStart w:id="3" w:name="_Toc129243269"/>
      <w:bookmarkStart w:id="4" w:name="_Toc129243144"/>
      <w:r w:rsidRPr="00BF5A7F">
        <w:rPr>
          <w:b/>
          <w:sz w:val="22"/>
          <w:szCs w:val="22"/>
        </w:rPr>
        <w:t>6.</w:t>
      </w:r>
      <w:r w:rsidRPr="00BF5A7F">
        <w:rPr>
          <w:b/>
          <w:sz w:val="22"/>
          <w:szCs w:val="22"/>
        </w:rPr>
        <w:tab/>
        <w:t>Pakuotės turinys ir kita informacija</w:t>
      </w:r>
      <w:bookmarkEnd w:id="3"/>
      <w:bookmarkEnd w:id="4"/>
    </w:p>
    <w:p w:rsidR="00156D94" w:rsidRPr="00BF5A7F" w:rsidRDefault="00156D94" w:rsidP="00156D94">
      <w:pPr>
        <w:contextualSpacing/>
        <w:rPr>
          <w:sz w:val="22"/>
          <w:szCs w:val="22"/>
        </w:rPr>
      </w:pPr>
    </w:p>
    <w:p w:rsidR="00156D94" w:rsidRPr="00BF5A7F" w:rsidRDefault="00156D94" w:rsidP="00156D94">
      <w:pPr>
        <w:contextualSpacing/>
        <w:rPr>
          <w:b/>
          <w:bCs/>
          <w:sz w:val="22"/>
          <w:szCs w:val="22"/>
        </w:rPr>
      </w:pPr>
      <w:r w:rsidRPr="00BF5A7F">
        <w:rPr>
          <w:b/>
          <w:bCs/>
          <w:sz w:val="22"/>
          <w:szCs w:val="22"/>
        </w:rPr>
        <w:t>Loratin sudėtis</w:t>
      </w:r>
    </w:p>
    <w:p w:rsidR="00156D94" w:rsidRPr="00BF5A7F" w:rsidRDefault="00156D94" w:rsidP="00156D94">
      <w:pPr>
        <w:ind w:left="567" w:hanging="567"/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-</w:t>
      </w:r>
      <w:r w:rsidRPr="00BF5A7F">
        <w:rPr>
          <w:sz w:val="22"/>
          <w:szCs w:val="22"/>
          <w:lang w:eastAsia="lt-LT"/>
        </w:rPr>
        <w:tab/>
        <w:t>Veiklioji medžiaga yra loratadinas. Vienoje tabletėje yra 10</w:t>
      </w:r>
      <w:r>
        <w:rPr>
          <w:sz w:val="22"/>
          <w:szCs w:val="22"/>
          <w:lang w:eastAsia="lt-LT"/>
        </w:rPr>
        <w:t> </w:t>
      </w:r>
      <w:r w:rsidRPr="00BF5A7F">
        <w:rPr>
          <w:sz w:val="22"/>
          <w:szCs w:val="22"/>
          <w:lang w:eastAsia="lt-LT"/>
        </w:rPr>
        <w:t>mg loratadino.</w:t>
      </w:r>
    </w:p>
    <w:p w:rsidR="00156D94" w:rsidRPr="00BF5A7F" w:rsidRDefault="00156D94" w:rsidP="00156D94">
      <w:pPr>
        <w:ind w:left="567" w:hanging="567"/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-</w:t>
      </w:r>
      <w:r w:rsidRPr="00BF5A7F">
        <w:rPr>
          <w:sz w:val="22"/>
          <w:szCs w:val="22"/>
          <w:lang w:eastAsia="lt-LT"/>
        </w:rPr>
        <w:tab/>
        <w:t>Pagalbinės medžiagos yra laktozė monohidratas, magnio stearatas, kukurūzų krakmolas, bevandenis koloidinis silicio dioksidas.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b/>
          <w:sz w:val="22"/>
          <w:szCs w:val="22"/>
          <w:lang w:eastAsia="lt-LT"/>
        </w:rPr>
      </w:pPr>
      <w:r w:rsidRPr="00BF5A7F">
        <w:rPr>
          <w:b/>
          <w:sz w:val="22"/>
          <w:szCs w:val="22"/>
          <w:lang w:eastAsia="lt-LT"/>
        </w:rPr>
        <w:t>Loratin išvaizda ir kiekis pakuotėje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Tabletė yra balta, elipsinė, su įranta ir įspaudu „LT</w:t>
      </w:r>
      <w:r>
        <w:rPr>
          <w:sz w:val="22"/>
          <w:szCs w:val="22"/>
          <w:lang w:eastAsia="lt-LT"/>
        </w:rPr>
        <w:t> </w:t>
      </w:r>
      <w:r w:rsidRPr="00BF5A7F">
        <w:rPr>
          <w:sz w:val="22"/>
          <w:szCs w:val="22"/>
          <w:lang w:eastAsia="lt-LT"/>
        </w:rPr>
        <w:t>10“.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Tabletę galima padalyti į lygias dozes.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Kartono dėžutė, kurioje yra 30 tablečių, supakuotų aliuminio/polivinilchlorido lizdinėse plokštelėse po 10 tablečių ir pakuotės lapelis.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b/>
          <w:bCs/>
          <w:sz w:val="22"/>
          <w:szCs w:val="22"/>
        </w:rPr>
      </w:pPr>
      <w:r w:rsidRPr="00BF5A7F">
        <w:rPr>
          <w:b/>
          <w:bCs/>
          <w:sz w:val="22"/>
          <w:szCs w:val="22"/>
        </w:rPr>
        <w:t xml:space="preserve">Registruotojas </w:t>
      </w:r>
    </w:p>
    <w:p w:rsidR="00156D94" w:rsidRPr="00BF5A7F" w:rsidRDefault="00156D94" w:rsidP="00156D94">
      <w:pPr>
        <w:contextualSpacing/>
        <w:rPr>
          <w:b/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HEXAL AG</w:t>
      </w:r>
    </w:p>
    <w:p w:rsidR="00156D94" w:rsidRPr="00BF5A7F" w:rsidRDefault="00156D94" w:rsidP="00156D94">
      <w:pPr>
        <w:tabs>
          <w:tab w:val="center" w:pos="4819"/>
          <w:tab w:val="right" w:pos="9071"/>
        </w:tabs>
        <w:contextualSpacing/>
        <w:rPr>
          <w:sz w:val="22"/>
          <w:szCs w:val="22"/>
          <w:lang w:eastAsia="en-GB"/>
        </w:rPr>
      </w:pPr>
      <w:r w:rsidRPr="00BF5A7F">
        <w:rPr>
          <w:sz w:val="22"/>
          <w:szCs w:val="22"/>
          <w:lang w:eastAsia="en-GB"/>
        </w:rPr>
        <w:t>Industriestraße 25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83607 Holzkirchen, Vokietija </w:t>
      </w:r>
    </w:p>
    <w:p w:rsidR="00156D94" w:rsidRPr="00BF5A7F" w:rsidRDefault="00156D94" w:rsidP="00156D94">
      <w:pPr>
        <w:contextualSpacing/>
        <w:rPr>
          <w:b/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b/>
          <w:bCs/>
          <w:sz w:val="22"/>
          <w:szCs w:val="22"/>
          <w:lang w:eastAsia="lt-LT"/>
        </w:rPr>
      </w:pPr>
      <w:r w:rsidRPr="00BF5A7F">
        <w:rPr>
          <w:b/>
          <w:bCs/>
          <w:sz w:val="22"/>
          <w:szCs w:val="22"/>
          <w:lang w:eastAsia="lt-LT"/>
        </w:rPr>
        <w:t>Gamintoja</w:t>
      </w:r>
      <w:r>
        <w:rPr>
          <w:b/>
          <w:bCs/>
          <w:sz w:val="22"/>
          <w:szCs w:val="22"/>
          <w:lang w:eastAsia="lt-LT"/>
        </w:rPr>
        <w:t>s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Salutas Pharma GmbH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Otto-von-Guericke Allee 1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39179 Barleben, Vokietija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arba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LEK S.A.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 xml:space="preserve">Ul. Domaniewska 50 C 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02-672 Warszawa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  <w:r w:rsidRPr="00BF5A7F">
        <w:rPr>
          <w:sz w:val="22"/>
          <w:szCs w:val="22"/>
          <w:lang w:eastAsia="lt-LT"/>
        </w:rPr>
        <w:t>Lenkija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Pr="00BF5A7F" w:rsidRDefault="00156D94" w:rsidP="00156D94">
      <w:pPr>
        <w:contextualSpacing/>
        <w:rPr>
          <w:sz w:val="22"/>
          <w:szCs w:val="22"/>
        </w:rPr>
      </w:pPr>
      <w:r w:rsidRPr="00BF5A7F">
        <w:rPr>
          <w:sz w:val="22"/>
          <w:szCs w:val="22"/>
        </w:rPr>
        <w:t>Jeigu apie šį vaistą norite sužinoti daugiau, kreipkitės į vietinį registruotojo atstovą.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156D94" w:rsidRPr="00BF5A7F" w:rsidTr="00893DE7">
        <w:trPr>
          <w:trHeight w:val="2061"/>
        </w:trPr>
        <w:tc>
          <w:tcPr>
            <w:tcW w:w="4678" w:type="dxa"/>
            <w:hideMark/>
          </w:tcPr>
          <w:p w:rsidR="00156D94" w:rsidRPr="00BF5A7F" w:rsidRDefault="00156D94" w:rsidP="00893DE7">
            <w:pPr>
              <w:contextualSpacing/>
              <w:rPr>
                <w:sz w:val="22"/>
                <w:szCs w:val="22"/>
                <w:lang w:eastAsia="lt-LT"/>
              </w:rPr>
            </w:pPr>
            <w:r w:rsidRPr="00BF5A7F">
              <w:rPr>
                <w:sz w:val="22"/>
                <w:szCs w:val="22"/>
                <w:lang w:eastAsia="lt-LT"/>
              </w:rPr>
              <w:t>Sandoz Pharmaceuticals d.d. filialas</w:t>
            </w:r>
          </w:p>
          <w:p w:rsidR="00156D94" w:rsidRPr="00BF5A7F" w:rsidRDefault="00156D94" w:rsidP="00893DE7">
            <w:pPr>
              <w:contextualSpacing/>
              <w:rPr>
                <w:sz w:val="22"/>
                <w:szCs w:val="22"/>
                <w:lang w:eastAsia="lt-LT"/>
              </w:rPr>
            </w:pPr>
            <w:r w:rsidRPr="00BF5A7F">
              <w:rPr>
                <w:sz w:val="22"/>
                <w:szCs w:val="22"/>
                <w:lang w:eastAsia="lt-LT"/>
              </w:rPr>
              <w:t>Šeimyniškių 3A,</w:t>
            </w:r>
          </w:p>
          <w:p w:rsidR="00156D94" w:rsidRPr="00BF5A7F" w:rsidRDefault="00156D94" w:rsidP="00893DE7">
            <w:pPr>
              <w:contextualSpacing/>
              <w:rPr>
                <w:sz w:val="22"/>
                <w:szCs w:val="22"/>
                <w:lang w:eastAsia="lt-LT"/>
              </w:rPr>
            </w:pPr>
            <w:r w:rsidRPr="00BF5A7F">
              <w:rPr>
                <w:sz w:val="22"/>
                <w:szCs w:val="22"/>
                <w:lang w:eastAsia="lt-LT"/>
              </w:rPr>
              <w:t xml:space="preserve">LT-09312 Vilnius </w:t>
            </w:r>
          </w:p>
          <w:p w:rsidR="00156D94" w:rsidRPr="00BF5A7F" w:rsidRDefault="00156D94" w:rsidP="00893DE7">
            <w:pPr>
              <w:contextualSpacing/>
              <w:rPr>
                <w:sz w:val="22"/>
                <w:szCs w:val="22"/>
                <w:lang w:eastAsia="lt-LT"/>
              </w:rPr>
            </w:pPr>
            <w:r w:rsidRPr="00BF5A7F">
              <w:rPr>
                <w:sz w:val="22"/>
                <w:szCs w:val="22"/>
                <w:lang w:eastAsia="lt-LT"/>
              </w:rPr>
              <w:t>Lietuva</w:t>
            </w:r>
            <w:r w:rsidRPr="00BF5A7F">
              <w:rPr>
                <w:sz w:val="22"/>
                <w:szCs w:val="22"/>
                <w:lang w:eastAsia="lt-LT"/>
              </w:rPr>
              <w:br/>
              <w:t>Tel</w:t>
            </w:r>
            <w:r>
              <w:rPr>
                <w:sz w:val="22"/>
                <w:szCs w:val="22"/>
                <w:lang w:eastAsia="lt-LT"/>
              </w:rPr>
              <w:t>.:</w:t>
            </w:r>
            <w:r w:rsidRPr="00BF5A7F">
              <w:rPr>
                <w:sz w:val="22"/>
                <w:szCs w:val="22"/>
                <w:lang w:eastAsia="lt-LT"/>
              </w:rPr>
              <w:t xml:space="preserve"> +370 5 26 36 037</w:t>
            </w:r>
          </w:p>
          <w:p w:rsidR="00156D94" w:rsidRPr="00BF5A7F" w:rsidRDefault="00156D94" w:rsidP="00893DE7">
            <w:pPr>
              <w:contextualSpacing/>
              <w:rPr>
                <w:sz w:val="22"/>
                <w:szCs w:val="22"/>
                <w:lang w:eastAsia="lt-LT"/>
              </w:rPr>
            </w:pPr>
            <w:r w:rsidRPr="00BF5A7F">
              <w:rPr>
                <w:sz w:val="22"/>
                <w:szCs w:val="22"/>
                <w:lang w:eastAsia="lt-LT"/>
              </w:rPr>
              <w:t>Faksas</w:t>
            </w:r>
            <w:r>
              <w:rPr>
                <w:sz w:val="22"/>
                <w:szCs w:val="22"/>
                <w:lang w:eastAsia="lt-LT"/>
              </w:rPr>
              <w:t>:</w:t>
            </w:r>
            <w:r w:rsidRPr="00BF5A7F">
              <w:rPr>
                <w:sz w:val="22"/>
                <w:szCs w:val="22"/>
                <w:lang w:eastAsia="lt-LT"/>
              </w:rPr>
              <w:t xml:space="preserve"> +370 5 26 36 036</w:t>
            </w:r>
          </w:p>
          <w:p w:rsidR="00156D94" w:rsidRPr="00BF5A7F" w:rsidRDefault="00156D94" w:rsidP="00893DE7">
            <w:pPr>
              <w:contextualSpacing/>
              <w:rPr>
                <w:sz w:val="22"/>
                <w:szCs w:val="22"/>
                <w:lang w:eastAsia="lt-LT"/>
              </w:rPr>
            </w:pPr>
            <w:r w:rsidRPr="00BF5A7F">
              <w:rPr>
                <w:sz w:val="22"/>
                <w:szCs w:val="22"/>
                <w:lang w:eastAsia="lt-LT"/>
              </w:rPr>
              <w:t>Nemokama linija pacientams</w:t>
            </w:r>
            <w:r>
              <w:rPr>
                <w:sz w:val="22"/>
                <w:szCs w:val="22"/>
                <w:lang w:eastAsia="lt-LT"/>
              </w:rPr>
              <w:t>:</w:t>
            </w:r>
            <w:r w:rsidRPr="00BF5A7F">
              <w:rPr>
                <w:sz w:val="22"/>
                <w:szCs w:val="22"/>
                <w:lang w:eastAsia="lt-LT"/>
              </w:rPr>
              <w:t xml:space="preserve"> +370 800 00877</w:t>
            </w:r>
          </w:p>
          <w:p w:rsidR="00156D94" w:rsidRPr="00BF5A7F" w:rsidRDefault="00156D94" w:rsidP="00893DE7">
            <w:pPr>
              <w:contextualSpacing/>
              <w:rPr>
                <w:sz w:val="22"/>
                <w:szCs w:val="22"/>
                <w:lang w:eastAsia="lt-LT"/>
              </w:rPr>
            </w:pPr>
            <w:r w:rsidRPr="00BF5A7F">
              <w:rPr>
                <w:sz w:val="22"/>
                <w:szCs w:val="22"/>
                <w:lang w:eastAsia="lt-LT"/>
              </w:rPr>
              <w:t>El. pašt</w:t>
            </w:r>
            <w:r>
              <w:rPr>
                <w:sz w:val="22"/>
                <w:szCs w:val="22"/>
                <w:lang w:eastAsia="lt-LT"/>
              </w:rPr>
              <w:t>as</w:t>
            </w:r>
            <w:r w:rsidRPr="00BF5A7F">
              <w:rPr>
                <w:sz w:val="22"/>
                <w:szCs w:val="22"/>
                <w:lang w:eastAsia="lt-LT"/>
              </w:rPr>
              <w:t>: info.lithuania@sandoz.com</w:t>
            </w:r>
          </w:p>
        </w:tc>
        <w:tc>
          <w:tcPr>
            <w:tcW w:w="4678" w:type="dxa"/>
          </w:tcPr>
          <w:p w:rsidR="00156D94" w:rsidRPr="00BF5A7F" w:rsidRDefault="00156D94" w:rsidP="00893DE7">
            <w:pPr>
              <w:contextualSpacing/>
              <w:rPr>
                <w:sz w:val="22"/>
                <w:szCs w:val="22"/>
              </w:rPr>
            </w:pPr>
          </w:p>
        </w:tc>
      </w:tr>
    </w:tbl>
    <w:p w:rsidR="00156D94" w:rsidRPr="00BF5A7F" w:rsidRDefault="00156D94" w:rsidP="00156D94">
      <w:pPr>
        <w:contextualSpacing/>
        <w:rPr>
          <w:sz w:val="22"/>
          <w:szCs w:val="22"/>
        </w:rPr>
      </w:pPr>
    </w:p>
    <w:p w:rsidR="00156D94" w:rsidRPr="00BF5A7F" w:rsidRDefault="00156D94" w:rsidP="00156D94">
      <w:pPr>
        <w:contextualSpacing/>
        <w:rPr>
          <w:b/>
          <w:sz w:val="22"/>
          <w:szCs w:val="22"/>
        </w:rPr>
      </w:pPr>
      <w:r w:rsidRPr="00BF5A7F">
        <w:rPr>
          <w:b/>
          <w:bCs/>
          <w:sz w:val="22"/>
          <w:szCs w:val="22"/>
        </w:rPr>
        <w:t>Šis pakuotės lapelis</w:t>
      </w:r>
      <w:r w:rsidRPr="00BF5A7F">
        <w:rPr>
          <w:b/>
          <w:sz w:val="22"/>
          <w:szCs w:val="22"/>
        </w:rPr>
        <w:t xml:space="preserve"> paskutinį kartą peržiūrėtas </w:t>
      </w:r>
      <w:r w:rsidR="004508B2">
        <w:rPr>
          <w:b/>
          <w:sz w:val="22"/>
          <w:szCs w:val="22"/>
        </w:rPr>
        <w:t>2018-02-23</w:t>
      </w:r>
      <w:r w:rsidR="003D4815">
        <w:rPr>
          <w:b/>
          <w:sz w:val="22"/>
          <w:szCs w:val="22"/>
        </w:rPr>
        <w:t>.</w:t>
      </w:r>
    </w:p>
    <w:p w:rsidR="00156D94" w:rsidRPr="00BF5A7F" w:rsidRDefault="00156D94" w:rsidP="00156D94">
      <w:pPr>
        <w:contextualSpacing/>
        <w:rPr>
          <w:sz w:val="22"/>
          <w:szCs w:val="22"/>
          <w:lang w:eastAsia="lt-LT"/>
        </w:rPr>
      </w:pPr>
    </w:p>
    <w:p w:rsidR="00156D94" w:rsidRDefault="00156D94" w:rsidP="00156D94">
      <w:pPr>
        <w:contextualSpacing/>
        <w:rPr>
          <w:rStyle w:val="Hipersaitas"/>
          <w:color w:val="0000FF"/>
          <w:sz w:val="22"/>
          <w:szCs w:val="22"/>
        </w:rPr>
      </w:pPr>
      <w:r w:rsidRPr="00BF5A7F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BF5A7F">
        <w:rPr>
          <w:i/>
          <w:sz w:val="22"/>
          <w:szCs w:val="22"/>
        </w:rPr>
        <w:t xml:space="preserve"> </w:t>
      </w:r>
      <w:hyperlink r:id="rId9" w:history="1">
        <w:r w:rsidRPr="00BF5A7F">
          <w:rPr>
            <w:rStyle w:val="Hipersaitas"/>
            <w:color w:val="0000FF"/>
            <w:sz w:val="22"/>
            <w:szCs w:val="22"/>
          </w:rPr>
          <w:t>http://www.vvkt.lt/</w:t>
        </w:r>
      </w:hyperlink>
      <w:r w:rsidRPr="00BF5A7F">
        <w:rPr>
          <w:rStyle w:val="Hipersaitas"/>
          <w:color w:val="0000FF"/>
          <w:sz w:val="22"/>
          <w:szCs w:val="22"/>
        </w:rPr>
        <w:t>.</w:t>
      </w:r>
    </w:p>
    <w:p w:rsidR="00156D94" w:rsidRDefault="00156D94" w:rsidP="00156D94">
      <w:pPr>
        <w:contextualSpacing/>
        <w:rPr>
          <w:rStyle w:val="Hipersaitas"/>
          <w:color w:val="0000FF"/>
          <w:sz w:val="22"/>
          <w:szCs w:val="22"/>
        </w:rPr>
      </w:pPr>
    </w:p>
    <w:p w:rsidR="00156D94" w:rsidRPr="00BF5A7F" w:rsidRDefault="00156D94" w:rsidP="00156D94">
      <w:pPr>
        <w:contextualSpacing/>
        <w:rPr>
          <w:sz w:val="22"/>
          <w:szCs w:val="22"/>
        </w:rPr>
      </w:pPr>
    </w:p>
    <w:p w:rsidR="005F0E56" w:rsidRPr="00490EBF" w:rsidRDefault="005F0E56">
      <w:pPr>
        <w:rPr>
          <w:rFonts w:ascii="Arial" w:hAnsi="Arial" w:cs="Arial"/>
          <w:sz w:val="20"/>
          <w:szCs w:val="20"/>
        </w:rPr>
      </w:pPr>
    </w:p>
    <w:sectPr w:rsidR="005F0E56" w:rsidRPr="00490EBF" w:rsidSect="00893DE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2BC5"/>
    <w:multiLevelType w:val="hybridMultilevel"/>
    <w:tmpl w:val="D10C43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860E7"/>
    <w:multiLevelType w:val="hybridMultilevel"/>
    <w:tmpl w:val="6CB600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212D0"/>
    <w:multiLevelType w:val="hybridMultilevel"/>
    <w:tmpl w:val="D848D070"/>
    <w:lvl w:ilvl="0" w:tplc="6664844E">
      <w:start w:val="2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Wingdings" w:hAnsi="Symbol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85909"/>
    <w:multiLevelType w:val="hybridMultilevel"/>
    <w:tmpl w:val="DBCCB06C"/>
    <w:lvl w:ilvl="0" w:tplc="61D6A6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12490"/>
    <w:multiLevelType w:val="hybridMultilevel"/>
    <w:tmpl w:val="9F2255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213CE"/>
    <w:multiLevelType w:val="hybridMultilevel"/>
    <w:tmpl w:val="09C8906E"/>
    <w:lvl w:ilvl="0" w:tplc="44A26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94"/>
    <w:rsid w:val="000A11FA"/>
    <w:rsid w:val="00156D94"/>
    <w:rsid w:val="00211AF1"/>
    <w:rsid w:val="0028252E"/>
    <w:rsid w:val="00294DC3"/>
    <w:rsid w:val="00345D80"/>
    <w:rsid w:val="003B28B7"/>
    <w:rsid w:val="003D4815"/>
    <w:rsid w:val="00446ADC"/>
    <w:rsid w:val="004508B2"/>
    <w:rsid w:val="00490EBF"/>
    <w:rsid w:val="0057230B"/>
    <w:rsid w:val="005A0DFC"/>
    <w:rsid w:val="005F0E56"/>
    <w:rsid w:val="006364CE"/>
    <w:rsid w:val="006F4437"/>
    <w:rsid w:val="007031B7"/>
    <w:rsid w:val="008131EB"/>
    <w:rsid w:val="00893DE7"/>
    <w:rsid w:val="00947C73"/>
    <w:rsid w:val="00955E51"/>
    <w:rsid w:val="00D7352D"/>
    <w:rsid w:val="00E016AE"/>
    <w:rsid w:val="00E25E21"/>
    <w:rsid w:val="00E40EEA"/>
    <w:rsid w:val="00E80047"/>
    <w:rsid w:val="00E92DBC"/>
    <w:rsid w:val="00FB36C8"/>
    <w:rsid w:val="00FC4FAF"/>
    <w:rsid w:val="00FC5559"/>
    <w:rsid w:val="00FD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135C1-89E8-437B-A2CA-F7B3AB09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6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56D94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156D9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3D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3DE7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D0507-744F-4965-8118-453513AC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5417</Words>
  <Characters>3088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Malaskeviciute, Asta (Ext)</dc:creator>
  <cp:lastModifiedBy>Birutė Valkauskaitė</cp:lastModifiedBy>
  <cp:revision>2</cp:revision>
  <dcterms:created xsi:type="dcterms:W3CDTF">2019-02-08T07:53:00Z</dcterms:created>
  <dcterms:modified xsi:type="dcterms:W3CDTF">2019-02-08T07:53:00Z</dcterms:modified>
</cp:coreProperties>
</file>