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38AB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bookmarkStart w:id="0" w:name="_GoBack"/>
      <w:bookmarkEnd w:id="0"/>
    </w:p>
    <w:p w14:paraId="1B7E4F2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7B0350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DEE686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E2795E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FAF778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988FBA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72B742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913325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07FF6D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82DAD6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B617E9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6432A2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9B5AB5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97BA5F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799C6E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1702FC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7E6F25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1EBBAC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B69A04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E37069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0054C5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64E6BE4" w14:textId="77777777" w:rsidR="00A762B5" w:rsidRPr="00A762B5" w:rsidRDefault="00A762B5" w:rsidP="00A762B5">
      <w:pPr>
        <w:spacing w:after="0" w:line="240" w:lineRule="auto"/>
        <w:contextualSpacing/>
        <w:jc w:val="center"/>
        <w:outlineLvl w:val="0"/>
        <w:rPr>
          <w:rFonts w:ascii="Times New Roman" w:eastAsia="Calibri" w:hAnsi="Times New Roman" w:cs="Times New Roman"/>
          <w:b/>
          <w:kern w:val="28"/>
          <w:lang w:val="lt-LT" w:eastAsia="lt-LT"/>
        </w:rPr>
      </w:pPr>
    </w:p>
    <w:p w14:paraId="598DCBFD" w14:textId="77777777" w:rsidR="00A762B5" w:rsidRPr="00A762B5" w:rsidRDefault="00A762B5" w:rsidP="00A762B5">
      <w:pPr>
        <w:spacing w:after="0" w:line="240" w:lineRule="auto"/>
        <w:contextualSpacing/>
        <w:jc w:val="center"/>
        <w:outlineLvl w:val="0"/>
        <w:rPr>
          <w:rFonts w:ascii="Times New Roman" w:eastAsia="Calibri" w:hAnsi="Times New Roman" w:cs="Times New Roman"/>
          <w:b/>
          <w:kern w:val="28"/>
          <w:lang w:val="lt-LT" w:eastAsia="lt-LT"/>
        </w:rPr>
      </w:pPr>
      <w:r w:rsidRPr="00A762B5">
        <w:rPr>
          <w:rFonts w:ascii="Times New Roman" w:eastAsia="Calibri" w:hAnsi="Times New Roman" w:cs="Times New Roman"/>
          <w:b/>
          <w:kern w:val="28"/>
          <w:lang w:val="lt-LT" w:eastAsia="lt-LT"/>
        </w:rPr>
        <w:t>I PRIEDAS</w:t>
      </w:r>
    </w:p>
    <w:p w14:paraId="2FD791A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BFBD7AF" w14:textId="77777777" w:rsidR="00A762B5" w:rsidRPr="00A762B5" w:rsidRDefault="00A762B5" w:rsidP="00A762B5">
      <w:pPr>
        <w:spacing w:after="0" w:line="240" w:lineRule="auto"/>
        <w:contextualSpacing/>
        <w:jc w:val="center"/>
        <w:outlineLvl w:val="0"/>
        <w:rPr>
          <w:rFonts w:ascii="Times New Roman" w:eastAsia="Calibri" w:hAnsi="Times New Roman" w:cs="Times New Roman"/>
          <w:b/>
          <w:kern w:val="28"/>
          <w:lang w:val="lt-LT" w:eastAsia="lt-LT"/>
        </w:rPr>
      </w:pPr>
      <w:r w:rsidRPr="00A762B5">
        <w:rPr>
          <w:rFonts w:ascii="Times New Roman" w:eastAsia="Calibri" w:hAnsi="Times New Roman" w:cs="Times New Roman"/>
          <w:b/>
          <w:kern w:val="28"/>
          <w:lang w:val="lt-LT" w:eastAsia="lt-LT"/>
        </w:rPr>
        <w:t>PREPARATO CHARAKTERISTIKŲ SANTRAUKA</w:t>
      </w:r>
    </w:p>
    <w:p w14:paraId="078E45D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81B21B3"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br w:type="page"/>
      </w:r>
      <w:r w:rsidRPr="00A762B5">
        <w:rPr>
          <w:rFonts w:ascii="Times New Roman" w:eastAsia="Calibri" w:hAnsi="Times New Roman" w:cs="Times New Roman"/>
          <w:b/>
          <w:lang w:val="lt-LT" w:eastAsia="lt-LT"/>
        </w:rPr>
        <w:lastRenderedPageBreak/>
        <w:t>1.</w:t>
      </w:r>
      <w:r w:rsidRPr="00A762B5">
        <w:rPr>
          <w:rFonts w:ascii="Times New Roman" w:eastAsia="Calibri" w:hAnsi="Times New Roman" w:cs="Times New Roman"/>
          <w:b/>
          <w:lang w:val="lt-LT" w:eastAsia="lt-LT"/>
        </w:rPr>
        <w:tab/>
        <w:t>VAISTINIO PREPARATO PAVADINIMAS</w:t>
      </w:r>
    </w:p>
    <w:p w14:paraId="43E8B7E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1E3034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10 mg plėvele dengtos tabletės</w:t>
      </w:r>
    </w:p>
    <w:p w14:paraId="0D01EB7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20 mg plėvele dengtos tabletės</w:t>
      </w:r>
    </w:p>
    <w:p w14:paraId="1DB366A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675415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B58CDC5"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2.</w:t>
      </w:r>
      <w:r w:rsidRPr="00A762B5">
        <w:rPr>
          <w:rFonts w:ascii="Times New Roman" w:eastAsia="Calibri" w:hAnsi="Times New Roman" w:cs="Times New Roman"/>
          <w:b/>
          <w:lang w:val="lt-LT" w:eastAsia="lt-LT"/>
        </w:rPr>
        <w:tab/>
        <w:t>KOKYBINĖ IR KIEKYBINĖ SUDĖTIS</w:t>
      </w:r>
    </w:p>
    <w:p w14:paraId="78DAE19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00E6F8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Kiekvienoje plėvele dengtoje tabletėje yra 10 mg arba 20 mg simvastatino.</w:t>
      </w:r>
    </w:p>
    <w:p w14:paraId="44DA1F28"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p>
    <w:p w14:paraId="7EEA1E7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u w:val="single"/>
          <w:lang w:val="lt-LT" w:eastAsia="lt-LT"/>
        </w:rPr>
        <w:t>Pagalbinė medžiaga, kurios poveikis žinomas</w:t>
      </w:r>
      <w:r w:rsidRPr="00A762B5">
        <w:rPr>
          <w:rFonts w:ascii="Times New Roman" w:eastAsia="Calibri" w:hAnsi="Times New Roman" w:cs="Times New Roman"/>
          <w:lang w:val="lt-LT" w:eastAsia="lt-LT"/>
        </w:rPr>
        <w:t>: laktozė monohidratas.</w:t>
      </w:r>
    </w:p>
    <w:p w14:paraId="769EC58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10 mg plėvele dengtoje tabletėje yra 95,2 mg laktozės monohidrato.</w:t>
      </w:r>
    </w:p>
    <w:p w14:paraId="440C4B8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20 mg plėvele dengtoje tabletėje yra 61,25 mg laktozės monohidrato.</w:t>
      </w:r>
    </w:p>
    <w:p w14:paraId="26B9FCD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Visos pagalbinės medžiagos išvardytos 6.1 skyriuje.</w:t>
      </w:r>
    </w:p>
    <w:p w14:paraId="4824AD0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20F9E5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C3B6366"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3.</w:t>
      </w:r>
      <w:r w:rsidRPr="00A762B5">
        <w:rPr>
          <w:rFonts w:ascii="Times New Roman" w:eastAsia="Calibri" w:hAnsi="Times New Roman" w:cs="Times New Roman"/>
          <w:b/>
          <w:lang w:val="lt-LT" w:eastAsia="lt-LT"/>
        </w:rPr>
        <w:tab/>
        <w:t>FARMACINĖ FORMA</w:t>
      </w:r>
    </w:p>
    <w:p w14:paraId="3D61256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2E5E40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Plėvele dengta tabletė.</w:t>
      </w:r>
    </w:p>
    <w:p w14:paraId="586985B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10 mg plėvele dengta tabletė yra šviesiai rožinė, ovali, išgaubta, su įranta, vienoje pusėje yra užrašas „SIM 10“.</w:t>
      </w:r>
    </w:p>
    <w:p w14:paraId="633B4E3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20 mg plėvele dengta tabletė yra oranžinė, ovali, abipus išgaubta, su įranta abiejose pusėse, vienoje pusėje įspausta „20“.</w:t>
      </w:r>
    </w:p>
    <w:p w14:paraId="753374A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Tabletę galima padalyti į lygias dozes.</w:t>
      </w:r>
    </w:p>
    <w:p w14:paraId="521030F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2337A6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BEA9E60"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b/>
          <w:lang w:val="lt-LT" w:eastAsia="lt-LT"/>
        </w:rPr>
      </w:pPr>
      <w:r w:rsidRPr="00A762B5">
        <w:rPr>
          <w:rFonts w:ascii="Times New Roman" w:eastAsia="Calibri" w:hAnsi="Times New Roman" w:cs="Times New Roman"/>
          <w:b/>
          <w:caps/>
          <w:lang w:val="lt-LT" w:eastAsia="lt-LT"/>
        </w:rPr>
        <w:t>4.</w:t>
      </w:r>
      <w:r w:rsidRPr="00A762B5">
        <w:rPr>
          <w:rFonts w:ascii="Times New Roman" w:eastAsia="Calibri" w:hAnsi="Times New Roman" w:cs="Times New Roman"/>
          <w:b/>
          <w:caps/>
          <w:lang w:val="lt-LT" w:eastAsia="lt-LT"/>
        </w:rPr>
        <w:tab/>
      </w:r>
      <w:r w:rsidRPr="00A762B5">
        <w:rPr>
          <w:rFonts w:ascii="Times New Roman" w:eastAsia="Calibri" w:hAnsi="Times New Roman" w:cs="Times New Roman"/>
          <w:b/>
          <w:lang w:val="lt-LT" w:eastAsia="lt-LT"/>
        </w:rPr>
        <w:t>KLINIKINĖ INFORMACIJA</w:t>
      </w:r>
    </w:p>
    <w:p w14:paraId="12CA992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16128B6"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4.1</w:t>
      </w:r>
      <w:r w:rsidRPr="00A762B5">
        <w:rPr>
          <w:rFonts w:ascii="Times New Roman" w:eastAsia="Calibri" w:hAnsi="Times New Roman" w:cs="Times New Roman"/>
          <w:b/>
          <w:lang w:val="lt-LT" w:eastAsia="lt-LT"/>
        </w:rPr>
        <w:tab/>
        <w:t>Terapinės indikacijos</w:t>
      </w:r>
    </w:p>
    <w:p w14:paraId="0763778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DEE473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Hipercholesterolemija</w:t>
      </w:r>
      <w:r w:rsidRPr="00A762B5">
        <w:rPr>
          <w:rFonts w:ascii="Times New Roman" w:eastAsia="Calibri" w:hAnsi="Times New Roman" w:cs="Times New Roman"/>
          <w:lang w:val="lt-LT" w:eastAsia="lt-LT"/>
        </w:rPr>
        <w:br/>
        <w:t xml:space="preserve">Kaip papildoma priemonė pirminei hipercholesterolemijai arba mišriai dislipidemijai gydyti kartu su dieta, kai vien dietos ar kitokių nefarmakologinių priemonių (pvz., fizinio krūvio, svorio mažinimo) nepakanka. </w:t>
      </w:r>
    </w:p>
    <w:p w14:paraId="092F236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Kaip papildoma priemonė homozigotinei šeiminei hipercholesterolemijai gydyti kartu su dieta ir kitomis lipidų kiekį mažinančiomis priemonėmis (pvz., mažo tankio lipidų afereze) ar kai toks gydymas netinka.</w:t>
      </w:r>
    </w:p>
    <w:p w14:paraId="706CC48B" w14:textId="77777777" w:rsidR="00A762B5" w:rsidRPr="00A762B5" w:rsidRDefault="00A762B5" w:rsidP="00A762B5">
      <w:pPr>
        <w:spacing w:after="0" w:line="240" w:lineRule="auto"/>
        <w:contextualSpacing/>
        <w:rPr>
          <w:rFonts w:ascii="Times New Roman" w:eastAsia="Calibri" w:hAnsi="Times New Roman" w:cs="Times New Roman"/>
          <w:i/>
          <w:iCs/>
          <w:lang w:val="lt-LT" w:eastAsia="lt-LT"/>
        </w:rPr>
      </w:pPr>
    </w:p>
    <w:p w14:paraId="17BD069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iCs/>
          <w:lang w:val="lt-LT" w:eastAsia="lt-LT"/>
        </w:rPr>
        <w:t>Širdies ir kraujagyslių ligų profilaktika</w:t>
      </w:r>
      <w:r w:rsidRPr="00A762B5">
        <w:rPr>
          <w:rFonts w:ascii="Times New Roman" w:eastAsia="Calibri" w:hAnsi="Times New Roman" w:cs="Times New Roman"/>
          <w:lang w:val="lt-LT" w:eastAsia="lt-LT"/>
        </w:rPr>
        <w:br/>
        <w:t>Pacientų, sergančių aiškia širdies ir kraujagyslių sistemos aterosklerozės sukelta liga ar cukriniu diabetu, kai cholesterolio kiekis normalus arba padidėjęs, sergamumui ir mirtingumui mažinti, skiriant vaistinio preparato, kaip papildomos priemonės, kartu su kitų rizikos faktorių korekcija bei širdies ir kraujagyslių sistemą saugančiu gydymu (žr. 5.1 skyrių).</w:t>
      </w:r>
    </w:p>
    <w:p w14:paraId="49B1A07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E670E57"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4.2</w:t>
      </w:r>
      <w:r w:rsidRPr="00A762B5">
        <w:rPr>
          <w:rFonts w:ascii="Times New Roman" w:eastAsia="Calibri" w:hAnsi="Times New Roman" w:cs="Times New Roman"/>
          <w:b/>
          <w:lang w:val="lt-LT" w:eastAsia="lt-LT"/>
        </w:rPr>
        <w:tab/>
        <w:t>Dozavimas ir vartojimo metodas</w:t>
      </w:r>
    </w:p>
    <w:p w14:paraId="129DF028"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p>
    <w:p w14:paraId="5012EC1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u w:val="single"/>
          <w:lang w:val="lt-LT" w:eastAsia="lt-LT"/>
        </w:rPr>
        <w:t>Dozavimas</w:t>
      </w:r>
    </w:p>
    <w:p w14:paraId="00F946F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Paros dozė yra 5</w:t>
      </w:r>
      <w:r w:rsidRPr="00A762B5">
        <w:rPr>
          <w:rFonts w:ascii="Times New Roman" w:eastAsia="Calibri" w:hAnsi="Times New Roman" w:cs="Times New Roman"/>
          <w:lang w:val="lt-LT" w:eastAsia="lt-LT"/>
        </w:rPr>
        <w:noBreakHyphen/>
        <w:t>80 mg</w:t>
      </w:r>
      <w:r w:rsidR="004D08C2">
        <w:rPr>
          <w:rFonts w:ascii="Times New Roman" w:eastAsia="Calibri" w:hAnsi="Times New Roman" w:cs="Times New Roman"/>
          <w:lang w:val="lt-LT" w:eastAsia="lt-LT"/>
        </w:rPr>
        <w:t xml:space="preserve"> simvastatino</w:t>
      </w:r>
      <w:r w:rsidRPr="00A762B5">
        <w:rPr>
          <w:rFonts w:ascii="Times New Roman" w:eastAsia="Calibri" w:hAnsi="Times New Roman" w:cs="Times New Roman"/>
          <w:lang w:val="lt-LT" w:eastAsia="lt-LT"/>
        </w:rPr>
        <w:t>, kurią reikia išgerti vieną kartą per parą, vakare. Prireikus, dozė koreguojama ne dažniau kaip kas 4 savaites. Didžiausia paros dozė – 80 mg. Ją reikia gerti kartą per parą, vakare. 80 mg dozė rekomenduojama tik tiems pacientams, kuriems yra sunki hipercholesterolemija ir didelė širdies ir kraujagyslių sistemos komplikacijų rizika, ir kuriems vartojant mažesnes dozes, gydymo tikslai nebuvo pasiekti, ir kai numatoma nauda viršys potencialią riziką (žr. 4.4 ir 5.1 skyrius).</w:t>
      </w:r>
    </w:p>
    <w:p w14:paraId="762351A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401810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Hipercholesterolemija</w:t>
      </w:r>
      <w:r w:rsidRPr="00A762B5">
        <w:rPr>
          <w:rFonts w:ascii="Times New Roman" w:eastAsia="Calibri" w:hAnsi="Times New Roman" w:cs="Times New Roman"/>
          <w:lang w:val="lt-LT" w:eastAsia="lt-LT"/>
        </w:rPr>
        <w:br/>
        <w:t>Prieš pradedant simvastatino vartojimą ir jo metu pacientas turi laikytis įprastinės cholesterolio kiekį plazmoje mažinančios dietos. Paprastai simvastatino pradinė paros dozė yra 10</w:t>
      </w:r>
      <w:r w:rsidRPr="00A762B5">
        <w:rPr>
          <w:rFonts w:ascii="Times New Roman" w:eastAsia="Calibri" w:hAnsi="Times New Roman" w:cs="Times New Roman"/>
          <w:lang w:val="lt-LT" w:eastAsia="lt-LT"/>
        </w:rPr>
        <w:noBreakHyphen/>
        <w:t xml:space="preserve">20 mg. Ją reikia gerti </w:t>
      </w:r>
      <w:r w:rsidRPr="00A762B5">
        <w:rPr>
          <w:rFonts w:ascii="Times New Roman" w:eastAsia="Calibri" w:hAnsi="Times New Roman" w:cs="Times New Roman"/>
          <w:lang w:val="lt-LT" w:eastAsia="lt-LT"/>
        </w:rPr>
        <w:lastRenderedPageBreak/>
        <w:t>kartą per parą, vakare. Jei pacientui būtina smarkiai sumažinti mažo tankio lipoproteinų cholesterolio kiekį (daugiau kaip 45 %), gydymą galima pradėti 20</w:t>
      </w:r>
      <w:r w:rsidRPr="00A762B5">
        <w:rPr>
          <w:rFonts w:ascii="Times New Roman" w:eastAsia="Calibri" w:hAnsi="Times New Roman" w:cs="Times New Roman"/>
          <w:lang w:val="lt-LT" w:eastAsia="lt-LT"/>
        </w:rPr>
        <w:noBreakHyphen/>
        <w:t>40 mg paros doze, kurią reikia gerti iš karto vakare. Prireikus, dozę reikia koreguoti aukščiau aprašytu metodu.</w:t>
      </w:r>
    </w:p>
    <w:p w14:paraId="08BF3EC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BD77D2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Homozigotinė šeiminė hipercholesterolemija</w:t>
      </w:r>
      <w:r w:rsidRPr="00A762B5">
        <w:rPr>
          <w:rFonts w:ascii="Times New Roman" w:eastAsia="Calibri" w:hAnsi="Times New Roman" w:cs="Times New Roman"/>
          <w:lang w:val="lt-LT" w:eastAsia="lt-LT"/>
        </w:rPr>
        <w:br/>
        <w:t>Kontroliuojamų klinikinių tyrimų duomenimis, rekomenduojama gerti 40 mg (šią dozę reikia išgerti vakare) arba 80 mg (šią dozę reikia gerti per tris kartus: 20 mg iš ryto, 20 mg per pietus ir 40 mg vakare) simvastatino paros dozę. Šio vaistinio preparato reikia vartoti kaip papildomos priemonės kartu su kitu lipidų kiekį mažinančiu gydymu (pvz., mažo tankio lipidų afereze) arba vieno tokiais atvejais, jei kiti gydymo metodai neįmanomi.</w:t>
      </w:r>
    </w:p>
    <w:p w14:paraId="04EA2C5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Pacientams, kartu su simvastatinu vartojantiems lomitapido, simvastatino paros dozė neturi viršyti 40 mg (žr. 4.3, 4.4 ir 4.5 skyrius).</w:t>
      </w:r>
    </w:p>
    <w:p w14:paraId="26B4159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5AE2C9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Širdies ir kraujagyslių ligų profilaktika</w:t>
      </w:r>
      <w:r w:rsidRPr="00A762B5">
        <w:rPr>
          <w:rFonts w:ascii="Times New Roman" w:eastAsia="Calibri" w:hAnsi="Times New Roman" w:cs="Times New Roman"/>
          <w:lang w:val="lt-LT" w:eastAsia="lt-LT"/>
        </w:rPr>
        <w:br/>
        <w:t>Įprastinė paros dozė pacientams, kuriems yra didelė išeminės širdies ligos rizika (išeminė širdies liga su hiperlipidemija arba be jos), yra 20</w:t>
      </w:r>
      <w:r w:rsidRPr="00A762B5">
        <w:rPr>
          <w:rFonts w:ascii="Times New Roman" w:eastAsia="Calibri" w:hAnsi="Times New Roman" w:cs="Times New Roman"/>
          <w:lang w:val="lt-LT" w:eastAsia="lt-LT"/>
        </w:rPr>
        <w:noBreakHyphen/>
        <w:t>40 mg. Ją reikia gerti iš karto, vakare. Medikamentinį gydymą galima pradėti kartu su gydymu dieta ir fizinio krūvio pratimais. Prireikus, dozę reikia koreguoti aukščiau aprašytu metodu.</w:t>
      </w:r>
    </w:p>
    <w:p w14:paraId="65F1365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1BE2B6D"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Kombinuotasis gydymas</w:t>
      </w:r>
    </w:p>
    <w:p w14:paraId="2794D88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Simvastatinas yra veiksmingas, jei jo vartojama vieno ar kartu su tulžies rūgšties sekvestrantais. Simvastatino reikia gerti likus ne mažiau kaip dviem valandoms iki tulžies rūgšties sekvestrantų vartojimo arba po jo praėjus daugiau kaip 4 valandoms.</w:t>
      </w:r>
    </w:p>
    <w:p w14:paraId="14447F0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Pacientams, kurie simvastatino vartoja kartu su fibratais, išskyrus gemfibrozilį (žr. 4.3 skyrių) ar fenofibratą, didžiausia simvastatino paros dozė turi neviršyti 10 mg. Jei pacientas vartoja amjodarono, amlodipino, verapamilio, diltiazemo ar vaistinių preparatų, kurių sudėtyje yra elbasviro ar grazopreviro kartu su simvastatinu, pastarojo vaistinio preparato paros dozė turi būti ne didesnė kaip 20 mg (žr. 4.4 ir 4.5 skyrius). </w:t>
      </w:r>
    </w:p>
    <w:p w14:paraId="22CAE9CB" w14:textId="77777777" w:rsidR="00A762B5" w:rsidRPr="00A762B5" w:rsidRDefault="00A762B5" w:rsidP="00A762B5">
      <w:pPr>
        <w:spacing w:after="0" w:line="240" w:lineRule="auto"/>
        <w:contextualSpacing/>
        <w:rPr>
          <w:rFonts w:ascii="Times New Roman" w:eastAsia="Times New Roman" w:hAnsi="Times New Roman" w:cs="Times New Roman"/>
          <w:i/>
          <w:iCs/>
          <w:color w:val="000000"/>
          <w:lang w:val="lt-LT" w:eastAsia="lt-LT"/>
        </w:rPr>
      </w:pPr>
    </w:p>
    <w:p w14:paraId="5D77E2F1"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Times New Roman" w:hAnsi="Times New Roman" w:cs="Times New Roman"/>
          <w:i/>
          <w:iCs/>
          <w:color w:val="000000"/>
          <w:lang w:val="lt-LT" w:eastAsia="lt-LT"/>
        </w:rPr>
        <w:t>Pacientams, kurių inkstų funkcija sutrikusi</w:t>
      </w:r>
      <w:r w:rsidRPr="00A762B5">
        <w:rPr>
          <w:rFonts w:ascii="Times New Roman" w:eastAsia="Calibri" w:hAnsi="Times New Roman" w:cs="Times New Roman"/>
          <w:i/>
          <w:lang w:val="lt-LT" w:eastAsia="lt-LT"/>
        </w:rPr>
        <w:t xml:space="preserve"> </w:t>
      </w:r>
    </w:p>
    <w:p w14:paraId="5B4A1B5B" w14:textId="3ADE2A7C"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Pacientams, sergantiems vidutinio sunkumo inkstų </w:t>
      </w:r>
      <w:r w:rsidR="000A2FBA">
        <w:rPr>
          <w:rFonts w:ascii="Times New Roman" w:eastAsia="Calibri" w:hAnsi="Times New Roman" w:cs="Times New Roman"/>
          <w:lang w:val="lt-LT" w:eastAsia="lt-LT"/>
        </w:rPr>
        <w:t xml:space="preserve">funkcijos </w:t>
      </w:r>
      <w:r w:rsidRPr="00A762B5">
        <w:rPr>
          <w:rFonts w:ascii="Times New Roman" w:eastAsia="Calibri" w:hAnsi="Times New Roman" w:cs="Times New Roman"/>
          <w:lang w:val="lt-LT" w:eastAsia="lt-LT"/>
        </w:rPr>
        <w:t xml:space="preserve">sutrikimu, simvastatino dozavimo keisti nebūtina. Ligoniams, kuriems yra sunkus inkstų </w:t>
      </w:r>
      <w:r w:rsidR="00D10AAE">
        <w:rPr>
          <w:rFonts w:ascii="Times New Roman" w:eastAsia="Calibri" w:hAnsi="Times New Roman" w:cs="Times New Roman"/>
          <w:lang w:val="lt-LT" w:eastAsia="lt-LT"/>
        </w:rPr>
        <w:t>funkcijos</w:t>
      </w:r>
      <w:r w:rsidR="00D10AAE" w:rsidRPr="00A762B5">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sutrikimas (kreatinino klirensas mažesnis negu 30 ml/min.), pradėti gydyti atsargiai didesne negu 10 mg simvastatino paros doze galima tik rūpestingai apsvarsčius, kad taip daryti būtina.</w:t>
      </w:r>
    </w:p>
    <w:p w14:paraId="450849C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A040BD8"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Senyviems pacientams</w:t>
      </w:r>
    </w:p>
    <w:p w14:paraId="38475D8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Senyviems pacientams dozės koreguoti nebūtina.</w:t>
      </w:r>
    </w:p>
    <w:p w14:paraId="24DBA16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8CC4124" w14:textId="77777777" w:rsidR="00A762B5" w:rsidRPr="00A762B5" w:rsidRDefault="00A762B5" w:rsidP="00A762B5">
      <w:pPr>
        <w:spacing w:after="0" w:line="240" w:lineRule="auto"/>
        <w:contextualSpacing/>
        <w:rPr>
          <w:rFonts w:ascii="Times New Roman" w:eastAsia="Times New Roman" w:hAnsi="Times New Roman" w:cs="Times New Roman"/>
          <w:i/>
          <w:lang w:val="lt-LT" w:eastAsia="lt-LT"/>
        </w:rPr>
      </w:pPr>
      <w:r w:rsidRPr="00A762B5">
        <w:rPr>
          <w:rFonts w:ascii="Times New Roman" w:eastAsia="Times New Roman" w:hAnsi="Times New Roman" w:cs="Times New Roman"/>
          <w:i/>
          <w:lang w:val="lt-LT" w:eastAsia="lt-LT"/>
        </w:rPr>
        <w:t>Vaikų populiacija</w:t>
      </w:r>
    </w:p>
    <w:p w14:paraId="6EEBCF8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Vaikams ir paaugliams (berniukams II-oje arba aukštesnėje išsivystymo stadijoje pagal Tanner ir mergaitėms, kurioms ne trumpiau kaip vienerius metus yra menstruacijos, 10</w:t>
      </w:r>
      <w:r w:rsidRPr="00A762B5">
        <w:rPr>
          <w:rFonts w:ascii="Times New Roman" w:eastAsia="Calibri" w:hAnsi="Times New Roman" w:cs="Times New Roman"/>
          <w:lang w:val="lt-LT" w:eastAsia="lt-LT"/>
        </w:rPr>
        <w:noBreakHyphen/>
        <w:t>17 metų), kuriems yra heterozigotinė šeiminė hipercholesterolemija, rekomenduojama pradinė dozė yra 10 mg vieną kartą per parą vakare. Prieš pradedant gydymą simvastatinu, vaikams ir paaugliams turi būti skirta įprastinė cholesterolio kiekį mažinanti dieta, kuri turi trukti visą gydymo simvastatinu laikotarpį.</w:t>
      </w:r>
    </w:p>
    <w:p w14:paraId="67864D6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653778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Rekomenduojama paros dozė yra 10</w:t>
      </w:r>
      <w:r w:rsidRPr="00A762B5">
        <w:rPr>
          <w:rFonts w:ascii="Times New Roman" w:eastAsia="Calibri" w:hAnsi="Times New Roman" w:cs="Times New Roman"/>
          <w:lang w:val="lt-LT" w:eastAsia="lt-LT"/>
        </w:rPr>
        <w:noBreakHyphen/>
        <w:t>40 mg. Didžiausia rekomenduojama paros dozė yra 40 mg. Dozės turi būti parenkamos individualiai, atsižvelgiant į gydymo tikslą, kaip rekomenduojama pediatrinio gydymo rekomendacijose (žr. 4.4 skyrių). Dozę galima koreguoti kas keturias ar daugiau savaičių.</w:t>
      </w:r>
    </w:p>
    <w:p w14:paraId="6B1C4D9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7DA008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Lytiškai nesubrendusių vaikų gydymo simvastatinu patirtis yra ribota.</w:t>
      </w:r>
    </w:p>
    <w:p w14:paraId="4154524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AE54FF3" w14:textId="77777777" w:rsidR="00A762B5" w:rsidRPr="00A762B5" w:rsidRDefault="00A762B5" w:rsidP="00A762B5">
      <w:pPr>
        <w:spacing w:after="0" w:line="240" w:lineRule="auto"/>
        <w:contextualSpacing/>
        <w:rPr>
          <w:rFonts w:ascii="Times New Roman" w:eastAsia="Times New Roman" w:hAnsi="Times New Roman" w:cs="Times New Roman"/>
          <w:u w:val="single"/>
          <w:lang w:val="lt-LT" w:eastAsia="lt-LT"/>
        </w:rPr>
      </w:pPr>
      <w:r w:rsidRPr="00A762B5">
        <w:rPr>
          <w:rFonts w:ascii="Times New Roman" w:eastAsia="Times New Roman" w:hAnsi="Times New Roman" w:cs="Times New Roman"/>
          <w:u w:val="single"/>
          <w:lang w:val="lt-LT" w:eastAsia="lt-LT"/>
        </w:rPr>
        <w:t xml:space="preserve">Vartojimo metodas </w:t>
      </w:r>
    </w:p>
    <w:p w14:paraId="2A38F52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Vartoti per burną.</w:t>
      </w:r>
    </w:p>
    <w:p w14:paraId="66224EE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Rekomenduojama Simvacor dozė geriama kartą per parą, vakare.</w:t>
      </w:r>
    </w:p>
    <w:p w14:paraId="4D3AF84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A5359E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Plėvele dengtos tabletės turi būti nuryjamos sveikos, užsigeriant šiek tiek vandens.</w:t>
      </w:r>
    </w:p>
    <w:p w14:paraId="1AAD409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393F837"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4.3</w:t>
      </w:r>
      <w:r w:rsidRPr="00A762B5">
        <w:rPr>
          <w:rFonts w:ascii="Times New Roman" w:eastAsia="Calibri" w:hAnsi="Times New Roman" w:cs="Times New Roman"/>
          <w:b/>
          <w:lang w:val="lt-LT" w:eastAsia="lt-LT"/>
        </w:rPr>
        <w:tab/>
        <w:t>Kontraindikacijos</w:t>
      </w:r>
    </w:p>
    <w:p w14:paraId="5EA6062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24724DE" w14:textId="77777777" w:rsidR="00A762B5" w:rsidRPr="00A762B5" w:rsidRDefault="00A762B5" w:rsidP="00A762B5">
      <w:pPr>
        <w:numPr>
          <w:ilvl w:val="0"/>
          <w:numId w:val="36"/>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Padidėjęs jautrumas veikliajai arba bet kuriai </w:t>
      </w:r>
      <w:r w:rsidRPr="00A762B5">
        <w:rPr>
          <w:rFonts w:ascii="Times New Roman" w:eastAsia="Times New Roman" w:hAnsi="Times New Roman" w:cs="Times New Roman"/>
          <w:lang w:val="lt-LT" w:eastAsia="lt-LT"/>
        </w:rPr>
        <w:t xml:space="preserve">6.1 skyriuje nurodytai </w:t>
      </w:r>
      <w:r w:rsidRPr="00A762B5">
        <w:rPr>
          <w:rFonts w:ascii="Times New Roman" w:eastAsia="Calibri" w:hAnsi="Times New Roman" w:cs="Times New Roman"/>
          <w:lang w:val="lt-LT" w:eastAsia="lt-LT"/>
        </w:rPr>
        <w:t>pagalbinei medžiagai.</w:t>
      </w:r>
    </w:p>
    <w:p w14:paraId="1E5E278D" w14:textId="77777777" w:rsidR="00A762B5" w:rsidRPr="00A762B5" w:rsidRDefault="00A762B5" w:rsidP="00A762B5">
      <w:pPr>
        <w:numPr>
          <w:ilvl w:val="0"/>
          <w:numId w:val="36"/>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Aktyvi kepenų liga ar serume dėl neaiškios priežasties yra nuolat padidėjęs transaminazių aktyvumas.</w:t>
      </w:r>
      <w:r w:rsidRPr="00A762B5">
        <w:rPr>
          <w:rFonts w:ascii="Times New Roman" w:eastAsia="Times New Roman" w:hAnsi="Times New Roman" w:cs="Times New Roman"/>
          <w:lang w:val="lt-LT" w:eastAsia="lt-LT"/>
        </w:rPr>
        <w:t xml:space="preserve"> </w:t>
      </w:r>
    </w:p>
    <w:p w14:paraId="1D2009F7" w14:textId="77777777" w:rsidR="00A762B5" w:rsidRPr="00A762B5" w:rsidRDefault="00A762B5" w:rsidP="00A762B5">
      <w:pPr>
        <w:numPr>
          <w:ilvl w:val="0"/>
          <w:numId w:val="36"/>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Moteris nėščia arba žindyvė (žr. 4.6 skyrių).</w:t>
      </w:r>
    </w:p>
    <w:p w14:paraId="712B15FB" w14:textId="77777777" w:rsidR="00A762B5" w:rsidRPr="00A762B5" w:rsidRDefault="00A762B5" w:rsidP="00A762B5">
      <w:pPr>
        <w:numPr>
          <w:ilvl w:val="0"/>
          <w:numId w:val="36"/>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Vartojimas kartu su stipriais CYP3A4 inhibitoriais (medžiagomis, kurios maždaug 5 kartus ar daugiau padidina AUC), pvz., itrakonazolu, ketokonazolu, pozakonazolu, vorikonazolu, ŽIV proteazės inhibitoriais (pvz., nelfinaviru), bocepreviru, telapreviru, eritromicinu, klaritromicinu, telitromicinu, nefazodonu </w:t>
      </w:r>
      <w:r w:rsidRPr="00A762B5">
        <w:rPr>
          <w:rFonts w:ascii="Times New Roman" w:eastAsia="Times New Roman" w:hAnsi="Times New Roman" w:cs="Times New Roman"/>
          <w:lang w:val="lt-LT" w:eastAsia="sl-SI"/>
        </w:rPr>
        <w:t>ir vaistiniais preparatais, kurių sudėtyje yra kobicistato</w:t>
      </w:r>
      <w:r w:rsidRPr="00A762B5">
        <w:rPr>
          <w:rFonts w:ascii="Times New Roman" w:eastAsia="Calibri" w:hAnsi="Times New Roman" w:cs="Times New Roman"/>
          <w:lang w:val="lt-LT" w:eastAsia="lt-LT"/>
        </w:rPr>
        <w:t xml:space="preserve"> (žr. 4.4 ir 4.5 skyrius).</w:t>
      </w:r>
    </w:p>
    <w:p w14:paraId="1CF72271" w14:textId="77777777" w:rsidR="00A762B5" w:rsidRPr="00A762B5" w:rsidRDefault="00A762B5" w:rsidP="00A762B5">
      <w:pPr>
        <w:numPr>
          <w:ilvl w:val="0"/>
          <w:numId w:val="36"/>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Vartojimas kartu su gemfibroziliu, ciklosporinu arba danazolu (žr. 4.4 ir 4.5 skyrius).</w:t>
      </w:r>
    </w:p>
    <w:p w14:paraId="4FF0FE06" w14:textId="77777777" w:rsidR="00A762B5" w:rsidRPr="00A762B5" w:rsidRDefault="00A762B5" w:rsidP="00A762B5">
      <w:pPr>
        <w:numPr>
          <w:ilvl w:val="0"/>
          <w:numId w:val="36"/>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Lomitapido vartojimas kartu su didesnėmis negu 40 mg simvastatino dozėmis pacientams, kuriems yra homozigotinė šeiminė hipercholesterolemija (HŠH) (žr. 4.2, 4.4 ir 4.5 skyrius).</w:t>
      </w:r>
    </w:p>
    <w:p w14:paraId="6B4E162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DB3C3AF"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4.4</w:t>
      </w:r>
      <w:r w:rsidRPr="00A762B5">
        <w:rPr>
          <w:rFonts w:ascii="Times New Roman" w:eastAsia="Calibri" w:hAnsi="Times New Roman" w:cs="Times New Roman"/>
          <w:b/>
          <w:lang w:val="lt-LT" w:eastAsia="lt-LT"/>
        </w:rPr>
        <w:tab/>
        <w:t>Specialūs įspėjimai ir atsargumo priemonės</w:t>
      </w:r>
    </w:p>
    <w:p w14:paraId="6466E65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AA07D29"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Miopatija ar rabdomiolizė</w:t>
      </w:r>
    </w:p>
    <w:p w14:paraId="59EE860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Simvastatinas, kaip ir kitokie 3-hidroksi-3-metilgliutarilkofermento A (HMG-CoA) reduktazės inhibitoriai, retkarčiais sukelia miopatiją, kuri pasireiškia raumenų skausmu, padidėjusiu jautrumu ar silpnumu ir </w:t>
      </w:r>
      <w:r w:rsidRPr="00A762B5">
        <w:rPr>
          <w:rFonts w:ascii="Times New Roman" w:eastAsia="Times New Roman" w:hAnsi="Times New Roman" w:cs="Times New Roman"/>
          <w:lang w:val="lt-LT" w:eastAsia="lt-LT"/>
        </w:rPr>
        <w:t>kartu daugiau kaip 10 kartų, palyginti su viršutine normos riba (VNR), padidėjusiu kreatinkinazės (KK) aktyvumu</w:t>
      </w:r>
      <w:r w:rsidRPr="00A762B5">
        <w:rPr>
          <w:rFonts w:ascii="Times New Roman" w:eastAsia="Calibri" w:hAnsi="Times New Roman" w:cs="Times New Roman"/>
          <w:lang w:val="lt-LT" w:eastAsia="lt-LT"/>
        </w:rPr>
        <w:t>. Kartais miopatija pasireiškia kaip rabdomiolizė (su mioglobinurijos sukeltu ūminiu inkstų nepakankamumu arba be jo), kuri labai retai būna mirtina. Miopatijos rizika būna didesnė, esant dideliam HMG-CoA reduktazės aktyvumo slopinimui plazmoje</w:t>
      </w:r>
      <w:r w:rsidR="004D08C2">
        <w:rPr>
          <w:rFonts w:ascii="Times New Roman" w:eastAsia="Calibri" w:hAnsi="Times New Roman" w:cs="Times New Roman"/>
          <w:lang w:val="lt-LT" w:eastAsia="lt-LT"/>
        </w:rPr>
        <w:t xml:space="preserve"> </w:t>
      </w:r>
      <w:r w:rsidR="004D08C2" w:rsidRPr="004D08C2">
        <w:rPr>
          <w:rFonts w:ascii="Times New Roman" w:eastAsia="Calibri" w:hAnsi="Times New Roman" w:cs="Times New Roman"/>
          <w:lang w:val="lt-LT" w:eastAsia="lt-LT"/>
        </w:rPr>
        <w:t>(</w:t>
      </w:r>
      <w:r w:rsidR="006B0056">
        <w:rPr>
          <w:rFonts w:ascii="Times New Roman" w:eastAsia="Calibri" w:hAnsi="Times New Roman" w:cs="Times New Roman"/>
          <w:lang w:val="lt-LT" w:eastAsia="lt-LT"/>
        </w:rPr>
        <w:t xml:space="preserve">t.y. esant padidėjusiam simvastatino ir simvastatino rūgšties kiekiui plazmoje), kuris dalinai gali pasireikšti dėl vaistinių preparatų, </w:t>
      </w:r>
      <w:r w:rsidR="00F4591C">
        <w:rPr>
          <w:rFonts w:ascii="Times New Roman" w:eastAsia="Calibri" w:hAnsi="Times New Roman" w:cs="Times New Roman"/>
          <w:lang w:val="lt-LT" w:eastAsia="lt-LT"/>
        </w:rPr>
        <w:t>veikiančių</w:t>
      </w:r>
      <w:r w:rsidR="006B0056">
        <w:rPr>
          <w:rFonts w:ascii="Times New Roman" w:eastAsia="Calibri" w:hAnsi="Times New Roman" w:cs="Times New Roman"/>
          <w:lang w:val="lt-LT" w:eastAsia="lt-LT"/>
        </w:rPr>
        <w:t xml:space="preserve"> simvastatino metabolizm</w:t>
      </w:r>
      <w:r w:rsidR="00F4591C">
        <w:rPr>
          <w:rFonts w:ascii="Times New Roman" w:eastAsia="Calibri" w:hAnsi="Times New Roman" w:cs="Times New Roman"/>
          <w:lang w:val="lt-LT" w:eastAsia="lt-LT"/>
        </w:rPr>
        <w:t>ą</w:t>
      </w:r>
      <w:r w:rsidR="006B0056">
        <w:rPr>
          <w:rFonts w:ascii="Times New Roman" w:eastAsia="Calibri" w:hAnsi="Times New Roman" w:cs="Times New Roman"/>
          <w:lang w:val="lt-LT" w:eastAsia="lt-LT"/>
        </w:rPr>
        <w:t xml:space="preserve"> ir (arba) transporterių keli</w:t>
      </w:r>
      <w:r w:rsidR="00F4591C">
        <w:rPr>
          <w:rFonts w:ascii="Times New Roman" w:eastAsia="Calibri" w:hAnsi="Times New Roman" w:cs="Times New Roman"/>
          <w:lang w:val="lt-LT" w:eastAsia="lt-LT"/>
        </w:rPr>
        <w:t>us</w:t>
      </w:r>
      <w:r w:rsidR="006B0056">
        <w:rPr>
          <w:rFonts w:ascii="Times New Roman" w:eastAsia="Calibri" w:hAnsi="Times New Roman" w:cs="Times New Roman"/>
          <w:lang w:val="lt-LT" w:eastAsia="lt-LT"/>
        </w:rPr>
        <w:t xml:space="preserve">, sąveikos (žr. </w:t>
      </w:r>
      <w:r w:rsidR="006B0056" w:rsidRPr="00F4591C">
        <w:rPr>
          <w:rFonts w:ascii="Times New Roman" w:eastAsia="Calibri" w:hAnsi="Times New Roman" w:cs="Times New Roman"/>
          <w:lang w:val="lt-LT" w:eastAsia="lt-LT"/>
        </w:rPr>
        <w:t>4.5</w:t>
      </w:r>
      <w:r w:rsidR="006B0056">
        <w:rPr>
          <w:rFonts w:ascii="Times New Roman" w:eastAsia="Calibri" w:hAnsi="Times New Roman" w:cs="Times New Roman"/>
          <w:lang w:val="lt-LT" w:eastAsia="lt-LT"/>
        </w:rPr>
        <w:t xml:space="preserve"> skyr</w:t>
      </w:r>
      <w:r w:rsidR="002B2C49">
        <w:rPr>
          <w:rFonts w:ascii="Times New Roman" w:eastAsia="Calibri" w:hAnsi="Times New Roman" w:cs="Times New Roman"/>
          <w:lang w:val="lt-LT" w:eastAsia="lt-LT"/>
        </w:rPr>
        <w:t>i</w:t>
      </w:r>
      <w:r w:rsidR="00F4591C">
        <w:rPr>
          <w:rFonts w:ascii="Times New Roman" w:eastAsia="Calibri" w:hAnsi="Times New Roman" w:cs="Times New Roman"/>
          <w:lang w:val="lt-LT" w:eastAsia="lt-LT"/>
        </w:rPr>
        <w:t>ų</w:t>
      </w:r>
      <w:r w:rsidR="004D08C2" w:rsidRPr="004D08C2">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w:t>
      </w:r>
    </w:p>
    <w:p w14:paraId="2E97B4B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CFCE751" w14:textId="23114B2A"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Kaip ir vartojant kitų HMG CoA reduktazės inhibitorių, miopatijos/rabdomiolizės rizika yra susijusi su doze. Klinikinių tyrimų, kurių metu 41</w:t>
      </w:r>
      <w:r w:rsidR="00DA77A1">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413 pacientų buvo gydomi simvastatinu, iš kurių 24</w:t>
      </w:r>
      <w:r w:rsidR="00DA77A1">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747 (maždaug 60 %) stebėjimo trukmės mediana buvo ne mažesnė kaip 4 metai, duomenų bazėje miopatijos atvejų buvo 0,03 %, 0,08 % ir 0,61 % pacientų, vartojusių atitinkamai 20 mg, 40 mg ir 80 mg simvastatino paros dozę. Šių tyrimų metu pacientai buvo atidžiai stebimi, ir buvo atsisakyta kai kurių sąveiką galinčių sukelti vaistinių preparatų.</w:t>
      </w:r>
    </w:p>
    <w:p w14:paraId="5D42B43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307844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Klinikinio tyrimo metu pacientams, kuriems yra buvęs miokardo infarktas, ir kurie buvo gydomi 80 mg simvastatino per parą (vidutinė stebėjimo trukmė 6,7 metai), miopatijos atvejų buvo maždaug 1,0 % pacientų, palyginti su 0,02 % pacientų, kurie buvo gydomi 20 mg paros doze. Maždaug pusė šių miopatijos atvejų pasireiškė pirmais gydymo metais. Kiekvienais vėlesniais vartojimo metais miopatijos atvejų dažnis buvo apytikriai 0,1</w:t>
      </w:r>
      <w:r w:rsidR="001D7535">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 (žr. 4.8 ir 5.1 skyrius).</w:t>
      </w:r>
    </w:p>
    <w:p w14:paraId="3269A44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9CF2802" w14:textId="77777777" w:rsidR="00A762B5" w:rsidRPr="00A762B5" w:rsidRDefault="00A762B5" w:rsidP="00A762B5">
      <w:pPr>
        <w:spacing w:after="0" w:line="240" w:lineRule="auto"/>
        <w:contextualSpacing/>
        <w:rPr>
          <w:rFonts w:ascii="Times New Roman" w:eastAsia="SimSun" w:hAnsi="Times New Roman" w:cs="Times New Roman"/>
          <w:bCs/>
          <w:lang w:val="lt-LT" w:eastAsia="zh-CN" w:bidi="lo-LA"/>
        </w:rPr>
      </w:pPr>
      <w:r w:rsidRPr="00A762B5">
        <w:rPr>
          <w:rFonts w:ascii="Times New Roman" w:eastAsia="SimSun" w:hAnsi="Times New Roman" w:cs="Times New Roman"/>
          <w:bCs/>
          <w:lang w:val="lt-LT" w:eastAsia="zh-CN" w:bidi="lo-LA"/>
        </w:rPr>
        <w:t xml:space="preserve">Miopatijos rizika yra didesnė, jei pacientas vartoja 80 mg simvastatino dozę, palyginti su rizika, kuri būna taikant gydymą kitokio statino, sukeliančio panašų veiksmingumą mažinant mažo tankio lipoproteinų cholesterolio kiekį, pagrindu. Dėl to 80 mg simvastatino dozė turi būti vartojama tik pacientams, kuriems yra sunki hipercholesterolemija ir didelė kardiovaskulinių komplikacijų rizika, nepasiekusiems savo gydymo tikslų vartojant mažesnes dozes ir jeigu tikėtina nauda bus didesnė už galimą riziką. Jei 80 mg simvastatino dozę vartojančiam pacientui reikalingas gydymas sąveikaujančia medžiaga, turi būti vartojama arba mažesnė simvastatino dozė, arba taikomas alternatyvus gydymas statino, kuriam būdinga mažesnė vaistinių preparatų sąveikos rizika, pagrindu (žr. toliau esantį poskyrį </w:t>
      </w:r>
      <w:r w:rsidRPr="00A762B5">
        <w:rPr>
          <w:rFonts w:ascii="Times New Roman" w:eastAsia="SimSun" w:hAnsi="Times New Roman" w:cs="Times New Roman"/>
          <w:i/>
          <w:iCs/>
          <w:lang w:val="lt-LT" w:eastAsia="zh-CN" w:bidi="lo-LA"/>
        </w:rPr>
        <w:t>Priemonės, mažinančios vaistinių preparatų sąveikos sukeltos miopatijos riziką</w:t>
      </w:r>
      <w:r w:rsidRPr="00A762B5">
        <w:rPr>
          <w:rFonts w:ascii="Times New Roman" w:eastAsia="SimSun" w:hAnsi="Times New Roman" w:cs="Times New Roman"/>
          <w:bCs/>
          <w:lang w:val="lt-LT" w:eastAsia="zh-CN" w:bidi="lo-LA"/>
        </w:rPr>
        <w:t xml:space="preserve"> ir 4.2, 4.3 ir 4.5 skyrius).</w:t>
      </w:r>
    </w:p>
    <w:p w14:paraId="3B3E98C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B7747FB" w14:textId="33ABC74E"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Klinikinio tyrimo, kurio metu pacientai, kuriems yra didelė kardiovaskulinių reiškinių rizika, buvo gydomi 40 mg simvastatino paros doze (stebėjimo trukmės mediana 3,9 metų), miopatijos atvejų buvo maždaug 0,05 % pacientams ne kinams (n=7</w:t>
      </w:r>
      <w:r w:rsidR="0077327A">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367), palyginti su 0,24 % pacientams kinams (n=5</w:t>
      </w:r>
      <w:r w:rsidR="0077327A">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 xml:space="preserve">468). </w:t>
      </w:r>
      <w:r w:rsidRPr="00A762B5">
        <w:rPr>
          <w:rFonts w:ascii="Times New Roman" w:eastAsia="Calibri" w:hAnsi="Times New Roman" w:cs="Times New Roman"/>
          <w:lang w:val="lt-LT" w:eastAsia="lt-LT"/>
        </w:rPr>
        <w:lastRenderedPageBreak/>
        <w:t>Nors vienintelė šiame tyrime įvertinta Azijos populiacija buvo kinai, skiriant simvastatino pacientui azijiečiui reikia laikytis atsargumo ir taikyti mažiausią reikalingą dozę.</w:t>
      </w:r>
    </w:p>
    <w:p w14:paraId="5A114B8A" w14:textId="77777777" w:rsidR="001D7535" w:rsidRPr="00A762B5" w:rsidRDefault="001D7535" w:rsidP="00A762B5">
      <w:pPr>
        <w:spacing w:after="0" w:line="240" w:lineRule="auto"/>
        <w:contextualSpacing/>
        <w:rPr>
          <w:rFonts w:ascii="Times New Roman" w:eastAsia="Calibri" w:hAnsi="Times New Roman" w:cs="Times New Roman"/>
          <w:lang w:val="lt-LT" w:eastAsia="lt-LT"/>
        </w:rPr>
      </w:pPr>
    </w:p>
    <w:p w14:paraId="648BC193" w14:textId="77777777" w:rsidR="00A762B5" w:rsidRPr="00A762B5" w:rsidRDefault="00A762B5" w:rsidP="00A762B5">
      <w:pPr>
        <w:spacing w:after="0" w:line="240" w:lineRule="auto"/>
        <w:contextualSpacing/>
        <w:rPr>
          <w:rFonts w:ascii="Times New Roman" w:eastAsia="Calibri" w:hAnsi="Times New Roman" w:cs="Times New Roman"/>
          <w:i/>
          <w:u w:val="single"/>
          <w:lang w:val="lt-LT" w:eastAsia="lt-LT"/>
        </w:rPr>
      </w:pPr>
      <w:r w:rsidRPr="00A762B5">
        <w:rPr>
          <w:rFonts w:ascii="Times New Roman" w:eastAsia="Calibri" w:hAnsi="Times New Roman" w:cs="Times New Roman"/>
          <w:i/>
          <w:u w:val="single"/>
          <w:lang w:val="lt-LT" w:eastAsia="lt-LT"/>
        </w:rPr>
        <w:t>Susilpnėjusi pernašos baltymų funkcija</w:t>
      </w:r>
    </w:p>
    <w:p w14:paraId="608E197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Susilpnėjusi kepenų organinių anijonų pernašos baltymų (</w:t>
      </w:r>
      <w:r w:rsidRPr="00A762B5">
        <w:rPr>
          <w:rFonts w:ascii="Times New Roman" w:eastAsia="Calibri" w:hAnsi="Times New Roman" w:cs="Times New Roman"/>
          <w:i/>
          <w:lang w:val="lt-LT" w:eastAsia="lt-LT"/>
        </w:rPr>
        <w:t>angl</w:t>
      </w:r>
      <w:r w:rsidRPr="00A762B5">
        <w:rPr>
          <w:rFonts w:ascii="Times New Roman" w:eastAsia="Calibri" w:hAnsi="Times New Roman" w:cs="Times New Roman"/>
          <w:lang w:val="lt-LT" w:eastAsia="lt-LT"/>
        </w:rPr>
        <w:t>. Organic anion-transporting polypeptide, OATP) funkcija gali padidinti sisteminę simvastatino ekspoziciją ir didinti rabdomiolizės bei miopatijos riziką. Susilpnėjusi funkcija gali pasireikšti dėl slopinimo sąveikaujančiais vaistiniais preparatais (pvz., ciklosporinu) arba pacientams, kurie yra SLCO1B1 c.521T&gt;C genotipo nešiotojai.</w:t>
      </w:r>
    </w:p>
    <w:p w14:paraId="4672D34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E1F17D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Pacientams, kurie yra SLCO1B1 geno alelio (c.521T&gt;C), koduojančio mažiau aktyvų OATP1B1 baltymą, nešiotojai, yra didesnė simvastatino ekspozicija ir padidėjusi miopatijos rizika. Su didele simvastatino doze (80 mg) susijusi miopatijos rizika, jeigu neatliktas genetinis tyrimas, apskritai yra maždaug 1 %. Remiantis </w:t>
      </w:r>
      <w:r w:rsidRPr="00A762B5">
        <w:rPr>
          <w:rFonts w:ascii="Times New Roman" w:eastAsia="Calibri" w:hAnsi="Times New Roman" w:cs="Times New Roman"/>
          <w:i/>
          <w:lang w:val="lt-LT" w:eastAsia="lt-LT"/>
        </w:rPr>
        <w:t>SEARCH</w:t>
      </w:r>
      <w:r w:rsidRPr="00A762B5">
        <w:rPr>
          <w:rFonts w:ascii="Times New Roman" w:eastAsia="Calibri" w:hAnsi="Times New Roman" w:cs="Times New Roman"/>
          <w:lang w:val="lt-LT" w:eastAsia="lt-LT"/>
        </w:rPr>
        <w:t xml:space="preserve"> tyrimo duomenimis, homozigotinio C alelio nešiotojams (taip pat vadinamiems CC nešiotojais), gydomiems 80 mg doze, per vienus metus miopatijos rizika yra 15 %, o rizika heterozigotinio alelio nešiotojams (CT) – 1,5 %. Atitinkama rizika pacientams, kurie turi dažniausiai pasitaikantį genotipą (TT), yra 0,3 % (žr. 5.2 skyrių). Kur galima, prieš paskiriant 80 mg dozę konkretiems pacientams, kaip dalis naudos ir rizikos įvertinimo, reikia apsvarstyti C alelio buvimo nustatymą genotipavimo būdu, ir turi būti vengiama didelių dozių tiems, kurie yra CC genotipo nešiotojai. Vis dėlto, šio geno neaptikimas nustatinėjant genotipą nepaneigia miopatijos pasireiškimo galimybės. </w:t>
      </w:r>
    </w:p>
    <w:p w14:paraId="49E35C6A" w14:textId="77777777" w:rsidR="00A762B5" w:rsidRPr="00A762B5" w:rsidRDefault="00A762B5" w:rsidP="00A762B5">
      <w:pPr>
        <w:spacing w:after="0" w:line="240" w:lineRule="auto"/>
        <w:contextualSpacing/>
        <w:rPr>
          <w:rFonts w:ascii="Times New Roman" w:eastAsiaTheme="minorEastAsia" w:hAnsi="Times New Roman" w:cs="Times New Roman"/>
          <w:color w:val="000000"/>
          <w:lang w:val="lt-LT" w:eastAsia="zh-TW"/>
        </w:rPr>
      </w:pPr>
    </w:p>
    <w:p w14:paraId="325D3443"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Kreatinkinazės nustatymas</w:t>
      </w:r>
    </w:p>
    <w:p w14:paraId="3CAABB7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Kreatinkinazės (KK) kiekio negalima tirti po sunkaus fizinio krūvio arba esant kokioms nors kitoms sąlygoms, kurios gali sukelti jos kiekio padidėjimą, nes tokiais atvejais yra sunku įvertinti tyrimo rodmenis. Jei KK kiekis yra reikšmingai padidėjęs (daugiau kaip 5 kartus viršija viršutinę rodmens normos ribą), tyrimą reikėtų pakartoti po 5</w:t>
      </w:r>
      <w:r w:rsidRPr="00A762B5">
        <w:rPr>
          <w:rFonts w:ascii="Times New Roman" w:eastAsia="Calibri" w:hAnsi="Times New Roman" w:cs="Times New Roman"/>
          <w:lang w:val="lt-LT" w:eastAsia="lt-LT"/>
        </w:rPr>
        <w:noBreakHyphen/>
        <w:t>7 dienų, siekiant patvirtinti šiuos rezultatus.</w:t>
      </w:r>
    </w:p>
    <w:p w14:paraId="7CE5B45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3455D95"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 xml:space="preserve">Prieš gydymo pradžią </w:t>
      </w:r>
    </w:p>
    <w:p w14:paraId="6723D21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Visus pacientus, kurie pradeda vartoti simvastatino arba kuriems didinama vaistinio preparato dozė, reikia informuoti apie miopatijos atsiradimo riziką ir nurodyti neatidėliojant pranešti gydytojui apie neaiškios priežasties sukeltą raumenų skausmą, padidėjusį jautrumą ar silpnumą.</w:t>
      </w:r>
    </w:p>
    <w:p w14:paraId="6440196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Reikia laikytis atsargumo, kai vaistinio preparato skiriama pacientams, kuriems yra rabdomiolizės atsiradimą skatinančių veiksnių. Tam, kad nustatyti išeities rodmenų vertes, prieš gydymo pradžią reikia išmatuoti KK kiekį, jei:</w:t>
      </w:r>
    </w:p>
    <w:p w14:paraId="0A1B0B64" w14:textId="77777777" w:rsidR="00A762B5" w:rsidRPr="00A762B5" w:rsidRDefault="00A762B5" w:rsidP="00A762B5">
      <w:pPr>
        <w:numPr>
          <w:ilvl w:val="0"/>
          <w:numId w:val="29"/>
        </w:numPr>
        <w:tabs>
          <w:tab w:val="clear" w:pos="360"/>
          <w:tab w:val="num"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pacientas vyresnis nei 65 metų;</w:t>
      </w:r>
    </w:p>
    <w:p w14:paraId="4A90AAAF" w14:textId="77777777" w:rsidR="00A762B5" w:rsidRPr="00A762B5" w:rsidRDefault="00A762B5" w:rsidP="00A762B5">
      <w:pPr>
        <w:numPr>
          <w:ilvl w:val="0"/>
          <w:numId w:val="29"/>
        </w:numPr>
        <w:tabs>
          <w:tab w:val="clear" w:pos="360"/>
          <w:tab w:val="num"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moteriška lytis;</w:t>
      </w:r>
    </w:p>
    <w:p w14:paraId="2AF0CD9F" w14:textId="77777777" w:rsidR="00A762B5" w:rsidRPr="00A762B5" w:rsidRDefault="00A762B5" w:rsidP="00A762B5">
      <w:pPr>
        <w:numPr>
          <w:ilvl w:val="0"/>
          <w:numId w:val="29"/>
        </w:numPr>
        <w:tabs>
          <w:tab w:val="clear" w:pos="360"/>
          <w:tab w:val="num"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sutrikusi inkstų funkcija;</w:t>
      </w:r>
    </w:p>
    <w:p w14:paraId="730D22A0" w14:textId="77777777" w:rsidR="00A762B5" w:rsidRPr="00A762B5" w:rsidRDefault="00A762B5" w:rsidP="00A762B5">
      <w:pPr>
        <w:numPr>
          <w:ilvl w:val="0"/>
          <w:numId w:val="29"/>
        </w:numPr>
        <w:tabs>
          <w:tab w:val="clear" w:pos="360"/>
          <w:tab w:val="num"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yra nekontroliuojama hipotirozė;</w:t>
      </w:r>
    </w:p>
    <w:p w14:paraId="59F65A78" w14:textId="77777777" w:rsidR="00A762B5" w:rsidRPr="00A762B5" w:rsidRDefault="00A762B5" w:rsidP="00A762B5">
      <w:pPr>
        <w:numPr>
          <w:ilvl w:val="0"/>
          <w:numId w:val="29"/>
        </w:numPr>
        <w:tabs>
          <w:tab w:val="clear" w:pos="360"/>
          <w:tab w:val="num"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pacientas ar jo artimi giminaičiai sirgo paveldima raumenų liga;</w:t>
      </w:r>
    </w:p>
    <w:p w14:paraId="5AF9A1A8" w14:textId="77777777" w:rsidR="00A762B5" w:rsidRPr="00A762B5" w:rsidRDefault="00A762B5" w:rsidP="00A762B5">
      <w:pPr>
        <w:numPr>
          <w:ilvl w:val="0"/>
          <w:numId w:val="29"/>
        </w:numPr>
        <w:tabs>
          <w:tab w:val="clear" w:pos="360"/>
          <w:tab w:val="num"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statinas ar fibratas buvo sukėlęs toksinį poveikį raumenims;</w:t>
      </w:r>
    </w:p>
    <w:p w14:paraId="35BB91BC" w14:textId="77777777" w:rsidR="00A762B5" w:rsidRPr="00A762B5" w:rsidRDefault="00A762B5" w:rsidP="00A762B5">
      <w:pPr>
        <w:numPr>
          <w:ilvl w:val="0"/>
          <w:numId w:val="29"/>
        </w:numPr>
        <w:tabs>
          <w:tab w:val="clear" w:pos="360"/>
          <w:tab w:val="num" w:pos="567"/>
          <w:tab w:val="center" w:pos="4153"/>
          <w:tab w:val="right" w:pos="8306"/>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piktnaudžiaujama alkoholiu.</w:t>
      </w:r>
    </w:p>
    <w:p w14:paraId="77D29BC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5AE3FB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Minėtais atvejais reikia apsvarstyti gydymo rizikos ir tikėtinos naudos santykį bei gydymo metu pacientą atidžiai stebėti. Jei pacientui vartojant statino ar fibrato yra buvęs raumenų sutrikimas, gydymą įvairiais minėtų grupių vaistiniais preparatais reikia pradėti atsargiai. Jei KK kiekis reikšmingai didesnis už normalų, t. y. daugiau kaip 5 kartus viršija viršutinę rodmens normos ribą, gydymą pradėti draudžiama.</w:t>
      </w:r>
    </w:p>
    <w:p w14:paraId="68CFFC9D"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p>
    <w:p w14:paraId="0E1B13C4"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Gydymo laikotarpiu</w:t>
      </w:r>
    </w:p>
    <w:p w14:paraId="3FD1FBE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 gydant statinu atsiranda raumenų skausmas, silpnumas arba mėšlungis, reikia nustatyti KK kiekį kraujyje. Jei nebuvo didesnio fizinio krūvio, o KK kiekis reikšmingai padidėjęs (daugiau kaip 5 kartus viršija viršutinę rodmens normos ribą), gydymą reikia nutraukti. Jei raumenų simptomai sunkūs, vargina visą parą, nors KK kiekis viršutinę rodmens normos ribą viršija mažiau kaip 5 kartus, rekomenduojama apsvarstyti, ar nereikia nutraukti gydymo. Įtarus kitų priežasčių sukeltą miopatiją, gydymą reikia nutraukti.</w:t>
      </w:r>
    </w:p>
    <w:p w14:paraId="75BA960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219753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lastRenderedPageBreak/>
        <w:t>Gauta pranešimų (jie buvo labai reti) apie su imuninėmis reakcijomis siejamą nekrozuojančią miopatiją (SIRSNM), kuri pasireiškė taikant gydymą kai kuriais statinais arba po jo. Klinikiniai SIRSNM požymiai – tai nuolatinis proksimalinių raumenų silpnumas ir padidėjęs kreatinkinazės aktyvumas serume, kurie neišnyksta net ir nutraukus gydymą statinu (žr. 4.8 skyrių).</w:t>
      </w:r>
    </w:p>
    <w:p w14:paraId="75B2722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Kai tik simptomai išnyksta ir KK tampa normalus, gali būti apsvarstyta, ar nereikia vėl pradėti gydyti tuo pačiu ar alternatyviniu statinu, iš pradžių vartojant mažiausią dozę ir atidžiai stebint paciento būklę.</w:t>
      </w:r>
    </w:p>
    <w:p w14:paraId="59D244B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2A2245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Didesnis miopatijos dažnis buvo pastebėtas pacientams, vartojusiems 80 mg dozę (žr. 5.1 skyrių). Rekomenduojama reguliariai matuoti KK aktyvumą, kadangi jis gali būti naudingas nustatant miopatijos subklinikinius atvejus, tačiau negalima garantuoti, kad toks stebėjimas neleis atsirasti miopatijai.</w:t>
      </w:r>
    </w:p>
    <w:p w14:paraId="51585ED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2ACE40B" w14:textId="77777777" w:rsidR="00BC3639" w:rsidRPr="009D1356" w:rsidRDefault="00A762B5" w:rsidP="00A762B5">
      <w:pPr>
        <w:spacing w:after="0" w:line="240" w:lineRule="auto"/>
        <w:contextualSpacing/>
        <w:rPr>
          <w:rFonts w:ascii="Times New Roman" w:hAnsi="Times New Roman" w:cs="Times New Roman"/>
        </w:rPr>
      </w:pPr>
      <w:r w:rsidRPr="00A762B5">
        <w:rPr>
          <w:rFonts w:ascii="Times New Roman" w:eastAsia="Calibri" w:hAnsi="Times New Roman" w:cs="Times New Roman"/>
          <w:lang w:val="lt-LT" w:eastAsia="lt-LT"/>
        </w:rPr>
        <w:t>Keletą dienų prieš numatytą didesnę chirurginę operaciją ir, jei ligoniui atsiranda svarbių chirurginių ar kitokių medicininių aplinkybių, gydymą simvastatinu reikia laikinai nutraukti.</w:t>
      </w:r>
      <w:r w:rsidR="00BC3639" w:rsidRPr="00BC3639">
        <w:t xml:space="preserve"> </w:t>
      </w:r>
    </w:p>
    <w:p w14:paraId="0C162679" w14:textId="77777777" w:rsidR="00BC3639" w:rsidRPr="009D1356" w:rsidRDefault="00BC3639" w:rsidP="00A762B5">
      <w:pPr>
        <w:spacing w:after="0" w:line="240" w:lineRule="auto"/>
        <w:contextualSpacing/>
        <w:rPr>
          <w:rFonts w:ascii="Times New Roman" w:hAnsi="Times New Roman" w:cs="Times New Roman"/>
        </w:rPr>
      </w:pPr>
    </w:p>
    <w:p w14:paraId="463A49AC" w14:textId="319FEEBA" w:rsidR="00A762B5" w:rsidRPr="00A762B5" w:rsidRDefault="00BC3639" w:rsidP="00A762B5">
      <w:pPr>
        <w:spacing w:after="0" w:line="240" w:lineRule="auto"/>
        <w:contextualSpacing/>
        <w:rPr>
          <w:rFonts w:ascii="Times New Roman" w:eastAsia="Calibri" w:hAnsi="Times New Roman" w:cs="Times New Roman"/>
          <w:lang w:val="lt-LT" w:eastAsia="lt-LT"/>
        </w:rPr>
      </w:pPr>
      <w:r w:rsidRPr="00BC3639">
        <w:rPr>
          <w:rFonts w:ascii="Times New Roman" w:eastAsia="Calibri" w:hAnsi="Times New Roman" w:cs="Times New Roman"/>
          <w:lang w:val="lt-LT" w:eastAsia="lt-LT"/>
        </w:rPr>
        <w:t xml:space="preserve">Keliais atvejais gauta pranešimų apie tai, kad statinai </w:t>
      </w:r>
      <w:r w:rsidRPr="009D1356">
        <w:rPr>
          <w:rFonts w:ascii="Times New Roman" w:eastAsia="Calibri" w:hAnsi="Times New Roman" w:cs="Times New Roman"/>
          <w:i/>
          <w:iCs/>
          <w:lang w:val="lt-LT" w:eastAsia="lt-LT"/>
        </w:rPr>
        <w:t>de novo</w:t>
      </w:r>
      <w:r w:rsidRPr="00BC3639">
        <w:rPr>
          <w:rFonts w:ascii="Times New Roman" w:eastAsia="Calibri" w:hAnsi="Times New Roman" w:cs="Times New Roman"/>
          <w:lang w:val="lt-LT" w:eastAsia="lt-LT"/>
        </w:rPr>
        <w:t xml:space="preserve"> sukelia sunkiąją miasteniją ar akių miasteniją arba pasunkina šiomis ligomis jau sergančių pacientų būklę (žr.</w:t>
      </w:r>
      <w:r w:rsidR="00E950EF">
        <w:rPr>
          <w:rFonts w:ascii="Times New Roman" w:eastAsia="Calibri" w:hAnsi="Times New Roman" w:cs="Times New Roman"/>
          <w:lang w:val="lt-LT" w:eastAsia="lt-LT"/>
        </w:rPr>
        <w:t> </w:t>
      </w:r>
      <w:r w:rsidRPr="00BC3639">
        <w:rPr>
          <w:rFonts w:ascii="Times New Roman" w:eastAsia="Calibri" w:hAnsi="Times New Roman" w:cs="Times New Roman"/>
          <w:lang w:val="lt-LT" w:eastAsia="lt-LT"/>
        </w:rPr>
        <w:t>4.8</w:t>
      </w:r>
      <w:r w:rsidR="00E950EF">
        <w:rPr>
          <w:rFonts w:ascii="Times New Roman" w:eastAsia="Calibri" w:hAnsi="Times New Roman" w:cs="Times New Roman"/>
          <w:lang w:val="lt-LT" w:eastAsia="lt-LT"/>
        </w:rPr>
        <w:t> </w:t>
      </w:r>
      <w:r w:rsidRPr="00BC3639">
        <w:rPr>
          <w:rFonts w:ascii="Times New Roman" w:eastAsia="Calibri" w:hAnsi="Times New Roman" w:cs="Times New Roman"/>
          <w:lang w:val="lt-LT" w:eastAsia="lt-LT"/>
        </w:rPr>
        <w:t xml:space="preserve">skyrių). Jeigu ligos simptomai paūmėja, </w:t>
      </w:r>
      <w:r>
        <w:rPr>
          <w:rFonts w:ascii="Times New Roman" w:eastAsia="Calibri" w:hAnsi="Times New Roman" w:cs="Times New Roman"/>
          <w:lang w:val="lt-LT" w:eastAsia="lt-LT"/>
        </w:rPr>
        <w:t>Simvacor</w:t>
      </w:r>
      <w:r w:rsidRPr="00BC3639">
        <w:rPr>
          <w:rFonts w:ascii="Times New Roman" w:eastAsia="Calibri" w:hAnsi="Times New Roman" w:cs="Times New Roman"/>
          <w:lang w:val="lt-LT" w:eastAsia="lt-LT"/>
        </w:rPr>
        <w:t xml:space="preserve"> vartojimą reikia nutraukti. Gauta pranešimų apie atsinaujinusios ligos atvejus, kai buvo (pakartotinai) vartojamas tas pats arba kitas statinų grupės vaistinis preparatas.</w:t>
      </w:r>
    </w:p>
    <w:p w14:paraId="45292BD8" w14:textId="77777777" w:rsidR="00A762B5" w:rsidRPr="009D1356" w:rsidRDefault="00A762B5" w:rsidP="00A762B5">
      <w:pPr>
        <w:spacing w:after="0" w:line="240" w:lineRule="auto"/>
        <w:contextualSpacing/>
        <w:rPr>
          <w:rFonts w:ascii="Times New Roman" w:eastAsia="Calibri" w:hAnsi="Times New Roman" w:cs="Times New Roman"/>
          <w:iCs/>
          <w:lang w:val="lt-LT" w:eastAsia="lt-LT"/>
        </w:rPr>
      </w:pPr>
    </w:p>
    <w:p w14:paraId="5783C79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Priemonės, mažinančios vaistinių preparatų sąveikos sukeltos miopatijos riziką (taip pat žr. 4.5 skyrių)</w:t>
      </w:r>
    </w:p>
    <w:p w14:paraId="758C1E8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Miopatijos ir rabdomiolizės rizika būna reikšmingai didesnė, jei pacientas simvastatino vartoja kartu su stipriais CYP3A4 inhibitoriais (tokiais, kaip itrakonazolas, ketokonazolas, pozakonazolas, vorikonazolas, eritromicinas, klaritromicinas, telitromicinas, ŽIV proteazės inhibitoriai (pvz., nelfinaviras), bocepreviras, telapreviras, nefazodonas,</w:t>
      </w:r>
      <w:r w:rsidRPr="00A762B5">
        <w:rPr>
          <w:rFonts w:ascii="Times New Roman" w:eastAsia="Times New Roman" w:hAnsi="Times New Roman" w:cs="Times New Roman"/>
          <w:lang w:val="lt-LT" w:eastAsia="lt-LT"/>
        </w:rPr>
        <w:t xml:space="preserve"> vaistiniai preparatai, kurių sudėtyje yra kobicistato</w:t>
      </w:r>
      <w:r w:rsidRPr="00A762B5">
        <w:rPr>
          <w:rFonts w:ascii="Times New Roman" w:eastAsia="Calibri" w:hAnsi="Times New Roman" w:cs="Times New Roman"/>
          <w:lang w:val="lt-LT" w:eastAsia="lt-LT"/>
        </w:rPr>
        <w:t>), taip pat gemfibroziliu, ciklosporinu ir danazolu. Šių vaistinių preparatų vartoti kartu su simvastatinu draudžiama (žr. 4.3 skyrių).</w:t>
      </w:r>
    </w:p>
    <w:p w14:paraId="1B7C0FD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1795DA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Be to, miopatijos ir rabdomiolizės rizika padidėja amjodarono, amlodipino, verapamilio ar diltiazemo vartojant su tam tikromis simvastatino dozėmis (žr. 4.2 ir 4.5 skyrius). Miopatijos, įskaitant rabdomiolizę, rizika gali būti didesnė vartojant kartu fuzido rūgšties ir statinų (žr. 4.5 skyrių).</w:t>
      </w:r>
      <w:r w:rsidRPr="00A762B5">
        <w:rPr>
          <w:rFonts w:ascii="Times New Roman" w:eastAsia="Times New Roman" w:hAnsi="Times New Roman" w:cs="Times New Roman"/>
          <w:lang w:val="lt-LT" w:eastAsia="lt-LT"/>
        </w:rPr>
        <w:t xml:space="preserve"> Pacientams, kuriems yra HŠH, šią riziką gali padidinti lomitapido vartojimas kartu su simvastatinu.</w:t>
      </w:r>
    </w:p>
    <w:p w14:paraId="280A1394"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bidi="ne-IN"/>
        </w:rPr>
      </w:pPr>
    </w:p>
    <w:p w14:paraId="259DD4A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Vadinasi, simvastatino vartoti kartu su CYP3A4 inhibitoriais (itrakonazolu, ketokonazolu, pozakonazolu, vorikonazolu, ŽIV proteazės inhibitoriais (pvz., nelfinaviru), bocepreviru, telapreviru, eritromicinu, klaritromicinu, telitromicinu, nefazodonu</w:t>
      </w:r>
      <w:r w:rsidRPr="00A762B5">
        <w:rPr>
          <w:rFonts w:ascii="Times New Roman" w:eastAsia="Times New Roman" w:hAnsi="Times New Roman" w:cs="Times New Roman"/>
          <w:lang w:val="lt-LT" w:eastAsia="lt-LT"/>
        </w:rPr>
        <w:t xml:space="preserve"> ir vaistiniais preparatais, kurių sudėtyje yra kobicistato</w:t>
      </w:r>
      <w:r w:rsidRPr="00A762B5">
        <w:rPr>
          <w:rFonts w:ascii="Times New Roman" w:eastAsia="Calibri" w:hAnsi="Times New Roman" w:cs="Times New Roman"/>
          <w:lang w:val="lt-LT" w:eastAsia="lt-LT"/>
        </w:rPr>
        <w:t xml:space="preserve"> yra draudžiama (žr. 4.3 ir 4.5 skyrius). Jei gydyti stipriais CYP3A4 inhibitoriais (medžiagomis, kurios maždaug 5 kartus ar daugiau padidina AUC), yra neišvengiama, terapija simvastatinu gydymo kurso metu turi būti nutraukta (ir apsvarstytas alternatyvaus statino vartojimas). Be to, simvastatino reikia atsargiai vartoti kartu su kai kuriais silpnesniais CYP3A4 inhibitoriais, pvz., flukonazolu, verapamiliu, diltiazemu (žr. 4.2 ir 4.5 skyrius). Reikia vengti kartu su simvastatinu vartoti greipfrutų sulčių.</w:t>
      </w:r>
    </w:p>
    <w:p w14:paraId="32F4FA3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B30718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Simvastatino vartoti kartu su gemfibroziliu draudžiama (žr. 4.3 skyrių). Dėl padidėjusios miopatijos ir rabdomiolizės rizikos kitokių fibratų (išskyrus fenofibratą) vartojantiems pacientams simvastatino paros dozė turi būti ne didesnė kaip 10 mg (žr. 4.2 ir 4.5 skyrius). Skiriant fenofibrato kartu su simvastatinu reikalingas atsargumas, kadangi abi medžiagos, gali sukelti miopatiją, nors ir vartojamos atskirai.</w:t>
      </w:r>
    </w:p>
    <w:p w14:paraId="0C8114B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F0379BB" w14:textId="78109FE0"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lang w:val="lt-LT" w:eastAsia="zh-CN" w:bidi="lo-LA"/>
        </w:rPr>
      </w:pPr>
      <w:r w:rsidRPr="00A762B5">
        <w:rPr>
          <w:rFonts w:ascii="Times New Roman" w:eastAsia="SimSun" w:hAnsi="Times New Roman" w:cs="Times New Roman"/>
          <w:lang w:val="lt-LT" w:eastAsia="zh-CN" w:bidi="lo-LA"/>
        </w:rPr>
        <w:t>Simvastatino negalima vartoti su fuzido rūgštimi</w:t>
      </w:r>
      <w:r w:rsidRPr="00A762B5">
        <w:rPr>
          <w:rFonts w:ascii="Times New Roman" w:eastAsia="SimSun" w:hAnsi="Times New Roman" w:cs="Times New Roman"/>
          <w:color w:val="000000"/>
          <w:lang w:val="lt-LT" w:eastAsia="ja-JP"/>
        </w:rPr>
        <w:t xml:space="preserve"> ar 7 dienų laikotarpiu po gydymo fuzido rūgštimi nutraukimo</w:t>
      </w:r>
      <w:r w:rsidRPr="00A762B5">
        <w:rPr>
          <w:rFonts w:ascii="Times New Roman" w:eastAsia="SimSun" w:hAnsi="Times New Roman" w:cs="Times New Roman"/>
          <w:lang w:val="lt-LT" w:eastAsia="zh-CN" w:bidi="lo-LA"/>
        </w:rPr>
        <w:t xml:space="preserve">. </w:t>
      </w:r>
      <w:r w:rsidRPr="00A762B5">
        <w:rPr>
          <w:rFonts w:ascii="Times New Roman" w:eastAsia="SimSun" w:hAnsi="Times New Roman" w:cs="Times New Roman"/>
          <w:color w:val="000000"/>
          <w:lang w:val="lt-LT" w:eastAsia="ja-JP"/>
        </w:rPr>
        <w:t xml:space="preserve">Pacientams, kuriems fuzido rūgšties vartoti sisteminiu būdu yra būtina, gydymas statinu turi būti nutrauktas visu gydymo fuzido rūgštimi laikotarpiu. </w:t>
      </w:r>
      <w:r w:rsidRPr="00A762B5">
        <w:rPr>
          <w:rFonts w:ascii="Times New Roman" w:eastAsia="SimSun" w:hAnsi="Times New Roman" w:cs="Times New Roman"/>
          <w:lang w:val="lt-LT" w:eastAsia="zh-CN" w:bidi="lo-LA"/>
        </w:rPr>
        <w:t xml:space="preserve">Gauta pranešimų apie tokiu deriniu gydomiems pacientams atsiradusią rabdomiolizę (įskaitant kelis mirtinus atvejus) (žr. 4.5 skyrių). Jei manoma, kad pacientą sisteminu būdu vartojama fuzido rūgštimi gydyti būtina, tokio gydymo laikotarpiu statino vartojimą būtina nutraukti. Pacientas turi būti informuotas, kad reikia nedelsiant </w:t>
      </w:r>
      <w:r w:rsidRPr="00A762B5">
        <w:rPr>
          <w:rFonts w:ascii="Times New Roman" w:eastAsia="SimSun" w:hAnsi="Times New Roman" w:cs="Times New Roman"/>
          <w:lang w:val="lt-LT" w:eastAsia="zh-CN" w:bidi="lo-LA"/>
        </w:rPr>
        <w:lastRenderedPageBreak/>
        <w:t xml:space="preserve">kreiptis medicininės pagalbos, jeigu </w:t>
      </w:r>
      <w:r w:rsidR="00A47491">
        <w:rPr>
          <w:rFonts w:ascii="Times New Roman" w:eastAsia="SimSun" w:hAnsi="Times New Roman" w:cs="Times New Roman"/>
          <w:lang w:val="lt-LT" w:eastAsia="zh-CN" w:bidi="lo-LA"/>
        </w:rPr>
        <w:t>j</w:t>
      </w:r>
      <w:r w:rsidRPr="00A762B5">
        <w:rPr>
          <w:rFonts w:ascii="Times New Roman" w:eastAsia="SimSun" w:hAnsi="Times New Roman" w:cs="Times New Roman"/>
          <w:lang w:val="lt-LT" w:eastAsia="zh-CN" w:bidi="lo-LA"/>
        </w:rPr>
        <w:t xml:space="preserve">am atsiranda bet kokių raumenų silpnumo, skausmo ar jautrumo simptomų. </w:t>
      </w:r>
    </w:p>
    <w:p w14:paraId="5361D3F3" w14:textId="77777777"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lang w:val="lt-LT" w:eastAsia="zh-CN" w:bidi="lo-LA"/>
        </w:rPr>
      </w:pPr>
      <w:r w:rsidRPr="00A762B5">
        <w:rPr>
          <w:rFonts w:ascii="Times New Roman" w:eastAsia="SimSun" w:hAnsi="Times New Roman" w:cs="Times New Roman"/>
          <w:lang w:val="lt-LT" w:eastAsia="zh-CN" w:bidi="lo-LA"/>
        </w:rPr>
        <w:t xml:space="preserve">Gydymą statinu galima atnaujinti po paskutinės fuzido rūgšties dozės pavartojimo praėjus septynioms paroms. </w:t>
      </w:r>
    </w:p>
    <w:p w14:paraId="6B0CE306" w14:textId="77777777"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lang w:val="lt-LT" w:eastAsia="zh-CN" w:bidi="lo-LA"/>
        </w:rPr>
      </w:pPr>
      <w:r w:rsidRPr="00A762B5">
        <w:rPr>
          <w:rFonts w:ascii="Times New Roman" w:eastAsia="SimSun" w:hAnsi="Times New Roman" w:cs="Times New Roman"/>
          <w:lang w:val="lt-LT" w:eastAsia="zh-CN" w:bidi="lo-LA"/>
        </w:rPr>
        <w:t>Išimtinėmis aplinkybėmis, kai reikalingas ilgesnis gydymas sisteminiu būdu vartojama fuzido rūgštimi, pvz., gydant sunkią infekcinę ligą,</w:t>
      </w:r>
      <w:r w:rsidRPr="00A762B5">
        <w:rPr>
          <w:rFonts w:ascii="Times New Roman" w:eastAsia="SimSun" w:hAnsi="Times New Roman" w:cs="Times New Roman"/>
          <w:lang w:val="lt-LT" w:eastAsia="lt-LT"/>
        </w:rPr>
        <w:t xml:space="preserve"> simvastatino </w:t>
      </w:r>
      <w:r w:rsidRPr="00A762B5">
        <w:rPr>
          <w:rFonts w:ascii="Times New Roman" w:eastAsia="SimSun" w:hAnsi="Times New Roman" w:cs="Times New Roman"/>
          <w:lang w:val="lt-LT" w:eastAsia="zh-CN" w:bidi="lo-LA"/>
        </w:rPr>
        <w:t xml:space="preserve">vartojimo kartu su fuzido rūgštimi reikalingumas turi būti apsvarstytas kiekvienu atveju atskirai remiantis argumentuotais faktais ir taikant atidžią medicininę priežiūrą. </w:t>
      </w:r>
    </w:p>
    <w:p w14:paraId="686E3D89" w14:textId="77777777"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lang w:val="lt-LT" w:eastAsia="zh-CN" w:bidi="lo-LA"/>
        </w:rPr>
      </w:pPr>
    </w:p>
    <w:p w14:paraId="683BA162"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rPr>
      </w:pPr>
      <w:r w:rsidRPr="00A762B5">
        <w:rPr>
          <w:rFonts w:ascii="Times New Roman" w:eastAsia="SimSun" w:hAnsi="Times New Roman" w:cs="Times New Roman"/>
          <w:lang w:val="lt-LT" w:eastAsia="zh-CN" w:bidi="lo-LA"/>
        </w:rPr>
        <w:t>Didesnę kaip 20 mg simvastatino paros dozę vartoti kartu su amjodaronu, amlodipinu, verapamiliu ar diltiazemu turi būti vengiama (žr. 4.2 ir 4.5 skyrius).</w:t>
      </w:r>
      <w:r w:rsidRPr="00A762B5">
        <w:rPr>
          <w:rFonts w:ascii="Times New Roman" w:eastAsia="Times New Roman" w:hAnsi="Times New Roman" w:cs="Times New Roman"/>
          <w:lang w:val="lt-LT"/>
        </w:rPr>
        <w:t xml:space="preserve"> </w:t>
      </w:r>
      <w:r w:rsidRPr="00A762B5">
        <w:rPr>
          <w:rFonts w:ascii="Times New Roman" w:eastAsia="Times New Roman" w:hAnsi="Times New Roman" w:cs="Times New Roman"/>
          <w:lang w:val="lt-LT" w:eastAsia="lt-LT"/>
        </w:rPr>
        <w:t>Pacientams, kuriems yra HŠH, reikia vengti vartoti simvastatiną didesnėmis negu 40 mg dozėmis derinyje su lomitapidu (žr. 4.2, 4.3 ir 4.5 skyrius).</w:t>
      </w:r>
    </w:p>
    <w:p w14:paraId="52AB2D07" w14:textId="77777777"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lang w:val="lt-LT" w:eastAsia="zh-CN" w:bidi="lo-LA"/>
        </w:rPr>
      </w:pPr>
      <w:r w:rsidRPr="00A762B5">
        <w:rPr>
          <w:rFonts w:ascii="Times New Roman" w:eastAsia="SimSun" w:hAnsi="Times New Roman" w:cs="Times New Roman"/>
          <w:lang w:val="lt-LT" w:eastAsia="zh-CN" w:bidi="lo-LA"/>
        </w:rPr>
        <w:t>Jei pacientai kartu su simvastatinu (ypač didelėmis jo dozėmis) vartoja kitų vaistinių preparatų, kurių informacijoje nurodyta, kad jie vidutiniškai slopina CYP3A4, gali padidėti miopatijos rizika. Jei simvastatino vartojama su vidutinio stiprumo CYP3A4 inhibitoriumi (medžiaga, kuri maždaug 2</w:t>
      </w:r>
      <w:r w:rsidRPr="00A762B5">
        <w:rPr>
          <w:rFonts w:ascii="Times New Roman" w:eastAsia="SimSun" w:hAnsi="Times New Roman" w:cs="Times New Roman"/>
          <w:lang w:val="lt-LT" w:eastAsia="zh-CN" w:bidi="lo-LA"/>
        </w:rPr>
        <w:noBreakHyphen/>
        <w:t>5 kartus padidina AUC), gali reikėti priderinti simvastatino dozę. Su kai kuriais vidutinio stiprumo CYP3A4 inhibitoriais, pvz., diltiazemu, rekomenduojama vartoti ne didesnę kaip 20 mg simvastatino dozę (žr. 4.2 skyrių).</w:t>
      </w:r>
    </w:p>
    <w:p w14:paraId="0BEB4C20"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rPr>
      </w:pPr>
    </w:p>
    <w:p w14:paraId="5CD40E49" w14:textId="5F96278A" w:rsidR="00A762B5" w:rsidRPr="00A762B5" w:rsidRDefault="00A762B5" w:rsidP="00A762B5">
      <w:pPr>
        <w:autoSpaceDE w:val="0"/>
        <w:autoSpaceDN w:val="0"/>
        <w:adjustRightInd w:val="0"/>
        <w:spacing w:after="0" w:line="240" w:lineRule="auto"/>
        <w:contextualSpacing/>
        <w:rPr>
          <w:rFonts w:ascii="Times New Roman" w:eastAsia="Times New Roman" w:hAnsi="Times New Roman" w:cs="Times New Roman"/>
          <w:lang w:val="lt-LT" w:eastAsia="lt-LT"/>
        </w:rPr>
      </w:pPr>
      <w:r w:rsidRPr="00A762B5">
        <w:rPr>
          <w:rFonts w:ascii="Times New Roman" w:eastAsia="Times New Roman" w:hAnsi="Times New Roman" w:cs="Times New Roman"/>
          <w:lang w:val="lt-LT" w:eastAsia="lt-LT"/>
        </w:rPr>
        <w:t>Simvastatinas yra krūties vėžio atsparumo baltymo (angl. breast cancer resistant protein, BCRP) efliukso nešiklio substratas. Vaistinių preparatų, kurie yra BCRP inhibitoriai (pvz., elbasviras ir grazopreviras), vartojimas kartu gali padidinti simvastatino koncentraciją plazmoje ir padidinti miopatijos riziką, todėl reikia apsvarstyti simvastatino dozės koregavimą, atsižvelgiant į paskirtą dozę. Simvastatino vartojimas kartu su elbasviru ir grazopreviru netirtas, tačiau pacientams, vartojantiems vaistinių preparatų, kurių sudėtyje yra elbasviro ar grazopreviro, simvastatino dozė neturi viršyti 20</w:t>
      </w:r>
      <w:r w:rsidR="00545130">
        <w:rPr>
          <w:rFonts w:ascii="Times New Roman" w:eastAsia="Times New Roman" w:hAnsi="Times New Roman" w:cs="Times New Roman"/>
          <w:lang w:val="lt-LT" w:eastAsia="lt-LT"/>
        </w:rPr>
        <w:t> </w:t>
      </w:r>
      <w:r w:rsidRPr="00A762B5">
        <w:rPr>
          <w:rFonts w:ascii="Times New Roman" w:eastAsia="Times New Roman" w:hAnsi="Times New Roman" w:cs="Times New Roman"/>
          <w:lang w:val="lt-LT" w:eastAsia="lt-LT"/>
        </w:rPr>
        <w:t>mg per parą (žr. 4.5 skyrių).</w:t>
      </w:r>
    </w:p>
    <w:p w14:paraId="4E34FC3B" w14:textId="77777777" w:rsidR="00A762B5" w:rsidRPr="00A762B5" w:rsidRDefault="00A762B5" w:rsidP="00A762B5">
      <w:pPr>
        <w:autoSpaceDE w:val="0"/>
        <w:autoSpaceDN w:val="0"/>
        <w:adjustRightInd w:val="0"/>
        <w:spacing w:after="0" w:line="240" w:lineRule="auto"/>
        <w:contextualSpacing/>
        <w:rPr>
          <w:rFonts w:ascii="Times New Roman" w:eastAsia="Times New Roman" w:hAnsi="Times New Roman" w:cs="Times New Roman"/>
          <w:lang w:val="lt-LT" w:eastAsia="lt-LT"/>
        </w:rPr>
      </w:pPr>
    </w:p>
    <w:p w14:paraId="61BD4AFC" w14:textId="77777777"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lang w:val="lt-LT" w:eastAsia="ja-JP"/>
        </w:rPr>
      </w:pPr>
      <w:r w:rsidRPr="00A762B5">
        <w:rPr>
          <w:rFonts w:ascii="Times New Roman" w:eastAsia="Times New Roman" w:hAnsi="Times New Roman" w:cs="Times New Roman"/>
          <w:lang w:val="lt-LT" w:eastAsia="lt-LT"/>
        </w:rPr>
        <w:t>Retais atvejais miopatija/ rabdomiolizė buvo susijusi su HMG-CoA reduktazės inhibitorių ir lipidus modifikuojančių niacino (nikotino rūgšties) dozių (≥ 1 g per parą) vartojimu. Kiekvienas iš minėtų vaistinių preparatų, vartojami pavieniui, gali sukelti miopatiją</w:t>
      </w:r>
      <w:r w:rsidRPr="00A762B5">
        <w:rPr>
          <w:rFonts w:ascii="Times New Roman" w:eastAsia="SimSun" w:hAnsi="Times New Roman" w:cs="Times New Roman"/>
          <w:lang w:val="lt-LT" w:eastAsia="ja-JP"/>
        </w:rPr>
        <w:t>.</w:t>
      </w:r>
    </w:p>
    <w:p w14:paraId="35F28070"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lang w:val="lt-LT" w:eastAsia="ja-JP" w:bidi="ne-IN"/>
        </w:rPr>
      </w:pPr>
    </w:p>
    <w:p w14:paraId="333608D4"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bidi="ne-IN"/>
        </w:rPr>
      </w:pPr>
      <w:r w:rsidRPr="00A762B5">
        <w:rPr>
          <w:rFonts w:ascii="Times New Roman" w:eastAsia="Calibri" w:hAnsi="Times New Roman" w:cs="Times New Roman"/>
          <w:lang w:val="lt-LT" w:eastAsia="lt-LT"/>
        </w:rPr>
        <w:t xml:space="preserve">Klinikinio tyrimo (stebėjimo trukmės mediana 3,9 metų), kuriame dalyvavusiems pacientams buvo didelė kardiovaskulinių reiškinių rizika ir gerai kontroliuojamas mažo tankio lipoproteinų cholesterolio kiekis 40 mg simvastatino paros doze kartu su 10 mg ezetimibo arba be jo, </w:t>
      </w:r>
      <w:r w:rsidRPr="00A762B5">
        <w:rPr>
          <w:rFonts w:ascii="Times New Roman" w:eastAsia="Times New Roman" w:hAnsi="Times New Roman" w:cs="Times New Roman"/>
          <w:lang w:val="lt-LT" w:eastAsia="lt-LT"/>
        </w:rPr>
        <w:t>lipidus modifikuojančių niacino (nikotino rūgšties) dozių (≥ 1 g per parą) pridėjimas nedidino palankaus poveikio kardiovaskulinėms išeitims. Taigi, g</w:t>
      </w:r>
      <w:r w:rsidRPr="00A762B5">
        <w:rPr>
          <w:rFonts w:ascii="Times New Roman" w:eastAsia="SimSun" w:hAnsi="Times New Roman" w:cs="Times New Roman"/>
          <w:color w:val="000000"/>
          <w:lang w:val="lt-LT" w:eastAsia="ja-JP" w:bidi="ne-IN"/>
        </w:rPr>
        <w:t>ydytojai, svarstantys taikyti kombinuotą gydymą simvastatinu ir lipidus modifikuojančiomis niacino (nikotino rūgšties) dozėmis (≥ 1 g/parą) arba vaistiniais preparatais, kurių sudėtyje yra niacino, turi atidžiai apsvarstyti galimą naudą ir riziką bei atidžiai stebėti pacientus dėl bet kokių raumenų skausmo, jautrumo arba silpnumo požymių ir simptomų, ypač pirmaisiais gydymo mėnesiais ir kai padidinama bet kurio vaistinio preparato dozė.</w:t>
      </w:r>
    </w:p>
    <w:p w14:paraId="3AFD7313" w14:textId="77777777" w:rsidR="00A762B5" w:rsidRPr="00A762B5" w:rsidRDefault="00A762B5" w:rsidP="00A762B5">
      <w:pPr>
        <w:spacing w:after="0" w:line="240" w:lineRule="auto"/>
        <w:contextualSpacing/>
        <w:rPr>
          <w:rFonts w:ascii="Times New Roman" w:eastAsia="Times New Roman" w:hAnsi="Times New Roman" w:cs="Times New Roman"/>
          <w:lang w:val="lt-LT" w:bidi="ne-IN"/>
        </w:rPr>
      </w:pPr>
    </w:p>
    <w:p w14:paraId="28347360" w14:textId="55ED08DD"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bidi="ne-IN"/>
        </w:rPr>
        <w:t>Be to, šio</w:t>
      </w:r>
      <w:r w:rsidRPr="00A762B5">
        <w:rPr>
          <w:rFonts w:ascii="Times New Roman" w:eastAsia="Times New Roman" w:hAnsi="Times New Roman" w:cs="Times New Roman"/>
          <w:lang w:val="lt-LT" w:eastAsia="lt-LT"/>
        </w:rPr>
        <w:t xml:space="preserve"> klinikinio tyrimo </w:t>
      </w:r>
      <w:r w:rsidRPr="00A762B5">
        <w:rPr>
          <w:rFonts w:ascii="Times New Roman" w:eastAsia="Times New Roman" w:hAnsi="Times New Roman" w:cs="Times New Roman"/>
          <w:lang w:val="lt-LT" w:bidi="ne-IN"/>
        </w:rPr>
        <w:t>metu</w:t>
      </w:r>
      <w:r w:rsidRPr="00A762B5">
        <w:rPr>
          <w:rFonts w:ascii="Times New Roman" w:eastAsia="Times New Roman" w:hAnsi="Times New Roman" w:cs="Times New Roman"/>
          <w:lang w:val="lt-LT" w:eastAsia="lt-LT"/>
        </w:rPr>
        <w:t xml:space="preserve"> </w:t>
      </w:r>
      <w:r w:rsidRPr="00A762B5">
        <w:rPr>
          <w:rFonts w:ascii="Times New Roman" w:eastAsia="Calibri" w:hAnsi="Times New Roman" w:cs="Times New Roman"/>
          <w:lang w:val="lt-LT" w:eastAsia="lt-LT"/>
        </w:rPr>
        <w:t>miopatijos atvejų buvo maždaug 0,24 % pacientams kinams, vartojusiems 40 mg simvastatino arba 10 mg ezetimibo ir 40 mg simvastatino derinio, palyginti su 1,24 % pacientams kinams, vartojusiems 40 mg simvastatino arba 10 mg ezetimibo ir 40 mg simvastatino derinio kartu su modifikuoto atpalaidavimo 2</w:t>
      </w:r>
      <w:r w:rsidR="00545130">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000 mg nikotino rūgšties ir 40 mg l</w:t>
      </w:r>
      <w:r w:rsidRPr="00A762B5">
        <w:rPr>
          <w:rFonts w:ascii="Times New Roman" w:eastAsia="Times New Roman" w:hAnsi="Times New Roman" w:cs="Times New Roman"/>
          <w:lang w:val="lt-LT" w:eastAsia="lt-LT"/>
        </w:rPr>
        <w:t>aropipranto</w:t>
      </w:r>
      <w:r w:rsidRPr="00A762B5">
        <w:rPr>
          <w:rFonts w:ascii="Times New Roman" w:eastAsia="Calibri" w:hAnsi="Times New Roman" w:cs="Times New Roman"/>
          <w:lang w:val="lt-LT" w:eastAsia="lt-LT"/>
        </w:rPr>
        <w:t xml:space="preserve"> deriniu. Nors vienintelė šiame tyrime įvertinta Azijos populiacija buvo kinai, todėl, kad miopatijos atvejų dažnis pacientams kinams buvo didesnis, negu pacientams ne kinams, simvastatino vartoti kartu su </w:t>
      </w:r>
      <w:r w:rsidRPr="00A762B5">
        <w:rPr>
          <w:rFonts w:ascii="Times New Roman" w:eastAsia="Times New Roman" w:hAnsi="Times New Roman" w:cs="Times New Roman"/>
          <w:lang w:val="lt-LT" w:eastAsia="lt-LT"/>
        </w:rPr>
        <w:t>lipidus modifikuojančiomis niacino (nikotino rūgšties) dozėmis (≥ 1 g per parą) pacientams azijiečiams nerekomenduojama.</w:t>
      </w:r>
    </w:p>
    <w:p w14:paraId="7F3AEAA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24A405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Acipimoksas yra struktūriškai susijęs su niacinu. Nors acipimoksas netirtas, su raumenimis </w:t>
      </w:r>
      <w:r w:rsidR="00DD1C34" w:rsidRPr="00DD1C34">
        <w:rPr>
          <w:rFonts w:ascii="Times New Roman" w:eastAsia="Calibri" w:hAnsi="Times New Roman" w:cs="Times New Roman"/>
          <w:lang w:val="lt-LT" w:eastAsia="lt-LT"/>
        </w:rPr>
        <w:t>susijusi</w:t>
      </w:r>
      <w:r w:rsidR="00D35145">
        <w:rPr>
          <w:rFonts w:ascii="Times New Roman" w:eastAsia="Calibri" w:hAnsi="Times New Roman" w:cs="Times New Roman"/>
          <w:lang w:val="lt-LT" w:eastAsia="lt-LT"/>
        </w:rPr>
        <w:t>o</w:t>
      </w:r>
      <w:r w:rsidRPr="00A762B5">
        <w:rPr>
          <w:rFonts w:ascii="Times New Roman" w:eastAsia="Calibri" w:hAnsi="Times New Roman" w:cs="Times New Roman"/>
          <w:lang w:val="lt-LT" w:eastAsia="lt-LT"/>
        </w:rPr>
        <w:t xml:space="preserve"> toksinio poveikio rizika gali būti panaši į niacino.</w:t>
      </w:r>
    </w:p>
    <w:p w14:paraId="45936B13" w14:textId="77777777" w:rsidR="00A762B5" w:rsidRDefault="00A762B5" w:rsidP="00A762B5">
      <w:pPr>
        <w:spacing w:after="0" w:line="240" w:lineRule="auto"/>
        <w:contextualSpacing/>
        <w:rPr>
          <w:rFonts w:ascii="Times New Roman" w:eastAsia="Calibri" w:hAnsi="Times New Roman" w:cs="Times New Roman"/>
          <w:lang w:val="lt-LT" w:eastAsia="lt-LT"/>
        </w:rPr>
      </w:pPr>
    </w:p>
    <w:p w14:paraId="437FA273" w14:textId="77777777" w:rsidR="00311F7E" w:rsidRPr="00F95EF2" w:rsidRDefault="00311F7E" w:rsidP="00A762B5">
      <w:pPr>
        <w:spacing w:after="0" w:line="240" w:lineRule="auto"/>
        <w:contextualSpacing/>
        <w:rPr>
          <w:rFonts w:ascii="Times New Roman" w:eastAsia="Calibri" w:hAnsi="Times New Roman" w:cs="Times New Roman"/>
          <w:i/>
          <w:u w:val="single"/>
          <w:lang w:val="lt-LT" w:eastAsia="lt-LT"/>
        </w:rPr>
      </w:pPr>
      <w:r w:rsidRPr="00F95EF2">
        <w:rPr>
          <w:rFonts w:ascii="Times New Roman" w:eastAsia="Calibri" w:hAnsi="Times New Roman" w:cs="Times New Roman"/>
          <w:i/>
          <w:u w:val="single"/>
          <w:lang w:val="lt-LT" w:eastAsia="lt-LT"/>
        </w:rPr>
        <w:t>Daptomicinas</w:t>
      </w:r>
    </w:p>
    <w:p w14:paraId="1287FADC" w14:textId="77777777" w:rsidR="00311F7E" w:rsidRDefault="008016E5" w:rsidP="00A762B5">
      <w:pPr>
        <w:spacing w:after="0" w:line="240" w:lineRule="auto"/>
        <w:contextualSpacing/>
        <w:rPr>
          <w:rFonts w:ascii="Times New Roman" w:eastAsia="Calibri" w:hAnsi="Times New Roman" w:cs="Times New Roman"/>
          <w:lang w:val="lt-LT" w:eastAsia="lt-LT"/>
        </w:rPr>
      </w:pPr>
      <w:r w:rsidRPr="00F95EF2">
        <w:rPr>
          <w:rFonts w:ascii="Times New Roman" w:hAnsi="Times New Roman" w:cs="Times New Roman"/>
          <w:lang w:val="lt-LT"/>
        </w:rPr>
        <w:t>Gauta pranešimų apie miopatijos ir (arba) rabdomiolizės atvejus</w:t>
      </w:r>
      <w:r w:rsidR="006C1E44" w:rsidRPr="00F95EF2">
        <w:rPr>
          <w:rFonts w:ascii="Times New Roman" w:hAnsi="Times New Roman" w:cs="Times New Roman"/>
          <w:lang w:val="lt-LT"/>
        </w:rPr>
        <w:t>, pasireiškusius vartojant</w:t>
      </w:r>
      <w:r w:rsidRPr="00F95EF2">
        <w:rPr>
          <w:rFonts w:ascii="Times New Roman" w:eastAsia="Times New Roman" w:hAnsi="Times New Roman" w:cs="Times New Roman"/>
          <w:lang w:val="lt-LT" w:eastAsia="lt-LT"/>
        </w:rPr>
        <w:t xml:space="preserve"> HMG-CoA reduktazės inhibitorių (pvz., simvastatino) kartu su daptomicinu. Skiriant HMG-CoA reduktazės </w:t>
      </w:r>
      <w:r w:rsidRPr="00F95EF2">
        <w:rPr>
          <w:rFonts w:ascii="Times New Roman" w:eastAsia="Times New Roman" w:hAnsi="Times New Roman" w:cs="Times New Roman"/>
          <w:lang w:val="lt-LT" w:eastAsia="lt-LT"/>
        </w:rPr>
        <w:lastRenderedPageBreak/>
        <w:t>inhibitorių kartu su daptinomicinu</w:t>
      </w:r>
      <w:r w:rsidRPr="00F95EF2">
        <w:rPr>
          <w:rFonts w:ascii="Times New Roman" w:hAnsi="Times New Roman" w:cs="Times New Roman"/>
          <w:lang w:val="lt-LT"/>
        </w:rPr>
        <w:t xml:space="preserve"> reikia laikytis atsargumo, nes </w:t>
      </w:r>
      <w:r w:rsidR="00866CD8" w:rsidRPr="00F95EF2">
        <w:rPr>
          <w:rFonts w:ascii="Times New Roman" w:hAnsi="Times New Roman" w:cs="Times New Roman"/>
          <w:lang w:val="lt-LT"/>
        </w:rPr>
        <w:t xml:space="preserve">bet kuri minėta medžiaga, </w:t>
      </w:r>
      <w:r w:rsidRPr="00F95EF2">
        <w:rPr>
          <w:rFonts w:ascii="Times New Roman" w:hAnsi="Times New Roman" w:cs="Times New Roman"/>
          <w:lang w:val="lt-LT"/>
        </w:rPr>
        <w:t>vartojama viena</w:t>
      </w:r>
      <w:r w:rsidR="00866CD8" w:rsidRPr="00F95EF2">
        <w:rPr>
          <w:rFonts w:ascii="Times New Roman" w:hAnsi="Times New Roman" w:cs="Times New Roman"/>
          <w:lang w:val="lt-LT"/>
        </w:rPr>
        <w:t>,</w:t>
      </w:r>
      <w:r w:rsidRPr="00F95EF2">
        <w:rPr>
          <w:rFonts w:ascii="Times New Roman" w:hAnsi="Times New Roman" w:cs="Times New Roman"/>
          <w:lang w:val="lt-LT"/>
        </w:rPr>
        <w:t xml:space="preserve"> gali sukelti miopatiją.</w:t>
      </w:r>
      <w:r w:rsidR="00730A2A" w:rsidRPr="00F95EF2">
        <w:rPr>
          <w:rFonts w:ascii="Times New Roman" w:hAnsi="Times New Roman" w:cs="Times New Roman"/>
          <w:lang w:val="lt-LT"/>
        </w:rPr>
        <w:t xml:space="preserve"> Turi būti apsvarstytas laikinas simvastatino nutraukimas daptomicino vartojantiems pacientams, nebent vartojimo kartu nauda persveria riziką.</w:t>
      </w:r>
      <w:r w:rsidR="00866CD8" w:rsidRPr="00F95EF2">
        <w:rPr>
          <w:rFonts w:ascii="Times New Roman" w:hAnsi="Times New Roman" w:cs="Times New Roman"/>
          <w:lang w:val="lt-LT"/>
        </w:rPr>
        <w:t xml:space="preserve"> </w:t>
      </w:r>
      <w:r w:rsidR="00F5691D" w:rsidRPr="00F95EF2">
        <w:rPr>
          <w:rFonts w:ascii="Times New Roman" w:hAnsi="Times New Roman" w:cs="Times New Roman"/>
          <w:lang w:val="lt-LT"/>
        </w:rPr>
        <w:t>Reikalinga</w:t>
      </w:r>
      <w:r w:rsidR="00F5691D" w:rsidRPr="00F95EF2">
        <w:rPr>
          <w:rFonts w:ascii="Times New Roman" w:eastAsia="Times New Roman" w:hAnsi="Times New Roman" w:cs="Times New Roman"/>
          <w:lang w:val="lt-LT" w:eastAsia="lt-LT"/>
        </w:rPr>
        <w:t xml:space="preserve"> </w:t>
      </w:r>
      <w:r w:rsidR="00F5691D" w:rsidRPr="00F95EF2">
        <w:rPr>
          <w:rFonts w:ascii="Times New Roman" w:hAnsi="Times New Roman" w:cs="Times New Roman"/>
          <w:lang w:val="lt-LT"/>
        </w:rPr>
        <w:t>peržiūrėti daptomicino išrašymo informaciją, kad</w:t>
      </w:r>
      <w:r w:rsidR="00866CD8" w:rsidRPr="00F95EF2">
        <w:rPr>
          <w:rFonts w:ascii="Times New Roman" w:hAnsi="Times New Roman" w:cs="Times New Roman"/>
          <w:lang w:val="lt-LT"/>
        </w:rPr>
        <w:t xml:space="preserve"> gauti papildomos informacijos </w:t>
      </w:r>
      <w:r w:rsidR="00730A2A" w:rsidRPr="00F95EF2">
        <w:rPr>
          <w:rFonts w:ascii="Times New Roman" w:hAnsi="Times New Roman" w:cs="Times New Roman"/>
          <w:lang w:val="lt-LT"/>
        </w:rPr>
        <w:t>api</w:t>
      </w:r>
      <w:r w:rsidR="00866CD8" w:rsidRPr="00F95EF2">
        <w:rPr>
          <w:rFonts w:ascii="Times New Roman" w:hAnsi="Times New Roman" w:cs="Times New Roman"/>
          <w:lang w:val="lt-LT"/>
        </w:rPr>
        <w:t>e</w:t>
      </w:r>
      <w:r w:rsidR="00730A2A" w:rsidRPr="00F95EF2">
        <w:rPr>
          <w:rFonts w:ascii="Times New Roman" w:hAnsi="Times New Roman" w:cs="Times New Roman"/>
          <w:lang w:val="lt-LT"/>
        </w:rPr>
        <w:t xml:space="preserve"> ši</w:t>
      </w:r>
      <w:r w:rsidR="00866CD8" w:rsidRPr="00F95EF2">
        <w:rPr>
          <w:rFonts w:ascii="Times New Roman" w:hAnsi="Times New Roman" w:cs="Times New Roman"/>
          <w:lang w:val="lt-LT"/>
        </w:rPr>
        <w:t>ą</w:t>
      </w:r>
      <w:r w:rsidR="00730A2A" w:rsidRPr="00F95EF2">
        <w:rPr>
          <w:rFonts w:ascii="Times New Roman" w:hAnsi="Times New Roman" w:cs="Times New Roman"/>
          <w:lang w:val="lt-LT"/>
        </w:rPr>
        <w:t xml:space="preserve"> galimą </w:t>
      </w:r>
      <w:r w:rsidR="00866CD8" w:rsidRPr="00F95EF2">
        <w:rPr>
          <w:rFonts w:ascii="Times New Roman" w:hAnsi="Times New Roman" w:cs="Times New Roman"/>
          <w:lang w:val="lt-LT"/>
        </w:rPr>
        <w:t xml:space="preserve">sąveiką su </w:t>
      </w:r>
      <w:r w:rsidR="00866CD8" w:rsidRPr="00F95EF2">
        <w:rPr>
          <w:rFonts w:ascii="Times New Roman" w:eastAsia="Times New Roman" w:hAnsi="Times New Roman" w:cs="Times New Roman"/>
          <w:lang w:val="lt-LT" w:eastAsia="lt-LT"/>
        </w:rPr>
        <w:t>HMG-CoA reduktazės inhibitoriais (pvz., simva</w:t>
      </w:r>
      <w:r w:rsidR="0076789B" w:rsidRPr="00F95EF2">
        <w:rPr>
          <w:rFonts w:ascii="Times New Roman" w:eastAsia="Times New Roman" w:hAnsi="Times New Roman" w:cs="Times New Roman"/>
          <w:lang w:val="lt-LT" w:eastAsia="lt-LT"/>
        </w:rPr>
        <w:t>s</w:t>
      </w:r>
      <w:r w:rsidR="00866CD8" w:rsidRPr="00F95EF2">
        <w:rPr>
          <w:rFonts w:ascii="Times New Roman" w:eastAsia="Times New Roman" w:hAnsi="Times New Roman" w:cs="Times New Roman"/>
          <w:lang w:val="lt-LT" w:eastAsia="lt-LT"/>
        </w:rPr>
        <w:t xml:space="preserve">tatinu) ir </w:t>
      </w:r>
      <w:r w:rsidR="00F5691D" w:rsidRPr="00F95EF2">
        <w:rPr>
          <w:rFonts w:ascii="Times New Roman" w:eastAsia="Times New Roman" w:hAnsi="Times New Roman" w:cs="Times New Roman"/>
          <w:lang w:val="lt-LT" w:eastAsia="lt-LT"/>
        </w:rPr>
        <w:t>smulkesnių</w:t>
      </w:r>
      <w:r w:rsidR="00866CD8" w:rsidRPr="00F95EF2">
        <w:rPr>
          <w:rFonts w:ascii="Times New Roman" w:eastAsia="Times New Roman" w:hAnsi="Times New Roman" w:cs="Times New Roman"/>
          <w:lang w:val="lt-LT" w:eastAsia="lt-LT"/>
        </w:rPr>
        <w:t xml:space="preserve"> patarimų dėl stebėjimo </w:t>
      </w:r>
      <w:r w:rsidR="00866CD8" w:rsidRPr="00F95EF2">
        <w:rPr>
          <w:rFonts w:ascii="Times New Roman" w:hAnsi="Times New Roman" w:cs="Times New Roman"/>
          <w:lang w:val="lt-LT"/>
        </w:rPr>
        <w:t>(žr</w:t>
      </w:r>
      <w:r w:rsidR="00F5691D" w:rsidRPr="00F95EF2">
        <w:rPr>
          <w:rFonts w:ascii="Times New Roman" w:hAnsi="Times New Roman" w:cs="Times New Roman"/>
          <w:lang w:val="lt-LT"/>
        </w:rPr>
        <w:t>.4.5 skyrių).</w:t>
      </w:r>
      <w:r w:rsidR="00866CD8">
        <w:rPr>
          <w:rFonts w:ascii="Times New Roman" w:hAnsi="Times New Roman" w:cs="Times New Roman"/>
          <w:lang w:val="lt-LT"/>
        </w:rPr>
        <w:t xml:space="preserve"> </w:t>
      </w:r>
    </w:p>
    <w:p w14:paraId="05AF7EAD" w14:textId="77777777" w:rsidR="00311F7E" w:rsidRPr="00A762B5" w:rsidRDefault="00311F7E" w:rsidP="00A762B5">
      <w:pPr>
        <w:spacing w:after="0" w:line="240" w:lineRule="auto"/>
        <w:contextualSpacing/>
        <w:rPr>
          <w:rFonts w:ascii="Times New Roman" w:eastAsia="Calibri" w:hAnsi="Times New Roman" w:cs="Times New Roman"/>
          <w:lang w:val="lt-LT" w:eastAsia="lt-LT"/>
        </w:rPr>
      </w:pPr>
    </w:p>
    <w:p w14:paraId="389B6187" w14:textId="77777777" w:rsidR="00A762B5" w:rsidRPr="00A762B5" w:rsidRDefault="00A762B5" w:rsidP="00A762B5">
      <w:pPr>
        <w:spacing w:after="0" w:line="240" w:lineRule="auto"/>
        <w:contextualSpacing/>
        <w:rPr>
          <w:rFonts w:ascii="Times New Roman" w:eastAsia="Calibri" w:hAnsi="Times New Roman" w:cs="Times New Roman"/>
          <w:i/>
          <w:u w:val="single"/>
          <w:lang w:val="lt-LT" w:eastAsia="lt-LT"/>
        </w:rPr>
      </w:pPr>
      <w:r w:rsidRPr="00A762B5">
        <w:rPr>
          <w:rFonts w:ascii="Times New Roman" w:eastAsia="Calibri" w:hAnsi="Times New Roman" w:cs="Times New Roman"/>
          <w:i/>
          <w:u w:val="single"/>
          <w:lang w:val="lt-LT" w:eastAsia="lt-LT"/>
        </w:rPr>
        <w:t>Poveikis kepenims</w:t>
      </w:r>
    </w:p>
    <w:p w14:paraId="3BF9581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Klinikinių tyrimų duomenimis, keliems simvastatino vartojantiems suaugusiems pacientams serume buvo nuolat padidėjęs t.y. daugiau nei tris kartus didesnis už viršutinę normos ribą, transaminazių aktyvumas. Šiems pacientams simvastatino vartojimą laikinai nutraukus arba baigus, paprastai transaminazių aktyvumas iš lėto sumažėjo iki prieš gydymą buvusio lygio.</w:t>
      </w:r>
    </w:p>
    <w:p w14:paraId="67B5B20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07C063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Rekomenduojama ištirti kepenų funkciją, prieš pradedant vartoti simvastatino ir po to, kai kliniškai reikalinga. Pacientams, kuriems paros dozė didinama iki 80 mg, prieš kiekvieną dozės didinimą, po dozės padidinimo iki 80 mg praėjus trims mėnesiams ir po to per pirmuosius gydymo metus reguliariai, pvz., kas pusmetį reikia papildomai ištirti kepenų veiklą. Jei serume padidėja transaminazių aktyvumas, pacientą būtina labai atidžiai stebėti, nedelsiant iš naujo nustatyti minėtų fermentų aktyvumą ir jį dažniau kartoti. Jei transaminazių aktyvumas didėja, ypač jei jis tampa tris kartus didesnis už viršutinę normos ribą ir toks laikosi, simvastatino vartojimą reikia nutraukti. </w:t>
      </w:r>
    </w:p>
    <w:p w14:paraId="710865D7" w14:textId="77777777"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lang w:val="lt-LT" w:eastAsia="zh-CN" w:bidi="lo-LA"/>
        </w:rPr>
      </w:pPr>
      <w:r w:rsidRPr="00A762B5">
        <w:rPr>
          <w:rFonts w:ascii="Times New Roman" w:eastAsia="SimSun" w:hAnsi="Times New Roman" w:cs="Times New Roman"/>
          <w:lang w:val="lt-LT" w:eastAsia="zh-CN" w:bidi="lo-LA"/>
        </w:rPr>
        <w:t xml:space="preserve">ALT gali atsipalaiduoti iš raumenų, todėl ALT aktyvumo didėjimas kartu su KK aktyvumo didėjimu gali rodyti miopatiją (žr. anksčiau esantį poskyrį </w:t>
      </w:r>
      <w:r w:rsidRPr="00A762B5">
        <w:rPr>
          <w:rFonts w:ascii="Times New Roman" w:eastAsia="SimSun" w:hAnsi="Times New Roman" w:cs="Times New Roman"/>
          <w:i/>
          <w:iCs/>
          <w:lang w:val="lt-LT" w:eastAsia="zh-CN" w:bidi="lo-LA"/>
        </w:rPr>
        <w:t>Miopatija/Rabdomiolizė</w:t>
      </w:r>
      <w:r w:rsidRPr="00A762B5">
        <w:rPr>
          <w:rFonts w:ascii="Times New Roman" w:eastAsia="SimSun" w:hAnsi="Times New Roman" w:cs="Times New Roman"/>
          <w:lang w:val="lt-LT" w:eastAsia="zh-CN" w:bidi="lo-LA"/>
        </w:rPr>
        <w:t>).</w:t>
      </w:r>
    </w:p>
    <w:p w14:paraId="6A37E9D4" w14:textId="77777777"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lang w:val="lt-LT" w:eastAsia="zh-CN" w:bidi="lo-LA"/>
        </w:rPr>
      </w:pPr>
    </w:p>
    <w:p w14:paraId="7E126C9D" w14:textId="0D742101"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lang w:val="lt-LT" w:eastAsia="zh-CN" w:bidi="lo-LA"/>
        </w:rPr>
      </w:pPr>
      <w:r w:rsidRPr="00A762B5">
        <w:rPr>
          <w:rFonts w:ascii="Times New Roman" w:eastAsia="SimSun" w:hAnsi="Times New Roman" w:cs="Times New Roman"/>
          <w:lang w:val="lt-LT" w:eastAsia="zh-CN" w:bidi="lo-LA"/>
        </w:rPr>
        <w:t>Po vaistinio preparato pateikimo į rinką retai gauta pranešimų apie mirtiną ir nemirtiną kepenų nepakankamumą statinų, įskaitant simvastatiną, vartojantiems pacientams. Jei gydymo simvastatinu metu pasireiškia sunkus kepenų pažeidimas su klinikiniais simptomais ir (arba) hiperbilirubinemija ar gelta, gydymą reikia nedelsiant sustabdyti. Jei kitokios tokio poveikio priežasties nenustatoma, gydym</w:t>
      </w:r>
      <w:r w:rsidR="001572ED">
        <w:rPr>
          <w:rFonts w:ascii="Times New Roman" w:eastAsia="SimSun" w:hAnsi="Times New Roman" w:cs="Times New Roman"/>
          <w:lang w:val="lt-LT" w:eastAsia="zh-CN" w:bidi="lo-LA"/>
        </w:rPr>
        <w:t>ą</w:t>
      </w:r>
      <w:r w:rsidRPr="00A762B5">
        <w:rPr>
          <w:rFonts w:ascii="Times New Roman" w:eastAsia="SimSun" w:hAnsi="Times New Roman" w:cs="Times New Roman"/>
          <w:lang w:val="lt-LT" w:eastAsia="zh-CN" w:bidi="lo-LA"/>
        </w:rPr>
        <w:t xml:space="preserve"> simvastatinu atnaujinti </w:t>
      </w:r>
      <w:r w:rsidR="001572ED">
        <w:rPr>
          <w:rFonts w:ascii="Times New Roman" w:eastAsia="SimSun" w:hAnsi="Times New Roman" w:cs="Times New Roman"/>
          <w:lang w:val="lt-LT" w:eastAsia="zh-CN" w:bidi="lo-LA"/>
        </w:rPr>
        <w:t>draudžiama</w:t>
      </w:r>
      <w:r w:rsidRPr="00A762B5">
        <w:rPr>
          <w:rFonts w:ascii="Times New Roman" w:eastAsia="SimSun" w:hAnsi="Times New Roman" w:cs="Times New Roman"/>
          <w:lang w:val="lt-LT" w:eastAsia="zh-CN" w:bidi="lo-LA"/>
        </w:rPr>
        <w:t>.</w:t>
      </w:r>
    </w:p>
    <w:p w14:paraId="23DDB3E1" w14:textId="77777777" w:rsidR="00A762B5" w:rsidRPr="00A762B5" w:rsidRDefault="00A762B5" w:rsidP="00A762B5">
      <w:pPr>
        <w:spacing w:after="0" w:line="240" w:lineRule="auto"/>
        <w:contextualSpacing/>
        <w:rPr>
          <w:rFonts w:ascii="Times New Roman" w:eastAsia="SimSun" w:hAnsi="Times New Roman" w:cs="Times New Roman"/>
          <w:lang w:val="lt-LT" w:eastAsia="zh-CN" w:bidi="lo-LA"/>
        </w:rPr>
      </w:pPr>
    </w:p>
    <w:p w14:paraId="0B4A877F" w14:textId="77777777" w:rsidR="00A762B5" w:rsidRPr="00A762B5" w:rsidRDefault="00A762B5" w:rsidP="00A762B5">
      <w:pPr>
        <w:spacing w:after="0" w:line="240" w:lineRule="auto"/>
        <w:contextualSpacing/>
        <w:rPr>
          <w:rFonts w:ascii="Times New Roman" w:eastAsia="SimSun" w:hAnsi="Times New Roman" w:cs="Times New Roman"/>
          <w:lang w:val="lt-LT" w:eastAsia="zh-CN" w:bidi="lo-LA"/>
        </w:rPr>
      </w:pPr>
      <w:r w:rsidRPr="00A762B5">
        <w:rPr>
          <w:rFonts w:ascii="Times New Roman" w:eastAsia="SimSun" w:hAnsi="Times New Roman" w:cs="Times New Roman"/>
          <w:lang w:val="lt-LT" w:eastAsia="zh-CN" w:bidi="lo-LA"/>
        </w:rPr>
        <w:t>Vaistinio preparato turi būti vartojama atsargiai pacientams, kurie geria didelius kiekius alkoholio.</w:t>
      </w:r>
    </w:p>
    <w:p w14:paraId="453CD4E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9C14E0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Vartojant simvastatino, kaip ir kitų vaistinių preparatų, mažinančių lipidų kiekį kraujyje, pastebėtas vidutiniškas (mažiau kaip 3 kartus viršijantis viršutinę rodmens normos ribą) serumo transaminazių aktyvumo padidėjimas. Šių pokyčių atsirasdavo gydymo simvastatinu pradžioje, dažniausiai jie būdavo laikini, nesukeldavo jokių simptomų ir dėl to gydymo nutraukti nereikėdavo.</w:t>
      </w:r>
    </w:p>
    <w:p w14:paraId="17DA684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0DE9B65" w14:textId="77777777" w:rsidR="00A762B5" w:rsidRPr="00A762B5" w:rsidRDefault="00A762B5" w:rsidP="00A762B5">
      <w:pPr>
        <w:spacing w:after="0" w:line="240" w:lineRule="auto"/>
        <w:contextualSpacing/>
        <w:rPr>
          <w:rFonts w:ascii="Times New Roman" w:eastAsia="Calibri" w:hAnsi="Times New Roman" w:cs="Times New Roman"/>
          <w:i/>
          <w:u w:val="single"/>
          <w:lang w:val="lt-LT" w:eastAsia="lt-LT"/>
        </w:rPr>
      </w:pPr>
      <w:r w:rsidRPr="00A762B5">
        <w:rPr>
          <w:rFonts w:ascii="Times New Roman" w:eastAsia="Calibri" w:hAnsi="Times New Roman" w:cs="Times New Roman"/>
          <w:i/>
          <w:u w:val="single"/>
          <w:lang w:val="lt-LT" w:eastAsia="lt-LT"/>
        </w:rPr>
        <w:t>Cukrinis diabetas</w:t>
      </w:r>
    </w:p>
    <w:p w14:paraId="66FC4F5A" w14:textId="77777777" w:rsidR="00A762B5" w:rsidRPr="00A762B5" w:rsidRDefault="00A762B5" w:rsidP="00A762B5">
      <w:pPr>
        <w:spacing w:after="0" w:line="240" w:lineRule="auto"/>
        <w:contextualSpacing/>
        <w:rPr>
          <w:rFonts w:ascii="Times New Roman" w:eastAsia="Calibri" w:hAnsi="Times New Roman" w:cs="Times New Roman"/>
          <w:i/>
          <w:iCs/>
          <w:color w:val="000000"/>
          <w:lang w:val="lt-LT" w:eastAsia="lt-LT"/>
        </w:rPr>
      </w:pPr>
      <w:r w:rsidRPr="00A762B5">
        <w:rPr>
          <w:rFonts w:ascii="Times New Roman" w:eastAsia="Calibri" w:hAnsi="Times New Roman" w:cs="Times New Roman"/>
          <w:lang w:val="lt-LT" w:eastAsia="lt-LT"/>
        </w:rPr>
        <w:t xml:space="preserve">Yra duomenų, kurie rodo, kad statinų klasės preparatai didina gliukozės kiekį kraujyje ir kai kuriems pacientams, kuriems didelė cukrinio diabeto išsivystymo rizika, gali sukelti tokią hiperglikemiją, </w:t>
      </w:r>
      <w:r w:rsidRPr="00A762B5">
        <w:rPr>
          <w:rFonts w:ascii="Times New Roman" w:eastAsia="Times New Roman" w:hAnsi="Times New Roman" w:cs="Times New Roman"/>
          <w:lang w:val="lt-LT" w:eastAsia="lt-LT"/>
        </w:rPr>
        <w:t>dėl kurios taikytinas gydymas kaip sergant cukriniu diabetu.</w:t>
      </w:r>
      <w:r w:rsidRPr="00A762B5">
        <w:rPr>
          <w:rFonts w:ascii="Times New Roman" w:eastAsia="Calibri" w:hAnsi="Times New Roman" w:cs="Times New Roman"/>
          <w:lang w:val="lt-LT" w:eastAsia="lt-LT"/>
        </w:rPr>
        <w:t xml:space="preserve"> </w:t>
      </w:r>
      <w:r w:rsidRPr="00A762B5">
        <w:rPr>
          <w:rFonts w:ascii="Times New Roman" w:eastAsia="Times New Roman" w:hAnsi="Times New Roman" w:cs="Times New Roman"/>
          <w:lang w:val="lt-LT" w:eastAsia="lt-LT"/>
        </w:rPr>
        <w:t>Vis dėlto šią riziką nusveria statinų sukeliamas kraujagyslių ligų rizikos sumažėjimas, todėl tai neturi būti priežastis nutraukti gydymą statinais. Rizikos grupės pacientams (gliukozės kiekis nevalgius nuo 5,6 iki 6,9 mmol/l, KMI &gt; 30 kg/m</w:t>
      </w:r>
      <w:r w:rsidRPr="00A762B5">
        <w:rPr>
          <w:rFonts w:ascii="Times New Roman" w:eastAsia="Times New Roman" w:hAnsi="Times New Roman" w:cs="Times New Roman"/>
          <w:vertAlign w:val="superscript"/>
          <w:lang w:val="lt-LT" w:eastAsia="lt-LT"/>
        </w:rPr>
        <w:t>2</w:t>
      </w:r>
      <w:r w:rsidRPr="00A762B5">
        <w:rPr>
          <w:rFonts w:ascii="Times New Roman" w:eastAsia="Times New Roman" w:hAnsi="Times New Roman" w:cs="Times New Roman"/>
          <w:lang w:val="lt-LT" w:eastAsia="lt-LT"/>
        </w:rPr>
        <w:t>, padidėjęs trigliceridų kiekis, hipertenzija) būtinas klinikinių ir biocheminių rodmenų stebėjimas laikantis nacionalinių rekomendacijų.</w:t>
      </w:r>
    </w:p>
    <w:p w14:paraId="787D0B7B"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p>
    <w:p w14:paraId="702E5B14" w14:textId="77777777" w:rsidR="00A762B5" w:rsidRPr="00A762B5" w:rsidRDefault="00A762B5" w:rsidP="00A762B5">
      <w:pPr>
        <w:spacing w:after="0" w:line="240" w:lineRule="auto"/>
        <w:contextualSpacing/>
        <w:rPr>
          <w:rFonts w:ascii="Times New Roman" w:eastAsia="Calibri" w:hAnsi="Times New Roman" w:cs="Times New Roman"/>
          <w:i/>
          <w:color w:val="000000"/>
          <w:u w:val="single"/>
          <w:lang w:val="lt-LT" w:eastAsia="lt-LT"/>
        </w:rPr>
      </w:pPr>
      <w:r w:rsidRPr="00A762B5">
        <w:rPr>
          <w:rFonts w:ascii="Times New Roman" w:eastAsia="Calibri" w:hAnsi="Times New Roman" w:cs="Times New Roman"/>
          <w:i/>
          <w:color w:val="000000"/>
          <w:u w:val="single"/>
          <w:lang w:val="lt-LT" w:eastAsia="lt-LT"/>
        </w:rPr>
        <w:t xml:space="preserve">Intersticinė plaučių liga </w:t>
      </w:r>
    </w:p>
    <w:p w14:paraId="3D68EF99" w14:textId="77777777" w:rsidR="00A762B5" w:rsidRPr="00A762B5" w:rsidRDefault="00A762B5" w:rsidP="00A762B5">
      <w:pPr>
        <w:spacing w:after="0" w:line="240" w:lineRule="auto"/>
        <w:contextualSpacing/>
        <w:rPr>
          <w:rFonts w:ascii="Times New Roman" w:eastAsia="Calibri" w:hAnsi="Times New Roman" w:cs="Times New Roman"/>
          <w:color w:val="000000"/>
          <w:lang w:val="lt-LT" w:eastAsia="lt-LT"/>
        </w:rPr>
      </w:pPr>
      <w:r w:rsidRPr="00A762B5">
        <w:rPr>
          <w:rFonts w:ascii="Times New Roman" w:eastAsia="Calibri" w:hAnsi="Times New Roman" w:cs="Times New Roman"/>
          <w:color w:val="000000"/>
          <w:lang w:val="lt-LT" w:eastAsia="lt-LT"/>
        </w:rPr>
        <w:t>Vartojant kai kurių statinų, įskaitant simvastatiną, ypač ilgalaikio gydymo metu, gauta pranešimų apie intersticinę plaučių ligą (žr. 4.8 skyrių). Ji gali pasireikšti dusuliu, neproduktyviu kosuliu ir bendrais sveikatos sutrikimais (nuovargiu, svorio kritimu ir karščiavimu). Jeigu įtariama, kad pacientui išsivystė intersticinė plaučių liga, gydymą statinu reikia nutraukti.</w:t>
      </w:r>
    </w:p>
    <w:p w14:paraId="7DBC989F" w14:textId="77777777" w:rsidR="00A762B5" w:rsidRPr="00A762B5" w:rsidRDefault="00A762B5" w:rsidP="00A762B5">
      <w:pPr>
        <w:spacing w:after="0" w:line="240" w:lineRule="auto"/>
        <w:contextualSpacing/>
        <w:rPr>
          <w:rFonts w:ascii="Times New Roman" w:eastAsia="Calibri" w:hAnsi="Times New Roman" w:cs="Times New Roman"/>
          <w:color w:val="000000"/>
          <w:lang w:val="lt-LT" w:eastAsia="lt-LT"/>
        </w:rPr>
      </w:pPr>
    </w:p>
    <w:p w14:paraId="4737F603" w14:textId="77777777" w:rsidR="00A762B5" w:rsidRPr="006E771E" w:rsidRDefault="00A762B5" w:rsidP="00A762B5">
      <w:pPr>
        <w:widowControl w:val="0"/>
        <w:spacing w:after="0" w:line="240" w:lineRule="auto"/>
        <w:ind w:right="-57"/>
        <w:contextualSpacing/>
        <w:rPr>
          <w:rFonts w:ascii="Times New Roman" w:eastAsia="Calibri" w:hAnsi="Times New Roman" w:cs="Times New Roman"/>
          <w:i/>
          <w:u w:val="single"/>
          <w:lang w:val="lt-LT" w:eastAsia="lt-LT"/>
        </w:rPr>
      </w:pPr>
      <w:r w:rsidRPr="006E771E">
        <w:rPr>
          <w:rFonts w:ascii="Times New Roman" w:eastAsia="Calibri" w:hAnsi="Times New Roman" w:cs="Times New Roman"/>
          <w:i/>
          <w:u w:val="single"/>
          <w:lang w:val="lt-LT" w:eastAsia="lt-LT"/>
        </w:rPr>
        <w:t>Vaikų populiacija</w:t>
      </w:r>
    </w:p>
    <w:p w14:paraId="48E59A72" w14:textId="77777777" w:rsidR="00A762B5" w:rsidRPr="00A762B5" w:rsidRDefault="00A762B5" w:rsidP="00A762B5">
      <w:pPr>
        <w:widowControl w:val="0"/>
        <w:spacing w:after="0" w:line="240" w:lineRule="auto"/>
        <w:ind w:right="-5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Simvastatino saugumas ir veiksmingumas 10</w:t>
      </w:r>
      <w:r w:rsidRPr="00A762B5">
        <w:rPr>
          <w:rFonts w:ascii="Times New Roman" w:eastAsia="Calibri" w:hAnsi="Times New Roman" w:cs="Times New Roman"/>
          <w:lang w:val="lt-LT" w:eastAsia="lt-LT"/>
        </w:rPr>
        <w:noBreakHyphen/>
        <w:t xml:space="preserve">17 metų pacientams, sergantiems heterozigotine šeimine hipercholesterolemija, buvo tirtas kontroliuojamų tyrimų su paaugliais berniukais II-os arba aukštesnės išsivystymo stadijos pagal Tanner ir mergaitėmis, kurioms ne trumpiau kaip vienerius metus yra menstruacijos. Pacientams, gydytiems simvastatinu, nepageidaujamų reakcijų profilis iš esmės buvo toks pat, kaip ir pacientams, gydytiems placebu. Didesnės kaip 40 mg paros dozės šioje populiacijoje </w:t>
      </w:r>
      <w:r w:rsidRPr="00A762B5">
        <w:rPr>
          <w:rFonts w:ascii="Times New Roman" w:eastAsia="Calibri" w:hAnsi="Times New Roman" w:cs="Times New Roman"/>
          <w:lang w:val="lt-LT" w:eastAsia="lt-LT"/>
        </w:rPr>
        <w:lastRenderedPageBreak/>
        <w:t xml:space="preserve">netirtos. Šiame ribotame kontroliuojamame klinikiniame tyrime paaugliams berniukams ir mergaitėms nebuvo nustatyta poveikio augimui arba lytiniam brendimui bei jokio poveikio mergaičių menstruacijų trukmei (žr. 4.2, 4.8 ir 5.1 skyrius). Paauglės mergaitės simvastatino vartojimo laikotarpiu turi naudoti tinkamas kontraceptines priemones (žr. skyrius 4.3 ir 4.6). Jaunesniems nei 18 metų pacientams veiksmingumas ir saugumas, gydant ilgiau kaip 48 savaites, netirtas ir ilgalaikis poveikis fiziniam, intelektualiniam ir lytiniam brendimui nežinomas. Simvastatino vartojimas jaunesniems kaip 10 metų pacientams, lytiškai bręstantiems vaikams ir mergaitėms, kurioms dar nėra menstruacijų, netirtas. </w:t>
      </w:r>
    </w:p>
    <w:p w14:paraId="2B62DA96" w14:textId="77777777" w:rsidR="00A762B5" w:rsidRPr="00A762B5" w:rsidRDefault="00A762B5" w:rsidP="00A762B5">
      <w:pPr>
        <w:widowControl w:val="0"/>
        <w:spacing w:after="0" w:line="240" w:lineRule="auto"/>
        <w:ind w:right="-57"/>
        <w:contextualSpacing/>
        <w:rPr>
          <w:rFonts w:ascii="Times New Roman" w:eastAsia="Calibri" w:hAnsi="Times New Roman" w:cs="Times New Roman"/>
          <w:lang w:val="lt-LT" w:eastAsia="lt-LT"/>
        </w:rPr>
      </w:pPr>
    </w:p>
    <w:p w14:paraId="0A6877CC" w14:textId="5FE4AA76" w:rsidR="00A762B5" w:rsidRPr="00A762B5" w:rsidRDefault="00A762B5" w:rsidP="00763E9B">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Sudėtyje yra laktozės. </w:t>
      </w:r>
      <w:r w:rsidR="00763E9B" w:rsidRPr="00763E9B">
        <w:rPr>
          <w:rFonts w:ascii="Times New Roman" w:eastAsia="Calibri" w:hAnsi="Times New Roman" w:cs="Times New Roman"/>
          <w:lang w:val="lt-LT" w:eastAsia="lt-LT"/>
        </w:rPr>
        <w:t>Šio vaistinio preparato negalima</w:t>
      </w:r>
      <w:r w:rsidR="00763E9B">
        <w:rPr>
          <w:rFonts w:ascii="Times New Roman" w:eastAsia="Calibri" w:hAnsi="Times New Roman" w:cs="Times New Roman"/>
          <w:lang w:val="lt-LT" w:eastAsia="lt-LT"/>
        </w:rPr>
        <w:t xml:space="preserve"> </w:t>
      </w:r>
      <w:r w:rsidR="00763E9B" w:rsidRPr="00763E9B">
        <w:rPr>
          <w:rFonts w:ascii="Times New Roman" w:eastAsia="Calibri" w:hAnsi="Times New Roman" w:cs="Times New Roman"/>
          <w:lang w:val="lt-LT" w:eastAsia="lt-LT"/>
        </w:rPr>
        <w:t>vartoti</w:t>
      </w:r>
      <w:r w:rsidR="00763E9B">
        <w:rPr>
          <w:rFonts w:ascii="Times New Roman" w:eastAsia="Calibri" w:hAnsi="Times New Roman" w:cs="Times New Roman"/>
          <w:lang w:val="lt-LT" w:eastAsia="lt-LT"/>
        </w:rPr>
        <w:t xml:space="preserve"> p</w:t>
      </w:r>
      <w:r w:rsidRPr="00A762B5">
        <w:rPr>
          <w:rFonts w:ascii="Times New Roman" w:eastAsia="Calibri" w:hAnsi="Times New Roman" w:cs="Times New Roman"/>
          <w:lang w:val="lt-LT" w:eastAsia="lt-LT"/>
        </w:rPr>
        <w:t xml:space="preserve">acientams, kuriems nustatytas retas paveldimas sutrikimas </w:t>
      </w:r>
      <w:r w:rsidR="00763E9B">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 xml:space="preserve">galaktozės netoleravimas, </w:t>
      </w:r>
      <w:r w:rsidR="00763E9B">
        <w:rPr>
          <w:rFonts w:ascii="Times New Roman" w:eastAsia="Calibri" w:hAnsi="Times New Roman" w:cs="Times New Roman"/>
          <w:lang w:val="lt-LT" w:eastAsia="lt-LT"/>
        </w:rPr>
        <w:t xml:space="preserve">visiškas </w:t>
      </w:r>
      <w:r w:rsidRPr="00A762B5">
        <w:rPr>
          <w:rFonts w:ascii="Times New Roman" w:eastAsia="Calibri" w:hAnsi="Times New Roman" w:cs="Times New Roman"/>
          <w:lang w:val="lt-LT" w:eastAsia="lt-LT"/>
        </w:rPr>
        <w:t xml:space="preserve">laktazės </w:t>
      </w:r>
      <w:r w:rsidR="00763E9B">
        <w:rPr>
          <w:rFonts w:ascii="Times New Roman" w:eastAsia="Calibri" w:hAnsi="Times New Roman" w:cs="Times New Roman"/>
          <w:lang w:val="lt-LT" w:eastAsia="lt-LT"/>
        </w:rPr>
        <w:t>stygius</w:t>
      </w:r>
      <w:r w:rsidR="00763E9B" w:rsidRPr="00A762B5">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arba gliukozės ir galaktozės malabsorbcija.</w:t>
      </w:r>
    </w:p>
    <w:p w14:paraId="64C895A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E2187D2"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4.5</w:t>
      </w:r>
      <w:r w:rsidRPr="00A762B5">
        <w:rPr>
          <w:rFonts w:ascii="Times New Roman" w:eastAsia="Calibri" w:hAnsi="Times New Roman" w:cs="Times New Roman"/>
          <w:b/>
          <w:lang w:val="lt-LT" w:eastAsia="lt-LT"/>
        </w:rPr>
        <w:tab/>
        <w:t>Sąveika su kitais vaistiniais preparatais ir kitokia sąveika</w:t>
      </w:r>
    </w:p>
    <w:p w14:paraId="67647BE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4F2F7A9" w14:textId="77777777" w:rsidR="006B0056" w:rsidRDefault="00F4591C" w:rsidP="004D08C2">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Daugelis veiksnių gali prisidėti prie potencialios</w:t>
      </w:r>
      <w:r w:rsidR="006B0056">
        <w:rPr>
          <w:rFonts w:ascii="Times New Roman" w:eastAsia="Calibri" w:hAnsi="Times New Roman" w:cs="Times New Roman"/>
          <w:lang w:val="lt-LT" w:eastAsia="lt-LT"/>
        </w:rPr>
        <w:t xml:space="preserve"> sąveik</w:t>
      </w:r>
      <w:r w:rsidR="008C4067">
        <w:rPr>
          <w:rFonts w:ascii="Times New Roman" w:eastAsia="Calibri" w:hAnsi="Times New Roman" w:cs="Times New Roman"/>
          <w:lang w:val="lt-LT" w:eastAsia="lt-LT"/>
        </w:rPr>
        <w:t>os</w:t>
      </w:r>
      <w:r w:rsidR="006B0056">
        <w:rPr>
          <w:rFonts w:ascii="Times New Roman" w:eastAsia="Calibri" w:hAnsi="Times New Roman" w:cs="Times New Roman"/>
          <w:lang w:val="lt-LT" w:eastAsia="lt-LT"/>
        </w:rPr>
        <w:t xml:space="preserve"> su </w:t>
      </w:r>
      <w:r w:rsidR="006B0056" w:rsidRPr="00A762B5">
        <w:rPr>
          <w:rFonts w:ascii="Times New Roman" w:eastAsia="Calibri" w:hAnsi="Times New Roman" w:cs="Times New Roman"/>
          <w:lang w:val="lt-LT" w:eastAsia="lt-LT"/>
        </w:rPr>
        <w:t>HMG-CoA reduktazės</w:t>
      </w:r>
      <w:r w:rsidR="006B0056">
        <w:rPr>
          <w:rFonts w:ascii="Times New Roman" w:eastAsia="Calibri" w:hAnsi="Times New Roman" w:cs="Times New Roman"/>
          <w:lang w:val="lt-LT" w:eastAsia="lt-LT"/>
        </w:rPr>
        <w:t xml:space="preserve"> inhibitoriais. Vaistiniai preparatai ar augaliniai</w:t>
      </w:r>
      <w:r w:rsidR="00D81407">
        <w:rPr>
          <w:rFonts w:ascii="Times New Roman" w:eastAsia="Calibri" w:hAnsi="Times New Roman" w:cs="Times New Roman"/>
          <w:lang w:val="lt-LT" w:eastAsia="lt-LT"/>
        </w:rPr>
        <w:t xml:space="preserve"> vaistiniai</w:t>
      </w:r>
      <w:r w:rsidR="006B0056">
        <w:rPr>
          <w:rFonts w:ascii="Times New Roman" w:eastAsia="Calibri" w:hAnsi="Times New Roman" w:cs="Times New Roman"/>
          <w:lang w:val="lt-LT" w:eastAsia="lt-LT"/>
        </w:rPr>
        <w:t xml:space="preserve"> preparatai, slopinantys tam tikrus fermentus (pvz., CYP3A4) ir (arba) nešiklių (pvz., OATP1B) kelius, gali padidinti simvastatino ir simvastatino rūgšties koncentracijas plazmoje ir lemti padidėjusią miopatijos ir (arba) rabdomiolizės riziką.</w:t>
      </w:r>
    </w:p>
    <w:p w14:paraId="4813C996" w14:textId="77777777" w:rsidR="006B0056" w:rsidRDefault="006B0056" w:rsidP="004D08C2">
      <w:pPr>
        <w:spacing w:after="0" w:line="240" w:lineRule="auto"/>
        <w:contextualSpacing/>
        <w:rPr>
          <w:rFonts w:ascii="Times New Roman" w:eastAsia="Calibri" w:hAnsi="Times New Roman" w:cs="Times New Roman"/>
          <w:lang w:val="lt-LT" w:eastAsia="lt-LT"/>
        </w:rPr>
      </w:pPr>
    </w:p>
    <w:p w14:paraId="3A296C5D" w14:textId="77777777" w:rsidR="00AE3EC3" w:rsidRDefault="006B0056" w:rsidP="004D08C2">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Reikia </w:t>
      </w:r>
      <w:r w:rsidR="00F4591C">
        <w:rPr>
          <w:rFonts w:ascii="Times New Roman" w:eastAsia="Calibri" w:hAnsi="Times New Roman" w:cs="Times New Roman"/>
          <w:lang w:val="lt-LT" w:eastAsia="lt-LT"/>
        </w:rPr>
        <w:t>susipažinti su</w:t>
      </w:r>
      <w:r>
        <w:rPr>
          <w:rFonts w:ascii="Times New Roman" w:eastAsia="Calibri" w:hAnsi="Times New Roman" w:cs="Times New Roman"/>
          <w:lang w:val="lt-LT" w:eastAsia="lt-LT"/>
        </w:rPr>
        <w:t xml:space="preserve"> </w:t>
      </w:r>
      <w:r w:rsidR="00F4591C">
        <w:rPr>
          <w:rFonts w:ascii="Times New Roman" w:eastAsia="Calibri" w:hAnsi="Times New Roman" w:cs="Times New Roman"/>
          <w:lang w:val="lt-LT" w:eastAsia="lt-LT"/>
        </w:rPr>
        <w:t xml:space="preserve">visų </w:t>
      </w:r>
      <w:r>
        <w:rPr>
          <w:rFonts w:ascii="Times New Roman" w:eastAsia="Calibri" w:hAnsi="Times New Roman" w:cs="Times New Roman"/>
          <w:lang w:val="lt-LT" w:eastAsia="lt-LT"/>
        </w:rPr>
        <w:t xml:space="preserve">kartu skiriamų vaistinių preparatų </w:t>
      </w:r>
      <w:r w:rsidR="00AE3EC3">
        <w:rPr>
          <w:rFonts w:ascii="Times New Roman" w:eastAsia="Calibri" w:hAnsi="Times New Roman" w:cs="Times New Roman"/>
          <w:lang w:val="lt-LT" w:eastAsia="lt-LT"/>
        </w:rPr>
        <w:t>informacij</w:t>
      </w:r>
      <w:r w:rsidR="00F4591C">
        <w:rPr>
          <w:rFonts w:ascii="Times New Roman" w:eastAsia="Calibri" w:hAnsi="Times New Roman" w:cs="Times New Roman"/>
          <w:lang w:val="lt-LT" w:eastAsia="lt-LT"/>
        </w:rPr>
        <w:t>a</w:t>
      </w:r>
      <w:r w:rsidR="00AE3EC3">
        <w:rPr>
          <w:rFonts w:ascii="Times New Roman" w:eastAsia="Calibri" w:hAnsi="Times New Roman" w:cs="Times New Roman"/>
          <w:lang w:val="lt-LT" w:eastAsia="lt-LT"/>
        </w:rPr>
        <w:t xml:space="preserve">, kad būtų gauta daugiau </w:t>
      </w:r>
      <w:r w:rsidR="00F4591C">
        <w:rPr>
          <w:rFonts w:ascii="Times New Roman" w:eastAsia="Calibri" w:hAnsi="Times New Roman" w:cs="Times New Roman"/>
          <w:lang w:val="lt-LT" w:eastAsia="lt-LT"/>
        </w:rPr>
        <w:t>duomenų</w:t>
      </w:r>
      <w:r w:rsidR="00AE3EC3">
        <w:rPr>
          <w:rFonts w:ascii="Times New Roman" w:eastAsia="Calibri" w:hAnsi="Times New Roman" w:cs="Times New Roman"/>
          <w:lang w:val="lt-LT" w:eastAsia="lt-LT"/>
        </w:rPr>
        <w:t xml:space="preserve"> apie potencialią</w:t>
      </w:r>
      <w:r w:rsidR="00F4591C">
        <w:rPr>
          <w:rFonts w:ascii="Times New Roman" w:eastAsia="Calibri" w:hAnsi="Times New Roman" w:cs="Times New Roman"/>
          <w:lang w:val="lt-LT" w:eastAsia="lt-LT"/>
        </w:rPr>
        <w:t xml:space="preserve"> jų </w:t>
      </w:r>
      <w:r w:rsidR="00AE3EC3">
        <w:rPr>
          <w:rFonts w:ascii="Times New Roman" w:eastAsia="Calibri" w:hAnsi="Times New Roman" w:cs="Times New Roman"/>
          <w:lang w:val="lt-LT" w:eastAsia="lt-LT"/>
        </w:rPr>
        <w:t>sąveiką su simvastatinu ir (arba) potencialų fermentų ar nešiklių pokytį ir galimą dozės ir gydymo režimo korekciją.</w:t>
      </w:r>
    </w:p>
    <w:p w14:paraId="622F02B3" w14:textId="77777777" w:rsidR="004D08C2" w:rsidRDefault="004D08C2" w:rsidP="004D08C2">
      <w:pPr>
        <w:spacing w:after="0" w:line="240" w:lineRule="auto"/>
        <w:contextualSpacing/>
        <w:rPr>
          <w:rFonts w:ascii="Times New Roman" w:eastAsia="Calibri" w:hAnsi="Times New Roman" w:cs="Times New Roman"/>
          <w:lang w:val="lt-LT" w:eastAsia="lt-LT"/>
        </w:rPr>
      </w:pPr>
    </w:p>
    <w:p w14:paraId="408781D7" w14:textId="77777777" w:rsidR="00A762B5" w:rsidRPr="00A762B5" w:rsidRDefault="00A762B5" w:rsidP="004D08C2">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Sąveikos tyrimai atlikti tik suaugusiesiems.</w:t>
      </w:r>
    </w:p>
    <w:p w14:paraId="298CF5C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FBD1FD2" w14:textId="77777777" w:rsidR="00A762B5" w:rsidRPr="00A762B5" w:rsidRDefault="00A762B5" w:rsidP="00A762B5">
      <w:pPr>
        <w:spacing w:after="0" w:line="240" w:lineRule="auto"/>
        <w:contextualSpacing/>
        <w:rPr>
          <w:rFonts w:ascii="Times New Roman" w:eastAsia="Calibri" w:hAnsi="Times New Roman" w:cs="Times New Roman"/>
          <w:i/>
          <w:iCs/>
          <w:u w:val="single"/>
          <w:lang w:val="lt-LT" w:eastAsia="lt-LT"/>
        </w:rPr>
      </w:pPr>
      <w:r w:rsidRPr="00A762B5">
        <w:rPr>
          <w:rFonts w:ascii="Times New Roman" w:eastAsia="Calibri" w:hAnsi="Times New Roman" w:cs="Times New Roman"/>
          <w:i/>
          <w:iCs/>
          <w:u w:val="single"/>
          <w:lang w:val="lt-LT" w:eastAsia="lt-LT"/>
        </w:rPr>
        <w:t>Farmakodinaminė sąveika</w:t>
      </w:r>
    </w:p>
    <w:p w14:paraId="357A76EF" w14:textId="77777777" w:rsidR="00A762B5" w:rsidRPr="00A762B5" w:rsidRDefault="00A762B5" w:rsidP="00A762B5">
      <w:pPr>
        <w:spacing w:after="0" w:line="240" w:lineRule="auto"/>
        <w:contextualSpacing/>
        <w:rPr>
          <w:rFonts w:ascii="Times New Roman" w:eastAsia="Calibri" w:hAnsi="Times New Roman" w:cs="Times New Roman"/>
          <w:i/>
          <w:iCs/>
          <w:lang w:val="lt-LT" w:eastAsia="lt-LT"/>
        </w:rPr>
      </w:pPr>
      <w:r w:rsidRPr="00A762B5">
        <w:rPr>
          <w:rFonts w:ascii="Times New Roman" w:eastAsia="Calibri" w:hAnsi="Times New Roman" w:cs="Times New Roman"/>
          <w:i/>
          <w:iCs/>
          <w:lang w:val="lt-LT" w:eastAsia="lt-LT"/>
        </w:rPr>
        <w:t xml:space="preserve">Sąveika su lipidų kiekį kraujyje mažinančiais </w:t>
      </w:r>
      <w:r w:rsidRPr="00A762B5">
        <w:rPr>
          <w:rFonts w:ascii="Times New Roman" w:eastAsia="Calibri" w:hAnsi="Times New Roman" w:cs="Times New Roman"/>
          <w:i/>
          <w:lang w:val="lt-LT" w:eastAsia="lt-LT"/>
        </w:rPr>
        <w:t>vaistiniais preparatais</w:t>
      </w:r>
      <w:r w:rsidRPr="00A762B5">
        <w:rPr>
          <w:rFonts w:ascii="Times New Roman" w:eastAsia="Calibri" w:hAnsi="Times New Roman" w:cs="Times New Roman"/>
          <w:i/>
          <w:iCs/>
          <w:lang w:val="lt-LT" w:eastAsia="lt-LT"/>
        </w:rPr>
        <w:t>, kurie, vartojami vieni, gali sukelti miopatiją</w:t>
      </w:r>
    </w:p>
    <w:p w14:paraId="363178C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 fibratų vartojama kartu su simvastatinu, didėja miopatijos, įskaitant rabdomiolizę, rizika. Be to, dėl farmakokinetinės sąveikos su gemfibroziliu, kraujo plazmoje padidėja simvastatino koncentracija (žr. 4.5 skyriaus poskyrį </w:t>
      </w:r>
      <w:r w:rsidRPr="00A762B5">
        <w:rPr>
          <w:rFonts w:ascii="Times New Roman" w:eastAsia="Calibri" w:hAnsi="Times New Roman" w:cs="Times New Roman"/>
          <w:i/>
          <w:iCs/>
          <w:lang w:val="lt-LT" w:eastAsia="lt-LT"/>
        </w:rPr>
        <w:t>Farmakokinetinė sąveika</w:t>
      </w:r>
      <w:r w:rsidRPr="00A762B5">
        <w:rPr>
          <w:rFonts w:ascii="Times New Roman" w:eastAsia="Calibri" w:hAnsi="Times New Roman" w:cs="Times New Roman"/>
          <w:lang w:val="lt-LT" w:eastAsia="lt-LT"/>
        </w:rPr>
        <w:t xml:space="preserve"> ir 4.3 bei 4.4 skyrių). Duomenų, kad simvastatino, vartojant kartu su fenofibratu, miopatijos rizika viršija suminę atskirai vartojamų vaistinių preparatų sukeltą riziką, nėra. Kitų fibratų farmakologinio budrumo ir farmakokinetikos duomenys yra nepakankami. Miopatija/rabdomiolizė retais atvejais siejama su simvastatino vartojimu kartu su lipidų kiekį mažinančiomis niacino dozėmis (≥ 1 g/parą) (žr. 4.4 skyrių).</w:t>
      </w:r>
    </w:p>
    <w:p w14:paraId="22F34ED9" w14:textId="77777777" w:rsidR="00A762B5" w:rsidRPr="00A762B5" w:rsidRDefault="00A762B5" w:rsidP="00A762B5">
      <w:pPr>
        <w:spacing w:after="0" w:line="240" w:lineRule="auto"/>
        <w:contextualSpacing/>
        <w:rPr>
          <w:rFonts w:ascii="Times New Roman" w:eastAsia="Calibri" w:hAnsi="Times New Roman" w:cs="Times New Roman"/>
          <w:i/>
          <w:iCs/>
          <w:u w:val="single"/>
          <w:lang w:val="lt-LT" w:eastAsia="lt-LT"/>
        </w:rPr>
      </w:pPr>
    </w:p>
    <w:p w14:paraId="6B24AB87" w14:textId="77777777" w:rsidR="00A762B5" w:rsidRPr="00A762B5" w:rsidRDefault="00A762B5" w:rsidP="00A762B5">
      <w:pPr>
        <w:spacing w:after="0" w:line="240" w:lineRule="auto"/>
        <w:contextualSpacing/>
        <w:rPr>
          <w:rFonts w:ascii="Times New Roman" w:eastAsia="Calibri" w:hAnsi="Times New Roman" w:cs="Times New Roman"/>
          <w:i/>
          <w:iCs/>
          <w:u w:val="single"/>
          <w:lang w:val="lt-LT" w:eastAsia="lt-LT"/>
        </w:rPr>
      </w:pPr>
      <w:r w:rsidRPr="00A762B5">
        <w:rPr>
          <w:rFonts w:ascii="Times New Roman" w:eastAsia="Calibri" w:hAnsi="Times New Roman" w:cs="Times New Roman"/>
          <w:i/>
          <w:iCs/>
          <w:u w:val="single"/>
          <w:lang w:val="lt-LT" w:eastAsia="lt-LT"/>
        </w:rPr>
        <w:t>Farmakokinetinė sąveika</w:t>
      </w:r>
    </w:p>
    <w:p w14:paraId="78D54BEE" w14:textId="77777777" w:rsidR="00A762B5" w:rsidRPr="00A762B5" w:rsidRDefault="00A762B5" w:rsidP="00A762B5">
      <w:pPr>
        <w:spacing w:after="0" w:line="240" w:lineRule="auto"/>
        <w:contextualSpacing/>
        <w:rPr>
          <w:rFonts w:ascii="Times New Roman" w:eastAsia="Calibri" w:hAnsi="Times New Roman" w:cs="Times New Roman"/>
          <w:iCs/>
          <w:lang w:val="lt-LT" w:eastAsia="lt-LT"/>
        </w:rPr>
      </w:pPr>
      <w:r w:rsidRPr="00A762B5">
        <w:rPr>
          <w:rFonts w:ascii="Times New Roman" w:eastAsia="Calibri" w:hAnsi="Times New Roman" w:cs="Times New Roman"/>
          <w:iCs/>
          <w:lang w:val="lt-LT" w:eastAsia="lt-LT"/>
        </w:rPr>
        <w:t xml:space="preserve">Toliau pateiktoje lentelėje apibendrintos sąveikaujančių medžiagų skyrimo rekomendacijos (papildomos detalės yra pateiktos tekste, taip pat žr. 4.2, 4.3 ir 4.4 skyrius). </w:t>
      </w:r>
    </w:p>
    <w:p w14:paraId="29CEED43" w14:textId="77777777" w:rsidR="00A762B5" w:rsidRPr="00A762B5" w:rsidRDefault="00A762B5" w:rsidP="00A762B5">
      <w:pPr>
        <w:spacing w:after="0" w:line="240" w:lineRule="auto"/>
        <w:contextualSpacing/>
        <w:rPr>
          <w:rFonts w:ascii="Times New Roman" w:eastAsia="Calibri" w:hAnsi="Times New Roman" w:cs="Times New Roman"/>
          <w:i/>
          <w:iCs/>
          <w:u w:val="single"/>
          <w:lang w:val="lt-LT" w:eastAsia="lt-LT"/>
        </w:rPr>
      </w:pPr>
    </w:p>
    <w:p w14:paraId="0270EA4D" w14:textId="77777777" w:rsidR="00A762B5" w:rsidRPr="00A762B5" w:rsidRDefault="00A762B5" w:rsidP="00A762B5">
      <w:pPr>
        <w:spacing w:after="0" w:line="240" w:lineRule="auto"/>
        <w:contextualSpacing/>
        <w:rPr>
          <w:rFonts w:ascii="Times New Roman" w:eastAsia="Calibri" w:hAnsi="Times New Roman" w:cs="Times New Roman"/>
          <w:iCs/>
          <w:lang w:val="lt-LT" w:eastAsia="lt-LT"/>
        </w:rPr>
      </w:pPr>
      <w:r w:rsidRPr="00A762B5">
        <w:rPr>
          <w:rFonts w:ascii="Times New Roman" w:eastAsia="Calibri" w:hAnsi="Times New Roman" w:cs="Times New Roman"/>
          <w:iCs/>
          <w:lang w:val="lt-LT" w:eastAsia="lt-LT"/>
        </w:rPr>
        <w:t xml:space="preserve">Vaistinių preparatų sąveika, susijusi su padidėjusia miopatijos/rabdomiolizės rizika </w:t>
      </w:r>
    </w:p>
    <w:p w14:paraId="40D93FF9" w14:textId="77777777" w:rsidR="00A762B5" w:rsidRPr="00A762B5" w:rsidRDefault="00A762B5" w:rsidP="00A762B5">
      <w:pPr>
        <w:spacing w:after="0" w:line="240" w:lineRule="auto"/>
        <w:contextualSpacing/>
        <w:rPr>
          <w:rFonts w:ascii="Times New Roman" w:eastAsia="Calibri" w:hAnsi="Times New Roman" w:cs="Times New Roman"/>
          <w:i/>
          <w:iCs/>
          <w:u w:val="single"/>
          <w:lang w:val="lt-LT" w:eastAsia="lt-LT"/>
        </w:rPr>
      </w:pPr>
    </w:p>
    <w:tbl>
      <w:tblPr>
        <w:tblW w:w="0" w:type="auto"/>
        <w:tblInd w:w="675" w:type="dxa"/>
        <w:tblLayout w:type="fixed"/>
        <w:tblLook w:val="04A0" w:firstRow="1" w:lastRow="0" w:firstColumn="1" w:lastColumn="0" w:noHBand="0" w:noVBand="1"/>
      </w:tblPr>
      <w:tblGrid>
        <w:gridCol w:w="3544"/>
        <w:gridCol w:w="4678"/>
      </w:tblGrid>
      <w:tr w:rsidR="00A762B5" w:rsidRPr="00A762B5" w14:paraId="1E4EFA91" w14:textId="77777777" w:rsidTr="0046313C">
        <w:tc>
          <w:tcPr>
            <w:tcW w:w="3544" w:type="dxa"/>
            <w:tcBorders>
              <w:top w:val="single" w:sz="6" w:space="0" w:color="auto"/>
              <w:left w:val="single" w:sz="6" w:space="0" w:color="auto"/>
              <w:bottom w:val="single" w:sz="6" w:space="0" w:color="auto"/>
              <w:right w:val="single" w:sz="6" w:space="0" w:color="auto"/>
            </w:tcBorders>
            <w:hideMark/>
          </w:tcPr>
          <w:p w14:paraId="69780F8B"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Sąveikaujančios medžiagos</w:t>
            </w:r>
          </w:p>
        </w:tc>
        <w:tc>
          <w:tcPr>
            <w:tcW w:w="4678" w:type="dxa"/>
            <w:tcBorders>
              <w:top w:val="single" w:sz="6" w:space="0" w:color="auto"/>
              <w:left w:val="single" w:sz="6" w:space="0" w:color="auto"/>
              <w:bottom w:val="single" w:sz="6" w:space="0" w:color="auto"/>
              <w:right w:val="single" w:sz="6" w:space="0" w:color="auto"/>
            </w:tcBorders>
            <w:hideMark/>
          </w:tcPr>
          <w:p w14:paraId="3DF94168"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Skyrimo rekomendacijos</w:t>
            </w:r>
          </w:p>
        </w:tc>
      </w:tr>
      <w:tr w:rsidR="00A762B5" w:rsidRPr="00A762B5" w14:paraId="6FCA31D6" w14:textId="77777777" w:rsidTr="0046313C">
        <w:tc>
          <w:tcPr>
            <w:tcW w:w="3544" w:type="dxa"/>
            <w:tcBorders>
              <w:top w:val="single" w:sz="6" w:space="0" w:color="auto"/>
              <w:left w:val="single" w:sz="6" w:space="0" w:color="auto"/>
              <w:bottom w:val="nil"/>
              <w:right w:val="single" w:sz="6" w:space="0" w:color="auto"/>
            </w:tcBorders>
            <w:hideMark/>
          </w:tcPr>
          <w:p w14:paraId="56EF409A"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Stiprūs CYP3A4 inhibitoriai</w:t>
            </w:r>
          </w:p>
        </w:tc>
        <w:tc>
          <w:tcPr>
            <w:tcW w:w="4678" w:type="dxa"/>
            <w:tcBorders>
              <w:top w:val="single" w:sz="6" w:space="0" w:color="auto"/>
              <w:left w:val="single" w:sz="6" w:space="0" w:color="auto"/>
              <w:bottom w:val="nil"/>
              <w:right w:val="single" w:sz="6" w:space="0" w:color="auto"/>
            </w:tcBorders>
          </w:tcPr>
          <w:p w14:paraId="338E2911"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bCs/>
                <w:lang w:val="lt-LT" w:eastAsia="lt-LT"/>
              </w:rPr>
              <w:t>Vartoti kartu su simvastatinu draudžiama</w:t>
            </w:r>
          </w:p>
        </w:tc>
      </w:tr>
      <w:tr w:rsidR="00A762B5" w:rsidRPr="00A762B5" w14:paraId="3FE44E4A" w14:textId="77777777" w:rsidTr="0046313C">
        <w:tc>
          <w:tcPr>
            <w:tcW w:w="3544" w:type="dxa"/>
            <w:tcBorders>
              <w:top w:val="nil"/>
              <w:left w:val="single" w:sz="6" w:space="0" w:color="auto"/>
              <w:bottom w:val="nil"/>
              <w:right w:val="single" w:sz="6" w:space="0" w:color="auto"/>
            </w:tcBorders>
            <w:hideMark/>
          </w:tcPr>
          <w:p w14:paraId="3AE6D594"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Itrakonazolas</w:t>
            </w:r>
          </w:p>
        </w:tc>
        <w:tc>
          <w:tcPr>
            <w:tcW w:w="4678" w:type="dxa"/>
            <w:tcBorders>
              <w:top w:val="nil"/>
              <w:left w:val="single" w:sz="6" w:space="0" w:color="auto"/>
              <w:bottom w:val="nil"/>
              <w:right w:val="single" w:sz="6" w:space="0" w:color="auto"/>
            </w:tcBorders>
            <w:hideMark/>
          </w:tcPr>
          <w:p w14:paraId="449C6BE7" w14:textId="77777777" w:rsidR="00A762B5" w:rsidRPr="00A762B5" w:rsidRDefault="00A762B5" w:rsidP="00A762B5">
            <w:pPr>
              <w:spacing w:after="0" w:line="240" w:lineRule="auto"/>
              <w:contextualSpacing/>
              <w:outlineLvl w:val="5"/>
              <w:rPr>
                <w:rFonts w:ascii="Times New Roman" w:eastAsia="Calibri" w:hAnsi="Times New Roman" w:cs="Times New Roman"/>
                <w:bCs/>
                <w:lang w:val="lt-LT" w:eastAsia="lt-LT"/>
              </w:rPr>
            </w:pPr>
          </w:p>
        </w:tc>
      </w:tr>
      <w:tr w:rsidR="00A762B5" w:rsidRPr="00A762B5" w14:paraId="1EA1167B" w14:textId="77777777" w:rsidTr="0046313C">
        <w:tc>
          <w:tcPr>
            <w:tcW w:w="3544" w:type="dxa"/>
            <w:tcBorders>
              <w:top w:val="nil"/>
              <w:left w:val="single" w:sz="6" w:space="0" w:color="auto"/>
              <w:bottom w:val="nil"/>
              <w:right w:val="single" w:sz="6" w:space="0" w:color="auto"/>
            </w:tcBorders>
            <w:hideMark/>
          </w:tcPr>
          <w:p w14:paraId="349C50C3"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Ketokonazolas</w:t>
            </w:r>
          </w:p>
        </w:tc>
        <w:tc>
          <w:tcPr>
            <w:tcW w:w="4678" w:type="dxa"/>
            <w:tcBorders>
              <w:top w:val="nil"/>
              <w:left w:val="single" w:sz="6" w:space="0" w:color="auto"/>
              <w:bottom w:val="nil"/>
              <w:right w:val="single" w:sz="6" w:space="0" w:color="auto"/>
            </w:tcBorders>
          </w:tcPr>
          <w:p w14:paraId="6BD3278C"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3484B9A1" w14:textId="77777777" w:rsidTr="0046313C">
        <w:tc>
          <w:tcPr>
            <w:tcW w:w="3544" w:type="dxa"/>
            <w:tcBorders>
              <w:top w:val="nil"/>
              <w:left w:val="single" w:sz="6" w:space="0" w:color="auto"/>
              <w:bottom w:val="nil"/>
              <w:right w:val="single" w:sz="6" w:space="0" w:color="auto"/>
            </w:tcBorders>
            <w:hideMark/>
          </w:tcPr>
          <w:p w14:paraId="24E82076"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Pozakonazolas</w:t>
            </w:r>
          </w:p>
        </w:tc>
        <w:tc>
          <w:tcPr>
            <w:tcW w:w="4678" w:type="dxa"/>
            <w:tcBorders>
              <w:top w:val="nil"/>
              <w:left w:val="single" w:sz="6" w:space="0" w:color="auto"/>
              <w:bottom w:val="nil"/>
              <w:right w:val="single" w:sz="6" w:space="0" w:color="auto"/>
            </w:tcBorders>
          </w:tcPr>
          <w:p w14:paraId="7832160C"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549D4C7A" w14:textId="77777777" w:rsidTr="0046313C">
        <w:tc>
          <w:tcPr>
            <w:tcW w:w="3544" w:type="dxa"/>
            <w:tcBorders>
              <w:top w:val="nil"/>
              <w:left w:val="single" w:sz="6" w:space="0" w:color="auto"/>
              <w:bottom w:val="nil"/>
              <w:right w:val="single" w:sz="6" w:space="0" w:color="auto"/>
            </w:tcBorders>
          </w:tcPr>
          <w:p w14:paraId="62D22549"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Vorikonazolas</w:t>
            </w:r>
          </w:p>
        </w:tc>
        <w:tc>
          <w:tcPr>
            <w:tcW w:w="4678" w:type="dxa"/>
            <w:tcBorders>
              <w:top w:val="nil"/>
              <w:left w:val="single" w:sz="6" w:space="0" w:color="auto"/>
              <w:bottom w:val="nil"/>
              <w:right w:val="single" w:sz="6" w:space="0" w:color="auto"/>
            </w:tcBorders>
          </w:tcPr>
          <w:p w14:paraId="32ED4C85"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4E44704F" w14:textId="77777777" w:rsidTr="0046313C">
        <w:tc>
          <w:tcPr>
            <w:tcW w:w="3544" w:type="dxa"/>
            <w:tcBorders>
              <w:top w:val="nil"/>
              <w:left w:val="single" w:sz="6" w:space="0" w:color="auto"/>
              <w:bottom w:val="nil"/>
              <w:right w:val="single" w:sz="6" w:space="0" w:color="auto"/>
            </w:tcBorders>
            <w:hideMark/>
          </w:tcPr>
          <w:p w14:paraId="318BCD12"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Eritromicinas</w:t>
            </w:r>
          </w:p>
        </w:tc>
        <w:tc>
          <w:tcPr>
            <w:tcW w:w="4678" w:type="dxa"/>
            <w:tcBorders>
              <w:top w:val="nil"/>
              <w:left w:val="single" w:sz="6" w:space="0" w:color="auto"/>
              <w:bottom w:val="nil"/>
              <w:right w:val="single" w:sz="6" w:space="0" w:color="auto"/>
            </w:tcBorders>
          </w:tcPr>
          <w:p w14:paraId="5B4702D4"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4BBD1F58" w14:textId="77777777" w:rsidTr="0046313C">
        <w:tc>
          <w:tcPr>
            <w:tcW w:w="3544" w:type="dxa"/>
            <w:tcBorders>
              <w:top w:val="nil"/>
              <w:left w:val="single" w:sz="6" w:space="0" w:color="auto"/>
              <w:bottom w:val="nil"/>
              <w:right w:val="single" w:sz="6" w:space="0" w:color="auto"/>
            </w:tcBorders>
            <w:hideMark/>
          </w:tcPr>
          <w:p w14:paraId="329552C1"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Klaritromicinas</w:t>
            </w:r>
          </w:p>
        </w:tc>
        <w:tc>
          <w:tcPr>
            <w:tcW w:w="4678" w:type="dxa"/>
            <w:tcBorders>
              <w:top w:val="nil"/>
              <w:left w:val="single" w:sz="6" w:space="0" w:color="auto"/>
              <w:bottom w:val="nil"/>
              <w:right w:val="single" w:sz="6" w:space="0" w:color="auto"/>
            </w:tcBorders>
          </w:tcPr>
          <w:p w14:paraId="2594779A"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02D795FB" w14:textId="77777777" w:rsidTr="0046313C">
        <w:tc>
          <w:tcPr>
            <w:tcW w:w="3544" w:type="dxa"/>
            <w:tcBorders>
              <w:top w:val="nil"/>
              <w:left w:val="single" w:sz="6" w:space="0" w:color="auto"/>
              <w:bottom w:val="nil"/>
              <w:right w:val="single" w:sz="6" w:space="0" w:color="auto"/>
            </w:tcBorders>
            <w:hideMark/>
          </w:tcPr>
          <w:p w14:paraId="316848FD"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Telitromicinas</w:t>
            </w:r>
          </w:p>
        </w:tc>
        <w:tc>
          <w:tcPr>
            <w:tcW w:w="4678" w:type="dxa"/>
            <w:tcBorders>
              <w:top w:val="nil"/>
              <w:left w:val="single" w:sz="6" w:space="0" w:color="auto"/>
              <w:bottom w:val="nil"/>
              <w:right w:val="single" w:sz="6" w:space="0" w:color="auto"/>
            </w:tcBorders>
          </w:tcPr>
          <w:p w14:paraId="08C4D978"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0AA5D76B" w14:textId="77777777" w:rsidTr="0046313C">
        <w:tc>
          <w:tcPr>
            <w:tcW w:w="3544" w:type="dxa"/>
            <w:tcBorders>
              <w:top w:val="nil"/>
              <w:left w:val="single" w:sz="6" w:space="0" w:color="auto"/>
              <w:bottom w:val="nil"/>
              <w:right w:val="single" w:sz="6" w:space="0" w:color="auto"/>
            </w:tcBorders>
            <w:hideMark/>
          </w:tcPr>
          <w:p w14:paraId="23A1794E"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ŽIV proteazės inhibitoriai (pvz., nelfinaviras)</w:t>
            </w:r>
          </w:p>
        </w:tc>
        <w:tc>
          <w:tcPr>
            <w:tcW w:w="4678" w:type="dxa"/>
            <w:tcBorders>
              <w:top w:val="nil"/>
              <w:left w:val="single" w:sz="6" w:space="0" w:color="auto"/>
              <w:bottom w:val="nil"/>
              <w:right w:val="single" w:sz="6" w:space="0" w:color="auto"/>
            </w:tcBorders>
          </w:tcPr>
          <w:p w14:paraId="04B764E2"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606B212B" w14:textId="77777777" w:rsidTr="0046313C">
        <w:tc>
          <w:tcPr>
            <w:tcW w:w="3544" w:type="dxa"/>
            <w:tcBorders>
              <w:top w:val="nil"/>
              <w:left w:val="single" w:sz="6" w:space="0" w:color="auto"/>
              <w:bottom w:val="nil"/>
              <w:right w:val="single" w:sz="6" w:space="0" w:color="auto"/>
            </w:tcBorders>
          </w:tcPr>
          <w:p w14:paraId="1745E8E2"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Bocepreviras</w:t>
            </w:r>
          </w:p>
        </w:tc>
        <w:tc>
          <w:tcPr>
            <w:tcW w:w="4678" w:type="dxa"/>
            <w:tcBorders>
              <w:top w:val="nil"/>
              <w:left w:val="single" w:sz="6" w:space="0" w:color="auto"/>
              <w:bottom w:val="nil"/>
              <w:right w:val="single" w:sz="6" w:space="0" w:color="auto"/>
            </w:tcBorders>
          </w:tcPr>
          <w:p w14:paraId="7003E4BD"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46674066" w14:textId="77777777" w:rsidTr="0046313C">
        <w:tc>
          <w:tcPr>
            <w:tcW w:w="3544" w:type="dxa"/>
            <w:tcBorders>
              <w:top w:val="nil"/>
              <w:left w:val="single" w:sz="6" w:space="0" w:color="auto"/>
              <w:bottom w:val="nil"/>
              <w:right w:val="single" w:sz="6" w:space="0" w:color="auto"/>
            </w:tcBorders>
          </w:tcPr>
          <w:p w14:paraId="08E447DD"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Telapreviras</w:t>
            </w:r>
          </w:p>
        </w:tc>
        <w:tc>
          <w:tcPr>
            <w:tcW w:w="4678" w:type="dxa"/>
            <w:tcBorders>
              <w:top w:val="nil"/>
              <w:left w:val="single" w:sz="6" w:space="0" w:color="auto"/>
              <w:bottom w:val="nil"/>
              <w:right w:val="single" w:sz="6" w:space="0" w:color="auto"/>
            </w:tcBorders>
          </w:tcPr>
          <w:p w14:paraId="38A5A993"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59A61189" w14:textId="77777777" w:rsidTr="0046313C">
        <w:tc>
          <w:tcPr>
            <w:tcW w:w="3544" w:type="dxa"/>
            <w:tcBorders>
              <w:top w:val="nil"/>
              <w:left w:val="single" w:sz="6" w:space="0" w:color="auto"/>
              <w:bottom w:val="nil"/>
              <w:right w:val="single" w:sz="6" w:space="0" w:color="auto"/>
            </w:tcBorders>
          </w:tcPr>
          <w:p w14:paraId="021E5449"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Nefazodonas</w:t>
            </w:r>
          </w:p>
          <w:p w14:paraId="60943615" w14:textId="77777777" w:rsidR="00A762B5" w:rsidRPr="00A762B5" w:rsidRDefault="00A762B5" w:rsidP="00A762B5">
            <w:pPr>
              <w:widowControl w:val="0"/>
              <w:tabs>
                <w:tab w:val="left" w:pos="1180"/>
              </w:tabs>
              <w:spacing w:after="0" w:line="240" w:lineRule="auto"/>
              <w:contextualSpacing/>
              <w:rPr>
                <w:rFonts w:ascii="Times New Roman" w:eastAsia="Times New Roman" w:hAnsi="Times New Roman" w:cs="Times New Roman"/>
                <w:lang w:val="lt-LT"/>
              </w:rPr>
            </w:pPr>
            <w:r w:rsidRPr="00A762B5">
              <w:rPr>
                <w:rFonts w:ascii="Times New Roman" w:eastAsia="Times New Roman" w:hAnsi="Times New Roman" w:cs="Times New Roman"/>
                <w:lang w:val="lt-LT"/>
              </w:rPr>
              <w:t>Kobicistatas</w:t>
            </w:r>
          </w:p>
        </w:tc>
        <w:tc>
          <w:tcPr>
            <w:tcW w:w="4678" w:type="dxa"/>
            <w:tcBorders>
              <w:top w:val="nil"/>
              <w:left w:val="single" w:sz="6" w:space="0" w:color="auto"/>
              <w:bottom w:val="nil"/>
              <w:right w:val="single" w:sz="6" w:space="0" w:color="auto"/>
            </w:tcBorders>
          </w:tcPr>
          <w:p w14:paraId="30EB9B00"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21D390BE" w14:textId="77777777" w:rsidTr="0046313C">
        <w:tc>
          <w:tcPr>
            <w:tcW w:w="3544" w:type="dxa"/>
            <w:tcBorders>
              <w:top w:val="nil"/>
              <w:left w:val="single" w:sz="6" w:space="0" w:color="auto"/>
              <w:bottom w:val="nil"/>
              <w:right w:val="single" w:sz="6" w:space="0" w:color="auto"/>
            </w:tcBorders>
          </w:tcPr>
          <w:p w14:paraId="52FB99FF"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lastRenderedPageBreak/>
              <w:t>Ciklosporinas</w:t>
            </w:r>
          </w:p>
        </w:tc>
        <w:tc>
          <w:tcPr>
            <w:tcW w:w="4678" w:type="dxa"/>
            <w:tcBorders>
              <w:top w:val="nil"/>
              <w:left w:val="single" w:sz="6" w:space="0" w:color="auto"/>
              <w:bottom w:val="nil"/>
              <w:right w:val="single" w:sz="6" w:space="0" w:color="auto"/>
            </w:tcBorders>
          </w:tcPr>
          <w:p w14:paraId="194FB4B0"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73B94534" w14:textId="77777777" w:rsidTr="0046313C">
        <w:tc>
          <w:tcPr>
            <w:tcW w:w="3544" w:type="dxa"/>
            <w:tcBorders>
              <w:top w:val="nil"/>
              <w:left w:val="single" w:sz="6" w:space="0" w:color="auto"/>
              <w:bottom w:val="nil"/>
              <w:right w:val="single" w:sz="6" w:space="0" w:color="auto"/>
            </w:tcBorders>
          </w:tcPr>
          <w:p w14:paraId="4C648378"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Danazolas</w:t>
            </w:r>
          </w:p>
        </w:tc>
        <w:tc>
          <w:tcPr>
            <w:tcW w:w="4678" w:type="dxa"/>
            <w:tcBorders>
              <w:top w:val="nil"/>
              <w:left w:val="single" w:sz="6" w:space="0" w:color="auto"/>
              <w:bottom w:val="nil"/>
              <w:right w:val="single" w:sz="6" w:space="0" w:color="auto"/>
            </w:tcBorders>
          </w:tcPr>
          <w:p w14:paraId="47146025"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4DFA65AC" w14:textId="77777777" w:rsidTr="0046313C">
        <w:tc>
          <w:tcPr>
            <w:tcW w:w="3544" w:type="dxa"/>
            <w:tcBorders>
              <w:top w:val="nil"/>
              <w:left w:val="single" w:sz="6" w:space="0" w:color="auto"/>
              <w:bottom w:val="nil"/>
              <w:right w:val="single" w:sz="6" w:space="0" w:color="auto"/>
            </w:tcBorders>
          </w:tcPr>
          <w:p w14:paraId="25A0CCF6"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Gemfibrozilis</w:t>
            </w:r>
          </w:p>
        </w:tc>
        <w:tc>
          <w:tcPr>
            <w:tcW w:w="4678" w:type="dxa"/>
            <w:tcBorders>
              <w:top w:val="nil"/>
              <w:left w:val="single" w:sz="6" w:space="0" w:color="auto"/>
              <w:bottom w:val="nil"/>
              <w:right w:val="single" w:sz="6" w:space="0" w:color="auto"/>
            </w:tcBorders>
          </w:tcPr>
          <w:p w14:paraId="24E3B097"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8C4067" w14:paraId="6B29637D" w14:textId="77777777" w:rsidTr="0046313C">
        <w:tc>
          <w:tcPr>
            <w:tcW w:w="3544" w:type="dxa"/>
            <w:tcBorders>
              <w:top w:val="single" w:sz="6" w:space="0" w:color="auto"/>
              <w:left w:val="single" w:sz="6" w:space="0" w:color="auto"/>
              <w:bottom w:val="single" w:sz="8" w:space="0" w:color="auto"/>
              <w:right w:val="single" w:sz="6" w:space="0" w:color="auto"/>
            </w:tcBorders>
            <w:hideMark/>
          </w:tcPr>
          <w:p w14:paraId="1A1B6901" w14:textId="77777777" w:rsidR="00A762B5" w:rsidRPr="00A762B5" w:rsidRDefault="00A762B5" w:rsidP="00A762B5">
            <w:pPr>
              <w:tabs>
                <w:tab w:val="right" w:pos="3913"/>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Kiti fibratai (išskyrus fenofibratą)</w:t>
            </w:r>
          </w:p>
        </w:tc>
        <w:tc>
          <w:tcPr>
            <w:tcW w:w="4678" w:type="dxa"/>
            <w:tcBorders>
              <w:top w:val="single" w:sz="6" w:space="0" w:color="auto"/>
              <w:left w:val="single" w:sz="6" w:space="0" w:color="auto"/>
              <w:bottom w:val="single" w:sz="8" w:space="0" w:color="auto"/>
              <w:right w:val="single" w:sz="6" w:space="0" w:color="auto"/>
            </w:tcBorders>
            <w:hideMark/>
          </w:tcPr>
          <w:p w14:paraId="289805F5"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Simvastatino paros dozė turi neviršyti 10 mg</w:t>
            </w:r>
          </w:p>
        </w:tc>
      </w:tr>
      <w:tr w:rsidR="00A762B5" w:rsidRPr="00A762B5" w14:paraId="5003C947" w14:textId="77777777" w:rsidTr="0046313C">
        <w:tc>
          <w:tcPr>
            <w:tcW w:w="3544" w:type="dxa"/>
            <w:tcBorders>
              <w:top w:val="single" w:sz="8" w:space="0" w:color="auto"/>
              <w:left w:val="single" w:sz="6" w:space="0" w:color="auto"/>
              <w:bottom w:val="single" w:sz="6" w:space="0" w:color="auto"/>
              <w:right w:val="single" w:sz="6" w:space="0" w:color="auto"/>
            </w:tcBorders>
          </w:tcPr>
          <w:p w14:paraId="2DDAAA4C"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Fuzido rūgštis</w:t>
            </w:r>
          </w:p>
        </w:tc>
        <w:tc>
          <w:tcPr>
            <w:tcW w:w="4678" w:type="dxa"/>
            <w:tcBorders>
              <w:top w:val="single" w:sz="8" w:space="0" w:color="auto"/>
              <w:left w:val="single" w:sz="6" w:space="0" w:color="auto"/>
              <w:bottom w:val="single" w:sz="6" w:space="0" w:color="auto"/>
              <w:right w:val="single" w:sz="6" w:space="0" w:color="auto"/>
            </w:tcBorders>
          </w:tcPr>
          <w:p w14:paraId="38C3F110"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Vartoti kartu su simvastatinu nerekomenduojama</w:t>
            </w:r>
          </w:p>
        </w:tc>
      </w:tr>
      <w:tr w:rsidR="00A762B5" w:rsidRPr="003E1863" w14:paraId="4B5D99BD" w14:textId="77777777" w:rsidTr="0046313C">
        <w:tc>
          <w:tcPr>
            <w:tcW w:w="3544" w:type="dxa"/>
            <w:tcBorders>
              <w:top w:val="single" w:sz="8" w:space="0" w:color="auto"/>
              <w:left w:val="single" w:sz="6" w:space="0" w:color="auto"/>
              <w:bottom w:val="single" w:sz="6" w:space="0" w:color="auto"/>
              <w:right w:val="single" w:sz="6" w:space="0" w:color="auto"/>
            </w:tcBorders>
          </w:tcPr>
          <w:p w14:paraId="3C4D9A29"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Niacinas (nikotino rūgštis) (≥ 1 g/per parą)</w:t>
            </w:r>
          </w:p>
        </w:tc>
        <w:tc>
          <w:tcPr>
            <w:tcW w:w="4678" w:type="dxa"/>
            <w:tcBorders>
              <w:top w:val="single" w:sz="8" w:space="0" w:color="auto"/>
              <w:left w:val="single" w:sz="6" w:space="0" w:color="auto"/>
              <w:bottom w:val="single" w:sz="6" w:space="0" w:color="auto"/>
              <w:right w:val="single" w:sz="6" w:space="0" w:color="auto"/>
            </w:tcBorders>
          </w:tcPr>
          <w:p w14:paraId="081FE9EB"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Pacientams azijiečiams nerekomenduojama vartoti kartu su simvastatinu</w:t>
            </w:r>
          </w:p>
        </w:tc>
      </w:tr>
      <w:tr w:rsidR="00A762B5" w:rsidRPr="008C4067" w14:paraId="5696ED9A" w14:textId="77777777" w:rsidTr="0046313C">
        <w:tc>
          <w:tcPr>
            <w:tcW w:w="3544" w:type="dxa"/>
            <w:tcBorders>
              <w:top w:val="single" w:sz="6" w:space="0" w:color="auto"/>
              <w:left w:val="single" w:sz="6" w:space="0" w:color="auto"/>
              <w:right w:val="single" w:sz="6" w:space="0" w:color="auto"/>
            </w:tcBorders>
            <w:hideMark/>
          </w:tcPr>
          <w:p w14:paraId="60DFB86E"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Amjodaronas</w:t>
            </w:r>
          </w:p>
        </w:tc>
        <w:tc>
          <w:tcPr>
            <w:tcW w:w="4678" w:type="dxa"/>
            <w:tcBorders>
              <w:top w:val="single" w:sz="6" w:space="0" w:color="auto"/>
              <w:left w:val="single" w:sz="6" w:space="0" w:color="auto"/>
              <w:right w:val="single" w:sz="6" w:space="0" w:color="auto"/>
            </w:tcBorders>
            <w:hideMark/>
          </w:tcPr>
          <w:p w14:paraId="01B34CD3"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Simvastatino paros dozė turi neviršyti 20 mg</w:t>
            </w:r>
          </w:p>
        </w:tc>
      </w:tr>
      <w:tr w:rsidR="00A762B5" w:rsidRPr="00A762B5" w14:paraId="2EB8F133" w14:textId="77777777" w:rsidTr="0046313C">
        <w:tc>
          <w:tcPr>
            <w:tcW w:w="3544" w:type="dxa"/>
            <w:tcBorders>
              <w:left w:val="single" w:sz="6" w:space="0" w:color="auto"/>
              <w:bottom w:val="nil"/>
              <w:right w:val="single" w:sz="6" w:space="0" w:color="auto"/>
            </w:tcBorders>
          </w:tcPr>
          <w:p w14:paraId="77261A91"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Amlodipinas</w:t>
            </w:r>
          </w:p>
        </w:tc>
        <w:tc>
          <w:tcPr>
            <w:tcW w:w="4678" w:type="dxa"/>
            <w:tcBorders>
              <w:left w:val="single" w:sz="6" w:space="0" w:color="auto"/>
              <w:bottom w:val="nil"/>
              <w:right w:val="single" w:sz="6" w:space="0" w:color="auto"/>
            </w:tcBorders>
          </w:tcPr>
          <w:p w14:paraId="0BD6138E"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5DCD6EDF" w14:textId="77777777" w:rsidTr="0046313C">
        <w:tc>
          <w:tcPr>
            <w:tcW w:w="3544" w:type="dxa"/>
            <w:tcBorders>
              <w:left w:val="single" w:sz="6" w:space="0" w:color="auto"/>
              <w:bottom w:val="nil"/>
              <w:right w:val="single" w:sz="6" w:space="0" w:color="auto"/>
            </w:tcBorders>
          </w:tcPr>
          <w:p w14:paraId="0809F75D"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Verapamilis</w:t>
            </w:r>
          </w:p>
        </w:tc>
        <w:tc>
          <w:tcPr>
            <w:tcW w:w="4678" w:type="dxa"/>
            <w:tcBorders>
              <w:left w:val="single" w:sz="6" w:space="0" w:color="auto"/>
              <w:bottom w:val="nil"/>
              <w:right w:val="single" w:sz="6" w:space="0" w:color="auto"/>
            </w:tcBorders>
          </w:tcPr>
          <w:p w14:paraId="0163695B"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A762B5" w14:paraId="0887B2AD" w14:textId="77777777" w:rsidTr="0046313C">
        <w:tc>
          <w:tcPr>
            <w:tcW w:w="3544" w:type="dxa"/>
            <w:tcBorders>
              <w:top w:val="nil"/>
              <w:left w:val="single" w:sz="6" w:space="0" w:color="auto"/>
              <w:bottom w:val="single" w:sz="6" w:space="0" w:color="auto"/>
              <w:right w:val="single" w:sz="6" w:space="0" w:color="auto"/>
            </w:tcBorders>
            <w:hideMark/>
          </w:tcPr>
          <w:p w14:paraId="2D233E4D"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Diltiazemas</w:t>
            </w:r>
            <w:r w:rsidRPr="00A762B5" w:rsidDel="00AC7B4A">
              <w:rPr>
                <w:rFonts w:ascii="Times New Roman" w:eastAsia="Calibri" w:hAnsi="Times New Roman" w:cs="Times New Roman"/>
                <w:lang w:val="lt-LT" w:eastAsia="lt-LT"/>
              </w:rPr>
              <w:t xml:space="preserve"> </w:t>
            </w:r>
          </w:p>
          <w:p w14:paraId="3C19D462"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Elbasviras</w:t>
            </w:r>
          </w:p>
          <w:p w14:paraId="45F58739"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Grazopreviras</w:t>
            </w:r>
          </w:p>
        </w:tc>
        <w:tc>
          <w:tcPr>
            <w:tcW w:w="4678" w:type="dxa"/>
            <w:tcBorders>
              <w:top w:val="nil"/>
              <w:left w:val="single" w:sz="6" w:space="0" w:color="auto"/>
              <w:bottom w:val="single" w:sz="6" w:space="0" w:color="auto"/>
              <w:right w:val="single" w:sz="6" w:space="0" w:color="auto"/>
            </w:tcBorders>
          </w:tcPr>
          <w:p w14:paraId="77516474"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p>
        </w:tc>
      </w:tr>
      <w:tr w:rsidR="00A762B5" w:rsidRPr="008C4067" w14:paraId="2CC2052B" w14:textId="77777777" w:rsidTr="0046313C">
        <w:tc>
          <w:tcPr>
            <w:tcW w:w="3544" w:type="dxa"/>
            <w:tcBorders>
              <w:top w:val="nil"/>
              <w:left w:val="single" w:sz="6" w:space="0" w:color="auto"/>
              <w:bottom w:val="single" w:sz="6" w:space="0" w:color="auto"/>
              <w:right w:val="single" w:sz="6" w:space="0" w:color="auto"/>
            </w:tcBorders>
          </w:tcPr>
          <w:p w14:paraId="58DE4620"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Lomitapidas</w:t>
            </w:r>
          </w:p>
        </w:tc>
        <w:tc>
          <w:tcPr>
            <w:tcW w:w="4678" w:type="dxa"/>
            <w:tcBorders>
              <w:top w:val="nil"/>
              <w:left w:val="single" w:sz="6" w:space="0" w:color="auto"/>
              <w:bottom w:val="single" w:sz="6" w:space="0" w:color="auto"/>
              <w:right w:val="single" w:sz="6" w:space="0" w:color="auto"/>
            </w:tcBorders>
          </w:tcPr>
          <w:p w14:paraId="62352B11"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 xml:space="preserve">Pacientams, kuriems yra HŠH, simvastatino paros dozė turi neviršyti 40 mg </w:t>
            </w:r>
          </w:p>
        </w:tc>
      </w:tr>
      <w:tr w:rsidR="00CB6462" w:rsidRPr="003E1863" w14:paraId="22C71516" w14:textId="77777777" w:rsidTr="0046313C">
        <w:tc>
          <w:tcPr>
            <w:tcW w:w="3544" w:type="dxa"/>
            <w:tcBorders>
              <w:top w:val="nil"/>
              <w:left w:val="single" w:sz="6" w:space="0" w:color="auto"/>
              <w:bottom w:val="single" w:sz="6" w:space="0" w:color="auto"/>
              <w:right w:val="single" w:sz="6" w:space="0" w:color="auto"/>
            </w:tcBorders>
          </w:tcPr>
          <w:p w14:paraId="2A4CFBDE" w14:textId="77777777" w:rsidR="00CB6462" w:rsidRPr="00F95EF2" w:rsidRDefault="00CB6462" w:rsidP="0076789B">
            <w:pPr>
              <w:tabs>
                <w:tab w:val="right" w:pos="3913"/>
              </w:tabs>
              <w:spacing w:after="0" w:line="240" w:lineRule="auto"/>
              <w:ind w:right="2"/>
              <w:contextualSpacing/>
              <w:rPr>
                <w:rFonts w:ascii="Times New Roman" w:eastAsia="Times New Roman" w:hAnsi="Times New Roman" w:cs="Times New Roman"/>
                <w:lang w:val="lt-LT" w:eastAsia="lt-LT"/>
              </w:rPr>
            </w:pPr>
            <w:r w:rsidRPr="00F95EF2">
              <w:rPr>
                <w:rFonts w:ascii="Times New Roman" w:eastAsia="Times New Roman" w:hAnsi="Times New Roman" w:cs="Times New Roman"/>
                <w:lang w:val="lt-LT" w:eastAsia="lt-LT"/>
              </w:rPr>
              <w:t>Daptomicinas</w:t>
            </w:r>
          </w:p>
        </w:tc>
        <w:tc>
          <w:tcPr>
            <w:tcW w:w="4678" w:type="dxa"/>
            <w:tcBorders>
              <w:top w:val="nil"/>
              <w:left w:val="single" w:sz="6" w:space="0" w:color="auto"/>
              <w:bottom w:val="single" w:sz="6" w:space="0" w:color="auto"/>
              <w:right w:val="single" w:sz="6" w:space="0" w:color="auto"/>
            </w:tcBorders>
          </w:tcPr>
          <w:p w14:paraId="666744CB" w14:textId="77777777" w:rsidR="00CB6462" w:rsidRPr="00F95EF2" w:rsidRDefault="00CB6462" w:rsidP="0076789B">
            <w:pPr>
              <w:tabs>
                <w:tab w:val="right" w:pos="3913"/>
              </w:tabs>
              <w:spacing w:after="0" w:line="240" w:lineRule="auto"/>
              <w:ind w:right="2"/>
              <w:contextualSpacing/>
              <w:rPr>
                <w:rFonts w:ascii="Times New Roman" w:eastAsia="Times New Roman" w:hAnsi="Times New Roman" w:cs="Times New Roman"/>
                <w:lang w:val="lt-LT" w:eastAsia="lt-LT"/>
              </w:rPr>
            </w:pPr>
            <w:r w:rsidRPr="00F95EF2">
              <w:rPr>
                <w:rFonts w:ascii="Times New Roman" w:eastAsia="Times New Roman" w:hAnsi="Times New Roman" w:cs="Times New Roman"/>
                <w:lang w:val="lt-LT" w:eastAsia="lt-LT"/>
              </w:rPr>
              <w:t>Turi būti apsvarstytas laikinas simvastatino nutraukimas daptomicino vartojantiems pacientams, nebent vartojimo kartu nauda persveria riziką (žr. 4.4 skyrių).</w:t>
            </w:r>
          </w:p>
        </w:tc>
      </w:tr>
      <w:tr w:rsidR="00460FF2" w:rsidRPr="006C1E44" w14:paraId="7DD4E06E" w14:textId="77777777" w:rsidTr="0046313C">
        <w:tc>
          <w:tcPr>
            <w:tcW w:w="3544" w:type="dxa"/>
            <w:tcBorders>
              <w:top w:val="nil"/>
              <w:left w:val="single" w:sz="6" w:space="0" w:color="auto"/>
              <w:bottom w:val="single" w:sz="6" w:space="0" w:color="auto"/>
              <w:right w:val="single" w:sz="6" w:space="0" w:color="auto"/>
            </w:tcBorders>
          </w:tcPr>
          <w:p w14:paraId="04EE60BB" w14:textId="4A1908C9" w:rsidR="00460FF2" w:rsidRPr="00F95EF2" w:rsidRDefault="00030BDF" w:rsidP="0076789B">
            <w:pPr>
              <w:tabs>
                <w:tab w:val="right" w:pos="3913"/>
              </w:tabs>
              <w:spacing w:after="0" w:line="240" w:lineRule="auto"/>
              <w:ind w:right="2"/>
              <w:contextualSpacing/>
              <w:rPr>
                <w:rFonts w:ascii="Times New Roman" w:eastAsia="Times New Roman" w:hAnsi="Times New Roman" w:cs="Times New Roman"/>
                <w:lang w:val="lt-LT" w:eastAsia="lt-LT"/>
              </w:rPr>
            </w:pPr>
            <w:r w:rsidRPr="00030BDF">
              <w:rPr>
                <w:rFonts w:ascii="Times New Roman" w:eastAsia="Times New Roman" w:hAnsi="Times New Roman" w:cs="Times New Roman"/>
                <w:lang w:val="lt-LT" w:eastAsia="lt-LT"/>
              </w:rPr>
              <w:t>Tikagreloras</w:t>
            </w:r>
          </w:p>
        </w:tc>
        <w:tc>
          <w:tcPr>
            <w:tcW w:w="4678" w:type="dxa"/>
            <w:tcBorders>
              <w:top w:val="nil"/>
              <w:left w:val="single" w:sz="6" w:space="0" w:color="auto"/>
              <w:bottom w:val="single" w:sz="6" w:space="0" w:color="auto"/>
              <w:right w:val="single" w:sz="6" w:space="0" w:color="auto"/>
            </w:tcBorders>
          </w:tcPr>
          <w:p w14:paraId="48018840" w14:textId="7ABC48FD" w:rsidR="00460FF2" w:rsidRPr="00F95EF2" w:rsidRDefault="00030BDF" w:rsidP="0076789B">
            <w:pPr>
              <w:tabs>
                <w:tab w:val="right" w:pos="3913"/>
              </w:tabs>
              <w:spacing w:after="0" w:line="240" w:lineRule="auto"/>
              <w:ind w:right="2"/>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Didesnės nei 40</w:t>
            </w:r>
            <w:r w:rsidR="00FB56E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 per parą simvastatino dozės nėra rekomenduojamos.</w:t>
            </w:r>
          </w:p>
        </w:tc>
      </w:tr>
      <w:tr w:rsidR="00A762B5" w:rsidRPr="00CB6462" w14:paraId="701645F1" w14:textId="77777777" w:rsidTr="0046313C">
        <w:tc>
          <w:tcPr>
            <w:tcW w:w="3544" w:type="dxa"/>
            <w:tcBorders>
              <w:top w:val="single" w:sz="6" w:space="0" w:color="auto"/>
              <w:left w:val="single" w:sz="6" w:space="0" w:color="auto"/>
              <w:bottom w:val="single" w:sz="8" w:space="0" w:color="auto"/>
              <w:right w:val="single" w:sz="6" w:space="0" w:color="auto"/>
            </w:tcBorders>
            <w:hideMark/>
          </w:tcPr>
          <w:p w14:paraId="4A80B1B3"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Greipfrutų sultys</w:t>
            </w:r>
          </w:p>
        </w:tc>
        <w:tc>
          <w:tcPr>
            <w:tcW w:w="4678" w:type="dxa"/>
            <w:tcBorders>
              <w:top w:val="single" w:sz="6" w:space="0" w:color="auto"/>
              <w:left w:val="single" w:sz="6" w:space="0" w:color="auto"/>
              <w:bottom w:val="single" w:sz="8" w:space="0" w:color="auto"/>
              <w:right w:val="single" w:sz="6" w:space="0" w:color="auto"/>
            </w:tcBorders>
            <w:hideMark/>
          </w:tcPr>
          <w:p w14:paraId="462E0F85" w14:textId="77777777" w:rsidR="00A762B5" w:rsidRPr="00A762B5" w:rsidRDefault="00A762B5" w:rsidP="00A762B5">
            <w:pPr>
              <w:tabs>
                <w:tab w:val="right" w:pos="3913"/>
              </w:tabs>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Geriant simvastatino reikia vengti vartoti greipfrutų sulčių</w:t>
            </w:r>
          </w:p>
        </w:tc>
      </w:tr>
    </w:tbl>
    <w:p w14:paraId="21862C9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36917B0" w14:textId="77777777" w:rsidR="00A762B5" w:rsidRPr="00A762B5" w:rsidRDefault="00A762B5" w:rsidP="00A762B5">
      <w:pPr>
        <w:spacing w:after="0" w:line="240" w:lineRule="auto"/>
        <w:contextualSpacing/>
        <w:rPr>
          <w:rFonts w:ascii="Times New Roman" w:eastAsia="Calibri" w:hAnsi="Times New Roman" w:cs="Times New Roman"/>
          <w:i/>
          <w:u w:val="single"/>
          <w:lang w:val="lt-LT" w:eastAsia="lt-LT"/>
        </w:rPr>
      </w:pPr>
      <w:r w:rsidRPr="00A762B5">
        <w:rPr>
          <w:rFonts w:ascii="Times New Roman" w:eastAsia="Calibri" w:hAnsi="Times New Roman" w:cs="Times New Roman"/>
          <w:i/>
          <w:u w:val="single"/>
          <w:lang w:val="lt-LT" w:eastAsia="lt-LT"/>
        </w:rPr>
        <w:t>Kitų vaistinių preparatų poveikis simvastatinui</w:t>
      </w:r>
    </w:p>
    <w:p w14:paraId="61BE805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44DAB45" w14:textId="77777777" w:rsidR="00A762B5" w:rsidRPr="00A762B5" w:rsidRDefault="00A762B5" w:rsidP="00A762B5">
      <w:pPr>
        <w:spacing w:after="0" w:line="240" w:lineRule="auto"/>
        <w:contextualSpacing/>
        <w:rPr>
          <w:rFonts w:ascii="Times New Roman" w:eastAsia="Calibri" w:hAnsi="Times New Roman" w:cs="Times New Roman"/>
          <w:i/>
          <w:iCs/>
          <w:lang w:val="lt-LT" w:eastAsia="lt-LT"/>
        </w:rPr>
      </w:pPr>
      <w:r w:rsidRPr="00A762B5">
        <w:rPr>
          <w:rFonts w:ascii="Times New Roman" w:eastAsia="Calibri" w:hAnsi="Times New Roman" w:cs="Times New Roman"/>
          <w:i/>
          <w:iCs/>
          <w:lang w:val="lt-LT" w:eastAsia="lt-LT"/>
        </w:rPr>
        <w:t>Sąveika, susijusi su CYP3A4 inhibitoriais</w:t>
      </w:r>
    </w:p>
    <w:p w14:paraId="12B05BF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Simvastatinas yra citochromo P450 3A4 substratas. Stiprūs citochromo P450 3A4 inhibitoriai didina miopatijos ir rabdomiolizės riziką, kadangi vartojant simvastatino, kraujo plazmoje labiau slopinamas HMG-CoA reduktazės aktyvumas. Minėtai inhibitorių grupei priklauso itrakonazolas, ketokonazolas, pozakonazolas, vorikonazolas, eritromicinas, klaritromicinas, telitromicinas, ŽIV-proteazės inhibitoriai (pvz., nelfinaviras), bocepreviras, telapreviras ir nefazodonas</w:t>
      </w:r>
      <w:r w:rsidRPr="00A762B5">
        <w:rPr>
          <w:rFonts w:ascii="Times New Roman" w:eastAsia="Times New Roman" w:hAnsi="Times New Roman" w:cs="Times New Roman"/>
          <w:lang w:val="lt-LT" w:eastAsia="lt-LT"/>
        </w:rPr>
        <w:t xml:space="preserve"> ir vaistinių preparatų, kurių sudėtyje yra kobicistato</w:t>
      </w:r>
      <w:r w:rsidRPr="00A762B5">
        <w:rPr>
          <w:rFonts w:ascii="Times New Roman" w:eastAsia="Calibri" w:hAnsi="Times New Roman" w:cs="Times New Roman"/>
          <w:lang w:val="lt-LT" w:eastAsia="lt-LT"/>
        </w:rPr>
        <w:t>. Simvastatino vartojant kartu su itrakonazolu daugiau kaip 10 kartų padidėja simvastatino rūgšties (aktyvaus beta hidroksirūgšties metabolito) ekspozicija. Telitromicinas simvastatino rūgšties ekspoziciją padidina 11 kartų.</w:t>
      </w:r>
    </w:p>
    <w:p w14:paraId="12C51422" w14:textId="73BC4269"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Taigi, simvastatino </w:t>
      </w:r>
      <w:r w:rsidR="001572ED">
        <w:rPr>
          <w:rFonts w:ascii="Times New Roman" w:eastAsia="Calibri" w:hAnsi="Times New Roman" w:cs="Times New Roman"/>
          <w:lang w:val="lt-LT" w:eastAsia="lt-LT"/>
        </w:rPr>
        <w:t>draudžiama</w:t>
      </w:r>
      <w:r w:rsidR="001572ED" w:rsidRPr="00A762B5">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vartoti kartu su itrakonazolu, ketokonazolu, pozakonazolu, vorikonazolu, ŽIV-proteazės inhibitoriais (pvz., nelfinaviru), bocepreviru, telapreviru, eritromicinu, klaritromicinu, telitromicinu ir nefazodonu</w:t>
      </w:r>
      <w:r w:rsidRPr="00A762B5">
        <w:rPr>
          <w:rFonts w:ascii="Times New Roman" w:eastAsia="Times New Roman" w:hAnsi="Times New Roman" w:cs="Times New Roman"/>
          <w:lang w:val="lt-LT" w:eastAsia="lt-LT"/>
        </w:rPr>
        <w:t xml:space="preserve"> ir vaistinių preparatų, kurių sudėtyje yra kobicistato</w:t>
      </w:r>
      <w:r w:rsidRPr="00A762B5">
        <w:rPr>
          <w:rFonts w:ascii="Times New Roman" w:eastAsia="Calibri" w:hAnsi="Times New Roman" w:cs="Times New Roman"/>
          <w:lang w:val="lt-LT" w:eastAsia="lt-LT"/>
        </w:rPr>
        <w:t xml:space="preserve">, taip pat su gemfibroziliu, ciklosporinu ir danazolu (žr. 4.3 skyrių). Jeigu gydyti stipriais CYP3A4 inhibitoriais (medžiagomis, kurios maždaug 5 kartus ar daugiau padidina AUC), yra neišvengiama, gydymo kurso metu terapija simvastatinu turi būti nutraukta (ir apsvarstytas alternatyvaus statino vartojimas). Be to, simvastatino reikia atsargiai vartoti kartu su kai kuriais silpnesniais CYP3A4 inhibitoriais, pvz., flukonazolu, verapamiliu ar diltiazemu (žr. 4.2 ir 4.4 skyrius). </w:t>
      </w:r>
    </w:p>
    <w:p w14:paraId="2DA22A6E"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p>
    <w:p w14:paraId="41427BC7"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Flukonazolas</w:t>
      </w:r>
    </w:p>
    <w:p w14:paraId="2E93558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Retai gauta pranešimų apie rabdomiolizės atvejus, susijusius su simvastatino vartojimu kartu su flukonazolu (žr. 4.4 skyrių).</w:t>
      </w:r>
    </w:p>
    <w:p w14:paraId="654462B9"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p>
    <w:p w14:paraId="0B8C2EC6"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Ciklosporinas</w:t>
      </w:r>
    </w:p>
    <w:p w14:paraId="1BEB140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Miopatijos/rabdomiolizės rizika būna didesnė, jei simvastatino, ypač didesnėmis dozėmis, vartojama kartu su ciklosporinu. Taigi, simvastatino vartoti kartu su ciklosporinu yra draudžiama (žr. 4.3 ir 4.4 skyrius). Nors tikslus veikimo mechanizmas nežinomas, ciklosporinas didina HMG CoA reduktazės inhibitorių AUC. Simvastatino rūgšties AUC padidėjimas atsiranda turbūt iš dalies todėl, kad slopinama CYP3A4 ir (arba) OATP1B1.</w:t>
      </w:r>
    </w:p>
    <w:p w14:paraId="246D4AC8"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p>
    <w:p w14:paraId="0FDAB180"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Danazolas</w:t>
      </w:r>
    </w:p>
    <w:p w14:paraId="53D842F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lastRenderedPageBreak/>
        <w:t xml:space="preserve">Jeigu danazolo vartojama kartu su simvastatinu, būna didesnė miopatijos ir rabdomiolizės rizika, todėl jo vartoti kartu su danazolu yra draudžiama (žr. 4.3 ir 4.4 skyrius). </w:t>
      </w:r>
    </w:p>
    <w:p w14:paraId="2A8E7BF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73671F9"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Gemfibrozilis</w:t>
      </w:r>
    </w:p>
    <w:p w14:paraId="3EBF1C9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Gemfibrozilis 1,9 karto padidina simvastatino rūgšties AUC, tikriausiai dėl gliukuronizavimo ir (arba) OATP1B1</w:t>
      </w:r>
      <w:r w:rsidRPr="00A762B5">
        <w:rPr>
          <w:rFonts w:ascii="Times New Roman" w:eastAsia="Times New Roman" w:hAnsi="Times New Roman" w:cs="Times New Roman"/>
          <w:lang w:val="lt-LT" w:eastAsia="lt-LT"/>
        </w:rPr>
        <w:t xml:space="preserve"> </w:t>
      </w:r>
      <w:r w:rsidRPr="00A762B5">
        <w:rPr>
          <w:rFonts w:ascii="Times New Roman" w:eastAsia="Calibri" w:hAnsi="Times New Roman" w:cs="Times New Roman"/>
          <w:lang w:val="lt-LT" w:eastAsia="lt-LT"/>
        </w:rPr>
        <w:t>slopinimo (žr. 4.3 ir 4.4 skyrių). Vartoti simvastatino kartu su gemfibroziliu yra draudžiama.</w:t>
      </w:r>
    </w:p>
    <w:p w14:paraId="44B9DE5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992D279" w14:textId="77777777"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bCs/>
          <w:i/>
          <w:iCs/>
          <w:color w:val="000000"/>
          <w:lang w:val="lt-LT" w:eastAsia="ja-JP"/>
        </w:rPr>
      </w:pPr>
      <w:r w:rsidRPr="00A762B5">
        <w:rPr>
          <w:rFonts w:ascii="Times New Roman" w:eastAsia="SimSun" w:hAnsi="Times New Roman" w:cs="Times New Roman"/>
          <w:bCs/>
          <w:i/>
          <w:iCs/>
          <w:color w:val="000000"/>
          <w:lang w:val="lt-LT" w:eastAsia="ja-JP"/>
        </w:rPr>
        <w:t>Fuzido rūgštis</w:t>
      </w:r>
    </w:p>
    <w:p w14:paraId="00A127E7" w14:textId="77777777" w:rsidR="00A762B5" w:rsidRPr="00A762B5" w:rsidRDefault="00A762B5" w:rsidP="00A762B5">
      <w:pPr>
        <w:autoSpaceDE w:val="0"/>
        <w:autoSpaceDN w:val="0"/>
        <w:adjustRightInd w:val="0"/>
        <w:spacing w:after="0" w:line="240" w:lineRule="auto"/>
        <w:contextualSpacing/>
        <w:rPr>
          <w:rFonts w:ascii="Times New Roman" w:eastAsia="SimSun" w:hAnsi="Times New Roman" w:cs="Times New Roman"/>
          <w:color w:val="000000"/>
          <w:lang w:val="lt-LT" w:eastAsia="ja-JP"/>
        </w:rPr>
      </w:pPr>
      <w:r w:rsidRPr="00A762B5">
        <w:rPr>
          <w:rFonts w:ascii="Times New Roman" w:eastAsia="SimSun" w:hAnsi="Times New Roman" w:cs="Times New Roman"/>
          <w:color w:val="000000"/>
          <w:lang w:val="lt-LT" w:eastAsia="ja-JP"/>
        </w:rPr>
        <w:t xml:space="preserve">Miopatijos, įskaitant rabdomiolizę, rizika gali padidėti vartojant sisteminiu būdu fuzido rūgštį kartu su statinais. Šios sąveikos mechanizmas (ar jis yra farmakodinaminis, ar farmakokinetinis, ar abu) yra kol kas nežinomas. Gauta pranešimų apie rabdomiolizės atvejus (įskaitant keletą mirties atvejų) šio derinio vartojusiems pacientams. Šio derinio vartojant kartu, gali padidėti abiejų vaistinių preparatų koncentracija plazmoje. Jeigu gydymas </w:t>
      </w:r>
      <w:r w:rsidRPr="00A762B5">
        <w:rPr>
          <w:rFonts w:ascii="Times New Roman" w:eastAsia="Calibri" w:hAnsi="Times New Roman" w:cs="Times New Roman"/>
          <w:lang w:val="lt-LT" w:eastAsia="lt-LT"/>
        </w:rPr>
        <w:t xml:space="preserve">sisteminiu būdu vartojama </w:t>
      </w:r>
      <w:r w:rsidRPr="00A762B5">
        <w:rPr>
          <w:rFonts w:ascii="Times New Roman" w:eastAsia="SimSun" w:hAnsi="Times New Roman" w:cs="Times New Roman"/>
          <w:color w:val="000000"/>
          <w:lang w:val="lt-LT" w:eastAsia="ja-JP"/>
        </w:rPr>
        <w:t xml:space="preserve">fuzido rūgštimi yra būtinas, </w:t>
      </w:r>
      <w:r w:rsidRPr="00A762B5">
        <w:rPr>
          <w:rFonts w:ascii="Times New Roman" w:eastAsia="Calibri" w:hAnsi="Times New Roman" w:cs="Times New Roman"/>
          <w:lang w:val="lt-LT" w:eastAsia="lt-LT"/>
        </w:rPr>
        <w:t>Simvacor</w:t>
      </w:r>
      <w:r w:rsidRPr="00A762B5">
        <w:rPr>
          <w:rFonts w:ascii="Times New Roman" w:eastAsia="SimSun" w:hAnsi="Times New Roman" w:cs="Times New Roman"/>
          <w:color w:val="000000"/>
          <w:lang w:val="lt-LT" w:eastAsia="ja-JP"/>
        </w:rPr>
        <w:t xml:space="preserve"> vartojimas turi būti nutrauktas per visą gydymo fuzido rūgštimi laikotarpį (taip pat žr. 4.4 skyrių). </w:t>
      </w:r>
    </w:p>
    <w:p w14:paraId="4184886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470EBAD"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Amjodaronas</w:t>
      </w:r>
    </w:p>
    <w:p w14:paraId="4B0E032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Miopatijos ir rabdomiolizės rizika yra didesnė, jei amjodarono vartojama kartu su simvastatinu (žr. 4.4 skyrių). Klinikinio tyrimo duomenimis, miopatija pasireiškė 6 % pacientų, kurie amjodarono vartojo kartu su 80 mg simvastatino doze. Todėl pacientams, vartojantiems amjodarono, simvastatino paros dozė neturi viršyti 20 mg.</w:t>
      </w:r>
    </w:p>
    <w:p w14:paraId="739B7E3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F466478"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Kalcio kanalų blokatoriai</w:t>
      </w:r>
    </w:p>
    <w:p w14:paraId="3A890A90" w14:textId="77777777" w:rsidR="00A762B5" w:rsidRPr="00A762B5" w:rsidRDefault="00A762B5" w:rsidP="00A762B5">
      <w:pPr>
        <w:numPr>
          <w:ilvl w:val="0"/>
          <w:numId w:val="15"/>
        </w:numPr>
        <w:spacing w:after="0" w:line="240" w:lineRule="auto"/>
        <w:ind w:left="567" w:hanging="567"/>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Verapamilis</w:t>
      </w:r>
    </w:p>
    <w:p w14:paraId="36670E47" w14:textId="77777777" w:rsidR="00A762B5" w:rsidRPr="00A762B5" w:rsidRDefault="00A762B5" w:rsidP="00A762B5">
      <w:pPr>
        <w:spacing w:after="0" w:line="240" w:lineRule="auto"/>
        <w:ind w:left="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Miopatijos ir rabdomiolizės rizika padidėja, verapamilio vartojant kartu su 40 mg ar 80 mg simvastatino (žr. 4.4 skyrių). Farmakokinetikos tyrimų duomenimis, kartu su simvastatinu vartojamas verapamilis 2,3 karto padidino simvastatino rūgšties ekspoziciją, iš dalies, tikriausiai, dėl CYP3A4 slopinimo. Taigi, pacientams, gydomiems verapamiliu, galima vartoti ne didesnę kaip 20 mg simvastatino paros dozę.</w:t>
      </w:r>
    </w:p>
    <w:p w14:paraId="2A9B9D13" w14:textId="77777777" w:rsidR="00A762B5" w:rsidRPr="00A762B5" w:rsidRDefault="00A762B5" w:rsidP="00A762B5">
      <w:pPr>
        <w:spacing w:after="0" w:line="240" w:lineRule="auto"/>
        <w:ind w:left="567"/>
        <w:contextualSpacing/>
        <w:rPr>
          <w:rFonts w:ascii="Times New Roman" w:eastAsia="Calibri" w:hAnsi="Times New Roman" w:cs="Times New Roman"/>
          <w:lang w:val="lt-LT" w:eastAsia="lt-LT"/>
        </w:rPr>
      </w:pPr>
    </w:p>
    <w:p w14:paraId="2EE5AF3B" w14:textId="77777777" w:rsidR="00A762B5" w:rsidRPr="00A762B5" w:rsidRDefault="00A762B5" w:rsidP="00A762B5">
      <w:pPr>
        <w:numPr>
          <w:ilvl w:val="0"/>
          <w:numId w:val="15"/>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Diltiazemas</w:t>
      </w:r>
      <w:r w:rsidRPr="00A762B5">
        <w:rPr>
          <w:rFonts w:ascii="Times New Roman" w:eastAsia="Calibri" w:hAnsi="Times New Roman" w:cs="Times New Roman"/>
          <w:lang w:val="lt-LT" w:eastAsia="lt-LT"/>
        </w:rPr>
        <w:br/>
        <w:t xml:space="preserve">Miopatijos ir rabdomiolizės rizika padidėja, diltiazemo vartojant kartu su 80 mg simvastatino (žr. 4.4 skyrių). </w:t>
      </w:r>
    </w:p>
    <w:p w14:paraId="3C802F4B" w14:textId="77777777" w:rsidR="00A762B5" w:rsidRPr="00A762B5" w:rsidRDefault="00A762B5" w:rsidP="00A762B5">
      <w:pPr>
        <w:spacing w:after="0" w:line="240" w:lineRule="auto"/>
        <w:ind w:left="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Farmakokinetikos tyrimų duomenimis, diltiazemo vartojant kartu su simvastatinu, 2,7 karto padidėja, tikriausiai dėl CYP3A4 slopinimo, simvastatino rūgšties ekspozicija. Taigi, pacientams, gydomiems diltiazemu, galima vartoti ne didesnę kaip 20 mg simvastatino paros dozę.</w:t>
      </w:r>
    </w:p>
    <w:p w14:paraId="1CA32751"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rPr>
      </w:pPr>
    </w:p>
    <w:p w14:paraId="3A280473" w14:textId="77777777" w:rsidR="00A762B5" w:rsidRPr="00A762B5" w:rsidRDefault="00A762B5" w:rsidP="00A762B5">
      <w:pPr>
        <w:widowControl w:val="0"/>
        <w:numPr>
          <w:ilvl w:val="0"/>
          <w:numId w:val="15"/>
        </w:numPr>
        <w:autoSpaceDE w:val="0"/>
        <w:autoSpaceDN w:val="0"/>
        <w:adjustRightInd w:val="0"/>
        <w:spacing w:after="0" w:line="240" w:lineRule="auto"/>
        <w:ind w:left="567" w:hanging="567"/>
        <w:contextualSpacing/>
        <w:rPr>
          <w:rFonts w:ascii="Times New Roman" w:eastAsia="SimSun" w:hAnsi="Times New Roman" w:cs="Times New Roman"/>
          <w:i/>
          <w:color w:val="000000"/>
          <w:lang w:val="lt-LT" w:eastAsia="ja-JP" w:bidi="ne-IN"/>
        </w:rPr>
      </w:pPr>
      <w:r w:rsidRPr="00A762B5">
        <w:rPr>
          <w:rFonts w:ascii="Times New Roman" w:eastAsia="SimSun" w:hAnsi="Times New Roman" w:cs="Times New Roman"/>
          <w:i/>
          <w:color w:val="000000"/>
          <w:lang w:val="lt-LT" w:eastAsia="ja-JP" w:bidi="ne-IN"/>
        </w:rPr>
        <w:t>Amlodipinas</w:t>
      </w:r>
    </w:p>
    <w:p w14:paraId="2C3F8832" w14:textId="77777777" w:rsidR="00A762B5" w:rsidRPr="00A762B5" w:rsidRDefault="00A762B5" w:rsidP="00A762B5">
      <w:pPr>
        <w:spacing w:after="0" w:line="240" w:lineRule="auto"/>
        <w:ind w:left="567"/>
        <w:contextualSpacing/>
        <w:rPr>
          <w:rFonts w:ascii="Times New Roman" w:eastAsia="Calibri" w:hAnsi="Times New Roman" w:cs="Times New Roman"/>
          <w:color w:val="000000"/>
          <w:lang w:val="lt-LT" w:eastAsia="lt-LT"/>
        </w:rPr>
      </w:pPr>
      <w:r w:rsidRPr="00A762B5">
        <w:rPr>
          <w:rFonts w:ascii="Times New Roman" w:eastAsia="Calibri" w:hAnsi="Times New Roman" w:cs="Times New Roman"/>
          <w:color w:val="000000"/>
          <w:lang w:val="lt-LT" w:eastAsia="lt-LT" w:bidi="ne-IN"/>
        </w:rPr>
        <w:t xml:space="preserve">Amlodipinu kartu su simvastatinu gydomiems pacientams būna didesnė miopatijos rizika. Farmakokinetikos tyrimo duomenimis, amlodipinas, vartojamas kartu su simvastatinu, 1,6 karto padidino simvastatino rūgšties ekspoziciją. </w:t>
      </w:r>
      <w:r w:rsidRPr="00A762B5">
        <w:rPr>
          <w:rFonts w:ascii="Times New Roman" w:eastAsia="Calibri" w:hAnsi="Times New Roman" w:cs="Times New Roman"/>
          <w:lang w:val="lt-LT" w:eastAsia="lt-LT"/>
        </w:rPr>
        <w:t>Taigi, pacientams, gydomiems amlodipinu, galima vartoti ne didesnę kaip 20 mg simvastatino paros dozę</w:t>
      </w:r>
      <w:r w:rsidRPr="00A762B5">
        <w:rPr>
          <w:rFonts w:ascii="Times New Roman" w:eastAsia="Calibri" w:hAnsi="Times New Roman" w:cs="Times New Roman"/>
          <w:color w:val="000000"/>
          <w:lang w:val="lt-LT" w:eastAsia="lt-LT" w:bidi="ne-IN"/>
        </w:rPr>
        <w:t>.</w:t>
      </w:r>
    </w:p>
    <w:p w14:paraId="1C58A68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FF96402"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Lomitapidas</w:t>
      </w:r>
    </w:p>
    <w:p w14:paraId="6D7E67D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Lomitapido vartojant kartu su simvastatinu gali būti didesnė miopatijos ir rabdomiolizės rizika (žr. 4.3 ir 4.4 skyrius). Dėl to pacientams, kuriems yra HŠH, simvastatino paros dozė turi neviršyti 40 mg, jeigu jiems kartu taikomas gydymas lomitapidu.</w:t>
      </w:r>
    </w:p>
    <w:p w14:paraId="25623EA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50B6D0E"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Vidutinio stiprumo CYP3A4 inhibitoriai</w:t>
      </w:r>
    </w:p>
    <w:p w14:paraId="626395BD"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rPr>
      </w:pPr>
      <w:r w:rsidRPr="00A762B5">
        <w:rPr>
          <w:rFonts w:ascii="Times New Roman" w:eastAsia="SimSun" w:hAnsi="Times New Roman" w:cs="Times New Roman"/>
          <w:color w:val="000000"/>
          <w:lang w:val="lt-LT" w:eastAsia="ja-JP"/>
        </w:rPr>
        <w:t>Jei pacientai kartu su simvastatinu (ypač didelėmis jo dozėmis) vartoja kitų vaistinių preparatų, kurių informacijoje nurodyta, kad jie vidutiniškai slopina CYP3A4, gali padidėti miopatijos rizika (žr. 4.4 skyrių).</w:t>
      </w:r>
    </w:p>
    <w:p w14:paraId="217463D4"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rPr>
      </w:pPr>
    </w:p>
    <w:p w14:paraId="092692A3"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Pernašos baltymo OATP1B1 inhibitoriai</w:t>
      </w:r>
    </w:p>
    <w:p w14:paraId="27D429CB"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rPr>
      </w:pPr>
      <w:r w:rsidRPr="00A762B5">
        <w:rPr>
          <w:rFonts w:ascii="Times New Roman" w:eastAsia="SimSun" w:hAnsi="Times New Roman" w:cs="Times New Roman"/>
          <w:color w:val="000000"/>
          <w:lang w:val="lt-LT" w:eastAsia="ja-JP"/>
        </w:rPr>
        <w:t xml:space="preserve">Simvastatino rūgštis yra pernašos baltymo </w:t>
      </w:r>
      <w:r w:rsidRPr="00A762B5">
        <w:rPr>
          <w:rFonts w:ascii="Times New Roman" w:eastAsia="Calibri" w:hAnsi="Times New Roman" w:cs="Times New Roman"/>
          <w:lang w:val="lt-LT" w:eastAsia="lt-LT"/>
        </w:rPr>
        <w:t xml:space="preserve">OATP1B1 substratas. Kartu vartojami vaistiniai preparatai, </w:t>
      </w:r>
      <w:r w:rsidRPr="00A762B5">
        <w:rPr>
          <w:rFonts w:ascii="Times New Roman" w:eastAsia="Calibri" w:hAnsi="Times New Roman" w:cs="Times New Roman"/>
          <w:lang w:val="lt-LT" w:eastAsia="lt-LT"/>
        </w:rPr>
        <w:lastRenderedPageBreak/>
        <w:t xml:space="preserve">kurie yra </w:t>
      </w:r>
      <w:r w:rsidRPr="00A762B5">
        <w:rPr>
          <w:rFonts w:ascii="Times New Roman" w:eastAsia="SimSun" w:hAnsi="Times New Roman" w:cs="Times New Roman"/>
          <w:color w:val="000000"/>
          <w:lang w:val="lt-LT" w:eastAsia="ja-JP"/>
        </w:rPr>
        <w:t xml:space="preserve">pernašos baltymo </w:t>
      </w:r>
      <w:r w:rsidRPr="00A762B5">
        <w:rPr>
          <w:rFonts w:ascii="Times New Roman" w:eastAsia="Calibri" w:hAnsi="Times New Roman" w:cs="Times New Roman"/>
          <w:lang w:val="lt-LT" w:eastAsia="lt-LT"/>
        </w:rPr>
        <w:t xml:space="preserve">OATP1B1 inhibitoriai, gali privesti prie didesnių simvastatino rūgšties koncentracijų plazmoje ir miopatijos rizikos padidėjimo (žr. 4.3 ir 4.4 skyrius). </w:t>
      </w:r>
    </w:p>
    <w:p w14:paraId="11541B8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2B0C828"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Krūties vėžio atsparumo baltymo (angl. breast cancer resistant protein, BCRP) inhibitoriai</w:t>
      </w:r>
    </w:p>
    <w:p w14:paraId="32FB96A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Kartu vartojant vaistinių preparatų, kurie yra BCRP inhibitoriai, įskaitant vaistinius preparatus, kurių sudėtyje yra elbasviro ar grazopreviro, gali padidėti simvastatino koncentracija plazmoje ir padidėti miopatijos rizika (žr. 4.2 ir 4.4 skyrius).</w:t>
      </w:r>
    </w:p>
    <w:p w14:paraId="78CE47C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CA453FE"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Niacinas (nikotino rūgštis)</w:t>
      </w:r>
    </w:p>
    <w:p w14:paraId="673701D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Reti miopatijos / rabdomiolizės atvejai buvo susiję su simvastatino vartojimu kartu su lipidus modifikuojančiomis niacino (nikotino rūgšties) dozėmis (≥ 1 g/parą). Farmakokinetiniame tyrime pavartojus vienkartinę 2 g nikotino rūgšties dozę pailginto atpalaidavimo preparato forma kartu su 20 mg simvastatino šiek tiek padidėjo simvastatino ir simvastatino rūgšties AUC, taip pat didžiausia simvastatino rūgšties koncentracija plazmoje (C</w:t>
      </w:r>
      <w:r w:rsidRPr="00A762B5">
        <w:rPr>
          <w:rFonts w:ascii="Times New Roman" w:eastAsia="Calibri" w:hAnsi="Times New Roman" w:cs="Times New Roman"/>
          <w:vertAlign w:val="subscript"/>
          <w:lang w:val="lt-LT" w:eastAsia="lt-LT"/>
        </w:rPr>
        <w:t>max</w:t>
      </w:r>
      <w:r w:rsidRPr="00A762B5">
        <w:rPr>
          <w:rFonts w:ascii="Times New Roman" w:eastAsia="Calibri" w:hAnsi="Times New Roman" w:cs="Times New Roman"/>
          <w:lang w:val="lt-LT" w:eastAsia="lt-LT"/>
        </w:rPr>
        <w:t>).</w:t>
      </w:r>
    </w:p>
    <w:p w14:paraId="7DABCB11" w14:textId="77777777" w:rsidR="00460FF2" w:rsidRDefault="00460FF2" w:rsidP="00460FF2">
      <w:pPr>
        <w:spacing w:after="0" w:line="240" w:lineRule="auto"/>
        <w:contextualSpacing/>
        <w:rPr>
          <w:rFonts w:ascii="Times New Roman" w:eastAsia="Calibri" w:hAnsi="Times New Roman" w:cs="Times New Roman"/>
          <w:lang w:val="lt-LT" w:eastAsia="lt-LT"/>
        </w:rPr>
      </w:pPr>
    </w:p>
    <w:p w14:paraId="782E1098" w14:textId="6A8F09FD" w:rsidR="00460FF2" w:rsidRPr="006E771E" w:rsidRDefault="00030BDF" w:rsidP="00460FF2">
      <w:pPr>
        <w:spacing w:after="0" w:line="240" w:lineRule="auto"/>
        <w:contextualSpacing/>
        <w:rPr>
          <w:rFonts w:ascii="Times New Roman" w:eastAsia="Calibri" w:hAnsi="Times New Roman" w:cs="Times New Roman"/>
          <w:i/>
          <w:iCs/>
          <w:lang w:val="lt-LT" w:eastAsia="lt-LT"/>
        </w:rPr>
      </w:pPr>
      <w:r w:rsidRPr="006E771E">
        <w:rPr>
          <w:rFonts w:ascii="Times New Roman" w:eastAsia="Calibri" w:hAnsi="Times New Roman" w:cs="Times New Roman"/>
          <w:i/>
          <w:iCs/>
          <w:lang w:val="lt-LT" w:eastAsia="lt-LT"/>
        </w:rPr>
        <w:t>Tikagreloras</w:t>
      </w:r>
    </w:p>
    <w:p w14:paraId="444DF197" w14:textId="60E35D3A" w:rsidR="00A762B5" w:rsidRDefault="00030BDF" w:rsidP="00FB56E2">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T</w:t>
      </w:r>
      <w:r w:rsidRPr="00030BDF">
        <w:rPr>
          <w:rFonts w:ascii="Times New Roman" w:eastAsia="Calibri" w:hAnsi="Times New Roman" w:cs="Times New Roman"/>
          <w:lang w:val="lt-LT" w:eastAsia="lt-LT"/>
        </w:rPr>
        <w:t>ikagrelorą vartojant</w:t>
      </w:r>
      <w:r>
        <w:rPr>
          <w:rFonts w:ascii="Times New Roman" w:eastAsia="Calibri" w:hAnsi="Times New Roman" w:cs="Times New Roman"/>
          <w:lang w:val="lt-LT" w:eastAsia="lt-LT"/>
        </w:rPr>
        <w:t xml:space="preserve"> kartu su simvastatinu</w:t>
      </w:r>
      <w:r w:rsidRPr="00030BDF">
        <w:rPr>
          <w:rFonts w:ascii="Times New Roman" w:eastAsia="Calibri" w:hAnsi="Times New Roman" w:cs="Times New Roman"/>
          <w:lang w:val="lt-LT" w:eastAsia="lt-LT"/>
        </w:rPr>
        <w:t>, simvastatino C</w:t>
      </w:r>
      <w:r w:rsidRPr="006E771E">
        <w:rPr>
          <w:rFonts w:ascii="Times New Roman" w:eastAsia="Calibri" w:hAnsi="Times New Roman" w:cs="Times New Roman"/>
          <w:vertAlign w:val="subscript"/>
          <w:lang w:val="lt-LT" w:eastAsia="lt-LT"/>
        </w:rPr>
        <w:t>max</w:t>
      </w:r>
      <w:r w:rsidRPr="00030BDF">
        <w:rPr>
          <w:rFonts w:ascii="Times New Roman" w:eastAsia="Calibri" w:hAnsi="Times New Roman" w:cs="Times New Roman"/>
          <w:lang w:val="lt-LT" w:eastAsia="lt-LT"/>
        </w:rPr>
        <w:t xml:space="preserve"> padidėjo 81</w:t>
      </w:r>
      <w:r w:rsidR="00FB56E2">
        <w:rPr>
          <w:rFonts w:ascii="Times New Roman" w:eastAsia="Calibri" w:hAnsi="Times New Roman" w:cs="Times New Roman"/>
          <w:lang w:val="lt-LT" w:eastAsia="lt-LT"/>
        </w:rPr>
        <w:t> </w:t>
      </w:r>
      <w:r w:rsidRPr="00030BDF">
        <w:rPr>
          <w:rFonts w:ascii="Times New Roman" w:eastAsia="Calibri" w:hAnsi="Times New Roman" w:cs="Times New Roman"/>
          <w:lang w:val="lt-LT" w:eastAsia="lt-LT"/>
        </w:rPr>
        <w:t>% ir AUC – 56</w:t>
      </w:r>
      <w:r w:rsidR="00FB56E2">
        <w:rPr>
          <w:rFonts w:ascii="Times New Roman" w:eastAsia="Calibri" w:hAnsi="Times New Roman" w:cs="Times New Roman"/>
          <w:lang w:val="lt-LT" w:eastAsia="lt-LT"/>
        </w:rPr>
        <w:t> </w:t>
      </w:r>
      <w:r w:rsidRPr="00030BDF">
        <w:rPr>
          <w:rFonts w:ascii="Times New Roman" w:eastAsia="Calibri" w:hAnsi="Times New Roman" w:cs="Times New Roman"/>
          <w:lang w:val="lt-LT" w:eastAsia="lt-LT"/>
        </w:rPr>
        <w:t>%,</w:t>
      </w:r>
      <w:r w:rsidR="00FB56E2">
        <w:rPr>
          <w:rFonts w:ascii="Times New Roman" w:eastAsia="Calibri" w:hAnsi="Times New Roman" w:cs="Times New Roman"/>
          <w:lang w:val="lt-LT" w:eastAsia="lt-LT"/>
        </w:rPr>
        <w:t xml:space="preserve"> </w:t>
      </w:r>
      <w:r w:rsidRPr="00030BDF">
        <w:rPr>
          <w:rFonts w:ascii="Times New Roman" w:eastAsia="Calibri" w:hAnsi="Times New Roman" w:cs="Times New Roman"/>
          <w:lang w:val="lt-LT" w:eastAsia="lt-LT"/>
        </w:rPr>
        <w:t>simvastatino rūgšties C</w:t>
      </w:r>
      <w:r w:rsidRPr="006E771E">
        <w:rPr>
          <w:rFonts w:ascii="Times New Roman" w:eastAsia="Calibri" w:hAnsi="Times New Roman" w:cs="Times New Roman"/>
          <w:vertAlign w:val="subscript"/>
          <w:lang w:val="lt-LT" w:eastAsia="lt-LT"/>
        </w:rPr>
        <w:t>max</w:t>
      </w:r>
      <w:r w:rsidRPr="00030BDF">
        <w:rPr>
          <w:rFonts w:ascii="Times New Roman" w:eastAsia="Calibri" w:hAnsi="Times New Roman" w:cs="Times New Roman"/>
          <w:lang w:val="lt-LT" w:eastAsia="lt-LT"/>
        </w:rPr>
        <w:t xml:space="preserve"> padidėjo 64</w:t>
      </w:r>
      <w:r w:rsidR="00FB56E2">
        <w:rPr>
          <w:rFonts w:ascii="Times New Roman" w:eastAsia="Calibri" w:hAnsi="Times New Roman" w:cs="Times New Roman"/>
          <w:lang w:val="lt-LT" w:eastAsia="lt-LT"/>
        </w:rPr>
        <w:t> </w:t>
      </w:r>
      <w:r w:rsidRPr="00030BDF">
        <w:rPr>
          <w:rFonts w:ascii="Times New Roman" w:eastAsia="Calibri" w:hAnsi="Times New Roman" w:cs="Times New Roman"/>
          <w:lang w:val="lt-LT" w:eastAsia="lt-LT"/>
        </w:rPr>
        <w:t>% ir AUC – 52</w:t>
      </w:r>
      <w:r w:rsidR="00FB56E2">
        <w:rPr>
          <w:rFonts w:ascii="Times New Roman" w:eastAsia="Calibri" w:hAnsi="Times New Roman" w:cs="Times New Roman"/>
          <w:lang w:val="lt-LT" w:eastAsia="lt-LT"/>
        </w:rPr>
        <w:t> </w:t>
      </w:r>
      <w:r w:rsidRPr="00030BDF">
        <w:rPr>
          <w:rFonts w:ascii="Times New Roman" w:eastAsia="Calibri" w:hAnsi="Times New Roman" w:cs="Times New Roman"/>
          <w:lang w:val="lt-LT" w:eastAsia="lt-LT"/>
        </w:rPr>
        <w:t>%, tačiau atskiriems individams</w:t>
      </w:r>
      <w:r w:rsidR="00FB56E2">
        <w:rPr>
          <w:rFonts w:ascii="Times New Roman" w:eastAsia="Calibri" w:hAnsi="Times New Roman" w:cs="Times New Roman"/>
          <w:lang w:val="lt-LT" w:eastAsia="lt-LT"/>
        </w:rPr>
        <w:t xml:space="preserve"> </w:t>
      </w:r>
      <w:r w:rsidRPr="00030BDF">
        <w:rPr>
          <w:rFonts w:ascii="Times New Roman" w:eastAsia="Calibri" w:hAnsi="Times New Roman" w:cs="Times New Roman"/>
          <w:lang w:val="lt-LT" w:eastAsia="lt-LT"/>
        </w:rPr>
        <w:t>užfiksuota padidėjimo 2</w:t>
      </w:r>
      <w:r w:rsidR="00FB56E2">
        <w:rPr>
          <w:rFonts w:ascii="Times New Roman" w:eastAsia="Calibri" w:hAnsi="Times New Roman" w:cs="Times New Roman"/>
          <w:lang w:val="lt-LT" w:eastAsia="lt-LT"/>
        </w:rPr>
        <w:noBreakHyphen/>
      </w:r>
      <w:r w:rsidRPr="00030BDF">
        <w:rPr>
          <w:rFonts w:ascii="Times New Roman" w:eastAsia="Calibri" w:hAnsi="Times New Roman" w:cs="Times New Roman"/>
          <w:lang w:val="lt-LT" w:eastAsia="lt-LT"/>
        </w:rPr>
        <w:t>3 kartus atvejų. Kartu su didesnėmis kaip 40</w:t>
      </w:r>
      <w:r w:rsidR="00FB56E2">
        <w:rPr>
          <w:rFonts w:ascii="Times New Roman" w:eastAsia="Calibri" w:hAnsi="Times New Roman" w:cs="Times New Roman"/>
          <w:lang w:val="lt-LT" w:eastAsia="lt-LT"/>
        </w:rPr>
        <w:t> </w:t>
      </w:r>
      <w:r w:rsidRPr="00030BDF">
        <w:rPr>
          <w:rFonts w:ascii="Times New Roman" w:eastAsia="Calibri" w:hAnsi="Times New Roman" w:cs="Times New Roman"/>
          <w:lang w:val="lt-LT" w:eastAsia="lt-LT"/>
        </w:rPr>
        <w:t>mg simvastatino paros</w:t>
      </w:r>
      <w:r w:rsidR="00FB56E2">
        <w:rPr>
          <w:rFonts w:ascii="Times New Roman" w:eastAsia="Calibri" w:hAnsi="Times New Roman" w:cs="Times New Roman"/>
          <w:lang w:val="lt-LT" w:eastAsia="lt-LT"/>
        </w:rPr>
        <w:t xml:space="preserve"> </w:t>
      </w:r>
      <w:r w:rsidRPr="00030BDF">
        <w:rPr>
          <w:rFonts w:ascii="Times New Roman" w:eastAsia="Calibri" w:hAnsi="Times New Roman" w:cs="Times New Roman"/>
          <w:lang w:val="lt-LT" w:eastAsia="lt-LT"/>
        </w:rPr>
        <w:t>dozėmis vartojant tikagrelorą, gali pasireikšti simvastatino nepageidaujamų reakcijų, kurių</w:t>
      </w:r>
      <w:r w:rsidR="00FB56E2">
        <w:rPr>
          <w:rFonts w:ascii="Times New Roman" w:eastAsia="Calibri" w:hAnsi="Times New Roman" w:cs="Times New Roman"/>
          <w:lang w:val="lt-LT" w:eastAsia="lt-LT"/>
        </w:rPr>
        <w:t xml:space="preserve"> </w:t>
      </w:r>
      <w:r w:rsidRPr="00030BDF">
        <w:rPr>
          <w:rFonts w:ascii="Times New Roman" w:eastAsia="Calibri" w:hAnsi="Times New Roman" w:cs="Times New Roman"/>
          <w:lang w:val="lt-LT" w:eastAsia="lt-LT"/>
        </w:rPr>
        <w:t>riziką reikia palyginti su galima šio derinio nauda. Simvastatinas tikagreloro koncentracijos</w:t>
      </w:r>
      <w:r w:rsidR="00FB56E2">
        <w:rPr>
          <w:rFonts w:ascii="Times New Roman" w:eastAsia="Calibri" w:hAnsi="Times New Roman" w:cs="Times New Roman"/>
          <w:lang w:val="lt-LT" w:eastAsia="lt-LT"/>
        </w:rPr>
        <w:t xml:space="preserve"> </w:t>
      </w:r>
      <w:r w:rsidRPr="00030BDF">
        <w:rPr>
          <w:rFonts w:ascii="Times New Roman" w:eastAsia="Calibri" w:hAnsi="Times New Roman" w:cs="Times New Roman"/>
          <w:lang w:val="lt-LT" w:eastAsia="lt-LT"/>
        </w:rPr>
        <w:t>plazmoje neveikė. Kartu su</w:t>
      </w:r>
      <w:r>
        <w:rPr>
          <w:rFonts w:ascii="Times New Roman" w:eastAsia="Calibri" w:hAnsi="Times New Roman" w:cs="Times New Roman"/>
          <w:lang w:val="lt-LT" w:eastAsia="lt-LT"/>
        </w:rPr>
        <w:t xml:space="preserve"> </w:t>
      </w:r>
      <w:r w:rsidRPr="00030BDF">
        <w:rPr>
          <w:rFonts w:ascii="Times New Roman" w:eastAsia="Calibri" w:hAnsi="Times New Roman" w:cs="Times New Roman"/>
          <w:lang w:val="lt-LT" w:eastAsia="lt-LT"/>
        </w:rPr>
        <w:t>tikagreloru nerekomenduojama vartoti didesnių kaip 40</w:t>
      </w:r>
      <w:r w:rsidR="00FB56E2">
        <w:rPr>
          <w:rFonts w:ascii="Times New Roman" w:eastAsia="Calibri" w:hAnsi="Times New Roman" w:cs="Times New Roman"/>
          <w:lang w:val="lt-LT" w:eastAsia="lt-LT"/>
        </w:rPr>
        <w:t> </w:t>
      </w:r>
      <w:r w:rsidRPr="00030BDF">
        <w:rPr>
          <w:rFonts w:ascii="Times New Roman" w:eastAsia="Calibri" w:hAnsi="Times New Roman" w:cs="Times New Roman"/>
          <w:lang w:val="lt-LT" w:eastAsia="lt-LT"/>
        </w:rPr>
        <w:t>mg simvastatino dozių.</w:t>
      </w:r>
    </w:p>
    <w:p w14:paraId="6C192173" w14:textId="77777777" w:rsidR="00460FF2" w:rsidRPr="00A762B5" w:rsidRDefault="00460FF2" w:rsidP="00460FF2">
      <w:pPr>
        <w:spacing w:after="0" w:line="240" w:lineRule="auto"/>
        <w:contextualSpacing/>
        <w:rPr>
          <w:rFonts w:ascii="Times New Roman" w:eastAsia="Calibri" w:hAnsi="Times New Roman" w:cs="Times New Roman"/>
          <w:lang w:val="lt-LT" w:eastAsia="lt-LT"/>
        </w:rPr>
      </w:pPr>
    </w:p>
    <w:p w14:paraId="7D3A03F2"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Greipfrutų sultys</w:t>
      </w:r>
    </w:p>
    <w:p w14:paraId="35B64FC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Greipfrutų sultys slopina citochromo P450 3A4 aktyvumą. Geriant didelį kiekį (daugiau kaip vieną litrą per parą) greipfrutų sulčių kartu su simvastatinu, 7 kartus padidėjo simvastatino rūgšties ekspozicija. Iš ryto išgėrus 240 ml greipfrutų sulčių, ir vakare simvastatino, 1,9 karto padidėjo simvastatino rūgšties ekspozicija, todėl gydymo simvastatinu metu minėtų sulčių gerti reikia vengti.</w:t>
      </w:r>
    </w:p>
    <w:p w14:paraId="2E20531A"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i/>
          <w:snapToGrid w:val="0"/>
          <w:lang w:val="lt-LT" w:eastAsia="lt-LT"/>
        </w:rPr>
      </w:pPr>
    </w:p>
    <w:p w14:paraId="2920C7F1"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i/>
          <w:snapToGrid w:val="0"/>
          <w:lang w:val="lt-LT" w:eastAsia="lt-LT"/>
        </w:rPr>
      </w:pPr>
      <w:r w:rsidRPr="00A762B5">
        <w:rPr>
          <w:rFonts w:ascii="Times New Roman" w:eastAsia="Calibri" w:hAnsi="Times New Roman" w:cs="Times New Roman"/>
          <w:i/>
          <w:snapToGrid w:val="0"/>
          <w:lang w:val="lt-LT" w:eastAsia="lt-LT"/>
        </w:rPr>
        <w:t>Kolchicinas</w:t>
      </w:r>
    </w:p>
    <w:p w14:paraId="69A32491"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snapToGrid w:val="0"/>
          <w:lang w:val="lt-LT" w:eastAsia="lt-LT"/>
        </w:rPr>
      </w:pPr>
      <w:r w:rsidRPr="00A762B5">
        <w:rPr>
          <w:rFonts w:ascii="Times New Roman" w:eastAsia="Calibri" w:hAnsi="Times New Roman" w:cs="Times New Roman"/>
          <w:snapToGrid w:val="0"/>
          <w:lang w:val="lt-LT" w:eastAsia="lt-LT"/>
        </w:rPr>
        <w:t xml:space="preserve">Gauta pranešimų apie miopatiją ir rabdomiolizę kolchicino vartojant kartu su simvastatinu pacientams, kurių inkstų funkcija yra nepakankama. Vartojant minėto derinio reikalingas atidus klinikinis tokių pacientų stebėjimas. </w:t>
      </w:r>
    </w:p>
    <w:p w14:paraId="32BEBB79" w14:textId="77777777" w:rsidR="00A762B5" w:rsidRDefault="00A762B5" w:rsidP="00A762B5">
      <w:pPr>
        <w:spacing w:after="0" w:line="240" w:lineRule="auto"/>
        <w:contextualSpacing/>
        <w:rPr>
          <w:rFonts w:ascii="Times New Roman" w:eastAsia="Calibri" w:hAnsi="Times New Roman" w:cs="Times New Roman"/>
          <w:i/>
          <w:lang w:val="lt-LT" w:eastAsia="lt-LT"/>
        </w:rPr>
      </w:pPr>
    </w:p>
    <w:p w14:paraId="5A2AE0E7" w14:textId="77777777" w:rsidR="000E0CF2" w:rsidRPr="00F95EF2" w:rsidRDefault="000E0CF2" w:rsidP="00A762B5">
      <w:pPr>
        <w:spacing w:after="0" w:line="240" w:lineRule="auto"/>
        <w:contextualSpacing/>
        <w:rPr>
          <w:rFonts w:ascii="Times New Roman" w:eastAsia="Calibri" w:hAnsi="Times New Roman" w:cs="Times New Roman"/>
          <w:i/>
          <w:lang w:val="lt-LT" w:eastAsia="lt-LT"/>
        </w:rPr>
      </w:pPr>
      <w:r w:rsidRPr="00F95EF2">
        <w:rPr>
          <w:rFonts w:ascii="Times New Roman" w:eastAsia="Calibri" w:hAnsi="Times New Roman" w:cs="Times New Roman"/>
          <w:i/>
          <w:lang w:val="lt-LT" w:eastAsia="lt-LT"/>
        </w:rPr>
        <w:t>Daptomicinas</w:t>
      </w:r>
    </w:p>
    <w:p w14:paraId="3A02F6DA" w14:textId="77777777" w:rsidR="000E0CF2" w:rsidRPr="00242B0F" w:rsidRDefault="000E0CF2" w:rsidP="00A762B5">
      <w:pPr>
        <w:spacing w:after="0" w:line="240" w:lineRule="auto"/>
        <w:contextualSpacing/>
        <w:rPr>
          <w:rFonts w:ascii="Times New Roman" w:eastAsia="Calibri" w:hAnsi="Times New Roman" w:cs="Times New Roman"/>
          <w:lang w:val="lt-LT" w:eastAsia="lt-LT"/>
        </w:rPr>
      </w:pPr>
      <w:r w:rsidRPr="00F95EF2">
        <w:rPr>
          <w:rFonts w:ascii="Times New Roman" w:eastAsia="Calibri" w:hAnsi="Times New Roman" w:cs="Times New Roman"/>
          <w:lang w:val="lt-LT" w:eastAsia="lt-LT"/>
        </w:rPr>
        <w:t xml:space="preserve">Daptomicino vartojant kartu su </w:t>
      </w:r>
      <w:r w:rsidRPr="00F95EF2">
        <w:rPr>
          <w:rFonts w:ascii="Times New Roman" w:eastAsia="Times New Roman" w:hAnsi="Times New Roman" w:cs="Times New Roman"/>
          <w:lang w:val="lt-LT" w:eastAsia="lt-LT"/>
        </w:rPr>
        <w:t xml:space="preserve">HMG-CoA reduktazės inhibitoriais (pvz., simvastatinu) </w:t>
      </w:r>
      <w:r w:rsidRPr="00F95EF2">
        <w:rPr>
          <w:rFonts w:ascii="Times New Roman" w:eastAsia="Calibri" w:hAnsi="Times New Roman" w:cs="Times New Roman"/>
          <w:lang w:val="lt-LT" w:eastAsia="lt-LT"/>
        </w:rPr>
        <w:t>gali būti didesnė</w:t>
      </w:r>
      <w:r w:rsidRPr="00F95EF2">
        <w:rPr>
          <w:rFonts w:ascii="Times New Roman" w:hAnsi="Times New Roman" w:cs="Times New Roman"/>
          <w:lang w:val="lt-LT"/>
        </w:rPr>
        <w:t xml:space="preserve"> miopatijos ir (arba) rabdomiolizės rizika (žr. 4.4 skyrių).</w:t>
      </w:r>
    </w:p>
    <w:p w14:paraId="1EC4E97B" w14:textId="77777777" w:rsidR="000E0CF2" w:rsidRPr="00A762B5" w:rsidRDefault="000E0CF2" w:rsidP="00A762B5">
      <w:pPr>
        <w:spacing w:after="0" w:line="240" w:lineRule="auto"/>
        <w:contextualSpacing/>
        <w:rPr>
          <w:rFonts w:ascii="Times New Roman" w:eastAsia="Calibri" w:hAnsi="Times New Roman" w:cs="Times New Roman"/>
          <w:i/>
          <w:lang w:val="lt-LT" w:eastAsia="lt-LT"/>
        </w:rPr>
      </w:pPr>
    </w:p>
    <w:p w14:paraId="033DD6D3"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Rifampicinas</w:t>
      </w:r>
    </w:p>
    <w:p w14:paraId="76670689" w14:textId="760A9906" w:rsid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Kadangi rifampicinas yra stiprus P450 3A4 induktorius, pacientams, kuriems taikomas ilgalaikis gydymas rifampicinu (pvz., gydant tuberkuliozę), gali sumažėti simvastatino veiksmingumas. Farmakokinetikos tyrimo, kuriame dalyvavo sveiki savanoriai, duomenimis, rifampicino vartojant kartu su simvastatinu, simvastatino rūgšties AUC sumažėjo 93 </w:t>
      </w:r>
      <w:r w:rsidRPr="00A762B5">
        <w:rPr>
          <w:rFonts w:ascii="Times New Roman" w:eastAsia="Calibri" w:hAnsi="Times New Roman" w:cs="Times New Roman"/>
          <w:lang w:val="lt-LT" w:eastAsia="lt-LT"/>
        </w:rPr>
        <w:sym w:font="Symbol" w:char="F025"/>
      </w:r>
      <w:r w:rsidRPr="00A762B5">
        <w:rPr>
          <w:rFonts w:ascii="Times New Roman" w:eastAsia="Calibri" w:hAnsi="Times New Roman" w:cs="Times New Roman"/>
          <w:lang w:val="lt-LT" w:eastAsia="lt-LT"/>
        </w:rPr>
        <w:t>.</w:t>
      </w:r>
    </w:p>
    <w:p w14:paraId="0F9D814E" w14:textId="77777777" w:rsidR="00AB32CD" w:rsidRPr="00A762B5" w:rsidRDefault="00AB32CD" w:rsidP="00A762B5">
      <w:pPr>
        <w:spacing w:after="0" w:line="240" w:lineRule="auto"/>
        <w:contextualSpacing/>
        <w:rPr>
          <w:rFonts w:ascii="Times New Roman" w:eastAsia="Calibri" w:hAnsi="Times New Roman" w:cs="Times New Roman"/>
          <w:lang w:val="lt-LT" w:eastAsia="lt-LT"/>
        </w:rPr>
      </w:pPr>
    </w:p>
    <w:p w14:paraId="6972A437" w14:textId="77777777" w:rsidR="00A762B5" w:rsidRPr="00A762B5" w:rsidRDefault="00A762B5" w:rsidP="00A762B5">
      <w:pPr>
        <w:spacing w:after="0" w:line="240" w:lineRule="auto"/>
        <w:contextualSpacing/>
        <w:rPr>
          <w:rFonts w:ascii="Times New Roman" w:eastAsia="Calibri" w:hAnsi="Times New Roman" w:cs="Times New Roman"/>
          <w:i/>
          <w:u w:val="single"/>
          <w:lang w:val="lt-LT" w:eastAsia="lt-LT"/>
        </w:rPr>
      </w:pPr>
      <w:r w:rsidRPr="00A762B5">
        <w:rPr>
          <w:rFonts w:ascii="Times New Roman" w:eastAsia="Calibri" w:hAnsi="Times New Roman" w:cs="Times New Roman"/>
          <w:i/>
          <w:u w:val="single"/>
          <w:lang w:val="lt-LT" w:eastAsia="lt-LT"/>
        </w:rPr>
        <w:t>Simvastatino poveikis kitų vaistinių preparatų farmakokinetikai</w:t>
      </w:r>
    </w:p>
    <w:p w14:paraId="6E12B8DB"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Simvastatinas neslopina CYP3A4 aktyvumo, todėl manoma, kad šis vaistinis preparatas nedaro įtakos medžiagų, kurias metabolizuoja CYP3A4, koncentracijai kraujo plazmoje.</w:t>
      </w:r>
    </w:p>
    <w:p w14:paraId="5F4A9275"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p>
    <w:p w14:paraId="4AE177BB"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Geriamieji antikoaguliantai</w:t>
      </w:r>
    </w:p>
    <w:p w14:paraId="46BB29F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Dviejų klinikinių tyrimų (viename dalyvavo sveiki tiriamieji, kitame - pacientai, kuriems yra hipercholesterolemija) metu 20</w:t>
      </w:r>
      <w:r w:rsidRPr="00A762B5">
        <w:rPr>
          <w:rFonts w:ascii="Times New Roman" w:eastAsia="Calibri" w:hAnsi="Times New Roman" w:cs="Times New Roman"/>
          <w:lang w:val="lt-LT" w:eastAsia="lt-LT"/>
        </w:rPr>
        <w:noBreakHyphen/>
        <w:t xml:space="preserve">40 mg simvastatino paros dozė šiek tiek stiprino kumarinų grupės antikoaguliantų poveikį. Protrombino laikas, nustatytas pagal </w:t>
      </w:r>
      <w:r w:rsidRPr="00A762B5">
        <w:rPr>
          <w:rFonts w:ascii="Times New Roman" w:eastAsia="Calibri" w:hAnsi="Times New Roman" w:cs="Times New Roman"/>
          <w:i/>
          <w:lang w:val="lt-LT" w:eastAsia="lt-LT"/>
        </w:rPr>
        <w:t>INR</w:t>
      </w:r>
      <w:r w:rsidRPr="00A762B5">
        <w:rPr>
          <w:rFonts w:ascii="Times New Roman" w:eastAsia="Calibri" w:hAnsi="Times New Roman" w:cs="Times New Roman"/>
          <w:lang w:val="lt-LT" w:eastAsia="lt-LT"/>
        </w:rPr>
        <w:t xml:space="preserve"> (Tarptautinį Normalizuotą Santykį), sveikiems savanoriams padidėjo nuo 1,7 (pradinio lygio) iki 1,8, o pacientams, kuriems yra hipercholesterolemija, - nuo 2,6 iki 3,4. </w:t>
      </w:r>
      <w:r w:rsidRPr="00A762B5">
        <w:rPr>
          <w:rFonts w:ascii="Times New Roman" w:eastAsia="Calibri" w:hAnsi="Times New Roman" w:cs="Times New Roman"/>
          <w:i/>
          <w:lang w:val="lt-LT" w:eastAsia="lt-LT"/>
        </w:rPr>
        <w:t>INR</w:t>
      </w:r>
      <w:r w:rsidRPr="00A762B5">
        <w:rPr>
          <w:rFonts w:ascii="Times New Roman" w:eastAsia="Calibri" w:hAnsi="Times New Roman" w:cs="Times New Roman"/>
          <w:lang w:val="lt-LT" w:eastAsia="lt-LT"/>
        </w:rPr>
        <w:t xml:space="preserve"> padidėjimo atvejų pastebėta labai mažai. Pacientams, kurie vartoja kumarinų grupės vaistinių preparatų, protrombino laiką reikia nustatyti prieš pradedant gydyti simvastatinu ir toliau gydymo pradžioje jį gana dažnai tirti, norint įsitikinti, jog neatsirado reikšmingų protrombino laiko pokyčių. Kai protrombino laikas tampa stabilus, jį toliau </w:t>
      </w:r>
      <w:r w:rsidRPr="00A762B5">
        <w:rPr>
          <w:rFonts w:ascii="Times New Roman" w:eastAsia="Calibri" w:hAnsi="Times New Roman" w:cs="Times New Roman"/>
          <w:lang w:val="lt-LT" w:eastAsia="lt-LT"/>
        </w:rPr>
        <w:lastRenderedPageBreak/>
        <w:t xml:space="preserve">rekomenduojama nustatyti tokiu pat dažnumu, kaip pacientams, gydomiems kumarinų grupės antikoaguliantais. Jei keičiama simvastatino dozė ar nutraukiamas šio vaistinio preparato vartojimas, reikia kartoti minėtą protrombino laiko nustatymo procedūrą. Pacientams, nevartojantiems antikoaguliantų, gydymas simvastatinu yra nesusijęs su prasidėjusiu kraujavimu arba protrombino laiko pokyčiais. </w:t>
      </w:r>
    </w:p>
    <w:p w14:paraId="1546755A"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p>
    <w:p w14:paraId="4B10B824"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4.6</w:t>
      </w:r>
      <w:r w:rsidRPr="00A762B5">
        <w:rPr>
          <w:rFonts w:ascii="Times New Roman" w:eastAsia="Calibri" w:hAnsi="Times New Roman" w:cs="Times New Roman"/>
          <w:b/>
          <w:lang w:val="lt-LT" w:eastAsia="lt-LT"/>
        </w:rPr>
        <w:tab/>
        <w:t>Vaisingumas, nėštumo ir žindymo laikotarpis</w:t>
      </w:r>
    </w:p>
    <w:p w14:paraId="5B750AA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4259C41" w14:textId="77777777" w:rsidR="00A762B5" w:rsidRPr="009D1356" w:rsidRDefault="00A762B5" w:rsidP="00A762B5">
      <w:pPr>
        <w:spacing w:after="0" w:line="240" w:lineRule="auto"/>
        <w:contextualSpacing/>
        <w:rPr>
          <w:rFonts w:ascii="Times New Roman" w:eastAsia="Calibri" w:hAnsi="Times New Roman" w:cs="Times New Roman"/>
          <w:iCs/>
          <w:u w:val="single"/>
          <w:lang w:val="lt-LT" w:eastAsia="lt-LT"/>
        </w:rPr>
      </w:pPr>
      <w:r w:rsidRPr="009D1356">
        <w:rPr>
          <w:rFonts w:ascii="Times New Roman" w:eastAsia="Calibri" w:hAnsi="Times New Roman" w:cs="Times New Roman"/>
          <w:iCs/>
          <w:u w:val="single"/>
          <w:lang w:val="lt-LT" w:eastAsia="lt-LT"/>
        </w:rPr>
        <w:t>Nėštumas</w:t>
      </w:r>
    </w:p>
    <w:p w14:paraId="21E83452"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Nėščioms moterims simvastatino vartoti draudžiama (žr. 4.3 skyrių).</w:t>
      </w:r>
    </w:p>
    <w:p w14:paraId="642BE4E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2FA990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Ar nėščioms moterims vaistinio preparato vartoti saugu, nenustatyta. Moterų, nėštumo metu vartojančių simvastatino, kontroliuojamų klinikinių tyrimų neatlikta. Retai pastebėta apsigimimų kūdikiams, kurių motinos nėštumo metu vartojo HMG CoA reduktazės inhibitorių. Maždaug 200 nėštumų, kurių metu per pirmuosius tris mėnesius buvo vartojama simvastatino ar kitų labai panašių HMG CoA reduktazės inhibitorių, stebėjimo duomenų analizė rodo, kad klinikinio tyrimo metu nustatytas ir įprastinis žmonėms apsigimimų dažnis yra panašūs. Stebėtų nėštumų skaičius buvo statistiškai pakankamas, kad atmesti duomenis, pagal kuriuos apsigimimų dažnis gali būti 2,5 arba daugiau kartų didesnis už įprastinį.</w:t>
      </w:r>
    </w:p>
    <w:p w14:paraId="62CDE3E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FAD1BD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Nors nenustatyta, jog apsigimimų dažnis kūdikiams, kurių motinos vartojo simvastatino ar kitų panašių HMG CoA reduktazės inhibitorių, skiriasi nuo įprastinio žmonėms apsigimimų dažnio, motinos gydymas simvastatinu gali sumažinti cholesterolio biosintezės pirmtako mevalonato kiekį vaisiaus organizme. Aterosklerozė yra lėtinis procesas, todėl įprastas lipidų kiekį mažinančių vaistinių preparatų vartojimo nutraukimas nėštumo metu didelės įtakos ilgalaikei rizikai, susijusiai su pirmine hipercholesterolemija, nedaro. Todėl, jei simvastatinu gydoma moteris pastoja, ketina pastoti arba įtaria, jog pastojo, ji simvastatino turi nevartoti. Šio vaistinio preparato draudžiama vartoti visą nėštumo laikotarpį arba tol, kol bus nustatyta, jog moteris ne nėščia (žr. 4.3 ir 5.3 skyrius)</w:t>
      </w:r>
      <w:r w:rsidR="00A733AC">
        <w:rPr>
          <w:rFonts w:ascii="Times New Roman" w:eastAsia="Calibri" w:hAnsi="Times New Roman" w:cs="Times New Roman"/>
          <w:lang w:val="lt-LT" w:eastAsia="lt-LT"/>
        </w:rPr>
        <w:t>.</w:t>
      </w:r>
    </w:p>
    <w:p w14:paraId="7F12E34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2A6B7AC" w14:textId="77777777" w:rsidR="00A762B5" w:rsidRPr="009D1356" w:rsidRDefault="00A762B5" w:rsidP="00A762B5">
      <w:pPr>
        <w:spacing w:after="0" w:line="240" w:lineRule="auto"/>
        <w:contextualSpacing/>
        <w:rPr>
          <w:rFonts w:ascii="Times New Roman" w:eastAsia="Calibri" w:hAnsi="Times New Roman" w:cs="Times New Roman"/>
          <w:iCs/>
          <w:u w:val="single"/>
          <w:lang w:val="lt-LT" w:eastAsia="lt-LT"/>
        </w:rPr>
      </w:pPr>
      <w:r w:rsidRPr="009D1356">
        <w:rPr>
          <w:rFonts w:ascii="Times New Roman" w:eastAsia="Calibri" w:hAnsi="Times New Roman" w:cs="Times New Roman"/>
          <w:iCs/>
          <w:u w:val="single"/>
          <w:lang w:val="lt-LT" w:eastAsia="lt-LT"/>
        </w:rPr>
        <w:t>Žindymas</w:t>
      </w:r>
    </w:p>
    <w:p w14:paraId="20E10C0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Ar simvastatino ir jo metabolitų patenka į žindyvės pieną, nežinoma. Kadangi į jį patenka daug kitokių vaistinių preparatų ir yra žinoma, kad simvastatinas gali sukelti sunkų nepageidaujamą poveikį kūdikiui, simvastatinu gydomos žindyvės žindymą turi nutraukti (žr. 4.3 skyrių).</w:t>
      </w:r>
    </w:p>
    <w:p w14:paraId="7497AB3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98FE658" w14:textId="77777777" w:rsidR="00A762B5" w:rsidRPr="009D1356" w:rsidRDefault="00A762B5" w:rsidP="00A762B5">
      <w:pPr>
        <w:spacing w:after="0" w:line="240" w:lineRule="auto"/>
        <w:contextualSpacing/>
        <w:rPr>
          <w:rFonts w:ascii="Times New Roman" w:eastAsia="Calibri" w:hAnsi="Times New Roman" w:cs="Times New Roman"/>
          <w:iCs/>
          <w:u w:val="single"/>
          <w:lang w:val="lt-LT" w:eastAsia="lt-LT"/>
        </w:rPr>
      </w:pPr>
      <w:r w:rsidRPr="009D1356">
        <w:rPr>
          <w:rFonts w:ascii="Times New Roman" w:eastAsia="Calibri" w:hAnsi="Times New Roman" w:cs="Times New Roman"/>
          <w:iCs/>
          <w:u w:val="single"/>
          <w:lang w:val="lt-LT" w:eastAsia="lt-LT"/>
        </w:rPr>
        <w:t>Vaisingumas</w:t>
      </w:r>
    </w:p>
    <w:p w14:paraId="2084B2E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Klinikinio tyrimo duomenų apie simvastatino poveikį žmogaus vaisingumui nėra. Simvastatinas nedarė poveikio žiurkių patinų ir patelių vaisingumui (žr. 5.3 skyrių). </w:t>
      </w:r>
    </w:p>
    <w:p w14:paraId="1DD1432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0092DB2"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4.7</w:t>
      </w:r>
      <w:r w:rsidRPr="00A762B5">
        <w:rPr>
          <w:rFonts w:ascii="Times New Roman" w:eastAsia="Calibri" w:hAnsi="Times New Roman" w:cs="Times New Roman"/>
          <w:b/>
          <w:lang w:val="lt-LT" w:eastAsia="lt-LT"/>
        </w:rPr>
        <w:tab/>
        <w:t>Poveikis gebėjimui vairuoti ir valdyti mechanizmus</w:t>
      </w:r>
    </w:p>
    <w:p w14:paraId="7B2ABDE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1C5637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Simvacor gebėjimo vairuoti ir valdyti mechanizmus neveikia arba veikia nereikšmingai. Vis dėlto, vairuojant ar valdant mechanizmus reikia atsižvelgti į galimą galvos svaigimą, kadangi po to, kai vaistinis preparatas pateko į rinką, retai pastebėta šio sutrikimo atvejų. </w:t>
      </w:r>
    </w:p>
    <w:p w14:paraId="7C8604E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C77EE7C"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4.8</w:t>
      </w:r>
      <w:r w:rsidRPr="00A762B5">
        <w:rPr>
          <w:rFonts w:ascii="Times New Roman" w:eastAsia="Calibri" w:hAnsi="Times New Roman" w:cs="Times New Roman"/>
          <w:b/>
          <w:lang w:val="lt-LT" w:eastAsia="lt-LT"/>
        </w:rPr>
        <w:tab/>
        <w:t>Nepageidaujamas poveikis</w:t>
      </w:r>
    </w:p>
    <w:p w14:paraId="6004E49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6C22AA8" w14:textId="3D994B88"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Toliau išvardytų nepageidaujamų reiškinių, pastebėtų klinikinių tyrimų metu, ir (arba) po to, kai vaistinis preparatas pateko į rinką, dažnumas suskirstytas į grupes, remiantis šių reiškinių dažnumo įvertinimu didelių, ilgalaikių, placebu kontroliuojamų klinikinių tyrimų, įskaitant HPS ir 4S tyrimus, kuriuose dalyvavo atitinkamai 20</w:t>
      </w:r>
      <w:r w:rsidR="003532EB">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536 ir 4</w:t>
      </w:r>
      <w:r w:rsidR="003532EB">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444 pacientai (žr. 5.1 skyrių). HPS registruoti tik sunkūs nepageidaujami reiškiniai, įskaitant raumenų skausmą, KK ir transaminazių kiekio kraujo serume padidėjimą. 4S tyrimo metu buvo registruojami visi toliau išvardyti reiškiniai. Jei šių klinikinių tyrimų metu pastebėtų nepageidaujamų reiškinių dažnumas simvastatino vartojantiems pacientams buvo mažesnis arba toks pat, kaip žmonėms, vartojantiems placebo, bei buvo panašiai susijęs su spontaninių nepageidaujamų reiškinių dažnumu, minėti nepageidaujami reiškiniai buvo įvertinti kaip reti.</w:t>
      </w:r>
    </w:p>
    <w:p w14:paraId="51EB328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6FECB39" w14:textId="7797022B"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lastRenderedPageBreak/>
        <w:t>HPS (žr. 5.1 skyrių) klinikinio tyrimo, kurio metu vidutiniškai ilgiau nei 5 metus buvo stebėti 20</w:t>
      </w:r>
      <w:r w:rsidR="0089223E">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536 pacientai, vartojantys 40 mg simvastatino paros dozę (n=10</w:t>
      </w:r>
      <w:r w:rsidR="0089223E">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269) arba placebą (n=10</w:t>
      </w:r>
      <w:r w:rsidR="0089223E">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267), duomenimis, 40 mg simvastatino ir placebo saugumas yra panašus. Vaistinio preparato vartojimo nutraukimo dažnumas dėl šalutinio poveikio buvo panašus (gydymą nutraukė 4,8 % pacientų, vartojusių 40 mg simvastatino ir 5,1 % pacientų, vartojusių placebo). Miopatija nustatyta mažiau negu 0,1 % pacientų, vartojusių 40 mg simvastatino. Padidėjęs kraujo serumo transaminazių aktyvumas (daugiau kaip 3 kartus viršijantis viršutinę rodmens normos ribą, patvirtintas pakartotiniais tyrimais) nustatytas 0,21 % (n=21) pacientų, vartojusių 40 mg simvastatino, palyginti su 0,09 % (n=9) pacientų, vartojusių placebo.</w:t>
      </w:r>
    </w:p>
    <w:p w14:paraId="37C7238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DAB8387" w14:textId="0E97FA06"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Nepageidaujamo poveikio dažnis apibūdinamas taip: labai dažnas (≥ 1/10), dažnas (nuo ≥ 1/100 iki &lt; 1/10), nedažnas (nuo ≥ 1/1</w:t>
      </w:r>
      <w:r w:rsidR="0089223E">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000 iki &lt; 1/100), retas (nuo ≥ 1/10</w:t>
      </w:r>
      <w:r w:rsidR="0089223E">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000 iki &lt; 1/1</w:t>
      </w:r>
      <w:r w:rsidR="0089223E">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000), labai retas (&lt; 1/10</w:t>
      </w:r>
      <w:r w:rsidR="0089223E">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000) ir nežinomas (negali būti apskaičiuotas pagal turimus duomenis).</w:t>
      </w:r>
    </w:p>
    <w:p w14:paraId="67E1D1CB" w14:textId="77777777" w:rsidR="000C2710" w:rsidRDefault="000C2710" w:rsidP="00A762B5">
      <w:pPr>
        <w:spacing w:after="0" w:line="240" w:lineRule="auto"/>
        <w:contextualSpacing/>
        <w:rPr>
          <w:rFonts w:ascii="Times New Roman" w:eastAsia="Calibri" w:hAnsi="Times New Roman" w:cs="Times New Roman"/>
          <w:lang w:val="lt-LT" w:eastAsia="lt-LT"/>
        </w:rPr>
      </w:pPr>
    </w:p>
    <w:p w14:paraId="5D3A4D68" w14:textId="77777777" w:rsidR="000C2710" w:rsidRPr="00242B0F" w:rsidRDefault="000C2710" w:rsidP="000C2710">
      <w:pPr>
        <w:spacing w:after="0" w:line="240" w:lineRule="auto"/>
        <w:contextualSpacing/>
        <w:rPr>
          <w:rFonts w:ascii="Times New Roman" w:eastAsia="Calibri" w:hAnsi="Times New Roman" w:cs="Times New Roman"/>
          <w:u w:val="single"/>
          <w:lang w:val="lt-LT" w:eastAsia="lt-LT"/>
        </w:rPr>
      </w:pPr>
      <w:r w:rsidRPr="00242B0F">
        <w:rPr>
          <w:rFonts w:ascii="Times New Roman" w:eastAsia="Calibri" w:hAnsi="Times New Roman" w:cs="Times New Roman"/>
          <w:u w:val="single"/>
          <w:lang w:val="lt-LT" w:eastAsia="lt-LT"/>
        </w:rPr>
        <w:t>Akių sutrikimai</w:t>
      </w:r>
    </w:p>
    <w:p w14:paraId="20B887DE" w14:textId="3C9E7973" w:rsidR="000C2710" w:rsidRDefault="000C2710" w:rsidP="000C2710">
      <w:pPr>
        <w:spacing w:after="0" w:line="240" w:lineRule="auto"/>
        <w:contextualSpacing/>
        <w:rPr>
          <w:rFonts w:ascii="Times New Roman" w:eastAsia="Calibri" w:hAnsi="Times New Roman" w:cs="Times New Roman"/>
          <w:lang w:val="lt-LT" w:eastAsia="lt-LT"/>
        </w:rPr>
      </w:pPr>
      <w:r w:rsidRPr="00242B0F">
        <w:rPr>
          <w:rFonts w:ascii="Times New Roman" w:eastAsia="Calibri" w:hAnsi="Times New Roman" w:cs="Times New Roman"/>
          <w:i/>
          <w:lang w:val="lt-LT" w:eastAsia="lt-LT"/>
        </w:rPr>
        <w:t>Retas</w:t>
      </w:r>
      <w:r w:rsidR="00DC73FF">
        <w:rPr>
          <w:rFonts w:ascii="Times New Roman" w:eastAsia="Calibri" w:hAnsi="Times New Roman" w:cs="Times New Roman"/>
          <w:i/>
          <w:lang w:val="lt-LT" w:eastAsia="lt-LT"/>
        </w:rPr>
        <w:t>.</w:t>
      </w:r>
      <w:r>
        <w:rPr>
          <w:rFonts w:ascii="Times New Roman" w:eastAsia="Calibri" w:hAnsi="Times New Roman" w:cs="Times New Roman"/>
          <w:i/>
          <w:lang w:val="lt-LT" w:eastAsia="lt-LT"/>
        </w:rPr>
        <w:tab/>
      </w:r>
      <w:r>
        <w:rPr>
          <w:rFonts w:ascii="Times New Roman" w:eastAsia="Calibri" w:hAnsi="Times New Roman" w:cs="Times New Roman"/>
          <w:i/>
          <w:lang w:val="lt-LT" w:eastAsia="lt-LT"/>
        </w:rPr>
        <w:tab/>
      </w:r>
      <w:r>
        <w:rPr>
          <w:rFonts w:ascii="Times New Roman" w:eastAsia="Calibri" w:hAnsi="Times New Roman" w:cs="Times New Roman"/>
          <w:i/>
          <w:lang w:val="lt-LT" w:eastAsia="lt-LT"/>
        </w:rPr>
        <w:tab/>
      </w:r>
      <w:r>
        <w:rPr>
          <w:rFonts w:ascii="Times New Roman" w:eastAsia="Calibri" w:hAnsi="Times New Roman" w:cs="Times New Roman"/>
          <w:lang w:val="lt-LT" w:eastAsia="lt-LT"/>
        </w:rPr>
        <w:t>N</w:t>
      </w:r>
      <w:r w:rsidRPr="000C2710">
        <w:rPr>
          <w:rFonts w:ascii="Times New Roman" w:eastAsia="Calibri" w:hAnsi="Times New Roman" w:cs="Times New Roman"/>
          <w:lang w:val="lt-LT" w:eastAsia="lt-LT"/>
        </w:rPr>
        <w:t>eryškus matymas, regos sutrikimas</w:t>
      </w:r>
    </w:p>
    <w:p w14:paraId="0CE8A08F" w14:textId="2AC2CA85" w:rsidR="001269FD" w:rsidRPr="00242B0F" w:rsidRDefault="001269FD" w:rsidP="000C2710">
      <w:pPr>
        <w:spacing w:after="0" w:line="240" w:lineRule="auto"/>
        <w:contextualSpacing/>
        <w:rPr>
          <w:rFonts w:ascii="Times New Roman" w:eastAsia="Calibri" w:hAnsi="Times New Roman" w:cs="Times New Roman"/>
          <w:i/>
          <w:lang w:val="lt-LT" w:eastAsia="lt-LT"/>
        </w:rPr>
      </w:pPr>
      <w:r w:rsidRPr="009D1356">
        <w:rPr>
          <w:rFonts w:ascii="Times New Roman" w:eastAsia="Calibri" w:hAnsi="Times New Roman" w:cs="Times New Roman"/>
          <w:i/>
          <w:iCs/>
          <w:lang w:val="lt-LT" w:eastAsia="lt-LT"/>
        </w:rPr>
        <w:t>Dažnis nežinomas</w:t>
      </w:r>
      <w:r>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00DC73FF" w:rsidRPr="00DC73FF">
        <w:rPr>
          <w:rFonts w:ascii="Times New Roman" w:eastAsia="Calibri" w:hAnsi="Times New Roman" w:cs="Times New Roman"/>
          <w:lang w:val="lt-LT" w:eastAsia="lt-LT"/>
        </w:rPr>
        <w:t>Akių miastenija</w:t>
      </w:r>
      <w:r w:rsidR="00DC73FF">
        <w:rPr>
          <w:rFonts w:ascii="Times New Roman" w:eastAsia="Calibri" w:hAnsi="Times New Roman" w:cs="Times New Roman"/>
          <w:lang w:val="lt-LT" w:eastAsia="lt-LT"/>
        </w:rPr>
        <w:t>.</w:t>
      </w:r>
    </w:p>
    <w:p w14:paraId="62411781" w14:textId="77777777" w:rsidR="000C2710" w:rsidRPr="00A762B5" w:rsidRDefault="000C2710" w:rsidP="00A762B5">
      <w:pPr>
        <w:spacing w:after="0" w:line="240" w:lineRule="auto"/>
        <w:contextualSpacing/>
        <w:rPr>
          <w:rFonts w:ascii="Times New Roman" w:eastAsia="Calibri" w:hAnsi="Times New Roman" w:cs="Times New Roman"/>
          <w:lang w:val="lt-LT" w:eastAsia="lt-LT"/>
        </w:rPr>
      </w:pPr>
    </w:p>
    <w:p w14:paraId="762F911E"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Kraujo ir limfinės sistemos sutrikimai</w:t>
      </w:r>
    </w:p>
    <w:p w14:paraId="19DF234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Retas.</w:t>
      </w:r>
      <w:r w:rsidRPr="00A762B5">
        <w:rPr>
          <w:rFonts w:ascii="Times New Roman" w:eastAsia="Calibri" w:hAnsi="Times New Roman" w:cs="Times New Roman"/>
          <w:i/>
          <w:lang w:val="lt-LT" w:eastAsia="lt-LT"/>
        </w:rPr>
        <w:tab/>
      </w:r>
      <w:r w:rsidRPr="00A762B5">
        <w:rPr>
          <w:rFonts w:ascii="Times New Roman" w:eastAsia="Calibri" w:hAnsi="Times New Roman" w:cs="Times New Roman"/>
          <w:i/>
          <w:lang w:val="lt-LT" w:eastAsia="lt-LT"/>
        </w:rPr>
        <w:tab/>
      </w:r>
      <w:r w:rsidRPr="00A762B5">
        <w:rPr>
          <w:rFonts w:ascii="Times New Roman" w:eastAsia="Calibri" w:hAnsi="Times New Roman" w:cs="Times New Roman"/>
          <w:i/>
          <w:lang w:val="lt-LT" w:eastAsia="lt-LT"/>
        </w:rPr>
        <w:tab/>
      </w:r>
      <w:r w:rsidRPr="00A762B5">
        <w:rPr>
          <w:rFonts w:ascii="Times New Roman" w:eastAsia="Calibri" w:hAnsi="Times New Roman" w:cs="Times New Roman"/>
          <w:lang w:val="lt-LT" w:eastAsia="lt-LT"/>
        </w:rPr>
        <w:t>Mažakraujystė.</w:t>
      </w:r>
    </w:p>
    <w:p w14:paraId="20588274" w14:textId="77777777" w:rsidR="00A762B5" w:rsidRDefault="00A762B5" w:rsidP="00A762B5">
      <w:pPr>
        <w:spacing w:after="0" w:line="240" w:lineRule="auto"/>
        <w:contextualSpacing/>
        <w:rPr>
          <w:rFonts w:ascii="Times New Roman" w:eastAsia="Calibri" w:hAnsi="Times New Roman" w:cs="Times New Roman"/>
          <w:lang w:val="lt-LT" w:eastAsia="lt-LT"/>
        </w:rPr>
      </w:pPr>
    </w:p>
    <w:p w14:paraId="7E91700F" w14:textId="77777777" w:rsidR="00184A03" w:rsidRPr="001E1D00" w:rsidRDefault="00184A03" w:rsidP="00A762B5">
      <w:pPr>
        <w:spacing w:after="0" w:line="240" w:lineRule="auto"/>
        <w:contextualSpacing/>
        <w:rPr>
          <w:rFonts w:ascii="Times New Roman" w:eastAsia="Calibri" w:hAnsi="Times New Roman" w:cs="Times New Roman"/>
          <w:u w:val="single"/>
          <w:lang w:val="lt-LT" w:eastAsia="lt-LT"/>
        </w:rPr>
      </w:pPr>
      <w:r w:rsidRPr="001E1D00">
        <w:rPr>
          <w:rFonts w:ascii="Times New Roman" w:eastAsia="Calibri" w:hAnsi="Times New Roman" w:cs="Times New Roman"/>
          <w:u w:val="single"/>
          <w:lang w:val="lt-LT" w:eastAsia="lt-LT"/>
        </w:rPr>
        <w:t>Imuninės sistemos sutrikimai</w:t>
      </w:r>
    </w:p>
    <w:p w14:paraId="2C84DA13" w14:textId="39E992BF" w:rsidR="00184A03" w:rsidRDefault="004D08C2" w:rsidP="00A762B5">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i/>
          <w:lang w:val="lt-LT" w:eastAsia="lt-LT"/>
        </w:rPr>
        <w:t>Labai r</w:t>
      </w:r>
      <w:r w:rsidR="00184A03" w:rsidRPr="001E1D00">
        <w:rPr>
          <w:rFonts w:ascii="Times New Roman" w:eastAsia="Calibri" w:hAnsi="Times New Roman" w:cs="Times New Roman"/>
          <w:i/>
          <w:lang w:val="lt-LT" w:eastAsia="lt-LT"/>
        </w:rPr>
        <w:t>etas</w:t>
      </w:r>
      <w:r w:rsidR="00184A03">
        <w:rPr>
          <w:rFonts w:ascii="Times New Roman" w:eastAsia="Calibri" w:hAnsi="Times New Roman" w:cs="Times New Roman"/>
          <w:lang w:val="lt-LT" w:eastAsia="lt-LT"/>
        </w:rPr>
        <w:t>.</w:t>
      </w:r>
      <w:r w:rsidR="00184A03">
        <w:rPr>
          <w:rFonts w:ascii="Times New Roman" w:eastAsia="Calibri" w:hAnsi="Times New Roman" w:cs="Times New Roman"/>
          <w:lang w:val="lt-LT" w:eastAsia="lt-LT"/>
        </w:rPr>
        <w:tab/>
      </w:r>
      <w:r w:rsidR="00184A03">
        <w:rPr>
          <w:rFonts w:ascii="Times New Roman" w:eastAsia="Calibri" w:hAnsi="Times New Roman" w:cs="Times New Roman"/>
          <w:lang w:val="lt-LT" w:eastAsia="lt-LT"/>
        </w:rPr>
        <w:tab/>
        <w:t>Anafilaksija.</w:t>
      </w:r>
    </w:p>
    <w:p w14:paraId="7FAED0A8" w14:textId="77777777" w:rsidR="00184A03" w:rsidRPr="00A762B5" w:rsidRDefault="00184A03" w:rsidP="00A762B5">
      <w:pPr>
        <w:spacing w:after="0" w:line="240" w:lineRule="auto"/>
        <w:contextualSpacing/>
        <w:rPr>
          <w:rFonts w:ascii="Times New Roman" w:eastAsia="Calibri" w:hAnsi="Times New Roman" w:cs="Times New Roman"/>
          <w:lang w:val="lt-LT" w:eastAsia="lt-LT"/>
        </w:rPr>
      </w:pPr>
    </w:p>
    <w:p w14:paraId="7087C15A"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Psichikos sutrikimai</w:t>
      </w:r>
    </w:p>
    <w:p w14:paraId="2311918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Labai retas.</w:t>
      </w:r>
      <w:r w:rsidRPr="00A762B5">
        <w:rPr>
          <w:rFonts w:ascii="Times New Roman" w:eastAsia="Calibri" w:hAnsi="Times New Roman" w:cs="Times New Roman"/>
          <w:i/>
          <w:lang w:val="lt-LT" w:eastAsia="lt-LT"/>
        </w:rPr>
        <w:tab/>
      </w:r>
      <w:r w:rsidRPr="00A762B5">
        <w:rPr>
          <w:rFonts w:ascii="Times New Roman" w:eastAsia="Calibri" w:hAnsi="Times New Roman" w:cs="Times New Roman"/>
          <w:i/>
          <w:lang w:val="lt-LT" w:eastAsia="lt-LT"/>
        </w:rPr>
        <w:tab/>
      </w:r>
      <w:r w:rsidRPr="00A762B5">
        <w:rPr>
          <w:rFonts w:ascii="Times New Roman" w:eastAsia="Calibri" w:hAnsi="Times New Roman" w:cs="Times New Roman"/>
          <w:lang w:val="lt-LT" w:eastAsia="lt-LT"/>
        </w:rPr>
        <w:t>Nemiga.</w:t>
      </w:r>
    </w:p>
    <w:p w14:paraId="7407ECC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Dažnis nežinomas</w:t>
      </w: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Depresija.</w:t>
      </w:r>
    </w:p>
    <w:p w14:paraId="6F13BC9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336406C"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Nervų sistemos sutrikimai</w:t>
      </w:r>
    </w:p>
    <w:p w14:paraId="3352542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Retas.</w:t>
      </w:r>
      <w:r w:rsidRPr="00A762B5">
        <w:rPr>
          <w:rFonts w:ascii="Times New Roman" w:eastAsia="Calibri" w:hAnsi="Times New Roman" w:cs="Times New Roman"/>
          <w:lang w:val="lt-LT" w:eastAsia="lt-LT"/>
        </w:rPr>
        <w:tab/>
      </w:r>
      <w:r w:rsidRPr="00A762B5">
        <w:rPr>
          <w:rFonts w:ascii="Times New Roman" w:eastAsia="Calibri" w:hAnsi="Times New Roman" w:cs="Times New Roman"/>
          <w:lang w:val="lt-LT" w:eastAsia="lt-LT"/>
        </w:rPr>
        <w:tab/>
      </w:r>
      <w:r w:rsidRPr="00A762B5">
        <w:rPr>
          <w:rFonts w:ascii="Times New Roman" w:eastAsia="Calibri" w:hAnsi="Times New Roman" w:cs="Times New Roman"/>
          <w:lang w:val="lt-LT" w:eastAsia="lt-LT"/>
        </w:rPr>
        <w:tab/>
        <w:t>Galvos skausmas, parestezija, svaigulys, periferinė neuropatija.</w:t>
      </w:r>
    </w:p>
    <w:p w14:paraId="78739C6E" w14:textId="7C4A0AF3" w:rsid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Labai retas</w:t>
      </w: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r>
      <w:r w:rsidRPr="00A762B5">
        <w:rPr>
          <w:rFonts w:ascii="Times New Roman" w:eastAsia="Calibri" w:hAnsi="Times New Roman" w:cs="Times New Roman"/>
          <w:lang w:val="lt-LT" w:eastAsia="lt-LT"/>
        </w:rPr>
        <w:tab/>
        <w:t>Atminties susilpnėjimas.</w:t>
      </w:r>
    </w:p>
    <w:p w14:paraId="3F930EE1" w14:textId="095B7455" w:rsidR="0083528C" w:rsidRPr="00A762B5" w:rsidRDefault="00114EF0" w:rsidP="00A762B5">
      <w:pPr>
        <w:spacing w:after="0" w:line="240" w:lineRule="auto"/>
        <w:contextualSpacing/>
        <w:rPr>
          <w:rFonts w:ascii="Times New Roman" w:eastAsia="Calibri" w:hAnsi="Times New Roman" w:cs="Times New Roman"/>
          <w:lang w:val="lt-LT" w:eastAsia="lt-LT"/>
        </w:rPr>
      </w:pPr>
      <w:r w:rsidRPr="009D1356">
        <w:rPr>
          <w:rFonts w:ascii="Times New Roman" w:eastAsia="Calibri" w:hAnsi="Times New Roman" w:cs="Times New Roman"/>
          <w:i/>
          <w:iCs/>
          <w:lang w:val="lt-LT" w:eastAsia="lt-LT"/>
        </w:rPr>
        <w:t>Dažnis nežinomas</w:t>
      </w:r>
      <w:r>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001269FD">
        <w:rPr>
          <w:rFonts w:ascii="Times New Roman" w:eastAsia="Calibri" w:hAnsi="Times New Roman" w:cs="Times New Roman"/>
          <w:lang w:val="lt-LT" w:eastAsia="lt-LT"/>
        </w:rPr>
        <w:t>S</w:t>
      </w:r>
      <w:r w:rsidR="001269FD" w:rsidRPr="001269FD">
        <w:rPr>
          <w:rFonts w:ascii="Times New Roman" w:eastAsia="Calibri" w:hAnsi="Times New Roman" w:cs="Times New Roman"/>
          <w:lang w:val="lt-LT" w:eastAsia="lt-LT"/>
        </w:rPr>
        <w:t>unkioji miastenija</w:t>
      </w:r>
      <w:r w:rsidR="001269FD">
        <w:rPr>
          <w:rFonts w:ascii="Times New Roman" w:eastAsia="Calibri" w:hAnsi="Times New Roman" w:cs="Times New Roman"/>
          <w:lang w:val="lt-LT" w:eastAsia="lt-LT"/>
        </w:rPr>
        <w:t>.</w:t>
      </w:r>
    </w:p>
    <w:p w14:paraId="06452B9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6A6DF0F"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Kvėpavimo sistemos, krūtinės ląstos ir tarpuplaučio sutrikimai</w:t>
      </w:r>
    </w:p>
    <w:p w14:paraId="6AC7FEB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Dažnis nežinomas</w:t>
      </w: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Intersticinė plaučių liga (žr. 4.4 skyrių).</w:t>
      </w:r>
    </w:p>
    <w:p w14:paraId="1582A7A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066023D"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Virškinimo trakto sutrikimai</w:t>
      </w:r>
    </w:p>
    <w:p w14:paraId="7470B8D2" w14:textId="77777777" w:rsidR="00A762B5" w:rsidRPr="00A762B5" w:rsidRDefault="00A762B5" w:rsidP="00A762B5">
      <w:pPr>
        <w:spacing w:after="0" w:line="240" w:lineRule="auto"/>
        <w:ind w:left="2127" w:hanging="2127"/>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Retas.</w:t>
      </w:r>
      <w:r w:rsidRPr="00A762B5">
        <w:rPr>
          <w:rFonts w:ascii="Times New Roman" w:eastAsia="Calibri" w:hAnsi="Times New Roman" w:cs="Times New Roman"/>
          <w:lang w:val="lt-LT" w:eastAsia="lt-LT"/>
        </w:rPr>
        <w:tab/>
        <w:t>Vidurių užkietėjimas, pilvo skausmas, vidurių pūtimas, virškinimo sutrikimas, viduriavimas, pykinimas, vėmimas, kasos uždegimas.</w:t>
      </w:r>
    </w:p>
    <w:p w14:paraId="236F484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F3391BE"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Kepenų, tulžies pūslės ir latakų sutrikimai</w:t>
      </w:r>
    </w:p>
    <w:p w14:paraId="786B25B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Retas.</w:t>
      </w:r>
      <w:r w:rsidRPr="00A762B5">
        <w:rPr>
          <w:rFonts w:ascii="Times New Roman" w:eastAsia="Calibri" w:hAnsi="Times New Roman" w:cs="Times New Roman"/>
          <w:i/>
          <w:lang w:val="lt-LT" w:eastAsia="lt-LT"/>
        </w:rPr>
        <w:tab/>
      </w:r>
      <w:r w:rsidRPr="00A762B5">
        <w:rPr>
          <w:rFonts w:ascii="Times New Roman" w:eastAsia="Calibri" w:hAnsi="Times New Roman" w:cs="Times New Roman"/>
          <w:lang w:val="lt-LT" w:eastAsia="lt-LT"/>
        </w:rPr>
        <w:tab/>
      </w:r>
      <w:r w:rsidRPr="00A762B5">
        <w:rPr>
          <w:rFonts w:ascii="Times New Roman" w:eastAsia="Calibri" w:hAnsi="Times New Roman" w:cs="Times New Roman"/>
          <w:lang w:val="lt-LT" w:eastAsia="lt-LT"/>
        </w:rPr>
        <w:tab/>
        <w:t>Gelta, kepenų uždegimas.</w:t>
      </w:r>
    </w:p>
    <w:p w14:paraId="419231A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Labai retas.</w:t>
      </w:r>
      <w:r w:rsidRPr="00A762B5">
        <w:rPr>
          <w:rFonts w:ascii="Times New Roman" w:eastAsia="Calibri" w:hAnsi="Times New Roman" w:cs="Times New Roman"/>
          <w:i/>
          <w:lang w:val="lt-LT" w:eastAsia="lt-LT"/>
        </w:rPr>
        <w:tab/>
      </w:r>
      <w:r w:rsidRPr="00A762B5">
        <w:rPr>
          <w:rFonts w:ascii="Times New Roman" w:eastAsia="Calibri" w:hAnsi="Times New Roman" w:cs="Times New Roman"/>
          <w:i/>
          <w:lang w:val="lt-LT" w:eastAsia="lt-LT"/>
        </w:rPr>
        <w:tab/>
      </w:r>
      <w:r w:rsidRPr="00A762B5">
        <w:rPr>
          <w:rFonts w:ascii="Times New Roman" w:eastAsia="Calibri" w:hAnsi="Times New Roman" w:cs="Times New Roman"/>
          <w:lang w:val="lt-LT" w:eastAsia="lt-LT"/>
        </w:rPr>
        <w:t>Mirtinas ir nemirtinas kepenų nepakankamumas.</w:t>
      </w:r>
    </w:p>
    <w:p w14:paraId="20877D41"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p>
    <w:p w14:paraId="08DCF930"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Odos ir poodinio audinio sutrikimai</w:t>
      </w:r>
    </w:p>
    <w:p w14:paraId="2050605C" w14:textId="77777777" w:rsid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Retas.</w:t>
      </w:r>
      <w:r w:rsidRPr="00A762B5">
        <w:rPr>
          <w:rFonts w:ascii="Times New Roman" w:eastAsia="Calibri" w:hAnsi="Times New Roman" w:cs="Times New Roman"/>
          <w:i/>
          <w:lang w:val="lt-LT" w:eastAsia="lt-LT"/>
        </w:rPr>
        <w:tab/>
      </w:r>
      <w:r w:rsidRPr="00A762B5">
        <w:rPr>
          <w:rFonts w:ascii="Times New Roman" w:eastAsia="Calibri" w:hAnsi="Times New Roman" w:cs="Times New Roman"/>
          <w:lang w:val="lt-LT" w:eastAsia="lt-LT"/>
        </w:rPr>
        <w:tab/>
      </w:r>
      <w:r w:rsidRPr="00A762B5">
        <w:rPr>
          <w:rFonts w:ascii="Times New Roman" w:eastAsia="Calibri" w:hAnsi="Times New Roman" w:cs="Times New Roman"/>
          <w:lang w:val="lt-LT" w:eastAsia="lt-LT"/>
        </w:rPr>
        <w:tab/>
        <w:t>Išbėrimas, niežulys, nuplikimas.</w:t>
      </w:r>
    </w:p>
    <w:p w14:paraId="468D6C8F" w14:textId="53075C98" w:rsidR="000C2710" w:rsidRPr="00242B0F" w:rsidRDefault="000C2710" w:rsidP="00A762B5">
      <w:pPr>
        <w:spacing w:after="0" w:line="240" w:lineRule="auto"/>
        <w:contextualSpacing/>
        <w:rPr>
          <w:rFonts w:ascii="Times New Roman" w:eastAsia="Calibri" w:hAnsi="Times New Roman" w:cs="Times New Roman"/>
          <w:i/>
          <w:lang w:val="lt-LT" w:eastAsia="lt-LT"/>
        </w:rPr>
      </w:pPr>
      <w:r w:rsidRPr="00242B0F">
        <w:rPr>
          <w:rFonts w:ascii="Times New Roman" w:eastAsia="Calibri" w:hAnsi="Times New Roman" w:cs="Times New Roman"/>
          <w:i/>
          <w:lang w:val="lt-LT" w:eastAsia="lt-LT"/>
        </w:rPr>
        <w:t>Labai retas</w:t>
      </w:r>
      <w:r>
        <w:rPr>
          <w:rFonts w:ascii="Times New Roman" w:eastAsia="Calibri" w:hAnsi="Times New Roman" w:cs="Times New Roman"/>
          <w:i/>
          <w:lang w:val="lt-LT" w:eastAsia="lt-LT"/>
        </w:rPr>
        <w:tab/>
      </w:r>
      <w:r>
        <w:rPr>
          <w:rFonts w:ascii="Times New Roman" w:eastAsia="Calibri" w:hAnsi="Times New Roman" w:cs="Times New Roman"/>
          <w:i/>
          <w:lang w:val="lt-LT" w:eastAsia="lt-LT"/>
        </w:rPr>
        <w:tab/>
      </w:r>
      <w:r w:rsidRPr="00242B0F">
        <w:rPr>
          <w:rFonts w:ascii="Times New Roman" w:eastAsia="Calibri" w:hAnsi="Times New Roman" w:cs="Times New Roman"/>
          <w:lang w:val="lt-LT" w:eastAsia="lt-LT"/>
        </w:rPr>
        <w:t>Lichenoidinis vaist</w:t>
      </w:r>
      <w:r w:rsidR="00AB32CD">
        <w:rPr>
          <w:rFonts w:ascii="Times New Roman" w:eastAsia="Calibri" w:hAnsi="Times New Roman" w:cs="Times New Roman"/>
          <w:lang w:val="lt-LT" w:eastAsia="lt-LT"/>
        </w:rPr>
        <w:t>inių preparat</w:t>
      </w:r>
      <w:r w:rsidRPr="00242B0F">
        <w:rPr>
          <w:rFonts w:ascii="Times New Roman" w:eastAsia="Calibri" w:hAnsi="Times New Roman" w:cs="Times New Roman"/>
          <w:lang w:val="lt-LT" w:eastAsia="lt-LT"/>
        </w:rPr>
        <w:t>ų sukeltas išbėrimas.</w:t>
      </w:r>
    </w:p>
    <w:p w14:paraId="3A8A7A3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D7EBE9B"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Skeleto, raumenų ir jungiamojo audinio sutrikimai</w:t>
      </w:r>
    </w:p>
    <w:p w14:paraId="32633679" w14:textId="77777777" w:rsidR="00A762B5" w:rsidRDefault="00A762B5" w:rsidP="00A762B5">
      <w:pPr>
        <w:spacing w:after="0" w:line="240" w:lineRule="auto"/>
        <w:ind w:left="2127" w:hanging="2127"/>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Retas.</w:t>
      </w:r>
      <w:r w:rsidRPr="00A762B5">
        <w:rPr>
          <w:rFonts w:ascii="Times New Roman" w:eastAsia="Calibri" w:hAnsi="Times New Roman" w:cs="Times New Roman"/>
          <w:lang w:val="lt-LT" w:eastAsia="lt-LT"/>
        </w:rPr>
        <w:tab/>
        <w:t>Miopatija* (įskaitant miozitą), rabdomiolizė su ar be ūminio inkstų nepakankamumo (žr. 4.4 skyrių), raumenų skausmas, raumenų spazmai.</w:t>
      </w:r>
    </w:p>
    <w:p w14:paraId="232D84AB" w14:textId="77777777" w:rsidR="000C2710" w:rsidRDefault="000C2710" w:rsidP="00A762B5">
      <w:pPr>
        <w:spacing w:after="0" w:line="240" w:lineRule="auto"/>
        <w:ind w:left="2127" w:hanging="2127"/>
        <w:contextualSpacing/>
        <w:rPr>
          <w:rFonts w:ascii="Times New Roman" w:eastAsia="Calibri" w:hAnsi="Times New Roman" w:cs="Times New Roman"/>
          <w:lang w:val="lt-LT" w:eastAsia="lt-LT"/>
        </w:rPr>
      </w:pPr>
      <w:r>
        <w:rPr>
          <w:rFonts w:ascii="Times New Roman" w:eastAsia="Calibri" w:hAnsi="Times New Roman" w:cs="Times New Roman"/>
          <w:i/>
          <w:lang w:val="lt-LT" w:eastAsia="lt-LT"/>
        </w:rPr>
        <w:t>Labai retas</w:t>
      </w:r>
      <w:r>
        <w:rPr>
          <w:rFonts w:ascii="Times New Roman" w:eastAsia="Calibri" w:hAnsi="Times New Roman" w:cs="Times New Roman"/>
          <w:i/>
          <w:lang w:val="lt-LT" w:eastAsia="lt-LT"/>
        </w:rPr>
        <w:tab/>
      </w:r>
      <w:r w:rsidRPr="000F58CF">
        <w:rPr>
          <w:rFonts w:ascii="Times New Roman" w:eastAsia="Calibri" w:hAnsi="Times New Roman" w:cs="Times New Roman"/>
          <w:lang w:val="lt-LT" w:eastAsia="lt-LT"/>
        </w:rPr>
        <w:t>R</w:t>
      </w:r>
      <w:r w:rsidRPr="00242B0F">
        <w:rPr>
          <w:rFonts w:ascii="Times New Roman" w:eastAsia="Calibri" w:hAnsi="Times New Roman" w:cs="Times New Roman"/>
          <w:lang w:val="lt-LT" w:eastAsia="lt-LT"/>
        </w:rPr>
        <w:t>aumens plyšimas</w:t>
      </w:r>
      <w:r>
        <w:rPr>
          <w:rFonts w:ascii="Times New Roman" w:eastAsia="Calibri" w:hAnsi="Times New Roman" w:cs="Times New Roman"/>
          <w:lang w:val="lt-LT" w:eastAsia="lt-LT"/>
        </w:rPr>
        <w:t>.</w:t>
      </w:r>
    </w:p>
    <w:p w14:paraId="60D144E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74C436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*Klinikinio tyrimo metu miopatija dažnai pasireiškė pacientams, gydomiems 80 mg simvastatino per parą, lyginant su pacientais, gydomais 20 mg per parą (atitinkamai 1,0 %, palyginti su 0,2 %) (žr. 4.4 ir 4.5 skyrius).</w:t>
      </w:r>
    </w:p>
    <w:p w14:paraId="23C2B43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F87733F" w14:textId="77777777" w:rsidR="00A762B5" w:rsidRPr="00A762B5" w:rsidRDefault="00A762B5" w:rsidP="00A762B5">
      <w:pPr>
        <w:spacing w:after="0" w:line="240" w:lineRule="auto"/>
        <w:ind w:left="2268" w:hanging="2268"/>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lastRenderedPageBreak/>
        <w:t>Dažnis nežinomas</w:t>
      </w: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Tendinopatija, kartais komplikuota plyšimu, su imuninėmis reakcijomis siejama nekrozuojanti miopatija (SIRSNM).**</w:t>
      </w:r>
    </w:p>
    <w:p w14:paraId="0A5D219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1DF42E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**Gauta pranešimų (jie buvo labai reti) apie su imuninėmis reakcijomis siejamą nekrozuojančią miopatiją (SIRSNM), t. y. autoimuninę miopatiją, pasireiškusią gydymo kai kuriais statinais metu arba po jo. Klinikiniai SIRSNM požymiai – tai nuolatinis proksimalinių raumenų silpnumas ir padidėjęs kreatinkinazės aktyvumas serume, kurie neišnyksta net ir nutraukus gydymą statinu; raumenų biopsija parodė nekrozuojančią miopatiją be pastebimo uždegimo; pagerėjimą sukėlė imunosupresinės medžiagos (žr. 4.4 skyrių).</w:t>
      </w:r>
    </w:p>
    <w:p w14:paraId="5D165A9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D9EB91C"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Lytinės sistemos ir krūties sutrikimai</w:t>
      </w:r>
    </w:p>
    <w:p w14:paraId="0D3047FC" w14:textId="77777777" w:rsidR="000F58CF" w:rsidRDefault="000F58CF" w:rsidP="00A762B5">
      <w:pPr>
        <w:spacing w:after="0" w:line="240" w:lineRule="auto"/>
        <w:contextualSpacing/>
        <w:rPr>
          <w:rFonts w:ascii="Times New Roman" w:eastAsia="Calibri" w:hAnsi="Times New Roman" w:cs="Times New Roman"/>
          <w:i/>
          <w:lang w:val="lt-LT" w:eastAsia="lt-LT"/>
        </w:rPr>
      </w:pPr>
      <w:r w:rsidRPr="000F58CF">
        <w:rPr>
          <w:rFonts w:ascii="Times New Roman" w:eastAsia="Calibri" w:hAnsi="Times New Roman" w:cs="Times New Roman"/>
          <w:i/>
          <w:lang w:val="lt-LT" w:eastAsia="lt-LT"/>
        </w:rPr>
        <w:t>Labai retas</w:t>
      </w:r>
      <w:r w:rsidRPr="000F58CF">
        <w:rPr>
          <w:rFonts w:ascii="Times New Roman" w:eastAsia="Calibri" w:hAnsi="Times New Roman" w:cs="Times New Roman"/>
          <w:i/>
          <w:lang w:val="lt-LT" w:eastAsia="lt-LT"/>
        </w:rPr>
        <w:tab/>
      </w:r>
      <w:r>
        <w:rPr>
          <w:rFonts w:ascii="Times New Roman" w:eastAsia="Calibri" w:hAnsi="Times New Roman" w:cs="Times New Roman"/>
          <w:i/>
          <w:lang w:val="lt-LT" w:eastAsia="lt-LT"/>
        </w:rPr>
        <w:tab/>
      </w:r>
      <w:r w:rsidRPr="00242B0F">
        <w:rPr>
          <w:rFonts w:ascii="Times New Roman" w:eastAsia="Calibri" w:hAnsi="Times New Roman" w:cs="Times New Roman"/>
          <w:lang w:val="lt-LT" w:eastAsia="lt-LT"/>
        </w:rPr>
        <w:t>Ginekomastija.</w:t>
      </w:r>
    </w:p>
    <w:p w14:paraId="104635BD" w14:textId="77777777" w:rsid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Dažnis nežinomas</w:t>
      </w: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Erekcijos sutrikimai.</w:t>
      </w:r>
    </w:p>
    <w:p w14:paraId="371AFB8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12FD48A"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Bendrieji sutrikimai ir vartojimo vietos pažeidimai</w:t>
      </w:r>
    </w:p>
    <w:p w14:paraId="42F986F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Retas.</w:t>
      </w:r>
      <w:r w:rsidRPr="00A762B5">
        <w:rPr>
          <w:rFonts w:ascii="Times New Roman" w:eastAsia="Calibri" w:hAnsi="Times New Roman" w:cs="Times New Roman"/>
          <w:lang w:val="lt-LT" w:eastAsia="lt-LT"/>
        </w:rPr>
        <w:tab/>
      </w:r>
      <w:r w:rsidRPr="00A762B5">
        <w:rPr>
          <w:rFonts w:ascii="Times New Roman" w:eastAsia="Calibri" w:hAnsi="Times New Roman" w:cs="Times New Roman"/>
          <w:lang w:val="lt-LT" w:eastAsia="lt-LT"/>
        </w:rPr>
        <w:tab/>
      </w:r>
      <w:r w:rsidRPr="00A762B5">
        <w:rPr>
          <w:rFonts w:ascii="Times New Roman" w:eastAsia="Calibri" w:hAnsi="Times New Roman" w:cs="Times New Roman"/>
          <w:lang w:val="lt-LT" w:eastAsia="lt-LT"/>
        </w:rPr>
        <w:tab/>
        <w:t>Astenija.</w:t>
      </w:r>
    </w:p>
    <w:p w14:paraId="79BB09C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77391B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Retai gauta pranešimų apie tariamąjį padidėjusio jautrumo sindromą, kurio metu pasireikšdavo kai kurie iš tokių požymių: angioneurozinė edema, į vilkligę panašus sindromas, reumatinė polimialgija, dermatomiozitas, kraujagyslių uždegimas, trombocitopenija, eozinofilija, eritrocitų nusėdimo greičio padidėjimas, sąnarių uždegimas ir skausmas, dilgėlinė, padidėjęs jautrumas šviesai, karščiavimas, staigus paraudimas, dusulys ir bendrasis negalavimas.</w:t>
      </w:r>
    </w:p>
    <w:p w14:paraId="47A9820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CEE2600"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Tyrimai</w:t>
      </w:r>
    </w:p>
    <w:p w14:paraId="6734B792" w14:textId="77777777" w:rsidR="00A762B5" w:rsidRPr="00A762B5" w:rsidRDefault="00A762B5" w:rsidP="00A762B5">
      <w:pPr>
        <w:spacing w:after="0" w:line="240" w:lineRule="auto"/>
        <w:ind w:left="2127" w:hanging="2127"/>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Retas.</w:t>
      </w:r>
      <w:r w:rsidRPr="00A762B5">
        <w:rPr>
          <w:rFonts w:ascii="Times New Roman" w:eastAsia="Calibri" w:hAnsi="Times New Roman" w:cs="Times New Roman"/>
          <w:lang w:val="lt-LT" w:eastAsia="lt-LT"/>
        </w:rPr>
        <w:tab/>
        <w:t>Serumo transaminazių (ALT, AST, gama glutamiltranspeptidazės) aktyvumo padidėjimas (žr. 4.4 skyriaus poskyrį „Poveikis kepenims“), šarminės fosfatazės aktyvumo padidėjimas, KK aktyvumo kraujo serume padidėjimas (žr. 4.4 skyrių).</w:t>
      </w:r>
    </w:p>
    <w:p w14:paraId="6C73599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041ECB9"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rPr>
      </w:pPr>
      <w:r w:rsidRPr="00A762B5">
        <w:rPr>
          <w:rFonts w:ascii="Times New Roman" w:eastAsia="SimSun" w:hAnsi="Times New Roman" w:cs="Times New Roman"/>
          <w:color w:val="000000"/>
          <w:lang w:val="lt-LT" w:eastAsia="ja-JP"/>
        </w:rPr>
        <w:t>Gauta pranešimų apie statinų, įskaitant simvastatiną, vartojantiems pacientams atsiradusį HbA1c ir gliukozės kiekio serume nevalgius padidėjimą.</w:t>
      </w:r>
    </w:p>
    <w:p w14:paraId="1C234575"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rPr>
      </w:pPr>
    </w:p>
    <w:p w14:paraId="102C6197" w14:textId="77777777" w:rsidR="00A762B5" w:rsidRPr="00A762B5" w:rsidRDefault="00A762B5" w:rsidP="00A762B5">
      <w:pPr>
        <w:widowControl w:val="0"/>
        <w:autoSpaceDE w:val="0"/>
        <w:autoSpaceDN w:val="0"/>
        <w:adjustRightInd w:val="0"/>
        <w:spacing w:after="0" w:line="240" w:lineRule="auto"/>
        <w:contextualSpacing/>
        <w:rPr>
          <w:rFonts w:ascii="Times New Roman" w:eastAsia="SimSun" w:hAnsi="Times New Roman" w:cs="Times New Roman"/>
          <w:color w:val="000000"/>
          <w:lang w:val="lt-LT" w:eastAsia="ja-JP"/>
        </w:rPr>
      </w:pPr>
      <w:r w:rsidRPr="00A762B5">
        <w:rPr>
          <w:rFonts w:ascii="Times New Roman" w:eastAsia="SimSun" w:hAnsi="Times New Roman" w:cs="Times New Roman"/>
          <w:color w:val="000000"/>
          <w:lang w:val="lt-LT" w:eastAsia="ja-JP"/>
        </w:rPr>
        <w:t>Po vaistinio preparato pateikimo į rinką gauta pranešimų apie pažintinės funkcijos sutrikimą (pvz., atminties netekimą, užmaršumą, amneziją, atminties pablogėjimą, konfūziją), susijusį su statinų, įskaitant simvastatiną, vartojimu. Pranešimai paprastai buvo apie nesunkų poveikį, kuris išnykdavo nutraukus statinų vartojimą; laikas, per kurį simptomai atsirasdavo (per 1 dieną ar kelis metus) ir išnykdavo (mediana 3 savaitės), buvo įvairus.</w:t>
      </w:r>
    </w:p>
    <w:p w14:paraId="11A8874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95B0CE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Be to, vartojant kai kurių statinų buvo pastebėta šių nepageidaujamų reiškinių:</w:t>
      </w:r>
    </w:p>
    <w:p w14:paraId="0509FC44" w14:textId="77777777" w:rsidR="00A762B5" w:rsidRPr="00A762B5" w:rsidRDefault="00A762B5" w:rsidP="00A762B5">
      <w:pPr>
        <w:numPr>
          <w:ilvl w:val="0"/>
          <w:numId w:val="37"/>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miego sutrikimų, įskaitant košmarus;</w:t>
      </w:r>
    </w:p>
    <w:p w14:paraId="6B1F7F16" w14:textId="77777777" w:rsidR="00A762B5" w:rsidRPr="00A762B5" w:rsidRDefault="00A762B5" w:rsidP="00A762B5">
      <w:pPr>
        <w:numPr>
          <w:ilvl w:val="0"/>
          <w:numId w:val="37"/>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seksualinių sutrikimų;</w:t>
      </w:r>
    </w:p>
    <w:p w14:paraId="325B6CA6" w14:textId="77777777" w:rsidR="00A762B5" w:rsidRPr="00A762B5" w:rsidRDefault="00A762B5" w:rsidP="00A762B5">
      <w:pPr>
        <w:numPr>
          <w:ilvl w:val="0"/>
          <w:numId w:val="37"/>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cukrinis diabetas: dažnis priklausė nuo rizikos veiksnių (nevalgius gliukozės kiekis kraujyje ≥ 5,6 mmol/l, KMI &gt; 30 kg/m</w:t>
      </w:r>
      <w:r w:rsidRPr="00A762B5">
        <w:rPr>
          <w:rFonts w:ascii="Times New Roman" w:eastAsia="Calibri" w:hAnsi="Times New Roman" w:cs="Times New Roman"/>
          <w:vertAlign w:val="superscript"/>
          <w:lang w:val="lt-LT" w:eastAsia="lt-LT"/>
        </w:rPr>
        <w:t>2</w:t>
      </w:r>
      <w:r w:rsidRPr="00A762B5">
        <w:rPr>
          <w:rFonts w:ascii="Times New Roman" w:eastAsia="Calibri" w:hAnsi="Times New Roman" w:cs="Times New Roman"/>
          <w:lang w:val="lt-LT" w:eastAsia="lt-LT"/>
        </w:rPr>
        <w:t>, padidėjęs trigliceridų kiekis, praeityje buvusi hipertenzija) buvimo ar nebuvimo.</w:t>
      </w:r>
    </w:p>
    <w:p w14:paraId="7863E74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BAD94B9" w14:textId="77777777" w:rsidR="00A762B5" w:rsidRPr="00A762B5" w:rsidRDefault="00A762B5" w:rsidP="00A762B5">
      <w:pPr>
        <w:widowControl w:val="0"/>
        <w:spacing w:after="0" w:line="240" w:lineRule="auto"/>
        <w:ind w:right="-58"/>
        <w:contextualSpacing/>
        <w:rPr>
          <w:rFonts w:ascii="Times New Roman" w:eastAsia="Calibri" w:hAnsi="Times New Roman" w:cs="Times New Roman"/>
          <w:i/>
          <w:u w:val="single"/>
          <w:lang w:val="lt-LT" w:eastAsia="lt-LT"/>
        </w:rPr>
      </w:pPr>
      <w:r w:rsidRPr="00A762B5">
        <w:rPr>
          <w:rFonts w:ascii="Times New Roman" w:eastAsia="Calibri" w:hAnsi="Times New Roman" w:cs="Times New Roman"/>
          <w:i/>
          <w:u w:val="single"/>
          <w:lang w:val="lt-LT" w:eastAsia="lt-LT"/>
        </w:rPr>
        <w:t>Vaikų populiacija</w:t>
      </w:r>
    </w:p>
    <w:p w14:paraId="3D2F3A9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48 savaičių klinikiniame tyrime, kuriame dalyvavo 10</w:t>
      </w:r>
      <w:r w:rsidRPr="00A762B5">
        <w:rPr>
          <w:rFonts w:ascii="Times New Roman" w:eastAsia="Calibri" w:hAnsi="Times New Roman" w:cs="Times New Roman"/>
          <w:lang w:val="lt-LT" w:eastAsia="lt-LT"/>
        </w:rPr>
        <w:noBreakHyphen/>
        <w:t xml:space="preserve">17 metų vaikai ir paaugliai (berniukai II-oje arba aukštesnėje išsivystymo stadijoje pagal Tanner ir mergaitės, kurioms ne trumpiau kaip vienerius metus yra menstruacijos), kuriems yra heterozigotinė šeiminė hipercholesterolemija (n=175) saugumas ir toleravimas grupėje, gydytoje simvastatinu, iš esmės buvo toks pat, kaip grupėje, gydytoje placebu. Ilgalaikis poveikis fiziniam, intelektualiniam ir lytiniam brendimui nėra žinomas. Po vienerių gydymo metų nėra pakankamai duomenų (žr. 4.2, 4.4 ir 5.1 skyrius). </w:t>
      </w:r>
    </w:p>
    <w:p w14:paraId="57E6EA2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0B292D8" w14:textId="77777777" w:rsidR="008334F0" w:rsidRDefault="008334F0" w:rsidP="00A762B5">
      <w:pPr>
        <w:autoSpaceDE w:val="0"/>
        <w:autoSpaceDN w:val="0"/>
        <w:adjustRightInd w:val="0"/>
        <w:spacing w:after="0" w:line="240" w:lineRule="auto"/>
        <w:contextualSpacing/>
        <w:jc w:val="both"/>
        <w:rPr>
          <w:rFonts w:ascii="Times New Roman" w:eastAsia="Calibri" w:hAnsi="Times New Roman" w:cs="Times New Roman"/>
          <w:u w:val="single"/>
          <w:lang w:val="lt-LT" w:eastAsia="lt-LT"/>
        </w:rPr>
      </w:pPr>
    </w:p>
    <w:p w14:paraId="6DB841C8" w14:textId="77777777" w:rsidR="00A762B5" w:rsidRPr="00A762B5" w:rsidRDefault="00A762B5" w:rsidP="00A762B5">
      <w:pPr>
        <w:autoSpaceDE w:val="0"/>
        <w:autoSpaceDN w:val="0"/>
        <w:adjustRightInd w:val="0"/>
        <w:spacing w:after="0" w:line="240" w:lineRule="auto"/>
        <w:contextualSpacing/>
        <w:jc w:val="both"/>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Pranešimas apie įtariamas nepageidaujamas reakcijas</w:t>
      </w:r>
    </w:p>
    <w:p w14:paraId="0431E315" w14:textId="77777777" w:rsidR="00011B74" w:rsidRPr="00011B74" w:rsidRDefault="00011B74" w:rsidP="00011B74">
      <w:pPr>
        <w:autoSpaceDE w:val="0"/>
        <w:autoSpaceDN w:val="0"/>
        <w:adjustRightInd w:val="0"/>
        <w:spacing w:after="0" w:line="240" w:lineRule="auto"/>
        <w:contextualSpacing/>
        <w:jc w:val="both"/>
        <w:rPr>
          <w:rFonts w:ascii="Times New Roman" w:eastAsia="Times New Roman" w:hAnsi="Times New Roman" w:cs="Times New Roman"/>
          <w:snapToGrid w:val="0"/>
          <w:lang w:val="lt-LT"/>
        </w:rPr>
      </w:pPr>
      <w:r w:rsidRPr="00011B74">
        <w:rPr>
          <w:rFonts w:ascii="Times New Roman" w:eastAsia="Times New Roman" w:hAnsi="Times New Roman" w:cs="Times New Roman"/>
          <w:snapToGrid w:val="0"/>
          <w:lang w:val="lt-LT"/>
        </w:rPr>
        <w:t xml:space="preserve">Svarbu pranešti apie įtariamas nepageidaujamas reakcijas, pastebėtas po vaistinio preparato registracijos, nes tai leidžia nuolat stebėti vaistinio preparato naudos ir rizikos santykį. Sveikatos </w:t>
      </w:r>
      <w:r w:rsidRPr="00011B74">
        <w:rPr>
          <w:rFonts w:ascii="Times New Roman" w:eastAsia="Times New Roman" w:hAnsi="Times New Roman" w:cs="Times New Roman"/>
          <w:snapToGrid w:val="0"/>
          <w:lang w:val="lt-LT"/>
        </w:rPr>
        <w:lastRenderedPageBreak/>
        <w:t xml:space="preserve">priežiūros ar farmacijos specialistai turi pranešti apie bet kokias įtariamas nepageidaujamas reakcijas, tiesiogiai užpildę pranešimo formą internetu Tarnybos Vaistinių preparatų informacinėje sistemoje </w:t>
      </w:r>
      <w:hyperlink r:id="rId8" w:history="1">
        <w:r w:rsidRPr="00011B74">
          <w:rPr>
            <w:rStyle w:val="Hipersaitas"/>
            <w:rFonts w:ascii="Times New Roman" w:eastAsia="Times New Roman" w:hAnsi="Times New Roman" w:cs="Times New Roman"/>
            <w:snapToGrid w:val="0"/>
            <w:lang w:val="lt-LT"/>
          </w:rPr>
          <w:t>https://vapris.vvkt.lt/vvkt-web/public/nrvSpecialist</w:t>
        </w:r>
      </w:hyperlink>
      <w:r w:rsidRPr="00011B74">
        <w:rPr>
          <w:rFonts w:ascii="Times New Roman" w:eastAsia="Times New Roman" w:hAnsi="Times New Roman" w:cs="Times New Roman"/>
          <w:snapToGrid w:val="0"/>
          <w:lang w:val="lt-LT"/>
        </w:rPr>
        <w:t xml:space="preserve"> arba užpildę Sveikatos priežiūros ar farmacijos specialisto pranešimo apie įtariamą nepageidaujamą reakciją (ĮNR) formą, kuri skelbiama </w:t>
      </w:r>
      <w:hyperlink r:id="rId9" w:history="1">
        <w:r w:rsidRPr="00011B74">
          <w:rPr>
            <w:rStyle w:val="Hipersaitas"/>
            <w:rFonts w:ascii="Times New Roman" w:eastAsia="Times New Roman" w:hAnsi="Times New Roman" w:cs="Times New Roman"/>
            <w:snapToGrid w:val="0"/>
            <w:lang w:val="lt-LT"/>
          </w:rPr>
          <w:t>https://www.vvkt.lt/index.php?1399030386</w:t>
        </w:r>
      </w:hyperlink>
      <w:r w:rsidRPr="00011B74">
        <w:rPr>
          <w:rFonts w:ascii="Times New Roman" w:eastAsia="Times New Roman" w:hAnsi="Times New Roman" w:cs="Times New Roman"/>
          <w:snapToGrid w:val="0"/>
          <w:lang w:val="lt-LT"/>
        </w:rPr>
        <w:t>, ir atsiųsti elektroniniu paštu (adresu NepageidaujamaR@vvkt.lt).</w:t>
      </w:r>
    </w:p>
    <w:p w14:paraId="04790ABF"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p>
    <w:p w14:paraId="329DED98"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4.9</w:t>
      </w:r>
      <w:r w:rsidRPr="00A762B5">
        <w:rPr>
          <w:rFonts w:ascii="Times New Roman" w:eastAsia="Calibri" w:hAnsi="Times New Roman" w:cs="Times New Roman"/>
          <w:b/>
          <w:lang w:val="lt-LT" w:eastAsia="lt-LT"/>
        </w:rPr>
        <w:tab/>
        <w:t>Perdozavimas</w:t>
      </w:r>
    </w:p>
    <w:p w14:paraId="6FB0C08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AD5D7F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Pastebėti keli perdozavimo atvejai. Didžiausia žinoma išgerta simvastatino dozė buvo 3,6 g. Specifinių perdozavimo simptomų nebuvo, visi ligoniai pasveiko ir neigiamų padarinių nebuvo. Perdozavus vaistinio preparato, specifinio gydymo nėra. Tokiu atveju reikia taikyti simptominį ir palaikomąjį gydymą.</w:t>
      </w:r>
    </w:p>
    <w:p w14:paraId="28CC484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FFC876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5E3778C"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5.</w:t>
      </w:r>
      <w:r w:rsidRPr="00A762B5">
        <w:rPr>
          <w:rFonts w:ascii="Times New Roman" w:eastAsia="Calibri" w:hAnsi="Times New Roman" w:cs="Times New Roman"/>
          <w:b/>
          <w:lang w:val="lt-LT" w:eastAsia="lt-LT"/>
        </w:rPr>
        <w:tab/>
        <w:t>FARMAKOLOGINĖS SAVYBĖS</w:t>
      </w:r>
    </w:p>
    <w:p w14:paraId="126E1CB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5514133"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5.1</w:t>
      </w:r>
      <w:r w:rsidRPr="00A762B5">
        <w:rPr>
          <w:rFonts w:ascii="Times New Roman" w:eastAsia="Calibri" w:hAnsi="Times New Roman" w:cs="Times New Roman"/>
          <w:b/>
          <w:lang w:val="lt-LT" w:eastAsia="lt-LT"/>
        </w:rPr>
        <w:tab/>
        <w:t>Farmakodinaminės savybės</w:t>
      </w:r>
    </w:p>
    <w:p w14:paraId="393F006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0FEE56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Cs/>
          <w:lang w:val="lt-LT" w:eastAsia="lt-LT"/>
        </w:rPr>
        <w:t>Farmakoterapinė grupė</w:t>
      </w:r>
      <w:r w:rsidRPr="00A762B5">
        <w:rPr>
          <w:rFonts w:ascii="Times New Roman" w:eastAsia="Times New Roman" w:hAnsi="Times New Roman" w:cs="Times New Roman"/>
          <w:lang w:val="lt-LT" w:eastAsia="lt-LT"/>
        </w:rPr>
        <w:t xml:space="preserve"> –</w:t>
      </w:r>
      <w:r w:rsidRPr="00A762B5">
        <w:rPr>
          <w:rFonts w:ascii="Times New Roman" w:eastAsia="Calibri" w:hAnsi="Times New Roman" w:cs="Times New Roman"/>
          <w:lang w:val="lt-LT" w:eastAsia="lt-LT"/>
        </w:rPr>
        <w:t xml:space="preserve"> HMG CoA reduktazės inhibitoriai, ATC kodas</w:t>
      </w:r>
      <w:r w:rsidRPr="00A762B5">
        <w:rPr>
          <w:rFonts w:ascii="Times New Roman" w:eastAsia="Times New Roman" w:hAnsi="Times New Roman" w:cs="Times New Roman"/>
          <w:lang w:val="lt-LT" w:eastAsia="lt-LT"/>
        </w:rPr>
        <w:t xml:space="preserve"> – </w:t>
      </w:r>
      <w:r w:rsidRPr="00A762B5">
        <w:rPr>
          <w:rFonts w:ascii="Times New Roman" w:eastAsia="Calibri" w:hAnsi="Times New Roman" w:cs="Times New Roman"/>
          <w:lang w:val="lt-LT" w:eastAsia="lt-LT"/>
        </w:rPr>
        <w:t>C10AA01.</w:t>
      </w:r>
    </w:p>
    <w:p w14:paraId="0DB2870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4F36B7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u w:val="single"/>
          <w:lang w:val="lt-LT" w:eastAsia="lt-LT"/>
        </w:rPr>
        <w:t>Veikimo mechanizmas</w:t>
      </w:r>
    </w:p>
    <w:p w14:paraId="596D9B9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Išgertas simvastatinas (neaktyvus laktonas) kepenyse hidrolizuojamas iki atitinkamos aktyvios beta hidroksirūgšties, kuri stipriai slopina HMG-CoA reduktazę (3-hidroksi-3-metilgliutaril-kofermento A reduktazę). Šis fermentas katalizuoja HMG-CoA virtimą mevalonatu, t. y. ankstyvąjį ir sintezės greitį ribojantį cholesterolio biosintezės etapą.</w:t>
      </w:r>
    </w:p>
    <w:p w14:paraId="5CF73CB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3E0DCD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Klinikiniais tyrimais nustatyta, kad simvastatinas mažina normalų ir padidėjusį mažo tankio lipoproteinų cholesterolio kiekį. Mažo tankio lipoproteinai (MTL) formuojami iš labai mažo tankio lipoproteinų (LMTL), ir katabolizuojami daugiausia didelio giminingumo MTL receptorių. Simvastatino MTL kiekį mažinantis poveikis gali būti susijęs su LMTL cholesterolio kiekio sumažėjimu ir MTL receptorių aktyvavimu. Dėl šių pokyčių mažėja LDL cholesterolio gamyba ir didėja jo katabolizmas. Vartojant simvastatino, sumažėja ir apolipoproteino B kiekis. Be to, simvastatinas vidutiniškai padidina didelio tankio lipoproteinų (DTL) cholesterolio bei sumažina trigliceridų kiekį kraujo plazmoje. Dėl išvardytų pokyčių sumažėja bendrojo cholesterolio ir DTL cholesterolio bei MTL cholesterolio ir DTL cholesterolio santykis.</w:t>
      </w:r>
    </w:p>
    <w:p w14:paraId="348441C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0DD2353"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Klinikinis veiksmingumas ir saugumas</w:t>
      </w:r>
    </w:p>
    <w:p w14:paraId="4EA0F66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01A942F"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Didelė išeminės širdies ligos (IŠL) rizika ar išeminė širdies liga</w:t>
      </w:r>
    </w:p>
    <w:p w14:paraId="66B387B8" w14:textId="1DA90B18"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HPS (</w:t>
      </w:r>
      <w:r w:rsidRPr="00A762B5">
        <w:rPr>
          <w:rFonts w:ascii="Times New Roman" w:eastAsia="Calibri" w:hAnsi="Times New Roman" w:cs="Times New Roman"/>
          <w:i/>
          <w:iCs/>
          <w:lang w:val="lt-LT" w:eastAsia="lt-LT"/>
        </w:rPr>
        <w:t>Heart Protection Study</w:t>
      </w:r>
      <w:r w:rsidRPr="00A762B5">
        <w:rPr>
          <w:rFonts w:ascii="Times New Roman" w:eastAsia="Calibri" w:hAnsi="Times New Roman" w:cs="Times New Roman"/>
          <w:lang w:val="lt-LT" w:eastAsia="lt-LT"/>
        </w:rPr>
        <w:t xml:space="preserve"> ) klinikinio tyrimo, kuriame dalyvavo 40</w:t>
      </w:r>
      <w:r w:rsidRPr="00A762B5">
        <w:rPr>
          <w:rFonts w:ascii="Times New Roman" w:eastAsia="Calibri" w:hAnsi="Times New Roman" w:cs="Times New Roman"/>
          <w:lang w:val="lt-LT" w:eastAsia="lt-LT"/>
        </w:rPr>
        <w:noBreakHyphen/>
        <w:t>80 metų 20</w:t>
      </w:r>
      <w:r w:rsidR="00F6640B">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536 pacientai, sergantys IŠL, kitomis arterijų spindį siaurinančiomis ligomis ar cukriniu diabetu (daliai pacientų buvo hiperlipidemija), metu nustatytas gydymo simvastatinu veiksmingumas. Šio tyrimo metu vidutiniškai 5 metus 10</w:t>
      </w:r>
      <w:r w:rsidR="00F6640B">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269 pacientai vartojo 40 mg simvastatino paros dozę, 10</w:t>
      </w:r>
      <w:r w:rsidR="00F6640B">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267 pacientai – placebo. Tyrimo pradžioje 6</w:t>
      </w:r>
      <w:r w:rsidR="00F6640B">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793 pacientams (33 %) MTL kiekis buvo mažiau 116 mg/dl; 5</w:t>
      </w:r>
      <w:r w:rsidR="00F6640B">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063 pacientams (25 %) – 116</w:t>
      </w:r>
      <w:r w:rsidRPr="00A762B5">
        <w:rPr>
          <w:rFonts w:ascii="Times New Roman" w:eastAsia="Calibri" w:hAnsi="Times New Roman" w:cs="Times New Roman"/>
          <w:lang w:val="lt-LT" w:eastAsia="lt-LT"/>
        </w:rPr>
        <w:noBreakHyphen/>
        <w:t>135 mg/dl; 8</w:t>
      </w:r>
      <w:r w:rsidR="00F6640B">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680 pacientų (42 %) – didesnis nei 135 mg/dl.</w:t>
      </w:r>
    </w:p>
    <w:p w14:paraId="106A83F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155B109" w14:textId="73EC480E" w:rsidR="00A762B5" w:rsidRPr="00FB7EBC" w:rsidRDefault="00A762B5" w:rsidP="00A762B5">
      <w:pPr>
        <w:spacing w:after="0" w:line="240" w:lineRule="auto"/>
        <w:contextualSpacing/>
        <w:rPr>
          <w:rFonts w:ascii="Times New Roman" w:eastAsia="Calibri" w:hAnsi="Times New Roman" w:cs="Times New Roman"/>
          <w:lang w:val="lt-LT" w:eastAsia="lt-LT"/>
        </w:rPr>
      </w:pPr>
      <w:r w:rsidRPr="00FB7EBC">
        <w:rPr>
          <w:rFonts w:ascii="Times New Roman" w:eastAsia="Calibri" w:hAnsi="Times New Roman" w:cs="Times New Roman"/>
          <w:lang w:val="lt-LT" w:eastAsia="lt-LT"/>
        </w:rPr>
        <w:t>Gydymas 40 mg simvastatino paros doze, palyginti su placebu, reikšmingai sumažino mirties dėl visų priežasčių riziką (1</w:t>
      </w:r>
      <w:r w:rsidR="00F6640B">
        <w:rPr>
          <w:rFonts w:ascii="Times New Roman" w:eastAsia="Calibri" w:hAnsi="Times New Roman" w:cs="Times New Roman"/>
          <w:lang w:val="lt-LT" w:eastAsia="lt-LT"/>
        </w:rPr>
        <w:t> </w:t>
      </w:r>
      <w:r w:rsidRPr="00FB7EBC">
        <w:rPr>
          <w:rFonts w:ascii="Times New Roman" w:eastAsia="Calibri" w:hAnsi="Times New Roman" w:cs="Times New Roman"/>
          <w:lang w:val="lt-LT" w:eastAsia="lt-LT"/>
        </w:rPr>
        <w:t>328 [12,9 %] atvejų iš visų pacientų, vartojusių simvastatino, palyginti su 1</w:t>
      </w:r>
      <w:r w:rsidR="00F6640B">
        <w:rPr>
          <w:rFonts w:ascii="Times New Roman" w:eastAsia="Calibri" w:hAnsi="Times New Roman" w:cs="Times New Roman"/>
          <w:lang w:val="lt-LT" w:eastAsia="lt-LT"/>
        </w:rPr>
        <w:t> </w:t>
      </w:r>
      <w:r w:rsidRPr="00FB7EBC">
        <w:rPr>
          <w:rFonts w:ascii="Times New Roman" w:eastAsia="Calibri" w:hAnsi="Times New Roman" w:cs="Times New Roman"/>
          <w:lang w:val="lt-LT" w:eastAsia="lt-LT"/>
        </w:rPr>
        <w:t xml:space="preserve">507 [14,7 %] atvejais iš visų pacientų, kurie vartojo placebo; p=0,0003). Mirties atvejų dėl IŠL dažnumas sumažėjo 18 % (587 [5,7 %], palyginti su 707 [6,9 %] p=0,0005; absoliuti rizika sumažėjo 1,2 %). Mirties atvejų, nesusijusių su kraujagyslių ligomis, dažnumas abiejose tiriamųjų grupės statistiškai reikšmingai nesiskyrė. </w:t>
      </w:r>
    </w:p>
    <w:p w14:paraId="2F758E5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FB7EBC">
        <w:rPr>
          <w:rFonts w:ascii="Times New Roman" w:eastAsia="Calibri" w:hAnsi="Times New Roman" w:cs="Times New Roman"/>
          <w:lang w:val="lt-LT" w:eastAsia="lt-LT"/>
        </w:rPr>
        <w:t>Simvastatinas 27 % (p=0,0001) sumažino sunkių koronarinių reiškinių (jungtinė vertinamoji baigtis, kurią sudaro nemirtinas miokardo infarktas ar IŠL sukelta mirtis) riziką. Be to, šis vaistinis preparatas</w:t>
      </w:r>
      <w:r w:rsidRPr="00A762B5">
        <w:rPr>
          <w:rFonts w:ascii="Times New Roman" w:eastAsia="Calibri" w:hAnsi="Times New Roman" w:cs="Times New Roman"/>
          <w:lang w:val="lt-LT" w:eastAsia="lt-LT"/>
        </w:rPr>
        <w:t xml:space="preserve"> sumažino koronarų revaskuliarizacijos procedūrų (įskaitant koronarinių kraujagyslių šuntavimą ir perkutaninę transliuminalinę koronarų angioplastiką), periferinių ir kitokių nekoronarinių kraujagyslių </w:t>
      </w:r>
      <w:r w:rsidRPr="00A762B5">
        <w:rPr>
          <w:rFonts w:ascii="Times New Roman" w:eastAsia="Calibri" w:hAnsi="Times New Roman" w:cs="Times New Roman"/>
          <w:lang w:val="lt-LT" w:eastAsia="lt-LT"/>
        </w:rPr>
        <w:lastRenderedPageBreak/>
        <w:t>revaskuliarizacijos procedūrų poreikį atitinkamai 30 % (p=0,0001) ir 16 % (p=0,006). Simvastatino sukeltas insulto rizikos sumažėjimas 25 % (p=0,0001) tikriausiai susijęs su išeminio insulto rizikos sumažėjimu 30 % (p=0,0001). Be to, ligoniams, sergantiems cukriniu diabetu, simvastatinas 21 % (p=0,0293) sumažino stambiųjų kraujagyslių komplikacijų, įskaitant periferinės revaskuliarizacijos procedūras (chirurgines operacijas ar angioplastiką), kojų amputacijas ar trofines opas, riziką. Reiškinių dažnumo sumažėjimo laipsnis buvo panašus kiekvienoje stebėtų pacientų grupėje, įskaitant pacientus, kuriems nebuvo koronarinės kraujotakos sutrikimų, bet pasireiškė smegenų kraujotakos ar periferinių arterijų patologija, jaunesnius ar vyresnius negu 70 metų klinikinio tyrimo pradžioje vyrus ir moteris, pacientus, kuriems buvo ar nebuvo padidėjęs kraujospūdis, ir ypač žmones, kuriems MTL cholesterolio buvo mažiau nei 3,0 mmol/l.</w:t>
      </w:r>
    </w:p>
    <w:p w14:paraId="4BE2AB4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1D16615" w14:textId="4ECCCF79"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Cs/>
          <w:lang w:val="lt-LT" w:eastAsia="lt-LT"/>
        </w:rPr>
        <w:t>4S</w:t>
      </w:r>
      <w:r w:rsidRPr="00A762B5">
        <w:rPr>
          <w:rFonts w:ascii="Times New Roman" w:eastAsia="Calibri" w:hAnsi="Times New Roman" w:cs="Times New Roman"/>
          <w:i/>
          <w:iCs/>
          <w:lang w:val="lt-LT" w:eastAsia="lt-LT"/>
        </w:rPr>
        <w:t xml:space="preserve"> (Scandinavian Simvastatin Survival Study) </w:t>
      </w:r>
      <w:r w:rsidRPr="00A762B5">
        <w:rPr>
          <w:rFonts w:ascii="Times New Roman" w:eastAsia="Calibri" w:hAnsi="Times New Roman" w:cs="Times New Roman"/>
          <w:lang w:val="lt-LT" w:eastAsia="lt-LT"/>
        </w:rPr>
        <w:t>klinikinio tyrimo metu nustatytas simvastatino poveikis bendrajam mirtingumui. Šio tyrimo metu buvo tiriami 4</w:t>
      </w:r>
      <w:r w:rsidR="008A30E0">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444 simvastatino vartojantys ligoniai, kurie sirgo išemine širdies liga (kai kuriems iš jų anksčiau buvo ištikęs miokardo infarktas) ir kurių plazmoje cholesterolio kiekis tyrimo pradžioje buvo 212</w:t>
      </w:r>
      <w:r w:rsidRPr="00A762B5">
        <w:rPr>
          <w:rFonts w:ascii="Times New Roman" w:eastAsia="Calibri" w:hAnsi="Times New Roman" w:cs="Times New Roman"/>
          <w:lang w:val="lt-LT" w:eastAsia="lt-LT"/>
        </w:rPr>
        <w:noBreakHyphen/>
        <w:t>309 mg/dl (5,5</w:t>
      </w:r>
      <w:r w:rsidRPr="00A762B5">
        <w:rPr>
          <w:rFonts w:ascii="Times New Roman" w:eastAsia="Calibri" w:hAnsi="Times New Roman" w:cs="Times New Roman"/>
          <w:lang w:val="lt-LT" w:eastAsia="lt-LT"/>
        </w:rPr>
        <w:noBreakHyphen/>
        <w:t>8 mmol/l). Vidutiniškai 5,4 metų pacientai kasdien gėrė po 20</w:t>
      </w:r>
      <w:r w:rsidRPr="00A762B5">
        <w:rPr>
          <w:rFonts w:ascii="Times New Roman" w:eastAsia="Calibri" w:hAnsi="Times New Roman" w:cs="Times New Roman"/>
          <w:lang w:val="lt-LT" w:eastAsia="lt-LT"/>
        </w:rPr>
        <w:noBreakHyphen/>
        <w:t>40 mg simvastatino (n=2</w:t>
      </w:r>
      <w:r w:rsidR="008A30E0">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221) arba placebo (n=2</w:t>
      </w:r>
      <w:r w:rsidR="008A30E0">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221). Be to, visi pacientai laikėsi dietos ir jiems visiems taikyta įprastinė slauga. Šio dvigubai aklu metodu atlikto multicentrinio tyrimo metu (jame dalyvavo atsitiktiniu būdu išrinkti ligoniai), nustatyta, kad simvastatinas 30 % sumažino mirties riziką (absoliuti rizika sumažėjo 3,3 %), 42 % – mirties dėl IŠL riziką (absoliuti rizika sumažėjo 3,5 %). Simvastatinas 34 % sumažino sunkių koronarinių reiškinių (mirčių dėl išeminės širdies ligos, tyrimais patvirtinto ir besimptomio miokardo infarkto, dėl kurio ligonis nemirė) riziką. Be to, simvastatinas reikšmingai, t. y. 28 %, sumažino mirtinų ir nemirtinų cerebrovaskulinių reiškinių (insulto ir laikino išemijos priepuolio) riziką. Mirtingumas ne dėl kardiovaskulinių ligų tarp tiriamųjų grupių statistiškai reikšmingai nesiskiria.</w:t>
      </w:r>
    </w:p>
    <w:p w14:paraId="694622A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2AD01AB" w14:textId="46C786D6" w:rsidR="00A762B5" w:rsidRPr="00A762B5" w:rsidRDefault="00A762B5" w:rsidP="00A762B5">
      <w:pPr>
        <w:spacing w:after="0" w:line="240" w:lineRule="auto"/>
        <w:contextualSpacing/>
        <w:rPr>
          <w:rFonts w:ascii="Times New Roman" w:eastAsia="Times New Roman" w:hAnsi="Times New Roman" w:cs="Times New Roman"/>
          <w:spacing w:val="-3"/>
          <w:lang w:val="lt-LT" w:eastAsia="en-IE"/>
        </w:rPr>
      </w:pPr>
      <w:r w:rsidRPr="00A762B5">
        <w:rPr>
          <w:rFonts w:ascii="Times New Roman" w:eastAsia="Times New Roman" w:hAnsi="Times New Roman" w:cs="Times New Roman"/>
          <w:lang w:val="lt-LT" w:eastAsia="sl-SI"/>
        </w:rPr>
        <w:t xml:space="preserve">Cholesterolio ir homocisteino papildomo mažinimo veiksmingumo tyrime (SEARCH, angl. </w:t>
      </w:r>
      <w:r w:rsidRPr="00A762B5">
        <w:rPr>
          <w:rFonts w:ascii="Times New Roman" w:eastAsia="Times New Roman" w:hAnsi="Times New Roman" w:cs="Times New Roman"/>
          <w:i/>
          <w:lang w:val="lt-LT" w:eastAsia="sl-SI"/>
        </w:rPr>
        <w:t>Study of the</w:t>
      </w:r>
      <w:r w:rsidRPr="00A762B5">
        <w:rPr>
          <w:rFonts w:ascii="Times New Roman" w:eastAsia="Times New Roman" w:hAnsi="Times New Roman" w:cs="Times New Roman"/>
          <w:i/>
          <w:spacing w:val="-3"/>
          <w:lang w:val="lt-LT" w:eastAsia="en-IE"/>
        </w:rPr>
        <w:t xml:space="preserve"> Effectiveness of Additional Reductions in Cholesterol and Homocysteine</w:t>
      </w:r>
      <w:r w:rsidRPr="00A762B5">
        <w:rPr>
          <w:rFonts w:ascii="Times New Roman" w:eastAsia="Times New Roman" w:hAnsi="Times New Roman" w:cs="Times New Roman"/>
          <w:spacing w:val="-3"/>
          <w:lang w:val="lt-LT" w:eastAsia="en-IE"/>
        </w:rPr>
        <w:t>) buvo vertinamas gydymo simvastatino 80 mg doze poveikis, lyginant su 20 mg doze (stebėsenos vidurkis – 6,7 metų) tarp 12</w:t>
      </w:r>
      <w:r w:rsidR="008A30E0">
        <w:rPr>
          <w:rFonts w:ascii="Times New Roman" w:eastAsia="Times New Roman" w:hAnsi="Times New Roman" w:cs="Times New Roman"/>
          <w:spacing w:val="-3"/>
          <w:lang w:val="lt-LT" w:eastAsia="en-IE"/>
        </w:rPr>
        <w:t> </w:t>
      </w:r>
      <w:r w:rsidRPr="00A762B5">
        <w:rPr>
          <w:rFonts w:ascii="Times New Roman" w:eastAsia="Times New Roman" w:hAnsi="Times New Roman" w:cs="Times New Roman"/>
          <w:spacing w:val="-3"/>
          <w:lang w:val="lt-LT" w:eastAsia="en-IE"/>
        </w:rPr>
        <w:t>064 sunkiomis kraujagyslių ligomis (SKL) (apibrėžiama kaip mirtina išeminė širdies liga, nemirtinas miokardo infarktas, vainikinių kraujagyslių revaskuliarizacijos procedūra, nemirtinas arba mirtinas insultas, ar periferinių kraujagyslių revaskuliarizacijos procedūra) sergančių ligonių, praeityje sirgusių miokardo infarktu. Nenustatyta reikšmingo skirtumo tarp SKL dažnumo dviejose grupėse; 20 mg simvastatino dozės grupė (n=1</w:t>
      </w:r>
      <w:r w:rsidR="008A30E0">
        <w:rPr>
          <w:rFonts w:ascii="Times New Roman" w:eastAsia="Times New Roman" w:hAnsi="Times New Roman" w:cs="Times New Roman"/>
          <w:spacing w:val="-3"/>
          <w:lang w:val="lt-LT" w:eastAsia="en-IE"/>
        </w:rPr>
        <w:t> </w:t>
      </w:r>
      <w:r w:rsidRPr="00A762B5">
        <w:rPr>
          <w:rFonts w:ascii="Times New Roman" w:eastAsia="Times New Roman" w:hAnsi="Times New Roman" w:cs="Times New Roman"/>
          <w:spacing w:val="-3"/>
          <w:lang w:val="lt-LT" w:eastAsia="en-IE"/>
        </w:rPr>
        <w:t>553; 25,7 %) palyginta su 80 mg simvastatino dozės grupe (n=1</w:t>
      </w:r>
      <w:r w:rsidR="008A30E0">
        <w:rPr>
          <w:rFonts w:ascii="Times New Roman" w:eastAsia="Times New Roman" w:hAnsi="Times New Roman" w:cs="Times New Roman"/>
          <w:spacing w:val="-3"/>
          <w:lang w:val="lt-LT" w:eastAsia="en-IE"/>
        </w:rPr>
        <w:t> </w:t>
      </w:r>
      <w:r w:rsidRPr="00A762B5">
        <w:rPr>
          <w:rFonts w:ascii="Times New Roman" w:eastAsia="Times New Roman" w:hAnsi="Times New Roman" w:cs="Times New Roman"/>
          <w:spacing w:val="-3"/>
          <w:lang w:val="lt-LT" w:eastAsia="en-IE"/>
        </w:rPr>
        <w:t>477; 24,5 %); santykinė rizika 0,94; 95 % pasikliautinasis intervalas nuo 0,88 iki 1,01. Absoliutusis skirtumas, vertinant MTL-C tarp abiejų grupių per visą tyrimą, buvo 0,35±0,01 mmol/l. Saugumo profiliai panašūs abiejose tiriamųjų grupėse, tik miopatijos dažnumas buvo maždaug 1,0 % 80 mg simvastatino dozę vartojusiųjų grupėje, lyginant su 0,02 % pacientų, vartojusių 20 mg dozę. Apytikriai pusė šių miopatijos atvejų pasireiškė per pirmuosius gydymo metus. Miopatijos dažnumas per kiekvienus paskesnius gydymo metus buvo apytikriai 0,1 %.</w:t>
      </w:r>
    </w:p>
    <w:p w14:paraId="0225C72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E55E853"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Pirminė hipercholesterolemija ir kombinuotoji hiperlipidemija</w:t>
      </w:r>
    </w:p>
    <w:p w14:paraId="40BEAB1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Klinikinių tyrimų, kuriuose dalyvavo pacientai, sergantys hipercholesterolemija, metu buvo lygintas 10, 20, 40 ir 80 mg simvastatino paros dozės veiksmingumas ir saugumas. Nustatyta, kad MTL cholesterolio kiekis vidutiniškai sumažėjo atitinkamai 30 %, 38 %, 41 % ir 47 %. Tyrimų, kuriose dalyvavo pacientai, sergantys kombinuotąja hiperlipidemija, metu nustatyta, kad pacientams, kurie vartojo 40 mg arba 80 mg simvastatino paros dozę, trigliceridų kiekis plazmoje sumažėjo vidutiniškai atitinkamai 28 % ir 33 % (placebo grupėje 2 %), DTL cholesterolio kiekis vidutiniškai padidėjo atitinkamai 13 % ir 16 % (placebo grupėje 3 %).</w:t>
      </w:r>
    </w:p>
    <w:p w14:paraId="6DB69AB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1599CD9" w14:textId="77777777" w:rsidR="00A762B5" w:rsidRPr="00A762B5" w:rsidRDefault="00A762B5" w:rsidP="00A762B5">
      <w:pPr>
        <w:widowControl w:val="0"/>
        <w:spacing w:after="0" w:line="240" w:lineRule="auto"/>
        <w:ind w:right="-57"/>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Vaikų populiacija</w:t>
      </w:r>
    </w:p>
    <w:p w14:paraId="35E2DFD0" w14:textId="610091EE" w:rsidR="00A762B5" w:rsidRPr="00A762B5" w:rsidRDefault="00A762B5" w:rsidP="00A762B5">
      <w:pPr>
        <w:widowControl w:val="0"/>
        <w:spacing w:after="0" w:line="240" w:lineRule="auto"/>
        <w:ind w:right="-5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Dvigubai aklame, placebu kontroliuojamame tyrime dalyvavo 175 pacientai (99 II ir aukštesnės Tanerio vystymosi stadijos paaugliai berniukai ir 76 mergaitės, kurioms mėnesinės prasidėjo bent prieš metus) 10</w:t>
      </w:r>
      <w:r w:rsidRPr="00A762B5">
        <w:rPr>
          <w:rFonts w:ascii="Times New Roman" w:eastAsia="Calibri" w:hAnsi="Times New Roman" w:cs="Times New Roman"/>
          <w:lang w:val="lt-LT" w:eastAsia="lt-LT"/>
        </w:rPr>
        <w:noBreakHyphen/>
        <w:t>17 metų amžiaus (vidutinis amžius 14,1 metai) su heterozigotine šeimine hipercholesterolemija (</w:t>
      </w:r>
      <w:r w:rsidR="00DD1C34" w:rsidRPr="00DD1C34">
        <w:rPr>
          <w:rFonts w:ascii="Times New Roman" w:eastAsia="Calibri" w:hAnsi="Times New Roman" w:cs="Times New Roman"/>
          <w:lang w:val="lt-LT" w:eastAsia="lt-LT"/>
        </w:rPr>
        <w:t>heFH</w:t>
      </w:r>
      <w:r w:rsidRPr="00A762B5">
        <w:rPr>
          <w:rFonts w:ascii="Times New Roman" w:eastAsia="Calibri" w:hAnsi="Times New Roman" w:cs="Times New Roman"/>
          <w:lang w:val="lt-LT" w:eastAsia="lt-LT"/>
        </w:rPr>
        <w:t xml:space="preserve">) buvo atsitiktinai išrenkami ir gydomi 24 savaites simvastatinu ar placebu (pagrindinė studija). Į tyrimą buvo įtraukiami tie pacientai, kurių lipoproteininio mažo tankio cholesterolio kiekis buvo tarp 160 ir 400 mg/dl ir bent vieno iš tėvų LDL-C kiekis &gt;189 mg/dl. Pirmas 8 savaites simvastatino dozė (vieną kartą per </w:t>
      </w:r>
      <w:r w:rsidR="002B2821">
        <w:rPr>
          <w:rFonts w:ascii="Times New Roman" w:eastAsia="Calibri" w:hAnsi="Times New Roman" w:cs="Times New Roman"/>
          <w:lang w:val="lt-LT" w:eastAsia="lt-LT"/>
        </w:rPr>
        <w:t>parą</w:t>
      </w:r>
      <w:r w:rsidRPr="00A762B5">
        <w:rPr>
          <w:rFonts w:ascii="Times New Roman" w:eastAsia="Calibri" w:hAnsi="Times New Roman" w:cs="Times New Roman"/>
          <w:lang w:val="lt-LT" w:eastAsia="lt-LT"/>
        </w:rPr>
        <w:t xml:space="preserve">, vakare) buvo 10 mg, kitas 8 savaites – 20 mg ir </w:t>
      </w:r>
      <w:r w:rsidRPr="00A762B5">
        <w:rPr>
          <w:rFonts w:ascii="Times New Roman" w:eastAsia="Calibri" w:hAnsi="Times New Roman" w:cs="Times New Roman"/>
          <w:lang w:val="lt-LT" w:eastAsia="lt-LT"/>
        </w:rPr>
        <w:lastRenderedPageBreak/>
        <w:t>galiausiai 40 mg. Po 24 savaičių 144 pacientai buvo atrinkti tęsti gydymą ir vartojo 40 mg simvastatino ar placebą.</w:t>
      </w:r>
    </w:p>
    <w:p w14:paraId="5BB10421" w14:textId="77777777" w:rsidR="00A762B5" w:rsidRPr="00A762B5" w:rsidRDefault="00A762B5" w:rsidP="00A762B5">
      <w:pPr>
        <w:widowControl w:val="0"/>
        <w:spacing w:after="0" w:line="240" w:lineRule="auto"/>
        <w:ind w:right="-57"/>
        <w:contextualSpacing/>
        <w:rPr>
          <w:rFonts w:ascii="Times New Roman" w:eastAsia="Calibri" w:hAnsi="Times New Roman" w:cs="Times New Roman"/>
          <w:lang w:val="lt-LT" w:eastAsia="lt-LT"/>
        </w:rPr>
      </w:pPr>
    </w:p>
    <w:p w14:paraId="30F85076" w14:textId="77777777" w:rsidR="00A762B5" w:rsidRPr="00A762B5" w:rsidRDefault="00A762B5" w:rsidP="00A762B5">
      <w:pPr>
        <w:widowControl w:val="0"/>
        <w:spacing w:after="0" w:line="240" w:lineRule="auto"/>
        <w:ind w:right="-5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Simvastatinas ženkliai sumažino LDL-C, TG ir Apo B kiekius plazmoje. Rezultatai, gauti pratęsus tyrimą 48 savaites, buvo lyginami su rezultatais, nustatytais pagrindinio tyrimo metu. Po 24 savaičių gydymo, vidutinė pasiekta LDL-C reikšmė buvo 124, 9 mg/dl (ribos: 64,0</w:t>
      </w:r>
      <w:r w:rsidRPr="00A762B5">
        <w:rPr>
          <w:rFonts w:ascii="Times New Roman" w:eastAsia="Calibri" w:hAnsi="Times New Roman" w:cs="Times New Roman"/>
          <w:lang w:val="lt-LT" w:eastAsia="lt-LT"/>
        </w:rPr>
        <w:noBreakHyphen/>
        <w:t>289,0 mg/dl) grupėje, gydytoje 40 mg simvastatino. Placebo grupėje reikšmė buvo 207,8 mg/dl (ribos: 128,0</w:t>
      </w:r>
      <w:r w:rsidRPr="00A762B5">
        <w:rPr>
          <w:rFonts w:ascii="Times New Roman" w:eastAsia="Calibri" w:hAnsi="Times New Roman" w:cs="Times New Roman"/>
          <w:lang w:val="lt-LT" w:eastAsia="lt-LT"/>
        </w:rPr>
        <w:noBreakHyphen/>
        <w:t>334,0).</w:t>
      </w:r>
    </w:p>
    <w:p w14:paraId="41339CFA" w14:textId="77777777" w:rsidR="00A762B5" w:rsidRPr="00A762B5" w:rsidRDefault="00A762B5" w:rsidP="00A762B5">
      <w:pPr>
        <w:widowControl w:val="0"/>
        <w:spacing w:after="0" w:line="240" w:lineRule="auto"/>
        <w:ind w:right="-57"/>
        <w:contextualSpacing/>
        <w:rPr>
          <w:rFonts w:ascii="Times New Roman" w:eastAsia="Calibri" w:hAnsi="Times New Roman" w:cs="Times New Roman"/>
          <w:lang w:val="lt-LT" w:eastAsia="lt-LT"/>
        </w:rPr>
      </w:pPr>
    </w:p>
    <w:p w14:paraId="741A020D" w14:textId="77777777" w:rsidR="00A762B5" w:rsidRPr="00A762B5" w:rsidRDefault="00A762B5" w:rsidP="00A762B5">
      <w:pPr>
        <w:widowControl w:val="0"/>
        <w:spacing w:after="0" w:line="240" w:lineRule="auto"/>
        <w:ind w:right="-5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Po 24 savaičių gydymo simvastatinu (dozę didinant nuo 10 mg iki 40 mg per parą, kas 8 savaites), simvastatinas vidutiniškai sumažino LDL-C iki 36,8 % (placebas: 1,1 % padidėjo nuo pradinės vertės), Apo B iki 32,4 % (placebas: 0,5 %) ir vidutiniškai TG lygį iki 7,9 % (placebas: 3,2 %) ir padidino vidutiniškai iki 8,3 % HDL-C lygį (placebas: 3,6 %). Ilgalaikė gydymo simvastatinu nauda širdies ir kraujagyslių sutrikimams vaikams su heterozigotine šeimine hipercholesterolemija yra nežinoma.</w:t>
      </w:r>
    </w:p>
    <w:p w14:paraId="24CDA7C2" w14:textId="77777777" w:rsidR="00A762B5" w:rsidRPr="00A762B5" w:rsidRDefault="00A762B5" w:rsidP="00A762B5">
      <w:pPr>
        <w:widowControl w:val="0"/>
        <w:spacing w:after="0" w:line="240" w:lineRule="auto"/>
        <w:ind w:right="-5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Saugumas ir efektyvumas gydant didesnėmis kaip 40 mg per parą dozėmis nebuvo ištirtas vaikams su heterozigotine šeimine hipercholesterolemija. Ilgo gydymo simvastatinu efektyvumas sumažinant sergamumą vaikystėje ir mirtingumą suaugus nebuvo nustatytas.</w:t>
      </w:r>
    </w:p>
    <w:p w14:paraId="00A97AD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0DA813F"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5.2</w:t>
      </w:r>
      <w:r w:rsidRPr="00A762B5">
        <w:rPr>
          <w:rFonts w:ascii="Times New Roman" w:eastAsia="Calibri" w:hAnsi="Times New Roman" w:cs="Times New Roman"/>
          <w:b/>
          <w:lang w:val="lt-LT" w:eastAsia="lt-LT"/>
        </w:rPr>
        <w:tab/>
        <w:t>Farmakokinetinės savybės</w:t>
      </w:r>
    </w:p>
    <w:p w14:paraId="599CFA0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63076A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Simvastatinas yra neaktyvus laktonas, kurį organizmas greitai hidrolizuoja iki atitinkamos beta hidroksirūgšties, labai aktyvaus HMG kofermento A reduktazės inhibitoriaus. Hidrolizė daugiausia vyksta kepenyse, žmogaus kraujo plazmoje hidrolizės greitis yra labai mažas.</w:t>
      </w:r>
    </w:p>
    <w:p w14:paraId="3C43E3C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386AC6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Farmakokinetinės savybės nustatytos suaugusiesiems. Farmakokinetinių duomenų apie vaikus ir paauglius nėra.</w:t>
      </w:r>
    </w:p>
    <w:p w14:paraId="3090B41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A5A0444"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Absorbcija</w:t>
      </w:r>
    </w:p>
    <w:p w14:paraId="2A626EB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Simvastatinas gerai absorbuojamas iš žmogaus virškinimo trakto. Didelė absorbuotos dozės dalis suskaldoma pirmojo prasiskverbimo per kepenis metu. Vaistinio preparato metabolizmas kepenyse priklauso nuo šio organo kraujotakos. Kepenys yra pagrindinė aktyvios vaistinio preparato formos veikimo vieta. Aktyvi simvastatino forma, t. y. beta hidroksirūgštis, sisteminėje kraujotakoje atitinka mažiau nei 5 % išgertos dozės. Išgėrus vaistinio preparato, didžiausia aktyvaus inhibitoriaus koncentracija kraujo plazmoje atsiranda po 1</w:t>
      </w:r>
      <w:r w:rsidRPr="00A762B5">
        <w:rPr>
          <w:rFonts w:ascii="Times New Roman" w:eastAsia="Calibri" w:hAnsi="Times New Roman" w:cs="Times New Roman"/>
          <w:lang w:val="lt-LT" w:eastAsia="lt-LT"/>
        </w:rPr>
        <w:noBreakHyphen/>
        <w:t>2 valandų. Kartu vartojamas maistas vaistinio preparato absorbcijai įtakos nedaro.</w:t>
      </w:r>
    </w:p>
    <w:p w14:paraId="1D3EE77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Vienkartinės ir daugkartinės simvastatino dozės farmakokinetika rodo, kad vaistinis preparatas, vartojamas daugkartinėmis dozėmis, organizme nesikaupia.</w:t>
      </w:r>
    </w:p>
    <w:p w14:paraId="1142401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5A13188"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Pasiskirstymas</w:t>
      </w:r>
    </w:p>
    <w:p w14:paraId="03F6085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Prie žmogaus kraujo plazmos baltymų prisijungia daugiau kaip 95 % simvastatino ir jo aktyvaus metabolito.</w:t>
      </w:r>
    </w:p>
    <w:p w14:paraId="10AA0A6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65EF33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Eliminacija</w:t>
      </w:r>
      <w:r w:rsidRPr="00A762B5">
        <w:rPr>
          <w:rFonts w:ascii="Times New Roman" w:eastAsia="Calibri" w:hAnsi="Times New Roman" w:cs="Times New Roman"/>
          <w:lang w:val="lt-LT" w:eastAsia="lt-LT"/>
        </w:rPr>
        <w:br/>
        <w:t xml:space="preserve">Simvastatinas aktyviai pernešamas pernešėju OATP1B1 į hepatocitus. </w:t>
      </w:r>
    </w:p>
    <w:p w14:paraId="63A5ED0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Simvastatinas yra BCRP išsiurbimo nešiklio substratas.</w:t>
      </w:r>
    </w:p>
    <w:p w14:paraId="6F833A7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Simvastatinas yra CYP3A4 substratas (žr. 4.3 ir 4.5 skyrių). Žmogaus kraujo plazmoje yra pagrindinis simvastatino metabolitas beta hidroksirūgštis ir dar 4 veiklūs metabolitai.</w:t>
      </w:r>
    </w:p>
    <w:p w14:paraId="18681E3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Žmogui išgėrus radioaktyviu atomu žymėto simvastatino, per 96 valandas 13 % radioaktyviųjų medžiagų išsiskyrė su šlapimu, 60 % - su išmatomis. Išmatose esantis kiekis atitinka absorbuotos ir po to išsiskyrusios su tulžimi bei neabsorbuotos medžiagos kiekį. Sušvirkšto į veną metabolito (beta hidroksirūgšties) pusinė eliminacija trunka 1,9 valandos. Tik 0,3 % sušvirkštos į veną dozės išsiskyrė su šlapimu inhibitoriaus pavidalu.</w:t>
      </w:r>
    </w:p>
    <w:p w14:paraId="6D5CC6A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B3CD85F" w14:textId="77777777" w:rsidR="00A762B5" w:rsidRDefault="00A762B5" w:rsidP="00A762B5">
      <w:pPr>
        <w:spacing w:after="0" w:line="240" w:lineRule="auto"/>
        <w:contextualSpacing/>
        <w:rPr>
          <w:rFonts w:ascii="Times New Roman" w:eastAsia="Calibri" w:hAnsi="Times New Roman" w:cs="Times New Roman"/>
          <w:u w:val="single"/>
          <w:lang w:val="lt-LT" w:eastAsia="lt-LT"/>
        </w:rPr>
      </w:pPr>
      <w:r w:rsidRPr="004B099D">
        <w:rPr>
          <w:rFonts w:ascii="Times New Roman" w:eastAsia="Calibri" w:hAnsi="Times New Roman" w:cs="Times New Roman"/>
          <w:u w:val="single"/>
          <w:lang w:val="lt-LT" w:eastAsia="lt-LT"/>
        </w:rPr>
        <w:t xml:space="preserve">Ypatingos populiacijos </w:t>
      </w:r>
    </w:p>
    <w:p w14:paraId="08456BE3" w14:textId="77777777" w:rsidR="004B099D" w:rsidRPr="004B099D" w:rsidRDefault="004B099D" w:rsidP="00A762B5">
      <w:pPr>
        <w:spacing w:after="0" w:line="240" w:lineRule="auto"/>
        <w:contextualSpacing/>
        <w:rPr>
          <w:rFonts w:ascii="Times New Roman" w:eastAsia="Calibri" w:hAnsi="Times New Roman" w:cs="Times New Roman"/>
          <w:u w:val="single"/>
          <w:lang w:val="lt-LT" w:eastAsia="lt-LT"/>
        </w:rPr>
      </w:pPr>
    </w:p>
    <w:p w14:paraId="6A489FDB"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SLCO1B1 polimorfizmas</w:t>
      </w:r>
    </w:p>
    <w:p w14:paraId="7F297DD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Pacientų, kurie yra SLCO1B1 geno alelio (c.521T&gt;C), nešiotojai, OATP1B1 aktyvumas yra mažesnis. Pagrindinio aktyvaus metabolito, t. y. simvastatino rūgšties, vidutinis AUC heterozigotiniams C alelio </w:t>
      </w:r>
      <w:r w:rsidRPr="00A762B5">
        <w:rPr>
          <w:rFonts w:ascii="Times New Roman" w:eastAsia="Calibri" w:hAnsi="Times New Roman" w:cs="Times New Roman"/>
          <w:lang w:val="lt-LT" w:eastAsia="lt-LT"/>
        </w:rPr>
        <w:lastRenderedPageBreak/>
        <w:t>nešiotojams (CT) yra 120 % ir 221 % homozigotiniams (CC) nešiotojams, palyginti su šiuo rodmeniu pacientams, kurie turi dažniausiai pasitaikantį genotipą (TT). C alelio dažnis europiečių populiacijoje yra 18 %. Pacientams, kuriems yra SLCO1B1 polimorfizmas, yra didesnės simvastatino ekspozicijos rizika, kuri gali vesti prie didesnės rabdomiolizės rizikos (žr. 4.4 skyrių).</w:t>
      </w:r>
    </w:p>
    <w:p w14:paraId="75CD361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CA0BE6F"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5.3</w:t>
      </w:r>
      <w:r w:rsidRPr="00A762B5">
        <w:rPr>
          <w:rFonts w:ascii="Times New Roman" w:eastAsia="Calibri" w:hAnsi="Times New Roman" w:cs="Times New Roman"/>
          <w:b/>
          <w:lang w:val="lt-LT" w:eastAsia="lt-LT"/>
        </w:rPr>
        <w:tab/>
        <w:t>Ikiklinikinių saugumo tyrimų duomenys</w:t>
      </w:r>
    </w:p>
    <w:p w14:paraId="1DB69D7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1C2A7DC" w14:textId="77777777" w:rsidR="00A762B5" w:rsidRPr="00A762B5" w:rsidRDefault="00A762B5" w:rsidP="00A762B5">
      <w:pPr>
        <w:spacing w:after="0" w:line="240" w:lineRule="auto"/>
        <w:contextualSpacing/>
        <w:rPr>
          <w:rFonts w:ascii="Times New Roman" w:eastAsia="Arial Unicode MS" w:hAnsi="Times New Roman" w:cs="Times New Roman"/>
          <w:lang w:val="lt-LT" w:eastAsia="lt-LT"/>
        </w:rPr>
      </w:pPr>
      <w:r w:rsidRPr="00A762B5">
        <w:rPr>
          <w:rFonts w:ascii="Times New Roman" w:eastAsia="Calibri" w:hAnsi="Times New Roman" w:cs="Times New Roman"/>
          <w:lang w:val="lt-LT" w:eastAsia="lt-LT"/>
        </w:rPr>
        <w:t>Įprastinių ikiklinikinių farmakodinaminio poveikio, toksinio kartotinių dozių poveikio, genotoksinio bei kancerogeninio poveikio tyrimų su gyvūnais duomenimis, vaistinis preparatas kitokios, negu galima tikėtis atsižvelgiant į farmakologinį poveikį, rizikos žmogui nekelia. Didžiausia žiurkių ir triušių toleruojama simvastatino dozė nesukelia vaisiaus raidos defektų, neturėjo poveikio vaisingumui, dauginimosi funkcijai ir jauniklių vystymuisi.</w:t>
      </w:r>
    </w:p>
    <w:p w14:paraId="23AE520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18EA03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7A5CA4F"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6.</w:t>
      </w:r>
      <w:r w:rsidRPr="00A762B5">
        <w:rPr>
          <w:rFonts w:ascii="Times New Roman" w:eastAsia="Calibri" w:hAnsi="Times New Roman" w:cs="Times New Roman"/>
          <w:b/>
          <w:lang w:val="lt-LT" w:eastAsia="lt-LT"/>
        </w:rPr>
        <w:tab/>
        <w:t>FARMACINĖ INFORMACIJA</w:t>
      </w:r>
    </w:p>
    <w:p w14:paraId="7E4EE846"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p>
    <w:p w14:paraId="3431D2BF"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6.1</w:t>
      </w:r>
      <w:r w:rsidRPr="00A762B5">
        <w:rPr>
          <w:rFonts w:ascii="Times New Roman" w:eastAsia="Calibri" w:hAnsi="Times New Roman" w:cs="Times New Roman"/>
          <w:b/>
          <w:lang w:val="lt-LT" w:eastAsia="lt-LT"/>
        </w:rPr>
        <w:tab/>
        <w:t>Pagalbinių medžiagų sąrašas</w:t>
      </w:r>
    </w:p>
    <w:p w14:paraId="766EB30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FD775AE"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Tabletės branduolys</w:t>
      </w:r>
    </w:p>
    <w:p w14:paraId="57CA4F2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Pregelifikuotas kukurūzų krakmolas</w:t>
      </w:r>
    </w:p>
    <w:p w14:paraId="074C6FA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Laktozė monohidratas</w:t>
      </w:r>
    </w:p>
    <w:p w14:paraId="1A65232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Mikrokristalinė celiuliozė</w:t>
      </w:r>
    </w:p>
    <w:p w14:paraId="35017651" w14:textId="41969EBE"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Butilhidroksianizolas (E</w:t>
      </w:r>
      <w:r w:rsidR="002133C5">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320)</w:t>
      </w:r>
    </w:p>
    <w:p w14:paraId="1424C64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Askorbo rūgštis (tik Simvacor 10 mg)</w:t>
      </w:r>
    </w:p>
    <w:p w14:paraId="61D7B59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Citrinų rūgštis monohidratas</w:t>
      </w:r>
    </w:p>
    <w:p w14:paraId="2B5E17E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Magnio stearatas</w:t>
      </w:r>
    </w:p>
    <w:p w14:paraId="53C6EB27"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p>
    <w:p w14:paraId="11381DE6"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Tabletės plėvelė</w:t>
      </w:r>
    </w:p>
    <w:p w14:paraId="30DFB52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Hipromeliozė</w:t>
      </w:r>
    </w:p>
    <w:p w14:paraId="113586A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Talkas</w:t>
      </w:r>
    </w:p>
    <w:p w14:paraId="4D7B0384" w14:textId="59794895"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Titano dioksidas (E</w:t>
      </w:r>
      <w:r w:rsidR="002133C5">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171)</w:t>
      </w:r>
    </w:p>
    <w:p w14:paraId="0342B2CD" w14:textId="6A665F36"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Raudonasis geležies oksidas (E</w:t>
      </w:r>
      <w:r w:rsidR="002133C5">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172)</w:t>
      </w:r>
    </w:p>
    <w:p w14:paraId="30D21FC4" w14:textId="35320F82"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Geltonasis geležies oksidas (E</w:t>
      </w:r>
      <w:r w:rsidR="002133C5">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172)</w:t>
      </w:r>
    </w:p>
    <w:p w14:paraId="08196C0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2517659"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6.2</w:t>
      </w:r>
      <w:r w:rsidRPr="00A762B5">
        <w:rPr>
          <w:rFonts w:ascii="Times New Roman" w:eastAsia="Calibri" w:hAnsi="Times New Roman" w:cs="Times New Roman"/>
          <w:b/>
          <w:lang w:val="lt-LT" w:eastAsia="lt-LT"/>
        </w:rPr>
        <w:tab/>
        <w:t>Nesuderinamumas</w:t>
      </w:r>
    </w:p>
    <w:p w14:paraId="1A36043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54C30DC"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Duomenys nebūtini.</w:t>
      </w:r>
    </w:p>
    <w:p w14:paraId="76FB25F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BEC377E"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6.3</w:t>
      </w:r>
      <w:r w:rsidRPr="00A762B5">
        <w:rPr>
          <w:rFonts w:ascii="Times New Roman" w:eastAsia="Calibri" w:hAnsi="Times New Roman" w:cs="Times New Roman"/>
          <w:b/>
          <w:lang w:val="lt-LT" w:eastAsia="lt-LT"/>
        </w:rPr>
        <w:tab/>
        <w:t>Tinkamumo laikas</w:t>
      </w:r>
    </w:p>
    <w:p w14:paraId="5019B09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499810F" w14:textId="1E77CE66"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3</w:t>
      </w:r>
      <w:r w:rsidR="002133C5">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metai.</w:t>
      </w:r>
    </w:p>
    <w:p w14:paraId="0FF8BFE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4E66472"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6.4</w:t>
      </w:r>
      <w:r w:rsidRPr="00A762B5">
        <w:rPr>
          <w:rFonts w:ascii="Times New Roman" w:eastAsia="Calibri" w:hAnsi="Times New Roman" w:cs="Times New Roman"/>
          <w:b/>
          <w:lang w:val="lt-LT" w:eastAsia="lt-LT"/>
        </w:rPr>
        <w:tab/>
        <w:t>Specialios laikymo sąlygos</w:t>
      </w:r>
    </w:p>
    <w:p w14:paraId="25A8425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30667D6"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ne aukštesnėje kaip 30 </w:t>
      </w:r>
      <w:r w:rsidRPr="00A762B5">
        <w:rPr>
          <w:rFonts w:ascii="Times New Roman" w:eastAsia="Calibri" w:hAnsi="Times New Roman" w:cs="Times New Roman"/>
          <w:lang w:val="lt-LT" w:eastAsia="lt-LT"/>
        </w:rPr>
        <w:sym w:font="Symbol" w:char="F0B0"/>
      </w:r>
      <w:r w:rsidRPr="00A762B5">
        <w:rPr>
          <w:rFonts w:ascii="Times New Roman" w:eastAsia="Calibri" w:hAnsi="Times New Roman" w:cs="Times New Roman"/>
          <w:lang w:val="lt-LT" w:eastAsia="lt-LT"/>
        </w:rPr>
        <w:t>C temperatūroje.</w:t>
      </w:r>
    </w:p>
    <w:p w14:paraId="67CA613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gamintojo pakuotėje, kad vaistinis preparatas būtų apsaugotas nuo šviesos.</w:t>
      </w:r>
    </w:p>
    <w:p w14:paraId="5A00916F" w14:textId="77777777" w:rsidR="00A762B5" w:rsidRPr="00A762B5" w:rsidRDefault="00A762B5" w:rsidP="00A762B5">
      <w:pPr>
        <w:spacing w:after="0" w:line="240" w:lineRule="auto"/>
        <w:contextualSpacing/>
        <w:rPr>
          <w:rFonts w:ascii="Times New Roman" w:eastAsia="Calibri" w:hAnsi="Times New Roman" w:cs="Times New Roman"/>
          <w:i/>
          <w:iCs/>
          <w:lang w:val="lt-LT" w:eastAsia="lt-LT"/>
        </w:rPr>
      </w:pPr>
    </w:p>
    <w:p w14:paraId="62D84556"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6.5</w:t>
      </w:r>
      <w:r w:rsidRPr="00A762B5">
        <w:rPr>
          <w:rFonts w:ascii="Times New Roman" w:eastAsia="Calibri" w:hAnsi="Times New Roman" w:cs="Times New Roman"/>
          <w:b/>
          <w:lang w:val="lt-LT" w:eastAsia="lt-LT"/>
        </w:rPr>
        <w:tab/>
        <w:t>Talpyklės pobūdis ir jos turinys</w:t>
      </w:r>
    </w:p>
    <w:p w14:paraId="1DE8D14E" w14:textId="77777777" w:rsidR="00A762B5" w:rsidRPr="00A762B5" w:rsidRDefault="00A762B5" w:rsidP="00A762B5">
      <w:pPr>
        <w:spacing w:after="0" w:line="240" w:lineRule="auto"/>
        <w:contextualSpacing/>
        <w:rPr>
          <w:rFonts w:ascii="Times New Roman" w:eastAsia="Calibri" w:hAnsi="Times New Roman" w:cs="Times New Roman"/>
          <w:i/>
          <w:iCs/>
          <w:lang w:val="lt-LT" w:eastAsia="lt-LT"/>
        </w:rPr>
      </w:pPr>
    </w:p>
    <w:p w14:paraId="07B267B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Aliuminio/PVC </w:t>
      </w:r>
      <w:r w:rsidRPr="00A762B5">
        <w:rPr>
          <w:rFonts w:ascii="Times New Roman" w:eastAsia="Calibri" w:hAnsi="Times New Roman" w:cs="Times New Roman"/>
          <w:iCs/>
          <w:lang w:val="lt-LT" w:eastAsia="lt-LT"/>
        </w:rPr>
        <w:t>lizdinės plokštelės</w:t>
      </w:r>
    </w:p>
    <w:p w14:paraId="6242A5A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Kartono dėžutėje yra 30 plėvele dengtų tablečių.</w:t>
      </w:r>
    </w:p>
    <w:p w14:paraId="31DA22BB"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p>
    <w:p w14:paraId="18732DB6" w14:textId="77777777" w:rsidR="00A762B5" w:rsidRPr="00A762B5" w:rsidRDefault="00A762B5" w:rsidP="00A762B5">
      <w:pPr>
        <w:keepNext/>
        <w:spacing w:after="0" w:line="240" w:lineRule="auto"/>
        <w:ind w:left="540" w:hanging="540"/>
        <w:contextualSpacing/>
        <w:outlineLvl w:val="2"/>
        <w:rPr>
          <w:rFonts w:ascii="Times New Roman" w:eastAsia="Calibri" w:hAnsi="Times New Roman" w:cs="Times New Roman"/>
          <w:b/>
          <w:lang w:val="lt-LT" w:eastAsia="lt-LT"/>
        </w:rPr>
      </w:pPr>
      <w:bookmarkStart w:id="1" w:name="_Toc129243121"/>
      <w:bookmarkStart w:id="2" w:name="_Toc129243246"/>
      <w:r w:rsidRPr="00A762B5">
        <w:rPr>
          <w:rFonts w:ascii="Times New Roman" w:eastAsia="Calibri" w:hAnsi="Times New Roman" w:cs="Times New Roman"/>
          <w:b/>
          <w:lang w:val="lt-LT" w:eastAsia="lt-LT"/>
        </w:rPr>
        <w:t>6.6</w:t>
      </w:r>
      <w:r w:rsidRPr="00A762B5">
        <w:rPr>
          <w:rFonts w:ascii="Times New Roman" w:eastAsia="Calibri" w:hAnsi="Times New Roman" w:cs="Times New Roman"/>
          <w:b/>
          <w:lang w:val="lt-LT" w:eastAsia="lt-LT"/>
        </w:rPr>
        <w:tab/>
        <w:t>Specialūs atliekų tvarkymo reikalavimai</w:t>
      </w:r>
      <w:bookmarkEnd w:id="1"/>
      <w:bookmarkEnd w:id="2"/>
    </w:p>
    <w:p w14:paraId="15AD676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8657EF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Specialių reikalavimų nėra.</w:t>
      </w:r>
    </w:p>
    <w:p w14:paraId="28C39BD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Nesuvartotą vaistinį preparatą ar atliekas reikia tvarkyti laikantis vietinių reikalavimų.</w:t>
      </w:r>
    </w:p>
    <w:p w14:paraId="733DB0E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0B9C56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1D5B3CB"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b/>
          <w:lang w:val="lt-LT" w:eastAsia="lt-LT"/>
        </w:rPr>
      </w:pPr>
      <w:bookmarkStart w:id="3" w:name="_Toc129243122"/>
      <w:bookmarkStart w:id="4" w:name="_Toc129243247"/>
      <w:r w:rsidRPr="00A762B5">
        <w:rPr>
          <w:rFonts w:ascii="Times New Roman" w:eastAsia="Calibri" w:hAnsi="Times New Roman" w:cs="Times New Roman"/>
          <w:b/>
          <w:lang w:val="lt-LT" w:eastAsia="lt-LT"/>
        </w:rPr>
        <w:t>7.</w:t>
      </w:r>
      <w:r w:rsidRPr="00A762B5">
        <w:rPr>
          <w:rFonts w:ascii="Times New Roman" w:eastAsia="Calibri" w:hAnsi="Times New Roman" w:cs="Times New Roman"/>
          <w:b/>
          <w:lang w:val="lt-LT" w:eastAsia="lt-LT"/>
        </w:rPr>
        <w:tab/>
      </w:r>
      <w:bookmarkEnd w:id="3"/>
      <w:bookmarkEnd w:id="4"/>
      <w:r w:rsidRPr="00A762B5">
        <w:rPr>
          <w:rFonts w:ascii="Times New Roman" w:eastAsia="Calibri" w:hAnsi="Times New Roman" w:cs="Times New Roman"/>
          <w:b/>
          <w:lang w:val="lt-LT" w:eastAsia="lt-LT"/>
        </w:rPr>
        <w:t>REGISTRUOTOJAS</w:t>
      </w:r>
    </w:p>
    <w:p w14:paraId="4E5F23E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2F10E64" w14:textId="77777777" w:rsidR="00A762B5" w:rsidRPr="00A762B5" w:rsidRDefault="00A762B5" w:rsidP="00A762B5">
      <w:pPr>
        <w:widowControl w:val="0"/>
        <w:spacing w:after="0" w:line="240" w:lineRule="auto"/>
        <w:contextualSpacing/>
        <w:jc w:val="both"/>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HEXAL AG</w:t>
      </w:r>
    </w:p>
    <w:p w14:paraId="64C1D204" w14:textId="77777777" w:rsidR="00A762B5" w:rsidRPr="00A762B5" w:rsidRDefault="00A762B5" w:rsidP="00A762B5">
      <w:pPr>
        <w:widowControl w:val="0"/>
        <w:spacing w:after="0" w:line="240" w:lineRule="auto"/>
        <w:contextualSpacing/>
        <w:jc w:val="both"/>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Industriestraße 25</w:t>
      </w:r>
    </w:p>
    <w:p w14:paraId="7AA2CC6D" w14:textId="77777777" w:rsidR="00A762B5" w:rsidRPr="00A762B5" w:rsidRDefault="00A762B5" w:rsidP="00A762B5">
      <w:pPr>
        <w:widowControl w:val="0"/>
        <w:spacing w:after="0" w:line="240" w:lineRule="auto"/>
        <w:contextualSpacing/>
        <w:jc w:val="both"/>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83607 Holzkirchen</w:t>
      </w:r>
    </w:p>
    <w:p w14:paraId="52895DCB" w14:textId="77777777" w:rsidR="00A762B5" w:rsidRPr="00A762B5" w:rsidRDefault="00A762B5" w:rsidP="00A762B5">
      <w:pPr>
        <w:widowControl w:val="0"/>
        <w:spacing w:after="0" w:line="240" w:lineRule="auto"/>
        <w:contextualSpacing/>
        <w:jc w:val="both"/>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Vokietija</w:t>
      </w:r>
    </w:p>
    <w:p w14:paraId="7AE019A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245CF0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B23F69D"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b/>
          <w:lang w:val="lt-LT" w:eastAsia="lt-LT"/>
        </w:rPr>
      </w:pPr>
      <w:bookmarkStart w:id="5" w:name="_Toc129243123"/>
      <w:bookmarkStart w:id="6" w:name="_Toc129243248"/>
      <w:r w:rsidRPr="00A762B5">
        <w:rPr>
          <w:rFonts w:ascii="Times New Roman" w:eastAsia="Calibri" w:hAnsi="Times New Roman" w:cs="Times New Roman"/>
          <w:b/>
          <w:lang w:val="lt-LT" w:eastAsia="lt-LT"/>
        </w:rPr>
        <w:t>8.</w:t>
      </w:r>
      <w:r w:rsidRPr="00A762B5">
        <w:rPr>
          <w:rFonts w:ascii="Times New Roman" w:eastAsia="Calibri" w:hAnsi="Times New Roman" w:cs="Times New Roman"/>
          <w:b/>
          <w:lang w:val="lt-LT" w:eastAsia="lt-LT"/>
        </w:rPr>
        <w:tab/>
      </w:r>
      <w:r w:rsidRPr="00A762B5">
        <w:rPr>
          <w:rFonts w:ascii="Times New Roman" w:eastAsia="Times New Roman" w:hAnsi="Times New Roman" w:cs="Times New Roman"/>
          <w:b/>
          <w:lang w:val="lt-LT" w:eastAsia="lt-LT"/>
        </w:rPr>
        <w:t>REGISTRACIJOS</w:t>
      </w:r>
      <w:r w:rsidRPr="00A762B5">
        <w:rPr>
          <w:rFonts w:ascii="Times New Roman" w:eastAsia="Calibri" w:hAnsi="Times New Roman" w:cs="Times New Roman"/>
          <w:b/>
          <w:lang w:val="lt-LT" w:eastAsia="lt-LT"/>
        </w:rPr>
        <w:t xml:space="preserve"> PAŽYMĖJIMO NUMERIS</w:t>
      </w:r>
      <w:bookmarkEnd w:id="5"/>
      <w:bookmarkEnd w:id="6"/>
      <w:r w:rsidRPr="00A762B5">
        <w:rPr>
          <w:rFonts w:ascii="Times New Roman" w:eastAsia="Calibri" w:hAnsi="Times New Roman" w:cs="Times New Roman"/>
          <w:b/>
          <w:lang w:val="lt-LT" w:eastAsia="lt-LT"/>
        </w:rPr>
        <w:t xml:space="preserve"> (-IAI)</w:t>
      </w:r>
    </w:p>
    <w:p w14:paraId="3DB8D24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667FE8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10 mg - LT/1/02/2596/001</w:t>
      </w:r>
    </w:p>
    <w:p w14:paraId="0E9D64B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20 mg - LT/1/02/2596/002</w:t>
      </w:r>
    </w:p>
    <w:p w14:paraId="472E170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E35364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A6F8B51" w14:textId="77777777" w:rsidR="00A762B5" w:rsidRPr="00A762B5" w:rsidRDefault="00A762B5" w:rsidP="00A762B5">
      <w:pPr>
        <w:spacing w:after="0" w:line="240" w:lineRule="auto"/>
        <w:contextualSpacing/>
        <w:jc w:val="both"/>
        <w:rPr>
          <w:rFonts w:ascii="Times New Roman" w:eastAsia="Times New Roman" w:hAnsi="Times New Roman" w:cs="Times New Roman"/>
          <w:b/>
          <w:lang w:val="lt-LT"/>
        </w:rPr>
      </w:pPr>
      <w:bookmarkStart w:id="7" w:name="_Toc129243124"/>
      <w:bookmarkStart w:id="8" w:name="_Toc129243249"/>
      <w:r w:rsidRPr="00A762B5">
        <w:rPr>
          <w:rFonts w:ascii="Times New Roman" w:eastAsia="Calibri" w:hAnsi="Times New Roman" w:cs="Times New Roman"/>
          <w:b/>
          <w:lang w:val="lt-LT" w:eastAsia="lt-LT"/>
        </w:rPr>
        <w:t>9.</w:t>
      </w:r>
      <w:r w:rsidRPr="00A762B5">
        <w:rPr>
          <w:rFonts w:ascii="Times New Roman" w:eastAsia="Calibri" w:hAnsi="Times New Roman" w:cs="Times New Roman"/>
          <w:b/>
          <w:lang w:val="lt-LT" w:eastAsia="lt-LT"/>
        </w:rPr>
        <w:tab/>
      </w:r>
      <w:r w:rsidRPr="00A762B5">
        <w:rPr>
          <w:rFonts w:ascii="Times New Roman" w:eastAsia="Times New Roman" w:hAnsi="Times New Roman" w:cs="Times New Roman"/>
          <w:b/>
          <w:lang w:val="lt-LT"/>
        </w:rPr>
        <w:t xml:space="preserve">REGISTRAVIMO / PERREGISTRAVIMO </w:t>
      </w:r>
      <w:r w:rsidRPr="00A762B5">
        <w:rPr>
          <w:rFonts w:ascii="Times New Roman" w:eastAsia="Times New Roman" w:hAnsi="Times New Roman" w:cs="Times New Roman"/>
          <w:b/>
          <w:bCs/>
          <w:lang w:val="lt-LT"/>
        </w:rPr>
        <w:t>DATA</w:t>
      </w:r>
    </w:p>
    <w:p w14:paraId="5440A09B" w14:textId="77777777" w:rsidR="00A762B5" w:rsidRPr="00A762B5" w:rsidRDefault="00A762B5" w:rsidP="00A762B5">
      <w:pPr>
        <w:spacing w:after="0" w:line="240" w:lineRule="auto"/>
        <w:ind w:left="360"/>
        <w:contextualSpacing/>
        <w:jc w:val="both"/>
        <w:rPr>
          <w:rFonts w:ascii="Times New Roman" w:eastAsia="Times New Roman" w:hAnsi="Times New Roman" w:cs="Times New Roman"/>
          <w:lang w:val="lt-LT"/>
        </w:rPr>
      </w:pPr>
    </w:p>
    <w:p w14:paraId="4E5E2FA7"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lang w:val="lt-LT" w:eastAsia="lt-LT"/>
        </w:rPr>
      </w:pPr>
      <w:r w:rsidRPr="00A762B5">
        <w:rPr>
          <w:rFonts w:ascii="Times New Roman" w:eastAsia="Times New Roman" w:hAnsi="Times New Roman" w:cs="Times New Roman"/>
          <w:lang w:val="lt-LT"/>
        </w:rPr>
        <w:t>Registravimo data</w:t>
      </w:r>
      <w:r w:rsidRPr="00A762B5" w:rsidDel="00E63AF2">
        <w:rPr>
          <w:rFonts w:ascii="Times New Roman" w:eastAsia="Calibri" w:hAnsi="Times New Roman" w:cs="Times New Roman"/>
          <w:b/>
          <w:lang w:val="lt-LT" w:eastAsia="lt-LT"/>
        </w:rPr>
        <w:t xml:space="preserve"> </w:t>
      </w:r>
      <w:bookmarkEnd w:id="7"/>
      <w:bookmarkEnd w:id="8"/>
      <w:r w:rsidRPr="00A762B5">
        <w:rPr>
          <w:rFonts w:ascii="Times New Roman" w:eastAsia="Calibri" w:hAnsi="Times New Roman" w:cs="Times New Roman"/>
          <w:lang w:val="lt-LT" w:eastAsia="lt-LT"/>
        </w:rPr>
        <w:t>2002 m. liepos 10 d.</w:t>
      </w:r>
    </w:p>
    <w:p w14:paraId="0E56EF3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 xml:space="preserve">Paskutinio perregistravimo data </w:t>
      </w:r>
      <w:r w:rsidRPr="00A762B5">
        <w:rPr>
          <w:rFonts w:ascii="Times New Roman" w:eastAsia="Calibri" w:hAnsi="Times New Roman" w:cs="Times New Roman"/>
          <w:lang w:val="lt-LT" w:eastAsia="lt-LT"/>
        </w:rPr>
        <w:t>2011 m. rugsėjo 07 d.</w:t>
      </w:r>
    </w:p>
    <w:p w14:paraId="3824BB4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431242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C45B196" w14:textId="77777777" w:rsidR="00A762B5" w:rsidRPr="00A762B5" w:rsidRDefault="00A762B5" w:rsidP="00A762B5">
      <w:pPr>
        <w:keepNext/>
        <w:spacing w:after="0" w:line="240" w:lineRule="auto"/>
        <w:ind w:left="540" w:hanging="540"/>
        <w:contextualSpacing/>
        <w:outlineLvl w:val="1"/>
        <w:rPr>
          <w:rFonts w:ascii="Times New Roman" w:eastAsia="Calibri" w:hAnsi="Times New Roman" w:cs="Times New Roman"/>
          <w:b/>
          <w:lang w:val="lt-LT" w:eastAsia="lt-LT"/>
        </w:rPr>
      </w:pPr>
      <w:bookmarkStart w:id="9" w:name="_Toc129243125"/>
      <w:bookmarkStart w:id="10" w:name="_Toc129243250"/>
      <w:r w:rsidRPr="00A762B5">
        <w:rPr>
          <w:rFonts w:ascii="Times New Roman" w:eastAsia="Calibri" w:hAnsi="Times New Roman" w:cs="Times New Roman"/>
          <w:b/>
          <w:lang w:val="lt-LT" w:eastAsia="lt-LT"/>
        </w:rPr>
        <w:t>10.</w:t>
      </w:r>
      <w:r w:rsidRPr="00A762B5">
        <w:rPr>
          <w:rFonts w:ascii="Times New Roman" w:eastAsia="Calibri" w:hAnsi="Times New Roman" w:cs="Times New Roman"/>
          <w:b/>
          <w:lang w:val="lt-LT" w:eastAsia="lt-LT"/>
        </w:rPr>
        <w:tab/>
        <w:t>TEKSTO PERŽIŪROS DATA</w:t>
      </w:r>
      <w:bookmarkEnd w:id="9"/>
      <w:bookmarkEnd w:id="10"/>
      <w:r w:rsidRPr="00A762B5">
        <w:rPr>
          <w:rFonts w:ascii="Times New Roman" w:eastAsia="Calibri" w:hAnsi="Times New Roman" w:cs="Times New Roman"/>
          <w:b/>
          <w:lang w:val="lt-LT" w:eastAsia="lt-LT"/>
        </w:rPr>
        <w:t xml:space="preserve"> </w:t>
      </w:r>
    </w:p>
    <w:p w14:paraId="38BA75E0" w14:textId="77777777" w:rsidR="00A762B5" w:rsidRDefault="00A762B5" w:rsidP="00A762B5">
      <w:pPr>
        <w:tabs>
          <w:tab w:val="left" w:pos="5954"/>
          <w:tab w:val="left" w:pos="6237"/>
          <w:tab w:val="left" w:pos="6663"/>
          <w:tab w:val="left" w:pos="6946"/>
        </w:tabs>
        <w:spacing w:after="0" w:line="240" w:lineRule="auto"/>
        <w:contextualSpacing/>
        <w:rPr>
          <w:rFonts w:ascii="Times New Roman" w:eastAsia="Calibri" w:hAnsi="Times New Roman" w:cs="Times New Roman"/>
          <w:b/>
          <w:lang w:val="lt-LT" w:eastAsia="lt-LT"/>
        </w:rPr>
      </w:pPr>
    </w:p>
    <w:p w14:paraId="309944D1" w14:textId="7E86C40E" w:rsidR="00DF57F6" w:rsidRDefault="009B3C26" w:rsidP="00A762B5">
      <w:pPr>
        <w:tabs>
          <w:tab w:val="left" w:pos="5954"/>
          <w:tab w:val="left" w:pos="6237"/>
          <w:tab w:val="left" w:pos="6663"/>
          <w:tab w:val="left" w:pos="6946"/>
        </w:tabs>
        <w:spacing w:after="0" w:line="240" w:lineRule="auto"/>
        <w:contextualSpacing/>
        <w:rPr>
          <w:rFonts w:ascii="Times New Roman" w:eastAsia="SimSun" w:hAnsi="Times New Roman" w:cs="Times New Roman"/>
          <w:lang w:val="lt-LT"/>
        </w:rPr>
      </w:pPr>
      <w:r>
        <w:rPr>
          <w:rFonts w:ascii="Times New Roman" w:eastAsia="SimSun" w:hAnsi="Times New Roman" w:cs="Times New Roman"/>
          <w:lang w:val="lt-LT"/>
        </w:rPr>
        <w:t>2023 m. rugsėjo 13 d.</w:t>
      </w:r>
    </w:p>
    <w:p w14:paraId="040B2B2C" w14:textId="77777777" w:rsidR="00DF57F6" w:rsidRPr="00A762B5" w:rsidRDefault="00DF57F6" w:rsidP="00A762B5">
      <w:pPr>
        <w:tabs>
          <w:tab w:val="left" w:pos="5954"/>
          <w:tab w:val="left" w:pos="6237"/>
          <w:tab w:val="left" w:pos="6663"/>
          <w:tab w:val="left" w:pos="6946"/>
        </w:tabs>
        <w:spacing w:after="0" w:line="240" w:lineRule="auto"/>
        <w:contextualSpacing/>
        <w:rPr>
          <w:rFonts w:ascii="Times New Roman" w:eastAsia="SimSun" w:hAnsi="Times New Roman" w:cs="Times New Roman"/>
          <w:lang w:val="lt-LT"/>
        </w:rPr>
      </w:pPr>
    </w:p>
    <w:p w14:paraId="3C0614A8" w14:textId="77777777" w:rsidR="00A762B5" w:rsidRPr="00A762B5" w:rsidRDefault="00A762B5" w:rsidP="00A762B5">
      <w:pPr>
        <w:tabs>
          <w:tab w:val="left" w:pos="5954"/>
          <w:tab w:val="left" w:pos="6237"/>
          <w:tab w:val="left" w:pos="6663"/>
          <w:tab w:val="left" w:pos="6946"/>
        </w:tabs>
        <w:spacing w:after="0" w:line="240" w:lineRule="auto"/>
        <w:contextualSpacing/>
        <w:rPr>
          <w:rFonts w:ascii="Times New Roman" w:eastAsia="SimSun" w:hAnsi="Times New Roman" w:cs="Times New Roman"/>
          <w:lang w:val="lt-LT"/>
        </w:rPr>
      </w:pPr>
      <w:r w:rsidRPr="00A762B5">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A762B5">
        <w:rPr>
          <w:rFonts w:ascii="Times New Roman" w:eastAsia="SimSun" w:hAnsi="Times New Roman" w:cs="Times New Roman"/>
          <w:i/>
          <w:lang w:val="lt-LT"/>
        </w:rPr>
        <w:t xml:space="preserve"> </w:t>
      </w:r>
      <w:hyperlink r:id="rId10" w:history="1">
        <w:r w:rsidRPr="00A762B5">
          <w:rPr>
            <w:rFonts w:ascii="Times New Roman" w:eastAsia="SimSun" w:hAnsi="Times New Roman" w:cs="Times New Roman"/>
            <w:color w:val="0000FF"/>
            <w:u w:val="single"/>
            <w:lang w:val="lt-LT"/>
          </w:rPr>
          <w:t>http://www.vvkt.lt</w:t>
        </w:r>
      </w:hyperlink>
    </w:p>
    <w:p w14:paraId="50534613" w14:textId="77777777" w:rsidR="00A762B5" w:rsidRPr="00A762B5" w:rsidRDefault="00A762B5" w:rsidP="00A762B5">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val="lt-LT"/>
        </w:rPr>
      </w:pPr>
    </w:p>
    <w:p w14:paraId="25B426F6" w14:textId="77777777" w:rsidR="00A762B5" w:rsidRPr="00A762B5" w:rsidRDefault="00A762B5" w:rsidP="00A762B5">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val="lt-LT"/>
        </w:rPr>
      </w:pPr>
    </w:p>
    <w:p w14:paraId="0B477FF7" w14:textId="77777777" w:rsidR="00A762B5" w:rsidRPr="00A762B5" w:rsidRDefault="00A762B5" w:rsidP="00A762B5">
      <w:pPr>
        <w:tabs>
          <w:tab w:val="left" w:pos="5954"/>
          <w:tab w:val="left" w:pos="6237"/>
          <w:tab w:val="left" w:pos="6663"/>
          <w:tab w:val="left" w:pos="6946"/>
        </w:tabs>
        <w:spacing w:after="0" w:line="240" w:lineRule="auto"/>
        <w:contextualSpacing/>
        <w:jc w:val="center"/>
        <w:rPr>
          <w:rFonts w:ascii="Times New Roman" w:eastAsia="SimSun" w:hAnsi="Times New Roman" w:cs="Times New Roman"/>
          <w:lang w:val="lt-LT"/>
        </w:rPr>
      </w:pPr>
    </w:p>
    <w:p w14:paraId="5104DCF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br w:type="page"/>
      </w:r>
    </w:p>
    <w:p w14:paraId="429E502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E754F7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5757E2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774E7A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AE68F9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A202D2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F706CE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70EEE4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2D7E62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FA4F6C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69CFCC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F99294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1D0F58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8686ED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970574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5D0918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D6C19B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722B53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98E692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765C2B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5EC628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88D2378"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09969C8C"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72005430"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r w:rsidRPr="00A762B5">
        <w:rPr>
          <w:rFonts w:ascii="Times New Roman" w:eastAsia="Calibri" w:hAnsi="Times New Roman" w:cs="Times New Roman"/>
          <w:b/>
          <w:caps/>
          <w:lang w:val="lt-LT"/>
        </w:rPr>
        <w:t>II PRIEDAS</w:t>
      </w:r>
    </w:p>
    <w:p w14:paraId="11AAB186"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5C690D5D"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r w:rsidRPr="00A762B5">
        <w:rPr>
          <w:rFonts w:ascii="Times New Roman" w:eastAsia="Times New Roman" w:hAnsi="Times New Roman" w:cs="Times New Roman"/>
          <w:b/>
          <w:lang w:val="lt-LT" w:eastAsia="lt-LT"/>
        </w:rPr>
        <w:t>REGISTRACIJOS</w:t>
      </w:r>
      <w:r w:rsidRPr="00A762B5">
        <w:rPr>
          <w:rFonts w:ascii="Times New Roman" w:eastAsia="Calibri" w:hAnsi="Times New Roman" w:cs="Times New Roman"/>
          <w:b/>
          <w:caps/>
          <w:lang w:val="lt-LT"/>
        </w:rPr>
        <w:t xml:space="preserve"> SĄLYGOS</w:t>
      </w:r>
    </w:p>
    <w:p w14:paraId="45327EA7"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p>
    <w:p w14:paraId="3D31ACA7" w14:textId="77777777" w:rsidR="00A762B5" w:rsidRPr="00A762B5" w:rsidRDefault="00A762B5" w:rsidP="00A762B5">
      <w:pPr>
        <w:tabs>
          <w:tab w:val="left" w:pos="1701"/>
        </w:tabs>
        <w:spacing w:after="0" w:line="240" w:lineRule="auto"/>
        <w:ind w:left="1701" w:hanging="567"/>
        <w:contextualSpacing/>
        <w:rPr>
          <w:rFonts w:ascii="Times New Roman" w:eastAsia="Calibri" w:hAnsi="Times New Roman" w:cs="Times New Roman"/>
          <w:b/>
          <w:highlight w:val="yellow"/>
          <w:lang w:val="lt-LT"/>
        </w:rPr>
      </w:pPr>
      <w:r w:rsidRPr="00A762B5">
        <w:rPr>
          <w:rFonts w:ascii="Times New Roman" w:eastAsia="Calibri" w:hAnsi="Times New Roman" w:cs="Times New Roman"/>
          <w:b/>
          <w:lang w:val="lt-LT"/>
        </w:rPr>
        <w:t>A.</w:t>
      </w:r>
      <w:r w:rsidRPr="00A762B5">
        <w:rPr>
          <w:rFonts w:ascii="Times New Roman" w:eastAsia="Calibri" w:hAnsi="Times New Roman" w:cs="Times New Roman"/>
          <w:b/>
          <w:lang w:val="lt-LT"/>
        </w:rPr>
        <w:tab/>
        <w:t>GAMINTOJAS (-AI), ATSAKINGAS (-I) UŽ SERIJŲ IŠLEIDIMĄ</w:t>
      </w:r>
    </w:p>
    <w:p w14:paraId="35B9504B"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p>
    <w:p w14:paraId="214A2DFB" w14:textId="77777777" w:rsidR="00A762B5" w:rsidRPr="00A762B5" w:rsidRDefault="00A762B5" w:rsidP="00A762B5">
      <w:pPr>
        <w:tabs>
          <w:tab w:val="left" w:pos="1701"/>
        </w:tabs>
        <w:spacing w:after="0" w:line="240" w:lineRule="auto"/>
        <w:ind w:left="1701" w:hanging="567"/>
        <w:contextualSpacing/>
        <w:rPr>
          <w:rFonts w:ascii="Times New Roman" w:eastAsia="Calibri" w:hAnsi="Times New Roman" w:cs="Times New Roman"/>
          <w:b/>
          <w:lang w:val="lt-LT"/>
        </w:rPr>
      </w:pPr>
      <w:r w:rsidRPr="00A762B5">
        <w:rPr>
          <w:rFonts w:ascii="Times New Roman" w:eastAsia="Calibri" w:hAnsi="Times New Roman" w:cs="Times New Roman"/>
          <w:b/>
          <w:lang w:val="lt-LT"/>
        </w:rPr>
        <w:t>B.</w:t>
      </w:r>
      <w:r w:rsidRPr="00A762B5">
        <w:rPr>
          <w:rFonts w:ascii="Times New Roman" w:eastAsia="Calibri" w:hAnsi="Times New Roman" w:cs="Times New Roman"/>
          <w:b/>
          <w:lang w:val="lt-LT"/>
        </w:rPr>
        <w:tab/>
        <w:t>TIEKIMO IR VARTOJIMO SĄLYGOS AR APRIBOJIMAI</w:t>
      </w:r>
    </w:p>
    <w:p w14:paraId="35D2BCC4"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p>
    <w:p w14:paraId="70A08916" w14:textId="77777777" w:rsidR="00A762B5" w:rsidRPr="00A762B5" w:rsidRDefault="00A762B5" w:rsidP="00A762B5">
      <w:pPr>
        <w:keepNext/>
        <w:tabs>
          <w:tab w:val="left" w:pos="567"/>
        </w:tabs>
        <w:spacing w:after="0" w:line="240" w:lineRule="auto"/>
        <w:ind w:left="567" w:hanging="567"/>
        <w:contextualSpacing/>
        <w:outlineLvl w:val="1"/>
        <w:rPr>
          <w:rFonts w:ascii="Times New Roman" w:eastAsia="Calibri" w:hAnsi="Times New Roman" w:cs="Times New Roman"/>
          <w:b/>
          <w:caps/>
          <w:lang w:val="lt-LT"/>
        </w:rPr>
      </w:pPr>
      <w:r w:rsidRPr="00A762B5">
        <w:rPr>
          <w:rFonts w:ascii="Times New Roman" w:eastAsia="Calibri" w:hAnsi="Times New Roman" w:cs="Times New Roman"/>
          <w:b/>
          <w:caps/>
          <w:lang w:val="lt-LT"/>
        </w:rPr>
        <w:br w:type="page"/>
      </w:r>
      <w:r w:rsidRPr="00A762B5">
        <w:rPr>
          <w:rFonts w:ascii="Times New Roman" w:eastAsia="Calibri" w:hAnsi="Times New Roman" w:cs="Times New Roman"/>
          <w:b/>
          <w:caps/>
          <w:lang w:val="lt-LT"/>
        </w:rPr>
        <w:lastRenderedPageBreak/>
        <w:t>A.</w:t>
      </w:r>
      <w:r w:rsidRPr="00A762B5">
        <w:rPr>
          <w:rFonts w:ascii="Times New Roman" w:eastAsia="Calibri" w:hAnsi="Times New Roman" w:cs="Times New Roman"/>
          <w:b/>
          <w:caps/>
          <w:lang w:val="lt-LT"/>
        </w:rPr>
        <w:tab/>
        <w:t>GAMINTOJAS (-AI), ATSAKINGAS (-I) UŽ SERIJŲ IŠLEIDIMĄ</w:t>
      </w:r>
    </w:p>
    <w:p w14:paraId="59B801AF"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p>
    <w:p w14:paraId="0325779C" w14:textId="77777777" w:rsidR="00A762B5" w:rsidRPr="00A762B5" w:rsidRDefault="00A762B5" w:rsidP="00A762B5">
      <w:pPr>
        <w:spacing w:after="0" w:line="240" w:lineRule="auto"/>
        <w:contextualSpacing/>
        <w:rPr>
          <w:rFonts w:ascii="Times New Roman" w:eastAsia="Calibri" w:hAnsi="Times New Roman" w:cs="Times New Roman"/>
          <w:u w:val="single"/>
          <w:lang w:val="lt-LT" w:eastAsia="lt-LT"/>
        </w:rPr>
      </w:pPr>
      <w:r w:rsidRPr="00A762B5">
        <w:rPr>
          <w:rFonts w:ascii="Times New Roman" w:eastAsia="Calibri" w:hAnsi="Times New Roman" w:cs="Times New Roman"/>
          <w:u w:val="single"/>
          <w:lang w:val="lt-LT" w:eastAsia="lt-LT"/>
        </w:rPr>
        <w:t>Gamintojo (-ų), atsakingo (-ų) už serijų išleidimą, pavadinimas (-ai) ir adresas (-ai)</w:t>
      </w:r>
    </w:p>
    <w:p w14:paraId="4F6A57C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DB5C79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Salutas Pharma GmbH </w:t>
      </w:r>
    </w:p>
    <w:p w14:paraId="01B76825" w14:textId="77777777" w:rsidR="00A762B5" w:rsidRPr="00A762B5" w:rsidRDefault="00A762B5" w:rsidP="00A762B5">
      <w:pPr>
        <w:tabs>
          <w:tab w:val="left" w:pos="1296"/>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Otto-von-Guericke-Allee 1, D-39179 Barleben</w:t>
      </w:r>
    </w:p>
    <w:p w14:paraId="7422F6F4" w14:textId="77777777" w:rsidR="00A762B5" w:rsidRPr="00A762B5" w:rsidRDefault="00A762B5" w:rsidP="00A762B5">
      <w:pPr>
        <w:tabs>
          <w:tab w:val="left" w:pos="1296"/>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Vokietija</w:t>
      </w:r>
    </w:p>
    <w:p w14:paraId="7C68F297" w14:textId="77777777" w:rsidR="00A762B5" w:rsidRPr="00A762B5" w:rsidRDefault="00A762B5" w:rsidP="00A762B5">
      <w:pPr>
        <w:tabs>
          <w:tab w:val="left" w:pos="1296"/>
          <w:tab w:val="center" w:pos="4153"/>
          <w:tab w:val="right" w:pos="8306"/>
        </w:tabs>
        <w:spacing w:after="0" w:line="240" w:lineRule="auto"/>
        <w:contextualSpacing/>
        <w:rPr>
          <w:rFonts w:ascii="Times New Roman" w:eastAsia="Calibri" w:hAnsi="Times New Roman" w:cs="Times New Roman"/>
          <w:lang w:val="lt-LT"/>
        </w:rPr>
      </w:pPr>
    </w:p>
    <w:p w14:paraId="612F76AD" w14:textId="77777777" w:rsidR="00A762B5" w:rsidRPr="00A762B5" w:rsidRDefault="00A762B5" w:rsidP="00A762B5">
      <w:pPr>
        <w:tabs>
          <w:tab w:val="left" w:pos="1296"/>
          <w:tab w:val="center" w:pos="4153"/>
          <w:tab w:val="right" w:pos="8306"/>
        </w:tabs>
        <w:spacing w:after="0" w:line="240" w:lineRule="auto"/>
        <w:contextualSpacing/>
        <w:rPr>
          <w:rFonts w:ascii="Times New Roman" w:eastAsia="Calibri" w:hAnsi="Times New Roman" w:cs="Times New Roman"/>
          <w:lang w:val="lt-LT"/>
        </w:rPr>
      </w:pPr>
      <w:r w:rsidRPr="00A762B5">
        <w:rPr>
          <w:rFonts w:ascii="Times New Roman" w:eastAsia="Calibri" w:hAnsi="Times New Roman" w:cs="Times New Roman"/>
          <w:lang w:val="lt-LT"/>
        </w:rPr>
        <w:t>arba</w:t>
      </w:r>
    </w:p>
    <w:p w14:paraId="74E8B35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E362C4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LEK S.A.</w:t>
      </w:r>
    </w:p>
    <w:p w14:paraId="1F4CDDC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Ul. Domaniewska 50 C</w:t>
      </w:r>
    </w:p>
    <w:p w14:paraId="62E51A8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02-672 Warszawa</w:t>
      </w:r>
    </w:p>
    <w:p w14:paraId="0A374A7E" w14:textId="77777777" w:rsidR="00A762B5" w:rsidRPr="00A762B5" w:rsidRDefault="00A762B5" w:rsidP="00A762B5">
      <w:pPr>
        <w:spacing w:after="0" w:line="240" w:lineRule="auto"/>
        <w:contextualSpacing/>
        <w:rPr>
          <w:rFonts w:ascii="Times New Roman" w:eastAsia="Calibri" w:hAnsi="Times New Roman" w:cs="Times New Roman"/>
          <w:lang w:val="lt-LT"/>
        </w:rPr>
      </w:pPr>
      <w:r w:rsidRPr="00A762B5">
        <w:rPr>
          <w:rFonts w:ascii="Times New Roman" w:eastAsia="Calibri" w:hAnsi="Times New Roman" w:cs="Times New Roman"/>
          <w:lang w:val="lt-LT" w:eastAsia="lt-LT"/>
        </w:rPr>
        <w:t>Lenkija</w:t>
      </w:r>
    </w:p>
    <w:p w14:paraId="0631860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4EEEA7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arba</w:t>
      </w:r>
    </w:p>
    <w:p w14:paraId="4CA4EA9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DC847CB"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S.C. Sandoz S.R.L.</w:t>
      </w:r>
    </w:p>
    <w:p w14:paraId="377725A4"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Str. Livezeni nr. 7A </w:t>
      </w:r>
    </w:p>
    <w:p w14:paraId="70EBD7D2"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540472 Targu Mures, Jud. Mures </w:t>
      </w:r>
    </w:p>
    <w:p w14:paraId="22C38BED"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Rumunija</w:t>
      </w:r>
    </w:p>
    <w:p w14:paraId="42DBC7A8"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lang w:val="lt-LT" w:eastAsia="lt-LT"/>
        </w:rPr>
      </w:pPr>
    </w:p>
    <w:p w14:paraId="0487599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arba</w:t>
      </w:r>
    </w:p>
    <w:p w14:paraId="5784BC5D"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p>
    <w:p w14:paraId="1A3B12B4"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LEK S.A.</w:t>
      </w:r>
    </w:p>
    <w:p w14:paraId="674951D7"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16, Podlipie Str.</w:t>
      </w:r>
    </w:p>
    <w:p w14:paraId="02D585C4"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95-010 Strykow</w:t>
      </w:r>
    </w:p>
    <w:p w14:paraId="54796FD1"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Lenkija</w:t>
      </w:r>
    </w:p>
    <w:p w14:paraId="51C386EF"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p>
    <w:p w14:paraId="551C5FC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Su pakuote pateikiamame lapelyje nurodomas gamintojo, atsakingo už konkrečios serijos išleidimą, pavadinimas ir adresas.</w:t>
      </w:r>
    </w:p>
    <w:p w14:paraId="3C935725"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p>
    <w:p w14:paraId="7B82F7F6"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p>
    <w:p w14:paraId="6A6F8A2E" w14:textId="77777777" w:rsidR="00A762B5" w:rsidRPr="00A762B5" w:rsidRDefault="00A762B5" w:rsidP="00A762B5">
      <w:pPr>
        <w:keepNext/>
        <w:tabs>
          <w:tab w:val="left" w:pos="567"/>
        </w:tabs>
        <w:spacing w:after="0" w:line="240" w:lineRule="auto"/>
        <w:ind w:left="567" w:hanging="567"/>
        <w:contextualSpacing/>
        <w:outlineLvl w:val="1"/>
        <w:rPr>
          <w:rFonts w:ascii="Times New Roman" w:eastAsia="Calibri" w:hAnsi="Times New Roman" w:cs="Times New Roman"/>
          <w:b/>
          <w:caps/>
          <w:lang w:val="lt-LT"/>
        </w:rPr>
      </w:pPr>
      <w:r w:rsidRPr="00A762B5">
        <w:rPr>
          <w:rFonts w:ascii="Times New Roman" w:eastAsia="Calibri" w:hAnsi="Times New Roman" w:cs="Times New Roman"/>
          <w:b/>
          <w:caps/>
          <w:lang w:val="lt-LT"/>
        </w:rPr>
        <w:t>B.</w:t>
      </w:r>
      <w:r w:rsidRPr="00A762B5">
        <w:rPr>
          <w:rFonts w:ascii="Times New Roman" w:eastAsia="Calibri" w:hAnsi="Times New Roman" w:cs="Times New Roman"/>
          <w:b/>
          <w:caps/>
          <w:lang w:val="lt-LT"/>
        </w:rPr>
        <w:tab/>
        <w:t>TIEKIMO IR VARTOJIMO SĄLYGOS AR APRIBOJIMAI</w:t>
      </w:r>
    </w:p>
    <w:p w14:paraId="5415039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538965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Receptinis vaistinis preparatas.</w:t>
      </w:r>
    </w:p>
    <w:p w14:paraId="26ED896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1BD654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br w:type="page"/>
      </w:r>
    </w:p>
    <w:p w14:paraId="59E2158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15FB3C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F7FE54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88CB44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8ED0AE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8C8AE4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5D238D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CDAD37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1F03E4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891D16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D1C462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0BCF56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C1F4E1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803310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D7DAD1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967393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80B646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817805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8A3309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78B15E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DD3EF9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69C832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D602138"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7BE74811"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r w:rsidRPr="00A762B5">
        <w:rPr>
          <w:rFonts w:ascii="Times New Roman" w:eastAsia="Calibri" w:hAnsi="Times New Roman" w:cs="Times New Roman"/>
          <w:b/>
          <w:caps/>
          <w:lang w:val="lt-LT"/>
        </w:rPr>
        <w:t>III PRIEDAS</w:t>
      </w:r>
    </w:p>
    <w:p w14:paraId="72C4B58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F73DD1E"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r w:rsidRPr="00A762B5">
        <w:rPr>
          <w:rFonts w:ascii="Times New Roman" w:eastAsia="Calibri" w:hAnsi="Times New Roman" w:cs="Times New Roman"/>
          <w:b/>
          <w:caps/>
          <w:lang w:val="lt-LT"/>
        </w:rPr>
        <w:t>ŽENKLINIMAS IR PAKUOTĖS LAPELIS</w:t>
      </w:r>
    </w:p>
    <w:p w14:paraId="1AF6BE3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br w:type="page"/>
      </w:r>
    </w:p>
    <w:p w14:paraId="06EBF04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46D219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9AE833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6ED656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C58A4C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FB6E14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5EE33D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E47BC6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112F06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E9DF32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C86786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DC5379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1F3977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905AB3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986E6D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752182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37642E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AF249F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C0DBBE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5EED8A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6FA2D9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6B32F27"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eastAsia="lt-LT"/>
        </w:rPr>
      </w:pPr>
    </w:p>
    <w:p w14:paraId="4324C156" w14:textId="77777777" w:rsid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7419D5BC" w14:textId="77777777" w:rsidR="00C802F5" w:rsidRDefault="00C802F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1E2970CE" w14:textId="77777777" w:rsidR="00C802F5" w:rsidRPr="00A762B5" w:rsidRDefault="00C802F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36D94AB4"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r w:rsidRPr="00A762B5">
        <w:rPr>
          <w:rFonts w:ascii="Times New Roman" w:eastAsia="Calibri" w:hAnsi="Times New Roman" w:cs="Times New Roman"/>
          <w:b/>
          <w:caps/>
          <w:lang w:val="lt-LT"/>
        </w:rPr>
        <w:t>A. ŽENKLINIMAS</w:t>
      </w:r>
    </w:p>
    <w:p w14:paraId="4913BA4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br w:type="page"/>
      </w:r>
    </w:p>
    <w:p w14:paraId="14DD0172"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lastRenderedPageBreak/>
        <w:t>INFORMACIJA ANT IŠORINĖS PAKUOTĖS</w:t>
      </w:r>
    </w:p>
    <w:p w14:paraId="7D8D1DDE"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p>
    <w:p w14:paraId="29BFDB57"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lang w:val="lt-LT"/>
        </w:rPr>
        <w:t>KARTONO DĖŽUTĖ</w:t>
      </w:r>
    </w:p>
    <w:p w14:paraId="404E5EA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992733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25B5F40"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w:t>
      </w:r>
      <w:r w:rsidRPr="00A762B5">
        <w:rPr>
          <w:rFonts w:ascii="Times New Roman" w:eastAsia="Calibri" w:hAnsi="Times New Roman" w:cs="Times New Roman"/>
          <w:b/>
          <w:lang w:val="lt-LT"/>
        </w:rPr>
        <w:tab/>
        <w:t>VAISTINIO PREPARATO PAVADINIMAS</w:t>
      </w:r>
    </w:p>
    <w:p w14:paraId="2661D24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1CD825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10 mg plėvele dengtos tabletės</w:t>
      </w:r>
    </w:p>
    <w:p w14:paraId="140EA13F" w14:textId="71C73DC7" w:rsidR="00A762B5" w:rsidRPr="00A762B5" w:rsidRDefault="00030BDF" w:rsidP="00A762B5">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s</w:t>
      </w:r>
      <w:r w:rsidR="00A762B5" w:rsidRPr="00A762B5">
        <w:rPr>
          <w:rFonts w:ascii="Times New Roman" w:eastAsia="Calibri" w:hAnsi="Times New Roman" w:cs="Times New Roman"/>
          <w:lang w:val="lt-LT" w:eastAsia="lt-LT"/>
        </w:rPr>
        <w:t>imvastatinum</w:t>
      </w:r>
    </w:p>
    <w:p w14:paraId="104CAC9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8866B0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7C5F37F"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2.</w:t>
      </w:r>
      <w:r w:rsidRPr="00A762B5">
        <w:rPr>
          <w:rFonts w:ascii="Times New Roman" w:eastAsia="Calibri" w:hAnsi="Times New Roman" w:cs="Times New Roman"/>
          <w:b/>
          <w:lang w:val="lt-LT"/>
        </w:rPr>
        <w:tab/>
        <w:t>VEIKLIOJI (-IOS) MEDŽIAGA (-OS) IR JOS (-Ų) KIEKIS (-IAI)</w:t>
      </w:r>
    </w:p>
    <w:p w14:paraId="501B08D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82EA7F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Kiekvienoje tabletėje yra 10 mg simvastatino.</w:t>
      </w:r>
    </w:p>
    <w:p w14:paraId="70EED81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5E3F18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4B46F93"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highlight w:val="lightGray"/>
          <w:lang w:val="lt-LT" w:eastAsia="lt-LT"/>
        </w:rPr>
      </w:pPr>
      <w:r w:rsidRPr="00A762B5">
        <w:rPr>
          <w:rFonts w:ascii="Times New Roman" w:eastAsia="Calibri" w:hAnsi="Times New Roman" w:cs="Times New Roman"/>
          <w:b/>
          <w:lang w:val="lt-LT"/>
        </w:rPr>
        <w:t>3.</w:t>
      </w:r>
      <w:r w:rsidRPr="00A762B5">
        <w:rPr>
          <w:rFonts w:ascii="Times New Roman" w:eastAsia="Calibri" w:hAnsi="Times New Roman" w:cs="Times New Roman"/>
          <w:b/>
          <w:lang w:val="lt-LT"/>
        </w:rPr>
        <w:tab/>
        <w:t>PAGALBINIŲ MEDŽIAGŲ SĄRAŠAS</w:t>
      </w:r>
    </w:p>
    <w:p w14:paraId="79293D7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E27904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Sudėtyje yra laktozės.</w:t>
      </w:r>
    </w:p>
    <w:p w14:paraId="0ED7382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193199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34ACB98"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4.</w:t>
      </w:r>
      <w:r w:rsidRPr="00A762B5">
        <w:rPr>
          <w:rFonts w:ascii="Times New Roman" w:eastAsia="Calibri" w:hAnsi="Times New Roman" w:cs="Times New Roman"/>
          <w:b/>
          <w:lang w:val="lt-LT"/>
        </w:rPr>
        <w:tab/>
        <w:t>FARMACINĖ FORMA IR KIEKIS PAKUOTĖJE</w:t>
      </w:r>
    </w:p>
    <w:p w14:paraId="5771502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11D8C8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30 tablečių</w:t>
      </w:r>
    </w:p>
    <w:p w14:paraId="55A55AD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39A68E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5B769B8"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highlight w:val="lightGray"/>
          <w:lang w:val="lt-LT" w:eastAsia="lt-LT"/>
        </w:rPr>
      </w:pPr>
      <w:r w:rsidRPr="00A762B5">
        <w:rPr>
          <w:rFonts w:ascii="Times New Roman" w:eastAsia="Calibri" w:hAnsi="Times New Roman" w:cs="Times New Roman"/>
          <w:b/>
          <w:lang w:val="lt-LT"/>
        </w:rPr>
        <w:t>5.</w:t>
      </w:r>
      <w:r w:rsidRPr="00A762B5">
        <w:rPr>
          <w:rFonts w:ascii="Times New Roman" w:eastAsia="Calibri" w:hAnsi="Times New Roman" w:cs="Times New Roman"/>
          <w:b/>
          <w:lang w:val="lt-LT"/>
        </w:rPr>
        <w:tab/>
        <w:t>VARTOJIMO METODAS IR BŪDAS (-AI)</w:t>
      </w:r>
    </w:p>
    <w:p w14:paraId="385F7EB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28D78F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Vartoti per burną. </w:t>
      </w:r>
    </w:p>
    <w:p w14:paraId="48667BF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Prieš vartojimą perskaitykite pakuotės lapelį.</w:t>
      </w:r>
    </w:p>
    <w:p w14:paraId="1EAD88B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262CF3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3B438B0"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contextualSpacing/>
        <w:rPr>
          <w:rFonts w:ascii="Times New Roman" w:eastAsia="Calibri" w:hAnsi="Times New Roman" w:cs="Times New Roman"/>
          <w:b/>
          <w:lang w:val="lt-LT"/>
        </w:rPr>
      </w:pPr>
      <w:r w:rsidRPr="00A762B5">
        <w:rPr>
          <w:rFonts w:ascii="Times New Roman" w:eastAsia="Calibri" w:hAnsi="Times New Roman" w:cs="Times New Roman"/>
          <w:b/>
          <w:lang w:val="lt-LT"/>
        </w:rPr>
        <w:t>6.</w:t>
      </w:r>
      <w:r w:rsidRPr="00A762B5">
        <w:rPr>
          <w:rFonts w:ascii="Times New Roman" w:eastAsia="Calibri" w:hAnsi="Times New Roman" w:cs="Times New Roman"/>
          <w:b/>
          <w:lang w:val="lt-LT"/>
        </w:rPr>
        <w:tab/>
        <w:t>SPECIALUS ĮSPĖJIMAS, KAD VAISTINĮ PREPARATĄ BŪTINA LAIKYTI VAIKAMS NEPASTEBIMOJE IR NEPASIEKIAMOJE VIETOJE</w:t>
      </w:r>
    </w:p>
    <w:p w14:paraId="53EF8B4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7BE533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vaikams nepastebimoje ir nepasiekiamoje vietoje.</w:t>
      </w:r>
    </w:p>
    <w:p w14:paraId="4B8B68E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E45474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2CC6050"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highlight w:val="lightGray"/>
          <w:lang w:val="lt-LT" w:eastAsia="lt-LT"/>
        </w:rPr>
      </w:pPr>
      <w:r w:rsidRPr="00A762B5">
        <w:rPr>
          <w:rFonts w:ascii="Times New Roman" w:eastAsia="Calibri" w:hAnsi="Times New Roman" w:cs="Times New Roman"/>
          <w:b/>
          <w:lang w:val="lt-LT"/>
        </w:rPr>
        <w:t>7.</w:t>
      </w:r>
      <w:r w:rsidRPr="00A762B5">
        <w:rPr>
          <w:rFonts w:ascii="Times New Roman" w:eastAsia="Calibri" w:hAnsi="Times New Roman" w:cs="Times New Roman"/>
          <w:b/>
          <w:lang w:val="lt-LT"/>
        </w:rPr>
        <w:tab/>
        <w:t>KITAS (-I) SPECIALUS (-ŪS) ĮSPĖJIMAS (-AI) (JEI REIKIA)</w:t>
      </w:r>
    </w:p>
    <w:p w14:paraId="759797A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3A1E38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4A24DD8"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highlight w:val="lightGray"/>
          <w:lang w:val="lt-LT" w:eastAsia="lt-LT"/>
        </w:rPr>
      </w:pPr>
      <w:r w:rsidRPr="00A762B5">
        <w:rPr>
          <w:rFonts w:ascii="Times New Roman" w:eastAsia="Calibri" w:hAnsi="Times New Roman" w:cs="Times New Roman"/>
          <w:b/>
          <w:lang w:val="lt-LT"/>
        </w:rPr>
        <w:t>8.</w:t>
      </w:r>
      <w:r w:rsidRPr="00A762B5">
        <w:rPr>
          <w:rFonts w:ascii="Times New Roman" w:eastAsia="Calibri" w:hAnsi="Times New Roman" w:cs="Times New Roman"/>
          <w:b/>
          <w:lang w:val="lt-LT"/>
        </w:rPr>
        <w:tab/>
        <w:t>TINKAMUMO LAIKAS</w:t>
      </w:r>
    </w:p>
    <w:p w14:paraId="619119D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699BDDA"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EXP {mm MMMM}</w:t>
      </w:r>
    </w:p>
    <w:p w14:paraId="23151F2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C57DAA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16D06B3"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9.</w:t>
      </w:r>
      <w:r w:rsidRPr="00A762B5">
        <w:rPr>
          <w:rFonts w:ascii="Times New Roman" w:eastAsia="Calibri" w:hAnsi="Times New Roman" w:cs="Times New Roman"/>
          <w:b/>
          <w:lang w:val="lt-LT"/>
        </w:rPr>
        <w:tab/>
        <w:t>SPECIALIOS LAIKYMO SĄLYGOS</w:t>
      </w:r>
    </w:p>
    <w:p w14:paraId="5EA6D19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0C2D85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ne aukštesnėje kaip 30 </w:t>
      </w:r>
      <w:r w:rsidRPr="00A762B5">
        <w:rPr>
          <w:rFonts w:ascii="Times New Roman" w:eastAsia="Calibri" w:hAnsi="Times New Roman" w:cs="Times New Roman"/>
          <w:lang w:val="lt-LT" w:eastAsia="lt-LT"/>
        </w:rPr>
        <w:sym w:font="Symbol" w:char="F0B0"/>
      </w:r>
      <w:r w:rsidRPr="00A762B5">
        <w:rPr>
          <w:rFonts w:ascii="Times New Roman" w:eastAsia="Calibri" w:hAnsi="Times New Roman" w:cs="Times New Roman"/>
          <w:lang w:val="lt-LT" w:eastAsia="lt-LT"/>
        </w:rPr>
        <w:t>C temperatūroje.</w:t>
      </w:r>
    </w:p>
    <w:p w14:paraId="0DF300B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gamintojo pakuotėje, kad vaistas būtų apsaugotas nuo šviesos.</w:t>
      </w:r>
    </w:p>
    <w:p w14:paraId="3E7018C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D73FE2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5EB3422"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10.</w:t>
      </w:r>
      <w:r w:rsidRPr="00A762B5">
        <w:rPr>
          <w:rFonts w:ascii="Times New Roman" w:eastAsia="Calibri" w:hAnsi="Times New Roman" w:cs="Times New Roman"/>
          <w:b/>
          <w:lang w:val="lt-LT"/>
        </w:rPr>
        <w:tab/>
        <w:t xml:space="preserve">SPECIALIOS ATSARGUMO PRIEMONĖS DĖL NESUVARTOTO </w:t>
      </w:r>
      <w:r w:rsidRPr="00A762B5">
        <w:rPr>
          <w:rFonts w:ascii="Times New Roman" w:eastAsia="Calibri" w:hAnsi="Times New Roman" w:cs="Times New Roman"/>
          <w:b/>
          <w:bCs/>
          <w:lang w:val="lt-LT"/>
        </w:rPr>
        <w:t xml:space="preserve">VAISTINIO PREPARATO AR JO ATLIEKŲ </w:t>
      </w:r>
      <w:r w:rsidRPr="00A762B5">
        <w:rPr>
          <w:rFonts w:ascii="Times New Roman" w:eastAsia="Calibri" w:hAnsi="Times New Roman" w:cs="Times New Roman"/>
          <w:b/>
          <w:lang w:val="lt-LT"/>
        </w:rPr>
        <w:t>TVARKYMO (JEI REIKIA)</w:t>
      </w:r>
    </w:p>
    <w:p w14:paraId="7B3BB4EB" w14:textId="77777777" w:rsidR="00DD1C34" w:rsidRPr="00DD1C34" w:rsidRDefault="00DD1C34" w:rsidP="00DD1C34">
      <w:pPr>
        <w:spacing w:after="0" w:line="240" w:lineRule="auto"/>
        <w:contextualSpacing/>
        <w:rPr>
          <w:rFonts w:ascii="Times New Roman" w:eastAsia="Calibri" w:hAnsi="Times New Roman" w:cs="Times New Roman"/>
          <w:lang w:val="lt-LT" w:eastAsia="lt-LT"/>
        </w:rPr>
      </w:pPr>
    </w:p>
    <w:p w14:paraId="3C98A0E5" w14:textId="77777777" w:rsidR="00DD1C34" w:rsidRPr="00DD1C34" w:rsidRDefault="00DD1C34" w:rsidP="00DD1C34">
      <w:pPr>
        <w:spacing w:after="0" w:line="240" w:lineRule="auto"/>
        <w:contextualSpacing/>
        <w:rPr>
          <w:rFonts w:ascii="Times New Roman" w:eastAsia="Calibri" w:hAnsi="Times New Roman" w:cs="Times New Roman"/>
          <w:lang w:val="lt-LT" w:eastAsia="lt-LT"/>
        </w:rPr>
      </w:pPr>
    </w:p>
    <w:p w14:paraId="46613F0B"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11.</w:t>
      </w:r>
      <w:r w:rsidRPr="00A762B5">
        <w:rPr>
          <w:rFonts w:ascii="Times New Roman" w:eastAsia="Calibri" w:hAnsi="Times New Roman" w:cs="Times New Roman"/>
          <w:b/>
          <w:lang w:val="lt-LT"/>
        </w:rPr>
        <w:tab/>
        <w:t>REGISTRUOTOJO PAVADINIMAS IR ADRESAS</w:t>
      </w:r>
    </w:p>
    <w:p w14:paraId="1BBC584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3932FA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Registruotojas:</w:t>
      </w:r>
    </w:p>
    <w:p w14:paraId="6097D25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HEXAL AG</w:t>
      </w:r>
    </w:p>
    <w:p w14:paraId="3B6C2D3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Industriestraße 25</w:t>
      </w:r>
    </w:p>
    <w:p w14:paraId="400E7A6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D-83607 Holzkirchen</w:t>
      </w:r>
    </w:p>
    <w:p w14:paraId="0679C35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Vokietija</w:t>
      </w:r>
    </w:p>
    <w:p w14:paraId="0846B95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C4214C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E24EB85"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12.</w:t>
      </w:r>
      <w:r w:rsidRPr="00A762B5">
        <w:rPr>
          <w:rFonts w:ascii="Times New Roman" w:eastAsia="Calibri" w:hAnsi="Times New Roman" w:cs="Times New Roman"/>
          <w:b/>
          <w:lang w:val="lt-LT"/>
        </w:rPr>
        <w:tab/>
        <w:t>REGISTRACIJOS PAŽYMĖJIMO NUMERIS (-IAI)</w:t>
      </w:r>
    </w:p>
    <w:p w14:paraId="596C082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080F0B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LT/1/02/2596/001</w:t>
      </w:r>
    </w:p>
    <w:p w14:paraId="0DA0948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46F8B6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6451397"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13.</w:t>
      </w:r>
      <w:r w:rsidRPr="00A762B5">
        <w:rPr>
          <w:rFonts w:ascii="Times New Roman" w:eastAsia="Calibri" w:hAnsi="Times New Roman" w:cs="Times New Roman"/>
          <w:b/>
          <w:lang w:val="lt-LT"/>
        </w:rPr>
        <w:tab/>
        <w:t>SERIJOS NUMERIS</w:t>
      </w:r>
    </w:p>
    <w:p w14:paraId="430D61C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36C9B34"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Lot {numeris}</w:t>
      </w:r>
    </w:p>
    <w:p w14:paraId="288B158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AC5846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6764622"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14.</w:t>
      </w:r>
      <w:r w:rsidRPr="00A762B5">
        <w:rPr>
          <w:rFonts w:ascii="Times New Roman" w:eastAsia="Calibri" w:hAnsi="Times New Roman" w:cs="Times New Roman"/>
          <w:b/>
          <w:lang w:val="lt-LT"/>
        </w:rPr>
        <w:tab/>
        <w:t>PARDAVIMO (IŠDAVIMO) TVARKA</w:t>
      </w:r>
    </w:p>
    <w:p w14:paraId="026D35A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2AF52E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Receptinis vaistas.</w:t>
      </w:r>
    </w:p>
    <w:p w14:paraId="0B0D4E7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887886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2882C69"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15.</w:t>
      </w:r>
      <w:r w:rsidRPr="00A762B5">
        <w:rPr>
          <w:rFonts w:ascii="Times New Roman" w:eastAsia="Calibri" w:hAnsi="Times New Roman" w:cs="Times New Roman"/>
          <w:b/>
          <w:lang w:val="lt-LT"/>
        </w:rPr>
        <w:tab/>
        <w:t>VARTOJIMO INSTRUKCIJA</w:t>
      </w:r>
    </w:p>
    <w:p w14:paraId="5D1C87F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A98138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732CA63"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16.</w:t>
      </w:r>
      <w:r w:rsidRPr="00A762B5">
        <w:rPr>
          <w:rFonts w:ascii="Times New Roman" w:eastAsia="Calibri" w:hAnsi="Times New Roman" w:cs="Times New Roman"/>
          <w:b/>
          <w:lang w:val="lt-LT"/>
        </w:rPr>
        <w:tab/>
        <w:t>INFORMACIJA BRAILIO RAŠTU</w:t>
      </w:r>
    </w:p>
    <w:p w14:paraId="628AFA5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8B325F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10 mg</w:t>
      </w:r>
    </w:p>
    <w:p w14:paraId="5BC525D6"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hd w:val="clear" w:color="auto" w:fill="CCCCCC"/>
          <w:lang w:val="lt-LT"/>
        </w:rPr>
      </w:pPr>
    </w:p>
    <w:p w14:paraId="35497529"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hd w:val="clear" w:color="auto" w:fill="CCCCCC"/>
          <w:lang w:val="lt-LT"/>
        </w:rPr>
      </w:pPr>
    </w:p>
    <w:p w14:paraId="5E206761" w14:textId="77777777" w:rsidR="00A762B5" w:rsidRPr="00A762B5" w:rsidRDefault="00A762B5" w:rsidP="00A762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A762B5">
        <w:rPr>
          <w:rFonts w:ascii="Times New Roman" w:eastAsia="Times New Roman" w:hAnsi="Times New Roman" w:cs="Times New Roman"/>
          <w:b/>
          <w:noProof/>
          <w:snapToGrid w:val="0"/>
          <w:szCs w:val="20"/>
          <w:lang w:val="lt-LT"/>
        </w:rPr>
        <w:t>17.</w:t>
      </w:r>
      <w:r w:rsidRPr="00A762B5">
        <w:rPr>
          <w:rFonts w:ascii="Times New Roman" w:eastAsia="Times New Roman" w:hAnsi="Times New Roman" w:cs="Times New Roman"/>
          <w:b/>
          <w:noProof/>
          <w:snapToGrid w:val="0"/>
          <w:szCs w:val="20"/>
          <w:lang w:val="lt-LT"/>
        </w:rPr>
        <w:tab/>
        <w:t>UNIKALUS IDENTIFIKATORIUS – 2D BRŪKŠNINIS KODAS</w:t>
      </w:r>
    </w:p>
    <w:p w14:paraId="1C2AEB01"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zCs w:val="20"/>
          <w:lang w:val="lt-LT"/>
        </w:rPr>
      </w:pPr>
    </w:p>
    <w:p w14:paraId="35863505"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A762B5">
        <w:rPr>
          <w:rFonts w:ascii="Times New Roman" w:eastAsia="Times New Roman" w:hAnsi="Times New Roman" w:cs="Times New Roman"/>
          <w:noProof/>
          <w:snapToGrid w:val="0"/>
          <w:szCs w:val="20"/>
          <w:highlight w:val="lightGray"/>
          <w:lang w:val="lt-LT"/>
        </w:rPr>
        <w:t>2D brūkšninis kodas su nurodytu unikaliu identifikatoriumi.</w:t>
      </w:r>
    </w:p>
    <w:p w14:paraId="78ACC85F"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zCs w:val="20"/>
          <w:lang w:val="lt-LT"/>
        </w:rPr>
      </w:pPr>
    </w:p>
    <w:p w14:paraId="178FD043"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zCs w:val="20"/>
          <w:lang w:val="lt-LT"/>
        </w:rPr>
      </w:pPr>
    </w:p>
    <w:p w14:paraId="0335559D" w14:textId="77777777" w:rsidR="00A762B5" w:rsidRPr="00A762B5" w:rsidRDefault="00A762B5" w:rsidP="00A762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A762B5">
        <w:rPr>
          <w:rFonts w:ascii="Times New Roman" w:eastAsia="Times New Roman" w:hAnsi="Times New Roman" w:cs="Times New Roman"/>
          <w:b/>
          <w:noProof/>
          <w:snapToGrid w:val="0"/>
          <w:szCs w:val="20"/>
          <w:lang w:val="lt-LT"/>
        </w:rPr>
        <w:t>18.</w:t>
      </w:r>
      <w:r w:rsidRPr="00A762B5">
        <w:rPr>
          <w:rFonts w:ascii="Times New Roman" w:eastAsia="Times New Roman" w:hAnsi="Times New Roman" w:cs="Times New Roman"/>
          <w:b/>
          <w:noProof/>
          <w:snapToGrid w:val="0"/>
          <w:szCs w:val="20"/>
          <w:lang w:val="lt-LT"/>
        </w:rPr>
        <w:tab/>
        <w:t>UNIKALUS IDENTIFIKATORIUS – ŽMONĖMS SUPRANTAMI DUOMENYS</w:t>
      </w:r>
    </w:p>
    <w:p w14:paraId="30220F26"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zCs w:val="20"/>
          <w:lang w:val="lt-LT"/>
        </w:rPr>
      </w:pPr>
    </w:p>
    <w:p w14:paraId="25ABF79B" w14:textId="131C37F0" w:rsidR="00A762B5" w:rsidRPr="00A762B5" w:rsidRDefault="00A762B5" w:rsidP="00A762B5">
      <w:pPr>
        <w:tabs>
          <w:tab w:val="left" w:pos="567"/>
        </w:tabs>
        <w:spacing w:after="0" w:line="260" w:lineRule="exact"/>
        <w:rPr>
          <w:rFonts w:ascii="Times New Roman" w:eastAsia="Times New Roman" w:hAnsi="Times New Roman" w:cs="Times New Roman"/>
          <w:snapToGrid w:val="0"/>
          <w:color w:val="008000"/>
          <w:lang w:val="lt-LT"/>
        </w:rPr>
      </w:pPr>
      <w:r w:rsidRPr="00A762B5">
        <w:rPr>
          <w:rFonts w:ascii="Times New Roman" w:eastAsia="Times New Roman" w:hAnsi="Times New Roman" w:cs="Times New Roman"/>
          <w:snapToGrid w:val="0"/>
          <w:szCs w:val="20"/>
          <w:lang w:val="lt-LT"/>
        </w:rPr>
        <w:t>PC {numeris}</w:t>
      </w:r>
    </w:p>
    <w:p w14:paraId="5146B4C6" w14:textId="3C9AA690" w:rsidR="00A762B5" w:rsidRPr="00A762B5" w:rsidRDefault="00A762B5" w:rsidP="00A762B5">
      <w:pPr>
        <w:tabs>
          <w:tab w:val="left" w:pos="567"/>
        </w:tabs>
        <w:spacing w:after="0" w:line="260" w:lineRule="exact"/>
        <w:rPr>
          <w:rFonts w:ascii="Times New Roman" w:eastAsia="Times New Roman" w:hAnsi="Times New Roman" w:cs="Times New Roman"/>
          <w:snapToGrid w:val="0"/>
          <w:lang w:val="lt-LT"/>
        </w:rPr>
      </w:pPr>
      <w:r w:rsidRPr="00A762B5">
        <w:rPr>
          <w:rFonts w:ascii="Times New Roman" w:eastAsia="Times New Roman" w:hAnsi="Times New Roman" w:cs="Times New Roman"/>
          <w:snapToGrid w:val="0"/>
          <w:szCs w:val="20"/>
          <w:lang w:val="lt-LT"/>
        </w:rPr>
        <w:t>SN {numeris}</w:t>
      </w:r>
    </w:p>
    <w:p w14:paraId="2091E400" w14:textId="13F4BAE1"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snapToGrid w:val="0"/>
          <w:szCs w:val="20"/>
          <w:highlight w:val="lightGray"/>
          <w:lang w:val="lt-LT"/>
        </w:rPr>
        <w:t>NN {numeris}</w:t>
      </w:r>
    </w:p>
    <w:p w14:paraId="17E4A63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9C8AFF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31394D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141A41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E41EC9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br w:type="page"/>
      </w:r>
    </w:p>
    <w:p w14:paraId="521E2097"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lastRenderedPageBreak/>
        <w:t xml:space="preserve">MINIMALI </w:t>
      </w:r>
      <w:r w:rsidRPr="00A762B5">
        <w:rPr>
          <w:rFonts w:ascii="Times New Roman" w:eastAsia="Calibri" w:hAnsi="Times New Roman" w:cs="Times New Roman"/>
          <w:b/>
          <w:caps/>
          <w:lang w:val="lt-LT"/>
        </w:rPr>
        <w:t xml:space="preserve">informacija ant </w:t>
      </w:r>
      <w:r w:rsidRPr="00A762B5">
        <w:rPr>
          <w:rFonts w:ascii="Times New Roman" w:eastAsia="Calibri" w:hAnsi="Times New Roman" w:cs="Times New Roman"/>
          <w:b/>
          <w:lang w:val="lt-LT"/>
        </w:rPr>
        <w:t>LIZDINIŲ PLOKŠTELIŲ ARBA DVISLUOKSNIŲ JUOSTELIŲ</w:t>
      </w:r>
    </w:p>
    <w:p w14:paraId="68D52DF3"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p>
    <w:p w14:paraId="5550AF19"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LIZDINĖ PLOKŠTELĖ</w:t>
      </w:r>
    </w:p>
    <w:p w14:paraId="135A3A8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784553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AC4EDD9"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w:t>
      </w:r>
      <w:r w:rsidRPr="00A762B5">
        <w:rPr>
          <w:rFonts w:ascii="Times New Roman" w:eastAsia="Calibri" w:hAnsi="Times New Roman" w:cs="Times New Roman"/>
          <w:b/>
          <w:lang w:val="lt-LT"/>
        </w:rPr>
        <w:tab/>
        <w:t>VAISTINIO PREPARATO PAVADINIMAS</w:t>
      </w:r>
    </w:p>
    <w:p w14:paraId="6FE58EB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4A22B6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10 mg tabletės</w:t>
      </w:r>
    </w:p>
    <w:p w14:paraId="6C67C530" w14:textId="0399EE03" w:rsidR="00A762B5" w:rsidRPr="00A762B5" w:rsidRDefault="00030BDF" w:rsidP="00A762B5">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s</w:t>
      </w:r>
      <w:r w:rsidR="00A762B5" w:rsidRPr="00A762B5">
        <w:rPr>
          <w:rFonts w:ascii="Times New Roman" w:eastAsia="Calibri" w:hAnsi="Times New Roman" w:cs="Times New Roman"/>
          <w:lang w:val="lt-LT" w:eastAsia="lt-LT"/>
        </w:rPr>
        <w:t>imvastatinum</w:t>
      </w:r>
    </w:p>
    <w:p w14:paraId="6404BA2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4670E0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09175BD"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2.</w:t>
      </w:r>
      <w:r w:rsidRPr="00A762B5">
        <w:rPr>
          <w:rFonts w:ascii="Times New Roman" w:eastAsia="Calibri" w:hAnsi="Times New Roman" w:cs="Times New Roman"/>
          <w:b/>
          <w:lang w:val="lt-LT"/>
        </w:rPr>
        <w:tab/>
        <w:t>REGISTRUOTOJO PAVADINIMAS</w:t>
      </w:r>
    </w:p>
    <w:p w14:paraId="075E95A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2A0C24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HEXAL AG</w:t>
      </w:r>
    </w:p>
    <w:p w14:paraId="7C4ABD2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A46FE9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0A2ED01"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3.</w:t>
      </w:r>
      <w:r w:rsidRPr="00A762B5">
        <w:rPr>
          <w:rFonts w:ascii="Times New Roman" w:eastAsia="Calibri" w:hAnsi="Times New Roman" w:cs="Times New Roman"/>
          <w:b/>
          <w:lang w:val="lt-LT"/>
        </w:rPr>
        <w:tab/>
        <w:t>TINKAMUMO LAIKAS</w:t>
      </w:r>
    </w:p>
    <w:p w14:paraId="356B380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D501C8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highlight w:val="lightGray"/>
          <w:lang w:val="lt-LT" w:eastAsia="lt-LT"/>
        </w:rPr>
        <w:t xml:space="preserve">EXP </w:t>
      </w:r>
      <w:r w:rsidRPr="00A762B5">
        <w:rPr>
          <w:rFonts w:ascii="Times New Roman" w:eastAsia="Calibri" w:hAnsi="Times New Roman" w:cs="Times New Roman"/>
          <w:lang w:val="lt-LT" w:eastAsia="lt-LT"/>
        </w:rPr>
        <w:t>{mm MMMM}</w:t>
      </w:r>
    </w:p>
    <w:p w14:paraId="35647B8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AE2F0E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F3FF2F5"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4.</w:t>
      </w:r>
      <w:r w:rsidRPr="00A762B5">
        <w:rPr>
          <w:rFonts w:ascii="Times New Roman" w:eastAsia="Calibri" w:hAnsi="Times New Roman" w:cs="Times New Roman"/>
          <w:b/>
          <w:lang w:val="lt-LT"/>
        </w:rPr>
        <w:tab/>
        <w:t>SERIJOS NUMERIS</w:t>
      </w:r>
    </w:p>
    <w:p w14:paraId="7358675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18223C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highlight w:val="lightGray"/>
          <w:lang w:val="lt-LT" w:eastAsia="lt-LT"/>
        </w:rPr>
        <w:t xml:space="preserve">Lot </w:t>
      </w:r>
      <w:r w:rsidRPr="00A762B5">
        <w:rPr>
          <w:rFonts w:ascii="Times New Roman" w:eastAsia="Calibri" w:hAnsi="Times New Roman" w:cs="Times New Roman"/>
          <w:lang w:val="lt-LT" w:eastAsia="lt-LT"/>
        </w:rPr>
        <w:t>{numeris}</w:t>
      </w:r>
    </w:p>
    <w:p w14:paraId="18A2ED0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D6CACD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D2F98E3"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5.</w:t>
      </w:r>
      <w:r w:rsidRPr="00A762B5">
        <w:rPr>
          <w:rFonts w:ascii="Times New Roman" w:eastAsia="Calibri" w:hAnsi="Times New Roman" w:cs="Times New Roman"/>
          <w:b/>
          <w:lang w:val="lt-LT"/>
        </w:rPr>
        <w:tab/>
        <w:t>KITA</w:t>
      </w:r>
    </w:p>
    <w:p w14:paraId="7608FBB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1AD0DE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6FBCF01"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br w:type="page"/>
      </w:r>
      <w:r w:rsidRPr="00A762B5">
        <w:rPr>
          <w:rFonts w:ascii="Times New Roman" w:eastAsia="Calibri" w:hAnsi="Times New Roman" w:cs="Times New Roman"/>
          <w:b/>
          <w:lang w:val="lt-LT"/>
        </w:rPr>
        <w:lastRenderedPageBreak/>
        <w:t>INFORMACIJA ANT IŠORINĖS PAKUOTĖS</w:t>
      </w:r>
    </w:p>
    <w:p w14:paraId="35414303"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p>
    <w:p w14:paraId="23B4A86D"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lang w:val="lt-LT"/>
        </w:rPr>
        <w:t>KARTONO DĖŽUTĖ</w:t>
      </w:r>
    </w:p>
    <w:p w14:paraId="64AE2B5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8C2CA2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3D32B6A"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w:t>
      </w:r>
      <w:r w:rsidRPr="00A762B5">
        <w:rPr>
          <w:rFonts w:ascii="Times New Roman" w:eastAsia="Calibri" w:hAnsi="Times New Roman" w:cs="Times New Roman"/>
          <w:b/>
          <w:lang w:val="lt-LT"/>
        </w:rPr>
        <w:tab/>
        <w:t>VAISTINIO PREPARATO PAVADINIMAS</w:t>
      </w:r>
    </w:p>
    <w:p w14:paraId="4735602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5B62EB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20 mg plėvele dengtos tabletės</w:t>
      </w:r>
    </w:p>
    <w:p w14:paraId="192B73C2" w14:textId="434CA02A" w:rsidR="00A762B5" w:rsidRPr="00A762B5" w:rsidRDefault="00030BDF" w:rsidP="00A762B5">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s</w:t>
      </w:r>
      <w:r w:rsidR="00A762B5" w:rsidRPr="00A762B5">
        <w:rPr>
          <w:rFonts w:ascii="Times New Roman" w:eastAsia="Calibri" w:hAnsi="Times New Roman" w:cs="Times New Roman"/>
          <w:lang w:val="lt-LT" w:eastAsia="lt-LT"/>
        </w:rPr>
        <w:t>imvastatinum</w:t>
      </w:r>
    </w:p>
    <w:p w14:paraId="3304995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27A88F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1E59C69"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2.</w:t>
      </w:r>
      <w:r w:rsidRPr="00A762B5">
        <w:rPr>
          <w:rFonts w:ascii="Times New Roman" w:eastAsia="Calibri" w:hAnsi="Times New Roman" w:cs="Times New Roman"/>
          <w:b/>
          <w:lang w:val="lt-LT"/>
        </w:rPr>
        <w:tab/>
        <w:t>VEIKLIOJI (-IOS) MEDŽIAGA (-OS) IR JOS (-Ų) KIEKIS (-IAI)</w:t>
      </w:r>
    </w:p>
    <w:p w14:paraId="20AE4DD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9EC5DC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Kiekvienoje tabletėje yra 20 mg simvastatino.</w:t>
      </w:r>
    </w:p>
    <w:p w14:paraId="5BD6C27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8EEE58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FE97DBB"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highlight w:val="lightGray"/>
          <w:lang w:val="lt-LT" w:eastAsia="lt-LT"/>
        </w:rPr>
      </w:pPr>
      <w:r w:rsidRPr="00A762B5">
        <w:rPr>
          <w:rFonts w:ascii="Times New Roman" w:eastAsia="Calibri" w:hAnsi="Times New Roman" w:cs="Times New Roman"/>
          <w:b/>
          <w:lang w:val="lt-LT"/>
        </w:rPr>
        <w:t>3.</w:t>
      </w:r>
      <w:r w:rsidRPr="00A762B5">
        <w:rPr>
          <w:rFonts w:ascii="Times New Roman" w:eastAsia="Calibri" w:hAnsi="Times New Roman" w:cs="Times New Roman"/>
          <w:b/>
          <w:lang w:val="lt-LT"/>
        </w:rPr>
        <w:tab/>
        <w:t>PAGALBINIŲ MEDŽIAGŲ SĄRAŠAS</w:t>
      </w:r>
    </w:p>
    <w:p w14:paraId="1B89668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12ED24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Sudėtyje yra laktozės.</w:t>
      </w:r>
    </w:p>
    <w:p w14:paraId="7C4514E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140B7F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ADE6B74"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4.</w:t>
      </w:r>
      <w:r w:rsidRPr="00A762B5">
        <w:rPr>
          <w:rFonts w:ascii="Times New Roman" w:eastAsia="Calibri" w:hAnsi="Times New Roman" w:cs="Times New Roman"/>
          <w:b/>
          <w:lang w:val="lt-LT"/>
        </w:rPr>
        <w:tab/>
        <w:t>FARMACINĖ FORMA IR KIEKIS PAKUOTĖJE</w:t>
      </w:r>
    </w:p>
    <w:p w14:paraId="31CD0A2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20A297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30 tablečių</w:t>
      </w:r>
    </w:p>
    <w:p w14:paraId="7AE535B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649DB1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A671FD5"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highlight w:val="lightGray"/>
          <w:lang w:val="lt-LT" w:eastAsia="lt-LT"/>
        </w:rPr>
      </w:pPr>
      <w:r w:rsidRPr="00A762B5">
        <w:rPr>
          <w:rFonts w:ascii="Times New Roman" w:eastAsia="Calibri" w:hAnsi="Times New Roman" w:cs="Times New Roman"/>
          <w:b/>
          <w:lang w:val="lt-LT"/>
        </w:rPr>
        <w:t>5.</w:t>
      </w:r>
      <w:r w:rsidRPr="00A762B5">
        <w:rPr>
          <w:rFonts w:ascii="Times New Roman" w:eastAsia="Calibri" w:hAnsi="Times New Roman" w:cs="Times New Roman"/>
          <w:b/>
          <w:lang w:val="lt-LT"/>
        </w:rPr>
        <w:tab/>
        <w:t>VARTOJIMO METODAS IR BŪDAS (-AI)</w:t>
      </w:r>
    </w:p>
    <w:p w14:paraId="013CE86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8AB74F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Vartoti per burną. </w:t>
      </w:r>
    </w:p>
    <w:p w14:paraId="04B38D5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Prieš vartojimą perskaitykite pakuotės lapelį.</w:t>
      </w:r>
    </w:p>
    <w:p w14:paraId="77410A0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52A3CB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0691BDE"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contextualSpacing/>
        <w:rPr>
          <w:rFonts w:ascii="Times New Roman" w:eastAsia="Calibri" w:hAnsi="Times New Roman" w:cs="Times New Roman"/>
          <w:b/>
          <w:lang w:val="lt-LT"/>
        </w:rPr>
      </w:pPr>
      <w:r w:rsidRPr="00A762B5">
        <w:rPr>
          <w:rFonts w:ascii="Times New Roman" w:eastAsia="Calibri" w:hAnsi="Times New Roman" w:cs="Times New Roman"/>
          <w:b/>
          <w:lang w:val="lt-LT"/>
        </w:rPr>
        <w:t>6.</w:t>
      </w:r>
      <w:r w:rsidRPr="00A762B5">
        <w:rPr>
          <w:rFonts w:ascii="Times New Roman" w:eastAsia="Calibri" w:hAnsi="Times New Roman" w:cs="Times New Roman"/>
          <w:b/>
          <w:lang w:val="lt-LT"/>
        </w:rPr>
        <w:tab/>
        <w:t>SPECIALUS ĮSPĖJIMAS, KAD VAISTINĮ PREPARATĄ BŪTINA LAIKYTI VAIKAMS NEPASTEBIMOJE IR NEPASIEKIAMOJE VIETOJE</w:t>
      </w:r>
    </w:p>
    <w:p w14:paraId="2B5EDB2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10965C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vaikams nepastebimoje ir nepasiekiamoje vietoje.</w:t>
      </w:r>
    </w:p>
    <w:p w14:paraId="1091F5C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A8FC55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8935F59"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highlight w:val="lightGray"/>
          <w:lang w:val="lt-LT" w:eastAsia="lt-LT"/>
        </w:rPr>
      </w:pPr>
      <w:r w:rsidRPr="00A762B5">
        <w:rPr>
          <w:rFonts w:ascii="Times New Roman" w:eastAsia="Calibri" w:hAnsi="Times New Roman" w:cs="Times New Roman"/>
          <w:b/>
          <w:lang w:val="lt-LT"/>
        </w:rPr>
        <w:t>7.</w:t>
      </w:r>
      <w:r w:rsidRPr="00A762B5">
        <w:rPr>
          <w:rFonts w:ascii="Times New Roman" w:eastAsia="Calibri" w:hAnsi="Times New Roman" w:cs="Times New Roman"/>
          <w:b/>
          <w:lang w:val="lt-LT"/>
        </w:rPr>
        <w:tab/>
        <w:t>KITAS (-I) SPECIALUS (-ŪS) ĮSPĖJIMAS (-AI) (JEI REIKIA)</w:t>
      </w:r>
    </w:p>
    <w:p w14:paraId="18BD95A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C22E39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182BD80"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highlight w:val="lightGray"/>
          <w:lang w:val="lt-LT" w:eastAsia="lt-LT"/>
        </w:rPr>
      </w:pPr>
      <w:r w:rsidRPr="00A762B5">
        <w:rPr>
          <w:rFonts w:ascii="Times New Roman" w:eastAsia="Calibri" w:hAnsi="Times New Roman" w:cs="Times New Roman"/>
          <w:b/>
          <w:lang w:val="lt-LT"/>
        </w:rPr>
        <w:t>8.</w:t>
      </w:r>
      <w:r w:rsidRPr="00A762B5">
        <w:rPr>
          <w:rFonts w:ascii="Times New Roman" w:eastAsia="Calibri" w:hAnsi="Times New Roman" w:cs="Times New Roman"/>
          <w:b/>
          <w:lang w:val="lt-LT"/>
        </w:rPr>
        <w:tab/>
        <w:t>TINKAMUMO LAIKAS</w:t>
      </w:r>
    </w:p>
    <w:p w14:paraId="2FACAB9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E3ED23D"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EXP {mm MMMM}</w:t>
      </w:r>
    </w:p>
    <w:p w14:paraId="1B142B9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FD98AA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7AA5051"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9.</w:t>
      </w:r>
      <w:r w:rsidRPr="00A762B5">
        <w:rPr>
          <w:rFonts w:ascii="Times New Roman" w:eastAsia="Calibri" w:hAnsi="Times New Roman" w:cs="Times New Roman"/>
          <w:b/>
          <w:lang w:val="lt-LT"/>
        </w:rPr>
        <w:tab/>
        <w:t>SPECIALIOS LAIKYMO SĄLYGOS</w:t>
      </w:r>
    </w:p>
    <w:p w14:paraId="2BD7E6E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4C1FD9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ne aukštesnėje kaip 30 </w:t>
      </w:r>
      <w:r w:rsidRPr="00A762B5">
        <w:rPr>
          <w:rFonts w:ascii="Times New Roman" w:eastAsia="Calibri" w:hAnsi="Times New Roman" w:cs="Times New Roman"/>
          <w:lang w:val="lt-LT" w:eastAsia="lt-LT"/>
        </w:rPr>
        <w:sym w:font="Symbol" w:char="F0B0"/>
      </w:r>
      <w:r w:rsidRPr="00A762B5">
        <w:rPr>
          <w:rFonts w:ascii="Times New Roman" w:eastAsia="Calibri" w:hAnsi="Times New Roman" w:cs="Times New Roman"/>
          <w:lang w:val="lt-LT" w:eastAsia="lt-LT"/>
        </w:rPr>
        <w:t>C temperatūroje.</w:t>
      </w:r>
    </w:p>
    <w:p w14:paraId="712A633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gamintojo pakuotėje, kad vaistas būtų apsaugotas nuo šviesos.</w:t>
      </w:r>
    </w:p>
    <w:p w14:paraId="022E361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1DEC24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9D05CDD"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10.</w:t>
      </w:r>
      <w:r w:rsidRPr="00A762B5">
        <w:rPr>
          <w:rFonts w:ascii="Times New Roman" w:eastAsia="Calibri" w:hAnsi="Times New Roman" w:cs="Times New Roman"/>
          <w:b/>
          <w:lang w:val="lt-LT"/>
        </w:rPr>
        <w:tab/>
        <w:t xml:space="preserve">SPECIALIOS ATSARGUMO PRIEMONĖS DĖL NESUVARTOTO </w:t>
      </w:r>
      <w:r w:rsidRPr="00A762B5">
        <w:rPr>
          <w:rFonts w:ascii="Times New Roman" w:eastAsia="Calibri" w:hAnsi="Times New Roman" w:cs="Times New Roman"/>
          <w:b/>
          <w:bCs/>
          <w:lang w:val="lt-LT"/>
        </w:rPr>
        <w:t xml:space="preserve">VAISTINIO PREPARATO AR JO ATLIEKŲ </w:t>
      </w:r>
      <w:r w:rsidRPr="00A762B5">
        <w:rPr>
          <w:rFonts w:ascii="Times New Roman" w:eastAsia="Calibri" w:hAnsi="Times New Roman" w:cs="Times New Roman"/>
          <w:b/>
          <w:lang w:val="lt-LT"/>
        </w:rPr>
        <w:t>TVARKYMO (JEI REIKIA)</w:t>
      </w:r>
    </w:p>
    <w:p w14:paraId="69875BCE" w14:textId="77777777" w:rsidR="00DD1C34" w:rsidRPr="00DD1C34" w:rsidRDefault="00DD1C34" w:rsidP="00DD1C34">
      <w:pPr>
        <w:spacing w:after="0" w:line="240" w:lineRule="auto"/>
        <w:contextualSpacing/>
        <w:rPr>
          <w:rFonts w:ascii="Times New Roman" w:eastAsia="Calibri" w:hAnsi="Times New Roman" w:cs="Times New Roman"/>
          <w:lang w:val="lt-LT" w:eastAsia="lt-LT"/>
        </w:rPr>
      </w:pPr>
    </w:p>
    <w:p w14:paraId="08D9DFA8" w14:textId="77777777" w:rsidR="00DD1C34" w:rsidRPr="00DD1C34" w:rsidRDefault="00DD1C34" w:rsidP="00DD1C34">
      <w:pPr>
        <w:spacing w:after="0" w:line="240" w:lineRule="auto"/>
        <w:contextualSpacing/>
        <w:rPr>
          <w:rFonts w:ascii="Times New Roman" w:eastAsia="Calibri" w:hAnsi="Times New Roman" w:cs="Times New Roman"/>
          <w:lang w:val="lt-LT" w:eastAsia="lt-LT"/>
        </w:rPr>
      </w:pPr>
    </w:p>
    <w:p w14:paraId="2965E023"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11.</w:t>
      </w:r>
      <w:r w:rsidRPr="00A762B5">
        <w:rPr>
          <w:rFonts w:ascii="Times New Roman" w:eastAsia="Calibri" w:hAnsi="Times New Roman" w:cs="Times New Roman"/>
          <w:b/>
          <w:lang w:val="lt-LT"/>
        </w:rPr>
        <w:tab/>
        <w:t>REGISTRUOTOJO PAVADINIMAS IR ADRESAS</w:t>
      </w:r>
    </w:p>
    <w:p w14:paraId="445469B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5688AD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Registruotojas:</w:t>
      </w:r>
    </w:p>
    <w:p w14:paraId="46A4240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HEXAL AG</w:t>
      </w:r>
    </w:p>
    <w:p w14:paraId="22067E4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Industriestraße 25</w:t>
      </w:r>
    </w:p>
    <w:p w14:paraId="6E28296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D-83607 Holzkirchen</w:t>
      </w:r>
    </w:p>
    <w:p w14:paraId="15CA82E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Vokietija</w:t>
      </w:r>
    </w:p>
    <w:p w14:paraId="150BDFD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395DB8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713568F"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12.</w:t>
      </w:r>
      <w:r w:rsidRPr="00A762B5">
        <w:rPr>
          <w:rFonts w:ascii="Times New Roman" w:eastAsia="Calibri" w:hAnsi="Times New Roman" w:cs="Times New Roman"/>
          <w:b/>
          <w:lang w:val="lt-LT"/>
        </w:rPr>
        <w:tab/>
        <w:t>REGISTRACIJOS PAŽYMĖJIMO NUMERIS (-IAI)</w:t>
      </w:r>
    </w:p>
    <w:p w14:paraId="2BEC6C3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801342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LT/1/02/2596/002</w:t>
      </w:r>
    </w:p>
    <w:p w14:paraId="513AADC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328D36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042EDC8"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13.</w:t>
      </w:r>
      <w:r w:rsidRPr="00A762B5">
        <w:rPr>
          <w:rFonts w:ascii="Times New Roman" w:eastAsia="Calibri" w:hAnsi="Times New Roman" w:cs="Times New Roman"/>
          <w:b/>
          <w:lang w:val="lt-LT"/>
        </w:rPr>
        <w:tab/>
        <w:t>SERIJOS NUMERIS</w:t>
      </w:r>
    </w:p>
    <w:p w14:paraId="02A909E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9EE444E"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Lot {numeris}</w:t>
      </w:r>
    </w:p>
    <w:p w14:paraId="34BF263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429566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0E4B27D"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14.</w:t>
      </w:r>
      <w:r w:rsidRPr="00A762B5">
        <w:rPr>
          <w:rFonts w:ascii="Times New Roman" w:eastAsia="Calibri" w:hAnsi="Times New Roman" w:cs="Times New Roman"/>
          <w:b/>
          <w:lang w:val="lt-LT"/>
        </w:rPr>
        <w:tab/>
        <w:t>PARDAVIMO (IŠDAVIMO) TVARKA</w:t>
      </w:r>
    </w:p>
    <w:p w14:paraId="40A0560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211249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Receptinis vaistas.</w:t>
      </w:r>
    </w:p>
    <w:p w14:paraId="46B634E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717B57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39A721F"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15.</w:t>
      </w:r>
      <w:r w:rsidRPr="00A762B5">
        <w:rPr>
          <w:rFonts w:ascii="Times New Roman" w:eastAsia="Calibri" w:hAnsi="Times New Roman" w:cs="Times New Roman"/>
          <w:b/>
          <w:lang w:val="lt-LT"/>
        </w:rPr>
        <w:tab/>
        <w:t>VARTOJIMO INSTRUKCIJA</w:t>
      </w:r>
    </w:p>
    <w:p w14:paraId="1718F6D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3C1647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D377648"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16.</w:t>
      </w:r>
      <w:r w:rsidRPr="00A762B5">
        <w:rPr>
          <w:rFonts w:ascii="Times New Roman" w:eastAsia="Calibri" w:hAnsi="Times New Roman" w:cs="Times New Roman"/>
          <w:b/>
          <w:lang w:val="lt-LT"/>
        </w:rPr>
        <w:tab/>
        <w:t>INFORMACIJA BRAILIO RAŠTU</w:t>
      </w:r>
    </w:p>
    <w:p w14:paraId="73C16E3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EAE077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20 mg</w:t>
      </w:r>
    </w:p>
    <w:p w14:paraId="5560AE1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90407CA"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hd w:val="clear" w:color="auto" w:fill="CCCCCC"/>
          <w:lang w:val="lt-LT"/>
        </w:rPr>
      </w:pPr>
    </w:p>
    <w:p w14:paraId="2AABC340" w14:textId="77777777" w:rsidR="00A762B5" w:rsidRPr="00A762B5" w:rsidRDefault="00A762B5" w:rsidP="00A762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A762B5">
        <w:rPr>
          <w:rFonts w:ascii="Times New Roman" w:eastAsia="Times New Roman" w:hAnsi="Times New Roman" w:cs="Times New Roman"/>
          <w:b/>
          <w:noProof/>
          <w:snapToGrid w:val="0"/>
          <w:szCs w:val="20"/>
          <w:lang w:val="lt-LT"/>
        </w:rPr>
        <w:t>17.</w:t>
      </w:r>
      <w:r w:rsidRPr="00A762B5">
        <w:rPr>
          <w:rFonts w:ascii="Times New Roman" w:eastAsia="Times New Roman" w:hAnsi="Times New Roman" w:cs="Times New Roman"/>
          <w:b/>
          <w:noProof/>
          <w:snapToGrid w:val="0"/>
          <w:szCs w:val="20"/>
          <w:lang w:val="lt-LT"/>
        </w:rPr>
        <w:tab/>
        <w:t>UNIKALUS IDENTIFIKATORIUS – 2D BRŪKŠNINIS KODAS</w:t>
      </w:r>
    </w:p>
    <w:p w14:paraId="1A6E3343"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zCs w:val="20"/>
          <w:lang w:val="lt-LT"/>
        </w:rPr>
      </w:pPr>
    </w:p>
    <w:p w14:paraId="10B14FFC"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A762B5">
        <w:rPr>
          <w:rFonts w:ascii="Times New Roman" w:eastAsia="Times New Roman" w:hAnsi="Times New Roman" w:cs="Times New Roman"/>
          <w:noProof/>
          <w:snapToGrid w:val="0"/>
          <w:szCs w:val="20"/>
          <w:highlight w:val="lightGray"/>
          <w:lang w:val="lt-LT"/>
        </w:rPr>
        <w:t>2D brūkšninis kodas su nurodytu unikaliu identifikatoriumi.</w:t>
      </w:r>
    </w:p>
    <w:p w14:paraId="7D562453"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6CBC83AE"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zCs w:val="20"/>
          <w:lang w:val="lt-LT"/>
        </w:rPr>
      </w:pPr>
    </w:p>
    <w:p w14:paraId="17148A0C" w14:textId="77777777" w:rsidR="00A762B5" w:rsidRPr="00A762B5" w:rsidRDefault="00A762B5" w:rsidP="00A762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A762B5">
        <w:rPr>
          <w:rFonts w:ascii="Times New Roman" w:eastAsia="Times New Roman" w:hAnsi="Times New Roman" w:cs="Times New Roman"/>
          <w:b/>
          <w:noProof/>
          <w:snapToGrid w:val="0"/>
          <w:szCs w:val="20"/>
          <w:lang w:val="lt-LT"/>
        </w:rPr>
        <w:t>18.</w:t>
      </w:r>
      <w:r w:rsidRPr="00A762B5">
        <w:rPr>
          <w:rFonts w:ascii="Times New Roman" w:eastAsia="Times New Roman" w:hAnsi="Times New Roman" w:cs="Times New Roman"/>
          <w:b/>
          <w:noProof/>
          <w:snapToGrid w:val="0"/>
          <w:szCs w:val="20"/>
          <w:lang w:val="lt-LT"/>
        </w:rPr>
        <w:tab/>
        <w:t>UNIKALUS IDENTIFIKATORIUS – ŽMONĖMS SUPRANTAMI DUOMENYS</w:t>
      </w:r>
    </w:p>
    <w:p w14:paraId="0A00AE21" w14:textId="77777777" w:rsidR="00A762B5" w:rsidRPr="00A762B5" w:rsidRDefault="00A762B5" w:rsidP="00A762B5">
      <w:pPr>
        <w:tabs>
          <w:tab w:val="left" w:pos="567"/>
        </w:tabs>
        <w:spacing w:after="0" w:line="260" w:lineRule="exact"/>
        <w:rPr>
          <w:rFonts w:ascii="Times New Roman" w:eastAsia="Times New Roman" w:hAnsi="Times New Roman" w:cs="Times New Roman"/>
          <w:noProof/>
          <w:snapToGrid w:val="0"/>
          <w:szCs w:val="20"/>
          <w:lang w:val="lt-LT"/>
        </w:rPr>
      </w:pPr>
    </w:p>
    <w:p w14:paraId="5724CB34" w14:textId="2EB2180A" w:rsidR="00A762B5" w:rsidRPr="00A762B5" w:rsidRDefault="00A762B5" w:rsidP="00A762B5">
      <w:pPr>
        <w:tabs>
          <w:tab w:val="left" w:pos="567"/>
        </w:tabs>
        <w:spacing w:after="0" w:line="260" w:lineRule="exact"/>
        <w:rPr>
          <w:rFonts w:ascii="Times New Roman" w:eastAsia="Times New Roman" w:hAnsi="Times New Roman" w:cs="Times New Roman"/>
          <w:snapToGrid w:val="0"/>
          <w:color w:val="008000"/>
          <w:lang w:val="lt-LT"/>
        </w:rPr>
      </w:pPr>
      <w:r w:rsidRPr="00A762B5">
        <w:rPr>
          <w:rFonts w:ascii="Times New Roman" w:eastAsia="Times New Roman" w:hAnsi="Times New Roman" w:cs="Times New Roman"/>
          <w:snapToGrid w:val="0"/>
          <w:szCs w:val="20"/>
          <w:lang w:val="lt-LT"/>
        </w:rPr>
        <w:t>PC {numeris}</w:t>
      </w:r>
    </w:p>
    <w:p w14:paraId="399471F7" w14:textId="01510A5C" w:rsidR="00A762B5" w:rsidRPr="00A762B5" w:rsidRDefault="00A762B5" w:rsidP="00A762B5">
      <w:pPr>
        <w:tabs>
          <w:tab w:val="left" w:pos="567"/>
        </w:tabs>
        <w:spacing w:after="0" w:line="260" w:lineRule="exact"/>
        <w:rPr>
          <w:rFonts w:ascii="Times New Roman" w:eastAsia="Times New Roman" w:hAnsi="Times New Roman" w:cs="Times New Roman"/>
          <w:snapToGrid w:val="0"/>
          <w:lang w:val="lt-LT"/>
        </w:rPr>
      </w:pPr>
      <w:r w:rsidRPr="00A762B5">
        <w:rPr>
          <w:rFonts w:ascii="Times New Roman" w:eastAsia="Times New Roman" w:hAnsi="Times New Roman" w:cs="Times New Roman"/>
          <w:snapToGrid w:val="0"/>
          <w:szCs w:val="20"/>
          <w:lang w:val="lt-LT"/>
        </w:rPr>
        <w:t>SN {numeris}</w:t>
      </w:r>
    </w:p>
    <w:p w14:paraId="0EE4F609" w14:textId="1D070CEB"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snapToGrid w:val="0"/>
          <w:szCs w:val="20"/>
          <w:highlight w:val="lightGray"/>
          <w:lang w:val="lt-LT"/>
        </w:rPr>
        <w:t xml:space="preserve">NN {numeris} </w:t>
      </w:r>
      <w:r w:rsidRPr="00A762B5">
        <w:rPr>
          <w:rFonts w:ascii="Times New Roman" w:eastAsia="Calibri" w:hAnsi="Times New Roman" w:cs="Times New Roman"/>
          <w:lang w:val="lt-LT" w:eastAsia="lt-LT"/>
        </w:rPr>
        <w:br w:type="page"/>
      </w:r>
    </w:p>
    <w:p w14:paraId="00BF80EE"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lastRenderedPageBreak/>
        <w:t xml:space="preserve">MINIMALI </w:t>
      </w:r>
      <w:r w:rsidRPr="00A762B5">
        <w:rPr>
          <w:rFonts w:ascii="Times New Roman" w:eastAsia="Calibri" w:hAnsi="Times New Roman" w:cs="Times New Roman"/>
          <w:b/>
          <w:caps/>
          <w:lang w:val="lt-LT"/>
        </w:rPr>
        <w:t xml:space="preserve">informacija ant </w:t>
      </w:r>
      <w:r w:rsidRPr="00A762B5">
        <w:rPr>
          <w:rFonts w:ascii="Times New Roman" w:eastAsia="Calibri" w:hAnsi="Times New Roman" w:cs="Times New Roman"/>
          <w:b/>
          <w:lang w:val="lt-LT"/>
        </w:rPr>
        <w:t>LIZDINIŲ PLOKŠTELIŲ ARBA DVISLUOKSNIŲ JUOSTELIŲ</w:t>
      </w:r>
    </w:p>
    <w:p w14:paraId="4DC1CCC7"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p>
    <w:p w14:paraId="1ED9CF7A"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LIZDINĖ PLOKŠTELĖ</w:t>
      </w:r>
    </w:p>
    <w:p w14:paraId="24F950D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B9E1F1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C1AB168"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1.</w:t>
      </w:r>
      <w:r w:rsidRPr="00A762B5">
        <w:rPr>
          <w:rFonts w:ascii="Times New Roman" w:eastAsia="Calibri" w:hAnsi="Times New Roman" w:cs="Times New Roman"/>
          <w:b/>
          <w:lang w:val="lt-LT"/>
        </w:rPr>
        <w:tab/>
        <w:t>VAISTINIO PREPARATO PAVADINIMAS</w:t>
      </w:r>
    </w:p>
    <w:p w14:paraId="3714C1A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25588C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20 mg tabletės</w:t>
      </w:r>
    </w:p>
    <w:p w14:paraId="166CBF64" w14:textId="6DA93223" w:rsidR="00A762B5" w:rsidRPr="00A762B5" w:rsidRDefault="00030BDF" w:rsidP="00A762B5">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s</w:t>
      </w:r>
      <w:r w:rsidR="00A762B5" w:rsidRPr="00A762B5">
        <w:rPr>
          <w:rFonts w:ascii="Times New Roman" w:eastAsia="Calibri" w:hAnsi="Times New Roman" w:cs="Times New Roman"/>
          <w:lang w:val="lt-LT" w:eastAsia="lt-LT"/>
        </w:rPr>
        <w:t>imvastatinum</w:t>
      </w:r>
    </w:p>
    <w:p w14:paraId="64F7204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79EA33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BE8DAF0"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2.</w:t>
      </w:r>
      <w:r w:rsidRPr="00A762B5">
        <w:rPr>
          <w:rFonts w:ascii="Times New Roman" w:eastAsia="Calibri" w:hAnsi="Times New Roman" w:cs="Times New Roman"/>
          <w:b/>
          <w:lang w:val="lt-LT"/>
        </w:rPr>
        <w:tab/>
        <w:t>REGISTRUOTOJO PAVADINIMAS</w:t>
      </w:r>
    </w:p>
    <w:p w14:paraId="4F23EE3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075D92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HEXAL AG</w:t>
      </w:r>
    </w:p>
    <w:p w14:paraId="34191AC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224AA5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3A8B7D6"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3.</w:t>
      </w:r>
      <w:r w:rsidRPr="00A762B5">
        <w:rPr>
          <w:rFonts w:ascii="Times New Roman" w:eastAsia="Calibri" w:hAnsi="Times New Roman" w:cs="Times New Roman"/>
          <w:b/>
          <w:lang w:val="lt-LT"/>
        </w:rPr>
        <w:tab/>
        <w:t>TINKAMUMO LAIKAS</w:t>
      </w:r>
    </w:p>
    <w:p w14:paraId="4AA13E7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6E758F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highlight w:val="lightGray"/>
          <w:lang w:val="lt-LT" w:eastAsia="lt-LT"/>
        </w:rPr>
        <w:t xml:space="preserve">EXP </w:t>
      </w:r>
      <w:r w:rsidRPr="00A762B5">
        <w:rPr>
          <w:rFonts w:ascii="Times New Roman" w:eastAsia="Calibri" w:hAnsi="Times New Roman" w:cs="Times New Roman"/>
          <w:lang w:val="lt-LT" w:eastAsia="lt-LT"/>
        </w:rPr>
        <w:t>{mm MMMM}</w:t>
      </w:r>
    </w:p>
    <w:p w14:paraId="144DCD5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7CC080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95CEAEE"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4.</w:t>
      </w:r>
      <w:r w:rsidRPr="00A762B5">
        <w:rPr>
          <w:rFonts w:ascii="Times New Roman" w:eastAsia="Calibri" w:hAnsi="Times New Roman" w:cs="Times New Roman"/>
          <w:b/>
          <w:lang w:val="lt-LT"/>
        </w:rPr>
        <w:tab/>
        <w:t>SERIJOS NUMERIS</w:t>
      </w:r>
    </w:p>
    <w:p w14:paraId="3CAD860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7FA8A2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highlight w:val="lightGray"/>
          <w:lang w:val="lt-LT" w:eastAsia="lt-LT"/>
        </w:rPr>
        <w:t xml:space="preserve">Lot </w:t>
      </w:r>
      <w:r w:rsidRPr="00A762B5">
        <w:rPr>
          <w:rFonts w:ascii="Times New Roman" w:eastAsia="Calibri" w:hAnsi="Times New Roman" w:cs="Times New Roman"/>
          <w:lang w:val="lt-LT" w:eastAsia="lt-LT"/>
        </w:rPr>
        <w:t>{numeris}</w:t>
      </w:r>
    </w:p>
    <w:p w14:paraId="119330C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6C2C24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8A49117" w14:textId="77777777" w:rsidR="00A762B5" w:rsidRPr="00A762B5" w:rsidRDefault="00A762B5" w:rsidP="00A762B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Calibri" w:hAnsi="Times New Roman" w:cs="Times New Roman"/>
          <w:b/>
          <w:lang w:val="lt-LT"/>
        </w:rPr>
      </w:pPr>
      <w:r w:rsidRPr="00A762B5">
        <w:rPr>
          <w:rFonts w:ascii="Times New Roman" w:eastAsia="Calibri" w:hAnsi="Times New Roman" w:cs="Times New Roman"/>
          <w:b/>
          <w:lang w:val="lt-LT"/>
        </w:rPr>
        <w:t>5.</w:t>
      </w:r>
      <w:r w:rsidRPr="00A762B5">
        <w:rPr>
          <w:rFonts w:ascii="Times New Roman" w:eastAsia="Calibri" w:hAnsi="Times New Roman" w:cs="Times New Roman"/>
          <w:b/>
          <w:lang w:val="lt-LT"/>
        </w:rPr>
        <w:tab/>
        <w:t>KITA</w:t>
      </w:r>
    </w:p>
    <w:p w14:paraId="2C5ECAA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B91B52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FDF410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b/>
          <w:lang w:val="lt-LT" w:eastAsia="lt-LT"/>
        </w:rPr>
        <w:br w:type="page"/>
      </w:r>
      <w:r w:rsidRPr="00A762B5">
        <w:rPr>
          <w:rFonts w:ascii="Times New Roman" w:eastAsia="Calibri" w:hAnsi="Times New Roman" w:cs="Times New Roman"/>
          <w:lang w:val="lt-LT" w:eastAsia="lt-LT"/>
        </w:rPr>
        <w:lastRenderedPageBreak/>
        <w:t xml:space="preserve"> </w:t>
      </w:r>
    </w:p>
    <w:p w14:paraId="22CE9BA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B366E5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235136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935DE4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29D732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D56A64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036FF1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8E3E50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9D6EE3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57D17E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B0A0E8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BDBE0D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D4DF18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238665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8BB19C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CD7EE8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2E5D29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5CB8FFD" w14:textId="77777777" w:rsidR="00A762B5" w:rsidRPr="00A762B5" w:rsidRDefault="00A762B5" w:rsidP="00A762B5">
      <w:pPr>
        <w:tabs>
          <w:tab w:val="left" w:pos="567"/>
        </w:tabs>
        <w:spacing w:after="0" w:line="240" w:lineRule="auto"/>
        <w:contextualSpacing/>
        <w:outlineLvl w:val="0"/>
        <w:rPr>
          <w:rFonts w:ascii="Times New Roman" w:eastAsia="Calibri" w:hAnsi="Times New Roman" w:cs="Times New Roman"/>
          <w:b/>
          <w:caps/>
          <w:lang w:val="lt-LT"/>
        </w:rPr>
      </w:pPr>
    </w:p>
    <w:p w14:paraId="2D5FC72A"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4E68501A"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12D5D7FB" w14:textId="77777777" w:rsid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30CB6631" w14:textId="77777777" w:rsidR="00C802F5" w:rsidRDefault="00C802F5" w:rsidP="00184A03">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061C2D83" w14:textId="77777777" w:rsidR="00C802F5" w:rsidRPr="00A762B5" w:rsidRDefault="00C802F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p>
    <w:p w14:paraId="020AA78D" w14:textId="77777777" w:rsidR="00A762B5" w:rsidRPr="00A762B5" w:rsidRDefault="00A762B5" w:rsidP="00A762B5">
      <w:pPr>
        <w:tabs>
          <w:tab w:val="left" w:pos="567"/>
        </w:tabs>
        <w:spacing w:after="0" w:line="240" w:lineRule="auto"/>
        <w:contextualSpacing/>
        <w:outlineLvl w:val="0"/>
        <w:rPr>
          <w:rFonts w:ascii="Times New Roman" w:eastAsia="Calibri" w:hAnsi="Times New Roman" w:cs="Times New Roman"/>
          <w:b/>
          <w:caps/>
          <w:lang w:val="lt-LT"/>
        </w:rPr>
      </w:pPr>
    </w:p>
    <w:p w14:paraId="6DCA7F19"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r w:rsidRPr="00A762B5">
        <w:rPr>
          <w:rFonts w:ascii="Times New Roman" w:eastAsia="Calibri" w:hAnsi="Times New Roman" w:cs="Times New Roman"/>
          <w:b/>
          <w:caps/>
          <w:lang w:val="lt-LT"/>
        </w:rPr>
        <w:t>B. PAKUOTĖS LAPELIS</w:t>
      </w:r>
    </w:p>
    <w:p w14:paraId="0C7AC8BD" w14:textId="77777777" w:rsidR="00A762B5" w:rsidRPr="00A762B5" w:rsidRDefault="00A762B5" w:rsidP="00A762B5">
      <w:pPr>
        <w:tabs>
          <w:tab w:val="left" w:pos="567"/>
        </w:tabs>
        <w:spacing w:after="0" w:line="240" w:lineRule="auto"/>
        <w:ind w:left="567" w:hanging="567"/>
        <w:contextualSpacing/>
        <w:jc w:val="center"/>
        <w:outlineLvl w:val="0"/>
        <w:rPr>
          <w:rFonts w:ascii="Times New Roman" w:eastAsia="Calibri" w:hAnsi="Times New Roman" w:cs="Times New Roman"/>
          <w:b/>
          <w:caps/>
          <w:lang w:val="lt-LT"/>
        </w:rPr>
      </w:pPr>
      <w:r w:rsidRPr="00A762B5">
        <w:rPr>
          <w:rFonts w:ascii="Times New Roman" w:eastAsia="Calibri" w:hAnsi="Times New Roman" w:cs="Times New Roman"/>
          <w:lang w:val="lt-LT"/>
        </w:rPr>
        <w:br w:type="page"/>
      </w:r>
    </w:p>
    <w:p w14:paraId="5D73BF5E" w14:textId="77777777" w:rsidR="00A762B5" w:rsidRPr="00A762B5" w:rsidRDefault="00A762B5" w:rsidP="00A762B5">
      <w:pPr>
        <w:spacing w:after="0" w:line="240" w:lineRule="auto"/>
        <w:contextualSpacing/>
        <w:jc w:val="center"/>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lastRenderedPageBreak/>
        <w:t>Pakuotės lapelis: informacija vartotojui</w:t>
      </w:r>
    </w:p>
    <w:p w14:paraId="3C8168A4" w14:textId="77777777" w:rsidR="00A762B5" w:rsidRPr="00A762B5" w:rsidRDefault="00A762B5" w:rsidP="00A762B5">
      <w:pPr>
        <w:spacing w:after="0" w:line="240" w:lineRule="auto"/>
        <w:contextualSpacing/>
        <w:jc w:val="center"/>
        <w:rPr>
          <w:rFonts w:ascii="Times New Roman" w:eastAsia="Calibri" w:hAnsi="Times New Roman" w:cs="Times New Roman"/>
          <w:b/>
          <w:lang w:val="lt-LT" w:eastAsia="lt-LT"/>
        </w:rPr>
      </w:pPr>
    </w:p>
    <w:p w14:paraId="4B984035" w14:textId="77777777" w:rsidR="00A762B5" w:rsidRPr="00A762B5" w:rsidRDefault="00A762B5" w:rsidP="00A762B5">
      <w:pPr>
        <w:spacing w:after="0" w:line="240" w:lineRule="auto"/>
        <w:contextualSpacing/>
        <w:jc w:val="center"/>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Simvacor 10 mg plėvele dengtos tabletės</w:t>
      </w:r>
    </w:p>
    <w:p w14:paraId="2AE408EC" w14:textId="77777777" w:rsidR="00A762B5" w:rsidRPr="00A762B5" w:rsidRDefault="00A762B5" w:rsidP="00A762B5">
      <w:pPr>
        <w:spacing w:after="0" w:line="240" w:lineRule="auto"/>
        <w:contextualSpacing/>
        <w:jc w:val="center"/>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Simvacor 20 mg plėvele dengtos tabletės</w:t>
      </w:r>
    </w:p>
    <w:p w14:paraId="09370D25" w14:textId="0EF5627A" w:rsidR="00A762B5" w:rsidRPr="00A762B5" w:rsidRDefault="00030BDF" w:rsidP="00A762B5">
      <w:pPr>
        <w:spacing w:after="0" w:line="240" w:lineRule="auto"/>
        <w:contextualSpacing/>
        <w:jc w:val="center"/>
        <w:rPr>
          <w:rFonts w:ascii="Times New Roman" w:eastAsia="Calibri" w:hAnsi="Times New Roman" w:cs="Times New Roman"/>
          <w:lang w:val="lt-LT" w:eastAsia="lt-LT"/>
        </w:rPr>
      </w:pPr>
      <w:r>
        <w:rPr>
          <w:rFonts w:ascii="Times New Roman" w:eastAsia="Calibri" w:hAnsi="Times New Roman" w:cs="Times New Roman"/>
          <w:lang w:val="lt-LT" w:eastAsia="lt-LT"/>
        </w:rPr>
        <w:t>s</w:t>
      </w:r>
      <w:r w:rsidR="00A762B5" w:rsidRPr="00A762B5">
        <w:rPr>
          <w:rFonts w:ascii="Times New Roman" w:eastAsia="Calibri" w:hAnsi="Times New Roman" w:cs="Times New Roman"/>
          <w:lang w:val="lt-LT" w:eastAsia="lt-LT"/>
        </w:rPr>
        <w:t>imvastatinas</w:t>
      </w:r>
    </w:p>
    <w:p w14:paraId="1FFFFBE4" w14:textId="77777777" w:rsidR="00A762B5" w:rsidRPr="00A762B5" w:rsidRDefault="00A762B5" w:rsidP="00A762B5">
      <w:pPr>
        <w:spacing w:after="0" w:line="240" w:lineRule="auto"/>
        <w:contextualSpacing/>
        <w:jc w:val="center"/>
        <w:rPr>
          <w:rFonts w:ascii="Times New Roman" w:eastAsia="Calibri" w:hAnsi="Times New Roman" w:cs="Times New Roman"/>
          <w:lang w:val="lt-LT" w:eastAsia="lt-LT"/>
        </w:rPr>
      </w:pPr>
    </w:p>
    <w:p w14:paraId="3A6F1D30"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Atidžiai perskaitykite visą šį lapelį, prieš pradėdami vartoti vaistą, nes jame pateikiama Jums svarbi informacija.</w:t>
      </w:r>
    </w:p>
    <w:p w14:paraId="53BF9F97" w14:textId="77777777" w:rsidR="00A762B5" w:rsidRPr="00A762B5" w:rsidRDefault="00A762B5" w:rsidP="00A762B5">
      <w:pPr>
        <w:numPr>
          <w:ilvl w:val="0"/>
          <w:numId w:val="29"/>
        </w:numPr>
        <w:tabs>
          <w:tab w:val="num" w:pos="64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Neišmeskite šio lapelio, nes vėl gali prireikti jį perskaityti.</w:t>
      </w:r>
    </w:p>
    <w:p w14:paraId="795A45EF" w14:textId="77777777" w:rsidR="00A762B5" w:rsidRPr="00A762B5" w:rsidRDefault="00A762B5" w:rsidP="00A762B5">
      <w:pPr>
        <w:numPr>
          <w:ilvl w:val="0"/>
          <w:numId w:val="29"/>
        </w:numPr>
        <w:tabs>
          <w:tab w:val="num" w:pos="64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kiltų daugiau klausimų, kreipkitės į gydytoją arba vaistininką.</w:t>
      </w:r>
    </w:p>
    <w:p w14:paraId="1739D91D" w14:textId="77777777" w:rsidR="00A762B5" w:rsidRPr="00A762B5" w:rsidRDefault="00A762B5" w:rsidP="00A762B5">
      <w:pPr>
        <w:numPr>
          <w:ilvl w:val="0"/>
          <w:numId w:val="29"/>
        </w:numPr>
        <w:tabs>
          <w:tab w:val="num" w:pos="64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Šis vaistas skirtas tik Jums, todėl kitiems žmonėms jo duoti negalima. Vaistas gali jiems pakenkti (net tiems, kurių ligos požymiai yra tokie patys kaip Jūsų).</w:t>
      </w:r>
    </w:p>
    <w:p w14:paraId="214AE79B" w14:textId="77777777" w:rsidR="00A762B5" w:rsidRPr="00A762B5" w:rsidRDefault="00A762B5" w:rsidP="00A762B5">
      <w:pPr>
        <w:numPr>
          <w:ilvl w:val="0"/>
          <w:numId w:val="29"/>
        </w:numPr>
        <w:tabs>
          <w:tab w:val="num" w:pos="64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pasireiškė šalutinis poveikis (net jeigu jis šiame lapelyje nenurodytas), kreipkitės į gydytoją arba vaistininką. Žr. 4 skyrių.</w:t>
      </w:r>
    </w:p>
    <w:p w14:paraId="51A3F66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A2FD59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8228A81"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Apie ką rašoma šiame lapelyje?</w:t>
      </w:r>
    </w:p>
    <w:p w14:paraId="20283F9F"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p>
    <w:p w14:paraId="431D788D" w14:textId="77777777" w:rsidR="00A762B5" w:rsidRPr="00A762B5" w:rsidRDefault="00A762B5" w:rsidP="00A762B5">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1.</w:t>
      </w:r>
      <w:r w:rsidRPr="00A762B5">
        <w:rPr>
          <w:rFonts w:ascii="Times New Roman" w:eastAsia="Calibri" w:hAnsi="Times New Roman" w:cs="Times New Roman"/>
          <w:lang w:val="lt-LT" w:eastAsia="lt-LT"/>
        </w:rPr>
        <w:tab/>
        <w:t>Kas yra Simvacor ir kam jis vartojamas</w:t>
      </w:r>
    </w:p>
    <w:p w14:paraId="5CA67F21" w14:textId="77777777" w:rsidR="00A762B5" w:rsidRPr="00A762B5" w:rsidRDefault="00A762B5" w:rsidP="00A762B5">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2.</w:t>
      </w:r>
      <w:r w:rsidRPr="00A762B5">
        <w:rPr>
          <w:rFonts w:ascii="Times New Roman" w:eastAsia="Calibri" w:hAnsi="Times New Roman" w:cs="Times New Roman"/>
          <w:lang w:val="lt-LT" w:eastAsia="lt-LT"/>
        </w:rPr>
        <w:tab/>
        <w:t>Kas žinotina prieš vartojant Simvacor</w:t>
      </w:r>
    </w:p>
    <w:p w14:paraId="7A6800E2" w14:textId="77777777" w:rsidR="00A762B5" w:rsidRPr="00A762B5" w:rsidRDefault="00A762B5" w:rsidP="00A762B5">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3.</w:t>
      </w:r>
      <w:r w:rsidRPr="00A762B5">
        <w:rPr>
          <w:rFonts w:ascii="Times New Roman" w:eastAsia="Calibri" w:hAnsi="Times New Roman" w:cs="Times New Roman"/>
          <w:lang w:val="lt-LT" w:eastAsia="lt-LT"/>
        </w:rPr>
        <w:tab/>
        <w:t>Kaip vartoti Simvacor</w:t>
      </w:r>
    </w:p>
    <w:p w14:paraId="02F6CD86" w14:textId="77777777" w:rsidR="00A762B5" w:rsidRPr="00A762B5" w:rsidRDefault="00A762B5" w:rsidP="00A762B5">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4.</w:t>
      </w:r>
      <w:r w:rsidRPr="00A762B5">
        <w:rPr>
          <w:rFonts w:ascii="Times New Roman" w:eastAsia="Calibri" w:hAnsi="Times New Roman" w:cs="Times New Roman"/>
          <w:lang w:val="lt-LT" w:eastAsia="lt-LT"/>
        </w:rPr>
        <w:tab/>
        <w:t>Galimas šalutinis poveikis</w:t>
      </w:r>
    </w:p>
    <w:p w14:paraId="5137450D" w14:textId="77777777" w:rsidR="00A762B5" w:rsidRPr="00A762B5" w:rsidRDefault="00A762B5" w:rsidP="00A762B5">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5.</w:t>
      </w:r>
      <w:r w:rsidRPr="00A762B5">
        <w:rPr>
          <w:rFonts w:ascii="Times New Roman" w:eastAsia="Calibri" w:hAnsi="Times New Roman" w:cs="Times New Roman"/>
          <w:lang w:val="lt-LT" w:eastAsia="lt-LT"/>
        </w:rPr>
        <w:tab/>
        <w:t>Kaip laikyti Simvacor</w:t>
      </w:r>
    </w:p>
    <w:p w14:paraId="5060E67B" w14:textId="77777777" w:rsidR="00A762B5" w:rsidRPr="00A762B5" w:rsidRDefault="00A762B5" w:rsidP="00A762B5">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6.</w:t>
      </w:r>
      <w:r w:rsidRPr="00A762B5">
        <w:rPr>
          <w:rFonts w:ascii="Times New Roman" w:eastAsia="Calibri" w:hAnsi="Times New Roman" w:cs="Times New Roman"/>
          <w:lang w:val="lt-LT" w:eastAsia="lt-LT"/>
        </w:rPr>
        <w:tab/>
        <w:t>Pakuotės turinys ir kita informacija</w:t>
      </w:r>
    </w:p>
    <w:p w14:paraId="3076D69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A13843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9C453FA" w14:textId="77777777" w:rsidR="00A762B5" w:rsidRPr="00A762B5" w:rsidRDefault="00A762B5" w:rsidP="00A762B5">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1.</w:t>
      </w:r>
      <w:r w:rsidRPr="00A762B5">
        <w:rPr>
          <w:rFonts w:ascii="Times New Roman" w:eastAsia="Calibri" w:hAnsi="Times New Roman" w:cs="Times New Roman"/>
          <w:b/>
          <w:lang w:val="lt-LT" w:eastAsia="lt-LT"/>
        </w:rPr>
        <w:tab/>
        <w:t>Kas yra Simvacor ir kam jis vartojamas</w:t>
      </w:r>
    </w:p>
    <w:p w14:paraId="3BD66C6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C0A337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Simvacor yra vaistas, mažinantis padidėjusį cholesterolio kiekį kraujyje. </w:t>
      </w:r>
    </w:p>
    <w:p w14:paraId="1E6539F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C6D9B7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vartojamas:</w:t>
      </w:r>
    </w:p>
    <w:p w14:paraId="03F2CD53" w14:textId="77777777" w:rsidR="00A762B5" w:rsidRPr="00A762B5" w:rsidRDefault="00A762B5" w:rsidP="00A762B5">
      <w:pPr>
        <w:numPr>
          <w:ilvl w:val="0"/>
          <w:numId w:val="30"/>
        </w:num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esant lipidų kiekio padidėjimui kraujyje</w:t>
      </w:r>
    </w:p>
    <w:p w14:paraId="14BBA480" w14:textId="77777777" w:rsidR="00A762B5" w:rsidRPr="00A762B5" w:rsidRDefault="00A762B5" w:rsidP="00A762B5">
      <w:pPr>
        <w:numPr>
          <w:ilvl w:val="0"/>
          <w:numId w:val="14"/>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Lipidų kiekio padidėjimo kraujyje (pirminės hipercholesterolemijos ar mišrios hiperlipidemijos), kurio negalima paaiškinti kitomis ligomis, gydymas kartu su dieta, kai vien dietos ar kitokių nefarmakologinių priemonių (pvz., fizinio krūvio, svorio mažinimo) nepakanka.</w:t>
      </w:r>
    </w:p>
    <w:p w14:paraId="7DA27094" w14:textId="77777777" w:rsidR="00A762B5" w:rsidRPr="00A762B5" w:rsidRDefault="00A762B5" w:rsidP="00A762B5">
      <w:pPr>
        <w:numPr>
          <w:ilvl w:val="0"/>
          <w:numId w:val="14"/>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Paveldimo lipidų kiekio padidėjimo kraujyje (homozigotinės šeiminės hipercholesterolemijos) gydymui Simvacor vartojama kartu su dieta ir kitomis lipidų kiekį mažinančiomis priemonėmis, arba jei šios priemonės netinka.</w:t>
      </w:r>
    </w:p>
    <w:p w14:paraId="5BC5D2C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F34F82F" w14:textId="77777777" w:rsidR="00A762B5" w:rsidRPr="00A762B5" w:rsidRDefault="00A762B5" w:rsidP="00A762B5">
      <w:pPr>
        <w:numPr>
          <w:ilvl w:val="0"/>
          <w:numId w:val="13"/>
        </w:num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širdies ir kraujagyslių sistemos sutrikimų profilaktikai</w:t>
      </w:r>
    </w:p>
    <w:p w14:paraId="3E220AA0" w14:textId="77777777" w:rsidR="00A762B5" w:rsidRPr="00A762B5" w:rsidRDefault="00A762B5" w:rsidP="00A762B5">
      <w:pPr>
        <w:spacing w:after="0" w:line="240" w:lineRule="auto"/>
        <w:ind w:left="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Pacientų, sergančių išreikšta aterosklerozine širdies liga ar cukriniu diabetu, kai cholesterolio kiekis normalus arba padidėjęs, širdies ir kraujagyslių sistemos sutrikimo sukeltų mirčių ir reiškinių dažnumo mažinimas. Vaisto vartojimas yra kaip papildoma priemonė, derinama kartu su kitų rizikos faktorių korekcija bei širdies ir kraujagyslių sistemą saugančiu gydymu. </w:t>
      </w:r>
    </w:p>
    <w:p w14:paraId="3AFE770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F28949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2D95146" w14:textId="77777777" w:rsidR="00A762B5" w:rsidRPr="00A762B5" w:rsidRDefault="00A762B5" w:rsidP="00A762B5">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2.</w:t>
      </w:r>
      <w:r w:rsidRPr="00A762B5">
        <w:rPr>
          <w:rFonts w:ascii="Times New Roman" w:eastAsia="Calibri" w:hAnsi="Times New Roman" w:cs="Times New Roman"/>
          <w:b/>
          <w:lang w:val="lt-LT" w:eastAsia="lt-LT"/>
        </w:rPr>
        <w:tab/>
        <w:t>Kas žinotina prieš vartojant Simvacor</w:t>
      </w:r>
    </w:p>
    <w:p w14:paraId="460FE44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AB4C584" w14:textId="76CF9C3D"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lang w:val="lt-LT"/>
        </w:rPr>
        <w:t>Simvacor</w:t>
      </w:r>
      <w:r w:rsidRPr="00A762B5">
        <w:rPr>
          <w:rFonts w:ascii="Times New Roman" w:eastAsia="Calibri" w:hAnsi="Times New Roman" w:cs="Times New Roman"/>
          <w:b/>
          <w:bCs/>
          <w:lang w:val="lt-LT"/>
        </w:rPr>
        <w:t xml:space="preserve"> vartoti </w:t>
      </w:r>
      <w:r w:rsidR="002B2821">
        <w:rPr>
          <w:rFonts w:ascii="Times New Roman" w:eastAsia="Calibri" w:hAnsi="Times New Roman" w:cs="Times New Roman"/>
          <w:b/>
          <w:bCs/>
          <w:lang w:val="lt-LT"/>
        </w:rPr>
        <w:t>draudžiama</w:t>
      </w:r>
      <w:r w:rsidRPr="00A762B5">
        <w:rPr>
          <w:rFonts w:ascii="Times New Roman" w:eastAsia="Calibri" w:hAnsi="Times New Roman" w:cs="Times New Roman"/>
          <w:b/>
          <w:bCs/>
          <w:lang w:val="lt-LT"/>
        </w:rPr>
        <w:t>:</w:t>
      </w:r>
    </w:p>
    <w:p w14:paraId="340A375D" w14:textId="77777777" w:rsidR="00A762B5" w:rsidRPr="00A762B5" w:rsidRDefault="00A762B5" w:rsidP="00A762B5">
      <w:pPr>
        <w:numPr>
          <w:ilvl w:val="0"/>
          <w:numId w:val="31"/>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yra alergija veikliajai medžiagai arba bet kuriai pagalbinei šio vaisto medžiagai (jos išvardytos 6 skyriuje);</w:t>
      </w:r>
    </w:p>
    <w:p w14:paraId="06FABF88" w14:textId="77777777" w:rsidR="00A762B5" w:rsidRPr="00A762B5" w:rsidRDefault="00A762B5" w:rsidP="00A762B5">
      <w:pPr>
        <w:numPr>
          <w:ilvl w:val="0"/>
          <w:numId w:val="31"/>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Jūs sergate aktyvia kepenų liga ar kraujyje dėl neaiškios priežasties yra nuolat padidėjęs tam tikrų kepenų fermentų (transaminazių) aktyvumas;</w:t>
      </w:r>
    </w:p>
    <w:p w14:paraId="5C928897" w14:textId="77777777" w:rsidR="00A762B5" w:rsidRPr="00A762B5" w:rsidRDefault="00A762B5" w:rsidP="00A762B5">
      <w:pPr>
        <w:numPr>
          <w:ilvl w:val="0"/>
          <w:numId w:val="31"/>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Jūs esate nėščia arba žindyvė;</w:t>
      </w:r>
    </w:p>
    <w:p w14:paraId="7C8EEDEE" w14:textId="77777777" w:rsidR="00A762B5" w:rsidRPr="00A762B5" w:rsidRDefault="00A762B5" w:rsidP="00A762B5">
      <w:pPr>
        <w:numPr>
          <w:ilvl w:val="0"/>
          <w:numId w:val="31"/>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Jūs kartu vartojate vaistų, kurie slopina citochromo P450 3A4 fermento aktyvumą, pvz., itrakonazolo, ketokonazolo, flukonazolo, pozakonazolo (vaistų nuo patogeninių grybelių), ŽIV </w:t>
      </w:r>
      <w:r w:rsidRPr="00A762B5">
        <w:rPr>
          <w:rFonts w:ascii="Times New Roman" w:eastAsia="Calibri" w:hAnsi="Times New Roman" w:cs="Times New Roman"/>
          <w:lang w:val="lt-LT" w:eastAsia="lt-LT"/>
        </w:rPr>
        <w:lastRenderedPageBreak/>
        <w:t>proteazės inhibitorių (vaistų nuo ŽIV infekcijos), eritromicino, klaritromicino, telitromicino (antibiotikų), nefazadono (antidepresanto) ar vaisto, kurio sudėtyje yra kobicistato (žr. skyrių „Kiti vaistai ir Simvacor“);</w:t>
      </w:r>
    </w:p>
    <w:p w14:paraId="124AC4F1" w14:textId="77777777" w:rsidR="00A762B5" w:rsidRPr="00A762B5" w:rsidRDefault="00A762B5" w:rsidP="00A762B5">
      <w:pPr>
        <w:numPr>
          <w:ilvl w:val="0"/>
          <w:numId w:val="31"/>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Jūs kartu vartojate gemfibrozilio (lipidų kiekį mažinančio vaisto), ciklosporino (imunosupresinio vaisto) arba danazolo (sintetinio hormono);</w:t>
      </w:r>
    </w:p>
    <w:p w14:paraId="5972003B"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 xml:space="preserve">jeigu esate gydomas lomitapidu (vartojamu sunkios ir retos genetinės cholesterolio būsenos gydymui), nevartokite daugiau negu 40 mg Simvacor. </w:t>
      </w:r>
    </w:p>
    <w:p w14:paraId="057FB77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FAF315F" w14:textId="77777777" w:rsidR="00A762B5" w:rsidRPr="00A762B5" w:rsidRDefault="00A762B5" w:rsidP="00A762B5">
      <w:pPr>
        <w:keepNext/>
        <w:spacing w:after="0" w:line="240" w:lineRule="auto"/>
        <w:contextualSpacing/>
        <w:jc w:val="both"/>
        <w:outlineLvl w:val="3"/>
        <w:rPr>
          <w:rFonts w:ascii="Times New Roman" w:eastAsia="Times New Roman" w:hAnsi="Times New Roman" w:cs="Times New Roman"/>
          <w:b/>
          <w:lang w:val="lt-LT" w:eastAsia="lt-LT"/>
        </w:rPr>
      </w:pPr>
      <w:r w:rsidRPr="00A762B5">
        <w:rPr>
          <w:rFonts w:ascii="Times New Roman" w:eastAsia="Times New Roman" w:hAnsi="Times New Roman" w:cs="Times New Roman"/>
          <w:b/>
          <w:lang w:val="lt-LT" w:eastAsia="lt-LT"/>
        </w:rPr>
        <w:t xml:space="preserve">Įspėjimai ir atsargumo priemonės </w:t>
      </w:r>
    </w:p>
    <w:p w14:paraId="4F05BFC2" w14:textId="77777777" w:rsidR="00A762B5" w:rsidRPr="00A762B5" w:rsidRDefault="00A762B5" w:rsidP="00A762B5">
      <w:pPr>
        <w:numPr>
          <w:ilvl w:val="12"/>
          <w:numId w:val="0"/>
        </w:numPr>
        <w:spacing w:after="0" w:line="240" w:lineRule="auto"/>
        <w:ind w:right="-2"/>
        <w:contextualSpacing/>
        <w:rPr>
          <w:rFonts w:ascii="Times New Roman" w:eastAsia="Times New Roman" w:hAnsi="Times New Roman" w:cs="Times New Roman"/>
          <w:lang w:val="lt-LT" w:eastAsia="lt-LT"/>
        </w:rPr>
      </w:pPr>
      <w:r w:rsidRPr="00A762B5">
        <w:rPr>
          <w:rFonts w:ascii="Times New Roman" w:eastAsia="Times New Roman" w:hAnsi="Times New Roman" w:cs="Times New Roman"/>
          <w:lang w:val="lt-LT" w:eastAsia="lt-LT"/>
        </w:rPr>
        <w:t>Pasitarkite su gydytoju arba vaistininku, prieš pradėdami vartoti Simvacor.</w:t>
      </w:r>
    </w:p>
    <w:p w14:paraId="2A9A62C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FCD0678" w14:textId="77777777" w:rsidR="00A762B5" w:rsidRPr="00A762B5" w:rsidRDefault="00A762B5" w:rsidP="00A762B5">
      <w:pPr>
        <w:spacing w:after="0" w:line="240" w:lineRule="auto"/>
        <w:contextualSpacing/>
        <w:rPr>
          <w:rFonts w:ascii="Times New Roman" w:eastAsia="Calibri" w:hAnsi="Times New Roman" w:cs="Times New Roman"/>
          <w:bCs/>
          <w:lang w:val="lt-LT"/>
        </w:rPr>
      </w:pPr>
      <w:r w:rsidRPr="00A762B5">
        <w:rPr>
          <w:rFonts w:ascii="Times New Roman" w:eastAsia="Calibri" w:hAnsi="Times New Roman" w:cs="Times New Roman"/>
          <w:bCs/>
          <w:lang w:val="lt-LT"/>
        </w:rPr>
        <w:t>Specialių atsargumo priemonių, vartojant Simvacor, reikia:</w:t>
      </w:r>
    </w:p>
    <w:p w14:paraId="3E36231F" w14:textId="77777777" w:rsidR="00FF1EA1" w:rsidRPr="009D1356" w:rsidRDefault="00A762B5" w:rsidP="00A762B5">
      <w:pPr>
        <w:numPr>
          <w:ilvl w:val="0"/>
          <w:numId w:val="32"/>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gydymo Simvacor metu atsiranda neaiškių priežasčių sukeltas raumenų skausmas, silpnumas ar mėšlungis, reikia nedelsiant informuoti gydytoją. Simvastatinas retkarčiais sukelia skeleto raumenų ligą (miopatiją). Retai simvastatinas gali sukelti sunkų raumenų pažeidimą (rabdomiolizę), dėl kurios gali sutrikti inkstų </w:t>
      </w:r>
      <w:r w:rsidR="00D10AAE">
        <w:rPr>
          <w:rFonts w:ascii="Times New Roman" w:eastAsia="Calibri" w:hAnsi="Times New Roman" w:cs="Times New Roman"/>
          <w:lang w:val="lt-LT" w:eastAsia="lt-LT"/>
        </w:rPr>
        <w:t>funkcija</w:t>
      </w:r>
      <w:r w:rsidRPr="00A762B5">
        <w:rPr>
          <w:rFonts w:ascii="Times New Roman" w:eastAsia="Calibri" w:hAnsi="Times New Roman" w:cs="Times New Roman"/>
          <w:lang w:val="lt-LT" w:eastAsia="lt-LT"/>
        </w:rPr>
        <w:t>. Raumenų ligos/raumenų ląstelių irimo rizika yra didesnė pacientams, kurie vartoja didelę Simvacor dozę ar jų vartoja kartu su tam tikrais vaistais (žr. skyrių „Kiti vaistai ir Simvacor“).</w:t>
      </w:r>
      <w:r w:rsidR="00FF1EA1" w:rsidRPr="00FF1EA1">
        <w:t xml:space="preserve"> </w:t>
      </w:r>
    </w:p>
    <w:p w14:paraId="777E2C0A" w14:textId="0BD26335" w:rsidR="00A762B5" w:rsidRPr="00A762B5" w:rsidRDefault="00FF1EA1" w:rsidP="00A762B5">
      <w:pPr>
        <w:numPr>
          <w:ilvl w:val="0"/>
          <w:numId w:val="32"/>
        </w:numPr>
        <w:spacing w:after="0" w:line="240" w:lineRule="auto"/>
        <w:contextualSpacing/>
        <w:rPr>
          <w:rFonts w:ascii="Times New Roman" w:eastAsia="Calibri" w:hAnsi="Times New Roman" w:cs="Times New Roman"/>
          <w:lang w:val="lt-LT" w:eastAsia="lt-LT"/>
        </w:rPr>
      </w:pPr>
      <w:r w:rsidRPr="00FF1EA1">
        <w:rPr>
          <w:rFonts w:ascii="Times New Roman" w:eastAsia="Calibri" w:hAnsi="Times New Roman" w:cs="Times New Roman"/>
          <w:lang w:val="lt-LT" w:eastAsia="lt-LT"/>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w:t>
      </w:r>
      <w:r w:rsidR="00FC29F1">
        <w:rPr>
          <w:rFonts w:ascii="Times New Roman" w:eastAsia="Calibri" w:hAnsi="Times New Roman" w:cs="Times New Roman"/>
          <w:lang w:val="lt-LT" w:eastAsia="lt-LT"/>
        </w:rPr>
        <w:t> </w:t>
      </w:r>
      <w:r w:rsidRPr="00FF1EA1">
        <w:rPr>
          <w:rFonts w:ascii="Times New Roman" w:eastAsia="Calibri" w:hAnsi="Times New Roman" w:cs="Times New Roman"/>
          <w:lang w:val="lt-LT" w:eastAsia="lt-LT"/>
        </w:rPr>
        <w:t>4</w:t>
      </w:r>
      <w:r w:rsidR="00FC29F1">
        <w:rPr>
          <w:rFonts w:ascii="Times New Roman" w:eastAsia="Calibri" w:hAnsi="Times New Roman" w:cs="Times New Roman"/>
          <w:lang w:val="lt-LT" w:eastAsia="lt-LT"/>
        </w:rPr>
        <w:t> </w:t>
      </w:r>
      <w:r w:rsidRPr="00FF1EA1">
        <w:rPr>
          <w:rFonts w:ascii="Times New Roman" w:eastAsia="Calibri" w:hAnsi="Times New Roman" w:cs="Times New Roman"/>
          <w:lang w:val="lt-LT" w:eastAsia="lt-LT"/>
        </w:rPr>
        <w:t>skyrių)</w:t>
      </w:r>
      <w:r>
        <w:rPr>
          <w:rFonts w:ascii="Times New Roman" w:eastAsia="Calibri" w:hAnsi="Times New Roman" w:cs="Times New Roman"/>
          <w:lang w:val="lt-LT" w:eastAsia="lt-LT"/>
        </w:rPr>
        <w:t>.</w:t>
      </w:r>
    </w:p>
    <w:p w14:paraId="3E6C84FA" w14:textId="78097A05" w:rsidR="00A762B5" w:rsidRPr="00A762B5" w:rsidRDefault="00A762B5" w:rsidP="00A762B5">
      <w:pPr>
        <w:numPr>
          <w:ilvl w:val="0"/>
          <w:numId w:val="32"/>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Pasakykite gydytojui, jeigu Jums yra daugiau negu 65 metai, jeigu yra sutrikusi inkstų </w:t>
      </w:r>
      <w:r w:rsidR="00D10AAE">
        <w:rPr>
          <w:rFonts w:ascii="Times New Roman" w:eastAsia="Calibri" w:hAnsi="Times New Roman" w:cs="Times New Roman"/>
          <w:lang w:val="lt-LT" w:eastAsia="lt-LT"/>
        </w:rPr>
        <w:t>funkcija</w:t>
      </w:r>
      <w:r w:rsidRPr="00A762B5">
        <w:rPr>
          <w:rFonts w:ascii="Times New Roman" w:eastAsia="Calibri" w:hAnsi="Times New Roman" w:cs="Times New Roman"/>
          <w:lang w:val="lt-LT" w:eastAsia="lt-LT"/>
        </w:rPr>
        <w:t xml:space="preserve">, negydoma susilpnėjusi skydliaukės </w:t>
      </w:r>
      <w:r w:rsidR="00D10AAE">
        <w:rPr>
          <w:rFonts w:ascii="Times New Roman" w:eastAsia="Calibri" w:hAnsi="Times New Roman" w:cs="Times New Roman"/>
          <w:lang w:val="lt-LT" w:eastAsia="lt-LT"/>
        </w:rPr>
        <w:t>funkcija</w:t>
      </w:r>
      <w:r w:rsidRPr="00A762B5">
        <w:rPr>
          <w:rFonts w:ascii="Times New Roman" w:eastAsia="Calibri" w:hAnsi="Times New Roman" w:cs="Times New Roman"/>
          <w:lang w:val="lt-LT" w:eastAsia="lt-LT"/>
        </w:rPr>
        <w:t>, jeigu Jums ar Jūsų kraujo giminaičiams yra buvę raumenų sutrikimų arba Jūs reguliariai geriate alkoholio, kadangi šie veiksniai gali didinti raumenų sutrikimo riziką.</w:t>
      </w:r>
    </w:p>
    <w:p w14:paraId="643642B6" w14:textId="77777777" w:rsidR="00A762B5" w:rsidRPr="00A762B5" w:rsidRDefault="00A762B5" w:rsidP="00A762B5">
      <w:pPr>
        <w:numPr>
          <w:ilvl w:val="0"/>
          <w:numId w:val="32"/>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Jūs sirgote tam tikromis kepenų ligomis. Gali šiek tiek padidėti transaminazių aktyvumas, tačiau jis paprastai sunormalėja nenutraukus gydymo simvastatinu. Nuolatinis serumo transaminazių aktyvumo padidėjimas nutraukus ar pertraukus gydymą simvastatinu paprastai iš lėto sumažėja iki prieš gydymą buvusio aktyvumo.</w:t>
      </w:r>
    </w:p>
    <w:p w14:paraId="10AA1C6F" w14:textId="77777777" w:rsidR="00A762B5" w:rsidRPr="00A762B5" w:rsidRDefault="00A762B5" w:rsidP="00A762B5">
      <w:pPr>
        <w:numPr>
          <w:ilvl w:val="0"/>
          <w:numId w:val="32"/>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Jums bus atliekama planinė operacija, patariama nutraukti Simvacor vartojimą likus iki operacijos ne mažiau kaip kelioms paroms.</w:t>
      </w:r>
    </w:p>
    <w:p w14:paraId="69117968"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p>
    <w:p w14:paraId="5E6B75A1"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lang w:val="lt-LT" w:eastAsia="lt-LT"/>
        </w:rPr>
        <w:t>Kreipkitės į gydytoją arba vaistininką, jeigu sergate sunkiu kvėpavimo nepakankamumu.</w:t>
      </w:r>
    </w:p>
    <w:p w14:paraId="5B8C7C1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780D5E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Gydytojui gali reikėti atlikti Jūsų kraujo ir kepenų veiklos tyrimus tam, kad patikrintų, ar prieš gydymą Simvacor ir jo metu tinkamai veikia kepenys ir raumenys.</w:t>
      </w:r>
    </w:p>
    <w:p w14:paraId="649A88B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77C6645"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r w:rsidRPr="00A762B5">
        <w:rPr>
          <w:rFonts w:ascii="Times New Roman" w:eastAsia="Calibri" w:hAnsi="Times New Roman" w:cs="Times New Roman"/>
          <w:lang w:val="lt-LT" w:eastAsia="lt-LT"/>
        </w:rPr>
        <w:t>Jei sergate cukriniu diabetu, ar yra padidėjusi jo išsivystymo rizika, vartojant šio vaisto gydytojas Jus atidžiai stebės. Jums cukrinio diabeto išsivystymo rizika yra padidėjusi, jei Jūsų kraujyje yra didelis cukraus ir riebalų kiekis, turite antsvorio ar Jūsų kraujospūdis yra aukštas.</w:t>
      </w:r>
    </w:p>
    <w:p w14:paraId="1A6C33F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Pasikalbėkite su savo gydytoju, vaistininku ar slaugytoja prieš pradedant vartoti Simvacor:</w:t>
      </w:r>
    </w:p>
    <w:p w14:paraId="44126ED6" w14:textId="77777777" w:rsidR="00A762B5" w:rsidRPr="00A762B5" w:rsidRDefault="00A762B5" w:rsidP="00A762B5">
      <w:pPr>
        <w:numPr>
          <w:ilvl w:val="0"/>
          <w:numId w:val="13"/>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jaučiate nuolatinį raumenų silpnumą. Šiam sutrikimui diagnozuoti ir gydyti gali prireikti papildomų tyrimų ir vaistų.</w:t>
      </w:r>
    </w:p>
    <w:p w14:paraId="1232D4FF" w14:textId="77777777" w:rsidR="00A762B5" w:rsidRPr="00A762B5" w:rsidRDefault="00A762B5" w:rsidP="00A762B5">
      <w:pPr>
        <w:numPr>
          <w:ilvl w:val="0"/>
          <w:numId w:val="13"/>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Jūs vartojate ar per pastarąsias 7 dienas vartojote geriamojo ar leidžiamojo vaisto, vadinamo fuzido rūgštimi (vaisto nuo bakterinės infekcijos). Fuzido rūgšties ir Simvacor derinys gali vesti prie pavojingų raumenų sutrikimų (rabdomiolizės).</w:t>
      </w:r>
    </w:p>
    <w:p w14:paraId="4321F887"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p>
    <w:p w14:paraId="09482E3C"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Vaikams ir paaugliams</w:t>
      </w:r>
    </w:p>
    <w:p w14:paraId="3122697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Vaisto saugumas ir veiksmingumas nuo 10 iki 17 metų amžiaus berniukams ir mergaitėms, kurioms bent prieš vienerius metus prasidėjo menstruacijos, yra ištirtas (žr. 3 skyrių „Kaip vartoti Simvacor“). Su jaunesniais kaip 10</w:t>
      </w:r>
      <w:r w:rsidR="008301CF">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metų vaikais tyrimų nėra atlikta. Norėdami gauti daugiau informacijos, klauskite gydytojo.</w:t>
      </w:r>
    </w:p>
    <w:p w14:paraId="1034165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94A4FAA" w14:textId="77777777"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Kiti vaistai ir Simvacor</w:t>
      </w:r>
    </w:p>
    <w:p w14:paraId="72DF05D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vartojate arba neseniai vartojote kitų vaistų, įskaitant įsigytus be recepto, pasakykite gydytojui arba vaistininkui.</w:t>
      </w:r>
    </w:p>
    <w:p w14:paraId="70F02E8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9368D1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lastRenderedPageBreak/>
        <w:t xml:space="preserve">Toliau išvardyti vaistai gali sąveikauti su Simvacor ir taip padidinti nepageidaujamų reakcijų, susijusių su raumenų sutrikimais, riziką. Tokiais atvejais gali prireikti koreguoti simvastatino dozavimą ar nutraukti šio vaisto vartojimą. </w:t>
      </w:r>
    </w:p>
    <w:p w14:paraId="4CCFC2A3" w14:textId="3C8DECE5" w:rsidR="00A762B5" w:rsidRPr="00A762B5" w:rsidRDefault="00A762B5" w:rsidP="00A762B5">
      <w:pPr>
        <w:numPr>
          <w:ilvl w:val="0"/>
          <w:numId w:val="33"/>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 xml:space="preserve">Itrakonazolas, ketokonazolas, flukonazolas, pozakonazolas </w:t>
      </w:r>
      <w:r w:rsidRPr="00A762B5">
        <w:rPr>
          <w:rFonts w:ascii="Times New Roman" w:eastAsia="Calibri" w:hAnsi="Times New Roman" w:cs="Times New Roman"/>
          <w:lang w:val="lt-LT" w:eastAsia="lt-LT"/>
        </w:rPr>
        <w:t>(vaistai nuo patogeninių grybelių)</w:t>
      </w:r>
      <w:r w:rsidRPr="00A762B5">
        <w:rPr>
          <w:rFonts w:ascii="Times New Roman" w:eastAsia="Calibri" w:hAnsi="Times New Roman" w:cs="Times New Roman"/>
          <w:i/>
          <w:lang w:val="lt-LT" w:eastAsia="lt-LT"/>
        </w:rPr>
        <w:t xml:space="preserve">, eritromicinas, klaritromicinas, telitromicinas </w:t>
      </w:r>
      <w:r w:rsidRPr="00A762B5">
        <w:rPr>
          <w:rFonts w:ascii="Times New Roman" w:eastAsia="Calibri" w:hAnsi="Times New Roman" w:cs="Times New Roman"/>
          <w:lang w:val="lt-LT" w:eastAsia="lt-LT"/>
        </w:rPr>
        <w:t>(antibiotikai),</w:t>
      </w:r>
      <w:r w:rsidRPr="00A762B5">
        <w:rPr>
          <w:rFonts w:ascii="Times New Roman" w:eastAsia="Calibri" w:hAnsi="Times New Roman" w:cs="Times New Roman"/>
          <w:i/>
          <w:lang w:val="lt-LT" w:eastAsia="lt-LT"/>
        </w:rPr>
        <w:t xml:space="preserve"> ŽIV proteazės inhibitoriai (pvz., nelfinaviras), nefazodonas </w:t>
      </w:r>
      <w:r w:rsidRPr="00A762B5">
        <w:rPr>
          <w:rFonts w:ascii="Times New Roman" w:eastAsia="Calibri" w:hAnsi="Times New Roman" w:cs="Times New Roman"/>
          <w:lang w:val="lt-LT" w:eastAsia="lt-LT"/>
        </w:rPr>
        <w:t>(antidepresantas),</w:t>
      </w:r>
      <w:r w:rsidRPr="00A762B5">
        <w:rPr>
          <w:rFonts w:ascii="Times New Roman" w:eastAsia="Times New Roman" w:hAnsi="Times New Roman" w:cs="Times New Roman"/>
          <w:lang w:val="lt-LT" w:eastAsia="lt-LT"/>
        </w:rPr>
        <w:t xml:space="preserve"> </w:t>
      </w:r>
      <w:r w:rsidRPr="00A762B5">
        <w:rPr>
          <w:rFonts w:ascii="Times New Roman" w:eastAsia="Times New Roman" w:hAnsi="Times New Roman" w:cs="Times New Roman"/>
          <w:i/>
          <w:lang w:val="lt-LT" w:eastAsia="lt-LT"/>
        </w:rPr>
        <w:t>vaistai, kurių veiklioji medžiaga kobicistatas</w:t>
      </w:r>
      <w:r w:rsidRPr="00A762B5">
        <w:rPr>
          <w:rFonts w:ascii="Times New Roman" w:eastAsia="Calibri" w:hAnsi="Times New Roman" w:cs="Times New Roman"/>
          <w:lang w:val="lt-LT" w:eastAsia="lt-LT"/>
        </w:rPr>
        <w:t xml:space="preserve">. Šių vaistų vartoti kartu su Simvacor </w:t>
      </w:r>
      <w:r w:rsidR="002B2821">
        <w:rPr>
          <w:rFonts w:ascii="Times New Roman" w:eastAsia="Calibri" w:hAnsi="Times New Roman" w:cs="Times New Roman"/>
          <w:lang w:val="lt-LT" w:eastAsia="lt-LT"/>
        </w:rPr>
        <w:t>draudžiama</w:t>
      </w:r>
      <w:r w:rsidR="002B2821" w:rsidRPr="00A762B5">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(žr. skyrių „</w:t>
      </w:r>
      <w:r w:rsidRPr="00A762B5">
        <w:rPr>
          <w:rFonts w:ascii="Times New Roman" w:eastAsia="Calibri" w:hAnsi="Times New Roman" w:cs="Times New Roman"/>
          <w:bCs/>
          <w:lang w:val="lt-LT" w:eastAsia="lt-LT"/>
        </w:rPr>
        <w:t>Simvacor</w:t>
      </w:r>
      <w:r w:rsidRPr="00A762B5">
        <w:rPr>
          <w:rFonts w:ascii="Times New Roman" w:eastAsia="Calibri" w:hAnsi="Times New Roman" w:cs="Times New Roman"/>
          <w:lang w:val="lt-LT" w:eastAsia="lt-LT"/>
        </w:rPr>
        <w:t xml:space="preserve"> vartoti </w:t>
      </w:r>
      <w:r w:rsidR="002B2821">
        <w:rPr>
          <w:rFonts w:ascii="Times New Roman" w:eastAsia="Calibri" w:hAnsi="Times New Roman" w:cs="Times New Roman"/>
          <w:lang w:val="lt-LT" w:eastAsia="lt-LT"/>
        </w:rPr>
        <w:t>draudžiama</w:t>
      </w:r>
      <w:r w:rsidRPr="00A762B5">
        <w:rPr>
          <w:rFonts w:ascii="Times New Roman" w:eastAsia="Calibri" w:hAnsi="Times New Roman" w:cs="Times New Roman"/>
          <w:lang w:val="lt-LT" w:eastAsia="lt-LT"/>
        </w:rPr>
        <w:t>“).</w:t>
      </w:r>
    </w:p>
    <w:p w14:paraId="596AB6CA" w14:textId="77777777" w:rsidR="00A762B5" w:rsidRPr="00A762B5" w:rsidRDefault="00A762B5" w:rsidP="00A762B5">
      <w:pPr>
        <w:numPr>
          <w:ilvl w:val="0"/>
          <w:numId w:val="33"/>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 xml:space="preserve">Fibratai </w:t>
      </w:r>
      <w:r w:rsidRPr="00A762B5">
        <w:rPr>
          <w:rFonts w:ascii="Times New Roman" w:eastAsia="Calibri" w:hAnsi="Times New Roman" w:cs="Times New Roman"/>
          <w:lang w:val="lt-LT" w:eastAsia="lt-LT"/>
        </w:rPr>
        <w:t>(kiti cholesterolio kiekį kraujyje mažinantys vaistai, pvz., gemfibrozilis, bezafibratas).</w:t>
      </w:r>
    </w:p>
    <w:p w14:paraId="6DF33979" w14:textId="77777777" w:rsidR="00A762B5" w:rsidRPr="00A762B5" w:rsidRDefault="00A762B5" w:rsidP="00A762B5">
      <w:pPr>
        <w:numPr>
          <w:ilvl w:val="0"/>
          <w:numId w:val="33"/>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Didesnės negu 1 g </w:t>
      </w:r>
      <w:r w:rsidRPr="00A762B5">
        <w:rPr>
          <w:rFonts w:ascii="Times New Roman" w:eastAsia="Calibri" w:hAnsi="Times New Roman" w:cs="Times New Roman"/>
          <w:bCs/>
          <w:i/>
          <w:iCs/>
          <w:lang w:val="lt-LT" w:eastAsia="lt-LT"/>
        </w:rPr>
        <w:t xml:space="preserve">niacino ar nikotino rūgšties </w:t>
      </w:r>
      <w:r w:rsidRPr="00A762B5">
        <w:rPr>
          <w:rFonts w:ascii="Times New Roman" w:eastAsia="Calibri" w:hAnsi="Times New Roman" w:cs="Times New Roman"/>
          <w:lang w:val="lt-LT" w:eastAsia="lt-LT"/>
        </w:rPr>
        <w:t>(cholesterolio kiekį kraujyje mažinančių vaistų) paros dozės.</w:t>
      </w:r>
    </w:p>
    <w:p w14:paraId="7EC90517" w14:textId="2A66BE50" w:rsidR="00A762B5" w:rsidRPr="00A762B5" w:rsidRDefault="00A762B5" w:rsidP="00A762B5">
      <w:pPr>
        <w:numPr>
          <w:ilvl w:val="0"/>
          <w:numId w:val="33"/>
        </w:numPr>
        <w:spacing w:after="0" w:line="240" w:lineRule="auto"/>
        <w:contextualSpacing/>
        <w:rPr>
          <w:rFonts w:ascii="Times New Roman" w:eastAsia="Calibri" w:hAnsi="Times New Roman" w:cs="Times New Roman"/>
          <w:i/>
          <w:lang w:val="lt-LT" w:eastAsia="lt-LT"/>
        </w:rPr>
      </w:pPr>
      <w:r w:rsidRPr="00E17492">
        <w:rPr>
          <w:rFonts w:ascii="Times New Roman" w:eastAsia="Calibri" w:hAnsi="Times New Roman" w:cs="Times New Roman"/>
          <w:i/>
          <w:lang w:val="lt-LT" w:eastAsia="lt-LT"/>
        </w:rPr>
        <w:t>Fuzido rūgštis</w:t>
      </w:r>
      <w:r w:rsidR="000E13AE" w:rsidRPr="00E17492">
        <w:rPr>
          <w:rFonts w:ascii="Times New Roman" w:eastAsia="Calibri" w:hAnsi="Times New Roman" w:cs="Times New Roman"/>
          <w:i/>
          <w:lang w:val="lt-LT" w:eastAsia="lt-LT"/>
        </w:rPr>
        <w:t>,</w:t>
      </w:r>
      <w:r w:rsidR="006C1E44" w:rsidRPr="00E17492">
        <w:rPr>
          <w:rFonts w:ascii="Times New Roman" w:eastAsia="Calibri" w:hAnsi="Times New Roman" w:cs="Times New Roman"/>
          <w:i/>
          <w:lang w:val="lt-LT" w:eastAsia="lt-LT"/>
        </w:rPr>
        <w:t xml:space="preserve"> </w:t>
      </w:r>
      <w:r w:rsidR="000E13AE" w:rsidRPr="00F95EF2">
        <w:rPr>
          <w:rFonts w:ascii="Times New Roman" w:eastAsia="Calibri" w:hAnsi="Times New Roman" w:cs="Times New Roman"/>
          <w:i/>
          <w:lang w:val="lt-LT" w:eastAsia="lt-LT"/>
        </w:rPr>
        <w:t>d</w:t>
      </w:r>
      <w:r w:rsidR="006C1E44" w:rsidRPr="00F95EF2">
        <w:rPr>
          <w:rFonts w:ascii="Times New Roman" w:eastAsia="Calibri" w:hAnsi="Times New Roman" w:cs="Times New Roman"/>
          <w:i/>
          <w:lang w:val="lt-LT" w:eastAsia="lt-LT"/>
        </w:rPr>
        <w:t xml:space="preserve">aptomicinas </w:t>
      </w:r>
      <w:r w:rsidR="006C1E44" w:rsidRPr="00F95EF2">
        <w:rPr>
          <w:rFonts w:ascii="Times New Roman" w:eastAsia="Calibri" w:hAnsi="Times New Roman" w:cs="Times New Roman"/>
          <w:lang w:val="lt-LT" w:eastAsia="lt-LT"/>
        </w:rPr>
        <w:t>(vaista</w:t>
      </w:r>
      <w:r w:rsidR="00592504" w:rsidRPr="00F95EF2">
        <w:rPr>
          <w:rFonts w:ascii="Times New Roman" w:eastAsia="Calibri" w:hAnsi="Times New Roman" w:cs="Times New Roman"/>
          <w:lang w:val="lt-LT" w:eastAsia="lt-LT"/>
        </w:rPr>
        <w:t>s</w:t>
      </w:r>
      <w:r w:rsidR="006C1E44" w:rsidRPr="00F95EF2">
        <w:rPr>
          <w:rFonts w:ascii="Times New Roman" w:eastAsia="Calibri" w:hAnsi="Times New Roman" w:cs="Times New Roman"/>
          <w:lang w:val="lt-LT" w:eastAsia="lt-LT"/>
        </w:rPr>
        <w:t xml:space="preserve"> nuo infekcinių ligų).</w:t>
      </w:r>
      <w:r w:rsidRPr="00E17492">
        <w:rPr>
          <w:rFonts w:ascii="Times New Roman" w:eastAsia="Times New Roman" w:hAnsi="Times New Roman" w:cs="Times New Roman"/>
          <w:lang w:val="lt-LT" w:eastAsia="lt-LT"/>
        </w:rPr>
        <w:t xml:space="preserve"> </w:t>
      </w:r>
      <w:r w:rsidRPr="00E17492">
        <w:rPr>
          <w:rFonts w:ascii="Times New Roman" w:eastAsia="Calibri" w:hAnsi="Times New Roman" w:cs="Times New Roman"/>
          <w:lang w:val="lt-LT" w:eastAsia="lt-LT"/>
        </w:rPr>
        <w:t>Jeigu reikia vartoti geriamosios fuzido rūgšties</w:t>
      </w:r>
      <w:r w:rsidR="006C1E44" w:rsidRPr="00E17492">
        <w:rPr>
          <w:rFonts w:ascii="Times New Roman" w:eastAsia="Calibri" w:hAnsi="Times New Roman" w:cs="Times New Roman"/>
          <w:lang w:val="lt-LT" w:eastAsia="lt-LT"/>
        </w:rPr>
        <w:t xml:space="preserve"> </w:t>
      </w:r>
      <w:r w:rsidR="006C1E44" w:rsidRPr="00F95EF2">
        <w:rPr>
          <w:rFonts w:ascii="Times New Roman" w:eastAsia="Calibri" w:hAnsi="Times New Roman" w:cs="Times New Roman"/>
          <w:lang w:val="lt-LT" w:eastAsia="lt-LT"/>
        </w:rPr>
        <w:t>arba daptomicino</w:t>
      </w:r>
      <w:r w:rsidRPr="00E17492">
        <w:rPr>
          <w:rFonts w:ascii="Times New Roman" w:eastAsia="Calibri" w:hAnsi="Times New Roman" w:cs="Times New Roman"/>
          <w:lang w:val="lt-LT" w:eastAsia="lt-LT"/>
        </w:rPr>
        <w:t xml:space="preserve"> taikant gydymą nuo bakterinės infekcijos, Jūs turite laikinai nutraukti </w:t>
      </w:r>
      <w:r w:rsidR="006C1E44" w:rsidRPr="00F95EF2">
        <w:rPr>
          <w:rFonts w:ascii="Times New Roman" w:eastAsia="Calibri" w:hAnsi="Times New Roman" w:cs="Times New Roman"/>
          <w:lang w:val="lt-LT" w:eastAsia="lt-LT"/>
        </w:rPr>
        <w:t>Simvacor</w:t>
      </w:r>
      <w:r w:rsidRPr="00E17492">
        <w:rPr>
          <w:rFonts w:ascii="Times New Roman" w:eastAsia="Calibri" w:hAnsi="Times New Roman" w:cs="Times New Roman"/>
          <w:lang w:val="lt-LT" w:eastAsia="lt-LT"/>
        </w:rPr>
        <w:t xml:space="preserve"> vartojimą. Jūsų gydytojas pasakys, kada yra saugu vėl pradėti vartoti Simvacor. Simvacor vartojimas kartu su fuzido rūgštimi </w:t>
      </w:r>
      <w:r w:rsidR="006C1E44" w:rsidRPr="00E17492">
        <w:rPr>
          <w:rFonts w:ascii="Times New Roman" w:eastAsia="Calibri" w:hAnsi="Times New Roman" w:cs="Times New Roman"/>
          <w:lang w:val="lt-LT" w:eastAsia="lt-LT"/>
        </w:rPr>
        <w:t xml:space="preserve">ir </w:t>
      </w:r>
      <w:r w:rsidR="006C1E44" w:rsidRPr="00F95EF2">
        <w:rPr>
          <w:rFonts w:ascii="Times New Roman" w:eastAsia="Calibri" w:hAnsi="Times New Roman" w:cs="Times New Roman"/>
          <w:lang w:val="lt-LT" w:eastAsia="lt-LT"/>
        </w:rPr>
        <w:t>daptomicinu</w:t>
      </w:r>
      <w:r w:rsidR="006C1E44">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retai veda prie raumenų silpnumo, suminkštėjimo ar skausmo (rabdomiolizės). Daugiau informacijos dėl rabdomiolizės žr. 4 skyriuje.</w:t>
      </w:r>
    </w:p>
    <w:p w14:paraId="00D54B94" w14:textId="77777777" w:rsidR="00A762B5" w:rsidRPr="00A762B5" w:rsidRDefault="00A762B5" w:rsidP="00A762B5">
      <w:pPr>
        <w:numPr>
          <w:ilvl w:val="0"/>
          <w:numId w:val="33"/>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Ciklosporinas</w:t>
      </w:r>
      <w:r w:rsidRPr="00A762B5">
        <w:rPr>
          <w:rFonts w:ascii="Times New Roman" w:eastAsia="Calibri" w:hAnsi="Times New Roman" w:cs="Times New Roman"/>
          <w:lang w:val="lt-LT" w:eastAsia="lt-LT"/>
        </w:rPr>
        <w:t xml:space="preserve"> (vaistas nuo persodinto organo atmetimo reakcijos).</w:t>
      </w:r>
    </w:p>
    <w:p w14:paraId="11C128F0" w14:textId="77777777" w:rsidR="00A762B5" w:rsidRPr="00A762B5" w:rsidRDefault="00A762B5" w:rsidP="00A762B5">
      <w:pPr>
        <w:numPr>
          <w:ilvl w:val="0"/>
          <w:numId w:val="33"/>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Verapamilis, diltiazemas</w:t>
      </w:r>
      <w:r w:rsidRPr="00A762B5">
        <w:rPr>
          <w:rFonts w:ascii="Times New Roman" w:eastAsia="Calibri" w:hAnsi="Times New Roman" w:cs="Times New Roman"/>
          <w:lang w:val="lt-LT" w:eastAsia="lt-LT"/>
        </w:rPr>
        <w:t xml:space="preserve"> (vaistas, kuriuo gydomas per didelis kraujo spaudimas ar įtampa krūtinės srityje) ir </w:t>
      </w:r>
      <w:r w:rsidRPr="00A762B5">
        <w:rPr>
          <w:rFonts w:ascii="Times New Roman" w:eastAsia="Calibri" w:hAnsi="Times New Roman" w:cs="Times New Roman"/>
          <w:i/>
          <w:lang w:val="lt-LT" w:eastAsia="lt-LT"/>
        </w:rPr>
        <w:t>amjodaronas</w:t>
      </w:r>
      <w:r w:rsidRPr="00A762B5">
        <w:rPr>
          <w:rFonts w:ascii="Times New Roman" w:eastAsia="Calibri" w:hAnsi="Times New Roman" w:cs="Times New Roman"/>
          <w:lang w:val="lt-LT" w:eastAsia="lt-LT"/>
        </w:rPr>
        <w:t xml:space="preserve"> (vaistas širdies ritmo sutrikimams gydyti</w:t>
      </w:r>
      <w:r w:rsidR="00DD1C34" w:rsidRPr="00DD1C34">
        <w:rPr>
          <w:rFonts w:ascii="Times New Roman" w:eastAsia="Calibri" w:hAnsi="Times New Roman" w:cs="Times New Roman"/>
          <w:lang w:val="lt-LT" w:eastAsia="lt-LT"/>
        </w:rPr>
        <w:t>)</w:t>
      </w:r>
      <w:r w:rsidR="00D35145">
        <w:rPr>
          <w:rFonts w:ascii="Times New Roman" w:eastAsia="Calibri" w:hAnsi="Times New Roman" w:cs="Times New Roman"/>
          <w:lang w:val="lt-LT" w:eastAsia="lt-LT"/>
        </w:rPr>
        <w:t>.</w:t>
      </w:r>
    </w:p>
    <w:p w14:paraId="3A4C2D32" w14:textId="77777777" w:rsidR="00A762B5" w:rsidRPr="00A762B5" w:rsidRDefault="00A762B5" w:rsidP="00A762B5">
      <w:pPr>
        <w:numPr>
          <w:ilvl w:val="0"/>
          <w:numId w:val="33"/>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Vaistai, kurių sudėtyje yra </w:t>
      </w:r>
      <w:r w:rsidRPr="00A762B5">
        <w:rPr>
          <w:rFonts w:ascii="Times New Roman" w:eastAsia="Calibri" w:hAnsi="Times New Roman" w:cs="Times New Roman"/>
          <w:i/>
          <w:lang w:val="lt-LT" w:eastAsia="lt-LT"/>
        </w:rPr>
        <w:t>elbasviro ar grazopreviro</w:t>
      </w:r>
      <w:r w:rsidRPr="00A762B5">
        <w:rPr>
          <w:rFonts w:ascii="Times New Roman" w:eastAsia="Calibri" w:hAnsi="Times New Roman" w:cs="Times New Roman"/>
          <w:lang w:val="lt-LT" w:eastAsia="lt-LT"/>
        </w:rPr>
        <w:t xml:space="preserve"> (vartojami hepatitui gydyti).</w:t>
      </w:r>
    </w:p>
    <w:p w14:paraId="176EAA60" w14:textId="600FFE30" w:rsidR="00A762B5" w:rsidRDefault="00A762B5" w:rsidP="00A762B5">
      <w:pPr>
        <w:numPr>
          <w:ilvl w:val="0"/>
          <w:numId w:val="33"/>
        </w:numPr>
        <w:spacing w:after="0" w:line="240" w:lineRule="auto"/>
        <w:contextualSpacing/>
        <w:rPr>
          <w:rFonts w:ascii="Times New Roman" w:eastAsia="Calibri" w:hAnsi="Times New Roman" w:cs="Times New Roman"/>
          <w:lang w:val="lt-LT" w:eastAsia="lt-LT"/>
        </w:rPr>
      </w:pPr>
      <w:r w:rsidRPr="001E1D00">
        <w:rPr>
          <w:rFonts w:ascii="Times New Roman" w:hAnsi="Times New Roman"/>
          <w:i/>
          <w:lang w:val="lt-LT"/>
        </w:rPr>
        <w:t>Lomitapidas</w:t>
      </w:r>
      <w:r w:rsidRPr="00A762B5">
        <w:rPr>
          <w:rFonts w:ascii="Times New Roman" w:eastAsia="Calibri" w:hAnsi="Times New Roman" w:cs="Times New Roman"/>
          <w:lang w:val="lt-LT" w:eastAsia="lt-LT"/>
        </w:rPr>
        <w:t xml:space="preserve"> (vartojamas sunkiai ir retai genetinei cholesterolio būsenai gydyti).</w:t>
      </w:r>
    </w:p>
    <w:p w14:paraId="60975373" w14:textId="4CB26FE3" w:rsidR="00E30E98" w:rsidRPr="00A762B5" w:rsidRDefault="00E30E98" w:rsidP="00A762B5">
      <w:pPr>
        <w:numPr>
          <w:ilvl w:val="0"/>
          <w:numId w:val="33"/>
        </w:numPr>
        <w:spacing w:after="0" w:line="240" w:lineRule="auto"/>
        <w:contextualSpacing/>
        <w:rPr>
          <w:rFonts w:ascii="Times New Roman" w:eastAsia="Calibri" w:hAnsi="Times New Roman" w:cs="Times New Roman"/>
          <w:lang w:val="lt-LT" w:eastAsia="lt-LT"/>
        </w:rPr>
      </w:pPr>
      <w:r>
        <w:rPr>
          <w:rFonts w:ascii="Times New Roman" w:hAnsi="Times New Roman"/>
          <w:i/>
          <w:lang w:val="lt-LT"/>
        </w:rPr>
        <w:t>Tikagreloras</w:t>
      </w:r>
      <w:r>
        <w:rPr>
          <w:rFonts w:ascii="Times New Roman" w:hAnsi="Times New Roman"/>
          <w:iCs/>
          <w:lang w:val="lt-LT"/>
        </w:rPr>
        <w:t xml:space="preserve"> (</w:t>
      </w:r>
      <w:r w:rsidRPr="00E30E98">
        <w:rPr>
          <w:rFonts w:ascii="Times New Roman" w:hAnsi="Times New Roman"/>
          <w:iCs/>
          <w:lang w:val="lt-LT"/>
        </w:rPr>
        <w:t>antitrombocitinis vaistas</w:t>
      </w:r>
      <w:r>
        <w:rPr>
          <w:rFonts w:ascii="Times New Roman" w:hAnsi="Times New Roman"/>
          <w:iCs/>
          <w:lang w:val="lt-LT"/>
        </w:rPr>
        <w:t>).</w:t>
      </w:r>
    </w:p>
    <w:p w14:paraId="0B8AE085" w14:textId="77777777" w:rsidR="00A762B5" w:rsidRPr="00A762B5" w:rsidRDefault="00A762B5" w:rsidP="00A762B5">
      <w:pPr>
        <w:numPr>
          <w:ilvl w:val="0"/>
          <w:numId w:val="33"/>
        </w:numPr>
        <w:spacing w:after="0" w:line="240" w:lineRule="auto"/>
        <w:contextualSpacing/>
        <w:rPr>
          <w:rFonts w:ascii="Times New Roman" w:eastAsia="Calibri" w:hAnsi="Times New Roman" w:cs="Times New Roman"/>
          <w:lang w:val="lt-LT" w:eastAsia="lt-LT"/>
        </w:rPr>
      </w:pPr>
      <w:r w:rsidRPr="001E1D00">
        <w:rPr>
          <w:rFonts w:ascii="Times New Roman" w:hAnsi="Times New Roman"/>
          <w:i/>
          <w:lang w:val="lt-LT"/>
        </w:rPr>
        <w:t>Kolchicinas</w:t>
      </w:r>
      <w:r w:rsidRPr="00A762B5">
        <w:rPr>
          <w:rFonts w:ascii="Times New Roman" w:eastAsia="Calibri" w:hAnsi="Times New Roman" w:cs="Times New Roman"/>
          <w:lang w:val="lt-LT" w:eastAsia="lt-LT"/>
        </w:rPr>
        <w:t xml:space="preserve"> (vartojamas podagrai gydyti).</w:t>
      </w:r>
    </w:p>
    <w:p w14:paraId="69D41845" w14:textId="77777777" w:rsidR="00A762B5" w:rsidRDefault="00A762B5" w:rsidP="00A762B5">
      <w:pPr>
        <w:numPr>
          <w:ilvl w:val="0"/>
          <w:numId w:val="33"/>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Danazolas</w:t>
      </w:r>
      <w:r w:rsidRPr="00A762B5">
        <w:rPr>
          <w:rFonts w:ascii="Times New Roman" w:eastAsia="Calibri" w:hAnsi="Times New Roman" w:cs="Times New Roman"/>
          <w:lang w:val="lt-LT" w:eastAsia="lt-LT"/>
        </w:rPr>
        <w:t xml:space="preserve"> (sintetinis hormonas, gonadotropino inhibitorius).</w:t>
      </w:r>
    </w:p>
    <w:p w14:paraId="7A95EB7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vartojate bet kurį iš minėtų vaistų, reikia pasakyti gydytojui.</w:t>
      </w:r>
    </w:p>
    <w:p w14:paraId="6476D96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Be to, svarbu pasakyti gydytojui, jeigu Jūs vartojate ar vartojote per 4 paskutines savaites:</w:t>
      </w:r>
    </w:p>
    <w:p w14:paraId="3E7ED521" w14:textId="77777777" w:rsidR="00A762B5" w:rsidRPr="00A762B5" w:rsidRDefault="00A762B5" w:rsidP="00A762B5">
      <w:pPr>
        <w:numPr>
          <w:ilvl w:val="0"/>
          <w:numId w:val="34"/>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Geriamųjų vaistų, kurie slopina kraujo krešėjimą (geriamųjų antikoaguliantų),</w:t>
      </w:r>
      <w:r w:rsidRPr="00A762B5">
        <w:rPr>
          <w:rFonts w:ascii="Times New Roman" w:eastAsia="Calibri" w:hAnsi="Times New Roman" w:cs="Times New Roman"/>
          <w:lang w:val="lt-LT" w:eastAsia="lt-LT"/>
        </w:rPr>
        <w:t xml:space="preserve"> kadangi jų vartojant kartu su Simvacor pasireiškia stipresnis kraujo krešėjimą slopinantis poveikis. </w:t>
      </w:r>
    </w:p>
    <w:p w14:paraId="22C319D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1C45368" w14:textId="2BC5D653"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Simvacor vartojimas su maistu</w:t>
      </w:r>
      <w:r w:rsidR="000654A8">
        <w:rPr>
          <w:rFonts w:ascii="Times New Roman" w:eastAsia="Calibri" w:hAnsi="Times New Roman" w:cs="Times New Roman"/>
          <w:b/>
          <w:bCs/>
          <w:lang w:val="lt-LT"/>
        </w:rPr>
        <w:t>,</w:t>
      </w:r>
      <w:r w:rsidRPr="00A762B5">
        <w:rPr>
          <w:rFonts w:ascii="Times New Roman" w:eastAsia="Calibri" w:hAnsi="Times New Roman" w:cs="Times New Roman"/>
          <w:b/>
          <w:bCs/>
          <w:lang w:val="lt-LT"/>
        </w:rPr>
        <w:t xml:space="preserve"> gėrimais</w:t>
      </w:r>
      <w:r w:rsidR="000654A8">
        <w:rPr>
          <w:rFonts w:ascii="Times New Roman" w:eastAsia="Calibri" w:hAnsi="Times New Roman" w:cs="Times New Roman"/>
          <w:b/>
          <w:bCs/>
          <w:lang w:val="lt-LT"/>
        </w:rPr>
        <w:t xml:space="preserve"> ir alkoholiu</w:t>
      </w:r>
    </w:p>
    <w:p w14:paraId="53C09CF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Greipfrutų sultys</w:t>
      </w:r>
      <w:r w:rsidRPr="00A762B5">
        <w:rPr>
          <w:rFonts w:ascii="Times New Roman" w:eastAsia="Calibri" w:hAnsi="Times New Roman" w:cs="Times New Roman"/>
          <w:lang w:val="lt-LT" w:eastAsia="lt-LT"/>
        </w:rPr>
        <w:t xml:space="preserve"> gali didinti simvastatino koncentraciją kraujyje. Venkite greipfrutų sulčių vartojimo gydymo Simvacor metu.</w:t>
      </w:r>
    </w:p>
    <w:p w14:paraId="1F53787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Alkoholis</w:t>
      </w:r>
      <w:r w:rsidRPr="00A762B5">
        <w:rPr>
          <w:rFonts w:ascii="Times New Roman" w:eastAsia="Calibri" w:hAnsi="Times New Roman" w:cs="Times New Roman"/>
          <w:lang w:val="lt-LT" w:eastAsia="lt-LT"/>
        </w:rPr>
        <w:t>. Pasakykite gydytojui, jeigu vartojate didesnius alkoholio kiekius.</w:t>
      </w:r>
    </w:p>
    <w:p w14:paraId="60405B6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00005F1" w14:textId="77777777"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Nėštumas ir žindymo laikotarpis</w:t>
      </w:r>
    </w:p>
    <w:p w14:paraId="3BF0C1D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w:t>
      </w:r>
      <w:r w:rsidRPr="00A762B5" w:rsidDel="00E523B6">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su gydytoju arba vaistininku.</w:t>
      </w:r>
    </w:p>
    <w:p w14:paraId="1E4A6141"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p>
    <w:p w14:paraId="2681BAE7"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Nėštumas</w:t>
      </w:r>
    </w:p>
    <w:p w14:paraId="59EC03E9" w14:textId="47699C89"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 moteris nėščia, ketina pastoti ar įtaria, jog pastojo, Simvacor vartoti </w:t>
      </w:r>
      <w:r w:rsidR="002B2821">
        <w:rPr>
          <w:rFonts w:ascii="Times New Roman" w:eastAsia="Calibri" w:hAnsi="Times New Roman" w:cs="Times New Roman"/>
          <w:lang w:val="lt-LT" w:eastAsia="lt-LT"/>
        </w:rPr>
        <w:t>draudžiama</w:t>
      </w:r>
      <w:r w:rsidRPr="00A762B5">
        <w:rPr>
          <w:rFonts w:ascii="Times New Roman" w:eastAsia="Calibri" w:hAnsi="Times New Roman" w:cs="Times New Roman"/>
          <w:lang w:val="lt-LT" w:eastAsia="lt-LT"/>
        </w:rPr>
        <w:t xml:space="preserve">. Jeigu Simvacor gydoma moteris pastoja, reikia nedelsiant nutraukti šių tablečių vartojimą ir kreiptis į gydytoją (žr. skyrių „Simvacor vartoti </w:t>
      </w:r>
      <w:r w:rsidR="002B2821">
        <w:rPr>
          <w:rFonts w:ascii="Times New Roman" w:eastAsia="Calibri" w:hAnsi="Times New Roman" w:cs="Times New Roman"/>
          <w:lang w:val="lt-LT" w:eastAsia="lt-LT"/>
        </w:rPr>
        <w:t>draudžiama</w:t>
      </w:r>
      <w:r w:rsidRPr="00A762B5">
        <w:rPr>
          <w:rFonts w:ascii="Times New Roman" w:eastAsia="Calibri" w:hAnsi="Times New Roman" w:cs="Times New Roman"/>
          <w:lang w:val="lt-LT" w:eastAsia="lt-LT"/>
        </w:rPr>
        <w:t>“).</w:t>
      </w:r>
    </w:p>
    <w:p w14:paraId="4E5EF33C"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p>
    <w:p w14:paraId="2BA62CB9" w14:textId="77777777"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Žindymo laikotarpis</w:t>
      </w:r>
    </w:p>
    <w:p w14:paraId="210E8C93" w14:textId="39A7218A"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bCs/>
          <w:lang w:val="lt-LT" w:eastAsia="lt-LT"/>
        </w:rPr>
        <w:t xml:space="preserve">Nežinoma, ar Simvacor veikliosios medžiagos išsiskiria į motinos pieną. Dėl sunkių nepageidaujamų reakcijų kūdikiams rizikos, Simvacor </w:t>
      </w:r>
      <w:r w:rsidR="002B2821">
        <w:rPr>
          <w:rFonts w:ascii="Times New Roman" w:eastAsia="Calibri" w:hAnsi="Times New Roman" w:cs="Times New Roman"/>
          <w:bCs/>
          <w:lang w:val="lt-LT" w:eastAsia="lt-LT"/>
        </w:rPr>
        <w:t>draudžiama</w:t>
      </w:r>
      <w:r w:rsidR="002B2821" w:rsidRPr="00A762B5">
        <w:rPr>
          <w:rFonts w:ascii="Times New Roman" w:eastAsia="Calibri" w:hAnsi="Times New Roman" w:cs="Times New Roman"/>
          <w:bCs/>
          <w:lang w:val="lt-LT" w:eastAsia="lt-LT"/>
        </w:rPr>
        <w:t xml:space="preserve"> </w:t>
      </w:r>
      <w:r w:rsidRPr="00A762B5">
        <w:rPr>
          <w:rFonts w:ascii="Times New Roman" w:eastAsia="Calibri" w:hAnsi="Times New Roman" w:cs="Times New Roman"/>
          <w:bCs/>
          <w:lang w:val="lt-LT" w:eastAsia="lt-LT"/>
        </w:rPr>
        <w:t>vartoti žindymo laikotarpiu. Jei būtinai reikalingas gydymas šiuo vaistu, žindymą reikia nutraukti.</w:t>
      </w:r>
    </w:p>
    <w:p w14:paraId="4633B54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8BF12E7" w14:textId="77777777"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Vairavimas ir mechanizmų valdymas</w:t>
      </w:r>
    </w:p>
    <w:p w14:paraId="6545102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Jums leidžiama vairuoti ir valdyti mechanizmus. Gebėjimui vairuoti ir valdyti mechanizmus Simvacor įtakos nedaro arba ji būna nereikšminga. Vis dėlto, jeigu vairuojate ar valdote mechanizmus, reikia atkreipti dėmesį, jog po to, kai vaistas pateko į rinką, retai gauta pranešimų apie galvos svaigimą.</w:t>
      </w:r>
    </w:p>
    <w:p w14:paraId="2589285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9DC9334" w14:textId="77777777"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Simvacor sudėtyje yra laktozės</w:t>
      </w:r>
    </w:p>
    <w:p w14:paraId="3E07FB52" w14:textId="5BBE88F1"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gydytojas </w:t>
      </w:r>
      <w:r w:rsidR="00087438">
        <w:rPr>
          <w:rFonts w:ascii="Times New Roman" w:eastAsia="Calibri" w:hAnsi="Times New Roman" w:cs="Times New Roman"/>
          <w:lang w:val="lt-LT" w:eastAsia="lt-LT"/>
        </w:rPr>
        <w:t xml:space="preserve">Jums </w:t>
      </w:r>
      <w:r w:rsidRPr="00A762B5">
        <w:rPr>
          <w:rFonts w:ascii="Times New Roman" w:eastAsia="Calibri" w:hAnsi="Times New Roman" w:cs="Times New Roman"/>
          <w:lang w:val="lt-LT" w:eastAsia="lt-LT"/>
        </w:rPr>
        <w:t xml:space="preserve">yra sakęs, </w:t>
      </w:r>
      <w:r w:rsidR="00087438">
        <w:rPr>
          <w:rFonts w:ascii="Times New Roman" w:eastAsia="Calibri" w:hAnsi="Times New Roman" w:cs="Times New Roman"/>
          <w:lang w:val="lt-LT" w:eastAsia="lt-LT"/>
        </w:rPr>
        <w:t>kad</w:t>
      </w:r>
      <w:r w:rsidRPr="00A762B5">
        <w:rPr>
          <w:rFonts w:ascii="Times New Roman" w:eastAsia="Calibri" w:hAnsi="Times New Roman" w:cs="Times New Roman"/>
          <w:lang w:val="lt-LT" w:eastAsia="lt-LT"/>
        </w:rPr>
        <w:t xml:space="preserve"> netoleruojate kokių nors angliavandenių, kreipkitės į jį prieš pradėdami vartoti šį vaistą.</w:t>
      </w:r>
    </w:p>
    <w:p w14:paraId="534152E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C173BA5" w14:textId="77777777" w:rsidR="00A762B5" w:rsidRPr="00A762B5" w:rsidRDefault="00A762B5" w:rsidP="00A762B5">
      <w:pPr>
        <w:keepNext/>
        <w:tabs>
          <w:tab w:val="left" w:pos="567"/>
        </w:tabs>
        <w:spacing w:after="0" w:line="240" w:lineRule="auto"/>
        <w:ind w:left="567" w:hanging="567"/>
        <w:contextualSpacing/>
        <w:outlineLvl w:val="1"/>
        <w:rPr>
          <w:rFonts w:ascii="Times New Roman" w:eastAsia="Calibri" w:hAnsi="Times New Roman" w:cs="Times New Roman"/>
          <w:b/>
          <w:caps/>
          <w:lang w:val="lt-LT"/>
        </w:rPr>
      </w:pPr>
    </w:p>
    <w:p w14:paraId="7257F1D8" w14:textId="77777777" w:rsidR="00A762B5" w:rsidRPr="00A762B5" w:rsidRDefault="00A762B5" w:rsidP="00A762B5">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3.</w:t>
      </w:r>
      <w:r w:rsidRPr="00A762B5">
        <w:rPr>
          <w:rFonts w:ascii="Times New Roman" w:eastAsia="Calibri" w:hAnsi="Times New Roman" w:cs="Times New Roman"/>
          <w:b/>
          <w:lang w:val="lt-LT" w:eastAsia="lt-LT"/>
        </w:rPr>
        <w:tab/>
        <w:t>Kaip vartoti Simvacor</w:t>
      </w:r>
    </w:p>
    <w:p w14:paraId="32E5E18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80AE89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 xml:space="preserve">Visada vartokite šį vaistą </w:t>
      </w:r>
      <w:r w:rsidRPr="00A762B5">
        <w:rPr>
          <w:rFonts w:ascii="Times New Roman" w:eastAsia="Calibri" w:hAnsi="Times New Roman" w:cs="Times New Roman"/>
          <w:lang w:val="lt-LT" w:eastAsia="lt-LT"/>
        </w:rPr>
        <w:t>tiksliai kaip nurodė gydytojas. Jeigu abejojate, kreipkitės į gydytoją arba vaistininką.</w:t>
      </w:r>
    </w:p>
    <w:p w14:paraId="158ABBA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Vartokite tabletes kartą per parą, vakare, užsigerdami pakankamu kiekiu skysčio (stikline vandens). Simvacor galite vartoti nepriklausomai nuo valgymo laiko. Tabletę galima padalyti į dvi lygias dalis.</w:t>
      </w:r>
    </w:p>
    <w:p w14:paraId="064EEA9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C8A574F"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Įprastinės dozės nurodytos lentelėje.</w:t>
      </w:r>
    </w:p>
    <w:p w14:paraId="02442AE0"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p>
    <w:p w14:paraId="0C2D7732"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Didžiausia paros dozė yra:</w:t>
      </w:r>
    </w:p>
    <w:p w14:paraId="474265E6"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4 Simvacor 20 mg tabletės arba 8 Simvacor 10 mg tabletės (atitinka 80 mg simvastatino) vieną kartą per parą.</w:t>
      </w:r>
    </w:p>
    <w:p w14:paraId="594C03E2" w14:textId="77777777" w:rsidR="00A762B5" w:rsidRPr="00A762B5" w:rsidRDefault="00A762B5" w:rsidP="00A762B5">
      <w:pPr>
        <w:spacing w:after="0" w:line="240" w:lineRule="auto"/>
        <w:contextualSpacing/>
        <w:jc w:val="both"/>
        <w:rPr>
          <w:rFonts w:ascii="Times New Roman" w:eastAsia="Calibri" w:hAnsi="Times New Roman" w:cs="Times New Roman"/>
          <w:lang w:val="lt-LT" w:eastAsia="lt-LT"/>
        </w:rPr>
      </w:pPr>
    </w:p>
    <w:p w14:paraId="543DCFC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Prireikus Jūsų gydytojas vaisto dozę gali didinti, bet ne dažniau kaip kas 4 savaites. 80 mg simvastatino yra rekomenduojama tik pacientams, kuriems yra sunki hipercholesterolemija bei didelė širdies ir kraujagyslių komplikacijų rizika.</w:t>
      </w:r>
    </w:p>
    <w:p w14:paraId="625863C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3006"/>
        <w:gridCol w:w="3003"/>
      </w:tblGrid>
      <w:tr w:rsidR="00A762B5" w:rsidRPr="00A762B5" w14:paraId="33C345F6" w14:textId="77777777" w:rsidTr="0046313C">
        <w:tc>
          <w:tcPr>
            <w:tcW w:w="3095" w:type="dxa"/>
            <w:tcBorders>
              <w:top w:val="single" w:sz="4" w:space="0" w:color="auto"/>
              <w:left w:val="single" w:sz="4" w:space="0" w:color="auto"/>
              <w:bottom w:val="single" w:sz="4" w:space="0" w:color="auto"/>
              <w:right w:val="single" w:sz="4" w:space="0" w:color="auto"/>
            </w:tcBorders>
          </w:tcPr>
          <w:p w14:paraId="73F981E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tc>
        <w:tc>
          <w:tcPr>
            <w:tcW w:w="3095" w:type="dxa"/>
            <w:tcBorders>
              <w:top w:val="single" w:sz="4" w:space="0" w:color="auto"/>
              <w:left w:val="single" w:sz="4" w:space="0" w:color="auto"/>
              <w:bottom w:val="single" w:sz="4" w:space="0" w:color="auto"/>
              <w:right w:val="single" w:sz="4" w:space="0" w:color="auto"/>
            </w:tcBorders>
            <w:hideMark/>
          </w:tcPr>
          <w:p w14:paraId="45F9008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Įprastinė pradinė dozė</w:t>
            </w:r>
          </w:p>
        </w:tc>
        <w:tc>
          <w:tcPr>
            <w:tcW w:w="3096" w:type="dxa"/>
            <w:tcBorders>
              <w:top w:val="single" w:sz="4" w:space="0" w:color="auto"/>
              <w:left w:val="single" w:sz="4" w:space="0" w:color="auto"/>
              <w:bottom w:val="single" w:sz="4" w:space="0" w:color="auto"/>
              <w:right w:val="single" w:sz="4" w:space="0" w:color="auto"/>
            </w:tcBorders>
            <w:hideMark/>
          </w:tcPr>
          <w:p w14:paraId="7C96799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Pacientai, kuriems reikalinga didelė pradinė dozė</w:t>
            </w:r>
          </w:p>
        </w:tc>
      </w:tr>
      <w:tr w:rsidR="00A762B5" w:rsidRPr="003E1863" w14:paraId="28CA0069" w14:textId="77777777" w:rsidTr="0046313C">
        <w:tc>
          <w:tcPr>
            <w:tcW w:w="3095" w:type="dxa"/>
            <w:tcBorders>
              <w:top w:val="single" w:sz="4" w:space="0" w:color="auto"/>
              <w:left w:val="single" w:sz="4" w:space="0" w:color="auto"/>
              <w:bottom w:val="single" w:sz="4" w:space="0" w:color="auto"/>
              <w:right w:val="single" w:sz="4" w:space="0" w:color="auto"/>
            </w:tcBorders>
            <w:hideMark/>
          </w:tcPr>
          <w:p w14:paraId="655FB98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Lipidų kiekio padidėjimo kraujyje atveju</w:t>
            </w:r>
          </w:p>
        </w:tc>
        <w:tc>
          <w:tcPr>
            <w:tcW w:w="3095" w:type="dxa"/>
            <w:tcBorders>
              <w:top w:val="single" w:sz="4" w:space="0" w:color="auto"/>
              <w:left w:val="single" w:sz="4" w:space="0" w:color="auto"/>
              <w:bottom w:val="single" w:sz="4" w:space="0" w:color="auto"/>
              <w:right w:val="single" w:sz="4" w:space="0" w:color="auto"/>
            </w:tcBorders>
            <w:hideMark/>
          </w:tcPr>
          <w:p w14:paraId="245D044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1</w:t>
            </w:r>
            <w:r w:rsidRPr="00A762B5">
              <w:rPr>
                <w:rFonts w:ascii="Times New Roman" w:eastAsia="Calibri" w:hAnsi="Times New Roman" w:cs="Times New Roman"/>
                <w:lang w:val="lt-LT" w:eastAsia="lt-LT"/>
              </w:rPr>
              <w:noBreakHyphen/>
              <w:t xml:space="preserve">2 Simvacor 10 mg tabletės arba </w:t>
            </w:r>
          </w:p>
          <w:p w14:paraId="1F79CCE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½</w:t>
            </w:r>
            <w:r w:rsidRPr="00A762B5">
              <w:rPr>
                <w:rFonts w:ascii="Times New Roman" w:eastAsia="Calibri" w:hAnsi="Times New Roman" w:cs="Times New Roman"/>
                <w:lang w:val="lt-LT" w:eastAsia="lt-LT"/>
              </w:rPr>
              <w:noBreakHyphen/>
              <w:t>1 Simvacor 20 mg tabletė vieną kartą per parą (atitinka 10</w:t>
            </w:r>
            <w:r w:rsidRPr="00A762B5">
              <w:rPr>
                <w:rFonts w:ascii="Times New Roman" w:eastAsia="Calibri" w:hAnsi="Times New Roman" w:cs="Times New Roman"/>
                <w:lang w:val="lt-LT" w:eastAsia="lt-LT"/>
              </w:rPr>
              <w:noBreakHyphen/>
              <w:t>20 mg simvastatino)</w:t>
            </w:r>
          </w:p>
        </w:tc>
        <w:tc>
          <w:tcPr>
            <w:tcW w:w="3096" w:type="dxa"/>
            <w:tcBorders>
              <w:top w:val="single" w:sz="4" w:space="0" w:color="auto"/>
              <w:left w:val="single" w:sz="4" w:space="0" w:color="auto"/>
              <w:bottom w:val="single" w:sz="4" w:space="0" w:color="auto"/>
              <w:right w:val="single" w:sz="4" w:space="0" w:color="auto"/>
            </w:tcBorders>
            <w:hideMark/>
          </w:tcPr>
          <w:p w14:paraId="1EB724E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2</w:t>
            </w:r>
            <w:r w:rsidRPr="00A762B5">
              <w:rPr>
                <w:rFonts w:ascii="Times New Roman" w:eastAsia="Calibri" w:hAnsi="Times New Roman" w:cs="Times New Roman"/>
                <w:lang w:val="lt-LT" w:eastAsia="lt-LT"/>
              </w:rPr>
              <w:noBreakHyphen/>
              <w:t xml:space="preserve">4 Simvacor 10 mg tabletės arba </w:t>
            </w:r>
          </w:p>
          <w:p w14:paraId="730F30A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1</w:t>
            </w:r>
            <w:r w:rsidRPr="00A762B5">
              <w:rPr>
                <w:rFonts w:ascii="Times New Roman" w:eastAsia="Calibri" w:hAnsi="Times New Roman" w:cs="Times New Roman"/>
                <w:lang w:val="lt-LT" w:eastAsia="lt-LT"/>
              </w:rPr>
              <w:noBreakHyphen/>
              <w:t>2 Simvacor 20 mg tabletės vieną kartą per parą (atitinka 20</w:t>
            </w:r>
            <w:r w:rsidRPr="00A762B5">
              <w:rPr>
                <w:rFonts w:ascii="Times New Roman" w:eastAsia="Calibri" w:hAnsi="Times New Roman" w:cs="Times New Roman"/>
                <w:lang w:val="lt-LT" w:eastAsia="lt-LT"/>
              </w:rPr>
              <w:noBreakHyphen/>
              <w:t>40 mg simvastatino)</w:t>
            </w:r>
          </w:p>
        </w:tc>
      </w:tr>
      <w:tr w:rsidR="00A762B5" w:rsidRPr="008C4067" w14:paraId="7386A38A" w14:textId="77777777" w:rsidTr="0046313C">
        <w:tc>
          <w:tcPr>
            <w:tcW w:w="3095" w:type="dxa"/>
            <w:tcBorders>
              <w:top w:val="single" w:sz="4" w:space="0" w:color="auto"/>
              <w:left w:val="single" w:sz="4" w:space="0" w:color="auto"/>
              <w:bottom w:val="single" w:sz="4" w:space="0" w:color="auto"/>
              <w:right w:val="single" w:sz="4" w:space="0" w:color="auto"/>
            </w:tcBorders>
            <w:hideMark/>
          </w:tcPr>
          <w:p w14:paraId="687E874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Paveldimo lipidų kiekio padidėjimo kraujyje (homozigotinės šeiminės hipercholesterolemijos) atveju</w:t>
            </w:r>
          </w:p>
        </w:tc>
        <w:tc>
          <w:tcPr>
            <w:tcW w:w="3095" w:type="dxa"/>
            <w:tcBorders>
              <w:top w:val="single" w:sz="4" w:space="0" w:color="auto"/>
              <w:left w:val="single" w:sz="4" w:space="0" w:color="auto"/>
              <w:bottom w:val="single" w:sz="4" w:space="0" w:color="auto"/>
              <w:right w:val="single" w:sz="4" w:space="0" w:color="auto"/>
            </w:tcBorders>
            <w:hideMark/>
          </w:tcPr>
          <w:p w14:paraId="59194F9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4 Simvacor 10 mg tabletės arba </w:t>
            </w:r>
          </w:p>
          <w:p w14:paraId="3B0E492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2 Simvacor 20 mg tabletės vieną kartą per parą (atitinka 40 mg simvastatino);</w:t>
            </w:r>
          </w:p>
          <w:p w14:paraId="2E19A1C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ARBA</w:t>
            </w:r>
          </w:p>
          <w:p w14:paraId="2860411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2 Simvacor 10 mg tabletės arba </w:t>
            </w:r>
          </w:p>
          <w:p w14:paraId="0FAEA5A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1 Simvacor 20 mg tabletė (20 mg simvastatino) iš ryto, 2 Simvacor 10 mg tabletės arba </w:t>
            </w:r>
          </w:p>
          <w:p w14:paraId="3A154F9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1 Simvacor 20 mg tabletė (20 mg simvastatino) per pietus ir 4 Simvacor 10 mg tabletės arba </w:t>
            </w:r>
          </w:p>
          <w:p w14:paraId="5E9ADA2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2 Simvacor 20 mg tabletės (40 mg simvastatino) vakare (atitinka 80 mg simvastatino paros dozę).</w:t>
            </w:r>
          </w:p>
        </w:tc>
        <w:tc>
          <w:tcPr>
            <w:tcW w:w="3096" w:type="dxa"/>
            <w:tcBorders>
              <w:top w:val="single" w:sz="4" w:space="0" w:color="auto"/>
              <w:left w:val="single" w:sz="4" w:space="0" w:color="auto"/>
              <w:bottom w:val="single" w:sz="4" w:space="0" w:color="auto"/>
              <w:right w:val="single" w:sz="4" w:space="0" w:color="auto"/>
            </w:tcBorders>
          </w:tcPr>
          <w:p w14:paraId="75AFC78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tc>
      </w:tr>
      <w:tr w:rsidR="00A762B5" w:rsidRPr="003E1863" w14:paraId="7E0CB0AF" w14:textId="77777777" w:rsidTr="0046313C">
        <w:tc>
          <w:tcPr>
            <w:tcW w:w="3095" w:type="dxa"/>
            <w:tcBorders>
              <w:top w:val="single" w:sz="4" w:space="0" w:color="auto"/>
              <w:left w:val="single" w:sz="4" w:space="0" w:color="auto"/>
              <w:bottom w:val="single" w:sz="4" w:space="0" w:color="auto"/>
              <w:right w:val="single" w:sz="4" w:space="0" w:color="auto"/>
            </w:tcBorders>
            <w:hideMark/>
          </w:tcPr>
          <w:p w14:paraId="0F3CDE2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Širdies ir kraujagyslių sistemos sutrikimų profilaktikai</w:t>
            </w:r>
          </w:p>
        </w:tc>
        <w:tc>
          <w:tcPr>
            <w:tcW w:w="3095" w:type="dxa"/>
            <w:tcBorders>
              <w:top w:val="single" w:sz="4" w:space="0" w:color="auto"/>
              <w:left w:val="single" w:sz="4" w:space="0" w:color="auto"/>
              <w:bottom w:val="single" w:sz="4" w:space="0" w:color="auto"/>
              <w:right w:val="single" w:sz="4" w:space="0" w:color="auto"/>
            </w:tcBorders>
            <w:hideMark/>
          </w:tcPr>
          <w:p w14:paraId="2D22F26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2</w:t>
            </w:r>
            <w:r w:rsidRPr="00A762B5">
              <w:rPr>
                <w:rFonts w:ascii="Times New Roman" w:eastAsia="Calibri" w:hAnsi="Times New Roman" w:cs="Times New Roman"/>
                <w:lang w:val="lt-LT" w:eastAsia="lt-LT"/>
              </w:rPr>
              <w:noBreakHyphen/>
              <w:t xml:space="preserve">4 Simvacor 10 mg tabletės arba </w:t>
            </w:r>
          </w:p>
          <w:p w14:paraId="30BA45C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1</w:t>
            </w:r>
            <w:r w:rsidRPr="00A762B5">
              <w:rPr>
                <w:rFonts w:ascii="Times New Roman" w:eastAsia="Calibri" w:hAnsi="Times New Roman" w:cs="Times New Roman"/>
                <w:lang w:val="lt-LT" w:eastAsia="lt-LT"/>
              </w:rPr>
              <w:noBreakHyphen/>
              <w:t>2 Simvacor 20 mg tabletės vieną kartą per parą (atitinka 20</w:t>
            </w:r>
            <w:r w:rsidRPr="00A762B5">
              <w:rPr>
                <w:rFonts w:ascii="Times New Roman" w:eastAsia="Calibri" w:hAnsi="Times New Roman" w:cs="Times New Roman"/>
                <w:lang w:val="lt-LT" w:eastAsia="lt-LT"/>
              </w:rPr>
              <w:noBreakHyphen/>
              <w:t>40 mg simvastatino)</w:t>
            </w:r>
          </w:p>
        </w:tc>
        <w:tc>
          <w:tcPr>
            <w:tcW w:w="3096" w:type="dxa"/>
            <w:tcBorders>
              <w:top w:val="single" w:sz="4" w:space="0" w:color="auto"/>
              <w:left w:val="single" w:sz="4" w:space="0" w:color="auto"/>
              <w:bottom w:val="single" w:sz="4" w:space="0" w:color="auto"/>
              <w:right w:val="single" w:sz="4" w:space="0" w:color="auto"/>
            </w:tcBorders>
          </w:tcPr>
          <w:p w14:paraId="75133CB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tc>
      </w:tr>
    </w:tbl>
    <w:p w14:paraId="47E32DF9"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p>
    <w:p w14:paraId="716781CB"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Vartojimas kartu su kitais vaistais</w:t>
      </w:r>
    </w:p>
    <w:p w14:paraId="2AEB4EDF" w14:textId="37986F47" w:rsidR="00A762B5" w:rsidRPr="00A762B5" w:rsidRDefault="00A762B5" w:rsidP="00A762B5">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 xml:space="preserve">Simvacor yra veiksmingas vartojamas vienas ar kartu su anijonų mainų vaistais, pvz., kolestiraminu, kolestipoliu. Simvacor reikia vartoti likus ne mažiau kaip 2 valandoms iki minėtų </w:t>
      </w:r>
      <w:r w:rsidRPr="00A762B5">
        <w:rPr>
          <w:rFonts w:ascii="Times New Roman" w:eastAsia="Calibri" w:hAnsi="Times New Roman" w:cs="Times New Roman"/>
          <w:lang w:val="lt-LT" w:eastAsia="lt-LT"/>
        </w:rPr>
        <w:t>vaistų</w:t>
      </w:r>
      <w:r w:rsidRPr="00A762B5">
        <w:rPr>
          <w:rFonts w:ascii="Times New Roman" w:eastAsia="Calibri" w:hAnsi="Times New Roman" w:cs="Times New Roman"/>
          <w:bCs/>
          <w:lang w:val="lt-LT" w:eastAsia="lt-LT"/>
        </w:rPr>
        <w:t xml:space="preserve"> gėrimo arba praėjus ne mažiau kaip 4 valandoms po jų vartojimo.</w:t>
      </w:r>
    </w:p>
    <w:p w14:paraId="203D79E2" w14:textId="77777777" w:rsidR="00A762B5" w:rsidRPr="00A762B5" w:rsidRDefault="00A762B5" w:rsidP="00A762B5">
      <w:pPr>
        <w:spacing w:after="0" w:line="240" w:lineRule="auto"/>
        <w:contextualSpacing/>
        <w:rPr>
          <w:rFonts w:ascii="Times New Roman" w:eastAsia="Calibri" w:hAnsi="Times New Roman" w:cs="Times New Roman"/>
          <w:bCs/>
          <w:lang w:val="lt-LT" w:eastAsia="lt-LT"/>
        </w:rPr>
      </w:pPr>
    </w:p>
    <w:p w14:paraId="7179A7C5" w14:textId="77777777" w:rsidR="00A762B5" w:rsidRPr="00A762B5" w:rsidRDefault="00A762B5" w:rsidP="00A762B5">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 xml:space="preserve">Pacientams vartojantiems ciklosporino, fibratų (išskyrus fenofibratą) ar lipidų kiekį mažinančią niacino dozę (1 g arba didesnę nikotino rūgšties paros dozę) kartu su Simvacor, simvastatino paros dozė turi būti ne didesnė kaip 10 mg. </w:t>
      </w:r>
    </w:p>
    <w:p w14:paraId="63261425" w14:textId="77777777" w:rsidR="00A762B5" w:rsidRPr="00A762B5" w:rsidRDefault="00A762B5" w:rsidP="00A762B5">
      <w:pPr>
        <w:spacing w:after="0" w:line="240" w:lineRule="auto"/>
        <w:contextualSpacing/>
        <w:rPr>
          <w:rFonts w:ascii="Times New Roman" w:eastAsia="Calibri" w:hAnsi="Times New Roman" w:cs="Times New Roman"/>
          <w:bCs/>
          <w:lang w:val="lt-LT" w:eastAsia="lt-LT"/>
        </w:rPr>
      </w:pPr>
    </w:p>
    <w:p w14:paraId="46DFB8B7" w14:textId="77777777" w:rsidR="00A762B5" w:rsidRPr="00A762B5" w:rsidRDefault="00A762B5" w:rsidP="00A762B5">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lastRenderedPageBreak/>
        <w:t>Pacientams, vartojantiems amjodarono, verapamilio ar vaistų, kurių sudėtyje yra elbasviro ar grazopreviro, kartu Simvacor, negalima viršyti 20 mg simvastatino paros dozės.</w:t>
      </w:r>
    </w:p>
    <w:p w14:paraId="0FBE2631" w14:textId="77777777" w:rsidR="00A762B5" w:rsidRPr="00A762B5" w:rsidRDefault="00A762B5" w:rsidP="00A762B5">
      <w:pPr>
        <w:spacing w:after="0" w:line="240" w:lineRule="auto"/>
        <w:contextualSpacing/>
        <w:rPr>
          <w:rFonts w:ascii="Times New Roman" w:eastAsia="Calibri" w:hAnsi="Times New Roman" w:cs="Times New Roman"/>
          <w:bCs/>
          <w:lang w:val="lt-LT" w:eastAsia="lt-LT"/>
        </w:rPr>
      </w:pPr>
    </w:p>
    <w:p w14:paraId="0CCBD3E3" w14:textId="3ED43466" w:rsidR="00A762B5" w:rsidRDefault="00A762B5" w:rsidP="00A762B5">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 xml:space="preserve">Pacientams, vartojantiems lomitapido </w:t>
      </w:r>
      <w:r w:rsidR="00E30E98">
        <w:rPr>
          <w:rFonts w:ascii="Times New Roman" w:eastAsia="Calibri" w:hAnsi="Times New Roman" w:cs="Times New Roman"/>
          <w:bCs/>
          <w:lang w:val="lt-LT" w:eastAsia="lt-LT"/>
        </w:rPr>
        <w:t xml:space="preserve">arba tikagreloro </w:t>
      </w:r>
      <w:r w:rsidRPr="00A762B5">
        <w:rPr>
          <w:rFonts w:ascii="Times New Roman" w:eastAsia="Calibri" w:hAnsi="Times New Roman" w:cs="Times New Roman"/>
          <w:bCs/>
          <w:lang w:val="lt-LT" w:eastAsia="lt-LT"/>
        </w:rPr>
        <w:t>kartu Simvacor, negalima viršyti 40 mg simvastatino paros dozės.</w:t>
      </w:r>
    </w:p>
    <w:p w14:paraId="3E521179" w14:textId="77777777" w:rsidR="00763E9B" w:rsidRPr="00A762B5" w:rsidRDefault="00763E9B" w:rsidP="00A762B5">
      <w:pPr>
        <w:spacing w:after="0" w:line="240" w:lineRule="auto"/>
        <w:contextualSpacing/>
        <w:rPr>
          <w:rFonts w:ascii="Times New Roman" w:eastAsia="Calibri" w:hAnsi="Times New Roman" w:cs="Times New Roman"/>
          <w:bCs/>
          <w:lang w:val="lt-LT" w:eastAsia="lt-LT"/>
        </w:rPr>
      </w:pPr>
    </w:p>
    <w:p w14:paraId="028C53C8" w14:textId="77777777" w:rsidR="00A762B5" w:rsidRPr="00A762B5" w:rsidRDefault="00A762B5" w:rsidP="00A762B5">
      <w:pPr>
        <w:spacing w:after="0" w:line="240" w:lineRule="auto"/>
        <w:contextualSpacing/>
        <w:rPr>
          <w:rFonts w:ascii="Times New Roman" w:eastAsia="Calibri" w:hAnsi="Times New Roman" w:cs="Times New Roman"/>
          <w:bCs/>
          <w:i/>
          <w:lang w:val="lt-LT" w:eastAsia="lt-LT"/>
        </w:rPr>
      </w:pPr>
      <w:r w:rsidRPr="00A762B5">
        <w:rPr>
          <w:rFonts w:ascii="Times New Roman" w:eastAsia="Calibri" w:hAnsi="Times New Roman" w:cs="Times New Roman"/>
          <w:bCs/>
          <w:i/>
          <w:lang w:val="lt-LT" w:eastAsia="lt-LT"/>
        </w:rPr>
        <w:t>Senyviems pacientams</w:t>
      </w:r>
    </w:p>
    <w:p w14:paraId="5C76C87E" w14:textId="77777777" w:rsidR="00A762B5" w:rsidRPr="00A762B5" w:rsidRDefault="00A762B5" w:rsidP="00A762B5">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Senyviems pacientams dozės koreguoti nebūtina.</w:t>
      </w:r>
    </w:p>
    <w:p w14:paraId="53F66364" w14:textId="77777777" w:rsidR="00A762B5" w:rsidRPr="00A762B5" w:rsidRDefault="00A762B5" w:rsidP="00A762B5">
      <w:pPr>
        <w:spacing w:after="0" w:line="240" w:lineRule="auto"/>
        <w:contextualSpacing/>
        <w:rPr>
          <w:rFonts w:ascii="Times New Roman" w:eastAsia="Calibri" w:hAnsi="Times New Roman" w:cs="Times New Roman"/>
          <w:bCs/>
          <w:i/>
          <w:lang w:val="lt-LT" w:eastAsia="lt-LT"/>
        </w:rPr>
      </w:pPr>
    </w:p>
    <w:p w14:paraId="2E4FC719" w14:textId="6DF1B595"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bCs/>
          <w:i/>
          <w:lang w:val="lt-LT" w:eastAsia="lt-LT"/>
        </w:rPr>
        <w:t xml:space="preserve">Vartojimas esant inkstų </w:t>
      </w:r>
      <w:r w:rsidR="00D10AAE">
        <w:rPr>
          <w:rFonts w:ascii="Times New Roman" w:eastAsia="Calibri" w:hAnsi="Times New Roman" w:cs="Times New Roman"/>
          <w:bCs/>
          <w:i/>
          <w:lang w:val="lt-LT" w:eastAsia="lt-LT"/>
        </w:rPr>
        <w:t>funkcijos</w:t>
      </w:r>
      <w:r w:rsidR="00D10AAE" w:rsidRPr="00A762B5">
        <w:rPr>
          <w:rFonts w:ascii="Times New Roman" w:eastAsia="Calibri" w:hAnsi="Times New Roman" w:cs="Times New Roman"/>
          <w:bCs/>
          <w:i/>
          <w:lang w:val="lt-LT" w:eastAsia="lt-LT"/>
        </w:rPr>
        <w:t xml:space="preserve"> </w:t>
      </w:r>
      <w:r w:rsidRPr="00A762B5">
        <w:rPr>
          <w:rFonts w:ascii="Times New Roman" w:eastAsia="Calibri" w:hAnsi="Times New Roman" w:cs="Times New Roman"/>
          <w:bCs/>
          <w:i/>
          <w:lang w:val="lt-LT" w:eastAsia="lt-LT"/>
        </w:rPr>
        <w:t xml:space="preserve">sutrikimui </w:t>
      </w:r>
    </w:p>
    <w:p w14:paraId="4595E6C5" w14:textId="014BA39E"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Pacientams, kuriems yra nedidelis inkstų </w:t>
      </w:r>
      <w:r w:rsidR="00D10AAE">
        <w:rPr>
          <w:rFonts w:ascii="Times New Roman" w:eastAsia="Calibri" w:hAnsi="Times New Roman" w:cs="Times New Roman"/>
          <w:lang w:val="lt-LT" w:eastAsia="lt-LT"/>
        </w:rPr>
        <w:t>funkcijos</w:t>
      </w:r>
      <w:r w:rsidR="00D10AAE" w:rsidRPr="00A762B5">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 xml:space="preserve">sutrikimas, paprastai dozės koreguoti nebūtina. Jeigu yra sunkus inkstų </w:t>
      </w:r>
      <w:r w:rsidR="00D10AAE">
        <w:rPr>
          <w:rFonts w:ascii="Times New Roman" w:eastAsia="Calibri" w:hAnsi="Times New Roman" w:cs="Times New Roman"/>
          <w:lang w:val="lt-LT" w:eastAsia="lt-LT"/>
        </w:rPr>
        <w:t>funkcijos</w:t>
      </w:r>
      <w:r w:rsidR="00D10AAE" w:rsidRPr="00A762B5">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sutrikimas (kreatinino klirensas mažesnis negu 30 ml/min), gydymo didesne negu 10 mg simvastatino paros doze reikalingumą patariama rūpestingai apsvarstyti ir, jei būtina, vaisto skirti atsargiai.</w:t>
      </w:r>
    </w:p>
    <w:p w14:paraId="22C2E17E" w14:textId="77777777" w:rsidR="00A762B5" w:rsidRPr="00A762B5" w:rsidRDefault="00A762B5" w:rsidP="00A762B5">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 xml:space="preserve">Gydymas Simvacor trunka ilgai. Gydymo trukmę nustato gydytojas. </w:t>
      </w:r>
      <w:r w:rsidRPr="00A762B5">
        <w:rPr>
          <w:rFonts w:ascii="Times New Roman" w:eastAsia="Calibri" w:hAnsi="Times New Roman" w:cs="Times New Roman"/>
          <w:lang w:val="lt-LT" w:eastAsia="lt-LT"/>
        </w:rPr>
        <w:t xml:space="preserve">Jeigu Jūs manote, kad </w:t>
      </w:r>
      <w:r w:rsidRPr="00A762B5">
        <w:rPr>
          <w:rFonts w:ascii="Times New Roman" w:eastAsia="Calibri" w:hAnsi="Times New Roman" w:cs="Times New Roman"/>
          <w:bCs/>
          <w:lang w:val="lt-LT" w:eastAsia="lt-LT"/>
        </w:rPr>
        <w:t xml:space="preserve">Simvacor sukelia per stiprų ar per silpną poveikį, reikia pasikalbėti su gydytoju. </w:t>
      </w:r>
    </w:p>
    <w:p w14:paraId="2951750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502F6EA" w14:textId="77777777" w:rsidR="00A762B5" w:rsidRPr="00A762B5" w:rsidRDefault="00A762B5" w:rsidP="00A762B5">
      <w:pPr>
        <w:spacing w:after="0" w:line="240" w:lineRule="auto"/>
        <w:contextualSpacing/>
        <w:rPr>
          <w:rFonts w:ascii="Times New Roman" w:eastAsia="Times New Roman" w:hAnsi="Times New Roman" w:cs="Times New Roman"/>
          <w:b/>
          <w:lang w:val="lt-LT" w:eastAsia="lt-LT"/>
        </w:rPr>
      </w:pPr>
      <w:r w:rsidRPr="00A762B5">
        <w:rPr>
          <w:rFonts w:ascii="Times New Roman" w:eastAsia="Times New Roman" w:hAnsi="Times New Roman" w:cs="Times New Roman"/>
          <w:b/>
          <w:lang w:val="lt-LT" w:eastAsia="lt-LT"/>
        </w:rPr>
        <w:t>Vartojimas vaikams ir paaugliams</w:t>
      </w:r>
    </w:p>
    <w:p w14:paraId="4DC74E64" w14:textId="77777777" w:rsidR="00A762B5" w:rsidRPr="00A762B5" w:rsidRDefault="00A762B5" w:rsidP="00A762B5">
      <w:pPr>
        <w:spacing w:after="0" w:line="240" w:lineRule="auto"/>
        <w:contextualSpacing/>
        <w:rPr>
          <w:rFonts w:ascii="Times New Roman" w:eastAsia="Calibri" w:hAnsi="Times New Roman" w:cs="Times New Roman"/>
          <w:b/>
          <w:bCs/>
          <w:i/>
          <w:lang w:val="lt-LT" w:eastAsia="lt-LT"/>
        </w:rPr>
      </w:pPr>
      <w:r w:rsidRPr="00A762B5">
        <w:rPr>
          <w:rFonts w:ascii="Times New Roman" w:eastAsia="Times New Roman" w:hAnsi="Times New Roman" w:cs="Times New Roman"/>
          <w:i/>
          <w:lang w:val="lt-LT" w:eastAsia="lt-LT"/>
        </w:rPr>
        <w:t>Paveldimo lipidų kiekio padidėjimo kraujyje (heterozigotinė šeiminė hipercholesterolemija</w:t>
      </w:r>
    </w:p>
    <w:p w14:paraId="721734EE" w14:textId="77777777" w:rsidR="00A762B5" w:rsidRPr="00A762B5" w:rsidRDefault="00A762B5" w:rsidP="00A762B5">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Rekomenduojama paros dozė yra 10</w:t>
      </w:r>
      <w:r w:rsidRPr="00A762B5">
        <w:rPr>
          <w:rFonts w:ascii="Times New Roman" w:eastAsia="Calibri" w:hAnsi="Times New Roman" w:cs="Times New Roman"/>
          <w:bCs/>
          <w:lang w:val="lt-LT" w:eastAsia="lt-LT"/>
        </w:rPr>
        <w:noBreakHyphen/>
        <w:t>40 mg per parą. Negalima viršyti 40 mg paros dozės. Gydytojas nustatys individualią dozę.</w:t>
      </w:r>
    </w:p>
    <w:p w14:paraId="7F569029" w14:textId="77777777" w:rsidR="00A762B5" w:rsidRPr="00A762B5" w:rsidRDefault="00A762B5" w:rsidP="00A762B5">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Jeigu manote, kad Simvacor veikia per stipriai arba per silpnai, kreipkitės į gydytoją arba vaistininką.</w:t>
      </w:r>
    </w:p>
    <w:p w14:paraId="36E55EE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877381D" w14:textId="21349194"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Times New Roman" w:hAnsi="Times New Roman" w:cs="Times New Roman"/>
          <w:b/>
          <w:lang w:val="lt-LT" w:eastAsia="lt-LT"/>
        </w:rPr>
        <w:t>Ką daryti</w:t>
      </w:r>
      <w:r w:rsidRPr="00A762B5">
        <w:rPr>
          <w:rFonts w:ascii="Times New Roman" w:eastAsia="Times New Roman" w:hAnsi="Times New Roman" w:cs="Times New Roman"/>
          <w:lang w:val="lt-LT" w:eastAsia="lt-LT"/>
        </w:rPr>
        <w:t xml:space="preserve"> </w:t>
      </w:r>
      <w:r w:rsidRPr="00A762B5">
        <w:rPr>
          <w:rFonts w:ascii="Times New Roman" w:eastAsia="Calibri" w:hAnsi="Times New Roman" w:cs="Times New Roman"/>
          <w:b/>
          <w:bCs/>
          <w:lang w:val="lt-LT"/>
        </w:rPr>
        <w:t xml:space="preserve">pavartojus per didelę </w:t>
      </w:r>
      <w:r w:rsidRPr="00A762B5">
        <w:rPr>
          <w:rFonts w:ascii="Times New Roman" w:eastAsia="Calibri" w:hAnsi="Times New Roman" w:cs="Times New Roman"/>
          <w:b/>
          <w:lang w:val="lt-LT"/>
        </w:rPr>
        <w:t xml:space="preserve">Simvacor </w:t>
      </w:r>
      <w:r w:rsidRPr="00A762B5">
        <w:rPr>
          <w:rFonts w:ascii="Times New Roman" w:eastAsia="Calibri" w:hAnsi="Times New Roman" w:cs="Times New Roman"/>
          <w:b/>
          <w:bCs/>
          <w:lang w:val="lt-LT"/>
        </w:rPr>
        <w:t>dozę</w:t>
      </w:r>
    </w:p>
    <w:p w14:paraId="30B062B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Nedelsdami kreipkitės į gydytoją. Vaisto perdozavus, gydytojas turėtų pradėti palaikomąjį ir simptominį gydymą. </w:t>
      </w:r>
    </w:p>
    <w:p w14:paraId="79C8BAF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4B94217" w14:textId="77777777"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 xml:space="preserve">Pamiršus pavartoti </w:t>
      </w:r>
      <w:r w:rsidRPr="00A762B5">
        <w:rPr>
          <w:rFonts w:ascii="Times New Roman" w:eastAsia="Calibri" w:hAnsi="Times New Roman" w:cs="Times New Roman"/>
          <w:b/>
          <w:lang w:val="lt-LT"/>
        </w:rPr>
        <w:t>Simvacor</w:t>
      </w:r>
    </w:p>
    <w:p w14:paraId="7229343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Negalima vartoti dvigubos dozės norint kompensuoti praleistą dozę. Vaisto reikia vartoti toliau taip, kaip paskirta.</w:t>
      </w:r>
    </w:p>
    <w:p w14:paraId="31C4DCE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85A4E85" w14:textId="77777777"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 xml:space="preserve">Nustojus vartoti </w:t>
      </w:r>
      <w:r w:rsidRPr="00A762B5">
        <w:rPr>
          <w:rFonts w:ascii="Times New Roman" w:eastAsia="Calibri" w:hAnsi="Times New Roman" w:cs="Times New Roman"/>
          <w:b/>
          <w:lang w:val="lt-LT"/>
        </w:rPr>
        <w:t>Simvacor</w:t>
      </w:r>
    </w:p>
    <w:p w14:paraId="6B8339A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Vėl gali padidėti lipidų kiekis kraujyje.</w:t>
      </w:r>
    </w:p>
    <w:p w14:paraId="2447A6B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BD4903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kiltų daugiau klausimų dėl šio vaisto vartojimo, kreipkitės į gydytoją arba vaistininką.</w:t>
      </w:r>
    </w:p>
    <w:p w14:paraId="54ADECA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F5D2FA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4FA7AE8" w14:textId="77777777" w:rsidR="00A762B5" w:rsidRPr="00A762B5" w:rsidRDefault="00A762B5" w:rsidP="00A762B5">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w:t>
      </w:r>
      <w:r w:rsidRPr="00A762B5">
        <w:rPr>
          <w:rFonts w:ascii="Times New Roman" w:eastAsia="Calibri" w:hAnsi="Times New Roman" w:cs="Times New Roman"/>
          <w:b/>
          <w:lang w:val="lt-LT" w:eastAsia="lt-LT"/>
        </w:rPr>
        <w:tab/>
        <w:t>Galimas šalutinis poveikis</w:t>
      </w:r>
    </w:p>
    <w:p w14:paraId="3849CA35"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1DF2860"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Šis vaistas</w:t>
      </w:r>
      <w:r w:rsidRPr="00A762B5">
        <w:rPr>
          <w:rFonts w:ascii="Times New Roman" w:eastAsia="Calibri" w:hAnsi="Times New Roman" w:cs="Times New Roman"/>
          <w:lang w:val="lt-LT" w:eastAsia="lt-LT"/>
        </w:rPr>
        <w:t>, kaip ir visi kiti, gali sukelti šalutinį poveikį, nors jis pasireiškia ne visiems žmonėms.</w:t>
      </w:r>
    </w:p>
    <w:p w14:paraId="691CAB8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BED9D9D" w14:textId="22908F61"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Ret</w:t>
      </w:r>
      <w:r w:rsidR="00011B74">
        <w:rPr>
          <w:rFonts w:ascii="Times New Roman" w:eastAsia="Calibri" w:hAnsi="Times New Roman" w:cs="Times New Roman"/>
          <w:i/>
          <w:lang w:val="lt-LT" w:eastAsia="lt-LT"/>
        </w:rPr>
        <w:t>i</w:t>
      </w:r>
      <w:r w:rsidRPr="00A762B5">
        <w:rPr>
          <w:rFonts w:ascii="Times New Roman" w:eastAsia="Calibri" w:hAnsi="Times New Roman" w:cs="Times New Roman"/>
          <w:i/>
          <w:lang w:val="lt-LT" w:eastAsia="lt-LT"/>
        </w:rPr>
        <w:t xml:space="preserve"> šalutini</w:t>
      </w:r>
      <w:r w:rsidR="00011B74">
        <w:rPr>
          <w:rFonts w:ascii="Times New Roman" w:eastAsia="Calibri" w:hAnsi="Times New Roman" w:cs="Times New Roman"/>
          <w:i/>
          <w:lang w:val="lt-LT" w:eastAsia="lt-LT"/>
        </w:rPr>
        <w:t>o</w:t>
      </w:r>
      <w:r w:rsidRPr="00A762B5">
        <w:rPr>
          <w:rFonts w:ascii="Times New Roman" w:eastAsia="Calibri" w:hAnsi="Times New Roman" w:cs="Times New Roman"/>
          <w:i/>
          <w:lang w:val="lt-LT" w:eastAsia="lt-LT"/>
        </w:rPr>
        <w:t xml:space="preserve"> poveiki</w:t>
      </w:r>
      <w:r w:rsidR="00011B74">
        <w:rPr>
          <w:rFonts w:ascii="Times New Roman" w:eastAsia="Calibri" w:hAnsi="Times New Roman" w:cs="Times New Roman"/>
          <w:i/>
          <w:lang w:val="lt-LT" w:eastAsia="lt-LT"/>
        </w:rPr>
        <w:t>o reiškiniai</w:t>
      </w:r>
      <w:r w:rsidRPr="00A762B5">
        <w:rPr>
          <w:rFonts w:ascii="Times New Roman" w:eastAsia="Calibri" w:hAnsi="Times New Roman" w:cs="Times New Roman"/>
          <w:i/>
          <w:lang w:val="lt-LT" w:eastAsia="lt-LT"/>
        </w:rPr>
        <w:t xml:space="preserve"> (gali pasireikšti </w:t>
      </w:r>
      <w:r w:rsidR="003E1863">
        <w:rPr>
          <w:rFonts w:ascii="Times New Roman" w:eastAsia="Calibri" w:hAnsi="Times New Roman" w:cs="Times New Roman"/>
          <w:i/>
          <w:lang w:val="lt-LT" w:eastAsia="lt-LT"/>
        </w:rPr>
        <w:t>reč</w:t>
      </w:r>
      <w:r w:rsidRPr="00A762B5">
        <w:rPr>
          <w:rFonts w:ascii="Times New Roman" w:eastAsia="Calibri" w:hAnsi="Times New Roman" w:cs="Times New Roman"/>
          <w:i/>
          <w:lang w:val="lt-LT" w:eastAsia="lt-LT"/>
        </w:rPr>
        <w:t xml:space="preserve">iau </w:t>
      </w:r>
      <w:r w:rsidR="00011B74">
        <w:rPr>
          <w:rFonts w:ascii="Times New Roman" w:eastAsia="Calibri" w:hAnsi="Times New Roman" w:cs="Times New Roman"/>
          <w:i/>
          <w:lang w:val="lt-LT" w:eastAsia="lt-LT"/>
        </w:rPr>
        <w:t>kaip</w:t>
      </w:r>
      <w:r w:rsidRPr="00A762B5">
        <w:rPr>
          <w:rFonts w:ascii="Times New Roman" w:eastAsia="Calibri" w:hAnsi="Times New Roman" w:cs="Times New Roman"/>
          <w:i/>
          <w:lang w:val="lt-LT" w:eastAsia="lt-LT"/>
        </w:rPr>
        <w:t xml:space="preserve"> 1 iš 1</w:t>
      </w:r>
      <w:r w:rsidR="00011B74">
        <w:rPr>
          <w:rFonts w:ascii="Times New Roman" w:eastAsia="Calibri" w:hAnsi="Times New Roman" w:cs="Times New Roman"/>
          <w:i/>
          <w:lang w:val="lt-LT" w:eastAsia="lt-LT"/>
        </w:rPr>
        <w:t> </w:t>
      </w:r>
      <w:r w:rsidRPr="00A762B5">
        <w:rPr>
          <w:rFonts w:ascii="Times New Roman" w:eastAsia="Calibri" w:hAnsi="Times New Roman" w:cs="Times New Roman"/>
          <w:i/>
          <w:lang w:val="lt-LT" w:eastAsia="lt-LT"/>
        </w:rPr>
        <w:t xml:space="preserve">000 </w:t>
      </w:r>
      <w:r w:rsidR="00011B74">
        <w:rPr>
          <w:rFonts w:ascii="Times New Roman" w:eastAsia="Calibri" w:hAnsi="Times New Roman" w:cs="Times New Roman"/>
          <w:i/>
          <w:lang w:val="lt-LT" w:eastAsia="lt-LT"/>
        </w:rPr>
        <w:t>asmenų</w:t>
      </w:r>
      <w:r w:rsidRPr="00A762B5">
        <w:rPr>
          <w:rFonts w:ascii="Times New Roman" w:eastAsia="Calibri" w:hAnsi="Times New Roman" w:cs="Times New Roman"/>
          <w:i/>
          <w:lang w:val="lt-LT" w:eastAsia="lt-LT"/>
        </w:rPr>
        <w:t>)</w:t>
      </w:r>
    </w:p>
    <w:p w14:paraId="35C4374C"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Mažakraujystė.</w:t>
      </w:r>
    </w:p>
    <w:p w14:paraId="438A3F58"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Galvos skausmas, parestezija (tirpimo, niežėjimo ir kitų nesamų dirgiklių tariamas jutimas), svaigulys, periferinė neuropatija.</w:t>
      </w:r>
    </w:p>
    <w:p w14:paraId="29ACD98E"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Vidurių užkietėjimas, pilvo skausmas, vidurių pūtimas, virškinimo sutrikimas, viduriavimas, pykinimas, vėmimas, kasos uždegimas.</w:t>
      </w:r>
    </w:p>
    <w:p w14:paraId="6722D41B"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Kepenų uždegimas, gelta.</w:t>
      </w:r>
    </w:p>
    <w:p w14:paraId="3E300080"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Išbėrimas, niežulys, plaukų slinkimas.</w:t>
      </w:r>
    </w:p>
    <w:p w14:paraId="52900F88"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Miopatija (įskaitant miozitą), rabdomiolizė (raumenų irimas) su ar be inkstų funkcijos nepakankamumo (žr. 2 skyriaus poskyrį „Įspėjimai ir atsargumo priemonės“), raumenų skausmas, raumenų spazmas.</w:t>
      </w:r>
    </w:p>
    <w:p w14:paraId="7BB0B6DC"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Silpnumas.</w:t>
      </w:r>
    </w:p>
    <w:p w14:paraId="456409B0" w14:textId="77777777" w:rsidR="000C2710" w:rsidRDefault="00A762B5" w:rsidP="00242B0F">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Serumo transaminazių (kepenų fermentų) ALT, AST, gama glutamiltranspeptidazės aktyvumo padidėjimas, šarminės fosfatazės, kreatinkinazės aktyvumo kraujo serume padidėjimas (žr. 2 skyriaus poskyrį „Įspėjimai ir atsargumo priemonės“).</w:t>
      </w:r>
    </w:p>
    <w:p w14:paraId="29D470D7" w14:textId="77777777" w:rsidR="000C2710" w:rsidRDefault="000C2710" w:rsidP="00242B0F">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0F58CF">
        <w:rPr>
          <w:rFonts w:ascii="Times New Roman" w:eastAsia="Calibri" w:hAnsi="Times New Roman" w:cs="Times New Roman"/>
          <w:szCs w:val="20"/>
          <w:lang w:val="lt-LT" w:eastAsia="lt-LT"/>
        </w:rPr>
        <w:t>Neryškus matymas ir sutrikęs regėjimas</w:t>
      </w:r>
      <w:r>
        <w:rPr>
          <w:rFonts w:ascii="Times New Roman" w:eastAsia="Calibri" w:hAnsi="Times New Roman" w:cs="Times New Roman"/>
          <w:szCs w:val="20"/>
          <w:lang w:val="lt-LT" w:eastAsia="lt-LT"/>
        </w:rPr>
        <w:t>.</w:t>
      </w:r>
    </w:p>
    <w:p w14:paraId="69951274"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6F1E7C6" w14:textId="7E0AEB34"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Labai ret</w:t>
      </w:r>
      <w:r w:rsidR="00011B74">
        <w:rPr>
          <w:rFonts w:ascii="Times New Roman" w:eastAsia="Calibri" w:hAnsi="Times New Roman" w:cs="Times New Roman"/>
          <w:i/>
          <w:lang w:val="lt-LT" w:eastAsia="lt-LT"/>
        </w:rPr>
        <w:t>i</w:t>
      </w:r>
      <w:r w:rsidRPr="00A762B5">
        <w:rPr>
          <w:rFonts w:ascii="Times New Roman" w:eastAsia="Calibri" w:hAnsi="Times New Roman" w:cs="Times New Roman"/>
          <w:i/>
          <w:lang w:val="lt-LT" w:eastAsia="lt-LT"/>
        </w:rPr>
        <w:t xml:space="preserve"> šalutini</w:t>
      </w:r>
      <w:r w:rsidR="00011B74">
        <w:rPr>
          <w:rFonts w:ascii="Times New Roman" w:eastAsia="Calibri" w:hAnsi="Times New Roman" w:cs="Times New Roman"/>
          <w:i/>
          <w:lang w:val="lt-LT" w:eastAsia="lt-LT"/>
        </w:rPr>
        <w:t>o</w:t>
      </w:r>
      <w:r w:rsidRPr="00A762B5">
        <w:rPr>
          <w:rFonts w:ascii="Times New Roman" w:eastAsia="Calibri" w:hAnsi="Times New Roman" w:cs="Times New Roman"/>
          <w:i/>
          <w:lang w:val="lt-LT" w:eastAsia="lt-LT"/>
        </w:rPr>
        <w:t xml:space="preserve"> poveiki</w:t>
      </w:r>
      <w:r w:rsidR="00011B74">
        <w:rPr>
          <w:rFonts w:ascii="Times New Roman" w:eastAsia="Calibri" w:hAnsi="Times New Roman" w:cs="Times New Roman"/>
          <w:i/>
          <w:lang w:val="lt-LT" w:eastAsia="lt-LT"/>
        </w:rPr>
        <w:t>o reiškiniai</w:t>
      </w:r>
      <w:r w:rsidRPr="00A762B5">
        <w:rPr>
          <w:rFonts w:ascii="Times New Roman" w:eastAsia="Calibri" w:hAnsi="Times New Roman" w:cs="Times New Roman"/>
          <w:i/>
          <w:lang w:val="lt-LT" w:eastAsia="lt-LT"/>
        </w:rPr>
        <w:t xml:space="preserve"> (gali pasireikšti </w:t>
      </w:r>
      <w:r w:rsidR="003E1863">
        <w:rPr>
          <w:rFonts w:ascii="Times New Roman" w:eastAsia="Calibri" w:hAnsi="Times New Roman" w:cs="Times New Roman"/>
          <w:i/>
          <w:lang w:val="lt-LT" w:eastAsia="lt-LT"/>
        </w:rPr>
        <w:t>reč</w:t>
      </w:r>
      <w:r w:rsidRPr="00A762B5">
        <w:rPr>
          <w:rFonts w:ascii="Times New Roman" w:eastAsia="Calibri" w:hAnsi="Times New Roman" w:cs="Times New Roman"/>
          <w:i/>
          <w:lang w:val="lt-LT" w:eastAsia="lt-LT"/>
        </w:rPr>
        <w:t xml:space="preserve">iau </w:t>
      </w:r>
      <w:r w:rsidR="00011B74">
        <w:rPr>
          <w:rFonts w:ascii="Times New Roman" w:eastAsia="Calibri" w:hAnsi="Times New Roman" w:cs="Times New Roman"/>
          <w:i/>
          <w:lang w:val="lt-LT" w:eastAsia="lt-LT"/>
        </w:rPr>
        <w:t>kaip</w:t>
      </w:r>
      <w:r w:rsidRPr="00A762B5">
        <w:rPr>
          <w:rFonts w:ascii="Times New Roman" w:eastAsia="Calibri" w:hAnsi="Times New Roman" w:cs="Times New Roman"/>
          <w:i/>
          <w:lang w:val="lt-LT" w:eastAsia="lt-LT"/>
        </w:rPr>
        <w:t xml:space="preserve"> 1 iš 10</w:t>
      </w:r>
      <w:r w:rsidR="00011B74">
        <w:rPr>
          <w:rFonts w:ascii="Times New Roman" w:eastAsia="Calibri" w:hAnsi="Times New Roman" w:cs="Times New Roman"/>
          <w:i/>
          <w:lang w:val="lt-LT" w:eastAsia="lt-LT"/>
        </w:rPr>
        <w:t> </w:t>
      </w:r>
      <w:r w:rsidRPr="00A762B5">
        <w:rPr>
          <w:rFonts w:ascii="Times New Roman" w:eastAsia="Calibri" w:hAnsi="Times New Roman" w:cs="Times New Roman"/>
          <w:i/>
          <w:lang w:val="lt-LT" w:eastAsia="lt-LT"/>
        </w:rPr>
        <w:t xml:space="preserve">000 </w:t>
      </w:r>
      <w:r w:rsidR="00011B74">
        <w:rPr>
          <w:rFonts w:ascii="Times New Roman" w:eastAsia="Calibri" w:hAnsi="Times New Roman" w:cs="Times New Roman"/>
          <w:i/>
          <w:lang w:val="lt-LT" w:eastAsia="lt-LT"/>
        </w:rPr>
        <w:t>asmenų</w:t>
      </w:r>
      <w:r w:rsidRPr="00A762B5">
        <w:rPr>
          <w:rFonts w:ascii="Times New Roman" w:eastAsia="Calibri" w:hAnsi="Times New Roman" w:cs="Times New Roman"/>
          <w:i/>
          <w:lang w:val="lt-LT" w:eastAsia="lt-LT"/>
        </w:rPr>
        <w:t>)</w:t>
      </w:r>
    </w:p>
    <w:p w14:paraId="59556587"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Nemiga.</w:t>
      </w:r>
    </w:p>
    <w:p w14:paraId="3C24DAA3" w14:textId="77777777" w:rsidR="00A762B5" w:rsidRP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Atminties praradimas, susilpnėjimas.</w:t>
      </w:r>
    </w:p>
    <w:p w14:paraId="6CE47CF3" w14:textId="77777777" w:rsidR="00A762B5" w:rsidRDefault="00A762B5" w:rsidP="00A762B5">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Kepenų nepakankamumas.</w:t>
      </w:r>
    </w:p>
    <w:p w14:paraId="149A5909" w14:textId="77777777" w:rsidR="000F58CF" w:rsidRDefault="000F58CF" w:rsidP="00242B0F">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4106C6">
        <w:rPr>
          <w:rFonts w:ascii="Times New Roman" w:eastAsia="Calibri" w:hAnsi="Times New Roman" w:cs="Times New Roman"/>
          <w:szCs w:val="20"/>
          <w:lang w:val="lt-LT" w:eastAsia="lt-LT"/>
        </w:rPr>
        <w:t>Išbėrimas, kuris gali atsirasti odoje arba kaip burnos gleivinės išopėjimas (lichenoidinis vaistų sukeltas išbėrimas)</w:t>
      </w:r>
      <w:r>
        <w:rPr>
          <w:rFonts w:ascii="Times New Roman" w:eastAsia="Calibri" w:hAnsi="Times New Roman" w:cs="Times New Roman"/>
          <w:szCs w:val="20"/>
          <w:lang w:val="lt-LT" w:eastAsia="lt-LT"/>
        </w:rPr>
        <w:t>.</w:t>
      </w:r>
    </w:p>
    <w:p w14:paraId="00567156" w14:textId="77777777" w:rsidR="000F58CF" w:rsidRDefault="000F58CF" w:rsidP="00242B0F">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Pr>
          <w:rFonts w:ascii="Times New Roman" w:eastAsia="Calibri" w:hAnsi="Times New Roman" w:cs="Times New Roman"/>
          <w:szCs w:val="20"/>
          <w:lang w:val="lt-LT" w:eastAsia="lt-LT"/>
        </w:rPr>
        <w:t>R</w:t>
      </w:r>
      <w:r w:rsidRPr="000F58CF">
        <w:rPr>
          <w:rFonts w:ascii="Times New Roman" w:eastAsia="Calibri" w:hAnsi="Times New Roman" w:cs="Times New Roman"/>
          <w:szCs w:val="20"/>
          <w:lang w:val="lt-LT" w:eastAsia="lt-LT"/>
        </w:rPr>
        <w:t>aumens plyšimas</w:t>
      </w:r>
      <w:r>
        <w:rPr>
          <w:rFonts w:ascii="Times New Roman" w:eastAsia="Calibri" w:hAnsi="Times New Roman" w:cs="Times New Roman"/>
          <w:szCs w:val="20"/>
          <w:lang w:val="lt-LT" w:eastAsia="lt-LT"/>
        </w:rPr>
        <w:t>.</w:t>
      </w:r>
    </w:p>
    <w:p w14:paraId="0F469329" w14:textId="77777777" w:rsidR="000F58CF" w:rsidRPr="000F58CF" w:rsidRDefault="000F58CF" w:rsidP="00242B0F">
      <w:pPr>
        <w:numPr>
          <w:ilvl w:val="0"/>
          <w:numId w:val="49"/>
        </w:numPr>
        <w:spacing w:after="0" w:line="240" w:lineRule="auto"/>
        <w:ind w:left="567" w:hanging="567"/>
        <w:contextualSpacing/>
        <w:rPr>
          <w:rFonts w:ascii="Times New Roman" w:eastAsia="Calibri" w:hAnsi="Times New Roman" w:cs="Times New Roman"/>
          <w:szCs w:val="20"/>
          <w:lang w:val="lt-LT" w:eastAsia="lt-LT"/>
        </w:rPr>
      </w:pPr>
      <w:r w:rsidRPr="000F58CF">
        <w:rPr>
          <w:rFonts w:ascii="Times New Roman" w:eastAsia="Calibri" w:hAnsi="Times New Roman" w:cs="Times New Roman"/>
          <w:szCs w:val="20"/>
          <w:lang w:val="lt-LT" w:eastAsia="lt-LT"/>
        </w:rPr>
        <w:t>Ginekomastija (krūtų padidėjimas vyrams)</w:t>
      </w:r>
      <w:r>
        <w:rPr>
          <w:rFonts w:ascii="Times New Roman" w:eastAsia="Calibri" w:hAnsi="Times New Roman" w:cs="Times New Roman"/>
          <w:szCs w:val="20"/>
          <w:lang w:val="lt-LT" w:eastAsia="lt-LT"/>
        </w:rPr>
        <w:t>.</w:t>
      </w:r>
    </w:p>
    <w:p w14:paraId="06A894E1" w14:textId="77777777" w:rsidR="00A66A86" w:rsidRPr="00A762B5" w:rsidRDefault="00A66A86" w:rsidP="00A762B5">
      <w:pPr>
        <w:spacing w:after="0" w:line="240" w:lineRule="auto"/>
        <w:contextualSpacing/>
        <w:rPr>
          <w:rFonts w:ascii="Times New Roman" w:eastAsia="Calibri" w:hAnsi="Times New Roman" w:cs="Times New Roman"/>
          <w:lang w:val="lt-LT" w:eastAsia="lt-LT"/>
        </w:rPr>
      </w:pPr>
    </w:p>
    <w:p w14:paraId="0C64209B" w14:textId="14B0320E" w:rsidR="00A762B5" w:rsidRPr="00A762B5" w:rsidRDefault="00A762B5" w:rsidP="00A762B5">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Šalutini</w:t>
      </w:r>
      <w:r w:rsidR="00011B74">
        <w:rPr>
          <w:rFonts w:ascii="Times New Roman" w:eastAsia="Calibri" w:hAnsi="Times New Roman" w:cs="Times New Roman"/>
          <w:i/>
          <w:lang w:val="lt-LT" w:eastAsia="lt-LT"/>
        </w:rPr>
        <w:t>o</w:t>
      </w:r>
      <w:r w:rsidRPr="00A762B5">
        <w:rPr>
          <w:rFonts w:ascii="Times New Roman" w:eastAsia="Calibri" w:hAnsi="Times New Roman" w:cs="Times New Roman"/>
          <w:i/>
          <w:lang w:val="lt-LT" w:eastAsia="lt-LT"/>
        </w:rPr>
        <w:t xml:space="preserve"> poveiki</w:t>
      </w:r>
      <w:r w:rsidR="00011B74">
        <w:rPr>
          <w:rFonts w:ascii="Times New Roman" w:eastAsia="Calibri" w:hAnsi="Times New Roman" w:cs="Times New Roman"/>
          <w:i/>
          <w:lang w:val="lt-LT" w:eastAsia="lt-LT"/>
        </w:rPr>
        <w:t>o reiškiniai</w:t>
      </w:r>
      <w:r w:rsidRPr="00A762B5">
        <w:rPr>
          <w:rFonts w:ascii="Times New Roman" w:eastAsia="Calibri" w:hAnsi="Times New Roman" w:cs="Times New Roman"/>
          <w:i/>
          <w:lang w:val="lt-LT" w:eastAsia="lt-LT"/>
        </w:rPr>
        <w:t>, kuri</w:t>
      </w:r>
      <w:r w:rsidR="00011B74">
        <w:rPr>
          <w:rFonts w:ascii="Times New Roman" w:eastAsia="Calibri" w:hAnsi="Times New Roman" w:cs="Times New Roman"/>
          <w:i/>
          <w:lang w:val="lt-LT" w:eastAsia="lt-LT"/>
        </w:rPr>
        <w:t>ų</w:t>
      </w:r>
      <w:r w:rsidRPr="00A762B5">
        <w:rPr>
          <w:rFonts w:ascii="Times New Roman" w:eastAsia="Calibri" w:hAnsi="Times New Roman" w:cs="Times New Roman"/>
          <w:i/>
          <w:lang w:val="lt-LT" w:eastAsia="lt-LT"/>
        </w:rPr>
        <w:t xml:space="preserve"> dažnis nežinomas (negali būti apskaičiuotas pagal turimus duomenis)</w:t>
      </w:r>
    </w:p>
    <w:p w14:paraId="77F60F6C" w14:textId="77777777" w:rsidR="00FE48C8" w:rsidRDefault="00A762B5" w:rsidP="00FE48C8">
      <w:pPr>
        <w:numPr>
          <w:ilvl w:val="0"/>
          <w:numId w:val="50"/>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Depresija.</w:t>
      </w:r>
    </w:p>
    <w:p w14:paraId="54BF9161" w14:textId="77777777" w:rsidR="00A762B5" w:rsidRPr="00A762B5" w:rsidRDefault="00A762B5" w:rsidP="00A762B5">
      <w:pPr>
        <w:numPr>
          <w:ilvl w:val="0"/>
          <w:numId w:val="50"/>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Išskirtiniais atvejais intersticinė plaučių liga, ypač gydant ilgą laiką.</w:t>
      </w:r>
    </w:p>
    <w:p w14:paraId="54390849" w14:textId="77777777" w:rsidR="00A762B5" w:rsidRPr="00A762B5" w:rsidRDefault="00A762B5" w:rsidP="00A762B5">
      <w:pPr>
        <w:numPr>
          <w:ilvl w:val="0"/>
          <w:numId w:val="50"/>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Sausgyslių uždegimas, kartais su jų plyšimu,</w:t>
      </w:r>
      <w:r w:rsidRPr="00A762B5">
        <w:rPr>
          <w:rFonts w:ascii="Times New Roman" w:eastAsia="Times New Roman" w:hAnsi="Times New Roman" w:cs="Times New Roman"/>
          <w:szCs w:val="20"/>
          <w:lang w:val="lt-LT" w:eastAsia="lt-LT"/>
        </w:rPr>
        <w:t xml:space="preserve"> </w:t>
      </w:r>
      <w:r w:rsidRPr="00A762B5">
        <w:rPr>
          <w:rFonts w:ascii="Times New Roman" w:eastAsia="Calibri" w:hAnsi="Times New Roman" w:cs="Times New Roman"/>
          <w:szCs w:val="20"/>
          <w:lang w:val="lt-LT" w:eastAsia="lt-LT"/>
        </w:rPr>
        <w:t>nuolatinis raumenų silpnumas.</w:t>
      </w:r>
    </w:p>
    <w:p w14:paraId="2AFFAE64" w14:textId="77777777" w:rsidR="00A762B5" w:rsidRPr="00A762B5" w:rsidRDefault="00A762B5" w:rsidP="00A762B5">
      <w:pPr>
        <w:numPr>
          <w:ilvl w:val="0"/>
          <w:numId w:val="50"/>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Seksualinės funkcijos sutrikimas.</w:t>
      </w:r>
    </w:p>
    <w:p w14:paraId="3CA6CD9D" w14:textId="77777777" w:rsidR="00304E79" w:rsidRPr="00FE48C8" w:rsidRDefault="00304E79" w:rsidP="00304E79">
      <w:pPr>
        <w:numPr>
          <w:ilvl w:val="0"/>
          <w:numId w:val="50"/>
        </w:numPr>
        <w:spacing w:after="0" w:line="240" w:lineRule="auto"/>
        <w:ind w:left="567" w:hanging="567"/>
        <w:contextualSpacing/>
        <w:rPr>
          <w:rFonts w:ascii="Times New Roman" w:eastAsia="Calibri" w:hAnsi="Times New Roman" w:cs="Times New Roman"/>
          <w:szCs w:val="20"/>
          <w:lang w:val="lt-LT" w:eastAsia="lt-LT"/>
        </w:rPr>
      </w:pPr>
      <w:r w:rsidRPr="00FE48C8">
        <w:rPr>
          <w:rFonts w:ascii="Times New Roman" w:eastAsia="Calibri" w:hAnsi="Times New Roman" w:cs="Times New Roman"/>
          <w:szCs w:val="20"/>
          <w:lang w:val="lt-LT" w:eastAsia="lt-LT"/>
        </w:rPr>
        <w:t>Sunkioji miastenija (liga, sukelianti bendrą raumenų, įskaitant kai kuriais atvejais, kvėpuojant naudojamus raumenis, silpnumą).</w:t>
      </w:r>
    </w:p>
    <w:p w14:paraId="662ACF9B" w14:textId="77777777" w:rsidR="00304E79" w:rsidRPr="00A762B5" w:rsidRDefault="00304E79" w:rsidP="00304E79">
      <w:pPr>
        <w:numPr>
          <w:ilvl w:val="0"/>
          <w:numId w:val="50"/>
        </w:numPr>
        <w:spacing w:after="0" w:line="240" w:lineRule="auto"/>
        <w:ind w:left="567" w:hanging="567"/>
        <w:contextualSpacing/>
        <w:rPr>
          <w:rFonts w:ascii="Times New Roman" w:eastAsia="Calibri" w:hAnsi="Times New Roman" w:cs="Times New Roman"/>
          <w:szCs w:val="20"/>
          <w:lang w:val="lt-LT" w:eastAsia="lt-LT"/>
        </w:rPr>
      </w:pPr>
      <w:r w:rsidRPr="00FE48C8">
        <w:rPr>
          <w:rFonts w:ascii="Times New Roman" w:eastAsia="Calibri" w:hAnsi="Times New Roman" w:cs="Times New Roman"/>
          <w:szCs w:val="20"/>
          <w:lang w:val="lt-LT" w:eastAsia="lt-LT"/>
        </w:rPr>
        <w:t>Akių miastenija (akių raumenų silpnumą sukelianti liga).</w:t>
      </w:r>
    </w:p>
    <w:p w14:paraId="2DD1EBF3" w14:textId="77777777" w:rsidR="00A762B5" w:rsidRPr="005C1610" w:rsidRDefault="00A762B5" w:rsidP="00A762B5">
      <w:pPr>
        <w:spacing w:after="0" w:line="240" w:lineRule="auto"/>
        <w:contextualSpacing/>
        <w:rPr>
          <w:rFonts w:ascii="Times New Roman" w:eastAsia="Calibri" w:hAnsi="Times New Roman" w:cs="Times New Roman"/>
          <w:lang w:val="lt-LT" w:eastAsia="lt-LT"/>
        </w:rPr>
      </w:pPr>
    </w:p>
    <w:p w14:paraId="56353A6D" w14:textId="77777777" w:rsidR="00F4264B" w:rsidRDefault="00F4264B" w:rsidP="00A762B5">
      <w:pPr>
        <w:spacing w:after="0" w:line="240" w:lineRule="auto"/>
        <w:contextualSpacing/>
        <w:rPr>
          <w:rFonts w:ascii="Times New Roman" w:eastAsia="Calibri" w:hAnsi="Times New Roman" w:cs="Times New Roman"/>
          <w:lang w:val="lt-LT" w:eastAsia="lt-LT"/>
        </w:rPr>
      </w:pPr>
      <w:r w:rsidRPr="00F4264B">
        <w:rPr>
          <w:rFonts w:ascii="Times New Roman" w:eastAsia="Calibri" w:hAnsi="Times New Roman" w:cs="Times New Roman"/>
          <w:lang w:val="lt-LT" w:eastAsia="lt-LT"/>
        </w:rPr>
        <w:t>Pasitarkite su gydytoju, jei jaučiate rankų ar kojų silpnumą, kuris pasunkėja aktyviau pajudėjus, jei dvejinasi akyse arba užkrenta akių vokai, sunku ryti arba pasireiškia dusulys.</w:t>
      </w:r>
    </w:p>
    <w:p w14:paraId="480E30A9" w14:textId="77777777" w:rsidR="00F4264B" w:rsidRDefault="00F4264B" w:rsidP="00A762B5">
      <w:pPr>
        <w:spacing w:after="0" w:line="240" w:lineRule="auto"/>
        <w:contextualSpacing/>
        <w:rPr>
          <w:rFonts w:ascii="Times New Roman" w:eastAsia="Calibri" w:hAnsi="Times New Roman" w:cs="Times New Roman"/>
          <w:lang w:val="lt-LT" w:eastAsia="lt-LT"/>
        </w:rPr>
      </w:pPr>
    </w:p>
    <w:p w14:paraId="695596E7" w14:textId="0281C925"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Retai pacientui simvastatinas gali sukelti alerginę reakciją, kurios simptomai gali būti: kraujagyslinis pabrinkimas (angioneurozinė edema), į vilkligę panašus sindromas, reumatinė raumenų liga, dermatomiozitas (autoimuninė liga su odos pokyčiais, </w:t>
      </w:r>
      <w:r w:rsidR="00DD1C34" w:rsidRPr="00DD1C34">
        <w:rPr>
          <w:rFonts w:ascii="Times New Roman" w:eastAsia="Calibri" w:hAnsi="Times New Roman" w:cs="Times New Roman"/>
          <w:lang w:val="lt-LT" w:eastAsia="lt-LT"/>
        </w:rPr>
        <w:t>dažniausia</w:t>
      </w:r>
      <w:r w:rsidR="00D35145">
        <w:rPr>
          <w:rFonts w:ascii="Times New Roman" w:eastAsia="Calibri" w:hAnsi="Times New Roman" w:cs="Times New Roman"/>
          <w:lang w:val="lt-LT" w:eastAsia="lt-LT"/>
        </w:rPr>
        <w:t>i</w:t>
      </w:r>
      <w:r w:rsidRPr="00A762B5">
        <w:rPr>
          <w:rFonts w:ascii="Times New Roman" w:eastAsia="Calibri" w:hAnsi="Times New Roman" w:cs="Times New Roman"/>
          <w:lang w:val="lt-LT" w:eastAsia="lt-LT"/>
        </w:rPr>
        <w:t xml:space="preserve"> veido ir sprando srityje), kraujo kiekybinės sudėties pokyčiai (trombocitopenija, eozinofilija, eritrocitų nusėdimo greičio padidėjimas), sąnarių uždegimas ir skausmas, odos išbėrimas ir niežėjimas, padidėjęs jautrumas šviesai, karščiavimas, staigus paraudimas, dusulys ir bendrasis negalavimas.</w:t>
      </w:r>
    </w:p>
    <w:p w14:paraId="138AFCA7" w14:textId="77777777" w:rsidR="00074DDE" w:rsidRDefault="00074DDE" w:rsidP="00242B0F">
      <w:pPr>
        <w:autoSpaceDE w:val="0"/>
        <w:autoSpaceDN w:val="0"/>
        <w:adjustRightInd w:val="0"/>
        <w:spacing w:after="0" w:line="240" w:lineRule="auto"/>
        <w:rPr>
          <w:rFonts w:ascii="Times New Roman" w:hAnsi="Times New Roman" w:cs="Times New Roman"/>
          <w:b/>
          <w:lang w:val="lt-LT"/>
        </w:rPr>
      </w:pPr>
    </w:p>
    <w:p w14:paraId="1E366B0C" w14:textId="0446FE62" w:rsidR="00184A03" w:rsidRPr="001E1D00" w:rsidRDefault="00D422D6" w:rsidP="00242B0F">
      <w:pPr>
        <w:autoSpaceDE w:val="0"/>
        <w:autoSpaceDN w:val="0"/>
        <w:adjustRightInd w:val="0"/>
        <w:spacing w:after="0" w:line="240" w:lineRule="auto"/>
        <w:rPr>
          <w:rFonts w:ascii="Times New Roman" w:eastAsia="Calibri" w:hAnsi="Times New Roman" w:cs="Times New Roman"/>
          <w:b/>
          <w:lang w:val="lt-LT" w:eastAsia="lt-LT"/>
        </w:rPr>
      </w:pPr>
      <w:r w:rsidRPr="00F95EF2">
        <w:rPr>
          <w:rFonts w:ascii="Times New Roman" w:hAnsi="Times New Roman"/>
          <w:b/>
          <w:lang w:val="lt-LT"/>
        </w:rPr>
        <w:t xml:space="preserve">Jeigu pasireikštų bet kuris iš šių sunkių šalutinio poveikio </w:t>
      </w:r>
      <w:r w:rsidR="00074DDE" w:rsidRPr="00F95EF2">
        <w:rPr>
          <w:rFonts w:ascii="Times New Roman" w:hAnsi="Times New Roman" w:cs="Times New Roman"/>
          <w:b/>
          <w:lang w:val="lt-LT"/>
        </w:rPr>
        <w:t>atvejų</w:t>
      </w:r>
      <w:r w:rsidRPr="00F95EF2">
        <w:rPr>
          <w:rFonts w:ascii="Times New Roman" w:hAnsi="Times New Roman"/>
          <w:b/>
          <w:lang w:val="lt-LT"/>
        </w:rPr>
        <w:t>, nutraukite vaisto vartojimą</w:t>
      </w:r>
      <w:r w:rsidR="006C1E44">
        <w:rPr>
          <w:rFonts w:ascii="Times New Roman" w:hAnsi="Times New Roman" w:cs="Times New Roman"/>
          <w:b/>
          <w:lang w:val="lt-LT"/>
        </w:rPr>
        <w:t xml:space="preserve"> </w:t>
      </w:r>
      <w:r w:rsidRPr="00F95EF2">
        <w:rPr>
          <w:rFonts w:ascii="Times New Roman" w:hAnsi="Times New Roman"/>
          <w:b/>
          <w:lang w:val="lt-LT"/>
        </w:rPr>
        <w:t>ir nedelsdami kreipkitės į gydytoją arba vykite į artimiausios ligoninės skubiosios pagalbos</w:t>
      </w:r>
      <w:r w:rsidR="00074DDE" w:rsidRPr="00242B0F">
        <w:rPr>
          <w:rFonts w:ascii="Times New Roman" w:hAnsi="Times New Roman" w:cs="Times New Roman"/>
          <w:b/>
          <w:lang w:val="lt-LT"/>
        </w:rPr>
        <w:t xml:space="preserve"> </w:t>
      </w:r>
      <w:r w:rsidRPr="00F95EF2">
        <w:rPr>
          <w:rFonts w:ascii="Times New Roman" w:hAnsi="Times New Roman"/>
          <w:b/>
          <w:lang w:val="lt-LT"/>
        </w:rPr>
        <w:t>skyrių</w:t>
      </w:r>
      <w:r w:rsidR="006C1E44">
        <w:rPr>
          <w:rFonts w:ascii="Times New Roman" w:hAnsi="Times New Roman" w:cs="Times New Roman"/>
          <w:b/>
          <w:lang w:val="lt-LT"/>
        </w:rPr>
        <w:t>.</w:t>
      </w:r>
    </w:p>
    <w:p w14:paraId="28B56608" w14:textId="77777777" w:rsidR="00074DDE" w:rsidRPr="00F95EF2" w:rsidRDefault="00074DDE" w:rsidP="00184A03">
      <w:pPr>
        <w:spacing w:after="0" w:line="240" w:lineRule="auto"/>
        <w:contextualSpacing/>
        <w:rPr>
          <w:rFonts w:ascii="Times New Roman" w:hAnsi="Times New Roman"/>
          <w:lang w:val="lt-LT"/>
        </w:rPr>
      </w:pPr>
    </w:p>
    <w:p w14:paraId="5217FCFF" w14:textId="77777777" w:rsidR="00184A03" w:rsidRPr="00184A03" w:rsidRDefault="00184A03" w:rsidP="00184A03">
      <w:pPr>
        <w:spacing w:after="0" w:line="240" w:lineRule="auto"/>
        <w:contextualSpacing/>
        <w:rPr>
          <w:rFonts w:ascii="Times New Roman" w:eastAsia="Calibri" w:hAnsi="Times New Roman" w:cs="Times New Roman"/>
          <w:lang w:val="lt-LT" w:eastAsia="lt-LT"/>
        </w:rPr>
      </w:pPr>
      <w:r w:rsidRPr="00184A03">
        <w:rPr>
          <w:rFonts w:ascii="Times New Roman" w:eastAsia="Calibri" w:hAnsi="Times New Roman" w:cs="Times New Roman"/>
          <w:lang w:val="lt-LT" w:eastAsia="lt-LT"/>
        </w:rPr>
        <w:t>Gauta pranešimų apie pasireiškusį labai retą sunkų šalutinį poveikį:</w:t>
      </w:r>
    </w:p>
    <w:p w14:paraId="7D51B666" w14:textId="77777777" w:rsidR="00A762B5" w:rsidRPr="001E1D00" w:rsidRDefault="00184A03" w:rsidP="001E1D00">
      <w:pPr>
        <w:pStyle w:val="Sraopastraipa"/>
        <w:numPr>
          <w:ilvl w:val="0"/>
          <w:numId w:val="51"/>
        </w:numPr>
        <w:ind w:left="567" w:hanging="567"/>
        <w:rPr>
          <w:rFonts w:eastAsia="Calibri"/>
        </w:rPr>
      </w:pPr>
      <w:r w:rsidRPr="001E1D00">
        <w:rPr>
          <w:rFonts w:eastAsia="Calibri"/>
        </w:rPr>
        <w:t>sunkią alerginę reakciją, dėl kurios būna sunku kvėpuoti ar pasireiškia svaigulys (anafilaksiją).</w:t>
      </w:r>
    </w:p>
    <w:p w14:paraId="42CF593F" w14:textId="77777777" w:rsidR="00184A03" w:rsidRPr="00A762B5" w:rsidRDefault="00184A03" w:rsidP="00184A03">
      <w:pPr>
        <w:spacing w:after="0" w:line="240" w:lineRule="auto"/>
        <w:contextualSpacing/>
        <w:rPr>
          <w:rFonts w:ascii="Times New Roman" w:eastAsia="Calibri" w:hAnsi="Times New Roman" w:cs="Times New Roman"/>
          <w:lang w:val="lt-LT" w:eastAsia="lt-LT"/>
        </w:rPr>
      </w:pPr>
    </w:p>
    <w:p w14:paraId="279F98D6"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Vartojant kai kurių statinų buvo pastebėtas šis šalutinis poveikis:</w:t>
      </w:r>
    </w:p>
    <w:p w14:paraId="30B70024" w14:textId="77777777" w:rsidR="00A762B5" w:rsidRPr="00A762B5" w:rsidRDefault="00A762B5" w:rsidP="00A762B5">
      <w:pPr>
        <w:spacing w:after="0" w:line="240" w:lineRule="auto"/>
        <w:ind w:left="284" w:hanging="284"/>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Miego sutrikimai, įskaitant košmarus.</w:t>
      </w:r>
    </w:p>
    <w:p w14:paraId="778D39F8" w14:textId="77777777" w:rsidR="00A762B5" w:rsidRPr="00A762B5" w:rsidRDefault="00A762B5" w:rsidP="00A762B5">
      <w:pPr>
        <w:spacing w:after="0" w:line="240" w:lineRule="auto"/>
        <w:ind w:left="284" w:hanging="284"/>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Seksualiniai sutrikimai.</w:t>
      </w:r>
    </w:p>
    <w:p w14:paraId="7FF5D793" w14:textId="77777777" w:rsidR="00A762B5" w:rsidRPr="00A762B5" w:rsidRDefault="00A762B5" w:rsidP="00A762B5">
      <w:pPr>
        <w:spacing w:after="0" w:line="240" w:lineRule="auto"/>
        <w:ind w:left="284" w:hanging="284"/>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Cukrinis diabetas. Jis labiau tikėtinas, jei Jūsų kraujyje yra padidėjęs cukraus ir riebalų kiekis, turite antsvorio, ar Jūsų kraujospūdis aukštas.</w:t>
      </w:r>
    </w:p>
    <w:p w14:paraId="155C259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B1B60E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gydymo Simvacor metu atsiranda neaiškios priežasties sukeltas raumenų skausmas, padidėjęs jautrumas ar silpnumas, nedelsdami informuokite gydytoją.</w:t>
      </w:r>
    </w:p>
    <w:p w14:paraId="34609312" w14:textId="77777777" w:rsidR="00A762B5" w:rsidRPr="00A762B5" w:rsidRDefault="00A762B5" w:rsidP="00A762B5">
      <w:pPr>
        <w:spacing w:after="0" w:line="240" w:lineRule="auto"/>
        <w:contextualSpacing/>
        <w:rPr>
          <w:rFonts w:ascii="Times New Roman" w:eastAsia="Calibri" w:hAnsi="Times New Roman" w:cs="Times New Roman"/>
          <w:highlight w:val="green"/>
          <w:lang w:val="lt-LT" w:eastAsia="lt-LT"/>
        </w:rPr>
      </w:pPr>
    </w:p>
    <w:p w14:paraId="77F6F2A0"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Pranešimas apie šalutinį poveikį</w:t>
      </w:r>
    </w:p>
    <w:p w14:paraId="04071E22" w14:textId="55D8E881" w:rsidR="00A762B5" w:rsidRPr="00A762B5" w:rsidRDefault="00011B74" w:rsidP="006E771E">
      <w:pPr>
        <w:spacing w:after="0" w:line="240" w:lineRule="auto"/>
        <w:contextualSpacing/>
        <w:jc w:val="both"/>
        <w:rPr>
          <w:rFonts w:ascii="Times New Roman" w:eastAsia="Calibri" w:hAnsi="Times New Roman" w:cs="Times New Roman"/>
          <w:lang w:val="lt-LT" w:eastAsia="lt-LT"/>
        </w:rPr>
      </w:pPr>
      <w:r w:rsidRPr="00011B74">
        <w:rPr>
          <w:rFonts w:ascii="Times New Roman" w:eastAsia="Times New Roman" w:hAnsi="Times New Roman" w:cs="Times New Roman"/>
          <w:snapToGrid w:val="0"/>
          <w:lang w:val="lt-LT"/>
        </w:rPr>
        <w:t>Jeigu pasireiškė šalutinis poveikis, įskaitant šiame lapelyje nenurodytą, pasakykite gydytojui</w:t>
      </w:r>
      <w:r>
        <w:rPr>
          <w:rFonts w:ascii="Times New Roman" w:eastAsia="Times New Roman" w:hAnsi="Times New Roman" w:cs="Times New Roman"/>
          <w:snapToGrid w:val="0"/>
          <w:lang w:val="lt-LT"/>
        </w:rPr>
        <w:t xml:space="preserve"> a</w:t>
      </w:r>
      <w:r w:rsidRPr="00011B74">
        <w:rPr>
          <w:rFonts w:ascii="Times New Roman" w:eastAsia="Times New Roman" w:hAnsi="Times New Roman" w:cs="Times New Roman"/>
          <w:snapToGrid w:val="0"/>
          <w:lang w:val="lt-LT"/>
        </w:rPr>
        <w:t>rba</w:t>
      </w:r>
      <w:r>
        <w:rPr>
          <w:rFonts w:ascii="Times New Roman" w:eastAsia="Times New Roman" w:hAnsi="Times New Roman" w:cs="Times New Roman"/>
          <w:snapToGrid w:val="0"/>
          <w:lang w:val="lt-LT"/>
        </w:rPr>
        <w:t xml:space="preserve"> </w:t>
      </w:r>
      <w:r w:rsidRPr="00011B74">
        <w:rPr>
          <w:rFonts w:ascii="Times New Roman" w:eastAsia="Times New Roman" w:hAnsi="Times New Roman" w:cs="Times New Roman"/>
          <w:snapToGrid w:val="0"/>
          <w:lang w:val="lt-LT"/>
        </w:rPr>
        <w:t>vaistininkui</w:t>
      </w:r>
      <w:r>
        <w:rPr>
          <w:rFonts w:ascii="Times New Roman" w:eastAsia="Times New Roman" w:hAnsi="Times New Roman" w:cs="Times New Roman"/>
          <w:snapToGrid w:val="0"/>
          <w:lang w:val="lt-LT"/>
        </w:rPr>
        <w:t xml:space="preserve">. </w:t>
      </w:r>
      <w:r w:rsidRPr="00011B74">
        <w:rPr>
          <w:rFonts w:ascii="Times New Roman" w:eastAsia="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011B74">
          <w:rPr>
            <w:rStyle w:val="Hipersaitas"/>
            <w:rFonts w:ascii="Times New Roman" w:eastAsia="Times New Roman" w:hAnsi="Times New Roman" w:cs="Times New Roman"/>
            <w:snapToGrid w:val="0"/>
            <w:lang w:val="lt-LT"/>
          </w:rPr>
          <w:t>https://vapris.vvkt.lt/vvkt-web/public/nrv</w:t>
        </w:r>
      </w:hyperlink>
      <w:r w:rsidRPr="00011B74">
        <w:rPr>
          <w:rFonts w:ascii="Times New Roman" w:eastAsia="Times New Roman" w:hAnsi="Times New Roman" w:cs="Times New Roman"/>
          <w:snapToGrid w:val="0"/>
          <w:lang w:val="lt-LT"/>
        </w:rPr>
        <w:t xml:space="preserve"> arba užpildant Paciento pranešimo apie įtariamą nepageidaujamą reakciją (ĮNR) formą, kuri skelbiama </w:t>
      </w:r>
      <w:hyperlink r:id="rId12" w:history="1">
        <w:r w:rsidRPr="00011B74">
          <w:rPr>
            <w:rStyle w:val="Hipersaitas"/>
            <w:rFonts w:ascii="Times New Roman" w:eastAsia="Times New Roman" w:hAnsi="Times New Roman" w:cs="Times New Roman"/>
            <w:snapToGrid w:val="0"/>
            <w:lang w:val="lt-LT"/>
          </w:rPr>
          <w:t>https://www.vvkt.lt/index.php?4004286486</w:t>
        </w:r>
      </w:hyperlink>
      <w:r w:rsidRPr="00011B74">
        <w:rPr>
          <w:rFonts w:ascii="Times New Roman" w:eastAsia="Times New Roman" w:hAnsi="Times New Roman" w:cs="Times New Roman"/>
          <w:snapToGrid w:val="0"/>
          <w:lang w:val="lt-LT"/>
        </w:rPr>
        <w:t xml:space="preserve">, ir atsiunčiant elektroniniu paštu (adresu </w:t>
      </w:r>
      <w:hyperlink r:id="rId13" w:history="1">
        <w:r w:rsidRPr="00011B74">
          <w:rPr>
            <w:rStyle w:val="Hipersaitas"/>
            <w:rFonts w:ascii="Times New Roman" w:eastAsia="Times New Roman" w:hAnsi="Times New Roman" w:cs="Times New Roman"/>
            <w:snapToGrid w:val="0"/>
            <w:lang w:val="lt-LT"/>
          </w:rPr>
          <w:t>NepageidaujamaR@vvkt.lt</w:t>
        </w:r>
      </w:hyperlink>
      <w:r w:rsidRPr="00011B74">
        <w:rPr>
          <w:rFonts w:ascii="Times New Roman" w:eastAsia="Times New Roman" w:hAnsi="Times New Roman" w:cs="Times New Roman"/>
          <w:snapToGrid w:val="0"/>
          <w:lang w:val="lt-LT"/>
        </w:rPr>
        <w:t>) arba nemokamu telefonu 8 800 73 568. Pranešdami apie šalutinį poveikį galite mums padėti gauti daugiau informacijos apie šio vaisto saugumą.</w:t>
      </w:r>
    </w:p>
    <w:p w14:paraId="201BA27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5F349E33" w14:textId="77777777" w:rsidR="00A762B5" w:rsidRPr="00A762B5" w:rsidRDefault="00A762B5" w:rsidP="00A762B5">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5.</w:t>
      </w:r>
      <w:r w:rsidRPr="00A762B5">
        <w:rPr>
          <w:rFonts w:ascii="Times New Roman" w:eastAsia="Calibri" w:hAnsi="Times New Roman" w:cs="Times New Roman"/>
          <w:b/>
          <w:lang w:val="lt-LT" w:eastAsia="lt-LT"/>
        </w:rPr>
        <w:tab/>
        <w:t>Kaip laikyti Simvacor</w:t>
      </w:r>
    </w:p>
    <w:p w14:paraId="00A5E4B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7451B2C" w14:textId="77777777" w:rsidR="00A762B5" w:rsidRPr="006E771E" w:rsidRDefault="00A762B5" w:rsidP="00A762B5">
      <w:pPr>
        <w:spacing w:after="0" w:line="240" w:lineRule="auto"/>
        <w:contextualSpacing/>
        <w:rPr>
          <w:rFonts w:ascii="Times New Roman" w:eastAsia="Calibri" w:hAnsi="Times New Roman" w:cs="Times New Roman"/>
          <w:lang w:eastAsia="lt-LT"/>
        </w:rPr>
      </w:pPr>
      <w:r w:rsidRPr="00A762B5">
        <w:rPr>
          <w:rFonts w:ascii="Times New Roman" w:eastAsia="Calibri" w:hAnsi="Times New Roman" w:cs="Times New Roman"/>
          <w:lang w:val="lt-LT" w:eastAsia="lt-LT"/>
        </w:rPr>
        <w:lastRenderedPageBreak/>
        <w:t>Šį vaistą laikykite vaikams nepastebimoje ir nepasiekiamoje vietoje.</w:t>
      </w:r>
    </w:p>
    <w:p w14:paraId="3130522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25CBBDFE"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ne aukštesnėje kaip 30 °C temperatūroje.</w:t>
      </w:r>
    </w:p>
    <w:p w14:paraId="1444725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Laikyti gamintojo pakuotėje, kad vaistas būtų apsaugotas nuo šviesos. </w:t>
      </w:r>
    </w:p>
    <w:p w14:paraId="20E469B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5B8B56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Ant lizdinės plokštelės ir dėžutės po</w:t>
      </w:r>
      <w:r w:rsidR="00B92FC1">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 xml:space="preserve">„EXP“ nurodytam tinkamumo laikui pasibaigus, </w:t>
      </w:r>
      <w:r w:rsidRPr="00A762B5">
        <w:rPr>
          <w:rFonts w:ascii="Times New Roman" w:eastAsia="Calibri" w:hAnsi="Times New Roman" w:cs="Times New Roman"/>
          <w:bCs/>
          <w:lang w:val="lt-LT" w:eastAsia="lt-LT"/>
        </w:rPr>
        <w:t xml:space="preserve">šio vaisto </w:t>
      </w:r>
      <w:r w:rsidRPr="00A762B5">
        <w:rPr>
          <w:rFonts w:ascii="Times New Roman" w:eastAsia="Calibri" w:hAnsi="Times New Roman" w:cs="Times New Roman"/>
          <w:lang w:val="lt-LT" w:eastAsia="lt-LT"/>
        </w:rPr>
        <w:t>vartoti negalima. Vaistas tinkamas vartoti iki paskutinės nurodyto mėnesio dienos.</w:t>
      </w:r>
    </w:p>
    <w:p w14:paraId="4A14DA8F"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1D11703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14:paraId="410A1C9C"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3BF85C7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2005297" w14:textId="77777777" w:rsidR="00A762B5" w:rsidRPr="00A762B5" w:rsidRDefault="00A762B5" w:rsidP="00A762B5">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6.</w:t>
      </w:r>
      <w:r w:rsidRPr="00A762B5">
        <w:rPr>
          <w:rFonts w:ascii="Times New Roman" w:eastAsia="Calibri" w:hAnsi="Times New Roman" w:cs="Times New Roman"/>
          <w:b/>
          <w:lang w:val="lt-LT" w:eastAsia="lt-LT"/>
        </w:rPr>
        <w:tab/>
        <w:t>Pakuotės turinys ir kita informacija</w:t>
      </w:r>
    </w:p>
    <w:p w14:paraId="216D5362"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7A2498FC"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bCs/>
          <w:lang w:val="lt-LT" w:eastAsia="lt-LT"/>
        </w:rPr>
        <w:t>Simvacor</w:t>
      </w:r>
      <w:r w:rsidRPr="00A762B5">
        <w:rPr>
          <w:rFonts w:ascii="Times New Roman" w:eastAsia="Calibri" w:hAnsi="Times New Roman" w:cs="Times New Roman"/>
          <w:b/>
          <w:lang w:val="lt-LT" w:eastAsia="lt-LT"/>
        </w:rPr>
        <w:t xml:space="preserve"> sudėtis</w:t>
      </w:r>
    </w:p>
    <w:p w14:paraId="690DF933" w14:textId="77777777" w:rsidR="00A762B5" w:rsidRPr="00A762B5" w:rsidRDefault="00A762B5" w:rsidP="00A762B5">
      <w:pPr>
        <w:tabs>
          <w:tab w:val="left"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Veiklioji medžiaga yra simvastatinas. Kiekvienoje plėvele dengtoje tabletėje yra 10 mg arba 20 mg simvastatino.</w:t>
      </w:r>
    </w:p>
    <w:p w14:paraId="581E0AE5" w14:textId="77777777" w:rsidR="00A762B5" w:rsidRPr="00A762B5" w:rsidRDefault="00A762B5" w:rsidP="00A762B5">
      <w:pPr>
        <w:tabs>
          <w:tab w:val="left"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Pagalbinės medžiagos:</w:t>
      </w:r>
    </w:p>
    <w:p w14:paraId="1394C637" w14:textId="1778E245" w:rsidR="00A762B5" w:rsidRPr="00A762B5" w:rsidRDefault="00A762B5" w:rsidP="00A762B5">
      <w:pPr>
        <w:tabs>
          <w:tab w:val="left"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b/>
        <w:t>Tabletės branduolyje: askorbo rūgštis (tik Simvacor 10 mg), butilhidroksianizolas (E</w:t>
      </w:r>
      <w:r w:rsidR="00605477">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320), mikrokristalinė celiuliozė, citrinų rūgštis monohidratas, laktozė monohidratas, magnio stearatas, pregelifikuotas kukurūzų krakmolas.</w:t>
      </w:r>
    </w:p>
    <w:p w14:paraId="4D84E959" w14:textId="62299CD0" w:rsidR="00A762B5" w:rsidRPr="00A762B5" w:rsidRDefault="00A762B5" w:rsidP="00A762B5">
      <w:pPr>
        <w:tabs>
          <w:tab w:val="left"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b/>
        <w:t>Tabletės plėvelėje: hipromeliozė, talkas, dažikliai titano dioksidas (E</w:t>
      </w:r>
      <w:r w:rsidR="00605477">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171), raudonasis geležies oksidas (E</w:t>
      </w:r>
      <w:r w:rsidR="00605477">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172) ir geltonasis geležies oksidas (E</w:t>
      </w:r>
      <w:r w:rsidR="00605477">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172).</w:t>
      </w:r>
    </w:p>
    <w:p w14:paraId="7EF8CC1A" w14:textId="77777777" w:rsidR="00A762B5" w:rsidRPr="00A762B5" w:rsidRDefault="00A762B5" w:rsidP="00A762B5">
      <w:pPr>
        <w:spacing w:after="0" w:line="240" w:lineRule="auto"/>
        <w:contextualSpacing/>
        <w:rPr>
          <w:rFonts w:ascii="Times New Roman" w:eastAsia="Calibri" w:hAnsi="Times New Roman" w:cs="Times New Roman"/>
          <w:strike/>
          <w:lang w:val="lt-LT" w:eastAsia="lt-LT"/>
        </w:rPr>
      </w:pPr>
    </w:p>
    <w:p w14:paraId="29BAFA4E" w14:textId="77777777"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lang w:val="lt-LT"/>
        </w:rPr>
        <w:t xml:space="preserve">Simvacor </w:t>
      </w:r>
      <w:r w:rsidRPr="00A762B5">
        <w:rPr>
          <w:rFonts w:ascii="Times New Roman" w:eastAsia="Calibri" w:hAnsi="Times New Roman" w:cs="Times New Roman"/>
          <w:b/>
          <w:bCs/>
          <w:lang w:val="lt-LT"/>
        </w:rPr>
        <w:t>išvaizda ir kiekis pakuotėje</w:t>
      </w:r>
    </w:p>
    <w:p w14:paraId="05215BB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10 mg plėvele dengta tabletė yra šviesiai rožinė, ovali, išgaubta, su įranta, vienoje pusėje yra užrašas „SIM 10“.</w:t>
      </w:r>
    </w:p>
    <w:p w14:paraId="6BC8BCCB"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Simvacor 20 mg plėvele dengta tabletė yra oranžinė, ovali, abipus išgaubta, su įranta abiejose pusėse, vienoje pusėje įspausta „20“.</w:t>
      </w:r>
    </w:p>
    <w:p w14:paraId="0EFFA9D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Tabletę galima padalyti į lygias dozes.</w:t>
      </w:r>
    </w:p>
    <w:p w14:paraId="01244F57" w14:textId="77777777" w:rsidR="00A762B5" w:rsidRPr="00A762B5" w:rsidRDefault="00A762B5" w:rsidP="00A762B5">
      <w:pPr>
        <w:spacing w:after="0" w:line="240" w:lineRule="auto"/>
        <w:contextualSpacing/>
        <w:rPr>
          <w:rFonts w:ascii="Times New Roman" w:eastAsia="Calibri" w:hAnsi="Times New Roman" w:cs="Times New Roman"/>
          <w:iCs/>
          <w:lang w:val="lt-LT" w:eastAsia="lt-LT"/>
        </w:rPr>
      </w:pPr>
      <w:r w:rsidRPr="00A762B5">
        <w:rPr>
          <w:rFonts w:ascii="Times New Roman" w:eastAsia="Calibri" w:hAnsi="Times New Roman" w:cs="Times New Roman"/>
          <w:iCs/>
          <w:lang w:val="lt-LT" w:eastAsia="lt-LT"/>
        </w:rPr>
        <w:t>Kartono dėžutėje yra 30 tablečių, supakuotų į AL/PVC lizdines plokšteles.</w:t>
      </w:r>
    </w:p>
    <w:p w14:paraId="69047E17"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6C662F1E" w14:textId="77777777" w:rsidR="00A762B5" w:rsidRPr="00A762B5" w:rsidRDefault="00A762B5" w:rsidP="00A762B5">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Registruotojas</w:t>
      </w:r>
    </w:p>
    <w:p w14:paraId="272A7362" w14:textId="77777777" w:rsidR="00A762B5" w:rsidRPr="00A762B5" w:rsidRDefault="00A762B5" w:rsidP="00A762B5">
      <w:pPr>
        <w:widowControl w:val="0"/>
        <w:spacing w:after="0" w:line="240" w:lineRule="auto"/>
        <w:contextualSpacing/>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HEXAL AG</w:t>
      </w:r>
    </w:p>
    <w:p w14:paraId="22993638" w14:textId="77777777" w:rsidR="00A762B5" w:rsidRPr="00A762B5" w:rsidRDefault="00A762B5" w:rsidP="00A762B5">
      <w:pPr>
        <w:widowControl w:val="0"/>
        <w:spacing w:after="0" w:line="240" w:lineRule="auto"/>
        <w:contextualSpacing/>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Industriestraße 25</w:t>
      </w:r>
    </w:p>
    <w:p w14:paraId="6AC1BDFC" w14:textId="77777777" w:rsidR="00A762B5" w:rsidRPr="00A762B5" w:rsidRDefault="00A762B5" w:rsidP="00A762B5">
      <w:pPr>
        <w:widowControl w:val="0"/>
        <w:spacing w:after="0" w:line="240" w:lineRule="auto"/>
        <w:contextualSpacing/>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83607 Holzkirchen</w:t>
      </w:r>
    </w:p>
    <w:p w14:paraId="25A25CDE" w14:textId="77777777" w:rsidR="00A762B5" w:rsidRPr="00A762B5" w:rsidRDefault="00A762B5" w:rsidP="00A762B5">
      <w:pPr>
        <w:widowControl w:val="0"/>
        <w:spacing w:after="0" w:line="240" w:lineRule="auto"/>
        <w:contextualSpacing/>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Vokietija</w:t>
      </w:r>
    </w:p>
    <w:p w14:paraId="60D16ED6" w14:textId="77777777" w:rsidR="00A762B5" w:rsidRPr="00A762B5" w:rsidRDefault="00A762B5" w:rsidP="00A762B5">
      <w:pPr>
        <w:spacing w:after="0" w:line="240" w:lineRule="auto"/>
        <w:ind w:left="567" w:hanging="567"/>
        <w:contextualSpacing/>
        <w:rPr>
          <w:rFonts w:ascii="Times New Roman" w:eastAsia="Calibri" w:hAnsi="Times New Roman" w:cs="Times New Roman"/>
          <w:lang w:val="lt-LT" w:eastAsia="lt-LT"/>
        </w:rPr>
      </w:pPr>
    </w:p>
    <w:p w14:paraId="5D95FECD" w14:textId="77777777" w:rsidR="00A762B5" w:rsidRPr="005A3578" w:rsidRDefault="00A762B5" w:rsidP="00A762B5">
      <w:pPr>
        <w:spacing w:after="0" w:line="240" w:lineRule="auto"/>
        <w:ind w:left="567" w:hanging="567"/>
        <w:contextualSpacing/>
        <w:rPr>
          <w:rFonts w:ascii="Times New Roman" w:eastAsia="Calibri" w:hAnsi="Times New Roman" w:cs="Times New Roman"/>
          <w:b/>
          <w:bCs/>
          <w:lang w:val="lt-LT" w:eastAsia="lt-LT"/>
        </w:rPr>
      </w:pPr>
      <w:r w:rsidRPr="005A3578">
        <w:rPr>
          <w:rFonts w:ascii="Times New Roman" w:eastAsia="Calibri" w:hAnsi="Times New Roman" w:cs="Times New Roman"/>
          <w:b/>
          <w:bCs/>
          <w:lang w:val="lt-LT" w:eastAsia="lt-LT"/>
        </w:rPr>
        <w:t>Gamintojas</w:t>
      </w:r>
    </w:p>
    <w:p w14:paraId="5E5CF05D"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Salutas Pharma GmbH</w:t>
      </w:r>
    </w:p>
    <w:p w14:paraId="2E7DFD39" w14:textId="77777777" w:rsidR="00A762B5" w:rsidRPr="00A762B5" w:rsidRDefault="00A762B5" w:rsidP="00A762B5">
      <w:pPr>
        <w:tabs>
          <w:tab w:val="left" w:pos="1296"/>
        </w:tabs>
        <w:spacing w:after="0" w:line="240" w:lineRule="auto"/>
        <w:contextualSpacing/>
        <w:rPr>
          <w:rFonts w:ascii="Times New Roman" w:eastAsia="Calibri" w:hAnsi="Times New Roman" w:cs="Times New Roman"/>
          <w:lang w:val="lt-LT"/>
        </w:rPr>
      </w:pPr>
      <w:r w:rsidRPr="00A762B5">
        <w:rPr>
          <w:rFonts w:ascii="Times New Roman" w:eastAsia="Calibri" w:hAnsi="Times New Roman" w:cs="Times New Roman"/>
          <w:lang w:val="lt-LT"/>
        </w:rPr>
        <w:t>Otto-von-Guericke-Allee 1, D-39179 Barleben</w:t>
      </w:r>
    </w:p>
    <w:p w14:paraId="32683A97" w14:textId="77777777" w:rsidR="00A762B5" w:rsidRPr="00A762B5" w:rsidRDefault="00A762B5" w:rsidP="00A762B5">
      <w:pPr>
        <w:tabs>
          <w:tab w:val="left" w:pos="1296"/>
        </w:tabs>
        <w:spacing w:after="0" w:line="240" w:lineRule="auto"/>
        <w:contextualSpacing/>
        <w:rPr>
          <w:rFonts w:ascii="Times New Roman" w:eastAsia="Calibri" w:hAnsi="Times New Roman" w:cs="Times New Roman"/>
          <w:lang w:val="lt-LT"/>
        </w:rPr>
      </w:pPr>
      <w:r w:rsidRPr="00A762B5">
        <w:rPr>
          <w:rFonts w:ascii="Times New Roman" w:eastAsia="Calibri" w:hAnsi="Times New Roman" w:cs="Times New Roman"/>
          <w:lang w:val="lt-LT"/>
        </w:rPr>
        <w:t>Vokietija</w:t>
      </w:r>
    </w:p>
    <w:p w14:paraId="639C8640" w14:textId="77777777" w:rsidR="00A762B5" w:rsidRPr="00A762B5" w:rsidRDefault="00A762B5" w:rsidP="00A762B5">
      <w:pPr>
        <w:tabs>
          <w:tab w:val="left" w:pos="1296"/>
          <w:tab w:val="center" w:pos="4153"/>
          <w:tab w:val="right" w:pos="8306"/>
        </w:tabs>
        <w:spacing w:after="0" w:line="240" w:lineRule="auto"/>
        <w:contextualSpacing/>
        <w:rPr>
          <w:rFonts w:ascii="Times New Roman" w:eastAsia="Calibri" w:hAnsi="Times New Roman" w:cs="Times New Roman"/>
          <w:lang w:val="lt-LT"/>
        </w:rPr>
      </w:pPr>
    </w:p>
    <w:p w14:paraId="06D72576" w14:textId="77777777" w:rsidR="00A762B5" w:rsidRPr="00A762B5" w:rsidRDefault="00A762B5" w:rsidP="00A762B5">
      <w:pPr>
        <w:tabs>
          <w:tab w:val="left" w:pos="1296"/>
          <w:tab w:val="center" w:pos="4153"/>
          <w:tab w:val="right" w:pos="8306"/>
        </w:tabs>
        <w:spacing w:after="0" w:line="240" w:lineRule="auto"/>
        <w:contextualSpacing/>
        <w:rPr>
          <w:rFonts w:ascii="Times New Roman" w:eastAsia="Calibri" w:hAnsi="Times New Roman" w:cs="Times New Roman"/>
          <w:lang w:val="lt-LT"/>
        </w:rPr>
      </w:pPr>
      <w:r w:rsidRPr="00A762B5">
        <w:rPr>
          <w:rFonts w:ascii="Times New Roman" w:eastAsia="Calibri" w:hAnsi="Times New Roman" w:cs="Times New Roman"/>
          <w:lang w:val="lt-LT"/>
        </w:rPr>
        <w:t>arba</w:t>
      </w:r>
    </w:p>
    <w:p w14:paraId="06C4DC0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493A19A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LEK S.A.</w:t>
      </w:r>
    </w:p>
    <w:p w14:paraId="54F67049"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Ul. Domaniewska 50 C</w:t>
      </w:r>
    </w:p>
    <w:p w14:paraId="0D3E73D8"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02-672 Warszawa</w:t>
      </w:r>
    </w:p>
    <w:p w14:paraId="2FEED859" w14:textId="77777777" w:rsidR="00A762B5" w:rsidRPr="00A762B5" w:rsidRDefault="00A762B5" w:rsidP="00A762B5">
      <w:pPr>
        <w:spacing w:after="0" w:line="240" w:lineRule="auto"/>
        <w:contextualSpacing/>
        <w:rPr>
          <w:rFonts w:ascii="Times New Roman" w:eastAsia="Calibri" w:hAnsi="Times New Roman" w:cs="Times New Roman"/>
          <w:lang w:val="lt-LT"/>
        </w:rPr>
      </w:pPr>
      <w:r w:rsidRPr="00A762B5">
        <w:rPr>
          <w:rFonts w:ascii="Times New Roman" w:eastAsia="Calibri" w:hAnsi="Times New Roman" w:cs="Times New Roman"/>
          <w:lang w:val="lt-LT" w:eastAsia="lt-LT"/>
        </w:rPr>
        <w:t>Lenkija</w:t>
      </w:r>
    </w:p>
    <w:p w14:paraId="78EE8E9E"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p>
    <w:p w14:paraId="72E23DC1"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arba</w:t>
      </w:r>
    </w:p>
    <w:p w14:paraId="6C6806C7"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p>
    <w:p w14:paraId="6DD8EF42"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S.C. Sandoz S.R.L.</w:t>
      </w:r>
    </w:p>
    <w:p w14:paraId="365FB7A1"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Str. Livezeni nr. 7A</w:t>
      </w:r>
    </w:p>
    <w:p w14:paraId="111470AF"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540472 Targu Mures, Jud. Mures</w:t>
      </w:r>
    </w:p>
    <w:p w14:paraId="5833B134" w14:textId="77777777" w:rsidR="00A762B5" w:rsidRPr="00A762B5" w:rsidRDefault="00A762B5" w:rsidP="00A762B5">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Rumunija</w:t>
      </w:r>
    </w:p>
    <w:p w14:paraId="52220A9B" w14:textId="77777777" w:rsidR="00A762B5" w:rsidRPr="00A762B5" w:rsidRDefault="00A762B5" w:rsidP="00A762B5">
      <w:pPr>
        <w:spacing w:after="0" w:line="240" w:lineRule="auto"/>
        <w:contextualSpacing/>
        <w:rPr>
          <w:rFonts w:ascii="Times New Roman" w:eastAsia="Calibri" w:hAnsi="Times New Roman" w:cs="Times New Roman"/>
          <w:highlight w:val="yellow"/>
          <w:lang w:val="lt-LT" w:eastAsia="lt-LT"/>
        </w:rPr>
      </w:pPr>
    </w:p>
    <w:p w14:paraId="7EFDB9AA"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lastRenderedPageBreak/>
        <w:t>arba</w:t>
      </w:r>
    </w:p>
    <w:p w14:paraId="66C8BB65"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p>
    <w:p w14:paraId="3DCA0FA5"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LEK S.A.</w:t>
      </w:r>
    </w:p>
    <w:p w14:paraId="0BC713BF"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16, Podlipie Str.</w:t>
      </w:r>
    </w:p>
    <w:p w14:paraId="6F4D41F4"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95-010 Strykow</w:t>
      </w:r>
    </w:p>
    <w:p w14:paraId="01E816FE"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Lenkija</w:t>
      </w:r>
    </w:p>
    <w:p w14:paraId="3FC6D0BC" w14:textId="77777777" w:rsidR="00A762B5" w:rsidRPr="00A762B5" w:rsidRDefault="00A762B5" w:rsidP="00A762B5">
      <w:pPr>
        <w:spacing w:after="0" w:line="240" w:lineRule="auto"/>
        <w:contextualSpacing/>
        <w:rPr>
          <w:rFonts w:ascii="Times New Roman" w:eastAsia="Times New Roman" w:hAnsi="Times New Roman" w:cs="Times New Roman"/>
          <w:lang w:val="lt-LT" w:eastAsia="de-DE"/>
        </w:rPr>
      </w:pPr>
    </w:p>
    <w:p w14:paraId="49429A8F" w14:textId="78C1A820" w:rsidR="00A762B5" w:rsidRPr="00A762B5" w:rsidRDefault="00A762B5" w:rsidP="00A762B5">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apie šį vaistą norite sužinoti daugiau, kreipkitės į vietinį registruotojo atstovą</w:t>
      </w:r>
      <w:r w:rsidR="00540D46">
        <w:rPr>
          <w:rFonts w:ascii="Times New Roman" w:eastAsia="Calibri" w:hAnsi="Times New Roman" w:cs="Times New Roman"/>
          <w:lang w:val="lt-LT" w:eastAsia="lt-LT"/>
        </w:rPr>
        <w:t>:</w:t>
      </w:r>
    </w:p>
    <w:p w14:paraId="1B303DC3" w14:textId="77777777" w:rsidR="0043478D" w:rsidRDefault="0043478D" w:rsidP="00A762B5">
      <w:pPr>
        <w:numPr>
          <w:ilvl w:val="12"/>
          <w:numId w:val="0"/>
        </w:numPr>
        <w:spacing w:after="0" w:line="240" w:lineRule="auto"/>
        <w:ind w:left="567" w:hanging="567"/>
        <w:contextualSpacing/>
        <w:rPr>
          <w:rFonts w:ascii="Times New Roman" w:eastAsia="Calibri" w:hAnsi="Times New Roman" w:cs="Times New Roman"/>
          <w:lang w:val="lt-LT" w:eastAsia="lt-LT"/>
        </w:rPr>
      </w:pPr>
    </w:p>
    <w:p w14:paraId="24BE2534" w14:textId="77777777" w:rsidR="00A762B5" w:rsidRPr="00A762B5" w:rsidRDefault="00A762B5" w:rsidP="00A762B5">
      <w:pPr>
        <w:numPr>
          <w:ilvl w:val="12"/>
          <w:numId w:val="0"/>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Sandoz Pharmaceuticals d.d. filialas</w:t>
      </w:r>
    </w:p>
    <w:p w14:paraId="01E9A70F" w14:textId="77777777" w:rsidR="00A762B5" w:rsidRPr="00A762B5" w:rsidRDefault="00A762B5" w:rsidP="00A762B5">
      <w:pPr>
        <w:numPr>
          <w:ilvl w:val="12"/>
          <w:numId w:val="0"/>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Telefonas +370 5 26 36 037</w:t>
      </w:r>
    </w:p>
    <w:p w14:paraId="541C49CD" w14:textId="77777777" w:rsidR="00DD1C34" w:rsidRPr="00DD1C34" w:rsidRDefault="00DD1C34" w:rsidP="00DD1C34">
      <w:pPr>
        <w:spacing w:after="0" w:line="240" w:lineRule="auto"/>
        <w:ind w:left="567" w:hanging="567"/>
        <w:contextualSpacing/>
        <w:rPr>
          <w:rFonts w:ascii="Times New Roman" w:eastAsia="Calibri" w:hAnsi="Times New Roman" w:cs="Times New Roman"/>
          <w:lang w:val="lt-LT" w:eastAsia="lt-LT"/>
        </w:rPr>
      </w:pPr>
      <w:r w:rsidRPr="00DD1C34">
        <w:rPr>
          <w:rFonts w:ascii="Times New Roman" w:eastAsia="Calibri" w:hAnsi="Times New Roman" w:cs="Times New Roman"/>
          <w:lang w:val="lt-LT" w:eastAsia="lt-LT"/>
        </w:rPr>
        <w:t>El. paštas: info.lithuania@sandoz.com</w:t>
      </w:r>
    </w:p>
    <w:p w14:paraId="5C482672" w14:textId="77777777" w:rsidR="00A762B5" w:rsidRPr="00A762B5" w:rsidRDefault="00A762B5" w:rsidP="00A762B5">
      <w:pPr>
        <w:spacing w:after="0" w:line="240" w:lineRule="auto"/>
        <w:ind w:left="567" w:hanging="567"/>
        <w:contextualSpacing/>
        <w:rPr>
          <w:rFonts w:ascii="Times New Roman" w:eastAsia="Calibri" w:hAnsi="Times New Roman" w:cs="Times New Roman"/>
          <w:lang w:val="lt-LT" w:eastAsia="lt-LT"/>
        </w:rPr>
      </w:pPr>
    </w:p>
    <w:p w14:paraId="56F7CF9C" w14:textId="28540D5A" w:rsidR="00A762B5" w:rsidRPr="00A762B5" w:rsidRDefault="00A762B5" w:rsidP="00A762B5">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bCs/>
          <w:lang w:val="lt-LT" w:eastAsia="lt-LT"/>
        </w:rPr>
        <w:t>Šis pakuotės lapelis</w:t>
      </w:r>
      <w:r w:rsidRPr="00A762B5">
        <w:rPr>
          <w:rFonts w:ascii="Times New Roman" w:eastAsia="Calibri" w:hAnsi="Times New Roman" w:cs="Times New Roman"/>
          <w:b/>
          <w:lang w:val="lt-LT" w:eastAsia="lt-LT"/>
        </w:rPr>
        <w:t xml:space="preserve"> paskutinį kartą peržiūrėtas</w:t>
      </w:r>
      <w:r w:rsidR="00DF57F6">
        <w:rPr>
          <w:rFonts w:ascii="Times New Roman" w:eastAsia="Calibri" w:hAnsi="Times New Roman" w:cs="Times New Roman"/>
          <w:b/>
          <w:lang w:val="lt-LT" w:eastAsia="lt-LT"/>
        </w:rPr>
        <w:t xml:space="preserve"> </w:t>
      </w:r>
      <w:r w:rsidR="009B3C26">
        <w:rPr>
          <w:rFonts w:ascii="Times New Roman" w:eastAsia="Calibri" w:hAnsi="Times New Roman" w:cs="Times New Roman"/>
          <w:b/>
          <w:lang w:val="lt-LT" w:eastAsia="lt-LT"/>
        </w:rPr>
        <w:t>2023-09-13.</w:t>
      </w:r>
    </w:p>
    <w:p w14:paraId="7BE47899" w14:textId="77777777" w:rsidR="00A762B5" w:rsidRPr="00A762B5" w:rsidRDefault="00A762B5" w:rsidP="00A762B5">
      <w:pPr>
        <w:spacing w:after="0" w:line="240" w:lineRule="auto"/>
        <w:contextualSpacing/>
        <w:rPr>
          <w:rFonts w:ascii="Times New Roman" w:eastAsia="Calibri" w:hAnsi="Times New Roman" w:cs="Times New Roman"/>
          <w:b/>
          <w:lang w:val="lt-LT" w:eastAsia="lt-LT"/>
        </w:rPr>
      </w:pPr>
    </w:p>
    <w:p w14:paraId="06F37920" w14:textId="77777777" w:rsidR="00A762B5" w:rsidRPr="00A762B5" w:rsidRDefault="00A762B5" w:rsidP="00A762B5">
      <w:pPr>
        <w:numPr>
          <w:ilvl w:val="12"/>
          <w:numId w:val="0"/>
        </w:numPr>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Išsami informacija apie šį vaistą pateikiama Valstybinės vaistų kontrolės tarnybos prie Lietuvos Respublikos sveikatos apsaugos ministerijos tinklalapyje</w:t>
      </w:r>
      <w:r w:rsidRPr="00A762B5">
        <w:rPr>
          <w:rFonts w:ascii="Times New Roman" w:eastAsia="Calibri" w:hAnsi="Times New Roman" w:cs="Times New Roman"/>
          <w:i/>
          <w:lang w:val="lt-LT" w:eastAsia="lt-LT"/>
        </w:rPr>
        <w:t xml:space="preserve"> </w:t>
      </w:r>
      <w:hyperlink r:id="rId14" w:history="1">
        <w:r w:rsidRPr="00A762B5">
          <w:rPr>
            <w:rFonts w:ascii="Times New Roman" w:eastAsia="SimSun" w:hAnsi="Times New Roman" w:cs="Times New Roman"/>
            <w:color w:val="0000FF"/>
            <w:u w:val="single"/>
            <w:lang w:val="lt-LT" w:eastAsia="lt-LT"/>
          </w:rPr>
          <w:t>http://www.vvkt.lt/</w:t>
        </w:r>
      </w:hyperlink>
      <w:r w:rsidRPr="00A762B5">
        <w:rPr>
          <w:rFonts w:ascii="Times New Roman" w:eastAsia="Calibri" w:hAnsi="Times New Roman" w:cs="Times New Roman"/>
          <w:lang w:val="lt-LT" w:eastAsia="lt-LT"/>
        </w:rPr>
        <w:t>.</w:t>
      </w:r>
    </w:p>
    <w:p w14:paraId="457A77B3" w14:textId="77777777" w:rsidR="00A762B5" w:rsidRPr="00A762B5" w:rsidRDefault="00A762B5" w:rsidP="00A762B5">
      <w:pPr>
        <w:spacing w:after="0" w:line="240" w:lineRule="auto"/>
        <w:contextualSpacing/>
        <w:rPr>
          <w:rFonts w:ascii="Times New Roman" w:eastAsia="Calibri" w:hAnsi="Times New Roman" w:cs="Times New Roman"/>
          <w:lang w:val="lt-LT" w:eastAsia="lt-LT"/>
        </w:rPr>
      </w:pPr>
    </w:p>
    <w:p w14:paraId="064ED4EA" w14:textId="77777777" w:rsidR="00A762B5" w:rsidRPr="00A762B5" w:rsidRDefault="00A762B5" w:rsidP="00A762B5">
      <w:pPr>
        <w:spacing w:after="0" w:line="240" w:lineRule="auto"/>
        <w:contextualSpacing/>
        <w:rPr>
          <w:rFonts w:ascii="Times New Roman" w:eastAsiaTheme="minorEastAsia" w:hAnsi="Times New Roman" w:cs="Times New Roman"/>
          <w:lang w:val="lt-LT" w:eastAsia="zh-TW"/>
        </w:rPr>
      </w:pPr>
    </w:p>
    <w:p w14:paraId="194AC20B" w14:textId="77777777" w:rsidR="005F0E56" w:rsidRPr="00A762B5" w:rsidRDefault="005F0E56">
      <w:pPr>
        <w:rPr>
          <w:rFonts w:ascii="Arial" w:hAnsi="Arial" w:cs="Arial"/>
          <w:sz w:val="20"/>
          <w:szCs w:val="20"/>
          <w:lang w:val="lt-LT"/>
        </w:rPr>
      </w:pPr>
    </w:p>
    <w:sectPr w:rsidR="005F0E56" w:rsidRPr="00A762B5" w:rsidSect="007738DF">
      <w:headerReference w:type="default" r:id="rId15"/>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FF66C" w14:textId="77777777" w:rsidR="00477C21" w:rsidRDefault="00477C21">
      <w:pPr>
        <w:spacing w:after="0" w:line="240" w:lineRule="auto"/>
      </w:pPr>
      <w:r>
        <w:separator/>
      </w:r>
    </w:p>
  </w:endnote>
  <w:endnote w:type="continuationSeparator" w:id="0">
    <w:p w14:paraId="07881FFB" w14:textId="77777777" w:rsidR="00477C21" w:rsidRDefault="00477C21">
      <w:pPr>
        <w:spacing w:after="0" w:line="240" w:lineRule="auto"/>
      </w:pPr>
      <w:r>
        <w:continuationSeparator/>
      </w:r>
    </w:p>
  </w:endnote>
  <w:endnote w:type="continuationNotice" w:id="1">
    <w:p w14:paraId="7E5868D4" w14:textId="77777777" w:rsidR="00477C21" w:rsidRDefault="00477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2D9D7" w14:textId="77777777" w:rsidR="00675A40" w:rsidRDefault="00675A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C6BEFA2" w14:textId="77777777" w:rsidR="00675A40" w:rsidRDefault="00675A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8634" w14:textId="3C1394DC" w:rsidR="00675A40" w:rsidRDefault="00675A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670D">
      <w:rPr>
        <w:rStyle w:val="Puslapionumeris"/>
        <w:noProof/>
      </w:rPr>
      <w:t>1</w:t>
    </w:r>
    <w:r>
      <w:rPr>
        <w:rStyle w:val="Puslapionumeris"/>
      </w:rPr>
      <w:fldChar w:fldCharType="end"/>
    </w:r>
  </w:p>
  <w:p w14:paraId="20C025DA" w14:textId="77777777" w:rsidR="00675A40" w:rsidRDefault="00675A4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05D79" w14:textId="77777777" w:rsidR="00477C21" w:rsidRDefault="00477C21">
      <w:pPr>
        <w:spacing w:after="0" w:line="240" w:lineRule="auto"/>
      </w:pPr>
      <w:r>
        <w:separator/>
      </w:r>
    </w:p>
  </w:footnote>
  <w:footnote w:type="continuationSeparator" w:id="0">
    <w:p w14:paraId="79BFFA4B" w14:textId="77777777" w:rsidR="00477C21" w:rsidRDefault="00477C21">
      <w:pPr>
        <w:spacing w:after="0" w:line="240" w:lineRule="auto"/>
      </w:pPr>
      <w:r>
        <w:continuationSeparator/>
      </w:r>
    </w:p>
  </w:footnote>
  <w:footnote w:type="continuationNotice" w:id="1">
    <w:p w14:paraId="6261E1E3" w14:textId="77777777" w:rsidR="00477C21" w:rsidRDefault="00477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77777777" w:rsidR="00675A40" w:rsidRDefault="00675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5CEE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52FF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42A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D2B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B2EC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04E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40E3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00D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1A4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289A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E7356"/>
    <w:multiLevelType w:val="hybridMultilevel"/>
    <w:tmpl w:val="ECDE979A"/>
    <w:lvl w:ilvl="0" w:tplc="591AAC16">
      <w:start w:val="1"/>
      <w:numFmt w:val="bullet"/>
      <w:lvlText w:val="-"/>
      <w:lvlJc w:val="left"/>
      <w:pPr>
        <w:tabs>
          <w:tab w:val="num" w:pos="567"/>
        </w:tabs>
        <w:ind w:left="567" w:hanging="567"/>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0AD00E5D"/>
    <w:multiLevelType w:val="hybridMultilevel"/>
    <w:tmpl w:val="56BAA008"/>
    <w:lvl w:ilvl="0" w:tplc="384AFB5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3A20E9"/>
    <w:multiLevelType w:val="hybridMultilevel"/>
    <w:tmpl w:val="99F25D18"/>
    <w:lvl w:ilvl="0" w:tplc="CCC2CB9C">
      <w:start w:val="1"/>
      <w:numFmt w:val="bullet"/>
      <w:lvlText w:val="-"/>
      <w:lvlJc w:val="left"/>
      <w:pPr>
        <w:ind w:left="927" w:hanging="360"/>
      </w:pPr>
      <w:rPr>
        <w:rFonts w:ascii="Arial"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63A6A5E"/>
    <w:multiLevelType w:val="hybridMultilevel"/>
    <w:tmpl w:val="C9F0817A"/>
    <w:lvl w:ilvl="0" w:tplc="8D0EF2F0">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C2E59"/>
    <w:multiLevelType w:val="hybridMultilevel"/>
    <w:tmpl w:val="62445BC4"/>
    <w:lvl w:ilvl="0" w:tplc="8D0EF2F0">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85FC2"/>
    <w:multiLevelType w:val="hybridMultilevel"/>
    <w:tmpl w:val="A32AF86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332048"/>
    <w:multiLevelType w:val="hybridMultilevel"/>
    <w:tmpl w:val="506E019A"/>
    <w:lvl w:ilvl="0" w:tplc="04090001">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7" w15:restartNumberingAfterBreak="0">
    <w:nsid w:val="23B51031"/>
    <w:multiLevelType w:val="hybridMultilevel"/>
    <w:tmpl w:val="9AD6AC84"/>
    <w:lvl w:ilvl="0" w:tplc="C3508C8E">
      <w:numFmt w:val="bullet"/>
      <w:lvlText w:val="-"/>
      <w:lvlJc w:val="left"/>
      <w:pPr>
        <w:tabs>
          <w:tab w:val="num" w:pos="360"/>
        </w:tabs>
        <w:ind w:left="284" w:hanging="284"/>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25B42403"/>
    <w:multiLevelType w:val="hybridMultilevel"/>
    <w:tmpl w:val="C5FCF6EE"/>
    <w:lvl w:ilvl="0" w:tplc="384AFB5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FD36B734"/>
    <w:lvl w:ilvl="0" w:tplc="BB0C6C46">
      <w:start w:val="1"/>
      <w:numFmt w:val="bullet"/>
      <w:pStyle w:val="BT-EMEASMCA"/>
      <w:lvlText w:val="-"/>
      <w:lvlJc w:val="left"/>
      <w:pPr>
        <w:tabs>
          <w:tab w:val="num" w:pos="647"/>
        </w:tabs>
        <w:ind w:left="647"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0" w15:restartNumberingAfterBreak="0">
    <w:nsid w:val="313F6830"/>
    <w:multiLevelType w:val="hybridMultilevel"/>
    <w:tmpl w:val="AA120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2082265"/>
    <w:multiLevelType w:val="hybridMultilevel"/>
    <w:tmpl w:val="56183F28"/>
    <w:lvl w:ilvl="0" w:tplc="04090001">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2" w15:restartNumberingAfterBreak="0">
    <w:nsid w:val="3EFC0603"/>
    <w:multiLevelType w:val="hybridMultilevel"/>
    <w:tmpl w:val="AF362106"/>
    <w:lvl w:ilvl="0" w:tplc="591AAC16">
      <w:start w:val="1"/>
      <w:numFmt w:val="bullet"/>
      <w:lvlText w:val="-"/>
      <w:lvlJc w:val="left"/>
      <w:pPr>
        <w:tabs>
          <w:tab w:val="num" w:pos="567"/>
        </w:tabs>
        <w:ind w:left="567" w:hanging="567"/>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3" w15:restartNumberingAfterBreak="0">
    <w:nsid w:val="4ECF18F3"/>
    <w:multiLevelType w:val="hybridMultilevel"/>
    <w:tmpl w:val="6038D8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8F77D5"/>
    <w:multiLevelType w:val="multilevel"/>
    <w:tmpl w:val="6038D8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F1061B"/>
    <w:multiLevelType w:val="hybridMultilevel"/>
    <w:tmpl w:val="EA2AEC36"/>
    <w:lvl w:ilvl="0" w:tplc="591AAC16">
      <w:start w:val="1"/>
      <w:numFmt w:val="bullet"/>
      <w:lvlText w:val="-"/>
      <w:lvlJc w:val="left"/>
      <w:pPr>
        <w:tabs>
          <w:tab w:val="num" w:pos="567"/>
        </w:tabs>
        <w:ind w:left="567" w:hanging="567"/>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6" w15:restartNumberingAfterBreak="0">
    <w:nsid w:val="5FBF750D"/>
    <w:multiLevelType w:val="hybridMultilevel"/>
    <w:tmpl w:val="8C2C0A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6D66F64"/>
    <w:multiLevelType w:val="hybridMultilevel"/>
    <w:tmpl w:val="174AC9C6"/>
    <w:lvl w:ilvl="0" w:tplc="591AAC16">
      <w:start w:val="1"/>
      <w:numFmt w:val="bullet"/>
      <w:lvlText w:val="-"/>
      <w:lvlJc w:val="left"/>
      <w:pPr>
        <w:tabs>
          <w:tab w:val="num" w:pos="567"/>
        </w:tabs>
        <w:ind w:left="567" w:hanging="567"/>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8" w15:restartNumberingAfterBreak="0">
    <w:nsid w:val="68A66AC9"/>
    <w:multiLevelType w:val="hybridMultilevel"/>
    <w:tmpl w:val="FC26E2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EA2987"/>
    <w:multiLevelType w:val="hybridMultilevel"/>
    <w:tmpl w:val="3FAAB984"/>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C2CCF"/>
    <w:multiLevelType w:val="hybridMultilevel"/>
    <w:tmpl w:val="6BB21BC8"/>
    <w:lvl w:ilvl="0" w:tplc="61D6A62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7C9543E3"/>
    <w:multiLevelType w:val="hybridMultilevel"/>
    <w:tmpl w:val="40543F7E"/>
    <w:lvl w:ilvl="0" w:tplc="384AFB5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28"/>
  </w:num>
  <w:num w:numId="4">
    <w:abstractNumId w:val="19"/>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2"/>
  </w:num>
  <w:num w:numId="15">
    <w:abstractNumId w:val="18"/>
  </w:num>
  <w:num w:numId="16">
    <w:abstractNumId w:val="2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0"/>
  </w:num>
  <w:num w:numId="37">
    <w:abstractNumId w:val="31"/>
  </w:num>
  <w:num w:numId="38">
    <w:abstractNumId w:val="11"/>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14"/>
  </w:num>
  <w:num w:numId="50">
    <w:abstractNumId w:val="13"/>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B5"/>
    <w:rsid w:val="00005A07"/>
    <w:rsid w:val="00011B74"/>
    <w:rsid w:val="00030BDF"/>
    <w:rsid w:val="00064716"/>
    <w:rsid w:val="000654A8"/>
    <w:rsid w:val="00074DDE"/>
    <w:rsid w:val="00087438"/>
    <w:rsid w:val="000A11FA"/>
    <w:rsid w:val="000A2FBA"/>
    <w:rsid w:val="000B636A"/>
    <w:rsid w:val="000C2710"/>
    <w:rsid w:val="000D5D85"/>
    <w:rsid w:val="000E0CF2"/>
    <w:rsid w:val="000E13AE"/>
    <w:rsid w:val="000E2108"/>
    <w:rsid w:val="000E3741"/>
    <w:rsid w:val="000F58CF"/>
    <w:rsid w:val="001029F2"/>
    <w:rsid w:val="00114EF0"/>
    <w:rsid w:val="001226EA"/>
    <w:rsid w:val="001269FD"/>
    <w:rsid w:val="0013127C"/>
    <w:rsid w:val="00142FC7"/>
    <w:rsid w:val="00153123"/>
    <w:rsid w:val="001572ED"/>
    <w:rsid w:val="001761C9"/>
    <w:rsid w:val="001803B2"/>
    <w:rsid w:val="00180A2D"/>
    <w:rsid w:val="00184A03"/>
    <w:rsid w:val="001B078A"/>
    <w:rsid w:val="001D040B"/>
    <w:rsid w:val="001D7535"/>
    <w:rsid w:val="001E1D00"/>
    <w:rsid w:val="002133C5"/>
    <w:rsid w:val="00221174"/>
    <w:rsid w:val="002414DE"/>
    <w:rsid w:val="00242B0F"/>
    <w:rsid w:val="00283D5C"/>
    <w:rsid w:val="00297A65"/>
    <w:rsid w:val="002B2821"/>
    <w:rsid w:val="002B2C49"/>
    <w:rsid w:val="00301986"/>
    <w:rsid w:val="00304E79"/>
    <w:rsid w:val="0030524D"/>
    <w:rsid w:val="00307FDA"/>
    <w:rsid w:val="00311F7E"/>
    <w:rsid w:val="003173EC"/>
    <w:rsid w:val="00320816"/>
    <w:rsid w:val="00346E0B"/>
    <w:rsid w:val="003532EB"/>
    <w:rsid w:val="003771C8"/>
    <w:rsid w:val="00380CA5"/>
    <w:rsid w:val="003B48AD"/>
    <w:rsid w:val="003C3A01"/>
    <w:rsid w:val="003E1863"/>
    <w:rsid w:val="0043478D"/>
    <w:rsid w:val="00460FF2"/>
    <w:rsid w:val="0046313C"/>
    <w:rsid w:val="004711EC"/>
    <w:rsid w:val="00474D25"/>
    <w:rsid w:val="00477C21"/>
    <w:rsid w:val="004834FE"/>
    <w:rsid w:val="00490EBF"/>
    <w:rsid w:val="00492657"/>
    <w:rsid w:val="004B099D"/>
    <w:rsid w:val="004D08C2"/>
    <w:rsid w:val="004F1CAA"/>
    <w:rsid w:val="00503553"/>
    <w:rsid w:val="005273D6"/>
    <w:rsid w:val="0053342E"/>
    <w:rsid w:val="00534D96"/>
    <w:rsid w:val="00540D46"/>
    <w:rsid w:val="00545130"/>
    <w:rsid w:val="00553694"/>
    <w:rsid w:val="00592504"/>
    <w:rsid w:val="005A3578"/>
    <w:rsid w:val="005A4943"/>
    <w:rsid w:val="005A678A"/>
    <w:rsid w:val="005C1610"/>
    <w:rsid w:val="005C4DE5"/>
    <w:rsid w:val="005C5475"/>
    <w:rsid w:val="005D0CFE"/>
    <w:rsid w:val="005D70FD"/>
    <w:rsid w:val="005F0E56"/>
    <w:rsid w:val="00605477"/>
    <w:rsid w:val="00675A40"/>
    <w:rsid w:val="006B0056"/>
    <w:rsid w:val="006C1213"/>
    <w:rsid w:val="006C1E44"/>
    <w:rsid w:val="006E771E"/>
    <w:rsid w:val="0071176D"/>
    <w:rsid w:val="00714258"/>
    <w:rsid w:val="00722577"/>
    <w:rsid w:val="00730A2A"/>
    <w:rsid w:val="00754AB1"/>
    <w:rsid w:val="00756FEF"/>
    <w:rsid w:val="00763E9B"/>
    <w:rsid w:val="0076789B"/>
    <w:rsid w:val="0077327A"/>
    <w:rsid w:val="007738DF"/>
    <w:rsid w:val="007B3D7A"/>
    <w:rsid w:val="008016E5"/>
    <w:rsid w:val="008301CF"/>
    <w:rsid w:val="008334F0"/>
    <w:rsid w:val="0083467D"/>
    <w:rsid w:val="0083528C"/>
    <w:rsid w:val="00857E2C"/>
    <w:rsid w:val="00866CD8"/>
    <w:rsid w:val="0089223E"/>
    <w:rsid w:val="008A30E0"/>
    <w:rsid w:val="008C4067"/>
    <w:rsid w:val="008C5374"/>
    <w:rsid w:val="00910BD9"/>
    <w:rsid w:val="00915D50"/>
    <w:rsid w:val="009A5CB4"/>
    <w:rsid w:val="009A7B75"/>
    <w:rsid w:val="009B3C26"/>
    <w:rsid w:val="009D1356"/>
    <w:rsid w:val="009E27A1"/>
    <w:rsid w:val="00A0308E"/>
    <w:rsid w:val="00A32955"/>
    <w:rsid w:val="00A47491"/>
    <w:rsid w:val="00A66A86"/>
    <w:rsid w:val="00A733AC"/>
    <w:rsid w:val="00A762B5"/>
    <w:rsid w:val="00A8619A"/>
    <w:rsid w:val="00AB32CD"/>
    <w:rsid w:val="00AC3BC1"/>
    <w:rsid w:val="00AE3EC3"/>
    <w:rsid w:val="00B25769"/>
    <w:rsid w:val="00B37A6B"/>
    <w:rsid w:val="00B44C09"/>
    <w:rsid w:val="00B84AEB"/>
    <w:rsid w:val="00B92FC1"/>
    <w:rsid w:val="00BC3639"/>
    <w:rsid w:val="00BE3F46"/>
    <w:rsid w:val="00BF4991"/>
    <w:rsid w:val="00C215E2"/>
    <w:rsid w:val="00C519A4"/>
    <w:rsid w:val="00C802F5"/>
    <w:rsid w:val="00CA76A4"/>
    <w:rsid w:val="00CB6462"/>
    <w:rsid w:val="00D07A96"/>
    <w:rsid w:val="00D10AAE"/>
    <w:rsid w:val="00D35145"/>
    <w:rsid w:val="00D422D6"/>
    <w:rsid w:val="00D8062B"/>
    <w:rsid w:val="00D81407"/>
    <w:rsid w:val="00D9742C"/>
    <w:rsid w:val="00DA77A1"/>
    <w:rsid w:val="00DC6BFB"/>
    <w:rsid w:val="00DC73FF"/>
    <w:rsid w:val="00DD1C34"/>
    <w:rsid w:val="00DF57F6"/>
    <w:rsid w:val="00E0670D"/>
    <w:rsid w:val="00E130C8"/>
    <w:rsid w:val="00E17492"/>
    <w:rsid w:val="00E25E21"/>
    <w:rsid w:val="00E30E98"/>
    <w:rsid w:val="00E4166D"/>
    <w:rsid w:val="00E80D91"/>
    <w:rsid w:val="00E87DC8"/>
    <w:rsid w:val="00E950EF"/>
    <w:rsid w:val="00EC7905"/>
    <w:rsid w:val="00EE3ADB"/>
    <w:rsid w:val="00EF62E6"/>
    <w:rsid w:val="00F05FAB"/>
    <w:rsid w:val="00F12EBA"/>
    <w:rsid w:val="00F4264B"/>
    <w:rsid w:val="00F4591C"/>
    <w:rsid w:val="00F5691D"/>
    <w:rsid w:val="00F6640B"/>
    <w:rsid w:val="00F83EF9"/>
    <w:rsid w:val="00F95EF2"/>
    <w:rsid w:val="00F9732D"/>
    <w:rsid w:val="00FB56E2"/>
    <w:rsid w:val="00FB7EBC"/>
    <w:rsid w:val="00FC29F1"/>
    <w:rsid w:val="00FC5559"/>
    <w:rsid w:val="00FE48C8"/>
    <w:rsid w:val="00FF1E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856B1"/>
  <w15:docId w15:val="{A5592D77-327E-4963-8E33-E9D79D24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38DF"/>
  </w:style>
  <w:style w:type="paragraph" w:styleId="Antrat1">
    <w:name w:val="heading 1"/>
    <w:basedOn w:val="prastasis"/>
    <w:next w:val="prastasis"/>
    <w:link w:val="Antrat1Diagrama"/>
    <w:autoRedefine/>
    <w:uiPriority w:val="9"/>
    <w:qFormat/>
    <w:rsid w:val="00A762B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A762B5"/>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A762B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A762B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unhideWhenUsed/>
    <w:qFormat/>
    <w:rsid w:val="00A762B5"/>
    <w:pPr>
      <w:spacing w:before="240" w:after="60" w:line="240" w:lineRule="auto"/>
      <w:outlineLvl w:val="5"/>
    </w:pPr>
    <w:rPr>
      <w:rFonts w:ascii="Calibri" w:eastAsia="Times New Roman" w:hAnsi="Calibri"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62B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A762B5"/>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A762B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A762B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A762B5"/>
    <w:rPr>
      <w:rFonts w:ascii="Calibri" w:eastAsia="Times New Roman" w:hAnsi="Calibri" w:cs="Times New Roman"/>
      <w:b/>
      <w:bCs/>
      <w:lang w:val="lt-LT" w:eastAsia="lt-LT"/>
    </w:rPr>
  </w:style>
  <w:style w:type="numbering" w:customStyle="1" w:styleId="NoList1">
    <w:name w:val="No List1"/>
    <w:next w:val="Sraonra"/>
    <w:uiPriority w:val="99"/>
    <w:semiHidden/>
    <w:unhideWhenUsed/>
    <w:rsid w:val="00A762B5"/>
  </w:style>
  <w:style w:type="numbering" w:customStyle="1" w:styleId="NoList11">
    <w:name w:val="No List11"/>
    <w:next w:val="Sraonra"/>
    <w:uiPriority w:val="99"/>
    <w:semiHidden/>
    <w:unhideWhenUsed/>
    <w:rsid w:val="00A762B5"/>
  </w:style>
  <w:style w:type="paragraph" w:styleId="Pagrindinistekstas">
    <w:name w:val="Body Text"/>
    <w:basedOn w:val="prastasis"/>
    <w:link w:val="PagrindinistekstasDiagrama"/>
    <w:rsid w:val="00A762B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A762B5"/>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A762B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A762B5"/>
    <w:rPr>
      <w:rFonts w:ascii="Times New Roman" w:eastAsia="Times New Roman" w:hAnsi="Times New Roman" w:cs="Times New Roman"/>
      <w:szCs w:val="20"/>
      <w:lang w:val="lt-LT" w:eastAsia="lt-LT"/>
    </w:rPr>
  </w:style>
  <w:style w:type="character" w:styleId="Puslapionumeris">
    <w:name w:val="page number"/>
    <w:basedOn w:val="Numatytasispastraiposriftas"/>
    <w:rsid w:val="00A762B5"/>
  </w:style>
  <w:style w:type="paragraph" w:styleId="Dokumentostruktra">
    <w:name w:val="Document Map"/>
    <w:basedOn w:val="prastasis"/>
    <w:link w:val="DokumentostruktraDiagrama"/>
    <w:semiHidden/>
    <w:rsid w:val="00A762B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A762B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A762B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A762B5"/>
    <w:rPr>
      <w:rFonts w:ascii="Times New Roman" w:eastAsia="Times New Roman" w:hAnsi="Times New Roman" w:cs="Times New Roman"/>
      <w:b/>
      <w:kern w:val="28"/>
      <w:szCs w:val="20"/>
      <w:lang w:val="lt-LT" w:eastAsia="lt-LT"/>
    </w:rPr>
  </w:style>
  <w:style w:type="character" w:styleId="Hipersaitas">
    <w:name w:val="Hyperlink"/>
    <w:uiPriority w:val="99"/>
    <w:rsid w:val="00A762B5"/>
    <w:rPr>
      <w:color w:val="0000FF"/>
      <w:u w:val="single"/>
    </w:rPr>
  </w:style>
  <w:style w:type="paragraph" w:styleId="Paantrat">
    <w:name w:val="Subtitle"/>
    <w:basedOn w:val="prastasis"/>
    <w:link w:val="PaantratDiagrama"/>
    <w:qFormat/>
    <w:rsid w:val="00A762B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A762B5"/>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rsid w:val="00A762B5"/>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A762B5"/>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A762B5"/>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A762B5"/>
    <w:rPr>
      <w:rFonts w:ascii="Times New Roman" w:eastAsia="Times New Roman" w:hAnsi="Times New Roman" w:cs="Times New Roman"/>
      <w:sz w:val="16"/>
      <w:szCs w:val="16"/>
      <w:lang w:val="lt-LT" w:eastAsia="lt-LT"/>
    </w:rPr>
  </w:style>
  <w:style w:type="paragraph" w:styleId="Antrats">
    <w:name w:val="header"/>
    <w:basedOn w:val="prastasis"/>
    <w:link w:val="AntratsDiagrama"/>
    <w:rsid w:val="00A762B5"/>
    <w:pPr>
      <w:tabs>
        <w:tab w:val="center" w:pos="4320"/>
        <w:tab w:val="right" w:pos="8640"/>
      </w:tabs>
      <w:spacing w:after="0" w:line="240" w:lineRule="auto"/>
    </w:pPr>
    <w:rPr>
      <w:rFonts w:ascii="Times" w:eastAsia="Times New Roman" w:hAnsi="Times" w:cs="Times New Roman"/>
      <w:sz w:val="24"/>
      <w:szCs w:val="20"/>
      <w:lang w:val="en-GB" w:eastAsia="sl-SI"/>
    </w:rPr>
  </w:style>
  <w:style w:type="character" w:customStyle="1" w:styleId="AntratsDiagrama">
    <w:name w:val="Antraštės Diagrama"/>
    <w:basedOn w:val="Numatytasispastraiposriftas"/>
    <w:link w:val="Antrats"/>
    <w:rsid w:val="00A762B5"/>
    <w:rPr>
      <w:rFonts w:ascii="Times" w:eastAsia="Times New Roman" w:hAnsi="Times" w:cs="Times New Roman"/>
      <w:sz w:val="24"/>
      <w:szCs w:val="20"/>
      <w:lang w:val="en-GB" w:eastAsia="sl-SI"/>
    </w:rPr>
  </w:style>
  <w:style w:type="paragraph" w:styleId="Debesliotekstas">
    <w:name w:val="Balloon Text"/>
    <w:basedOn w:val="prastasis"/>
    <w:link w:val="DebesliotekstasDiagrama"/>
    <w:uiPriority w:val="99"/>
    <w:semiHidden/>
    <w:rsid w:val="00A762B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A762B5"/>
    <w:rPr>
      <w:rFonts w:ascii="Tahoma" w:eastAsia="Times New Roman" w:hAnsi="Tahoma" w:cs="Tahoma"/>
      <w:sz w:val="16"/>
      <w:szCs w:val="16"/>
      <w:lang w:val="lt-LT" w:eastAsia="lt-LT"/>
    </w:rPr>
  </w:style>
  <w:style w:type="character" w:styleId="Komentaronuoroda">
    <w:name w:val="annotation reference"/>
    <w:uiPriority w:val="99"/>
    <w:rsid w:val="00A762B5"/>
    <w:rPr>
      <w:sz w:val="16"/>
      <w:szCs w:val="16"/>
    </w:rPr>
  </w:style>
  <w:style w:type="paragraph" w:styleId="Komentarotekstas">
    <w:name w:val="annotation text"/>
    <w:basedOn w:val="prastasis"/>
    <w:link w:val="KomentarotekstasDiagrama"/>
    <w:uiPriority w:val="99"/>
    <w:rsid w:val="00A762B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A762B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A762B5"/>
    <w:rPr>
      <w:b/>
      <w:bCs/>
    </w:rPr>
  </w:style>
  <w:style w:type="character" w:customStyle="1" w:styleId="KomentarotemaDiagrama">
    <w:name w:val="Komentaro tema Diagrama"/>
    <w:basedOn w:val="KomentarotekstasDiagrama"/>
    <w:link w:val="Komentarotema"/>
    <w:uiPriority w:val="99"/>
    <w:semiHidden/>
    <w:rsid w:val="00A762B5"/>
    <w:rPr>
      <w:rFonts w:ascii="Times New Roman" w:eastAsia="Times New Roman" w:hAnsi="Times New Roman" w:cs="Times New Roman"/>
      <w:b/>
      <w:bCs/>
      <w:sz w:val="20"/>
      <w:szCs w:val="20"/>
      <w:lang w:val="lt-LT" w:eastAsia="lt-LT"/>
    </w:rPr>
  </w:style>
  <w:style w:type="numbering" w:customStyle="1" w:styleId="NoList111">
    <w:name w:val="No List111"/>
    <w:next w:val="Sraonra"/>
    <w:uiPriority w:val="99"/>
    <w:semiHidden/>
    <w:unhideWhenUsed/>
    <w:rsid w:val="00A762B5"/>
  </w:style>
  <w:style w:type="paragraph" w:styleId="Dokumentoinaostekstas">
    <w:name w:val="endnote text"/>
    <w:basedOn w:val="prastasis"/>
    <w:next w:val="prastasis"/>
    <w:link w:val="DokumentoinaostekstasDiagrama"/>
    <w:rsid w:val="00A762B5"/>
    <w:pPr>
      <w:tabs>
        <w:tab w:val="left" w:pos="567"/>
      </w:tabs>
      <w:spacing w:after="0" w:line="240" w:lineRule="auto"/>
    </w:pPr>
    <w:rPr>
      <w:rFonts w:ascii="Times New Roman" w:eastAsia="Calibri" w:hAnsi="Times New Roman" w:cs="Times New Roman"/>
      <w:sz w:val="20"/>
      <w:szCs w:val="20"/>
      <w:lang w:val="cs-CZ" w:eastAsia="lt-LT"/>
    </w:rPr>
  </w:style>
  <w:style w:type="character" w:customStyle="1" w:styleId="DokumentoinaostekstasDiagrama">
    <w:name w:val="Dokumento išnašos tekstas Diagrama"/>
    <w:basedOn w:val="Numatytasispastraiposriftas"/>
    <w:link w:val="Dokumentoinaostekstas"/>
    <w:rsid w:val="00A762B5"/>
    <w:rPr>
      <w:rFonts w:ascii="Times New Roman" w:eastAsia="Calibri" w:hAnsi="Times New Roman" w:cs="Times New Roman"/>
      <w:sz w:val="20"/>
      <w:szCs w:val="20"/>
      <w:lang w:val="cs-CZ" w:eastAsia="lt-LT"/>
    </w:rPr>
  </w:style>
  <w:style w:type="paragraph" w:customStyle="1" w:styleId="Normal1">
    <w:name w:val="Normal1"/>
    <w:rsid w:val="00A762B5"/>
    <w:pPr>
      <w:widowControl w:val="0"/>
      <w:spacing w:after="0" w:line="240" w:lineRule="auto"/>
    </w:pPr>
    <w:rPr>
      <w:rFonts w:ascii="Times New Roman" w:eastAsia="Calibri" w:hAnsi="Times New Roman" w:cs="Times New Roman"/>
      <w:noProof/>
      <w:sz w:val="24"/>
      <w:szCs w:val="20"/>
    </w:rPr>
  </w:style>
  <w:style w:type="paragraph" w:customStyle="1" w:styleId="PI-1EMEASMCA">
    <w:name w:val="PI-1 EMEA_SMCA"/>
    <w:basedOn w:val="Antrat2"/>
    <w:autoRedefine/>
    <w:rsid w:val="00A762B5"/>
    <w:pPr>
      <w:tabs>
        <w:tab w:val="left" w:pos="567"/>
      </w:tabs>
      <w:ind w:left="567" w:hanging="567"/>
    </w:pPr>
    <w:rPr>
      <w:rFonts w:ascii="Times New Roman Bold" w:eastAsia="Calibri" w:hAnsi="Times New Roman Bold"/>
      <w:caps/>
      <w:sz w:val="20"/>
      <w:szCs w:val="22"/>
      <w:lang w:eastAsia="en-US"/>
    </w:rPr>
  </w:style>
  <w:style w:type="paragraph" w:customStyle="1" w:styleId="BTEMEASMCA">
    <w:name w:val="BT EMEA_SMCA"/>
    <w:basedOn w:val="prastasis"/>
    <w:link w:val="BTEMEASMCAChar"/>
    <w:autoRedefine/>
    <w:rsid w:val="00A762B5"/>
    <w:pPr>
      <w:spacing w:after="0" w:line="240" w:lineRule="auto"/>
    </w:pPr>
    <w:rPr>
      <w:rFonts w:ascii="Times New Roman" w:eastAsia="Calibri" w:hAnsi="Times New Roman" w:cs="Times New Roman"/>
      <w:lang w:eastAsia="lt-LT"/>
    </w:rPr>
  </w:style>
  <w:style w:type="paragraph" w:customStyle="1" w:styleId="TTEMEASMCA">
    <w:name w:val="TT EMEA_SMCA"/>
    <w:basedOn w:val="Antrat1"/>
    <w:autoRedefine/>
    <w:rsid w:val="00A762B5"/>
    <w:pPr>
      <w:keepNext w:val="0"/>
      <w:tabs>
        <w:tab w:val="left" w:pos="567"/>
      </w:tabs>
      <w:ind w:left="567" w:hanging="567"/>
      <w:jc w:val="center"/>
    </w:pPr>
    <w:rPr>
      <w:rFonts w:eastAsia="Calibri"/>
      <w:caps/>
      <w:szCs w:val="22"/>
      <w:lang w:val="en-US" w:eastAsia="en-US"/>
    </w:rPr>
  </w:style>
  <w:style w:type="paragraph" w:customStyle="1" w:styleId="BT-EMEASMCA">
    <w:name w:val="BT- EMEA_SMCA"/>
    <w:basedOn w:val="BTEMEASMCA"/>
    <w:autoRedefine/>
    <w:rsid w:val="00A762B5"/>
    <w:pPr>
      <w:numPr>
        <w:numId w:val="4"/>
      </w:numPr>
      <w:tabs>
        <w:tab w:val="clear" w:pos="647"/>
        <w:tab w:val="num" w:pos="360"/>
        <w:tab w:val="num" w:pos="567"/>
      </w:tabs>
      <w:ind w:left="567" w:hanging="567"/>
    </w:pPr>
  </w:style>
  <w:style w:type="paragraph" w:customStyle="1" w:styleId="PI-3EMEASMCA">
    <w:name w:val="PI-3 EMEA_SMCA"/>
    <w:basedOn w:val="prastasis"/>
    <w:autoRedefine/>
    <w:rsid w:val="00A762B5"/>
    <w:pPr>
      <w:spacing w:after="0" w:line="220" w:lineRule="exact"/>
    </w:pPr>
    <w:rPr>
      <w:rFonts w:ascii="Times New Roman" w:eastAsia="Calibri" w:hAnsi="Times New Roman" w:cs="Times New Roman"/>
      <w:b/>
      <w:bCs/>
      <w:lang w:val="lt-LT"/>
    </w:rPr>
  </w:style>
  <w:style w:type="paragraph" w:customStyle="1" w:styleId="BTbEMEASMCA">
    <w:name w:val="BT(b) EMEA_SMCA"/>
    <w:basedOn w:val="BTEMEASMCA"/>
    <w:autoRedefine/>
    <w:rsid w:val="00A762B5"/>
    <w:rPr>
      <w:b/>
    </w:rPr>
  </w:style>
  <w:style w:type="paragraph" w:customStyle="1" w:styleId="PI-2EMEASMCA">
    <w:name w:val="PI-2 EMEA_SMCA"/>
    <w:basedOn w:val="Antrat3"/>
    <w:autoRedefine/>
    <w:rsid w:val="00A762B5"/>
    <w:pPr>
      <w:keepLines/>
      <w:tabs>
        <w:tab w:val="left" w:pos="567"/>
      </w:tabs>
      <w:ind w:left="567" w:hanging="567"/>
    </w:pPr>
    <w:rPr>
      <w:rFonts w:eastAsia="Calibri"/>
      <w:kern w:val="28"/>
      <w:sz w:val="20"/>
      <w:szCs w:val="22"/>
      <w:lang w:eastAsia="en-US"/>
    </w:rPr>
  </w:style>
  <w:style w:type="paragraph" w:customStyle="1" w:styleId="PI-1labEMEASMCA">
    <w:name w:val="PI-1_lab EMEA_SMCA"/>
    <w:basedOn w:val="prastasis"/>
    <w:autoRedefine/>
    <w:rsid w:val="00A762B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lang w:val="lt-LT"/>
    </w:rPr>
  </w:style>
  <w:style w:type="paragraph" w:customStyle="1" w:styleId="BTAnIIEMEASMCA">
    <w:name w:val="BT(AnII) EMEA_SMCA"/>
    <w:basedOn w:val="Debesliotekstas"/>
    <w:autoRedefine/>
    <w:rsid w:val="00A762B5"/>
    <w:pPr>
      <w:tabs>
        <w:tab w:val="left" w:pos="1701"/>
      </w:tabs>
      <w:ind w:left="1701" w:hanging="567"/>
    </w:pPr>
    <w:rPr>
      <w:rFonts w:ascii="Times New Roman" w:eastAsia="Calibri" w:hAnsi="Times New Roman" w:cs="Times New Roman"/>
      <w:b/>
      <w:sz w:val="22"/>
      <w:szCs w:val="22"/>
      <w:lang w:val="en-GB" w:eastAsia="en-US"/>
    </w:rPr>
  </w:style>
  <w:style w:type="paragraph" w:customStyle="1" w:styleId="BTuEMEASMCA">
    <w:name w:val="BT(u) EMEA_SMCA"/>
    <w:basedOn w:val="BTEMEASMCA"/>
    <w:autoRedefine/>
    <w:rsid w:val="00A762B5"/>
    <w:rPr>
      <w:u w:val="single"/>
    </w:rPr>
  </w:style>
  <w:style w:type="paragraph" w:customStyle="1" w:styleId="Default">
    <w:name w:val="Default"/>
    <w:rsid w:val="00A762B5"/>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ja-JP"/>
    </w:rPr>
  </w:style>
  <w:style w:type="paragraph" w:styleId="prastasiniatinklio">
    <w:name w:val="Normal (Web)"/>
    <w:basedOn w:val="prastasis"/>
    <w:rsid w:val="00A762B5"/>
    <w:pPr>
      <w:spacing w:before="100" w:beforeAutospacing="1" w:after="75" w:line="240" w:lineRule="auto"/>
    </w:pPr>
    <w:rPr>
      <w:rFonts w:ascii="Times New Roman" w:eastAsia="Calibri" w:hAnsi="Times New Roman" w:cs="Times New Roman"/>
      <w:color w:val="000000"/>
      <w:sz w:val="24"/>
      <w:szCs w:val="24"/>
      <w:lang w:val="lt-LT" w:eastAsia="lt-LT"/>
    </w:rPr>
  </w:style>
  <w:style w:type="character" w:customStyle="1" w:styleId="BTEMEASMCAChar">
    <w:name w:val="BT EMEA_SMCA Char"/>
    <w:link w:val="BTEMEASMCA"/>
    <w:locked/>
    <w:rsid w:val="00A762B5"/>
    <w:rPr>
      <w:rFonts w:ascii="Times New Roman" w:eastAsia="Calibri" w:hAnsi="Times New Roman" w:cs="Times New Roman"/>
      <w:lang w:eastAsia="lt-LT"/>
    </w:rPr>
  </w:style>
  <w:style w:type="paragraph" w:customStyle="1" w:styleId="Sraopastraipa2">
    <w:name w:val="Sąrašo pastraipa2"/>
    <w:basedOn w:val="prastasis"/>
    <w:qFormat/>
    <w:rsid w:val="00A762B5"/>
    <w:pPr>
      <w:spacing w:after="0" w:line="240" w:lineRule="auto"/>
      <w:ind w:left="720"/>
      <w:contextualSpacing/>
    </w:pPr>
    <w:rPr>
      <w:rFonts w:ascii="Times New Roman" w:eastAsia="Calibri" w:hAnsi="Times New Roman" w:cs="Times New Roman"/>
      <w:szCs w:val="20"/>
      <w:lang w:val="lt-LT" w:eastAsia="lt-LT"/>
    </w:rPr>
  </w:style>
  <w:style w:type="paragraph" w:styleId="Paprastasistekstas">
    <w:name w:val="Plain Text"/>
    <w:basedOn w:val="prastasis"/>
    <w:link w:val="PaprastasistekstasDiagrama"/>
    <w:uiPriority w:val="99"/>
    <w:rsid w:val="00A762B5"/>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A762B5"/>
    <w:rPr>
      <w:rFonts w:ascii="Courier New" w:eastAsia="SimSun" w:hAnsi="Courier New" w:cs="Times New Roman"/>
      <w:sz w:val="20"/>
      <w:szCs w:val="20"/>
    </w:rPr>
  </w:style>
  <w:style w:type="character" w:customStyle="1" w:styleId="tw4winTerm">
    <w:name w:val="tw4winTerm"/>
    <w:uiPriority w:val="99"/>
    <w:rsid w:val="00A762B5"/>
    <w:rPr>
      <w:color w:val="0000FF"/>
    </w:rPr>
  </w:style>
  <w:style w:type="paragraph" w:styleId="Pagrindiniotekstotrauka">
    <w:name w:val="Body Text Indent"/>
    <w:basedOn w:val="prastasis"/>
    <w:link w:val="PagrindiniotekstotraukaDiagrama"/>
    <w:uiPriority w:val="99"/>
    <w:unhideWhenUsed/>
    <w:rsid w:val="00A762B5"/>
    <w:pPr>
      <w:spacing w:after="120" w:line="240" w:lineRule="auto"/>
      <w:ind w:left="283"/>
    </w:pPr>
    <w:rPr>
      <w:rFonts w:ascii="Times New Roman" w:eastAsia="Calibri"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uiPriority w:val="99"/>
    <w:rsid w:val="00A762B5"/>
    <w:rPr>
      <w:rFonts w:ascii="Times New Roman" w:eastAsia="Calibri" w:hAnsi="Times New Roman" w:cs="Times New Roman"/>
      <w:szCs w:val="20"/>
      <w:lang w:val="lt-LT" w:eastAsia="lt-LT"/>
    </w:rPr>
  </w:style>
  <w:style w:type="character" w:styleId="Perirtashipersaitas">
    <w:name w:val="FollowedHyperlink"/>
    <w:uiPriority w:val="99"/>
    <w:unhideWhenUsed/>
    <w:rsid w:val="00A762B5"/>
    <w:rPr>
      <w:color w:val="800080"/>
      <w:u w:val="single"/>
    </w:rPr>
  </w:style>
  <w:style w:type="paragraph" w:customStyle="1" w:styleId="Sraopastraipa1">
    <w:name w:val="Sąrašo pastraipa1"/>
    <w:basedOn w:val="prastasis"/>
    <w:qFormat/>
    <w:rsid w:val="00A762B5"/>
    <w:pPr>
      <w:spacing w:after="0" w:line="240" w:lineRule="auto"/>
      <w:ind w:left="720"/>
      <w:contextualSpacing/>
    </w:pPr>
    <w:rPr>
      <w:rFonts w:ascii="Times New Roman" w:eastAsia="Calibri" w:hAnsi="Times New Roman" w:cs="Times New Roman"/>
      <w:szCs w:val="20"/>
      <w:lang w:val="lt-LT" w:eastAsia="lt-LT"/>
    </w:rPr>
  </w:style>
  <w:style w:type="paragraph" w:customStyle="1" w:styleId="Sraopastraipa3">
    <w:name w:val="Sąrašo pastraipa3"/>
    <w:basedOn w:val="prastasis"/>
    <w:qFormat/>
    <w:rsid w:val="00A762B5"/>
    <w:pPr>
      <w:spacing w:after="0" w:line="240" w:lineRule="auto"/>
      <w:ind w:left="720"/>
      <w:contextualSpacing/>
    </w:pPr>
    <w:rPr>
      <w:rFonts w:ascii="Times New Roman" w:eastAsia="Calibri" w:hAnsi="Times New Roman" w:cs="Times New Roman"/>
      <w:szCs w:val="20"/>
      <w:lang w:val="lt-LT" w:eastAsia="lt-LT"/>
    </w:rPr>
  </w:style>
  <w:style w:type="paragraph" w:styleId="Sraopastraipa">
    <w:name w:val="List Paragraph"/>
    <w:basedOn w:val="prastasis"/>
    <w:uiPriority w:val="34"/>
    <w:qFormat/>
    <w:rsid w:val="00A762B5"/>
    <w:pPr>
      <w:spacing w:after="0" w:line="240" w:lineRule="auto"/>
      <w:ind w:left="720"/>
      <w:contextualSpacing/>
    </w:pPr>
    <w:rPr>
      <w:rFonts w:ascii="Times New Roman" w:eastAsia="Times New Roman" w:hAnsi="Times New Roman" w:cs="Times New Roman"/>
      <w:szCs w:val="20"/>
      <w:lang w:val="lt-LT" w:eastAsia="lt-LT"/>
    </w:rPr>
  </w:style>
  <w:style w:type="paragraph" w:styleId="Pataisymai">
    <w:name w:val="Revision"/>
    <w:hidden/>
    <w:uiPriority w:val="99"/>
    <w:semiHidden/>
    <w:rsid w:val="00D35145"/>
    <w:pPr>
      <w:spacing w:after="0" w:line="240" w:lineRule="auto"/>
    </w:pPr>
  </w:style>
  <w:style w:type="character" w:customStyle="1" w:styleId="UnresolvedMention1">
    <w:name w:val="Unresolved Mention1"/>
    <w:basedOn w:val="Numatytasispastraiposriftas"/>
    <w:uiPriority w:val="99"/>
    <w:semiHidden/>
    <w:unhideWhenUsed/>
    <w:rsid w:val="00011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31088-94D4-4485-ABD9-E1D5357C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57037</Words>
  <Characters>32512</Characters>
  <Application>Microsoft Office Word</Application>
  <DocSecurity>4</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89371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2</cp:revision>
  <cp:lastPrinted>2018-02-27T07:42:00Z</cp:lastPrinted>
  <dcterms:created xsi:type="dcterms:W3CDTF">2023-09-18T07:55:00Z</dcterms:created>
  <dcterms:modified xsi:type="dcterms:W3CDTF">2023-09-18T07:55:00Z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2021-08-13T12:27:53Z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d55e2161-a5bb-47e8-b9cb-233be592063c</vt:lpwstr>
  </property>
  <property fmtid="{D5CDD505-2E9C-101B-9397-08002B2CF9AE}" pid="8" name="MSIP_Label_4929bff8-5b33-42aa-95d2-28f72e792cb0_ContentBits">
    <vt:lpwstr>0</vt:lpwstr>
  </property>
</Properties>
</file>