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8A" w:rsidRPr="00E27F63" w:rsidRDefault="0050408A" w:rsidP="0050408A">
      <w:pPr>
        <w:pStyle w:val="TTEMEASMCA"/>
      </w:pPr>
      <w:bookmarkStart w:id="0" w:name="_Toc129243263"/>
      <w:bookmarkStart w:id="1" w:name="_Toc129243138"/>
      <w:r w:rsidRPr="00E27F63">
        <w:rPr>
          <w:caps w:val="0"/>
        </w:rPr>
        <w:t>Pakuotės lapelis: informacija vartotojui</w:t>
      </w:r>
      <w:bookmarkEnd w:id="0"/>
      <w:bookmarkEnd w:id="1"/>
    </w:p>
    <w:p w:rsidR="0050408A" w:rsidRPr="00E27F63" w:rsidRDefault="0050408A" w:rsidP="0050408A">
      <w:pPr>
        <w:pStyle w:val="BTEMEASMCA"/>
        <w:rPr>
          <w:lang w:val="lt-LT"/>
        </w:rPr>
      </w:pPr>
    </w:p>
    <w:p w:rsidR="0050408A" w:rsidRPr="00E27F63" w:rsidRDefault="0050408A" w:rsidP="0050408A">
      <w:pPr>
        <w:tabs>
          <w:tab w:val="left" w:pos="567"/>
        </w:tabs>
        <w:jc w:val="center"/>
        <w:rPr>
          <w:b/>
          <w:sz w:val="22"/>
          <w:szCs w:val="22"/>
        </w:rPr>
      </w:pPr>
      <w:proofErr w:type="spellStart"/>
      <w:r w:rsidRPr="00E27F63">
        <w:rPr>
          <w:b/>
          <w:sz w:val="22"/>
          <w:szCs w:val="22"/>
        </w:rPr>
        <w:t>Doloblok</w:t>
      </w:r>
      <w:proofErr w:type="spellEnd"/>
      <w:r w:rsidRPr="00E27F63">
        <w:rPr>
          <w:b/>
          <w:sz w:val="22"/>
          <w:szCs w:val="22"/>
        </w:rPr>
        <w:t xml:space="preserve"> 50 mg/ml injekcinis tirpalas</w:t>
      </w:r>
    </w:p>
    <w:p w:rsidR="0050408A" w:rsidRPr="00E27F63" w:rsidRDefault="0050408A" w:rsidP="0050408A">
      <w:pPr>
        <w:tabs>
          <w:tab w:val="left" w:pos="567"/>
        </w:tabs>
        <w:jc w:val="center"/>
        <w:rPr>
          <w:sz w:val="22"/>
          <w:szCs w:val="22"/>
        </w:rPr>
      </w:pPr>
      <w:proofErr w:type="spellStart"/>
      <w:r w:rsidRPr="00E27F63">
        <w:rPr>
          <w:sz w:val="22"/>
          <w:szCs w:val="22"/>
        </w:rPr>
        <w:t>Petidino</w:t>
      </w:r>
      <w:proofErr w:type="spellEnd"/>
      <w:r w:rsidRPr="00E27F63">
        <w:rPr>
          <w:sz w:val="22"/>
          <w:szCs w:val="22"/>
        </w:rPr>
        <w:t xml:space="preserve"> hidrochloridas</w:t>
      </w:r>
    </w:p>
    <w:p w:rsidR="0050408A" w:rsidRPr="00E27F63" w:rsidRDefault="0050408A" w:rsidP="0050408A">
      <w:pPr>
        <w:pStyle w:val="BTEMEASMCA"/>
        <w:rPr>
          <w:lang w:val="lt-LT"/>
        </w:rPr>
      </w:pPr>
    </w:p>
    <w:p w:rsidR="0050408A" w:rsidRPr="00E27F63" w:rsidRDefault="0050408A" w:rsidP="0050408A">
      <w:pPr>
        <w:suppressAutoHyphens/>
        <w:ind w:left="142" w:hanging="142"/>
        <w:rPr>
          <w:snapToGrid w:val="0"/>
          <w:sz w:val="22"/>
        </w:rPr>
      </w:pPr>
      <w:r w:rsidRPr="00E27F63">
        <w:rPr>
          <w:b/>
          <w:noProof/>
          <w:snapToGrid w:val="0"/>
          <w:sz w:val="22"/>
        </w:rPr>
        <w:t>Atidžiai perskaitykite visą šį lapelį, prieš pradėdami vartoti vaistą, nes jame pateikiama Jums svarbi informacija.</w:t>
      </w:r>
    </w:p>
    <w:p w:rsidR="0050408A" w:rsidRPr="00E27F63" w:rsidRDefault="0050408A" w:rsidP="0050408A">
      <w:pPr>
        <w:numPr>
          <w:ilvl w:val="0"/>
          <w:numId w:val="2"/>
        </w:numPr>
        <w:tabs>
          <w:tab w:val="left" w:pos="567"/>
        </w:tabs>
        <w:spacing w:line="260" w:lineRule="exact"/>
        <w:ind w:left="567" w:right="-2" w:hanging="567"/>
        <w:rPr>
          <w:snapToGrid w:val="0"/>
          <w:sz w:val="22"/>
        </w:rPr>
      </w:pPr>
      <w:r w:rsidRPr="00E27F63">
        <w:rPr>
          <w:noProof/>
          <w:snapToGrid w:val="0"/>
          <w:sz w:val="22"/>
        </w:rPr>
        <w:t>Neišmeskite šio lapelio, nes vėl gali prireikti jį perskaityti.</w:t>
      </w:r>
      <w:r w:rsidRPr="00E27F63">
        <w:rPr>
          <w:snapToGrid w:val="0"/>
          <w:sz w:val="22"/>
        </w:rPr>
        <w:t xml:space="preserve"> </w:t>
      </w:r>
    </w:p>
    <w:p w:rsidR="0050408A" w:rsidRPr="00E27F63" w:rsidRDefault="0050408A" w:rsidP="0050408A">
      <w:pPr>
        <w:numPr>
          <w:ilvl w:val="0"/>
          <w:numId w:val="2"/>
        </w:numPr>
        <w:tabs>
          <w:tab w:val="left" w:pos="567"/>
        </w:tabs>
        <w:spacing w:line="260" w:lineRule="exact"/>
        <w:ind w:left="567" w:right="-2" w:hanging="567"/>
        <w:rPr>
          <w:snapToGrid w:val="0"/>
          <w:sz w:val="22"/>
        </w:rPr>
      </w:pPr>
      <w:r w:rsidRPr="00E27F63">
        <w:rPr>
          <w:noProof/>
          <w:snapToGrid w:val="0"/>
          <w:sz w:val="22"/>
        </w:rPr>
        <w:t>Jeigu kiltų daugiau klausimų, kreipkitės į gydytoją arba vaistininką.</w:t>
      </w:r>
    </w:p>
    <w:p w:rsidR="0050408A" w:rsidRPr="00E27F63" w:rsidRDefault="0050408A" w:rsidP="0050408A">
      <w:pPr>
        <w:tabs>
          <w:tab w:val="left" w:pos="567"/>
        </w:tabs>
        <w:ind w:left="567" w:right="-2" w:hanging="567"/>
        <w:rPr>
          <w:snapToGrid w:val="0"/>
          <w:sz w:val="22"/>
        </w:rPr>
      </w:pPr>
      <w:r w:rsidRPr="00E27F63">
        <w:rPr>
          <w:snapToGrid w:val="0"/>
          <w:sz w:val="22"/>
        </w:rPr>
        <w:t>-</w:t>
      </w:r>
      <w:r w:rsidRPr="00E27F63">
        <w:rPr>
          <w:snapToGrid w:val="0"/>
          <w:sz w:val="22"/>
        </w:rPr>
        <w:tab/>
      </w:r>
      <w:r w:rsidRPr="00E27F63">
        <w:rPr>
          <w:noProof/>
          <w:snapToGrid w:val="0"/>
          <w:sz w:val="22"/>
        </w:rPr>
        <w:t>Šis vaistas skirtas tik Jums, todėl kitiems žmonėms jo duoti negalima.</w:t>
      </w:r>
      <w:r w:rsidRPr="00E27F63">
        <w:rPr>
          <w:snapToGrid w:val="0"/>
          <w:sz w:val="22"/>
        </w:rPr>
        <w:t xml:space="preserve"> </w:t>
      </w:r>
      <w:r w:rsidRPr="00E27F63">
        <w:rPr>
          <w:noProof/>
          <w:snapToGrid w:val="0"/>
          <w:sz w:val="22"/>
        </w:rPr>
        <w:t>Vaistas gali jiems pakenkti (net tiems, kurių ligos požymiai yra tokie patys kaip Jūsų).</w:t>
      </w:r>
      <w:r w:rsidRPr="00E27F63">
        <w:rPr>
          <w:snapToGrid w:val="0"/>
          <w:color w:val="008000"/>
          <w:sz w:val="22"/>
        </w:rPr>
        <w:t xml:space="preserve"> </w:t>
      </w:r>
    </w:p>
    <w:p w:rsidR="0050408A" w:rsidRPr="00E27F63" w:rsidRDefault="0050408A" w:rsidP="0050408A">
      <w:pPr>
        <w:numPr>
          <w:ilvl w:val="0"/>
          <w:numId w:val="2"/>
        </w:numPr>
        <w:tabs>
          <w:tab w:val="left" w:pos="567"/>
        </w:tabs>
        <w:spacing w:line="260" w:lineRule="exact"/>
        <w:ind w:left="567" w:hanging="567"/>
        <w:rPr>
          <w:snapToGrid w:val="0"/>
          <w:sz w:val="22"/>
        </w:rPr>
      </w:pPr>
      <w:r w:rsidRPr="00E27F63">
        <w:rPr>
          <w:noProof/>
          <w:snapToGrid w:val="0"/>
          <w:sz w:val="22"/>
        </w:rPr>
        <w:t>Jeigu pasireiškė šalutinis poveikis (net jeigu jis šiame lapelyje nenurodytas), kreipkitės į gydytoją arba vaistininką. Žr. 4 skyrių.</w:t>
      </w:r>
    </w:p>
    <w:p w:rsidR="0050408A" w:rsidRPr="00E27F63" w:rsidRDefault="0050408A" w:rsidP="0050408A">
      <w:pPr>
        <w:pStyle w:val="BTEMEASMCA"/>
        <w:rPr>
          <w:lang w:val="lt-LT"/>
        </w:rPr>
      </w:pPr>
    </w:p>
    <w:p w:rsidR="0050408A" w:rsidRPr="00E27F63" w:rsidRDefault="0050408A" w:rsidP="0050408A">
      <w:pPr>
        <w:pStyle w:val="BTEMEASMCA"/>
        <w:rPr>
          <w:lang w:val="lt-LT"/>
        </w:rPr>
      </w:pPr>
    </w:p>
    <w:p w:rsidR="0050408A" w:rsidRPr="00E27F63" w:rsidRDefault="0050408A" w:rsidP="0050408A">
      <w:pPr>
        <w:pStyle w:val="BTbEMEASMCA"/>
        <w:rPr>
          <w:lang w:val="lt-LT"/>
        </w:rPr>
      </w:pPr>
      <w:r w:rsidRPr="00E27F63">
        <w:rPr>
          <w:lang w:val="lt-LT"/>
        </w:rPr>
        <w:t>Apie ką rašoma šiame lapelyje?</w:t>
      </w:r>
    </w:p>
    <w:p w:rsidR="0050408A" w:rsidRPr="00E27F63" w:rsidRDefault="0050408A" w:rsidP="0050408A">
      <w:pPr>
        <w:pStyle w:val="BTbEMEASMCA"/>
        <w:rPr>
          <w:lang w:val="lt-LT"/>
        </w:rPr>
      </w:pPr>
    </w:p>
    <w:p w:rsidR="0050408A" w:rsidRPr="00E27F63" w:rsidRDefault="0050408A" w:rsidP="0050408A">
      <w:pPr>
        <w:numPr>
          <w:ilvl w:val="1"/>
          <w:numId w:val="1"/>
        </w:numPr>
        <w:ind w:left="567" w:hanging="567"/>
        <w:rPr>
          <w:sz w:val="22"/>
          <w:szCs w:val="22"/>
        </w:rPr>
      </w:pPr>
      <w:r w:rsidRPr="00E27F63">
        <w:rPr>
          <w:sz w:val="22"/>
          <w:szCs w:val="22"/>
        </w:rPr>
        <w:t xml:space="preserve">Kas yra </w:t>
      </w:r>
      <w:proofErr w:type="spellStart"/>
      <w:r w:rsidRPr="00E27F63">
        <w:rPr>
          <w:sz w:val="22"/>
          <w:szCs w:val="22"/>
        </w:rPr>
        <w:t>Doloblok</w:t>
      </w:r>
      <w:proofErr w:type="spellEnd"/>
      <w:r w:rsidRPr="00E27F63">
        <w:rPr>
          <w:sz w:val="22"/>
          <w:szCs w:val="22"/>
        </w:rPr>
        <w:t xml:space="preserve"> ir kam jis vartojamas</w:t>
      </w:r>
    </w:p>
    <w:p w:rsidR="0050408A" w:rsidRPr="00E27F63" w:rsidRDefault="0050408A" w:rsidP="0050408A">
      <w:pPr>
        <w:numPr>
          <w:ilvl w:val="1"/>
          <w:numId w:val="1"/>
        </w:numPr>
        <w:ind w:left="567" w:hanging="567"/>
        <w:rPr>
          <w:sz w:val="22"/>
          <w:szCs w:val="22"/>
        </w:rPr>
      </w:pPr>
      <w:r w:rsidRPr="00E27F63">
        <w:rPr>
          <w:sz w:val="22"/>
          <w:szCs w:val="22"/>
        </w:rPr>
        <w:t xml:space="preserve">Kas žinotina prieš vartojant </w:t>
      </w:r>
      <w:proofErr w:type="spellStart"/>
      <w:r w:rsidRPr="00E27F63">
        <w:rPr>
          <w:sz w:val="22"/>
          <w:szCs w:val="22"/>
        </w:rPr>
        <w:t>Doloblok</w:t>
      </w:r>
      <w:proofErr w:type="spellEnd"/>
    </w:p>
    <w:p w:rsidR="0050408A" w:rsidRPr="00E27F63" w:rsidRDefault="0050408A" w:rsidP="0050408A">
      <w:pPr>
        <w:numPr>
          <w:ilvl w:val="1"/>
          <w:numId w:val="1"/>
        </w:numPr>
        <w:ind w:left="567" w:hanging="567"/>
        <w:rPr>
          <w:sz w:val="22"/>
          <w:szCs w:val="22"/>
        </w:rPr>
      </w:pPr>
      <w:r w:rsidRPr="00E27F63">
        <w:rPr>
          <w:sz w:val="22"/>
          <w:szCs w:val="22"/>
        </w:rPr>
        <w:t xml:space="preserve">Kaip vartoti </w:t>
      </w:r>
      <w:bookmarkStart w:id="2" w:name="OLE_LINK2"/>
      <w:bookmarkStart w:id="3" w:name="OLE_LINK1"/>
      <w:proofErr w:type="spellStart"/>
      <w:r w:rsidRPr="00E27F63">
        <w:rPr>
          <w:sz w:val="22"/>
          <w:szCs w:val="22"/>
        </w:rPr>
        <w:t>Doloblok</w:t>
      </w:r>
      <w:bookmarkEnd w:id="2"/>
      <w:bookmarkEnd w:id="3"/>
      <w:proofErr w:type="spellEnd"/>
    </w:p>
    <w:p w:rsidR="0050408A" w:rsidRPr="00E27F63" w:rsidRDefault="0050408A" w:rsidP="0050408A">
      <w:pPr>
        <w:numPr>
          <w:ilvl w:val="1"/>
          <w:numId w:val="1"/>
        </w:numPr>
        <w:ind w:left="567" w:hanging="567"/>
        <w:rPr>
          <w:sz w:val="22"/>
          <w:szCs w:val="22"/>
        </w:rPr>
      </w:pPr>
      <w:r w:rsidRPr="00E27F63">
        <w:rPr>
          <w:sz w:val="22"/>
          <w:szCs w:val="22"/>
        </w:rPr>
        <w:t>Galimas šalutinis poveikis</w:t>
      </w:r>
    </w:p>
    <w:p w:rsidR="0050408A" w:rsidRPr="00E27F63" w:rsidRDefault="0050408A" w:rsidP="0050408A">
      <w:pPr>
        <w:numPr>
          <w:ilvl w:val="1"/>
          <w:numId w:val="1"/>
        </w:numPr>
        <w:ind w:left="567" w:hanging="567"/>
        <w:rPr>
          <w:sz w:val="22"/>
          <w:szCs w:val="22"/>
        </w:rPr>
      </w:pPr>
      <w:r w:rsidRPr="00E27F63">
        <w:rPr>
          <w:sz w:val="22"/>
          <w:szCs w:val="22"/>
        </w:rPr>
        <w:t xml:space="preserve">Kaip laikyti </w:t>
      </w:r>
      <w:proofErr w:type="spellStart"/>
      <w:r w:rsidRPr="00E27F63">
        <w:rPr>
          <w:sz w:val="22"/>
          <w:szCs w:val="22"/>
        </w:rPr>
        <w:t>Doloblok</w:t>
      </w:r>
      <w:proofErr w:type="spellEnd"/>
    </w:p>
    <w:p w:rsidR="0050408A" w:rsidRPr="00E27F63" w:rsidRDefault="0050408A" w:rsidP="0050408A">
      <w:pPr>
        <w:numPr>
          <w:ilvl w:val="1"/>
          <w:numId w:val="1"/>
        </w:numPr>
        <w:ind w:left="567" w:hanging="567"/>
        <w:rPr>
          <w:sz w:val="22"/>
          <w:szCs w:val="22"/>
        </w:rPr>
      </w:pPr>
      <w:r w:rsidRPr="00E27F63">
        <w:rPr>
          <w:sz w:val="22"/>
          <w:szCs w:val="22"/>
        </w:rPr>
        <w:t>Pakuotės turinys ir kita informacija</w:t>
      </w:r>
    </w:p>
    <w:p w:rsidR="0050408A" w:rsidRPr="00E27F63" w:rsidRDefault="0050408A" w:rsidP="0050408A">
      <w:pPr>
        <w:pStyle w:val="BTEMEASMCA"/>
        <w:rPr>
          <w:lang w:val="lt-LT"/>
        </w:rPr>
      </w:pPr>
    </w:p>
    <w:p w:rsidR="0050408A" w:rsidRPr="00E27F63" w:rsidRDefault="0050408A" w:rsidP="0050408A">
      <w:pPr>
        <w:pStyle w:val="BTEMEASMCA"/>
        <w:rPr>
          <w:lang w:val="lt-LT"/>
        </w:rPr>
      </w:pPr>
    </w:p>
    <w:p w:rsidR="0050408A" w:rsidRPr="00E27F63" w:rsidRDefault="0050408A" w:rsidP="0050408A">
      <w:pPr>
        <w:pStyle w:val="PI-1EMEASMCA"/>
        <w:rPr>
          <w:lang w:val="lt-LT"/>
        </w:rPr>
      </w:pPr>
      <w:bookmarkStart w:id="4" w:name="_Toc129243264"/>
      <w:bookmarkStart w:id="5" w:name="_Toc129243139"/>
      <w:r w:rsidRPr="00E27F63">
        <w:rPr>
          <w:lang w:val="lt-LT"/>
        </w:rPr>
        <w:t>1.</w:t>
      </w:r>
      <w:r w:rsidRPr="00E27F63">
        <w:rPr>
          <w:lang w:val="lt-LT"/>
        </w:rPr>
        <w:tab/>
        <w:t xml:space="preserve">Kas yra </w:t>
      </w:r>
      <w:proofErr w:type="spellStart"/>
      <w:r w:rsidRPr="00E27F63">
        <w:rPr>
          <w:lang w:val="lt-LT"/>
        </w:rPr>
        <w:t>Doloblok</w:t>
      </w:r>
      <w:proofErr w:type="spellEnd"/>
      <w:r w:rsidRPr="00E27F63">
        <w:rPr>
          <w:lang w:val="lt-LT"/>
        </w:rPr>
        <w:t xml:space="preserve"> ir kam jis vartojamas</w:t>
      </w:r>
      <w:bookmarkEnd w:id="4"/>
      <w:bookmarkEnd w:id="5"/>
    </w:p>
    <w:p w:rsidR="0050408A" w:rsidRPr="00E27F63" w:rsidRDefault="0050408A" w:rsidP="0050408A">
      <w:pPr>
        <w:pStyle w:val="BTEMEASMCA"/>
        <w:rPr>
          <w:lang w:val="lt-LT"/>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Petidinas</w:t>
      </w:r>
      <w:proofErr w:type="spellEnd"/>
      <w:r w:rsidRPr="00E27F63">
        <w:rPr>
          <w:spacing w:val="-3"/>
          <w:sz w:val="22"/>
          <w:szCs w:val="22"/>
        </w:rPr>
        <w:t xml:space="preserve"> yra sintetinis, labai stipriu skausmą malšinančiu poveikiu pasižymintis vaistas.</w:t>
      </w:r>
    </w:p>
    <w:p w:rsidR="0050408A" w:rsidRPr="00E27F63" w:rsidRDefault="0050408A" w:rsidP="0050408A">
      <w:pPr>
        <w:rPr>
          <w:sz w:val="22"/>
          <w:szCs w:val="22"/>
        </w:rPr>
      </w:pPr>
      <w:proofErr w:type="spellStart"/>
      <w:r w:rsidRPr="00E27F63">
        <w:rPr>
          <w:spacing w:val="-3"/>
          <w:sz w:val="22"/>
          <w:szCs w:val="22"/>
        </w:rPr>
        <w:t>Petidino</w:t>
      </w:r>
      <w:proofErr w:type="spellEnd"/>
      <w:r w:rsidRPr="00E27F63">
        <w:rPr>
          <w:spacing w:val="-3"/>
          <w:sz w:val="22"/>
          <w:szCs w:val="22"/>
        </w:rPr>
        <w:t xml:space="preserve"> vartojama</w:t>
      </w:r>
      <w:r w:rsidRPr="00E27F63">
        <w:rPr>
          <w:sz w:val="22"/>
          <w:szCs w:val="22"/>
        </w:rPr>
        <w:t xml:space="preserve"> ūminam stipriam skausmui po sunkių sužeidimų, operacijų, taip pat sukeltam navikinių ligų, malšinti. Jis slopina dusulį, sergant širdies nepakankamumu, plaučių edema, plaučių vėžiu, taip pat kitomis sunkiomis dusulį sukeliančiomis plaučių ligomis. Vaistas tinka virškinimo trakto lygiųjų raumenų spazmo ir inkstų </w:t>
      </w:r>
      <w:proofErr w:type="spellStart"/>
      <w:r w:rsidRPr="00E27F63">
        <w:rPr>
          <w:sz w:val="22"/>
          <w:szCs w:val="22"/>
        </w:rPr>
        <w:t>kolikos</w:t>
      </w:r>
      <w:proofErr w:type="spellEnd"/>
      <w:r w:rsidRPr="00E27F63">
        <w:rPr>
          <w:sz w:val="22"/>
          <w:szCs w:val="22"/>
        </w:rPr>
        <w:t xml:space="preserve"> sukelto stipraus skausmo malšinimui.</w:t>
      </w:r>
    </w:p>
    <w:p w:rsidR="0050408A" w:rsidRPr="00E27F63" w:rsidRDefault="0050408A" w:rsidP="0050408A">
      <w:pPr>
        <w:rPr>
          <w:sz w:val="22"/>
          <w:szCs w:val="22"/>
        </w:rPr>
      </w:pPr>
      <w:r w:rsidRPr="00E27F63">
        <w:rPr>
          <w:sz w:val="22"/>
          <w:szCs w:val="22"/>
        </w:rPr>
        <w:t xml:space="preserve">Be to, </w:t>
      </w:r>
      <w:proofErr w:type="spellStart"/>
      <w:r w:rsidRPr="00E27F63">
        <w:rPr>
          <w:sz w:val="22"/>
          <w:szCs w:val="22"/>
        </w:rPr>
        <w:t>petidino</w:t>
      </w:r>
      <w:proofErr w:type="spellEnd"/>
      <w:r w:rsidRPr="00E27F63">
        <w:rPr>
          <w:sz w:val="22"/>
          <w:szCs w:val="22"/>
        </w:rPr>
        <w:t xml:space="preserve"> vartojama paciento paruošimui prieš anesteziją.</w:t>
      </w:r>
    </w:p>
    <w:p w:rsidR="0050408A" w:rsidRPr="00E27F63" w:rsidRDefault="0050408A" w:rsidP="0050408A">
      <w:pPr>
        <w:rPr>
          <w:sz w:val="22"/>
          <w:szCs w:val="22"/>
        </w:rPr>
      </w:pPr>
    </w:p>
    <w:p w:rsidR="0050408A" w:rsidRPr="00E27F63" w:rsidRDefault="0050408A" w:rsidP="0050408A">
      <w:pPr>
        <w:rPr>
          <w:sz w:val="22"/>
          <w:szCs w:val="22"/>
        </w:rPr>
      </w:pPr>
    </w:p>
    <w:p w:rsidR="0050408A" w:rsidRPr="00E27F63" w:rsidRDefault="0050408A" w:rsidP="0050408A">
      <w:pPr>
        <w:pStyle w:val="PI-1EMEASMCA"/>
        <w:rPr>
          <w:lang w:val="lt-LT"/>
        </w:rPr>
      </w:pPr>
      <w:bookmarkStart w:id="6" w:name="_Toc129243265"/>
      <w:bookmarkStart w:id="7" w:name="_Toc129243140"/>
      <w:r w:rsidRPr="00E27F63">
        <w:rPr>
          <w:lang w:val="lt-LT"/>
        </w:rPr>
        <w:t>2.</w:t>
      </w:r>
      <w:r w:rsidRPr="00E27F63">
        <w:rPr>
          <w:lang w:val="lt-LT"/>
        </w:rPr>
        <w:tab/>
        <w:t xml:space="preserve">Kas žinotina prieš vartojant </w:t>
      </w:r>
      <w:proofErr w:type="spellStart"/>
      <w:r w:rsidRPr="00E27F63">
        <w:rPr>
          <w:lang w:val="lt-LT"/>
        </w:rPr>
        <w:t>Doloblok</w:t>
      </w:r>
      <w:bookmarkEnd w:id="6"/>
      <w:bookmarkEnd w:id="7"/>
      <w:proofErr w:type="spellEnd"/>
    </w:p>
    <w:p w:rsidR="0050408A" w:rsidRPr="00E27F63" w:rsidRDefault="0050408A" w:rsidP="0050408A">
      <w:pPr>
        <w:pStyle w:val="PI-1EMEASMCA"/>
        <w:rPr>
          <w:lang w:val="lt-LT"/>
        </w:rPr>
      </w:pPr>
    </w:p>
    <w:p w:rsidR="0050408A" w:rsidRPr="00E27F63" w:rsidRDefault="0050408A" w:rsidP="0050408A">
      <w:pPr>
        <w:pStyle w:val="PI-3EMEASMCA"/>
        <w:spacing w:line="240" w:lineRule="auto"/>
      </w:pPr>
      <w:proofErr w:type="spellStart"/>
      <w:r w:rsidRPr="00E27F63">
        <w:rPr>
          <w:bCs w:val="0"/>
          <w:iCs/>
        </w:rPr>
        <w:t>Doloblok</w:t>
      </w:r>
      <w:proofErr w:type="spellEnd"/>
      <w:r w:rsidRPr="00E27F63">
        <w:t xml:space="preserve"> vartoti negalima, jei:</w:t>
      </w:r>
    </w:p>
    <w:p w:rsidR="0050408A" w:rsidRPr="00E27F63" w:rsidRDefault="0050408A" w:rsidP="0050408A">
      <w:pPr>
        <w:numPr>
          <w:ilvl w:val="0"/>
          <w:numId w:val="3"/>
        </w:numPr>
        <w:ind w:left="567" w:hanging="567"/>
        <w:rPr>
          <w:sz w:val="22"/>
          <w:szCs w:val="22"/>
        </w:rPr>
      </w:pPr>
      <w:r w:rsidRPr="00E27F63">
        <w:rPr>
          <w:sz w:val="22"/>
          <w:szCs w:val="22"/>
        </w:rPr>
        <w:t xml:space="preserve">yra alergija </w:t>
      </w:r>
      <w:proofErr w:type="spellStart"/>
      <w:r w:rsidRPr="00E27F63">
        <w:rPr>
          <w:sz w:val="22"/>
          <w:szCs w:val="22"/>
        </w:rPr>
        <w:t>petidino</w:t>
      </w:r>
      <w:proofErr w:type="spellEnd"/>
      <w:r w:rsidRPr="00E27F63">
        <w:rPr>
          <w:sz w:val="22"/>
          <w:szCs w:val="22"/>
        </w:rPr>
        <w:t xml:space="preserve"> hidrochloridui arba bet kuriai pagalbinei šio vaisto medžiagai (jos išvardytos 6 skyriuje);</w:t>
      </w:r>
    </w:p>
    <w:p w:rsidR="0050408A" w:rsidRPr="00E27F63" w:rsidRDefault="0050408A" w:rsidP="0050408A">
      <w:pPr>
        <w:numPr>
          <w:ilvl w:val="0"/>
          <w:numId w:val="3"/>
        </w:numPr>
        <w:ind w:left="567" w:hanging="567"/>
        <w:rPr>
          <w:sz w:val="22"/>
          <w:szCs w:val="22"/>
        </w:rPr>
      </w:pPr>
      <w:r w:rsidRPr="00E27F63">
        <w:rPr>
          <w:sz w:val="22"/>
          <w:szCs w:val="22"/>
        </w:rPr>
        <w:t>yra kvėpavimo nepakankamumas (bronchų astma, lėtinė obstrukcinė plaučių liga, bronchų sekreto kaupimasis);</w:t>
      </w:r>
    </w:p>
    <w:p w:rsidR="0050408A" w:rsidRPr="00E27F63" w:rsidRDefault="0050408A" w:rsidP="0050408A">
      <w:pPr>
        <w:numPr>
          <w:ilvl w:val="0"/>
          <w:numId w:val="3"/>
        </w:numPr>
        <w:ind w:left="567" w:hanging="567"/>
        <w:rPr>
          <w:sz w:val="22"/>
          <w:szCs w:val="22"/>
        </w:rPr>
      </w:pPr>
      <w:r w:rsidRPr="00E27F63">
        <w:rPr>
          <w:sz w:val="22"/>
          <w:szCs w:val="22"/>
        </w:rPr>
        <w:t>yra galvos trauma;</w:t>
      </w:r>
    </w:p>
    <w:p w:rsidR="0050408A" w:rsidRPr="00E27F63" w:rsidRDefault="0050408A" w:rsidP="0050408A">
      <w:pPr>
        <w:numPr>
          <w:ilvl w:val="0"/>
          <w:numId w:val="3"/>
        </w:numPr>
        <w:ind w:left="567" w:hanging="567"/>
        <w:rPr>
          <w:sz w:val="22"/>
          <w:szCs w:val="22"/>
        </w:rPr>
      </w:pPr>
      <w:r w:rsidRPr="00E27F63">
        <w:rPr>
          <w:sz w:val="22"/>
          <w:szCs w:val="22"/>
        </w:rPr>
        <w:t xml:space="preserve">yra </w:t>
      </w:r>
      <w:proofErr w:type="spellStart"/>
      <w:r w:rsidRPr="00E27F63">
        <w:rPr>
          <w:sz w:val="22"/>
          <w:szCs w:val="22"/>
        </w:rPr>
        <w:t>feochromocitoma</w:t>
      </w:r>
      <w:proofErr w:type="spellEnd"/>
      <w:r w:rsidRPr="00E27F63">
        <w:rPr>
          <w:sz w:val="22"/>
          <w:szCs w:val="22"/>
        </w:rPr>
        <w:t>,</w:t>
      </w:r>
    </w:p>
    <w:p w:rsidR="0050408A" w:rsidRPr="00E27F63" w:rsidRDefault="0050408A" w:rsidP="0050408A">
      <w:pPr>
        <w:numPr>
          <w:ilvl w:val="0"/>
          <w:numId w:val="3"/>
        </w:numPr>
        <w:ind w:left="567" w:hanging="567"/>
        <w:rPr>
          <w:sz w:val="22"/>
          <w:szCs w:val="22"/>
        </w:rPr>
      </w:pPr>
      <w:r w:rsidRPr="00E27F63">
        <w:rPr>
          <w:sz w:val="22"/>
          <w:szCs w:val="22"/>
        </w:rPr>
        <w:t xml:space="preserve">yra kepenų liga, </w:t>
      </w:r>
      <w:proofErr w:type="spellStart"/>
      <w:r w:rsidRPr="00E27F63">
        <w:rPr>
          <w:sz w:val="22"/>
          <w:szCs w:val="22"/>
        </w:rPr>
        <w:t>porfirija</w:t>
      </w:r>
      <w:proofErr w:type="spellEnd"/>
      <w:r w:rsidRPr="00E27F63">
        <w:rPr>
          <w:sz w:val="22"/>
          <w:szCs w:val="22"/>
        </w:rPr>
        <w:t xml:space="preserve">, skydliaukės veikos susilpnėjimas, </w:t>
      </w:r>
      <w:proofErr w:type="spellStart"/>
      <w:r w:rsidRPr="00E27F63">
        <w:rPr>
          <w:sz w:val="22"/>
          <w:szCs w:val="22"/>
        </w:rPr>
        <w:t>Adisono</w:t>
      </w:r>
      <w:proofErr w:type="spellEnd"/>
      <w:r w:rsidRPr="00E27F63">
        <w:rPr>
          <w:sz w:val="22"/>
          <w:szCs w:val="22"/>
        </w:rPr>
        <w:t xml:space="preserve"> liga;</w:t>
      </w:r>
    </w:p>
    <w:p w:rsidR="0050408A" w:rsidRPr="00E27F63" w:rsidRDefault="0050408A" w:rsidP="0050408A">
      <w:pPr>
        <w:numPr>
          <w:ilvl w:val="0"/>
          <w:numId w:val="3"/>
        </w:numPr>
        <w:ind w:left="567" w:hanging="567"/>
        <w:rPr>
          <w:sz w:val="22"/>
          <w:szCs w:val="22"/>
        </w:rPr>
      </w:pPr>
      <w:r w:rsidRPr="00E27F63">
        <w:rPr>
          <w:sz w:val="22"/>
          <w:szCs w:val="22"/>
        </w:rPr>
        <w:t>vartojama tam tikrų antidepresantų (MAO inhibitorių);</w:t>
      </w:r>
    </w:p>
    <w:p w:rsidR="0050408A" w:rsidRPr="00E27F63" w:rsidRDefault="0050408A" w:rsidP="0050408A">
      <w:pPr>
        <w:numPr>
          <w:ilvl w:val="0"/>
          <w:numId w:val="3"/>
        </w:numPr>
        <w:ind w:left="567" w:hanging="567"/>
        <w:rPr>
          <w:sz w:val="22"/>
          <w:szCs w:val="22"/>
        </w:rPr>
      </w:pPr>
      <w:r w:rsidRPr="00E27F63">
        <w:rPr>
          <w:sz w:val="22"/>
          <w:szCs w:val="22"/>
        </w:rPr>
        <w:t>jei yra traukuliais pasireiškianti būklė (</w:t>
      </w:r>
      <w:proofErr w:type="spellStart"/>
      <w:r w:rsidRPr="00E27F63">
        <w:rPr>
          <w:sz w:val="22"/>
          <w:szCs w:val="22"/>
        </w:rPr>
        <w:t>epilepsinė</w:t>
      </w:r>
      <w:proofErr w:type="spellEnd"/>
      <w:r w:rsidRPr="00E27F63">
        <w:rPr>
          <w:sz w:val="22"/>
          <w:szCs w:val="22"/>
        </w:rPr>
        <w:t xml:space="preserve"> būklė, </w:t>
      </w:r>
      <w:proofErr w:type="spellStart"/>
      <w:r w:rsidRPr="00E27F63">
        <w:rPr>
          <w:sz w:val="22"/>
          <w:szCs w:val="22"/>
        </w:rPr>
        <w:t>tetanija</w:t>
      </w:r>
      <w:proofErr w:type="spellEnd"/>
      <w:r w:rsidRPr="00E27F63">
        <w:rPr>
          <w:sz w:val="22"/>
          <w:szCs w:val="22"/>
        </w:rPr>
        <w:t>);</w:t>
      </w:r>
    </w:p>
    <w:p w:rsidR="0050408A" w:rsidRPr="00E27F63" w:rsidRDefault="0050408A" w:rsidP="0050408A">
      <w:pPr>
        <w:numPr>
          <w:ilvl w:val="0"/>
          <w:numId w:val="3"/>
        </w:numPr>
        <w:ind w:left="567" w:hanging="567"/>
        <w:rPr>
          <w:sz w:val="22"/>
          <w:szCs w:val="22"/>
        </w:rPr>
      </w:pPr>
      <w:r w:rsidRPr="00E27F63">
        <w:rPr>
          <w:sz w:val="22"/>
          <w:szCs w:val="22"/>
        </w:rPr>
        <w:t>yra ūminis pasinuodijimas alkoholiu arba baltoji karštinė;</w:t>
      </w:r>
    </w:p>
    <w:p w:rsidR="0050408A" w:rsidRPr="00E27F63" w:rsidRDefault="0050408A" w:rsidP="0050408A">
      <w:pPr>
        <w:numPr>
          <w:ilvl w:val="0"/>
          <w:numId w:val="3"/>
        </w:numPr>
        <w:ind w:left="567" w:hanging="567"/>
        <w:rPr>
          <w:sz w:val="22"/>
          <w:szCs w:val="22"/>
        </w:rPr>
      </w:pPr>
      <w:r w:rsidRPr="00E27F63">
        <w:rPr>
          <w:sz w:val="22"/>
          <w:szCs w:val="22"/>
        </w:rPr>
        <w:t xml:space="preserve">yra diabetinė </w:t>
      </w:r>
      <w:proofErr w:type="spellStart"/>
      <w:r w:rsidRPr="00E27F63">
        <w:rPr>
          <w:sz w:val="22"/>
          <w:szCs w:val="22"/>
        </w:rPr>
        <w:t>acidozė</w:t>
      </w:r>
      <w:proofErr w:type="spellEnd"/>
      <w:r w:rsidRPr="00E27F63">
        <w:rPr>
          <w:sz w:val="22"/>
          <w:szCs w:val="22"/>
        </w:rPr>
        <w:t xml:space="preserve"> su gresiančia koma;</w:t>
      </w:r>
    </w:p>
    <w:p w:rsidR="0050408A" w:rsidRPr="00E27F63" w:rsidRDefault="0050408A" w:rsidP="0050408A">
      <w:pPr>
        <w:numPr>
          <w:ilvl w:val="0"/>
          <w:numId w:val="3"/>
        </w:numPr>
        <w:ind w:left="567" w:hanging="567"/>
        <w:rPr>
          <w:sz w:val="22"/>
          <w:szCs w:val="22"/>
        </w:rPr>
      </w:pPr>
      <w:r w:rsidRPr="00E27F63">
        <w:rPr>
          <w:sz w:val="22"/>
          <w:szCs w:val="22"/>
        </w:rPr>
        <w:t>yra širdies ritmo sutrikimų ir ūminis miokardo infarktas;</w:t>
      </w:r>
    </w:p>
    <w:p w:rsidR="0050408A" w:rsidRPr="00E27F63" w:rsidRDefault="0050408A" w:rsidP="0050408A">
      <w:pPr>
        <w:numPr>
          <w:ilvl w:val="0"/>
          <w:numId w:val="3"/>
        </w:numPr>
        <w:ind w:left="567" w:hanging="567"/>
        <w:rPr>
          <w:sz w:val="22"/>
          <w:szCs w:val="22"/>
        </w:rPr>
      </w:pPr>
      <w:r w:rsidRPr="00E27F63">
        <w:rPr>
          <w:sz w:val="22"/>
          <w:szCs w:val="22"/>
        </w:rPr>
        <w:t>yra apsinuodijimas spazmus sukeliančiais nuodais ar lokalaus poveikio anestetikais.</w:t>
      </w:r>
    </w:p>
    <w:p w:rsidR="0050408A" w:rsidRPr="00E27F63" w:rsidRDefault="0050408A" w:rsidP="0050408A">
      <w:pPr>
        <w:pStyle w:val="BTEMEASMCA"/>
        <w:rPr>
          <w:lang w:val="lt-LT"/>
        </w:rPr>
      </w:pPr>
    </w:p>
    <w:p w:rsidR="0050408A" w:rsidRPr="00E27F63" w:rsidRDefault="0050408A" w:rsidP="0050408A">
      <w:pPr>
        <w:pStyle w:val="PI-3EMEASMCA"/>
        <w:spacing w:line="240" w:lineRule="auto"/>
      </w:pPr>
      <w:r w:rsidRPr="00E27F63">
        <w:t>Įspėjimai ir atsargumo priemonės</w:t>
      </w:r>
    </w:p>
    <w:p w:rsidR="0050408A" w:rsidRPr="00E27F63" w:rsidRDefault="0050408A" w:rsidP="0050408A">
      <w:pPr>
        <w:numPr>
          <w:ilvl w:val="12"/>
          <w:numId w:val="0"/>
        </w:numPr>
        <w:ind w:right="-2"/>
        <w:rPr>
          <w:snapToGrid w:val="0"/>
          <w:sz w:val="22"/>
        </w:rPr>
      </w:pPr>
      <w:r w:rsidRPr="00E27F63">
        <w:rPr>
          <w:noProof/>
          <w:snapToGrid w:val="0"/>
          <w:sz w:val="22"/>
        </w:rPr>
        <w:t>Pasitarkite su gydytoju arba vaistininku, prieš pradėdami vartoti Doloblok, jei esate:</w:t>
      </w:r>
    </w:p>
    <w:p w:rsidR="0050408A" w:rsidRPr="00E27F63" w:rsidRDefault="0050408A" w:rsidP="0050408A">
      <w:pPr>
        <w:numPr>
          <w:ilvl w:val="0"/>
          <w:numId w:val="3"/>
        </w:numPr>
        <w:ind w:left="567" w:hanging="567"/>
        <w:rPr>
          <w:sz w:val="22"/>
          <w:szCs w:val="22"/>
        </w:rPr>
      </w:pPr>
      <w:r w:rsidRPr="00E27F63">
        <w:rPr>
          <w:sz w:val="22"/>
          <w:szCs w:val="22"/>
        </w:rPr>
        <w:t>vyresnis kaip 70 metų pacientas, vartojantis kartotines vaisto dozes. Tokiems pacientams rekomenduojama vartoti pusę suaugusiems žmonėms skirtos dozės.</w:t>
      </w:r>
    </w:p>
    <w:p w:rsidR="0050408A" w:rsidRPr="00E27F63" w:rsidRDefault="0050408A" w:rsidP="0050408A">
      <w:pPr>
        <w:numPr>
          <w:ilvl w:val="0"/>
          <w:numId w:val="3"/>
        </w:numPr>
        <w:ind w:left="567" w:hanging="567"/>
        <w:rPr>
          <w:sz w:val="22"/>
          <w:szCs w:val="22"/>
        </w:rPr>
      </w:pPr>
      <w:r w:rsidRPr="00E27F63">
        <w:rPr>
          <w:sz w:val="22"/>
          <w:szCs w:val="22"/>
        </w:rPr>
        <w:lastRenderedPageBreak/>
        <w:t xml:space="preserve">pacientas, sergantis kepenų ciroze, vartojantis kartotines vaisto dozes. Intervalas tarp vaisto dozių švirkštimo turi būti dvigubai ilgesnis arba reikia vartoti </w:t>
      </w:r>
      <w:r w:rsidRPr="00E27F63">
        <w:rPr>
          <w:spacing w:val="-3"/>
          <w:sz w:val="22"/>
          <w:szCs w:val="22"/>
        </w:rPr>
        <w:t>50-70 %</w:t>
      </w:r>
      <w:r w:rsidRPr="00E27F63">
        <w:rPr>
          <w:sz w:val="22"/>
          <w:szCs w:val="22"/>
        </w:rPr>
        <w:t xml:space="preserve"> mažesnę dozę;</w:t>
      </w:r>
    </w:p>
    <w:p w:rsidR="0050408A" w:rsidRPr="00E27F63" w:rsidRDefault="0050408A" w:rsidP="0050408A">
      <w:pPr>
        <w:numPr>
          <w:ilvl w:val="0"/>
          <w:numId w:val="3"/>
        </w:numPr>
        <w:ind w:left="567" w:hanging="567"/>
        <w:rPr>
          <w:sz w:val="22"/>
          <w:szCs w:val="22"/>
        </w:rPr>
      </w:pPr>
      <w:r w:rsidRPr="00E27F63">
        <w:rPr>
          <w:sz w:val="22"/>
          <w:szCs w:val="22"/>
        </w:rPr>
        <w:t>pacientas, kurio inkstų funkcija sutrikusi (yra didesnis susijaudinimo ir dieglių pavojus).</w:t>
      </w:r>
    </w:p>
    <w:p w:rsidR="0050408A" w:rsidRPr="00E27F63" w:rsidRDefault="0050408A" w:rsidP="0050408A">
      <w:pPr>
        <w:pStyle w:val="BTEMEASMCA"/>
        <w:rPr>
          <w:lang w:val="lt-LT"/>
        </w:rPr>
      </w:pPr>
    </w:p>
    <w:p w:rsidR="0050408A" w:rsidRPr="00E27F63" w:rsidRDefault="0050408A" w:rsidP="0050408A">
      <w:pPr>
        <w:keepNext/>
        <w:tabs>
          <w:tab w:val="left" w:pos="567"/>
        </w:tabs>
        <w:spacing w:line="260" w:lineRule="exact"/>
        <w:jc w:val="both"/>
        <w:outlineLvl w:val="3"/>
        <w:rPr>
          <w:b/>
          <w:bCs/>
          <w:snapToGrid w:val="0"/>
          <w:sz w:val="22"/>
          <w:szCs w:val="28"/>
          <w:lang w:eastAsia="x-none"/>
        </w:rPr>
      </w:pPr>
      <w:r w:rsidRPr="00E27F63">
        <w:rPr>
          <w:b/>
          <w:bCs/>
          <w:snapToGrid w:val="0"/>
          <w:sz w:val="22"/>
          <w:szCs w:val="28"/>
          <w:lang w:eastAsia="x-none"/>
        </w:rPr>
        <w:t xml:space="preserve">Kiti vaistai ir </w:t>
      </w:r>
      <w:proofErr w:type="spellStart"/>
      <w:r w:rsidRPr="00E27F63">
        <w:rPr>
          <w:b/>
          <w:bCs/>
          <w:snapToGrid w:val="0"/>
          <w:sz w:val="22"/>
          <w:szCs w:val="28"/>
          <w:lang w:eastAsia="x-none"/>
        </w:rPr>
        <w:t>Doloblok</w:t>
      </w:r>
      <w:proofErr w:type="spellEnd"/>
    </w:p>
    <w:p w:rsidR="0050408A" w:rsidRPr="00E27F63" w:rsidRDefault="0050408A" w:rsidP="0050408A">
      <w:pPr>
        <w:numPr>
          <w:ilvl w:val="12"/>
          <w:numId w:val="0"/>
        </w:numPr>
        <w:ind w:right="-2"/>
        <w:rPr>
          <w:snapToGrid w:val="0"/>
          <w:sz w:val="22"/>
        </w:rPr>
      </w:pPr>
      <w:r w:rsidRPr="00E27F63">
        <w:rPr>
          <w:noProof/>
          <w:snapToGrid w:val="0"/>
          <w:sz w:val="22"/>
        </w:rPr>
        <w:t>Jeigu vartojate ar neseniai vartojote kitų vaistų arba dėl to nesate tikri, apie tai pasakykite gydytojui arba vaistininkui.</w:t>
      </w:r>
    </w:p>
    <w:p w:rsidR="0050408A" w:rsidRPr="00E27F63" w:rsidRDefault="0050408A" w:rsidP="0050408A">
      <w:pPr>
        <w:rPr>
          <w:sz w:val="22"/>
          <w:szCs w:val="22"/>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Ypač svarbu pasakyti gydytojui, jei vartojate:</w:t>
      </w:r>
    </w:p>
    <w:p w:rsidR="0050408A" w:rsidRPr="00E27F63" w:rsidRDefault="0050408A" w:rsidP="0050408A">
      <w:pPr>
        <w:numPr>
          <w:ilvl w:val="0"/>
          <w:numId w:val="3"/>
        </w:numPr>
        <w:ind w:left="567" w:hanging="567"/>
        <w:rPr>
          <w:sz w:val="22"/>
          <w:szCs w:val="22"/>
        </w:rPr>
      </w:pPr>
      <w:r w:rsidRPr="00E27F63">
        <w:rPr>
          <w:sz w:val="22"/>
          <w:szCs w:val="22"/>
        </w:rPr>
        <w:t>alkoholio;</w:t>
      </w:r>
    </w:p>
    <w:p w:rsidR="0050408A" w:rsidRPr="00E27F63" w:rsidRDefault="0050408A" w:rsidP="0050408A">
      <w:pPr>
        <w:numPr>
          <w:ilvl w:val="0"/>
          <w:numId w:val="3"/>
        </w:numPr>
        <w:ind w:left="567" w:hanging="567"/>
        <w:rPr>
          <w:sz w:val="22"/>
          <w:szCs w:val="22"/>
        </w:rPr>
      </w:pPr>
      <w:r w:rsidRPr="00E27F63">
        <w:rPr>
          <w:sz w:val="22"/>
          <w:szCs w:val="22"/>
        </w:rPr>
        <w:t>barbitūratų;</w:t>
      </w:r>
    </w:p>
    <w:p w:rsidR="0050408A" w:rsidRPr="00E27F63" w:rsidRDefault="0050408A" w:rsidP="0050408A">
      <w:pPr>
        <w:numPr>
          <w:ilvl w:val="0"/>
          <w:numId w:val="3"/>
        </w:numPr>
        <w:ind w:left="567" w:hanging="567"/>
        <w:rPr>
          <w:sz w:val="22"/>
          <w:szCs w:val="22"/>
        </w:rPr>
      </w:pPr>
      <w:proofErr w:type="spellStart"/>
      <w:r w:rsidRPr="00E27F63">
        <w:rPr>
          <w:sz w:val="22"/>
          <w:szCs w:val="22"/>
        </w:rPr>
        <w:t>neuroleptikų</w:t>
      </w:r>
      <w:proofErr w:type="spellEnd"/>
      <w:r w:rsidRPr="00E27F63">
        <w:rPr>
          <w:sz w:val="22"/>
          <w:szCs w:val="22"/>
        </w:rPr>
        <w:t>;</w:t>
      </w:r>
    </w:p>
    <w:p w:rsidR="0050408A" w:rsidRPr="00E27F63" w:rsidRDefault="0050408A" w:rsidP="0050408A">
      <w:pPr>
        <w:numPr>
          <w:ilvl w:val="0"/>
          <w:numId w:val="3"/>
        </w:numPr>
        <w:ind w:left="567" w:hanging="567"/>
        <w:rPr>
          <w:sz w:val="22"/>
          <w:szCs w:val="22"/>
        </w:rPr>
      </w:pPr>
      <w:r w:rsidRPr="00E27F63">
        <w:rPr>
          <w:sz w:val="22"/>
          <w:szCs w:val="22"/>
        </w:rPr>
        <w:t>benzodiazepinų;</w:t>
      </w:r>
    </w:p>
    <w:p w:rsidR="0050408A" w:rsidRPr="00E27F63" w:rsidRDefault="0050408A" w:rsidP="0050408A">
      <w:pPr>
        <w:numPr>
          <w:ilvl w:val="0"/>
          <w:numId w:val="3"/>
        </w:numPr>
        <w:ind w:left="567" w:hanging="567"/>
        <w:rPr>
          <w:sz w:val="22"/>
          <w:szCs w:val="22"/>
        </w:rPr>
      </w:pPr>
      <w:r w:rsidRPr="00E27F63">
        <w:rPr>
          <w:sz w:val="22"/>
          <w:szCs w:val="22"/>
        </w:rPr>
        <w:t>antidepresantų;</w:t>
      </w:r>
    </w:p>
    <w:p w:rsidR="0050408A" w:rsidRPr="00E27F63" w:rsidRDefault="0050408A" w:rsidP="0050408A">
      <w:pPr>
        <w:numPr>
          <w:ilvl w:val="0"/>
          <w:numId w:val="3"/>
        </w:numPr>
        <w:ind w:left="567" w:hanging="567"/>
        <w:rPr>
          <w:sz w:val="22"/>
          <w:szCs w:val="22"/>
        </w:rPr>
      </w:pPr>
      <w:proofErr w:type="spellStart"/>
      <w:r w:rsidRPr="00E27F63">
        <w:rPr>
          <w:sz w:val="22"/>
          <w:szCs w:val="22"/>
        </w:rPr>
        <w:t>antihistamininių</w:t>
      </w:r>
      <w:proofErr w:type="spellEnd"/>
      <w:r w:rsidRPr="00E27F63">
        <w:rPr>
          <w:sz w:val="22"/>
          <w:szCs w:val="22"/>
        </w:rPr>
        <w:t xml:space="preserve"> preparatų;</w:t>
      </w:r>
    </w:p>
    <w:p w:rsidR="0050408A" w:rsidRPr="00E27F63" w:rsidRDefault="0050408A" w:rsidP="0050408A">
      <w:pPr>
        <w:numPr>
          <w:ilvl w:val="0"/>
          <w:numId w:val="3"/>
        </w:numPr>
        <w:ind w:left="567" w:hanging="567"/>
        <w:rPr>
          <w:sz w:val="22"/>
          <w:szCs w:val="22"/>
        </w:rPr>
      </w:pPr>
      <w:r w:rsidRPr="00E27F63">
        <w:rPr>
          <w:sz w:val="22"/>
          <w:szCs w:val="22"/>
        </w:rPr>
        <w:t>geriamųjų kraujo krešėjimą slopinančių vaistų;</w:t>
      </w:r>
    </w:p>
    <w:p w:rsidR="0050408A" w:rsidRPr="00E27F63" w:rsidRDefault="0050408A" w:rsidP="0050408A">
      <w:pPr>
        <w:numPr>
          <w:ilvl w:val="0"/>
          <w:numId w:val="3"/>
        </w:numPr>
        <w:ind w:left="567" w:hanging="567"/>
        <w:rPr>
          <w:sz w:val="22"/>
          <w:szCs w:val="22"/>
        </w:rPr>
      </w:pPr>
      <w:proofErr w:type="spellStart"/>
      <w:r w:rsidRPr="00E27F63">
        <w:rPr>
          <w:sz w:val="22"/>
          <w:szCs w:val="22"/>
        </w:rPr>
        <w:t>fenitoino</w:t>
      </w:r>
      <w:proofErr w:type="spellEnd"/>
      <w:r w:rsidRPr="00E27F63">
        <w:rPr>
          <w:sz w:val="22"/>
          <w:szCs w:val="22"/>
        </w:rPr>
        <w:t xml:space="preserve"> (vaisto nuo epilepsijos);</w:t>
      </w:r>
    </w:p>
    <w:p w:rsidR="0050408A" w:rsidRPr="00E27F63" w:rsidRDefault="0050408A" w:rsidP="0050408A">
      <w:pPr>
        <w:numPr>
          <w:ilvl w:val="0"/>
          <w:numId w:val="3"/>
        </w:numPr>
        <w:ind w:left="567" w:hanging="567"/>
        <w:rPr>
          <w:sz w:val="22"/>
          <w:szCs w:val="22"/>
        </w:rPr>
      </w:pPr>
      <w:proofErr w:type="spellStart"/>
      <w:r w:rsidRPr="00E27F63">
        <w:rPr>
          <w:sz w:val="22"/>
          <w:szCs w:val="22"/>
        </w:rPr>
        <w:t>cimetidino</w:t>
      </w:r>
      <w:proofErr w:type="spellEnd"/>
      <w:r w:rsidRPr="00E27F63">
        <w:rPr>
          <w:sz w:val="22"/>
          <w:szCs w:val="22"/>
        </w:rPr>
        <w:t>.</w:t>
      </w:r>
    </w:p>
    <w:p w:rsidR="0050408A" w:rsidRPr="00E27F63" w:rsidRDefault="0050408A" w:rsidP="0050408A">
      <w:pPr>
        <w:rPr>
          <w:sz w:val="22"/>
          <w:szCs w:val="22"/>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Doloblok</w:t>
      </w:r>
      <w:proofErr w:type="spellEnd"/>
      <w:r w:rsidRPr="00E27F63">
        <w:rPr>
          <w:spacing w:val="-3"/>
          <w:sz w:val="22"/>
          <w:szCs w:val="22"/>
        </w:rPr>
        <w:t xml:space="preserve"> negalima maišyti viename švirkšte su </w:t>
      </w:r>
      <w:proofErr w:type="spellStart"/>
      <w:r w:rsidRPr="00E27F63">
        <w:rPr>
          <w:spacing w:val="-3"/>
          <w:sz w:val="22"/>
          <w:szCs w:val="22"/>
        </w:rPr>
        <w:t>fenitoinu</w:t>
      </w:r>
      <w:proofErr w:type="spellEnd"/>
      <w:r w:rsidRPr="00E27F63">
        <w:rPr>
          <w:spacing w:val="-3"/>
          <w:sz w:val="22"/>
          <w:szCs w:val="22"/>
        </w:rPr>
        <w:t xml:space="preserve">, barbitūratais ir </w:t>
      </w:r>
      <w:proofErr w:type="spellStart"/>
      <w:r w:rsidRPr="00E27F63">
        <w:rPr>
          <w:spacing w:val="-3"/>
          <w:sz w:val="22"/>
          <w:szCs w:val="22"/>
        </w:rPr>
        <w:t>aminofilinu</w:t>
      </w:r>
      <w:proofErr w:type="spellEnd"/>
      <w:r w:rsidRPr="00E27F63">
        <w:rPr>
          <w:spacing w:val="-3"/>
          <w:sz w:val="22"/>
          <w:szCs w:val="22"/>
        </w:rPr>
        <w:t xml:space="preserve">, kadangi susidaro neveiklūs kompleksai. </w:t>
      </w: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Kartu vartojant </w:t>
      </w:r>
      <w:proofErr w:type="spellStart"/>
      <w:r w:rsidRPr="00E27F63">
        <w:rPr>
          <w:spacing w:val="-3"/>
          <w:sz w:val="22"/>
          <w:szCs w:val="22"/>
        </w:rPr>
        <w:t>Doloblok</w:t>
      </w:r>
      <w:proofErr w:type="spellEnd"/>
      <w:r w:rsidRPr="00E27F63">
        <w:rPr>
          <w:spacing w:val="-3"/>
          <w:sz w:val="22"/>
          <w:szCs w:val="22"/>
        </w:rPr>
        <w:t xml:space="preserve"> ir </w:t>
      </w:r>
      <w:proofErr w:type="spellStart"/>
      <w:r w:rsidRPr="00E27F63">
        <w:rPr>
          <w:spacing w:val="-3"/>
          <w:sz w:val="22"/>
          <w:szCs w:val="22"/>
        </w:rPr>
        <w:t>sedatyvinių</w:t>
      </w:r>
      <w:proofErr w:type="spellEnd"/>
      <w:r w:rsidRPr="00E27F63">
        <w:rPr>
          <w:spacing w:val="-3"/>
          <w:sz w:val="22"/>
          <w:szCs w:val="22"/>
        </w:rPr>
        <w:t xml:space="preserve"> vaistų (pvz., benzodiazepinų ar panašiai veikiančių), padidėja mieguistumo, kvėpavimo sutrikimų (susilpnėjimo) ir komos rizika, gali net kilti pavojus gyvybei. Dėl to juos galima vartoti kartu tik nesant kitokio gydymo galimybės.</w:t>
      </w: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Jeigu gydytojas Jums vis dėlto paskyrė vartoti </w:t>
      </w:r>
      <w:proofErr w:type="spellStart"/>
      <w:r w:rsidRPr="00E27F63">
        <w:rPr>
          <w:spacing w:val="-3"/>
          <w:sz w:val="22"/>
          <w:szCs w:val="22"/>
        </w:rPr>
        <w:t>Doloblok</w:t>
      </w:r>
      <w:proofErr w:type="spellEnd"/>
      <w:r w:rsidRPr="00E27F63">
        <w:rPr>
          <w:spacing w:val="-3"/>
          <w:sz w:val="22"/>
          <w:szCs w:val="22"/>
        </w:rPr>
        <w:t xml:space="preserve"> kartu su </w:t>
      </w:r>
      <w:proofErr w:type="spellStart"/>
      <w:r w:rsidRPr="00E27F63">
        <w:rPr>
          <w:spacing w:val="-3"/>
          <w:sz w:val="22"/>
          <w:szCs w:val="22"/>
        </w:rPr>
        <w:t>sedatyviniais</w:t>
      </w:r>
      <w:proofErr w:type="spellEnd"/>
      <w:r w:rsidRPr="00E27F63">
        <w:rPr>
          <w:spacing w:val="-3"/>
          <w:sz w:val="22"/>
          <w:szCs w:val="22"/>
        </w:rPr>
        <w:t xml:space="preserve"> vaistais, tai jis turi apriboti kartu vartojamą dozę ir vartojimo kartu trukmę.</w:t>
      </w: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50408A" w:rsidRPr="00E27F63" w:rsidRDefault="0050408A" w:rsidP="005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Pasakykite gydytojui apie visus </w:t>
      </w:r>
      <w:proofErr w:type="spellStart"/>
      <w:r w:rsidRPr="00E27F63">
        <w:rPr>
          <w:spacing w:val="-3"/>
          <w:sz w:val="22"/>
          <w:szCs w:val="22"/>
        </w:rPr>
        <w:t>sedatyvinius</w:t>
      </w:r>
      <w:proofErr w:type="spellEnd"/>
      <w:r w:rsidRPr="00E27F63">
        <w:rPr>
          <w:spacing w:val="-3"/>
          <w:sz w:val="22"/>
          <w:szCs w:val="22"/>
        </w:rPr>
        <w:t xml:space="preserve"> vaistus, kuriuos vartojate, ir kruopščiai laikykitės jo rekomendacijų. Gali būti naudinga informuoti draugus ar giminaičius, kad jie žinotų aukščiau nurodytus požymius ir simptomus. Jeigu jų pasireikštų, kreipkitės į gydytoją.</w:t>
      </w:r>
    </w:p>
    <w:p w:rsidR="0050408A" w:rsidRPr="00E27F63" w:rsidRDefault="0050408A" w:rsidP="0050408A">
      <w:pPr>
        <w:rPr>
          <w:sz w:val="22"/>
          <w:szCs w:val="22"/>
        </w:rPr>
      </w:pPr>
    </w:p>
    <w:p w:rsidR="0050408A" w:rsidRPr="00E27F63" w:rsidRDefault="0050408A" w:rsidP="0050408A">
      <w:pPr>
        <w:pStyle w:val="PI-3EMEASMCA"/>
      </w:pPr>
      <w:r w:rsidRPr="00E27F63">
        <w:t>Nėštumas ir žindymo laikotarpis</w:t>
      </w:r>
    </w:p>
    <w:p w:rsidR="0050408A" w:rsidRPr="00E27F63" w:rsidRDefault="0050408A" w:rsidP="0050408A">
      <w:pPr>
        <w:numPr>
          <w:ilvl w:val="12"/>
          <w:numId w:val="0"/>
        </w:numPr>
        <w:rPr>
          <w:snapToGrid w:val="0"/>
          <w:sz w:val="22"/>
        </w:rPr>
      </w:pPr>
      <w:r w:rsidRPr="00E27F63">
        <w:rPr>
          <w:noProof/>
          <w:snapToGrid w:val="0"/>
          <w:sz w:val="22"/>
        </w:rPr>
        <w:t>Jeigu esate nėščia, žindote kūdikį, manote, kad galbūt esate nėščia, arba planuojate pastoti, tai prieš vartodama šį vaistą, pasitarkite su gydytoju arba vaistininku.</w:t>
      </w:r>
      <w:r w:rsidRPr="00E27F63">
        <w:rPr>
          <w:snapToGrid w:val="0"/>
          <w:sz w:val="22"/>
        </w:rPr>
        <w:t xml:space="preserve"> </w:t>
      </w:r>
    </w:p>
    <w:p w:rsidR="0050408A" w:rsidRPr="00E27F63" w:rsidRDefault="0050408A" w:rsidP="0050408A">
      <w:pPr>
        <w:pStyle w:val="BTEMEASMCA"/>
        <w:rPr>
          <w:lang w:val="lt-LT"/>
        </w:rPr>
      </w:pPr>
    </w:p>
    <w:p w:rsidR="0050408A" w:rsidRPr="00E27F63" w:rsidRDefault="0050408A" w:rsidP="0050408A">
      <w:pPr>
        <w:rPr>
          <w:sz w:val="22"/>
          <w:szCs w:val="22"/>
        </w:rPr>
      </w:pPr>
      <w:r w:rsidRPr="00E27F63">
        <w:rPr>
          <w:sz w:val="22"/>
          <w:szCs w:val="22"/>
        </w:rPr>
        <w:t xml:space="preserve">Duomenų apie nepalankų </w:t>
      </w:r>
      <w:proofErr w:type="spellStart"/>
      <w:r w:rsidRPr="00E27F63">
        <w:rPr>
          <w:sz w:val="22"/>
          <w:szCs w:val="22"/>
        </w:rPr>
        <w:t>petidino</w:t>
      </w:r>
      <w:proofErr w:type="spellEnd"/>
      <w:r w:rsidRPr="00E27F63">
        <w:rPr>
          <w:sz w:val="22"/>
          <w:szCs w:val="22"/>
        </w:rPr>
        <w:t xml:space="preserve"> poveikį vaisiaus vystymuisi nėra. Nėštumo laikotarpiu </w:t>
      </w:r>
      <w:proofErr w:type="spellStart"/>
      <w:r w:rsidRPr="00E27F63">
        <w:rPr>
          <w:sz w:val="22"/>
          <w:szCs w:val="22"/>
        </w:rPr>
        <w:t>Doloblok</w:t>
      </w:r>
      <w:proofErr w:type="spellEnd"/>
      <w:r w:rsidRPr="00E27F63">
        <w:rPr>
          <w:sz w:val="22"/>
          <w:szCs w:val="22"/>
        </w:rPr>
        <w:t xml:space="preserve"> galima vartoti tik tuo atveju, jei gydytojas mano, kad palankus gydomasis poveikis yra didesnis nei galima žala negimusiam vaikui ar naujagimiui. Nuo </w:t>
      </w:r>
      <w:proofErr w:type="spellStart"/>
      <w:r w:rsidRPr="00E27F63">
        <w:rPr>
          <w:sz w:val="22"/>
          <w:szCs w:val="22"/>
        </w:rPr>
        <w:t>petidino</w:t>
      </w:r>
      <w:proofErr w:type="spellEnd"/>
      <w:r w:rsidRPr="00E27F63">
        <w:rPr>
          <w:sz w:val="22"/>
          <w:szCs w:val="22"/>
        </w:rPr>
        <w:t xml:space="preserve"> priklausomos moters naujagimiui gali atsirasti abstinencijos simptomų.</w:t>
      </w:r>
    </w:p>
    <w:p w:rsidR="0050408A" w:rsidRPr="00E27F63" w:rsidRDefault="0050408A" w:rsidP="0050408A">
      <w:pPr>
        <w:rPr>
          <w:sz w:val="22"/>
          <w:szCs w:val="22"/>
        </w:rPr>
      </w:pPr>
      <w:proofErr w:type="spellStart"/>
      <w:r w:rsidRPr="00E27F63">
        <w:rPr>
          <w:sz w:val="22"/>
          <w:szCs w:val="22"/>
        </w:rPr>
        <w:t>Petidino</w:t>
      </w:r>
      <w:proofErr w:type="spellEnd"/>
      <w:r w:rsidRPr="00E27F63">
        <w:rPr>
          <w:sz w:val="22"/>
          <w:szCs w:val="22"/>
        </w:rPr>
        <w:t xml:space="preserve"> galima vartoti skausmui gimdymo metu malšinti. </w:t>
      </w:r>
      <w:proofErr w:type="spellStart"/>
      <w:r w:rsidRPr="00E27F63">
        <w:rPr>
          <w:sz w:val="22"/>
          <w:szCs w:val="22"/>
        </w:rPr>
        <w:t>Petidino</w:t>
      </w:r>
      <w:proofErr w:type="spellEnd"/>
      <w:r w:rsidRPr="00E27F63">
        <w:rPr>
          <w:sz w:val="22"/>
          <w:szCs w:val="22"/>
        </w:rPr>
        <w:t xml:space="preserve"> patenka į moters pieną, todėl būtina nuspręsti, ar nutraukti vaisto vartojimą, ar maitinimą krūtimi.</w:t>
      </w:r>
    </w:p>
    <w:p w:rsidR="0050408A" w:rsidRPr="00E27F63" w:rsidRDefault="0050408A" w:rsidP="0050408A">
      <w:pPr>
        <w:rPr>
          <w:sz w:val="22"/>
          <w:szCs w:val="22"/>
        </w:rPr>
      </w:pPr>
    </w:p>
    <w:p w:rsidR="0050408A" w:rsidRPr="00E27F63" w:rsidRDefault="0050408A" w:rsidP="0050408A">
      <w:pPr>
        <w:pStyle w:val="PI-3EMEASMCA"/>
      </w:pPr>
      <w:r w:rsidRPr="00E27F63">
        <w:t>Vairavimas ir mechanizmų valdymas</w:t>
      </w:r>
    </w:p>
    <w:p w:rsidR="0050408A" w:rsidRPr="00E27F63" w:rsidRDefault="0050408A" w:rsidP="0050408A">
      <w:pPr>
        <w:pStyle w:val="BTEMEASMCA"/>
        <w:rPr>
          <w:lang w:val="lt-LT"/>
        </w:rPr>
      </w:pPr>
      <w:proofErr w:type="spellStart"/>
      <w:r w:rsidRPr="00E27F63">
        <w:rPr>
          <w:lang w:val="lt-LT"/>
        </w:rPr>
        <w:t>Petidinas</w:t>
      </w:r>
      <w:proofErr w:type="spellEnd"/>
      <w:r w:rsidRPr="00E27F63">
        <w:rPr>
          <w:lang w:val="lt-LT"/>
        </w:rPr>
        <w:t xml:space="preserve"> gali neigiamai veikti dėmesį, judesių koordinaciją ir reakciją vairuojant transporto priemones ir valdant mechanizmus.</w:t>
      </w:r>
    </w:p>
    <w:p w:rsidR="0050408A" w:rsidRPr="00E27F63" w:rsidRDefault="0050408A" w:rsidP="0050408A">
      <w:pPr>
        <w:pStyle w:val="BTEMEASMCA"/>
        <w:rPr>
          <w:lang w:val="lt-LT"/>
        </w:rPr>
      </w:pPr>
    </w:p>
    <w:p w:rsidR="0050408A" w:rsidRPr="00E27F63" w:rsidRDefault="0050408A" w:rsidP="0050408A">
      <w:pPr>
        <w:pStyle w:val="BTEMEASMCA"/>
        <w:rPr>
          <w:lang w:val="lt-LT"/>
        </w:rPr>
      </w:pPr>
    </w:p>
    <w:p w:rsidR="0050408A" w:rsidRPr="00E27F63" w:rsidRDefault="0050408A" w:rsidP="0050408A">
      <w:pPr>
        <w:pStyle w:val="PI-1EMEASMCA"/>
        <w:rPr>
          <w:lang w:val="lt-LT"/>
        </w:rPr>
      </w:pPr>
      <w:bookmarkStart w:id="8" w:name="_Toc129243266"/>
      <w:bookmarkStart w:id="9" w:name="_Toc129243141"/>
      <w:r w:rsidRPr="00E27F63">
        <w:rPr>
          <w:lang w:val="lt-LT"/>
        </w:rPr>
        <w:t>3.</w:t>
      </w:r>
      <w:r w:rsidRPr="00E27F63">
        <w:rPr>
          <w:lang w:val="lt-LT"/>
        </w:rPr>
        <w:tab/>
        <w:t xml:space="preserve">Kaip vartoti </w:t>
      </w:r>
      <w:proofErr w:type="spellStart"/>
      <w:r w:rsidRPr="00E27F63">
        <w:rPr>
          <w:lang w:val="lt-LT"/>
        </w:rPr>
        <w:t>Doloblok</w:t>
      </w:r>
      <w:bookmarkEnd w:id="8"/>
      <w:bookmarkEnd w:id="9"/>
      <w:proofErr w:type="spellEnd"/>
    </w:p>
    <w:p w:rsidR="0050408A" w:rsidRPr="00E27F63" w:rsidRDefault="0050408A" w:rsidP="0050408A">
      <w:pPr>
        <w:pStyle w:val="BTEMEASMCA"/>
        <w:rPr>
          <w:lang w:val="lt-LT"/>
        </w:rPr>
      </w:pPr>
    </w:p>
    <w:p w:rsidR="0050408A" w:rsidRPr="00E27F63" w:rsidRDefault="0050408A" w:rsidP="0050408A">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sz w:val="22"/>
          <w:szCs w:val="22"/>
          <w:u w:val="single"/>
          <w:lang w:val="lt-LT"/>
        </w:rPr>
      </w:pPr>
      <w:r w:rsidRPr="00E27F63">
        <w:rPr>
          <w:rFonts w:ascii="Times New Roman" w:hAnsi="Times New Roman"/>
          <w:b/>
          <w:sz w:val="22"/>
          <w:szCs w:val="22"/>
          <w:lang w:val="lt-LT"/>
        </w:rPr>
        <w:t>Vartojimas vaikams</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Vaikams </w:t>
      </w:r>
      <w:proofErr w:type="spellStart"/>
      <w:r w:rsidRPr="00E27F63">
        <w:rPr>
          <w:rFonts w:ascii="Times New Roman" w:hAnsi="Times New Roman"/>
          <w:sz w:val="22"/>
          <w:szCs w:val="22"/>
          <w:lang w:val="lt-LT"/>
        </w:rPr>
        <w:t>petidinas</w:t>
      </w:r>
      <w:proofErr w:type="spellEnd"/>
      <w:r w:rsidRPr="00E27F63">
        <w:rPr>
          <w:rFonts w:ascii="Times New Roman" w:hAnsi="Times New Roman"/>
          <w:sz w:val="22"/>
          <w:szCs w:val="22"/>
          <w:lang w:val="lt-LT"/>
        </w:rPr>
        <w:t xml:space="preserve"> yra leidžiamas 1-3 kartus per parą po oda arba į raumenis, dozė yra 0,5–1 mg/kg kūno svorio.</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Įprastinė gydomoji dozė yra:</w:t>
      </w:r>
    </w:p>
    <w:p w:rsidR="0050408A" w:rsidRPr="00E27F63" w:rsidRDefault="0050408A" w:rsidP="0050408A">
      <w:pPr>
        <w:numPr>
          <w:ilvl w:val="0"/>
          <w:numId w:val="3"/>
        </w:numPr>
        <w:ind w:left="567" w:hanging="567"/>
        <w:rPr>
          <w:sz w:val="22"/>
          <w:szCs w:val="22"/>
        </w:rPr>
      </w:pPr>
      <w:r w:rsidRPr="00E27F63">
        <w:rPr>
          <w:sz w:val="22"/>
          <w:szCs w:val="22"/>
        </w:rPr>
        <w:t>jaunesniems kaip 1 metų vaikams – 5 mg;</w:t>
      </w:r>
    </w:p>
    <w:p w:rsidR="0050408A" w:rsidRPr="00E27F63" w:rsidRDefault="0050408A" w:rsidP="0050408A">
      <w:pPr>
        <w:numPr>
          <w:ilvl w:val="0"/>
          <w:numId w:val="3"/>
        </w:numPr>
        <w:ind w:left="567" w:hanging="567"/>
        <w:rPr>
          <w:sz w:val="22"/>
          <w:szCs w:val="22"/>
        </w:rPr>
      </w:pPr>
      <w:r w:rsidRPr="00E27F63">
        <w:rPr>
          <w:sz w:val="22"/>
          <w:szCs w:val="22"/>
        </w:rPr>
        <w:t>1-6 metų vaikams – 5–10  mg;</w:t>
      </w:r>
    </w:p>
    <w:p w:rsidR="0050408A" w:rsidRPr="00E27F63" w:rsidRDefault="0050408A" w:rsidP="0050408A">
      <w:pPr>
        <w:numPr>
          <w:ilvl w:val="0"/>
          <w:numId w:val="3"/>
        </w:numPr>
        <w:ind w:left="567" w:hanging="567"/>
        <w:rPr>
          <w:sz w:val="22"/>
          <w:szCs w:val="22"/>
        </w:rPr>
      </w:pPr>
      <w:r w:rsidRPr="00E27F63">
        <w:rPr>
          <w:sz w:val="22"/>
          <w:szCs w:val="22"/>
        </w:rPr>
        <w:lastRenderedPageBreak/>
        <w:t>6-15 metų vaikams – 10–30 mg.</w:t>
      </w:r>
    </w:p>
    <w:p w:rsidR="0050408A" w:rsidRPr="00E27F63" w:rsidRDefault="0050408A" w:rsidP="0050408A">
      <w:pPr>
        <w:rPr>
          <w:sz w:val="22"/>
          <w:szCs w:val="22"/>
        </w:rPr>
      </w:pPr>
    </w:p>
    <w:p w:rsidR="0050408A" w:rsidRPr="00E27F63" w:rsidRDefault="0050408A" w:rsidP="0050408A">
      <w:pPr>
        <w:rPr>
          <w:sz w:val="22"/>
          <w:szCs w:val="22"/>
        </w:rPr>
      </w:pPr>
      <w:r w:rsidRPr="00E27F63">
        <w:rPr>
          <w:sz w:val="22"/>
          <w:szCs w:val="22"/>
        </w:rPr>
        <w:t xml:space="preserve">Pacientą ruošiant operacijai, vaistas leidžiamas į raumenis likus valandai iki anestezijos pradžios (jei numatyta bendroji anestezija, </w:t>
      </w:r>
      <w:proofErr w:type="spellStart"/>
      <w:r w:rsidRPr="00E27F63">
        <w:rPr>
          <w:sz w:val="22"/>
          <w:szCs w:val="22"/>
        </w:rPr>
        <w:t>petidino</w:t>
      </w:r>
      <w:proofErr w:type="spellEnd"/>
      <w:r w:rsidRPr="00E27F63">
        <w:rPr>
          <w:sz w:val="22"/>
          <w:szCs w:val="22"/>
        </w:rPr>
        <w:t xml:space="preserve"> galima leisti į veną iki anestezijos pradžios likus 10 minučių). </w:t>
      </w:r>
      <w:proofErr w:type="spellStart"/>
      <w:r w:rsidRPr="00E27F63">
        <w:rPr>
          <w:sz w:val="22"/>
          <w:szCs w:val="22"/>
        </w:rPr>
        <w:t>Petidino</w:t>
      </w:r>
      <w:proofErr w:type="spellEnd"/>
      <w:r w:rsidRPr="00E27F63">
        <w:rPr>
          <w:sz w:val="22"/>
          <w:szCs w:val="22"/>
        </w:rPr>
        <w:t xml:space="preserve"> nerekomenduojama vartoti jaunesnių kaip 1 metų vaikų paruošimui operacijai.</w:t>
      </w:r>
    </w:p>
    <w:p w:rsidR="0050408A" w:rsidRPr="00E27F63" w:rsidRDefault="0050408A" w:rsidP="0050408A">
      <w:pPr>
        <w:pStyle w:val="Pagrindinistekstas"/>
        <w:spacing w:line="240" w:lineRule="auto"/>
        <w:jc w:val="left"/>
        <w:rPr>
          <w:rFonts w:ascii="Times New Roman" w:hAnsi="Times New Roman"/>
          <w:sz w:val="22"/>
          <w:szCs w:val="22"/>
          <w:lang w:val="lt-LT"/>
        </w:rPr>
      </w:pPr>
    </w:p>
    <w:p w:rsidR="0050408A" w:rsidRPr="00E27F63" w:rsidRDefault="0050408A" w:rsidP="0050408A">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sz w:val="22"/>
          <w:szCs w:val="22"/>
          <w:u w:val="single"/>
          <w:lang w:val="lt-LT"/>
        </w:rPr>
      </w:pPr>
      <w:r w:rsidRPr="00E27F63">
        <w:rPr>
          <w:rFonts w:ascii="Times New Roman" w:hAnsi="Times New Roman"/>
          <w:sz w:val="22"/>
          <w:szCs w:val="22"/>
          <w:u w:val="single"/>
          <w:lang w:val="lt-LT"/>
        </w:rPr>
        <w:t>Suaugusiems pacientams</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1-3 kartus per parą į raumenis arba į veną leidžiama 25-100 mg dozė. Į veną galima labai lėtai leisti 25-50 mg dozę, pacientas turi gulėti. Malšinant skausmą gimdymo metu, į raumenis arba po oda leidžiama 50-150 mg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Po 1-3 val. tokią dozę galima suleisti dar kartą.</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Jeigu yra sutrikusi inkstų funkcija (</w:t>
      </w:r>
      <w:proofErr w:type="spellStart"/>
      <w:r w:rsidRPr="00E27F63">
        <w:rPr>
          <w:rFonts w:ascii="Times New Roman" w:hAnsi="Times New Roman"/>
          <w:sz w:val="22"/>
          <w:szCs w:val="22"/>
          <w:lang w:val="lt-LT"/>
        </w:rPr>
        <w:t>glomerulų</w:t>
      </w:r>
      <w:proofErr w:type="spellEnd"/>
      <w:r w:rsidRPr="00E27F63">
        <w:rPr>
          <w:rFonts w:ascii="Times New Roman" w:hAnsi="Times New Roman"/>
          <w:sz w:val="22"/>
          <w:szCs w:val="22"/>
          <w:lang w:val="lt-LT"/>
        </w:rPr>
        <w:t xml:space="preserve"> filtracija mažesnė kaip 10 ml/min.), dozę reikia sumažinti perpus. </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Gydomoji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50-200 mg, į veną – 50-150 mg.</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vienkartinė į raumenis švirkščiamo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yra 150 mg, į veną – 100 mg.</w:t>
      </w:r>
    </w:p>
    <w:p w:rsidR="0050408A" w:rsidRPr="00E27F63" w:rsidRDefault="0050408A" w:rsidP="0050408A">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500 mg, į veną – 300 mg.</w:t>
      </w:r>
    </w:p>
    <w:p w:rsidR="0050408A" w:rsidRPr="00E27F63" w:rsidRDefault="0050408A" w:rsidP="0050408A">
      <w:pPr>
        <w:rPr>
          <w:sz w:val="22"/>
          <w:szCs w:val="22"/>
        </w:rPr>
      </w:pPr>
    </w:p>
    <w:p w:rsidR="0050408A" w:rsidRPr="00E27F63" w:rsidRDefault="0050408A" w:rsidP="0050408A">
      <w:pPr>
        <w:pStyle w:val="PI-3EMEASMCA"/>
        <w:spacing w:line="240" w:lineRule="auto"/>
      </w:pPr>
      <w:r w:rsidRPr="00E27F63">
        <w:t xml:space="preserve">Ką daryti pavartojus per didelę </w:t>
      </w:r>
      <w:proofErr w:type="spellStart"/>
      <w:r w:rsidRPr="00E27F63">
        <w:rPr>
          <w:bCs w:val="0"/>
          <w:iCs/>
        </w:rPr>
        <w:t>Doloblok</w:t>
      </w:r>
      <w:proofErr w:type="spellEnd"/>
      <w:r w:rsidRPr="00E27F63">
        <w:t xml:space="preserve"> dozę?</w:t>
      </w:r>
    </w:p>
    <w:p w:rsidR="0050408A" w:rsidRPr="00E27F63" w:rsidRDefault="0050408A" w:rsidP="0050408A">
      <w:pPr>
        <w:rPr>
          <w:sz w:val="22"/>
          <w:szCs w:val="22"/>
        </w:rPr>
      </w:pPr>
      <w:r w:rsidRPr="00E27F63">
        <w:rPr>
          <w:sz w:val="22"/>
          <w:szCs w:val="22"/>
        </w:rPr>
        <w:t>Perdozavus sutrinka sąmonės (iki komos), pakinta kvėpavimas, oda tampa melsva ir šalta, suretėja širdies plakimas, pasireiškia sujaudinimas.</w:t>
      </w:r>
    </w:p>
    <w:p w:rsidR="0050408A" w:rsidRPr="00E27F63" w:rsidRDefault="0050408A" w:rsidP="0050408A">
      <w:pPr>
        <w:rPr>
          <w:sz w:val="22"/>
          <w:szCs w:val="22"/>
        </w:rPr>
      </w:pPr>
      <w:r w:rsidRPr="00E27F63">
        <w:rPr>
          <w:sz w:val="22"/>
          <w:szCs w:val="22"/>
        </w:rPr>
        <w:t>Perdozavus ar tuo atveju, jei vaisto netyčia išgeria vaikas, būtina kreiptis į gydytoją.</w:t>
      </w:r>
    </w:p>
    <w:p w:rsidR="0050408A" w:rsidRPr="00E27F63" w:rsidRDefault="0050408A" w:rsidP="0050408A">
      <w:pPr>
        <w:rPr>
          <w:sz w:val="22"/>
          <w:szCs w:val="22"/>
        </w:rPr>
      </w:pPr>
    </w:p>
    <w:p w:rsidR="0050408A" w:rsidRPr="00E27F63" w:rsidRDefault="0050408A" w:rsidP="0050408A">
      <w:pPr>
        <w:rPr>
          <w:sz w:val="22"/>
          <w:szCs w:val="22"/>
        </w:rPr>
      </w:pPr>
    </w:p>
    <w:p w:rsidR="0050408A" w:rsidRPr="00E27F63" w:rsidRDefault="0050408A" w:rsidP="0050408A">
      <w:pPr>
        <w:pStyle w:val="PI-1EMEASMCA"/>
        <w:rPr>
          <w:lang w:val="lt-LT"/>
        </w:rPr>
      </w:pPr>
      <w:bookmarkStart w:id="10" w:name="_Toc129243267"/>
      <w:bookmarkStart w:id="11" w:name="_Toc129243142"/>
      <w:r w:rsidRPr="00E27F63">
        <w:rPr>
          <w:lang w:val="lt-LT"/>
        </w:rPr>
        <w:t>4.</w:t>
      </w:r>
      <w:r w:rsidRPr="00E27F63">
        <w:rPr>
          <w:lang w:val="lt-LT"/>
        </w:rPr>
        <w:tab/>
        <w:t>Galimas šalutinis poveikis</w:t>
      </w:r>
      <w:bookmarkEnd w:id="10"/>
      <w:bookmarkEnd w:id="11"/>
    </w:p>
    <w:p w:rsidR="0050408A" w:rsidRPr="00E27F63" w:rsidRDefault="0050408A" w:rsidP="0050408A">
      <w:pPr>
        <w:rPr>
          <w:sz w:val="22"/>
          <w:szCs w:val="22"/>
        </w:rPr>
      </w:pPr>
    </w:p>
    <w:p w:rsidR="0050408A" w:rsidRPr="00E27F63" w:rsidRDefault="0050408A" w:rsidP="0050408A">
      <w:pPr>
        <w:rPr>
          <w:sz w:val="22"/>
          <w:szCs w:val="22"/>
        </w:rPr>
      </w:pPr>
      <w:r w:rsidRPr="00E27F63">
        <w:rPr>
          <w:sz w:val="22"/>
          <w:szCs w:val="22"/>
        </w:rPr>
        <w:t>Šis vaistas, kaip ir visi kiti, gali sukelti šalutinį poveikį, nors jis pasireiškia ne visiems žmonėms.</w:t>
      </w:r>
    </w:p>
    <w:p w:rsidR="0050408A" w:rsidRPr="00E27F63" w:rsidRDefault="0050408A" w:rsidP="0050408A">
      <w:pPr>
        <w:rPr>
          <w:sz w:val="22"/>
          <w:szCs w:val="22"/>
        </w:rPr>
      </w:pPr>
    </w:p>
    <w:p w:rsidR="0050408A" w:rsidRPr="00E27F63" w:rsidRDefault="0050408A" w:rsidP="0050408A">
      <w:pPr>
        <w:rPr>
          <w:sz w:val="22"/>
          <w:szCs w:val="22"/>
        </w:rPr>
      </w:pPr>
      <w:r w:rsidRPr="00E27F63">
        <w:rPr>
          <w:sz w:val="22"/>
          <w:szCs w:val="22"/>
        </w:rPr>
        <w:t>Jei atsiranda kvėpavimo slopinimas, koma, diegliai arba sumažėja kraujo spaudimas, nedelsdami kreipkitės į gydytoją.</w:t>
      </w:r>
    </w:p>
    <w:p w:rsidR="0050408A" w:rsidRPr="00E27F63" w:rsidRDefault="0050408A" w:rsidP="0050408A">
      <w:pPr>
        <w:rPr>
          <w:sz w:val="22"/>
          <w:szCs w:val="22"/>
        </w:rPr>
      </w:pPr>
    </w:p>
    <w:p w:rsidR="0050408A" w:rsidRPr="00E27F63" w:rsidRDefault="0050408A" w:rsidP="0050408A">
      <w:pPr>
        <w:pStyle w:val="Pagrindinistekstas2"/>
        <w:spacing w:after="0" w:line="240" w:lineRule="auto"/>
        <w:rPr>
          <w:sz w:val="22"/>
          <w:szCs w:val="22"/>
          <w:lang w:val="lt-LT"/>
        </w:rPr>
      </w:pPr>
      <w:r w:rsidRPr="00E27F63">
        <w:rPr>
          <w:sz w:val="22"/>
          <w:szCs w:val="22"/>
          <w:lang w:val="lt-LT"/>
        </w:rPr>
        <w:t>Toliau išvardytas galimas šalutinis poveikis (vartojant įprastas dozes jis pasireiškia maždaug 4 % atvejų).</w:t>
      </w:r>
    </w:p>
    <w:p w:rsidR="0050408A" w:rsidRPr="00E27F63" w:rsidRDefault="0050408A" w:rsidP="0050408A">
      <w:pPr>
        <w:pStyle w:val="Pagrindinistekstas2"/>
        <w:spacing w:after="0" w:line="240" w:lineRule="auto"/>
        <w:rPr>
          <w:sz w:val="22"/>
          <w:szCs w:val="22"/>
          <w:u w:val="single"/>
          <w:lang w:val="lt-LT"/>
        </w:rPr>
      </w:pPr>
    </w:p>
    <w:p w:rsidR="0050408A" w:rsidRPr="00E27F63" w:rsidRDefault="0050408A" w:rsidP="0050408A">
      <w:pPr>
        <w:pStyle w:val="Pagrindinistekstas2"/>
        <w:spacing w:after="0" w:line="240" w:lineRule="auto"/>
        <w:rPr>
          <w:sz w:val="22"/>
          <w:szCs w:val="22"/>
          <w:u w:val="single"/>
          <w:lang w:val="lt-LT"/>
        </w:rPr>
      </w:pPr>
      <w:r w:rsidRPr="00E27F63">
        <w:rPr>
          <w:sz w:val="22"/>
          <w:szCs w:val="22"/>
          <w:u w:val="single"/>
          <w:lang w:val="lt-LT"/>
        </w:rPr>
        <w:t>Virškinimo trakto sutrikimai</w:t>
      </w:r>
    </w:p>
    <w:p w:rsidR="0050408A" w:rsidRPr="00E27F63" w:rsidRDefault="0050408A" w:rsidP="0050408A">
      <w:pPr>
        <w:pStyle w:val="Pagrindinistekstas2"/>
        <w:spacing w:after="0" w:line="240" w:lineRule="auto"/>
        <w:rPr>
          <w:sz w:val="22"/>
          <w:szCs w:val="22"/>
          <w:lang w:val="lt-LT"/>
        </w:rPr>
      </w:pPr>
      <w:r w:rsidRPr="00E27F63">
        <w:rPr>
          <w:sz w:val="22"/>
          <w:szCs w:val="22"/>
          <w:lang w:val="lt-LT"/>
        </w:rPr>
        <w:t>Pykinimas, vėmimas, vidurių užkietėjimas.</w:t>
      </w:r>
    </w:p>
    <w:p w:rsidR="0050408A" w:rsidRPr="00E27F63" w:rsidRDefault="0050408A" w:rsidP="0050408A">
      <w:pPr>
        <w:pStyle w:val="Pagrindinistekstas2"/>
        <w:spacing w:after="0" w:line="240" w:lineRule="auto"/>
        <w:rPr>
          <w:sz w:val="22"/>
          <w:szCs w:val="22"/>
          <w:lang w:val="lt-LT"/>
        </w:rPr>
      </w:pPr>
    </w:p>
    <w:p w:rsidR="0050408A" w:rsidRPr="00E27F63" w:rsidRDefault="0050408A" w:rsidP="0050408A">
      <w:pPr>
        <w:pStyle w:val="Pagrindinistekstas2"/>
        <w:spacing w:after="0" w:line="240" w:lineRule="auto"/>
        <w:rPr>
          <w:sz w:val="22"/>
          <w:szCs w:val="22"/>
          <w:u w:val="single"/>
          <w:lang w:val="lt-LT"/>
        </w:rPr>
      </w:pPr>
      <w:r w:rsidRPr="00E27F63">
        <w:rPr>
          <w:sz w:val="22"/>
          <w:szCs w:val="22"/>
          <w:u w:val="single"/>
          <w:lang w:val="lt-LT"/>
        </w:rPr>
        <w:t>Psichikos sutrikimai</w:t>
      </w:r>
    </w:p>
    <w:p w:rsidR="0050408A" w:rsidRPr="00E27F63" w:rsidRDefault="0050408A" w:rsidP="0050408A">
      <w:pPr>
        <w:pStyle w:val="Pagrindinistekstas2"/>
        <w:spacing w:after="0" w:line="240" w:lineRule="auto"/>
        <w:rPr>
          <w:sz w:val="22"/>
          <w:szCs w:val="22"/>
          <w:lang w:val="lt-LT"/>
        </w:rPr>
      </w:pPr>
      <w:r w:rsidRPr="00E27F63">
        <w:rPr>
          <w:sz w:val="22"/>
          <w:szCs w:val="22"/>
          <w:lang w:val="lt-LT"/>
        </w:rPr>
        <w:t xml:space="preserve">Dezorientacija, haliucinacijos, </w:t>
      </w:r>
      <w:proofErr w:type="spellStart"/>
      <w:r w:rsidRPr="00E27F63">
        <w:rPr>
          <w:sz w:val="22"/>
          <w:szCs w:val="22"/>
          <w:lang w:val="lt-LT"/>
        </w:rPr>
        <w:t>hiperaktyvumas</w:t>
      </w:r>
      <w:proofErr w:type="spellEnd"/>
      <w:r w:rsidRPr="00E27F63">
        <w:rPr>
          <w:sz w:val="22"/>
          <w:szCs w:val="22"/>
          <w:lang w:val="lt-LT"/>
        </w:rPr>
        <w:t xml:space="preserve"> (iki baimingo sujaudinimo).</w:t>
      </w:r>
    </w:p>
    <w:p w:rsidR="0050408A" w:rsidRPr="00E27F63" w:rsidRDefault="0050408A" w:rsidP="0050408A">
      <w:pPr>
        <w:pStyle w:val="Pagrindinistekstas2"/>
        <w:spacing w:after="0" w:line="240" w:lineRule="auto"/>
        <w:rPr>
          <w:sz w:val="22"/>
          <w:szCs w:val="22"/>
          <w:lang w:val="lt-LT"/>
        </w:rPr>
      </w:pPr>
    </w:p>
    <w:p w:rsidR="0050408A" w:rsidRPr="00E27F63" w:rsidRDefault="0050408A" w:rsidP="0050408A">
      <w:pPr>
        <w:pStyle w:val="Pagrindinistekstas2"/>
        <w:spacing w:after="0" w:line="240" w:lineRule="auto"/>
        <w:rPr>
          <w:sz w:val="22"/>
          <w:szCs w:val="22"/>
          <w:u w:val="single"/>
          <w:lang w:val="lt-LT"/>
        </w:rPr>
      </w:pPr>
      <w:r w:rsidRPr="00E27F63">
        <w:rPr>
          <w:sz w:val="22"/>
          <w:szCs w:val="22"/>
          <w:u w:val="single"/>
          <w:lang w:val="lt-LT"/>
        </w:rPr>
        <w:t>Širdies sutrikimai</w:t>
      </w:r>
    </w:p>
    <w:p w:rsidR="0050408A" w:rsidRPr="00E27F63" w:rsidRDefault="0050408A" w:rsidP="0050408A">
      <w:pPr>
        <w:pStyle w:val="Pagrindinistekstas2"/>
        <w:spacing w:after="0" w:line="240" w:lineRule="auto"/>
        <w:rPr>
          <w:sz w:val="22"/>
          <w:szCs w:val="22"/>
          <w:lang w:val="lt-LT"/>
        </w:rPr>
      </w:pPr>
      <w:r w:rsidRPr="00E27F63">
        <w:rPr>
          <w:sz w:val="22"/>
          <w:szCs w:val="22"/>
          <w:lang w:val="lt-LT"/>
        </w:rPr>
        <w:t>Kraujo spaudimo sumažėjimas.</w:t>
      </w:r>
    </w:p>
    <w:p w:rsidR="0050408A" w:rsidRPr="00E27F63" w:rsidRDefault="0050408A" w:rsidP="0050408A">
      <w:pPr>
        <w:pStyle w:val="Pagrindinistekstas2"/>
        <w:spacing w:after="0" w:line="240" w:lineRule="auto"/>
        <w:rPr>
          <w:sz w:val="22"/>
          <w:szCs w:val="22"/>
          <w:lang w:val="lt-LT"/>
        </w:rPr>
      </w:pPr>
    </w:p>
    <w:p w:rsidR="0050408A" w:rsidRPr="00E27F63" w:rsidRDefault="0050408A" w:rsidP="0050408A">
      <w:pPr>
        <w:pStyle w:val="Pagrindinistekstas2"/>
        <w:spacing w:after="0" w:line="240" w:lineRule="auto"/>
        <w:rPr>
          <w:sz w:val="22"/>
          <w:szCs w:val="22"/>
          <w:u w:val="single"/>
          <w:lang w:val="lt-LT"/>
        </w:rPr>
      </w:pPr>
      <w:r w:rsidRPr="00E27F63">
        <w:rPr>
          <w:sz w:val="22"/>
          <w:szCs w:val="22"/>
          <w:u w:val="single"/>
          <w:lang w:val="lt-LT"/>
        </w:rPr>
        <w:t>Nervų sistemos sutrikimai</w:t>
      </w:r>
    </w:p>
    <w:p w:rsidR="0050408A" w:rsidRPr="00E27F63" w:rsidRDefault="0050408A" w:rsidP="0050408A">
      <w:pPr>
        <w:pStyle w:val="Pagrindinistekstas2"/>
        <w:spacing w:after="0" w:line="240" w:lineRule="auto"/>
        <w:rPr>
          <w:sz w:val="22"/>
          <w:szCs w:val="22"/>
          <w:lang w:val="lt-LT"/>
        </w:rPr>
      </w:pPr>
      <w:r w:rsidRPr="00E27F63">
        <w:rPr>
          <w:sz w:val="22"/>
          <w:szCs w:val="22"/>
          <w:lang w:val="lt-LT"/>
        </w:rPr>
        <w:t>Galvos svaigimas, galvos skausmas, judesių sutrikimai, mėšlungis.</w:t>
      </w:r>
    </w:p>
    <w:p w:rsidR="0050408A" w:rsidRPr="00E27F63" w:rsidRDefault="0050408A" w:rsidP="0050408A">
      <w:pPr>
        <w:pStyle w:val="Pagrindinistekstas2"/>
        <w:spacing w:after="0" w:line="240" w:lineRule="auto"/>
        <w:rPr>
          <w:sz w:val="22"/>
          <w:szCs w:val="22"/>
          <w:lang w:val="lt-LT"/>
        </w:rPr>
      </w:pPr>
    </w:p>
    <w:p w:rsidR="0050408A" w:rsidRPr="00E27F63" w:rsidRDefault="0050408A" w:rsidP="0050408A">
      <w:pPr>
        <w:pStyle w:val="Pagrindinistekstas2"/>
        <w:spacing w:after="0" w:line="240" w:lineRule="auto"/>
        <w:rPr>
          <w:sz w:val="22"/>
          <w:szCs w:val="22"/>
          <w:lang w:val="lt-LT"/>
        </w:rPr>
      </w:pPr>
      <w:r w:rsidRPr="00E27F63">
        <w:rPr>
          <w:sz w:val="22"/>
          <w:szCs w:val="22"/>
          <w:lang w:val="lt-LT"/>
        </w:rPr>
        <w:t>Kartotinas vaisto vartojimas gali sukelti priklausomybę.</w:t>
      </w:r>
    </w:p>
    <w:p w:rsidR="0050408A" w:rsidRPr="00E27F63" w:rsidRDefault="0050408A" w:rsidP="0050408A">
      <w:pPr>
        <w:pStyle w:val="Pagrindinistekstas2"/>
        <w:spacing w:after="0" w:line="240" w:lineRule="auto"/>
        <w:rPr>
          <w:sz w:val="22"/>
          <w:szCs w:val="22"/>
          <w:lang w:val="lt-LT"/>
        </w:rPr>
      </w:pPr>
    </w:p>
    <w:p w:rsidR="0050408A" w:rsidRPr="00E27F63" w:rsidRDefault="0050408A" w:rsidP="0050408A">
      <w:pPr>
        <w:tabs>
          <w:tab w:val="left" w:pos="567"/>
        </w:tabs>
        <w:rPr>
          <w:b/>
          <w:snapToGrid w:val="0"/>
          <w:sz w:val="22"/>
        </w:rPr>
      </w:pPr>
      <w:r w:rsidRPr="00E27F63">
        <w:rPr>
          <w:b/>
          <w:noProof/>
          <w:snapToGrid w:val="0"/>
          <w:sz w:val="22"/>
        </w:rPr>
        <w:t>Pranešimas apie šalutinį poveikį</w:t>
      </w:r>
    </w:p>
    <w:p w:rsidR="0050408A" w:rsidRPr="00E27F63" w:rsidRDefault="0050408A" w:rsidP="0050408A">
      <w:pPr>
        <w:tabs>
          <w:tab w:val="left" w:pos="567"/>
        </w:tabs>
        <w:spacing w:line="260" w:lineRule="exact"/>
        <w:ind w:right="-449"/>
        <w:rPr>
          <w:noProof/>
          <w:snapToGrid w:val="0"/>
          <w:sz w:val="22"/>
        </w:rPr>
      </w:pPr>
      <w:r w:rsidRPr="00E27F63">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27F63">
        <w:rPr>
          <w:snapToGrid w:val="0"/>
          <w:sz w:val="22"/>
          <w:szCs w:val="20"/>
          <w:lang w:eastAsia="zh-CN"/>
        </w:rPr>
        <w:t>elefonu 8 800 73568</w:t>
      </w:r>
      <w:r w:rsidRPr="00E27F63">
        <w:rPr>
          <w:snapToGrid w:val="0"/>
          <w:sz w:val="22"/>
          <w:szCs w:val="20"/>
        </w:rPr>
        <w:t xml:space="preserve"> arba užpildyti interneto svetainėje </w:t>
      </w:r>
      <w:hyperlink r:id="rId5" w:history="1">
        <w:r w:rsidRPr="00E27F63">
          <w:rPr>
            <w:rStyle w:val="Hipersaitas"/>
            <w:rFonts w:eastAsia="SimSun"/>
            <w:snapToGrid w:val="0"/>
            <w:sz w:val="22"/>
            <w:szCs w:val="20"/>
          </w:rPr>
          <w:t>www.vvkt.lt</w:t>
        </w:r>
      </w:hyperlink>
      <w:r w:rsidRPr="00E27F63">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E27F63">
        <w:rPr>
          <w:snapToGrid w:val="0"/>
          <w:sz w:val="22"/>
          <w:szCs w:val="20"/>
          <w:lang w:eastAsia="zh-CN"/>
        </w:rPr>
        <w:t xml:space="preserve">nemokamu </w:t>
      </w:r>
      <w:r w:rsidRPr="00E27F63">
        <w:rPr>
          <w:snapToGrid w:val="0"/>
          <w:sz w:val="22"/>
          <w:szCs w:val="20"/>
        </w:rPr>
        <w:t>fakso numeriu 8 800 20131</w:t>
      </w:r>
      <w:r w:rsidRPr="00E27F63">
        <w:rPr>
          <w:snapToGrid w:val="0"/>
          <w:sz w:val="22"/>
          <w:szCs w:val="20"/>
          <w:lang w:eastAsia="zh-CN"/>
        </w:rPr>
        <w:t xml:space="preserve">, </w:t>
      </w:r>
      <w:r w:rsidRPr="00E27F63">
        <w:rPr>
          <w:snapToGrid w:val="0"/>
          <w:sz w:val="22"/>
          <w:szCs w:val="20"/>
        </w:rPr>
        <w:t xml:space="preserve">el. paštu </w:t>
      </w:r>
      <w:hyperlink r:id="rId6" w:history="1">
        <w:r w:rsidRPr="00E27F63">
          <w:rPr>
            <w:rStyle w:val="Hipersaitas"/>
            <w:rFonts w:eastAsia="SimSun"/>
            <w:snapToGrid w:val="0"/>
            <w:sz w:val="22"/>
            <w:szCs w:val="20"/>
          </w:rPr>
          <w:t>NepageidaujamaR@vvkt.lt</w:t>
        </w:r>
      </w:hyperlink>
      <w:r w:rsidRPr="00E27F63">
        <w:rPr>
          <w:snapToGrid w:val="0"/>
          <w:sz w:val="22"/>
          <w:szCs w:val="20"/>
        </w:rPr>
        <w:t xml:space="preserve">, taip pat per Valstybinės vaistų kontrolės tarnybos prie Lietuvos Respublikos sveikatos apsaugos ministerijos interneto svetainę (adresu </w:t>
      </w:r>
      <w:hyperlink r:id="rId7" w:history="1">
        <w:r w:rsidRPr="00E27F63">
          <w:rPr>
            <w:rStyle w:val="Hipersaitas"/>
            <w:rFonts w:eastAsia="SimSun"/>
            <w:snapToGrid w:val="0"/>
            <w:sz w:val="22"/>
            <w:szCs w:val="20"/>
          </w:rPr>
          <w:t>http://www.vvkt.lt</w:t>
        </w:r>
      </w:hyperlink>
      <w:r w:rsidRPr="00E27F63">
        <w:rPr>
          <w:snapToGrid w:val="0"/>
          <w:sz w:val="22"/>
          <w:szCs w:val="20"/>
        </w:rPr>
        <w:t>). Pranešdami apie šalutinį poveikį galite mums padėti gauti daugiau informacijos apie šio vaisto saugumą.</w:t>
      </w:r>
    </w:p>
    <w:p w:rsidR="0050408A" w:rsidRPr="00E27F63" w:rsidRDefault="0050408A" w:rsidP="0050408A">
      <w:pPr>
        <w:rPr>
          <w:sz w:val="22"/>
          <w:szCs w:val="22"/>
        </w:rPr>
      </w:pPr>
    </w:p>
    <w:p w:rsidR="0050408A" w:rsidRPr="00E27F63" w:rsidRDefault="0050408A" w:rsidP="0050408A">
      <w:pPr>
        <w:pStyle w:val="BTEMEASMCA"/>
        <w:rPr>
          <w:lang w:val="lt-LT"/>
        </w:rPr>
      </w:pPr>
    </w:p>
    <w:p w:rsidR="0050408A" w:rsidRPr="00E27F63" w:rsidRDefault="0050408A" w:rsidP="0050408A">
      <w:pPr>
        <w:pStyle w:val="PI-1EMEASMCA"/>
        <w:rPr>
          <w:lang w:val="lt-LT"/>
        </w:rPr>
      </w:pPr>
      <w:bookmarkStart w:id="12" w:name="_Toc129243268"/>
      <w:bookmarkStart w:id="13" w:name="_Toc129243143"/>
      <w:r w:rsidRPr="00E27F63">
        <w:rPr>
          <w:lang w:val="lt-LT"/>
        </w:rPr>
        <w:t>5.</w:t>
      </w:r>
      <w:r w:rsidRPr="00E27F63">
        <w:rPr>
          <w:lang w:val="lt-LT"/>
        </w:rPr>
        <w:tab/>
        <w:t xml:space="preserve">Kaip laikyti </w:t>
      </w:r>
      <w:proofErr w:type="spellStart"/>
      <w:r w:rsidRPr="00E27F63">
        <w:rPr>
          <w:lang w:val="lt-LT"/>
        </w:rPr>
        <w:t>Doloblok</w:t>
      </w:r>
      <w:bookmarkEnd w:id="12"/>
      <w:bookmarkEnd w:id="13"/>
      <w:proofErr w:type="spellEnd"/>
    </w:p>
    <w:p w:rsidR="0050408A" w:rsidRPr="00E27F63" w:rsidRDefault="0050408A" w:rsidP="0050408A">
      <w:pPr>
        <w:pStyle w:val="BTEMEASMCA"/>
        <w:rPr>
          <w:lang w:val="lt-LT"/>
        </w:rPr>
      </w:pPr>
    </w:p>
    <w:p w:rsidR="0050408A" w:rsidRPr="00E27F63" w:rsidRDefault="0050408A" w:rsidP="0050408A">
      <w:pPr>
        <w:numPr>
          <w:ilvl w:val="12"/>
          <w:numId w:val="0"/>
        </w:numPr>
        <w:ind w:right="-2"/>
        <w:rPr>
          <w:snapToGrid w:val="0"/>
          <w:sz w:val="22"/>
        </w:rPr>
      </w:pPr>
      <w:r w:rsidRPr="00E27F63">
        <w:rPr>
          <w:noProof/>
          <w:snapToGrid w:val="0"/>
          <w:sz w:val="22"/>
        </w:rPr>
        <w:t>Šį vaistą laikykite vaikams nepastebimoje ir nepasiekiamoje vietoje.</w:t>
      </w:r>
    </w:p>
    <w:p w:rsidR="0050408A" w:rsidRPr="00E27F63" w:rsidRDefault="0050408A" w:rsidP="0050408A">
      <w:pPr>
        <w:pStyle w:val="BTEMEASMCA"/>
        <w:rPr>
          <w:lang w:val="lt-LT"/>
        </w:rPr>
      </w:pPr>
    </w:p>
    <w:p w:rsidR="0050408A" w:rsidRPr="00E27F63" w:rsidRDefault="0050408A" w:rsidP="0050408A">
      <w:pPr>
        <w:pStyle w:val="BTEMEASMCA"/>
        <w:rPr>
          <w:kern w:val="16"/>
          <w:lang w:val="lt-LT"/>
        </w:rPr>
      </w:pPr>
      <w:r w:rsidRPr="00E27F63">
        <w:rPr>
          <w:kern w:val="16"/>
          <w:lang w:val="lt-LT"/>
        </w:rPr>
        <w:t>Laikyti ne aukštesnėje kaip 25 </w:t>
      </w:r>
      <w:r w:rsidRPr="00E27F63">
        <w:rPr>
          <w:kern w:val="16"/>
          <w:lang w:val="lt-LT"/>
        </w:rPr>
        <w:sym w:font="Symbol" w:char="F0B0"/>
      </w:r>
      <w:r w:rsidRPr="00E27F63">
        <w:rPr>
          <w:kern w:val="16"/>
          <w:lang w:val="lt-LT"/>
        </w:rPr>
        <w:t>C temperatūroje. Negalima šaldyti ar užšaldyti.</w:t>
      </w:r>
    </w:p>
    <w:p w:rsidR="0050408A" w:rsidRPr="00E27F63" w:rsidRDefault="0050408A" w:rsidP="0050408A">
      <w:pPr>
        <w:pStyle w:val="BTEMEASMCA"/>
        <w:rPr>
          <w:lang w:val="lt-LT"/>
        </w:rPr>
      </w:pPr>
    </w:p>
    <w:p w:rsidR="0050408A" w:rsidRPr="00E27F63" w:rsidRDefault="0050408A" w:rsidP="0050408A">
      <w:pPr>
        <w:pStyle w:val="BTEMEASMCA"/>
        <w:rPr>
          <w:lang w:val="lt-LT"/>
        </w:rPr>
      </w:pPr>
      <w:r w:rsidRPr="00E27F63">
        <w:rPr>
          <w:lang w:val="lt-LT"/>
        </w:rPr>
        <w:t xml:space="preserve">Ant ampulės etiketės po „Tinka iki“ ir dėžutės po “EXP” nurodytam tinkamumo laikui pasibaigus, </w:t>
      </w:r>
      <w:r w:rsidRPr="00E27F63">
        <w:rPr>
          <w:bCs/>
          <w:iCs/>
          <w:lang w:val="lt-LT"/>
        </w:rPr>
        <w:t>šio vaisto</w:t>
      </w:r>
      <w:r w:rsidRPr="00E27F63">
        <w:rPr>
          <w:lang w:val="lt-LT"/>
        </w:rPr>
        <w:t xml:space="preserve"> vartoti negalima. Vaistas tinkamas vartoti iki paskutinės nurodyto mėnesio dienos.</w:t>
      </w:r>
    </w:p>
    <w:p w:rsidR="0050408A" w:rsidRPr="00E27F63" w:rsidRDefault="0050408A" w:rsidP="0050408A">
      <w:pPr>
        <w:pStyle w:val="BTEMEASMCA"/>
        <w:rPr>
          <w:lang w:val="lt-LT"/>
        </w:rPr>
      </w:pPr>
    </w:p>
    <w:p w:rsidR="0050408A" w:rsidRPr="00E27F63" w:rsidRDefault="0050408A" w:rsidP="0050408A">
      <w:pPr>
        <w:pStyle w:val="BTEMEASMCA"/>
        <w:rPr>
          <w:lang w:val="lt-LT"/>
        </w:rPr>
      </w:pPr>
      <w:r w:rsidRPr="00E27F63">
        <w:rPr>
          <w:lang w:val="lt-LT"/>
        </w:rPr>
        <w:t>Vaistų negalima išmesti į kanalizaciją arba su buitinėmis atliekomis. Kaip išmesti nereikalingus vaistus, klauskite vaistininko. Šios priemonės padės apsaugoti aplinką.</w:t>
      </w:r>
    </w:p>
    <w:p w:rsidR="0050408A" w:rsidRPr="00E27F63" w:rsidRDefault="0050408A" w:rsidP="0050408A">
      <w:pPr>
        <w:pStyle w:val="BTEMEASMCA"/>
        <w:rPr>
          <w:lang w:val="lt-LT"/>
        </w:rPr>
      </w:pPr>
    </w:p>
    <w:p w:rsidR="0050408A" w:rsidRPr="00E27F63" w:rsidRDefault="0050408A" w:rsidP="0050408A">
      <w:pPr>
        <w:pStyle w:val="BTEMEASMCA"/>
        <w:rPr>
          <w:lang w:val="lt-LT"/>
        </w:rPr>
      </w:pPr>
    </w:p>
    <w:p w:rsidR="0050408A" w:rsidRPr="00E27F63" w:rsidRDefault="0050408A" w:rsidP="0050408A">
      <w:pPr>
        <w:pStyle w:val="PI-1EMEASMCA"/>
        <w:rPr>
          <w:lang w:val="lt-LT"/>
        </w:rPr>
      </w:pPr>
      <w:bookmarkStart w:id="14" w:name="_Toc129243269"/>
      <w:bookmarkStart w:id="15" w:name="_Toc129243144"/>
      <w:r w:rsidRPr="00E27F63">
        <w:rPr>
          <w:lang w:val="lt-LT"/>
        </w:rPr>
        <w:t>6.</w:t>
      </w:r>
      <w:r w:rsidRPr="00E27F63">
        <w:rPr>
          <w:lang w:val="lt-LT"/>
        </w:rPr>
        <w:tab/>
        <w:t>Pakuotės turinys ir kita informacija</w:t>
      </w:r>
      <w:bookmarkEnd w:id="14"/>
      <w:bookmarkEnd w:id="15"/>
    </w:p>
    <w:p w:rsidR="0050408A" w:rsidRPr="00E27F63" w:rsidRDefault="0050408A" w:rsidP="0050408A">
      <w:pPr>
        <w:pStyle w:val="BTEMEASMCA"/>
        <w:rPr>
          <w:lang w:val="lt-LT"/>
        </w:rPr>
      </w:pPr>
    </w:p>
    <w:p w:rsidR="0050408A" w:rsidRPr="00E27F63" w:rsidRDefault="0050408A" w:rsidP="0050408A">
      <w:pPr>
        <w:pStyle w:val="PI-3EMEASMCA"/>
        <w:spacing w:line="240" w:lineRule="auto"/>
      </w:pPr>
      <w:proofErr w:type="spellStart"/>
      <w:r w:rsidRPr="00E27F63">
        <w:rPr>
          <w:bCs w:val="0"/>
          <w:iCs/>
        </w:rPr>
        <w:t>Doloblok</w:t>
      </w:r>
      <w:proofErr w:type="spellEnd"/>
      <w:r w:rsidRPr="00E27F63">
        <w:t xml:space="preserve"> sudėtis</w:t>
      </w:r>
    </w:p>
    <w:p w:rsidR="0050408A" w:rsidRPr="00E27F63" w:rsidRDefault="0050408A" w:rsidP="0050408A">
      <w:pPr>
        <w:suppressAutoHyphens/>
        <w:ind w:left="567" w:hanging="567"/>
        <w:rPr>
          <w:spacing w:val="-3"/>
          <w:sz w:val="22"/>
          <w:szCs w:val="22"/>
        </w:rPr>
      </w:pPr>
      <w:r w:rsidRPr="00E27F63">
        <w:rPr>
          <w:kern w:val="16"/>
          <w:sz w:val="22"/>
          <w:szCs w:val="22"/>
        </w:rPr>
        <w:t>-</w:t>
      </w:r>
      <w:r w:rsidRPr="00E27F63">
        <w:rPr>
          <w:kern w:val="16"/>
          <w:sz w:val="22"/>
          <w:szCs w:val="22"/>
        </w:rPr>
        <w:tab/>
        <w:t xml:space="preserve">Veiklioji medžiaga yra </w:t>
      </w:r>
      <w:proofErr w:type="spellStart"/>
      <w:r w:rsidRPr="00E27F63">
        <w:rPr>
          <w:kern w:val="16"/>
          <w:sz w:val="22"/>
          <w:szCs w:val="22"/>
        </w:rPr>
        <w:t>petidino</w:t>
      </w:r>
      <w:proofErr w:type="spellEnd"/>
      <w:r w:rsidRPr="00E27F63">
        <w:rPr>
          <w:kern w:val="16"/>
          <w:sz w:val="22"/>
          <w:szCs w:val="22"/>
        </w:rPr>
        <w:t xml:space="preserve"> hidrochloridas. Viename ml tirpalo yra 50 mg </w:t>
      </w:r>
      <w:proofErr w:type="spellStart"/>
      <w:r w:rsidRPr="00E27F63">
        <w:rPr>
          <w:kern w:val="16"/>
          <w:sz w:val="22"/>
          <w:szCs w:val="22"/>
        </w:rPr>
        <w:t>petidino</w:t>
      </w:r>
      <w:proofErr w:type="spellEnd"/>
      <w:r w:rsidRPr="00E27F63">
        <w:rPr>
          <w:kern w:val="16"/>
          <w:sz w:val="22"/>
          <w:szCs w:val="22"/>
        </w:rPr>
        <w:t xml:space="preserve"> hidrochlorido. </w:t>
      </w:r>
      <w:r w:rsidRPr="00E27F63">
        <w:rPr>
          <w:spacing w:val="-3"/>
          <w:sz w:val="22"/>
          <w:szCs w:val="22"/>
        </w:rPr>
        <w:t xml:space="preserve">Vienoje 1 ml ampulėje yra 50 mg </w:t>
      </w:r>
      <w:proofErr w:type="spellStart"/>
      <w:r w:rsidRPr="00E27F63">
        <w:rPr>
          <w:spacing w:val="-3"/>
          <w:sz w:val="22"/>
          <w:szCs w:val="22"/>
        </w:rPr>
        <w:t>petidino</w:t>
      </w:r>
      <w:proofErr w:type="spellEnd"/>
      <w:r w:rsidRPr="00E27F63">
        <w:rPr>
          <w:spacing w:val="-3"/>
          <w:sz w:val="22"/>
          <w:szCs w:val="22"/>
        </w:rPr>
        <w:t xml:space="preserve"> hidrochlorido, 2 ml </w:t>
      </w:r>
      <w:r w:rsidRPr="00E27F63">
        <w:rPr>
          <w:sz w:val="22"/>
          <w:szCs w:val="22"/>
        </w:rPr>
        <w:t>ampulėje yra 100 mg</w:t>
      </w:r>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hidrochlorido. </w:t>
      </w:r>
    </w:p>
    <w:p w:rsidR="0050408A" w:rsidRPr="00E27F63" w:rsidRDefault="0050408A" w:rsidP="0050408A">
      <w:pPr>
        <w:pStyle w:val="Pagrindinistekstas"/>
        <w:spacing w:line="240" w:lineRule="auto"/>
        <w:ind w:left="567" w:hanging="567"/>
        <w:jc w:val="left"/>
        <w:rPr>
          <w:rFonts w:ascii="Times New Roman" w:hAnsi="Times New Roman"/>
          <w:kern w:val="16"/>
          <w:sz w:val="22"/>
          <w:szCs w:val="22"/>
          <w:lang w:val="lt-LT"/>
        </w:rPr>
      </w:pPr>
      <w:r w:rsidRPr="00E27F63">
        <w:rPr>
          <w:rFonts w:ascii="Times New Roman" w:hAnsi="Times New Roman"/>
          <w:kern w:val="16"/>
          <w:sz w:val="22"/>
          <w:szCs w:val="22"/>
          <w:lang w:val="lt-LT"/>
        </w:rPr>
        <w:t>-</w:t>
      </w:r>
      <w:r w:rsidRPr="00E27F63">
        <w:rPr>
          <w:rFonts w:ascii="Times New Roman" w:hAnsi="Times New Roman"/>
          <w:kern w:val="16"/>
          <w:sz w:val="22"/>
          <w:szCs w:val="22"/>
          <w:lang w:val="lt-LT"/>
        </w:rPr>
        <w:tab/>
        <w:t xml:space="preserve">Pagalbinės medžiagos: natrio </w:t>
      </w:r>
      <w:proofErr w:type="spellStart"/>
      <w:r w:rsidRPr="00E27F63">
        <w:rPr>
          <w:rFonts w:ascii="Times New Roman" w:hAnsi="Times New Roman"/>
          <w:kern w:val="16"/>
          <w:sz w:val="22"/>
          <w:szCs w:val="22"/>
          <w:lang w:val="lt-LT"/>
        </w:rPr>
        <w:t>hidroksidas</w:t>
      </w:r>
      <w:proofErr w:type="spellEnd"/>
      <w:r w:rsidRPr="00E27F63">
        <w:rPr>
          <w:rFonts w:ascii="Times New Roman" w:hAnsi="Times New Roman"/>
          <w:kern w:val="16"/>
          <w:sz w:val="22"/>
          <w:szCs w:val="22"/>
          <w:lang w:val="lt-LT"/>
        </w:rPr>
        <w:t xml:space="preserve"> (pH koreguoti), injekcinis vanduo. </w:t>
      </w:r>
    </w:p>
    <w:p w:rsidR="0050408A" w:rsidRPr="00E27F63" w:rsidRDefault="0050408A" w:rsidP="0050408A">
      <w:pPr>
        <w:pStyle w:val="BTEMEASMCA"/>
        <w:rPr>
          <w:lang w:val="lt-LT"/>
        </w:rPr>
      </w:pPr>
    </w:p>
    <w:p w:rsidR="0050408A" w:rsidRPr="00E27F63" w:rsidRDefault="0050408A" w:rsidP="0050408A">
      <w:pPr>
        <w:pStyle w:val="PI-3EMEASMCA"/>
        <w:spacing w:line="240" w:lineRule="auto"/>
      </w:pPr>
      <w:proofErr w:type="spellStart"/>
      <w:r w:rsidRPr="00E27F63">
        <w:rPr>
          <w:bCs w:val="0"/>
          <w:iCs/>
        </w:rPr>
        <w:t>Doloblok</w:t>
      </w:r>
      <w:proofErr w:type="spellEnd"/>
      <w:r w:rsidRPr="00E27F63">
        <w:t xml:space="preserve"> išvaizda ir kiekis pakuotėje</w:t>
      </w:r>
    </w:p>
    <w:p w:rsidR="0050408A" w:rsidRPr="00E27F63" w:rsidRDefault="0050408A" w:rsidP="0050408A">
      <w:pPr>
        <w:tabs>
          <w:tab w:val="left" w:pos="567"/>
        </w:tabs>
        <w:rPr>
          <w:sz w:val="22"/>
          <w:szCs w:val="22"/>
        </w:rPr>
      </w:pPr>
      <w:proofErr w:type="spellStart"/>
      <w:r w:rsidRPr="00E27F63">
        <w:rPr>
          <w:sz w:val="22"/>
          <w:szCs w:val="22"/>
        </w:rPr>
        <w:t>Doloblok</w:t>
      </w:r>
      <w:proofErr w:type="spellEnd"/>
      <w:r w:rsidRPr="00E27F63">
        <w:rPr>
          <w:sz w:val="22"/>
          <w:szCs w:val="22"/>
        </w:rPr>
        <w:t xml:space="preserve"> yra skaidrus bespalvis tirpalas, tiekiamas bespalvio stiklo ampulėmis.</w:t>
      </w:r>
    </w:p>
    <w:p w:rsidR="0050408A" w:rsidRPr="00E27F63" w:rsidRDefault="0050408A" w:rsidP="0050408A">
      <w:pPr>
        <w:tabs>
          <w:tab w:val="left" w:pos="567"/>
        </w:tabs>
        <w:rPr>
          <w:sz w:val="22"/>
          <w:szCs w:val="22"/>
        </w:rPr>
      </w:pPr>
      <w:r w:rsidRPr="00E27F63">
        <w:rPr>
          <w:sz w:val="22"/>
          <w:szCs w:val="22"/>
        </w:rPr>
        <w:t>Pakuotėje yra dešimt 1 ml arba 2 ml ampulių.</w:t>
      </w:r>
    </w:p>
    <w:p w:rsidR="0050408A" w:rsidRPr="00E27F63" w:rsidRDefault="0050408A" w:rsidP="0050408A">
      <w:pPr>
        <w:tabs>
          <w:tab w:val="left" w:pos="567"/>
        </w:tabs>
        <w:rPr>
          <w:sz w:val="22"/>
          <w:szCs w:val="22"/>
        </w:rPr>
      </w:pPr>
      <w:r w:rsidRPr="00E27F63">
        <w:rPr>
          <w:sz w:val="22"/>
          <w:szCs w:val="22"/>
        </w:rPr>
        <w:t>Gali būti tiekiamos ne visų dydžių pakuotės.</w:t>
      </w:r>
    </w:p>
    <w:p w:rsidR="0050408A" w:rsidRPr="00E27F63" w:rsidRDefault="0050408A" w:rsidP="0050408A">
      <w:pPr>
        <w:pStyle w:val="BTEMEASMCA"/>
        <w:rPr>
          <w:lang w:val="lt-LT"/>
        </w:rPr>
      </w:pPr>
    </w:p>
    <w:p w:rsidR="0050408A" w:rsidRPr="00E27F63" w:rsidRDefault="0050408A" w:rsidP="0050408A">
      <w:pPr>
        <w:pStyle w:val="PI-3EMEASMCA"/>
        <w:spacing w:line="240" w:lineRule="auto"/>
      </w:pPr>
      <w:r w:rsidRPr="00E27F63">
        <w:t xml:space="preserve">Registruotojas </w:t>
      </w:r>
    </w:p>
    <w:p w:rsidR="0050408A" w:rsidRPr="00E27F63" w:rsidRDefault="0050408A" w:rsidP="0050408A">
      <w:pPr>
        <w:rPr>
          <w:sz w:val="22"/>
          <w:szCs w:val="22"/>
        </w:rPr>
      </w:pPr>
      <w:proofErr w:type="spellStart"/>
      <w:r w:rsidRPr="00E27F63">
        <w:rPr>
          <w:sz w:val="22"/>
          <w:szCs w:val="22"/>
        </w:rPr>
        <w:t>PharmaSwiss</w:t>
      </w:r>
      <w:proofErr w:type="spellEnd"/>
      <w:r w:rsidRPr="00E27F63">
        <w:rPr>
          <w:sz w:val="22"/>
          <w:szCs w:val="22"/>
        </w:rPr>
        <w:t xml:space="preserve"> </w:t>
      </w:r>
      <w:proofErr w:type="spellStart"/>
      <w:r w:rsidRPr="00E27F63">
        <w:rPr>
          <w:sz w:val="22"/>
          <w:szCs w:val="22"/>
        </w:rPr>
        <w:t>Česká</w:t>
      </w:r>
      <w:proofErr w:type="spellEnd"/>
      <w:r w:rsidRPr="00E27F63">
        <w:rPr>
          <w:sz w:val="22"/>
          <w:szCs w:val="22"/>
        </w:rPr>
        <w:t xml:space="preserve"> </w:t>
      </w:r>
      <w:proofErr w:type="spellStart"/>
      <w:r w:rsidRPr="00E27F63">
        <w:rPr>
          <w:sz w:val="22"/>
          <w:szCs w:val="22"/>
        </w:rPr>
        <w:t>republika</w:t>
      </w:r>
      <w:proofErr w:type="spellEnd"/>
      <w:r w:rsidRPr="00E27F63">
        <w:rPr>
          <w:sz w:val="22"/>
          <w:szCs w:val="22"/>
        </w:rPr>
        <w:t xml:space="preserve"> </w:t>
      </w:r>
      <w:proofErr w:type="spellStart"/>
      <w:r w:rsidRPr="00E27F63">
        <w:rPr>
          <w:sz w:val="22"/>
          <w:szCs w:val="22"/>
        </w:rPr>
        <w:t>s.r.o</w:t>
      </w:r>
      <w:proofErr w:type="spellEnd"/>
      <w:r w:rsidRPr="00E27F63">
        <w:rPr>
          <w:sz w:val="22"/>
          <w:szCs w:val="22"/>
        </w:rPr>
        <w:t>.</w:t>
      </w:r>
    </w:p>
    <w:p w:rsidR="0050408A" w:rsidRPr="00E27F63" w:rsidRDefault="0050408A" w:rsidP="0050408A">
      <w:pPr>
        <w:rPr>
          <w:sz w:val="22"/>
          <w:szCs w:val="22"/>
        </w:rPr>
      </w:pPr>
      <w:proofErr w:type="spellStart"/>
      <w:r w:rsidRPr="00E27F63">
        <w:rPr>
          <w:sz w:val="22"/>
          <w:szCs w:val="22"/>
        </w:rPr>
        <w:t>Jankovcova</w:t>
      </w:r>
      <w:proofErr w:type="spellEnd"/>
      <w:r w:rsidRPr="00E27F63">
        <w:rPr>
          <w:sz w:val="22"/>
          <w:szCs w:val="22"/>
        </w:rPr>
        <w:t xml:space="preserve"> 1569/2c </w:t>
      </w:r>
    </w:p>
    <w:p w:rsidR="0050408A" w:rsidRPr="00E27F63" w:rsidRDefault="0050408A" w:rsidP="0050408A">
      <w:pPr>
        <w:rPr>
          <w:sz w:val="22"/>
          <w:szCs w:val="22"/>
        </w:rPr>
      </w:pPr>
      <w:r w:rsidRPr="00E27F63">
        <w:rPr>
          <w:sz w:val="22"/>
          <w:szCs w:val="22"/>
        </w:rPr>
        <w:t xml:space="preserve">170 00 </w:t>
      </w:r>
      <w:proofErr w:type="spellStart"/>
      <w:r w:rsidRPr="00E27F63">
        <w:rPr>
          <w:sz w:val="22"/>
          <w:szCs w:val="22"/>
        </w:rPr>
        <w:t>Prague</w:t>
      </w:r>
      <w:proofErr w:type="spellEnd"/>
      <w:r w:rsidRPr="00E27F63">
        <w:rPr>
          <w:sz w:val="22"/>
          <w:szCs w:val="22"/>
        </w:rPr>
        <w:t xml:space="preserve"> 7 </w:t>
      </w:r>
    </w:p>
    <w:p w:rsidR="0050408A" w:rsidRPr="00E27F63" w:rsidRDefault="0050408A" w:rsidP="0050408A">
      <w:pPr>
        <w:rPr>
          <w:iCs/>
          <w:sz w:val="22"/>
          <w:szCs w:val="22"/>
        </w:rPr>
      </w:pPr>
      <w:r w:rsidRPr="00E27F63">
        <w:rPr>
          <w:sz w:val="22"/>
          <w:szCs w:val="22"/>
        </w:rPr>
        <w:t>Čekija</w:t>
      </w:r>
    </w:p>
    <w:p w:rsidR="0050408A" w:rsidRPr="00E27F63" w:rsidRDefault="0050408A" w:rsidP="0050408A">
      <w:pPr>
        <w:pStyle w:val="PI-3EMEASMCA"/>
        <w:spacing w:line="240" w:lineRule="auto"/>
      </w:pPr>
    </w:p>
    <w:p w:rsidR="0050408A" w:rsidRPr="00E27F63" w:rsidRDefault="0050408A" w:rsidP="0050408A">
      <w:pPr>
        <w:pStyle w:val="PI-3EMEASMCA"/>
        <w:spacing w:line="240" w:lineRule="auto"/>
      </w:pPr>
      <w:r w:rsidRPr="00E27F63">
        <w:t>Gamintojai</w:t>
      </w:r>
    </w:p>
    <w:p w:rsidR="0050408A" w:rsidRPr="00E27F63" w:rsidRDefault="0050408A" w:rsidP="0050408A">
      <w:pPr>
        <w:rPr>
          <w:sz w:val="22"/>
          <w:szCs w:val="22"/>
        </w:rPr>
      </w:pPr>
      <w:r w:rsidRPr="00E27F63">
        <w:rPr>
          <w:sz w:val="22"/>
          <w:szCs w:val="22"/>
        </w:rPr>
        <w:t xml:space="preserve">UAB </w:t>
      </w:r>
      <w:proofErr w:type="spellStart"/>
      <w:r w:rsidRPr="00E27F63">
        <w:rPr>
          <w:sz w:val="22"/>
          <w:szCs w:val="22"/>
        </w:rPr>
        <w:t>Santonika</w:t>
      </w:r>
      <w:proofErr w:type="spellEnd"/>
    </w:p>
    <w:p w:rsidR="0050408A" w:rsidRPr="00E27F63" w:rsidRDefault="0050408A" w:rsidP="0050408A">
      <w:pPr>
        <w:rPr>
          <w:sz w:val="22"/>
          <w:szCs w:val="22"/>
        </w:rPr>
      </w:pPr>
      <w:r w:rsidRPr="00E27F63">
        <w:rPr>
          <w:sz w:val="22"/>
          <w:szCs w:val="22"/>
        </w:rPr>
        <w:t>Veiverių g. 134 B</w:t>
      </w:r>
    </w:p>
    <w:p w:rsidR="0050408A" w:rsidRPr="00E27F63" w:rsidRDefault="0050408A" w:rsidP="0050408A">
      <w:pPr>
        <w:rPr>
          <w:sz w:val="22"/>
          <w:szCs w:val="22"/>
        </w:rPr>
      </w:pPr>
      <w:r w:rsidRPr="00E27F63">
        <w:rPr>
          <w:sz w:val="22"/>
          <w:szCs w:val="22"/>
        </w:rPr>
        <w:t>LT - 46353 Kaunas</w:t>
      </w:r>
    </w:p>
    <w:p w:rsidR="0050408A" w:rsidRPr="00E27F63" w:rsidRDefault="0050408A" w:rsidP="0050408A">
      <w:pPr>
        <w:rPr>
          <w:sz w:val="22"/>
          <w:szCs w:val="22"/>
        </w:rPr>
      </w:pPr>
      <w:r w:rsidRPr="00E27F63">
        <w:rPr>
          <w:sz w:val="22"/>
          <w:szCs w:val="22"/>
        </w:rPr>
        <w:t xml:space="preserve">Lietuva </w:t>
      </w:r>
    </w:p>
    <w:p w:rsidR="0050408A" w:rsidRPr="00E27F63" w:rsidRDefault="0050408A" w:rsidP="0050408A">
      <w:pPr>
        <w:pStyle w:val="BTEMEASMCA"/>
        <w:rPr>
          <w:lang w:val="lt-LT"/>
        </w:rPr>
      </w:pPr>
    </w:p>
    <w:p w:rsidR="0050408A" w:rsidRPr="00E27F63" w:rsidRDefault="0050408A" w:rsidP="0050408A">
      <w:pPr>
        <w:rPr>
          <w:sz w:val="22"/>
          <w:szCs w:val="22"/>
        </w:rPr>
      </w:pPr>
      <w:r w:rsidRPr="00E27F63">
        <w:rPr>
          <w:bCs/>
          <w:sz w:val="22"/>
          <w:szCs w:val="22"/>
        </w:rPr>
        <w:t xml:space="preserve">HBM </w:t>
      </w:r>
      <w:proofErr w:type="spellStart"/>
      <w:r w:rsidRPr="00E27F63">
        <w:rPr>
          <w:bCs/>
          <w:sz w:val="22"/>
          <w:szCs w:val="22"/>
        </w:rPr>
        <w:t>Pharma</w:t>
      </w:r>
      <w:proofErr w:type="spellEnd"/>
      <w:r w:rsidRPr="00E27F63">
        <w:rPr>
          <w:sz w:val="22"/>
          <w:szCs w:val="22"/>
        </w:rPr>
        <w:t xml:space="preserve"> </w:t>
      </w:r>
      <w:proofErr w:type="spellStart"/>
      <w:r w:rsidRPr="00E27F63">
        <w:rPr>
          <w:sz w:val="22"/>
          <w:szCs w:val="22"/>
        </w:rPr>
        <w:t>s</w:t>
      </w:r>
      <w:r w:rsidRPr="00E27F63">
        <w:rPr>
          <w:bCs/>
          <w:sz w:val="22"/>
          <w:szCs w:val="22"/>
        </w:rPr>
        <w:t>.</w:t>
      </w:r>
      <w:r w:rsidRPr="00E27F63">
        <w:rPr>
          <w:sz w:val="22"/>
          <w:szCs w:val="22"/>
        </w:rPr>
        <w:t>r.o</w:t>
      </w:r>
      <w:proofErr w:type="spellEnd"/>
      <w:r w:rsidRPr="00E27F63">
        <w:rPr>
          <w:bCs/>
          <w:sz w:val="22"/>
          <w:szCs w:val="22"/>
        </w:rPr>
        <w:t>.</w:t>
      </w:r>
    </w:p>
    <w:p w:rsidR="0050408A" w:rsidRPr="00E27F63" w:rsidRDefault="0050408A" w:rsidP="0050408A">
      <w:pPr>
        <w:rPr>
          <w:kern w:val="16"/>
          <w:sz w:val="22"/>
          <w:szCs w:val="22"/>
        </w:rPr>
      </w:pPr>
      <w:proofErr w:type="spellStart"/>
      <w:r w:rsidRPr="00E27F63">
        <w:rPr>
          <w:bCs/>
          <w:sz w:val="22"/>
          <w:szCs w:val="22"/>
        </w:rPr>
        <w:t>Sklabinská</w:t>
      </w:r>
      <w:proofErr w:type="spellEnd"/>
      <w:r w:rsidRPr="00E27F63">
        <w:rPr>
          <w:sz w:val="22"/>
          <w:szCs w:val="22"/>
        </w:rPr>
        <w:t xml:space="preserve"> 30, </w:t>
      </w:r>
      <w:r w:rsidRPr="00E27F63">
        <w:rPr>
          <w:kern w:val="16"/>
          <w:sz w:val="22"/>
          <w:szCs w:val="22"/>
        </w:rPr>
        <w:t xml:space="preserve">03680 </w:t>
      </w:r>
      <w:proofErr w:type="spellStart"/>
      <w:r w:rsidRPr="00E27F63">
        <w:rPr>
          <w:caps/>
          <w:kern w:val="16"/>
          <w:sz w:val="22"/>
          <w:szCs w:val="22"/>
        </w:rPr>
        <w:t>m</w:t>
      </w:r>
      <w:r w:rsidRPr="00E27F63">
        <w:rPr>
          <w:kern w:val="16"/>
          <w:sz w:val="22"/>
          <w:szCs w:val="22"/>
        </w:rPr>
        <w:t>artin</w:t>
      </w:r>
      <w:proofErr w:type="spellEnd"/>
    </w:p>
    <w:p w:rsidR="0050408A" w:rsidRPr="00E27F63" w:rsidRDefault="0050408A" w:rsidP="0050408A">
      <w:pPr>
        <w:tabs>
          <w:tab w:val="left" w:pos="567"/>
        </w:tabs>
        <w:rPr>
          <w:kern w:val="16"/>
          <w:sz w:val="22"/>
          <w:szCs w:val="22"/>
        </w:rPr>
      </w:pPr>
      <w:r w:rsidRPr="00E27F63">
        <w:rPr>
          <w:kern w:val="16"/>
          <w:sz w:val="22"/>
          <w:szCs w:val="22"/>
        </w:rPr>
        <w:t xml:space="preserve">Slovakija </w:t>
      </w:r>
    </w:p>
    <w:p w:rsidR="0050408A" w:rsidRPr="00E27F63" w:rsidRDefault="0050408A" w:rsidP="0050408A">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 xml:space="preserve">Tel. + 421  43 4202111 </w:t>
      </w:r>
    </w:p>
    <w:p w:rsidR="0050408A" w:rsidRPr="00E27F63" w:rsidRDefault="0050408A" w:rsidP="0050408A">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faks. + 421  43 4221004</w:t>
      </w:r>
    </w:p>
    <w:p w:rsidR="0050408A" w:rsidRPr="00E27F63" w:rsidRDefault="0050408A" w:rsidP="0050408A">
      <w:pPr>
        <w:pStyle w:val="BTEMEASMCA"/>
        <w:rPr>
          <w:lang w:val="lt-LT"/>
        </w:rPr>
      </w:pPr>
    </w:p>
    <w:p w:rsidR="0050408A" w:rsidRPr="00E27F63" w:rsidRDefault="0050408A" w:rsidP="0050408A">
      <w:pPr>
        <w:pStyle w:val="BTEMEASMCA"/>
        <w:rPr>
          <w:lang w:val="lt-LT"/>
        </w:rPr>
      </w:pPr>
      <w:r w:rsidRPr="00E27F63">
        <w:rPr>
          <w:lang w:val="lt-LT"/>
        </w:rPr>
        <w:t>Jeigu apie šį vaistą norite sužinoti daugiau, kreipkitės į vietinį registruotojo atstovą.</w:t>
      </w:r>
    </w:p>
    <w:p w:rsidR="0050408A" w:rsidRPr="00E27F63" w:rsidRDefault="0050408A" w:rsidP="0050408A">
      <w:pPr>
        <w:pStyle w:val="BTEMEASMCA"/>
        <w:rPr>
          <w:lang w:val="lt-LT"/>
        </w:rPr>
      </w:pPr>
    </w:p>
    <w:p w:rsidR="0050408A" w:rsidRPr="00E27F63" w:rsidRDefault="0050408A" w:rsidP="0050408A">
      <w:pPr>
        <w:rPr>
          <w:rFonts w:eastAsia="MS Mincho"/>
          <w:sz w:val="22"/>
          <w:szCs w:val="22"/>
        </w:rPr>
      </w:pPr>
      <w:r w:rsidRPr="00E27F63">
        <w:rPr>
          <w:rFonts w:eastAsia="MS Mincho"/>
          <w:sz w:val="22"/>
          <w:szCs w:val="22"/>
        </w:rPr>
        <w:t>UAB „</w:t>
      </w:r>
      <w:proofErr w:type="spellStart"/>
      <w:r w:rsidRPr="00E27F63">
        <w:rPr>
          <w:rFonts w:eastAsia="MS Mincho"/>
          <w:sz w:val="22"/>
          <w:szCs w:val="22"/>
        </w:rPr>
        <w:t>PharmaSwiss</w:t>
      </w:r>
      <w:proofErr w:type="spellEnd"/>
      <w:r w:rsidRPr="00E27F63">
        <w:rPr>
          <w:rFonts w:eastAsia="MS Mincho"/>
          <w:sz w:val="22"/>
          <w:szCs w:val="22"/>
        </w:rPr>
        <w:t xml:space="preserve">“ </w:t>
      </w:r>
    </w:p>
    <w:p w:rsidR="0050408A" w:rsidRPr="00E27F63" w:rsidRDefault="0050408A" w:rsidP="0050408A">
      <w:pPr>
        <w:rPr>
          <w:rFonts w:eastAsia="MS Mincho"/>
          <w:sz w:val="22"/>
          <w:szCs w:val="22"/>
        </w:rPr>
      </w:pPr>
      <w:r w:rsidRPr="00E27F63">
        <w:rPr>
          <w:rFonts w:eastAsia="MS Mincho"/>
          <w:sz w:val="22"/>
          <w:szCs w:val="22"/>
        </w:rPr>
        <w:t xml:space="preserve">Užnerio g. 1 </w:t>
      </w:r>
    </w:p>
    <w:p w:rsidR="0050408A" w:rsidRPr="00E27F63" w:rsidRDefault="0050408A" w:rsidP="0050408A">
      <w:pPr>
        <w:rPr>
          <w:rFonts w:eastAsia="MS Mincho"/>
          <w:sz w:val="22"/>
          <w:szCs w:val="22"/>
        </w:rPr>
      </w:pPr>
      <w:r w:rsidRPr="00E27F63">
        <w:rPr>
          <w:rFonts w:eastAsia="MS Mincho"/>
          <w:sz w:val="22"/>
          <w:szCs w:val="22"/>
        </w:rPr>
        <w:t>LT-47484 Kaunas</w:t>
      </w:r>
    </w:p>
    <w:p w:rsidR="0050408A" w:rsidRPr="00E27F63" w:rsidRDefault="0050408A" w:rsidP="0050408A">
      <w:pPr>
        <w:rPr>
          <w:rFonts w:eastAsia="MS Mincho"/>
          <w:sz w:val="22"/>
          <w:szCs w:val="22"/>
        </w:rPr>
      </w:pPr>
      <w:r w:rsidRPr="00E27F63">
        <w:rPr>
          <w:rFonts w:eastAsia="MS Mincho"/>
          <w:sz w:val="22"/>
          <w:szCs w:val="22"/>
        </w:rPr>
        <w:t>Tel. +370 5 2790 762</w:t>
      </w:r>
    </w:p>
    <w:p w:rsidR="0050408A" w:rsidRPr="00E27F63" w:rsidRDefault="0050408A" w:rsidP="0050408A">
      <w:pPr>
        <w:pStyle w:val="BTEMEASMCA"/>
        <w:rPr>
          <w:lang w:val="lt-LT"/>
        </w:rPr>
      </w:pPr>
    </w:p>
    <w:p w:rsidR="0050408A" w:rsidRPr="00E27F63" w:rsidRDefault="0050408A" w:rsidP="0050408A">
      <w:pPr>
        <w:pStyle w:val="BTbEMEASMCA"/>
        <w:rPr>
          <w:lang w:val="lt-LT"/>
        </w:rPr>
      </w:pPr>
      <w:r w:rsidRPr="00E27F63">
        <w:rPr>
          <w:bCs/>
          <w:lang w:val="lt-LT"/>
        </w:rPr>
        <w:t>Šis pakuotės lapelis</w:t>
      </w:r>
      <w:r w:rsidRPr="00E27F63">
        <w:rPr>
          <w:lang w:val="lt-LT"/>
        </w:rPr>
        <w:t xml:space="preserve"> paskutinį kartą peržiūrėtas 2018-08-14.</w:t>
      </w:r>
    </w:p>
    <w:p w:rsidR="0050408A" w:rsidRPr="00E27F63" w:rsidRDefault="0050408A" w:rsidP="0050408A">
      <w:pPr>
        <w:rPr>
          <w:sz w:val="22"/>
          <w:szCs w:val="22"/>
        </w:rPr>
      </w:pPr>
    </w:p>
    <w:p w:rsidR="0050408A" w:rsidRDefault="0050408A" w:rsidP="0050408A">
      <w:pPr>
        <w:numPr>
          <w:ilvl w:val="12"/>
          <w:numId w:val="0"/>
        </w:numPr>
        <w:tabs>
          <w:tab w:val="left" w:pos="567"/>
        </w:tabs>
        <w:ind w:right="-2"/>
        <w:rPr>
          <w:snapToGrid w:val="0"/>
          <w:sz w:val="22"/>
          <w:szCs w:val="20"/>
        </w:rPr>
      </w:pPr>
      <w:r w:rsidRPr="00E27F63">
        <w:rPr>
          <w:snapToGrid w:val="0"/>
          <w:sz w:val="22"/>
          <w:szCs w:val="20"/>
        </w:rPr>
        <w:t xml:space="preserve">Išsami informacija apie šį </w:t>
      </w:r>
      <w:r w:rsidRPr="00E27F63">
        <w:rPr>
          <w:snapToGrid w:val="0"/>
          <w:sz w:val="22"/>
        </w:rPr>
        <w:t>vaistą</w:t>
      </w:r>
      <w:r w:rsidRPr="00E27F63">
        <w:rPr>
          <w:snapToGrid w:val="0"/>
          <w:sz w:val="22"/>
          <w:szCs w:val="20"/>
        </w:rPr>
        <w:t xml:space="preserve"> pateikiama Valstybinės vaistų kontrolės tarnybos prie Lietuvos Respublikos sveikatos apsaugos ministerijos tinklalapyje</w:t>
      </w:r>
      <w:r w:rsidRPr="00E27F63">
        <w:rPr>
          <w:i/>
          <w:snapToGrid w:val="0"/>
          <w:sz w:val="22"/>
        </w:rPr>
        <w:t xml:space="preserve"> </w:t>
      </w:r>
      <w:hyperlink r:id="rId8" w:history="1">
        <w:r w:rsidRPr="00E27F63">
          <w:rPr>
            <w:rStyle w:val="Hipersaitas"/>
            <w:rFonts w:eastAsia="SimSun"/>
            <w:snapToGrid w:val="0"/>
            <w:sz w:val="22"/>
            <w:szCs w:val="20"/>
          </w:rPr>
          <w:t>http://www.vvkt.lt/</w:t>
        </w:r>
      </w:hyperlink>
      <w:r w:rsidRPr="00E27F63">
        <w:rPr>
          <w:snapToGrid w:val="0"/>
          <w:sz w:val="22"/>
          <w:szCs w:val="20"/>
        </w:rPr>
        <w:t>.</w:t>
      </w:r>
    </w:p>
    <w:p w:rsidR="00787B35" w:rsidRPr="00E27F63" w:rsidRDefault="00787B35" w:rsidP="0050408A">
      <w:pPr>
        <w:numPr>
          <w:ilvl w:val="12"/>
          <w:numId w:val="0"/>
        </w:numPr>
        <w:tabs>
          <w:tab w:val="left" w:pos="567"/>
        </w:tabs>
        <w:ind w:right="-2"/>
        <w:rPr>
          <w:snapToGrid w:val="0"/>
          <w:sz w:val="22"/>
        </w:rPr>
      </w:pPr>
      <w:bookmarkStart w:id="16" w:name="_GoBack"/>
      <w:bookmarkEnd w:id="16"/>
    </w:p>
    <w:sectPr w:rsidR="00787B35" w:rsidRPr="00E27F63" w:rsidSect="0017111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C8EB08"/>
    <w:lvl w:ilvl="0" w:tplc="BAC48642">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lvl w:ilvl="0">
        <w:numFmt w:val="bullet"/>
        <w:lvlText w:val="-"/>
        <w:lvlJc w:val="left"/>
        <w:pPr>
          <w:ind w:left="360" w:hanging="360"/>
        </w:pPr>
        <w:rPr>
          <w:rFonts w:cs="Times New Roman"/>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8A"/>
    <w:rsid w:val="0050408A"/>
    <w:rsid w:val="00787B3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96CB"/>
  <w15:chartTrackingRefBased/>
  <w15:docId w15:val="{EE7CBB0B-E12A-404B-AC06-11E2E47B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408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5040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040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50408A"/>
    <w:rPr>
      <w:color w:val="0000FF"/>
      <w:u w:val="single"/>
    </w:rPr>
  </w:style>
  <w:style w:type="paragraph" w:styleId="Pagrindinistekstas">
    <w:name w:val="Body Text"/>
    <w:basedOn w:val="prastasis"/>
    <w:link w:val="PagrindinistekstasDiagrama"/>
    <w:semiHidden/>
    <w:unhideWhenUsed/>
    <w:rsid w:val="0050408A"/>
    <w:pPr>
      <w:spacing w:line="360" w:lineRule="auto"/>
      <w:jc w:val="both"/>
    </w:pPr>
    <w:rPr>
      <w:rFonts w:ascii="Arial" w:hAnsi="Arial"/>
      <w:szCs w:val="20"/>
      <w:lang w:val="x-none" w:eastAsia="x-none"/>
    </w:rPr>
  </w:style>
  <w:style w:type="character" w:customStyle="1" w:styleId="PagrindinistekstasDiagrama">
    <w:name w:val="Pagrindinis tekstas Diagrama"/>
    <w:basedOn w:val="Numatytasispastraiposriftas"/>
    <w:link w:val="Pagrindinistekstas"/>
    <w:semiHidden/>
    <w:rsid w:val="0050408A"/>
    <w:rPr>
      <w:rFonts w:ascii="Arial" w:hAnsi="Arial" w:cs="Times New Roman"/>
      <w:sz w:val="24"/>
      <w:szCs w:val="20"/>
      <w:lang w:val="x-none" w:eastAsia="x-none"/>
    </w:rPr>
  </w:style>
  <w:style w:type="paragraph" w:styleId="Pagrindinistekstas2">
    <w:name w:val="Body Text 2"/>
    <w:basedOn w:val="prastasis"/>
    <w:link w:val="Pagrindinistekstas2Diagrama"/>
    <w:semiHidden/>
    <w:unhideWhenUsed/>
    <w:rsid w:val="0050408A"/>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semiHidden/>
    <w:rsid w:val="0050408A"/>
    <w:rPr>
      <w:rFonts w:ascii="Times New Roman" w:hAnsi="Times New Roman" w:cs="Times New Roman"/>
      <w:sz w:val="24"/>
      <w:szCs w:val="24"/>
      <w:lang w:val="x-none" w:eastAsia="x-none"/>
    </w:rPr>
  </w:style>
  <w:style w:type="paragraph" w:customStyle="1" w:styleId="PI-1EMEASMCA">
    <w:name w:val="PI-1 EMEA_SMCA"/>
    <w:basedOn w:val="Antrat2"/>
    <w:autoRedefine/>
    <w:rsid w:val="0050408A"/>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character" w:customStyle="1" w:styleId="BTEMEASMCAChar">
    <w:name w:val="BT EMEA_SMCA Char"/>
    <w:link w:val="BTEMEASMCA"/>
    <w:locked/>
    <w:rsid w:val="0050408A"/>
    <w:rPr>
      <w:rFonts w:ascii="Times New Roman" w:hAnsi="Times New Roman" w:cs="Times New Roman"/>
      <w:lang w:val="x-none" w:eastAsia="x-none"/>
    </w:rPr>
  </w:style>
  <w:style w:type="paragraph" w:customStyle="1" w:styleId="BTEMEASMCA">
    <w:name w:val="BT EMEA_SMCA"/>
    <w:basedOn w:val="prastasis"/>
    <w:link w:val="BTEMEASMCAChar"/>
    <w:autoRedefine/>
    <w:rsid w:val="0050408A"/>
    <w:rPr>
      <w:sz w:val="22"/>
      <w:szCs w:val="22"/>
      <w:lang w:val="x-none" w:eastAsia="x-none"/>
    </w:rPr>
  </w:style>
  <w:style w:type="character" w:customStyle="1" w:styleId="TTEMEASMCAChar">
    <w:name w:val="TT EMEA_SMCA Char"/>
    <w:link w:val="TTEMEASMCA"/>
    <w:locked/>
    <w:rsid w:val="0050408A"/>
    <w:rPr>
      <w:rFonts w:ascii="Times New Roman" w:hAnsi="Times New Roman" w:cs="Times New Roman"/>
      <w:b/>
      <w:caps/>
      <w:lang w:eastAsia="x-none"/>
    </w:rPr>
  </w:style>
  <w:style w:type="paragraph" w:customStyle="1" w:styleId="TTEMEASMCA">
    <w:name w:val="TT EMEA_SMCA"/>
    <w:basedOn w:val="Antrat1"/>
    <w:link w:val="TTEMEASMCAChar"/>
    <w:autoRedefine/>
    <w:rsid w:val="0050408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x-none"/>
    </w:rPr>
  </w:style>
  <w:style w:type="paragraph" w:customStyle="1" w:styleId="BT-EMEASMCA">
    <w:name w:val="BT- EMEA_SMCA"/>
    <w:basedOn w:val="BTEMEASMCA"/>
    <w:autoRedefine/>
    <w:rsid w:val="0050408A"/>
    <w:pPr>
      <w:numPr>
        <w:numId w:val="1"/>
      </w:numPr>
      <w:tabs>
        <w:tab w:val="clear" w:pos="720"/>
        <w:tab w:val="num" w:pos="360"/>
      </w:tabs>
      <w:ind w:left="0" w:firstLine="0"/>
    </w:pPr>
  </w:style>
  <w:style w:type="paragraph" w:customStyle="1" w:styleId="PI-3EMEASMCA">
    <w:name w:val="PI-3 EMEA_SMCA"/>
    <w:basedOn w:val="prastasis"/>
    <w:autoRedefine/>
    <w:rsid w:val="0050408A"/>
    <w:pPr>
      <w:spacing w:line="220" w:lineRule="exact"/>
    </w:pPr>
    <w:rPr>
      <w:b/>
      <w:bCs/>
      <w:sz w:val="22"/>
      <w:szCs w:val="22"/>
    </w:rPr>
  </w:style>
  <w:style w:type="paragraph" w:customStyle="1" w:styleId="BTbEMEASMCA">
    <w:name w:val="BT(b) EMEA_SMCA"/>
    <w:basedOn w:val="BTEMEASMCA"/>
    <w:autoRedefine/>
    <w:rsid w:val="0050408A"/>
    <w:rPr>
      <w:b/>
    </w:rPr>
  </w:style>
  <w:style w:type="character" w:customStyle="1" w:styleId="Antrat2Diagrama">
    <w:name w:val="Antraštė 2 Diagrama"/>
    <w:basedOn w:val="Numatytasispastraiposriftas"/>
    <w:link w:val="Antrat2"/>
    <w:uiPriority w:val="9"/>
    <w:semiHidden/>
    <w:rsid w:val="0050408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040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6351</Words>
  <Characters>3621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2021-05-05T05:31:00Z</dcterms:created>
  <dcterms:modified xsi:type="dcterms:W3CDTF">2021-05-05T05:32:00Z</dcterms:modified>
</cp:coreProperties>
</file>