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FA36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Pakuotės lapelis: informacija vartotojui</w:t>
      </w:r>
    </w:p>
    <w:p w14:paraId="2D7DA3B0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vertAlign w:val="superscript"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b/>
          <w:lang w:val="lt-LT"/>
        </w:rPr>
        <w:t>25 000 V skrandyje neirios kietosios kapsulės</w:t>
      </w:r>
    </w:p>
    <w:p w14:paraId="47FD6802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k</w:t>
      </w:r>
      <w:r w:rsidRPr="00381414">
        <w:rPr>
          <w:rFonts w:ascii="Times New Roman" w:eastAsia="Times New Roman" w:hAnsi="Times New Roman" w:cs="Times New Roman"/>
          <w:lang w:val="lt-LT"/>
        </w:rPr>
        <w:t>asos milteliai</w:t>
      </w:r>
    </w:p>
    <w:p w14:paraId="5F8C0318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right="278"/>
        <w:jc w:val="center"/>
        <w:rPr>
          <w:rFonts w:ascii="Times New Roman" w:eastAsia="Times New Roman" w:hAnsi="Times New Roman" w:cs="Times New Roman"/>
          <w:lang w:val="lt-LT"/>
        </w:rPr>
      </w:pPr>
    </w:p>
    <w:p w14:paraId="195F9EEA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 xml:space="preserve">Atidžiai perskaitykite visą šį </w:t>
      </w:r>
      <w:smartTag w:uri="schemas-tilde-lt/tildestengine" w:element="templates">
        <w:smartTagPr>
          <w:attr w:name="baseform" w:val="lapel|is"/>
          <w:attr w:name="id" w:val="-1"/>
          <w:attr w:name="text" w:val="lapeli"/>
        </w:smartTagPr>
        <w:r w:rsidRPr="00381414">
          <w:rPr>
            <w:rFonts w:ascii="Times New Roman" w:eastAsia="Times New Roman" w:hAnsi="Times New Roman" w:cs="Times New Roman"/>
            <w:b/>
            <w:lang w:val="lt-LT"/>
          </w:rPr>
          <w:t>lapelį</w:t>
        </w:r>
      </w:smartTag>
      <w:r w:rsidRPr="00381414">
        <w:rPr>
          <w:rFonts w:ascii="Times New Roman" w:eastAsia="Times New Roman" w:hAnsi="Times New Roman" w:cs="Times New Roman"/>
          <w:b/>
          <w:lang w:val="lt-LT"/>
        </w:rPr>
        <w:t xml:space="preserve">, prieš pradėdami vartoti vaistą, </w:t>
      </w:r>
      <w:r w:rsidRPr="00381414">
        <w:rPr>
          <w:rFonts w:ascii="Times New Roman" w:eastAsia="Times New Roman" w:hAnsi="Times New Roman" w:cs="Times New Roman"/>
          <w:b/>
          <w:noProof/>
          <w:lang w:val="lt-LT"/>
        </w:rPr>
        <w:t>nes jame pateikiama Jums svarbi informacija</w:t>
      </w:r>
      <w:r w:rsidRPr="00381414">
        <w:rPr>
          <w:rFonts w:ascii="Times New Roman" w:eastAsia="Times New Roman" w:hAnsi="Times New Roman" w:cs="Times New Roman"/>
          <w:b/>
          <w:lang w:val="lt-LT"/>
        </w:rPr>
        <w:t>.</w:t>
      </w:r>
    </w:p>
    <w:p w14:paraId="04603FC4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Neišmeskite šio </w:t>
      </w:r>
      <w:smartTag w:uri="schemas-tilde-lt/tildestengine" w:element="templates">
        <w:smartTagPr>
          <w:attr w:name="baseform" w:val="lapel|is"/>
          <w:attr w:name="id" w:val="-1"/>
          <w:attr w:name="text" w:val="lapelio"/>
        </w:smartTagPr>
        <w:r w:rsidRPr="00381414">
          <w:rPr>
            <w:rFonts w:ascii="Times New Roman" w:eastAsia="Times New Roman" w:hAnsi="Times New Roman" w:cs="Times New Roman"/>
            <w:lang w:val="lt-LT"/>
          </w:rPr>
          <w:t>lapelio</w:t>
        </w:r>
      </w:smartTag>
      <w:r w:rsidRPr="00381414">
        <w:rPr>
          <w:rFonts w:ascii="Times New Roman" w:eastAsia="Times New Roman" w:hAnsi="Times New Roman" w:cs="Times New Roman"/>
          <w:lang w:val="lt-LT"/>
        </w:rPr>
        <w:t>, nes vėl gali prireikti jį perskaityti.</w:t>
      </w:r>
    </w:p>
    <w:p w14:paraId="7B7B03FD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>Jeigu kiltų daugiau klausimų, kreipkitės į gydytoją arba vaistininką.</w:t>
      </w:r>
    </w:p>
    <w:p w14:paraId="3954ED2F" w14:textId="77777777" w:rsidR="00FB2538" w:rsidRPr="00381414" w:rsidRDefault="00FB2538" w:rsidP="00FB2538">
      <w:pPr>
        <w:tabs>
          <w:tab w:val="left" w:pos="540"/>
          <w:tab w:val="left" w:pos="1080"/>
        </w:tabs>
        <w:suppressAutoHyphens/>
        <w:spacing w:after="0" w:line="240" w:lineRule="auto"/>
        <w:ind w:left="567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Šis vaistas skirtas Jums, todėl kitiems žmonėms jo duoti negalima. Vaistas gali jiems pakenkti (net tiems, kurių ligos </w:t>
      </w:r>
      <w:r w:rsidRPr="00381414">
        <w:rPr>
          <w:rFonts w:ascii="Times New Roman" w:eastAsia="Times New Roman" w:hAnsi="Times New Roman" w:cs="Times New Roman"/>
          <w:noProof/>
          <w:lang w:val="lt-LT"/>
        </w:rPr>
        <w:t xml:space="preserve">požymiai </w:t>
      </w:r>
      <w:r w:rsidRPr="00381414">
        <w:rPr>
          <w:rFonts w:ascii="Times New Roman" w:eastAsia="Times New Roman" w:hAnsi="Times New Roman" w:cs="Times New Roman"/>
          <w:lang w:val="lt-LT"/>
        </w:rPr>
        <w:t>yra tokie patys kaip Jūsų).</w:t>
      </w:r>
    </w:p>
    <w:p w14:paraId="0A1BE9B0" w14:textId="77777777" w:rsidR="00FB2538" w:rsidRPr="00381414" w:rsidRDefault="00FB2538" w:rsidP="00FB2538">
      <w:pPr>
        <w:tabs>
          <w:tab w:val="left" w:pos="540"/>
          <w:tab w:val="left" w:pos="1080"/>
        </w:tabs>
        <w:suppressAutoHyphens/>
        <w:spacing w:after="0" w:line="240" w:lineRule="auto"/>
        <w:ind w:left="567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Jeigu pasireiškė sunkus šalutinis poveikis arba pastebėjote šiame </w:t>
      </w:r>
      <w:smartTag w:uri="schemas-tilde-lt/tildestengine" w:element="templates">
        <w:smartTagPr>
          <w:attr w:name="baseform" w:val="lapel|is"/>
          <w:attr w:name="id" w:val="-1"/>
          <w:attr w:name="text" w:val="lapelyje"/>
        </w:smartTagPr>
        <w:r w:rsidRPr="00381414">
          <w:rPr>
            <w:rFonts w:ascii="Times New Roman" w:eastAsia="Times New Roman" w:hAnsi="Times New Roman" w:cs="Times New Roman"/>
            <w:lang w:val="lt-LT"/>
          </w:rPr>
          <w:t>lapelyje</w:t>
        </w:r>
      </w:smartTag>
      <w:r w:rsidRPr="00381414">
        <w:rPr>
          <w:rFonts w:ascii="Times New Roman" w:eastAsia="Times New Roman" w:hAnsi="Times New Roman" w:cs="Times New Roman"/>
          <w:lang w:val="lt-LT"/>
        </w:rPr>
        <w:t xml:space="preserve"> nenurodytą šalutinį poveikį, pasakykite gydytojui arba vaistininkui. Žr. 4 skyrių.</w:t>
      </w:r>
    </w:p>
    <w:p w14:paraId="6BE0AE98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</w:p>
    <w:p w14:paraId="2596FD20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Apie ką rašoma šiame lapelyje?</w:t>
      </w:r>
    </w:p>
    <w:p w14:paraId="2C796A80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48F77AFA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1.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Kas yra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ir kam jis vartojamas</w:t>
      </w:r>
    </w:p>
    <w:p w14:paraId="5935B7CA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2.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</w:p>
    <w:p w14:paraId="7CD89A98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3.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Kaip vartoti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</w:p>
    <w:p w14:paraId="1CAFADBC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4.</w:t>
      </w:r>
      <w:r w:rsidRPr="00381414">
        <w:rPr>
          <w:rFonts w:ascii="Times New Roman" w:eastAsia="Times New Roman" w:hAnsi="Times New Roman" w:cs="Times New Roman"/>
          <w:lang w:val="lt-LT"/>
        </w:rPr>
        <w:tab/>
        <w:t>Galimas šalutinis poveikis</w:t>
      </w:r>
    </w:p>
    <w:p w14:paraId="1AA8CA29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5.</w:t>
      </w:r>
      <w:r w:rsidRPr="00381414">
        <w:rPr>
          <w:rFonts w:ascii="Times New Roman" w:eastAsia="Times New Roman" w:hAnsi="Times New Roman" w:cs="Times New Roman"/>
          <w:lang w:val="lt-LT"/>
        </w:rPr>
        <w:tab/>
        <w:t xml:space="preserve">Kaip laikyti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</w:p>
    <w:p w14:paraId="58603799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right="278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6.</w:t>
      </w:r>
      <w:r w:rsidRPr="00381414">
        <w:rPr>
          <w:rFonts w:ascii="Times New Roman" w:eastAsia="Times New Roman" w:hAnsi="Times New Roman" w:cs="Times New Roman"/>
          <w:lang w:val="lt-LT"/>
        </w:rPr>
        <w:tab/>
      </w:r>
      <w:r w:rsidRPr="00381414">
        <w:rPr>
          <w:rFonts w:ascii="Times New Roman" w:eastAsia="Times New Roman" w:hAnsi="Times New Roman" w:cs="Times New Roman"/>
          <w:bCs/>
          <w:lang w:val="lt-LT"/>
        </w:rPr>
        <w:t>Pakuotės turinys ir kita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informacija</w:t>
      </w:r>
    </w:p>
    <w:p w14:paraId="7E41C4F7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3C2E3682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53EDFFF4" w14:textId="77777777" w:rsidR="00FB2538" w:rsidRPr="00381414" w:rsidRDefault="00FB2538" w:rsidP="00FB2538">
      <w:pPr>
        <w:keepNext/>
        <w:tabs>
          <w:tab w:val="left" w:pos="1080"/>
        </w:tabs>
        <w:suppressAutoHyphens/>
        <w:spacing w:after="240" w:line="240" w:lineRule="auto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1.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 xml:space="preserve">Kas yra </w:t>
      </w:r>
      <w:proofErr w:type="spellStart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 xml:space="preserve"> ir kam jis vartojamas </w:t>
      </w:r>
    </w:p>
    <w:p w14:paraId="6C810E9A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bCs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Cs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 sudėtyje yra kiaulių kasos miltelių, kurių sudėtyje yra fermentų, padedančių virškinti maistą. </w:t>
      </w:r>
    </w:p>
    <w:p w14:paraId="2E1A176B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Šie fermentai yra išgaunami iš kiaulių kasos. </w:t>
      </w:r>
      <w:proofErr w:type="spellStart"/>
      <w:r w:rsidRPr="00381414">
        <w:rPr>
          <w:rFonts w:ascii="Times New Roman" w:eastAsia="Times New Roman" w:hAnsi="Times New Roman" w:cs="Times New Roman"/>
          <w:bCs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 kapsulėse yra mažų granulių (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skrandžio sultims atsparių granulių, vadinamųjų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minimikrosferų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)</w:t>
      </w:r>
      <w:r w:rsidRPr="00381414">
        <w:rPr>
          <w:rFonts w:ascii="Times New Roman" w:eastAsia="Times New Roman" w:hAnsi="Times New Roman" w:cs="Times New Roman"/>
          <w:bCs/>
          <w:lang w:val="lt-LT"/>
        </w:rPr>
        <w:t>, iš kurių į virškinimo traktą lėtai išsiskiria fermentai</w:t>
      </w:r>
      <w:r w:rsidRPr="00381414">
        <w:rPr>
          <w:rFonts w:ascii="Times New Roman" w:eastAsia="Times New Roman" w:hAnsi="Times New Roman" w:cs="Times New Roman"/>
          <w:lang w:val="lt-LT"/>
        </w:rPr>
        <w:t>.</w:t>
      </w:r>
    </w:p>
    <w:p w14:paraId="3A0125E2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</w:p>
    <w:p w14:paraId="591729EA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esantys fermentai virškina virškinimo traktu slenkantį maistą.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reikia vartoti valgant ar užkandžiaujant arba po to. Tada fermentai gali visiškai susimaišyti su maistu.</w:t>
      </w:r>
    </w:p>
    <w:p w14:paraId="68AFD58A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</w:p>
    <w:p w14:paraId="3C9FFFAD" w14:textId="77777777" w:rsidR="00FB2538" w:rsidRPr="00381414" w:rsidRDefault="00FB2538" w:rsidP="00FB2538">
      <w:pPr>
        <w:tabs>
          <w:tab w:val="num" w:pos="72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Vaistas vartojamas suaugusių žmonių ir vaikų kasos išskiriamosios funkcijos, susijusios su sekreto išskyrimu į virškinimo traktą, nepakankamumui šalinti. </w:t>
      </w:r>
    </w:p>
    <w:p w14:paraId="612062F1" w14:textId="77777777" w:rsidR="00FB2538" w:rsidRPr="00381414" w:rsidRDefault="00FB2538" w:rsidP="00FB2538">
      <w:pPr>
        <w:tabs>
          <w:tab w:val="num" w:pos="72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280A240" w14:textId="77777777" w:rsidR="00FB2538" w:rsidRPr="00381414" w:rsidRDefault="00FB2538" w:rsidP="00FB2538">
      <w:pPr>
        <w:tabs>
          <w:tab w:val="num" w:pos="72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Toks nepakankamumas gali išsivystyti tada, kai kasos liaukos nebeišskiria pakankamai fermentų maistui virškinti. Šis sutrikimas dažniausiai pasireiškia žmonėms, kuriems yra</w:t>
      </w:r>
      <w:r w:rsidRPr="00381414">
        <w:rPr>
          <w:rFonts w:ascii="Times New Roman" w:eastAsia="Times New Roman" w:hAnsi="Times New Roman" w:cs="Times New Roman"/>
          <w:iCs/>
          <w:color w:val="000000"/>
          <w:lang w:val="lt-LT"/>
        </w:rPr>
        <w:t xml:space="preserve"> cistinė fibrozė, lėtinis pankreatitas ir atlikta kasos operacija.</w:t>
      </w:r>
    </w:p>
    <w:p w14:paraId="0BDD3DE8" w14:textId="77777777" w:rsidR="00FB2538" w:rsidRPr="00381414" w:rsidRDefault="00FB2538" w:rsidP="00FB2538">
      <w:pPr>
        <w:tabs>
          <w:tab w:val="num" w:pos="720"/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</w:p>
    <w:p w14:paraId="419C99CA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2FC4B02D" w14:textId="77777777" w:rsidR="00FB2538" w:rsidRPr="00381414" w:rsidRDefault="00FB2538" w:rsidP="00FB2538">
      <w:pPr>
        <w:keepNext/>
        <w:tabs>
          <w:tab w:val="num" w:pos="1077"/>
        </w:tabs>
        <w:suppressAutoHyphens/>
        <w:spacing w:after="240" w:line="240" w:lineRule="auto"/>
        <w:ind w:left="1077" w:hanging="1077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 xml:space="preserve">Kas žinotina prieš vartojant </w:t>
      </w:r>
      <w:proofErr w:type="spellStart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Kreon</w:t>
      </w:r>
      <w:proofErr w:type="spellEnd"/>
    </w:p>
    <w:p w14:paraId="27A7875D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lang w:val="lt-LT"/>
        </w:rPr>
        <w:t xml:space="preserve"> vartoti </w:t>
      </w:r>
      <w:r>
        <w:rPr>
          <w:rFonts w:ascii="Times New Roman" w:eastAsia="Times New Roman" w:hAnsi="Times New Roman" w:cs="Times New Roman"/>
          <w:b/>
          <w:lang w:val="lt-LT"/>
        </w:rPr>
        <w:t>draudžiama</w:t>
      </w:r>
      <w:r w:rsidRPr="00381414">
        <w:rPr>
          <w:rFonts w:ascii="Times New Roman" w:eastAsia="Times New Roman" w:hAnsi="Times New Roman" w:cs="Times New Roman"/>
          <w:b/>
          <w:lang w:val="lt-LT"/>
        </w:rPr>
        <w:t>:</w:t>
      </w:r>
    </w:p>
    <w:p w14:paraId="6100CC88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-</w:t>
      </w:r>
      <w:r w:rsidRPr="00381414">
        <w:rPr>
          <w:rFonts w:ascii="Times New Roman" w:eastAsia="Times New Roman" w:hAnsi="Times New Roman" w:cs="Times New Roman"/>
          <w:lang w:val="lt-LT"/>
        </w:rPr>
        <w:tab/>
        <w:t>jeigu yra alergija kasos milteliams arba bet kuriai pagalbinei šio vaisto medžiagai (jos išvardytos 6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skyriuje). </w:t>
      </w:r>
    </w:p>
    <w:p w14:paraId="76B35DC3" w14:textId="77777777" w:rsidR="00FB2538" w:rsidRPr="00381414" w:rsidRDefault="00FB2538" w:rsidP="00FB2538">
      <w:pPr>
        <w:tabs>
          <w:tab w:val="left" w:pos="567"/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14:paraId="5A20F24E" w14:textId="77777777" w:rsidR="00FB2538" w:rsidRPr="00381414" w:rsidRDefault="00FB2538" w:rsidP="00FB2538">
      <w:pPr>
        <w:tabs>
          <w:tab w:val="left" w:pos="567"/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Jeigu abejojate, prieš vartojant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kreipkitės į gydytoją arba vaistininką.</w:t>
      </w:r>
    </w:p>
    <w:p w14:paraId="3CFC8CE7" w14:textId="77777777" w:rsidR="00FB2538" w:rsidRPr="00381414" w:rsidRDefault="00FB2538" w:rsidP="00FB2538">
      <w:pPr>
        <w:tabs>
          <w:tab w:val="left" w:pos="567"/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14:paraId="3FB64958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Įspėjimai ir atsargumo priemonės</w:t>
      </w:r>
    </w:p>
    <w:p w14:paraId="4F287D20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Retai pasitaikanti žarnų būklė, t. y. žarnų susiaurėjimas, vadinama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fibrozine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kolonopatija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. Ji pasireiškia pacientams, sergantiems cistine fibroze ir vartojantiems dideles kasos miltelių</w:t>
      </w:r>
      <w:r w:rsidRPr="00381414" w:rsidDel="0037609D">
        <w:rPr>
          <w:rFonts w:ascii="Times New Roman" w:eastAsia="Times New Roman" w:hAnsi="Times New Roman" w:cs="Times New Roman"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preparatų dozes. </w:t>
      </w:r>
    </w:p>
    <w:p w14:paraId="5F550B64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Vis dėlto jei Jūs sergate cistine fibroze, vartojate didelius 10 000 vienetų lipazės kilogramui per parą kiekius ir Jums atsiranda neįprastų pilvo simptomų arba pilvo simptomai pakinta,</w:t>
      </w:r>
      <w:r w:rsidRPr="00381414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lang w:val="lt-LT"/>
        </w:rPr>
        <w:t>pasitarkite su gydytoju.</w:t>
      </w:r>
    </w:p>
    <w:p w14:paraId="5CA2E234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6FCCCDCA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lastRenderedPageBreak/>
        <w:t>Nėštumas, žindymo laikotarpis ir vaisingumas</w:t>
      </w:r>
    </w:p>
    <w:p w14:paraId="1EFFA39D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Jeigu esate arba galite tapti nėščia, prieš pradėdama vartoti šį vaistą pasitarkite su gydytoju. Gydytojas nuspręs, ar Jums reikia vartoti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>, o jeigu reikia, tai kokiomis dozėmis.</w:t>
      </w:r>
    </w:p>
    <w:p w14:paraId="503480CC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lang w:val="lt-LT"/>
        </w:rPr>
      </w:pP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galima vartoti žindymo laikotarpiu.</w:t>
      </w:r>
    </w:p>
    <w:p w14:paraId="093DE5E2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lt-LT"/>
        </w:rPr>
      </w:pPr>
    </w:p>
    <w:p w14:paraId="26A8C56D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Vairavimas ir mechanizmų valdymas</w:t>
      </w:r>
    </w:p>
    <w:p w14:paraId="33AAB486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Cs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lang w:val="lt-LT"/>
        </w:rPr>
        <w:t>gebėjimo vairuoti ir valdyti mechanizmus neveikia arba veikia nereikšmingai.</w:t>
      </w:r>
    </w:p>
    <w:p w14:paraId="36DC4EEC" w14:textId="77777777" w:rsidR="00FB2538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CC9032" w14:textId="77777777" w:rsidR="00FB2538" w:rsidRPr="007D4657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7D4657">
        <w:rPr>
          <w:rFonts w:ascii="Times New Roman" w:eastAsia="Times New Roman" w:hAnsi="Times New Roman" w:cs="Times New Roman"/>
          <w:b/>
          <w:lang w:val="lt-LT"/>
        </w:rPr>
        <w:t>Sudėtyje yra natrio</w:t>
      </w:r>
    </w:p>
    <w:p w14:paraId="0EC4AD8D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 xml:space="preserve">Šio vaisto </w:t>
      </w:r>
      <w:r w:rsidRPr="007D4657">
        <w:rPr>
          <w:rFonts w:ascii="Times New Roman" w:eastAsia="Times New Roman" w:hAnsi="Times New Roman" w:cs="Times New Roman"/>
          <w:lang w:val="lt-LT"/>
        </w:rPr>
        <w:t>dozavimo vienete yra</w:t>
      </w:r>
      <w:r>
        <w:rPr>
          <w:rFonts w:ascii="Times New Roman" w:eastAsia="Times New Roman" w:hAnsi="Times New Roman" w:cs="Times New Roman"/>
          <w:lang w:val="lt-LT"/>
        </w:rPr>
        <w:t xml:space="preserve"> mažiau kaip 1 </w:t>
      </w:r>
      <w:proofErr w:type="spellStart"/>
      <w:r w:rsidRPr="007D4657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7D4657">
        <w:rPr>
          <w:rFonts w:ascii="Times New Roman" w:eastAsia="Times New Roman" w:hAnsi="Times New Roman" w:cs="Times New Roman"/>
          <w:lang w:val="lt-LT"/>
        </w:rPr>
        <w:t xml:space="preserve"> (23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7D4657">
        <w:rPr>
          <w:rFonts w:ascii="Times New Roman" w:eastAsia="Times New Roman" w:hAnsi="Times New Roman" w:cs="Times New Roman"/>
          <w:lang w:val="lt-LT"/>
        </w:rPr>
        <w:t xml:space="preserve">mg) natrio, </w:t>
      </w:r>
      <w:proofErr w:type="spellStart"/>
      <w:r w:rsidRPr="007D4657">
        <w:rPr>
          <w:rFonts w:ascii="Times New Roman" w:eastAsia="Times New Roman" w:hAnsi="Times New Roman" w:cs="Times New Roman"/>
          <w:lang w:val="lt-LT"/>
        </w:rPr>
        <w:t>t.y</w:t>
      </w:r>
      <w:proofErr w:type="spellEnd"/>
      <w:r w:rsidRPr="007D4657">
        <w:rPr>
          <w:rFonts w:ascii="Times New Roman" w:eastAsia="Times New Roman" w:hAnsi="Times New Roman" w:cs="Times New Roman"/>
          <w:lang w:val="lt-LT"/>
        </w:rPr>
        <w:t>. jis beveik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7D4657">
        <w:rPr>
          <w:rFonts w:ascii="Times New Roman" w:eastAsia="Times New Roman" w:hAnsi="Times New Roman" w:cs="Times New Roman"/>
          <w:lang w:val="lt-LT"/>
        </w:rPr>
        <w:t>neturi reikšmės.</w:t>
      </w:r>
    </w:p>
    <w:p w14:paraId="2A42B677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C5ECE91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277AA0" w14:textId="77777777" w:rsidR="00FB2538" w:rsidRPr="00381414" w:rsidRDefault="00FB2538" w:rsidP="00FB2538">
      <w:pPr>
        <w:keepNext/>
        <w:tabs>
          <w:tab w:val="num" w:pos="540"/>
          <w:tab w:val="left" w:pos="1080"/>
        </w:tabs>
        <w:suppressAutoHyphens/>
        <w:spacing w:after="240" w:line="240" w:lineRule="auto"/>
        <w:ind w:left="1077" w:hanging="1077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3.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 xml:space="preserve">Kaip vartoti </w:t>
      </w:r>
      <w:proofErr w:type="spellStart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Kreon</w:t>
      </w:r>
      <w:proofErr w:type="spellEnd"/>
    </w:p>
    <w:p w14:paraId="51981FD2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Visada vartokite šį vaistą tiksliai kaip nurodė gydytojas. Jeigu abejojate, kreipkitės į gydytoją arba vaistininką.</w:t>
      </w:r>
    </w:p>
    <w:p w14:paraId="54099102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0E0CCBC7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Kiek vartoti </w:t>
      </w:r>
      <w:proofErr w:type="spellStart"/>
      <w:r w:rsidRPr="00381414">
        <w:rPr>
          <w:rFonts w:ascii="Times New Roman" w:eastAsia="Times New Roman" w:hAnsi="Times New Roman" w:cs="Times New Roman"/>
          <w:i/>
          <w:lang w:val="lt-LT"/>
        </w:rPr>
        <w:t>Kreon</w:t>
      </w:r>
      <w:proofErr w:type="spellEnd"/>
    </w:p>
    <w:p w14:paraId="1BF240CD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Jūsų dozė yra matuojama lipazės vienetais. Lipazė yra vienas iš kasos miltelių fermentų. Skirtingo stiprumo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sudėtyje yra skirtingi lipazės kiekiai. </w:t>
      </w:r>
    </w:p>
    <w:p w14:paraId="37ACB218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Visada laikykitės gydytojo nurodymų, kiek vartoti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>.</w:t>
      </w:r>
    </w:p>
    <w:p w14:paraId="77391057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Gydytojas parinks Jums tinkamiausią dozę. Tai priklausys: </w:t>
      </w:r>
    </w:p>
    <w:p w14:paraId="6334E0B3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nuo Jūsų ligos; nuo Jūsų svorio; nuo mitybos; nuo riebalų kiekio išmatose.</w:t>
      </w:r>
    </w:p>
    <w:p w14:paraId="7E9D200B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Jeigu išmatos vis dar yra riebios arba yra kitų skrandžio ar žarnyno sutrikimų (virškinimo trakto simptomų), pasakykite gydytojui, nes gali prireikti patikslinti dozę.</w:t>
      </w:r>
    </w:p>
    <w:p w14:paraId="6CE35136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67AF7156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Esant cistinei fibrozei</w:t>
      </w:r>
    </w:p>
    <w:p w14:paraId="509BDFA9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Įprastinė pradinė dozė jaunesniems nei 4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381414">
        <w:rPr>
          <w:rFonts w:ascii="Times New Roman" w:eastAsia="Times New Roman" w:hAnsi="Times New Roman" w:cs="Times New Roman"/>
          <w:lang w:val="lt-LT"/>
        </w:rPr>
        <w:t>metų vaikams yra 1000 vienetų lipazės kūno svorio kilogramui vieno valgymo metu.</w:t>
      </w:r>
    </w:p>
    <w:p w14:paraId="06E0340F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i/>
          <w:u w:val="single"/>
          <w:lang w:val="lt-LT" w:eastAsia="ko-KR"/>
        </w:rPr>
      </w:pPr>
      <w:r w:rsidRPr="00381414">
        <w:rPr>
          <w:rFonts w:ascii="Times New Roman" w:eastAsia="Times New Roman" w:hAnsi="Times New Roman" w:cs="Times New Roman"/>
          <w:lang w:val="lt-LT"/>
        </w:rPr>
        <w:t>Įprastinė pradinė dozė 4 metų ir vyresniems vaikams, paaugliams bei suaugusiems žmonėms yra 500 vienetų lipazės kūno svorio kilogramui vieno valgymo metu.</w:t>
      </w:r>
    </w:p>
    <w:p w14:paraId="6239D8DF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i/>
          <w:u w:val="single"/>
          <w:lang w:val="lt-LT" w:eastAsia="ko-KR"/>
        </w:rPr>
      </w:pPr>
    </w:p>
    <w:p w14:paraId="6041D068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Esant kitų kasos sutrikimų</w:t>
      </w:r>
    </w:p>
    <w:p w14:paraId="57E5071D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Įprastinė dozė vieno valgymo metu yra 25 000</w:t>
      </w:r>
      <w:r w:rsidRPr="00381414">
        <w:rPr>
          <w:rFonts w:ascii="Times New Roman" w:eastAsia="Times New Roman" w:hAnsi="Times New Roman" w:cs="Times New Roman"/>
          <w:lang w:val="lt-LT"/>
        </w:rPr>
        <w:t>–</w:t>
      </w:r>
      <w:r w:rsidRPr="00381414">
        <w:rPr>
          <w:rFonts w:ascii="Times New Roman" w:eastAsia="Batang" w:hAnsi="Times New Roman" w:cs="Times New Roman"/>
          <w:lang w:val="lt-LT" w:eastAsia="ko-KR"/>
        </w:rPr>
        <w:t>80 000 vienetų lipazės.</w:t>
      </w:r>
    </w:p>
    <w:p w14:paraId="084EBB81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Įprastinė dozė vieno užkandžiavimo metu yra perpus mažesnė nei vieno valgymo metu.</w:t>
      </w:r>
    </w:p>
    <w:p w14:paraId="4F7C00C8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Batang" w:hAnsi="Times New Roman" w:cs="Times New Roman"/>
          <w:i/>
          <w:u w:val="single"/>
          <w:lang w:val="lt-LT" w:eastAsia="ko-KR"/>
        </w:rPr>
      </w:pPr>
    </w:p>
    <w:p w14:paraId="6336C5FB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Kada vartoti </w:t>
      </w:r>
      <w:proofErr w:type="spellStart"/>
      <w:r w:rsidRPr="00381414">
        <w:rPr>
          <w:rFonts w:ascii="Times New Roman" w:eastAsia="Times New Roman" w:hAnsi="Times New Roman" w:cs="Times New Roman"/>
          <w:i/>
          <w:lang w:val="lt-LT"/>
        </w:rPr>
        <w:t>Kreon</w:t>
      </w:r>
      <w:proofErr w:type="spellEnd"/>
    </w:p>
    <w:p w14:paraId="47561968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visada vartokite valgydami, užkandžiaudami arba po to. Tada fermentai galės visiškai susimaišyti su maistu ir padės suvirškinti žarnynu slenkantį maistą.</w:t>
      </w:r>
    </w:p>
    <w:p w14:paraId="4D1981D9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</w:p>
    <w:p w14:paraId="66973E37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Kaip vartoti </w:t>
      </w:r>
      <w:proofErr w:type="spellStart"/>
      <w:r w:rsidRPr="00381414">
        <w:rPr>
          <w:rFonts w:ascii="Times New Roman" w:eastAsia="Times New Roman" w:hAnsi="Times New Roman" w:cs="Times New Roman"/>
          <w:i/>
          <w:lang w:val="lt-LT"/>
        </w:rPr>
        <w:t>Kreon</w:t>
      </w:r>
      <w:proofErr w:type="spellEnd"/>
    </w:p>
    <w:p w14:paraId="533AC2C2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Nurykite nepažeistą kapsulę.</w:t>
      </w:r>
    </w:p>
    <w:p w14:paraId="104E7335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Kapsulės nesmulkinkite ir nekramtykite.</w:t>
      </w:r>
    </w:p>
    <w:p w14:paraId="2CA66CDB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Jeigu kapsulę sunku nuryti, atsargiai atidarykite ją ir supilkite granules į nedidelį kiekį skysto rūgštoko maisto</w:t>
      </w:r>
      <w:r w:rsidRPr="00381414">
        <w:rPr>
          <w:rFonts w:ascii="Times New Roman" w:eastAsia="TimesNewRoman,Italic" w:hAnsi="Times New Roman" w:cs="Times New Roman"/>
          <w:iCs/>
          <w:lang w:val="lt-LT"/>
        </w:rPr>
        <w:t xml:space="preserve"> arba sumaišykite jas su rūgštingais skysčiais. Rūgštingas skystas maistas galėtų būti, pvz., obuolių tyrė arba jogurtas. Rūgštingi skysčiai galėtų būti obuolių, apelsinų arba ananasų sultys. </w:t>
      </w:r>
      <w:r w:rsidRPr="00381414">
        <w:rPr>
          <w:rFonts w:ascii="Times New Roman" w:eastAsia="Batang" w:hAnsi="Times New Roman" w:cs="Times New Roman"/>
          <w:lang w:val="lt-LT" w:eastAsia="ko-KR"/>
        </w:rPr>
        <w:t>Mišinį reikia tuoj pat nuryti, nesmulkinant, nekramtant jo ir užsigeriant nedideliu kiekiu vandens arba sulčių.</w:t>
      </w:r>
    </w:p>
    <w:p w14:paraId="07AAD4AB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TimesNewRoman,Italic" w:hAnsi="Times New Roman" w:cs="Times New Roman"/>
          <w:iCs/>
          <w:lang w:val="lt-LT"/>
        </w:rPr>
        <w:t xml:space="preserve">Šio mišinio laikyti negalima. </w:t>
      </w:r>
      <w:r w:rsidRPr="00381414">
        <w:rPr>
          <w:rFonts w:ascii="Times New Roman" w:eastAsia="Batang" w:hAnsi="Times New Roman" w:cs="Times New Roman"/>
          <w:lang w:val="lt-LT" w:eastAsia="ko-KR"/>
        </w:rPr>
        <w:t xml:space="preserve">Granulių sumaišymas su nerūgštingu maistu ar skysčiais, sutrynimas arba kramtymas gali sukelti burnos sudirginimą arba pakeisti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poveikį Jūsų organizme.</w:t>
      </w:r>
    </w:p>
    <w:p w14:paraId="3FAD660F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Nelaikykite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kapsulių arba jų turinio burnoje.</w:t>
      </w:r>
    </w:p>
    <w:p w14:paraId="7A31214A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Times New Roman" w:hAnsi="Times New Roman" w:cs="Times New Roman"/>
          <w:iCs/>
          <w:lang w:val="lt-LT"/>
        </w:rPr>
        <w:t>Kasdien būtina gerti daug skysčių</w:t>
      </w:r>
      <w:r w:rsidRPr="00381414">
        <w:rPr>
          <w:rFonts w:ascii="Times New Roman" w:eastAsia="Batang" w:hAnsi="Times New Roman" w:cs="Times New Roman"/>
          <w:lang w:val="lt-LT" w:eastAsia="ko-KR"/>
        </w:rPr>
        <w:t xml:space="preserve">. </w:t>
      </w:r>
    </w:p>
    <w:p w14:paraId="49D71DE7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Batang" w:hAnsi="Times New Roman" w:cs="Times New Roman"/>
          <w:lang w:val="lt-LT" w:eastAsia="ko-KR"/>
        </w:rPr>
      </w:pPr>
    </w:p>
    <w:p w14:paraId="5CA2F0DF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i/>
          <w:lang w:val="lt-LT" w:eastAsia="ko-KR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 xml:space="preserve">Kiek laiko vartoti </w:t>
      </w:r>
      <w:proofErr w:type="spellStart"/>
      <w:r w:rsidRPr="00381414">
        <w:rPr>
          <w:rFonts w:ascii="Times New Roman" w:eastAsia="Times New Roman" w:hAnsi="Times New Roman" w:cs="Times New Roman"/>
          <w:i/>
          <w:lang w:val="lt-LT"/>
        </w:rPr>
        <w:t>Kreon</w:t>
      </w:r>
      <w:proofErr w:type="spellEnd"/>
    </w:p>
    <w:p w14:paraId="71FF7F90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i/>
          <w:u w:val="single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Vartokite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tiek laiko, kiek nurodė gydytojas. Daugumai pacientų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gali reikėti vartoti visą likusį gyvenimą.</w:t>
      </w:r>
    </w:p>
    <w:p w14:paraId="71CDAE5F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Batang" w:hAnsi="Times New Roman" w:cs="Times New Roman"/>
          <w:i/>
          <w:u w:val="single"/>
          <w:lang w:val="lt-LT" w:eastAsia="ko-KR"/>
        </w:rPr>
      </w:pPr>
    </w:p>
    <w:p w14:paraId="7AA76479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 xml:space="preserve">Ką daryti pavartojus per didelę </w:t>
      </w:r>
      <w:proofErr w:type="spellStart"/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 xml:space="preserve"> dozę</w:t>
      </w:r>
    </w:p>
    <w:p w14:paraId="02C680CE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Jei pavartojote per daug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, gerkite daug vandens ir pasitarkite su gydytoju arba vaistininku. Pastebėta, kad labai didelė kasos miltelių dozė yra susijusi su šlapimo rūgšties koncentracijos padidėjimu kraujyje </w:t>
      </w:r>
      <w:r w:rsidRPr="00381414">
        <w:rPr>
          <w:rFonts w:ascii="Times New Roman" w:eastAsia="Batang" w:hAnsi="Times New Roman" w:cs="Times New Roman"/>
          <w:lang w:val="lt-LT" w:eastAsia="ko-KR"/>
        </w:rPr>
        <w:t>(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hiperurikemija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>)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bei šlapime </w:t>
      </w:r>
      <w:r w:rsidRPr="00381414">
        <w:rPr>
          <w:rFonts w:ascii="Times New Roman" w:eastAsia="Batang" w:hAnsi="Times New Roman" w:cs="Times New Roman"/>
          <w:lang w:val="lt-LT" w:eastAsia="ko-KR"/>
        </w:rPr>
        <w:t>(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hiperurikozurija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>)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. </w:t>
      </w:r>
    </w:p>
    <w:p w14:paraId="14480248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298C346A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 xml:space="preserve">Pamiršus pavartoti </w:t>
      </w:r>
      <w:proofErr w:type="spellStart"/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>Kreon</w:t>
      </w:r>
      <w:proofErr w:type="spellEnd"/>
    </w:p>
    <w:p w14:paraId="02C39017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Jeigu užmiršote pavartoti vieną dozę, kitą dozę išgerkite įprastu laiku kartu su kitu valgiu. Nesistenkite kompensuoti praleistos dozės.</w:t>
      </w:r>
    </w:p>
    <w:p w14:paraId="237B8412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</w:p>
    <w:p w14:paraId="5486657B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b/>
          <w:bCs/>
          <w:lang w:val="lt-LT" w:eastAsia="ko-KR"/>
        </w:rPr>
      </w:pPr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 xml:space="preserve">Nustojus vartoti </w:t>
      </w:r>
      <w:proofErr w:type="spellStart"/>
      <w:r w:rsidRPr="00381414">
        <w:rPr>
          <w:rFonts w:ascii="Times New Roman" w:eastAsia="Batang" w:hAnsi="Times New Roman" w:cs="Times New Roman"/>
          <w:b/>
          <w:bCs/>
          <w:lang w:val="lt-LT" w:eastAsia="ko-KR"/>
        </w:rPr>
        <w:t>Kreon</w:t>
      </w:r>
      <w:proofErr w:type="spellEnd"/>
    </w:p>
    <w:p w14:paraId="42F00057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 xml:space="preserve">Nenutraukite </w:t>
      </w:r>
      <w:proofErr w:type="spellStart"/>
      <w:r w:rsidRPr="00381414">
        <w:rPr>
          <w:rFonts w:ascii="Times New Roman" w:eastAsia="Batang" w:hAnsi="Times New Roman" w:cs="Times New Roman"/>
          <w:lang w:val="lt-LT" w:eastAsia="ko-KR"/>
        </w:rPr>
        <w:t>Kreon</w:t>
      </w:r>
      <w:proofErr w:type="spellEnd"/>
      <w:r w:rsidRPr="00381414">
        <w:rPr>
          <w:rFonts w:ascii="Times New Roman" w:eastAsia="Batang" w:hAnsi="Times New Roman" w:cs="Times New Roman"/>
          <w:lang w:val="lt-LT" w:eastAsia="ko-KR"/>
        </w:rPr>
        <w:t xml:space="preserve"> vartojimo prieš tai nepasitarę su gydytoju.</w:t>
      </w:r>
    </w:p>
    <w:p w14:paraId="0C49EF96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0B790923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Jeigu kiltų daugiau klausimų dėl šio vaisto vartojimo, kreipkitės į gydytoją arba vaistininką.</w:t>
      </w:r>
    </w:p>
    <w:p w14:paraId="3D604DAB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32907DAD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6C32268B" w14:textId="77777777" w:rsidR="00FB2538" w:rsidRPr="00381414" w:rsidRDefault="00FB2538" w:rsidP="00FB2538">
      <w:pPr>
        <w:keepNext/>
        <w:tabs>
          <w:tab w:val="num" w:pos="540"/>
          <w:tab w:val="left" w:pos="1080"/>
        </w:tabs>
        <w:suppressAutoHyphens/>
        <w:spacing w:after="240" w:line="240" w:lineRule="auto"/>
        <w:ind w:left="1077" w:hanging="1077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 xml:space="preserve">4. 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>Galimas šalutinis poveikis</w:t>
      </w:r>
    </w:p>
    <w:p w14:paraId="5AFD9463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Šis vaistas, kaip ir visi kiti vaistai, gali sukelti šalutinį poveikį, nors jis pasireiškia ne visiems žmonėms. Toliau išvardinti šalutiniai poveikiai buvo stebėti tyrimų metu pacientams vartojant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. Vartojant šį vaistą gali pasireikšti toliau išvardinti šalutiniai poveikiai.</w:t>
      </w:r>
    </w:p>
    <w:p w14:paraId="4D327766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/>
        </w:rPr>
      </w:pPr>
    </w:p>
    <w:p w14:paraId="241B714D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8A78D9">
        <w:rPr>
          <w:rFonts w:ascii="Times New Roman" w:eastAsia="Batang" w:hAnsi="Times New Roman" w:cs="Times New Roman"/>
          <w:i/>
          <w:lang w:val="lt-LT"/>
        </w:rPr>
        <w:t>Labai dažni šalutinio poveikio reiškiniai (gali pasireikšti ne rečiau kaip 1 iš 10 asmenų)</w:t>
      </w:r>
      <w:r w:rsidRPr="00381414">
        <w:rPr>
          <w:rFonts w:ascii="Times New Roman" w:eastAsia="Batang" w:hAnsi="Times New Roman" w:cs="Times New Roman"/>
          <w:i/>
          <w:lang w:val="lt-LT"/>
        </w:rPr>
        <w:t>:</w:t>
      </w:r>
    </w:p>
    <w:p w14:paraId="4BD66A5E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Batang" w:hAnsi="Times New Roman" w:cs="Times New Roman"/>
          <w:lang w:val="lt-LT" w:eastAsia="ko-KR"/>
        </w:rPr>
        <w:t>skrandžio skausmas (pilvo skausmas).</w:t>
      </w:r>
    </w:p>
    <w:p w14:paraId="7BBB785A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/>
        </w:rPr>
      </w:pPr>
    </w:p>
    <w:p w14:paraId="62051D96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left="540" w:hanging="540"/>
        <w:rPr>
          <w:rFonts w:ascii="Times New Roman" w:eastAsia="Times New Roman" w:hAnsi="Times New Roman" w:cs="Times New Roman"/>
          <w:i/>
          <w:lang w:val="lt-LT"/>
        </w:rPr>
      </w:pPr>
      <w:r w:rsidRPr="008A78D9">
        <w:rPr>
          <w:rFonts w:ascii="Times New Roman" w:eastAsia="Times New Roman" w:hAnsi="Times New Roman" w:cs="Times New Roman"/>
          <w:i/>
          <w:lang w:val="lt-LT"/>
        </w:rPr>
        <w:t>Dažni šalutinio poveikio reiškiniai (gali pasireikšti rečiau kaip 1 iš 10 asmenų)</w:t>
      </w:r>
      <w:r w:rsidRPr="00381414">
        <w:rPr>
          <w:rFonts w:ascii="Times New Roman" w:eastAsia="Times New Roman" w:hAnsi="Times New Roman" w:cs="Times New Roman"/>
          <w:i/>
          <w:lang w:val="lt-LT"/>
        </w:rPr>
        <w:t>:</w:t>
      </w:r>
    </w:p>
    <w:p w14:paraId="794CFE4C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pykinimo pojūtis (pykinimas);</w:t>
      </w:r>
    </w:p>
    <w:p w14:paraId="19C49EA6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pykinimas (vėmimas);</w:t>
      </w:r>
    </w:p>
    <w:p w14:paraId="270715A8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vidurių užkietėjimas;</w:t>
      </w:r>
    </w:p>
    <w:p w14:paraId="55D68F38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vidurių pūtimas;</w:t>
      </w:r>
    </w:p>
    <w:p w14:paraId="2341323C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viduriavimas.</w:t>
      </w:r>
    </w:p>
    <w:p w14:paraId="1730E7F0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A3EA83F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Šiuos reiškinius gali sukelti Jūsų būklė, dėl kurios vartojate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. Tyrimų metu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vartojusių pacientų, kuriems pasireiškė skrandžio skausmas arba viduriavimas, buvo maždaug tiek pat arba mažiau nei pacientų, kurie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nevartojo.</w:t>
      </w:r>
    </w:p>
    <w:p w14:paraId="60C94C5B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583263D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8A78D9">
        <w:rPr>
          <w:rFonts w:ascii="Times New Roman" w:eastAsia="Times New Roman" w:hAnsi="Times New Roman" w:cs="Times New Roman"/>
          <w:i/>
          <w:lang w:val="lt-LT"/>
        </w:rPr>
        <w:t>Nedažni šalutinio poveikio reiškiniai (gali pasireikšti rečiau kaip 1 iš 100 asmenų)</w:t>
      </w:r>
      <w:r w:rsidRPr="00381414">
        <w:rPr>
          <w:rFonts w:ascii="Times New Roman" w:eastAsia="Times New Roman" w:hAnsi="Times New Roman" w:cs="Times New Roman"/>
          <w:i/>
          <w:lang w:val="lt-LT"/>
        </w:rPr>
        <w:t>:</w:t>
      </w:r>
    </w:p>
    <w:p w14:paraId="335EAA35" w14:textId="77777777" w:rsidR="00FB2538" w:rsidRPr="00381414" w:rsidRDefault="00FB2538" w:rsidP="00FB2538">
      <w:pPr>
        <w:numPr>
          <w:ilvl w:val="0"/>
          <w:numId w:val="1"/>
        </w:numPr>
        <w:tabs>
          <w:tab w:val="num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išbėrimas.</w:t>
      </w:r>
    </w:p>
    <w:p w14:paraId="51B487FF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D22C30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val="lt-LT"/>
        </w:rPr>
      </w:pPr>
      <w:r w:rsidRPr="00E225AB">
        <w:rPr>
          <w:rFonts w:ascii="Times New Roman" w:eastAsia="Times New Roman" w:hAnsi="Times New Roman" w:cs="Times New Roman"/>
          <w:bCs/>
          <w:i/>
          <w:iCs/>
          <w:lang w:val="lt-LT"/>
        </w:rPr>
        <w:t xml:space="preserve">Šalutinio poveikio reiškiniai, kurių </w:t>
      </w:r>
      <w:r>
        <w:rPr>
          <w:rFonts w:ascii="Times New Roman" w:eastAsia="Times New Roman" w:hAnsi="Times New Roman" w:cs="Times New Roman"/>
          <w:bCs/>
          <w:i/>
          <w:iCs/>
          <w:lang w:val="lt-LT"/>
        </w:rPr>
        <w:t>d</w:t>
      </w:r>
      <w:r w:rsidRPr="00381414">
        <w:rPr>
          <w:rFonts w:ascii="Times New Roman" w:eastAsia="Times New Roman" w:hAnsi="Times New Roman" w:cs="Times New Roman"/>
          <w:bCs/>
          <w:i/>
          <w:iCs/>
          <w:lang w:val="lt-LT"/>
        </w:rPr>
        <w:t xml:space="preserve">ažnis nežinomas (negali būti nustatytas </w:t>
      </w:r>
      <w:r>
        <w:rPr>
          <w:rFonts w:ascii="Times New Roman" w:eastAsia="Times New Roman" w:hAnsi="Times New Roman" w:cs="Times New Roman"/>
          <w:bCs/>
          <w:i/>
          <w:iCs/>
          <w:lang w:val="lt-LT"/>
        </w:rPr>
        <w:t>iš turimų duomenų</w:t>
      </w:r>
      <w:r w:rsidRPr="00381414">
        <w:rPr>
          <w:rFonts w:ascii="Times New Roman" w:eastAsia="Times New Roman" w:hAnsi="Times New Roman" w:cs="Times New Roman"/>
          <w:bCs/>
          <w:i/>
          <w:iCs/>
          <w:lang w:val="lt-LT"/>
        </w:rPr>
        <w:t>):</w:t>
      </w:r>
    </w:p>
    <w:p w14:paraId="3AF5EC27" w14:textId="77777777" w:rsidR="00FB2538" w:rsidRPr="00381414" w:rsidRDefault="00FB2538" w:rsidP="00FB2538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sunkus niežulys (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pruritas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) ir dilgėlinė (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urtikarija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);</w:t>
      </w:r>
    </w:p>
    <w:p w14:paraId="07716F49" w14:textId="77777777" w:rsidR="00FB2538" w:rsidRPr="00381414" w:rsidRDefault="00FB2538" w:rsidP="00FB2538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kitos sunkios alerginės (padidėjusio jautrumo) reakcijos, įskaitant pasunkėjusį kvėpavimą ir lūpų tinimą;</w:t>
      </w:r>
    </w:p>
    <w:p w14:paraId="25C6F234" w14:textId="77777777" w:rsidR="00FB2538" w:rsidRPr="00381414" w:rsidRDefault="00FB2538" w:rsidP="00FB2538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pranešimų apie klubinės-aklosios žarnos ir storosios žarnos susiaurėjimo (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fibrozinės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kolonopatijos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) atvejus buvo gauta gydant cistine fibroze sergančius pacientus, kurie vartojo dideles kasos miltelių preparatų dozes.</w:t>
      </w:r>
    </w:p>
    <w:p w14:paraId="5C466E96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50D4517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r w:rsidRPr="00381414">
        <w:rPr>
          <w:rFonts w:ascii="Times New Roman" w:eastAsia="Times New Roman" w:hAnsi="Times New Roman" w:cs="Times New Roman"/>
          <w:iCs/>
          <w:lang w:val="lt-LT"/>
        </w:rPr>
        <w:t xml:space="preserve">Jeigu pasireiškė sunkus šalutinis poveikis arba pastebėjote šiame </w:t>
      </w:r>
      <w:smartTag w:uri="schemas-tilde-lt/tildestengine" w:element="templates">
        <w:smartTagPr>
          <w:attr w:name="text" w:val="lapelyje"/>
          <w:attr w:name="id" w:val="-1"/>
          <w:attr w:name="baseform" w:val="lapel|is"/>
        </w:smartTagPr>
        <w:r w:rsidRPr="00381414">
          <w:rPr>
            <w:rFonts w:ascii="Times New Roman" w:eastAsia="Times New Roman" w:hAnsi="Times New Roman" w:cs="Times New Roman"/>
            <w:iCs/>
            <w:lang w:val="lt-LT"/>
          </w:rPr>
          <w:t>lapelyje</w:t>
        </w:r>
      </w:smartTag>
      <w:r w:rsidRPr="00381414">
        <w:rPr>
          <w:rFonts w:ascii="Times New Roman" w:eastAsia="Times New Roman" w:hAnsi="Times New Roman" w:cs="Times New Roman"/>
          <w:iCs/>
          <w:lang w:val="lt-LT"/>
        </w:rPr>
        <w:t xml:space="preserve"> nenurodytą šalutinį poveikį, </w:t>
      </w:r>
    </w:p>
    <w:p w14:paraId="3920399B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r w:rsidRPr="00381414">
        <w:rPr>
          <w:rFonts w:ascii="Times New Roman" w:eastAsia="Times New Roman" w:hAnsi="Times New Roman" w:cs="Times New Roman"/>
          <w:iCs/>
          <w:lang w:val="lt-LT"/>
        </w:rPr>
        <w:t>pasakykite gydytojui ar vaistininkui.</w:t>
      </w:r>
    </w:p>
    <w:p w14:paraId="244EB645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AB32910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381414">
        <w:rPr>
          <w:rFonts w:ascii="Times New Roman" w:eastAsia="Times New Roman" w:hAnsi="Times New Roman" w:cs="Times New Roman"/>
          <w:b/>
          <w:noProof/>
          <w:lang w:val="lt-LT"/>
        </w:rPr>
        <w:t>Pranešimas apie šalutinį poveikį</w:t>
      </w:r>
    </w:p>
    <w:p w14:paraId="463B4D43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noProof/>
          <w:lang w:val="lt-LT"/>
        </w:rPr>
        <w:t>Jeigu pasireiškė šalutinis poveikis, įskaitant šiame lapelyje nenurodytą, pasakykite gydytojui arba vaistininkui</w:t>
      </w:r>
      <w:r w:rsidRPr="00381414">
        <w:rPr>
          <w:rFonts w:ascii="Times New Roman" w:eastAsia="Times New Roman" w:hAnsi="Times New Roman" w:cs="Times New Roman"/>
          <w:lang w:val="lt-LT"/>
        </w:rPr>
        <w:t>.</w:t>
      </w:r>
      <w:r w:rsidRPr="00381414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8A78D9">
        <w:rPr>
          <w:rFonts w:ascii="Times New Roman" w:eastAsia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8A78D9">
        <w:rPr>
          <w:rFonts w:ascii="Times New Roman" w:eastAsia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8A78D9">
        <w:rPr>
          <w:rFonts w:ascii="Times New Roman" w:eastAsia="Times New Roman" w:hAnsi="Times New Roman" w:cs="Times New Roman"/>
          <w:lang w:val="lt-LT" w:eastAsia="lt-LT"/>
        </w:rPr>
        <w:t xml:space="preserve"> nurodytais būdais arba paskambinti nemokamu telefonu 8 800 73 568. Pranešdami apie šalutinį poveikį galite mums padėti gauti daugiau informacijos apie šio vaisto saugumą</w:t>
      </w:r>
      <w:r w:rsidRPr="008A78D9">
        <w:rPr>
          <w:rFonts w:ascii="Times New Roman" w:eastAsia="Times New Roman" w:hAnsi="Times New Roman" w:cs="Times New Roman"/>
          <w:szCs w:val="20"/>
          <w:lang w:val="lt-LT"/>
        </w:rPr>
        <w:t>.</w:t>
      </w:r>
    </w:p>
    <w:p w14:paraId="6C0FE651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903AF9B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D74A2A7" w14:textId="77777777" w:rsidR="00FB2538" w:rsidRPr="00381414" w:rsidRDefault="00FB2538" w:rsidP="00FB2538">
      <w:pPr>
        <w:keepNext/>
        <w:tabs>
          <w:tab w:val="num" w:pos="1077"/>
        </w:tabs>
        <w:suppressAutoHyphens/>
        <w:spacing w:after="24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5.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 xml:space="preserve">Kaip laikyti </w:t>
      </w:r>
      <w:proofErr w:type="spellStart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 xml:space="preserve"> </w:t>
      </w:r>
    </w:p>
    <w:p w14:paraId="5E90B63C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  <w:lang w:val="lt-LT"/>
        </w:rPr>
      </w:pPr>
      <w:r w:rsidRPr="00381414">
        <w:rPr>
          <w:rFonts w:ascii="Times New Roman" w:eastAsia="Times New Roman" w:hAnsi="Times New Roman" w:cs="Times New Roman"/>
          <w:iCs/>
          <w:lang w:val="lt-LT"/>
        </w:rPr>
        <w:t>Šį vaistą laikykite vaikams nepastebimoje ir nepasiekiamoje vietoje.</w:t>
      </w:r>
    </w:p>
    <w:p w14:paraId="70AC0644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lang w:val="lt-LT"/>
        </w:rPr>
      </w:pPr>
    </w:p>
    <w:p w14:paraId="1279632E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381414">
        <w:rPr>
          <w:rFonts w:ascii="Times New Roman" w:eastAsia="Times New Roman" w:hAnsi="Times New Roman" w:cs="Times New Roman"/>
          <w:bCs/>
          <w:lang w:val="lt-LT"/>
        </w:rPr>
        <w:t>DTPE buteliukas</w:t>
      </w:r>
      <w:r>
        <w:rPr>
          <w:rFonts w:ascii="Times New Roman" w:eastAsia="Times New Roman" w:hAnsi="Times New Roman" w:cs="Times New Roman"/>
          <w:bCs/>
          <w:lang w:val="lt-LT"/>
        </w:rPr>
        <w:t>: Laikyti ne aukštesnėje kaip 25</w:t>
      </w:r>
      <w:r w:rsidRPr="00381414">
        <w:rPr>
          <w:rFonts w:ascii="Times New Roman" w:eastAsia="Times New Roman" w:hAnsi="Times New Roman" w:cs="Times New Roman"/>
          <w:bCs/>
          <w:lang w:val="lt-LT"/>
        </w:rPr>
        <w:t> </w:t>
      </w:r>
      <w:r w:rsidRPr="00381414">
        <w:rPr>
          <w:rFonts w:ascii="Times New Roman" w:eastAsia="Times New Roman" w:hAnsi="Times New Roman" w:cs="Times New Roman"/>
          <w:bCs/>
          <w:lang w:val="lt-LT"/>
        </w:rPr>
        <w:sym w:font="Symbol" w:char="F0B0"/>
      </w:r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C temperatūroje. Buteliuką laikyti sandarų, kad vaistas būtų apsaugotas nuo drėgmės. Pirmą kartą atidarius buteliuką, laikyti ne aukštesnėje kaip </w:t>
      </w:r>
      <w:r w:rsidRPr="00381414">
        <w:rPr>
          <w:rFonts w:ascii="Times New Roman" w:eastAsia="Times New Roman" w:hAnsi="Times New Roman" w:cs="Times New Roman"/>
          <w:lang w:val="lt-LT"/>
        </w:rPr>
        <w:t>25 </w:t>
      </w:r>
      <w:r w:rsidRPr="00381414">
        <w:rPr>
          <w:rFonts w:ascii="Times New Roman" w:eastAsia="Times New Roman" w:hAnsi="Times New Roman" w:cs="Times New Roman"/>
          <w:bCs/>
          <w:lang w:val="lt-LT"/>
        </w:rPr>
        <w:sym w:font="Symbol" w:char="F0B0"/>
      </w:r>
      <w:r w:rsidRPr="00381414">
        <w:rPr>
          <w:rFonts w:ascii="Times New Roman" w:eastAsia="Times New Roman" w:hAnsi="Times New Roman" w:cs="Times New Roman"/>
          <w:bCs/>
          <w:lang w:val="lt-LT"/>
        </w:rPr>
        <w:t>C temperatūroje ne ilgiau kaip 6 mėnesius.</w:t>
      </w:r>
    </w:p>
    <w:p w14:paraId="55DE9495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Al/Al lizdinė plokštelė:</w:t>
      </w:r>
      <w:r>
        <w:rPr>
          <w:rFonts w:ascii="Times New Roman" w:eastAsia="Times New Roman" w:hAnsi="Times New Roman" w:cs="Times New Roman"/>
          <w:bCs/>
          <w:lang w:val="lt-LT"/>
        </w:rPr>
        <w:t xml:space="preserve"> Laikyti ne aukštesnėje kaip 25</w:t>
      </w:r>
      <w:r w:rsidRPr="00381414">
        <w:rPr>
          <w:rFonts w:ascii="Times New Roman" w:eastAsia="Times New Roman" w:hAnsi="Times New Roman" w:cs="Times New Roman"/>
          <w:bCs/>
          <w:lang w:val="lt-LT"/>
        </w:rPr>
        <w:t> </w:t>
      </w:r>
      <w:r w:rsidRPr="00381414">
        <w:rPr>
          <w:rFonts w:ascii="Times New Roman" w:eastAsia="Times New Roman" w:hAnsi="Times New Roman" w:cs="Times New Roman"/>
          <w:bCs/>
          <w:lang w:val="lt-LT"/>
        </w:rPr>
        <w:sym w:font="Symbol" w:char="F0B0"/>
      </w:r>
      <w:r w:rsidRPr="00381414">
        <w:rPr>
          <w:rFonts w:ascii="Times New Roman" w:eastAsia="Times New Roman" w:hAnsi="Times New Roman" w:cs="Times New Roman"/>
          <w:bCs/>
          <w:lang w:val="lt-LT"/>
        </w:rPr>
        <w:t>C temperatūroje.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bCs/>
          <w:lang w:val="lt-LT"/>
        </w:rPr>
        <w:t>Laikyti gamintojo pakuotėje, kad vaistas būtų apsaugotas nuo drėgmės.</w:t>
      </w:r>
    </w:p>
    <w:p w14:paraId="56F6ECCC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9E731B0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val="lt-LT"/>
        </w:rPr>
      </w:pPr>
      <w:r w:rsidRPr="00381414">
        <w:rPr>
          <w:rFonts w:ascii="Times New Roman" w:eastAsia="Times New Roman" w:hAnsi="Times New Roman" w:cs="Times New Roman"/>
          <w:bCs/>
          <w:lang w:val="lt-LT"/>
        </w:rPr>
        <w:t xml:space="preserve">Ant buteliuko ir dėžutės po „EXP“ nurodytam tinkamumo laikui pasibaigus, šio vaisto vartoti negalima. Vaistas tinkamas vartoti iki paskutinės nurodyto mėnesio dienos. </w:t>
      </w:r>
    </w:p>
    <w:p w14:paraId="156A1624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1E01775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noProof/>
          <w:lang w:val="lt-LT"/>
        </w:rPr>
        <w:t xml:space="preserve">Vaistų negalima išmesti į kanalizaciją arba su buitinėmis atliekomis. Kaip išmesti nereikalingus vaistus, klauskite vaistininko. Šios priemonės padės apsaugoti aplinką. </w:t>
      </w:r>
    </w:p>
    <w:p w14:paraId="2CF095B5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4AC0F0E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7CA5ECE" w14:textId="77777777" w:rsidR="00FB2538" w:rsidRPr="00381414" w:rsidRDefault="00FB2538" w:rsidP="00FB2538">
      <w:pPr>
        <w:keepNext/>
        <w:tabs>
          <w:tab w:val="num" w:pos="1077"/>
        </w:tabs>
        <w:suppressAutoHyphens/>
        <w:spacing w:after="240" w:line="240" w:lineRule="auto"/>
        <w:ind w:left="540" w:hanging="540"/>
        <w:rPr>
          <w:rFonts w:ascii="Times New Roman" w:eastAsia="Times New Roman" w:hAnsi="Times New Roman" w:cs="Times New Roman"/>
          <w:b/>
          <w:caps/>
          <w:kern w:val="28"/>
          <w:lang w:val="lt-LT"/>
        </w:rPr>
      </w:pP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>6.</w:t>
      </w:r>
      <w:r w:rsidRPr="00381414">
        <w:rPr>
          <w:rFonts w:ascii="Times New Roman" w:eastAsia="Times New Roman" w:hAnsi="Times New Roman" w:cs="Times New Roman"/>
          <w:b/>
          <w:kern w:val="28"/>
          <w:lang w:val="lt-LT"/>
        </w:rPr>
        <w:tab/>
        <w:t>Pakuotės turinys ir kita informacija</w:t>
      </w:r>
    </w:p>
    <w:p w14:paraId="29A3F30F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b/>
          <w:noProof/>
          <w:lang w:val="lt-LT"/>
        </w:rPr>
        <w:t>Kreon sudėtis</w:t>
      </w:r>
    </w:p>
    <w:p w14:paraId="11B0416C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31CA7DD7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noProof/>
          <w:lang w:val="lt-LT"/>
        </w:rPr>
        <w:t>Kreon 25 000 V</w:t>
      </w:r>
    </w:p>
    <w:p w14:paraId="404A5E06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Veiklioji medžiaga yra kasos milteliai. Vienoje skrandyje neirioje </w:t>
      </w:r>
      <w:r w:rsidRPr="00381414">
        <w:rPr>
          <w:rFonts w:ascii="Times New Roman" w:eastAsia="Times New Roman" w:hAnsi="Times New Roman" w:cs="Times New Roman"/>
          <w:bCs/>
          <w:lang w:val="lt-LT"/>
        </w:rPr>
        <w:t>kietojoje kapsulėje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yra 300 mg kasos miltelių, kurių aktyvumas atitinka 18 000 vienetų amilazės,25 000 vienetų lipazės, 1000 vienetų proteazės.</w:t>
      </w:r>
    </w:p>
    <w:p w14:paraId="0005D983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</w:p>
    <w:p w14:paraId="7B761515" w14:textId="77777777" w:rsidR="00FB2538" w:rsidRPr="00381414" w:rsidRDefault="00FB2538" w:rsidP="00FB2538">
      <w:pPr>
        <w:tabs>
          <w:tab w:val="left" w:pos="540"/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 xml:space="preserve">Pagalbinės medžiagos. Kapsulės turinys: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makrogolis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4000,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hipromeliozės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ftalatas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cetilo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alkoholis,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trietilo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citratas,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dimetikonas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1000. Kapsulė: želatina, geležies oksidas (E172), natrio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laurilsulfatas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.</w:t>
      </w:r>
    </w:p>
    <w:p w14:paraId="7C13C40F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1D555DC6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b/>
          <w:bCs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14:paraId="6EFB452D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Kreon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25 000 V – dvispalvė kapsulė su oranžinės spalvos nepermatomu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gaubteliu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ir permatomu korpusu. Kapsulėje yra skrandžio sultims atsparių granulių, vadinamųjų </w:t>
      </w:r>
      <w:proofErr w:type="spellStart"/>
      <w:r w:rsidRPr="00381414">
        <w:rPr>
          <w:rFonts w:ascii="Times New Roman" w:eastAsia="Times New Roman" w:hAnsi="Times New Roman" w:cs="Times New Roman"/>
          <w:lang w:val="lt-LT"/>
        </w:rPr>
        <w:t>minimikrosferų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>.</w:t>
      </w:r>
    </w:p>
    <w:p w14:paraId="3899BDCB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D12E4B1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Times New Roman" w:hAnsi="Times New Roman" w:cs="Times New Roman"/>
          <w:lang w:val="lt-LT"/>
        </w:rPr>
        <w:t>DTPE buteliukas, kuriame</w:t>
      </w:r>
      <w:r w:rsidRPr="00381414">
        <w:rPr>
          <w:rFonts w:ascii="Times New Roman" w:eastAsia="Batang" w:hAnsi="Times New Roman" w:cs="Times New Roman"/>
          <w:lang w:val="lt-LT" w:eastAsia="ko-KR"/>
        </w:rPr>
        <w:t xml:space="preserve"> yra </w:t>
      </w:r>
      <w:r w:rsidRPr="00381414">
        <w:rPr>
          <w:rFonts w:ascii="Times New Roman" w:eastAsia="Times New Roman" w:hAnsi="Times New Roman" w:cs="Times New Roman"/>
          <w:lang w:val="lt-LT"/>
        </w:rPr>
        <w:t>50 skrandyje neirių kietųjų kapsulių</w:t>
      </w:r>
      <w:r w:rsidRPr="00381414">
        <w:rPr>
          <w:rFonts w:ascii="Times New Roman" w:eastAsia="Batang" w:hAnsi="Times New Roman" w:cs="Times New Roman"/>
          <w:lang w:val="lt-LT" w:eastAsia="ko-KR"/>
        </w:rPr>
        <w:t>.</w:t>
      </w:r>
    </w:p>
    <w:p w14:paraId="58DC533C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Batang" w:hAnsi="Times New Roman" w:cs="Times New Roman"/>
          <w:lang w:val="lt-LT" w:eastAsia="ko-KR"/>
        </w:rPr>
      </w:pPr>
      <w:r w:rsidRPr="00381414">
        <w:rPr>
          <w:rFonts w:ascii="Times New Roman" w:eastAsia="Times New Roman" w:hAnsi="Times New Roman" w:cs="Times New Roman"/>
          <w:lang w:val="lt-LT"/>
        </w:rPr>
        <w:t>Al/Al lizdinė plokštelė, kurioje yra 20 kapsulių (10 kapsulių – 2 lizdinės plokštelės).</w:t>
      </w:r>
    </w:p>
    <w:p w14:paraId="1772053B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C3F7982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Gali būti tiekiamos ne visų dydžių pakuotės.</w:t>
      </w:r>
    </w:p>
    <w:p w14:paraId="7A25383B" w14:textId="77777777" w:rsidR="00FB2538" w:rsidRPr="00381414" w:rsidRDefault="00FB2538" w:rsidP="00FB2538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</w:p>
    <w:p w14:paraId="00EB1EA2" w14:textId="77777777" w:rsidR="00FB2538" w:rsidRPr="00381414" w:rsidRDefault="00FB2538" w:rsidP="00FB2538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t>Registruotojas</w:t>
      </w:r>
      <w:r w:rsidRPr="00381414">
        <w:rPr>
          <w:rFonts w:ascii="Times New Roman" w:eastAsia="Times New Roman" w:hAnsi="Times New Roman" w:cs="Times New Roman"/>
          <w:lang w:val="lt-LT"/>
        </w:rPr>
        <w:t xml:space="preserve"> </w:t>
      </w:r>
      <w:r w:rsidRPr="00381414">
        <w:rPr>
          <w:rFonts w:ascii="Times New Roman" w:eastAsia="Times New Roman" w:hAnsi="Times New Roman" w:cs="Times New Roman"/>
          <w:b/>
          <w:bCs/>
          <w:noProof/>
          <w:lang w:val="lt-LT"/>
        </w:rPr>
        <w:t>ir gamintojas</w:t>
      </w:r>
    </w:p>
    <w:p w14:paraId="5702CF3E" w14:textId="77777777" w:rsidR="00FB2538" w:rsidRPr="00381414" w:rsidRDefault="00FB2538" w:rsidP="00FB2538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i/>
          <w:noProof/>
          <w:lang w:val="lt-LT"/>
        </w:rPr>
      </w:pPr>
    </w:p>
    <w:p w14:paraId="21D565AD" w14:textId="77777777" w:rsidR="00FB2538" w:rsidRPr="00381414" w:rsidRDefault="00FB2538" w:rsidP="00FB2538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bCs/>
          <w:i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Registruotojas</w:t>
      </w:r>
    </w:p>
    <w:p w14:paraId="12AA6F39" w14:textId="77777777" w:rsidR="00FB2538" w:rsidRPr="00E70E73" w:rsidRDefault="00FB2538" w:rsidP="00FB2538">
      <w:pPr>
        <w:numPr>
          <w:ilvl w:val="12"/>
          <w:numId w:val="0"/>
        </w:numPr>
        <w:tabs>
          <w:tab w:val="left" w:pos="1080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lang w:val="lv-LV"/>
        </w:rPr>
      </w:pPr>
      <w:r w:rsidRPr="00E70E73">
        <w:rPr>
          <w:rFonts w:ascii="Times New Roman" w:eastAsia="Times New Roman" w:hAnsi="Times New Roman" w:cs="Times New Roman"/>
          <w:lang w:val="lv-LV"/>
        </w:rPr>
        <w:t>Viatris Healthcare Limited,</w:t>
      </w:r>
    </w:p>
    <w:p w14:paraId="2F799B39" w14:textId="77777777" w:rsidR="00FB2538" w:rsidRPr="00142C3D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E70E73">
        <w:rPr>
          <w:rFonts w:ascii="Times New Roman" w:eastAsia="Times New Roman" w:hAnsi="Times New Roman" w:cs="Times New Roman"/>
          <w:lang w:val="lv-LV"/>
        </w:rPr>
        <w:t>Damastown Industrial Park, Mulhuddart, Dublin 15, DUBLIN,</w:t>
      </w:r>
    </w:p>
    <w:p w14:paraId="6744B86A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142C3D">
        <w:rPr>
          <w:rFonts w:ascii="Times New Roman" w:eastAsia="Times New Roman" w:hAnsi="Times New Roman" w:cs="Times New Roman"/>
        </w:rPr>
        <w:t>Airija</w:t>
      </w:r>
    </w:p>
    <w:p w14:paraId="5263AB20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</w:rPr>
      </w:pPr>
    </w:p>
    <w:p w14:paraId="54A8C4B0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i/>
          <w:lang w:val="lt-LT"/>
        </w:rPr>
      </w:pPr>
      <w:r w:rsidRPr="00381414">
        <w:rPr>
          <w:rFonts w:ascii="Times New Roman" w:eastAsia="Times New Roman" w:hAnsi="Times New Roman" w:cs="Times New Roman"/>
          <w:i/>
          <w:lang w:val="lt-LT"/>
        </w:rPr>
        <w:t>Gamintojas</w:t>
      </w:r>
    </w:p>
    <w:p w14:paraId="698E7A83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381414">
        <w:rPr>
          <w:rFonts w:ascii="Times New Roman" w:eastAsia="Times New Roman" w:hAnsi="Times New Roman" w:cs="Times New Roman"/>
          <w:iCs/>
        </w:rPr>
        <w:t>Abbott Laboratories GmbH</w:t>
      </w:r>
    </w:p>
    <w:p w14:paraId="19FEE6FB" w14:textId="77777777" w:rsidR="00FB2538" w:rsidRPr="00BE670E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E670E">
        <w:rPr>
          <w:rFonts w:ascii="Times New Roman" w:eastAsia="Times New Roman" w:hAnsi="Times New Roman" w:cs="Times New Roman"/>
        </w:rPr>
        <w:t xml:space="preserve">Justus-von-Liebig-Str.-33 </w:t>
      </w:r>
    </w:p>
    <w:p w14:paraId="62EFFA88" w14:textId="77777777" w:rsidR="00FB2538" w:rsidRPr="00BE670E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BE670E">
        <w:rPr>
          <w:rFonts w:ascii="Times New Roman" w:eastAsia="Times New Roman" w:hAnsi="Times New Roman" w:cs="Times New Roman"/>
        </w:rPr>
        <w:t xml:space="preserve">D-31535 Neustadt </w:t>
      </w:r>
    </w:p>
    <w:p w14:paraId="2B6B1AF5" w14:textId="77777777" w:rsidR="00FB2538" w:rsidRPr="00BE670E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BE670E">
        <w:rPr>
          <w:rFonts w:ascii="Times New Roman" w:eastAsia="Times New Roman" w:hAnsi="Times New Roman" w:cs="Times New Roman"/>
        </w:rPr>
        <w:t>Vokietija</w:t>
      </w:r>
      <w:proofErr w:type="spellEnd"/>
    </w:p>
    <w:p w14:paraId="46F603E4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ind w:right="278"/>
        <w:rPr>
          <w:rFonts w:ascii="Times New Roman" w:eastAsia="Times New Roman" w:hAnsi="Times New Roman" w:cs="Times New Roman"/>
          <w:i/>
          <w:lang w:val="lt-LT"/>
        </w:rPr>
      </w:pPr>
    </w:p>
    <w:p w14:paraId="67002854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381414">
        <w:rPr>
          <w:rFonts w:ascii="Times New Roman" w:eastAsia="Times New Roman" w:hAnsi="Times New Roman" w:cs="Times New Roman"/>
          <w:noProof/>
          <w:lang w:val="lt-LT"/>
        </w:rPr>
        <w:t>Jeigu apie šį vaistą norite sužinoti daugiau, kreipkitės į vietinį registruotojo atstovą.</w:t>
      </w:r>
    </w:p>
    <w:p w14:paraId="0C180AF1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1686CA9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>
        <w:rPr>
          <w:rFonts w:ascii="Times New Roman" w:eastAsia="Times New Roman" w:hAnsi="Times New Roman" w:cs="Times New Roman"/>
          <w:lang w:val="lt-LT"/>
        </w:rPr>
        <w:t>Viatris</w:t>
      </w:r>
      <w:proofErr w:type="spellEnd"/>
      <w:r w:rsidRPr="00381414">
        <w:rPr>
          <w:rFonts w:ascii="Times New Roman" w:eastAsia="Times New Roman" w:hAnsi="Times New Roman" w:cs="Times New Roman"/>
          <w:lang w:val="lt-LT"/>
        </w:rPr>
        <w:t xml:space="preserve"> UAB</w:t>
      </w:r>
    </w:p>
    <w:p w14:paraId="6E1D5034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lang w:val="lt-LT"/>
        </w:rPr>
      </w:pPr>
      <w:r w:rsidRPr="00381414">
        <w:rPr>
          <w:rFonts w:ascii="Times New Roman" w:eastAsia="Times New Roman" w:hAnsi="Times New Roman" w:cs="Times New Roman"/>
          <w:bCs/>
          <w:iCs/>
          <w:lang w:val="lt-LT"/>
        </w:rPr>
        <w:t xml:space="preserve">Tel. + 370 5 205 12 88 </w:t>
      </w:r>
    </w:p>
    <w:p w14:paraId="759ADFA9" w14:textId="77777777" w:rsidR="00FB2538" w:rsidRPr="00381414" w:rsidRDefault="00FB2538" w:rsidP="00FB2538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51835180" w14:textId="77777777" w:rsidR="00FB2538" w:rsidRPr="00381414" w:rsidRDefault="00FB2538" w:rsidP="00FB2538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b/>
          <w:lang w:val="lt-LT"/>
        </w:rPr>
        <w:lastRenderedPageBreak/>
        <w:t xml:space="preserve">Šis pakuotės </w:t>
      </w:r>
      <w:smartTag w:uri="schemas-tilde-lt/tildestengine" w:element="templates">
        <w:smartTagPr>
          <w:attr w:name="text" w:val="LAPELIS"/>
          <w:attr w:name="id" w:val="-1"/>
          <w:attr w:name="baseform" w:val="lapel|is"/>
        </w:smartTagPr>
        <w:r w:rsidRPr="00381414">
          <w:rPr>
            <w:rFonts w:ascii="Times New Roman" w:eastAsia="Times New Roman" w:hAnsi="Times New Roman" w:cs="Times New Roman"/>
            <w:b/>
            <w:lang w:val="lt-LT"/>
          </w:rPr>
          <w:t>lapelis</w:t>
        </w:r>
      </w:smartTag>
      <w:r w:rsidRPr="00381414">
        <w:rPr>
          <w:rFonts w:ascii="Times New Roman" w:eastAsia="Times New Roman" w:hAnsi="Times New Roman" w:cs="Times New Roman"/>
          <w:b/>
          <w:lang w:val="lt-LT"/>
        </w:rPr>
        <w:t xml:space="preserve"> paskutinį kartą peržiūrėtas</w:t>
      </w:r>
      <w:r>
        <w:rPr>
          <w:rFonts w:ascii="Times New Roman" w:eastAsia="Times New Roman" w:hAnsi="Times New Roman" w:cs="Times New Roman"/>
          <w:b/>
          <w:lang w:val="lt-LT"/>
        </w:rPr>
        <w:t xml:space="preserve"> 2025-08-11.</w:t>
      </w:r>
    </w:p>
    <w:p w14:paraId="35DA8620" w14:textId="77777777" w:rsidR="00FB2538" w:rsidRPr="00381414" w:rsidRDefault="00FB2538" w:rsidP="00FB2538">
      <w:pPr>
        <w:tabs>
          <w:tab w:val="left" w:pos="567"/>
          <w:tab w:val="left" w:pos="1080"/>
        </w:tabs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1B583F50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381414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5B3D7D">
        <w:t xml:space="preserve"> </w:t>
      </w:r>
      <w:r w:rsidRPr="002960B6">
        <w:rPr>
          <w:rFonts w:ascii="Times New Roman" w:eastAsia="Times New Roman" w:hAnsi="Times New Roman" w:cs="Times New Roman"/>
          <w:u w:val="single"/>
          <w:lang w:val="lt-LT"/>
        </w:rPr>
        <w:t>https://vvkt.lrv.lt/lt/</w:t>
      </w:r>
      <w:r w:rsidRPr="005B3D7D">
        <w:rPr>
          <w:rFonts w:ascii="Times New Roman" w:eastAsia="Times New Roman" w:hAnsi="Times New Roman" w:cs="Times New Roman"/>
          <w:lang w:val="lt-LT"/>
        </w:rPr>
        <w:t>.</w:t>
      </w:r>
    </w:p>
    <w:p w14:paraId="238190B1" w14:textId="77777777" w:rsidR="00FB2538" w:rsidRPr="00381414" w:rsidRDefault="00FB2538" w:rsidP="00FB2538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  <w:r w:rsidRPr="00381414" w:rsidDel="00EF0D6F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3C98ABB8" w14:textId="77777777" w:rsidR="00FB2538" w:rsidRPr="00BE670E" w:rsidRDefault="00FB2538" w:rsidP="00FB2538">
      <w:pPr>
        <w:rPr>
          <w:lang w:val="lt-LT"/>
        </w:rPr>
      </w:pPr>
    </w:p>
    <w:p w14:paraId="6120705A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8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43A34"/>
    <w:multiLevelType w:val="hybridMultilevel"/>
    <w:tmpl w:val="F2FA0E32"/>
    <w:lvl w:ilvl="0" w:tplc="C08C68C4">
      <w:start w:val="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AE2A10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A6340A"/>
    <w:multiLevelType w:val="hybridMultilevel"/>
    <w:tmpl w:val="47E21710"/>
    <w:lvl w:ilvl="0" w:tplc="AE2A10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7713563">
    <w:abstractNumId w:val="0"/>
  </w:num>
  <w:num w:numId="2" w16cid:durableId="1233469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38"/>
    <w:rsid w:val="00222FED"/>
    <w:rsid w:val="002C23C5"/>
    <w:rsid w:val="005F173E"/>
    <w:rsid w:val="008B3AD4"/>
    <w:rsid w:val="00D047C4"/>
    <w:rsid w:val="00EC0D97"/>
    <w:rsid w:val="00F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4:docId w14:val="7A9A7A3A"/>
  <w15:chartTrackingRefBased/>
  <w15:docId w15:val="{093E3DE4-FA38-4121-8911-E7E26269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538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FB2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B2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B2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B2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B2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B2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B2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B2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B2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B2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B2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B2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B253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B253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B253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B253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B253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B253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B2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B2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B2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B2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B2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B253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B253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B253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B2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B253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B2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6623</Words>
  <Characters>3776</Characters>
  <Application>Microsoft Office Word</Application>
  <DocSecurity>0</DocSecurity>
  <Lines>31</Lines>
  <Paragraphs>20</Paragraphs>
  <ScaleCrop>false</ScaleCrop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2025-08-11T11:04:00Z</dcterms:created>
  <dcterms:modified xsi:type="dcterms:W3CDTF">2025-08-11T11:05:00Z</dcterms:modified>
</cp:coreProperties>
</file>