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TTEMEASMCA"/>
        <w:rPr>
          <w:sz w:val="22"/>
          <w:szCs w:val="22"/>
          <w:lang w:val="lt-LT"/>
        </w:rPr>
      </w:pPr>
      <w:bookmarkStart w:id="0" w:name="_Toc129243096"/>
      <w:bookmarkStart w:id="1" w:name="_Toc129243221"/>
      <w:r w:rsidRPr="00CD354A">
        <w:rPr>
          <w:sz w:val="22"/>
          <w:szCs w:val="22"/>
          <w:lang w:val="lt-LT"/>
        </w:rPr>
        <w:t>I PRIEDAS</w:t>
      </w:r>
      <w:bookmarkEnd w:id="0"/>
      <w:bookmarkEnd w:id="1"/>
    </w:p>
    <w:p w:rsidR="00AC2C19" w:rsidRPr="00CD354A" w:rsidRDefault="00AC2C19" w:rsidP="00AC2C19">
      <w:pPr>
        <w:pStyle w:val="BTEMEASMCA"/>
      </w:pPr>
    </w:p>
    <w:p w:rsidR="00AC2C19" w:rsidRPr="00CD354A" w:rsidRDefault="00AC2C19" w:rsidP="00AC2C19">
      <w:pPr>
        <w:pStyle w:val="TTEMEASMCA"/>
        <w:rPr>
          <w:sz w:val="22"/>
          <w:szCs w:val="22"/>
          <w:lang w:val="lt-LT"/>
        </w:rPr>
      </w:pPr>
      <w:bookmarkStart w:id="2" w:name="_Toc129243097"/>
      <w:bookmarkStart w:id="3" w:name="_Toc129243222"/>
      <w:r w:rsidRPr="00CD354A">
        <w:rPr>
          <w:sz w:val="22"/>
          <w:szCs w:val="22"/>
          <w:lang w:val="lt-LT"/>
        </w:rPr>
        <w:t>PREPARATO CHARAKTERISTIKŲ SANTRAUKA</w:t>
      </w:r>
      <w:bookmarkEnd w:id="2"/>
      <w:bookmarkEnd w:id="3"/>
    </w:p>
    <w:p w:rsidR="00AC2C19" w:rsidRPr="00CD354A" w:rsidRDefault="00AC2C19" w:rsidP="00AC2C19">
      <w:pPr>
        <w:spacing w:line="240" w:lineRule="auto"/>
        <w:ind w:left="540" w:hanging="540"/>
        <w:rPr>
          <w:b/>
          <w:lang w:val="lt-LT"/>
        </w:rPr>
      </w:pPr>
      <w:r w:rsidRPr="00CD354A">
        <w:rPr>
          <w:lang w:val="lt-LT"/>
        </w:rPr>
        <w:br w:type="page"/>
      </w:r>
      <w:bookmarkStart w:id="4" w:name="_Toc129243098"/>
      <w:bookmarkStart w:id="5" w:name="_Toc129243223"/>
      <w:r w:rsidRPr="00CD354A">
        <w:rPr>
          <w:b/>
          <w:lang w:val="lt-LT"/>
        </w:rPr>
        <w:lastRenderedPageBreak/>
        <w:t>1.</w:t>
      </w:r>
      <w:r w:rsidRPr="00CD354A">
        <w:rPr>
          <w:b/>
          <w:lang w:val="lt-LT"/>
        </w:rPr>
        <w:tab/>
        <w:t>VAISTINIO PREPARATO PAVADINIMAS</w:t>
      </w:r>
      <w:bookmarkEnd w:id="4"/>
      <w:bookmarkEnd w:id="5"/>
    </w:p>
    <w:p w:rsidR="00AC2C19" w:rsidRPr="00CD354A" w:rsidRDefault="00AC2C19" w:rsidP="00AC2C19">
      <w:pPr>
        <w:pStyle w:val="BTEMEASMCA"/>
      </w:pPr>
    </w:p>
    <w:p w:rsidR="00AC2C19" w:rsidRPr="00CD354A" w:rsidRDefault="00AC2C19" w:rsidP="00AC2C19">
      <w:pPr>
        <w:pStyle w:val="BTEMEASMCA"/>
        <w:rPr>
          <w:lang w:val="lt-LT"/>
        </w:rPr>
      </w:pPr>
      <w:r w:rsidRPr="00CD354A">
        <w:t>SULPERAZON 1/1 g milteliai injekciniam ar infuziniam tirpalui</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spacing w:line="240" w:lineRule="auto"/>
        <w:ind w:left="540" w:hanging="540"/>
        <w:rPr>
          <w:b/>
          <w:lang w:val="lt-LT"/>
        </w:rPr>
      </w:pPr>
      <w:bookmarkStart w:id="6" w:name="_Toc129243099"/>
      <w:bookmarkStart w:id="7" w:name="_Toc129243224"/>
      <w:r w:rsidRPr="00CD354A">
        <w:rPr>
          <w:b/>
          <w:lang w:val="lt-LT"/>
        </w:rPr>
        <w:t>2.</w:t>
      </w:r>
      <w:r w:rsidRPr="00CD354A">
        <w:rPr>
          <w:b/>
          <w:lang w:val="lt-LT"/>
        </w:rPr>
        <w:tab/>
        <w:t>KOKYBINĖ IR KIEKYBINĖ SUDĖTIS</w:t>
      </w:r>
      <w:bookmarkEnd w:id="6"/>
      <w:bookmarkEnd w:id="7"/>
    </w:p>
    <w:p w:rsidR="00AC2C19" w:rsidRPr="00CD354A" w:rsidRDefault="00AC2C19" w:rsidP="00AC2C19">
      <w:pPr>
        <w:pStyle w:val="BTEMEASMCA"/>
      </w:pPr>
    </w:p>
    <w:p w:rsidR="00AC2C19" w:rsidRPr="00CD354A" w:rsidRDefault="00AC2C19" w:rsidP="00AC2C19">
      <w:pPr>
        <w:pStyle w:val="BTEMEASMCA"/>
      </w:pPr>
      <w:r w:rsidRPr="00CD354A">
        <w:t xml:space="preserve">Kiekviename </w:t>
      </w:r>
      <w:r>
        <w:rPr>
          <w:lang w:val="en-US"/>
        </w:rPr>
        <w:t>flakone</w:t>
      </w:r>
      <w:r w:rsidRPr="00CD354A">
        <w:t xml:space="preserve"> yra 1 g sulbaktamo (sulbaktamo natrio druskos pavidalu) ir 1 g cefoperazono (cefoperazono natrio druskos pavidalu).</w:t>
      </w:r>
    </w:p>
    <w:p w:rsidR="00AC2C19" w:rsidRPr="00CD354A" w:rsidRDefault="00AC2C19" w:rsidP="00AC2C19">
      <w:pPr>
        <w:pStyle w:val="BTEMEASMCA"/>
      </w:pPr>
    </w:p>
    <w:p w:rsidR="00AC2C19" w:rsidRPr="00CD354A" w:rsidRDefault="00AC2C19" w:rsidP="00AC2C19">
      <w:pPr>
        <w:pStyle w:val="BTEMEASMCA"/>
      </w:pPr>
      <w:r w:rsidRPr="000B7544">
        <w:rPr>
          <w:u w:val="single"/>
        </w:rPr>
        <w:t>Pagalbinė medžiaga, kurios poveikis žinomas</w:t>
      </w:r>
      <w:r w:rsidRPr="00CD354A">
        <w:t xml:space="preserve">: kiekviename </w:t>
      </w:r>
      <w:r>
        <w:rPr>
          <w:lang w:val="en-US"/>
        </w:rPr>
        <w:t>flakone</w:t>
      </w:r>
      <w:r w:rsidRPr="00CD354A">
        <w:t xml:space="preserve"> yra 126 mg natrio.</w:t>
      </w:r>
    </w:p>
    <w:p w:rsidR="00AC2C19" w:rsidRPr="00CD354A" w:rsidRDefault="00AC2C19" w:rsidP="00AC2C19">
      <w:pPr>
        <w:pStyle w:val="BTEMEASMCA"/>
      </w:pPr>
    </w:p>
    <w:p w:rsidR="00AC2C19" w:rsidRPr="00CD354A" w:rsidRDefault="00AC2C19" w:rsidP="00AC2C19">
      <w:pPr>
        <w:pStyle w:val="BTEMEASMCA"/>
      </w:pPr>
      <w:r w:rsidRPr="00CD354A">
        <w:t>Visos pagalbinės medžiagos išvardytos 6.1 skyriuje.</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spacing w:line="240" w:lineRule="auto"/>
        <w:ind w:left="540" w:hanging="540"/>
        <w:rPr>
          <w:b/>
          <w:lang w:val="lt-LT"/>
        </w:rPr>
      </w:pPr>
      <w:bookmarkStart w:id="8" w:name="_Toc129243100"/>
      <w:bookmarkStart w:id="9" w:name="_Toc129243225"/>
      <w:r w:rsidRPr="00CD354A">
        <w:rPr>
          <w:b/>
          <w:lang w:val="lt-LT"/>
        </w:rPr>
        <w:t>3.</w:t>
      </w:r>
      <w:r w:rsidRPr="00CD354A">
        <w:rPr>
          <w:b/>
          <w:lang w:val="lt-LT"/>
        </w:rPr>
        <w:tab/>
        <w:t>FARMACINĖ FORMA</w:t>
      </w:r>
      <w:bookmarkEnd w:id="8"/>
      <w:bookmarkEnd w:id="9"/>
    </w:p>
    <w:p w:rsidR="00AC2C19" w:rsidRPr="00CD354A" w:rsidRDefault="00AC2C19" w:rsidP="00AC2C19">
      <w:pPr>
        <w:pStyle w:val="BTEMEASMCA"/>
      </w:pPr>
    </w:p>
    <w:p w:rsidR="00AC2C19" w:rsidRPr="00CD354A" w:rsidRDefault="00AC2C19" w:rsidP="00AC2C19">
      <w:pPr>
        <w:pStyle w:val="BTEMEASMCA"/>
      </w:pPr>
      <w:r w:rsidRPr="00CD354A">
        <w:t>Milteliai injekciniam ar infuziniam tirpalui.</w:t>
      </w:r>
    </w:p>
    <w:p w:rsidR="00AC2C19" w:rsidRPr="00CD354A" w:rsidRDefault="00AC2C19" w:rsidP="00AC2C19">
      <w:pPr>
        <w:pStyle w:val="BTEMEASMCA"/>
      </w:pPr>
      <w:r w:rsidRPr="00CD354A">
        <w:t>Balti arba beveik balti kristaliniai milteliai.</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spacing w:line="240" w:lineRule="auto"/>
        <w:ind w:left="540" w:hanging="540"/>
        <w:rPr>
          <w:b/>
          <w:lang w:val="lt-LT"/>
        </w:rPr>
      </w:pPr>
      <w:bookmarkStart w:id="10" w:name="_Toc129243101"/>
      <w:bookmarkStart w:id="11" w:name="_Toc129243226"/>
      <w:r w:rsidRPr="00CD354A">
        <w:rPr>
          <w:b/>
          <w:lang w:val="lt-LT"/>
        </w:rPr>
        <w:t>4.</w:t>
      </w:r>
      <w:r w:rsidRPr="00CD354A">
        <w:rPr>
          <w:b/>
          <w:lang w:val="lt-LT"/>
        </w:rPr>
        <w:tab/>
        <w:t>KLINIKINĖ INFORMACIJA</w:t>
      </w:r>
      <w:bookmarkEnd w:id="10"/>
      <w:bookmarkEnd w:id="11"/>
    </w:p>
    <w:p w:rsidR="00AC2C19" w:rsidRPr="00CD354A" w:rsidRDefault="00AC2C19" w:rsidP="00AC2C19">
      <w:pPr>
        <w:spacing w:line="240" w:lineRule="auto"/>
        <w:rPr>
          <w:lang w:val="lt-LT"/>
        </w:rPr>
      </w:pPr>
    </w:p>
    <w:p w:rsidR="00AC2C19" w:rsidRPr="00CD354A" w:rsidRDefault="00AC2C19" w:rsidP="00AC2C19">
      <w:pPr>
        <w:spacing w:line="240" w:lineRule="auto"/>
        <w:ind w:left="540" w:hanging="540"/>
        <w:rPr>
          <w:b/>
          <w:lang w:val="lt-LT"/>
        </w:rPr>
      </w:pPr>
      <w:bookmarkStart w:id="12" w:name="_Toc129243102"/>
      <w:bookmarkStart w:id="13" w:name="_Toc129243227"/>
      <w:bookmarkStart w:id="14" w:name="_Ref2313803"/>
      <w:r w:rsidRPr="00CD354A">
        <w:rPr>
          <w:b/>
          <w:lang w:val="lt-LT"/>
        </w:rPr>
        <w:t>4.1</w:t>
      </w:r>
      <w:r w:rsidRPr="00CD354A">
        <w:rPr>
          <w:b/>
          <w:lang w:val="lt-LT"/>
        </w:rPr>
        <w:tab/>
        <w:t>Terapinės indikacijos</w:t>
      </w:r>
      <w:bookmarkEnd w:id="12"/>
      <w:bookmarkEnd w:id="13"/>
      <w:bookmarkEnd w:id="14"/>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proofErr w:type="spellStart"/>
      <w:r w:rsidRPr="00CD354A">
        <w:rPr>
          <w:lang w:val="lt-LT"/>
        </w:rPr>
        <w:t>Sulbaktamo</w:t>
      </w:r>
      <w:proofErr w:type="spellEnd"/>
      <w:r w:rsidRPr="00CD354A">
        <w:rPr>
          <w:lang w:val="lt-LT"/>
        </w:rPr>
        <w:t xml:space="preserve"> ir </w:t>
      </w:r>
      <w:proofErr w:type="spellStart"/>
      <w:r w:rsidRPr="00CD354A">
        <w:rPr>
          <w:lang w:val="lt-LT"/>
        </w:rPr>
        <w:t>cefoperazono</w:t>
      </w:r>
      <w:proofErr w:type="spellEnd"/>
      <w:r w:rsidRPr="00CD354A">
        <w:rPr>
          <w:lang w:val="lt-LT"/>
        </w:rPr>
        <w:t xml:space="preserve"> deriniui jautrių mikroorganizmų sukeltų infekcinių ligų gydymas vien SULPERAZON arba kartu su kitais antibiotikais (žr. 4.2 skyri</w:t>
      </w:r>
      <w:r w:rsidRPr="00CD354A">
        <w:rPr>
          <w:lang w:val="lt-LT" w:bidi="ar-SY"/>
        </w:rPr>
        <w:t>ų</w:t>
      </w:r>
      <w:r w:rsidRPr="00CD354A">
        <w:rPr>
          <w:lang w:val="lt-LT"/>
        </w:rPr>
        <w:t>):</w:t>
      </w:r>
    </w:p>
    <w:p w:rsidR="00AC2C19" w:rsidRPr="00CD354A" w:rsidRDefault="00AC2C19" w:rsidP="00AC2C19">
      <w:pPr>
        <w:spacing w:line="240" w:lineRule="auto"/>
        <w:ind w:left="540" w:hanging="540"/>
        <w:rPr>
          <w:lang w:val="lt-LT"/>
        </w:rPr>
      </w:pPr>
      <w:r w:rsidRPr="00CD354A">
        <w:rPr>
          <w:lang w:val="lt-LT"/>
        </w:rPr>
        <w:t>-</w:t>
      </w:r>
      <w:r w:rsidRPr="00CD354A">
        <w:rPr>
          <w:lang w:val="lt-LT"/>
        </w:rPr>
        <w:tab/>
        <w:t>viršutinių ir apatinių kvėpavimo takų (pvz., sinusito, pneumonijos);</w:t>
      </w:r>
    </w:p>
    <w:p w:rsidR="00AC2C19" w:rsidRPr="00CD354A" w:rsidRDefault="00AC2C19" w:rsidP="00AC2C19">
      <w:pPr>
        <w:spacing w:line="240" w:lineRule="auto"/>
        <w:ind w:left="540" w:hanging="540"/>
        <w:rPr>
          <w:lang w:val="lt-LT"/>
        </w:rPr>
      </w:pPr>
      <w:r w:rsidRPr="00CD354A">
        <w:rPr>
          <w:lang w:val="lt-LT"/>
        </w:rPr>
        <w:t>-</w:t>
      </w:r>
      <w:r w:rsidRPr="00CD354A">
        <w:rPr>
          <w:lang w:val="lt-LT"/>
        </w:rPr>
        <w:tab/>
        <w:t xml:space="preserve">viršutinių ir apatinių šlapimo takų ( pvz., </w:t>
      </w:r>
      <w:proofErr w:type="spellStart"/>
      <w:r w:rsidRPr="00CD354A">
        <w:rPr>
          <w:lang w:val="lt-LT"/>
        </w:rPr>
        <w:t>pielonefrito</w:t>
      </w:r>
      <w:proofErr w:type="spellEnd"/>
      <w:r w:rsidRPr="00CD354A">
        <w:rPr>
          <w:lang w:val="lt-LT"/>
        </w:rPr>
        <w:t>);</w:t>
      </w:r>
    </w:p>
    <w:p w:rsidR="00AC2C19" w:rsidRPr="00CD354A" w:rsidRDefault="00AC2C19" w:rsidP="00AC2C19">
      <w:pPr>
        <w:spacing w:line="240" w:lineRule="auto"/>
        <w:ind w:left="540" w:hanging="540"/>
        <w:rPr>
          <w:lang w:val="lt-LT"/>
        </w:rPr>
      </w:pPr>
      <w:r w:rsidRPr="00CD354A">
        <w:rPr>
          <w:lang w:val="lt-LT"/>
        </w:rPr>
        <w:t>-</w:t>
      </w:r>
      <w:r w:rsidRPr="00CD354A">
        <w:rPr>
          <w:lang w:val="lt-LT"/>
        </w:rPr>
        <w:tab/>
        <w:t xml:space="preserve">pilvo ertmės (pvz., peritonito, </w:t>
      </w:r>
      <w:proofErr w:type="spellStart"/>
      <w:r w:rsidRPr="00CD354A">
        <w:rPr>
          <w:lang w:val="lt-LT"/>
        </w:rPr>
        <w:t>cholecistito</w:t>
      </w:r>
      <w:proofErr w:type="spellEnd"/>
      <w:r w:rsidRPr="00CD354A">
        <w:rPr>
          <w:lang w:val="lt-LT"/>
        </w:rPr>
        <w:t xml:space="preserve">, </w:t>
      </w:r>
      <w:proofErr w:type="spellStart"/>
      <w:r w:rsidRPr="00CD354A">
        <w:rPr>
          <w:lang w:val="lt-LT"/>
        </w:rPr>
        <w:t>cholangito</w:t>
      </w:r>
      <w:proofErr w:type="spellEnd"/>
      <w:r w:rsidRPr="00CD354A">
        <w:rPr>
          <w:lang w:val="lt-LT"/>
        </w:rPr>
        <w:t>);</w:t>
      </w:r>
    </w:p>
    <w:p w:rsidR="00AC2C19" w:rsidRPr="00CD354A" w:rsidRDefault="00AC2C19" w:rsidP="00AC2C19">
      <w:pPr>
        <w:spacing w:line="240" w:lineRule="auto"/>
        <w:ind w:left="540" w:hanging="540"/>
        <w:rPr>
          <w:lang w:val="lt-LT"/>
        </w:rPr>
      </w:pPr>
      <w:r w:rsidRPr="00CD354A">
        <w:rPr>
          <w:lang w:val="lt-LT"/>
        </w:rPr>
        <w:t>-</w:t>
      </w:r>
      <w:r w:rsidRPr="00CD354A">
        <w:rPr>
          <w:lang w:val="lt-LT"/>
        </w:rPr>
        <w:tab/>
        <w:t>septicemijos;</w:t>
      </w:r>
    </w:p>
    <w:p w:rsidR="00AC2C19" w:rsidRPr="00CD354A" w:rsidRDefault="00AC2C19" w:rsidP="00AC2C19">
      <w:pPr>
        <w:spacing w:line="240" w:lineRule="auto"/>
        <w:ind w:left="540" w:hanging="540"/>
        <w:rPr>
          <w:lang w:val="lt-LT"/>
        </w:rPr>
      </w:pPr>
      <w:r w:rsidRPr="00CD354A">
        <w:rPr>
          <w:lang w:val="lt-LT"/>
        </w:rPr>
        <w:t>-</w:t>
      </w:r>
      <w:r w:rsidRPr="00CD354A">
        <w:rPr>
          <w:lang w:val="lt-LT"/>
        </w:rPr>
        <w:tab/>
        <w:t>odos ir poodinio audinio (pvz., celiulito, infekuotų žaizdų);</w:t>
      </w:r>
    </w:p>
    <w:p w:rsidR="00AC2C19" w:rsidRPr="00CD354A" w:rsidRDefault="00AC2C19" w:rsidP="00AC2C19">
      <w:pPr>
        <w:spacing w:line="240" w:lineRule="auto"/>
        <w:ind w:left="540" w:hanging="540"/>
        <w:rPr>
          <w:lang w:val="lt-LT"/>
        </w:rPr>
      </w:pPr>
      <w:r w:rsidRPr="00CD354A">
        <w:rPr>
          <w:lang w:val="lt-LT"/>
        </w:rPr>
        <w:t>-</w:t>
      </w:r>
      <w:r w:rsidRPr="00CD354A">
        <w:rPr>
          <w:lang w:val="lt-LT"/>
        </w:rPr>
        <w:tab/>
        <w:t xml:space="preserve">kaulų ir sąnarių (pvz., </w:t>
      </w:r>
      <w:proofErr w:type="spellStart"/>
      <w:r w:rsidRPr="00CD354A">
        <w:rPr>
          <w:lang w:val="lt-LT"/>
        </w:rPr>
        <w:t>osteomielito</w:t>
      </w:r>
      <w:proofErr w:type="spellEnd"/>
      <w:r w:rsidRPr="00CD354A">
        <w:rPr>
          <w:lang w:val="lt-LT"/>
        </w:rPr>
        <w:t xml:space="preserve">, </w:t>
      </w:r>
      <w:proofErr w:type="spellStart"/>
      <w:r w:rsidRPr="00CD354A">
        <w:rPr>
          <w:lang w:val="lt-LT"/>
        </w:rPr>
        <w:t>sepsinio</w:t>
      </w:r>
      <w:proofErr w:type="spellEnd"/>
      <w:r w:rsidRPr="00CD354A">
        <w:rPr>
          <w:lang w:val="lt-LT"/>
        </w:rPr>
        <w:t xml:space="preserve"> artrito);</w:t>
      </w:r>
    </w:p>
    <w:p w:rsidR="00AC2C19" w:rsidRPr="00CD354A" w:rsidRDefault="00AC2C19" w:rsidP="00AC2C19">
      <w:pPr>
        <w:spacing w:line="240" w:lineRule="auto"/>
        <w:ind w:left="540" w:hanging="540"/>
        <w:rPr>
          <w:lang w:val="lt-LT"/>
        </w:rPr>
      </w:pPr>
      <w:r w:rsidRPr="00CD354A">
        <w:rPr>
          <w:lang w:val="lt-LT"/>
        </w:rPr>
        <w:t>-</w:t>
      </w:r>
      <w:r w:rsidRPr="00CD354A">
        <w:rPr>
          <w:lang w:val="lt-LT"/>
        </w:rPr>
        <w:tab/>
        <w:t>uždegiminės mažojo dubens ligos, endometrito, kitų lytinių organų infekcinių ligų (pvz., gonorėjos).</w:t>
      </w:r>
    </w:p>
    <w:p w:rsidR="00AC2C19" w:rsidRPr="00CD354A" w:rsidRDefault="00AC2C19" w:rsidP="00AC2C19">
      <w:pPr>
        <w:pStyle w:val="BTEMEASMCA"/>
      </w:pPr>
      <w:bookmarkStart w:id="15" w:name="_Ref2313806"/>
    </w:p>
    <w:bookmarkEnd w:id="15"/>
    <w:p w:rsidR="00AC2C19" w:rsidRPr="00CD354A" w:rsidRDefault="00AC2C19" w:rsidP="00AC2C19">
      <w:pPr>
        <w:pStyle w:val="BTEMEASMCA"/>
      </w:pPr>
      <w:r w:rsidRPr="00CD354A">
        <w:t>Reikia atsižvelgti į oficialias vietines tinkamo antimikrobinių vaistinių preparatų vartojimo rekomendacijas.</w:t>
      </w:r>
    </w:p>
    <w:p w:rsidR="00AC2C19" w:rsidRPr="00CD354A" w:rsidRDefault="00AC2C19" w:rsidP="00AC2C19">
      <w:pPr>
        <w:pStyle w:val="BTEMEASMCA"/>
      </w:pPr>
    </w:p>
    <w:p w:rsidR="00AC2C19" w:rsidRPr="00CD354A" w:rsidRDefault="00AC2C19" w:rsidP="00AC2C19">
      <w:pPr>
        <w:spacing w:line="240" w:lineRule="auto"/>
        <w:ind w:left="540" w:hanging="540"/>
        <w:rPr>
          <w:b/>
          <w:lang w:val="lt-LT"/>
        </w:rPr>
      </w:pPr>
      <w:bookmarkStart w:id="16" w:name="_Ref2304624"/>
      <w:bookmarkStart w:id="17" w:name="_Toc129243103"/>
      <w:bookmarkStart w:id="18" w:name="_Toc129243228"/>
      <w:r w:rsidRPr="00CD354A">
        <w:rPr>
          <w:b/>
          <w:lang w:val="lt-LT"/>
        </w:rPr>
        <w:t>4.2</w:t>
      </w:r>
      <w:r w:rsidRPr="00CD354A">
        <w:rPr>
          <w:b/>
          <w:lang w:val="lt-LT"/>
        </w:rPr>
        <w:tab/>
        <w:t xml:space="preserve">Dozavimas ir vartojimo </w:t>
      </w:r>
      <w:bookmarkEnd w:id="16"/>
      <w:r w:rsidRPr="00CD354A">
        <w:rPr>
          <w:b/>
          <w:lang w:val="lt-LT"/>
        </w:rPr>
        <w:t>metodas</w:t>
      </w:r>
      <w:bookmarkEnd w:id="17"/>
      <w:bookmarkEnd w:id="18"/>
    </w:p>
    <w:p w:rsidR="00AC2C19" w:rsidRPr="00CD354A" w:rsidRDefault="00AC2C19" w:rsidP="00AC2C19">
      <w:pPr>
        <w:spacing w:line="240" w:lineRule="auto"/>
        <w:rPr>
          <w:lang w:val="lt-LT"/>
        </w:rPr>
      </w:pPr>
    </w:p>
    <w:p w:rsidR="00AC2C19" w:rsidRPr="00CD354A" w:rsidRDefault="00AC2C19" w:rsidP="00AC2C19">
      <w:pPr>
        <w:spacing w:line="240" w:lineRule="auto"/>
        <w:rPr>
          <w:u w:val="single"/>
          <w:lang w:val="lt-LT"/>
        </w:rPr>
      </w:pPr>
      <w:r w:rsidRPr="00CD354A">
        <w:rPr>
          <w:noProof/>
          <w:u w:val="single"/>
          <w:lang w:val="lt-LT"/>
        </w:rPr>
        <w:t>Dozavimas</w:t>
      </w:r>
    </w:p>
    <w:p w:rsidR="00AC2C19" w:rsidRPr="00CD354A" w:rsidRDefault="00AC2C19" w:rsidP="00AC2C19">
      <w:pPr>
        <w:spacing w:line="240" w:lineRule="auto"/>
        <w:rPr>
          <w:lang w:val="lt-LT"/>
        </w:rPr>
      </w:pPr>
    </w:p>
    <w:p w:rsidR="00AC2C19" w:rsidRPr="00CD354A" w:rsidRDefault="00AC2C19" w:rsidP="00AC2C19">
      <w:pPr>
        <w:spacing w:line="240" w:lineRule="auto"/>
        <w:rPr>
          <w:i/>
          <w:lang w:val="lt-LT"/>
        </w:rPr>
      </w:pPr>
      <w:r w:rsidRPr="00CD354A">
        <w:rPr>
          <w:i/>
          <w:lang w:val="lt-LT"/>
        </w:rPr>
        <w:t>Suaugusiesiems</w:t>
      </w:r>
    </w:p>
    <w:p w:rsidR="00AC2C19" w:rsidRPr="00CD354A" w:rsidRDefault="00AC2C19" w:rsidP="00AC2C19">
      <w:pPr>
        <w:pStyle w:val="BTEMEASMCA"/>
      </w:pPr>
      <w:r w:rsidRPr="00CD354A">
        <w:t>Rekomenduojamos sulbaktamo ir cefoperazono derinio paros dozės suaugusiesiems: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77"/>
        <w:gridCol w:w="1887"/>
        <w:gridCol w:w="2130"/>
      </w:tblGrid>
      <w:tr w:rsidR="00AC2C19" w:rsidRPr="00CD354A">
        <w:tc>
          <w:tcPr>
            <w:tcW w:w="1526" w:type="dxa"/>
          </w:tcPr>
          <w:p w:rsidR="00AC2C19" w:rsidRPr="00CD354A" w:rsidRDefault="00AC2C19" w:rsidP="00AC2C19">
            <w:pPr>
              <w:spacing w:line="240" w:lineRule="auto"/>
              <w:rPr>
                <w:lang w:val="lt-LT"/>
              </w:rPr>
            </w:pPr>
            <w:r w:rsidRPr="00CD354A">
              <w:rPr>
                <w:lang w:val="lt-LT"/>
              </w:rPr>
              <w:t>Santykis</w:t>
            </w:r>
          </w:p>
        </w:tc>
        <w:tc>
          <w:tcPr>
            <w:tcW w:w="2977" w:type="dxa"/>
          </w:tcPr>
          <w:p w:rsidR="00AC2C19" w:rsidRPr="00CD354A" w:rsidRDefault="00AC2C19" w:rsidP="00AC2C19">
            <w:pPr>
              <w:spacing w:line="240" w:lineRule="auto"/>
              <w:rPr>
                <w:lang w:val="lt-LT"/>
              </w:rPr>
            </w:pPr>
            <w:proofErr w:type="spellStart"/>
            <w:r w:rsidRPr="00CD354A">
              <w:rPr>
                <w:lang w:val="lt-LT"/>
              </w:rPr>
              <w:t>Sulbaktamo</w:t>
            </w:r>
            <w:proofErr w:type="spellEnd"/>
            <w:r w:rsidRPr="00CD354A">
              <w:rPr>
                <w:lang w:val="lt-LT"/>
              </w:rPr>
              <w:t xml:space="preserve"> ir </w:t>
            </w:r>
            <w:proofErr w:type="spellStart"/>
            <w:r w:rsidRPr="00CD354A">
              <w:rPr>
                <w:lang w:val="lt-LT"/>
              </w:rPr>
              <w:t>cefoperazono</w:t>
            </w:r>
            <w:proofErr w:type="spellEnd"/>
            <w:r w:rsidRPr="00CD354A">
              <w:rPr>
                <w:lang w:val="lt-LT"/>
              </w:rPr>
              <w:t xml:space="preserve"> derinio kiekis</w:t>
            </w:r>
          </w:p>
        </w:tc>
        <w:tc>
          <w:tcPr>
            <w:tcW w:w="1887" w:type="dxa"/>
          </w:tcPr>
          <w:p w:rsidR="00AC2C19" w:rsidRPr="00CD354A" w:rsidRDefault="00AC2C19" w:rsidP="00AC2C19">
            <w:pPr>
              <w:spacing w:line="240" w:lineRule="auto"/>
              <w:rPr>
                <w:lang w:val="lt-LT"/>
              </w:rPr>
            </w:pPr>
            <w:proofErr w:type="spellStart"/>
            <w:r w:rsidRPr="00CD354A">
              <w:rPr>
                <w:lang w:val="lt-LT"/>
              </w:rPr>
              <w:t>Sulbaktamo</w:t>
            </w:r>
            <w:proofErr w:type="spellEnd"/>
            <w:r w:rsidRPr="00CD354A">
              <w:rPr>
                <w:lang w:val="lt-LT"/>
              </w:rPr>
              <w:t xml:space="preserve"> kiekis</w:t>
            </w:r>
          </w:p>
        </w:tc>
        <w:tc>
          <w:tcPr>
            <w:tcW w:w="2130" w:type="dxa"/>
          </w:tcPr>
          <w:p w:rsidR="00AC2C19" w:rsidRPr="00CD354A" w:rsidRDefault="00AC2C19" w:rsidP="00AC2C19">
            <w:pPr>
              <w:spacing w:line="240" w:lineRule="auto"/>
              <w:rPr>
                <w:lang w:val="lt-LT"/>
              </w:rPr>
            </w:pPr>
            <w:proofErr w:type="spellStart"/>
            <w:r w:rsidRPr="00CD354A">
              <w:rPr>
                <w:lang w:val="lt-LT"/>
              </w:rPr>
              <w:t>Cefoperazono</w:t>
            </w:r>
            <w:proofErr w:type="spellEnd"/>
            <w:r w:rsidRPr="00CD354A">
              <w:rPr>
                <w:lang w:val="lt-LT"/>
              </w:rPr>
              <w:t xml:space="preserve"> kiekis</w:t>
            </w:r>
          </w:p>
        </w:tc>
      </w:tr>
      <w:tr w:rsidR="00AC2C19" w:rsidRPr="00CD354A">
        <w:tc>
          <w:tcPr>
            <w:tcW w:w="1526" w:type="dxa"/>
          </w:tcPr>
          <w:p w:rsidR="00AC2C19" w:rsidRPr="00CD354A" w:rsidRDefault="00AC2C19" w:rsidP="00AC2C19">
            <w:pPr>
              <w:spacing w:line="240" w:lineRule="auto"/>
              <w:jc w:val="center"/>
              <w:rPr>
                <w:lang w:val="lt-LT"/>
              </w:rPr>
            </w:pPr>
            <w:r w:rsidRPr="00CD354A">
              <w:rPr>
                <w:lang w:val="lt-LT"/>
              </w:rPr>
              <w:t>1:1</w:t>
            </w:r>
          </w:p>
        </w:tc>
        <w:tc>
          <w:tcPr>
            <w:tcW w:w="2977" w:type="dxa"/>
          </w:tcPr>
          <w:p w:rsidR="00AC2C19" w:rsidRPr="00CD354A" w:rsidRDefault="00AC2C19" w:rsidP="00AC2C19">
            <w:pPr>
              <w:spacing w:line="240" w:lineRule="auto"/>
              <w:jc w:val="center"/>
              <w:rPr>
                <w:lang w:val="lt-LT"/>
              </w:rPr>
            </w:pPr>
            <w:r w:rsidRPr="00CD354A">
              <w:rPr>
                <w:lang w:val="lt-LT"/>
              </w:rPr>
              <w:t>2–4 g</w:t>
            </w:r>
          </w:p>
        </w:tc>
        <w:tc>
          <w:tcPr>
            <w:tcW w:w="1887" w:type="dxa"/>
          </w:tcPr>
          <w:p w:rsidR="00AC2C19" w:rsidRPr="00CD354A" w:rsidRDefault="00AC2C19" w:rsidP="00AC2C19">
            <w:pPr>
              <w:spacing w:line="240" w:lineRule="auto"/>
              <w:jc w:val="center"/>
              <w:rPr>
                <w:lang w:val="lt-LT"/>
              </w:rPr>
            </w:pPr>
            <w:r w:rsidRPr="00CD354A">
              <w:rPr>
                <w:lang w:val="lt-LT"/>
              </w:rPr>
              <w:t>1–2 g</w:t>
            </w:r>
          </w:p>
        </w:tc>
        <w:tc>
          <w:tcPr>
            <w:tcW w:w="2130" w:type="dxa"/>
          </w:tcPr>
          <w:p w:rsidR="00AC2C19" w:rsidRPr="00CD354A" w:rsidRDefault="00AC2C19" w:rsidP="00AC2C19">
            <w:pPr>
              <w:spacing w:line="240" w:lineRule="auto"/>
              <w:jc w:val="center"/>
              <w:rPr>
                <w:lang w:val="lt-LT"/>
              </w:rPr>
            </w:pPr>
            <w:r w:rsidRPr="00CD354A">
              <w:rPr>
                <w:lang w:val="lt-LT"/>
              </w:rPr>
              <w:t>1–2 g</w:t>
            </w:r>
          </w:p>
        </w:tc>
      </w:tr>
    </w:tbl>
    <w:p w:rsidR="00AC2C19" w:rsidRPr="00CD354A" w:rsidRDefault="00AC2C19" w:rsidP="00AC2C19">
      <w:pPr>
        <w:pStyle w:val="BTEMEASMCA"/>
      </w:pPr>
    </w:p>
    <w:p w:rsidR="00AC2C19" w:rsidRPr="00CD354A" w:rsidRDefault="00AC2C19" w:rsidP="00AC2C19">
      <w:pPr>
        <w:pStyle w:val="BTEMEASMCA"/>
      </w:pPr>
      <w:r w:rsidRPr="00CD354A">
        <w:t>Šio vaistinio preparato vartojama kas 12 val., lygiomis dozėmis.</w:t>
      </w:r>
    </w:p>
    <w:p w:rsidR="00AC2C19" w:rsidRPr="00CD354A" w:rsidRDefault="00AC2C19" w:rsidP="00AC2C19">
      <w:pPr>
        <w:pStyle w:val="BTEMEASMCA"/>
      </w:pPr>
      <w:r w:rsidRPr="00CD354A">
        <w:t>Jei infekcinė liga yra sunki arba atspari vaistiniams preparatams, sulbaktamo ir cefoperazono derinio paros dozę galima didinti iki 8 g santykiu 1:1 (4 g cefoperazono). Vartojant šį vaistinį preparatą santykiu 1:1, cefoperazono gali prireikti skirti papildomai. Vartojama kas 12 val., lygiomis dozėmis.</w:t>
      </w:r>
    </w:p>
    <w:p w:rsidR="00AC2C19" w:rsidRPr="00CD354A" w:rsidRDefault="00AC2C19" w:rsidP="00AC2C19">
      <w:pPr>
        <w:pStyle w:val="BTEMEASMCA"/>
      </w:pPr>
    </w:p>
    <w:p w:rsidR="00AC2C19" w:rsidRPr="00CD354A" w:rsidRDefault="00AC2C19" w:rsidP="00AC2C19">
      <w:pPr>
        <w:pStyle w:val="BTEMEASMCA"/>
      </w:pPr>
      <w:r w:rsidRPr="00CD354A">
        <w:t>Didžiausia rekomenduojama sulbaktamo paros dozė – 4 g.</w:t>
      </w:r>
    </w:p>
    <w:p w:rsidR="00AC2C19" w:rsidRPr="00CD354A" w:rsidRDefault="00AC2C19" w:rsidP="00AC2C19">
      <w:pPr>
        <w:spacing w:line="240" w:lineRule="auto"/>
        <w:rPr>
          <w:lang w:val="lt-LT"/>
        </w:rPr>
      </w:pPr>
    </w:p>
    <w:p w:rsidR="00AC2C19" w:rsidRPr="000B7544" w:rsidRDefault="00AC2C19" w:rsidP="00AC2C19">
      <w:pPr>
        <w:pStyle w:val="Komentarotema"/>
        <w:rPr>
          <w:rFonts w:cs="Times New Roman"/>
          <w:b w:val="0"/>
          <w:i/>
          <w:sz w:val="22"/>
          <w:szCs w:val="22"/>
        </w:rPr>
      </w:pPr>
      <w:r w:rsidRPr="000B7544">
        <w:rPr>
          <w:rFonts w:cs="Times New Roman"/>
          <w:b w:val="0"/>
          <w:i/>
          <w:sz w:val="22"/>
          <w:szCs w:val="22"/>
        </w:rPr>
        <w:t>Senyviems pacientams</w:t>
      </w:r>
    </w:p>
    <w:p w:rsidR="00AC2C19" w:rsidRPr="00CD354A" w:rsidRDefault="00AC2C19" w:rsidP="00AC2C19">
      <w:pPr>
        <w:pStyle w:val="BTEMEASMCA"/>
      </w:pPr>
      <w:r w:rsidRPr="00CD354A">
        <w:lastRenderedPageBreak/>
        <w:t>Žr. 5.2 skyrių.</w:t>
      </w:r>
    </w:p>
    <w:p w:rsidR="00AC2C19" w:rsidRPr="00CD354A" w:rsidRDefault="00AC2C19" w:rsidP="00AC2C19">
      <w:pPr>
        <w:spacing w:line="240" w:lineRule="auto"/>
        <w:rPr>
          <w:lang w:val="lt-LT"/>
        </w:rPr>
      </w:pPr>
    </w:p>
    <w:p w:rsidR="00AC2C19" w:rsidRPr="00CD354A" w:rsidRDefault="00AC2C19" w:rsidP="00AC2C19">
      <w:pPr>
        <w:spacing w:line="240" w:lineRule="auto"/>
        <w:contextualSpacing/>
        <w:outlineLvl w:val="0"/>
        <w:rPr>
          <w:i/>
          <w:color w:val="000000"/>
          <w:lang w:val="lt-LT"/>
        </w:rPr>
      </w:pPr>
      <w:r w:rsidRPr="00CD354A">
        <w:rPr>
          <w:i/>
          <w:color w:val="000000"/>
          <w:lang w:val="lt-LT"/>
        </w:rPr>
        <w:t xml:space="preserve">Pacientams, kurių </w:t>
      </w:r>
      <w:r w:rsidRPr="00CD354A">
        <w:rPr>
          <w:i/>
          <w:iCs/>
          <w:color w:val="000000"/>
          <w:lang w:val="lt-LT"/>
        </w:rPr>
        <w:t>inkstų</w:t>
      </w:r>
      <w:r w:rsidRPr="00CD354A">
        <w:rPr>
          <w:i/>
          <w:color w:val="000000"/>
          <w:lang w:val="lt-LT"/>
        </w:rPr>
        <w:t xml:space="preserve"> funkcija sutrikusi</w:t>
      </w:r>
    </w:p>
    <w:p w:rsidR="00AC2C19" w:rsidRPr="00CD354A" w:rsidRDefault="00AC2C19" w:rsidP="00AC2C19">
      <w:pPr>
        <w:pStyle w:val="BTEMEASMCA"/>
      </w:pPr>
      <w:r w:rsidRPr="00CD354A">
        <w:t>Jeigu inkstų funkcija ryškiai sutrikusi (kreatinino klirensas mažesnis kaip 30 ml/min.), sulbaktamo ir cefoperazono derinio dozavimo tvarką reikia koreguoti, kad būtų galima kompensuoti sulbaktamo klirenso sumažėjimą. Jei kreatinino klirensas 15</w:t>
      </w:r>
      <w:r w:rsidRPr="00CD354A">
        <w:noBreakHyphen/>
        <w:t>30 ml/min., tai didžiausia sulbaktamo dozė – po 1 g kas 12 val. (2 g per parą), o jei jis mažesnis kaip 15 ml/min. – po 500 mg kas 12 val. (1 g per parą). Jei infekcinė liga yra sunki, cefoperazono gali prireikti skirti papildomai.</w:t>
      </w:r>
    </w:p>
    <w:p w:rsidR="00AC2C19" w:rsidRPr="00CD354A" w:rsidRDefault="00AC2C19" w:rsidP="00AC2C19">
      <w:pPr>
        <w:pStyle w:val="BTEMEASMCA"/>
      </w:pPr>
    </w:p>
    <w:p w:rsidR="00AC2C19" w:rsidRPr="00CD354A" w:rsidRDefault="00AC2C19" w:rsidP="00AC2C19">
      <w:pPr>
        <w:pStyle w:val="BTEMEASMCA"/>
      </w:pPr>
      <w:r w:rsidRPr="00CD354A">
        <w:t>Hemodializė reikšmingai keičia sulbaktamo farmakokinetiką ir truputį sutrumpina jo pusinį laiką serume, todėl šis vaistinis preparatas vartojamas tokia tvarka, kad jo būtų švirkščiama arba infuzuojama po hemodializės.</w:t>
      </w:r>
    </w:p>
    <w:p w:rsidR="00AC2C19" w:rsidRPr="00CD354A" w:rsidRDefault="00AC2C19" w:rsidP="00AC2C19">
      <w:pPr>
        <w:spacing w:line="240" w:lineRule="auto"/>
        <w:rPr>
          <w:lang w:val="lt-LT"/>
        </w:rPr>
      </w:pPr>
    </w:p>
    <w:p w:rsidR="00AC2C19" w:rsidRPr="00CD354A" w:rsidRDefault="00AC2C19" w:rsidP="00AC2C19">
      <w:pPr>
        <w:spacing w:line="240" w:lineRule="auto"/>
        <w:rPr>
          <w:i/>
          <w:lang w:val="lt-LT"/>
        </w:rPr>
      </w:pPr>
      <w:r w:rsidRPr="00CD354A">
        <w:rPr>
          <w:i/>
          <w:lang w:val="lt-LT"/>
        </w:rPr>
        <w:t>Pacientams, kurių kepenų funkcija sutrikusi</w:t>
      </w:r>
    </w:p>
    <w:p w:rsidR="00AC2C19" w:rsidRPr="00CD354A" w:rsidRDefault="00AC2C19" w:rsidP="00AC2C19">
      <w:pPr>
        <w:pStyle w:val="BTEMEASMCA"/>
        <w:rPr>
          <w:i/>
        </w:rPr>
      </w:pPr>
      <w:r w:rsidRPr="00CD354A">
        <w:t>Žr. 4.4 skyrių</w:t>
      </w:r>
      <w:r w:rsidRPr="00CD354A">
        <w:rPr>
          <w:i/>
        </w:rPr>
        <w:t>.</w:t>
      </w:r>
    </w:p>
    <w:p w:rsidR="00AC2C19" w:rsidRPr="00CD354A" w:rsidRDefault="00AC2C19" w:rsidP="00AC2C19">
      <w:pPr>
        <w:pStyle w:val="BTEMEASMCA"/>
      </w:pPr>
    </w:p>
    <w:p w:rsidR="00AC2C19" w:rsidRPr="00CD354A" w:rsidRDefault="00AC2C19" w:rsidP="00AC2C19">
      <w:pPr>
        <w:spacing w:line="240" w:lineRule="auto"/>
        <w:rPr>
          <w:i/>
          <w:lang w:val="lt-LT"/>
        </w:rPr>
      </w:pPr>
      <w:r w:rsidRPr="000B7544">
        <w:rPr>
          <w:noProof/>
          <w:u w:val="single"/>
          <w:lang w:val="lt-LT"/>
        </w:rPr>
        <w:t>Vaikų populiacija</w:t>
      </w:r>
    </w:p>
    <w:p w:rsidR="00AC2C19" w:rsidRPr="00CD354A" w:rsidRDefault="00AC2C19" w:rsidP="00AC2C19">
      <w:pPr>
        <w:pStyle w:val="BTEMEASMCA"/>
      </w:pPr>
      <w:r w:rsidRPr="00CD354A">
        <w:t>Rekomenduojamos sulbaktamo ir cefoperazono derinio paros dozės vaikams: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77"/>
        <w:gridCol w:w="1887"/>
        <w:gridCol w:w="2130"/>
      </w:tblGrid>
      <w:tr w:rsidR="00AC2C19" w:rsidRPr="00CD354A">
        <w:tc>
          <w:tcPr>
            <w:tcW w:w="1526" w:type="dxa"/>
          </w:tcPr>
          <w:p w:rsidR="00AC2C19" w:rsidRPr="00CD354A" w:rsidRDefault="00AC2C19" w:rsidP="00AC2C19">
            <w:pPr>
              <w:spacing w:line="240" w:lineRule="auto"/>
              <w:jc w:val="center"/>
              <w:rPr>
                <w:lang w:val="lt-LT"/>
              </w:rPr>
            </w:pPr>
            <w:r w:rsidRPr="00CD354A">
              <w:rPr>
                <w:lang w:val="lt-LT"/>
              </w:rPr>
              <w:t>Santykis</w:t>
            </w:r>
          </w:p>
        </w:tc>
        <w:tc>
          <w:tcPr>
            <w:tcW w:w="2977" w:type="dxa"/>
          </w:tcPr>
          <w:p w:rsidR="00AC2C19" w:rsidRPr="00CD354A" w:rsidRDefault="00AC2C19" w:rsidP="00AC2C19">
            <w:pPr>
              <w:spacing w:line="240" w:lineRule="auto"/>
              <w:jc w:val="center"/>
              <w:rPr>
                <w:lang w:val="lt-LT"/>
              </w:rPr>
            </w:pPr>
            <w:proofErr w:type="spellStart"/>
            <w:r w:rsidRPr="00CD354A">
              <w:rPr>
                <w:lang w:val="lt-LT"/>
              </w:rPr>
              <w:t>Sulbaktamo</w:t>
            </w:r>
            <w:proofErr w:type="spellEnd"/>
            <w:r w:rsidRPr="00CD354A">
              <w:rPr>
                <w:lang w:val="lt-LT"/>
              </w:rPr>
              <w:t xml:space="preserve"> ir </w:t>
            </w:r>
            <w:proofErr w:type="spellStart"/>
            <w:r w:rsidRPr="00CD354A">
              <w:rPr>
                <w:lang w:val="lt-LT"/>
              </w:rPr>
              <w:t>cefoperazono</w:t>
            </w:r>
            <w:proofErr w:type="spellEnd"/>
            <w:r w:rsidRPr="00CD354A">
              <w:rPr>
                <w:lang w:val="lt-LT"/>
              </w:rPr>
              <w:t xml:space="preserve"> derinio kiekis</w:t>
            </w:r>
          </w:p>
        </w:tc>
        <w:tc>
          <w:tcPr>
            <w:tcW w:w="1887" w:type="dxa"/>
          </w:tcPr>
          <w:p w:rsidR="00AC2C19" w:rsidRPr="00CD354A" w:rsidRDefault="00AC2C19" w:rsidP="00AC2C19">
            <w:pPr>
              <w:spacing w:line="240" w:lineRule="auto"/>
              <w:jc w:val="center"/>
              <w:rPr>
                <w:lang w:val="lt-LT"/>
              </w:rPr>
            </w:pPr>
            <w:proofErr w:type="spellStart"/>
            <w:r w:rsidRPr="00CD354A">
              <w:rPr>
                <w:lang w:val="lt-LT"/>
              </w:rPr>
              <w:t>Sulbaktamo</w:t>
            </w:r>
            <w:proofErr w:type="spellEnd"/>
            <w:r w:rsidRPr="00CD354A">
              <w:rPr>
                <w:lang w:val="lt-LT"/>
              </w:rPr>
              <w:t xml:space="preserve"> kiekis</w:t>
            </w:r>
          </w:p>
        </w:tc>
        <w:tc>
          <w:tcPr>
            <w:tcW w:w="2130" w:type="dxa"/>
          </w:tcPr>
          <w:p w:rsidR="00AC2C19" w:rsidRPr="00CD354A" w:rsidRDefault="00AC2C19" w:rsidP="00AC2C19">
            <w:pPr>
              <w:spacing w:line="240" w:lineRule="auto"/>
              <w:jc w:val="center"/>
              <w:rPr>
                <w:lang w:val="lt-LT"/>
              </w:rPr>
            </w:pPr>
            <w:proofErr w:type="spellStart"/>
            <w:r w:rsidRPr="00CD354A">
              <w:rPr>
                <w:lang w:val="lt-LT"/>
              </w:rPr>
              <w:t>Cefoperazono</w:t>
            </w:r>
            <w:proofErr w:type="spellEnd"/>
            <w:r w:rsidRPr="00CD354A">
              <w:rPr>
                <w:lang w:val="lt-LT"/>
              </w:rPr>
              <w:t xml:space="preserve"> kiekis</w:t>
            </w:r>
          </w:p>
        </w:tc>
      </w:tr>
      <w:tr w:rsidR="00AC2C19" w:rsidRPr="00CD354A">
        <w:tc>
          <w:tcPr>
            <w:tcW w:w="1526" w:type="dxa"/>
          </w:tcPr>
          <w:p w:rsidR="00AC2C19" w:rsidRPr="00CD354A" w:rsidRDefault="00AC2C19" w:rsidP="00AC2C19">
            <w:pPr>
              <w:spacing w:line="240" w:lineRule="auto"/>
              <w:jc w:val="center"/>
              <w:rPr>
                <w:lang w:val="lt-LT"/>
              </w:rPr>
            </w:pPr>
            <w:r w:rsidRPr="00CD354A">
              <w:rPr>
                <w:lang w:val="lt-LT"/>
              </w:rPr>
              <w:t>1:1</w:t>
            </w:r>
          </w:p>
        </w:tc>
        <w:tc>
          <w:tcPr>
            <w:tcW w:w="2977" w:type="dxa"/>
          </w:tcPr>
          <w:p w:rsidR="00AC2C19" w:rsidRPr="00CD354A" w:rsidRDefault="00AC2C19" w:rsidP="00AC2C19">
            <w:pPr>
              <w:spacing w:line="240" w:lineRule="auto"/>
              <w:jc w:val="center"/>
              <w:rPr>
                <w:lang w:val="lt-LT"/>
              </w:rPr>
            </w:pPr>
            <w:r w:rsidRPr="00CD354A">
              <w:rPr>
                <w:lang w:val="lt-LT"/>
              </w:rPr>
              <w:t>40</w:t>
            </w:r>
            <w:r w:rsidRPr="00CD354A">
              <w:rPr>
                <w:lang w:val="lt-LT"/>
              </w:rPr>
              <w:noBreakHyphen/>
              <w:t>80 mg/kg</w:t>
            </w:r>
          </w:p>
        </w:tc>
        <w:tc>
          <w:tcPr>
            <w:tcW w:w="1887" w:type="dxa"/>
          </w:tcPr>
          <w:p w:rsidR="00AC2C19" w:rsidRPr="00CD354A" w:rsidRDefault="00AC2C19" w:rsidP="00AC2C19">
            <w:pPr>
              <w:spacing w:line="240" w:lineRule="auto"/>
              <w:jc w:val="center"/>
              <w:rPr>
                <w:lang w:val="lt-LT"/>
              </w:rPr>
            </w:pPr>
            <w:r w:rsidRPr="00CD354A">
              <w:rPr>
                <w:lang w:val="lt-LT"/>
              </w:rPr>
              <w:t>20</w:t>
            </w:r>
            <w:r w:rsidRPr="00CD354A">
              <w:rPr>
                <w:lang w:val="lt-LT"/>
              </w:rPr>
              <w:noBreakHyphen/>
              <w:t>40 mg/kg</w:t>
            </w:r>
          </w:p>
        </w:tc>
        <w:tc>
          <w:tcPr>
            <w:tcW w:w="2130" w:type="dxa"/>
          </w:tcPr>
          <w:p w:rsidR="00AC2C19" w:rsidRPr="00CD354A" w:rsidRDefault="00AC2C19" w:rsidP="00AC2C19">
            <w:pPr>
              <w:spacing w:line="240" w:lineRule="auto"/>
              <w:jc w:val="center"/>
              <w:rPr>
                <w:lang w:val="lt-LT"/>
              </w:rPr>
            </w:pPr>
            <w:r w:rsidRPr="00CD354A">
              <w:rPr>
                <w:lang w:val="lt-LT"/>
              </w:rPr>
              <w:t>20</w:t>
            </w:r>
            <w:r w:rsidRPr="00CD354A">
              <w:rPr>
                <w:lang w:val="lt-LT"/>
              </w:rPr>
              <w:noBreakHyphen/>
              <w:t>40 mg/kg</w:t>
            </w:r>
          </w:p>
        </w:tc>
      </w:tr>
    </w:tbl>
    <w:p w:rsidR="00AC2C19" w:rsidRPr="00CD354A" w:rsidRDefault="00AC2C19" w:rsidP="00AC2C19">
      <w:pPr>
        <w:pStyle w:val="BTEMEASMCA"/>
      </w:pPr>
      <w:r w:rsidRPr="00CD354A">
        <w:t>Šio vaistinio preparato vartojama kas 6-12 val., lygiomis dozėmis.</w:t>
      </w:r>
    </w:p>
    <w:p w:rsidR="00AC2C19" w:rsidRPr="00CD354A" w:rsidRDefault="00AC2C19" w:rsidP="00AC2C19">
      <w:pPr>
        <w:pStyle w:val="BTEMEASMCA"/>
      </w:pPr>
    </w:p>
    <w:p w:rsidR="00AC2C19" w:rsidRPr="00CD354A" w:rsidRDefault="00AC2C19" w:rsidP="00AC2C19">
      <w:pPr>
        <w:pStyle w:val="BTEMEASMCA"/>
      </w:pPr>
      <w:r w:rsidRPr="00CD354A">
        <w:t>Jei infekcinė liga yra sunki arba atspari vaistiniams preparatams, sulbaktamo ir cefoperazono derinio paros dozę galima didinti iki 160 mg/kg santykiu 1:1. Paros dozė padalijama į 2</w:t>
      </w:r>
      <w:r w:rsidRPr="00CD354A">
        <w:noBreakHyphen/>
        <w:t>4 lygias vienkartines (žr. 4.4 skyriuje poskyrį ,,</w:t>
      </w:r>
      <w:r w:rsidRPr="00CD354A">
        <w:rPr>
          <w:i/>
        </w:rPr>
        <w:t>Kūdikiams”</w:t>
      </w:r>
      <w:r w:rsidRPr="00CD354A">
        <w:t xml:space="preserve"> ir 5.3 skyriuje poskyrį ,,</w:t>
      </w:r>
      <w:r w:rsidRPr="00CD354A">
        <w:fldChar w:fldCharType="begin"/>
      </w:r>
      <w:r w:rsidRPr="00CD354A">
        <w:instrText xml:space="preserve"> REF _Ref2307377 \h  \* MERGEFORMAT </w:instrText>
      </w:r>
      <w:r w:rsidRPr="00CD354A">
        <w:fldChar w:fldCharType="separate"/>
      </w:r>
      <w:r w:rsidRPr="00CD354A">
        <w:rPr>
          <w:i/>
        </w:rPr>
        <w:t>Vaikų populiacija</w:t>
      </w:r>
      <w:r w:rsidRPr="00CD354A">
        <w:fldChar w:fldCharType="end"/>
      </w:r>
      <w:r w:rsidRPr="00CD354A">
        <w:rPr>
          <w:i/>
        </w:rPr>
        <w:t>”</w:t>
      </w:r>
      <w:r w:rsidRPr="00CD354A">
        <w:t>).</w:t>
      </w:r>
    </w:p>
    <w:p w:rsidR="00AC2C19" w:rsidRPr="00CD354A" w:rsidRDefault="00AC2C19" w:rsidP="00AC2C19">
      <w:pPr>
        <w:pStyle w:val="BTEMEASMCA"/>
      </w:pPr>
    </w:p>
    <w:p w:rsidR="00AC2C19" w:rsidRPr="00CD354A" w:rsidRDefault="00AC2C19" w:rsidP="00AC2C19">
      <w:pPr>
        <w:spacing w:line="240" w:lineRule="auto"/>
        <w:rPr>
          <w:i/>
          <w:lang w:val="lt-LT"/>
        </w:rPr>
      </w:pPr>
      <w:r w:rsidRPr="00CD354A">
        <w:rPr>
          <w:i/>
          <w:lang w:val="lt-LT"/>
        </w:rPr>
        <w:t>Naujagimiams</w:t>
      </w:r>
    </w:p>
    <w:p w:rsidR="00AC2C19" w:rsidRPr="00CD354A" w:rsidRDefault="00AC2C19" w:rsidP="00AC2C19">
      <w:pPr>
        <w:pStyle w:val="BTEMEASMCA"/>
      </w:pPr>
      <w:r w:rsidRPr="00CD354A">
        <w:t>Iki vienos savaitės amžiaus naujagimiams šio vaistinio preparato skiriama kas 12 val. Didžiausia sulbaktamo paros dozė vaikams–80 mg/kg.</w:t>
      </w:r>
    </w:p>
    <w:p w:rsidR="00AC2C19" w:rsidRPr="00CD354A" w:rsidRDefault="00AC2C19" w:rsidP="00AC2C19">
      <w:pPr>
        <w:pStyle w:val="BTEMEASMCA"/>
      </w:pPr>
    </w:p>
    <w:p w:rsidR="00AC2C19" w:rsidRPr="00CD354A" w:rsidRDefault="00AC2C19" w:rsidP="00AC2C19">
      <w:pPr>
        <w:spacing w:line="240" w:lineRule="auto"/>
        <w:rPr>
          <w:u w:val="single"/>
          <w:lang w:val="lt-LT"/>
        </w:rPr>
      </w:pPr>
      <w:r w:rsidRPr="00CD354A">
        <w:rPr>
          <w:noProof/>
          <w:u w:val="single"/>
          <w:lang w:val="lt-LT"/>
        </w:rPr>
        <w:t>Vartojimo metodas</w:t>
      </w:r>
    </w:p>
    <w:p w:rsidR="00AC2C19" w:rsidRPr="00CD354A" w:rsidRDefault="00AC2C19" w:rsidP="00AC2C19">
      <w:pPr>
        <w:spacing w:line="240" w:lineRule="auto"/>
        <w:rPr>
          <w:lang w:val="lt-LT"/>
        </w:rPr>
      </w:pPr>
    </w:p>
    <w:p w:rsidR="00AC2C19" w:rsidRPr="00CD354A" w:rsidRDefault="00AC2C19" w:rsidP="00AC2C19">
      <w:pPr>
        <w:spacing w:line="240" w:lineRule="auto"/>
        <w:rPr>
          <w:i/>
          <w:lang w:val="lt-LT"/>
        </w:rPr>
      </w:pPr>
      <w:r w:rsidRPr="00CD354A">
        <w:rPr>
          <w:i/>
          <w:lang w:val="lt-LT"/>
        </w:rPr>
        <w:t>Vartojimas į veną</w:t>
      </w:r>
    </w:p>
    <w:p w:rsidR="00AC2C19" w:rsidRPr="00CD354A" w:rsidRDefault="00AC2C19" w:rsidP="00AC2C19">
      <w:pPr>
        <w:pStyle w:val="BTEMEASMCA"/>
      </w:pPr>
      <w:r w:rsidRPr="00CD354A">
        <w:t xml:space="preserve">Atskiroms infuzijoms sulbaktamo ir cefoperazono derinio </w:t>
      </w:r>
      <w:r>
        <w:t>flakon</w:t>
      </w:r>
      <w:r w:rsidRPr="00CD354A">
        <w:t>o turinys ištirpinamas atitinkamame tūryje (žr. 6.6 skyrių) 5</w:t>
      </w:r>
      <w:r>
        <w:t xml:space="preserve"> proc.</w:t>
      </w:r>
      <w:r w:rsidRPr="00CD354A">
        <w:t xml:space="preserve"> dekstrozės vandenyje, 0,9</w:t>
      </w:r>
      <w:r>
        <w:t xml:space="preserve"> proc.</w:t>
      </w:r>
      <w:r w:rsidRPr="00CD354A">
        <w:t xml:space="preserve"> injekcinio natrio chlorido arba sterilaus injekcinio vandens, paskui atskiedžiamas tokiu pačiu tirpalu, kad susidarytų 20 ml, ir infuzuojamas per 15</w:t>
      </w:r>
      <w:r w:rsidRPr="00CD354A">
        <w:noBreakHyphen/>
        <w:t>60 min.</w:t>
      </w:r>
    </w:p>
    <w:p w:rsidR="00AC2C19" w:rsidRPr="00CD354A" w:rsidRDefault="00AC2C19" w:rsidP="00AC2C19">
      <w:pPr>
        <w:pStyle w:val="BTEMEASMCA"/>
      </w:pPr>
    </w:p>
    <w:p w:rsidR="00AC2C19" w:rsidRPr="00CD354A" w:rsidRDefault="00AC2C19" w:rsidP="00AC2C19">
      <w:pPr>
        <w:spacing w:line="240" w:lineRule="auto"/>
        <w:rPr>
          <w:lang w:val="lt-LT"/>
        </w:rPr>
      </w:pPr>
      <w:proofErr w:type="spellStart"/>
      <w:r w:rsidRPr="00CD354A">
        <w:rPr>
          <w:lang w:val="lt-LT"/>
        </w:rPr>
        <w:t>Ringerio</w:t>
      </w:r>
      <w:proofErr w:type="spellEnd"/>
      <w:r w:rsidRPr="00CD354A">
        <w:rPr>
          <w:lang w:val="lt-LT"/>
        </w:rPr>
        <w:t xml:space="preserve"> laktato tirpalas tinka intraveniniam infuziniam tirpalui skiesti, bet netinka vaistiniam preparatui tirpinti (žr. 6.2 skyriuje poskyrį ,,</w:t>
      </w:r>
      <w:proofErr w:type="spellStart"/>
      <w:r w:rsidRPr="00CD354A">
        <w:rPr>
          <w:lang w:val="lt-LT"/>
        </w:rPr>
        <w:fldChar w:fldCharType="begin"/>
      </w:r>
      <w:r w:rsidRPr="00CD354A">
        <w:rPr>
          <w:lang w:val="lt-LT"/>
        </w:rPr>
        <w:instrText xml:space="preserve"> REF _Ref2305476 \h  \* MERGEFORMAT </w:instrText>
      </w:r>
      <w:r w:rsidRPr="00CD354A">
        <w:rPr>
          <w:lang w:val="lt-LT"/>
        </w:rPr>
      </w:r>
      <w:r w:rsidRPr="00CD354A">
        <w:rPr>
          <w:lang w:val="lt-LT"/>
        </w:rPr>
        <w:fldChar w:fldCharType="separate"/>
      </w:r>
      <w:r w:rsidRPr="00CD354A">
        <w:rPr>
          <w:i/>
          <w:lang w:val="lt-LT"/>
        </w:rPr>
        <w:t>Laktatinis</w:t>
      </w:r>
      <w:proofErr w:type="spellEnd"/>
      <w:r w:rsidRPr="00CD354A">
        <w:rPr>
          <w:i/>
          <w:lang w:val="lt-LT"/>
        </w:rPr>
        <w:t xml:space="preserve"> </w:t>
      </w:r>
      <w:proofErr w:type="spellStart"/>
      <w:r w:rsidRPr="00CD354A">
        <w:rPr>
          <w:i/>
          <w:lang w:val="lt-LT"/>
        </w:rPr>
        <w:t>Ringerio</w:t>
      </w:r>
      <w:proofErr w:type="spellEnd"/>
      <w:r w:rsidRPr="00CD354A">
        <w:rPr>
          <w:i/>
          <w:lang w:val="lt-LT"/>
        </w:rPr>
        <w:t xml:space="preserve"> tirpalas</w:t>
      </w:r>
      <w:r w:rsidRPr="00CD354A">
        <w:rPr>
          <w:lang w:val="lt-LT"/>
        </w:rPr>
        <w:fldChar w:fldCharType="end"/>
      </w:r>
      <w:r w:rsidRPr="00CD354A">
        <w:rPr>
          <w:i/>
          <w:lang w:val="lt-LT"/>
        </w:rPr>
        <w:t>”</w:t>
      </w:r>
      <w:r w:rsidRPr="00CD354A">
        <w:rPr>
          <w:lang w:val="lt-LT"/>
        </w:rPr>
        <w:t xml:space="preserve"> ir 6.6 skyriuje poskyrį ,,</w:t>
      </w:r>
      <w:proofErr w:type="spellStart"/>
      <w:r w:rsidRPr="00CD354A">
        <w:rPr>
          <w:lang w:val="lt-LT"/>
        </w:rPr>
        <w:fldChar w:fldCharType="begin"/>
      </w:r>
      <w:r w:rsidRPr="00CD354A">
        <w:rPr>
          <w:lang w:val="lt-LT"/>
        </w:rPr>
        <w:instrText xml:space="preserve"> REF _Ref2305505 \h  \* MERGEFORMAT </w:instrText>
      </w:r>
      <w:r w:rsidRPr="00CD354A">
        <w:rPr>
          <w:lang w:val="lt-LT"/>
        </w:rPr>
      </w:r>
      <w:r w:rsidRPr="00CD354A">
        <w:rPr>
          <w:lang w:val="lt-LT"/>
        </w:rPr>
        <w:fldChar w:fldCharType="separate"/>
      </w:r>
      <w:r w:rsidRPr="00CD354A">
        <w:rPr>
          <w:i/>
          <w:lang w:val="lt-LT"/>
        </w:rPr>
        <w:t>Laktatinis</w:t>
      </w:r>
      <w:proofErr w:type="spellEnd"/>
      <w:r w:rsidRPr="00CD354A">
        <w:rPr>
          <w:i/>
          <w:lang w:val="lt-LT"/>
        </w:rPr>
        <w:t xml:space="preserve"> </w:t>
      </w:r>
      <w:proofErr w:type="spellStart"/>
      <w:r w:rsidRPr="00CD354A">
        <w:rPr>
          <w:i/>
          <w:lang w:val="lt-LT"/>
        </w:rPr>
        <w:t>Ringerio</w:t>
      </w:r>
      <w:proofErr w:type="spellEnd"/>
      <w:r w:rsidRPr="00CD354A">
        <w:rPr>
          <w:i/>
          <w:lang w:val="lt-LT"/>
        </w:rPr>
        <w:t xml:space="preserve"> tirpalas</w:t>
      </w:r>
      <w:r w:rsidRPr="00CD354A">
        <w:rPr>
          <w:lang w:val="lt-LT"/>
        </w:rPr>
        <w:fldChar w:fldCharType="end"/>
      </w:r>
      <w:r w:rsidRPr="00CD354A">
        <w:rPr>
          <w:i/>
          <w:lang w:val="lt-LT"/>
        </w:rPr>
        <w:t>”</w:t>
      </w:r>
      <w:r w:rsidRPr="00CD354A">
        <w:rPr>
          <w:lang w:val="lt-LT"/>
        </w:rPr>
        <w:t>).</w:t>
      </w:r>
    </w:p>
    <w:p w:rsidR="00AC2C19" w:rsidRPr="00CD354A" w:rsidRDefault="00AC2C19" w:rsidP="00AC2C19">
      <w:pPr>
        <w:pStyle w:val="BTEMEASMCA"/>
      </w:pPr>
    </w:p>
    <w:p w:rsidR="00AC2C19" w:rsidRPr="00CD354A" w:rsidRDefault="00AC2C19" w:rsidP="00AC2C19">
      <w:pPr>
        <w:pStyle w:val="BTEMEASMCA"/>
      </w:pPr>
      <w:r w:rsidRPr="00CD354A">
        <w:t xml:space="preserve">Švirkštimui į veną </w:t>
      </w:r>
      <w:r>
        <w:t>flakon</w:t>
      </w:r>
      <w:r w:rsidRPr="00CD354A">
        <w:t>o turinys ištirpinamas kaip nurodyta aukščiau. Injekcijos trukmė turi būti bent 3 min.</w:t>
      </w:r>
    </w:p>
    <w:p w:rsidR="00AC2C19" w:rsidRPr="00CD354A" w:rsidRDefault="00AC2C19" w:rsidP="00AC2C19">
      <w:pPr>
        <w:pStyle w:val="BTEMEASMCA"/>
      </w:pPr>
    </w:p>
    <w:p w:rsidR="00AC2C19" w:rsidRPr="00CD354A" w:rsidRDefault="00AC2C19" w:rsidP="00AC2C19">
      <w:pPr>
        <w:spacing w:line="240" w:lineRule="auto"/>
        <w:rPr>
          <w:i/>
          <w:lang w:val="lt-LT"/>
        </w:rPr>
      </w:pPr>
      <w:r w:rsidRPr="00CD354A">
        <w:rPr>
          <w:i/>
          <w:lang w:val="lt-LT"/>
        </w:rPr>
        <w:t>Vartojimas į raumenis</w:t>
      </w:r>
    </w:p>
    <w:p w:rsidR="00AC2C19" w:rsidRPr="00CD354A" w:rsidRDefault="00AC2C19" w:rsidP="00AC2C19">
      <w:pPr>
        <w:pStyle w:val="BTEMEASMCA"/>
      </w:pPr>
      <w:r w:rsidRPr="00CD354A">
        <w:t>2</w:t>
      </w:r>
      <w:r>
        <w:t xml:space="preserve"> proc.</w:t>
      </w:r>
      <w:r w:rsidRPr="00CD354A">
        <w:t xml:space="preserve"> lidokaino hidrochloridas tinka į raumenis švirkščiamam tirpalui skiesti, bet netinka vaistiniui preparatui tirpinti (žr. 6.2 skyriuje poskyrį </w:t>
      </w:r>
      <w:r w:rsidRPr="00CD354A">
        <w:rPr>
          <w:i/>
        </w:rPr>
        <w:t>„Lidokainas“</w:t>
      </w:r>
      <w:r w:rsidRPr="00CD354A">
        <w:t xml:space="preserve"> ir 6.6 skyriuje poskyrį ,,</w:t>
      </w:r>
      <w:r w:rsidRPr="00CD354A">
        <w:fldChar w:fldCharType="begin"/>
      </w:r>
      <w:r w:rsidRPr="00CD354A">
        <w:instrText xml:space="preserve"> REF _Ref2305744 \h  \* MERGEFORMAT </w:instrText>
      </w:r>
      <w:r w:rsidRPr="00CD354A">
        <w:fldChar w:fldCharType="separate"/>
      </w:r>
      <w:r w:rsidRPr="00CD354A">
        <w:rPr>
          <w:i/>
        </w:rPr>
        <w:t>Lidokainas</w:t>
      </w:r>
      <w:r w:rsidRPr="00CD354A">
        <w:fldChar w:fldCharType="end"/>
      </w:r>
      <w:r w:rsidRPr="00CD354A">
        <w:rPr>
          <w:i/>
        </w:rPr>
        <w:t>”</w:t>
      </w:r>
      <w:r w:rsidRPr="00CD354A">
        <w:t>).</w:t>
      </w:r>
    </w:p>
    <w:p w:rsidR="00AC2C19" w:rsidRPr="00CD354A" w:rsidRDefault="00AC2C19" w:rsidP="00AC2C19">
      <w:pPr>
        <w:pStyle w:val="BTEMEASMCA"/>
      </w:pPr>
    </w:p>
    <w:p w:rsidR="00AC2C19" w:rsidRPr="00CD354A" w:rsidRDefault="00AC2C19" w:rsidP="00AC2C19">
      <w:pPr>
        <w:spacing w:line="240" w:lineRule="auto"/>
        <w:ind w:left="540" w:hanging="540"/>
        <w:rPr>
          <w:b/>
          <w:lang w:val="lt-LT"/>
        </w:rPr>
      </w:pPr>
      <w:bookmarkStart w:id="19" w:name="_Toc129243104"/>
      <w:bookmarkStart w:id="20" w:name="_Toc129243229"/>
      <w:r w:rsidRPr="00CD354A">
        <w:rPr>
          <w:b/>
          <w:lang w:val="lt-LT"/>
        </w:rPr>
        <w:t>4.3</w:t>
      </w:r>
      <w:r w:rsidRPr="00CD354A">
        <w:rPr>
          <w:b/>
          <w:lang w:val="lt-LT"/>
        </w:rPr>
        <w:tab/>
        <w:t>Kontraindikacijos</w:t>
      </w:r>
      <w:bookmarkEnd w:id="19"/>
      <w:bookmarkEnd w:id="20"/>
    </w:p>
    <w:p w:rsidR="00AC2C19" w:rsidRPr="00CD354A" w:rsidRDefault="00AC2C19" w:rsidP="00AC2C19">
      <w:pPr>
        <w:pStyle w:val="BTEMEASMCA"/>
      </w:pPr>
    </w:p>
    <w:p w:rsidR="00AC2C19" w:rsidRPr="00CD354A" w:rsidRDefault="00AC2C19" w:rsidP="00AC2C19">
      <w:pPr>
        <w:pStyle w:val="BTEMEASMCA"/>
      </w:pPr>
      <w:r w:rsidRPr="00CD354A">
        <w:t>Padidėjęs jautrumas penicilinams, sulbaktamui, cefoperazonui, kuriam nors cefalosporinui.</w:t>
      </w:r>
    </w:p>
    <w:p w:rsidR="00AC2C19" w:rsidRPr="00CD354A" w:rsidRDefault="00AC2C19" w:rsidP="00AC2C19">
      <w:pPr>
        <w:pStyle w:val="BTEMEASMCA"/>
      </w:pPr>
    </w:p>
    <w:p w:rsidR="00AC2C19" w:rsidRPr="00CD354A" w:rsidRDefault="00AC2C19" w:rsidP="00AC2C19">
      <w:pPr>
        <w:spacing w:line="240" w:lineRule="auto"/>
        <w:ind w:left="540" w:hanging="540"/>
        <w:rPr>
          <w:b/>
          <w:lang w:val="lt-LT"/>
        </w:rPr>
      </w:pPr>
      <w:bookmarkStart w:id="21" w:name="_Toc129243105"/>
      <w:bookmarkStart w:id="22" w:name="_Toc129243230"/>
      <w:bookmarkStart w:id="23" w:name="_Ref2304527"/>
      <w:r w:rsidRPr="00CD354A">
        <w:rPr>
          <w:b/>
          <w:lang w:val="lt-LT"/>
        </w:rPr>
        <w:t>4.4</w:t>
      </w:r>
      <w:r w:rsidRPr="00CD354A">
        <w:rPr>
          <w:b/>
          <w:lang w:val="lt-LT"/>
        </w:rPr>
        <w:tab/>
        <w:t>Specialūs įspėjimai ir atsargumo priemonės</w:t>
      </w:r>
      <w:bookmarkEnd w:id="21"/>
      <w:bookmarkEnd w:id="22"/>
      <w:bookmarkEnd w:id="23"/>
    </w:p>
    <w:p w:rsidR="00AC2C19" w:rsidRPr="00CD354A" w:rsidRDefault="00AC2C19" w:rsidP="00AC2C19">
      <w:pPr>
        <w:spacing w:line="240" w:lineRule="auto"/>
        <w:rPr>
          <w:lang w:val="lt-LT"/>
        </w:rPr>
      </w:pPr>
    </w:p>
    <w:p w:rsidR="00AC2C19" w:rsidRPr="000B7544" w:rsidRDefault="00AC2C19" w:rsidP="00AC2C19">
      <w:pPr>
        <w:spacing w:line="240" w:lineRule="auto"/>
        <w:rPr>
          <w:lang w:val="lt-LT"/>
        </w:rPr>
      </w:pPr>
      <w:r w:rsidRPr="000B7544">
        <w:rPr>
          <w:lang w:val="lt-LT"/>
        </w:rPr>
        <w:t>Padidėjęs jautrumas</w:t>
      </w:r>
    </w:p>
    <w:p w:rsidR="00AC2C19" w:rsidRPr="00CD354A" w:rsidRDefault="00AC2C19" w:rsidP="00AC2C19">
      <w:pPr>
        <w:spacing w:line="240" w:lineRule="auto"/>
        <w:rPr>
          <w:lang w:val="lt-LT"/>
        </w:rPr>
      </w:pPr>
      <w:r w:rsidRPr="00CD354A">
        <w:rPr>
          <w:lang w:val="lt-LT"/>
        </w:rPr>
        <w:lastRenderedPageBreak/>
        <w:t xml:space="preserve">Aprašyta sunkių ir kartais net pasibaigusių mirtimi padidėjusio jautrumo (anafilaksinių) reakcijų gydant beta </w:t>
      </w:r>
      <w:proofErr w:type="spellStart"/>
      <w:r w:rsidRPr="00CD354A">
        <w:rPr>
          <w:lang w:val="lt-LT"/>
        </w:rPr>
        <w:t>laktaminiais</w:t>
      </w:r>
      <w:proofErr w:type="spellEnd"/>
      <w:r w:rsidRPr="00CD354A">
        <w:rPr>
          <w:lang w:val="lt-LT"/>
        </w:rPr>
        <w:t xml:space="preserve"> antibiotikais ar </w:t>
      </w:r>
      <w:proofErr w:type="spellStart"/>
      <w:r w:rsidRPr="00CD354A">
        <w:rPr>
          <w:lang w:val="lt-LT"/>
        </w:rPr>
        <w:t>cefalosporinais</w:t>
      </w:r>
      <w:proofErr w:type="spellEnd"/>
      <w:r w:rsidRPr="00CD354A">
        <w:rPr>
          <w:lang w:val="lt-LT"/>
        </w:rPr>
        <w:t xml:space="preserve">, įskaitant </w:t>
      </w:r>
      <w:proofErr w:type="spellStart"/>
      <w:r w:rsidRPr="00CD354A">
        <w:rPr>
          <w:lang w:val="lt-LT"/>
        </w:rPr>
        <w:t>sulbaktamo</w:t>
      </w:r>
      <w:proofErr w:type="spellEnd"/>
      <w:r w:rsidRPr="00CD354A">
        <w:rPr>
          <w:lang w:val="lt-LT"/>
        </w:rPr>
        <w:t xml:space="preserve"> </w:t>
      </w:r>
      <w:r>
        <w:rPr>
          <w:lang w:val="lt-LT"/>
        </w:rPr>
        <w:t xml:space="preserve">ir </w:t>
      </w:r>
      <w:proofErr w:type="spellStart"/>
      <w:r>
        <w:rPr>
          <w:lang w:val="lt-LT"/>
        </w:rPr>
        <w:t>cefoperazono</w:t>
      </w:r>
      <w:proofErr w:type="spellEnd"/>
      <w:r>
        <w:rPr>
          <w:lang w:val="lt-LT"/>
        </w:rPr>
        <w:t xml:space="preserve"> </w:t>
      </w:r>
      <w:r w:rsidRPr="00CD354A">
        <w:rPr>
          <w:lang w:val="lt-LT"/>
        </w:rPr>
        <w:t>derinį. Tokių reakcijų pavojus yra didesnis anksčiau buvus padidėjusio jautrumo reakcijų daugeliui alergenų.</w:t>
      </w: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r w:rsidRPr="00CD354A">
        <w:rPr>
          <w:lang w:val="lt-LT"/>
        </w:rPr>
        <w:t xml:space="preserve">Pasireiškus alerginei reakcijai, reikia nutraukti vaistinio preparato vartojimą ir atitinkamai gydyti. Ištikus sunkiai anafilaksinei reakcijai, reikia skubiai gydyti </w:t>
      </w:r>
      <w:proofErr w:type="spellStart"/>
      <w:r w:rsidRPr="00CD354A">
        <w:rPr>
          <w:lang w:val="lt-LT"/>
        </w:rPr>
        <w:t>epinefrinu</w:t>
      </w:r>
      <w:proofErr w:type="spellEnd"/>
      <w:r w:rsidRPr="00CD354A">
        <w:rPr>
          <w:lang w:val="lt-LT"/>
        </w:rPr>
        <w:t xml:space="preserve">. Jei būtina, duodama kvėpuoti deguonies, skiriama steroidų į veną, užtikrinamas kvėpavimo takų praeinamumas (prireikus </w:t>
      </w:r>
      <w:proofErr w:type="spellStart"/>
      <w:r w:rsidRPr="00CD354A">
        <w:rPr>
          <w:lang w:val="lt-LT"/>
        </w:rPr>
        <w:t>intubuojama</w:t>
      </w:r>
      <w:proofErr w:type="spellEnd"/>
      <w:r w:rsidRPr="00DA6EE7">
        <w:rPr>
          <w:lang w:val="lt-LT"/>
        </w:rPr>
        <w:t>) (žr. 4.8 skyrių).</w:t>
      </w:r>
    </w:p>
    <w:p w:rsidR="00AC2C19" w:rsidRDefault="00AC2C19" w:rsidP="00AC2C19">
      <w:pPr>
        <w:spacing w:line="240" w:lineRule="auto"/>
        <w:rPr>
          <w:lang w:val="lt-LT"/>
        </w:rPr>
      </w:pPr>
    </w:p>
    <w:p w:rsidR="00AC2C19" w:rsidRPr="000A3268" w:rsidRDefault="00AC2C19" w:rsidP="00AC2C19">
      <w:pPr>
        <w:spacing w:line="240" w:lineRule="auto"/>
        <w:rPr>
          <w:lang w:val="lt-LT"/>
        </w:rPr>
      </w:pPr>
      <w:r w:rsidRPr="00DA6EE7">
        <w:rPr>
          <w:lang w:val="lt-LT"/>
        </w:rPr>
        <w:t xml:space="preserve">Gauta pranešimų apie sunkių ir kartais mirtinų odos reakcijų, tokių kaip toksinė epidermio </w:t>
      </w:r>
      <w:proofErr w:type="spellStart"/>
      <w:r w:rsidRPr="00DA6EE7">
        <w:rPr>
          <w:lang w:val="lt-LT"/>
        </w:rPr>
        <w:t>nekrolizė</w:t>
      </w:r>
      <w:proofErr w:type="spellEnd"/>
      <w:r w:rsidRPr="00DA6EE7">
        <w:rPr>
          <w:lang w:val="lt-LT"/>
        </w:rPr>
        <w:t xml:space="preserve">, </w:t>
      </w:r>
      <w:proofErr w:type="spellStart"/>
      <w:r w:rsidRPr="00DA6EE7">
        <w:rPr>
          <w:i/>
          <w:iCs/>
          <w:lang w:val="lt-LT"/>
        </w:rPr>
        <w:t>Stevens-Johnson</w:t>
      </w:r>
      <w:proofErr w:type="spellEnd"/>
      <w:r w:rsidRPr="00DA6EE7">
        <w:rPr>
          <w:lang w:val="lt-LT"/>
        </w:rPr>
        <w:t xml:space="preserve"> sindromas ir </w:t>
      </w:r>
      <w:proofErr w:type="spellStart"/>
      <w:r w:rsidRPr="00DA6EE7">
        <w:rPr>
          <w:lang w:val="lt-LT"/>
        </w:rPr>
        <w:t>eksfoliacinis</w:t>
      </w:r>
      <w:proofErr w:type="spellEnd"/>
      <w:r w:rsidRPr="00DA6EE7">
        <w:rPr>
          <w:lang w:val="lt-LT"/>
        </w:rPr>
        <w:t xml:space="preserve"> dermatitas, atvejus </w:t>
      </w:r>
      <w:proofErr w:type="spellStart"/>
      <w:r w:rsidRPr="00DA6EE7">
        <w:rPr>
          <w:lang w:val="lt-LT"/>
        </w:rPr>
        <w:t>cefoperazono</w:t>
      </w:r>
      <w:proofErr w:type="spellEnd"/>
      <w:r>
        <w:rPr>
          <w:lang w:val="lt-LT"/>
        </w:rPr>
        <w:t xml:space="preserve"> ir </w:t>
      </w:r>
      <w:proofErr w:type="spellStart"/>
      <w:r w:rsidRPr="00DA6EE7">
        <w:rPr>
          <w:lang w:val="lt-LT"/>
        </w:rPr>
        <w:t>sulbaktamo</w:t>
      </w:r>
      <w:proofErr w:type="spellEnd"/>
      <w:r w:rsidRPr="00DA6EE7">
        <w:rPr>
          <w:lang w:val="lt-LT"/>
        </w:rPr>
        <w:t xml:space="preserve"> deriniu gydomiems pacientams. Jei pasireiškia sunki odos reakcija, būtina nutraukti </w:t>
      </w:r>
      <w:proofErr w:type="spellStart"/>
      <w:r w:rsidRPr="00DA6EE7">
        <w:rPr>
          <w:lang w:val="lt-LT"/>
        </w:rPr>
        <w:t>cefoperazono</w:t>
      </w:r>
      <w:proofErr w:type="spellEnd"/>
      <w:r>
        <w:rPr>
          <w:lang w:val="lt-LT"/>
        </w:rPr>
        <w:t xml:space="preserve"> ir </w:t>
      </w:r>
      <w:proofErr w:type="spellStart"/>
      <w:r w:rsidRPr="00DA6EE7">
        <w:rPr>
          <w:lang w:val="lt-LT"/>
        </w:rPr>
        <w:t>sulbaktamo</w:t>
      </w:r>
      <w:proofErr w:type="spellEnd"/>
      <w:r w:rsidRPr="00DA6EE7">
        <w:rPr>
          <w:lang w:val="lt-LT"/>
        </w:rPr>
        <w:t xml:space="preserve"> derinio vartojimą ir pradėti tinkamą gydymą (žr. 4.8 skyrių).</w:t>
      </w: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r w:rsidRPr="00CD354A">
        <w:rPr>
          <w:lang w:val="lt-LT"/>
        </w:rPr>
        <w:t xml:space="preserve">Kartu vartojant </w:t>
      </w:r>
      <w:proofErr w:type="spellStart"/>
      <w:r w:rsidRPr="00CD354A">
        <w:rPr>
          <w:lang w:val="lt-LT"/>
        </w:rPr>
        <w:t>aminoglikozidą</w:t>
      </w:r>
      <w:proofErr w:type="spellEnd"/>
      <w:r w:rsidRPr="00CD354A">
        <w:rPr>
          <w:lang w:val="lt-LT"/>
        </w:rPr>
        <w:t xml:space="preserve"> (žr. 6.2 skyriuje poskyrį ,,</w:t>
      </w:r>
      <w:proofErr w:type="spellStart"/>
      <w:r w:rsidRPr="00CD354A">
        <w:rPr>
          <w:lang w:val="lt-LT"/>
        </w:rPr>
        <w:fldChar w:fldCharType="begin"/>
      </w:r>
      <w:r w:rsidRPr="00CD354A">
        <w:rPr>
          <w:lang w:val="lt-LT"/>
        </w:rPr>
        <w:instrText xml:space="preserve"> REF _Ref2313843 \h  \* MERGEFORMAT </w:instrText>
      </w:r>
      <w:r w:rsidRPr="00CD354A">
        <w:rPr>
          <w:lang w:val="lt-LT"/>
        </w:rPr>
      </w:r>
      <w:r w:rsidRPr="00CD354A">
        <w:rPr>
          <w:lang w:val="lt-LT"/>
        </w:rPr>
        <w:fldChar w:fldCharType="separate"/>
      </w:r>
      <w:r w:rsidRPr="00CD354A">
        <w:rPr>
          <w:i/>
          <w:lang w:val="lt-LT"/>
        </w:rPr>
        <w:t>Aminoglikozidai</w:t>
      </w:r>
      <w:proofErr w:type="spellEnd"/>
      <w:r w:rsidRPr="00CD354A">
        <w:rPr>
          <w:lang w:val="lt-LT"/>
        </w:rPr>
        <w:fldChar w:fldCharType="end"/>
      </w:r>
      <w:r w:rsidRPr="00CD354A">
        <w:rPr>
          <w:i/>
          <w:lang w:val="lt-LT"/>
        </w:rPr>
        <w:t>”</w:t>
      </w:r>
      <w:r w:rsidRPr="00CD354A">
        <w:rPr>
          <w:lang w:val="lt-LT"/>
        </w:rPr>
        <w:t>),</w:t>
      </w:r>
      <w:r>
        <w:rPr>
          <w:lang w:val="lt-LT"/>
        </w:rPr>
        <w:t xml:space="preserve"> </w:t>
      </w:r>
      <w:r w:rsidRPr="00CD354A">
        <w:rPr>
          <w:lang w:val="lt-LT"/>
        </w:rPr>
        <w:t xml:space="preserve"> reikia stebėti inkstų funkciją.</w:t>
      </w:r>
    </w:p>
    <w:p w:rsidR="00AC2C19" w:rsidRPr="00CD354A" w:rsidRDefault="00AC2C19" w:rsidP="00AC2C19">
      <w:pPr>
        <w:spacing w:line="240" w:lineRule="auto"/>
        <w:rPr>
          <w:lang w:val="lt-LT"/>
        </w:rPr>
      </w:pPr>
    </w:p>
    <w:p w:rsidR="00AC2C19" w:rsidRPr="000B7544" w:rsidRDefault="00AC2C19" w:rsidP="00AC2C19">
      <w:pPr>
        <w:spacing w:line="240" w:lineRule="auto"/>
        <w:rPr>
          <w:lang w:val="lt-LT"/>
        </w:rPr>
      </w:pPr>
      <w:r w:rsidRPr="000B7544">
        <w:rPr>
          <w:lang w:val="lt-LT"/>
        </w:rPr>
        <w:t>Pacientams, kurių kepenų funkcija sutrikusi</w:t>
      </w:r>
    </w:p>
    <w:p w:rsidR="00AC2C19" w:rsidRPr="00CD354A" w:rsidRDefault="00AC2C19" w:rsidP="00AC2C19">
      <w:pPr>
        <w:spacing w:line="240" w:lineRule="auto"/>
        <w:rPr>
          <w:lang w:val="lt-LT"/>
        </w:rPr>
      </w:pPr>
      <w:r w:rsidRPr="00CD354A">
        <w:rPr>
          <w:lang w:val="lt-LT"/>
        </w:rPr>
        <w:t xml:space="preserve">Didelė </w:t>
      </w:r>
      <w:proofErr w:type="spellStart"/>
      <w:r w:rsidRPr="00CD354A">
        <w:rPr>
          <w:lang w:val="lt-LT"/>
        </w:rPr>
        <w:t>cefoperazono</w:t>
      </w:r>
      <w:proofErr w:type="spellEnd"/>
      <w:r w:rsidRPr="00CD354A">
        <w:rPr>
          <w:lang w:val="lt-LT"/>
        </w:rPr>
        <w:t xml:space="preserve"> dalis išsiskiria su tulžimi. Sergant kepenų ligomis ir (arba) esant tulžies latakų obstrukcijai, dažniausiai prailgėja </w:t>
      </w:r>
      <w:proofErr w:type="spellStart"/>
      <w:r w:rsidRPr="00CD354A">
        <w:rPr>
          <w:lang w:val="lt-LT"/>
        </w:rPr>
        <w:t>cefoperazono</w:t>
      </w:r>
      <w:proofErr w:type="spellEnd"/>
      <w:r w:rsidRPr="00CD354A">
        <w:rPr>
          <w:lang w:val="lt-LT"/>
        </w:rPr>
        <w:t xml:space="preserve"> pusinės eliminacijos laikas, daugiau šio vaistinio preparato išsiskiria su šlapimu. Vis dėlto net kai kepenų funkcija sutrikusi sunkiai, tulžyje susidaro terapinė </w:t>
      </w:r>
      <w:proofErr w:type="spellStart"/>
      <w:r w:rsidRPr="00CD354A">
        <w:rPr>
          <w:lang w:val="lt-LT"/>
        </w:rPr>
        <w:t>cefoperazono</w:t>
      </w:r>
      <w:proofErr w:type="spellEnd"/>
      <w:r w:rsidRPr="00CD354A">
        <w:rPr>
          <w:lang w:val="lt-LT"/>
        </w:rPr>
        <w:t xml:space="preserve"> koncentracija, o jo pusinės eliminacijos laikas prailgėja tik 2</w:t>
      </w:r>
      <w:r w:rsidRPr="00CD354A">
        <w:rPr>
          <w:lang w:val="lt-LT"/>
        </w:rPr>
        <w:noBreakHyphen/>
        <w:t>4 kartus.</w:t>
      </w: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r w:rsidRPr="00CD354A">
        <w:rPr>
          <w:lang w:val="lt-LT"/>
        </w:rPr>
        <w:t xml:space="preserve">Dozę gali tekti koreguoti esant sunkiai tulžies latakų obstrukcijai, sunkiai kepenų ligai ir kai kuria nors iš šių ligų serga pacientas, kurio inkstų funkcija sutrikusi. Jei sutrikusi ir kepenų, ir inkstų funkcija, reikia stebėti </w:t>
      </w:r>
      <w:proofErr w:type="spellStart"/>
      <w:r w:rsidRPr="00CD354A">
        <w:rPr>
          <w:lang w:val="lt-LT"/>
        </w:rPr>
        <w:t>cefoperazono</w:t>
      </w:r>
      <w:proofErr w:type="spellEnd"/>
      <w:r w:rsidRPr="00CD354A">
        <w:rPr>
          <w:lang w:val="lt-LT"/>
        </w:rPr>
        <w:t xml:space="preserve"> koncentraciją serume ir prireikus koreguoti jo dozę. Jei </w:t>
      </w:r>
      <w:proofErr w:type="spellStart"/>
      <w:r w:rsidRPr="00CD354A">
        <w:rPr>
          <w:lang w:val="lt-LT"/>
        </w:rPr>
        <w:t>cefoperazono</w:t>
      </w:r>
      <w:proofErr w:type="spellEnd"/>
      <w:r w:rsidRPr="00CD354A">
        <w:rPr>
          <w:lang w:val="lt-LT"/>
        </w:rPr>
        <w:t xml:space="preserve"> koncentracija serume dažnai netiriama, jo paros dozė neturi viršyti 2 g.</w:t>
      </w:r>
    </w:p>
    <w:p w:rsidR="00AC2C19" w:rsidRPr="00CD354A" w:rsidRDefault="00AC2C19" w:rsidP="00AC2C19">
      <w:pPr>
        <w:spacing w:line="240" w:lineRule="auto"/>
        <w:rPr>
          <w:lang w:val="lt-LT"/>
        </w:rPr>
      </w:pPr>
    </w:p>
    <w:p w:rsidR="00AC2C19" w:rsidRPr="000B7544" w:rsidRDefault="00AC2C19" w:rsidP="00AC2C19">
      <w:pPr>
        <w:spacing w:line="240" w:lineRule="auto"/>
        <w:rPr>
          <w:i/>
          <w:lang w:val="lt-LT"/>
        </w:rPr>
      </w:pPr>
      <w:r w:rsidRPr="000B7544">
        <w:rPr>
          <w:i/>
          <w:lang w:val="lt-LT"/>
        </w:rPr>
        <w:t>Bendroji informacija</w:t>
      </w:r>
    </w:p>
    <w:p w:rsidR="00AC2C19" w:rsidRDefault="00AC2C19" w:rsidP="00AC2C19">
      <w:pPr>
        <w:spacing w:line="240" w:lineRule="auto"/>
        <w:rPr>
          <w:lang w:val="lt-LT"/>
        </w:rPr>
      </w:pPr>
      <w:r w:rsidRPr="00B60131">
        <w:rPr>
          <w:lang w:val="lt-LT"/>
        </w:rPr>
        <w:t xml:space="preserve">Gauta pranešimų apie sunkius, įskaitant mirtinus, </w:t>
      </w:r>
      <w:proofErr w:type="spellStart"/>
      <w:r w:rsidRPr="00B60131">
        <w:rPr>
          <w:lang w:val="lt-LT"/>
        </w:rPr>
        <w:t>hemoragijos</w:t>
      </w:r>
      <w:proofErr w:type="spellEnd"/>
      <w:r w:rsidRPr="00B60131">
        <w:rPr>
          <w:lang w:val="lt-LT"/>
        </w:rPr>
        <w:t xml:space="preserve"> atvejus vartojant </w:t>
      </w:r>
      <w:proofErr w:type="spellStart"/>
      <w:r w:rsidR="00431659">
        <w:rPr>
          <w:lang w:val="lt-LT"/>
        </w:rPr>
        <w:t>cefoperazono</w:t>
      </w:r>
      <w:proofErr w:type="spellEnd"/>
      <w:r w:rsidR="00431659">
        <w:rPr>
          <w:lang w:val="lt-LT"/>
        </w:rPr>
        <w:t xml:space="preserve"> ir </w:t>
      </w:r>
      <w:proofErr w:type="spellStart"/>
      <w:r w:rsidRPr="00B60131">
        <w:rPr>
          <w:lang w:val="lt-LT"/>
        </w:rPr>
        <w:t>sulbaktamo</w:t>
      </w:r>
      <w:proofErr w:type="spellEnd"/>
      <w:r w:rsidRPr="00B60131">
        <w:rPr>
          <w:lang w:val="lt-LT"/>
        </w:rPr>
        <w:t>.</w:t>
      </w:r>
      <w:r>
        <w:rPr>
          <w:lang w:val="lt-LT"/>
        </w:rPr>
        <w:t xml:space="preserve"> </w:t>
      </w:r>
      <w:r w:rsidR="00431659">
        <w:rPr>
          <w:lang w:val="lt-LT"/>
        </w:rPr>
        <w:t xml:space="preserve">Rizika kyla pacientams, kurie prastai maitinasi, kuriems yra </w:t>
      </w:r>
      <w:r w:rsidRPr="00CD354A">
        <w:rPr>
          <w:lang w:val="lt-LT"/>
        </w:rPr>
        <w:t xml:space="preserve"> </w:t>
      </w:r>
      <w:proofErr w:type="spellStart"/>
      <w:r w:rsidRPr="00CD354A">
        <w:rPr>
          <w:lang w:val="lt-LT"/>
        </w:rPr>
        <w:t>malabsorbcija</w:t>
      </w:r>
      <w:proofErr w:type="spellEnd"/>
      <w:r w:rsidRPr="00CD354A">
        <w:rPr>
          <w:lang w:val="lt-LT"/>
        </w:rPr>
        <w:t xml:space="preserve"> </w:t>
      </w:r>
      <w:r w:rsidR="00431659">
        <w:rPr>
          <w:lang w:val="lt-LT"/>
        </w:rPr>
        <w:t xml:space="preserve"> ir kurie</w:t>
      </w:r>
      <w:r w:rsidRPr="00CD354A">
        <w:rPr>
          <w:lang w:val="lt-LT"/>
        </w:rPr>
        <w:t xml:space="preserve"> ilg</w:t>
      </w:r>
      <w:r w:rsidR="00431659">
        <w:rPr>
          <w:lang w:val="lt-LT"/>
        </w:rPr>
        <w:t>ą laiką</w:t>
      </w:r>
      <w:r w:rsidRPr="00CD354A">
        <w:rPr>
          <w:lang w:val="lt-LT"/>
        </w:rPr>
        <w:t xml:space="preserve"> maitina</w:t>
      </w:r>
      <w:r w:rsidR="00431659">
        <w:rPr>
          <w:lang w:val="lt-LT"/>
        </w:rPr>
        <w:t>mi</w:t>
      </w:r>
      <w:r w:rsidRPr="00CD354A">
        <w:rPr>
          <w:lang w:val="lt-LT"/>
        </w:rPr>
        <w:t xml:space="preserve"> į veną. </w:t>
      </w:r>
      <w:proofErr w:type="spellStart"/>
      <w:r w:rsidR="00431659" w:rsidRPr="00431659">
        <w:rPr>
          <w:bCs/>
        </w:rPr>
        <w:t>Tokius</w:t>
      </w:r>
      <w:proofErr w:type="spellEnd"/>
      <w:r w:rsidR="00431659" w:rsidRPr="00431659">
        <w:rPr>
          <w:bCs/>
        </w:rPr>
        <w:t xml:space="preserve"> </w:t>
      </w:r>
      <w:proofErr w:type="spellStart"/>
      <w:r w:rsidR="00431659" w:rsidRPr="00431659">
        <w:rPr>
          <w:bCs/>
        </w:rPr>
        <w:t>pacientus</w:t>
      </w:r>
      <w:proofErr w:type="spellEnd"/>
      <w:r w:rsidR="00431659" w:rsidRPr="00431659">
        <w:rPr>
          <w:bCs/>
        </w:rPr>
        <w:t xml:space="preserve"> </w:t>
      </w:r>
      <w:proofErr w:type="spellStart"/>
      <w:r w:rsidR="00431659" w:rsidRPr="00431659">
        <w:rPr>
          <w:bCs/>
        </w:rPr>
        <w:t>reikia</w:t>
      </w:r>
      <w:proofErr w:type="spellEnd"/>
      <w:r w:rsidR="00431659" w:rsidRPr="00431659">
        <w:rPr>
          <w:bCs/>
        </w:rPr>
        <w:t xml:space="preserve"> </w:t>
      </w:r>
      <w:proofErr w:type="spellStart"/>
      <w:r w:rsidR="00431659" w:rsidRPr="00431659">
        <w:rPr>
          <w:bCs/>
        </w:rPr>
        <w:t>stebėti</w:t>
      </w:r>
      <w:proofErr w:type="spellEnd"/>
      <w:r w:rsidR="00431659" w:rsidRPr="00431659">
        <w:rPr>
          <w:bCs/>
        </w:rPr>
        <w:t xml:space="preserve">, </w:t>
      </w:r>
      <w:proofErr w:type="spellStart"/>
      <w:r w:rsidR="00431659" w:rsidRPr="00431659">
        <w:rPr>
          <w:bCs/>
        </w:rPr>
        <w:t>ar</w:t>
      </w:r>
      <w:proofErr w:type="spellEnd"/>
      <w:r w:rsidR="00431659" w:rsidRPr="00431659">
        <w:rPr>
          <w:bCs/>
        </w:rPr>
        <w:t xml:space="preserve"> </w:t>
      </w:r>
      <w:proofErr w:type="spellStart"/>
      <w:r w:rsidR="00431659" w:rsidRPr="00431659">
        <w:rPr>
          <w:bCs/>
        </w:rPr>
        <w:t>neatsiranda</w:t>
      </w:r>
      <w:proofErr w:type="spellEnd"/>
      <w:r w:rsidR="00431659" w:rsidRPr="00431659">
        <w:rPr>
          <w:bCs/>
        </w:rPr>
        <w:t xml:space="preserve"> </w:t>
      </w:r>
      <w:proofErr w:type="spellStart"/>
      <w:r w:rsidR="00431659" w:rsidRPr="00431659">
        <w:rPr>
          <w:bCs/>
        </w:rPr>
        <w:t>kraujavimo</w:t>
      </w:r>
      <w:proofErr w:type="spellEnd"/>
      <w:r w:rsidR="00431659" w:rsidRPr="00431659">
        <w:rPr>
          <w:bCs/>
        </w:rPr>
        <w:t xml:space="preserve">, </w:t>
      </w:r>
      <w:proofErr w:type="spellStart"/>
      <w:r w:rsidR="00431659" w:rsidRPr="00431659">
        <w:rPr>
          <w:bCs/>
        </w:rPr>
        <w:t>trombocitopenijos</w:t>
      </w:r>
      <w:proofErr w:type="spellEnd"/>
      <w:r w:rsidR="00431659" w:rsidRPr="00431659">
        <w:rPr>
          <w:bCs/>
        </w:rPr>
        <w:t xml:space="preserve"> </w:t>
      </w:r>
      <w:proofErr w:type="spellStart"/>
      <w:r w:rsidR="00431659" w:rsidRPr="00431659">
        <w:rPr>
          <w:bCs/>
        </w:rPr>
        <w:t>ir</w:t>
      </w:r>
      <w:proofErr w:type="spellEnd"/>
      <w:r w:rsidR="00431659" w:rsidRPr="00431659">
        <w:rPr>
          <w:bCs/>
        </w:rPr>
        <w:t xml:space="preserve"> </w:t>
      </w:r>
      <w:proofErr w:type="spellStart"/>
      <w:r w:rsidR="00431659" w:rsidRPr="00431659">
        <w:rPr>
          <w:bCs/>
        </w:rPr>
        <w:t>hipoprotrombinemijos</w:t>
      </w:r>
      <w:proofErr w:type="spellEnd"/>
      <w:r w:rsidR="00431659" w:rsidRPr="00431659">
        <w:rPr>
          <w:bCs/>
        </w:rPr>
        <w:t xml:space="preserve"> </w:t>
      </w:r>
      <w:proofErr w:type="spellStart"/>
      <w:r w:rsidR="00431659" w:rsidRPr="00431659">
        <w:rPr>
          <w:bCs/>
        </w:rPr>
        <w:t>požymių</w:t>
      </w:r>
      <w:proofErr w:type="spellEnd"/>
      <w:r w:rsidR="00431659" w:rsidRPr="00431659">
        <w:rPr>
          <w:bCs/>
        </w:rPr>
        <w:t xml:space="preserve">. </w:t>
      </w:r>
      <w:proofErr w:type="spellStart"/>
      <w:r w:rsidR="00431659" w:rsidRPr="00431659">
        <w:rPr>
          <w:bCs/>
        </w:rPr>
        <w:t>Esant</w:t>
      </w:r>
      <w:proofErr w:type="spellEnd"/>
      <w:r w:rsidR="00431659" w:rsidRPr="00431659">
        <w:rPr>
          <w:bCs/>
        </w:rPr>
        <w:t xml:space="preserve"> </w:t>
      </w:r>
      <w:proofErr w:type="spellStart"/>
      <w:r w:rsidR="00431659" w:rsidRPr="00431659">
        <w:rPr>
          <w:bCs/>
        </w:rPr>
        <w:t>nuolatiniam</w:t>
      </w:r>
      <w:proofErr w:type="spellEnd"/>
      <w:r w:rsidR="00431659" w:rsidRPr="00431659">
        <w:rPr>
          <w:bCs/>
        </w:rPr>
        <w:t xml:space="preserve"> </w:t>
      </w:r>
      <w:proofErr w:type="spellStart"/>
      <w:r w:rsidR="00431659" w:rsidRPr="00431659">
        <w:rPr>
          <w:bCs/>
        </w:rPr>
        <w:t>kraujavimui</w:t>
      </w:r>
      <w:proofErr w:type="spellEnd"/>
      <w:r w:rsidR="00431659" w:rsidRPr="00431659">
        <w:rPr>
          <w:bCs/>
        </w:rPr>
        <w:t xml:space="preserve"> </w:t>
      </w:r>
      <w:proofErr w:type="spellStart"/>
      <w:r w:rsidR="00431659" w:rsidRPr="00431659">
        <w:rPr>
          <w:bCs/>
        </w:rPr>
        <w:t>ir</w:t>
      </w:r>
      <w:proofErr w:type="spellEnd"/>
      <w:r w:rsidR="00431659" w:rsidRPr="00431659">
        <w:rPr>
          <w:bCs/>
        </w:rPr>
        <w:t xml:space="preserve"> </w:t>
      </w:r>
      <w:proofErr w:type="spellStart"/>
      <w:r w:rsidR="00431659" w:rsidRPr="00431659">
        <w:rPr>
          <w:bCs/>
        </w:rPr>
        <w:t>nenustatyta</w:t>
      </w:r>
      <w:proofErr w:type="spellEnd"/>
      <w:r w:rsidR="00431659" w:rsidRPr="00431659">
        <w:rPr>
          <w:bCs/>
        </w:rPr>
        <w:t xml:space="preserve"> </w:t>
      </w:r>
      <w:proofErr w:type="spellStart"/>
      <w:r w:rsidR="00431659" w:rsidRPr="00431659">
        <w:rPr>
          <w:bCs/>
        </w:rPr>
        <w:t>kitų</w:t>
      </w:r>
      <w:proofErr w:type="spellEnd"/>
      <w:r w:rsidR="00431659" w:rsidRPr="00431659">
        <w:rPr>
          <w:bCs/>
        </w:rPr>
        <w:t xml:space="preserve"> </w:t>
      </w:r>
      <w:proofErr w:type="spellStart"/>
      <w:r w:rsidR="00431659" w:rsidRPr="00431659">
        <w:rPr>
          <w:bCs/>
        </w:rPr>
        <w:t>jį</w:t>
      </w:r>
      <w:proofErr w:type="spellEnd"/>
      <w:r w:rsidR="00431659" w:rsidRPr="00431659">
        <w:rPr>
          <w:bCs/>
        </w:rPr>
        <w:t xml:space="preserve"> </w:t>
      </w:r>
      <w:proofErr w:type="spellStart"/>
      <w:r w:rsidR="00431659" w:rsidRPr="00431659">
        <w:rPr>
          <w:bCs/>
        </w:rPr>
        <w:t>paaiškinančių</w:t>
      </w:r>
      <w:proofErr w:type="spellEnd"/>
      <w:r w:rsidR="00431659" w:rsidRPr="00431659">
        <w:rPr>
          <w:bCs/>
        </w:rPr>
        <w:t xml:space="preserve"> </w:t>
      </w:r>
      <w:proofErr w:type="spellStart"/>
      <w:r w:rsidR="00431659" w:rsidRPr="00431659">
        <w:rPr>
          <w:bCs/>
        </w:rPr>
        <w:t>priežasčių</w:t>
      </w:r>
      <w:proofErr w:type="spellEnd"/>
      <w:r w:rsidR="00431659" w:rsidRPr="00431659">
        <w:rPr>
          <w:bCs/>
        </w:rPr>
        <w:t xml:space="preserve">, </w:t>
      </w:r>
      <w:proofErr w:type="spellStart"/>
      <w:r w:rsidR="00431659" w:rsidRPr="00431659">
        <w:rPr>
          <w:bCs/>
        </w:rPr>
        <w:t>cefoperazono</w:t>
      </w:r>
      <w:proofErr w:type="spellEnd"/>
      <w:r w:rsidR="00431659" w:rsidRPr="00431659">
        <w:rPr>
          <w:bCs/>
        </w:rPr>
        <w:t xml:space="preserve"> </w:t>
      </w:r>
      <w:proofErr w:type="spellStart"/>
      <w:r w:rsidR="00431659" w:rsidRPr="00431659">
        <w:rPr>
          <w:bCs/>
        </w:rPr>
        <w:t>ir</w:t>
      </w:r>
      <w:proofErr w:type="spellEnd"/>
      <w:r w:rsidR="00431659" w:rsidRPr="00431659">
        <w:rPr>
          <w:bCs/>
        </w:rPr>
        <w:t xml:space="preserve"> </w:t>
      </w:r>
      <w:proofErr w:type="spellStart"/>
      <w:r w:rsidR="00431659" w:rsidRPr="00431659">
        <w:rPr>
          <w:bCs/>
        </w:rPr>
        <w:t>sulbaktamo</w:t>
      </w:r>
      <w:proofErr w:type="spellEnd"/>
      <w:r w:rsidR="00431659" w:rsidRPr="00431659">
        <w:rPr>
          <w:bCs/>
        </w:rPr>
        <w:t xml:space="preserve"> </w:t>
      </w:r>
      <w:proofErr w:type="spellStart"/>
      <w:r w:rsidR="00431659" w:rsidRPr="00431659">
        <w:rPr>
          <w:bCs/>
        </w:rPr>
        <w:t>vartojimą</w:t>
      </w:r>
      <w:proofErr w:type="spellEnd"/>
      <w:r w:rsidR="00431659" w:rsidRPr="00431659">
        <w:rPr>
          <w:bCs/>
        </w:rPr>
        <w:t xml:space="preserve"> </w:t>
      </w:r>
      <w:proofErr w:type="spellStart"/>
      <w:r w:rsidR="00431659" w:rsidRPr="00431659">
        <w:rPr>
          <w:bCs/>
        </w:rPr>
        <w:t>reikia</w:t>
      </w:r>
      <w:proofErr w:type="spellEnd"/>
      <w:r w:rsidR="00431659" w:rsidRPr="00431659">
        <w:rPr>
          <w:bCs/>
        </w:rPr>
        <w:t xml:space="preserve"> </w:t>
      </w:r>
      <w:proofErr w:type="spellStart"/>
      <w:r w:rsidR="00431659" w:rsidRPr="00431659">
        <w:rPr>
          <w:bCs/>
        </w:rPr>
        <w:t>nutraukti</w:t>
      </w:r>
      <w:proofErr w:type="spellEnd"/>
      <w:r w:rsidR="00431659" w:rsidRPr="00431659">
        <w:rPr>
          <w:bCs/>
        </w:rPr>
        <w:t>.</w:t>
      </w:r>
      <w:r w:rsidR="00431659">
        <w:rPr>
          <w:b/>
          <w:bCs/>
          <w:u w:val="single"/>
        </w:rPr>
        <w:t xml:space="preserve"> </w:t>
      </w:r>
    </w:p>
    <w:p w:rsidR="00402FAA" w:rsidRPr="00CD354A" w:rsidRDefault="00402FAA" w:rsidP="00AC2C19">
      <w:pPr>
        <w:spacing w:line="240" w:lineRule="auto"/>
        <w:rPr>
          <w:lang w:val="lt-LT"/>
        </w:rPr>
      </w:pPr>
    </w:p>
    <w:p w:rsidR="00AC2C19" w:rsidRPr="00CD354A" w:rsidRDefault="00AC2C19" w:rsidP="00AC2C19">
      <w:pPr>
        <w:spacing w:line="240" w:lineRule="auto"/>
        <w:rPr>
          <w:lang w:val="lt-LT"/>
        </w:rPr>
      </w:pPr>
      <w:r w:rsidRPr="00CD354A">
        <w:rPr>
          <w:lang w:val="lt-LT"/>
        </w:rPr>
        <w:t xml:space="preserve">Ilgai vartojant </w:t>
      </w:r>
      <w:proofErr w:type="spellStart"/>
      <w:r w:rsidRPr="00CD354A">
        <w:rPr>
          <w:lang w:val="lt-LT"/>
        </w:rPr>
        <w:t>sulbaktamo</w:t>
      </w:r>
      <w:proofErr w:type="spellEnd"/>
      <w:r w:rsidRPr="00CD354A">
        <w:rPr>
          <w:lang w:val="lt-LT"/>
        </w:rPr>
        <w:t xml:space="preserve"> ir </w:t>
      </w:r>
      <w:proofErr w:type="spellStart"/>
      <w:r w:rsidRPr="00CD354A">
        <w:rPr>
          <w:lang w:val="lt-LT"/>
        </w:rPr>
        <w:t>cefoperazono</w:t>
      </w:r>
      <w:proofErr w:type="spellEnd"/>
      <w:r w:rsidRPr="00CD354A">
        <w:rPr>
          <w:lang w:val="lt-LT"/>
        </w:rPr>
        <w:t xml:space="preserve"> derinį (kaip ir kitus antibiotikus), gali įsivyrauti nejautrūs mikroorganizmai, todėl šiuo vaistiniu preparatu gydomą pacientą reikia atidžiai stebėti. Vartojant SULPERAZON (kaip ir kitus stipriai veikiančius sisteminio vartojimo vaist</w:t>
      </w:r>
      <w:r>
        <w:rPr>
          <w:lang w:val="lt-LT"/>
        </w:rPr>
        <w:t>ini</w:t>
      </w:r>
      <w:r w:rsidRPr="00CD354A">
        <w:rPr>
          <w:lang w:val="lt-LT"/>
        </w:rPr>
        <w:t>us</w:t>
      </w:r>
      <w:r>
        <w:rPr>
          <w:lang w:val="lt-LT"/>
        </w:rPr>
        <w:t xml:space="preserve"> preparatus</w:t>
      </w:r>
      <w:r w:rsidRPr="00CD354A">
        <w:rPr>
          <w:lang w:val="lt-LT"/>
        </w:rPr>
        <w:t>), patartina periodiškai tirti, ar nesutriko organų sistemų (inkstų, kepenų, hemopoezės) funkcija. Tai itin svarbu naujagimiams (ypač neišnešiotiems) ir kitiems kūdikiams.</w:t>
      </w:r>
    </w:p>
    <w:p w:rsidR="00AC2C19" w:rsidRPr="00CD354A" w:rsidRDefault="00AC2C19" w:rsidP="00AC2C19">
      <w:pPr>
        <w:spacing w:line="240" w:lineRule="auto"/>
        <w:rPr>
          <w:lang w:val="lt-LT"/>
        </w:rPr>
      </w:pPr>
    </w:p>
    <w:p w:rsidR="00AC2C19" w:rsidRPr="00CD354A" w:rsidRDefault="00AC2C19" w:rsidP="00AC2C19">
      <w:pPr>
        <w:spacing w:line="240" w:lineRule="auto"/>
        <w:rPr>
          <w:vertAlign w:val="superscript"/>
          <w:lang w:val="lt-LT"/>
        </w:rPr>
      </w:pPr>
      <w:r w:rsidRPr="00CD354A">
        <w:rPr>
          <w:lang w:val="lt-LT"/>
        </w:rPr>
        <w:t xml:space="preserve">Vartojant beveik visų antibakterinių </w:t>
      </w:r>
      <w:r>
        <w:rPr>
          <w:lang w:val="lt-LT"/>
        </w:rPr>
        <w:t xml:space="preserve">vaistinių </w:t>
      </w:r>
      <w:r w:rsidRPr="00CD354A">
        <w:rPr>
          <w:lang w:val="lt-LT"/>
        </w:rPr>
        <w:t xml:space="preserve">preparatų, įskaitant </w:t>
      </w:r>
      <w:proofErr w:type="spellStart"/>
      <w:r w:rsidRPr="00CD354A">
        <w:rPr>
          <w:lang w:val="lt-LT"/>
        </w:rPr>
        <w:t>cefoperazono</w:t>
      </w:r>
      <w:proofErr w:type="spellEnd"/>
      <w:r w:rsidRPr="00CD354A">
        <w:rPr>
          <w:lang w:val="lt-LT"/>
        </w:rPr>
        <w:t xml:space="preserve"> ir </w:t>
      </w:r>
      <w:proofErr w:type="spellStart"/>
      <w:r w:rsidRPr="00CD354A">
        <w:rPr>
          <w:lang w:val="lt-LT"/>
        </w:rPr>
        <w:t>sulbaktamo</w:t>
      </w:r>
      <w:proofErr w:type="spellEnd"/>
      <w:r w:rsidRPr="00CD354A">
        <w:rPr>
          <w:lang w:val="lt-LT"/>
        </w:rPr>
        <w:t xml:space="preserve"> derinį, buvo </w:t>
      </w:r>
      <w:bookmarkStart w:id="24" w:name="OLE_LINK4"/>
      <w:bookmarkStart w:id="25" w:name="OLE_LINK5"/>
      <w:r w:rsidRPr="00CD354A">
        <w:rPr>
          <w:lang w:val="lt-LT"/>
        </w:rPr>
        <w:t xml:space="preserve">su </w:t>
      </w:r>
      <w:proofErr w:type="spellStart"/>
      <w:r w:rsidRPr="00CD354A">
        <w:rPr>
          <w:i/>
          <w:lang w:val="lt-LT"/>
        </w:rPr>
        <w:t>Clostridium</w:t>
      </w:r>
      <w:proofErr w:type="spellEnd"/>
      <w:r w:rsidRPr="00CD354A">
        <w:rPr>
          <w:i/>
          <w:lang w:val="lt-LT"/>
        </w:rPr>
        <w:t xml:space="preserve"> </w:t>
      </w:r>
      <w:proofErr w:type="spellStart"/>
      <w:r w:rsidRPr="00CD354A">
        <w:rPr>
          <w:i/>
          <w:lang w:val="lt-LT"/>
        </w:rPr>
        <w:t>difficile</w:t>
      </w:r>
      <w:proofErr w:type="spellEnd"/>
      <w:r w:rsidRPr="00CD354A">
        <w:rPr>
          <w:i/>
          <w:lang w:val="lt-LT"/>
        </w:rPr>
        <w:t xml:space="preserve"> </w:t>
      </w:r>
      <w:r w:rsidRPr="00CD354A">
        <w:rPr>
          <w:lang w:val="lt-LT"/>
        </w:rPr>
        <w:t>susijusio viduriavimo</w:t>
      </w:r>
      <w:bookmarkEnd w:id="24"/>
      <w:bookmarkEnd w:id="25"/>
      <w:r w:rsidRPr="00CD354A">
        <w:rPr>
          <w:lang w:val="lt-LT"/>
        </w:rPr>
        <w:t xml:space="preserve"> (CDSV) atvejų (sutrikimo sunkumas svyravo nuo lengvo viduriavimo iki mirtimi pasibaigusio kolito). Gydymas antibakteriniais </w:t>
      </w:r>
      <w:r>
        <w:rPr>
          <w:lang w:val="lt-LT"/>
        </w:rPr>
        <w:t xml:space="preserve">vaistiniais </w:t>
      </w:r>
      <w:r w:rsidRPr="00CD354A">
        <w:rPr>
          <w:lang w:val="lt-LT"/>
        </w:rPr>
        <w:t xml:space="preserve">preparatais sutrikdo normalią gaubtinės žarnos florą, todėl labai padaugėja </w:t>
      </w:r>
      <w:r w:rsidRPr="00CD354A">
        <w:rPr>
          <w:i/>
          <w:lang w:val="lt-LT"/>
        </w:rPr>
        <w:t xml:space="preserve">C. </w:t>
      </w:r>
      <w:proofErr w:type="spellStart"/>
      <w:r w:rsidRPr="00CD354A">
        <w:rPr>
          <w:i/>
          <w:lang w:val="lt-LT"/>
        </w:rPr>
        <w:t>difficile</w:t>
      </w:r>
      <w:proofErr w:type="spellEnd"/>
      <w:r w:rsidRPr="00CD354A">
        <w:rPr>
          <w:i/>
          <w:lang w:val="lt-LT"/>
        </w:rPr>
        <w:t>.</w:t>
      </w:r>
    </w:p>
    <w:p w:rsidR="00AC2C19" w:rsidRPr="00CD354A" w:rsidRDefault="00AC2C19" w:rsidP="00AC2C19">
      <w:pPr>
        <w:spacing w:line="240" w:lineRule="auto"/>
        <w:rPr>
          <w:lang w:val="lt-LT"/>
        </w:rPr>
      </w:pPr>
    </w:p>
    <w:p w:rsidR="00AC2C19" w:rsidRPr="00CD354A" w:rsidRDefault="00AC2C19" w:rsidP="00AC2C19">
      <w:pPr>
        <w:spacing w:line="240" w:lineRule="auto"/>
        <w:rPr>
          <w:color w:val="000000"/>
          <w:vertAlign w:val="superscript"/>
          <w:lang w:val="lt-LT"/>
        </w:rPr>
      </w:pPr>
      <w:r w:rsidRPr="00CD354A">
        <w:rPr>
          <w:i/>
          <w:lang w:val="lt-LT"/>
        </w:rPr>
        <w:t xml:space="preserve">C. </w:t>
      </w:r>
      <w:proofErr w:type="spellStart"/>
      <w:r w:rsidRPr="00CD354A">
        <w:rPr>
          <w:i/>
          <w:lang w:val="lt-LT"/>
        </w:rPr>
        <w:t>difficile</w:t>
      </w:r>
      <w:proofErr w:type="spellEnd"/>
      <w:r w:rsidRPr="00CD354A">
        <w:rPr>
          <w:lang w:val="lt-LT"/>
        </w:rPr>
        <w:t xml:space="preserve"> išskiria toksinus A ir B, kurie yra susiję su CDSV atsiradimu. </w:t>
      </w:r>
      <w:proofErr w:type="spellStart"/>
      <w:r w:rsidRPr="00CD354A">
        <w:rPr>
          <w:lang w:val="lt-LT"/>
        </w:rPr>
        <w:t>Hipertoksinus</w:t>
      </w:r>
      <w:proofErr w:type="spellEnd"/>
      <w:r w:rsidRPr="00CD354A">
        <w:rPr>
          <w:lang w:val="lt-LT"/>
        </w:rPr>
        <w:t xml:space="preserve"> gaminanti </w:t>
      </w:r>
      <w:r w:rsidRPr="00CD354A">
        <w:rPr>
          <w:i/>
          <w:lang w:val="lt-LT"/>
        </w:rPr>
        <w:t>C. </w:t>
      </w:r>
      <w:proofErr w:type="spellStart"/>
      <w:r w:rsidRPr="00CD354A">
        <w:rPr>
          <w:i/>
          <w:lang w:val="lt-LT"/>
        </w:rPr>
        <w:t>difficile</w:t>
      </w:r>
      <w:proofErr w:type="spellEnd"/>
      <w:r w:rsidRPr="00CD354A">
        <w:rPr>
          <w:i/>
          <w:lang w:val="lt-LT"/>
        </w:rPr>
        <w:t xml:space="preserve"> </w:t>
      </w:r>
      <w:r w:rsidRPr="00CD354A">
        <w:rPr>
          <w:lang w:val="lt-LT"/>
        </w:rPr>
        <w:t xml:space="preserve">padermė didina pacientų sergamumą ir mirtingumą; kadangi ši infekcija gali nereaguoti į antimikrobinius </w:t>
      </w:r>
      <w:r>
        <w:rPr>
          <w:lang w:val="lt-LT"/>
        </w:rPr>
        <w:t xml:space="preserve">vaistinius </w:t>
      </w:r>
      <w:r w:rsidRPr="00CD354A">
        <w:rPr>
          <w:lang w:val="lt-LT"/>
        </w:rPr>
        <w:t xml:space="preserve">preparatus, gali tekti pašalinti gaubtinę žarną. Visiems ligoniams, kuriems po antibiotikų pavartojimo prasidėjo viduriavimas, reikia įtarti </w:t>
      </w:r>
      <w:bookmarkStart w:id="26" w:name="OLE_LINK3"/>
      <w:r w:rsidRPr="00CD354A">
        <w:rPr>
          <w:lang w:val="lt-LT"/>
        </w:rPr>
        <w:t>CDVS</w:t>
      </w:r>
      <w:bookmarkEnd w:id="26"/>
      <w:r w:rsidRPr="00CD354A">
        <w:rPr>
          <w:lang w:val="lt-LT"/>
        </w:rPr>
        <w:t xml:space="preserve">. Būtina atidžiai susipažinti su paciento ligos istorija, nes buvo atvejų, kai CDVS prasidėjo po antibakterinio </w:t>
      </w:r>
      <w:r>
        <w:rPr>
          <w:lang w:val="lt-LT"/>
        </w:rPr>
        <w:t xml:space="preserve">vaistinio </w:t>
      </w:r>
      <w:r w:rsidRPr="00CD354A">
        <w:rPr>
          <w:lang w:val="lt-LT"/>
        </w:rPr>
        <w:t>preparato pavartojimo praėjus daugiau kaip dviem mėnesiams.</w:t>
      </w:r>
    </w:p>
    <w:p w:rsidR="00AC2C19" w:rsidRPr="00CD354A" w:rsidRDefault="00AC2C19" w:rsidP="00AC2C19">
      <w:pPr>
        <w:spacing w:line="240" w:lineRule="auto"/>
        <w:rPr>
          <w:lang w:val="lt-LT"/>
        </w:rPr>
      </w:pPr>
    </w:p>
    <w:p w:rsidR="00AC2C19" w:rsidRPr="00CD354A" w:rsidRDefault="00AC2C19" w:rsidP="00AC2C19">
      <w:pPr>
        <w:pStyle w:val="BTuEMEASMCA"/>
      </w:pPr>
      <w:r w:rsidRPr="00CD354A">
        <w:t>Vaikų populiacija</w:t>
      </w:r>
    </w:p>
    <w:p w:rsidR="00AC2C19" w:rsidRPr="00CD354A" w:rsidRDefault="00AC2C19" w:rsidP="00AC2C19">
      <w:pPr>
        <w:spacing w:line="240" w:lineRule="auto"/>
        <w:rPr>
          <w:lang w:val="lt-LT"/>
        </w:rPr>
      </w:pPr>
      <w:proofErr w:type="spellStart"/>
      <w:r w:rsidRPr="00CD354A">
        <w:rPr>
          <w:lang w:val="lt-LT"/>
        </w:rPr>
        <w:t>Sulbaktamo</w:t>
      </w:r>
      <w:proofErr w:type="spellEnd"/>
      <w:r w:rsidRPr="00CD354A">
        <w:rPr>
          <w:lang w:val="lt-LT"/>
        </w:rPr>
        <w:t xml:space="preserve"> ir </w:t>
      </w:r>
      <w:proofErr w:type="spellStart"/>
      <w:r w:rsidRPr="00CD354A">
        <w:rPr>
          <w:lang w:val="lt-LT"/>
        </w:rPr>
        <w:t>cefoperazono</w:t>
      </w:r>
      <w:proofErr w:type="spellEnd"/>
      <w:r w:rsidRPr="00CD354A">
        <w:rPr>
          <w:lang w:val="lt-LT"/>
        </w:rPr>
        <w:t xml:space="preserve"> derinys yra veiksmingas kūdikiams. Vis dėlto jo vartojimo neišnešiotiems kūdikiams ir naujagimiams patirtis nedidelė, todėl, prieš jiems skiriant šio vaistinio preparato, reikia apsvarstyti laukiamos naudos ir galimos rizikos santykį (žr. 5.3 skyrių).</w:t>
      </w: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r w:rsidRPr="00CD354A">
        <w:rPr>
          <w:lang w:val="lt-LT"/>
        </w:rPr>
        <w:t xml:space="preserve">Jeigu naujagimis serga branduoline gelta, </w:t>
      </w:r>
      <w:proofErr w:type="spellStart"/>
      <w:r w:rsidRPr="00CD354A">
        <w:rPr>
          <w:lang w:val="lt-LT"/>
        </w:rPr>
        <w:t>cefoperazonas</w:t>
      </w:r>
      <w:proofErr w:type="spellEnd"/>
      <w:r w:rsidRPr="00CD354A">
        <w:rPr>
          <w:lang w:val="lt-LT"/>
        </w:rPr>
        <w:t xml:space="preserve"> neišstumia </w:t>
      </w:r>
      <w:proofErr w:type="spellStart"/>
      <w:r w:rsidRPr="00CD354A">
        <w:rPr>
          <w:lang w:val="lt-LT"/>
        </w:rPr>
        <w:t>bilirubino</w:t>
      </w:r>
      <w:proofErr w:type="spellEnd"/>
      <w:r w:rsidRPr="00CD354A">
        <w:rPr>
          <w:lang w:val="lt-LT"/>
        </w:rPr>
        <w:t xml:space="preserve"> iš jungčių su plazmos baltymais.</w:t>
      </w:r>
    </w:p>
    <w:p w:rsidR="00AC2C19" w:rsidRPr="00CD354A" w:rsidRDefault="00AC2C19" w:rsidP="00AC2C19">
      <w:pPr>
        <w:spacing w:line="240" w:lineRule="auto"/>
        <w:rPr>
          <w:lang w:val="lt-LT"/>
        </w:rPr>
      </w:pPr>
    </w:p>
    <w:p w:rsidR="00AC2C19" w:rsidRPr="000B7544" w:rsidRDefault="00AC2C19" w:rsidP="00AC2C19">
      <w:pPr>
        <w:pStyle w:val="BTEMEASMCA"/>
      </w:pPr>
      <w:r w:rsidRPr="000B7544">
        <w:t xml:space="preserve">SULPERAZON sudėtyje yra natrio </w:t>
      </w:r>
    </w:p>
    <w:p w:rsidR="00AC2C19" w:rsidRPr="00CD354A" w:rsidRDefault="00AC2C19" w:rsidP="00AC2C19">
      <w:pPr>
        <w:pStyle w:val="BTEMEASMCA"/>
      </w:pPr>
      <w:r w:rsidRPr="00CD354A">
        <w:rPr>
          <w:lang w:eastAsia="lt-LT"/>
        </w:rPr>
        <w:t>Vienoje</w:t>
      </w:r>
      <w:r w:rsidRPr="00CD354A">
        <w:t xml:space="preserve"> SULPERAZON dozėje yra 126 mg natrio.</w:t>
      </w:r>
    </w:p>
    <w:p w:rsidR="00AC2C19" w:rsidRPr="00CD354A" w:rsidRDefault="00AC2C19" w:rsidP="00AC2C19">
      <w:pPr>
        <w:spacing w:line="240" w:lineRule="auto"/>
        <w:rPr>
          <w:lang w:val="lt-LT"/>
        </w:rPr>
      </w:pPr>
    </w:p>
    <w:p w:rsidR="00AC2C19" w:rsidRPr="00CD354A" w:rsidRDefault="00AC2C19" w:rsidP="00AC2C19">
      <w:pPr>
        <w:spacing w:line="240" w:lineRule="auto"/>
        <w:ind w:left="540" w:hanging="540"/>
        <w:rPr>
          <w:b/>
          <w:lang w:val="lt-LT"/>
        </w:rPr>
      </w:pPr>
      <w:bookmarkStart w:id="27" w:name="_Toc129243106"/>
      <w:bookmarkStart w:id="28" w:name="_Toc129243231"/>
      <w:r w:rsidRPr="00CD354A">
        <w:rPr>
          <w:b/>
          <w:lang w:val="lt-LT"/>
        </w:rPr>
        <w:t>4.5</w:t>
      </w:r>
      <w:r w:rsidRPr="00CD354A">
        <w:rPr>
          <w:b/>
          <w:lang w:val="lt-LT"/>
        </w:rPr>
        <w:tab/>
        <w:t>Sąveika su kitais vaistiniais preparatais ir kitokia sąveika</w:t>
      </w:r>
      <w:bookmarkEnd w:id="27"/>
      <w:bookmarkEnd w:id="28"/>
    </w:p>
    <w:p w:rsidR="00AC2C19" w:rsidRPr="00CD354A" w:rsidRDefault="00AC2C19" w:rsidP="00AC2C19">
      <w:pPr>
        <w:spacing w:line="240" w:lineRule="auto"/>
        <w:rPr>
          <w:lang w:val="lt-LT"/>
        </w:rPr>
      </w:pPr>
    </w:p>
    <w:p w:rsidR="00AC2C19" w:rsidRPr="00CD354A" w:rsidRDefault="00AC2C19" w:rsidP="00AC2C19">
      <w:pPr>
        <w:spacing w:line="240" w:lineRule="auto"/>
        <w:rPr>
          <w:i/>
          <w:lang w:val="lt-LT"/>
        </w:rPr>
      </w:pPr>
      <w:r w:rsidRPr="00CD354A">
        <w:rPr>
          <w:i/>
          <w:lang w:val="lt-LT"/>
        </w:rPr>
        <w:t>Alkoholis</w:t>
      </w:r>
    </w:p>
    <w:p w:rsidR="00AC2C19" w:rsidRPr="00CD354A" w:rsidRDefault="00AC2C19" w:rsidP="00AC2C19">
      <w:pPr>
        <w:pStyle w:val="BTEMEASMCA"/>
      </w:pPr>
      <w:r w:rsidRPr="00CD354A">
        <w:t xml:space="preserve">Išgėrus alkoholio vartojant cefoperazoną ar vėliau per 5 dienas, pastebėta reakcija, kuriai būdingas paraudimas dėl kraujo priplūdimo į veidą ir kaklą, prakaitavimas, galvos skausmas ir tachikardija. Panaši reakcija pastebėta kartu vartojant kai kurių kitų cefalosporinų ir alkoholį. Dėl alkoholio vartojimo cefoperazono ir sulbaktamo deriniu gydomą pacientą reikia perspėti. </w:t>
      </w:r>
      <w:r w:rsidRPr="00CD354A">
        <w:rPr>
          <w:i/>
        </w:rPr>
        <w:t>Per os</w:t>
      </w:r>
      <w:r w:rsidRPr="00CD354A">
        <w:t xml:space="preserve"> arba parenteraliai dirbtinai maitinamiems pacientams netinka tirpalai su etanoliu.</w:t>
      </w:r>
    </w:p>
    <w:p w:rsidR="00AC2C19" w:rsidRPr="00CD354A" w:rsidRDefault="00AC2C19" w:rsidP="00AC2C19">
      <w:pPr>
        <w:pStyle w:val="BTEMEASMCA"/>
      </w:pPr>
    </w:p>
    <w:p w:rsidR="00AC2C19" w:rsidRPr="00CD354A" w:rsidRDefault="00AC2C19" w:rsidP="00AC2C19">
      <w:pPr>
        <w:spacing w:line="240" w:lineRule="auto"/>
        <w:rPr>
          <w:i/>
          <w:lang w:val="lt-LT"/>
        </w:rPr>
      </w:pPr>
      <w:proofErr w:type="spellStart"/>
      <w:r w:rsidRPr="00CD354A">
        <w:rPr>
          <w:i/>
          <w:lang w:val="lt-LT"/>
        </w:rPr>
        <w:t>Aminoglikozidai</w:t>
      </w:r>
      <w:proofErr w:type="spellEnd"/>
    </w:p>
    <w:p w:rsidR="00AC2C19" w:rsidRPr="00CD354A" w:rsidRDefault="00AC2C19" w:rsidP="00AC2C19">
      <w:pPr>
        <w:pStyle w:val="BTEMEASMCA"/>
      </w:pPr>
      <w:r w:rsidRPr="00CD354A">
        <w:t>Kartu vartojant aminoglikozidą (žr. 6.2 skyriuje poskyrį ,,</w:t>
      </w:r>
      <w:r w:rsidRPr="00CD354A">
        <w:fldChar w:fldCharType="begin"/>
      </w:r>
      <w:r w:rsidRPr="00CD354A">
        <w:instrText xml:space="preserve"> REF _Ref2313843 \h  \* MERGEFORMAT </w:instrText>
      </w:r>
      <w:r w:rsidRPr="00CD354A">
        <w:fldChar w:fldCharType="separate"/>
      </w:r>
      <w:r w:rsidRPr="00CD354A">
        <w:rPr>
          <w:i/>
        </w:rPr>
        <w:t>Aminoglikozidai</w:t>
      </w:r>
      <w:r w:rsidRPr="00CD354A">
        <w:fldChar w:fldCharType="end"/>
      </w:r>
      <w:r w:rsidRPr="00CD354A">
        <w:rPr>
          <w:i/>
        </w:rPr>
        <w:t>”</w:t>
      </w:r>
      <w:r w:rsidRPr="00CD354A">
        <w:t>), reikia stebėti inkstų funkciją (žr. 4.4 skyrių).</w:t>
      </w:r>
    </w:p>
    <w:p w:rsidR="00AC2C19" w:rsidRPr="00CD354A" w:rsidRDefault="00AC2C19" w:rsidP="00AC2C19">
      <w:pPr>
        <w:pStyle w:val="BTEMEASMCA"/>
      </w:pPr>
    </w:p>
    <w:p w:rsidR="00AC2C19" w:rsidRPr="00CD354A" w:rsidRDefault="00AC2C19" w:rsidP="00AC2C19">
      <w:pPr>
        <w:spacing w:line="240" w:lineRule="auto"/>
        <w:rPr>
          <w:i/>
          <w:lang w:val="lt-LT"/>
        </w:rPr>
      </w:pPr>
      <w:r w:rsidRPr="00CD354A">
        <w:rPr>
          <w:i/>
          <w:lang w:val="lt-LT"/>
        </w:rPr>
        <w:t>Įtaka laboratorinių tyrimų rezultatams</w:t>
      </w:r>
    </w:p>
    <w:p w:rsidR="00AC2C19" w:rsidRPr="00CD354A" w:rsidRDefault="00AC2C19" w:rsidP="00AC2C19">
      <w:pPr>
        <w:pStyle w:val="BTEMEASMCA"/>
      </w:pPr>
      <w:r w:rsidRPr="00CD354A">
        <w:rPr>
          <w:i/>
        </w:rPr>
        <w:t>Benedict</w:t>
      </w:r>
      <w:r w:rsidRPr="00CD354A">
        <w:t xml:space="preserve"> arba </w:t>
      </w:r>
      <w:r w:rsidRPr="00CD354A">
        <w:rPr>
          <w:i/>
        </w:rPr>
        <w:t>Fehling</w:t>
      </w:r>
      <w:r w:rsidRPr="00CD354A">
        <w:t xml:space="preserve"> tirpalu šlapime gali būti nustatyta klaidingai teigiama gliukozės reakcija.</w:t>
      </w:r>
    </w:p>
    <w:p w:rsidR="00AC2C19" w:rsidRPr="00CD354A" w:rsidRDefault="00AC2C19" w:rsidP="00AC2C19">
      <w:pPr>
        <w:pStyle w:val="BTEMEASMCA"/>
      </w:pPr>
    </w:p>
    <w:p w:rsidR="00AC2C19" w:rsidRPr="00CD354A" w:rsidRDefault="00AC2C19" w:rsidP="00AC2C19">
      <w:pPr>
        <w:spacing w:line="240" w:lineRule="auto"/>
        <w:ind w:left="540" w:hanging="540"/>
        <w:rPr>
          <w:b/>
          <w:lang w:val="lt-LT"/>
        </w:rPr>
      </w:pPr>
      <w:bookmarkStart w:id="29" w:name="_Toc129243107"/>
      <w:bookmarkStart w:id="30" w:name="_Toc129243232"/>
      <w:r w:rsidRPr="00CD354A">
        <w:rPr>
          <w:b/>
          <w:lang w:val="lt-LT"/>
        </w:rPr>
        <w:t>4.6</w:t>
      </w:r>
      <w:r w:rsidRPr="00CD354A">
        <w:rPr>
          <w:b/>
          <w:lang w:val="lt-LT"/>
        </w:rPr>
        <w:tab/>
        <w:t>Vaisingumas, nėštumo ir žindymo laikotarpis</w:t>
      </w:r>
      <w:bookmarkEnd w:id="29"/>
      <w:bookmarkEnd w:id="30"/>
    </w:p>
    <w:p w:rsidR="00AC2C19" w:rsidRPr="00CD354A" w:rsidRDefault="00AC2C19" w:rsidP="00AC2C19">
      <w:pPr>
        <w:pStyle w:val="BTEMEASMCA"/>
      </w:pPr>
    </w:p>
    <w:p w:rsidR="00AC2C19" w:rsidRPr="000B7544" w:rsidRDefault="00AC2C19" w:rsidP="00AC2C19">
      <w:pPr>
        <w:spacing w:line="240" w:lineRule="auto"/>
        <w:rPr>
          <w:color w:val="0D0D0D"/>
          <w:u w:val="single"/>
          <w:lang w:val="lt-LT"/>
        </w:rPr>
      </w:pPr>
      <w:r w:rsidRPr="000B7544">
        <w:rPr>
          <w:color w:val="0D0D0D"/>
          <w:u w:val="single"/>
          <w:lang w:val="lt-LT"/>
        </w:rPr>
        <w:t>Nėštumas</w:t>
      </w:r>
    </w:p>
    <w:p w:rsidR="00AC2C19" w:rsidRPr="00CD354A" w:rsidRDefault="00AC2C19" w:rsidP="00AC2C19">
      <w:pPr>
        <w:pStyle w:val="BTEMEASMCA"/>
      </w:pPr>
      <w:r w:rsidRPr="00CD354A">
        <w:t>Įtakos reprodukcijai tyrimai, atlikti su žiurkėmis (vaistinio preparato skiriant iki 10 kartų didesnėmis negu rekomenduojama žmogui dozėmis), vaisingumo sutrikimų ir teratogeninio poveikio neparodė. Sulbaktam</w:t>
      </w:r>
      <w:r>
        <w:t>as</w:t>
      </w:r>
      <w:r w:rsidRPr="00CD354A">
        <w:t xml:space="preserve"> ir cefoperazon</w:t>
      </w:r>
      <w:r>
        <w:t>as</w:t>
      </w:r>
      <w:r w:rsidRPr="00CD354A">
        <w:t xml:space="preserve"> p</w:t>
      </w:r>
      <w:r>
        <w:t>ereina</w:t>
      </w:r>
      <w:r w:rsidRPr="00CD354A">
        <w:t xml:space="preserve"> per placentos barjerą. Vis dėlto adekvačių ir tinkamai kontroliuojamų tyrimų su nėščiomis moterimis neatlikta, o tyrimų su gyvūnais duomenys ne visada leidžia numatyti poveikį žmogui, todėl nėščiosioms šio vaistinio preparato skiriama tik neabejotinai būtinais atvejais.</w:t>
      </w:r>
    </w:p>
    <w:p w:rsidR="00AC2C19" w:rsidRPr="00CD354A" w:rsidRDefault="00AC2C19" w:rsidP="00AC2C19">
      <w:pPr>
        <w:pStyle w:val="BTEMEASMCA"/>
      </w:pPr>
    </w:p>
    <w:p w:rsidR="00AC2C19" w:rsidRPr="000B7544" w:rsidRDefault="00AC2C19" w:rsidP="00AC2C19">
      <w:pPr>
        <w:spacing w:line="240" w:lineRule="auto"/>
        <w:rPr>
          <w:color w:val="0D0D0D"/>
          <w:u w:val="single"/>
          <w:lang w:val="lt-LT"/>
        </w:rPr>
      </w:pPr>
      <w:r w:rsidRPr="000B7544">
        <w:rPr>
          <w:color w:val="0D0D0D"/>
          <w:u w:val="single"/>
          <w:lang w:val="lt-LT"/>
        </w:rPr>
        <w:t>Žindymas</w:t>
      </w:r>
    </w:p>
    <w:p w:rsidR="00AC2C19" w:rsidRPr="00CD354A" w:rsidRDefault="00AC2C19" w:rsidP="00AC2C19">
      <w:pPr>
        <w:pStyle w:val="BTEMEASMCA"/>
      </w:pPr>
      <w:r w:rsidRPr="00CD354A">
        <w:t>Su motinos pienu išsiskiria mažai sulbaktamo ir cefoperazono. Nors abi vaistinės medžiagos į žindančių moterų pieną patenka sunkiai, žindyvėms sulbaktamo ir cefoperazono skiriama atsargiai.</w:t>
      </w:r>
    </w:p>
    <w:p w:rsidR="00AC2C19" w:rsidRPr="00CD354A" w:rsidRDefault="00AC2C19" w:rsidP="00AC2C19">
      <w:pPr>
        <w:pStyle w:val="BTEMEASMCA"/>
      </w:pPr>
    </w:p>
    <w:p w:rsidR="00AC2C19" w:rsidRPr="00CD354A" w:rsidRDefault="00AC2C19" w:rsidP="00AC2C19">
      <w:pPr>
        <w:spacing w:line="240" w:lineRule="auto"/>
        <w:ind w:left="540" w:hanging="540"/>
        <w:rPr>
          <w:b/>
          <w:lang w:val="lt-LT"/>
        </w:rPr>
      </w:pPr>
      <w:bookmarkStart w:id="31" w:name="_Toc129243108"/>
      <w:bookmarkStart w:id="32" w:name="_Toc129243233"/>
      <w:r w:rsidRPr="00CD354A">
        <w:rPr>
          <w:b/>
          <w:lang w:val="lt-LT"/>
        </w:rPr>
        <w:t>4.7</w:t>
      </w:r>
      <w:r w:rsidRPr="00CD354A">
        <w:rPr>
          <w:b/>
          <w:lang w:val="lt-LT"/>
        </w:rPr>
        <w:tab/>
        <w:t>Poveikis gebėjimui vairuoti ir valdyti mechanizmus</w:t>
      </w:r>
      <w:bookmarkEnd w:id="31"/>
      <w:bookmarkEnd w:id="32"/>
    </w:p>
    <w:p w:rsidR="00AC2C19" w:rsidRPr="00CD354A" w:rsidRDefault="00AC2C19" w:rsidP="00AC2C19">
      <w:pPr>
        <w:pStyle w:val="BTEMEASMCA"/>
      </w:pPr>
    </w:p>
    <w:p w:rsidR="00AC2C19" w:rsidRPr="00CD354A" w:rsidRDefault="00AC2C19" w:rsidP="00AC2C19">
      <w:pPr>
        <w:pStyle w:val="BTEMEASMCA"/>
      </w:pPr>
      <w:r w:rsidRPr="00CD354A">
        <w:t>Klinikinė patirtis rodo, jog cefoperazono ir sulbaktamo derinio gebėjim</w:t>
      </w:r>
      <w:r>
        <w:t>ui</w:t>
      </w:r>
      <w:r w:rsidRPr="00CD354A">
        <w:t xml:space="preserve"> vairuoti ir valdyti mechanizmus bloginantis poveikis nėra tikėtinas.</w:t>
      </w:r>
    </w:p>
    <w:p w:rsidR="00AC2C19" w:rsidRPr="00CD354A" w:rsidRDefault="00AC2C19" w:rsidP="00AC2C19">
      <w:pPr>
        <w:pStyle w:val="BTEMEASMCA"/>
      </w:pPr>
    </w:p>
    <w:p w:rsidR="00AC2C19" w:rsidRPr="00CD354A" w:rsidRDefault="00AC2C19" w:rsidP="00AC2C19">
      <w:pPr>
        <w:spacing w:line="240" w:lineRule="auto"/>
        <w:ind w:left="540" w:hanging="540"/>
        <w:rPr>
          <w:b/>
          <w:lang w:val="lt-LT"/>
        </w:rPr>
      </w:pPr>
      <w:bookmarkStart w:id="33" w:name="_Toc129243109"/>
      <w:bookmarkStart w:id="34" w:name="_Toc129243234"/>
      <w:r w:rsidRPr="00CD354A">
        <w:rPr>
          <w:b/>
          <w:lang w:val="lt-LT"/>
        </w:rPr>
        <w:t>4.8</w:t>
      </w:r>
      <w:r w:rsidRPr="00CD354A">
        <w:rPr>
          <w:b/>
          <w:lang w:val="lt-LT"/>
        </w:rPr>
        <w:tab/>
        <w:t>Nepageidaujamas poveikis</w:t>
      </w:r>
      <w:bookmarkEnd w:id="33"/>
      <w:bookmarkEnd w:id="34"/>
    </w:p>
    <w:p w:rsidR="00AC2C19" w:rsidRPr="00CD354A" w:rsidRDefault="00AC2C19" w:rsidP="00AC2C19">
      <w:pPr>
        <w:pStyle w:val="BTEMEASMCA"/>
      </w:pPr>
    </w:p>
    <w:p w:rsidR="00AC2C19" w:rsidRPr="00CD354A" w:rsidRDefault="00AC2C19" w:rsidP="00AC2C19">
      <w:pPr>
        <w:pStyle w:val="BTEMEASMCA"/>
      </w:pPr>
      <w:r w:rsidRPr="00CD354A">
        <w:t>Sulbaktamo ir cefoperazono derinys paprastai toleruojamas gerai. Dauguma nepageidaujamų reiškinių būna lengvi arba vidutinio sunkumo ir, gydant toliau, toleruojami.</w:t>
      </w:r>
    </w:p>
    <w:p w:rsidR="00AC2C19" w:rsidRPr="00CD354A" w:rsidRDefault="00AC2C19" w:rsidP="00AC2C19">
      <w:pPr>
        <w:pStyle w:val="BTEMEASMCA"/>
      </w:pPr>
    </w:p>
    <w:p w:rsidR="00AC2C19" w:rsidRPr="00CD354A" w:rsidRDefault="00AC2C19" w:rsidP="00AC2C19">
      <w:pPr>
        <w:spacing w:line="240" w:lineRule="auto"/>
        <w:contextualSpacing/>
        <w:outlineLvl w:val="0"/>
        <w:rPr>
          <w:lang w:val="lt-LT"/>
        </w:rPr>
      </w:pPr>
      <w:r w:rsidRPr="00CD354A">
        <w:rPr>
          <w:lang w:val="lt-LT"/>
        </w:rPr>
        <w:t xml:space="preserve">Toliau išvardyto nepageidaujamo poveikio atvejai pastebėti ir pranešti gydymo </w:t>
      </w:r>
      <w:proofErr w:type="spellStart"/>
      <w:r w:rsidRPr="00CD354A">
        <w:rPr>
          <w:lang w:val="lt-LT"/>
        </w:rPr>
        <w:t>cefoperazono</w:t>
      </w:r>
      <w:proofErr w:type="spellEnd"/>
      <w:r w:rsidRPr="00CD354A">
        <w:rPr>
          <w:lang w:val="lt-LT"/>
        </w:rPr>
        <w:t xml:space="preserve"> ir </w:t>
      </w:r>
      <w:proofErr w:type="spellStart"/>
      <w:r w:rsidRPr="00CD354A">
        <w:rPr>
          <w:lang w:val="lt-LT"/>
        </w:rPr>
        <w:t>sulbaktamo</w:t>
      </w:r>
      <w:proofErr w:type="spellEnd"/>
      <w:r w:rsidRPr="00CD354A">
        <w:rPr>
          <w:lang w:val="lt-LT"/>
        </w:rPr>
        <w:t xml:space="preserve"> deriniu metu. Nepageidaujamo poveikio dažnis apibūdinamas taip: labai dažnas (≥ 1/10), dažnas (nuo ≥ 1/100 iki &lt; 1/10), nedažnas (nuo ≥ 1/1 000 iki &lt; 1/100), retas (nuo ≥ 1/10 000 iki &lt; 1/1000), labai retas (&lt; 1/10 000) ir nežinomas (negali būti apskaičiuotas pagal turimus duomenis).</w:t>
      </w:r>
    </w:p>
    <w:p w:rsidR="00AC2C19" w:rsidRPr="00CD354A" w:rsidRDefault="00AC2C19" w:rsidP="00AC2C19">
      <w:pPr>
        <w:pStyle w:val="BTEMEASMCA"/>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2492"/>
        <w:gridCol w:w="1533"/>
        <w:gridCol w:w="1532"/>
        <w:gridCol w:w="2185"/>
      </w:tblGrid>
      <w:tr w:rsidR="00AC2C19" w:rsidRPr="00CD354A">
        <w:tc>
          <w:tcPr>
            <w:tcW w:w="758" w:type="pct"/>
            <w:shd w:val="clear" w:color="auto" w:fill="auto"/>
          </w:tcPr>
          <w:p w:rsidR="00AC2C19" w:rsidRPr="00CD354A" w:rsidRDefault="00AC2C19" w:rsidP="00AC2C19">
            <w:pPr>
              <w:pStyle w:val="BTEMEASMCA"/>
            </w:pPr>
            <w:r w:rsidRPr="00CD354A">
              <w:t>Organų sistemų klasė</w:t>
            </w:r>
          </w:p>
        </w:tc>
        <w:tc>
          <w:tcPr>
            <w:tcW w:w="1379" w:type="pct"/>
            <w:shd w:val="clear" w:color="auto" w:fill="auto"/>
          </w:tcPr>
          <w:p w:rsidR="00AC2C19" w:rsidRPr="00CD354A" w:rsidRDefault="00AC2C19" w:rsidP="00AC2C19">
            <w:pPr>
              <w:pStyle w:val="BTEMEASMCA"/>
            </w:pPr>
            <w:r w:rsidRPr="00CD354A">
              <w:t>Labai dažn</w:t>
            </w:r>
            <w:r>
              <w:t>as</w:t>
            </w:r>
          </w:p>
        </w:tc>
        <w:tc>
          <w:tcPr>
            <w:tcW w:w="807" w:type="pct"/>
            <w:shd w:val="clear" w:color="auto" w:fill="auto"/>
          </w:tcPr>
          <w:p w:rsidR="00AC2C19" w:rsidRPr="00CD354A" w:rsidRDefault="00AC2C19" w:rsidP="00AC2C19">
            <w:pPr>
              <w:pStyle w:val="BTEMEASMCA"/>
            </w:pPr>
            <w:r w:rsidRPr="00CD354A">
              <w:t>Dažn</w:t>
            </w:r>
            <w:r>
              <w:t>as</w:t>
            </w:r>
          </w:p>
        </w:tc>
        <w:tc>
          <w:tcPr>
            <w:tcW w:w="846" w:type="pct"/>
            <w:shd w:val="clear" w:color="auto" w:fill="auto"/>
          </w:tcPr>
          <w:p w:rsidR="00AC2C19" w:rsidRPr="00CD354A" w:rsidRDefault="00AC2C19" w:rsidP="00AC2C19">
            <w:pPr>
              <w:pStyle w:val="BTEMEASMCA"/>
            </w:pPr>
            <w:r w:rsidRPr="00CD354A">
              <w:t>Nedažn</w:t>
            </w:r>
            <w:r>
              <w:t>as</w:t>
            </w:r>
          </w:p>
        </w:tc>
        <w:tc>
          <w:tcPr>
            <w:tcW w:w="1209" w:type="pct"/>
            <w:shd w:val="clear" w:color="auto" w:fill="auto"/>
          </w:tcPr>
          <w:p w:rsidR="00AC2C19" w:rsidRPr="00CD354A" w:rsidRDefault="00AC2C19" w:rsidP="00AC2C19">
            <w:pPr>
              <w:pStyle w:val="BTEMEASMCA"/>
            </w:pPr>
            <w:r w:rsidRPr="00CD354A">
              <w:t>Nežinomas (negali būti apskaičiuotas pagal turimus duomenis</w:t>
            </w:r>
            <w:r>
              <w:t>)</w:t>
            </w:r>
          </w:p>
        </w:tc>
      </w:tr>
      <w:tr w:rsidR="00AC2C19" w:rsidRPr="00CD354A">
        <w:tc>
          <w:tcPr>
            <w:tcW w:w="758" w:type="pct"/>
            <w:shd w:val="clear" w:color="auto" w:fill="auto"/>
          </w:tcPr>
          <w:p w:rsidR="00AC2C19" w:rsidRPr="00CD354A" w:rsidRDefault="00AC2C19" w:rsidP="00AC2C19">
            <w:pPr>
              <w:pStyle w:val="BTEMEASMCA"/>
            </w:pPr>
            <w:r w:rsidRPr="00CD354A">
              <w:lastRenderedPageBreak/>
              <w:t>Kraujo ir limfinės sistemos sutrikimai</w:t>
            </w:r>
          </w:p>
        </w:tc>
        <w:tc>
          <w:tcPr>
            <w:tcW w:w="1379" w:type="pct"/>
            <w:shd w:val="clear" w:color="auto" w:fill="auto"/>
          </w:tcPr>
          <w:p w:rsidR="00AC2C19" w:rsidRDefault="00AC2C19" w:rsidP="00AC2C19">
            <w:pPr>
              <w:pStyle w:val="BTEMEASMCA"/>
            </w:pPr>
            <w:r w:rsidRPr="00CD354A">
              <w:t>Neutropenija†</w:t>
            </w:r>
          </w:p>
          <w:p w:rsidR="00AC2C19" w:rsidRPr="00CD354A" w:rsidRDefault="00AC2C19" w:rsidP="00AC2C19">
            <w:pPr>
              <w:pStyle w:val="BTEMEASMCA"/>
              <w:rPr>
                <w:vertAlign w:val="superscript"/>
              </w:rPr>
            </w:pPr>
            <w:r w:rsidRPr="00CD354A">
              <w:t>Leukopenija†</w:t>
            </w:r>
          </w:p>
          <w:p w:rsidR="00AC2C19" w:rsidRPr="00CD354A" w:rsidRDefault="00AC2C19" w:rsidP="00AC2C19">
            <w:pPr>
              <w:pStyle w:val="BTEMEASMCA"/>
            </w:pPr>
            <w:r w:rsidRPr="00CD354A">
              <w:t>Teigiamas Kumbso mėginys†</w:t>
            </w:r>
          </w:p>
          <w:p w:rsidR="00AC2C19" w:rsidRPr="00CD354A" w:rsidRDefault="00AC2C19" w:rsidP="00AC2C19">
            <w:pPr>
              <w:spacing w:line="240" w:lineRule="auto"/>
              <w:rPr>
                <w:lang w:val="lt-LT"/>
              </w:rPr>
            </w:pPr>
            <w:r w:rsidRPr="00CD354A">
              <w:rPr>
                <w:lang w:val="lt-LT"/>
              </w:rPr>
              <w:t>Hemoglobino rodmens sumažėjimas</w:t>
            </w:r>
            <w:r w:rsidRPr="00CD354A">
              <w:t>†</w:t>
            </w:r>
          </w:p>
          <w:p w:rsidR="00AC2C19" w:rsidRPr="00CD354A" w:rsidRDefault="00AC2C19" w:rsidP="00AC2C19">
            <w:pPr>
              <w:spacing w:line="240" w:lineRule="auto"/>
              <w:rPr>
                <w:lang w:val="lt-LT"/>
              </w:rPr>
            </w:pPr>
            <w:proofErr w:type="spellStart"/>
            <w:r w:rsidRPr="00CD354A">
              <w:rPr>
                <w:lang w:val="lt-LT"/>
              </w:rPr>
              <w:t>Hematokrito</w:t>
            </w:r>
            <w:proofErr w:type="spellEnd"/>
            <w:r w:rsidRPr="00CD354A">
              <w:rPr>
                <w:lang w:val="lt-LT"/>
              </w:rPr>
              <w:t xml:space="preserve"> rodmens sumažėjimas</w:t>
            </w:r>
            <w:r w:rsidRPr="00CD354A">
              <w:t>†</w:t>
            </w:r>
          </w:p>
          <w:p w:rsidR="00AC2C19" w:rsidRPr="00CD354A" w:rsidRDefault="00AC2C19" w:rsidP="00AC2C19">
            <w:pPr>
              <w:spacing w:line="240" w:lineRule="auto"/>
              <w:rPr>
                <w:lang w:val="lt-LT"/>
              </w:rPr>
            </w:pPr>
            <w:proofErr w:type="spellStart"/>
            <w:r w:rsidRPr="00CD354A">
              <w:rPr>
                <w:lang w:val="lt-LT"/>
              </w:rPr>
              <w:t>Trombocitopenija</w:t>
            </w:r>
            <w:proofErr w:type="spellEnd"/>
            <w:r w:rsidRPr="00CD354A">
              <w:t>†</w:t>
            </w:r>
          </w:p>
          <w:p w:rsidR="00AC2C19" w:rsidRPr="00CD354A" w:rsidRDefault="00AC2C19" w:rsidP="00AC2C19">
            <w:pPr>
              <w:pStyle w:val="BTEMEASMCA"/>
            </w:pPr>
          </w:p>
        </w:tc>
        <w:tc>
          <w:tcPr>
            <w:tcW w:w="807" w:type="pct"/>
            <w:shd w:val="clear" w:color="auto" w:fill="auto"/>
          </w:tcPr>
          <w:p w:rsidR="00AC2C19" w:rsidRDefault="00AC2C19" w:rsidP="00AC2C19">
            <w:pPr>
              <w:pStyle w:val="BTEMEASMCA"/>
            </w:pPr>
            <w:r w:rsidRPr="006A61BA">
              <w:t>Koagulopatija*</w:t>
            </w:r>
          </w:p>
          <w:p w:rsidR="00AC2C19" w:rsidRPr="00CD354A" w:rsidRDefault="00AC2C19" w:rsidP="00AC2C19">
            <w:pPr>
              <w:pStyle w:val="BTEMEASMCA"/>
            </w:pPr>
            <w:r w:rsidRPr="00CD354A">
              <w:t>Eozinofilija†</w:t>
            </w:r>
          </w:p>
        </w:tc>
        <w:tc>
          <w:tcPr>
            <w:tcW w:w="846" w:type="pct"/>
            <w:shd w:val="clear" w:color="auto" w:fill="auto"/>
          </w:tcPr>
          <w:p w:rsidR="00AC2C19" w:rsidRPr="00CD354A" w:rsidRDefault="00AC2C19" w:rsidP="00AC2C19">
            <w:pPr>
              <w:pStyle w:val="BTEMEASMCA"/>
            </w:pPr>
          </w:p>
        </w:tc>
        <w:tc>
          <w:tcPr>
            <w:tcW w:w="1209" w:type="pct"/>
            <w:shd w:val="clear" w:color="auto" w:fill="auto"/>
          </w:tcPr>
          <w:p w:rsidR="00AC2C19" w:rsidRPr="00CD354A" w:rsidRDefault="00AC2C19" w:rsidP="00AC2C19">
            <w:pPr>
              <w:spacing w:line="240" w:lineRule="auto"/>
              <w:rPr>
                <w:lang w:val="lt-LT"/>
              </w:rPr>
            </w:pPr>
            <w:proofErr w:type="spellStart"/>
            <w:r w:rsidRPr="00CD354A">
              <w:rPr>
                <w:lang w:val="lt-LT"/>
              </w:rPr>
              <w:t>Hipoprotrombinemija</w:t>
            </w:r>
            <w:proofErr w:type="spellEnd"/>
            <w:r>
              <w:rPr>
                <w:lang w:val="lt-LT"/>
              </w:rPr>
              <w:t>*</w:t>
            </w:r>
          </w:p>
          <w:p w:rsidR="00AC2C19" w:rsidRPr="00CD354A" w:rsidRDefault="00AC2C19" w:rsidP="00AC2C19">
            <w:pPr>
              <w:pStyle w:val="BTEMEASMCA"/>
            </w:pPr>
          </w:p>
        </w:tc>
      </w:tr>
      <w:tr w:rsidR="00AC2C19" w:rsidRPr="00DA6EE7">
        <w:tc>
          <w:tcPr>
            <w:tcW w:w="758" w:type="pct"/>
            <w:shd w:val="clear" w:color="auto" w:fill="auto"/>
          </w:tcPr>
          <w:p w:rsidR="00AC2C19" w:rsidRPr="00CD354A" w:rsidRDefault="00AC2C19" w:rsidP="00AC2C19">
            <w:pPr>
              <w:pStyle w:val="BTEMEASMCA"/>
            </w:pPr>
            <w:r w:rsidRPr="00CD354A">
              <w:t xml:space="preserve">Imuninės sistemos </w:t>
            </w:r>
            <w:r w:rsidRPr="00CD354A">
              <w:rPr>
                <w:bCs/>
              </w:rPr>
              <w:t>sutrikimai</w:t>
            </w:r>
          </w:p>
        </w:tc>
        <w:tc>
          <w:tcPr>
            <w:tcW w:w="1379" w:type="pct"/>
            <w:shd w:val="clear" w:color="auto" w:fill="auto"/>
          </w:tcPr>
          <w:p w:rsidR="00AC2C19" w:rsidRPr="00CD354A" w:rsidRDefault="00AC2C19" w:rsidP="00AC2C19">
            <w:pPr>
              <w:pStyle w:val="BTEMEASMCA"/>
            </w:pPr>
          </w:p>
        </w:tc>
        <w:tc>
          <w:tcPr>
            <w:tcW w:w="807" w:type="pct"/>
            <w:shd w:val="clear" w:color="auto" w:fill="auto"/>
          </w:tcPr>
          <w:p w:rsidR="00AC2C19" w:rsidRPr="00CD354A" w:rsidRDefault="00AC2C19" w:rsidP="00AC2C19">
            <w:pPr>
              <w:pStyle w:val="BTEMEASMCA"/>
            </w:pPr>
          </w:p>
        </w:tc>
        <w:tc>
          <w:tcPr>
            <w:tcW w:w="846" w:type="pct"/>
            <w:shd w:val="clear" w:color="auto" w:fill="auto"/>
          </w:tcPr>
          <w:p w:rsidR="00AC2C19" w:rsidRPr="00CD354A" w:rsidRDefault="00AC2C19" w:rsidP="00AC2C19">
            <w:pPr>
              <w:pStyle w:val="BTEMEASMCA"/>
            </w:pPr>
          </w:p>
        </w:tc>
        <w:tc>
          <w:tcPr>
            <w:tcW w:w="1209" w:type="pct"/>
            <w:shd w:val="clear" w:color="auto" w:fill="auto"/>
          </w:tcPr>
          <w:p w:rsidR="00AC2C19" w:rsidRPr="008702E2" w:rsidRDefault="00AC2C19" w:rsidP="00AC2C19">
            <w:pPr>
              <w:pStyle w:val="BTEMEASMCA"/>
            </w:pPr>
            <w:r w:rsidRPr="008702E2">
              <w:t>Anafilaksinis šokas*</w:t>
            </w:r>
            <w:r w:rsidRPr="008702E2">
              <w:rPr>
                <w:vertAlign w:val="superscript"/>
              </w:rPr>
              <w:t>§</w:t>
            </w:r>
            <w:r w:rsidRPr="008702E2">
              <w:t xml:space="preserve"> </w:t>
            </w:r>
          </w:p>
          <w:p w:rsidR="00AC2C19" w:rsidRDefault="00AC2C19" w:rsidP="00AC2C19">
            <w:pPr>
              <w:pStyle w:val="BTEMEASMCA"/>
            </w:pPr>
            <w:r w:rsidRPr="008702E2">
              <w:t>Anafilaksinė reakcija*</w:t>
            </w:r>
            <w:r w:rsidRPr="008702E2">
              <w:rPr>
                <w:vertAlign w:val="superscript"/>
              </w:rPr>
              <w:t>§</w:t>
            </w:r>
          </w:p>
          <w:p w:rsidR="00AC2C19" w:rsidRPr="008702E2" w:rsidRDefault="00AC2C19" w:rsidP="00AC2C19">
            <w:pPr>
              <w:pStyle w:val="BTEMEASMCA"/>
            </w:pPr>
            <w:r w:rsidRPr="00CD354A">
              <w:t>Anafilaktoidinė reakcija</w:t>
            </w:r>
            <w:r w:rsidRPr="00CD354A">
              <w:rPr>
                <w:vertAlign w:val="superscript"/>
              </w:rPr>
              <w:t>§</w:t>
            </w:r>
            <w:r w:rsidRPr="00CD354A">
              <w:t xml:space="preserve"> (įskaitant šoką</w:t>
            </w:r>
            <w:r>
              <w:t>*</w:t>
            </w:r>
            <w:r w:rsidRPr="00CD354A">
              <w:t>)</w:t>
            </w:r>
            <w:r w:rsidRPr="00CD354A">
              <w:rPr>
                <w:vertAlign w:val="superscript"/>
              </w:rPr>
              <w:t xml:space="preserve"> </w:t>
            </w:r>
          </w:p>
          <w:p w:rsidR="00AC2C19" w:rsidRPr="00CD354A" w:rsidRDefault="00AC2C19" w:rsidP="00AC2C19">
            <w:pPr>
              <w:pStyle w:val="BTEMEASMCA"/>
            </w:pPr>
            <w:r w:rsidRPr="00CD354A">
              <w:t>Padidėjęs jautrumas</w:t>
            </w:r>
            <w:r>
              <w:t>*</w:t>
            </w:r>
            <w:r w:rsidRPr="00CD354A">
              <w:rPr>
                <w:vertAlign w:val="superscript"/>
              </w:rPr>
              <w:t>§</w:t>
            </w:r>
          </w:p>
          <w:p w:rsidR="00AC2C19" w:rsidRPr="00CD354A" w:rsidRDefault="00AC2C19" w:rsidP="00AC2C19">
            <w:pPr>
              <w:spacing w:line="240" w:lineRule="auto"/>
              <w:rPr>
                <w:lang w:val="lt-LT"/>
              </w:rPr>
            </w:pPr>
          </w:p>
        </w:tc>
      </w:tr>
      <w:tr w:rsidR="00AC2C19" w:rsidRPr="00CD354A">
        <w:tc>
          <w:tcPr>
            <w:tcW w:w="758" w:type="pct"/>
            <w:shd w:val="clear" w:color="auto" w:fill="auto"/>
          </w:tcPr>
          <w:p w:rsidR="00AC2C19" w:rsidRPr="00CD354A" w:rsidRDefault="00AC2C19" w:rsidP="00AC2C19">
            <w:pPr>
              <w:pStyle w:val="BTEMEASMCA"/>
            </w:pPr>
            <w:r w:rsidRPr="00CD354A">
              <w:t>Nervų sistemos sutrikimai</w:t>
            </w:r>
          </w:p>
        </w:tc>
        <w:tc>
          <w:tcPr>
            <w:tcW w:w="1379" w:type="pct"/>
            <w:shd w:val="clear" w:color="auto" w:fill="auto"/>
          </w:tcPr>
          <w:p w:rsidR="00AC2C19" w:rsidRPr="00CD354A" w:rsidRDefault="00AC2C19" w:rsidP="00AC2C19">
            <w:pPr>
              <w:pStyle w:val="BTEMEASMCA"/>
            </w:pPr>
          </w:p>
        </w:tc>
        <w:tc>
          <w:tcPr>
            <w:tcW w:w="807" w:type="pct"/>
            <w:shd w:val="clear" w:color="auto" w:fill="auto"/>
          </w:tcPr>
          <w:p w:rsidR="00AC2C19" w:rsidRPr="00CD354A" w:rsidRDefault="00AC2C19" w:rsidP="00AC2C19">
            <w:pPr>
              <w:pStyle w:val="BTEMEASMCA"/>
            </w:pPr>
          </w:p>
        </w:tc>
        <w:tc>
          <w:tcPr>
            <w:tcW w:w="846" w:type="pct"/>
            <w:shd w:val="clear" w:color="auto" w:fill="auto"/>
          </w:tcPr>
          <w:p w:rsidR="00AC2C19" w:rsidRPr="00CD354A" w:rsidRDefault="00AC2C19" w:rsidP="00AC2C19">
            <w:pPr>
              <w:pStyle w:val="BTEMEASMCA"/>
            </w:pPr>
            <w:r w:rsidRPr="00CD354A">
              <w:t>Galvos skausmas</w:t>
            </w:r>
          </w:p>
        </w:tc>
        <w:tc>
          <w:tcPr>
            <w:tcW w:w="1209" w:type="pct"/>
            <w:shd w:val="clear" w:color="auto" w:fill="auto"/>
          </w:tcPr>
          <w:p w:rsidR="00AC2C19" w:rsidRPr="00CD354A" w:rsidRDefault="00AC2C19" w:rsidP="00AC2C19">
            <w:pPr>
              <w:pStyle w:val="BTEMEASMCA"/>
            </w:pPr>
          </w:p>
        </w:tc>
      </w:tr>
      <w:tr w:rsidR="00AC2C19" w:rsidRPr="00CD354A">
        <w:tc>
          <w:tcPr>
            <w:tcW w:w="758" w:type="pct"/>
            <w:shd w:val="clear" w:color="auto" w:fill="auto"/>
          </w:tcPr>
          <w:p w:rsidR="00AC2C19" w:rsidRPr="00CD354A" w:rsidRDefault="00AC2C19" w:rsidP="00AC2C19">
            <w:pPr>
              <w:pStyle w:val="BTEMEASMCA"/>
            </w:pPr>
            <w:r w:rsidRPr="00CD354A">
              <w:t>Kraujagyslių sutrikimai</w:t>
            </w:r>
          </w:p>
        </w:tc>
        <w:tc>
          <w:tcPr>
            <w:tcW w:w="1379" w:type="pct"/>
            <w:shd w:val="clear" w:color="auto" w:fill="auto"/>
          </w:tcPr>
          <w:p w:rsidR="00AC2C19" w:rsidRPr="00CD354A" w:rsidRDefault="00AC2C19" w:rsidP="00AC2C19">
            <w:pPr>
              <w:pStyle w:val="BTEMEASMCA"/>
            </w:pPr>
          </w:p>
        </w:tc>
        <w:tc>
          <w:tcPr>
            <w:tcW w:w="807" w:type="pct"/>
            <w:shd w:val="clear" w:color="auto" w:fill="auto"/>
          </w:tcPr>
          <w:p w:rsidR="00AC2C19" w:rsidRPr="00CD354A" w:rsidRDefault="00AC2C19" w:rsidP="00AC2C19">
            <w:pPr>
              <w:pStyle w:val="BTEMEASMCA"/>
            </w:pPr>
          </w:p>
        </w:tc>
        <w:tc>
          <w:tcPr>
            <w:tcW w:w="846" w:type="pct"/>
            <w:shd w:val="clear" w:color="auto" w:fill="auto"/>
          </w:tcPr>
          <w:p w:rsidR="00AC2C19" w:rsidRPr="00CD354A" w:rsidRDefault="00AC2C19" w:rsidP="00AC2C19">
            <w:pPr>
              <w:pStyle w:val="BTEMEASMCA"/>
            </w:pPr>
          </w:p>
        </w:tc>
        <w:tc>
          <w:tcPr>
            <w:tcW w:w="1209" w:type="pct"/>
            <w:shd w:val="clear" w:color="auto" w:fill="auto"/>
          </w:tcPr>
          <w:p w:rsidR="00AC2C19" w:rsidRDefault="00AC2C19" w:rsidP="00AC2C19">
            <w:pPr>
              <w:spacing w:line="240" w:lineRule="auto"/>
              <w:rPr>
                <w:lang w:val="lt-LT"/>
              </w:rPr>
            </w:pPr>
            <w:proofErr w:type="spellStart"/>
            <w:r>
              <w:rPr>
                <w:lang w:val="lt-LT"/>
              </w:rPr>
              <w:t>Hemoragija</w:t>
            </w:r>
            <w:proofErr w:type="spellEnd"/>
            <w:r w:rsidR="00402FAA">
              <w:rPr>
                <w:lang w:val="lt-LT"/>
              </w:rPr>
              <w:t xml:space="preserve"> (įskaitant galinčią baigtis mirtimi)</w:t>
            </w:r>
          </w:p>
          <w:p w:rsidR="00AC2C19" w:rsidRPr="00CD354A" w:rsidRDefault="00AC2C19" w:rsidP="00AC2C19">
            <w:pPr>
              <w:spacing w:line="240" w:lineRule="auto"/>
              <w:rPr>
                <w:lang w:val="lt-LT"/>
              </w:rPr>
            </w:pPr>
            <w:proofErr w:type="spellStart"/>
            <w:r w:rsidRPr="00CD354A">
              <w:rPr>
                <w:lang w:val="lt-LT"/>
              </w:rPr>
              <w:t>Vaskulitas</w:t>
            </w:r>
            <w:proofErr w:type="spellEnd"/>
            <w:r>
              <w:rPr>
                <w:lang w:val="lt-LT"/>
              </w:rPr>
              <w:t>*</w:t>
            </w:r>
          </w:p>
          <w:p w:rsidR="00AC2C19" w:rsidRPr="00CD354A" w:rsidRDefault="00AC2C19" w:rsidP="00AC2C19">
            <w:pPr>
              <w:pStyle w:val="BTEMEASMCA"/>
            </w:pPr>
            <w:r w:rsidRPr="00CD354A">
              <w:t>Hipotenzija</w:t>
            </w:r>
            <w:r>
              <w:t>*</w:t>
            </w:r>
          </w:p>
          <w:p w:rsidR="00AC2C19" w:rsidRPr="00CD354A" w:rsidRDefault="00AC2C19" w:rsidP="00AC2C19">
            <w:pPr>
              <w:spacing w:line="240" w:lineRule="auto"/>
              <w:rPr>
                <w:lang w:val="lt-LT"/>
              </w:rPr>
            </w:pPr>
          </w:p>
        </w:tc>
      </w:tr>
      <w:tr w:rsidR="00AC2C19" w:rsidRPr="00CD354A">
        <w:tc>
          <w:tcPr>
            <w:tcW w:w="758" w:type="pct"/>
            <w:shd w:val="clear" w:color="auto" w:fill="auto"/>
          </w:tcPr>
          <w:p w:rsidR="00AC2C19" w:rsidRPr="00CD354A" w:rsidRDefault="00AC2C19" w:rsidP="00AC2C19">
            <w:pPr>
              <w:pStyle w:val="BTEMEASMCA"/>
            </w:pPr>
            <w:r w:rsidRPr="00CD354A">
              <w:t>Virškinimo trakto sutrikimai</w:t>
            </w:r>
          </w:p>
        </w:tc>
        <w:tc>
          <w:tcPr>
            <w:tcW w:w="1379" w:type="pct"/>
            <w:shd w:val="clear" w:color="auto" w:fill="auto"/>
          </w:tcPr>
          <w:p w:rsidR="00AC2C19" w:rsidRPr="00CD354A" w:rsidRDefault="00AC2C19" w:rsidP="00AC2C19">
            <w:pPr>
              <w:pStyle w:val="BTEMEASMCA"/>
            </w:pPr>
          </w:p>
        </w:tc>
        <w:tc>
          <w:tcPr>
            <w:tcW w:w="807" w:type="pct"/>
            <w:shd w:val="clear" w:color="auto" w:fill="auto"/>
          </w:tcPr>
          <w:p w:rsidR="00AC2C19" w:rsidRPr="00CD354A" w:rsidRDefault="00AC2C19" w:rsidP="00AC2C19">
            <w:pPr>
              <w:pStyle w:val="BTEMEASMCA"/>
            </w:pPr>
            <w:r w:rsidRPr="00CD354A">
              <w:t>Viduriavimas</w:t>
            </w:r>
          </w:p>
          <w:p w:rsidR="00AC2C19" w:rsidRPr="00CD354A" w:rsidRDefault="00AC2C19" w:rsidP="00AC2C19">
            <w:pPr>
              <w:pStyle w:val="BTEMEASMCA"/>
            </w:pPr>
            <w:r w:rsidRPr="00CD354A">
              <w:t>Pykinimas</w:t>
            </w:r>
          </w:p>
          <w:p w:rsidR="00AC2C19" w:rsidRPr="00CD354A" w:rsidRDefault="00AC2C19" w:rsidP="00AC2C19">
            <w:pPr>
              <w:pStyle w:val="BTEMEASMCA"/>
            </w:pPr>
            <w:r w:rsidRPr="00CD354A">
              <w:t>Vėmimas</w:t>
            </w:r>
          </w:p>
        </w:tc>
        <w:tc>
          <w:tcPr>
            <w:tcW w:w="846" w:type="pct"/>
            <w:shd w:val="clear" w:color="auto" w:fill="auto"/>
          </w:tcPr>
          <w:p w:rsidR="00AC2C19" w:rsidRPr="00CD354A" w:rsidRDefault="00AC2C19" w:rsidP="00AC2C19">
            <w:pPr>
              <w:pStyle w:val="BTEMEASMCA"/>
            </w:pPr>
          </w:p>
        </w:tc>
        <w:tc>
          <w:tcPr>
            <w:tcW w:w="1209" w:type="pct"/>
            <w:shd w:val="clear" w:color="auto" w:fill="auto"/>
          </w:tcPr>
          <w:p w:rsidR="00AC2C19" w:rsidRPr="00CD354A" w:rsidRDefault="00AC2C19" w:rsidP="00AC2C19">
            <w:pPr>
              <w:pStyle w:val="BTEMEASMCA"/>
            </w:pPr>
            <w:r w:rsidRPr="00CD354A">
              <w:t>Pseudomembraninis kolitas</w:t>
            </w:r>
            <w:r>
              <w:t>*</w:t>
            </w:r>
          </w:p>
        </w:tc>
      </w:tr>
      <w:tr w:rsidR="00AC2C19" w:rsidRPr="00CD354A">
        <w:tc>
          <w:tcPr>
            <w:tcW w:w="758" w:type="pct"/>
            <w:shd w:val="clear" w:color="auto" w:fill="auto"/>
          </w:tcPr>
          <w:p w:rsidR="00AC2C19" w:rsidRPr="00CD354A" w:rsidRDefault="00AC2C19" w:rsidP="00AC2C19">
            <w:pPr>
              <w:pStyle w:val="BTEMEASMCA"/>
            </w:pPr>
            <w:r w:rsidRPr="00CD354A">
              <w:t>Kepenų, tulžies pūslės ir latakų sutrikimai</w:t>
            </w:r>
          </w:p>
        </w:tc>
        <w:tc>
          <w:tcPr>
            <w:tcW w:w="1379" w:type="pct"/>
            <w:shd w:val="clear" w:color="auto" w:fill="auto"/>
          </w:tcPr>
          <w:p w:rsidR="00AC2C19" w:rsidRPr="00CD354A" w:rsidRDefault="00AC2C19" w:rsidP="00AC2C19">
            <w:pPr>
              <w:spacing w:line="240" w:lineRule="auto"/>
              <w:rPr>
                <w:lang w:val="lt-LT"/>
              </w:rPr>
            </w:pPr>
            <w:r w:rsidRPr="00CD354A">
              <w:rPr>
                <w:lang w:val="lt-LT"/>
              </w:rPr>
              <w:t>Alaninaminotransferazės aktyvumo padidėjimas</w:t>
            </w:r>
            <w:r w:rsidRPr="00CD354A">
              <w:t>†</w:t>
            </w:r>
          </w:p>
          <w:p w:rsidR="00AC2C19" w:rsidRPr="00CD354A" w:rsidRDefault="00AC2C19" w:rsidP="00AC2C19">
            <w:pPr>
              <w:spacing w:line="240" w:lineRule="auto"/>
              <w:rPr>
                <w:lang w:val="lt-LT"/>
              </w:rPr>
            </w:pPr>
            <w:r w:rsidRPr="00CD354A">
              <w:rPr>
                <w:lang w:val="lt-LT"/>
              </w:rPr>
              <w:t>Aspartataminotransferazės aktyvumo padidėjimas</w:t>
            </w:r>
            <w:r w:rsidRPr="00CD354A">
              <w:t>†</w:t>
            </w:r>
          </w:p>
          <w:p w:rsidR="00AC2C19" w:rsidRPr="00CD354A" w:rsidRDefault="00AC2C19" w:rsidP="00AC2C19">
            <w:pPr>
              <w:spacing w:line="240" w:lineRule="auto"/>
              <w:rPr>
                <w:lang w:val="lt-LT"/>
              </w:rPr>
            </w:pPr>
            <w:r w:rsidRPr="00CD354A">
              <w:rPr>
                <w:lang w:val="lt-LT"/>
              </w:rPr>
              <w:t xml:space="preserve">Šarminės </w:t>
            </w:r>
            <w:proofErr w:type="spellStart"/>
            <w:r w:rsidRPr="00CD354A">
              <w:rPr>
                <w:lang w:val="lt-LT"/>
              </w:rPr>
              <w:t>fosfatazės</w:t>
            </w:r>
            <w:proofErr w:type="spellEnd"/>
            <w:r w:rsidRPr="00CD354A">
              <w:rPr>
                <w:lang w:val="lt-LT"/>
              </w:rPr>
              <w:t xml:space="preserve"> aktyvumo padidėjimas kraujyje†</w:t>
            </w:r>
          </w:p>
        </w:tc>
        <w:tc>
          <w:tcPr>
            <w:tcW w:w="807" w:type="pct"/>
            <w:shd w:val="clear" w:color="auto" w:fill="auto"/>
          </w:tcPr>
          <w:p w:rsidR="00AC2C19" w:rsidRPr="00CD354A" w:rsidRDefault="00AC2C19" w:rsidP="00AC2C19">
            <w:pPr>
              <w:pStyle w:val="BTEMEASMCA"/>
            </w:pPr>
            <w:r w:rsidRPr="00CD354A">
              <w:t>Bilirubino koncentracijos kraujyje padidėjimas†</w:t>
            </w:r>
          </w:p>
        </w:tc>
        <w:tc>
          <w:tcPr>
            <w:tcW w:w="846" w:type="pct"/>
            <w:shd w:val="clear" w:color="auto" w:fill="auto"/>
          </w:tcPr>
          <w:p w:rsidR="00AC2C19" w:rsidRPr="00CD354A" w:rsidRDefault="00AC2C19" w:rsidP="00AC2C19">
            <w:pPr>
              <w:pStyle w:val="BTEMEASMCA"/>
            </w:pPr>
          </w:p>
        </w:tc>
        <w:tc>
          <w:tcPr>
            <w:tcW w:w="1209" w:type="pct"/>
            <w:shd w:val="clear" w:color="auto" w:fill="auto"/>
          </w:tcPr>
          <w:p w:rsidR="00AC2C19" w:rsidRPr="00CD354A" w:rsidRDefault="00AC2C19" w:rsidP="00AC2C19">
            <w:pPr>
              <w:pStyle w:val="BTEMEASMCA"/>
              <w:rPr>
                <w:highlight w:val="yellow"/>
              </w:rPr>
            </w:pPr>
            <w:r w:rsidRPr="00CD354A">
              <w:t>Gelta</w:t>
            </w:r>
            <w:r>
              <w:t>*</w:t>
            </w:r>
          </w:p>
        </w:tc>
      </w:tr>
      <w:tr w:rsidR="00AC2C19" w:rsidRPr="00CD354A">
        <w:tc>
          <w:tcPr>
            <w:tcW w:w="758" w:type="pct"/>
            <w:shd w:val="clear" w:color="auto" w:fill="auto"/>
          </w:tcPr>
          <w:p w:rsidR="00AC2C19" w:rsidRPr="00CD354A" w:rsidRDefault="00AC2C19" w:rsidP="00AC2C19">
            <w:pPr>
              <w:pStyle w:val="BTEMEASMCA"/>
            </w:pPr>
            <w:r w:rsidRPr="00CD354A">
              <w:t>Odos ir poodinio audinio sutrikimai</w:t>
            </w:r>
          </w:p>
        </w:tc>
        <w:tc>
          <w:tcPr>
            <w:tcW w:w="1379" w:type="pct"/>
            <w:shd w:val="clear" w:color="auto" w:fill="auto"/>
          </w:tcPr>
          <w:p w:rsidR="00AC2C19" w:rsidRPr="00CD354A" w:rsidRDefault="00AC2C19" w:rsidP="00AC2C19">
            <w:pPr>
              <w:pStyle w:val="BTEMEASMCA"/>
            </w:pPr>
          </w:p>
        </w:tc>
        <w:tc>
          <w:tcPr>
            <w:tcW w:w="807" w:type="pct"/>
            <w:shd w:val="clear" w:color="auto" w:fill="auto"/>
          </w:tcPr>
          <w:p w:rsidR="00AC2C19" w:rsidRPr="00CD354A" w:rsidRDefault="00AC2C19" w:rsidP="00AC2C19">
            <w:pPr>
              <w:pStyle w:val="BTEMEASMCA"/>
            </w:pPr>
          </w:p>
        </w:tc>
        <w:tc>
          <w:tcPr>
            <w:tcW w:w="846" w:type="pct"/>
            <w:shd w:val="clear" w:color="auto" w:fill="auto"/>
          </w:tcPr>
          <w:p w:rsidR="00AC2C19" w:rsidRPr="00CD354A" w:rsidRDefault="00AC2C19" w:rsidP="00AC2C19">
            <w:pPr>
              <w:pStyle w:val="BTEMEASMCA"/>
            </w:pPr>
            <w:r w:rsidRPr="00CD354A">
              <w:t>Dilgėlinė</w:t>
            </w:r>
          </w:p>
          <w:p w:rsidR="00AC2C19" w:rsidRPr="00CD354A" w:rsidRDefault="00AC2C19" w:rsidP="00AC2C19">
            <w:pPr>
              <w:pStyle w:val="BTEMEASMCA"/>
            </w:pPr>
            <w:r w:rsidRPr="00CD354A">
              <w:t>Niežulys</w:t>
            </w:r>
          </w:p>
        </w:tc>
        <w:tc>
          <w:tcPr>
            <w:tcW w:w="1209" w:type="pct"/>
            <w:shd w:val="clear" w:color="auto" w:fill="auto"/>
          </w:tcPr>
          <w:p w:rsidR="00AC2C19" w:rsidRPr="00CD354A" w:rsidRDefault="00AC2C19" w:rsidP="00AC2C19">
            <w:pPr>
              <w:spacing w:line="240" w:lineRule="auto"/>
              <w:rPr>
                <w:lang w:val="lt-LT"/>
              </w:rPr>
            </w:pPr>
            <w:r w:rsidRPr="00CD354A">
              <w:rPr>
                <w:lang w:val="lt-LT"/>
              </w:rPr>
              <w:t xml:space="preserve">Toksinė epidermio </w:t>
            </w:r>
            <w:proofErr w:type="spellStart"/>
            <w:r w:rsidRPr="00CD354A">
              <w:rPr>
                <w:lang w:val="lt-LT"/>
              </w:rPr>
              <w:t>nekrolizė</w:t>
            </w:r>
            <w:proofErr w:type="spellEnd"/>
            <w:r>
              <w:rPr>
                <w:lang w:val="lt-LT"/>
              </w:rPr>
              <w:t>*</w:t>
            </w:r>
            <w:r w:rsidRPr="00CD354A">
              <w:rPr>
                <w:vertAlign w:val="superscript"/>
              </w:rPr>
              <w:t>§</w:t>
            </w:r>
          </w:p>
          <w:p w:rsidR="00AC2C19" w:rsidRPr="00CD354A" w:rsidRDefault="00AC2C19" w:rsidP="00AC2C19">
            <w:pPr>
              <w:spacing w:line="240" w:lineRule="auto"/>
              <w:rPr>
                <w:lang w:val="lt-LT"/>
              </w:rPr>
            </w:pPr>
            <w:proofErr w:type="spellStart"/>
            <w:r w:rsidRPr="00CD354A">
              <w:rPr>
                <w:i/>
                <w:lang w:val="lt-LT"/>
              </w:rPr>
              <w:t>Stevens-Johnson</w:t>
            </w:r>
            <w:proofErr w:type="spellEnd"/>
            <w:r w:rsidRPr="00CD354A">
              <w:rPr>
                <w:lang w:val="lt-LT"/>
              </w:rPr>
              <w:t xml:space="preserve"> sindromas</w:t>
            </w:r>
            <w:r>
              <w:rPr>
                <w:lang w:val="lt-LT"/>
              </w:rPr>
              <w:t>*</w:t>
            </w:r>
            <w:r w:rsidRPr="00CD354A">
              <w:rPr>
                <w:vertAlign w:val="superscript"/>
              </w:rPr>
              <w:t>§</w:t>
            </w:r>
          </w:p>
          <w:p w:rsidR="00AC2C19" w:rsidRPr="006872D7" w:rsidRDefault="00AC2C19" w:rsidP="00AC2C19">
            <w:pPr>
              <w:pStyle w:val="BTEMEASMCA"/>
            </w:pPr>
            <w:r w:rsidRPr="008702E2">
              <w:t>Eksfoliacinis dermatitas*</w:t>
            </w:r>
            <w:r w:rsidRPr="008702E2">
              <w:rPr>
                <w:vertAlign w:val="superscript"/>
              </w:rPr>
              <w:t>§</w:t>
            </w:r>
          </w:p>
          <w:p w:rsidR="00AC2C19" w:rsidRPr="00CD354A" w:rsidRDefault="00AC2C19" w:rsidP="00AC2C19">
            <w:pPr>
              <w:pStyle w:val="BTEMEASMCA"/>
              <w:rPr>
                <w:highlight w:val="yellow"/>
              </w:rPr>
            </w:pPr>
            <w:r w:rsidRPr="00CD354A">
              <w:t>Makulopapulinis bėrimas</w:t>
            </w:r>
            <w:r>
              <w:t>*</w:t>
            </w:r>
          </w:p>
          <w:p w:rsidR="00AC2C19" w:rsidRPr="00CD354A" w:rsidRDefault="00AC2C19" w:rsidP="00AC2C19">
            <w:pPr>
              <w:spacing w:line="240" w:lineRule="auto"/>
              <w:rPr>
                <w:lang w:val="lt-LT"/>
              </w:rPr>
            </w:pPr>
          </w:p>
        </w:tc>
      </w:tr>
      <w:tr w:rsidR="00AC2C19" w:rsidRPr="00CD354A">
        <w:tc>
          <w:tcPr>
            <w:tcW w:w="758" w:type="pct"/>
            <w:shd w:val="clear" w:color="auto" w:fill="auto"/>
          </w:tcPr>
          <w:p w:rsidR="00AC2C19" w:rsidRPr="00CD354A" w:rsidRDefault="00AC2C19" w:rsidP="00AC2C19">
            <w:pPr>
              <w:pStyle w:val="BTEMEASMCA"/>
            </w:pPr>
            <w:r w:rsidRPr="00CD354A">
              <w:t>Inkstų ir šlapimo takų sutrikimai</w:t>
            </w:r>
          </w:p>
        </w:tc>
        <w:tc>
          <w:tcPr>
            <w:tcW w:w="1379" w:type="pct"/>
            <w:shd w:val="clear" w:color="auto" w:fill="auto"/>
          </w:tcPr>
          <w:p w:rsidR="00AC2C19" w:rsidRPr="00CD354A" w:rsidRDefault="00AC2C19" w:rsidP="00AC2C19">
            <w:pPr>
              <w:pStyle w:val="BTEMEASMCA"/>
            </w:pPr>
          </w:p>
        </w:tc>
        <w:tc>
          <w:tcPr>
            <w:tcW w:w="807" w:type="pct"/>
            <w:shd w:val="clear" w:color="auto" w:fill="auto"/>
          </w:tcPr>
          <w:p w:rsidR="00AC2C19" w:rsidRPr="00CD354A" w:rsidRDefault="00AC2C19" w:rsidP="00AC2C19">
            <w:pPr>
              <w:pStyle w:val="BTEMEASMCA"/>
            </w:pPr>
          </w:p>
        </w:tc>
        <w:tc>
          <w:tcPr>
            <w:tcW w:w="846" w:type="pct"/>
            <w:shd w:val="clear" w:color="auto" w:fill="auto"/>
          </w:tcPr>
          <w:p w:rsidR="00AC2C19" w:rsidRPr="00CD354A" w:rsidRDefault="00AC2C19" w:rsidP="00AC2C19">
            <w:pPr>
              <w:pStyle w:val="BTEMEASMCA"/>
            </w:pPr>
          </w:p>
        </w:tc>
        <w:tc>
          <w:tcPr>
            <w:tcW w:w="1209" w:type="pct"/>
            <w:shd w:val="clear" w:color="auto" w:fill="auto"/>
          </w:tcPr>
          <w:p w:rsidR="00AC2C19" w:rsidRPr="00CD354A" w:rsidRDefault="00AC2C19" w:rsidP="00AC2C19">
            <w:pPr>
              <w:spacing w:line="240" w:lineRule="auto"/>
              <w:rPr>
                <w:i/>
                <w:lang w:val="lt-LT"/>
              </w:rPr>
            </w:pPr>
            <w:proofErr w:type="spellStart"/>
            <w:r w:rsidRPr="00CD354A">
              <w:rPr>
                <w:lang w:val="lt-LT"/>
              </w:rPr>
              <w:t>Hematurija</w:t>
            </w:r>
            <w:proofErr w:type="spellEnd"/>
            <w:r>
              <w:rPr>
                <w:lang w:val="lt-LT"/>
              </w:rPr>
              <w:t>*</w:t>
            </w:r>
          </w:p>
          <w:p w:rsidR="00AC2C19" w:rsidRPr="00CD354A" w:rsidRDefault="00AC2C19" w:rsidP="00AC2C19">
            <w:pPr>
              <w:spacing w:line="240" w:lineRule="auto"/>
              <w:rPr>
                <w:lang w:val="lt-LT"/>
              </w:rPr>
            </w:pPr>
          </w:p>
        </w:tc>
      </w:tr>
      <w:tr w:rsidR="00AC2C19" w:rsidRPr="00CD354A">
        <w:tc>
          <w:tcPr>
            <w:tcW w:w="758" w:type="pct"/>
            <w:shd w:val="clear" w:color="auto" w:fill="auto"/>
          </w:tcPr>
          <w:p w:rsidR="00AC2C19" w:rsidRPr="00CD354A" w:rsidRDefault="00AC2C19" w:rsidP="00AC2C19">
            <w:pPr>
              <w:pStyle w:val="BTEMEASMCA"/>
            </w:pPr>
            <w:r w:rsidRPr="00CD354A">
              <w:t>Bendrieji sutrikimai ir vartojimo vietos pažeidimai</w:t>
            </w:r>
          </w:p>
        </w:tc>
        <w:tc>
          <w:tcPr>
            <w:tcW w:w="1379" w:type="pct"/>
            <w:shd w:val="clear" w:color="auto" w:fill="auto"/>
          </w:tcPr>
          <w:p w:rsidR="00AC2C19" w:rsidRPr="00CD354A" w:rsidRDefault="00AC2C19" w:rsidP="00AC2C19">
            <w:pPr>
              <w:pStyle w:val="BTEMEASMCA"/>
            </w:pPr>
          </w:p>
        </w:tc>
        <w:tc>
          <w:tcPr>
            <w:tcW w:w="807" w:type="pct"/>
            <w:shd w:val="clear" w:color="auto" w:fill="auto"/>
          </w:tcPr>
          <w:p w:rsidR="00AC2C19" w:rsidRPr="00CD354A" w:rsidRDefault="00AC2C19" w:rsidP="00AC2C19">
            <w:pPr>
              <w:pStyle w:val="BTEMEASMCA"/>
            </w:pPr>
          </w:p>
        </w:tc>
        <w:tc>
          <w:tcPr>
            <w:tcW w:w="846" w:type="pct"/>
            <w:shd w:val="clear" w:color="auto" w:fill="auto"/>
          </w:tcPr>
          <w:p w:rsidR="00AC2C19" w:rsidRPr="00CD354A" w:rsidRDefault="00AC2C19" w:rsidP="00AC2C19">
            <w:pPr>
              <w:pStyle w:val="BTEMEASMCA"/>
            </w:pPr>
            <w:r w:rsidRPr="00CD354A">
              <w:t>Kateterizavimo vietos flebitas</w:t>
            </w:r>
          </w:p>
          <w:p w:rsidR="00AC2C19" w:rsidRPr="00CD354A" w:rsidRDefault="00AC2C19" w:rsidP="00AC2C19">
            <w:pPr>
              <w:pStyle w:val="BTEMEASMCA"/>
            </w:pPr>
            <w:r w:rsidRPr="00CD354A">
              <w:t>Skausmas injekcijos vietoje</w:t>
            </w:r>
          </w:p>
          <w:p w:rsidR="00AC2C19" w:rsidRPr="00CD354A" w:rsidRDefault="00AC2C19" w:rsidP="00AC2C19">
            <w:pPr>
              <w:pStyle w:val="BTEMEASMCA"/>
            </w:pPr>
            <w:r w:rsidRPr="00CD354A">
              <w:t>Karščiavimas</w:t>
            </w:r>
          </w:p>
          <w:p w:rsidR="00AC2C19" w:rsidRPr="00CD354A" w:rsidRDefault="00AC2C19" w:rsidP="00AC2C19">
            <w:pPr>
              <w:spacing w:line="240" w:lineRule="auto"/>
              <w:rPr>
                <w:lang w:val="lt-LT"/>
              </w:rPr>
            </w:pPr>
            <w:proofErr w:type="spellStart"/>
            <w:r w:rsidRPr="00CD354A">
              <w:rPr>
                <w:lang w:val="lt-LT"/>
              </w:rPr>
              <w:t>Šaltkrėtis</w:t>
            </w:r>
            <w:proofErr w:type="spellEnd"/>
          </w:p>
        </w:tc>
        <w:tc>
          <w:tcPr>
            <w:tcW w:w="1209" w:type="pct"/>
            <w:shd w:val="clear" w:color="auto" w:fill="auto"/>
          </w:tcPr>
          <w:p w:rsidR="00AC2C19" w:rsidRPr="00CD354A" w:rsidRDefault="00AC2C19" w:rsidP="00AC2C19">
            <w:pPr>
              <w:spacing w:line="240" w:lineRule="auto"/>
              <w:rPr>
                <w:lang w:val="lt-LT"/>
              </w:rPr>
            </w:pPr>
          </w:p>
        </w:tc>
      </w:tr>
    </w:tbl>
    <w:p w:rsidR="00AC2C19" w:rsidRDefault="00AC2C19" w:rsidP="00AC2C19">
      <w:pPr>
        <w:spacing w:line="240" w:lineRule="auto"/>
        <w:rPr>
          <w:lang w:val="lt-LT"/>
        </w:rPr>
      </w:pPr>
    </w:p>
    <w:p w:rsidR="00AC2C19" w:rsidRPr="00CD354A" w:rsidRDefault="00AC2C19" w:rsidP="00AC2C19">
      <w:pPr>
        <w:spacing w:line="240" w:lineRule="auto"/>
        <w:rPr>
          <w:lang w:val="lt-LT"/>
        </w:rPr>
      </w:pPr>
      <w:r w:rsidRPr="008702E2">
        <w:rPr>
          <w:lang w:val="lt-LT"/>
        </w:rPr>
        <w:t>* Nepageidaujamos reakcijos, nustatytos po vaistinio preparato pateikimo į rinką.</w:t>
      </w:r>
    </w:p>
    <w:p w:rsidR="00AC2C19" w:rsidRPr="00CD354A" w:rsidRDefault="00AC2C19" w:rsidP="00AC2C19">
      <w:pPr>
        <w:pStyle w:val="TableText"/>
        <w:rPr>
          <w:rFonts w:cs="Times New Roman"/>
          <w:sz w:val="22"/>
          <w:szCs w:val="22"/>
          <w:lang w:val="lt-LT"/>
        </w:rPr>
      </w:pPr>
      <w:r w:rsidRPr="00CD354A">
        <w:rPr>
          <w:rFonts w:cs="Times New Roman"/>
          <w:sz w:val="22"/>
          <w:szCs w:val="22"/>
          <w:lang w:val="lt-LT"/>
        </w:rPr>
        <w:t>† Skaičiuojant su nenormaliais laboratorinių tyrimų rodmenimis susijusių nepageidaujamų reakcijų dažnį, buvo įtraukti visi turimi laboratoriniai rodmenys, įskaitant pacientų rodmenis, kurie nebuvo normalūs nuo pradžių. Tokio atsargaus požiūrio buvo laikomasi atsižvelgiant į tai, kad, remiantis pirminiais rodmenimis, nebuvo galima išskirti tiriamųjų, kuriems jau iš pradžių buvo reikšmingų laboratorinių rodmenų pokyčių, kuriuos reikėjo gydyti, ir tiriamųjų, kurių iš pradžių buvę laboratorinių rodmenų pokyčiai nebuvo reikšmingi ir jų nereikėjo gydyti.</w:t>
      </w:r>
    </w:p>
    <w:p w:rsidR="00AC2C19" w:rsidRPr="00CD354A" w:rsidRDefault="00AC2C19" w:rsidP="00AC2C19">
      <w:pPr>
        <w:spacing w:line="240" w:lineRule="auto"/>
        <w:rPr>
          <w:lang w:val="lt-LT"/>
        </w:rPr>
      </w:pPr>
      <w:r w:rsidRPr="00CD354A">
        <w:rPr>
          <w:lang w:val="lt-LT"/>
        </w:rPr>
        <w:t xml:space="preserve">Vieninteliai nenormalūs laboratoriniai rodmenys, apie kuriuos pranešta tyrimų metu, yra nenormalūs leukocitų, </w:t>
      </w:r>
      <w:proofErr w:type="spellStart"/>
      <w:r w:rsidRPr="00CD354A">
        <w:rPr>
          <w:lang w:val="lt-LT"/>
        </w:rPr>
        <w:t>neutrofilų</w:t>
      </w:r>
      <w:proofErr w:type="spellEnd"/>
      <w:r w:rsidRPr="00CD354A">
        <w:rPr>
          <w:lang w:val="lt-LT"/>
        </w:rPr>
        <w:t xml:space="preserve">, trombocitų, hemoglobino ir </w:t>
      </w:r>
      <w:proofErr w:type="spellStart"/>
      <w:r w:rsidRPr="00CD354A">
        <w:rPr>
          <w:lang w:val="lt-LT"/>
        </w:rPr>
        <w:t>hematokrito</w:t>
      </w:r>
      <w:proofErr w:type="spellEnd"/>
      <w:r w:rsidRPr="00CD354A">
        <w:rPr>
          <w:lang w:val="lt-LT"/>
        </w:rPr>
        <w:t xml:space="preserve"> rodmenys. Į tai, ar rodmuo padidėjo, ar sumažėjo, atsižvelgiama nebuvo.</w:t>
      </w:r>
    </w:p>
    <w:p w:rsidR="00AC2C19" w:rsidRPr="00CD354A" w:rsidRDefault="00AC2C19" w:rsidP="00AC2C19">
      <w:pPr>
        <w:spacing w:line="240" w:lineRule="auto"/>
        <w:rPr>
          <w:lang w:val="lt-LT"/>
        </w:rPr>
      </w:pPr>
      <w:r w:rsidRPr="00CD354A">
        <w:rPr>
          <w:lang w:val="lt-LT"/>
        </w:rPr>
        <w:t>§ Pranešta apie mirties atvejus.</w:t>
      </w:r>
    </w:p>
    <w:p w:rsidR="00AC2C19" w:rsidRPr="00CD354A" w:rsidRDefault="00AC2C19" w:rsidP="00AC2C19">
      <w:pPr>
        <w:spacing w:line="240" w:lineRule="auto"/>
        <w:rPr>
          <w:lang w:val="lt-LT"/>
        </w:rPr>
      </w:pPr>
    </w:p>
    <w:p w:rsidR="00AC2C19" w:rsidRPr="00CD354A" w:rsidRDefault="00AC2C19" w:rsidP="00AC2C19">
      <w:pPr>
        <w:autoSpaceDE w:val="0"/>
        <w:autoSpaceDN w:val="0"/>
        <w:adjustRightInd w:val="0"/>
        <w:spacing w:line="240" w:lineRule="auto"/>
        <w:jc w:val="both"/>
        <w:rPr>
          <w:u w:val="single"/>
          <w:lang w:val="lt-LT"/>
        </w:rPr>
      </w:pPr>
      <w:r w:rsidRPr="00CD354A">
        <w:rPr>
          <w:noProof/>
          <w:u w:val="single"/>
          <w:lang w:val="lt-LT"/>
        </w:rPr>
        <w:t>Pranešimas apie įtariamas nepageidaujamas reakcijas</w:t>
      </w:r>
    </w:p>
    <w:p w:rsidR="00AC2C19" w:rsidRPr="00B34FA1" w:rsidRDefault="00AC2C19" w:rsidP="00AC2C19">
      <w:pPr>
        <w:autoSpaceDE w:val="0"/>
        <w:autoSpaceDN w:val="0"/>
        <w:adjustRightInd w:val="0"/>
        <w:spacing w:line="240" w:lineRule="auto"/>
        <w:jc w:val="both"/>
        <w:rPr>
          <w:noProof/>
          <w:szCs w:val="24"/>
          <w:lang w:val="lt-LT"/>
        </w:rPr>
      </w:pPr>
      <w:r w:rsidRPr="00CD354A">
        <w:rPr>
          <w:noProof/>
          <w:lang w:val="lt-LT"/>
        </w:rPr>
        <w:t xml:space="preserve">Svarbu pranešti apie įtariamas nepageidaujamas reakcijas, pastebėtas po vaistinio preparato </w:t>
      </w:r>
      <w:r w:rsidRPr="000A79DC">
        <w:rPr>
          <w:noProof/>
          <w:szCs w:val="24"/>
          <w:lang w:val="lt-LT"/>
        </w:rPr>
        <w:t>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10" w:history="1">
        <w:r w:rsidRPr="00A92533">
          <w:rPr>
            <w:rStyle w:val="Hipersaitas"/>
            <w:rFonts w:eastAsia="SimSun"/>
            <w:noProof/>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11" w:history="1">
        <w:r w:rsidRPr="00A92533">
          <w:rPr>
            <w:rStyle w:val="Hipersaitas"/>
            <w:rFonts w:eastAsia="SimSun"/>
            <w:noProof/>
            <w:lang w:val="lt-LT"/>
          </w:rPr>
          <w:t>NepageidaujamaR@vvkt.lt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 xml:space="preserve">adresu </w:t>
      </w:r>
      <w:hyperlink r:id="rId12" w:history="1">
        <w:r w:rsidR="000B7544" w:rsidRPr="00506E4C">
          <w:rPr>
            <w:rStyle w:val="Hipersaitas"/>
            <w:noProof/>
            <w:szCs w:val="24"/>
            <w:lang w:val="lt-LT"/>
          </w:rPr>
          <w:t>http://www.vvkt.lt</w:t>
        </w:r>
      </w:hyperlink>
      <w:r w:rsidRPr="001F10B8">
        <w:rPr>
          <w:noProof/>
          <w:szCs w:val="24"/>
          <w:lang w:val="lt-LT"/>
        </w:rPr>
        <w:t>)</w:t>
      </w:r>
      <w:r>
        <w:rPr>
          <w:noProof/>
          <w:szCs w:val="24"/>
          <w:lang w:val="lt-LT"/>
        </w:rPr>
        <w:t>.</w:t>
      </w:r>
    </w:p>
    <w:p w:rsidR="00AC2C19" w:rsidRPr="00CD354A" w:rsidRDefault="00AC2C19" w:rsidP="00AC2C19">
      <w:pPr>
        <w:spacing w:line="240" w:lineRule="auto"/>
        <w:rPr>
          <w:lang w:val="lt-LT"/>
        </w:rPr>
      </w:pPr>
    </w:p>
    <w:p w:rsidR="00AC2C19" w:rsidRPr="00CD354A" w:rsidRDefault="00AC2C19" w:rsidP="00AC2C19">
      <w:pPr>
        <w:spacing w:line="240" w:lineRule="auto"/>
        <w:ind w:left="540" w:hanging="540"/>
        <w:rPr>
          <w:b/>
          <w:lang w:val="lt-LT"/>
        </w:rPr>
      </w:pPr>
      <w:bookmarkStart w:id="35" w:name="_Toc129243110"/>
      <w:bookmarkStart w:id="36" w:name="_Toc129243235"/>
      <w:bookmarkStart w:id="37" w:name="OLE_LINK1"/>
      <w:r w:rsidRPr="00CD354A">
        <w:rPr>
          <w:b/>
          <w:lang w:val="lt-LT"/>
        </w:rPr>
        <w:t>4.9</w:t>
      </w:r>
      <w:r w:rsidRPr="00CD354A">
        <w:rPr>
          <w:b/>
          <w:lang w:val="lt-LT"/>
        </w:rPr>
        <w:tab/>
        <w:t>Perdozavimas</w:t>
      </w:r>
      <w:bookmarkEnd w:id="35"/>
      <w:bookmarkEnd w:id="36"/>
    </w:p>
    <w:bookmarkEnd w:id="37"/>
    <w:p w:rsidR="00AC2C19" w:rsidRPr="00CD354A" w:rsidRDefault="00AC2C19" w:rsidP="00AC2C19">
      <w:pPr>
        <w:pStyle w:val="BTEMEASMCA"/>
      </w:pPr>
    </w:p>
    <w:p w:rsidR="00AC2C19" w:rsidRPr="00CD354A" w:rsidRDefault="00AC2C19" w:rsidP="00AC2C19">
      <w:pPr>
        <w:pStyle w:val="BTEMEASMCA"/>
      </w:pPr>
      <w:r w:rsidRPr="00CD354A">
        <w:t xml:space="preserve">Duomenų apie natrio cefoperazono ir natrio sulbaktamo ūminį toksiškumą žmonėms yra nedaug. Perdozuotas šis vaistinis preparatas turėtų sukelti </w:t>
      </w:r>
      <w:r>
        <w:t>simptomus ir požymius</w:t>
      </w:r>
      <w:r w:rsidRPr="00CD354A">
        <w:t>, atspindinči</w:t>
      </w:r>
      <w:r>
        <w:t>us</w:t>
      </w:r>
      <w:r w:rsidRPr="00CD354A">
        <w:t xml:space="preserve"> sustiprėjusi</w:t>
      </w:r>
      <w:r>
        <w:t>a</w:t>
      </w:r>
      <w:r w:rsidRPr="00CD354A">
        <w:t>s nepageidaujamo poveikio re</w:t>
      </w:r>
      <w:r>
        <w:t>akcijas</w:t>
      </w:r>
      <w:r w:rsidRPr="00CD354A">
        <w:t>. Reikia atsižvelgti į tai, kad smegenų skystyje susidariusi didelė beta-laktaminių antibiotikų koncentracija gali sukelti neurologinių sutrikimų ir net traukulius. Cefoperazonas ir sulbaktamas pasišalina iš kraujo hemodializės metu, todėl ši procedūra gali pagreitinti perdozuoto vaistinio preparato pasišalinimą pacientams, kurių inkstų funkcija sutrikusi.</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spacing w:line="240" w:lineRule="auto"/>
        <w:ind w:left="540" w:hanging="540"/>
        <w:rPr>
          <w:b/>
          <w:lang w:val="lt-LT"/>
        </w:rPr>
      </w:pPr>
      <w:bookmarkStart w:id="38" w:name="_Toc129243111"/>
      <w:bookmarkStart w:id="39" w:name="_Toc129243236"/>
      <w:r w:rsidRPr="00CD354A">
        <w:rPr>
          <w:b/>
          <w:lang w:val="lt-LT"/>
        </w:rPr>
        <w:t>5.</w:t>
      </w:r>
      <w:r w:rsidRPr="00CD354A">
        <w:rPr>
          <w:b/>
          <w:lang w:val="lt-LT"/>
        </w:rPr>
        <w:tab/>
        <w:t>FARMAKOLOGINĖS SAVYBĖS</w:t>
      </w:r>
      <w:bookmarkEnd w:id="38"/>
      <w:bookmarkEnd w:id="39"/>
    </w:p>
    <w:p w:rsidR="00AC2C19" w:rsidRPr="00CD354A" w:rsidRDefault="00AC2C19" w:rsidP="00AC2C19">
      <w:pPr>
        <w:spacing w:line="240" w:lineRule="auto"/>
        <w:rPr>
          <w:lang w:val="lt-LT"/>
        </w:rPr>
      </w:pPr>
    </w:p>
    <w:p w:rsidR="00AC2C19" w:rsidRPr="00CD354A" w:rsidRDefault="00AC2C19" w:rsidP="00AC2C19">
      <w:pPr>
        <w:spacing w:line="240" w:lineRule="auto"/>
        <w:ind w:left="540" w:hanging="540"/>
        <w:rPr>
          <w:b/>
          <w:lang w:val="lt-LT"/>
        </w:rPr>
      </w:pPr>
      <w:bookmarkStart w:id="40" w:name="_Toc129243112"/>
      <w:bookmarkStart w:id="41" w:name="_Toc129243237"/>
      <w:r w:rsidRPr="00CD354A">
        <w:rPr>
          <w:b/>
          <w:lang w:val="lt-LT"/>
        </w:rPr>
        <w:t>5.1</w:t>
      </w:r>
      <w:r w:rsidRPr="00CD354A">
        <w:rPr>
          <w:b/>
          <w:lang w:val="lt-LT"/>
        </w:rPr>
        <w:tab/>
      </w:r>
      <w:proofErr w:type="spellStart"/>
      <w:r w:rsidRPr="00CD354A">
        <w:rPr>
          <w:b/>
          <w:lang w:val="lt-LT"/>
        </w:rPr>
        <w:t>Farmakodinaminės</w:t>
      </w:r>
      <w:proofErr w:type="spellEnd"/>
      <w:r w:rsidRPr="00CD354A">
        <w:rPr>
          <w:b/>
          <w:lang w:val="lt-LT"/>
        </w:rPr>
        <w:t xml:space="preserve"> savybės</w:t>
      </w:r>
      <w:bookmarkEnd w:id="40"/>
      <w:bookmarkEnd w:id="41"/>
    </w:p>
    <w:p w:rsidR="00AC2C19" w:rsidRPr="00CD354A" w:rsidRDefault="00AC2C19" w:rsidP="00AC2C19">
      <w:pPr>
        <w:pStyle w:val="BTEMEASMCA"/>
      </w:pPr>
    </w:p>
    <w:p w:rsidR="00AC2C19" w:rsidRPr="00CD354A" w:rsidRDefault="00AC2C19" w:rsidP="00AC2C19">
      <w:pPr>
        <w:pStyle w:val="BTEMEASMCA"/>
      </w:pPr>
      <w:r w:rsidRPr="00CD354A">
        <w:t>Farmakoterapinė grupė – antibakteriniai vaistiniai preparatai, ATC kodas – J01DD62.</w:t>
      </w:r>
    </w:p>
    <w:p w:rsidR="00AC2C19" w:rsidRPr="00CD354A" w:rsidRDefault="00AC2C19" w:rsidP="00AC2C19">
      <w:pPr>
        <w:pStyle w:val="BTEMEASMCA"/>
      </w:pPr>
    </w:p>
    <w:p w:rsidR="00AC2C19" w:rsidRPr="00CD354A" w:rsidRDefault="00AC2C19" w:rsidP="00AC2C19">
      <w:pPr>
        <w:pStyle w:val="BTEMEASMCA"/>
      </w:pPr>
      <w:r w:rsidRPr="00CD354A">
        <w:t xml:space="preserve">SULPERAZON antibakterinis komponentas cefoperazonas – tai trečiosios cefalosporinų kartos antibiotikas, kuris veikia besidauginančius jautrius mikroorganizmus (slopina ląstelės sienelės mukopeptido biosintezę). Sulbaktamas naudingo antibakterinio poveikio nesukelia (išskyrus </w:t>
      </w:r>
      <w:r w:rsidRPr="00CD354A">
        <w:rPr>
          <w:i/>
        </w:rPr>
        <w:t>Neisseriaceae</w:t>
      </w:r>
      <w:r w:rsidRPr="00CD354A">
        <w:t xml:space="preserve"> ir </w:t>
      </w:r>
      <w:r w:rsidRPr="00CD354A">
        <w:rPr>
          <w:i/>
        </w:rPr>
        <w:t>Acinetobacter</w:t>
      </w:r>
      <w:r w:rsidRPr="00CD354A">
        <w:t>). Su neląstelinėmis bakterinėmis sistemomis atliktų biocheminių tyrimų duomenimis, sulbaktamas negrįžtamai slopina daugumą svarbių beta laktamazių, kurias gamina beta laktaminiams antibiotikams atsparūs mikroorganizmai.</w:t>
      </w:r>
    </w:p>
    <w:p w:rsidR="00AC2C19" w:rsidRPr="00CD354A" w:rsidRDefault="00AC2C19" w:rsidP="00AC2C19">
      <w:pPr>
        <w:pStyle w:val="BTEMEASMCA"/>
      </w:pPr>
    </w:p>
    <w:p w:rsidR="00AC2C19" w:rsidRPr="00CD354A" w:rsidRDefault="00AC2C19" w:rsidP="00AC2C19">
      <w:pPr>
        <w:pStyle w:val="BTEMEASMCA"/>
      </w:pPr>
      <w:r w:rsidRPr="00CD354A">
        <w:t>Sulbaktamo geba apsaugoti penicilinus ir cefalosporinus nuo suardymo atsparių mikroorganizmų gaminamais fermentais patvirtinta tyrimais su nepažeistų bakterijų atspariomis padermėmis (nustatytas stiprus natrio sulbaktamo sinergizmas su penicilinais ir cefalosporinais). Be to, sulbaktamas jungiasi prie kai kurių penicilinus prijungiančių baltymų, todėl jautrūs štamai dažnai būna jautresni jo ir cefoperazono deriniui negu cefoperazonui atskirai.</w:t>
      </w:r>
    </w:p>
    <w:p w:rsidR="00AC2C19" w:rsidRPr="00CD354A" w:rsidRDefault="00AC2C19" w:rsidP="00AC2C19">
      <w:pPr>
        <w:pStyle w:val="BTEMEASMCA"/>
      </w:pPr>
    </w:p>
    <w:p w:rsidR="00AC2C19" w:rsidRPr="00CD354A" w:rsidRDefault="00AC2C19" w:rsidP="00AC2C19">
      <w:pPr>
        <w:spacing w:line="240" w:lineRule="auto"/>
        <w:rPr>
          <w:i/>
          <w:lang w:val="lt-LT"/>
        </w:rPr>
      </w:pPr>
      <w:r w:rsidRPr="00CD354A">
        <w:rPr>
          <w:i/>
          <w:lang w:val="lt-LT"/>
        </w:rPr>
        <w:t>Sudėtinis gydymas</w:t>
      </w:r>
    </w:p>
    <w:p w:rsidR="00AC2C19" w:rsidRPr="00CD354A" w:rsidRDefault="00AC2C19" w:rsidP="00AC2C19">
      <w:pPr>
        <w:pStyle w:val="BTEMEASMCA"/>
      </w:pPr>
      <w:r w:rsidRPr="00CD354A">
        <w:t>Sulbaktamo ir cefoperazono derinio veikimo spektras yra platus, todėl daugumai infekcinių ligų tinka monoterapija šiuo vaistiniu preparatu. Vis dėlto prireikus sulbaktamo ir cefoperazono derinį galima vartoti ir kartu su kitais antibiotikais.</w:t>
      </w:r>
    </w:p>
    <w:p w:rsidR="00AC2C19" w:rsidRPr="00CD354A" w:rsidRDefault="00AC2C19" w:rsidP="00AC2C19">
      <w:pPr>
        <w:pStyle w:val="BTEMEASMCA"/>
      </w:pPr>
    </w:p>
    <w:p w:rsidR="00AC2C19" w:rsidRPr="00CD354A" w:rsidRDefault="00AC2C19" w:rsidP="00AC2C19">
      <w:pPr>
        <w:pStyle w:val="BTEMEASMCA"/>
      </w:pPr>
      <w:r w:rsidRPr="00CD354A">
        <w:t>Sulbaktamo ir cefoperazono derinys veikia visus cefoperazonui jautrius mikroorganizmus. Be to, jis sinergistiškai (derinio mažiausia slopinamoji koncentracija (MSK), lyginant su atskirais komponentais, yra mažesnė iki 4 kartų) veikia įvairius mikroorganizmus, ypač:</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Haemophilus</w:t>
      </w:r>
      <w:proofErr w:type="spellEnd"/>
      <w:r w:rsidRPr="00CD354A">
        <w:rPr>
          <w:i/>
          <w:lang w:val="lt-LT"/>
        </w:rPr>
        <w:t xml:space="preserve"> </w:t>
      </w:r>
      <w:proofErr w:type="spellStart"/>
      <w:r w:rsidRPr="00CD354A">
        <w:rPr>
          <w:i/>
          <w:lang w:val="lt-LT"/>
        </w:rPr>
        <w:t>influenzae</w:t>
      </w:r>
      <w:proofErr w:type="spellEnd"/>
      <w:r w:rsidRPr="00CD354A">
        <w:rPr>
          <w:i/>
          <w:lang w:val="lt-LT"/>
        </w:rPr>
        <w:t>;</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Bacteroides</w:t>
      </w:r>
      <w:proofErr w:type="spellEnd"/>
      <w:r w:rsidRPr="00CD354A">
        <w:rPr>
          <w:i/>
          <w:lang w:val="lt-LT"/>
        </w:rPr>
        <w:t xml:space="preserve"> rūšis;</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Staphylococcus</w:t>
      </w:r>
      <w:proofErr w:type="spellEnd"/>
      <w:r w:rsidRPr="00CD354A">
        <w:rPr>
          <w:i/>
          <w:lang w:val="lt-LT"/>
        </w:rPr>
        <w:t xml:space="preserve"> rūšis;</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Acinetobacter</w:t>
      </w:r>
      <w:proofErr w:type="spellEnd"/>
      <w:r w:rsidRPr="00CD354A">
        <w:rPr>
          <w:i/>
          <w:lang w:val="lt-LT"/>
        </w:rPr>
        <w:t xml:space="preserve"> </w:t>
      </w:r>
      <w:proofErr w:type="spellStart"/>
      <w:r w:rsidRPr="00CD354A">
        <w:rPr>
          <w:i/>
          <w:lang w:val="lt-LT"/>
        </w:rPr>
        <w:t>calcoaceticus</w:t>
      </w:r>
      <w:proofErr w:type="spellEnd"/>
      <w:r w:rsidRPr="00CD354A">
        <w:rPr>
          <w:i/>
          <w:lang w:val="lt-LT"/>
        </w:rPr>
        <w:t>;</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Enterobacter</w:t>
      </w:r>
      <w:proofErr w:type="spellEnd"/>
      <w:r w:rsidRPr="00CD354A">
        <w:rPr>
          <w:i/>
          <w:lang w:val="lt-LT"/>
        </w:rPr>
        <w:t xml:space="preserve"> </w:t>
      </w:r>
      <w:proofErr w:type="spellStart"/>
      <w:r w:rsidRPr="00CD354A">
        <w:rPr>
          <w:i/>
          <w:lang w:val="lt-LT"/>
        </w:rPr>
        <w:t>aerogenes</w:t>
      </w:r>
      <w:proofErr w:type="spellEnd"/>
      <w:r w:rsidRPr="00CD354A">
        <w:rPr>
          <w:i/>
          <w:lang w:val="lt-LT"/>
        </w:rPr>
        <w:t>;</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Escherichia</w:t>
      </w:r>
      <w:proofErr w:type="spellEnd"/>
      <w:r w:rsidRPr="00CD354A">
        <w:rPr>
          <w:i/>
          <w:lang w:val="lt-LT"/>
        </w:rPr>
        <w:t xml:space="preserve"> coli;</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Proteus</w:t>
      </w:r>
      <w:proofErr w:type="spellEnd"/>
      <w:r w:rsidRPr="00CD354A">
        <w:rPr>
          <w:i/>
          <w:lang w:val="lt-LT"/>
        </w:rPr>
        <w:t xml:space="preserve"> </w:t>
      </w:r>
      <w:proofErr w:type="spellStart"/>
      <w:r w:rsidRPr="00CD354A">
        <w:rPr>
          <w:i/>
          <w:lang w:val="lt-LT"/>
        </w:rPr>
        <w:t>mirabilis</w:t>
      </w:r>
      <w:proofErr w:type="spellEnd"/>
      <w:r w:rsidRPr="00CD354A">
        <w:rPr>
          <w:i/>
          <w:lang w:val="lt-LT"/>
        </w:rPr>
        <w:t>;</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Klebsiella</w:t>
      </w:r>
      <w:proofErr w:type="spellEnd"/>
      <w:r w:rsidRPr="00CD354A">
        <w:rPr>
          <w:i/>
          <w:lang w:val="lt-LT"/>
        </w:rPr>
        <w:t xml:space="preserve"> </w:t>
      </w:r>
      <w:proofErr w:type="spellStart"/>
      <w:r w:rsidRPr="00CD354A">
        <w:rPr>
          <w:i/>
          <w:lang w:val="lt-LT"/>
        </w:rPr>
        <w:t>pneumoniae</w:t>
      </w:r>
      <w:proofErr w:type="spellEnd"/>
      <w:r w:rsidRPr="00CD354A">
        <w:rPr>
          <w:i/>
          <w:lang w:val="lt-LT"/>
        </w:rPr>
        <w:t>;</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Morganella</w:t>
      </w:r>
      <w:proofErr w:type="spellEnd"/>
      <w:r w:rsidRPr="00CD354A">
        <w:rPr>
          <w:i/>
          <w:lang w:val="lt-LT"/>
        </w:rPr>
        <w:t xml:space="preserve"> </w:t>
      </w:r>
      <w:proofErr w:type="spellStart"/>
      <w:r w:rsidRPr="00CD354A">
        <w:rPr>
          <w:i/>
          <w:lang w:val="lt-LT"/>
        </w:rPr>
        <w:t>morganii</w:t>
      </w:r>
      <w:proofErr w:type="spellEnd"/>
      <w:r w:rsidRPr="00CD354A">
        <w:rPr>
          <w:i/>
          <w:lang w:val="lt-LT"/>
        </w:rPr>
        <w:t>;</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Citrobacter</w:t>
      </w:r>
      <w:proofErr w:type="spellEnd"/>
      <w:r w:rsidRPr="00CD354A">
        <w:rPr>
          <w:i/>
          <w:lang w:val="lt-LT"/>
        </w:rPr>
        <w:t xml:space="preserve"> </w:t>
      </w:r>
      <w:proofErr w:type="spellStart"/>
      <w:r w:rsidRPr="00CD354A">
        <w:rPr>
          <w:i/>
          <w:lang w:val="lt-LT"/>
        </w:rPr>
        <w:t>freundii</w:t>
      </w:r>
      <w:proofErr w:type="spellEnd"/>
      <w:r w:rsidRPr="00CD354A">
        <w:rPr>
          <w:i/>
          <w:lang w:val="lt-LT"/>
        </w:rPr>
        <w:t>;</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Enterobacter</w:t>
      </w:r>
      <w:proofErr w:type="spellEnd"/>
      <w:r w:rsidRPr="00CD354A">
        <w:rPr>
          <w:i/>
          <w:lang w:val="lt-LT"/>
        </w:rPr>
        <w:t xml:space="preserve"> </w:t>
      </w:r>
      <w:proofErr w:type="spellStart"/>
      <w:r w:rsidRPr="00CD354A">
        <w:rPr>
          <w:i/>
          <w:lang w:val="lt-LT"/>
        </w:rPr>
        <w:t>cloacae</w:t>
      </w:r>
      <w:proofErr w:type="spellEnd"/>
      <w:r w:rsidRPr="00CD354A">
        <w:rPr>
          <w:i/>
          <w:lang w:val="lt-LT"/>
        </w:rPr>
        <w:t>;</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Citrobacter</w:t>
      </w:r>
      <w:proofErr w:type="spellEnd"/>
      <w:r w:rsidRPr="00CD354A">
        <w:rPr>
          <w:i/>
          <w:lang w:val="lt-LT"/>
        </w:rPr>
        <w:t xml:space="preserve"> </w:t>
      </w:r>
      <w:proofErr w:type="spellStart"/>
      <w:r w:rsidRPr="00CD354A">
        <w:rPr>
          <w:i/>
          <w:lang w:val="lt-LT"/>
        </w:rPr>
        <w:t>diversus</w:t>
      </w:r>
      <w:proofErr w:type="spellEnd"/>
      <w:r w:rsidRPr="00CD354A">
        <w:rPr>
          <w:i/>
          <w:lang w:val="lt-LT"/>
        </w:rPr>
        <w:t>.</w:t>
      </w:r>
    </w:p>
    <w:p w:rsidR="00AC2C19" w:rsidRPr="00CD354A" w:rsidRDefault="00AC2C19" w:rsidP="00AC2C19">
      <w:pPr>
        <w:pStyle w:val="BTEMEASMCA"/>
      </w:pPr>
    </w:p>
    <w:p w:rsidR="00AC2C19" w:rsidRPr="00CD354A" w:rsidRDefault="00AC2C19" w:rsidP="00AC2C19">
      <w:pPr>
        <w:pStyle w:val="BTEMEASMCA"/>
      </w:pPr>
      <w:r w:rsidRPr="00CD354A">
        <w:rPr>
          <w:i/>
          <w:iCs/>
        </w:rPr>
        <w:t>In vitro</w:t>
      </w:r>
      <w:r w:rsidRPr="00CD354A">
        <w:t xml:space="preserve"> sulbaktamo ir cefoperazono derinys veikia daugelį įvairių kliniškai svarbių mikroorganizmų.</w:t>
      </w:r>
    </w:p>
    <w:p w:rsidR="00AC2C19" w:rsidRPr="00CD354A" w:rsidRDefault="00AC2C19" w:rsidP="00AC2C19">
      <w:pPr>
        <w:pStyle w:val="BTEMEASMCA"/>
      </w:pPr>
    </w:p>
    <w:p w:rsidR="00AC2C19" w:rsidRPr="00CD354A" w:rsidRDefault="00AC2C19" w:rsidP="00AC2C19">
      <w:pPr>
        <w:spacing w:line="240" w:lineRule="auto"/>
        <w:rPr>
          <w:b/>
          <w:lang w:val="lt-LT"/>
        </w:rPr>
      </w:pPr>
      <w:bookmarkStart w:id="42" w:name="_Ref2304597"/>
      <w:proofErr w:type="spellStart"/>
      <w:r w:rsidRPr="00CD354A">
        <w:rPr>
          <w:b/>
          <w:lang w:val="lt-LT"/>
        </w:rPr>
        <w:t>Gramteigiamus</w:t>
      </w:r>
      <w:proofErr w:type="spellEnd"/>
      <w:r w:rsidRPr="00CD354A">
        <w:rPr>
          <w:b/>
          <w:lang w:val="lt-LT"/>
        </w:rPr>
        <w:t>:</w:t>
      </w:r>
    </w:p>
    <w:p w:rsidR="00AC2C19" w:rsidRPr="00CD354A" w:rsidRDefault="00AC2C19" w:rsidP="00AC2C19">
      <w:pPr>
        <w:spacing w:line="240" w:lineRule="auto"/>
        <w:ind w:left="540" w:hanging="540"/>
        <w:rPr>
          <w:lang w:val="lt-LT"/>
        </w:rPr>
      </w:pPr>
      <w:r w:rsidRPr="00CD354A">
        <w:rPr>
          <w:i/>
          <w:lang w:val="lt-LT"/>
        </w:rPr>
        <w:t>-</w:t>
      </w:r>
      <w:r w:rsidRPr="00CD354A">
        <w:rPr>
          <w:i/>
          <w:lang w:val="lt-LT"/>
        </w:rPr>
        <w:tab/>
      </w:r>
      <w:proofErr w:type="spellStart"/>
      <w:r w:rsidRPr="00CD354A">
        <w:rPr>
          <w:i/>
          <w:lang w:val="lt-LT"/>
        </w:rPr>
        <w:t>Staphylococcus</w:t>
      </w:r>
      <w:proofErr w:type="spellEnd"/>
      <w:r w:rsidRPr="00CD354A">
        <w:rPr>
          <w:i/>
          <w:lang w:val="lt-LT"/>
        </w:rPr>
        <w:t xml:space="preserve"> </w:t>
      </w:r>
      <w:proofErr w:type="spellStart"/>
      <w:r w:rsidRPr="00CD354A">
        <w:rPr>
          <w:i/>
          <w:lang w:val="lt-LT"/>
        </w:rPr>
        <w:t>aureus</w:t>
      </w:r>
      <w:proofErr w:type="spellEnd"/>
      <w:r w:rsidRPr="00CD354A">
        <w:rPr>
          <w:i/>
          <w:lang w:val="lt-LT"/>
        </w:rPr>
        <w:t xml:space="preserve"> </w:t>
      </w:r>
      <w:r w:rsidRPr="00CD354A">
        <w:rPr>
          <w:lang w:val="lt-LT"/>
        </w:rPr>
        <w:t>(</w:t>
      </w:r>
      <w:proofErr w:type="spellStart"/>
      <w:r w:rsidRPr="00CD354A">
        <w:rPr>
          <w:lang w:val="lt-LT"/>
        </w:rPr>
        <w:t>penicilinazę</w:t>
      </w:r>
      <w:proofErr w:type="spellEnd"/>
      <w:r w:rsidRPr="00CD354A">
        <w:rPr>
          <w:lang w:val="lt-LT"/>
        </w:rPr>
        <w:t xml:space="preserve"> gaminančias ir jos negaminančias padermes);</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Staphylococcus</w:t>
      </w:r>
      <w:proofErr w:type="spellEnd"/>
      <w:r w:rsidRPr="00CD354A">
        <w:rPr>
          <w:i/>
          <w:lang w:val="lt-LT"/>
        </w:rPr>
        <w:t xml:space="preserve"> </w:t>
      </w:r>
      <w:proofErr w:type="spellStart"/>
      <w:r w:rsidRPr="00CD354A">
        <w:rPr>
          <w:i/>
          <w:lang w:val="lt-LT"/>
        </w:rPr>
        <w:t>epidermidis</w:t>
      </w:r>
      <w:proofErr w:type="spellEnd"/>
      <w:r w:rsidRPr="00CD354A">
        <w:rPr>
          <w:i/>
          <w:lang w:val="lt-LT"/>
        </w:rPr>
        <w:t>;</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Streptococcus</w:t>
      </w:r>
      <w:proofErr w:type="spellEnd"/>
      <w:r w:rsidRPr="00CD354A">
        <w:rPr>
          <w:i/>
          <w:lang w:val="lt-LT"/>
        </w:rPr>
        <w:t xml:space="preserve"> </w:t>
      </w:r>
      <w:proofErr w:type="spellStart"/>
      <w:r w:rsidRPr="00CD354A">
        <w:rPr>
          <w:i/>
          <w:lang w:val="lt-LT"/>
        </w:rPr>
        <w:t>pneumoniae</w:t>
      </w:r>
      <w:proofErr w:type="spellEnd"/>
      <w:r w:rsidRPr="00CD354A">
        <w:rPr>
          <w:i/>
          <w:lang w:val="lt-LT"/>
        </w:rPr>
        <w:t xml:space="preserve"> </w:t>
      </w:r>
      <w:r w:rsidRPr="00CD354A">
        <w:rPr>
          <w:lang w:val="lt-LT"/>
        </w:rPr>
        <w:t xml:space="preserve">(anksčiau vadintus </w:t>
      </w:r>
      <w:proofErr w:type="spellStart"/>
      <w:r w:rsidRPr="00CD354A">
        <w:rPr>
          <w:i/>
          <w:lang w:val="lt-LT"/>
        </w:rPr>
        <w:t>Diplococcus</w:t>
      </w:r>
      <w:proofErr w:type="spellEnd"/>
      <w:r w:rsidRPr="00CD354A">
        <w:rPr>
          <w:i/>
          <w:lang w:val="lt-LT"/>
        </w:rPr>
        <w:t xml:space="preserve"> </w:t>
      </w:r>
      <w:proofErr w:type="spellStart"/>
      <w:r w:rsidRPr="00CD354A">
        <w:rPr>
          <w:i/>
          <w:lang w:val="lt-LT"/>
        </w:rPr>
        <w:t>pneumoniae</w:t>
      </w:r>
      <w:proofErr w:type="spellEnd"/>
      <w:r w:rsidRPr="00CD354A">
        <w:rPr>
          <w:lang w:val="lt-LT"/>
        </w:rPr>
        <w:t>);</w:t>
      </w:r>
    </w:p>
    <w:p w:rsidR="00AC2C19" w:rsidRPr="00CD354A" w:rsidRDefault="00AC2C19" w:rsidP="00AC2C19">
      <w:pPr>
        <w:spacing w:line="240" w:lineRule="auto"/>
        <w:ind w:left="540" w:hanging="540"/>
        <w:rPr>
          <w:lang w:val="lt-LT"/>
        </w:rPr>
      </w:pPr>
      <w:r w:rsidRPr="00CD354A">
        <w:rPr>
          <w:i/>
          <w:lang w:val="lt-LT"/>
        </w:rPr>
        <w:t>-</w:t>
      </w:r>
      <w:r w:rsidRPr="00CD354A">
        <w:rPr>
          <w:i/>
          <w:lang w:val="lt-LT"/>
        </w:rPr>
        <w:tab/>
      </w:r>
      <w:proofErr w:type="spellStart"/>
      <w:r w:rsidRPr="00CD354A">
        <w:rPr>
          <w:i/>
          <w:lang w:val="lt-LT"/>
        </w:rPr>
        <w:t>Streptococcus</w:t>
      </w:r>
      <w:proofErr w:type="spellEnd"/>
      <w:r w:rsidRPr="00CD354A">
        <w:rPr>
          <w:i/>
          <w:lang w:val="lt-LT"/>
        </w:rPr>
        <w:t xml:space="preserve"> </w:t>
      </w:r>
      <w:proofErr w:type="spellStart"/>
      <w:r w:rsidRPr="00CD354A">
        <w:rPr>
          <w:i/>
          <w:lang w:val="lt-LT"/>
        </w:rPr>
        <w:t>pyogenes</w:t>
      </w:r>
      <w:proofErr w:type="spellEnd"/>
      <w:r w:rsidRPr="00CD354A">
        <w:rPr>
          <w:i/>
          <w:lang w:val="lt-LT"/>
        </w:rPr>
        <w:t xml:space="preserve"> </w:t>
      </w:r>
      <w:r w:rsidRPr="00CD354A">
        <w:rPr>
          <w:lang w:val="lt-LT"/>
        </w:rPr>
        <w:t>(A grupės beta hemolizinius streptokokus);</w:t>
      </w:r>
    </w:p>
    <w:p w:rsidR="00AC2C19" w:rsidRPr="00CD354A" w:rsidRDefault="00AC2C19" w:rsidP="00AC2C19">
      <w:pPr>
        <w:spacing w:line="240" w:lineRule="auto"/>
        <w:ind w:left="540" w:hanging="540"/>
        <w:rPr>
          <w:lang w:val="lt-LT"/>
        </w:rPr>
      </w:pPr>
      <w:r w:rsidRPr="00CD354A">
        <w:rPr>
          <w:i/>
          <w:lang w:val="lt-LT"/>
        </w:rPr>
        <w:t>-</w:t>
      </w:r>
      <w:r w:rsidRPr="00CD354A">
        <w:rPr>
          <w:i/>
          <w:lang w:val="lt-LT"/>
        </w:rPr>
        <w:tab/>
      </w:r>
      <w:proofErr w:type="spellStart"/>
      <w:r w:rsidRPr="00CD354A">
        <w:rPr>
          <w:i/>
          <w:lang w:val="lt-LT"/>
        </w:rPr>
        <w:t>Streptococcus</w:t>
      </w:r>
      <w:proofErr w:type="spellEnd"/>
      <w:r w:rsidRPr="00CD354A">
        <w:rPr>
          <w:i/>
          <w:lang w:val="lt-LT"/>
        </w:rPr>
        <w:t xml:space="preserve"> </w:t>
      </w:r>
      <w:proofErr w:type="spellStart"/>
      <w:r w:rsidRPr="00CD354A">
        <w:rPr>
          <w:i/>
          <w:lang w:val="lt-LT"/>
        </w:rPr>
        <w:t>agalactiae</w:t>
      </w:r>
      <w:proofErr w:type="spellEnd"/>
      <w:r w:rsidRPr="00CD354A">
        <w:rPr>
          <w:i/>
          <w:lang w:val="lt-LT"/>
        </w:rPr>
        <w:t xml:space="preserve"> </w:t>
      </w:r>
      <w:r w:rsidRPr="00CD354A">
        <w:rPr>
          <w:lang w:val="lt-LT"/>
        </w:rPr>
        <w:t>(B grupės beta hemolizinius streptokokus);</w:t>
      </w:r>
    </w:p>
    <w:p w:rsidR="00AC2C19" w:rsidRPr="00CD354A" w:rsidRDefault="00AC2C19" w:rsidP="00AC2C19">
      <w:pPr>
        <w:spacing w:line="240" w:lineRule="auto"/>
        <w:ind w:left="540" w:hanging="540"/>
        <w:rPr>
          <w:lang w:val="lt-LT"/>
        </w:rPr>
      </w:pPr>
      <w:r w:rsidRPr="00CD354A">
        <w:rPr>
          <w:i/>
          <w:lang w:val="lt-LT"/>
        </w:rPr>
        <w:t>-</w:t>
      </w:r>
      <w:r w:rsidRPr="00CD354A">
        <w:rPr>
          <w:i/>
          <w:lang w:val="lt-LT"/>
        </w:rPr>
        <w:tab/>
      </w:r>
      <w:r w:rsidRPr="00CD354A">
        <w:rPr>
          <w:lang w:val="lt-LT"/>
        </w:rPr>
        <w:t>daugumą kitų beta hemolizinių streptokokų padermių;</w:t>
      </w:r>
    </w:p>
    <w:p w:rsidR="00AC2C19" w:rsidRPr="00CD354A" w:rsidRDefault="00AC2C19" w:rsidP="00AC2C19">
      <w:pPr>
        <w:spacing w:line="240" w:lineRule="auto"/>
        <w:ind w:left="540" w:hanging="540"/>
        <w:rPr>
          <w:lang w:val="lt-LT"/>
        </w:rPr>
      </w:pPr>
      <w:r w:rsidRPr="00CD354A">
        <w:rPr>
          <w:i/>
          <w:lang w:val="lt-LT"/>
        </w:rPr>
        <w:t>-</w:t>
      </w:r>
      <w:r w:rsidRPr="00CD354A">
        <w:rPr>
          <w:i/>
          <w:lang w:val="lt-LT"/>
        </w:rPr>
        <w:tab/>
      </w:r>
      <w:r w:rsidRPr="00CD354A">
        <w:rPr>
          <w:lang w:val="lt-LT"/>
        </w:rPr>
        <w:t>daugelį</w:t>
      </w:r>
      <w:r w:rsidRPr="00CD354A">
        <w:rPr>
          <w:i/>
          <w:lang w:val="lt-LT"/>
        </w:rPr>
        <w:t xml:space="preserve"> </w:t>
      </w:r>
      <w:proofErr w:type="spellStart"/>
      <w:r w:rsidRPr="00CD354A">
        <w:rPr>
          <w:i/>
          <w:lang w:val="lt-LT"/>
        </w:rPr>
        <w:t>Streptococcus</w:t>
      </w:r>
      <w:proofErr w:type="spellEnd"/>
      <w:r w:rsidRPr="00CD354A">
        <w:rPr>
          <w:i/>
          <w:lang w:val="lt-LT"/>
        </w:rPr>
        <w:t xml:space="preserve"> </w:t>
      </w:r>
      <w:proofErr w:type="spellStart"/>
      <w:r w:rsidRPr="00CD354A">
        <w:rPr>
          <w:i/>
          <w:lang w:val="lt-LT"/>
        </w:rPr>
        <w:t>faecalis</w:t>
      </w:r>
      <w:proofErr w:type="spellEnd"/>
      <w:r w:rsidRPr="00CD354A">
        <w:rPr>
          <w:i/>
          <w:lang w:val="lt-LT"/>
        </w:rPr>
        <w:t xml:space="preserve"> </w:t>
      </w:r>
      <w:r w:rsidRPr="00CD354A">
        <w:rPr>
          <w:lang w:val="lt-LT"/>
        </w:rPr>
        <w:t>(</w:t>
      </w:r>
      <w:proofErr w:type="spellStart"/>
      <w:r w:rsidRPr="00CD354A">
        <w:rPr>
          <w:lang w:val="lt-LT"/>
        </w:rPr>
        <w:t>enterokokų</w:t>
      </w:r>
      <w:proofErr w:type="spellEnd"/>
      <w:r w:rsidRPr="00CD354A">
        <w:rPr>
          <w:lang w:val="lt-LT"/>
        </w:rPr>
        <w:t>) padermių.</w:t>
      </w:r>
    </w:p>
    <w:p w:rsidR="00AC2C19" w:rsidRPr="00CD354A" w:rsidRDefault="00AC2C19" w:rsidP="00AC2C19">
      <w:pPr>
        <w:pStyle w:val="BTEMEASMCA"/>
      </w:pPr>
    </w:p>
    <w:p w:rsidR="00AC2C19" w:rsidRPr="00CD354A" w:rsidRDefault="00AC2C19" w:rsidP="00AC2C19">
      <w:pPr>
        <w:spacing w:line="240" w:lineRule="auto"/>
        <w:rPr>
          <w:b/>
          <w:lang w:val="lt-LT"/>
        </w:rPr>
      </w:pPr>
      <w:proofErr w:type="spellStart"/>
      <w:r w:rsidRPr="00CD354A">
        <w:rPr>
          <w:b/>
          <w:lang w:val="lt-LT"/>
        </w:rPr>
        <w:t>Gramneigiamus</w:t>
      </w:r>
      <w:proofErr w:type="spellEnd"/>
      <w:r w:rsidRPr="00CD354A">
        <w:rPr>
          <w:b/>
          <w:lang w:val="lt-LT"/>
        </w:rPr>
        <w:t>:</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Escherichia</w:t>
      </w:r>
      <w:proofErr w:type="spellEnd"/>
      <w:r w:rsidRPr="00CD354A">
        <w:rPr>
          <w:i/>
          <w:lang w:val="lt-LT"/>
        </w:rPr>
        <w:t xml:space="preserve"> coli;</w:t>
      </w:r>
    </w:p>
    <w:p w:rsidR="00AC2C19" w:rsidRPr="00CD354A" w:rsidRDefault="00AC2C19" w:rsidP="00AC2C19">
      <w:pPr>
        <w:spacing w:line="240" w:lineRule="auto"/>
        <w:ind w:left="540" w:hanging="540"/>
        <w:rPr>
          <w:lang w:val="lt-LT"/>
        </w:rPr>
      </w:pPr>
      <w:r w:rsidRPr="00CD354A">
        <w:rPr>
          <w:i/>
          <w:lang w:val="lt-LT"/>
        </w:rPr>
        <w:t>-</w:t>
      </w:r>
      <w:r w:rsidRPr="00CD354A">
        <w:rPr>
          <w:i/>
          <w:lang w:val="lt-LT"/>
        </w:rPr>
        <w:tab/>
      </w:r>
      <w:proofErr w:type="spellStart"/>
      <w:r w:rsidRPr="00CD354A">
        <w:rPr>
          <w:i/>
          <w:lang w:val="lt-LT"/>
        </w:rPr>
        <w:t>Klebsiella</w:t>
      </w:r>
      <w:proofErr w:type="spellEnd"/>
      <w:r w:rsidRPr="00CD354A">
        <w:rPr>
          <w:i/>
          <w:lang w:val="lt-LT"/>
        </w:rPr>
        <w:t xml:space="preserve"> </w:t>
      </w:r>
      <w:r w:rsidRPr="00CD354A">
        <w:rPr>
          <w:lang w:val="lt-LT"/>
        </w:rPr>
        <w:t>rūšis;</w:t>
      </w:r>
    </w:p>
    <w:p w:rsidR="00AC2C19" w:rsidRPr="00CD354A" w:rsidRDefault="00AC2C19" w:rsidP="00AC2C19">
      <w:pPr>
        <w:spacing w:line="240" w:lineRule="auto"/>
        <w:ind w:left="540" w:hanging="540"/>
        <w:rPr>
          <w:lang w:val="lt-LT"/>
        </w:rPr>
      </w:pPr>
      <w:r w:rsidRPr="00CD354A">
        <w:rPr>
          <w:i/>
          <w:lang w:val="lt-LT"/>
        </w:rPr>
        <w:t>-</w:t>
      </w:r>
      <w:r w:rsidRPr="00CD354A">
        <w:rPr>
          <w:i/>
          <w:lang w:val="lt-LT"/>
        </w:rPr>
        <w:tab/>
      </w:r>
      <w:proofErr w:type="spellStart"/>
      <w:r w:rsidRPr="00CD354A">
        <w:rPr>
          <w:i/>
          <w:lang w:val="lt-LT"/>
        </w:rPr>
        <w:t>Enterobacter</w:t>
      </w:r>
      <w:proofErr w:type="spellEnd"/>
      <w:r w:rsidRPr="00CD354A">
        <w:rPr>
          <w:i/>
          <w:lang w:val="lt-LT"/>
        </w:rPr>
        <w:t xml:space="preserve"> </w:t>
      </w:r>
      <w:r w:rsidRPr="00CD354A">
        <w:rPr>
          <w:lang w:val="lt-LT"/>
        </w:rPr>
        <w:t>rūšis;</w:t>
      </w:r>
    </w:p>
    <w:p w:rsidR="00AC2C19" w:rsidRPr="00CD354A" w:rsidRDefault="00AC2C19" w:rsidP="00AC2C19">
      <w:pPr>
        <w:spacing w:line="240" w:lineRule="auto"/>
        <w:ind w:left="540" w:hanging="540"/>
        <w:rPr>
          <w:lang w:val="lt-LT"/>
        </w:rPr>
      </w:pPr>
      <w:r w:rsidRPr="00CD354A">
        <w:rPr>
          <w:i/>
          <w:lang w:val="lt-LT"/>
        </w:rPr>
        <w:t>-</w:t>
      </w:r>
      <w:r w:rsidRPr="00CD354A">
        <w:rPr>
          <w:i/>
          <w:lang w:val="lt-LT"/>
        </w:rPr>
        <w:tab/>
      </w:r>
      <w:proofErr w:type="spellStart"/>
      <w:r w:rsidRPr="00CD354A">
        <w:rPr>
          <w:i/>
          <w:lang w:val="lt-LT"/>
        </w:rPr>
        <w:t>Citrobacter</w:t>
      </w:r>
      <w:proofErr w:type="spellEnd"/>
      <w:r w:rsidRPr="00CD354A">
        <w:rPr>
          <w:lang w:val="lt-LT"/>
        </w:rPr>
        <w:t xml:space="preserve"> rūšis;</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Haemophilus</w:t>
      </w:r>
      <w:proofErr w:type="spellEnd"/>
      <w:r w:rsidRPr="00CD354A">
        <w:rPr>
          <w:i/>
          <w:lang w:val="lt-LT"/>
        </w:rPr>
        <w:t xml:space="preserve"> </w:t>
      </w:r>
      <w:proofErr w:type="spellStart"/>
      <w:r w:rsidRPr="00CD354A">
        <w:rPr>
          <w:i/>
          <w:lang w:val="lt-LT"/>
        </w:rPr>
        <w:t>influenzae</w:t>
      </w:r>
      <w:proofErr w:type="spellEnd"/>
      <w:r w:rsidRPr="00CD354A">
        <w:rPr>
          <w:i/>
          <w:lang w:val="lt-LT"/>
        </w:rPr>
        <w:t>;</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Proteus</w:t>
      </w:r>
      <w:proofErr w:type="spellEnd"/>
      <w:r w:rsidRPr="00CD354A">
        <w:rPr>
          <w:i/>
          <w:lang w:val="lt-LT"/>
        </w:rPr>
        <w:t xml:space="preserve"> </w:t>
      </w:r>
      <w:proofErr w:type="spellStart"/>
      <w:r w:rsidRPr="00CD354A">
        <w:rPr>
          <w:i/>
          <w:lang w:val="lt-LT"/>
        </w:rPr>
        <w:t>mirabilis</w:t>
      </w:r>
      <w:proofErr w:type="spellEnd"/>
      <w:r w:rsidRPr="00CD354A">
        <w:rPr>
          <w:i/>
          <w:lang w:val="lt-LT"/>
        </w:rPr>
        <w:t>;</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Proteus</w:t>
      </w:r>
      <w:proofErr w:type="spellEnd"/>
      <w:r w:rsidRPr="00CD354A">
        <w:rPr>
          <w:i/>
          <w:lang w:val="lt-LT"/>
        </w:rPr>
        <w:t xml:space="preserve"> </w:t>
      </w:r>
      <w:proofErr w:type="spellStart"/>
      <w:r w:rsidRPr="00CD354A">
        <w:rPr>
          <w:i/>
          <w:lang w:val="lt-LT"/>
        </w:rPr>
        <w:t>vulgaris</w:t>
      </w:r>
      <w:proofErr w:type="spellEnd"/>
      <w:r w:rsidRPr="00CD354A">
        <w:rPr>
          <w:i/>
          <w:lang w:val="lt-LT"/>
        </w:rPr>
        <w:t>;</w:t>
      </w:r>
    </w:p>
    <w:p w:rsidR="00AC2C19" w:rsidRPr="00CD354A" w:rsidRDefault="00AC2C19" w:rsidP="00AC2C19">
      <w:pPr>
        <w:spacing w:line="240" w:lineRule="auto"/>
        <w:ind w:left="540" w:hanging="540"/>
        <w:rPr>
          <w:lang w:val="lt-LT"/>
        </w:rPr>
      </w:pPr>
      <w:r w:rsidRPr="00CD354A">
        <w:rPr>
          <w:i/>
          <w:lang w:val="lt-LT"/>
        </w:rPr>
        <w:t>-</w:t>
      </w:r>
      <w:r w:rsidRPr="00CD354A">
        <w:rPr>
          <w:i/>
          <w:lang w:val="lt-LT"/>
        </w:rPr>
        <w:tab/>
      </w:r>
      <w:proofErr w:type="spellStart"/>
      <w:r w:rsidRPr="00CD354A">
        <w:rPr>
          <w:i/>
          <w:lang w:val="lt-LT"/>
        </w:rPr>
        <w:t>Morganella</w:t>
      </w:r>
      <w:proofErr w:type="spellEnd"/>
      <w:r w:rsidRPr="00CD354A">
        <w:rPr>
          <w:i/>
          <w:lang w:val="lt-LT"/>
        </w:rPr>
        <w:t xml:space="preserve"> </w:t>
      </w:r>
      <w:proofErr w:type="spellStart"/>
      <w:r w:rsidRPr="00CD354A">
        <w:rPr>
          <w:i/>
          <w:lang w:val="lt-LT"/>
        </w:rPr>
        <w:t>morganii</w:t>
      </w:r>
      <w:proofErr w:type="spellEnd"/>
      <w:r w:rsidRPr="00CD354A">
        <w:rPr>
          <w:i/>
          <w:lang w:val="lt-LT"/>
        </w:rPr>
        <w:t xml:space="preserve"> </w:t>
      </w:r>
      <w:r w:rsidRPr="00CD354A">
        <w:rPr>
          <w:lang w:val="lt-LT"/>
        </w:rPr>
        <w:t>(anksčiau vadintus</w:t>
      </w:r>
      <w:r w:rsidRPr="00CD354A">
        <w:rPr>
          <w:i/>
          <w:lang w:val="lt-LT"/>
        </w:rPr>
        <w:t xml:space="preserve"> </w:t>
      </w:r>
      <w:proofErr w:type="spellStart"/>
      <w:r w:rsidRPr="00CD354A">
        <w:rPr>
          <w:i/>
          <w:lang w:val="lt-LT"/>
        </w:rPr>
        <w:t>Proteus</w:t>
      </w:r>
      <w:proofErr w:type="spellEnd"/>
      <w:r w:rsidRPr="00CD354A">
        <w:rPr>
          <w:i/>
          <w:lang w:val="lt-LT"/>
        </w:rPr>
        <w:t xml:space="preserve"> </w:t>
      </w:r>
      <w:proofErr w:type="spellStart"/>
      <w:r w:rsidRPr="00CD354A">
        <w:rPr>
          <w:i/>
          <w:lang w:val="lt-LT"/>
        </w:rPr>
        <w:t>morganii</w:t>
      </w:r>
      <w:proofErr w:type="spellEnd"/>
      <w:r w:rsidRPr="00CD354A">
        <w:rPr>
          <w:lang w:val="lt-LT"/>
        </w:rPr>
        <w:t>);</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Providencia</w:t>
      </w:r>
      <w:proofErr w:type="spellEnd"/>
      <w:r w:rsidRPr="00CD354A">
        <w:rPr>
          <w:i/>
          <w:lang w:val="lt-LT"/>
        </w:rPr>
        <w:t xml:space="preserve"> </w:t>
      </w:r>
      <w:proofErr w:type="spellStart"/>
      <w:r w:rsidRPr="00CD354A">
        <w:rPr>
          <w:i/>
          <w:lang w:val="lt-LT"/>
        </w:rPr>
        <w:t>rettgeri</w:t>
      </w:r>
      <w:proofErr w:type="spellEnd"/>
      <w:r w:rsidRPr="00CD354A">
        <w:rPr>
          <w:i/>
          <w:lang w:val="lt-LT"/>
        </w:rPr>
        <w:t xml:space="preserve"> </w:t>
      </w:r>
      <w:r w:rsidRPr="00CD354A">
        <w:rPr>
          <w:lang w:val="lt-LT"/>
        </w:rPr>
        <w:t>(anksčiau vadintus</w:t>
      </w:r>
      <w:r w:rsidRPr="00CD354A">
        <w:rPr>
          <w:i/>
          <w:lang w:val="lt-LT"/>
        </w:rPr>
        <w:t xml:space="preserve"> </w:t>
      </w:r>
      <w:proofErr w:type="spellStart"/>
      <w:r w:rsidRPr="00CD354A">
        <w:rPr>
          <w:i/>
          <w:lang w:val="lt-LT"/>
        </w:rPr>
        <w:t>Proteus</w:t>
      </w:r>
      <w:proofErr w:type="spellEnd"/>
      <w:r w:rsidRPr="00CD354A">
        <w:rPr>
          <w:i/>
          <w:lang w:val="lt-LT"/>
        </w:rPr>
        <w:t xml:space="preserve"> </w:t>
      </w:r>
      <w:proofErr w:type="spellStart"/>
      <w:r w:rsidRPr="00CD354A">
        <w:rPr>
          <w:i/>
          <w:lang w:val="lt-LT"/>
        </w:rPr>
        <w:t>rettgeri</w:t>
      </w:r>
      <w:proofErr w:type="spellEnd"/>
      <w:r w:rsidRPr="00CD354A">
        <w:rPr>
          <w:lang w:val="lt-LT"/>
        </w:rPr>
        <w:t>);</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Providencia</w:t>
      </w:r>
      <w:proofErr w:type="spellEnd"/>
      <w:r w:rsidRPr="00CD354A">
        <w:rPr>
          <w:lang w:val="lt-LT"/>
        </w:rPr>
        <w:t xml:space="preserve"> rūšis;</w:t>
      </w:r>
    </w:p>
    <w:p w:rsidR="00AC2C19" w:rsidRPr="00CD354A" w:rsidRDefault="00AC2C19" w:rsidP="00AC2C19">
      <w:pPr>
        <w:spacing w:line="240" w:lineRule="auto"/>
        <w:ind w:left="540" w:hanging="540"/>
        <w:rPr>
          <w:lang w:val="lt-LT"/>
        </w:rPr>
      </w:pPr>
      <w:r w:rsidRPr="00CD354A">
        <w:rPr>
          <w:i/>
          <w:lang w:val="lt-LT"/>
        </w:rPr>
        <w:t>-</w:t>
      </w:r>
      <w:r w:rsidRPr="00CD354A">
        <w:rPr>
          <w:i/>
          <w:lang w:val="lt-LT"/>
        </w:rPr>
        <w:tab/>
      </w:r>
      <w:proofErr w:type="spellStart"/>
      <w:r w:rsidRPr="00CD354A">
        <w:rPr>
          <w:i/>
          <w:lang w:val="lt-LT"/>
        </w:rPr>
        <w:t>Serratia</w:t>
      </w:r>
      <w:proofErr w:type="spellEnd"/>
      <w:r w:rsidRPr="00CD354A">
        <w:rPr>
          <w:i/>
          <w:lang w:val="lt-LT"/>
        </w:rPr>
        <w:t xml:space="preserve"> </w:t>
      </w:r>
      <w:r w:rsidRPr="00CD354A">
        <w:rPr>
          <w:lang w:val="lt-LT"/>
        </w:rPr>
        <w:t>rūšis (įskaitant</w:t>
      </w:r>
      <w:r w:rsidRPr="00CD354A">
        <w:rPr>
          <w:i/>
          <w:lang w:val="lt-LT"/>
        </w:rPr>
        <w:t xml:space="preserve"> S. </w:t>
      </w:r>
      <w:proofErr w:type="spellStart"/>
      <w:r w:rsidRPr="00CD354A">
        <w:rPr>
          <w:i/>
          <w:lang w:val="lt-LT"/>
        </w:rPr>
        <w:t>marcescens</w:t>
      </w:r>
      <w:proofErr w:type="spellEnd"/>
      <w:r w:rsidRPr="00CD354A">
        <w:rPr>
          <w:lang w:val="lt-LT"/>
        </w:rPr>
        <w:t>);</w:t>
      </w:r>
    </w:p>
    <w:p w:rsidR="00AC2C19" w:rsidRPr="00CD354A" w:rsidRDefault="00AC2C19" w:rsidP="00AC2C19">
      <w:pPr>
        <w:spacing w:line="240" w:lineRule="auto"/>
        <w:ind w:left="540" w:hanging="540"/>
        <w:rPr>
          <w:lang w:val="lt-LT"/>
        </w:rPr>
      </w:pPr>
      <w:r w:rsidRPr="00CD354A">
        <w:rPr>
          <w:i/>
          <w:lang w:val="lt-LT"/>
        </w:rPr>
        <w:t>-</w:t>
      </w:r>
      <w:r w:rsidRPr="00CD354A">
        <w:rPr>
          <w:i/>
          <w:lang w:val="lt-LT"/>
        </w:rPr>
        <w:tab/>
      </w:r>
      <w:proofErr w:type="spellStart"/>
      <w:r w:rsidRPr="00CD354A">
        <w:rPr>
          <w:i/>
          <w:lang w:val="lt-LT"/>
        </w:rPr>
        <w:t>Salmonella</w:t>
      </w:r>
      <w:proofErr w:type="spellEnd"/>
      <w:r w:rsidRPr="00CD354A">
        <w:rPr>
          <w:i/>
          <w:lang w:val="lt-LT"/>
        </w:rPr>
        <w:t xml:space="preserve"> </w:t>
      </w:r>
      <w:r w:rsidRPr="00CD354A">
        <w:rPr>
          <w:lang w:val="lt-LT"/>
        </w:rPr>
        <w:t>ir</w:t>
      </w:r>
      <w:r w:rsidRPr="00CD354A">
        <w:rPr>
          <w:i/>
          <w:lang w:val="lt-LT"/>
        </w:rPr>
        <w:t xml:space="preserve"> </w:t>
      </w:r>
      <w:proofErr w:type="spellStart"/>
      <w:r w:rsidRPr="00CD354A">
        <w:rPr>
          <w:i/>
          <w:lang w:val="lt-LT"/>
        </w:rPr>
        <w:t>Shigella</w:t>
      </w:r>
      <w:proofErr w:type="spellEnd"/>
      <w:r w:rsidRPr="00CD354A">
        <w:rPr>
          <w:i/>
          <w:lang w:val="lt-LT"/>
        </w:rPr>
        <w:t xml:space="preserve"> </w:t>
      </w:r>
      <w:r w:rsidRPr="00CD354A">
        <w:rPr>
          <w:lang w:val="lt-LT"/>
        </w:rPr>
        <w:t>rūšis;</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Pseudomonas</w:t>
      </w:r>
      <w:proofErr w:type="spellEnd"/>
      <w:r w:rsidRPr="00CD354A">
        <w:rPr>
          <w:i/>
          <w:lang w:val="lt-LT"/>
        </w:rPr>
        <w:t xml:space="preserve"> </w:t>
      </w:r>
      <w:proofErr w:type="spellStart"/>
      <w:r w:rsidRPr="00CD354A">
        <w:rPr>
          <w:i/>
          <w:lang w:val="lt-LT"/>
        </w:rPr>
        <w:t>aeruginosa</w:t>
      </w:r>
      <w:proofErr w:type="spellEnd"/>
      <w:r w:rsidRPr="00CD354A">
        <w:rPr>
          <w:i/>
          <w:lang w:val="lt-LT"/>
        </w:rPr>
        <w:t xml:space="preserve"> </w:t>
      </w:r>
      <w:r w:rsidRPr="00CD354A">
        <w:rPr>
          <w:lang w:val="lt-LT"/>
        </w:rPr>
        <w:t>ir kai kurias kitas</w:t>
      </w:r>
      <w:r w:rsidRPr="00CD354A">
        <w:rPr>
          <w:i/>
          <w:lang w:val="lt-LT"/>
        </w:rPr>
        <w:t xml:space="preserve"> </w:t>
      </w:r>
      <w:proofErr w:type="spellStart"/>
      <w:r w:rsidRPr="00CD354A">
        <w:rPr>
          <w:i/>
          <w:lang w:val="lt-LT"/>
        </w:rPr>
        <w:t>Pseudomonas</w:t>
      </w:r>
      <w:proofErr w:type="spellEnd"/>
      <w:r w:rsidRPr="00CD354A">
        <w:rPr>
          <w:i/>
          <w:lang w:val="lt-LT"/>
        </w:rPr>
        <w:t xml:space="preserve"> rūšis;</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Acinetobacter</w:t>
      </w:r>
      <w:proofErr w:type="spellEnd"/>
      <w:r w:rsidRPr="00CD354A">
        <w:rPr>
          <w:i/>
          <w:lang w:val="lt-LT"/>
        </w:rPr>
        <w:t xml:space="preserve"> </w:t>
      </w:r>
      <w:proofErr w:type="spellStart"/>
      <w:r w:rsidRPr="00CD354A">
        <w:rPr>
          <w:i/>
          <w:lang w:val="lt-LT"/>
        </w:rPr>
        <w:t>calcoaceticus</w:t>
      </w:r>
      <w:proofErr w:type="spellEnd"/>
      <w:r w:rsidRPr="00CD354A">
        <w:rPr>
          <w:i/>
          <w:lang w:val="lt-LT"/>
        </w:rPr>
        <w:t>;</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Neisseria</w:t>
      </w:r>
      <w:proofErr w:type="spellEnd"/>
      <w:r w:rsidRPr="00CD354A">
        <w:rPr>
          <w:i/>
          <w:lang w:val="lt-LT"/>
        </w:rPr>
        <w:t xml:space="preserve"> </w:t>
      </w:r>
      <w:proofErr w:type="spellStart"/>
      <w:r w:rsidRPr="00CD354A">
        <w:rPr>
          <w:i/>
          <w:lang w:val="lt-LT"/>
        </w:rPr>
        <w:t>gonorrhoeae</w:t>
      </w:r>
      <w:proofErr w:type="spellEnd"/>
      <w:r w:rsidRPr="00CD354A">
        <w:rPr>
          <w:i/>
          <w:lang w:val="lt-LT"/>
        </w:rPr>
        <w:t>;</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Neisseria</w:t>
      </w:r>
      <w:proofErr w:type="spellEnd"/>
      <w:r w:rsidRPr="00CD354A">
        <w:rPr>
          <w:i/>
          <w:lang w:val="lt-LT"/>
        </w:rPr>
        <w:t xml:space="preserve"> </w:t>
      </w:r>
      <w:proofErr w:type="spellStart"/>
      <w:r w:rsidRPr="00CD354A">
        <w:rPr>
          <w:i/>
          <w:lang w:val="lt-LT"/>
        </w:rPr>
        <w:t>meningitidis</w:t>
      </w:r>
      <w:proofErr w:type="spellEnd"/>
      <w:r w:rsidRPr="00CD354A">
        <w:rPr>
          <w:i/>
          <w:lang w:val="lt-LT"/>
        </w:rPr>
        <w:t>;</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Bordetella</w:t>
      </w:r>
      <w:proofErr w:type="spellEnd"/>
      <w:r w:rsidRPr="00CD354A">
        <w:rPr>
          <w:i/>
          <w:lang w:val="lt-LT"/>
        </w:rPr>
        <w:t xml:space="preserve"> </w:t>
      </w:r>
      <w:proofErr w:type="spellStart"/>
      <w:r w:rsidRPr="00CD354A">
        <w:rPr>
          <w:i/>
          <w:lang w:val="lt-LT"/>
        </w:rPr>
        <w:t>pertussis</w:t>
      </w:r>
      <w:proofErr w:type="spellEnd"/>
      <w:r w:rsidRPr="00CD354A">
        <w:rPr>
          <w:i/>
          <w:lang w:val="lt-LT"/>
        </w:rPr>
        <w:t>;</w:t>
      </w:r>
    </w:p>
    <w:p w:rsidR="00AC2C19" w:rsidRPr="00CD354A" w:rsidRDefault="00AC2C19" w:rsidP="00AC2C19">
      <w:pPr>
        <w:spacing w:line="240" w:lineRule="auto"/>
        <w:ind w:left="540" w:hanging="540"/>
        <w:rPr>
          <w:i/>
          <w:lang w:val="lt-LT"/>
        </w:rPr>
      </w:pPr>
      <w:r w:rsidRPr="00CD354A">
        <w:rPr>
          <w:i/>
          <w:lang w:val="lt-LT"/>
        </w:rPr>
        <w:t>-</w:t>
      </w:r>
      <w:r w:rsidRPr="00CD354A">
        <w:rPr>
          <w:i/>
          <w:lang w:val="lt-LT"/>
        </w:rPr>
        <w:tab/>
      </w:r>
      <w:proofErr w:type="spellStart"/>
      <w:r w:rsidRPr="00CD354A">
        <w:rPr>
          <w:i/>
          <w:lang w:val="lt-LT"/>
        </w:rPr>
        <w:t>Yersinia</w:t>
      </w:r>
      <w:proofErr w:type="spellEnd"/>
      <w:r w:rsidRPr="00CD354A">
        <w:rPr>
          <w:i/>
          <w:lang w:val="lt-LT"/>
        </w:rPr>
        <w:t xml:space="preserve"> </w:t>
      </w:r>
      <w:proofErr w:type="spellStart"/>
      <w:r w:rsidRPr="00CD354A">
        <w:rPr>
          <w:i/>
          <w:lang w:val="lt-LT"/>
        </w:rPr>
        <w:t>enterocolitica</w:t>
      </w:r>
      <w:proofErr w:type="spellEnd"/>
      <w:r w:rsidRPr="00CD354A">
        <w:rPr>
          <w:i/>
          <w:lang w:val="lt-LT"/>
        </w:rPr>
        <w:t>.</w:t>
      </w:r>
    </w:p>
    <w:p w:rsidR="00AC2C19" w:rsidRPr="00CD354A" w:rsidRDefault="00AC2C19" w:rsidP="00AC2C19">
      <w:pPr>
        <w:pStyle w:val="BTEMEASMCA"/>
      </w:pPr>
    </w:p>
    <w:p w:rsidR="00AC2C19" w:rsidRPr="00CD354A" w:rsidRDefault="00AC2C19" w:rsidP="00AC2C19">
      <w:pPr>
        <w:spacing w:line="240" w:lineRule="auto"/>
        <w:rPr>
          <w:b/>
          <w:lang w:val="lt-LT"/>
        </w:rPr>
      </w:pPr>
      <w:r w:rsidRPr="00CD354A">
        <w:rPr>
          <w:b/>
          <w:lang w:val="lt-LT"/>
        </w:rPr>
        <w:t>Anaerobinius mikroorganizmus:</w:t>
      </w:r>
    </w:p>
    <w:p w:rsidR="00AC2C19" w:rsidRPr="00CD354A" w:rsidRDefault="00AC2C19" w:rsidP="00AC2C19">
      <w:pPr>
        <w:spacing w:line="240" w:lineRule="auto"/>
        <w:ind w:left="540" w:hanging="540"/>
        <w:rPr>
          <w:lang w:val="lt-LT"/>
        </w:rPr>
      </w:pPr>
      <w:r w:rsidRPr="00CD354A">
        <w:rPr>
          <w:i/>
          <w:lang w:val="lt-LT"/>
        </w:rPr>
        <w:t>-</w:t>
      </w:r>
      <w:r w:rsidRPr="00CD354A">
        <w:rPr>
          <w:i/>
          <w:lang w:val="lt-LT"/>
        </w:rPr>
        <w:tab/>
      </w:r>
      <w:proofErr w:type="spellStart"/>
      <w:r w:rsidRPr="00CD354A">
        <w:rPr>
          <w:lang w:val="lt-LT"/>
        </w:rPr>
        <w:t>gramneigiamas</w:t>
      </w:r>
      <w:proofErr w:type="spellEnd"/>
      <w:r w:rsidRPr="00CD354A">
        <w:rPr>
          <w:lang w:val="lt-LT"/>
        </w:rPr>
        <w:t xml:space="preserve"> lazdeles (įskaitant</w:t>
      </w:r>
      <w:r w:rsidRPr="00CD354A">
        <w:rPr>
          <w:i/>
          <w:lang w:val="lt-LT"/>
        </w:rPr>
        <w:t xml:space="preserve"> </w:t>
      </w:r>
      <w:proofErr w:type="spellStart"/>
      <w:r w:rsidRPr="00CD354A">
        <w:rPr>
          <w:i/>
          <w:lang w:val="lt-LT"/>
        </w:rPr>
        <w:t>Bacteroides</w:t>
      </w:r>
      <w:proofErr w:type="spellEnd"/>
      <w:r w:rsidRPr="00CD354A">
        <w:rPr>
          <w:i/>
          <w:lang w:val="lt-LT"/>
        </w:rPr>
        <w:t xml:space="preserve"> </w:t>
      </w:r>
      <w:proofErr w:type="spellStart"/>
      <w:r w:rsidRPr="00CD354A">
        <w:rPr>
          <w:i/>
          <w:lang w:val="lt-LT"/>
        </w:rPr>
        <w:t>fragilis</w:t>
      </w:r>
      <w:proofErr w:type="spellEnd"/>
      <w:r w:rsidRPr="00CD354A">
        <w:rPr>
          <w:lang w:val="lt-LT"/>
        </w:rPr>
        <w:t>, kitas</w:t>
      </w:r>
      <w:r w:rsidRPr="00CD354A">
        <w:rPr>
          <w:i/>
          <w:lang w:val="lt-LT"/>
        </w:rPr>
        <w:t xml:space="preserve"> </w:t>
      </w:r>
      <w:proofErr w:type="spellStart"/>
      <w:r w:rsidRPr="00CD354A">
        <w:rPr>
          <w:i/>
          <w:lang w:val="lt-LT"/>
        </w:rPr>
        <w:t>Bacteroides</w:t>
      </w:r>
      <w:proofErr w:type="spellEnd"/>
      <w:r w:rsidRPr="00CD354A">
        <w:rPr>
          <w:i/>
          <w:lang w:val="lt-LT"/>
        </w:rPr>
        <w:t xml:space="preserve"> </w:t>
      </w:r>
      <w:r w:rsidRPr="00CD354A">
        <w:rPr>
          <w:lang w:val="lt-LT"/>
        </w:rPr>
        <w:t>rūšis ir</w:t>
      </w:r>
      <w:r w:rsidRPr="00CD354A">
        <w:rPr>
          <w:i/>
          <w:lang w:val="lt-LT"/>
        </w:rPr>
        <w:t xml:space="preserve"> </w:t>
      </w:r>
      <w:proofErr w:type="spellStart"/>
      <w:r w:rsidRPr="00CD354A">
        <w:rPr>
          <w:i/>
          <w:lang w:val="lt-LT"/>
        </w:rPr>
        <w:t>Fusobacterium</w:t>
      </w:r>
      <w:proofErr w:type="spellEnd"/>
      <w:r w:rsidRPr="00CD354A">
        <w:rPr>
          <w:i/>
          <w:lang w:val="lt-LT"/>
        </w:rPr>
        <w:t xml:space="preserve"> </w:t>
      </w:r>
      <w:r w:rsidRPr="00CD354A">
        <w:rPr>
          <w:lang w:val="lt-LT"/>
        </w:rPr>
        <w:t>rūšis);</w:t>
      </w:r>
    </w:p>
    <w:p w:rsidR="00AC2C19" w:rsidRPr="00CD354A" w:rsidRDefault="00AC2C19" w:rsidP="00AC2C19">
      <w:pPr>
        <w:spacing w:line="240" w:lineRule="auto"/>
        <w:ind w:left="540" w:hanging="540"/>
        <w:rPr>
          <w:lang w:val="lt-LT"/>
        </w:rPr>
      </w:pPr>
      <w:r w:rsidRPr="00CD354A">
        <w:rPr>
          <w:i/>
          <w:lang w:val="lt-LT"/>
        </w:rPr>
        <w:t>-</w:t>
      </w:r>
      <w:r w:rsidRPr="00CD354A">
        <w:rPr>
          <w:i/>
          <w:lang w:val="lt-LT"/>
        </w:rPr>
        <w:tab/>
      </w:r>
      <w:proofErr w:type="spellStart"/>
      <w:r w:rsidRPr="00CD354A">
        <w:rPr>
          <w:lang w:val="lt-LT"/>
        </w:rPr>
        <w:t>gramteigiamus</w:t>
      </w:r>
      <w:proofErr w:type="spellEnd"/>
      <w:r w:rsidRPr="00CD354A">
        <w:rPr>
          <w:lang w:val="lt-LT"/>
        </w:rPr>
        <w:t xml:space="preserve"> ir </w:t>
      </w:r>
      <w:proofErr w:type="spellStart"/>
      <w:r w:rsidRPr="00CD354A">
        <w:rPr>
          <w:lang w:val="lt-LT"/>
        </w:rPr>
        <w:t>gramneigiamus</w:t>
      </w:r>
      <w:proofErr w:type="spellEnd"/>
      <w:r w:rsidRPr="00CD354A">
        <w:rPr>
          <w:lang w:val="lt-LT"/>
        </w:rPr>
        <w:t xml:space="preserve"> </w:t>
      </w:r>
      <w:proofErr w:type="spellStart"/>
      <w:r w:rsidRPr="00CD354A">
        <w:rPr>
          <w:lang w:val="lt-LT"/>
        </w:rPr>
        <w:t>kokus</w:t>
      </w:r>
      <w:proofErr w:type="spellEnd"/>
      <w:r w:rsidRPr="00CD354A">
        <w:rPr>
          <w:lang w:val="lt-LT"/>
        </w:rPr>
        <w:t xml:space="preserve"> (įskaitant</w:t>
      </w:r>
      <w:r w:rsidRPr="00CD354A">
        <w:rPr>
          <w:i/>
          <w:lang w:val="lt-LT"/>
        </w:rPr>
        <w:t xml:space="preserve"> </w:t>
      </w:r>
      <w:proofErr w:type="spellStart"/>
      <w:r w:rsidRPr="00CD354A">
        <w:rPr>
          <w:i/>
          <w:lang w:val="lt-LT"/>
        </w:rPr>
        <w:t>Peptococcus</w:t>
      </w:r>
      <w:proofErr w:type="spellEnd"/>
      <w:r w:rsidRPr="00CD354A">
        <w:rPr>
          <w:i/>
          <w:lang w:val="lt-LT"/>
        </w:rPr>
        <w:t xml:space="preserve">, </w:t>
      </w:r>
      <w:proofErr w:type="spellStart"/>
      <w:r w:rsidRPr="00CD354A">
        <w:rPr>
          <w:i/>
          <w:lang w:val="lt-LT"/>
        </w:rPr>
        <w:t>Peptostreptococcus</w:t>
      </w:r>
      <w:proofErr w:type="spellEnd"/>
      <w:r w:rsidRPr="00CD354A">
        <w:rPr>
          <w:lang w:val="lt-LT"/>
        </w:rPr>
        <w:t xml:space="preserve"> ir</w:t>
      </w:r>
      <w:r w:rsidRPr="00CD354A">
        <w:rPr>
          <w:i/>
          <w:lang w:val="lt-LT"/>
        </w:rPr>
        <w:t xml:space="preserve"> </w:t>
      </w:r>
      <w:proofErr w:type="spellStart"/>
      <w:r w:rsidRPr="00CD354A">
        <w:rPr>
          <w:i/>
          <w:lang w:val="lt-LT"/>
        </w:rPr>
        <w:t>Veillonella</w:t>
      </w:r>
      <w:proofErr w:type="spellEnd"/>
      <w:r w:rsidRPr="00CD354A">
        <w:rPr>
          <w:i/>
          <w:lang w:val="lt-LT"/>
        </w:rPr>
        <w:t xml:space="preserve"> </w:t>
      </w:r>
      <w:r w:rsidRPr="00CD354A">
        <w:rPr>
          <w:lang w:val="lt-LT"/>
        </w:rPr>
        <w:t>rūšis);</w:t>
      </w:r>
    </w:p>
    <w:p w:rsidR="00AC2C19" w:rsidRPr="00CD354A" w:rsidRDefault="00AC2C19" w:rsidP="00AC2C19">
      <w:pPr>
        <w:spacing w:line="240" w:lineRule="auto"/>
        <w:ind w:left="540" w:hanging="540"/>
        <w:rPr>
          <w:lang w:val="lt-LT"/>
        </w:rPr>
      </w:pPr>
      <w:r w:rsidRPr="00CD354A">
        <w:rPr>
          <w:i/>
          <w:lang w:val="lt-LT"/>
        </w:rPr>
        <w:t>-</w:t>
      </w:r>
      <w:r w:rsidRPr="00CD354A">
        <w:rPr>
          <w:i/>
          <w:lang w:val="lt-LT"/>
        </w:rPr>
        <w:tab/>
      </w:r>
      <w:proofErr w:type="spellStart"/>
      <w:r w:rsidRPr="00CD354A">
        <w:rPr>
          <w:lang w:val="lt-LT"/>
        </w:rPr>
        <w:t>gramteigiamas</w:t>
      </w:r>
      <w:proofErr w:type="spellEnd"/>
      <w:r w:rsidRPr="00CD354A">
        <w:rPr>
          <w:lang w:val="lt-LT"/>
        </w:rPr>
        <w:t xml:space="preserve"> lazdeles (įskaitant</w:t>
      </w:r>
      <w:r w:rsidRPr="00CD354A">
        <w:rPr>
          <w:i/>
          <w:lang w:val="lt-LT"/>
        </w:rPr>
        <w:t xml:space="preserve"> </w:t>
      </w:r>
      <w:proofErr w:type="spellStart"/>
      <w:r w:rsidRPr="00CD354A">
        <w:rPr>
          <w:i/>
          <w:lang w:val="lt-LT"/>
        </w:rPr>
        <w:t>Clostridium</w:t>
      </w:r>
      <w:proofErr w:type="spellEnd"/>
      <w:r w:rsidRPr="00CD354A">
        <w:rPr>
          <w:i/>
          <w:lang w:val="lt-LT"/>
        </w:rPr>
        <w:t xml:space="preserve">, </w:t>
      </w:r>
      <w:proofErr w:type="spellStart"/>
      <w:r w:rsidRPr="00CD354A">
        <w:rPr>
          <w:i/>
          <w:lang w:val="lt-LT"/>
        </w:rPr>
        <w:t>Eubacterium</w:t>
      </w:r>
      <w:proofErr w:type="spellEnd"/>
      <w:r w:rsidRPr="00CD354A">
        <w:rPr>
          <w:i/>
          <w:lang w:val="lt-LT"/>
        </w:rPr>
        <w:t xml:space="preserve"> </w:t>
      </w:r>
      <w:r w:rsidRPr="00CD354A">
        <w:rPr>
          <w:lang w:val="lt-LT"/>
        </w:rPr>
        <w:t>ir</w:t>
      </w:r>
      <w:r w:rsidRPr="00CD354A">
        <w:rPr>
          <w:i/>
          <w:lang w:val="lt-LT"/>
        </w:rPr>
        <w:t xml:space="preserve"> </w:t>
      </w:r>
      <w:proofErr w:type="spellStart"/>
      <w:r w:rsidRPr="00CD354A">
        <w:rPr>
          <w:i/>
          <w:lang w:val="lt-LT"/>
        </w:rPr>
        <w:t>Lactobacillus</w:t>
      </w:r>
      <w:proofErr w:type="spellEnd"/>
      <w:r w:rsidRPr="00CD354A">
        <w:rPr>
          <w:i/>
          <w:lang w:val="lt-LT"/>
        </w:rPr>
        <w:t xml:space="preserve"> </w:t>
      </w:r>
      <w:r w:rsidRPr="00CD354A">
        <w:rPr>
          <w:lang w:val="lt-LT"/>
        </w:rPr>
        <w:t>rūšis).</w:t>
      </w:r>
    </w:p>
    <w:p w:rsidR="00AC2C19" w:rsidRPr="00CD354A" w:rsidRDefault="00AC2C19" w:rsidP="00AC2C19">
      <w:pPr>
        <w:pStyle w:val="BTEMEASMCA"/>
      </w:pPr>
    </w:p>
    <w:p w:rsidR="00AC2C19" w:rsidRPr="00CD354A" w:rsidRDefault="00AC2C19" w:rsidP="00AC2C19">
      <w:pPr>
        <w:spacing w:line="240" w:lineRule="auto"/>
        <w:rPr>
          <w:b/>
          <w:i/>
          <w:lang w:val="lt-LT"/>
        </w:rPr>
      </w:pPr>
      <w:r w:rsidRPr="00CD354A">
        <w:rPr>
          <w:b/>
          <w:i/>
          <w:lang w:val="lt-LT"/>
        </w:rPr>
        <w:t xml:space="preserve">Mikroorganizmų jautrumo </w:t>
      </w:r>
      <w:proofErr w:type="spellStart"/>
      <w:r w:rsidRPr="00CD354A">
        <w:rPr>
          <w:b/>
          <w:i/>
          <w:lang w:val="lt-LT"/>
        </w:rPr>
        <w:t>sulbaktamo</w:t>
      </w:r>
      <w:proofErr w:type="spellEnd"/>
      <w:r w:rsidRPr="00CD354A">
        <w:rPr>
          <w:b/>
          <w:i/>
          <w:lang w:val="lt-LT"/>
        </w:rPr>
        <w:t xml:space="preserve"> ir </w:t>
      </w:r>
      <w:proofErr w:type="spellStart"/>
      <w:r w:rsidRPr="00CD354A">
        <w:rPr>
          <w:b/>
          <w:i/>
          <w:lang w:val="lt-LT"/>
        </w:rPr>
        <w:t>cefoperazono</w:t>
      </w:r>
      <w:proofErr w:type="spellEnd"/>
      <w:r w:rsidRPr="00CD354A">
        <w:rPr>
          <w:b/>
          <w:i/>
          <w:lang w:val="lt-LT"/>
        </w:rPr>
        <w:t xml:space="preserve"> deriniui vertinimas</w:t>
      </w:r>
    </w:p>
    <w:p w:rsidR="00AC2C19" w:rsidRPr="00CD354A" w:rsidRDefault="00AC2C19" w:rsidP="00AC2C19">
      <w:pPr>
        <w:pStyle w:val="BTEMEASMCA"/>
      </w:pPr>
    </w:p>
    <w:p w:rsidR="00AC2C19" w:rsidRPr="00CD354A" w:rsidRDefault="00AC2C19" w:rsidP="00AC2C19">
      <w:pPr>
        <w:spacing w:line="240" w:lineRule="auto"/>
        <w:rPr>
          <w:lang w:val="lt-LT"/>
        </w:rPr>
      </w:pPr>
      <w:r w:rsidRPr="00CD354A">
        <w:rPr>
          <w:lang w:val="lt-LT"/>
        </w:rPr>
        <w:t xml:space="preserve">MSK (pagal </w:t>
      </w:r>
      <w:proofErr w:type="spellStart"/>
      <w:r w:rsidRPr="00CD354A">
        <w:rPr>
          <w:lang w:val="lt-LT"/>
        </w:rPr>
        <w:t>cefoperazoną</w:t>
      </w:r>
      <w:proofErr w:type="spellEnd"/>
      <w:r w:rsidRPr="00CD354A">
        <w:rPr>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4528"/>
      </w:tblGrid>
      <w:tr w:rsidR="00AC2C19" w:rsidRPr="00CD354A">
        <w:tc>
          <w:tcPr>
            <w:tcW w:w="4535" w:type="dxa"/>
          </w:tcPr>
          <w:p w:rsidR="00AC2C19" w:rsidRPr="00CD354A" w:rsidRDefault="00AC2C19" w:rsidP="00AC2C19">
            <w:pPr>
              <w:spacing w:line="240" w:lineRule="auto"/>
              <w:rPr>
                <w:lang w:val="lt-LT"/>
              </w:rPr>
            </w:pPr>
            <w:r w:rsidRPr="00CD354A">
              <w:rPr>
                <w:lang w:val="lt-LT"/>
              </w:rPr>
              <w:t>Jautrūs</w:t>
            </w:r>
          </w:p>
        </w:tc>
        <w:tc>
          <w:tcPr>
            <w:tcW w:w="4643" w:type="dxa"/>
          </w:tcPr>
          <w:p w:rsidR="00AC2C19" w:rsidRPr="00CD354A" w:rsidRDefault="00AC2C19" w:rsidP="00AC2C19">
            <w:pPr>
              <w:spacing w:line="240" w:lineRule="auto"/>
              <w:rPr>
                <w:lang w:val="lt-LT"/>
              </w:rPr>
            </w:pPr>
            <w:r w:rsidRPr="00CD354A">
              <w:rPr>
                <w:lang w:val="lt-LT"/>
              </w:rPr>
              <w:sym w:font="Symbol" w:char="F0A3"/>
            </w:r>
            <w:r w:rsidRPr="00CD354A">
              <w:rPr>
                <w:lang w:val="lt-LT"/>
              </w:rPr>
              <w:t> 16 µg/ml</w:t>
            </w:r>
          </w:p>
        </w:tc>
      </w:tr>
      <w:tr w:rsidR="00AC2C19" w:rsidRPr="00CD354A">
        <w:tc>
          <w:tcPr>
            <w:tcW w:w="4535" w:type="dxa"/>
          </w:tcPr>
          <w:p w:rsidR="00AC2C19" w:rsidRPr="00CD354A" w:rsidRDefault="00AC2C19" w:rsidP="00AC2C19">
            <w:pPr>
              <w:spacing w:line="240" w:lineRule="auto"/>
              <w:rPr>
                <w:lang w:val="lt-LT"/>
              </w:rPr>
            </w:pPr>
            <w:r w:rsidRPr="00CD354A">
              <w:rPr>
                <w:lang w:val="lt-LT"/>
              </w:rPr>
              <w:t>Vidutiniškai jautrūs</w:t>
            </w:r>
          </w:p>
        </w:tc>
        <w:tc>
          <w:tcPr>
            <w:tcW w:w="4643" w:type="dxa"/>
          </w:tcPr>
          <w:p w:rsidR="00AC2C19" w:rsidRPr="00CD354A" w:rsidRDefault="00AC2C19" w:rsidP="00AC2C19">
            <w:pPr>
              <w:spacing w:line="240" w:lineRule="auto"/>
              <w:rPr>
                <w:lang w:val="lt-LT"/>
              </w:rPr>
            </w:pPr>
            <w:r w:rsidRPr="00CD354A">
              <w:rPr>
                <w:lang w:val="lt-LT"/>
              </w:rPr>
              <w:t>17</w:t>
            </w:r>
            <w:r w:rsidRPr="00CD354A">
              <w:rPr>
                <w:lang w:val="lt-LT"/>
              </w:rPr>
              <w:noBreakHyphen/>
              <w:t>63 µg/ml</w:t>
            </w:r>
          </w:p>
        </w:tc>
      </w:tr>
      <w:tr w:rsidR="00AC2C19" w:rsidRPr="00CD354A">
        <w:tc>
          <w:tcPr>
            <w:tcW w:w="4535" w:type="dxa"/>
          </w:tcPr>
          <w:p w:rsidR="00AC2C19" w:rsidRPr="00CD354A" w:rsidRDefault="00AC2C19" w:rsidP="00AC2C19">
            <w:pPr>
              <w:spacing w:line="240" w:lineRule="auto"/>
              <w:rPr>
                <w:lang w:val="lt-LT"/>
              </w:rPr>
            </w:pPr>
            <w:r w:rsidRPr="00CD354A">
              <w:rPr>
                <w:lang w:val="lt-LT"/>
              </w:rPr>
              <w:t>Atsparūs</w:t>
            </w:r>
          </w:p>
        </w:tc>
        <w:tc>
          <w:tcPr>
            <w:tcW w:w="4643" w:type="dxa"/>
          </w:tcPr>
          <w:p w:rsidR="00AC2C19" w:rsidRPr="00CD354A" w:rsidRDefault="00AC2C19" w:rsidP="00AC2C19">
            <w:pPr>
              <w:spacing w:line="240" w:lineRule="auto"/>
              <w:rPr>
                <w:lang w:val="lt-LT"/>
              </w:rPr>
            </w:pPr>
            <w:r w:rsidRPr="00CD354A">
              <w:rPr>
                <w:lang w:val="lt-LT"/>
              </w:rPr>
              <w:sym w:font="Symbol" w:char="F0B3"/>
            </w:r>
            <w:r w:rsidRPr="00CD354A">
              <w:rPr>
                <w:lang w:val="lt-LT"/>
              </w:rPr>
              <w:t> 64 µg/ml</w:t>
            </w:r>
          </w:p>
        </w:tc>
      </w:tr>
    </w:tbl>
    <w:p w:rsidR="00AC2C19" w:rsidRPr="00CD354A" w:rsidRDefault="00AC2C19" w:rsidP="00AC2C19">
      <w:pPr>
        <w:spacing w:line="240" w:lineRule="auto"/>
        <w:ind w:left="540" w:hanging="540"/>
        <w:rPr>
          <w:lang w:val="lt-LT"/>
        </w:rPr>
      </w:pPr>
    </w:p>
    <w:p w:rsidR="00AC2C19" w:rsidRPr="00CD354A" w:rsidRDefault="00AC2C19" w:rsidP="00AC2C19">
      <w:pPr>
        <w:spacing w:line="240" w:lineRule="auto"/>
        <w:rPr>
          <w:lang w:val="lt-LT"/>
        </w:rPr>
      </w:pPr>
      <w:r w:rsidRPr="00CD354A">
        <w:rPr>
          <w:lang w:val="lt-LT"/>
        </w:rPr>
        <w:t xml:space="preserve">Diskų skersmuo (pagal </w:t>
      </w:r>
      <w:proofErr w:type="spellStart"/>
      <w:r w:rsidRPr="00CD354A">
        <w:rPr>
          <w:i/>
          <w:lang w:val="lt-LT"/>
        </w:rPr>
        <w:t>Kirby-Bauer</w:t>
      </w:r>
      <w:proofErr w:type="spellEnd"/>
      <w:r w:rsidRPr="00CD354A">
        <w:rPr>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4265"/>
      </w:tblGrid>
      <w:tr w:rsidR="00AC2C19" w:rsidRPr="00CD354A">
        <w:tc>
          <w:tcPr>
            <w:tcW w:w="4805" w:type="dxa"/>
          </w:tcPr>
          <w:p w:rsidR="00AC2C19" w:rsidRPr="00CD354A" w:rsidRDefault="00AC2C19" w:rsidP="00AC2C19">
            <w:pPr>
              <w:spacing w:line="240" w:lineRule="auto"/>
              <w:rPr>
                <w:lang w:val="lt-LT"/>
              </w:rPr>
            </w:pPr>
            <w:r w:rsidRPr="00CD354A">
              <w:rPr>
                <w:lang w:val="lt-LT"/>
              </w:rPr>
              <w:t>Jautrūs</w:t>
            </w:r>
          </w:p>
        </w:tc>
        <w:tc>
          <w:tcPr>
            <w:tcW w:w="4373" w:type="dxa"/>
          </w:tcPr>
          <w:p w:rsidR="00AC2C19" w:rsidRPr="00CD354A" w:rsidRDefault="00AC2C19" w:rsidP="00AC2C19">
            <w:pPr>
              <w:spacing w:line="240" w:lineRule="auto"/>
              <w:rPr>
                <w:lang w:val="lt-LT"/>
              </w:rPr>
            </w:pPr>
            <w:r w:rsidRPr="00CD354A">
              <w:rPr>
                <w:lang w:val="lt-LT"/>
              </w:rPr>
              <w:sym w:font="Symbol" w:char="F0B3"/>
            </w:r>
            <w:r w:rsidRPr="00CD354A">
              <w:rPr>
                <w:lang w:val="lt-LT"/>
              </w:rPr>
              <w:t> 21 mm;</w:t>
            </w:r>
          </w:p>
        </w:tc>
      </w:tr>
      <w:tr w:rsidR="00AC2C19" w:rsidRPr="00CD354A">
        <w:tc>
          <w:tcPr>
            <w:tcW w:w="4805" w:type="dxa"/>
          </w:tcPr>
          <w:p w:rsidR="00AC2C19" w:rsidRPr="00CD354A" w:rsidRDefault="00AC2C19" w:rsidP="00AC2C19">
            <w:pPr>
              <w:spacing w:line="240" w:lineRule="auto"/>
              <w:rPr>
                <w:lang w:val="lt-LT"/>
              </w:rPr>
            </w:pPr>
            <w:r w:rsidRPr="00CD354A">
              <w:rPr>
                <w:lang w:val="lt-LT"/>
              </w:rPr>
              <w:t>Vidutiniškai jautrūs</w:t>
            </w:r>
          </w:p>
        </w:tc>
        <w:tc>
          <w:tcPr>
            <w:tcW w:w="4373" w:type="dxa"/>
          </w:tcPr>
          <w:p w:rsidR="00AC2C19" w:rsidRPr="00CD354A" w:rsidRDefault="00AC2C19" w:rsidP="00AC2C19">
            <w:pPr>
              <w:spacing w:line="240" w:lineRule="auto"/>
              <w:rPr>
                <w:lang w:val="lt-LT"/>
              </w:rPr>
            </w:pPr>
            <w:r w:rsidRPr="00CD354A">
              <w:rPr>
                <w:lang w:val="lt-LT"/>
              </w:rPr>
              <w:t>16</w:t>
            </w:r>
            <w:r w:rsidRPr="00CD354A">
              <w:rPr>
                <w:lang w:val="lt-LT"/>
              </w:rPr>
              <w:noBreakHyphen/>
              <w:t>20 mm;</w:t>
            </w:r>
          </w:p>
        </w:tc>
      </w:tr>
      <w:tr w:rsidR="00AC2C19" w:rsidRPr="00CD354A">
        <w:tc>
          <w:tcPr>
            <w:tcW w:w="4805" w:type="dxa"/>
          </w:tcPr>
          <w:p w:rsidR="00AC2C19" w:rsidRPr="00CD354A" w:rsidRDefault="00AC2C19" w:rsidP="00AC2C19">
            <w:pPr>
              <w:spacing w:line="240" w:lineRule="auto"/>
              <w:rPr>
                <w:lang w:val="lt-LT"/>
              </w:rPr>
            </w:pPr>
            <w:r w:rsidRPr="00CD354A">
              <w:rPr>
                <w:lang w:val="lt-LT"/>
              </w:rPr>
              <w:t>Atsparūs</w:t>
            </w:r>
          </w:p>
        </w:tc>
        <w:tc>
          <w:tcPr>
            <w:tcW w:w="4373" w:type="dxa"/>
          </w:tcPr>
          <w:p w:rsidR="00AC2C19" w:rsidRPr="00CD354A" w:rsidRDefault="00AC2C19" w:rsidP="00AC2C19">
            <w:pPr>
              <w:spacing w:line="240" w:lineRule="auto"/>
              <w:rPr>
                <w:lang w:val="lt-LT"/>
              </w:rPr>
            </w:pPr>
            <w:r w:rsidRPr="00CD354A">
              <w:rPr>
                <w:lang w:val="lt-LT"/>
              </w:rPr>
              <w:sym w:font="Symbol" w:char="F0A3"/>
            </w:r>
            <w:r w:rsidRPr="00CD354A">
              <w:rPr>
                <w:lang w:val="lt-LT"/>
              </w:rPr>
              <w:t> 15 mm.</w:t>
            </w:r>
          </w:p>
        </w:tc>
      </w:tr>
    </w:tbl>
    <w:p w:rsidR="00AC2C19" w:rsidRPr="00CD354A" w:rsidRDefault="00AC2C19" w:rsidP="00AC2C19">
      <w:pPr>
        <w:spacing w:line="240" w:lineRule="auto"/>
        <w:rPr>
          <w:lang w:val="lt-LT"/>
        </w:rPr>
      </w:pPr>
    </w:p>
    <w:p w:rsidR="00AC2C19" w:rsidRPr="00CD354A" w:rsidRDefault="00AC2C19" w:rsidP="00AC2C19">
      <w:pPr>
        <w:pStyle w:val="BTEMEASMCA"/>
      </w:pPr>
      <w:r w:rsidRPr="00CD354A">
        <w:t>MSK tyrimui galima naudoti serijinio sulbaktamo ir cefoperazono derinio santykiu 1:1 arba 1:2 praskiedimo buljone arba agare metodą. Rekomenduojama naudoti jautrumo tyrimo diskus, turinčius 30 µg sulbaktamo ir 75 µg cefoperazono. Laboratorijos atsakymas “jautrus” rodo, kad sulbaktamo ir cefoperazono derinys turėtų veikti infekcijos sukėlėją, atsakymas “atsparus” – kad neturėtų. Atsakymas “vidutiniškai jautrus” rodo, kad sulbaktamo ir cefoperazono derinys turėtų veikti infekcijos sukėlėją, kai vartojamas didelėmis dozėmis arba kai infekcija apėmusi tik tuos audinius ar skysčius, kur susidaro didelė antibiotiko koncentracija.</w:t>
      </w:r>
    </w:p>
    <w:p w:rsidR="00AC2C19" w:rsidRPr="00CD354A" w:rsidRDefault="00AC2C19" w:rsidP="00AC2C19">
      <w:pPr>
        <w:pStyle w:val="BTEMEASMCA"/>
      </w:pPr>
    </w:p>
    <w:p w:rsidR="00AC2C19" w:rsidRPr="00CD354A" w:rsidRDefault="00AC2C19" w:rsidP="00AC2C19">
      <w:pPr>
        <w:pStyle w:val="BTEMEASMCA"/>
      </w:pPr>
      <w:r w:rsidRPr="00CD354A">
        <w:t>Diskų, turinčių 30 µg sulbaktamo ir 75 µg cefoperazono, kokybei tirti rekomenduojamos tokios kontrolinės ribos (nurodytos kontrolinės padermės):</w:t>
      </w:r>
    </w:p>
    <w:tbl>
      <w:tblPr>
        <w:tblW w:w="0" w:type="auto"/>
        <w:tblLook w:val="04A0" w:firstRow="1" w:lastRow="0" w:firstColumn="1" w:lastColumn="0" w:noHBand="0" w:noVBand="1"/>
      </w:tblPr>
      <w:tblGrid>
        <w:gridCol w:w="4548"/>
        <w:gridCol w:w="4522"/>
      </w:tblGrid>
      <w:tr w:rsidR="00AC2C19" w:rsidRPr="00CD354A">
        <w:tc>
          <w:tcPr>
            <w:tcW w:w="4643" w:type="dxa"/>
          </w:tcPr>
          <w:p w:rsidR="00AC2C19" w:rsidRPr="00CD354A" w:rsidRDefault="00AC2C19" w:rsidP="00AC2C19">
            <w:pPr>
              <w:pStyle w:val="BTEMEASMCA"/>
            </w:pPr>
            <w:r w:rsidRPr="00CD354A">
              <w:rPr>
                <w:i/>
              </w:rPr>
              <w:t>Acinetobacter</w:t>
            </w:r>
            <w:r w:rsidRPr="00CD354A">
              <w:t xml:space="preserve"> (ATCC 43498)</w:t>
            </w:r>
          </w:p>
        </w:tc>
        <w:tc>
          <w:tcPr>
            <w:tcW w:w="4643" w:type="dxa"/>
          </w:tcPr>
          <w:p w:rsidR="00AC2C19" w:rsidRPr="00CD354A" w:rsidRDefault="00AC2C19" w:rsidP="00AC2C19">
            <w:pPr>
              <w:pStyle w:val="BTEMEASMCA"/>
            </w:pPr>
            <w:r w:rsidRPr="00CD354A">
              <w:t>26</w:t>
            </w:r>
            <w:r w:rsidRPr="00CD354A">
              <w:noBreakHyphen/>
              <w:t>32 mm;</w:t>
            </w:r>
          </w:p>
        </w:tc>
      </w:tr>
      <w:tr w:rsidR="00AC2C19" w:rsidRPr="00CD354A">
        <w:tc>
          <w:tcPr>
            <w:tcW w:w="4643" w:type="dxa"/>
          </w:tcPr>
          <w:p w:rsidR="00AC2C19" w:rsidRPr="00CD354A" w:rsidRDefault="00AC2C19" w:rsidP="00AC2C19">
            <w:pPr>
              <w:pStyle w:val="BTEMEASMCA"/>
            </w:pPr>
            <w:r w:rsidRPr="00CD354A">
              <w:t>Pseudomonas aeruginosa (ATCC 27853)</w:t>
            </w:r>
          </w:p>
        </w:tc>
        <w:tc>
          <w:tcPr>
            <w:tcW w:w="4643" w:type="dxa"/>
          </w:tcPr>
          <w:p w:rsidR="00AC2C19" w:rsidRPr="00CD354A" w:rsidRDefault="00AC2C19" w:rsidP="00AC2C19">
            <w:pPr>
              <w:pStyle w:val="BTEMEASMCA"/>
            </w:pPr>
            <w:r w:rsidRPr="00CD354A">
              <w:t>22</w:t>
            </w:r>
            <w:r w:rsidRPr="00CD354A">
              <w:noBreakHyphen/>
              <w:t>28 mm;</w:t>
            </w:r>
          </w:p>
        </w:tc>
      </w:tr>
      <w:tr w:rsidR="00AC2C19" w:rsidRPr="00CD354A">
        <w:tc>
          <w:tcPr>
            <w:tcW w:w="4643" w:type="dxa"/>
          </w:tcPr>
          <w:p w:rsidR="00AC2C19" w:rsidRPr="00CD354A" w:rsidRDefault="00AC2C19" w:rsidP="00AC2C19">
            <w:pPr>
              <w:pStyle w:val="BTEMEASMCA"/>
            </w:pPr>
            <w:r w:rsidRPr="00CD354A">
              <w:t>Escherichia coli (ATCC 25922)</w:t>
            </w:r>
          </w:p>
        </w:tc>
        <w:tc>
          <w:tcPr>
            <w:tcW w:w="4643" w:type="dxa"/>
          </w:tcPr>
          <w:p w:rsidR="00AC2C19" w:rsidRPr="00CD354A" w:rsidRDefault="00AC2C19" w:rsidP="00AC2C19">
            <w:pPr>
              <w:pStyle w:val="BTEMEASMCA"/>
            </w:pPr>
            <w:r w:rsidRPr="00CD354A">
              <w:t>27</w:t>
            </w:r>
            <w:r w:rsidRPr="00CD354A">
              <w:noBreakHyphen/>
              <w:t>33 mm;</w:t>
            </w:r>
          </w:p>
        </w:tc>
      </w:tr>
      <w:tr w:rsidR="00AC2C19" w:rsidRPr="00CD354A">
        <w:tc>
          <w:tcPr>
            <w:tcW w:w="4643" w:type="dxa"/>
          </w:tcPr>
          <w:p w:rsidR="00AC2C19" w:rsidRPr="00CD354A" w:rsidRDefault="00AC2C19" w:rsidP="00AC2C19">
            <w:pPr>
              <w:pStyle w:val="BTEMEASMCA"/>
            </w:pPr>
            <w:r w:rsidRPr="00CD354A">
              <w:t>Staphylococcus aureus (ATCC 25923)</w:t>
            </w:r>
          </w:p>
        </w:tc>
        <w:tc>
          <w:tcPr>
            <w:tcW w:w="4643" w:type="dxa"/>
          </w:tcPr>
          <w:p w:rsidR="00AC2C19" w:rsidRPr="00CD354A" w:rsidRDefault="00AC2C19" w:rsidP="00AC2C19">
            <w:pPr>
              <w:pStyle w:val="BTEMEASMCA"/>
            </w:pPr>
            <w:r w:rsidRPr="00CD354A">
              <w:t>23</w:t>
            </w:r>
            <w:r w:rsidRPr="00CD354A">
              <w:noBreakHyphen/>
              <w:t>30 mm.</w:t>
            </w:r>
          </w:p>
        </w:tc>
      </w:tr>
    </w:tbl>
    <w:p w:rsidR="00AC2C19" w:rsidRPr="00CD354A" w:rsidRDefault="00AC2C19" w:rsidP="00AC2C19">
      <w:pPr>
        <w:spacing w:line="240" w:lineRule="auto"/>
        <w:rPr>
          <w:lang w:val="lt-LT"/>
        </w:rPr>
      </w:pPr>
    </w:p>
    <w:p w:rsidR="00AC2C19" w:rsidRPr="00CD354A" w:rsidRDefault="00AC2C19" w:rsidP="00AC2C19">
      <w:pPr>
        <w:spacing w:line="240" w:lineRule="auto"/>
        <w:ind w:left="540" w:hanging="540"/>
        <w:rPr>
          <w:b/>
          <w:lang w:val="lt-LT"/>
        </w:rPr>
      </w:pPr>
      <w:bookmarkStart w:id="43" w:name="_Toc129243113"/>
      <w:bookmarkStart w:id="44" w:name="_Toc129243238"/>
      <w:bookmarkStart w:id="45" w:name="_Ref2695757"/>
      <w:r w:rsidRPr="00CD354A">
        <w:rPr>
          <w:b/>
          <w:lang w:val="lt-LT"/>
        </w:rPr>
        <w:t>5.2</w:t>
      </w:r>
      <w:r w:rsidRPr="00CD354A">
        <w:rPr>
          <w:b/>
          <w:lang w:val="lt-LT"/>
        </w:rPr>
        <w:tab/>
      </w:r>
      <w:proofErr w:type="spellStart"/>
      <w:r w:rsidRPr="00CD354A">
        <w:rPr>
          <w:b/>
          <w:lang w:val="lt-LT"/>
        </w:rPr>
        <w:t>Farmakokinetinės</w:t>
      </w:r>
      <w:proofErr w:type="spellEnd"/>
      <w:r w:rsidRPr="00CD354A">
        <w:rPr>
          <w:b/>
          <w:lang w:val="lt-LT"/>
        </w:rPr>
        <w:t xml:space="preserve"> savybės</w:t>
      </w:r>
      <w:bookmarkEnd w:id="42"/>
      <w:bookmarkEnd w:id="43"/>
      <w:bookmarkEnd w:id="44"/>
      <w:bookmarkEnd w:id="45"/>
    </w:p>
    <w:p w:rsidR="00AC2C19" w:rsidRPr="00CD354A" w:rsidRDefault="00AC2C19" w:rsidP="00AC2C19">
      <w:pPr>
        <w:pStyle w:val="BTEMEASMCA"/>
      </w:pPr>
    </w:p>
    <w:p w:rsidR="00AC2C19" w:rsidRPr="00CD354A" w:rsidRDefault="00AC2C19" w:rsidP="00AC2C19">
      <w:pPr>
        <w:pStyle w:val="BTEMEASMCA"/>
      </w:pPr>
      <w:r w:rsidRPr="00CD354A">
        <w:t>Pavartojus sulbaktamo ir cefoperazono derinio, apie 84</w:t>
      </w:r>
      <w:r>
        <w:t xml:space="preserve"> proc.</w:t>
      </w:r>
      <w:r w:rsidRPr="00CD354A">
        <w:t xml:space="preserve"> sulbaktamo ir 25</w:t>
      </w:r>
      <w:r>
        <w:t xml:space="preserve"> proc.</w:t>
      </w:r>
      <w:r w:rsidRPr="00CD354A">
        <w:t xml:space="preserve"> cefoperazono išsiskiria per inkstus. Iš likusio cefoperazono daugiausiai išsiskiria su tulžimi. Pavartojus sulbaktamo ir cefoperazono derinio, sulbaktamo vidutinis pusinės eliminacijos laikas būna apie 1 val., cefoperazono – 1,7 val. Nustatyta, kad sulbaktamo ir cefoperazono koncentracijos serume būna proporcingos vaistinio preparato dozei. Gauti duomenys atitinka anksčiau aprašytus atskirai vartojamiems sulbaktamui ir cefoperazonui.</w:t>
      </w:r>
    </w:p>
    <w:p w:rsidR="00AC2C19" w:rsidRPr="00CD354A" w:rsidRDefault="00AC2C19" w:rsidP="00AC2C19">
      <w:pPr>
        <w:pStyle w:val="BTEMEASMCA"/>
      </w:pPr>
      <w:r w:rsidRPr="00CD354A">
        <w:t>Pavartojus 2 g sulbaktamo ir cefoperazono derinio (po 1 g sulbaktamo ir cefoperazono) į veną per 5 min., vidutinės didžiausios jų koncentracijos buvo 130,2 µg/ml ir 236,8 µg/ml. Šie duomenys atspindi didesnį sulbaktamo pasiskirstymo tūrį (sulbaktamo – 18</w:t>
      </w:r>
      <w:r w:rsidRPr="00CD354A">
        <w:noBreakHyphen/>
        <w:t>27,6 litro, cefoperazono – 10,2</w:t>
      </w:r>
      <w:r w:rsidRPr="00CD354A">
        <w:noBreakHyphen/>
        <w:t>11,3 litro).</w:t>
      </w:r>
    </w:p>
    <w:p w:rsidR="00AC2C19" w:rsidRPr="00CD354A" w:rsidRDefault="00AC2C19" w:rsidP="00AC2C19">
      <w:pPr>
        <w:pStyle w:val="BTEMEASMCA"/>
      </w:pPr>
    </w:p>
    <w:p w:rsidR="00AC2C19" w:rsidRPr="00CD354A" w:rsidRDefault="00AC2C19" w:rsidP="00AC2C19">
      <w:pPr>
        <w:pStyle w:val="BTEMEASMCA"/>
      </w:pPr>
      <w:r w:rsidRPr="00CD354A">
        <w:t>Sulbaktamas ir cefoperazonas plačiai pasiskirsto įvairiuose audiniuose ir skysčiuose: tulžyje, tulžies pūslėje, odoje, kirmėlinėje ataugoje, kiaušintakiuose, kiaušidėse, gimdoje ir kt.</w:t>
      </w:r>
    </w:p>
    <w:p w:rsidR="00AC2C19" w:rsidRPr="00CD354A" w:rsidRDefault="00AC2C19" w:rsidP="00AC2C19">
      <w:pPr>
        <w:pStyle w:val="BTEMEASMCA"/>
      </w:pPr>
    </w:p>
    <w:p w:rsidR="00AC2C19" w:rsidRPr="00CD354A" w:rsidRDefault="00AC2C19" w:rsidP="00AC2C19">
      <w:pPr>
        <w:spacing w:line="240" w:lineRule="auto"/>
        <w:rPr>
          <w:lang w:val="lt-LT"/>
        </w:rPr>
      </w:pPr>
      <w:r w:rsidRPr="00CD354A">
        <w:rPr>
          <w:noProof/>
          <w:lang w:val="lt-LT"/>
        </w:rPr>
        <w:t>Santykis tarp farmakokinetikos ir farmakodinamikos</w:t>
      </w:r>
    </w:p>
    <w:p w:rsidR="00AC2C19" w:rsidRPr="00CD354A" w:rsidRDefault="00AC2C19" w:rsidP="00AC2C19">
      <w:pPr>
        <w:pStyle w:val="BTEMEASMCA"/>
      </w:pPr>
      <w:r w:rsidRPr="00CD354A">
        <w:t>Duomenų apie sulbaktamo ir cefoperazono farmakokinetinę sąveiką, vartojant jų derinį, nėra.</w:t>
      </w:r>
    </w:p>
    <w:p w:rsidR="00AC2C19" w:rsidRPr="00CD354A" w:rsidRDefault="00AC2C19" w:rsidP="00AC2C19">
      <w:pPr>
        <w:pStyle w:val="BTEMEASMCA"/>
      </w:pPr>
    </w:p>
    <w:p w:rsidR="00AC2C19" w:rsidRPr="00CD354A" w:rsidRDefault="00AC2C19" w:rsidP="00AC2C19">
      <w:pPr>
        <w:pStyle w:val="BTEMEASMCA"/>
      </w:pPr>
      <w:r w:rsidRPr="00CD354A">
        <w:t>Vartojant sulbaktamo ir cefoperazono derinį daugkartinėmis dozėmis, reikšmingų jo komponentų farmakokinetikos pokyčių nepastebėta. Vartojant šį vaistinį preparatą kas 8</w:t>
      </w:r>
      <w:r w:rsidRPr="00CD354A">
        <w:noBreakHyphen/>
        <w:t>12 val., akumuliacijos nepastebėta.</w:t>
      </w:r>
    </w:p>
    <w:p w:rsidR="00AC2C19" w:rsidRPr="00CD354A" w:rsidRDefault="00AC2C19" w:rsidP="00AC2C19">
      <w:pPr>
        <w:pStyle w:val="BTEMEASMCA"/>
      </w:pPr>
    </w:p>
    <w:p w:rsidR="00AC2C19" w:rsidRPr="000B7544" w:rsidRDefault="00AC2C19" w:rsidP="00AC2C19">
      <w:pPr>
        <w:pStyle w:val="BTEMEASMCA"/>
        <w:rPr>
          <w:u w:val="single"/>
        </w:rPr>
      </w:pPr>
      <w:r w:rsidRPr="000B7544">
        <w:rPr>
          <w:u w:val="single"/>
        </w:rPr>
        <w:t>Ypatingos populiacijos</w:t>
      </w:r>
    </w:p>
    <w:p w:rsidR="00AC2C19" w:rsidRPr="00CD354A" w:rsidRDefault="00AC2C19" w:rsidP="00AC2C19">
      <w:pPr>
        <w:spacing w:line="240" w:lineRule="auto"/>
        <w:rPr>
          <w:i/>
          <w:lang w:val="lt-LT"/>
        </w:rPr>
      </w:pPr>
    </w:p>
    <w:p w:rsidR="00AC2C19" w:rsidRPr="00CD354A" w:rsidRDefault="00AC2C19" w:rsidP="00AC2C19">
      <w:pPr>
        <w:spacing w:line="240" w:lineRule="auto"/>
        <w:rPr>
          <w:i/>
          <w:lang w:val="lt-LT"/>
        </w:rPr>
      </w:pPr>
      <w:r w:rsidRPr="00CD354A">
        <w:rPr>
          <w:i/>
          <w:lang w:val="lt-LT"/>
        </w:rPr>
        <w:t>Sutrikusi inkstų funkcija</w:t>
      </w:r>
    </w:p>
    <w:p w:rsidR="00AC2C19" w:rsidRPr="00CD354A" w:rsidRDefault="00AC2C19" w:rsidP="00AC2C19">
      <w:pPr>
        <w:pStyle w:val="BTEMEASMCA"/>
      </w:pPr>
      <w:r w:rsidRPr="00CD354A">
        <w:t>Pacientams, sergantiems įvairaus laipsnio inkstų nepakankamumu, pavartojus sulbaktamo ir cefoperazono derinio, sulbaktamo suminis (organizmo) klirensas stipriai koreliavo su apskaičiuotu kreatinino klirensu. Pacientams, kurių inkstai nefunkcionuoja, nustatytas gerokai ilgesnis sulbaktamo pusinės eliminacijos laikas (skirtingų tyrimų metu – vidutiniškai 6,9 val. ir 9,7 val.). Hemodializė turėjo reikšmingos įtakos sulbaktamo pusinės eliminacijos laikui, suminiam (organizmo) klirensui ir pasiskirstymo tūriui. Reikšmingų cefoperazono farmakokinetikos pokyčių, susijusių su inkstų nepakankamumu, nenustatyta.</w:t>
      </w:r>
    </w:p>
    <w:p w:rsidR="00AC2C19" w:rsidRPr="00CD354A" w:rsidRDefault="00AC2C19" w:rsidP="00AC2C19">
      <w:pPr>
        <w:pStyle w:val="BTEMEASMCA"/>
      </w:pPr>
    </w:p>
    <w:p w:rsidR="00AC2C19" w:rsidRPr="00CD354A" w:rsidRDefault="00AC2C19" w:rsidP="00AC2C19">
      <w:pPr>
        <w:spacing w:line="240" w:lineRule="auto"/>
        <w:contextualSpacing/>
        <w:outlineLvl w:val="0"/>
        <w:rPr>
          <w:i/>
          <w:iCs/>
          <w:color w:val="000000"/>
          <w:lang w:val="lt-LT"/>
        </w:rPr>
      </w:pPr>
      <w:r w:rsidRPr="00CD354A">
        <w:rPr>
          <w:i/>
          <w:iCs/>
          <w:color w:val="000000"/>
          <w:lang w:val="lt-LT"/>
        </w:rPr>
        <w:t>Sutrikusi kepenų funkcija</w:t>
      </w:r>
    </w:p>
    <w:p w:rsidR="00AC2C19" w:rsidRPr="00CD354A" w:rsidRDefault="00AC2C19" w:rsidP="00AC2C19">
      <w:pPr>
        <w:pStyle w:val="BTEMEASMCA"/>
        <w:rPr>
          <w:i/>
        </w:rPr>
      </w:pPr>
      <w:r w:rsidRPr="00CD354A">
        <w:t>Žr. 4.4 skyrių</w:t>
      </w:r>
      <w:r w:rsidRPr="00CD354A">
        <w:rPr>
          <w:i/>
        </w:rPr>
        <w:t>.</w:t>
      </w:r>
    </w:p>
    <w:p w:rsidR="00AC2C19" w:rsidRPr="00CD354A" w:rsidRDefault="00AC2C19" w:rsidP="00AC2C19">
      <w:pPr>
        <w:pStyle w:val="BTEMEASMCA"/>
      </w:pPr>
    </w:p>
    <w:p w:rsidR="00AC2C19" w:rsidRPr="00CD354A" w:rsidRDefault="00AC2C19" w:rsidP="00AC2C19">
      <w:pPr>
        <w:spacing w:line="240" w:lineRule="auto"/>
        <w:rPr>
          <w:i/>
          <w:lang w:val="lt-LT"/>
        </w:rPr>
      </w:pPr>
      <w:r w:rsidRPr="00CD354A">
        <w:rPr>
          <w:i/>
          <w:lang w:val="lt-LT"/>
        </w:rPr>
        <w:t>Senyviems &gt; 65 metų pacientams</w:t>
      </w:r>
    </w:p>
    <w:p w:rsidR="00AC2C19" w:rsidRPr="00CD354A" w:rsidRDefault="00AC2C19" w:rsidP="00AC2C19">
      <w:pPr>
        <w:pStyle w:val="BTEMEASMCA"/>
      </w:pPr>
      <w:r w:rsidRPr="00CD354A">
        <w:t>Sulbaktamo ir cefoperazono derinio farmakokinetika tirta senyvų žmonių, kurių inkstų ir kepenų funkcija sutrikusi, organizme. Jiems nustatytas ilgesnis sulbaktamo ir cefoperazono pusinės eliminacijos laikas, mažesnis klirensas bei didesnis pasiskirstymo tūris negu sveikiems savanoriams. Sulbaktamo farmakokinetikos rodikliai gerai koreliavo su inkstų nepakankamumo laipsniu, o cefoperazono – su kepenų nepakankamumo laipsniu.</w:t>
      </w:r>
    </w:p>
    <w:p w:rsidR="00AC2C19" w:rsidRPr="00CD354A" w:rsidRDefault="00AC2C19" w:rsidP="00AC2C19">
      <w:pPr>
        <w:pStyle w:val="BTEMEASMCA"/>
      </w:pPr>
    </w:p>
    <w:p w:rsidR="00AC2C19" w:rsidRPr="00CD354A" w:rsidRDefault="00AC2C19" w:rsidP="00AC2C19">
      <w:pPr>
        <w:spacing w:line="240" w:lineRule="auto"/>
        <w:rPr>
          <w:i/>
          <w:lang w:val="lt-LT"/>
        </w:rPr>
      </w:pPr>
      <w:r w:rsidRPr="00CD354A">
        <w:rPr>
          <w:i/>
          <w:lang w:val="lt-LT"/>
        </w:rPr>
        <w:t>Vaikų populiacija</w:t>
      </w:r>
    </w:p>
    <w:p w:rsidR="00AC2C19" w:rsidRPr="00CD354A" w:rsidRDefault="00AC2C19" w:rsidP="00AC2C19">
      <w:pPr>
        <w:pStyle w:val="BTEMEASMCA"/>
      </w:pPr>
      <w:r w:rsidRPr="00CD354A">
        <w:t>Su vaikais atlikti tyrimai parodė, kad sulbaktamo ir cefoperazono derinio komponentų farmakokinetikos rodikliai jų organizme reikšmingai nesiskiria nuo suaugusiųjų. Sulbaktamo vidutinis pusinės eliminacijos laikas vaikams yra 0,91</w:t>
      </w:r>
      <w:r w:rsidRPr="00CD354A">
        <w:noBreakHyphen/>
        <w:t>1,42 val., cefoperazono – 1,44</w:t>
      </w:r>
      <w:r w:rsidRPr="00CD354A">
        <w:noBreakHyphen/>
        <w:t>1,88 val.</w:t>
      </w:r>
    </w:p>
    <w:p w:rsidR="00AC2C19" w:rsidRPr="00CD354A" w:rsidRDefault="00AC2C19" w:rsidP="00AC2C19">
      <w:pPr>
        <w:pStyle w:val="BTEMEASMCA"/>
      </w:pPr>
    </w:p>
    <w:p w:rsidR="00AC2C19" w:rsidRPr="00CD354A" w:rsidRDefault="00AC2C19" w:rsidP="00AC2C19">
      <w:pPr>
        <w:spacing w:line="240" w:lineRule="auto"/>
        <w:ind w:left="540" w:hanging="540"/>
        <w:rPr>
          <w:b/>
          <w:lang w:val="lt-LT"/>
        </w:rPr>
      </w:pPr>
      <w:bookmarkStart w:id="46" w:name="_Toc129243114"/>
      <w:bookmarkStart w:id="47" w:name="_Toc129243239"/>
      <w:bookmarkStart w:id="48" w:name="_Ref2304556"/>
      <w:r w:rsidRPr="00CD354A">
        <w:rPr>
          <w:b/>
          <w:lang w:val="lt-LT"/>
        </w:rPr>
        <w:t>5.3</w:t>
      </w:r>
      <w:r w:rsidRPr="00CD354A">
        <w:rPr>
          <w:b/>
          <w:lang w:val="lt-LT"/>
        </w:rPr>
        <w:tab/>
      </w:r>
      <w:proofErr w:type="spellStart"/>
      <w:r w:rsidRPr="00CD354A">
        <w:rPr>
          <w:b/>
          <w:lang w:val="lt-LT"/>
        </w:rPr>
        <w:t>Ikiklinikinių</w:t>
      </w:r>
      <w:proofErr w:type="spellEnd"/>
      <w:r w:rsidRPr="00CD354A">
        <w:rPr>
          <w:b/>
          <w:lang w:val="lt-LT"/>
        </w:rPr>
        <w:t xml:space="preserve"> saugumo tyrimų duomenys</w:t>
      </w:r>
      <w:bookmarkEnd w:id="46"/>
      <w:bookmarkEnd w:id="47"/>
      <w:bookmarkEnd w:id="48"/>
    </w:p>
    <w:p w:rsidR="00AC2C19" w:rsidRPr="00CD354A" w:rsidRDefault="00AC2C19" w:rsidP="00AC2C19">
      <w:pPr>
        <w:spacing w:line="240" w:lineRule="auto"/>
        <w:rPr>
          <w:lang w:val="lt-LT"/>
        </w:rPr>
      </w:pPr>
    </w:p>
    <w:p w:rsidR="00AC2C19" w:rsidRPr="00CD354A" w:rsidRDefault="00AC2C19" w:rsidP="00AC2C19">
      <w:pPr>
        <w:pStyle w:val="BTEMEASMCA"/>
      </w:pPr>
      <w:r w:rsidRPr="00CD354A">
        <w:t>Visos tirtos cefoperazono dozės pakenkė nesubrendusių žiurkių sėklidėms. Po oda vartojama 1 g/kg paros dozė (ji yra maždaug 16 kartų didesnė negu vidutinė suaugusiam žmogui) sukėlė sėklidžių svorio sumažėjimą, sustabdė spermatogenezę, sumažino germinacinių ląstelių populiaciją ir lėmė vakuolių susidarymą Sertoli ląstelių citoplazmoje. Vartojant šį vaistinį preparatą 0,1</w:t>
      </w:r>
      <w:r w:rsidRPr="00CD354A">
        <w:noBreakHyphen/>
        <w:t>1 g/kg paros dozėmis, minėtų pokyčių ryškumas priklausė nuo dozės. Maža dozė sukėlė mažesnį spermatocitų skaičiaus sumažėjimą. Suaugusioms žiurkėms tokio poveikio nepastebėta. Histologiniai pokyčiai (išskyrus sukeltus didžiausios dozės) buvo laikini. Vėlesnis žiurkių dauginimosi funkcijos vystymasis šių tyrimų metu nevertintas. Gautų duomenų reikšmė žmogui neaiški.</w:t>
      </w:r>
    </w:p>
    <w:p w:rsidR="00AC2C19" w:rsidRPr="00CD354A" w:rsidRDefault="00AC2C19" w:rsidP="00AC2C19">
      <w:pPr>
        <w:pStyle w:val="BTEMEASMCA"/>
      </w:pPr>
    </w:p>
    <w:p w:rsidR="00AC2C19" w:rsidRPr="00CD354A" w:rsidRDefault="00AC2C19" w:rsidP="00AC2C19">
      <w:pPr>
        <w:pStyle w:val="BTEMEASMCA"/>
      </w:pPr>
      <w:r w:rsidRPr="00CD354A">
        <w:t>Sulbaktamo ir cefoperazono derinys (1:1), vieną mėnesį švirkštas žiurkių naujagimiams po oda 300 mg/kg ir 300 mg/kg paros dozėmis, sukėlė sėklidžių svorio sumažėjimą ir sutrikdė sėklinių kanalėlių brendimą. Vis dėlto žiurkių jauniklių sėklidžių subrendimo laipsnis labai skiriasi, o nesubrendusių sėklidžių rasta ir kontrolinės grupės gyvūnams, todėl šių duomenų reikšmė neaiški. Šunų jaunikliams sulbaktamo ir cefoperazono derinio dozės, daugiau 10 kartų didesnės negu vidutinė suaugusiam žmogui, minėtų poveikių nesukėlė.</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spacing w:line="240" w:lineRule="auto"/>
        <w:ind w:left="540" w:hanging="540"/>
        <w:rPr>
          <w:b/>
          <w:lang w:val="lt-LT"/>
        </w:rPr>
      </w:pPr>
      <w:bookmarkStart w:id="49" w:name="_Toc129243115"/>
      <w:bookmarkStart w:id="50" w:name="_Toc129243240"/>
      <w:r w:rsidRPr="00CD354A">
        <w:rPr>
          <w:b/>
          <w:lang w:val="lt-LT"/>
        </w:rPr>
        <w:t>6.</w:t>
      </w:r>
      <w:r w:rsidRPr="00CD354A">
        <w:rPr>
          <w:b/>
          <w:lang w:val="lt-LT"/>
        </w:rPr>
        <w:tab/>
        <w:t>FARMACINĖ INFORMACIJA</w:t>
      </w:r>
      <w:bookmarkEnd w:id="49"/>
      <w:bookmarkEnd w:id="50"/>
    </w:p>
    <w:p w:rsidR="00AC2C19" w:rsidRPr="00CD354A" w:rsidRDefault="00AC2C19" w:rsidP="00AC2C19">
      <w:pPr>
        <w:spacing w:line="240" w:lineRule="auto"/>
        <w:rPr>
          <w:lang w:val="lt-LT"/>
        </w:rPr>
      </w:pPr>
    </w:p>
    <w:p w:rsidR="00AC2C19" w:rsidRPr="00CD354A" w:rsidRDefault="00AC2C19" w:rsidP="00AC2C19">
      <w:pPr>
        <w:spacing w:line="240" w:lineRule="auto"/>
        <w:ind w:left="540" w:hanging="540"/>
        <w:rPr>
          <w:b/>
          <w:lang w:val="lt-LT"/>
        </w:rPr>
      </w:pPr>
      <w:bookmarkStart w:id="51" w:name="_Toc129243116"/>
      <w:bookmarkStart w:id="52" w:name="_Toc129243241"/>
      <w:r w:rsidRPr="00CD354A">
        <w:rPr>
          <w:b/>
          <w:lang w:val="lt-LT"/>
        </w:rPr>
        <w:t>6.1</w:t>
      </w:r>
      <w:r w:rsidRPr="00CD354A">
        <w:rPr>
          <w:b/>
          <w:lang w:val="lt-LT"/>
        </w:rPr>
        <w:tab/>
        <w:t>Pagalbinių medžiagų sąrašas</w:t>
      </w:r>
      <w:bookmarkEnd w:id="51"/>
      <w:bookmarkEnd w:id="52"/>
    </w:p>
    <w:p w:rsidR="00AC2C19" w:rsidRPr="00CD354A" w:rsidRDefault="00AC2C19" w:rsidP="00AC2C19">
      <w:pPr>
        <w:pStyle w:val="BTEMEASMCA"/>
      </w:pPr>
    </w:p>
    <w:p w:rsidR="00AC2C19" w:rsidRPr="00CD354A" w:rsidRDefault="00AC2C19" w:rsidP="00AC2C19">
      <w:pPr>
        <w:pStyle w:val="BTEMEASMCA"/>
      </w:pPr>
      <w:r w:rsidRPr="00CD354A">
        <w:t>Nėra.</w:t>
      </w:r>
    </w:p>
    <w:p w:rsidR="00AC2C19" w:rsidRPr="00CD354A" w:rsidRDefault="00AC2C19" w:rsidP="00AC2C19">
      <w:pPr>
        <w:pStyle w:val="BTEMEASMCA"/>
      </w:pPr>
    </w:p>
    <w:p w:rsidR="00AC2C19" w:rsidRPr="00CD354A" w:rsidRDefault="00AC2C19" w:rsidP="00AC2C19">
      <w:pPr>
        <w:spacing w:line="240" w:lineRule="auto"/>
        <w:ind w:left="540" w:hanging="540"/>
        <w:rPr>
          <w:b/>
          <w:lang w:val="lt-LT"/>
        </w:rPr>
      </w:pPr>
      <w:bookmarkStart w:id="53" w:name="_Toc129243117"/>
      <w:bookmarkStart w:id="54" w:name="_Toc129243242"/>
      <w:bookmarkStart w:id="55" w:name="_Ref2304733"/>
      <w:r w:rsidRPr="00CD354A">
        <w:rPr>
          <w:b/>
          <w:lang w:val="lt-LT"/>
        </w:rPr>
        <w:t>6.2</w:t>
      </w:r>
      <w:r w:rsidRPr="00CD354A">
        <w:rPr>
          <w:b/>
          <w:lang w:val="lt-LT"/>
        </w:rPr>
        <w:tab/>
        <w:t>Nesuderinamumas</w:t>
      </w:r>
      <w:bookmarkEnd w:id="53"/>
      <w:bookmarkEnd w:id="54"/>
      <w:bookmarkEnd w:id="55"/>
    </w:p>
    <w:p w:rsidR="00AC2C19" w:rsidRPr="00CD354A" w:rsidRDefault="00AC2C19" w:rsidP="00AC2C19">
      <w:pPr>
        <w:spacing w:line="240" w:lineRule="auto"/>
        <w:rPr>
          <w:lang w:val="lt-LT"/>
        </w:rPr>
      </w:pPr>
    </w:p>
    <w:p w:rsidR="00AC2C19" w:rsidRPr="00CD354A" w:rsidRDefault="00AC2C19" w:rsidP="00AC2C19">
      <w:pPr>
        <w:spacing w:line="240" w:lineRule="auto"/>
        <w:rPr>
          <w:i/>
          <w:lang w:val="lt-LT"/>
        </w:rPr>
      </w:pPr>
      <w:bookmarkStart w:id="56" w:name="_Ref2313843"/>
      <w:proofErr w:type="spellStart"/>
      <w:r w:rsidRPr="00CD354A">
        <w:rPr>
          <w:i/>
          <w:lang w:val="lt-LT"/>
        </w:rPr>
        <w:t>Aminoglikozidai</w:t>
      </w:r>
      <w:bookmarkEnd w:id="56"/>
      <w:proofErr w:type="spellEnd"/>
    </w:p>
    <w:p w:rsidR="00AC2C19" w:rsidRPr="00CD354A" w:rsidRDefault="00AC2C19" w:rsidP="00AC2C19">
      <w:pPr>
        <w:pStyle w:val="BTEMEASMCA"/>
      </w:pPr>
      <w:r w:rsidRPr="00CD354A">
        <w:t xml:space="preserve">Sulbaktamo ir cefoperazono derinio tirpalų nereikėtų maišyti su aminoglikozidų tirpalais, kadangi tarp jų yra fizinis nesuderinamumas. Jei cefoperazono ir aminoglikozidų grupės antibiotiko skiriama kartu (žr. 4.1 skyriuje poskyrį </w:t>
      </w:r>
      <w:r w:rsidRPr="00CD354A">
        <w:rPr>
          <w:i/>
        </w:rPr>
        <w:t>,,Sudėtinis gydymas“</w:t>
      </w:r>
      <w:r w:rsidRPr="00CD354A">
        <w:t>), šiuos vaistinius preparatus galima infuzuoti į veną vieną po kito, tačiau antriniai intraveniniai vamzdeliai turi būti atskiri, o pagrindinį intraveninį vamzdelį reikia gerai išplauti tinkamu skiedikliu po pirmojo vaistinio preparato infuzijos. Nuo sulbaktamo ir cefoperazono derinio iki aminoglikozido vartojimo turėtų praeiti kuo daugiau laiko.</w:t>
      </w:r>
    </w:p>
    <w:p w:rsidR="00AC2C19" w:rsidRPr="00CD354A" w:rsidRDefault="00AC2C19" w:rsidP="00AC2C19">
      <w:pPr>
        <w:pStyle w:val="BTEMEASMCA"/>
      </w:pPr>
    </w:p>
    <w:p w:rsidR="00AC2C19" w:rsidRPr="00CD354A" w:rsidRDefault="00AC2C19" w:rsidP="00AC2C19">
      <w:pPr>
        <w:spacing w:line="240" w:lineRule="auto"/>
        <w:rPr>
          <w:i/>
          <w:lang w:val="lt-LT"/>
        </w:rPr>
      </w:pPr>
      <w:bookmarkStart w:id="57" w:name="_Ref2305476"/>
      <w:proofErr w:type="spellStart"/>
      <w:r w:rsidRPr="00CD354A">
        <w:rPr>
          <w:i/>
          <w:lang w:val="lt-LT"/>
        </w:rPr>
        <w:t>Laktatinis</w:t>
      </w:r>
      <w:proofErr w:type="spellEnd"/>
      <w:r w:rsidRPr="00CD354A">
        <w:rPr>
          <w:i/>
          <w:lang w:val="lt-LT"/>
        </w:rPr>
        <w:t xml:space="preserve"> </w:t>
      </w:r>
      <w:proofErr w:type="spellStart"/>
      <w:r w:rsidRPr="00CD354A">
        <w:rPr>
          <w:i/>
          <w:lang w:val="lt-LT"/>
        </w:rPr>
        <w:t>Ringerio</w:t>
      </w:r>
      <w:proofErr w:type="spellEnd"/>
      <w:r w:rsidRPr="00CD354A">
        <w:rPr>
          <w:i/>
          <w:lang w:val="lt-LT"/>
        </w:rPr>
        <w:t xml:space="preserve"> tirpalas</w:t>
      </w:r>
      <w:bookmarkEnd w:id="57"/>
    </w:p>
    <w:p w:rsidR="00AC2C19" w:rsidRPr="00CD354A" w:rsidRDefault="00AC2C19" w:rsidP="00AC2C19">
      <w:pPr>
        <w:pStyle w:val="BTEMEASMCA"/>
      </w:pPr>
      <w:r w:rsidRPr="00CD354A">
        <w:t>SULPERAZON nereikėtų tirpinti laktatiniame Ringerio tirpale dėl nesuderinamumo, tačiau, iš pradžių jį ištirpinus injekciniame vandenyje ir tirpalą atskiedus laktatiniu Ringerio tirpalu, gautojo tirpalo komponentai būna suderinami (žr. 6.6 skyriuje poskyrį ,,</w:t>
      </w:r>
      <w:r w:rsidRPr="00CD354A">
        <w:fldChar w:fldCharType="begin"/>
      </w:r>
      <w:r w:rsidRPr="00CD354A">
        <w:instrText xml:space="preserve"> REF _Ref2305505 \h  \* MERGEFORMAT </w:instrText>
      </w:r>
      <w:r w:rsidRPr="00CD354A">
        <w:fldChar w:fldCharType="separate"/>
      </w:r>
      <w:r w:rsidRPr="00CD354A">
        <w:rPr>
          <w:i/>
        </w:rPr>
        <w:t>Laktatinis Ringerio tirpalas</w:t>
      </w:r>
      <w:r w:rsidRPr="00CD354A">
        <w:fldChar w:fldCharType="end"/>
      </w:r>
      <w:r w:rsidRPr="00CD354A">
        <w:rPr>
          <w:i/>
        </w:rPr>
        <w:t>”</w:t>
      </w:r>
      <w:r w:rsidRPr="00CD354A">
        <w:t>).</w:t>
      </w:r>
    </w:p>
    <w:p w:rsidR="00AC2C19" w:rsidRPr="00CD354A" w:rsidRDefault="00AC2C19" w:rsidP="00AC2C19">
      <w:pPr>
        <w:pStyle w:val="BTEMEASMCA"/>
      </w:pPr>
      <w:bookmarkStart w:id="58" w:name="_Ref2305738"/>
      <w:bookmarkStart w:id="59" w:name="_Ref2305329"/>
    </w:p>
    <w:p w:rsidR="00AC2C19" w:rsidRPr="00CD354A" w:rsidRDefault="00AC2C19" w:rsidP="00AC2C19">
      <w:pPr>
        <w:spacing w:line="240" w:lineRule="auto"/>
        <w:rPr>
          <w:i/>
          <w:lang w:val="lt-LT"/>
        </w:rPr>
      </w:pPr>
      <w:proofErr w:type="spellStart"/>
      <w:r w:rsidRPr="00CD354A">
        <w:rPr>
          <w:i/>
          <w:lang w:val="lt-LT"/>
        </w:rPr>
        <w:t>Lidokainas</w:t>
      </w:r>
      <w:bookmarkEnd w:id="58"/>
      <w:proofErr w:type="spellEnd"/>
    </w:p>
    <w:p w:rsidR="00AC2C19" w:rsidRPr="00CD354A" w:rsidRDefault="00AC2C19" w:rsidP="00AC2C19">
      <w:pPr>
        <w:pStyle w:val="BTEMEASMCA"/>
      </w:pPr>
      <w:r w:rsidRPr="00CD354A">
        <w:t>SULPERAZON nereikėtų tirpinti 2</w:t>
      </w:r>
      <w:r>
        <w:t xml:space="preserve"> proc.</w:t>
      </w:r>
      <w:r w:rsidRPr="00CD354A">
        <w:t xml:space="preserve"> lidokaino hidrochloride dėl nesuderinamumo, tačiau, iš pradžių jį ištirpinus injekciniame vandenyje ir tirpalą atskiedus 2 </w:t>
      </w:r>
      <w:r>
        <w:t>proc.</w:t>
      </w:r>
      <w:r w:rsidRPr="00CD354A">
        <w:t xml:space="preserve"> lidokaino hidrochloridu, gautojo tirpalo komponentai būna suderinami (žr. 6.6 skyriuje poskyrį ,,</w:t>
      </w:r>
      <w:r w:rsidRPr="00CD354A">
        <w:fldChar w:fldCharType="begin"/>
      </w:r>
      <w:r w:rsidRPr="00CD354A">
        <w:instrText xml:space="preserve"> REF _Ref2305744 \h  \* MERGEFORMAT </w:instrText>
      </w:r>
      <w:r w:rsidRPr="00CD354A">
        <w:fldChar w:fldCharType="separate"/>
      </w:r>
      <w:r w:rsidRPr="00CD354A">
        <w:rPr>
          <w:i/>
        </w:rPr>
        <w:t>Lidokainas</w:t>
      </w:r>
      <w:r w:rsidRPr="00CD354A">
        <w:fldChar w:fldCharType="end"/>
      </w:r>
      <w:r w:rsidRPr="00CD354A">
        <w:rPr>
          <w:i/>
        </w:rPr>
        <w:t>”</w:t>
      </w:r>
      <w:r w:rsidRPr="00CD354A">
        <w:t>).</w:t>
      </w:r>
    </w:p>
    <w:bookmarkEnd w:id="59"/>
    <w:p w:rsidR="00AC2C19" w:rsidRPr="00CD354A" w:rsidRDefault="00AC2C19" w:rsidP="00AC2C19">
      <w:pPr>
        <w:pStyle w:val="BTEMEASMCA"/>
      </w:pPr>
    </w:p>
    <w:p w:rsidR="00AC2C19" w:rsidRPr="00CD354A" w:rsidRDefault="00AC2C19" w:rsidP="00AC2C19">
      <w:pPr>
        <w:spacing w:line="240" w:lineRule="auto"/>
        <w:ind w:left="540" w:hanging="540"/>
        <w:rPr>
          <w:b/>
          <w:lang w:val="lt-LT"/>
        </w:rPr>
      </w:pPr>
      <w:bookmarkStart w:id="60" w:name="_Toc129243118"/>
      <w:bookmarkStart w:id="61" w:name="_Toc129243243"/>
      <w:r w:rsidRPr="00CD354A">
        <w:rPr>
          <w:b/>
          <w:lang w:val="lt-LT"/>
        </w:rPr>
        <w:t>6.3</w:t>
      </w:r>
      <w:r w:rsidRPr="00CD354A">
        <w:rPr>
          <w:b/>
          <w:lang w:val="lt-LT"/>
        </w:rPr>
        <w:tab/>
        <w:t>Tinkamumo laikas</w:t>
      </w:r>
      <w:bookmarkEnd w:id="60"/>
      <w:bookmarkEnd w:id="61"/>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r w:rsidRPr="00CD354A">
        <w:rPr>
          <w:lang w:val="lt-LT"/>
        </w:rPr>
        <w:t>2 metai.</w:t>
      </w:r>
    </w:p>
    <w:p w:rsidR="00AC2C19" w:rsidRPr="00CD354A" w:rsidRDefault="00AC2C19" w:rsidP="00AC2C19">
      <w:pPr>
        <w:spacing w:line="240" w:lineRule="auto"/>
        <w:rPr>
          <w:lang w:val="lt-LT"/>
        </w:rPr>
      </w:pPr>
      <w:r w:rsidRPr="00CD354A">
        <w:rPr>
          <w:lang w:val="lt-LT"/>
        </w:rPr>
        <w:t>Paruoštas tirpalas turi būti vartojamas iš karto.</w:t>
      </w:r>
    </w:p>
    <w:p w:rsidR="00AC2C19" w:rsidRPr="00CD354A" w:rsidRDefault="00AC2C19" w:rsidP="00AC2C19">
      <w:pPr>
        <w:spacing w:line="240" w:lineRule="auto"/>
        <w:rPr>
          <w:lang w:val="lt-LT"/>
        </w:rPr>
      </w:pPr>
    </w:p>
    <w:p w:rsidR="00AC2C19" w:rsidRPr="00CD354A" w:rsidRDefault="00AC2C19" w:rsidP="00AC2C19">
      <w:pPr>
        <w:spacing w:line="240" w:lineRule="auto"/>
        <w:ind w:left="540" w:hanging="540"/>
        <w:rPr>
          <w:b/>
          <w:lang w:val="lt-LT"/>
        </w:rPr>
      </w:pPr>
      <w:bookmarkStart w:id="62" w:name="_Toc129243119"/>
      <w:bookmarkStart w:id="63" w:name="_Toc129243244"/>
      <w:r w:rsidRPr="00CD354A">
        <w:rPr>
          <w:b/>
          <w:lang w:val="lt-LT"/>
        </w:rPr>
        <w:t>6.4</w:t>
      </w:r>
      <w:r w:rsidRPr="00CD354A">
        <w:rPr>
          <w:b/>
          <w:lang w:val="lt-LT"/>
        </w:rPr>
        <w:tab/>
        <w:t>Specialios laikymo sąlygos</w:t>
      </w:r>
      <w:bookmarkEnd w:id="62"/>
      <w:bookmarkEnd w:id="63"/>
    </w:p>
    <w:p w:rsidR="00AC2C19" w:rsidRPr="00CD354A" w:rsidRDefault="00AC2C19" w:rsidP="00AC2C19">
      <w:pPr>
        <w:pStyle w:val="BTEMEASMCA"/>
      </w:pPr>
    </w:p>
    <w:p w:rsidR="00AC2C19" w:rsidRPr="00CD354A" w:rsidRDefault="00AC2C19" w:rsidP="00AC2C19">
      <w:pPr>
        <w:pStyle w:val="BTEMEASMCA"/>
      </w:pPr>
      <w:r w:rsidRPr="00CD354A">
        <w:t>Laikyti žemesnėje kaip 25 </w:t>
      </w:r>
      <w:r w:rsidRPr="00CD354A">
        <w:sym w:font="Symbol" w:char="F0B0"/>
      </w:r>
      <w:r w:rsidRPr="00CD354A">
        <w:t>C temperatūroje.</w:t>
      </w:r>
    </w:p>
    <w:p w:rsidR="00AC2C19" w:rsidRPr="00CD354A" w:rsidRDefault="00AC2C19" w:rsidP="00AC2C19">
      <w:pPr>
        <w:pStyle w:val="BTEMEASMCA"/>
      </w:pPr>
      <w:r>
        <w:t>Flakon</w:t>
      </w:r>
      <w:r w:rsidRPr="00CD354A">
        <w:t>ą laikyti išorinėje dėžutėje, kad preparatas būtų apsaugotas nuo šviesos.</w:t>
      </w:r>
    </w:p>
    <w:p w:rsidR="00AC2C19" w:rsidRPr="00CD354A" w:rsidRDefault="00AC2C19" w:rsidP="00AC2C19">
      <w:pPr>
        <w:pStyle w:val="BTEMEASMCA"/>
      </w:pPr>
      <w:r w:rsidRPr="00CD354A">
        <w:t>Paruošto vaistinio preparato laikymo sąlygos nurodytos 6.3 skyriuje.</w:t>
      </w:r>
    </w:p>
    <w:p w:rsidR="00AC2C19" w:rsidRPr="00CD354A" w:rsidRDefault="00AC2C19" w:rsidP="00AC2C19">
      <w:pPr>
        <w:pStyle w:val="BTEMEASMCA"/>
      </w:pPr>
    </w:p>
    <w:p w:rsidR="00AC2C19" w:rsidRPr="00CD354A" w:rsidRDefault="00AC2C19" w:rsidP="00AC2C19">
      <w:pPr>
        <w:spacing w:line="240" w:lineRule="auto"/>
        <w:ind w:left="540" w:hanging="540"/>
        <w:rPr>
          <w:b/>
          <w:lang w:val="lt-LT"/>
        </w:rPr>
      </w:pPr>
      <w:bookmarkStart w:id="64" w:name="_Toc129243120"/>
      <w:bookmarkStart w:id="65" w:name="_Toc129243245"/>
      <w:r w:rsidRPr="00CD354A">
        <w:rPr>
          <w:b/>
          <w:lang w:val="lt-LT"/>
        </w:rPr>
        <w:t>6.5</w:t>
      </w:r>
      <w:r w:rsidRPr="00CD354A">
        <w:rPr>
          <w:b/>
          <w:lang w:val="lt-LT"/>
        </w:rPr>
        <w:tab/>
      </w:r>
      <w:proofErr w:type="spellStart"/>
      <w:r w:rsidRPr="00CD354A">
        <w:rPr>
          <w:b/>
          <w:lang w:val="lt-LT"/>
        </w:rPr>
        <w:t>Talpyklės</w:t>
      </w:r>
      <w:proofErr w:type="spellEnd"/>
      <w:r w:rsidRPr="00CD354A">
        <w:rPr>
          <w:b/>
          <w:lang w:val="lt-LT"/>
        </w:rPr>
        <w:t xml:space="preserve"> pobūdis ir jos turinys</w:t>
      </w:r>
      <w:bookmarkEnd w:id="64"/>
      <w:bookmarkEnd w:id="65"/>
    </w:p>
    <w:p w:rsidR="00AC2C19" w:rsidRPr="00CD354A" w:rsidRDefault="00AC2C19" w:rsidP="00AC2C19">
      <w:pPr>
        <w:pStyle w:val="BTEMEASMCA"/>
      </w:pPr>
    </w:p>
    <w:p w:rsidR="00AC2C19" w:rsidRPr="00CD354A" w:rsidRDefault="00AC2C19" w:rsidP="00AC2C19">
      <w:pPr>
        <w:pStyle w:val="BTEMEASMCA"/>
      </w:pPr>
      <w:r>
        <w:rPr>
          <w:lang w:val="en-US"/>
        </w:rPr>
        <w:t>Skaidraus, bespalvio</w:t>
      </w:r>
      <w:r w:rsidRPr="00CD354A">
        <w:t xml:space="preserve"> I tipo </w:t>
      </w:r>
      <w:r>
        <w:rPr>
          <w:lang w:val="en-US"/>
        </w:rPr>
        <w:t>stiklo flakonas</w:t>
      </w:r>
      <w:r w:rsidRPr="00CD354A">
        <w:t xml:space="preserve"> su pilku halobutilo</w:t>
      </w:r>
      <w:r>
        <w:rPr>
          <w:lang w:val="en-US"/>
        </w:rPr>
        <w:t xml:space="preserve"> gumos be latekso</w:t>
      </w:r>
      <w:r w:rsidRPr="00CD354A">
        <w:t xml:space="preserve"> ar cholorobutilo</w:t>
      </w:r>
      <w:r>
        <w:rPr>
          <w:lang w:val="en-US"/>
        </w:rPr>
        <w:t xml:space="preserve"> gumos</w:t>
      </w:r>
      <w:r w:rsidRPr="00CD354A">
        <w:t xml:space="preserve"> kamščiu</w:t>
      </w:r>
      <w:r>
        <w:rPr>
          <w:lang w:val="lt-LT"/>
        </w:rPr>
        <w:t>,</w:t>
      </w:r>
      <w:r w:rsidRPr="00CD354A">
        <w:t xml:space="preserve"> </w:t>
      </w:r>
      <w:r>
        <w:rPr>
          <w:lang w:val="lt-LT"/>
        </w:rPr>
        <w:t>uždarytas</w:t>
      </w:r>
      <w:r w:rsidRPr="00CD354A">
        <w:t xml:space="preserve"> su aliuminio gaubteliu </w:t>
      </w:r>
      <w:r>
        <w:rPr>
          <w:lang w:val="lt-LT"/>
        </w:rPr>
        <w:t>i</w:t>
      </w:r>
      <w:r w:rsidRPr="00CD354A">
        <w:t xml:space="preserve">r lengvai nuplėšiamu aliuminio dangteliu. Kartono dėžutėje yra vienas </w:t>
      </w:r>
      <w:r>
        <w:t>flakon</w:t>
      </w:r>
      <w:r w:rsidRPr="00CD354A">
        <w:t>as, kuriame yra 2 g miltelių injekciniam ar infuziniam tirpalui.</w:t>
      </w:r>
    </w:p>
    <w:p w:rsidR="00AC2C19" w:rsidRPr="00CD354A" w:rsidRDefault="00AC2C19" w:rsidP="00AC2C19">
      <w:pPr>
        <w:pStyle w:val="BTEMEASMCA"/>
      </w:pPr>
    </w:p>
    <w:p w:rsidR="00AC2C19" w:rsidRPr="00CD354A" w:rsidRDefault="00AC2C19" w:rsidP="00AC2C19">
      <w:pPr>
        <w:spacing w:line="240" w:lineRule="auto"/>
        <w:ind w:left="540" w:hanging="540"/>
        <w:rPr>
          <w:b/>
          <w:lang w:val="lt-LT"/>
        </w:rPr>
      </w:pPr>
      <w:bookmarkStart w:id="66" w:name="_Ref2305221"/>
      <w:bookmarkStart w:id="67" w:name="_Toc129243121"/>
      <w:bookmarkStart w:id="68" w:name="_Toc129243246"/>
      <w:r w:rsidRPr="00CD354A">
        <w:rPr>
          <w:b/>
          <w:lang w:val="lt-LT"/>
        </w:rPr>
        <w:t>6.6</w:t>
      </w:r>
      <w:bookmarkEnd w:id="66"/>
      <w:r w:rsidRPr="00CD354A">
        <w:rPr>
          <w:b/>
          <w:lang w:val="lt-LT"/>
        </w:rPr>
        <w:tab/>
        <w:t>Specialūs reikalavimai atliekoms tvarkyti ir vaistiniam preparatui ruošti</w:t>
      </w:r>
      <w:bookmarkEnd w:id="67"/>
      <w:bookmarkEnd w:id="68"/>
    </w:p>
    <w:p w:rsidR="00AC2C19" w:rsidRPr="00CD354A" w:rsidRDefault="00AC2C19" w:rsidP="00AC2C19">
      <w:pPr>
        <w:spacing w:line="240" w:lineRule="auto"/>
        <w:rPr>
          <w:lang w:val="lt-LT"/>
        </w:rPr>
      </w:pPr>
    </w:p>
    <w:p w:rsidR="00AC2C19" w:rsidRPr="00CD354A" w:rsidRDefault="00AC2C19" w:rsidP="00AC2C19">
      <w:pPr>
        <w:spacing w:line="240" w:lineRule="auto"/>
        <w:rPr>
          <w:i/>
          <w:lang w:val="lt-LT"/>
        </w:rPr>
      </w:pPr>
      <w:r w:rsidRPr="00CD354A">
        <w:rPr>
          <w:i/>
          <w:lang w:val="lt-LT"/>
        </w:rPr>
        <w:t>Tirpinimas</w:t>
      </w:r>
    </w:p>
    <w:p w:rsidR="00AC2C19" w:rsidRPr="00CD354A" w:rsidRDefault="00AC2C19" w:rsidP="00AC2C19">
      <w:pPr>
        <w:pStyle w:val="BTEMEASMCA"/>
      </w:pPr>
      <w:r w:rsidRPr="00CD354A">
        <w:t xml:space="preserve">Bendras sulbaktamo ir cefoperazono kiekis </w:t>
      </w:r>
      <w:r>
        <w:t>flakon</w:t>
      </w:r>
      <w:r w:rsidRPr="00CD354A">
        <w:t>e – 2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77"/>
        <w:gridCol w:w="1417"/>
        <w:gridCol w:w="2693"/>
      </w:tblGrid>
      <w:tr w:rsidR="00AC2C19" w:rsidRPr="00CD354A">
        <w:tc>
          <w:tcPr>
            <w:tcW w:w="1526" w:type="dxa"/>
          </w:tcPr>
          <w:p w:rsidR="00AC2C19" w:rsidRPr="00CD354A" w:rsidRDefault="00AC2C19" w:rsidP="00AC2C19">
            <w:pPr>
              <w:pStyle w:val="BTEMEASMCA"/>
            </w:pPr>
            <w:r w:rsidRPr="00CD354A">
              <w:t>Visa dozė</w:t>
            </w:r>
          </w:p>
        </w:tc>
        <w:tc>
          <w:tcPr>
            <w:tcW w:w="2977" w:type="dxa"/>
          </w:tcPr>
          <w:p w:rsidR="00AC2C19" w:rsidRPr="00CD354A" w:rsidRDefault="00AC2C19" w:rsidP="00AC2C19">
            <w:pPr>
              <w:pStyle w:val="BTEMEASMCA"/>
            </w:pPr>
            <w:r w:rsidRPr="00CD354A">
              <w:t>Sulbaktamo ir cefoperazono kiekiai</w:t>
            </w:r>
          </w:p>
        </w:tc>
        <w:tc>
          <w:tcPr>
            <w:tcW w:w="1417" w:type="dxa"/>
          </w:tcPr>
          <w:p w:rsidR="00AC2C19" w:rsidRPr="00CD354A" w:rsidRDefault="00AC2C19" w:rsidP="00AC2C19">
            <w:pPr>
              <w:pStyle w:val="BTEMEASMCA"/>
            </w:pPr>
            <w:r w:rsidRPr="00CD354A">
              <w:t>Skiediklio</w:t>
            </w:r>
            <w:r w:rsidRPr="00CD354A">
              <w:br/>
              <w:t>tūris</w:t>
            </w:r>
          </w:p>
        </w:tc>
        <w:tc>
          <w:tcPr>
            <w:tcW w:w="2693" w:type="dxa"/>
          </w:tcPr>
          <w:p w:rsidR="00AC2C19" w:rsidRPr="00CD354A" w:rsidRDefault="00AC2C19" w:rsidP="00AC2C19">
            <w:pPr>
              <w:pStyle w:val="BTEMEASMCA"/>
            </w:pPr>
            <w:r w:rsidRPr="00CD354A">
              <w:t>Didžiausia galutinė koncentracija</w:t>
            </w:r>
          </w:p>
        </w:tc>
      </w:tr>
      <w:tr w:rsidR="00AC2C19" w:rsidRPr="00CD354A">
        <w:tc>
          <w:tcPr>
            <w:tcW w:w="1526" w:type="dxa"/>
          </w:tcPr>
          <w:p w:rsidR="00AC2C19" w:rsidRPr="00CD354A" w:rsidRDefault="00AC2C19" w:rsidP="00AC2C19">
            <w:pPr>
              <w:pStyle w:val="BTEMEASMCA"/>
            </w:pPr>
            <w:r w:rsidRPr="00CD354A">
              <w:t>2 g</w:t>
            </w:r>
          </w:p>
        </w:tc>
        <w:tc>
          <w:tcPr>
            <w:tcW w:w="2977" w:type="dxa"/>
          </w:tcPr>
          <w:p w:rsidR="00AC2C19" w:rsidRPr="00CD354A" w:rsidRDefault="00AC2C19" w:rsidP="00AC2C19">
            <w:pPr>
              <w:pStyle w:val="BTEMEASMCA"/>
            </w:pPr>
            <w:r w:rsidRPr="00CD354A">
              <w:t>1 g ir 1 g</w:t>
            </w:r>
          </w:p>
        </w:tc>
        <w:tc>
          <w:tcPr>
            <w:tcW w:w="1417" w:type="dxa"/>
          </w:tcPr>
          <w:p w:rsidR="00AC2C19" w:rsidRPr="00CD354A" w:rsidRDefault="00AC2C19" w:rsidP="00AC2C19">
            <w:pPr>
              <w:pStyle w:val="BTEMEASMCA"/>
            </w:pPr>
            <w:r w:rsidRPr="00CD354A">
              <w:t>6,7 ml</w:t>
            </w:r>
          </w:p>
        </w:tc>
        <w:tc>
          <w:tcPr>
            <w:tcW w:w="2693" w:type="dxa"/>
          </w:tcPr>
          <w:p w:rsidR="00AC2C19" w:rsidRPr="00CD354A" w:rsidRDefault="00AC2C19" w:rsidP="00AC2C19">
            <w:pPr>
              <w:pStyle w:val="BTEMEASMCA"/>
            </w:pPr>
            <w:r w:rsidRPr="00CD354A">
              <w:t>125 mg/ml ir 125 mg/ml</w:t>
            </w:r>
          </w:p>
        </w:tc>
      </w:tr>
    </w:tbl>
    <w:p w:rsidR="00AC2C19" w:rsidRPr="00CD354A" w:rsidRDefault="00AC2C19" w:rsidP="00AC2C19">
      <w:pPr>
        <w:pStyle w:val="BTEMEASMCA"/>
      </w:pPr>
    </w:p>
    <w:p w:rsidR="00AC2C19" w:rsidRPr="00CD354A" w:rsidRDefault="00AC2C19" w:rsidP="00AC2C19">
      <w:pPr>
        <w:pStyle w:val="BTEMEASMCA"/>
      </w:pPr>
      <w:r w:rsidRPr="00CD354A">
        <w:t>Nustatyta, kad kai cefoperazono koncentracija 10</w:t>
      </w:r>
      <w:r w:rsidRPr="00CD354A">
        <w:noBreakHyphen/>
        <w:t>250 mg/ml, o sulbaktamo – 5</w:t>
      </w:r>
      <w:r w:rsidRPr="00CD354A">
        <w:noBreakHyphen/>
        <w:t>125 mg/ml, šis vaistinis preparatas yra suderinamas su injekciniu vandeniu, 5</w:t>
      </w:r>
      <w:r>
        <w:t xml:space="preserve"> proc.</w:t>
      </w:r>
      <w:r w:rsidRPr="00CD354A">
        <w:t xml:space="preserve"> dekstrozės tirpalu, 0,9</w:t>
      </w:r>
      <w:r>
        <w:t xml:space="preserve"> proc.</w:t>
      </w:r>
      <w:r w:rsidRPr="00CD354A">
        <w:t xml:space="preserve"> fiziologiniu druskos tirpalu, 5</w:t>
      </w:r>
      <w:r>
        <w:t xml:space="preserve"> proc.</w:t>
      </w:r>
      <w:r w:rsidRPr="00CD354A">
        <w:t xml:space="preserve"> dekstrozės tirpalu 0,225</w:t>
      </w:r>
      <w:r>
        <w:t xml:space="preserve"> proc.</w:t>
      </w:r>
      <w:r w:rsidRPr="00CD354A">
        <w:t xml:space="preserve"> druskos tirpale ir 5</w:t>
      </w:r>
      <w:r>
        <w:t xml:space="preserve"> proc.</w:t>
      </w:r>
      <w:r w:rsidRPr="00CD354A">
        <w:t xml:space="preserve"> dekstrozės tirpalu fiziologiniame druskos tirpale.</w:t>
      </w:r>
    </w:p>
    <w:p w:rsidR="00AC2C19" w:rsidRPr="00CD354A" w:rsidRDefault="00AC2C19" w:rsidP="00AC2C19">
      <w:pPr>
        <w:spacing w:line="240" w:lineRule="auto"/>
        <w:rPr>
          <w:lang w:val="lt-LT"/>
        </w:rPr>
      </w:pPr>
      <w:r w:rsidRPr="00CD354A">
        <w:rPr>
          <w:lang w:val="lt-LT"/>
        </w:rPr>
        <w:t>Paruoštas tirpalas yra skaidrus, kuriame negali būti neištirpusių kietų dalelių ir pašalinių medžiagų.</w:t>
      </w:r>
    </w:p>
    <w:p w:rsidR="00AC2C19" w:rsidRPr="00CD354A" w:rsidRDefault="00AC2C19" w:rsidP="00AC2C19">
      <w:pPr>
        <w:pStyle w:val="BTEMEASMCA"/>
      </w:pPr>
    </w:p>
    <w:p w:rsidR="00AC2C19" w:rsidRPr="00CD354A" w:rsidRDefault="00AC2C19" w:rsidP="00AC2C19">
      <w:pPr>
        <w:spacing w:line="240" w:lineRule="auto"/>
        <w:rPr>
          <w:i/>
          <w:lang w:val="lt-LT"/>
        </w:rPr>
      </w:pPr>
      <w:bookmarkStart w:id="69" w:name="_Ref2305505"/>
      <w:proofErr w:type="spellStart"/>
      <w:r w:rsidRPr="00CD354A">
        <w:rPr>
          <w:i/>
          <w:lang w:val="lt-LT"/>
        </w:rPr>
        <w:t>Laktatinis</w:t>
      </w:r>
      <w:proofErr w:type="spellEnd"/>
      <w:r w:rsidRPr="00CD354A">
        <w:rPr>
          <w:i/>
          <w:lang w:val="lt-LT"/>
        </w:rPr>
        <w:t xml:space="preserve"> </w:t>
      </w:r>
      <w:proofErr w:type="spellStart"/>
      <w:r w:rsidRPr="00CD354A">
        <w:rPr>
          <w:i/>
          <w:lang w:val="lt-LT"/>
        </w:rPr>
        <w:t>Ringerio</w:t>
      </w:r>
      <w:proofErr w:type="spellEnd"/>
      <w:r w:rsidRPr="00CD354A">
        <w:rPr>
          <w:i/>
          <w:lang w:val="lt-LT"/>
        </w:rPr>
        <w:t xml:space="preserve"> tirpalas</w:t>
      </w:r>
      <w:bookmarkEnd w:id="69"/>
    </w:p>
    <w:p w:rsidR="00AC2C19" w:rsidRPr="00CD354A" w:rsidRDefault="00AC2C19" w:rsidP="00AC2C19">
      <w:pPr>
        <w:pStyle w:val="BTEMEASMCA"/>
      </w:pPr>
      <w:r w:rsidRPr="00CD354A">
        <w:t>Vaistinį preparatą reikėtų tirpinti steriliame injekciniame vandenyje (žr. 6.2 skyriuje poskyrį ,,</w:t>
      </w:r>
      <w:r w:rsidRPr="00CD354A">
        <w:fldChar w:fldCharType="begin"/>
      </w:r>
      <w:r w:rsidRPr="00CD354A">
        <w:instrText xml:space="preserve"> REF _Ref2305476 \h  \* MERGEFORMAT </w:instrText>
      </w:r>
      <w:r w:rsidRPr="00CD354A">
        <w:fldChar w:fldCharType="separate"/>
      </w:r>
      <w:r w:rsidRPr="00CD354A">
        <w:rPr>
          <w:i/>
        </w:rPr>
        <w:t>Laktatinis Ringerio tirpalas</w:t>
      </w:r>
      <w:r w:rsidRPr="00CD354A">
        <w:fldChar w:fldCharType="end"/>
      </w:r>
      <w:r w:rsidRPr="00CD354A">
        <w:rPr>
          <w:i/>
        </w:rPr>
        <w:t>”</w:t>
      </w:r>
      <w:r w:rsidRPr="00CD354A">
        <w:t>). Vaistinis preparatas ruošiamas dviem etapais: iš pradžių ištirpinamas steriliame injekciniame vandenyje (žr. lentelę aukščiau), o paskui atskiedžiamas laktatiniu Ringerio tirpalu, kad sulbaktamo koncentracija būtų 5 mg/ml (ištirpintas 2 ml injekcinio vandens vaistinis preparatas atskiedžiamas 50 ml laktatinio Ringerio tirpalo arba ištirpintas 4 ml injekcinio vandens – 100 ml laktatinio Ringerio tirpalo).</w:t>
      </w:r>
    </w:p>
    <w:p w:rsidR="00AC2C19" w:rsidRPr="00CD354A" w:rsidRDefault="00AC2C19" w:rsidP="00AC2C19">
      <w:pPr>
        <w:pStyle w:val="BTEMEASMCA"/>
      </w:pPr>
      <w:r w:rsidRPr="00CD354A">
        <w:t>Paruoštas tirpalas yra skaidrus, kuriame negali būti neištirpusių kietų dalelių ir pašalinių medžiagų.</w:t>
      </w:r>
    </w:p>
    <w:p w:rsidR="00AC2C19" w:rsidRPr="00CD354A" w:rsidRDefault="00AC2C19" w:rsidP="00AC2C19">
      <w:pPr>
        <w:pStyle w:val="BTEMEASMCA"/>
      </w:pPr>
    </w:p>
    <w:p w:rsidR="00AC2C19" w:rsidRPr="00CD354A" w:rsidRDefault="00AC2C19" w:rsidP="00AC2C19">
      <w:pPr>
        <w:spacing w:line="240" w:lineRule="auto"/>
        <w:rPr>
          <w:i/>
          <w:lang w:val="lt-LT"/>
        </w:rPr>
      </w:pPr>
      <w:bookmarkStart w:id="70" w:name="_Ref2305744"/>
      <w:proofErr w:type="spellStart"/>
      <w:r w:rsidRPr="00CD354A">
        <w:rPr>
          <w:i/>
          <w:lang w:val="lt-LT"/>
        </w:rPr>
        <w:t>Lidokainas</w:t>
      </w:r>
      <w:bookmarkEnd w:id="70"/>
      <w:proofErr w:type="spellEnd"/>
    </w:p>
    <w:p w:rsidR="00AC2C19" w:rsidRPr="00CD354A" w:rsidRDefault="00AC2C19" w:rsidP="00AC2C19">
      <w:pPr>
        <w:pStyle w:val="BTEMEASMCA"/>
      </w:pPr>
      <w:r w:rsidRPr="00CD354A">
        <w:t>Vaistinį preparatą reikėtų tirpinti steriliame injekciniame vandenyje (žr. 6.2 skyriuje poskyrį ,,</w:t>
      </w:r>
      <w:r w:rsidRPr="00CD354A">
        <w:rPr>
          <w:i/>
        </w:rPr>
        <w:t>Lidokainas“</w:t>
      </w:r>
      <w:r w:rsidRPr="00CD354A">
        <w:t>). Vaistinis preparatas ruošiamas dviem etapais: iš pradžių ištirpinamas steriliame injekciniame vandenyje (žr. lentelę aukščiau), o paskui atskiedžiamas 2</w:t>
      </w:r>
      <w:r>
        <w:t xml:space="preserve"> proc.</w:t>
      </w:r>
      <w:r w:rsidRPr="00CD354A">
        <w:t xml:space="preserve"> lidokainu, kad susidarytų iki 250 mg/ml cefoperazono tirpalas apie 0,5</w:t>
      </w:r>
      <w:r>
        <w:t xml:space="preserve"> proc.</w:t>
      </w:r>
      <w:r w:rsidRPr="00CD354A">
        <w:t xml:space="preserve"> lidokaino hidrochlorido tirpale.</w:t>
      </w:r>
    </w:p>
    <w:p w:rsidR="00AC2C19" w:rsidRPr="00CD354A" w:rsidRDefault="00AC2C19" w:rsidP="00AC2C19">
      <w:pPr>
        <w:pStyle w:val="BTEMEASMCA"/>
      </w:pPr>
      <w:r w:rsidRPr="00CD354A">
        <w:t>Paruoštas tirpalas yra skaidrus, kuriame negali būti neištirpusių kietų dalelių ir pašalinių medžiagų.</w:t>
      </w:r>
    </w:p>
    <w:p w:rsidR="00AC2C19" w:rsidRPr="00CD354A" w:rsidRDefault="00AC2C19" w:rsidP="00AC2C19">
      <w:pPr>
        <w:pStyle w:val="BTEMEASMCA"/>
      </w:pPr>
    </w:p>
    <w:p w:rsidR="00AC2C19" w:rsidRPr="00CD354A" w:rsidRDefault="00AC2C19" w:rsidP="00AC2C19">
      <w:pPr>
        <w:spacing w:line="240" w:lineRule="auto"/>
        <w:ind w:left="540" w:hanging="540"/>
        <w:rPr>
          <w:b/>
          <w:lang w:val="lt-LT"/>
        </w:rPr>
      </w:pPr>
      <w:bookmarkStart w:id="71" w:name="_Toc129243122"/>
      <w:bookmarkStart w:id="72" w:name="_Toc129243247"/>
      <w:r w:rsidRPr="00CD354A">
        <w:rPr>
          <w:b/>
          <w:lang w:val="lt-LT"/>
        </w:rPr>
        <w:t>7.</w:t>
      </w:r>
      <w:r w:rsidRPr="00CD354A">
        <w:rPr>
          <w:b/>
          <w:lang w:val="lt-LT"/>
        </w:rPr>
        <w:tab/>
        <w:t>R</w:t>
      </w:r>
      <w:r w:rsidRPr="0048320F">
        <w:rPr>
          <w:b/>
          <w:lang w:val="lt-LT"/>
        </w:rPr>
        <w:t>EGISTRUOTOJAS</w:t>
      </w:r>
      <w:bookmarkEnd w:id="71"/>
      <w:bookmarkEnd w:id="72"/>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proofErr w:type="spellStart"/>
      <w:r w:rsidRPr="00CD354A">
        <w:rPr>
          <w:lang w:val="lt-LT"/>
        </w:rPr>
        <w:t>Pfizer</w:t>
      </w:r>
      <w:proofErr w:type="spellEnd"/>
      <w:r w:rsidRPr="00CD354A">
        <w:rPr>
          <w:lang w:val="lt-LT"/>
        </w:rPr>
        <w:t xml:space="preserve"> </w:t>
      </w:r>
      <w:proofErr w:type="spellStart"/>
      <w:r w:rsidRPr="00CD354A">
        <w:rPr>
          <w:lang w:val="lt-LT"/>
        </w:rPr>
        <w:t>Limited</w:t>
      </w:r>
      <w:proofErr w:type="spellEnd"/>
    </w:p>
    <w:p w:rsidR="00AC2C19" w:rsidRPr="00CD354A" w:rsidRDefault="00AC2C19" w:rsidP="00AC2C19">
      <w:pPr>
        <w:spacing w:line="240" w:lineRule="auto"/>
        <w:rPr>
          <w:lang w:val="lt-LT"/>
        </w:rPr>
      </w:pPr>
      <w:proofErr w:type="spellStart"/>
      <w:r w:rsidRPr="00CD354A">
        <w:rPr>
          <w:lang w:val="lt-LT"/>
        </w:rPr>
        <w:t>Ramsgate</w:t>
      </w:r>
      <w:proofErr w:type="spellEnd"/>
      <w:r w:rsidRPr="00CD354A">
        <w:rPr>
          <w:lang w:val="lt-LT"/>
        </w:rPr>
        <w:t xml:space="preserve"> </w:t>
      </w:r>
      <w:proofErr w:type="spellStart"/>
      <w:r w:rsidRPr="00CD354A">
        <w:rPr>
          <w:lang w:val="lt-LT"/>
        </w:rPr>
        <w:t>Road</w:t>
      </w:r>
      <w:proofErr w:type="spellEnd"/>
      <w:r w:rsidRPr="00CD354A">
        <w:rPr>
          <w:lang w:val="lt-LT"/>
        </w:rPr>
        <w:t xml:space="preserve">, </w:t>
      </w:r>
      <w:proofErr w:type="spellStart"/>
      <w:r w:rsidRPr="00CD354A">
        <w:rPr>
          <w:lang w:val="lt-LT"/>
        </w:rPr>
        <w:t>Sandwich</w:t>
      </w:r>
      <w:proofErr w:type="spellEnd"/>
      <w:r w:rsidRPr="00CD354A">
        <w:rPr>
          <w:lang w:val="lt-LT"/>
        </w:rPr>
        <w:t xml:space="preserve">, </w:t>
      </w:r>
      <w:proofErr w:type="spellStart"/>
      <w:r w:rsidRPr="00CD354A">
        <w:rPr>
          <w:lang w:val="lt-LT"/>
        </w:rPr>
        <w:t>Kent</w:t>
      </w:r>
      <w:proofErr w:type="spellEnd"/>
      <w:r w:rsidRPr="00CD354A">
        <w:rPr>
          <w:lang w:val="lt-LT"/>
        </w:rPr>
        <w:t>, CT13 9NJ</w:t>
      </w:r>
    </w:p>
    <w:p w:rsidR="00AC2C19" w:rsidRPr="00CD354A" w:rsidRDefault="00AC2C19" w:rsidP="00AC2C19">
      <w:pPr>
        <w:spacing w:line="240" w:lineRule="auto"/>
        <w:rPr>
          <w:lang w:val="lt-LT"/>
        </w:rPr>
      </w:pPr>
      <w:r w:rsidRPr="00CD354A">
        <w:rPr>
          <w:lang w:val="lt-LT"/>
        </w:rPr>
        <w:t>Jungtinė Karalystė</w:t>
      </w: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p>
    <w:p w:rsidR="00AC2C19" w:rsidRPr="00CD354A" w:rsidRDefault="00AC2C19" w:rsidP="00AC2C19">
      <w:pPr>
        <w:spacing w:line="240" w:lineRule="auto"/>
        <w:ind w:left="540" w:hanging="540"/>
        <w:rPr>
          <w:b/>
          <w:lang w:val="lt-LT"/>
        </w:rPr>
      </w:pPr>
      <w:bookmarkStart w:id="73" w:name="_Toc129243123"/>
      <w:bookmarkStart w:id="74" w:name="_Toc129243248"/>
      <w:r w:rsidRPr="00CD354A">
        <w:rPr>
          <w:b/>
          <w:lang w:val="lt-LT"/>
        </w:rPr>
        <w:t>8.</w:t>
      </w:r>
      <w:r w:rsidRPr="00CD354A">
        <w:rPr>
          <w:b/>
          <w:lang w:val="lt-LT"/>
        </w:rPr>
        <w:tab/>
      </w:r>
      <w:r w:rsidRPr="0048320F">
        <w:rPr>
          <w:b/>
          <w:lang w:val="lt-LT"/>
        </w:rPr>
        <w:t>REGISTRACIJOS</w:t>
      </w:r>
      <w:r w:rsidRPr="00CD354A">
        <w:rPr>
          <w:b/>
          <w:lang w:val="lt-LT"/>
        </w:rPr>
        <w:t xml:space="preserve"> </w:t>
      </w:r>
      <w:r w:rsidRPr="00CD354A">
        <w:rPr>
          <w:b/>
          <w:noProof/>
          <w:lang w:val="lt-LT"/>
        </w:rPr>
        <w:t>PAŽYMĖJIMO</w:t>
      </w:r>
      <w:r w:rsidRPr="00CD354A">
        <w:rPr>
          <w:b/>
          <w:lang w:val="lt-LT"/>
        </w:rPr>
        <w:t xml:space="preserve"> NUMERIS</w:t>
      </w:r>
      <w:bookmarkEnd w:id="73"/>
      <w:bookmarkEnd w:id="74"/>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r w:rsidRPr="00CD354A">
        <w:rPr>
          <w:lang w:val="lt-LT"/>
        </w:rPr>
        <w:t>LT/1/02/3125/001</w:t>
      </w: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p>
    <w:p w:rsidR="00AC2C19" w:rsidRPr="00CD354A" w:rsidRDefault="00AC2C19" w:rsidP="00AC2C19">
      <w:pPr>
        <w:spacing w:line="240" w:lineRule="auto"/>
        <w:ind w:left="540" w:hanging="540"/>
        <w:rPr>
          <w:b/>
          <w:lang w:val="lt-LT"/>
        </w:rPr>
      </w:pPr>
      <w:bookmarkStart w:id="75" w:name="_Toc129243124"/>
      <w:bookmarkStart w:id="76" w:name="_Toc129243249"/>
      <w:r w:rsidRPr="00CD354A">
        <w:rPr>
          <w:b/>
          <w:lang w:val="lt-LT"/>
        </w:rPr>
        <w:t>9.</w:t>
      </w:r>
      <w:r w:rsidRPr="00CD354A">
        <w:rPr>
          <w:b/>
          <w:lang w:val="lt-LT"/>
        </w:rPr>
        <w:tab/>
      </w:r>
      <w:r w:rsidRPr="0048320F">
        <w:rPr>
          <w:b/>
          <w:lang w:val="lt-LT"/>
        </w:rPr>
        <w:t>REGISTRAVIMO / PERREGISTRAVIMO</w:t>
      </w:r>
      <w:r w:rsidRPr="00CD354A">
        <w:rPr>
          <w:b/>
          <w:lang w:val="lt-LT"/>
        </w:rPr>
        <w:t xml:space="preserve"> DATA</w:t>
      </w:r>
      <w:bookmarkEnd w:id="75"/>
      <w:bookmarkEnd w:id="76"/>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r w:rsidRPr="000A79DC">
        <w:rPr>
          <w:noProof/>
          <w:szCs w:val="24"/>
          <w:lang w:val="lt-LT"/>
        </w:rPr>
        <w:t>Registravimo</w:t>
      </w:r>
      <w:r w:rsidRPr="00CD354A">
        <w:rPr>
          <w:noProof/>
          <w:lang w:val="lt-LT"/>
        </w:rPr>
        <w:t xml:space="preserve"> </w:t>
      </w:r>
      <w:r>
        <w:rPr>
          <w:noProof/>
          <w:lang w:val="lt-LT"/>
        </w:rPr>
        <w:t>data</w:t>
      </w:r>
      <w:r w:rsidRPr="00CD354A">
        <w:rPr>
          <w:noProof/>
          <w:lang w:val="lt-LT"/>
        </w:rPr>
        <w:t xml:space="preserve"> 2002 m. spalio mėn.</w:t>
      </w:r>
      <w:r w:rsidRPr="00CD354A">
        <w:rPr>
          <w:lang w:val="lt-LT"/>
        </w:rPr>
        <w:t xml:space="preserve"> </w:t>
      </w:r>
      <w:r w:rsidRPr="00CD354A">
        <w:rPr>
          <w:noProof/>
          <w:lang w:val="lt-LT"/>
        </w:rPr>
        <w:t>02 d.</w:t>
      </w:r>
    </w:p>
    <w:p w:rsidR="00AC2C19" w:rsidRPr="00CD354A" w:rsidRDefault="00AC2C19" w:rsidP="00AC2C19">
      <w:pPr>
        <w:spacing w:line="240" w:lineRule="auto"/>
        <w:rPr>
          <w:lang w:val="lt-LT"/>
        </w:rPr>
      </w:pPr>
      <w:r w:rsidRPr="000A79DC">
        <w:rPr>
          <w:noProof/>
          <w:lang w:val="lt-LT"/>
        </w:rPr>
        <w:t xml:space="preserve">Paskutinio </w:t>
      </w:r>
      <w:r w:rsidRPr="000A79DC">
        <w:rPr>
          <w:noProof/>
          <w:szCs w:val="24"/>
          <w:lang w:val="lt-LT"/>
        </w:rPr>
        <w:t xml:space="preserve">perregistravimo data </w:t>
      </w:r>
      <w:r w:rsidRPr="00CD354A">
        <w:rPr>
          <w:noProof/>
          <w:lang w:val="lt-LT"/>
        </w:rPr>
        <w:t>2012 m. lapkričio mėn.</w:t>
      </w:r>
      <w:r w:rsidRPr="00CD354A">
        <w:rPr>
          <w:lang w:val="lt-LT"/>
        </w:rPr>
        <w:t xml:space="preserve"> </w:t>
      </w:r>
      <w:r w:rsidRPr="00CD354A">
        <w:rPr>
          <w:noProof/>
          <w:lang w:val="lt-LT"/>
        </w:rPr>
        <w:t>09 d.</w:t>
      </w: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p>
    <w:p w:rsidR="00AC2C19" w:rsidRPr="00CD354A" w:rsidRDefault="00AC2C19" w:rsidP="00AC2C19">
      <w:pPr>
        <w:spacing w:line="240" w:lineRule="auto"/>
        <w:ind w:left="540" w:hanging="540"/>
        <w:rPr>
          <w:b/>
          <w:lang w:val="lt-LT"/>
        </w:rPr>
      </w:pPr>
      <w:bookmarkStart w:id="77" w:name="_Toc129243125"/>
      <w:bookmarkStart w:id="78" w:name="_Toc129243250"/>
      <w:r w:rsidRPr="00CD354A">
        <w:rPr>
          <w:b/>
          <w:lang w:val="lt-LT"/>
        </w:rPr>
        <w:t>10.</w:t>
      </w:r>
      <w:r w:rsidRPr="00CD354A">
        <w:rPr>
          <w:b/>
          <w:lang w:val="lt-LT"/>
        </w:rPr>
        <w:tab/>
        <w:t>TEKSTO PERŽIŪROS DATA</w:t>
      </w:r>
      <w:bookmarkEnd w:id="77"/>
      <w:bookmarkEnd w:id="78"/>
    </w:p>
    <w:p w:rsidR="00AC2C19" w:rsidRPr="00CD354A" w:rsidRDefault="00AC2C19" w:rsidP="00AC2C19">
      <w:pPr>
        <w:spacing w:line="240" w:lineRule="auto"/>
        <w:rPr>
          <w:lang w:val="lt-LT"/>
        </w:rPr>
      </w:pPr>
    </w:p>
    <w:p w:rsidR="00AC2C19" w:rsidRDefault="00D7517E" w:rsidP="00AC2C19">
      <w:pPr>
        <w:spacing w:line="240" w:lineRule="auto"/>
        <w:rPr>
          <w:lang w:val="lt-LT"/>
        </w:rPr>
      </w:pPr>
      <w:r>
        <w:rPr>
          <w:lang w:val="lt-LT"/>
        </w:rPr>
        <w:t>2017-02-01</w:t>
      </w:r>
    </w:p>
    <w:p w:rsidR="00AC2C19" w:rsidRPr="00CD354A" w:rsidRDefault="00AC2C19" w:rsidP="00AC2C19">
      <w:pPr>
        <w:spacing w:line="240" w:lineRule="auto"/>
        <w:rPr>
          <w:lang w:val="lt-LT"/>
        </w:rPr>
      </w:pPr>
    </w:p>
    <w:p w:rsidR="00AC2C19" w:rsidRPr="00CD354A" w:rsidRDefault="00AC2C19" w:rsidP="00AC2C19">
      <w:pPr>
        <w:spacing w:line="240" w:lineRule="auto"/>
        <w:rPr>
          <w:color w:val="0000FF"/>
          <w:lang w:val="lt-LT"/>
        </w:rPr>
      </w:pPr>
      <w:r w:rsidRPr="00CD354A">
        <w:rPr>
          <w:noProof/>
          <w:lang w:val="lt-LT"/>
        </w:rPr>
        <w:t>Išsami informacija apie šį vaistinį preparatą pateikiama Valstybinės vaistų kontrolės tarnybos prie Lietuvos Respublikos  sveikatos apsaugos ministerijos tinklalapyje</w:t>
      </w:r>
      <w:r w:rsidRPr="00CD354A">
        <w:rPr>
          <w:i/>
          <w:lang w:val="lt-LT"/>
        </w:rPr>
        <w:t xml:space="preserve"> </w:t>
      </w:r>
      <w:hyperlink r:id="rId13" w:history="1">
        <w:r w:rsidRPr="00CD354A">
          <w:rPr>
            <w:rStyle w:val="Hipersaitas"/>
            <w:lang w:val="lt-LT"/>
          </w:rPr>
          <w:t>http://www.vvkt.lt/</w:t>
        </w:r>
      </w:hyperlink>
    </w:p>
    <w:p w:rsidR="00AC2C19" w:rsidRPr="00CD354A" w:rsidRDefault="00AC2C19" w:rsidP="00AC2C19">
      <w:pPr>
        <w:pStyle w:val="BTEMEASMCA"/>
      </w:pPr>
      <w:r w:rsidRPr="00CD354A">
        <w:br w:type="page"/>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TTEMEASMCA"/>
        <w:rPr>
          <w:sz w:val="22"/>
          <w:szCs w:val="22"/>
          <w:lang w:val="lt-LT"/>
        </w:rPr>
      </w:pPr>
      <w:bookmarkStart w:id="79" w:name="_Toc129243128"/>
      <w:bookmarkStart w:id="80" w:name="_Toc129243253"/>
    </w:p>
    <w:p w:rsidR="00AC2C19" w:rsidRPr="00CD354A" w:rsidRDefault="00AC2C19" w:rsidP="00AC2C19">
      <w:pPr>
        <w:pStyle w:val="TTEMEASMCA"/>
        <w:rPr>
          <w:sz w:val="22"/>
          <w:szCs w:val="22"/>
          <w:lang w:val="lt-LT"/>
        </w:rPr>
      </w:pPr>
      <w:r w:rsidRPr="00CD354A">
        <w:rPr>
          <w:sz w:val="22"/>
          <w:szCs w:val="22"/>
          <w:lang w:val="lt-LT"/>
        </w:rPr>
        <w:t>II PRIEDAS</w:t>
      </w:r>
      <w:bookmarkEnd w:id="79"/>
      <w:bookmarkEnd w:id="80"/>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r w:rsidRPr="0048320F">
        <w:rPr>
          <w:sz w:val="22"/>
          <w:szCs w:val="22"/>
          <w:lang w:val="lt-LT"/>
        </w:rPr>
        <w:t>REGISTRACIJOS</w:t>
      </w:r>
      <w:r w:rsidRPr="00CD354A">
        <w:rPr>
          <w:sz w:val="22"/>
          <w:szCs w:val="22"/>
          <w:lang w:val="lt-LT"/>
        </w:rPr>
        <w:t xml:space="preserve"> SĄLYGOS</w:t>
      </w:r>
    </w:p>
    <w:p w:rsidR="00AC2C19" w:rsidRPr="00CD354A" w:rsidRDefault="00AC2C19" w:rsidP="00AC2C19">
      <w:pPr>
        <w:pStyle w:val="BTEMEASMCA"/>
      </w:pPr>
    </w:p>
    <w:p w:rsidR="00AC2C19" w:rsidRPr="00CD354A" w:rsidRDefault="00AC2C19" w:rsidP="00AC2C19">
      <w:pPr>
        <w:pStyle w:val="BTAnIIEMEASMCA"/>
        <w:rPr>
          <w:rFonts w:cs="Times New Roman"/>
          <w:highlight w:val="yellow"/>
          <w:lang w:val="lt-LT"/>
        </w:rPr>
      </w:pPr>
      <w:r w:rsidRPr="00CD354A">
        <w:rPr>
          <w:rFonts w:cs="Times New Roman"/>
          <w:lang w:val="lt-LT"/>
        </w:rPr>
        <w:t>A.</w:t>
      </w:r>
      <w:r w:rsidRPr="00CD354A">
        <w:rPr>
          <w:rFonts w:cs="Times New Roman"/>
          <w:lang w:val="lt-LT"/>
        </w:rPr>
        <w:tab/>
        <w:t>GAMINTOJAS, ATSAKINGAS UŽ SERIJŲ IŠLEIDIMĄ</w:t>
      </w:r>
    </w:p>
    <w:p w:rsidR="00AC2C19" w:rsidRPr="00CD354A" w:rsidRDefault="00AC2C19" w:rsidP="00AC2C19">
      <w:pPr>
        <w:pStyle w:val="BTEMEASMCA"/>
        <w:rPr>
          <w:highlight w:val="yellow"/>
        </w:rPr>
      </w:pPr>
    </w:p>
    <w:p w:rsidR="00AC2C19" w:rsidRPr="00CD354A" w:rsidRDefault="00AC2C19" w:rsidP="00AC2C19">
      <w:pPr>
        <w:pStyle w:val="BTAnIIEMEASMCA"/>
        <w:rPr>
          <w:rFonts w:cs="Times New Roman"/>
          <w:lang w:val="lt-LT"/>
        </w:rPr>
      </w:pPr>
      <w:r w:rsidRPr="00CD354A">
        <w:rPr>
          <w:rFonts w:cs="Times New Roman"/>
          <w:lang w:val="lt-LT"/>
        </w:rPr>
        <w:t>B.</w:t>
      </w:r>
      <w:r w:rsidRPr="00CD354A">
        <w:rPr>
          <w:rFonts w:cs="Times New Roman"/>
          <w:lang w:val="lt-LT"/>
        </w:rPr>
        <w:tab/>
        <w:t>TIEKIMO IR VARTOJIMO SĄLYGOS AR APRIBOJIMAI</w:t>
      </w:r>
    </w:p>
    <w:p w:rsidR="00AC2C19" w:rsidRDefault="00AC2C19" w:rsidP="00AC2C19">
      <w:pPr>
        <w:tabs>
          <w:tab w:val="left" w:pos="1701"/>
        </w:tabs>
        <w:ind w:left="1701" w:right="567" w:hanging="567"/>
        <w:rPr>
          <w:b/>
          <w:lang w:val="lt-LT"/>
        </w:rPr>
      </w:pPr>
    </w:p>
    <w:p w:rsidR="00AC2C19" w:rsidRPr="00CD354A" w:rsidRDefault="00AC2C19" w:rsidP="00AC2C19">
      <w:pPr>
        <w:pStyle w:val="BTEMEASMCA"/>
        <w:rPr>
          <w:highlight w:val="yellow"/>
        </w:rPr>
      </w:pPr>
    </w:p>
    <w:p w:rsidR="00AC2C19" w:rsidRPr="00CD354A" w:rsidRDefault="00AC2C19" w:rsidP="00AC2C19">
      <w:pPr>
        <w:pStyle w:val="PI-1EMEASMCA"/>
      </w:pPr>
      <w:r w:rsidRPr="00CD354A">
        <w:br w:type="page"/>
        <w:t>A.</w:t>
      </w:r>
      <w:r w:rsidRPr="00CD354A">
        <w:tab/>
        <w:t>GAMINTOJAS, ATSAKINGAS UŽ SERIJŲ IŠLEIDIMĄ</w:t>
      </w:r>
    </w:p>
    <w:p w:rsidR="00AC2C19" w:rsidRPr="00CD354A" w:rsidRDefault="00AC2C19" w:rsidP="00AC2C19">
      <w:pPr>
        <w:spacing w:line="240" w:lineRule="auto"/>
        <w:rPr>
          <w:highlight w:val="yellow"/>
          <w:lang w:val="lt-LT"/>
        </w:rPr>
      </w:pPr>
    </w:p>
    <w:p w:rsidR="00AC2C19" w:rsidRPr="00CD354A" w:rsidRDefault="00AC2C19" w:rsidP="00AC2C19">
      <w:pPr>
        <w:spacing w:line="240" w:lineRule="auto"/>
        <w:rPr>
          <w:u w:val="single"/>
          <w:lang w:val="lt-LT"/>
        </w:rPr>
      </w:pPr>
      <w:r w:rsidRPr="00CD354A">
        <w:rPr>
          <w:u w:val="single"/>
          <w:lang w:val="lt-LT"/>
        </w:rPr>
        <w:t>Gamintojo, atsakingo už serijų išleidimą, pavadinimas ir adresas</w:t>
      </w:r>
    </w:p>
    <w:p w:rsidR="00AC2C19" w:rsidRPr="00CD354A" w:rsidRDefault="00AC2C19" w:rsidP="00AC2C19">
      <w:pPr>
        <w:spacing w:line="240" w:lineRule="auto"/>
        <w:rPr>
          <w:lang w:val="lt-LT"/>
        </w:rPr>
      </w:pPr>
    </w:p>
    <w:p w:rsidR="00AC2C19" w:rsidRPr="00CD354A" w:rsidRDefault="00AC2C19" w:rsidP="00AC2C19">
      <w:pPr>
        <w:pStyle w:val="BTEMEASMCA"/>
      </w:pPr>
      <w:r w:rsidRPr="00CD354A">
        <w:t>Haupt Pharma Latina S.r.l.</w:t>
      </w:r>
    </w:p>
    <w:p w:rsidR="00AC2C19" w:rsidRPr="00CD354A" w:rsidRDefault="00AC2C19" w:rsidP="00AC2C19">
      <w:pPr>
        <w:pStyle w:val="BTEMEASMCA"/>
      </w:pPr>
      <w:r w:rsidRPr="00CD354A">
        <w:t>Latina (LT)</w:t>
      </w:r>
    </w:p>
    <w:p w:rsidR="00AC2C19" w:rsidRPr="00CD354A" w:rsidRDefault="00AC2C19" w:rsidP="00AC2C19">
      <w:pPr>
        <w:pStyle w:val="BTEMEASMCA"/>
      </w:pPr>
      <w:r w:rsidRPr="00CD354A">
        <w:t>Strada Statale 156 Km 47,600</w:t>
      </w:r>
    </w:p>
    <w:p w:rsidR="00AC2C19" w:rsidRPr="00CD354A" w:rsidRDefault="00AC2C19" w:rsidP="00AC2C19">
      <w:pPr>
        <w:pStyle w:val="BTEMEASMCA"/>
      </w:pPr>
      <w:r w:rsidRPr="00CD354A">
        <w:t xml:space="preserve">04100 Borgo San Michele </w:t>
      </w:r>
    </w:p>
    <w:p w:rsidR="00AC2C19" w:rsidRPr="00CD354A" w:rsidRDefault="00AC2C19" w:rsidP="00AC2C19">
      <w:pPr>
        <w:pStyle w:val="BTEMEASMCA"/>
      </w:pPr>
      <w:r w:rsidRPr="00CD354A">
        <w:t>Italija</w:t>
      </w:r>
    </w:p>
    <w:p w:rsidR="00AC2C19" w:rsidRPr="00CD354A" w:rsidRDefault="00AC2C19" w:rsidP="00AC2C19">
      <w:pPr>
        <w:pStyle w:val="BTEMEASMCA"/>
        <w:rPr>
          <w:highlight w:val="yellow"/>
        </w:rPr>
      </w:pPr>
    </w:p>
    <w:p w:rsidR="00AC2C19" w:rsidRPr="00CD354A" w:rsidRDefault="00AC2C19" w:rsidP="00AC2C19">
      <w:pPr>
        <w:pStyle w:val="BTEMEASMCA"/>
        <w:rPr>
          <w:highlight w:val="yellow"/>
        </w:rPr>
      </w:pPr>
    </w:p>
    <w:p w:rsidR="00AC2C19" w:rsidRPr="00CD354A" w:rsidRDefault="00AC2C19" w:rsidP="00AC2C19">
      <w:pPr>
        <w:pStyle w:val="PI-1EMEASMCA"/>
      </w:pPr>
      <w:bookmarkStart w:id="81" w:name="_Toc129243129"/>
      <w:bookmarkStart w:id="82" w:name="_Toc129243254"/>
      <w:bookmarkStart w:id="83" w:name="_Toc129243130"/>
      <w:bookmarkStart w:id="84" w:name="_Toc129243255"/>
      <w:r w:rsidRPr="00CD354A">
        <w:t>B.</w:t>
      </w:r>
      <w:r w:rsidRPr="00CD354A">
        <w:tab/>
        <w:t>TIEKIMO IR VARTOJIMO SĄLYGOS AR APRIBOJIMAI</w:t>
      </w:r>
      <w:bookmarkEnd w:id="81"/>
      <w:bookmarkEnd w:id="82"/>
      <w:bookmarkEnd w:id="83"/>
      <w:bookmarkEnd w:id="84"/>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r w:rsidRPr="00CD354A">
        <w:t>Receptinis vaistinis preparatas.</w:t>
      </w:r>
    </w:p>
    <w:p w:rsidR="00AC2C19"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r w:rsidRPr="00CD354A">
        <w:br w:type="page"/>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TTEMEASMCA"/>
        <w:rPr>
          <w:sz w:val="22"/>
          <w:szCs w:val="22"/>
          <w:lang w:val="lt-LT"/>
        </w:rPr>
      </w:pPr>
      <w:bookmarkStart w:id="85" w:name="_Toc129243134"/>
      <w:bookmarkStart w:id="86" w:name="_Toc129243259"/>
    </w:p>
    <w:p w:rsidR="00AC2C19" w:rsidRPr="00CD354A" w:rsidRDefault="00AC2C19" w:rsidP="00AC2C19">
      <w:pPr>
        <w:pStyle w:val="TTEMEASMCA"/>
        <w:rPr>
          <w:sz w:val="22"/>
          <w:szCs w:val="22"/>
          <w:lang w:val="lt-LT"/>
        </w:rPr>
      </w:pPr>
      <w:r w:rsidRPr="00CD354A">
        <w:rPr>
          <w:sz w:val="22"/>
          <w:szCs w:val="22"/>
          <w:lang w:val="lt-LT"/>
        </w:rPr>
        <w:t>III PRIEDAS</w:t>
      </w:r>
      <w:bookmarkEnd w:id="85"/>
      <w:bookmarkEnd w:id="86"/>
    </w:p>
    <w:p w:rsidR="00AC2C19" w:rsidRPr="00CD354A" w:rsidRDefault="00AC2C19" w:rsidP="00AC2C19">
      <w:pPr>
        <w:pStyle w:val="BTEMEASMCA"/>
      </w:pPr>
    </w:p>
    <w:p w:rsidR="00AC2C19" w:rsidRPr="00CD354A" w:rsidRDefault="00AC2C19" w:rsidP="00AC2C19">
      <w:pPr>
        <w:pStyle w:val="TTEMEASMCA"/>
        <w:rPr>
          <w:sz w:val="22"/>
          <w:szCs w:val="22"/>
          <w:lang w:val="lt-LT"/>
        </w:rPr>
      </w:pPr>
      <w:bookmarkStart w:id="87" w:name="_Toc129243135"/>
      <w:bookmarkStart w:id="88" w:name="_Toc129243260"/>
      <w:r w:rsidRPr="00CD354A">
        <w:rPr>
          <w:sz w:val="22"/>
          <w:szCs w:val="22"/>
          <w:lang w:val="lt-LT"/>
        </w:rPr>
        <w:t>ŽENKLINIMAS IR PAKUOTĖS LAPELIS</w:t>
      </w:r>
      <w:bookmarkEnd w:id="87"/>
      <w:bookmarkEnd w:id="88"/>
    </w:p>
    <w:p w:rsidR="00AC2C19" w:rsidRPr="00CD354A" w:rsidRDefault="00AC2C19" w:rsidP="00AC2C19">
      <w:pPr>
        <w:pStyle w:val="BTEMEASMCA"/>
      </w:pPr>
      <w:r w:rsidRPr="00CD354A">
        <w:br w:type="page"/>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TTEMEASMCA"/>
        <w:rPr>
          <w:sz w:val="22"/>
          <w:szCs w:val="22"/>
          <w:lang w:val="lt-LT"/>
        </w:rPr>
      </w:pPr>
      <w:bookmarkStart w:id="89" w:name="_Toc129243136"/>
      <w:bookmarkStart w:id="90" w:name="_Toc129243261"/>
    </w:p>
    <w:p w:rsidR="00AC2C19" w:rsidRPr="00CD354A" w:rsidRDefault="00AC2C19" w:rsidP="00AC2C19">
      <w:pPr>
        <w:pStyle w:val="TTEMEASMCA"/>
        <w:rPr>
          <w:sz w:val="22"/>
          <w:szCs w:val="22"/>
          <w:lang w:val="lt-LT"/>
        </w:rPr>
      </w:pPr>
      <w:r w:rsidRPr="00CD354A">
        <w:rPr>
          <w:sz w:val="22"/>
          <w:szCs w:val="22"/>
          <w:lang w:val="lt-LT"/>
        </w:rPr>
        <w:t>A. ŽENKLINIMAS</w:t>
      </w:r>
      <w:bookmarkEnd w:id="89"/>
      <w:bookmarkEnd w:id="90"/>
    </w:p>
    <w:p w:rsidR="00AC2C19" w:rsidRPr="00CD354A" w:rsidRDefault="00AC2C19" w:rsidP="00AC2C19">
      <w:pPr>
        <w:pStyle w:val="BTEMEASMCA"/>
      </w:pPr>
      <w:r w:rsidRPr="00CD354A">
        <w:br w:type="page"/>
      </w:r>
    </w:p>
    <w:p w:rsidR="00AC2C19" w:rsidRPr="00CD354A" w:rsidRDefault="00AC2C19" w:rsidP="00AC2C19">
      <w:pPr>
        <w:pStyle w:val="PI-1labEMEASMCA"/>
        <w:pBdr>
          <w:top w:val="single" w:sz="4" w:space="0" w:color="auto"/>
        </w:pBdr>
      </w:pPr>
      <w:r w:rsidRPr="00CD354A">
        <w:t>INFORMACIJA ANT IŠORINĖS PAKUOTĖS</w:t>
      </w:r>
    </w:p>
    <w:p w:rsidR="00AC2C19" w:rsidRPr="00CD354A" w:rsidRDefault="00AC2C19" w:rsidP="00AC2C19">
      <w:pPr>
        <w:pStyle w:val="PI-1labEMEASMCA"/>
        <w:pBdr>
          <w:top w:val="single" w:sz="4" w:space="0" w:color="auto"/>
        </w:pBdr>
      </w:pPr>
    </w:p>
    <w:p w:rsidR="00AC2C19" w:rsidRPr="00CD354A" w:rsidRDefault="00AC2C19" w:rsidP="00AC2C19">
      <w:pPr>
        <w:pStyle w:val="PI-1labEMEASMCA"/>
        <w:pBdr>
          <w:top w:val="single" w:sz="4" w:space="0" w:color="auto"/>
        </w:pBdr>
        <w:rPr>
          <w:bCs/>
        </w:rPr>
      </w:pPr>
      <w:r w:rsidRPr="00CD354A">
        <w:t>KARTONO DĖŽUTĖ</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PI-1labEMEASMCA"/>
        <w:tabs>
          <w:tab w:val="clear" w:pos="540"/>
          <w:tab w:val="left" w:pos="567"/>
        </w:tabs>
      </w:pPr>
      <w:r w:rsidRPr="00CD354A">
        <w:t>1.</w:t>
      </w:r>
      <w:r w:rsidRPr="00CD354A">
        <w:tab/>
        <w:t>VAISTINIO PREPARATO PAVADINIMAS</w:t>
      </w:r>
    </w:p>
    <w:p w:rsidR="00AC2C19" w:rsidRPr="00CD354A" w:rsidRDefault="00AC2C19" w:rsidP="00AC2C19">
      <w:pPr>
        <w:pStyle w:val="BTEMEASMCA"/>
      </w:pPr>
    </w:p>
    <w:p w:rsidR="00AC2C19" w:rsidRPr="00CD354A" w:rsidRDefault="00AC2C19" w:rsidP="00AC2C19">
      <w:pPr>
        <w:pStyle w:val="BTEMEASMCA"/>
      </w:pPr>
      <w:r w:rsidRPr="00CD354A">
        <w:t>SULPERAZON 1/1 g milteliai injekciniam ar infuziniam tirpalui</w:t>
      </w:r>
    </w:p>
    <w:p w:rsidR="00AC2C19" w:rsidRPr="00CD354A" w:rsidRDefault="00AC2C19" w:rsidP="00AC2C19">
      <w:pPr>
        <w:pStyle w:val="BTEMEASMCA"/>
      </w:pPr>
      <w:r w:rsidRPr="00CD354A">
        <w:t>Sulbaktamas/Cefoperazonas</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PI-1labEMEASMCA"/>
        <w:tabs>
          <w:tab w:val="clear" w:pos="540"/>
          <w:tab w:val="left" w:pos="567"/>
        </w:tabs>
      </w:pPr>
      <w:r w:rsidRPr="00CD354A">
        <w:t>2.</w:t>
      </w:r>
      <w:r w:rsidRPr="00CD354A">
        <w:tab/>
        <w:t>VEIKLIOSIOS MEDŽIAGOS IR JOS KIEKIAI</w:t>
      </w:r>
    </w:p>
    <w:p w:rsidR="00AC2C19" w:rsidRPr="00CD354A" w:rsidRDefault="00AC2C19" w:rsidP="00AC2C19">
      <w:pPr>
        <w:pStyle w:val="BTEMEASMCA"/>
      </w:pPr>
    </w:p>
    <w:p w:rsidR="00AC2C19" w:rsidRPr="00CD354A" w:rsidRDefault="00AC2C19" w:rsidP="00AC2C19">
      <w:pPr>
        <w:pStyle w:val="BTEMEASMCA"/>
      </w:pPr>
      <w:r w:rsidRPr="00CD354A">
        <w:t xml:space="preserve">Kiekviename </w:t>
      </w:r>
      <w:r>
        <w:rPr>
          <w:lang w:val="en-US"/>
        </w:rPr>
        <w:t>flakone</w:t>
      </w:r>
      <w:r w:rsidRPr="00CD354A">
        <w:t xml:space="preserve"> yra 1 g sulbaktamo (sulbaktamo natrio druskos pavidalu) ir 1 g cefoperazono (cefoperazono natrio druskos pavidalu).</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PI-1labEMEASMCA"/>
        <w:tabs>
          <w:tab w:val="clear" w:pos="540"/>
          <w:tab w:val="left" w:pos="567"/>
        </w:tabs>
        <w:rPr>
          <w:highlight w:val="lightGray"/>
        </w:rPr>
      </w:pPr>
      <w:r w:rsidRPr="00CD354A">
        <w:t>3.</w:t>
      </w:r>
      <w:r w:rsidRPr="00CD354A">
        <w:tab/>
        <w:t>PAGALBINIŲ MEDŽIAGŲ SĄRAŠAS</w:t>
      </w:r>
    </w:p>
    <w:p w:rsidR="00AC2C19" w:rsidRPr="00CD354A" w:rsidRDefault="00AC2C19" w:rsidP="00AC2C19">
      <w:pPr>
        <w:pStyle w:val="BTEMEASMCA"/>
      </w:pPr>
    </w:p>
    <w:p w:rsidR="00AC2C19" w:rsidRPr="00CD354A" w:rsidRDefault="00AC2C19" w:rsidP="00AC2C19">
      <w:pPr>
        <w:pStyle w:val="BTEMEASMCA"/>
      </w:pPr>
      <w:r w:rsidRPr="00CD354A">
        <w:t xml:space="preserve">Viename </w:t>
      </w:r>
      <w:r>
        <w:rPr>
          <w:lang w:val="en-US"/>
        </w:rPr>
        <w:t>flakone</w:t>
      </w:r>
      <w:r w:rsidRPr="00CD354A">
        <w:t xml:space="preserve"> yra 126 mg natrio.</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PI-1labEMEASMCA"/>
        <w:tabs>
          <w:tab w:val="clear" w:pos="540"/>
          <w:tab w:val="left" w:pos="567"/>
        </w:tabs>
      </w:pPr>
      <w:r w:rsidRPr="00CD354A">
        <w:t>4.</w:t>
      </w:r>
      <w:r w:rsidRPr="00CD354A">
        <w:tab/>
        <w:t>FARMACINĖ FORMA IR KIEKIS PAKUOTĖJE</w:t>
      </w:r>
    </w:p>
    <w:p w:rsidR="00AC2C19" w:rsidRPr="00CD354A" w:rsidRDefault="00AC2C19" w:rsidP="00AC2C19">
      <w:pPr>
        <w:pStyle w:val="BTEMEASMCA"/>
      </w:pPr>
    </w:p>
    <w:p w:rsidR="00AC2C19" w:rsidRPr="00CD354A" w:rsidRDefault="00AC2C19" w:rsidP="00AC2C19">
      <w:pPr>
        <w:pStyle w:val="BTEMEASMCA"/>
      </w:pPr>
      <w:r w:rsidRPr="00CD354A">
        <w:t>Milteliai injekciniam ar infuziniam tirpalui</w:t>
      </w:r>
    </w:p>
    <w:p w:rsidR="00AC2C19" w:rsidRPr="00CD354A" w:rsidRDefault="00AC2C19" w:rsidP="00AC2C19">
      <w:pPr>
        <w:pStyle w:val="BTEMEASMCA"/>
      </w:pPr>
    </w:p>
    <w:p w:rsidR="00AC2C19" w:rsidRPr="00CD354A" w:rsidRDefault="00AC2C19" w:rsidP="00AC2C19">
      <w:pPr>
        <w:pStyle w:val="BTEMEASMCA"/>
      </w:pPr>
      <w:r w:rsidRPr="00CD354A">
        <w:t>2 g</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PI-1labEMEASMCA"/>
        <w:rPr>
          <w:highlight w:val="lightGray"/>
        </w:rPr>
      </w:pPr>
      <w:r w:rsidRPr="00CD354A">
        <w:t>5.</w:t>
      </w:r>
      <w:r w:rsidRPr="00CD354A">
        <w:tab/>
        <w:t>VARTOJIMO METODAS IR BŪDAS (-AI)</w:t>
      </w:r>
    </w:p>
    <w:p w:rsidR="00AC2C19" w:rsidRPr="00CD354A" w:rsidRDefault="00AC2C19" w:rsidP="00AC2C19">
      <w:pPr>
        <w:pStyle w:val="BTEMEASMCA"/>
      </w:pPr>
    </w:p>
    <w:p w:rsidR="00AC2C19" w:rsidRPr="00CD354A" w:rsidRDefault="00AC2C19" w:rsidP="00AC2C19">
      <w:pPr>
        <w:pStyle w:val="BTEMEASMCA"/>
      </w:pPr>
      <w:r w:rsidRPr="00CD354A">
        <w:t>Prieš vartojimą perskaitykite pakuotės lapelį.</w:t>
      </w:r>
    </w:p>
    <w:p w:rsidR="00AC2C19" w:rsidRPr="00CD354A" w:rsidRDefault="00AC2C19" w:rsidP="00AC2C19">
      <w:pPr>
        <w:pStyle w:val="BTEMEASMCA"/>
      </w:pPr>
      <w:r w:rsidRPr="00CD354A">
        <w:t>Leisti į veną arba į raumenis.</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PI-1labEMEASMCA"/>
        <w:ind w:left="567" w:hanging="567"/>
      </w:pPr>
      <w:r w:rsidRPr="00CD354A">
        <w:t>6.</w:t>
      </w:r>
      <w:r w:rsidRPr="00CD354A">
        <w:tab/>
        <w:t>SPECIALUS ĮSPĖJIMAS, KAD VAISTINĮ PREPARATĄ BŪTINA LAIKYTI VAIKAMS NEPASTEBIMOJE IR NEPASIEKIAMOJE VIETOJE</w:t>
      </w:r>
    </w:p>
    <w:p w:rsidR="00AC2C19" w:rsidRPr="00CD354A" w:rsidRDefault="00AC2C19" w:rsidP="00AC2C19">
      <w:pPr>
        <w:pStyle w:val="BTEMEASMCA"/>
      </w:pPr>
    </w:p>
    <w:p w:rsidR="00AC2C19" w:rsidRPr="00CD354A" w:rsidRDefault="00AC2C19" w:rsidP="00AC2C19">
      <w:pPr>
        <w:pStyle w:val="BTEMEASMCA"/>
      </w:pPr>
      <w:r w:rsidRPr="00CD354A">
        <w:t>Laikyti vaikams nepastebimoje ir nepasiekiamoje vietoje.</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PI-1labEMEASMCA"/>
        <w:rPr>
          <w:highlight w:val="lightGray"/>
        </w:rPr>
      </w:pPr>
      <w:r w:rsidRPr="00CD354A">
        <w:t>7.</w:t>
      </w:r>
      <w:r w:rsidRPr="00CD354A">
        <w:tab/>
        <w:t>KITAS (-I) SPECIALUS (-ŪS) ĮSPĖJIMAS (-AI) (JEI REIKIA)</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PI-1labEMEASMCA"/>
        <w:rPr>
          <w:highlight w:val="lightGray"/>
        </w:rPr>
      </w:pPr>
      <w:r w:rsidRPr="00CD354A">
        <w:t>8.</w:t>
      </w:r>
      <w:r w:rsidRPr="00CD354A">
        <w:tab/>
        <w:t>TINKAMUMO LAIKAS</w:t>
      </w:r>
    </w:p>
    <w:p w:rsidR="00AC2C19" w:rsidRPr="00CD354A" w:rsidRDefault="00AC2C19" w:rsidP="00AC2C19">
      <w:pPr>
        <w:pStyle w:val="BTEMEASMCA"/>
      </w:pPr>
    </w:p>
    <w:p w:rsidR="00AC2C19" w:rsidRPr="00CD354A" w:rsidRDefault="00AC2C19" w:rsidP="00AC2C19">
      <w:pPr>
        <w:pStyle w:val="BTEMEASMCA"/>
      </w:pPr>
      <w:r w:rsidRPr="00CD354A">
        <w:t>Tinka iki: mm/MMMM</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PI-1labEMEASMCA"/>
      </w:pPr>
      <w:r w:rsidRPr="00CD354A">
        <w:t>9.</w:t>
      </w:r>
      <w:r w:rsidRPr="00CD354A">
        <w:tab/>
        <w:t>SPECIALIOS LAIKYMO SĄLYGOS</w:t>
      </w:r>
    </w:p>
    <w:p w:rsidR="00AC2C19" w:rsidRPr="00CD354A" w:rsidRDefault="00AC2C19" w:rsidP="00AC2C19">
      <w:pPr>
        <w:pStyle w:val="BTEMEASMCA"/>
      </w:pPr>
    </w:p>
    <w:p w:rsidR="00AC2C19" w:rsidRPr="00CD354A" w:rsidRDefault="00AC2C19" w:rsidP="00AC2C19">
      <w:pPr>
        <w:pStyle w:val="BTEMEASMCA"/>
      </w:pPr>
      <w:r w:rsidRPr="00CD354A">
        <w:t>Laikyti žemesnėje kaip 25 </w:t>
      </w:r>
      <w:r w:rsidRPr="00CD354A">
        <w:sym w:font="Symbol" w:char="F0B0"/>
      </w:r>
      <w:r w:rsidRPr="00CD354A">
        <w:t>C temperatūroje.</w:t>
      </w:r>
    </w:p>
    <w:p w:rsidR="00AC2C19" w:rsidRPr="00CD354A" w:rsidRDefault="00AC2C19" w:rsidP="00AC2C19">
      <w:pPr>
        <w:pStyle w:val="BTEMEASMCA"/>
      </w:pPr>
      <w:r>
        <w:t>Flakon</w:t>
      </w:r>
      <w:r w:rsidRPr="00CD354A">
        <w:t>ą laikyti išorinėje dėžutėje, kad preparatas būtų apsaugotas nuo šviesos.</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PI-1labEMEASMCA"/>
        <w:ind w:left="567" w:hanging="567"/>
      </w:pPr>
      <w:r w:rsidRPr="00CD354A">
        <w:t>10.</w:t>
      </w:r>
      <w:r w:rsidRPr="00CD354A">
        <w:tab/>
        <w:t xml:space="preserve">SPECIALIOS ATSARGUMO PRIEMONĖS DĖL NESUVARTOTO </w:t>
      </w:r>
      <w:r w:rsidRPr="00CD354A">
        <w:rPr>
          <w:bCs/>
        </w:rPr>
        <w:t xml:space="preserve">VAISTINIO PREPARATO AR JO ATLIEKŲ </w:t>
      </w:r>
      <w:r w:rsidRPr="00CD354A">
        <w:t>TVARKYMO (JEI REIKIA)</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PI-1labEMEASMCA"/>
      </w:pPr>
      <w:r w:rsidRPr="00CD354A">
        <w:t>11.</w:t>
      </w:r>
      <w:r w:rsidRPr="00CD354A">
        <w:tab/>
      </w:r>
      <w:r w:rsidRPr="0048320F">
        <w:rPr>
          <w:caps/>
          <w:szCs w:val="24"/>
        </w:rPr>
        <w:t>REGISTRUOTOJO</w:t>
      </w:r>
      <w:r w:rsidRPr="00CD354A">
        <w:t xml:space="preserve"> PAVADINIMAS IR ADRESAS</w:t>
      </w:r>
    </w:p>
    <w:p w:rsidR="00AC2C19" w:rsidRPr="00CD354A" w:rsidRDefault="00AC2C19" w:rsidP="00AC2C19">
      <w:pPr>
        <w:pStyle w:val="BTEMEASMCA"/>
      </w:pPr>
    </w:p>
    <w:p w:rsidR="00AC2C19" w:rsidRPr="00CD354A" w:rsidRDefault="00AC2C19" w:rsidP="00AC2C19">
      <w:pPr>
        <w:pStyle w:val="BTEMEASMCA"/>
      </w:pPr>
      <w:r w:rsidRPr="00CD354A">
        <w:t>Pfizer Limited</w:t>
      </w:r>
    </w:p>
    <w:p w:rsidR="00AC2C19" w:rsidRPr="00CD354A" w:rsidRDefault="00AC2C19" w:rsidP="00AC2C19">
      <w:pPr>
        <w:pStyle w:val="BTEMEASMCA"/>
      </w:pPr>
      <w:r w:rsidRPr="00CD354A">
        <w:t>Ramsgate Road, Sandwich, Kent, CT13 9NJ</w:t>
      </w:r>
    </w:p>
    <w:p w:rsidR="00AC2C19" w:rsidRPr="00CD354A" w:rsidRDefault="00AC2C19" w:rsidP="00AC2C19">
      <w:pPr>
        <w:pStyle w:val="BTEMEASMCA"/>
      </w:pPr>
      <w:r w:rsidRPr="00CD354A">
        <w:t>Jungtinė Karalystė</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PI-1labEMEASMCA"/>
      </w:pPr>
      <w:r w:rsidRPr="00CD354A">
        <w:t>12.</w:t>
      </w:r>
      <w:r w:rsidRPr="00CD354A">
        <w:tab/>
      </w:r>
      <w:r w:rsidRPr="0048320F">
        <w:rPr>
          <w:szCs w:val="24"/>
        </w:rPr>
        <w:t>REGISTRACIJOS</w:t>
      </w:r>
      <w:r w:rsidRPr="00CD354A">
        <w:t xml:space="preserve"> PAŽYMĖJIMO NUMERIS</w:t>
      </w:r>
    </w:p>
    <w:p w:rsidR="00AC2C19" w:rsidRPr="00CD354A" w:rsidRDefault="00AC2C19" w:rsidP="00AC2C19">
      <w:pPr>
        <w:pStyle w:val="BTEMEASMCA"/>
      </w:pPr>
    </w:p>
    <w:p w:rsidR="00AC2C19" w:rsidRPr="00CD354A" w:rsidRDefault="00AC2C19" w:rsidP="00AC2C19">
      <w:pPr>
        <w:spacing w:line="240" w:lineRule="auto"/>
        <w:rPr>
          <w:lang w:val="lt-LT"/>
        </w:rPr>
      </w:pPr>
      <w:r w:rsidRPr="00CD354A">
        <w:rPr>
          <w:lang w:val="lt-LT"/>
        </w:rPr>
        <w:t>LT/1/02/3125/001</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PI-1labEMEASMCA"/>
      </w:pPr>
      <w:r w:rsidRPr="00CD354A">
        <w:t>13.</w:t>
      </w:r>
      <w:r w:rsidRPr="00CD354A">
        <w:tab/>
        <w:t>SERIJOS NUMERIS</w:t>
      </w:r>
    </w:p>
    <w:p w:rsidR="00AC2C19" w:rsidRPr="00CD354A" w:rsidRDefault="00AC2C19" w:rsidP="00AC2C19">
      <w:pPr>
        <w:pStyle w:val="BTEMEASMCA"/>
      </w:pPr>
    </w:p>
    <w:p w:rsidR="00AC2C19" w:rsidRPr="00CD354A" w:rsidRDefault="00AC2C19" w:rsidP="00AC2C19">
      <w:pPr>
        <w:pStyle w:val="BTEMEASMCA"/>
      </w:pPr>
      <w:r w:rsidRPr="00CD354A">
        <w:t>Serija</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PI-1labEMEASMCA"/>
      </w:pPr>
      <w:r w:rsidRPr="00CD354A">
        <w:t>14.</w:t>
      </w:r>
      <w:r w:rsidRPr="00CD354A">
        <w:tab/>
        <w:t>PARDAVIMO (IŠDAVIMO) TVARKA</w:t>
      </w:r>
    </w:p>
    <w:p w:rsidR="00AC2C19" w:rsidRPr="00CD354A" w:rsidRDefault="00AC2C19" w:rsidP="00AC2C19">
      <w:pPr>
        <w:pStyle w:val="BTEMEASMCA"/>
      </w:pPr>
    </w:p>
    <w:p w:rsidR="00AC2C19" w:rsidRPr="00CD354A" w:rsidRDefault="00AC2C19" w:rsidP="00AC2C19">
      <w:pPr>
        <w:pStyle w:val="BTEMEASMCA"/>
      </w:pPr>
      <w:r w:rsidRPr="00CD354A">
        <w:t>Receptinis vaistinis preparatas.</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PI-1labEMEASMCA"/>
      </w:pPr>
      <w:r w:rsidRPr="00CD354A">
        <w:t>15.</w:t>
      </w:r>
      <w:r w:rsidRPr="00CD354A">
        <w:tab/>
        <w:t>VARTOJIMO INSTRUKCIJA</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PI-1labEMEASMCA"/>
      </w:pPr>
      <w:r w:rsidRPr="00CD354A">
        <w:t>16.</w:t>
      </w:r>
      <w:r w:rsidRPr="00CD354A">
        <w:tab/>
        <w:t>INFORMACIJA BRAILIO RAŠTU</w:t>
      </w:r>
    </w:p>
    <w:p w:rsidR="00AC2C19" w:rsidRPr="00CD354A" w:rsidRDefault="00AC2C19" w:rsidP="00AC2C19">
      <w:pPr>
        <w:pStyle w:val="BTEMEASMCA"/>
      </w:pPr>
    </w:p>
    <w:p w:rsidR="00AC2C19" w:rsidRPr="00CD354A" w:rsidRDefault="00AC2C19" w:rsidP="00AC2C19">
      <w:pPr>
        <w:pStyle w:val="BTEMEASMCA"/>
      </w:pPr>
      <w:r w:rsidRPr="00CD354A">
        <w:rPr>
          <w:highlight w:val="lightGray"/>
        </w:rPr>
        <w:t>&lt;Priimtas paaiškinimas nenurodyti informacijos Brailio raštu&gt;</w:t>
      </w:r>
    </w:p>
    <w:p w:rsidR="00AC2C19" w:rsidRPr="00CD354A" w:rsidRDefault="00AC2C19" w:rsidP="00AC2C19">
      <w:pPr>
        <w:pStyle w:val="BTEMEASMCA"/>
      </w:pPr>
    </w:p>
    <w:p w:rsidR="00AC2C19" w:rsidRPr="00CD354A" w:rsidRDefault="00AC2C19" w:rsidP="00AC2C19">
      <w:pPr>
        <w:pStyle w:val="BTEMEASMCA"/>
      </w:pPr>
      <w:r w:rsidRPr="00CD354A">
        <w:br w:type="page"/>
      </w:r>
    </w:p>
    <w:p w:rsidR="00AC2C19" w:rsidRPr="00CD354A" w:rsidRDefault="00AC2C19" w:rsidP="00AC2C19">
      <w:pPr>
        <w:pStyle w:val="PI-1labEMEASMCA"/>
      </w:pPr>
      <w:r w:rsidRPr="00CD354A">
        <w:t>MINIMALI INFORMACIJA ANT MAŽŲ VIDINIŲ</w:t>
      </w:r>
      <w:r w:rsidRPr="00CD354A">
        <w:rPr>
          <w:bCs/>
        </w:rPr>
        <w:t xml:space="preserve"> </w:t>
      </w:r>
      <w:r w:rsidRPr="00CD354A">
        <w:t>PAKUOČIŲ</w:t>
      </w:r>
    </w:p>
    <w:p w:rsidR="00AC2C19" w:rsidRPr="00CD354A" w:rsidRDefault="00AC2C19" w:rsidP="00AC2C19">
      <w:pPr>
        <w:pStyle w:val="PI-1labEMEASMCA"/>
      </w:pPr>
    </w:p>
    <w:p w:rsidR="00AC2C19" w:rsidRPr="00CD354A" w:rsidRDefault="00AC2C19" w:rsidP="00AC2C19">
      <w:pPr>
        <w:pStyle w:val="PI-1labEMEASMCA"/>
      </w:pPr>
      <w:r>
        <w:t>FLAKON</w:t>
      </w:r>
      <w:r w:rsidRPr="00CD354A">
        <w:t>O ETIKETĖ</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PI-1labEMEASMCA"/>
      </w:pPr>
      <w:r w:rsidRPr="00CD354A">
        <w:t>1.</w:t>
      </w:r>
      <w:r w:rsidRPr="00CD354A">
        <w:tab/>
        <w:t>VAISTINIO PREPARATO PAVADINIMAS IR VARTOJIMO BŪDAS (-AI)</w:t>
      </w:r>
    </w:p>
    <w:p w:rsidR="00AC2C19" w:rsidRPr="00CD354A" w:rsidRDefault="00AC2C19" w:rsidP="00AC2C19">
      <w:pPr>
        <w:pStyle w:val="BTEMEASMCA"/>
      </w:pPr>
    </w:p>
    <w:p w:rsidR="00AC2C19" w:rsidRPr="00CD354A" w:rsidRDefault="00AC2C19" w:rsidP="00AC2C19">
      <w:pPr>
        <w:pStyle w:val="BTEMEASMCA"/>
      </w:pPr>
      <w:r w:rsidRPr="00CD354A">
        <w:t>SULPERAZON 1/1 g milteliai injekciniam ar infuziniam tirpalui</w:t>
      </w:r>
    </w:p>
    <w:p w:rsidR="00AC2C19" w:rsidRPr="00CD354A" w:rsidRDefault="00AC2C19" w:rsidP="00AC2C19">
      <w:pPr>
        <w:pStyle w:val="BTEMEASMCA"/>
      </w:pPr>
      <w:r w:rsidRPr="00CD354A">
        <w:t>Sulbaktamas/Cefoperazonas</w:t>
      </w:r>
    </w:p>
    <w:p w:rsidR="00AC2C19" w:rsidRPr="00CD354A" w:rsidRDefault="00AC2C19" w:rsidP="00AC2C19">
      <w:pPr>
        <w:pStyle w:val="BTEMEASMCA"/>
      </w:pPr>
      <w:r w:rsidRPr="00CD354A">
        <w:t>Leisti į veną arba į raumenis.</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PI-1labEMEASMCA"/>
      </w:pPr>
      <w:r w:rsidRPr="00CD354A">
        <w:t>2.</w:t>
      </w:r>
      <w:r w:rsidRPr="00CD354A">
        <w:tab/>
        <w:t>VARTOJIMO METODAS</w:t>
      </w:r>
    </w:p>
    <w:p w:rsidR="00AC2C19" w:rsidRPr="00CD354A" w:rsidRDefault="00AC2C19" w:rsidP="00AC2C19">
      <w:pPr>
        <w:pStyle w:val="BTEMEASMCA"/>
      </w:pPr>
    </w:p>
    <w:p w:rsidR="00AC2C19" w:rsidRPr="00CD354A" w:rsidRDefault="00AC2C19" w:rsidP="00AC2C19">
      <w:pPr>
        <w:pStyle w:val="BTEMEASMCA"/>
      </w:pPr>
      <w:r w:rsidRPr="00CD354A">
        <w:t>Prieš vartojimą perskaitykite pakuotės lapelį.</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PI-1labEMEASMCA"/>
      </w:pPr>
      <w:r w:rsidRPr="00CD354A">
        <w:t>3.</w:t>
      </w:r>
      <w:r w:rsidRPr="00CD354A">
        <w:tab/>
        <w:t>TINKAMUMO LAIKAS</w:t>
      </w:r>
    </w:p>
    <w:p w:rsidR="00AC2C19" w:rsidRPr="00CD354A" w:rsidRDefault="00AC2C19" w:rsidP="00AC2C19">
      <w:pPr>
        <w:pStyle w:val="BTEMEASMCA"/>
      </w:pPr>
    </w:p>
    <w:p w:rsidR="00AC2C19" w:rsidRPr="00CD354A" w:rsidRDefault="00AC2C19" w:rsidP="00AC2C19">
      <w:pPr>
        <w:pStyle w:val="BTEMEASMCA"/>
      </w:pPr>
      <w:r w:rsidRPr="00CD354A">
        <w:t>Tinka iki: mm/ MMMM</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PI-1labEMEASMCA"/>
        <w:rPr>
          <w:highlight w:val="lightGray"/>
        </w:rPr>
      </w:pPr>
      <w:r w:rsidRPr="00CD354A">
        <w:t>4.</w:t>
      </w:r>
      <w:r w:rsidRPr="00CD354A">
        <w:tab/>
        <w:t>SERIJOS NUMERIS</w:t>
      </w:r>
    </w:p>
    <w:p w:rsidR="00AC2C19" w:rsidRPr="00CD354A" w:rsidRDefault="00AC2C19" w:rsidP="00AC2C19">
      <w:pPr>
        <w:pStyle w:val="BTEMEASMCA"/>
      </w:pPr>
    </w:p>
    <w:p w:rsidR="00AC2C19" w:rsidRPr="00CD354A" w:rsidRDefault="00AC2C19" w:rsidP="00AC2C19">
      <w:pPr>
        <w:pStyle w:val="BTEMEASMCA"/>
      </w:pPr>
      <w:r w:rsidRPr="00CD354A">
        <w:t>Serija</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PI-1labEMEASMCA"/>
        <w:rPr>
          <w:highlight w:val="lightGray"/>
        </w:rPr>
      </w:pPr>
      <w:r w:rsidRPr="00CD354A">
        <w:t>5.</w:t>
      </w:r>
      <w:r w:rsidRPr="00CD354A">
        <w:tab/>
        <w:t>KIEKIS (MASĖ, TŪRIS ARBA VIENETAI)</w:t>
      </w:r>
    </w:p>
    <w:p w:rsidR="00AC2C19" w:rsidRPr="00CD354A" w:rsidRDefault="00AC2C19" w:rsidP="00AC2C19">
      <w:pPr>
        <w:pStyle w:val="BTEMEASMCA"/>
      </w:pPr>
    </w:p>
    <w:p w:rsidR="00AC2C19" w:rsidRPr="00CD354A" w:rsidRDefault="00AC2C19" w:rsidP="00AC2C19">
      <w:pPr>
        <w:pStyle w:val="BTEMEASMCA"/>
      </w:pPr>
      <w:r w:rsidRPr="00CD354A">
        <w:t>2 g</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PI-1labEMEASMCA"/>
        <w:rPr>
          <w:highlight w:val="lightGray"/>
        </w:rPr>
      </w:pPr>
      <w:r w:rsidRPr="00CD354A">
        <w:t>6.</w:t>
      </w:r>
      <w:r w:rsidRPr="00CD354A">
        <w:tab/>
        <w:t>KITA</w:t>
      </w:r>
    </w:p>
    <w:p w:rsidR="00AC2C19" w:rsidRPr="00CD354A" w:rsidRDefault="00AC2C19" w:rsidP="00AC2C19">
      <w:pPr>
        <w:pStyle w:val="BTEMEASMCA"/>
      </w:pPr>
    </w:p>
    <w:p w:rsidR="00AC2C19" w:rsidRPr="00CD354A" w:rsidRDefault="00AC2C19" w:rsidP="00AC2C19">
      <w:pPr>
        <w:pStyle w:val="BTEMEASMCA"/>
      </w:pPr>
      <w:r w:rsidRPr="00CD354A">
        <w:t>Pfizer</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pStyle w:val="BTEMEASMCA"/>
      </w:pPr>
      <w:r w:rsidRPr="00CD354A">
        <w:br w:type="page"/>
      </w: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p>
    <w:p w:rsidR="00AC2C19" w:rsidRPr="00CD354A" w:rsidRDefault="00AC2C19" w:rsidP="00AC2C19">
      <w:pPr>
        <w:pStyle w:val="TTEMEASMCA"/>
        <w:rPr>
          <w:sz w:val="22"/>
          <w:szCs w:val="22"/>
          <w:lang w:val="lt-LT"/>
        </w:rPr>
      </w:pPr>
      <w:r w:rsidRPr="00CD354A">
        <w:rPr>
          <w:sz w:val="22"/>
          <w:szCs w:val="22"/>
          <w:lang w:val="lt-LT"/>
        </w:rPr>
        <w:t>B. PAKUOTĖS LAPELIS</w:t>
      </w:r>
    </w:p>
    <w:p w:rsidR="00AC2C19" w:rsidRPr="00CD354A" w:rsidRDefault="00AC2C19" w:rsidP="00AC2C19">
      <w:pPr>
        <w:spacing w:line="240" w:lineRule="auto"/>
        <w:jc w:val="center"/>
        <w:rPr>
          <w:b/>
          <w:lang w:val="lt-LT"/>
        </w:rPr>
      </w:pPr>
      <w:r w:rsidRPr="00CD354A">
        <w:rPr>
          <w:lang w:val="lt-LT"/>
        </w:rPr>
        <w:br w:type="page"/>
      </w:r>
      <w:bookmarkStart w:id="91" w:name="_Toc129243138"/>
      <w:bookmarkStart w:id="92" w:name="_Toc129243263"/>
      <w:r w:rsidRPr="00CD354A">
        <w:rPr>
          <w:b/>
          <w:lang w:val="lt-LT"/>
        </w:rPr>
        <w:t>Pakuotės lapelis: informacija vartotojui</w:t>
      </w:r>
      <w:bookmarkEnd w:id="91"/>
      <w:bookmarkEnd w:id="92"/>
    </w:p>
    <w:p w:rsidR="00AC2C19" w:rsidRPr="00CD354A" w:rsidRDefault="00AC2C19" w:rsidP="00AC2C19">
      <w:pPr>
        <w:spacing w:line="240" w:lineRule="auto"/>
        <w:jc w:val="center"/>
        <w:rPr>
          <w:b/>
          <w:lang w:val="lt-LT"/>
        </w:rPr>
      </w:pPr>
    </w:p>
    <w:p w:rsidR="00AC2C19" w:rsidRPr="00CD354A" w:rsidRDefault="00AC2C19" w:rsidP="00AC2C19">
      <w:pPr>
        <w:spacing w:line="240" w:lineRule="auto"/>
        <w:jc w:val="center"/>
        <w:rPr>
          <w:b/>
          <w:lang w:val="lt-LT"/>
        </w:rPr>
      </w:pPr>
      <w:r w:rsidRPr="00CD354A">
        <w:rPr>
          <w:b/>
          <w:lang w:val="lt-LT"/>
        </w:rPr>
        <w:t>SULPERAZON 1/1 g milteliai injekciniam ar infuziniam tirpalui</w:t>
      </w:r>
    </w:p>
    <w:p w:rsidR="00AC2C19" w:rsidRPr="00CD354A" w:rsidRDefault="00AC2C19" w:rsidP="00AC2C19">
      <w:pPr>
        <w:spacing w:line="240" w:lineRule="auto"/>
        <w:jc w:val="center"/>
        <w:rPr>
          <w:lang w:val="lt-LT"/>
        </w:rPr>
      </w:pPr>
      <w:proofErr w:type="spellStart"/>
      <w:r w:rsidRPr="00CD354A">
        <w:rPr>
          <w:lang w:val="lt-LT"/>
        </w:rPr>
        <w:t>Sulbaktamas</w:t>
      </w:r>
      <w:proofErr w:type="spellEnd"/>
      <w:r w:rsidRPr="00CD354A">
        <w:rPr>
          <w:lang w:val="lt-LT"/>
        </w:rPr>
        <w:t xml:space="preserve"> ir </w:t>
      </w:r>
      <w:proofErr w:type="spellStart"/>
      <w:r w:rsidRPr="00CD354A">
        <w:rPr>
          <w:lang w:val="lt-LT"/>
        </w:rPr>
        <w:t>cefoperazonas</w:t>
      </w:r>
      <w:proofErr w:type="spellEnd"/>
    </w:p>
    <w:p w:rsidR="00AC2C19" w:rsidRPr="00CD354A" w:rsidRDefault="00AC2C19" w:rsidP="00AC2C19">
      <w:pPr>
        <w:spacing w:line="240" w:lineRule="auto"/>
        <w:jc w:val="center"/>
        <w:rPr>
          <w:lang w:val="lt-LT"/>
        </w:rPr>
      </w:pPr>
    </w:p>
    <w:p w:rsidR="00AC2C19" w:rsidRPr="00CD354A" w:rsidRDefault="00AC2C19" w:rsidP="00AC2C19">
      <w:pPr>
        <w:suppressAutoHyphens/>
        <w:spacing w:line="240" w:lineRule="auto"/>
        <w:rPr>
          <w:lang w:val="lt-LT"/>
        </w:rPr>
      </w:pPr>
      <w:r w:rsidRPr="00CD354A">
        <w:rPr>
          <w:b/>
          <w:lang w:val="lt-LT"/>
        </w:rPr>
        <w:t xml:space="preserve">Atidžiai perskaitykite visą šį lapelį, prieš pradėdami vartoti vaistą, </w:t>
      </w:r>
      <w:r w:rsidRPr="00CD354A">
        <w:rPr>
          <w:b/>
          <w:noProof/>
          <w:lang w:val="lt-LT"/>
        </w:rPr>
        <w:t>nes jame pateikiama Jums svarbi informacija.</w:t>
      </w:r>
    </w:p>
    <w:p w:rsidR="00AC2C19" w:rsidRPr="00CD354A" w:rsidRDefault="00AC2C19" w:rsidP="00AC2C19">
      <w:pPr>
        <w:tabs>
          <w:tab w:val="left" w:pos="567"/>
        </w:tabs>
        <w:spacing w:line="240" w:lineRule="auto"/>
        <w:rPr>
          <w:lang w:val="lt-LT"/>
        </w:rPr>
      </w:pPr>
      <w:r w:rsidRPr="00CD354A">
        <w:rPr>
          <w:lang w:val="lt-LT"/>
        </w:rPr>
        <w:t>-</w:t>
      </w:r>
      <w:r w:rsidRPr="00CD354A">
        <w:rPr>
          <w:lang w:val="lt-LT"/>
        </w:rPr>
        <w:tab/>
        <w:t>Neišmeskite šio lapelio, nes vėl gali prireikti jį perskaityti.</w:t>
      </w:r>
    </w:p>
    <w:p w:rsidR="00AC2C19" w:rsidRPr="00CD354A" w:rsidRDefault="00AC2C19" w:rsidP="00AC2C19">
      <w:pPr>
        <w:tabs>
          <w:tab w:val="left" w:pos="567"/>
        </w:tabs>
        <w:spacing w:line="240" w:lineRule="auto"/>
        <w:ind w:left="540" w:hanging="540"/>
        <w:rPr>
          <w:lang w:val="lt-LT"/>
        </w:rPr>
      </w:pPr>
      <w:r w:rsidRPr="00CD354A">
        <w:rPr>
          <w:lang w:val="lt-LT"/>
        </w:rPr>
        <w:t>-</w:t>
      </w:r>
      <w:r w:rsidRPr="00CD354A">
        <w:rPr>
          <w:lang w:val="lt-LT"/>
        </w:rPr>
        <w:tab/>
        <w:t>Jeigu kiltų daugiau klausimų, kreipkitės į gydytoją arba vaistininką.</w:t>
      </w:r>
    </w:p>
    <w:p w:rsidR="00AC2C19" w:rsidRPr="00CD354A" w:rsidRDefault="00AC2C19" w:rsidP="00AC2C19">
      <w:pPr>
        <w:tabs>
          <w:tab w:val="left" w:pos="567"/>
        </w:tabs>
        <w:spacing w:line="240" w:lineRule="auto"/>
        <w:ind w:left="540" w:hanging="540"/>
        <w:rPr>
          <w:lang w:val="lt-LT"/>
        </w:rPr>
      </w:pPr>
      <w:r w:rsidRPr="00CD354A">
        <w:rPr>
          <w:lang w:val="lt-LT"/>
        </w:rPr>
        <w:t>-</w:t>
      </w:r>
      <w:r w:rsidRPr="00CD354A">
        <w:rPr>
          <w:lang w:val="lt-LT"/>
        </w:rPr>
        <w:tab/>
        <w:t xml:space="preserve">Šis vaistas skirtas tik Jums, todėl kitiems žmonėms jo duoti negalima. Vaistas gali jiems pakenkti (net tiems, kurių ligos </w:t>
      </w:r>
      <w:r w:rsidRPr="00CD354A">
        <w:rPr>
          <w:noProof/>
          <w:lang w:val="lt-LT"/>
        </w:rPr>
        <w:t>požymiai</w:t>
      </w:r>
      <w:r w:rsidRPr="00CD354A">
        <w:rPr>
          <w:lang w:val="lt-LT"/>
        </w:rPr>
        <w:t xml:space="preserve"> yra tokie patys kaip Jūsų).</w:t>
      </w:r>
    </w:p>
    <w:p w:rsidR="00AC2C19" w:rsidRPr="00CD354A" w:rsidRDefault="00AC2C19" w:rsidP="00AC2C19">
      <w:pPr>
        <w:numPr>
          <w:ilvl w:val="0"/>
          <w:numId w:val="3"/>
        </w:numPr>
        <w:tabs>
          <w:tab w:val="left" w:pos="567"/>
        </w:tabs>
        <w:spacing w:line="240" w:lineRule="auto"/>
        <w:ind w:left="567" w:hanging="567"/>
        <w:rPr>
          <w:lang w:val="lt-LT"/>
        </w:rPr>
      </w:pPr>
      <w:r w:rsidRPr="00CD354A">
        <w:rPr>
          <w:noProof/>
          <w:lang w:val="lt-LT"/>
        </w:rPr>
        <w:t>Jeigu pasireiškė šalutinis poveikis (net jeigu jis šiame lapelyje nenurodytas), kreipkitės į gydytoją arba vaistininką. Žr. 4 skyrių.</w:t>
      </w:r>
    </w:p>
    <w:p w:rsidR="00AC2C19" w:rsidRPr="00CD354A" w:rsidRDefault="00AC2C19" w:rsidP="00AC2C19">
      <w:pPr>
        <w:spacing w:line="240" w:lineRule="auto"/>
        <w:rPr>
          <w:lang w:val="lt-LT"/>
        </w:rPr>
      </w:pPr>
    </w:p>
    <w:p w:rsidR="00AC2C19" w:rsidRPr="00CD354A" w:rsidRDefault="00AC2C19" w:rsidP="00AC2C19">
      <w:pPr>
        <w:spacing w:line="240" w:lineRule="auto"/>
        <w:rPr>
          <w:b/>
          <w:lang w:val="lt-LT"/>
        </w:rPr>
      </w:pPr>
      <w:r w:rsidRPr="00CD354A">
        <w:rPr>
          <w:b/>
          <w:lang w:val="lt-LT"/>
        </w:rPr>
        <w:t>Apie ką rašoma šiame lapelyje?</w:t>
      </w:r>
    </w:p>
    <w:p w:rsidR="00AC2C19" w:rsidRPr="00CD354A" w:rsidRDefault="00AC2C19" w:rsidP="00AC2C19">
      <w:pPr>
        <w:spacing w:line="240" w:lineRule="auto"/>
        <w:rPr>
          <w:b/>
          <w:lang w:val="lt-LT"/>
        </w:rPr>
      </w:pPr>
    </w:p>
    <w:p w:rsidR="00AC2C19" w:rsidRPr="00CD354A" w:rsidRDefault="00AC2C19" w:rsidP="00AC2C19">
      <w:pPr>
        <w:tabs>
          <w:tab w:val="left" w:pos="567"/>
        </w:tabs>
        <w:spacing w:line="240" w:lineRule="auto"/>
        <w:rPr>
          <w:lang w:val="lt-LT"/>
        </w:rPr>
      </w:pPr>
      <w:r w:rsidRPr="00CD354A">
        <w:rPr>
          <w:lang w:val="lt-LT"/>
        </w:rPr>
        <w:t>1.</w:t>
      </w:r>
      <w:r w:rsidRPr="00CD354A">
        <w:rPr>
          <w:lang w:val="lt-LT"/>
        </w:rPr>
        <w:tab/>
        <w:t>Kas yra SULPERAZON ir kam jis vartojamas</w:t>
      </w:r>
    </w:p>
    <w:p w:rsidR="00AC2C19" w:rsidRPr="00CD354A" w:rsidRDefault="00AC2C19" w:rsidP="00AC2C19">
      <w:pPr>
        <w:tabs>
          <w:tab w:val="left" w:pos="567"/>
        </w:tabs>
        <w:spacing w:line="240" w:lineRule="auto"/>
        <w:rPr>
          <w:lang w:val="lt-LT"/>
        </w:rPr>
      </w:pPr>
      <w:r w:rsidRPr="00CD354A">
        <w:rPr>
          <w:lang w:val="lt-LT"/>
        </w:rPr>
        <w:t>2.</w:t>
      </w:r>
      <w:r w:rsidRPr="00CD354A">
        <w:rPr>
          <w:lang w:val="lt-LT"/>
        </w:rPr>
        <w:tab/>
        <w:t>Kas žinotina prieš vartojant SULPERAZON</w:t>
      </w:r>
    </w:p>
    <w:p w:rsidR="00AC2C19" w:rsidRPr="00CD354A" w:rsidRDefault="00AC2C19" w:rsidP="00AC2C19">
      <w:pPr>
        <w:tabs>
          <w:tab w:val="left" w:pos="567"/>
        </w:tabs>
        <w:spacing w:line="240" w:lineRule="auto"/>
        <w:rPr>
          <w:lang w:val="lt-LT"/>
        </w:rPr>
      </w:pPr>
      <w:r w:rsidRPr="00CD354A">
        <w:rPr>
          <w:lang w:val="lt-LT"/>
        </w:rPr>
        <w:t>3.</w:t>
      </w:r>
      <w:r w:rsidRPr="00CD354A">
        <w:rPr>
          <w:lang w:val="lt-LT"/>
        </w:rPr>
        <w:tab/>
        <w:t>Kaip vartoti SULPERAZON</w:t>
      </w:r>
    </w:p>
    <w:p w:rsidR="00AC2C19" w:rsidRPr="00CD354A" w:rsidRDefault="00AC2C19" w:rsidP="00AC2C19">
      <w:pPr>
        <w:tabs>
          <w:tab w:val="left" w:pos="567"/>
        </w:tabs>
        <w:spacing w:line="240" w:lineRule="auto"/>
        <w:rPr>
          <w:lang w:val="lt-LT"/>
        </w:rPr>
      </w:pPr>
      <w:r w:rsidRPr="00CD354A">
        <w:rPr>
          <w:lang w:val="lt-LT"/>
        </w:rPr>
        <w:t>4.</w:t>
      </w:r>
      <w:r w:rsidRPr="00CD354A">
        <w:rPr>
          <w:lang w:val="lt-LT"/>
        </w:rPr>
        <w:tab/>
        <w:t>Galimas šalutinis poveikis</w:t>
      </w:r>
    </w:p>
    <w:p w:rsidR="00AC2C19" w:rsidRPr="00CD354A" w:rsidRDefault="00AC2C19" w:rsidP="00AC2C19">
      <w:pPr>
        <w:tabs>
          <w:tab w:val="left" w:pos="567"/>
        </w:tabs>
        <w:spacing w:line="240" w:lineRule="auto"/>
        <w:rPr>
          <w:lang w:val="lt-LT"/>
        </w:rPr>
      </w:pPr>
      <w:r w:rsidRPr="00CD354A">
        <w:rPr>
          <w:lang w:val="lt-LT"/>
        </w:rPr>
        <w:t>5.</w:t>
      </w:r>
      <w:r w:rsidRPr="00CD354A">
        <w:rPr>
          <w:lang w:val="lt-LT"/>
        </w:rPr>
        <w:tab/>
        <w:t>Kaip laikyti SULPERAZON</w:t>
      </w:r>
    </w:p>
    <w:p w:rsidR="00AC2C19" w:rsidRPr="00CD354A" w:rsidRDefault="00AC2C19" w:rsidP="00AC2C19">
      <w:pPr>
        <w:tabs>
          <w:tab w:val="left" w:pos="567"/>
        </w:tabs>
        <w:spacing w:line="240" w:lineRule="auto"/>
        <w:rPr>
          <w:lang w:val="lt-LT"/>
        </w:rPr>
      </w:pPr>
      <w:r w:rsidRPr="00CD354A">
        <w:rPr>
          <w:lang w:val="lt-LT"/>
        </w:rPr>
        <w:t>6.</w:t>
      </w:r>
      <w:r w:rsidRPr="00CD354A">
        <w:rPr>
          <w:lang w:val="lt-LT"/>
        </w:rPr>
        <w:tab/>
        <w:t>Pakuotės turinys ir kita informacija</w:t>
      </w: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p>
    <w:p w:rsidR="00AC2C19" w:rsidRPr="00CD354A" w:rsidRDefault="00AC2C19" w:rsidP="00AC2C19">
      <w:pPr>
        <w:spacing w:line="240" w:lineRule="auto"/>
        <w:ind w:left="540" w:hanging="540"/>
        <w:rPr>
          <w:b/>
          <w:lang w:val="lt-LT"/>
        </w:rPr>
      </w:pPr>
      <w:bookmarkStart w:id="93" w:name="_Toc129243139"/>
      <w:bookmarkStart w:id="94" w:name="_Toc129243264"/>
      <w:r w:rsidRPr="00CD354A">
        <w:rPr>
          <w:b/>
          <w:lang w:val="lt-LT"/>
        </w:rPr>
        <w:t>1.</w:t>
      </w:r>
      <w:r w:rsidRPr="00CD354A">
        <w:rPr>
          <w:b/>
          <w:lang w:val="lt-LT"/>
        </w:rPr>
        <w:tab/>
        <w:t xml:space="preserve">Kas yra </w:t>
      </w:r>
      <w:r w:rsidRPr="00CD354A">
        <w:rPr>
          <w:b/>
          <w:caps/>
          <w:lang w:val="lt-LT"/>
        </w:rPr>
        <w:t>SULPERAZON</w:t>
      </w:r>
      <w:r w:rsidRPr="00CD354A">
        <w:rPr>
          <w:b/>
          <w:lang w:val="lt-LT"/>
        </w:rPr>
        <w:t xml:space="preserve"> ir kam jis vartojamas</w:t>
      </w:r>
      <w:bookmarkEnd w:id="93"/>
      <w:bookmarkEnd w:id="94"/>
    </w:p>
    <w:p w:rsidR="00AC2C19" w:rsidRPr="00CD354A" w:rsidRDefault="00AC2C19" w:rsidP="00AC2C19">
      <w:pPr>
        <w:pStyle w:val="BTEMEASMCA"/>
      </w:pPr>
    </w:p>
    <w:p w:rsidR="00AC2C19" w:rsidRPr="00CD354A" w:rsidRDefault="00AC2C19" w:rsidP="00AC2C19">
      <w:pPr>
        <w:pStyle w:val="BTEMEASMCA"/>
      </w:pPr>
      <w:r w:rsidRPr="00CD354A">
        <w:t>SULPERAZON yra antibiotikas (vaistas nuo bakterijų).</w:t>
      </w:r>
    </w:p>
    <w:p w:rsidR="00AC2C19" w:rsidRPr="00CD354A" w:rsidRDefault="00AC2C19" w:rsidP="00AC2C19">
      <w:pPr>
        <w:pStyle w:val="BTEMEASMCA"/>
      </w:pPr>
    </w:p>
    <w:p w:rsidR="00AC2C19" w:rsidRPr="00CD354A" w:rsidRDefault="00AC2C19" w:rsidP="00AC2C19">
      <w:pPr>
        <w:spacing w:line="240" w:lineRule="auto"/>
        <w:rPr>
          <w:lang w:val="lt-LT"/>
        </w:rPr>
      </w:pPr>
      <w:r w:rsidRPr="00CD354A">
        <w:rPr>
          <w:lang w:val="lt-LT"/>
        </w:rPr>
        <w:t>SULPERAZON vartojamas gydyti:</w:t>
      </w:r>
    </w:p>
    <w:p w:rsidR="00AC2C19" w:rsidRPr="00CD354A" w:rsidRDefault="00AC2C19" w:rsidP="00AC2C19">
      <w:pPr>
        <w:spacing w:line="240" w:lineRule="auto"/>
        <w:ind w:left="540" w:hanging="540"/>
        <w:rPr>
          <w:lang w:val="lt-LT"/>
        </w:rPr>
      </w:pPr>
      <w:r w:rsidRPr="00CD354A">
        <w:rPr>
          <w:lang w:val="lt-LT"/>
        </w:rPr>
        <w:t>-</w:t>
      </w:r>
      <w:r w:rsidRPr="00CD354A">
        <w:rPr>
          <w:lang w:val="lt-LT"/>
        </w:rPr>
        <w:tab/>
        <w:t>viršutinių ir apatinių kvėpavimo takų infekcinėms ligoms;</w:t>
      </w:r>
    </w:p>
    <w:p w:rsidR="00AC2C19" w:rsidRPr="00CD354A" w:rsidRDefault="00AC2C19" w:rsidP="00AC2C19">
      <w:pPr>
        <w:spacing w:line="240" w:lineRule="auto"/>
        <w:ind w:left="540" w:hanging="540"/>
        <w:rPr>
          <w:lang w:val="lt-LT"/>
        </w:rPr>
      </w:pPr>
      <w:r w:rsidRPr="00CD354A">
        <w:rPr>
          <w:lang w:val="lt-LT"/>
        </w:rPr>
        <w:t>-</w:t>
      </w:r>
      <w:r w:rsidRPr="00CD354A">
        <w:rPr>
          <w:lang w:val="lt-LT"/>
        </w:rPr>
        <w:tab/>
        <w:t>viršutinių ir apatinių šlapimo takų infekcinėms ligoms;</w:t>
      </w:r>
    </w:p>
    <w:p w:rsidR="00AC2C19" w:rsidRPr="00CD354A" w:rsidRDefault="00AC2C19" w:rsidP="00AC2C19">
      <w:pPr>
        <w:spacing w:line="240" w:lineRule="auto"/>
        <w:ind w:left="540" w:hanging="540"/>
        <w:rPr>
          <w:lang w:val="lt-LT"/>
        </w:rPr>
      </w:pPr>
      <w:r w:rsidRPr="00CD354A">
        <w:rPr>
          <w:lang w:val="lt-LT"/>
        </w:rPr>
        <w:t>-</w:t>
      </w:r>
      <w:r w:rsidRPr="00CD354A">
        <w:rPr>
          <w:lang w:val="lt-LT"/>
        </w:rPr>
        <w:tab/>
        <w:t>pilvaplėvės, tulžies pūslės ir latakų, kitoms vidinėms pilvo infekcinėms ligoms;</w:t>
      </w:r>
    </w:p>
    <w:p w:rsidR="00AC2C19" w:rsidRPr="00CD354A" w:rsidRDefault="00AC2C19" w:rsidP="00AC2C19">
      <w:pPr>
        <w:spacing w:line="240" w:lineRule="auto"/>
        <w:ind w:left="540" w:hanging="540"/>
        <w:rPr>
          <w:lang w:val="lt-LT"/>
        </w:rPr>
      </w:pPr>
      <w:r w:rsidRPr="00CD354A">
        <w:rPr>
          <w:lang w:val="lt-LT"/>
        </w:rPr>
        <w:t>-</w:t>
      </w:r>
      <w:r w:rsidRPr="00CD354A">
        <w:rPr>
          <w:lang w:val="lt-LT"/>
        </w:rPr>
        <w:tab/>
        <w:t>kraujo užkrėtimui;</w:t>
      </w:r>
    </w:p>
    <w:p w:rsidR="00AC2C19" w:rsidRPr="00CD354A" w:rsidRDefault="00AC2C19" w:rsidP="00AC2C19">
      <w:pPr>
        <w:spacing w:line="240" w:lineRule="auto"/>
        <w:ind w:left="540" w:hanging="540"/>
        <w:rPr>
          <w:lang w:val="lt-LT"/>
        </w:rPr>
      </w:pPr>
      <w:r w:rsidRPr="00CD354A">
        <w:rPr>
          <w:lang w:val="lt-LT"/>
        </w:rPr>
        <w:t>-</w:t>
      </w:r>
      <w:r w:rsidRPr="00CD354A">
        <w:rPr>
          <w:lang w:val="lt-LT"/>
        </w:rPr>
        <w:tab/>
        <w:t>odos ir minkštųjų audinių infekcinėms ligoms;</w:t>
      </w:r>
    </w:p>
    <w:p w:rsidR="00AC2C19" w:rsidRPr="00CD354A" w:rsidRDefault="00AC2C19" w:rsidP="00AC2C19">
      <w:pPr>
        <w:spacing w:line="240" w:lineRule="auto"/>
        <w:ind w:left="540" w:hanging="540"/>
        <w:rPr>
          <w:lang w:val="lt-LT"/>
        </w:rPr>
      </w:pPr>
      <w:r w:rsidRPr="00CD354A">
        <w:rPr>
          <w:lang w:val="lt-LT"/>
        </w:rPr>
        <w:t>-</w:t>
      </w:r>
      <w:r w:rsidRPr="00CD354A">
        <w:rPr>
          <w:lang w:val="lt-LT"/>
        </w:rPr>
        <w:tab/>
        <w:t>kaulų ir sąnarių infekcinėms ligoms;</w:t>
      </w:r>
    </w:p>
    <w:p w:rsidR="00AC2C19" w:rsidRPr="00CD354A" w:rsidRDefault="00AC2C19" w:rsidP="00AC2C19">
      <w:pPr>
        <w:spacing w:line="240" w:lineRule="auto"/>
        <w:ind w:left="540" w:hanging="540"/>
        <w:rPr>
          <w:lang w:val="lt-LT"/>
        </w:rPr>
      </w:pPr>
      <w:r w:rsidRPr="00CD354A">
        <w:rPr>
          <w:lang w:val="lt-LT"/>
        </w:rPr>
        <w:t>-</w:t>
      </w:r>
      <w:r w:rsidRPr="00CD354A">
        <w:rPr>
          <w:lang w:val="lt-LT"/>
        </w:rPr>
        <w:tab/>
        <w:t>uždegiminei mažojo dubens ligai, gimdos gleivinės uždegimui, gonorėjai ir kitoms lytinių organų infekcinėms ligoms.</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spacing w:line="240" w:lineRule="auto"/>
        <w:ind w:left="540" w:hanging="540"/>
        <w:rPr>
          <w:b/>
          <w:caps/>
          <w:lang w:val="lt-LT"/>
        </w:rPr>
      </w:pPr>
      <w:bookmarkStart w:id="95" w:name="_Toc129243140"/>
      <w:bookmarkStart w:id="96" w:name="_Toc129243265"/>
      <w:r w:rsidRPr="00CD354A">
        <w:rPr>
          <w:b/>
          <w:lang w:val="lt-LT"/>
        </w:rPr>
        <w:t>2.</w:t>
      </w:r>
      <w:r w:rsidRPr="00CD354A">
        <w:rPr>
          <w:b/>
          <w:lang w:val="lt-LT"/>
        </w:rPr>
        <w:tab/>
        <w:t xml:space="preserve">Kas žinotina prieš vartojant </w:t>
      </w:r>
      <w:bookmarkEnd w:id="95"/>
      <w:bookmarkEnd w:id="96"/>
      <w:r w:rsidRPr="00CD354A">
        <w:rPr>
          <w:b/>
          <w:caps/>
          <w:lang w:val="lt-LT"/>
        </w:rPr>
        <w:t>SULPERAZON</w:t>
      </w:r>
    </w:p>
    <w:p w:rsidR="00AC2C19" w:rsidRPr="00CD354A" w:rsidRDefault="00AC2C19" w:rsidP="00AC2C19">
      <w:pPr>
        <w:spacing w:line="240" w:lineRule="auto"/>
        <w:rPr>
          <w:lang w:val="lt-LT"/>
        </w:rPr>
      </w:pPr>
    </w:p>
    <w:p w:rsidR="00AC2C19" w:rsidRPr="00CD354A" w:rsidRDefault="00AC2C19" w:rsidP="00AC2C19">
      <w:pPr>
        <w:spacing w:line="240" w:lineRule="auto"/>
        <w:rPr>
          <w:b/>
          <w:lang w:val="lt-LT"/>
        </w:rPr>
      </w:pPr>
      <w:r w:rsidRPr="00CD354A">
        <w:rPr>
          <w:b/>
          <w:lang w:val="lt-LT"/>
        </w:rPr>
        <w:t>SULPERAZON vartoti negalima:</w:t>
      </w:r>
    </w:p>
    <w:p w:rsidR="00AC2C19" w:rsidRPr="00CD354A" w:rsidRDefault="00AC2C19" w:rsidP="00AC2C19">
      <w:pPr>
        <w:numPr>
          <w:ilvl w:val="12"/>
          <w:numId w:val="0"/>
        </w:numPr>
        <w:spacing w:line="240" w:lineRule="auto"/>
        <w:ind w:left="567" w:hanging="567"/>
        <w:rPr>
          <w:lang w:val="lt-LT"/>
        </w:rPr>
      </w:pPr>
      <w:r w:rsidRPr="00CD354A">
        <w:rPr>
          <w:lang w:val="lt-LT"/>
        </w:rPr>
        <w:t>-</w:t>
      </w:r>
      <w:r w:rsidRPr="00CD354A">
        <w:rPr>
          <w:lang w:val="lt-LT"/>
        </w:rPr>
        <w:tab/>
        <w:t xml:space="preserve">jeigu yra alergija </w:t>
      </w:r>
      <w:proofErr w:type="spellStart"/>
      <w:r w:rsidRPr="00CD354A">
        <w:rPr>
          <w:lang w:val="lt-LT"/>
        </w:rPr>
        <w:t>sulbaktamui</w:t>
      </w:r>
      <w:proofErr w:type="spellEnd"/>
      <w:r w:rsidRPr="00CD354A">
        <w:rPr>
          <w:lang w:val="lt-LT"/>
        </w:rPr>
        <w:t xml:space="preserve">, </w:t>
      </w:r>
      <w:proofErr w:type="spellStart"/>
      <w:r w:rsidRPr="00CD354A">
        <w:rPr>
          <w:lang w:val="lt-LT"/>
        </w:rPr>
        <w:t>cefoperazonui</w:t>
      </w:r>
      <w:proofErr w:type="spellEnd"/>
      <w:r w:rsidRPr="00CD354A">
        <w:rPr>
          <w:lang w:val="lt-LT"/>
        </w:rPr>
        <w:t xml:space="preserve">, penicilinams arba </w:t>
      </w:r>
      <w:proofErr w:type="spellStart"/>
      <w:r w:rsidRPr="00CD354A">
        <w:rPr>
          <w:lang w:val="lt-LT"/>
        </w:rPr>
        <w:t>cefalosporinams</w:t>
      </w:r>
      <w:proofErr w:type="spellEnd"/>
      <w:r w:rsidRPr="00CD354A">
        <w:rPr>
          <w:noProof/>
          <w:lang w:val="lt-LT"/>
        </w:rPr>
        <w:t>.</w:t>
      </w:r>
    </w:p>
    <w:p w:rsidR="00AC2C19" w:rsidRPr="00CD354A" w:rsidRDefault="00AC2C19" w:rsidP="00AC2C19">
      <w:pPr>
        <w:spacing w:line="240" w:lineRule="auto"/>
        <w:ind w:left="540" w:hanging="540"/>
        <w:rPr>
          <w:lang w:val="lt-LT"/>
        </w:rPr>
      </w:pPr>
    </w:p>
    <w:p w:rsidR="00AC2C19" w:rsidRPr="00CD354A" w:rsidRDefault="00AC2C19" w:rsidP="00AC2C19">
      <w:pPr>
        <w:pStyle w:val="BTEMEASMCA"/>
      </w:pPr>
      <w:r w:rsidRPr="00CD354A">
        <w:t>Jeigu kuris nors iš minėtų antibiotikų buvo sukėlęs alerginę reakciją, apie tai pasakykite gydytojui.</w:t>
      </w:r>
    </w:p>
    <w:p w:rsidR="00AC2C19" w:rsidRPr="00CD354A" w:rsidRDefault="00AC2C19" w:rsidP="00AC2C19">
      <w:pPr>
        <w:pStyle w:val="BTEMEASMCA"/>
      </w:pPr>
    </w:p>
    <w:p w:rsidR="00AC2C19" w:rsidRPr="00CD354A" w:rsidRDefault="00AC2C19" w:rsidP="00AC2C19">
      <w:pPr>
        <w:spacing w:line="240" w:lineRule="auto"/>
        <w:rPr>
          <w:b/>
          <w:lang w:val="lt-LT"/>
        </w:rPr>
      </w:pPr>
      <w:r w:rsidRPr="00CD354A">
        <w:rPr>
          <w:b/>
          <w:lang w:val="lt-LT"/>
        </w:rPr>
        <w:t>Įspėjimai ir atsargumo priemonės</w:t>
      </w:r>
    </w:p>
    <w:p w:rsidR="00AC2C19" w:rsidRPr="00CD354A" w:rsidRDefault="00AC2C19" w:rsidP="00AC2C19">
      <w:pPr>
        <w:numPr>
          <w:ilvl w:val="12"/>
          <w:numId w:val="0"/>
        </w:numPr>
        <w:spacing w:line="240" w:lineRule="auto"/>
        <w:ind w:right="-2"/>
        <w:rPr>
          <w:lang w:val="lt-LT"/>
        </w:rPr>
      </w:pPr>
      <w:r w:rsidRPr="00CD354A">
        <w:rPr>
          <w:noProof/>
          <w:lang w:val="lt-LT"/>
        </w:rPr>
        <w:t>Pasitarkite su gydytoju, prieš pradėdami vartoti SULPERAZON.</w:t>
      </w:r>
    </w:p>
    <w:p w:rsidR="00AC2C19" w:rsidRPr="00CD354A" w:rsidRDefault="00AC2C19" w:rsidP="00AC2C19">
      <w:pPr>
        <w:pStyle w:val="BTEMEASMCA"/>
      </w:pPr>
      <w:r w:rsidRPr="00CD354A">
        <w:t xml:space="preserve">SULPERAZON atsargiai </w:t>
      </w:r>
      <w:r>
        <w:t>vartojamas</w:t>
      </w:r>
      <w:r w:rsidRPr="00CD354A">
        <w:t xml:space="preserve"> pacientams, kuriems anksčiau buvo pasireiškusi alerginė reakcija, taip pat sergantiems sunkiu kepenų nepakankamumu, arba kai užsikimšę tulžies latakai.</w:t>
      </w:r>
    </w:p>
    <w:p w:rsidR="00AC2C19" w:rsidRPr="00CD354A" w:rsidRDefault="00AC2C19" w:rsidP="00AC2C19">
      <w:pPr>
        <w:pStyle w:val="BTEMEASMCA"/>
      </w:pPr>
    </w:p>
    <w:p w:rsidR="00AC2C19" w:rsidRPr="00CD354A" w:rsidRDefault="00AC2C19" w:rsidP="00AC2C19">
      <w:pPr>
        <w:pStyle w:val="BTEMEASMCA"/>
      </w:pPr>
      <w:r w:rsidRPr="00CD354A">
        <w:t>Jei yra arba buvo tokių sutrikimų, apie tai pasakykite gydytojui.</w:t>
      </w:r>
    </w:p>
    <w:p w:rsidR="00AC2C19" w:rsidRPr="00CD354A" w:rsidRDefault="00AC2C19" w:rsidP="00AC2C19">
      <w:pPr>
        <w:pStyle w:val="BTEMEASMCA"/>
      </w:pPr>
    </w:p>
    <w:p w:rsidR="00AC2C19" w:rsidRPr="00CD354A" w:rsidRDefault="00AC2C19" w:rsidP="00AC2C19">
      <w:pPr>
        <w:pStyle w:val="BTEMEASMCA"/>
      </w:pPr>
      <w:r w:rsidRPr="00CD354A">
        <w:t>Ilgai vartojant SULPERAZON (kaip ir kitus antibiotikus), gali įsivyrauti nejautrūs mikroorganizmai ir dėl to pasireikšti pienligė bei kitokių sutrikimų.</w:t>
      </w:r>
    </w:p>
    <w:p w:rsidR="00AC2C19" w:rsidRPr="00CD354A" w:rsidRDefault="00AC2C19" w:rsidP="00AC2C19">
      <w:pPr>
        <w:pStyle w:val="BTEMEASMCA"/>
      </w:pPr>
    </w:p>
    <w:p w:rsidR="00AC2C19" w:rsidRPr="00CD354A" w:rsidRDefault="00E409B1" w:rsidP="00E409B1">
      <w:pPr>
        <w:pStyle w:val="BTEMEASMCA"/>
        <w:jc w:val="both"/>
      </w:pPr>
      <w:r w:rsidRPr="00E409B1">
        <w:rPr>
          <w:bCs/>
        </w:rPr>
        <w:t xml:space="preserve">Cefoperazonas – viena iš veikliųjų </w:t>
      </w:r>
      <w:r w:rsidRPr="0096711E">
        <w:t>SULPERAZON</w:t>
      </w:r>
      <w:r>
        <w:rPr>
          <w:bCs/>
          <w:lang w:val="lt-LT"/>
        </w:rPr>
        <w:t xml:space="preserve"> </w:t>
      </w:r>
      <w:r w:rsidRPr="00E409B1">
        <w:rPr>
          <w:bCs/>
        </w:rPr>
        <w:t>medžiagų – gali slopinti kraujo krešėjimą. Gauta pranešimų apie sunkius kraujavimus, įskaitant pasibaigus</w:t>
      </w:r>
      <w:r>
        <w:rPr>
          <w:bCs/>
        </w:rPr>
        <w:t>ius mirtimi, kilusius vartojant</w:t>
      </w:r>
      <w:r>
        <w:rPr>
          <w:bCs/>
          <w:lang w:val="lt-LT"/>
        </w:rPr>
        <w:t xml:space="preserve"> </w:t>
      </w:r>
      <w:r w:rsidRPr="0096711E">
        <w:t>SULPERAZON</w:t>
      </w:r>
      <w:r w:rsidRPr="00E409B1">
        <w:rPr>
          <w:bCs/>
        </w:rPr>
        <w:t>. Pastebėję bet kokių kraujavimo požymių, nedelsdami kreipkitės į gydytoją.</w:t>
      </w:r>
      <w:r>
        <w:rPr>
          <w:b/>
          <w:bCs/>
          <w:u w:val="single"/>
        </w:rPr>
        <w:t xml:space="preserve"> </w:t>
      </w:r>
    </w:p>
    <w:p w:rsidR="00AC2C19" w:rsidRPr="00CD354A" w:rsidRDefault="00AC2C19" w:rsidP="00AC2C19">
      <w:pPr>
        <w:pStyle w:val="BTEMEASMCA"/>
      </w:pPr>
    </w:p>
    <w:p w:rsidR="00AC2C19" w:rsidRPr="00CD354A" w:rsidRDefault="00AC2C19" w:rsidP="00AC2C19">
      <w:pPr>
        <w:pStyle w:val="BTEMEASMCA"/>
      </w:pPr>
      <w:r w:rsidRPr="00CD354A">
        <w:t>Vartojant SULPERAZON, gydytojas nurodys reguliariai tirti kraują ir šlapimą. Tai ypač svarbu naujagimiams (ypač neišnešiotiems) ir kitiems kūdikiams.</w:t>
      </w:r>
    </w:p>
    <w:p w:rsidR="00AC2C19" w:rsidRPr="00CD354A" w:rsidRDefault="00AC2C19" w:rsidP="00AC2C19">
      <w:pPr>
        <w:pStyle w:val="BTEMEASMCA"/>
      </w:pPr>
    </w:p>
    <w:p w:rsidR="00AC2C19" w:rsidRDefault="00AC2C19" w:rsidP="00AC2C19">
      <w:pPr>
        <w:pStyle w:val="BTEMEASMCA"/>
        <w:rPr>
          <w:lang w:val="lt-LT"/>
        </w:rPr>
      </w:pPr>
      <w:r w:rsidRPr="00CD354A">
        <w:t xml:space="preserve">Jei SULPERAZON vartojimo laikotarpiu arba netrukus po šio vaisto vartojimo nutraukimo prasideda viduriavimas, būtina nedelsiant kreiptis į gydytoją, kadangi tai gali būti sunkaus, kartais net mirtino bakterijos </w:t>
      </w:r>
      <w:r w:rsidRPr="00CD354A">
        <w:rPr>
          <w:i/>
          <w:color w:val="000000"/>
        </w:rPr>
        <w:t xml:space="preserve">Clostridium difficile </w:t>
      </w:r>
      <w:r w:rsidRPr="00CD354A">
        <w:rPr>
          <w:color w:val="000000"/>
        </w:rPr>
        <w:t xml:space="preserve">sukelto </w:t>
      </w:r>
      <w:r w:rsidRPr="00CD354A">
        <w:t xml:space="preserve">sutrikimo, vadinamo </w:t>
      </w:r>
      <w:r w:rsidRPr="00CD354A">
        <w:rPr>
          <w:color w:val="000000"/>
        </w:rPr>
        <w:t>pseudomembraniniu kolitu,</w:t>
      </w:r>
      <w:r w:rsidRPr="00CD354A">
        <w:t xml:space="preserve"> požymis.</w:t>
      </w:r>
    </w:p>
    <w:p w:rsidR="00AC2C19" w:rsidRDefault="00AC2C19" w:rsidP="00AC2C19">
      <w:pPr>
        <w:pStyle w:val="BTEMEASMCA"/>
      </w:pPr>
    </w:p>
    <w:p w:rsidR="00AC2C19" w:rsidRDefault="00AC2C19" w:rsidP="00AC2C19">
      <w:pPr>
        <w:pStyle w:val="BTEMEASMCA"/>
      </w:pPr>
      <w:r w:rsidRPr="000D383B">
        <w:t xml:space="preserve">SULPERAZON vartojimo metu buvo pranešta apie sunkias ir kartais mirtinas odos reakcijas, galinčias sukelti odos išbėrimą, pūslių atsiradimą ir lupimąsi (toksinė epidermio nekrolizė, </w:t>
      </w:r>
      <w:r w:rsidRPr="000D383B">
        <w:rPr>
          <w:i/>
        </w:rPr>
        <w:t>Stevens-Johnson</w:t>
      </w:r>
      <w:r w:rsidRPr="000D383B">
        <w:t xml:space="preserve"> sindromas, eksfoliacinis dermatitas). Jei pasireiškia sunki odos reakcija, būtina nutraukti vaisto vartojimą ir nedelsiant kreiptis į gydytoją.</w:t>
      </w:r>
    </w:p>
    <w:p w:rsidR="00AC2C19" w:rsidRPr="000D383B" w:rsidRDefault="00AC2C19" w:rsidP="00AC2C19">
      <w:pPr>
        <w:pStyle w:val="BTEMEASMCA"/>
      </w:pPr>
    </w:p>
    <w:p w:rsidR="00AC2C19" w:rsidRPr="00CD354A" w:rsidRDefault="00AC2C19" w:rsidP="00AC2C19">
      <w:pPr>
        <w:spacing w:line="240" w:lineRule="auto"/>
        <w:rPr>
          <w:b/>
          <w:lang w:val="lt-LT"/>
        </w:rPr>
      </w:pPr>
      <w:r w:rsidRPr="00CD354A">
        <w:rPr>
          <w:b/>
          <w:lang w:val="lt-LT"/>
        </w:rPr>
        <w:t>Kiti vaistai ir SULPERAZON</w:t>
      </w:r>
    </w:p>
    <w:p w:rsidR="00AC2C19" w:rsidRPr="002B4B01" w:rsidRDefault="00AC2C19" w:rsidP="00AC2C19">
      <w:pPr>
        <w:numPr>
          <w:ilvl w:val="12"/>
          <w:numId w:val="0"/>
        </w:numPr>
        <w:spacing w:line="240" w:lineRule="auto"/>
        <w:ind w:right="-2"/>
        <w:rPr>
          <w:lang w:val="lt-LT"/>
        </w:rPr>
      </w:pPr>
      <w:r w:rsidRPr="00CD354A">
        <w:rPr>
          <w:lang w:val="lt-LT"/>
        </w:rPr>
        <w:t xml:space="preserve">Jeigu vartojate </w:t>
      </w:r>
      <w:r w:rsidRPr="00CD354A">
        <w:rPr>
          <w:noProof/>
          <w:lang w:val="lt-LT"/>
        </w:rPr>
        <w:t>ar</w:t>
      </w:r>
      <w:r w:rsidRPr="00CD354A">
        <w:rPr>
          <w:lang w:val="lt-LT"/>
        </w:rPr>
        <w:t xml:space="preserve"> neseniai vartojote kitų vaistų</w:t>
      </w:r>
      <w:r w:rsidRPr="00CD354A">
        <w:rPr>
          <w:noProof/>
          <w:lang w:val="lt-LT"/>
        </w:rPr>
        <w:t xml:space="preserve"> arba dėl to nesate tikri, apie tai</w:t>
      </w:r>
      <w:r w:rsidRPr="00CD354A">
        <w:rPr>
          <w:lang w:val="lt-LT"/>
        </w:rPr>
        <w:t xml:space="preserve"> pasakykite gydytojui arba vaistininkui.</w:t>
      </w:r>
    </w:p>
    <w:p w:rsidR="00AC2C19" w:rsidRPr="00CD354A" w:rsidRDefault="00AC2C19" w:rsidP="00AC2C19">
      <w:pPr>
        <w:pStyle w:val="BTEMEASMCA"/>
      </w:pPr>
    </w:p>
    <w:p w:rsidR="00AC2C19" w:rsidRPr="00CD354A" w:rsidRDefault="00AC2C19" w:rsidP="00AC2C19">
      <w:pPr>
        <w:pStyle w:val="BTEMEASMCA"/>
      </w:pPr>
      <w:r w:rsidRPr="00CD354A">
        <w:t>Kartu su kraujo krešėjimą slopinančiais vaistais SULPERAZON vartojamas atsargiai. Gydantis šiuo vaistu, būtina atsisakyti alkoholinių gėrimų, kadangi gali pasireikšti kenksminga reakcija, kuriai būdingas paraudimas dėl kraujo priplūdimo į veidą ir kaklą, prakaitavimas, galvos skausmas ir padažnėję širdies susitraukimai.</w:t>
      </w:r>
    </w:p>
    <w:p w:rsidR="00AC2C19" w:rsidRPr="00CD354A" w:rsidRDefault="00AC2C19" w:rsidP="00AC2C19">
      <w:pPr>
        <w:pStyle w:val="BTEMEASMCA"/>
      </w:pPr>
    </w:p>
    <w:p w:rsidR="00AC2C19" w:rsidRPr="00CD354A" w:rsidRDefault="00AC2C19" w:rsidP="00AC2C19">
      <w:pPr>
        <w:spacing w:line="240" w:lineRule="auto"/>
        <w:rPr>
          <w:b/>
          <w:lang w:val="lt-LT"/>
        </w:rPr>
      </w:pPr>
      <w:r w:rsidRPr="00CD354A">
        <w:rPr>
          <w:b/>
          <w:lang w:val="lt-LT"/>
        </w:rPr>
        <w:t>Nėštumas, žindymo laikotarpis ir vaisingumas</w:t>
      </w:r>
    </w:p>
    <w:p w:rsidR="00AC2C19" w:rsidRPr="00CD354A" w:rsidRDefault="00AC2C19" w:rsidP="00AC2C19">
      <w:pPr>
        <w:numPr>
          <w:ilvl w:val="12"/>
          <w:numId w:val="0"/>
        </w:numPr>
        <w:spacing w:line="240" w:lineRule="auto"/>
        <w:rPr>
          <w:lang w:val="lt-LT"/>
        </w:rPr>
      </w:pPr>
      <w:r w:rsidRPr="00CD354A">
        <w:rPr>
          <w:noProof/>
          <w:lang w:val="lt-LT"/>
        </w:rPr>
        <w:t>Jeigu esate nėščia, žindote kūdikį, manote, kad galbūt esate nėščia, arba planuojate pastoti, tai prieš vartodama šį vaistą, pasitarkite</w:t>
      </w:r>
      <w:r w:rsidRPr="00CD354A">
        <w:rPr>
          <w:lang w:val="lt-LT"/>
        </w:rPr>
        <w:t xml:space="preserve"> su gydytoju arba vaistininku.</w:t>
      </w:r>
    </w:p>
    <w:p w:rsidR="00AC2C19" w:rsidRPr="00CD354A" w:rsidRDefault="00AC2C19" w:rsidP="00AC2C19">
      <w:pPr>
        <w:pStyle w:val="BTEMEASMCA"/>
      </w:pPr>
      <w:r w:rsidRPr="00CD354A">
        <w:t xml:space="preserve">SULPERAZON nėščioms ir maitinančioms moterims </w:t>
      </w:r>
      <w:r>
        <w:t>vartojama tik paskyrus gydytojui</w:t>
      </w:r>
      <w:r w:rsidRPr="00CD354A">
        <w:t>.</w:t>
      </w:r>
    </w:p>
    <w:p w:rsidR="00AC2C19" w:rsidRPr="00CD354A" w:rsidRDefault="00AC2C19" w:rsidP="00AC2C19">
      <w:pPr>
        <w:pStyle w:val="BTEMEASMCA"/>
      </w:pPr>
    </w:p>
    <w:p w:rsidR="00AC2C19" w:rsidRPr="00CD354A" w:rsidRDefault="00AC2C19" w:rsidP="00AC2C19">
      <w:pPr>
        <w:spacing w:line="240" w:lineRule="auto"/>
        <w:rPr>
          <w:b/>
          <w:lang w:val="lt-LT"/>
        </w:rPr>
      </w:pPr>
      <w:r w:rsidRPr="00CD354A">
        <w:rPr>
          <w:b/>
          <w:lang w:val="lt-LT"/>
        </w:rPr>
        <w:t>Vairavimas ir mechanizmų valdymas</w:t>
      </w:r>
    </w:p>
    <w:p w:rsidR="00AC2C19" w:rsidRPr="00CD354A" w:rsidRDefault="00AC2C19" w:rsidP="00AC2C19">
      <w:pPr>
        <w:pStyle w:val="Komentarotekstas"/>
        <w:rPr>
          <w:sz w:val="22"/>
          <w:szCs w:val="22"/>
        </w:rPr>
      </w:pPr>
      <w:r w:rsidRPr="00CD354A">
        <w:rPr>
          <w:sz w:val="22"/>
          <w:szCs w:val="22"/>
        </w:rPr>
        <w:t>SULPERAZON poveikis gebėjimui vairuoti ir valdyti mechanizmus mažai tikėtinas.</w:t>
      </w:r>
    </w:p>
    <w:p w:rsidR="00AC2C19" w:rsidRPr="00CD354A" w:rsidRDefault="00AC2C19" w:rsidP="00AC2C19">
      <w:pPr>
        <w:pStyle w:val="BTEMEASMCA"/>
      </w:pPr>
    </w:p>
    <w:p w:rsidR="00AC2C19" w:rsidRPr="00CD354A" w:rsidRDefault="00AC2C19" w:rsidP="00AC2C19">
      <w:pPr>
        <w:pStyle w:val="BTEMEASMCA"/>
      </w:pPr>
      <w:r w:rsidRPr="00CD354A">
        <w:t xml:space="preserve">SULPERAZON sudėtyje yra natrio </w:t>
      </w:r>
    </w:p>
    <w:p w:rsidR="00AC2C19" w:rsidRPr="00CD354A" w:rsidRDefault="00AC2C19" w:rsidP="00AC2C19">
      <w:pPr>
        <w:pStyle w:val="BTEMEASMCA"/>
      </w:pPr>
      <w:r w:rsidRPr="00CD354A">
        <w:rPr>
          <w:lang w:eastAsia="lt-LT"/>
        </w:rPr>
        <w:t>Vienoje</w:t>
      </w:r>
      <w:r w:rsidRPr="00CD354A">
        <w:t xml:space="preserve"> SULPERAZON dozėje yra 126 mg natrio.</w:t>
      </w:r>
    </w:p>
    <w:p w:rsidR="00AC2C19" w:rsidRPr="00CD354A" w:rsidRDefault="00AC2C19" w:rsidP="00AC2C19">
      <w:pPr>
        <w:pStyle w:val="BTEMEASMCA"/>
      </w:pPr>
      <w:r w:rsidRPr="00CD354A">
        <w:t>Būtina atsižvelgti, jei kontroliuojamas natrio kiekis maiste.</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spacing w:line="240" w:lineRule="auto"/>
        <w:ind w:left="540" w:hanging="540"/>
        <w:rPr>
          <w:b/>
          <w:caps/>
          <w:lang w:val="lt-LT"/>
        </w:rPr>
      </w:pPr>
      <w:bookmarkStart w:id="97" w:name="_Toc129243141"/>
      <w:bookmarkStart w:id="98" w:name="_Toc129243266"/>
      <w:r w:rsidRPr="00CD354A">
        <w:rPr>
          <w:b/>
          <w:lang w:val="lt-LT"/>
        </w:rPr>
        <w:t>3.</w:t>
      </w:r>
      <w:r w:rsidRPr="00CD354A">
        <w:rPr>
          <w:b/>
          <w:lang w:val="lt-LT"/>
        </w:rPr>
        <w:tab/>
        <w:t xml:space="preserve">Kaip vartoti </w:t>
      </w:r>
      <w:bookmarkEnd w:id="97"/>
      <w:bookmarkEnd w:id="98"/>
      <w:r w:rsidRPr="00CD354A">
        <w:rPr>
          <w:b/>
          <w:caps/>
          <w:lang w:val="lt-LT"/>
        </w:rPr>
        <w:t>SULPERAZON</w:t>
      </w:r>
    </w:p>
    <w:p w:rsidR="00AC2C19" w:rsidRPr="00CD354A" w:rsidRDefault="00AC2C19" w:rsidP="00AC2C19">
      <w:pPr>
        <w:spacing w:line="240" w:lineRule="auto"/>
        <w:rPr>
          <w:lang w:val="lt-LT"/>
        </w:rPr>
      </w:pPr>
    </w:p>
    <w:p w:rsidR="00AC2C19" w:rsidRPr="00CD354A" w:rsidRDefault="00AC2C19" w:rsidP="00AC2C19">
      <w:pPr>
        <w:numPr>
          <w:ilvl w:val="12"/>
          <w:numId w:val="0"/>
        </w:numPr>
        <w:spacing w:line="240" w:lineRule="auto"/>
        <w:ind w:right="-2"/>
        <w:rPr>
          <w:lang w:val="lt-LT"/>
        </w:rPr>
      </w:pPr>
      <w:r w:rsidRPr="00CD354A">
        <w:rPr>
          <w:noProof/>
          <w:lang w:val="lt-LT"/>
        </w:rPr>
        <w:t>Visada vartokite šį vaistą tiksliai kaip nurodė gydytojas.</w:t>
      </w:r>
      <w:r w:rsidRPr="00CD354A">
        <w:rPr>
          <w:lang w:val="lt-LT"/>
        </w:rPr>
        <w:t xml:space="preserve"> </w:t>
      </w:r>
      <w:r w:rsidRPr="00CD354A">
        <w:rPr>
          <w:noProof/>
          <w:lang w:val="lt-LT"/>
        </w:rPr>
        <w:t>Jeigu abejojate, kreipkitės į gydytoją arba vaistininką.</w:t>
      </w: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r w:rsidRPr="00CD354A">
        <w:rPr>
          <w:lang w:val="lt-LT"/>
        </w:rPr>
        <w:t>SULPERAZON dozuojamas ir vartojamas tik pagal gydytojo nurodymą.</w:t>
      </w: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r w:rsidRPr="00CD354A">
        <w:rPr>
          <w:lang w:val="lt-LT"/>
        </w:rPr>
        <w:t>Dozę gydytojas parenka individualiai. Įprastinės paros dozės:</w:t>
      </w:r>
    </w:p>
    <w:tbl>
      <w:tblPr>
        <w:tblW w:w="0" w:type="auto"/>
        <w:tblLook w:val="04A0" w:firstRow="1" w:lastRow="0" w:firstColumn="1" w:lastColumn="0" w:noHBand="0" w:noVBand="1"/>
      </w:tblPr>
      <w:tblGrid>
        <w:gridCol w:w="1804"/>
        <w:gridCol w:w="7266"/>
      </w:tblGrid>
      <w:tr w:rsidR="00AC2C19" w:rsidRPr="00CD354A">
        <w:tc>
          <w:tcPr>
            <w:tcW w:w="1809" w:type="dxa"/>
          </w:tcPr>
          <w:p w:rsidR="00AC2C19" w:rsidRPr="00CD354A" w:rsidRDefault="00AC2C19" w:rsidP="00AC2C19">
            <w:pPr>
              <w:spacing w:line="240" w:lineRule="auto"/>
              <w:rPr>
                <w:lang w:val="lt-LT"/>
              </w:rPr>
            </w:pPr>
            <w:r w:rsidRPr="00CD354A">
              <w:rPr>
                <w:lang w:val="lt-LT"/>
              </w:rPr>
              <w:t>Suaugusiesiems:</w:t>
            </w:r>
          </w:p>
        </w:tc>
        <w:tc>
          <w:tcPr>
            <w:tcW w:w="7477" w:type="dxa"/>
          </w:tcPr>
          <w:p w:rsidR="00AC2C19" w:rsidRPr="00CD354A" w:rsidRDefault="00AC2C19" w:rsidP="00AC2C19">
            <w:pPr>
              <w:spacing w:line="240" w:lineRule="auto"/>
              <w:rPr>
                <w:lang w:val="lt-LT"/>
              </w:rPr>
            </w:pPr>
            <w:r w:rsidRPr="00CD354A">
              <w:rPr>
                <w:lang w:val="lt-LT"/>
              </w:rPr>
              <w:t>2</w:t>
            </w:r>
            <w:r w:rsidRPr="00CD354A">
              <w:rPr>
                <w:lang w:val="lt-LT"/>
              </w:rPr>
              <w:noBreakHyphen/>
              <w:t>4 g (vartojama kas 12 val. lygiomis dozėmis);</w:t>
            </w:r>
          </w:p>
        </w:tc>
      </w:tr>
      <w:tr w:rsidR="00AC2C19" w:rsidRPr="00CD354A">
        <w:tc>
          <w:tcPr>
            <w:tcW w:w="1809" w:type="dxa"/>
          </w:tcPr>
          <w:p w:rsidR="00AC2C19" w:rsidRPr="00CD354A" w:rsidRDefault="00AC2C19" w:rsidP="00AC2C19">
            <w:pPr>
              <w:spacing w:line="240" w:lineRule="auto"/>
              <w:rPr>
                <w:lang w:val="lt-LT"/>
              </w:rPr>
            </w:pPr>
            <w:r w:rsidRPr="00CD354A">
              <w:rPr>
                <w:lang w:val="lt-LT"/>
              </w:rPr>
              <w:t>Vaikams:</w:t>
            </w:r>
          </w:p>
        </w:tc>
        <w:tc>
          <w:tcPr>
            <w:tcW w:w="7477" w:type="dxa"/>
          </w:tcPr>
          <w:p w:rsidR="00AC2C19" w:rsidRPr="00CD354A" w:rsidRDefault="00AC2C19" w:rsidP="00AC2C19">
            <w:pPr>
              <w:spacing w:line="240" w:lineRule="auto"/>
              <w:ind w:left="540" w:hanging="540"/>
              <w:rPr>
                <w:lang w:val="lt-LT"/>
              </w:rPr>
            </w:pPr>
            <w:r w:rsidRPr="00CD354A">
              <w:rPr>
                <w:lang w:val="lt-LT"/>
              </w:rPr>
              <w:t>40</w:t>
            </w:r>
            <w:r w:rsidRPr="00CD354A">
              <w:rPr>
                <w:lang w:val="lt-LT"/>
              </w:rPr>
              <w:noBreakHyphen/>
              <w:t>80 mg/kg (vartojama kas 6</w:t>
            </w:r>
            <w:r w:rsidRPr="00CD354A">
              <w:rPr>
                <w:lang w:val="lt-LT"/>
              </w:rPr>
              <w:noBreakHyphen/>
              <w:t>12 val. lygiomis dozėmis).</w:t>
            </w:r>
          </w:p>
        </w:tc>
      </w:tr>
    </w:tbl>
    <w:p w:rsidR="00AC2C19" w:rsidRPr="00CD354A" w:rsidRDefault="00AC2C19" w:rsidP="00AC2C19">
      <w:pPr>
        <w:pStyle w:val="BTEMEASMCA"/>
      </w:pPr>
    </w:p>
    <w:p w:rsidR="00AC2C19" w:rsidRPr="00CD354A" w:rsidRDefault="00AC2C19" w:rsidP="00AC2C19">
      <w:pPr>
        <w:pStyle w:val="BTEMEASMCA"/>
      </w:pPr>
      <w:r w:rsidRPr="00CD354A">
        <w:t>SULPERAZON dozė mažinama pacientams, sergantiems sunkiu inkstų arba kepenų nepakankamumu, tulžies latakų užsikimšimu.</w:t>
      </w:r>
    </w:p>
    <w:p w:rsidR="00AC2C19" w:rsidRPr="00CD354A" w:rsidRDefault="00AC2C19" w:rsidP="00AC2C19">
      <w:pPr>
        <w:pStyle w:val="BTEMEASMCA"/>
      </w:pPr>
    </w:p>
    <w:p w:rsidR="00AC2C19" w:rsidRPr="00CD354A" w:rsidRDefault="00AC2C19" w:rsidP="00AC2C19">
      <w:pPr>
        <w:pStyle w:val="BTEMEASMCA"/>
      </w:pPr>
      <w:r w:rsidRPr="00CD354A">
        <w:t>SULPERAZON infuzuojamas į veną, švirkščiamas į veną arba į raumenis.</w:t>
      </w:r>
    </w:p>
    <w:p w:rsidR="00AC2C19" w:rsidRPr="00CD354A" w:rsidRDefault="00AC2C19" w:rsidP="00AC2C19">
      <w:pPr>
        <w:pStyle w:val="BTEMEASMCA"/>
      </w:pPr>
    </w:p>
    <w:p w:rsidR="00AC2C19" w:rsidRPr="00CD354A" w:rsidRDefault="00AC2C19" w:rsidP="00AC2C19">
      <w:pPr>
        <w:spacing w:line="240" w:lineRule="auto"/>
        <w:rPr>
          <w:b/>
          <w:lang w:val="lt-LT"/>
        </w:rPr>
      </w:pPr>
      <w:r w:rsidRPr="00CD354A">
        <w:rPr>
          <w:b/>
          <w:lang w:val="lt-LT"/>
        </w:rPr>
        <w:t>Ką daryti pavartojus per didelę SULPERAZON dozę?</w:t>
      </w:r>
    </w:p>
    <w:p w:rsidR="00AC2C19" w:rsidRPr="00CD354A" w:rsidRDefault="00AC2C19" w:rsidP="00AC2C19">
      <w:pPr>
        <w:pStyle w:val="BTEMEASMCA"/>
      </w:pPr>
      <w:r w:rsidRPr="00CD354A">
        <w:t>Jei manote, kad Jums buvo sušvirkšta arba infuzuota per didelė SULPERAZON dozė, apie tai nedelsdami pasakykite gydytojui arba slaugytojai.</w:t>
      </w:r>
    </w:p>
    <w:p w:rsidR="00AC2C19" w:rsidRPr="00CD354A" w:rsidRDefault="00AC2C19" w:rsidP="00AC2C19">
      <w:pPr>
        <w:pStyle w:val="BTEMEASMCA"/>
      </w:pPr>
    </w:p>
    <w:p w:rsidR="00AC2C19" w:rsidRPr="00CD354A" w:rsidRDefault="00AC2C19" w:rsidP="00AC2C19">
      <w:pPr>
        <w:spacing w:line="240" w:lineRule="auto"/>
        <w:rPr>
          <w:b/>
          <w:lang w:val="lt-LT"/>
        </w:rPr>
      </w:pPr>
      <w:r w:rsidRPr="00CD354A">
        <w:rPr>
          <w:b/>
          <w:lang w:val="lt-LT"/>
        </w:rPr>
        <w:t>Pamiršus pavartoti SULPERAZON</w:t>
      </w:r>
    </w:p>
    <w:p w:rsidR="00AC2C19" w:rsidRPr="00CD354A" w:rsidRDefault="00AC2C19" w:rsidP="00AC2C19">
      <w:pPr>
        <w:pStyle w:val="BTEMEASMCA"/>
      </w:pPr>
      <w:r w:rsidRPr="00CD354A">
        <w:t>Negalima vartoti dvigubos dozės norint kompensuoti praleistą dozę.</w:t>
      </w:r>
    </w:p>
    <w:p w:rsidR="00AC2C19" w:rsidRPr="00CD354A" w:rsidRDefault="00AC2C19" w:rsidP="00AC2C19">
      <w:pPr>
        <w:pStyle w:val="BTEMEASMCA"/>
      </w:pPr>
    </w:p>
    <w:p w:rsidR="00AC2C19" w:rsidRPr="00CD354A" w:rsidRDefault="00AC2C19" w:rsidP="00AC2C19">
      <w:pPr>
        <w:pStyle w:val="BTEMEASMCA"/>
      </w:pPr>
      <w:r w:rsidRPr="00CD354A">
        <w:t>Jeigu kiltų daugiau klausimų dėl šio vaisto vartojimo, kreipkitės į gydytoją arba vaistininką.</w:t>
      </w:r>
    </w:p>
    <w:p w:rsidR="00AC2C19" w:rsidRPr="00CD354A" w:rsidRDefault="00AC2C19" w:rsidP="00AC2C19">
      <w:pPr>
        <w:pStyle w:val="BTEMEASMCA"/>
      </w:pPr>
    </w:p>
    <w:p w:rsidR="00AC2C19" w:rsidRPr="00CD354A" w:rsidRDefault="00AC2C19" w:rsidP="00AC2C19">
      <w:pPr>
        <w:spacing w:line="240" w:lineRule="auto"/>
        <w:ind w:left="540" w:hanging="540"/>
        <w:rPr>
          <w:b/>
          <w:lang w:val="lt-LT"/>
        </w:rPr>
      </w:pPr>
      <w:bookmarkStart w:id="99" w:name="_Toc129243142"/>
      <w:bookmarkStart w:id="100" w:name="_Toc129243267"/>
      <w:r w:rsidRPr="00CD354A">
        <w:rPr>
          <w:b/>
          <w:lang w:val="lt-LT"/>
        </w:rPr>
        <w:t>4.</w:t>
      </w:r>
      <w:r w:rsidRPr="00CD354A">
        <w:rPr>
          <w:b/>
          <w:lang w:val="lt-LT"/>
        </w:rPr>
        <w:tab/>
        <w:t>G</w:t>
      </w:r>
      <w:bookmarkEnd w:id="99"/>
      <w:bookmarkEnd w:id="100"/>
      <w:r w:rsidRPr="00CD354A">
        <w:rPr>
          <w:b/>
          <w:lang w:val="lt-LT"/>
        </w:rPr>
        <w:t>alimas šalutinis poveikis</w:t>
      </w:r>
    </w:p>
    <w:p w:rsidR="00AC2C19" w:rsidRPr="00CD354A" w:rsidRDefault="00AC2C19" w:rsidP="00AC2C19">
      <w:pPr>
        <w:spacing w:line="240" w:lineRule="auto"/>
        <w:rPr>
          <w:lang w:val="lt-LT"/>
        </w:rPr>
      </w:pPr>
    </w:p>
    <w:p w:rsidR="00AC2C19" w:rsidRPr="00CD354A" w:rsidRDefault="00AC2C19" w:rsidP="00AC2C19">
      <w:pPr>
        <w:numPr>
          <w:ilvl w:val="12"/>
          <w:numId w:val="0"/>
        </w:numPr>
        <w:spacing w:line="240" w:lineRule="auto"/>
        <w:ind w:right="-29"/>
        <w:rPr>
          <w:lang w:val="lt-LT"/>
        </w:rPr>
      </w:pPr>
      <w:r w:rsidRPr="00CD354A">
        <w:rPr>
          <w:noProof/>
          <w:lang w:val="lt-LT"/>
        </w:rPr>
        <w:t>Šis vaistas, kaip ir visi kiti, gali sukelti šalutinį poveikį, nors jis pasireiškia ne visiems žmonėms.</w:t>
      </w: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proofErr w:type="spellStart"/>
      <w:r w:rsidRPr="00CD354A">
        <w:rPr>
          <w:lang w:val="lt-LT"/>
        </w:rPr>
        <w:t>Sulbaktamo</w:t>
      </w:r>
      <w:proofErr w:type="spellEnd"/>
      <w:r w:rsidRPr="00CD354A">
        <w:rPr>
          <w:lang w:val="lt-LT"/>
        </w:rPr>
        <w:t xml:space="preserve"> ir </w:t>
      </w:r>
      <w:proofErr w:type="spellStart"/>
      <w:r w:rsidRPr="00CD354A">
        <w:rPr>
          <w:lang w:val="lt-LT"/>
        </w:rPr>
        <w:t>cefoperazono</w:t>
      </w:r>
      <w:proofErr w:type="spellEnd"/>
      <w:r w:rsidRPr="00CD354A">
        <w:rPr>
          <w:lang w:val="lt-LT"/>
        </w:rPr>
        <w:t xml:space="preserve"> derinys paprastai toleruojamas gerai.</w:t>
      </w: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r w:rsidRPr="00CD354A">
        <w:rPr>
          <w:lang w:val="lt-LT"/>
        </w:rPr>
        <w:t>Dauguma nepageidaujamų poveikių būna lengvi arba vidutinio sunkumo ir, gydant toliau, toleruojami.</w:t>
      </w:r>
    </w:p>
    <w:p w:rsidR="00AC2C19" w:rsidRDefault="00AC2C19" w:rsidP="00AC2C19">
      <w:pPr>
        <w:spacing w:line="240" w:lineRule="auto"/>
        <w:contextualSpacing/>
        <w:outlineLvl w:val="0"/>
        <w:rPr>
          <w:lang w:val="lt-LT"/>
        </w:rPr>
      </w:pPr>
    </w:p>
    <w:p w:rsidR="00AC2C19" w:rsidRPr="000B7544" w:rsidRDefault="00AC2C19" w:rsidP="00AC2C19">
      <w:pPr>
        <w:spacing w:line="240" w:lineRule="auto"/>
        <w:contextualSpacing/>
        <w:outlineLvl w:val="0"/>
        <w:rPr>
          <w:i/>
          <w:lang w:val="lt-LT"/>
        </w:rPr>
      </w:pPr>
      <w:r w:rsidRPr="000B7544">
        <w:rPr>
          <w:i/>
          <w:lang w:val="lt-LT"/>
        </w:rPr>
        <w:t>Labai dažnas (pasireiškia dažniau negu 1 vartojusiajam iš 10):</w:t>
      </w:r>
    </w:p>
    <w:p w:rsidR="00AC2C19" w:rsidRPr="00CD354A" w:rsidRDefault="00AC2C19" w:rsidP="00AC2C19">
      <w:pPr>
        <w:spacing w:line="240" w:lineRule="auto"/>
        <w:rPr>
          <w:lang w:val="lt-LT"/>
        </w:rPr>
      </w:pPr>
      <w:r>
        <w:rPr>
          <w:lang w:val="lt-LT"/>
        </w:rPr>
        <w:t>-</w:t>
      </w:r>
      <w:r>
        <w:rPr>
          <w:lang w:val="lt-LT"/>
        </w:rPr>
        <w:tab/>
      </w:r>
      <w:proofErr w:type="spellStart"/>
      <w:r>
        <w:rPr>
          <w:lang w:val="lt-LT"/>
        </w:rPr>
        <w:t>l</w:t>
      </w:r>
      <w:r w:rsidRPr="00CD354A">
        <w:rPr>
          <w:lang w:val="lt-LT"/>
        </w:rPr>
        <w:t>eukopenija</w:t>
      </w:r>
      <w:proofErr w:type="spellEnd"/>
      <w:r w:rsidRPr="00CD354A">
        <w:rPr>
          <w:lang w:val="lt-LT"/>
        </w:rPr>
        <w:t xml:space="preserve"> (leukocitų skaičiaus periferiniame kraujyje sumažė</w:t>
      </w:r>
      <w:r>
        <w:rPr>
          <w:lang w:val="lt-LT"/>
        </w:rPr>
        <w:t>j</w:t>
      </w:r>
      <w:r w:rsidRPr="00CD354A">
        <w:rPr>
          <w:lang w:val="lt-LT"/>
        </w:rPr>
        <w:t>imas)</w:t>
      </w:r>
      <w:r>
        <w:rPr>
          <w:lang w:val="lt-LT"/>
        </w:rPr>
        <w:t>;</w:t>
      </w:r>
    </w:p>
    <w:p w:rsidR="00AC2C19" w:rsidRPr="00CD354A" w:rsidRDefault="00AC2C19" w:rsidP="00AC2C19">
      <w:pPr>
        <w:spacing w:line="240" w:lineRule="auto"/>
        <w:rPr>
          <w:lang w:val="lt-LT"/>
        </w:rPr>
      </w:pPr>
      <w:r>
        <w:rPr>
          <w:lang w:val="lt-LT"/>
        </w:rPr>
        <w:t>-</w:t>
      </w:r>
      <w:r>
        <w:rPr>
          <w:lang w:val="lt-LT"/>
        </w:rPr>
        <w:tab/>
      </w:r>
      <w:proofErr w:type="spellStart"/>
      <w:r>
        <w:rPr>
          <w:lang w:val="lt-LT"/>
        </w:rPr>
        <w:t>n</w:t>
      </w:r>
      <w:r w:rsidRPr="00CD354A">
        <w:rPr>
          <w:lang w:val="lt-LT"/>
        </w:rPr>
        <w:t>eutropenija</w:t>
      </w:r>
      <w:proofErr w:type="spellEnd"/>
      <w:r w:rsidRPr="00CD354A">
        <w:rPr>
          <w:lang w:val="lt-LT"/>
        </w:rPr>
        <w:t xml:space="preserve"> (</w:t>
      </w:r>
      <w:proofErr w:type="spellStart"/>
      <w:r w:rsidRPr="00CD354A">
        <w:rPr>
          <w:lang w:val="lt-LT"/>
        </w:rPr>
        <w:t>neutrofilinių</w:t>
      </w:r>
      <w:proofErr w:type="spellEnd"/>
      <w:r w:rsidRPr="00CD354A">
        <w:rPr>
          <w:lang w:val="lt-LT"/>
        </w:rPr>
        <w:t xml:space="preserve"> </w:t>
      </w:r>
      <w:proofErr w:type="spellStart"/>
      <w:r w:rsidRPr="00CD354A">
        <w:rPr>
          <w:lang w:val="lt-LT"/>
        </w:rPr>
        <w:t>granulocitų</w:t>
      </w:r>
      <w:proofErr w:type="spellEnd"/>
      <w:r w:rsidRPr="00CD354A">
        <w:rPr>
          <w:lang w:val="lt-LT"/>
        </w:rPr>
        <w:t xml:space="preserve"> sumažė</w:t>
      </w:r>
      <w:r>
        <w:rPr>
          <w:lang w:val="lt-LT"/>
        </w:rPr>
        <w:t>j</w:t>
      </w:r>
      <w:r w:rsidRPr="00CD354A">
        <w:rPr>
          <w:lang w:val="lt-LT"/>
        </w:rPr>
        <w:t>imas, susijęs su ilgalaikiu vartojimu, grįžtamas)</w:t>
      </w:r>
      <w:r>
        <w:rPr>
          <w:lang w:val="lt-LT"/>
        </w:rPr>
        <w:t>;</w:t>
      </w:r>
    </w:p>
    <w:p w:rsidR="00AC2C19" w:rsidRPr="00CD354A" w:rsidRDefault="00AC2C19" w:rsidP="00AC2C19">
      <w:pPr>
        <w:spacing w:line="240" w:lineRule="auto"/>
        <w:rPr>
          <w:lang w:val="lt-LT"/>
        </w:rPr>
      </w:pPr>
      <w:r>
        <w:rPr>
          <w:lang w:val="lt-LT"/>
        </w:rPr>
        <w:t>-</w:t>
      </w:r>
      <w:r>
        <w:rPr>
          <w:lang w:val="lt-LT"/>
        </w:rPr>
        <w:tab/>
        <w:t>t</w:t>
      </w:r>
      <w:r w:rsidRPr="00CD354A">
        <w:rPr>
          <w:lang w:val="lt-LT"/>
        </w:rPr>
        <w:t xml:space="preserve">eigiamas </w:t>
      </w:r>
      <w:proofErr w:type="spellStart"/>
      <w:r w:rsidRPr="00CD354A">
        <w:rPr>
          <w:lang w:val="lt-LT"/>
        </w:rPr>
        <w:t>Kumbso</w:t>
      </w:r>
      <w:proofErr w:type="spellEnd"/>
      <w:r w:rsidRPr="00CD354A">
        <w:rPr>
          <w:lang w:val="lt-LT"/>
        </w:rPr>
        <w:t xml:space="preserve"> mėginys (teigiamas tam tikro laboratorinio kraujo tyrimo rezultatas)</w:t>
      </w:r>
      <w:r>
        <w:rPr>
          <w:lang w:val="lt-LT"/>
        </w:rPr>
        <w:t>;</w:t>
      </w:r>
    </w:p>
    <w:p w:rsidR="00AC2C19" w:rsidRPr="00CD354A" w:rsidRDefault="00AC2C19" w:rsidP="00AC2C19">
      <w:pPr>
        <w:spacing w:line="240" w:lineRule="auto"/>
        <w:rPr>
          <w:lang w:val="lt-LT"/>
        </w:rPr>
      </w:pPr>
      <w:r>
        <w:rPr>
          <w:lang w:val="lt-LT"/>
        </w:rPr>
        <w:t>-</w:t>
      </w:r>
      <w:r>
        <w:rPr>
          <w:lang w:val="lt-LT"/>
        </w:rPr>
        <w:tab/>
        <w:t>h</w:t>
      </w:r>
      <w:r w:rsidRPr="00CD354A">
        <w:rPr>
          <w:lang w:val="lt-LT"/>
        </w:rPr>
        <w:t>emoglobino rodmens sumažėjimas</w:t>
      </w:r>
      <w:r>
        <w:rPr>
          <w:lang w:val="lt-LT"/>
        </w:rPr>
        <w:t xml:space="preserve"> (mažakraujystė);</w:t>
      </w:r>
    </w:p>
    <w:p w:rsidR="00AC2C19" w:rsidRPr="00CD354A" w:rsidRDefault="00AC2C19" w:rsidP="00AC2C19">
      <w:pPr>
        <w:spacing w:line="240" w:lineRule="auto"/>
        <w:rPr>
          <w:lang w:val="lt-LT"/>
        </w:rPr>
      </w:pPr>
      <w:r>
        <w:rPr>
          <w:lang w:val="lt-LT"/>
        </w:rPr>
        <w:t>-</w:t>
      </w:r>
      <w:r>
        <w:rPr>
          <w:lang w:val="lt-LT"/>
        </w:rPr>
        <w:tab/>
      </w:r>
      <w:proofErr w:type="spellStart"/>
      <w:r>
        <w:rPr>
          <w:lang w:val="lt-LT"/>
        </w:rPr>
        <w:t>h</w:t>
      </w:r>
      <w:r w:rsidRPr="00CD354A">
        <w:rPr>
          <w:lang w:val="lt-LT"/>
        </w:rPr>
        <w:t>ematokrito</w:t>
      </w:r>
      <w:proofErr w:type="spellEnd"/>
      <w:r w:rsidRPr="00CD354A">
        <w:rPr>
          <w:lang w:val="lt-LT"/>
        </w:rPr>
        <w:t xml:space="preserve"> rodmens sumažėjimas</w:t>
      </w:r>
      <w:r>
        <w:rPr>
          <w:lang w:val="lt-LT"/>
        </w:rPr>
        <w:t>;</w:t>
      </w:r>
    </w:p>
    <w:p w:rsidR="00AC2C19" w:rsidRPr="00CD354A" w:rsidRDefault="00AC2C19" w:rsidP="00AC2C19">
      <w:pPr>
        <w:spacing w:line="240" w:lineRule="auto"/>
        <w:rPr>
          <w:lang w:val="lt-LT"/>
        </w:rPr>
      </w:pPr>
      <w:r>
        <w:rPr>
          <w:lang w:val="lt-LT"/>
        </w:rPr>
        <w:t>-</w:t>
      </w:r>
      <w:r>
        <w:rPr>
          <w:lang w:val="lt-LT"/>
        </w:rPr>
        <w:tab/>
      </w:r>
      <w:proofErr w:type="spellStart"/>
      <w:r>
        <w:rPr>
          <w:lang w:val="lt-LT"/>
        </w:rPr>
        <w:t>t</w:t>
      </w:r>
      <w:r w:rsidRPr="00CD354A">
        <w:rPr>
          <w:lang w:val="lt-LT"/>
        </w:rPr>
        <w:t>rombocitopenija</w:t>
      </w:r>
      <w:proofErr w:type="spellEnd"/>
      <w:r w:rsidRPr="00CD354A">
        <w:rPr>
          <w:lang w:val="lt-LT"/>
        </w:rPr>
        <w:t xml:space="preserve"> (trombocitų sumažėjimas kraujyje)</w:t>
      </w:r>
      <w:r>
        <w:rPr>
          <w:lang w:val="lt-LT"/>
        </w:rPr>
        <w:t>;</w:t>
      </w:r>
    </w:p>
    <w:p w:rsidR="00AC2C19" w:rsidRDefault="00AC2C19" w:rsidP="00AC2C19">
      <w:pPr>
        <w:spacing w:line="240" w:lineRule="auto"/>
        <w:rPr>
          <w:lang w:val="lt-LT"/>
        </w:rPr>
      </w:pPr>
      <w:r>
        <w:rPr>
          <w:lang w:val="lt-LT"/>
        </w:rPr>
        <w:t>-</w:t>
      </w:r>
      <w:r>
        <w:rPr>
          <w:lang w:val="lt-LT"/>
        </w:rPr>
        <w:tab/>
        <w:t>kepenų fermentų</w:t>
      </w:r>
      <w:r w:rsidRPr="00CD354A">
        <w:rPr>
          <w:lang w:val="lt-LT"/>
        </w:rPr>
        <w:t xml:space="preserve"> </w:t>
      </w:r>
      <w:r>
        <w:rPr>
          <w:lang w:val="lt-LT"/>
        </w:rPr>
        <w:t>(a</w:t>
      </w:r>
      <w:r w:rsidRPr="00CD354A">
        <w:rPr>
          <w:lang w:val="lt-LT"/>
        </w:rPr>
        <w:t>laninaminotransferazės</w:t>
      </w:r>
      <w:r>
        <w:rPr>
          <w:lang w:val="lt-LT"/>
        </w:rPr>
        <w:t>, a</w:t>
      </w:r>
      <w:r w:rsidRPr="00CD354A">
        <w:rPr>
          <w:lang w:val="lt-LT"/>
        </w:rPr>
        <w:t>spartataminotransferazės</w:t>
      </w:r>
      <w:r>
        <w:rPr>
          <w:lang w:val="lt-LT"/>
        </w:rPr>
        <w:t xml:space="preserve">, šarminės </w:t>
      </w:r>
      <w:proofErr w:type="spellStart"/>
      <w:r>
        <w:rPr>
          <w:lang w:val="lt-LT"/>
        </w:rPr>
        <w:t>fosfatazės</w:t>
      </w:r>
      <w:proofErr w:type="spellEnd"/>
      <w:r>
        <w:rPr>
          <w:lang w:val="lt-LT"/>
        </w:rPr>
        <w:t xml:space="preserve">) </w:t>
      </w:r>
      <w:r w:rsidRPr="00CD354A">
        <w:rPr>
          <w:lang w:val="lt-LT"/>
        </w:rPr>
        <w:t>aktyvumo padidėjimas</w:t>
      </w:r>
      <w:r>
        <w:rPr>
          <w:lang w:val="lt-LT"/>
        </w:rPr>
        <w:t>.</w:t>
      </w:r>
    </w:p>
    <w:p w:rsidR="00AC2C19" w:rsidRDefault="00AC2C19" w:rsidP="00AC2C19">
      <w:pPr>
        <w:spacing w:line="240" w:lineRule="auto"/>
        <w:rPr>
          <w:lang w:val="lt-LT"/>
        </w:rPr>
      </w:pPr>
    </w:p>
    <w:p w:rsidR="00AC2C19" w:rsidRPr="000B7544" w:rsidRDefault="00AC2C19" w:rsidP="00AC2C19">
      <w:pPr>
        <w:spacing w:line="240" w:lineRule="auto"/>
        <w:rPr>
          <w:i/>
          <w:lang w:val="lt-LT"/>
        </w:rPr>
      </w:pPr>
      <w:r w:rsidRPr="000B7544">
        <w:rPr>
          <w:i/>
          <w:lang w:val="lt-LT"/>
        </w:rPr>
        <w:t>Dažnas (pasireiškia rečiau negu 1 vartojusiajam iš 10):</w:t>
      </w:r>
    </w:p>
    <w:p w:rsidR="00AC2C19" w:rsidRDefault="00AC2C19" w:rsidP="00AC2C19">
      <w:pPr>
        <w:spacing w:line="240" w:lineRule="auto"/>
        <w:rPr>
          <w:lang w:val="lt-LT"/>
        </w:rPr>
      </w:pPr>
      <w:r>
        <w:rPr>
          <w:lang w:val="lt-LT"/>
        </w:rPr>
        <w:t>-</w:t>
      </w:r>
      <w:r>
        <w:rPr>
          <w:lang w:val="lt-LT"/>
        </w:rPr>
        <w:tab/>
        <w:t>krešėjimo sutrikimas;</w:t>
      </w:r>
    </w:p>
    <w:p w:rsidR="00AC2C19" w:rsidRPr="00FE3C67" w:rsidRDefault="00AC2C19" w:rsidP="00AC2C19">
      <w:pPr>
        <w:spacing w:line="240" w:lineRule="auto"/>
        <w:rPr>
          <w:lang w:val="lt-LT"/>
        </w:rPr>
      </w:pPr>
      <w:r>
        <w:rPr>
          <w:lang w:val="lt-LT"/>
        </w:rPr>
        <w:t>-</w:t>
      </w:r>
      <w:r>
        <w:rPr>
          <w:lang w:val="lt-LT"/>
        </w:rPr>
        <w:tab/>
      </w:r>
      <w:proofErr w:type="spellStart"/>
      <w:r>
        <w:rPr>
          <w:lang w:val="lt-LT"/>
        </w:rPr>
        <w:t>e</w:t>
      </w:r>
      <w:r w:rsidRPr="00FE3C67">
        <w:rPr>
          <w:lang w:val="lt-LT"/>
        </w:rPr>
        <w:t>ozinofilija</w:t>
      </w:r>
      <w:proofErr w:type="spellEnd"/>
      <w:r w:rsidRPr="00FE3C67">
        <w:rPr>
          <w:lang w:val="lt-LT"/>
        </w:rPr>
        <w:t xml:space="preserve"> (tam tikrų baltųjų kraujo ląstelių - </w:t>
      </w:r>
      <w:proofErr w:type="spellStart"/>
      <w:r w:rsidRPr="00FE3C67">
        <w:rPr>
          <w:lang w:val="lt-LT"/>
        </w:rPr>
        <w:t>eozinofilų</w:t>
      </w:r>
      <w:proofErr w:type="spellEnd"/>
      <w:r w:rsidRPr="00FE3C67">
        <w:rPr>
          <w:lang w:val="lt-LT"/>
        </w:rPr>
        <w:t xml:space="preserve"> pagausėjimas kraujyje);</w:t>
      </w:r>
    </w:p>
    <w:p w:rsidR="00AC2C19" w:rsidRPr="00CD354A" w:rsidRDefault="00AC2C19" w:rsidP="00AC2C19">
      <w:pPr>
        <w:spacing w:line="240" w:lineRule="auto"/>
        <w:rPr>
          <w:lang w:val="lt-LT"/>
        </w:rPr>
      </w:pPr>
      <w:r>
        <w:rPr>
          <w:lang w:val="lt-LT"/>
        </w:rPr>
        <w:t>-</w:t>
      </w:r>
      <w:r>
        <w:rPr>
          <w:lang w:val="lt-LT"/>
        </w:rPr>
        <w:tab/>
        <w:t>v</w:t>
      </w:r>
      <w:r w:rsidRPr="00CD354A">
        <w:rPr>
          <w:lang w:val="lt-LT"/>
        </w:rPr>
        <w:t>iduriavimas</w:t>
      </w:r>
      <w:r>
        <w:rPr>
          <w:lang w:val="lt-LT"/>
        </w:rPr>
        <w:t>;</w:t>
      </w:r>
    </w:p>
    <w:p w:rsidR="00AC2C19" w:rsidRPr="00CD354A" w:rsidRDefault="00AC2C19" w:rsidP="00AC2C19">
      <w:pPr>
        <w:spacing w:line="240" w:lineRule="auto"/>
        <w:rPr>
          <w:lang w:val="lt-LT"/>
        </w:rPr>
      </w:pPr>
      <w:r>
        <w:rPr>
          <w:lang w:val="lt-LT"/>
        </w:rPr>
        <w:t>-</w:t>
      </w:r>
      <w:r>
        <w:rPr>
          <w:lang w:val="lt-LT"/>
        </w:rPr>
        <w:tab/>
        <w:t>p</w:t>
      </w:r>
      <w:r w:rsidRPr="00CD354A">
        <w:rPr>
          <w:lang w:val="lt-LT"/>
        </w:rPr>
        <w:t>ykinimas</w:t>
      </w:r>
      <w:r>
        <w:rPr>
          <w:lang w:val="lt-LT"/>
        </w:rPr>
        <w:t>;</w:t>
      </w:r>
    </w:p>
    <w:p w:rsidR="00AC2C19" w:rsidRDefault="00AC2C19" w:rsidP="00AC2C19">
      <w:pPr>
        <w:spacing w:line="240" w:lineRule="auto"/>
        <w:rPr>
          <w:lang w:val="lt-LT"/>
        </w:rPr>
      </w:pPr>
      <w:r>
        <w:rPr>
          <w:lang w:val="lt-LT"/>
        </w:rPr>
        <w:t>-</w:t>
      </w:r>
      <w:r>
        <w:rPr>
          <w:lang w:val="lt-LT"/>
        </w:rPr>
        <w:tab/>
        <w:t>v</w:t>
      </w:r>
      <w:r w:rsidRPr="00CD354A">
        <w:rPr>
          <w:lang w:val="lt-LT"/>
        </w:rPr>
        <w:t>ėmimas</w:t>
      </w:r>
      <w:r>
        <w:rPr>
          <w:lang w:val="lt-LT"/>
        </w:rPr>
        <w:t>;</w:t>
      </w:r>
    </w:p>
    <w:p w:rsidR="00AC2C19" w:rsidRDefault="00AC2C19" w:rsidP="00AC2C19">
      <w:pPr>
        <w:spacing w:line="240" w:lineRule="auto"/>
        <w:rPr>
          <w:lang w:val="lt-LT"/>
        </w:rPr>
      </w:pPr>
      <w:r>
        <w:rPr>
          <w:lang w:val="lt-LT"/>
        </w:rPr>
        <w:t>-</w:t>
      </w:r>
      <w:r>
        <w:rPr>
          <w:lang w:val="lt-LT"/>
        </w:rPr>
        <w:tab/>
      </w:r>
      <w:proofErr w:type="spellStart"/>
      <w:r>
        <w:rPr>
          <w:lang w:val="lt-LT"/>
        </w:rPr>
        <w:t>b</w:t>
      </w:r>
      <w:r w:rsidRPr="00CD354A">
        <w:rPr>
          <w:lang w:val="lt-LT"/>
        </w:rPr>
        <w:t>ilirubino</w:t>
      </w:r>
      <w:proofErr w:type="spellEnd"/>
      <w:r w:rsidRPr="00CD354A">
        <w:rPr>
          <w:lang w:val="lt-LT"/>
        </w:rPr>
        <w:t xml:space="preserve"> koncentracijos kraujyje padidėjimas</w:t>
      </w:r>
      <w:r>
        <w:rPr>
          <w:lang w:val="lt-LT"/>
        </w:rPr>
        <w:t>.</w:t>
      </w:r>
    </w:p>
    <w:p w:rsidR="00AC2C19" w:rsidRDefault="00AC2C19" w:rsidP="00AC2C19">
      <w:pPr>
        <w:spacing w:line="240" w:lineRule="auto"/>
        <w:rPr>
          <w:lang w:val="lt-LT"/>
        </w:rPr>
      </w:pPr>
    </w:p>
    <w:p w:rsidR="00AC2C19" w:rsidRPr="000B7544" w:rsidRDefault="00AC2C19" w:rsidP="00AC2C19">
      <w:pPr>
        <w:spacing w:line="240" w:lineRule="auto"/>
        <w:rPr>
          <w:i/>
          <w:lang w:val="lt-LT"/>
        </w:rPr>
      </w:pPr>
      <w:r w:rsidRPr="000B7544">
        <w:rPr>
          <w:i/>
          <w:lang w:val="lt-LT"/>
        </w:rPr>
        <w:t>Nedažnas (pasireiškia rečiau negu 1 vartojusiajam iš 100):</w:t>
      </w:r>
    </w:p>
    <w:p w:rsidR="00AC2C19" w:rsidRPr="00FE3C67" w:rsidRDefault="00AC2C19" w:rsidP="00AC2C19">
      <w:pPr>
        <w:spacing w:line="240" w:lineRule="auto"/>
        <w:rPr>
          <w:lang w:val="lt-LT"/>
        </w:rPr>
      </w:pPr>
      <w:r>
        <w:rPr>
          <w:lang w:val="lt-LT"/>
        </w:rPr>
        <w:t>-</w:t>
      </w:r>
      <w:r>
        <w:rPr>
          <w:lang w:val="lt-LT"/>
        </w:rPr>
        <w:tab/>
        <w:t>g</w:t>
      </w:r>
      <w:r w:rsidRPr="00FE3C67">
        <w:rPr>
          <w:lang w:val="lt-LT"/>
        </w:rPr>
        <w:t>alvos skausmas;</w:t>
      </w:r>
    </w:p>
    <w:p w:rsidR="00AC2C19" w:rsidRPr="00CD354A" w:rsidRDefault="00AC2C19" w:rsidP="00AC2C19">
      <w:pPr>
        <w:spacing w:line="240" w:lineRule="auto"/>
        <w:rPr>
          <w:lang w:val="lt-LT"/>
        </w:rPr>
      </w:pPr>
      <w:r>
        <w:rPr>
          <w:lang w:val="lt-LT"/>
        </w:rPr>
        <w:t>-</w:t>
      </w:r>
      <w:r>
        <w:rPr>
          <w:lang w:val="lt-LT"/>
        </w:rPr>
        <w:tab/>
        <w:t>d</w:t>
      </w:r>
      <w:r w:rsidRPr="00CD354A">
        <w:rPr>
          <w:lang w:val="lt-LT"/>
        </w:rPr>
        <w:t>ilgėlinė</w:t>
      </w:r>
      <w:r>
        <w:rPr>
          <w:lang w:val="lt-LT"/>
        </w:rPr>
        <w:t>;</w:t>
      </w:r>
    </w:p>
    <w:p w:rsidR="00AC2C19" w:rsidRDefault="00AC2C19" w:rsidP="00AC2C19">
      <w:pPr>
        <w:spacing w:line="240" w:lineRule="auto"/>
        <w:rPr>
          <w:lang w:val="lt-LT"/>
        </w:rPr>
      </w:pPr>
      <w:r>
        <w:rPr>
          <w:lang w:val="lt-LT"/>
        </w:rPr>
        <w:t>-</w:t>
      </w:r>
      <w:r>
        <w:rPr>
          <w:lang w:val="lt-LT"/>
        </w:rPr>
        <w:tab/>
        <w:t>ni</w:t>
      </w:r>
      <w:r w:rsidRPr="00CD354A">
        <w:rPr>
          <w:lang w:val="lt-LT"/>
        </w:rPr>
        <w:t>ežulys</w:t>
      </w:r>
      <w:r>
        <w:rPr>
          <w:lang w:val="lt-LT"/>
        </w:rPr>
        <w:t>;</w:t>
      </w:r>
    </w:p>
    <w:p w:rsidR="00AC2C19" w:rsidRPr="00CD354A" w:rsidRDefault="00AC2C19" w:rsidP="00AC2C19">
      <w:pPr>
        <w:spacing w:line="240" w:lineRule="auto"/>
        <w:rPr>
          <w:lang w:val="lt-LT"/>
        </w:rPr>
      </w:pPr>
      <w:r>
        <w:rPr>
          <w:lang w:val="lt-LT"/>
        </w:rPr>
        <w:t>-</w:t>
      </w:r>
      <w:r>
        <w:rPr>
          <w:lang w:val="lt-LT"/>
        </w:rPr>
        <w:tab/>
      </w:r>
      <w:proofErr w:type="spellStart"/>
      <w:r>
        <w:rPr>
          <w:lang w:val="lt-LT"/>
        </w:rPr>
        <w:t>k</w:t>
      </w:r>
      <w:r w:rsidRPr="00CD354A">
        <w:rPr>
          <w:lang w:val="lt-LT"/>
        </w:rPr>
        <w:t>ateterizavimo</w:t>
      </w:r>
      <w:proofErr w:type="spellEnd"/>
      <w:r w:rsidRPr="00CD354A">
        <w:rPr>
          <w:lang w:val="lt-LT"/>
        </w:rPr>
        <w:t xml:space="preserve"> vietos flebitas (venos uždegimas)</w:t>
      </w:r>
      <w:r>
        <w:rPr>
          <w:lang w:val="lt-LT"/>
        </w:rPr>
        <w:t>;</w:t>
      </w:r>
    </w:p>
    <w:p w:rsidR="00AC2C19" w:rsidRPr="00CD354A" w:rsidRDefault="00AC2C19" w:rsidP="00AC2C19">
      <w:pPr>
        <w:spacing w:line="240" w:lineRule="auto"/>
        <w:rPr>
          <w:lang w:val="lt-LT"/>
        </w:rPr>
      </w:pPr>
      <w:r>
        <w:rPr>
          <w:lang w:val="lt-LT"/>
        </w:rPr>
        <w:t>-</w:t>
      </w:r>
      <w:r>
        <w:rPr>
          <w:lang w:val="lt-LT"/>
        </w:rPr>
        <w:tab/>
        <w:t>s</w:t>
      </w:r>
      <w:r w:rsidRPr="00CD354A">
        <w:rPr>
          <w:lang w:val="lt-LT"/>
        </w:rPr>
        <w:t>kausmas injekcijos vietoje</w:t>
      </w:r>
      <w:r>
        <w:rPr>
          <w:lang w:val="lt-LT"/>
        </w:rPr>
        <w:t>;</w:t>
      </w:r>
    </w:p>
    <w:p w:rsidR="00AC2C19" w:rsidRPr="00CD354A" w:rsidRDefault="00AC2C19" w:rsidP="00AC2C19">
      <w:pPr>
        <w:spacing w:line="240" w:lineRule="auto"/>
        <w:rPr>
          <w:lang w:val="lt-LT"/>
        </w:rPr>
      </w:pPr>
      <w:r>
        <w:rPr>
          <w:lang w:val="lt-LT"/>
        </w:rPr>
        <w:t>-</w:t>
      </w:r>
      <w:r>
        <w:rPr>
          <w:lang w:val="lt-LT"/>
        </w:rPr>
        <w:tab/>
        <w:t>k</w:t>
      </w:r>
      <w:r w:rsidRPr="00CD354A">
        <w:rPr>
          <w:lang w:val="lt-LT"/>
        </w:rPr>
        <w:t>arščiavimas</w:t>
      </w:r>
      <w:r>
        <w:rPr>
          <w:lang w:val="lt-LT"/>
        </w:rPr>
        <w:t>;</w:t>
      </w:r>
    </w:p>
    <w:p w:rsidR="00AC2C19" w:rsidRDefault="00AC2C19" w:rsidP="00AC2C19">
      <w:pPr>
        <w:spacing w:line="240" w:lineRule="auto"/>
        <w:rPr>
          <w:lang w:val="lt-LT"/>
        </w:rPr>
      </w:pPr>
      <w:r>
        <w:rPr>
          <w:lang w:val="lt-LT"/>
        </w:rPr>
        <w:t>-</w:t>
      </w:r>
      <w:r>
        <w:rPr>
          <w:lang w:val="lt-LT"/>
        </w:rPr>
        <w:tab/>
      </w:r>
      <w:proofErr w:type="spellStart"/>
      <w:r>
        <w:rPr>
          <w:lang w:val="lt-LT"/>
        </w:rPr>
        <w:t>š</w:t>
      </w:r>
      <w:r w:rsidRPr="00CD354A">
        <w:rPr>
          <w:lang w:val="lt-LT"/>
        </w:rPr>
        <w:t>altkrėtis</w:t>
      </w:r>
      <w:proofErr w:type="spellEnd"/>
      <w:r>
        <w:rPr>
          <w:lang w:val="lt-LT"/>
        </w:rPr>
        <w:t>.</w:t>
      </w:r>
    </w:p>
    <w:p w:rsidR="00AC2C19" w:rsidRDefault="00AC2C19" w:rsidP="00AC2C19">
      <w:pPr>
        <w:spacing w:line="240" w:lineRule="auto"/>
        <w:rPr>
          <w:lang w:val="lt-LT"/>
        </w:rPr>
      </w:pPr>
    </w:p>
    <w:p w:rsidR="00AC2C19" w:rsidRPr="000B7544" w:rsidRDefault="00AC2C19" w:rsidP="00AC2C19">
      <w:pPr>
        <w:spacing w:line="240" w:lineRule="auto"/>
        <w:rPr>
          <w:i/>
          <w:lang w:val="lt-LT"/>
        </w:rPr>
      </w:pPr>
      <w:r w:rsidRPr="000B7544">
        <w:rPr>
          <w:i/>
          <w:lang w:val="lt-LT"/>
        </w:rPr>
        <w:t>Nežinomas</w:t>
      </w:r>
      <w:r>
        <w:rPr>
          <w:i/>
          <w:lang w:val="lt-LT"/>
        </w:rPr>
        <w:t xml:space="preserve"> ((negali būti  apskaičiuotas pagal turimus duomenis)</w:t>
      </w:r>
      <w:r w:rsidRPr="000B7544">
        <w:rPr>
          <w:i/>
          <w:lang w:val="lt-LT"/>
        </w:rPr>
        <w:t>:</w:t>
      </w:r>
    </w:p>
    <w:p w:rsidR="00AC2C19" w:rsidRDefault="00AC2C19" w:rsidP="00AC2C19">
      <w:pPr>
        <w:spacing w:line="240" w:lineRule="auto"/>
        <w:rPr>
          <w:lang w:val="lt-LT"/>
        </w:rPr>
      </w:pPr>
      <w:r>
        <w:rPr>
          <w:lang w:val="lt-LT"/>
        </w:rPr>
        <w:t>-</w:t>
      </w:r>
      <w:r>
        <w:rPr>
          <w:lang w:val="lt-LT"/>
        </w:rPr>
        <w:tab/>
        <w:t>kraujavimas;</w:t>
      </w:r>
    </w:p>
    <w:p w:rsidR="00AC2C19" w:rsidRDefault="00AC2C19" w:rsidP="00AC2C19">
      <w:pPr>
        <w:spacing w:line="240" w:lineRule="auto"/>
        <w:rPr>
          <w:lang w:val="lt-LT"/>
        </w:rPr>
      </w:pPr>
      <w:r>
        <w:rPr>
          <w:lang w:val="lt-LT"/>
        </w:rPr>
        <w:t>-</w:t>
      </w:r>
      <w:r>
        <w:rPr>
          <w:lang w:val="lt-LT"/>
        </w:rPr>
        <w:tab/>
      </w:r>
      <w:proofErr w:type="spellStart"/>
      <w:r>
        <w:rPr>
          <w:lang w:val="lt-LT"/>
        </w:rPr>
        <w:t>h</w:t>
      </w:r>
      <w:r w:rsidRPr="00CD354A">
        <w:rPr>
          <w:lang w:val="lt-LT"/>
        </w:rPr>
        <w:t>ipoprotrombinemija</w:t>
      </w:r>
      <w:proofErr w:type="spellEnd"/>
      <w:r w:rsidRPr="00CD354A">
        <w:rPr>
          <w:lang w:val="lt-LT"/>
        </w:rPr>
        <w:t xml:space="preserve"> (krešėjimo laiko pailgėjimas)</w:t>
      </w:r>
      <w:r>
        <w:rPr>
          <w:lang w:val="lt-LT"/>
        </w:rPr>
        <w:t>;</w:t>
      </w:r>
    </w:p>
    <w:p w:rsidR="00AC2C19" w:rsidRPr="00CD354A" w:rsidRDefault="00AC2C19" w:rsidP="00AC2C19">
      <w:pPr>
        <w:spacing w:line="240" w:lineRule="auto"/>
        <w:rPr>
          <w:lang w:val="lt-LT"/>
        </w:rPr>
      </w:pPr>
      <w:r>
        <w:rPr>
          <w:lang w:val="lt-LT"/>
        </w:rPr>
        <w:t>-</w:t>
      </w:r>
      <w:r>
        <w:rPr>
          <w:lang w:val="lt-LT"/>
        </w:rPr>
        <w:tab/>
        <w:t>s</w:t>
      </w:r>
      <w:r w:rsidRPr="000D383B">
        <w:rPr>
          <w:lang w:val="lt-LT"/>
        </w:rPr>
        <w:t>unki alerginė reakcija (anafilaksinis šokas, anafilaksinė reakcija</w:t>
      </w:r>
      <w:r>
        <w:rPr>
          <w:lang w:val="lt-LT"/>
        </w:rPr>
        <w:t>,</w:t>
      </w:r>
      <w:r w:rsidRPr="00CD354A">
        <w:rPr>
          <w:lang w:val="lt-LT"/>
        </w:rPr>
        <w:t xml:space="preserve"> </w:t>
      </w:r>
      <w:proofErr w:type="spellStart"/>
      <w:r>
        <w:rPr>
          <w:lang w:val="lt-LT"/>
        </w:rPr>
        <w:t>a</w:t>
      </w:r>
      <w:r w:rsidRPr="00CD354A">
        <w:rPr>
          <w:lang w:val="lt-LT"/>
        </w:rPr>
        <w:t>nafilaktoidinė</w:t>
      </w:r>
      <w:proofErr w:type="spellEnd"/>
      <w:r>
        <w:rPr>
          <w:lang w:val="lt-LT"/>
        </w:rPr>
        <w:t xml:space="preserve"> </w:t>
      </w:r>
      <w:r w:rsidRPr="00CD354A">
        <w:rPr>
          <w:lang w:val="lt-LT"/>
        </w:rPr>
        <w:t xml:space="preserve"> reakcija</w:t>
      </w:r>
      <w:r>
        <w:rPr>
          <w:lang w:val="lt-LT"/>
        </w:rPr>
        <w:t>,</w:t>
      </w:r>
      <w:r w:rsidRPr="00CD354A">
        <w:rPr>
          <w:lang w:val="lt-LT"/>
        </w:rPr>
        <w:t xml:space="preserve"> įskaitant šoką)</w:t>
      </w:r>
      <w:r>
        <w:rPr>
          <w:lang w:val="lt-LT"/>
        </w:rPr>
        <w:t>;</w:t>
      </w:r>
    </w:p>
    <w:p w:rsidR="00AC2C19" w:rsidRPr="00FE3C67" w:rsidRDefault="00AC2C19" w:rsidP="00AC2C19">
      <w:pPr>
        <w:spacing w:line="240" w:lineRule="auto"/>
        <w:rPr>
          <w:lang w:val="lt-LT"/>
        </w:rPr>
      </w:pPr>
      <w:r>
        <w:rPr>
          <w:lang w:val="lt-LT"/>
        </w:rPr>
        <w:t>-</w:t>
      </w:r>
      <w:r>
        <w:rPr>
          <w:lang w:val="lt-LT"/>
        </w:rPr>
        <w:tab/>
        <w:t>p</w:t>
      </w:r>
      <w:r w:rsidRPr="00CD354A">
        <w:rPr>
          <w:lang w:val="lt-LT"/>
        </w:rPr>
        <w:t>adidėjęs jautrumas</w:t>
      </w:r>
      <w:r>
        <w:rPr>
          <w:lang w:val="lt-LT"/>
        </w:rPr>
        <w:t>;</w:t>
      </w:r>
    </w:p>
    <w:p w:rsidR="00AC2C19" w:rsidRPr="00CD354A" w:rsidRDefault="00AC2C19" w:rsidP="00AC2C19">
      <w:pPr>
        <w:spacing w:line="240" w:lineRule="auto"/>
        <w:rPr>
          <w:lang w:val="lt-LT"/>
        </w:rPr>
      </w:pPr>
      <w:r>
        <w:rPr>
          <w:lang w:val="lt-LT"/>
        </w:rPr>
        <w:t>-</w:t>
      </w:r>
      <w:r>
        <w:rPr>
          <w:lang w:val="lt-LT"/>
        </w:rPr>
        <w:tab/>
      </w:r>
      <w:proofErr w:type="spellStart"/>
      <w:r>
        <w:rPr>
          <w:lang w:val="lt-LT"/>
        </w:rPr>
        <w:t>v</w:t>
      </w:r>
      <w:r w:rsidRPr="00CD354A">
        <w:rPr>
          <w:lang w:val="lt-LT"/>
        </w:rPr>
        <w:t>askulitas</w:t>
      </w:r>
      <w:proofErr w:type="spellEnd"/>
      <w:r w:rsidRPr="00CD354A">
        <w:rPr>
          <w:lang w:val="lt-LT"/>
        </w:rPr>
        <w:t xml:space="preserve"> (kraujagyslių uždegimas)</w:t>
      </w:r>
      <w:r>
        <w:rPr>
          <w:lang w:val="lt-LT"/>
        </w:rPr>
        <w:t>;</w:t>
      </w:r>
    </w:p>
    <w:p w:rsidR="00AC2C19" w:rsidRDefault="00AC2C19" w:rsidP="00AC2C19">
      <w:pPr>
        <w:spacing w:line="240" w:lineRule="auto"/>
        <w:contextualSpacing/>
        <w:outlineLvl w:val="0"/>
        <w:rPr>
          <w:lang w:val="lt-LT"/>
        </w:rPr>
      </w:pPr>
      <w:r>
        <w:rPr>
          <w:lang w:val="lt-LT"/>
        </w:rPr>
        <w:t>-</w:t>
      </w:r>
      <w:r>
        <w:rPr>
          <w:lang w:val="lt-LT"/>
        </w:rPr>
        <w:tab/>
      </w:r>
      <w:proofErr w:type="spellStart"/>
      <w:r>
        <w:rPr>
          <w:lang w:val="lt-LT"/>
        </w:rPr>
        <w:t>h</w:t>
      </w:r>
      <w:r w:rsidRPr="00CD354A">
        <w:rPr>
          <w:lang w:val="lt-LT"/>
        </w:rPr>
        <w:t>ipotenzija</w:t>
      </w:r>
      <w:proofErr w:type="spellEnd"/>
      <w:r w:rsidRPr="00CD354A">
        <w:rPr>
          <w:lang w:val="lt-LT"/>
        </w:rPr>
        <w:t xml:space="preserve"> (sumažėjęs kraujospūdis)</w:t>
      </w:r>
      <w:r>
        <w:rPr>
          <w:lang w:val="lt-LT"/>
        </w:rPr>
        <w:t>;</w:t>
      </w:r>
    </w:p>
    <w:p w:rsidR="00AC2C19" w:rsidRDefault="00AC2C19" w:rsidP="00AC2C19">
      <w:pPr>
        <w:spacing w:line="240" w:lineRule="auto"/>
        <w:contextualSpacing/>
        <w:outlineLvl w:val="0"/>
        <w:rPr>
          <w:rStyle w:val="apple-style-span"/>
          <w:lang w:val="lt-LT"/>
        </w:rPr>
      </w:pPr>
      <w:r>
        <w:rPr>
          <w:rStyle w:val="apple-style-span"/>
          <w:lang w:val="lt-LT"/>
        </w:rPr>
        <w:t>-</w:t>
      </w:r>
      <w:r>
        <w:rPr>
          <w:rStyle w:val="apple-style-span"/>
          <w:lang w:val="lt-LT"/>
        </w:rPr>
        <w:tab/>
      </w:r>
      <w:proofErr w:type="spellStart"/>
      <w:r>
        <w:rPr>
          <w:rStyle w:val="apple-style-span"/>
          <w:lang w:val="lt-LT"/>
        </w:rPr>
        <w:t>p</w:t>
      </w:r>
      <w:r w:rsidRPr="00CD354A">
        <w:rPr>
          <w:rStyle w:val="apple-style-span"/>
          <w:lang w:val="lt-LT"/>
        </w:rPr>
        <w:t>seudomembraninis</w:t>
      </w:r>
      <w:proofErr w:type="spellEnd"/>
      <w:r w:rsidRPr="00CD354A">
        <w:rPr>
          <w:rStyle w:val="apple-style-span"/>
          <w:lang w:val="lt-LT"/>
        </w:rPr>
        <w:t xml:space="preserve"> kolitas (sunkus storosios žarnos uždegimas</w:t>
      </w:r>
      <w:r>
        <w:rPr>
          <w:rStyle w:val="apple-style-span"/>
          <w:lang w:val="lt-LT"/>
        </w:rPr>
        <w:t>, pasireiškiantis viduriavimu, su kraujo ar gleivių priemaiša, pilvo skausmais, karščiavimu</w:t>
      </w:r>
      <w:r w:rsidRPr="00CD354A">
        <w:rPr>
          <w:rStyle w:val="apple-style-span"/>
          <w:lang w:val="lt-LT"/>
        </w:rPr>
        <w:t>)</w:t>
      </w:r>
      <w:r>
        <w:rPr>
          <w:rStyle w:val="apple-style-span"/>
          <w:lang w:val="lt-LT"/>
        </w:rPr>
        <w:t>;</w:t>
      </w:r>
    </w:p>
    <w:p w:rsidR="00AC2C19" w:rsidRDefault="00AC2C19" w:rsidP="00AC2C19">
      <w:pPr>
        <w:spacing w:line="240" w:lineRule="auto"/>
        <w:contextualSpacing/>
        <w:outlineLvl w:val="0"/>
        <w:rPr>
          <w:rStyle w:val="apple-style-span"/>
          <w:lang w:val="lt-LT"/>
        </w:rPr>
      </w:pPr>
      <w:r>
        <w:rPr>
          <w:rStyle w:val="apple-style-span"/>
          <w:lang w:val="lt-LT"/>
        </w:rPr>
        <w:t>-</w:t>
      </w:r>
      <w:r>
        <w:rPr>
          <w:rStyle w:val="apple-style-span"/>
          <w:lang w:val="lt-LT"/>
        </w:rPr>
        <w:tab/>
        <w:t>gelta;</w:t>
      </w:r>
    </w:p>
    <w:p w:rsidR="00AC2C19" w:rsidRDefault="00AC2C19" w:rsidP="00AC2C19">
      <w:pPr>
        <w:spacing w:line="240" w:lineRule="auto"/>
        <w:rPr>
          <w:lang w:val="lt-LT"/>
        </w:rPr>
      </w:pPr>
      <w:r>
        <w:rPr>
          <w:lang w:val="lt-LT"/>
        </w:rPr>
        <w:t>-</w:t>
      </w:r>
      <w:r>
        <w:rPr>
          <w:lang w:val="lt-LT"/>
        </w:rPr>
        <w:tab/>
        <w:t>s</w:t>
      </w:r>
      <w:r w:rsidRPr="000D383B">
        <w:rPr>
          <w:lang w:val="lt-LT"/>
        </w:rPr>
        <w:t xml:space="preserve">unkios odos reakcijos, galinčios sukelti odos išbėrimą, pūslių atsiradimą ir lupimąsi (toksinė epidermio </w:t>
      </w:r>
      <w:proofErr w:type="spellStart"/>
      <w:r w:rsidRPr="000D383B">
        <w:rPr>
          <w:lang w:val="lt-LT"/>
        </w:rPr>
        <w:t>nekrolizė</w:t>
      </w:r>
      <w:proofErr w:type="spellEnd"/>
      <w:r w:rsidRPr="000D383B">
        <w:rPr>
          <w:lang w:val="lt-LT"/>
        </w:rPr>
        <w:t xml:space="preserve">, </w:t>
      </w:r>
      <w:proofErr w:type="spellStart"/>
      <w:r w:rsidRPr="000D383B">
        <w:rPr>
          <w:i/>
          <w:lang w:val="lt-LT"/>
        </w:rPr>
        <w:t>Stevens-Johnson</w:t>
      </w:r>
      <w:proofErr w:type="spellEnd"/>
      <w:r w:rsidRPr="000D383B">
        <w:rPr>
          <w:lang w:val="lt-LT"/>
        </w:rPr>
        <w:t xml:space="preserve"> sindromas, </w:t>
      </w:r>
      <w:proofErr w:type="spellStart"/>
      <w:r w:rsidRPr="000D383B">
        <w:rPr>
          <w:lang w:val="lt-LT"/>
        </w:rPr>
        <w:t>eksfoliacinis</w:t>
      </w:r>
      <w:proofErr w:type="spellEnd"/>
      <w:r w:rsidRPr="000D383B">
        <w:rPr>
          <w:lang w:val="lt-LT"/>
        </w:rPr>
        <w:t xml:space="preserve"> dermatit</w:t>
      </w:r>
      <w:r>
        <w:rPr>
          <w:lang w:val="lt-LT"/>
        </w:rPr>
        <w:t xml:space="preserve">as, </w:t>
      </w:r>
      <w:proofErr w:type="spellStart"/>
      <w:r w:rsidRPr="000D383B">
        <w:rPr>
          <w:lang w:val="lt-LT"/>
        </w:rPr>
        <w:t>makulopapulinis</w:t>
      </w:r>
      <w:proofErr w:type="spellEnd"/>
      <w:r w:rsidRPr="000D383B">
        <w:rPr>
          <w:lang w:val="lt-LT"/>
        </w:rPr>
        <w:t xml:space="preserve"> (dėmėmis ir mazgeliais</w:t>
      </w:r>
      <w:r w:rsidRPr="00CD354A">
        <w:rPr>
          <w:lang w:val="lt-LT"/>
        </w:rPr>
        <w:t>) bėrimas</w:t>
      </w:r>
      <w:r>
        <w:rPr>
          <w:lang w:val="lt-LT"/>
        </w:rPr>
        <w:t>);</w:t>
      </w:r>
    </w:p>
    <w:p w:rsidR="00AC2C19" w:rsidRPr="00CD354A" w:rsidRDefault="00AC2C19" w:rsidP="00AC2C19">
      <w:pPr>
        <w:spacing w:line="240" w:lineRule="auto"/>
        <w:contextualSpacing/>
        <w:outlineLvl w:val="0"/>
        <w:rPr>
          <w:lang w:val="lt-LT"/>
        </w:rPr>
      </w:pPr>
      <w:r>
        <w:rPr>
          <w:lang w:val="lt-LT"/>
        </w:rPr>
        <w:t>-</w:t>
      </w:r>
      <w:r>
        <w:rPr>
          <w:lang w:val="lt-LT"/>
        </w:rPr>
        <w:tab/>
      </w:r>
      <w:proofErr w:type="spellStart"/>
      <w:r>
        <w:rPr>
          <w:lang w:val="lt-LT"/>
        </w:rPr>
        <w:t>h</w:t>
      </w:r>
      <w:r w:rsidRPr="00CD354A">
        <w:rPr>
          <w:lang w:val="lt-LT"/>
        </w:rPr>
        <w:t>ematurija</w:t>
      </w:r>
      <w:proofErr w:type="spellEnd"/>
      <w:r w:rsidRPr="00CD354A">
        <w:rPr>
          <w:lang w:val="lt-LT"/>
        </w:rPr>
        <w:t xml:space="preserve"> (kraujas šlapime)</w:t>
      </w:r>
      <w:r>
        <w:rPr>
          <w:lang w:val="lt-LT"/>
        </w:rPr>
        <w:t>.</w:t>
      </w:r>
    </w:p>
    <w:p w:rsidR="00AC2C19" w:rsidRPr="00CD354A" w:rsidRDefault="00AC2C19" w:rsidP="00AC2C19">
      <w:pPr>
        <w:spacing w:line="240" w:lineRule="auto"/>
        <w:rPr>
          <w:lang w:val="lt-LT"/>
        </w:rPr>
      </w:pPr>
    </w:p>
    <w:p w:rsidR="00AC2C19" w:rsidRPr="00CD354A" w:rsidRDefault="00AC2C19" w:rsidP="00AC2C19">
      <w:pPr>
        <w:pStyle w:val="BTEMEASMCA"/>
      </w:pPr>
    </w:p>
    <w:p w:rsidR="00AC2C19" w:rsidRPr="00CD354A" w:rsidRDefault="00AC2C19" w:rsidP="00AC2C19">
      <w:pPr>
        <w:spacing w:line="240" w:lineRule="auto"/>
        <w:rPr>
          <w:b/>
          <w:lang w:val="lt-LT"/>
        </w:rPr>
      </w:pPr>
      <w:r w:rsidRPr="00CD354A">
        <w:rPr>
          <w:b/>
          <w:noProof/>
          <w:lang w:val="lt-LT"/>
        </w:rPr>
        <w:t>Pranešimas apie šalutinį poveikį</w:t>
      </w:r>
    </w:p>
    <w:p w:rsidR="00AC2C19" w:rsidRPr="00503D27" w:rsidRDefault="00AC2C19" w:rsidP="00AC2C19">
      <w:pPr>
        <w:spacing w:line="240" w:lineRule="auto"/>
        <w:ind w:right="-448"/>
        <w:rPr>
          <w:noProof/>
          <w:szCs w:val="24"/>
          <w:lang w:val="lt-LT"/>
        </w:rPr>
      </w:pPr>
      <w:r w:rsidRPr="00CD354A">
        <w:rPr>
          <w:lang w:val="lt-LT"/>
        </w:rPr>
        <w:t>Jeigu pasireiškė šalutinis poveikis</w:t>
      </w:r>
      <w:r w:rsidRPr="00CD354A">
        <w:rPr>
          <w:noProof/>
          <w:lang w:val="lt-LT"/>
        </w:rPr>
        <w:t>, įskaitant</w:t>
      </w:r>
      <w:r w:rsidRPr="00CD354A">
        <w:rPr>
          <w:lang w:val="lt-LT"/>
        </w:rPr>
        <w:t xml:space="preserve"> šiame lapelyje nenurodytą, pasakykite gydytojui arba vaistininkui.</w:t>
      </w:r>
      <w:r w:rsidRPr="00CD354A">
        <w:rPr>
          <w:noProof/>
          <w:lang w:val="lt-LT"/>
        </w:rPr>
        <w:t xml:space="preserve"> </w:t>
      </w:r>
      <w:r w:rsidRPr="00954BA2">
        <w:rPr>
          <w:lang w:val="lt-LT"/>
        </w:rPr>
        <w:t>Apie šalutinį poveikį taip pat galite pranešti Valstybinei vaistų kontrolės tarnybai prie Lietuvos Respublikos sveikatos apsaugos ministerijos nemokamu t</w:t>
      </w:r>
      <w:r w:rsidRPr="00954BA2">
        <w:rPr>
          <w:lang w:val="lt-LT" w:eastAsia="zh-CN"/>
        </w:rPr>
        <w:t>elefonu 8 800 73568</w:t>
      </w:r>
      <w:r w:rsidRPr="00954BA2">
        <w:rPr>
          <w:lang w:val="lt-LT"/>
        </w:rPr>
        <w:t xml:space="preserve"> arba užpildyti interneto svetainėje </w:t>
      </w:r>
      <w:hyperlink r:id="rId14" w:history="1">
        <w:r w:rsidRPr="00654BFA">
          <w:rPr>
            <w:rStyle w:val="Hipersaitas"/>
            <w:rFonts w:eastAsia="SimSun"/>
            <w:lang w:val="lt-LT"/>
          </w:rPr>
          <w:t>www.vvkt.lt</w:t>
        </w:r>
      </w:hyperlink>
      <w:r w:rsidRPr="00954BA2">
        <w:rPr>
          <w:lang w:val="lt-LT"/>
        </w:rPr>
        <w:t xml:space="preserve"> esančią formą ir pateikti ją Valstybinei vaistų kontrolės tarnybai prie Lietuvos Respublikos sveikatos apsaugos ministerijos vienu iš šių būdų: raštu (adresu Žirmūnų g. 139A, LT-09120 Vilnius), </w:t>
      </w:r>
      <w:r w:rsidRPr="00954BA2">
        <w:rPr>
          <w:lang w:val="lt-LT" w:eastAsia="zh-CN"/>
        </w:rPr>
        <w:t xml:space="preserve">nemokamu </w:t>
      </w:r>
      <w:r w:rsidRPr="00954BA2">
        <w:rPr>
          <w:lang w:val="lt-LT"/>
        </w:rPr>
        <w:t>fakso numeriu 8 800 20131</w:t>
      </w:r>
      <w:r w:rsidRPr="00954BA2">
        <w:rPr>
          <w:lang w:val="lt-LT" w:eastAsia="zh-CN"/>
        </w:rPr>
        <w:t xml:space="preserve">, </w:t>
      </w:r>
      <w:r w:rsidRPr="00954BA2">
        <w:rPr>
          <w:lang w:val="lt-LT"/>
        </w:rPr>
        <w:t xml:space="preserve">el. paštu </w:t>
      </w:r>
      <w:hyperlink r:id="rId15" w:history="1">
        <w:r w:rsidRPr="00654BFA">
          <w:rPr>
            <w:rStyle w:val="Hipersaitas"/>
            <w:rFonts w:eastAsia="SimSun"/>
            <w:lang w:val="lt-LT"/>
          </w:rPr>
          <w:t>NepageidaujamaR@vvkt.lt</w:t>
        </w:r>
      </w:hyperlink>
      <w:r w:rsidRPr="00954BA2">
        <w:rPr>
          <w:lang w:val="lt-LT"/>
        </w:rPr>
        <w:t xml:space="preserve">, taip pat per Valstybinės vaistų kontrolės tarnybos prie Lietuvos Respublikos sveikatos apsaugos ministerijos interneto svetainę (adresu </w:t>
      </w:r>
      <w:hyperlink r:id="rId16" w:history="1">
        <w:r w:rsidRPr="00654BFA">
          <w:rPr>
            <w:rStyle w:val="Hipersaitas"/>
            <w:rFonts w:eastAsia="SimSun"/>
            <w:lang w:val="lt-LT"/>
          </w:rPr>
          <w:t>http://www.vvkt.lt</w:t>
        </w:r>
      </w:hyperlink>
      <w:r w:rsidRPr="00954BA2">
        <w:rPr>
          <w:lang w:val="lt-LT"/>
        </w:rPr>
        <w:t>). Pranešdami apie šalutinį poveikį galite mums padėti gauti daugiau informacijos apie šio vaisto saugumą.</w:t>
      </w:r>
    </w:p>
    <w:p w:rsidR="00AC2C19" w:rsidRPr="00CD354A" w:rsidRDefault="00AC2C19" w:rsidP="00AC2C19">
      <w:pPr>
        <w:spacing w:line="240" w:lineRule="auto"/>
        <w:ind w:right="-449"/>
        <w:rPr>
          <w:lang w:val="lt-LT"/>
        </w:rPr>
      </w:pPr>
    </w:p>
    <w:p w:rsidR="00AC2C19" w:rsidRPr="00CD354A" w:rsidRDefault="00AC2C19" w:rsidP="00AC2C19">
      <w:pPr>
        <w:pStyle w:val="BTEMEASMCA"/>
      </w:pPr>
    </w:p>
    <w:p w:rsidR="00AC2C19" w:rsidRPr="00CD354A" w:rsidRDefault="00AC2C19" w:rsidP="00AC2C19">
      <w:pPr>
        <w:spacing w:line="240" w:lineRule="auto"/>
        <w:ind w:left="540" w:hanging="540"/>
        <w:rPr>
          <w:b/>
          <w:caps/>
          <w:lang w:val="lt-LT"/>
        </w:rPr>
      </w:pPr>
      <w:bookmarkStart w:id="101" w:name="_Toc129243143"/>
      <w:bookmarkStart w:id="102" w:name="_Toc129243268"/>
      <w:r w:rsidRPr="00CD354A">
        <w:rPr>
          <w:b/>
          <w:lang w:val="lt-LT"/>
        </w:rPr>
        <w:t>5.</w:t>
      </w:r>
      <w:r w:rsidRPr="00CD354A">
        <w:rPr>
          <w:b/>
          <w:lang w:val="lt-LT"/>
        </w:rPr>
        <w:tab/>
        <w:t xml:space="preserve">Kaip laikyti </w:t>
      </w:r>
      <w:bookmarkEnd w:id="101"/>
      <w:bookmarkEnd w:id="102"/>
      <w:r w:rsidRPr="00CD354A">
        <w:rPr>
          <w:b/>
          <w:caps/>
          <w:lang w:val="lt-LT"/>
        </w:rPr>
        <w:t>SULPERAZON</w:t>
      </w:r>
    </w:p>
    <w:p w:rsidR="00AC2C19" w:rsidRPr="00CD354A" w:rsidRDefault="00AC2C19" w:rsidP="00AC2C19">
      <w:pPr>
        <w:pStyle w:val="BTEMEASMCA"/>
      </w:pPr>
    </w:p>
    <w:p w:rsidR="00AC2C19" w:rsidRPr="00CD354A" w:rsidRDefault="00AC2C19" w:rsidP="00AC2C19">
      <w:pPr>
        <w:numPr>
          <w:ilvl w:val="12"/>
          <w:numId w:val="0"/>
        </w:numPr>
        <w:spacing w:line="240" w:lineRule="auto"/>
        <w:ind w:right="-2"/>
        <w:rPr>
          <w:lang w:val="lt-LT"/>
        </w:rPr>
      </w:pPr>
      <w:r w:rsidRPr="00CD354A">
        <w:rPr>
          <w:noProof/>
          <w:lang w:val="lt-LT"/>
        </w:rPr>
        <w:t>Šį vaistą laikykite</w:t>
      </w:r>
      <w:r w:rsidRPr="00CD354A">
        <w:rPr>
          <w:lang w:val="lt-LT"/>
        </w:rPr>
        <w:t xml:space="preserve"> vaikams </w:t>
      </w:r>
      <w:r w:rsidRPr="00CD354A">
        <w:rPr>
          <w:noProof/>
          <w:lang w:val="lt-LT"/>
        </w:rPr>
        <w:t xml:space="preserve">nepastebimoje ir </w:t>
      </w:r>
      <w:r w:rsidRPr="00CD354A">
        <w:rPr>
          <w:lang w:val="lt-LT"/>
        </w:rPr>
        <w:t>nepasiekiamoje vietoje.</w:t>
      </w:r>
    </w:p>
    <w:p w:rsidR="00AC2C19" w:rsidRPr="00CD354A" w:rsidRDefault="00AC2C19" w:rsidP="00AC2C19">
      <w:pPr>
        <w:pStyle w:val="BTEMEASMCA"/>
      </w:pPr>
    </w:p>
    <w:p w:rsidR="00AC2C19" w:rsidRPr="00CD354A" w:rsidRDefault="00AC2C19" w:rsidP="00AC2C19">
      <w:pPr>
        <w:pStyle w:val="BTEMEASMCA"/>
      </w:pPr>
      <w:r w:rsidRPr="00CD354A">
        <w:t>Laikyti žemesnėje kaip 25 </w:t>
      </w:r>
      <w:r w:rsidRPr="00CD354A">
        <w:sym w:font="Symbol" w:char="F0B0"/>
      </w:r>
      <w:r w:rsidRPr="00CD354A">
        <w:t>C temperatūroje.</w:t>
      </w:r>
    </w:p>
    <w:p w:rsidR="00AC2C19" w:rsidRPr="00CD354A" w:rsidRDefault="00AC2C19" w:rsidP="00AC2C19">
      <w:pPr>
        <w:pStyle w:val="BTEMEASMCA"/>
      </w:pPr>
      <w:r>
        <w:rPr>
          <w:lang w:val="en-US"/>
        </w:rPr>
        <w:t>Flakon</w:t>
      </w:r>
      <w:r>
        <w:rPr>
          <w:lang w:val="lt-LT"/>
        </w:rPr>
        <w:t>ą</w:t>
      </w:r>
      <w:r w:rsidRPr="00CD354A">
        <w:t xml:space="preserve"> laikyti išorinėje dėžutėje, kad preparatas būtų apsaugotas nuo šviesos.</w:t>
      </w:r>
    </w:p>
    <w:p w:rsidR="00AC2C19" w:rsidRPr="00CD354A" w:rsidRDefault="00AC2C19" w:rsidP="00AC2C19">
      <w:pPr>
        <w:pStyle w:val="BTEMEASMCA"/>
      </w:pPr>
    </w:p>
    <w:p w:rsidR="00AC2C19" w:rsidRPr="00CD354A" w:rsidRDefault="00AC2C19" w:rsidP="00AC2C19">
      <w:pPr>
        <w:pStyle w:val="BTEMEASMCA"/>
      </w:pPr>
      <w:r w:rsidRPr="00CD354A">
        <w:t xml:space="preserve">Ant kartono dėžutės ir </w:t>
      </w:r>
      <w:r>
        <w:t>flakon</w:t>
      </w:r>
      <w:r w:rsidRPr="00CD354A">
        <w:t>o po „Tinka iki“ nurodytam tinkamumo laikui pasibaigus, šio vaisto vartoti negalima. Vaistas tinkamas vartoti iki paskutinės nurodyto mėnesio dienos.</w:t>
      </w:r>
    </w:p>
    <w:p w:rsidR="00AC2C19" w:rsidRPr="00CD354A" w:rsidRDefault="00AC2C19" w:rsidP="00AC2C19">
      <w:pPr>
        <w:pStyle w:val="BTEMEASMCA"/>
      </w:pPr>
    </w:p>
    <w:p w:rsidR="00AC2C19" w:rsidRPr="00CD354A" w:rsidRDefault="00AC2C19" w:rsidP="00AC2C19">
      <w:pPr>
        <w:pStyle w:val="BTEMEASMCA"/>
      </w:pPr>
      <w:r w:rsidRPr="00CD354A">
        <w:t>Vaistų negalima išmesti į kanalizaciją arba su buitinėmis atliekomis. Kaip išmesti nereikalingus vaistus, klauskite vaistininko. Šios priemonės padės apsaugoti aplinką.</w:t>
      </w:r>
    </w:p>
    <w:p w:rsidR="00AC2C19" w:rsidRPr="00CD354A" w:rsidRDefault="00AC2C19" w:rsidP="00AC2C19">
      <w:pPr>
        <w:pStyle w:val="BTEMEASMCA"/>
      </w:pPr>
    </w:p>
    <w:p w:rsidR="00AC2C19" w:rsidRPr="00CD354A" w:rsidRDefault="00AC2C19" w:rsidP="00AC2C19">
      <w:pPr>
        <w:pStyle w:val="BTEMEASMCA"/>
      </w:pPr>
    </w:p>
    <w:p w:rsidR="00AC2C19" w:rsidRPr="00CD354A" w:rsidRDefault="00AC2C19" w:rsidP="00AC2C19">
      <w:pPr>
        <w:spacing w:line="240" w:lineRule="auto"/>
        <w:ind w:left="540" w:hanging="540"/>
        <w:rPr>
          <w:b/>
          <w:lang w:val="lt-LT"/>
        </w:rPr>
      </w:pPr>
      <w:bookmarkStart w:id="103" w:name="_Toc129243144"/>
      <w:bookmarkStart w:id="104" w:name="_Toc129243269"/>
      <w:r w:rsidRPr="00CD354A">
        <w:rPr>
          <w:b/>
          <w:lang w:val="lt-LT"/>
        </w:rPr>
        <w:t>6.</w:t>
      </w:r>
      <w:r w:rsidRPr="00CD354A">
        <w:rPr>
          <w:b/>
          <w:lang w:val="lt-LT"/>
        </w:rPr>
        <w:tab/>
        <w:t>Pakuotės turinys ir kita informacija</w:t>
      </w:r>
      <w:bookmarkEnd w:id="103"/>
      <w:bookmarkEnd w:id="104"/>
    </w:p>
    <w:p w:rsidR="00AC2C19" w:rsidRPr="00CD354A" w:rsidRDefault="00AC2C19" w:rsidP="00AC2C19">
      <w:pPr>
        <w:spacing w:line="240" w:lineRule="auto"/>
        <w:rPr>
          <w:lang w:val="lt-LT"/>
        </w:rPr>
      </w:pPr>
    </w:p>
    <w:p w:rsidR="00AC2C19" w:rsidRPr="00CD354A" w:rsidRDefault="00AC2C19" w:rsidP="00AC2C19">
      <w:pPr>
        <w:spacing w:line="240" w:lineRule="auto"/>
        <w:rPr>
          <w:b/>
          <w:lang w:val="lt-LT"/>
        </w:rPr>
      </w:pPr>
      <w:r w:rsidRPr="00CD354A">
        <w:rPr>
          <w:b/>
          <w:lang w:val="lt-LT"/>
        </w:rPr>
        <w:t>SULPERAZON sudėtis</w:t>
      </w:r>
    </w:p>
    <w:p w:rsidR="00AC2C19" w:rsidRPr="00CD354A" w:rsidRDefault="00AC2C19" w:rsidP="00AC2C19">
      <w:pPr>
        <w:pStyle w:val="BTEMEASMCA"/>
      </w:pPr>
      <w:r w:rsidRPr="00CD354A">
        <w:t>-</w:t>
      </w:r>
      <w:r w:rsidRPr="00CD354A">
        <w:tab/>
        <w:t xml:space="preserve">Veikliosios medžiagos: sulbaktamas ir  cefoperazonas. Kiekviename </w:t>
      </w:r>
      <w:r>
        <w:t>flakon</w:t>
      </w:r>
      <w:r w:rsidRPr="00CD354A">
        <w:t>e yra 1 g sulbaktamo (sulbaktamo natrio druskos pavidalu) ir 1 g cefoperazono (cefoperazono natrio druskos pavidalu).</w:t>
      </w:r>
    </w:p>
    <w:p w:rsidR="00AC2C19" w:rsidRPr="00CD354A" w:rsidRDefault="00AC2C19" w:rsidP="00AC2C19">
      <w:pPr>
        <w:pStyle w:val="BTEMEASMCA"/>
      </w:pPr>
      <w:r w:rsidRPr="00CD354A">
        <w:t>-</w:t>
      </w:r>
      <w:r w:rsidRPr="00CD354A">
        <w:tab/>
        <w:t>Pagalbinių medžiagų nėra.</w:t>
      </w:r>
    </w:p>
    <w:p w:rsidR="00AC2C19" w:rsidRPr="00CD354A" w:rsidRDefault="00AC2C19" w:rsidP="00AC2C19">
      <w:pPr>
        <w:spacing w:line="240" w:lineRule="auto"/>
        <w:rPr>
          <w:lang w:val="lt-LT"/>
        </w:rPr>
      </w:pPr>
    </w:p>
    <w:p w:rsidR="00AC2C19" w:rsidRPr="00CD354A" w:rsidRDefault="00AC2C19" w:rsidP="00AC2C19">
      <w:pPr>
        <w:spacing w:line="240" w:lineRule="auto"/>
        <w:rPr>
          <w:b/>
          <w:lang w:val="lt-LT"/>
        </w:rPr>
      </w:pPr>
      <w:r w:rsidRPr="00CD354A">
        <w:rPr>
          <w:b/>
          <w:lang w:val="lt-LT"/>
        </w:rPr>
        <w:t>SULPERAZON išvaizda ir kiekis pakuotėje</w:t>
      </w:r>
    </w:p>
    <w:p w:rsidR="00AC2C19" w:rsidRPr="00CD354A" w:rsidRDefault="00AC2C19" w:rsidP="00AC2C19">
      <w:pPr>
        <w:pStyle w:val="BTEMEASMCA"/>
      </w:pPr>
      <w:r w:rsidRPr="00CD354A">
        <w:t>Balti arba beveik balti kristaliniai milteliai.</w:t>
      </w:r>
    </w:p>
    <w:p w:rsidR="00AC2C19" w:rsidRPr="00CD354A" w:rsidRDefault="00AC2C19" w:rsidP="00AC2C19">
      <w:pPr>
        <w:pStyle w:val="BTEMEASMCA"/>
      </w:pPr>
      <w:r w:rsidRPr="00CD354A">
        <w:t xml:space="preserve">SULPERAZON tiekiamas </w:t>
      </w:r>
      <w:r>
        <w:rPr>
          <w:lang w:val="lt-LT"/>
        </w:rPr>
        <w:t>flakonuose</w:t>
      </w:r>
      <w:r w:rsidRPr="00CD354A">
        <w:t>, kuriuose yra 2 g miltelių injekciniam arba infuziniam tirpalui.</w:t>
      </w:r>
    </w:p>
    <w:p w:rsidR="00AC2C19" w:rsidRPr="00CD354A" w:rsidRDefault="00AC2C19" w:rsidP="00AC2C19">
      <w:pPr>
        <w:pStyle w:val="BTEMEASMCA"/>
      </w:pPr>
      <w:r w:rsidRPr="00CD354A">
        <w:t xml:space="preserve">Pakuotėje yra vienas </w:t>
      </w:r>
      <w:r>
        <w:rPr>
          <w:lang w:val="lt-LT"/>
        </w:rPr>
        <w:t>flakonas</w:t>
      </w:r>
      <w:r w:rsidRPr="00CD354A">
        <w:t>.</w:t>
      </w:r>
    </w:p>
    <w:p w:rsidR="00AC2C19" w:rsidRPr="00CD354A" w:rsidRDefault="00AC2C19" w:rsidP="00AC2C19">
      <w:pPr>
        <w:spacing w:line="240" w:lineRule="auto"/>
        <w:rPr>
          <w:lang w:val="lt-LT"/>
        </w:rPr>
      </w:pPr>
    </w:p>
    <w:p w:rsidR="00AC2C19" w:rsidRPr="00CD354A" w:rsidRDefault="00AC2C19" w:rsidP="00AC2C19">
      <w:pPr>
        <w:spacing w:line="240" w:lineRule="auto"/>
        <w:rPr>
          <w:b/>
          <w:lang w:val="lt-LT"/>
        </w:rPr>
      </w:pPr>
      <w:r w:rsidRPr="00654BFA">
        <w:rPr>
          <w:b/>
          <w:lang w:val="lt-LT"/>
        </w:rPr>
        <w:t>Registruotojas</w:t>
      </w:r>
      <w:r w:rsidRPr="00CD354A">
        <w:rPr>
          <w:b/>
          <w:lang w:val="lt-LT"/>
        </w:rPr>
        <w:t xml:space="preserve"> </w:t>
      </w:r>
    </w:p>
    <w:p w:rsidR="00AC2C19" w:rsidRPr="00CD354A" w:rsidRDefault="00AC2C19" w:rsidP="00AC2C19">
      <w:pPr>
        <w:spacing w:line="240" w:lineRule="auto"/>
        <w:rPr>
          <w:lang w:val="lt-LT"/>
        </w:rPr>
      </w:pPr>
      <w:proofErr w:type="spellStart"/>
      <w:r w:rsidRPr="00CD354A">
        <w:rPr>
          <w:lang w:val="lt-LT"/>
        </w:rPr>
        <w:t>Pfizer</w:t>
      </w:r>
      <w:proofErr w:type="spellEnd"/>
      <w:r w:rsidRPr="00CD354A">
        <w:rPr>
          <w:lang w:val="lt-LT"/>
        </w:rPr>
        <w:t xml:space="preserve"> </w:t>
      </w:r>
      <w:proofErr w:type="spellStart"/>
      <w:r w:rsidRPr="00CD354A">
        <w:rPr>
          <w:lang w:val="lt-LT"/>
        </w:rPr>
        <w:t>Limited</w:t>
      </w:r>
      <w:proofErr w:type="spellEnd"/>
    </w:p>
    <w:p w:rsidR="00AC2C19" w:rsidRPr="00CD354A" w:rsidRDefault="00AC2C19" w:rsidP="00AC2C19">
      <w:pPr>
        <w:spacing w:line="240" w:lineRule="auto"/>
        <w:rPr>
          <w:lang w:val="lt-LT"/>
        </w:rPr>
      </w:pPr>
      <w:proofErr w:type="spellStart"/>
      <w:r w:rsidRPr="00CD354A">
        <w:rPr>
          <w:lang w:val="lt-LT"/>
        </w:rPr>
        <w:t>Ramsgate</w:t>
      </w:r>
      <w:proofErr w:type="spellEnd"/>
      <w:r w:rsidRPr="00CD354A">
        <w:rPr>
          <w:lang w:val="lt-LT"/>
        </w:rPr>
        <w:t xml:space="preserve"> </w:t>
      </w:r>
      <w:proofErr w:type="spellStart"/>
      <w:r w:rsidRPr="00CD354A">
        <w:rPr>
          <w:lang w:val="lt-LT"/>
        </w:rPr>
        <w:t>Road</w:t>
      </w:r>
      <w:proofErr w:type="spellEnd"/>
    </w:p>
    <w:p w:rsidR="00AC2C19" w:rsidRPr="00CD354A" w:rsidRDefault="00AC2C19" w:rsidP="00AC2C19">
      <w:pPr>
        <w:spacing w:line="240" w:lineRule="auto"/>
        <w:rPr>
          <w:lang w:val="lt-LT"/>
        </w:rPr>
      </w:pPr>
      <w:proofErr w:type="spellStart"/>
      <w:r w:rsidRPr="00CD354A">
        <w:rPr>
          <w:lang w:val="lt-LT"/>
        </w:rPr>
        <w:t>Sandwich</w:t>
      </w:r>
      <w:proofErr w:type="spellEnd"/>
    </w:p>
    <w:p w:rsidR="00AC2C19" w:rsidRPr="00CD354A" w:rsidRDefault="00AC2C19" w:rsidP="00AC2C19">
      <w:pPr>
        <w:spacing w:line="240" w:lineRule="auto"/>
        <w:rPr>
          <w:lang w:val="lt-LT"/>
        </w:rPr>
      </w:pPr>
      <w:proofErr w:type="spellStart"/>
      <w:r w:rsidRPr="00CD354A">
        <w:rPr>
          <w:lang w:val="lt-LT"/>
        </w:rPr>
        <w:t>Kent</w:t>
      </w:r>
      <w:proofErr w:type="spellEnd"/>
    </w:p>
    <w:p w:rsidR="00AC2C19" w:rsidRPr="00CD354A" w:rsidRDefault="00AC2C19" w:rsidP="00AC2C19">
      <w:pPr>
        <w:spacing w:line="240" w:lineRule="auto"/>
        <w:rPr>
          <w:lang w:val="lt-LT"/>
        </w:rPr>
      </w:pPr>
      <w:r w:rsidRPr="00CD354A">
        <w:rPr>
          <w:lang w:val="lt-LT"/>
        </w:rPr>
        <w:t>CT13 9NJ</w:t>
      </w:r>
    </w:p>
    <w:p w:rsidR="00AC2C19" w:rsidRPr="00CD354A" w:rsidRDefault="00AC2C19" w:rsidP="00AC2C19">
      <w:pPr>
        <w:spacing w:line="240" w:lineRule="auto"/>
        <w:rPr>
          <w:lang w:val="lt-LT"/>
        </w:rPr>
      </w:pPr>
      <w:r w:rsidRPr="00CD354A">
        <w:rPr>
          <w:lang w:val="lt-LT"/>
        </w:rPr>
        <w:t>Jungtinė Karalystė</w:t>
      </w:r>
    </w:p>
    <w:p w:rsidR="00AC2C19" w:rsidRPr="00CD354A" w:rsidRDefault="00AC2C19" w:rsidP="00AC2C19">
      <w:pPr>
        <w:spacing w:line="240" w:lineRule="auto"/>
        <w:rPr>
          <w:lang w:val="lt-LT"/>
        </w:rPr>
      </w:pPr>
    </w:p>
    <w:p w:rsidR="00AC2C19" w:rsidRPr="00CD354A" w:rsidRDefault="00AC2C19" w:rsidP="00AC2C19">
      <w:pPr>
        <w:spacing w:line="240" w:lineRule="auto"/>
        <w:rPr>
          <w:b/>
          <w:lang w:val="lt-LT"/>
        </w:rPr>
      </w:pPr>
      <w:r w:rsidRPr="00CD354A">
        <w:rPr>
          <w:b/>
          <w:lang w:val="lt-LT"/>
        </w:rPr>
        <w:t>Gamintojas</w:t>
      </w:r>
    </w:p>
    <w:p w:rsidR="00AC2C19" w:rsidRPr="00CD354A" w:rsidRDefault="00AC2C19" w:rsidP="00AC2C19">
      <w:pPr>
        <w:spacing w:line="240" w:lineRule="auto"/>
        <w:rPr>
          <w:lang w:val="lt-LT"/>
        </w:rPr>
      </w:pPr>
      <w:proofErr w:type="spellStart"/>
      <w:r w:rsidRPr="00CD354A">
        <w:rPr>
          <w:lang w:val="lt-LT"/>
        </w:rPr>
        <w:t>Haupt</w:t>
      </w:r>
      <w:proofErr w:type="spellEnd"/>
      <w:r w:rsidRPr="00CD354A">
        <w:rPr>
          <w:lang w:val="lt-LT"/>
        </w:rPr>
        <w:t xml:space="preserve"> </w:t>
      </w:r>
      <w:proofErr w:type="spellStart"/>
      <w:r w:rsidRPr="00CD354A">
        <w:rPr>
          <w:lang w:val="lt-LT"/>
        </w:rPr>
        <w:t>Pharma</w:t>
      </w:r>
      <w:proofErr w:type="spellEnd"/>
      <w:r w:rsidRPr="00CD354A">
        <w:rPr>
          <w:lang w:val="lt-LT"/>
        </w:rPr>
        <w:t xml:space="preserve"> </w:t>
      </w:r>
      <w:proofErr w:type="spellStart"/>
      <w:r w:rsidRPr="00CD354A">
        <w:rPr>
          <w:lang w:val="lt-LT"/>
        </w:rPr>
        <w:t>Latina</w:t>
      </w:r>
      <w:proofErr w:type="spellEnd"/>
      <w:r w:rsidRPr="00CD354A">
        <w:rPr>
          <w:lang w:val="lt-LT"/>
        </w:rPr>
        <w:t xml:space="preserve"> </w:t>
      </w:r>
      <w:proofErr w:type="spellStart"/>
      <w:r w:rsidRPr="00CD354A">
        <w:rPr>
          <w:lang w:val="lt-LT"/>
        </w:rPr>
        <w:t>S.r.l</w:t>
      </w:r>
      <w:proofErr w:type="spellEnd"/>
      <w:r w:rsidRPr="00CD354A">
        <w:rPr>
          <w:lang w:val="lt-LT"/>
        </w:rPr>
        <w:t>.</w:t>
      </w:r>
    </w:p>
    <w:p w:rsidR="00AC2C19" w:rsidRPr="00CD354A" w:rsidRDefault="00AC2C19" w:rsidP="00AC2C19">
      <w:pPr>
        <w:spacing w:line="240" w:lineRule="auto"/>
        <w:rPr>
          <w:lang w:val="lt-LT"/>
        </w:rPr>
      </w:pPr>
      <w:proofErr w:type="spellStart"/>
      <w:r w:rsidRPr="00CD354A">
        <w:rPr>
          <w:lang w:val="lt-LT"/>
        </w:rPr>
        <w:t>Latina</w:t>
      </w:r>
      <w:proofErr w:type="spellEnd"/>
      <w:r w:rsidRPr="00CD354A">
        <w:rPr>
          <w:lang w:val="lt-LT"/>
        </w:rPr>
        <w:t xml:space="preserve"> (LT)</w:t>
      </w:r>
    </w:p>
    <w:p w:rsidR="00AC2C19" w:rsidRPr="00CD354A" w:rsidRDefault="00AC2C19" w:rsidP="00AC2C19">
      <w:pPr>
        <w:spacing w:line="240" w:lineRule="auto"/>
        <w:rPr>
          <w:lang w:val="lt-LT"/>
        </w:rPr>
      </w:pPr>
      <w:proofErr w:type="spellStart"/>
      <w:r w:rsidRPr="00CD354A">
        <w:rPr>
          <w:lang w:val="lt-LT"/>
        </w:rPr>
        <w:t>Strada</w:t>
      </w:r>
      <w:proofErr w:type="spellEnd"/>
      <w:r w:rsidRPr="00CD354A">
        <w:rPr>
          <w:lang w:val="lt-LT"/>
        </w:rPr>
        <w:t xml:space="preserve"> </w:t>
      </w:r>
      <w:proofErr w:type="spellStart"/>
      <w:r w:rsidRPr="00CD354A">
        <w:rPr>
          <w:lang w:val="lt-LT"/>
        </w:rPr>
        <w:t>Statale</w:t>
      </w:r>
      <w:proofErr w:type="spellEnd"/>
      <w:r w:rsidRPr="00CD354A">
        <w:rPr>
          <w:lang w:val="lt-LT"/>
        </w:rPr>
        <w:t xml:space="preserve"> 156 Km 47,600</w:t>
      </w:r>
    </w:p>
    <w:p w:rsidR="00AC2C19" w:rsidRPr="00CD354A" w:rsidRDefault="00AC2C19" w:rsidP="00AC2C19">
      <w:pPr>
        <w:spacing w:line="240" w:lineRule="auto"/>
        <w:rPr>
          <w:lang w:val="lt-LT"/>
        </w:rPr>
      </w:pPr>
      <w:r w:rsidRPr="00CD354A">
        <w:rPr>
          <w:lang w:val="lt-LT"/>
        </w:rPr>
        <w:t xml:space="preserve">04100 </w:t>
      </w:r>
      <w:proofErr w:type="spellStart"/>
      <w:r w:rsidRPr="00CD354A">
        <w:rPr>
          <w:lang w:val="lt-LT"/>
        </w:rPr>
        <w:t>Borgo</w:t>
      </w:r>
      <w:proofErr w:type="spellEnd"/>
      <w:r w:rsidRPr="00CD354A">
        <w:rPr>
          <w:lang w:val="lt-LT"/>
        </w:rPr>
        <w:t xml:space="preserve"> San </w:t>
      </w:r>
      <w:proofErr w:type="spellStart"/>
      <w:r w:rsidRPr="00CD354A">
        <w:rPr>
          <w:lang w:val="lt-LT"/>
        </w:rPr>
        <w:t>Michele</w:t>
      </w:r>
      <w:proofErr w:type="spellEnd"/>
    </w:p>
    <w:p w:rsidR="00AC2C19" w:rsidRPr="00CD354A" w:rsidRDefault="00AC2C19" w:rsidP="00AC2C19">
      <w:pPr>
        <w:spacing w:line="240" w:lineRule="auto"/>
        <w:rPr>
          <w:lang w:val="lt-LT"/>
        </w:rPr>
      </w:pPr>
      <w:r w:rsidRPr="00CD354A">
        <w:rPr>
          <w:lang w:val="lt-LT"/>
        </w:rPr>
        <w:t>Italija</w:t>
      </w: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r w:rsidRPr="00CD354A">
        <w:rPr>
          <w:lang w:val="lt-LT"/>
        </w:rPr>
        <w:t xml:space="preserve">Jeigu apie šį vaistą norite sužinoti daugiau, kreipkitės į vietinį </w:t>
      </w:r>
      <w:r>
        <w:rPr>
          <w:lang w:val="lt-LT"/>
        </w:rPr>
        <w:t>registruotojo</w:t>
      </w:r>
      <w:r w:rsidRPr="00CD354A">
        <w:rPr>
          <w:lang w:val="lt-LT"/>
        </w:rPr>
        <w:t xml:space="preserve"> atstovą.</w:t>
      </w:r>
    </w:p>
    <w:p w:rsidR="00AC2C19" w:rsidRPr="00CD354A" w:rsidRDefault="00AC2C19" w:rsidP="00AC2C19">
      <w:pPr>
        <w:spacing w:line="240" w:lineRule="auto"/>
        <w:rPr>
          <w:lang w:val="lt-LT"/>
        </w:rPr>
      </w:pPr>
    </w:p>
    <w:tbl>
      <w:tblPr>
        <w:tblW w:w="4678" w:type="dxa"/>
        <w:tblInd w:w="-34" w:type="dxa"/>
        <w:tblLayout w:type="fixed"/>
        <w:tblLook w:val="0000" w:firstRow="0" w:lastRow="0" w:firstColumn="0" w:lastColumn="0" w:noHBand="0" w:noVBand="0"/>
      </w:tblPr>
      <w:tblGrid>
        <w:gridCol w:w="4678"/>
      </w:tblGrid>
      <w:tr w:rsidR="00AC2C19" w:rsidRPr="00CD354A">
        <w:tc>
          <w:tcPr>
            <w:tcW w:w="4678" w:type="dxa"/>
          </w:tcPr>
          <w:p w:rsidR="00AC2C19" w:rsidRPr="00CD354A" w:rsidRDefault="00AC2C19" w:rsidP="00AC2C19">
            <w:pPr>
              <w:spacing w:line="240" w:lineRule="auto"/>
              <w:rPr>
                <w:lang w:val="lt-LT"/>
              </w:rPr>
            </w:pPr>
            <w:proofErr w:type="spellStart"/>
            <w:r w:rsidRPr="00CD354A">
              <w:rPr>
                <w:lang w:val="lt-LT"/>
              </w:rPr>
              <w:t>Pfizer</w:t>
            </w:r>
            <w:proofErr w:type="spellEnd"/>
            <w:r w:rsidRPr="00CD354A">
              <w:rPr>
                <w:lang w:val="lt-LT"/>
              </w:rPr>
              <w:t xml:space="preserve"> </w:t>
            </w:r>
            <w:proofErr w:type="spellStart"/>
            <w:r w:rsidRPr="00CD354A">
              <w:rPr>
                <w:lang w:val="lt-LT"/>
              </w:rPr>
              <w:t>Luxembourg</w:t>
            </w:r>
            <w:proofErr w:type="spellEnd"/>
            <w:r w:rsidRPr="00CD354A">
              <w:rPr>
                <w:lang w:val="lt-LT"/>
              </w:rPr>
              <w:t xml:space="preserve"> SARL filialas Lietuvoje</w:t>
            </w:r>
          </w:p>
          <w:p w:rsidR="00AC2C19" w:rsidRPr="00CD354A" w:rsidRDefault="00AC2C19" w:rsidP="00AC2C19">
            <w:pPr>
              <w:spacing w:line="240" w:lineRule="auto"/>
              <w:rPr>
                <w:lang w:val="lt-LT"/>
              </w:rPr>
            </w:pPr>
            <w:r w:rsidRPr="00CD354A">
              <w:rPr>
                <w:lang w:val="lt-LT"/>
              </w:rPr>
              <w:t>Goštauto 40a, LT</w:t>
            </w:r>
            <w:r w:rsidRPr="00CD354A">
              <w:rPr>
                <w:lang w:val="lt-LT"/>
              </w:rPr>
              <w:noBreakHyphen/>
              <w:t>01112 Vilnius</w:t>
            </w:r>
          </w:p>
          <w:p w:rsidR="00AC2C19" w:rsidRPr="00CD354A" w:rsidRDefault="00AC2C19" w:rsidP="00AC2C19">
            <w:pPr>
              <w:spacing w:line="240" w:lineRule="auto"/>
              <w:rPr>
                <w:lang w:val="lt-LT"/>
              </w:rPr>
            </w:pPr>
            <w:r w:rsidRPr="00CD354A">
              <w:rPr>
                <w:lang w:val="lt-LT"/>
              </w:rPr>
              <w:t>Tel. +370 5 2514000</w:t>
            </w:r>
          </w:p>
        </w:tc>
      </w:tr>
    </w:tbl>
    <w:p w:rsidR="00AC2C19" w:rsidRPr="00CD354A" w:rsidRDefault="00AC2C19" w:rsidP="00AC2C19">
      <w:pPr>
        <w:spacing w:line="240" w:lineRule="auto"/>
        <w:rPr>
          <w:lang w:val="lt-LT"/>
        </w:rPr>
      </w:pPr>
    </w:p>
    <w:p w:rsidR="00AC2C19" w:rsidRPr="00CD354A" w:rsidRDefault="00AC2C19" w:rsidP="00AC2C19">
      <w:pPr>
        <w:spacing w:line="240" w:lineRule="auto"/>
        <w:rPr>
          <w:b/>
          <w:lang w:val="lt-LT"/>
        </w:rPr>
      </w:pPr>
      <w:r w:rsidRPr="00CD354A">
        <w:rPr>
          <w:b/>
          <w:lang w:val="lt-LT"/>
        </w:rPr>
        <w:t>Šis pakuotės lape</w:t>
      </w:r>
      <w:r w:rsidR="008D46FC">
        <w:rPr>
          <w:b/>
          <w:lang w:val="lt-LT"/>
        </w:rPr>
        <w:t>lis paskutinį kartą peržiūrėtas</w:t>
      </w:r>
      <w:r w:rsidR="00A241F0">
        <w:rPr>
          <w:b/>
          <w:lang w:val="lt-LT"/>
        </w:rPr>
        <w:t xml:space="preserve"> 2017-02-01</w:t>
      </w:r>
    </w:p>
    <w:p w:rsidR="00AC2C19" w:rsidRPr="00CD354A" w:rsidRDefault="00AC2C19" w:rsidP="00AC2C19">
      <w:pPr>
        <w:pStyle w:val="BTEMEASMCA"/>
      </w:pPr>
    </w:p>
    <w:p w:rsidR="00AC2C19" w:rsidRPr="00CD354A" w:rsidRDefault="00AC2C19" w:rsidP="00AC2C19">
      <w:pPr>
        <w:spacing w:line="240" w:lineRule="auto"/>
        <w:rPr>
          <w:lang w:val="lt-LT"/>
        </w:rPr>
      </w:pPr>
      <w:r w:rsidRPr="00CD354A">
        <w:rPr>
          <w:lang w:val="lt-LT"/>
        </w:rPr>
        <w:t>Išsami informacija apie šį vaistą pateikiama Valstybinės vaistų kontrolės tarnybos prie Lietuvos Respublikos sveikatos apsaugos ministerijos tinklalapyje</w:t>
      </w:r>
      <w:r w:rsidRPr="00CD354A">
        <w:rPr>
          <w:i/>
          <w:lang w:val="lt-LT"/>
        </w:rPr>
        <w:t xml:space="preserve"> </w:t>
      </w:r>
      <w:hyperlink r:id="rId17" w:history="1">
        <w:r w:rsidRPr="00CD354A">
          <w:rPr>
            <w:rStyle w:val="Hipersaitas"/>
            <w:lang w:val="lt-LT"/>
          </w:rPr>
          <w:t>http://www.vvkt.lt/</w:t>
        </w:r>
      </w:hyperlink>
    </w:p>
    <w:p w:rsidR="00AC2C19" w:rsidRPr="00CD354A" w:rsidRDefault="00AC2C19" w:rsidP="00AC2C19">
      <w:pPr>
        <w:spacing w:line="240" w:lineRule="auto"/>
        <w:rPr>
          <w:lang w:val="lt-LT"/>
        </w:rPr>
      </w:pPr>
    </w:p>
    <w:p w:rsidR="00AC2C19" w:rsidRPr="00CD354A" w:rsidRDefault="00AC2C19" w:rsidP="00AC2C19">
      <w:pPr>
        <w:pStyle w:val="BTEMEASMCA"/>
      </w:pPr>
      <w:r w:rsidRPr="00CD354A">
        <w:t>Žemiau pateikta informacija skirta tik sveikatos priežiūros specialistams</w:t>
      </w:r>
    </w:p>
    <w:p w:rsidR="00AC2C19" w:rsidRPr="00CD354A" w:rsidRDefault="00AC2C19" w:rsidP="00AC2C19">
      <w:pPr>
        <w:pStyle w:val="BTEMEASMCA"/>
      </w:pPr>
    </w:p>
    <w:p w:rsidR="00AC2C19" w:rsidRPr="00CD354A" w:rsidRDefault="00AC2C19" w:rsidP="00AC2C19">
      <w:pPr>
        <w:spacing w:line="240" w:lineRule="auto"/>
        <w:rPr>
          <w:b/>
          <w:bCs/>
          <w:lang w:val="lt-LT"/>
        </w:rPr>
      </w:pPr>
      <w:r w:rsidRPr="00CD354A">
        <w:rPr>
          <w:b/>
          <w:bCs/>
          <w:lang w:val="lt-LT"/>
        </w:rPr>
        <w:t>Paruošimo, praskiedimo ir vartojimo instrukcija</w:t>
      </w:r>
    </w:p>
    <w:p w:rsidR="00AC2C19" w:rsidRPr="00CD354A" w:rsidRDefault="00AC2C19" w:rsidP="00AC2C19">
      <w:pPr>
        <w:pStyle w:val="BTEMEASMCA"/>
      </w:pPr>
      <w:r w:rsidRPr="00CD354A">
        <w:t>Įrodyta, kad sulbaktamas/cefoperazonas suderinamas su injekciniu vandeniu, 5</w:t>
      </w:r>
      <w:r>
        <w:t xml:space="preserve"> proc.</w:t>
      </w:r>
      <w:r w:rsidRPr="00CD354A">
        <w:t xml:space="preserve"> dekstrozės tirpalu, normaliu fiziologiniu tirpalu, 5% dekstrozės tirpalu 0,225 </w:t>
      </w:r>
      <w:r>
        <w:t>proc.</w:t>
      </w:r>
      <w:r w:rsidRPr="00CD354A">
        <w:t xml:space="preserve"> natrio chlorido tirpale, 5</w:t>
      </w:r>
      <w:r>
        <w:t xml:space="preserve"> proc.</w:t>
      </w:r>
      <w:r w:rsidRPr="00CD354A">
        <w:t xml:space="preserve"> dekstrozės tirpalu normaliame fiziologiniame tirpale (kai koncentracijos yra nuo 10 mg cef</w:t>
      </w:r>
      <w:r w:rsidRPr="00CD354A">
        <w:rPr>
          <w:lang w:val="lt-LT"/>
        </w:rPr>
        <w:t>o</w:t>
      </w:r>
      <w:r w:rsidRPr="00CD354A">
        <w:t>perazono ir 5 mg sulbaktamo viename mililitre ir iki 250 mg cefoperazono ir 125 mg sulbaktamo viename mililitre). Visi nepanaudoti tirpalai turi būti sunaikinti po 24 valandų laikymo 15</w:t>
      </w:r>
      <w:r w:rsidRPr="00CD354A">
        <w:noBreakHyphen/>
        <w:t>25 °C temperatūroje.</w:t>
      </w:r>
    </w:p>
    <w:p w:rsidR="00AC2C19" w:rsidRPr="00CD354A" w:rsidRDefault="00AC2C19" w:rsidP="00AC2C19">
      <w:pPr>
        <w:spacing w:line="240" w:lineRule="auto"/>
        <w:rPr>
          <w:lang w:val="lt-LT"/>
        </w:rPr>
      </w:pPr>
      <w:r w:rsidRPr="00CD354A">
        <w:rPr>
          <w:lang w:val="lt-LT"/>
        </w:rPr>
        <w:t>Ištirpinus pagal nurodytas instrukcijas, gaunamas skaidrus tirpalas, kuriame negali būti neištirpusių kietų dalelių ir pašalinių medžiagų.</w:t>
      </w:r>
    </w:p>
    <w:p w:rsidR="00AC2C19" w:rsidRPr="00CD354A" w:rsidRDefault="00AC2C19" w:rsidP="00AC2C19">
      <w:pPr>
        <w:spacing w:line="240" w:lineRule="auto"/>
        <w:rPr>
          <w:lang w:val="lt-LT"/>
        </w:rPr>
      </w:pPr>
    </w:p>
    <w:p w:rsidR="00AC2C19" w:rsidRPr="00CD354A" w:rsidRDefault="00AC2C19" w:rsidP="00AC2C19">
      <w:pPr>
        <w:spacing w:line="240" w:lineRule="auto"/>
        <w:rPr>
          <w:b/>
          <w:lang w:val="lt-LT"/>
        </w:rPr>
      </w:pPr>
      <w:r w:rsidRPr="00CD354A">
        <w:rPr>
          <w:b/>
          <w:lang w:val="lt-LT"/>
        </w:rPr>
        <w:t>Vartojimas į veną</w:t>
      </w:r>
    </w:p>
    <w:p w:rsidR="00AC2C19" w:rsidRPr="00CD354A" w:rsidRDefault="00AC2C19" w:rsidP="00AC2C19">
      <w:pPr>
        <w:spacing w:line="240" w:lineRule="auto"/>
        <w:rPr>
          <w:lang w:val="lt-LT"/>
        </w:rPr>
      </w:pPr>
      <w:r w:rsidRPr="00CD354A">
        <w:rPr>
          <w:lang w:val="lt-LT"/>
        </w:rPr>
        <w:t xml:space="preserve">Leidžiant infuzijas su pertraukomis, kiekviename </w:t>
      </w:r>
      <w:r>
        <w:rPr>
          <w:lang w:val="lt-LT"/>
        </w:rPr>
        <w:t>flakone</w:t>
      </w:r>
      <w:r w:rsidRPr="00CD354A">
        <w:rPr>
          <w:lang w:val="lt-LT"/>
        </w:rPr>
        <w:t xml:space="preserve"> esančius SULPERAZON miltelius reikia ištirpinti 6,7 ml 5</w:t>
      </w:r>
      <w:r>
        <w:rPr>
          <w:lang w:val="lt-LT"/>
        </w:rPr>
        <w:t xml:space="preserve"> proc.</w:t>
      </w:r>
      <w:r w:rsidRPr="00CD354A">
        <w:rPr>
          <w:lang w:val="lt-LT"/>
        </w:rPr>
        <w:t xml:space="preserve"> vandeninio </w:t>
      </w:r>
      <w:proofErr w:type="spellStart"/>
      <w:r w:rsidRPr="00CD354A">
        <w:rPr>
          <w:lang w:val="lt-LT"/>
        </w:rPr>
        <w:t>dekstrozės</w:t>
      </w:r>
      <w:proofErr w:type="spellEnd"/>
      <w:r w:rsidRPr="00CD354A">
        <w:rPr>
          <w:lang w:val="lt-LT"/>
        </w:rPr>
        <w:t xml:space="preserve"> tirpalo, 0,9</w:t>
      </w:r>
      <w:r>
        <w:rPr>
          <w:lang w:val="lt-LT"/>
        </w:rPr>
        <w:t xml:space="preserve"> proc.</w:t>
      </w:r>
      <w:r w:rsidRPr="00CD354A">
        <w:rPr>
          <w:lang w:val="lt-LT"/>
        </w:rPr>
        <w:t xml:space="preserve"> natrio chlorido injekcinio tirpalo arba steriliame injekciniame vandenyje, po to praskiesti 20 ml tokio pat tirpalo ir suvartoti per 15</w:t>
      </w:r>
      <w:r w:rsidRPr="00CD354A">
        <w:rPr>
          <w:lang w:val="lt-LT"/>
        </w:rPr>
        <w:noBreakHyphen/>
        <w:t>60 minučių.</w:t>
      </w:r>
    </w:p>
    <w:p w:rsidR="00AC2C19" w:rsidRPr="00CD354A" w:rsidRDefault="00AC2C19" w:rsidP="00AC2C19">
      <w:pPr>
        <w:spacing w:line="240" w:lineRule="auto"/>
        <w:rPr>
          <w:lang w:val="lt-LT"/>
        </w:rPr>
      </w:pPr>
    </w:p>
    <w:p w:rsidR="00AC2C19" w:rsidRPr="00CD354A" w:rsidRDefault="00AC2C19" w:rsidP="00AC2C19">
      <w:pPr>
        <w:spacing w:line="240" w:lineRule="auto"/>
        <w:rPr>
          <w:i/>
          <w:iCs/>
          <w:lang w:val="lt-LT"/>
        </w:rPr>
      </w:pPr>
      <w:proofErr w:type="spellStart"/>
      <w:r w:rsidRPr="00CD354A">
        <w:rPr>
          <w:i/>
          <w:iCs/>
          <w:lang w:val="lt-LT"/>
        </w:rPr>
        <w:t>Ringerio</w:t>
      </w:r>
      <w:proofErr w:type="spellEnd"/>
      <w:r w:rsidRPr="00CD354A">
        <w:rPr>
          <w:i/>
          <w:iCs/>
          <w:lang w:val="lt-LT"/>
        </w:rPr>
        <w:t xml:space="preserve"> laktato tirpalas</w:t>
      </w:r>
    </w:p>
    <w:p w:rsidR="00AC2C19" w:rsidRPr="00CD354A" w:rsidRDefault="00AC2C19" w:rsidP="00AC2C19">
      <w:pPr>
        <w:spacing w:line="240" w:lineRule="auto"/>
        <w:rPr>
          <w:lang w:val="lt-LT"/>
        </w:rPr>
      </w:pPr>
      <w:proofErr w:type="spellStart"/>
      <w:r w:rsidRPr="00CD354A">
        <w:rPr>
          <w:lang w:val="lt-LT"/>
        </w:rPr>
        <w:t>Ringerio</w:t>
      </w:r>
      <w:proofErr w:type="spellEnd"/>
      <w:r w:rsidRPr="00CD354A">
        <w:rPr>
          <w:lang w:val="lt-LT"/>
        </w:rPr>
        <w:t xml:space="preserve"> laktato tirpalas yra tinkamas skiriant infuziją į veną, tačiau netinka pradiniam paruošimui (tirpinimui).</w:t>
      </w: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r w:rsidRPr="00CD354A">
        <w:rPr>
          <w:lang w:val="lt-LT"/>
        </w:rPr>
        <w:t xml:space="preserve">Tirpinimui reikia naudoti sterilų injekcinį vandenį. Taikoma dviejų pakopų tirpinimo procedūra, kuriai naudojamas sterilus injekcinis vanduo ir gautas tirpalas vėliau praskiedžiamas </w:t>
      </w:r>
      <w:proofErr w:type="spellStart"/>
      <w:r w:rsidRPr="00CD354A">
        <w:rPr>
          <w:lang w:val="lt-LT"/>
        </w:rPr>
        <w:t>Ringerio</w:t>
      </w:r>
      <w:proofErr w:type="spellEnd"/>
      <w:r w:rsidRPr="00CD354A">
        <w:rPr>
          <w:lang w:val="lt-LT"/>
        </w:rPr>
        <w:t xml:space="preserve"> laktato tirpalu.</w:t>
      </w:r>
    </w:p>
    <w:p w:rsidR="00AC2C19" w:rsidRPr="00CD354A" w:rsidRDefault="00AC2C19" w:rsidP="00AC2C19">
      <w:pPr>
        <w:spacing w:line="240" w:lineRule="auto"/>
        <w:rPr>
          <w:lang w:val="lt-LT"/>
        </w:rPr>
      </w:pPr>
    </w:p>
    <w:p w:rsidR="00AC2C19" w:rsidRPr="00CD354A" w:rsidRDefault="00AC2C19" w:rsidP="00AC2C19">
      <w:pPr>
        <w:spacing w:line="240" w:lineRule="auto"/>
        <w:rPr>
          <w:lang w:val="lt-LT"/>
        </w:rPr>
      </w:pPr>
      <w:r w:rsidRPr="00CD354A">
        <w:rPr>
          <w:lang w:val="lt-LT"/>
        </w:rPr>
        <w:t xml:space="preserve">Ruošiant tirpalą infuzijai į veną, kiekvieno </w:t>
      </w:r>
      <w:r>
        <w:rPr>
          <w:lang w:val="lt-LT"/>
        </w:rPr>
        <w:t>flakono</w:t>
      </w:r>
      <w:r w:rsidRPr="00CD354A">
        <w:rPr>
          <w:lang w:val="lt-LT"/>
        </w:rPr>
        <w:t xml:space="preserve"> turinį reikia paruošti kaip nurodyta anksčiau ir suvartoti per ne trumpiau kaip 3 minutes.</w:t>
      </w:r>
    </w:p>
    <w:p w:rsidR="00AC2C19" w:rsidRPr="00CD354A" w:rsidRDefault="00AC2C19" w:rsidP="00AC2C19">
      <w:pPr>
        <w:spacing w:line="240" w:lineRule="auto"/>
        <w:rPr>
          <w:lang w:val="lt-LT"/>
        </w:rPr>
      </w:pPr>
      <w:r w:rsidRPr="00CD354A">
        <w:rPr>
          <w:lang w:val="lt-LT"/>
        </w:rPr>
        <w:t>Ištirpinus pagal nurodytas instrukcijas, gaunamas skaidrus tirpalas, kuriame negali būti neištirpusių kietų dalelių ir pašalinių medžiagų.</w:t>
      </w:r>
    </w:p>
    <w:p w:rsidR="00AC2C19" w:rsidRPr="00CD354A" w:rsidRDefault="00AC2C19" w:rsidP="00AC2C19">
      <w:pPr>
        <w:spacing w:line="240" w:lineRule="auto"/>
        <w:rPr>
          <w:lang w:val="lt-LT"/>
        </w:rPr>
      </w:pPr>
    </w:p>
    <w:p w:rsidR="00AC2C19" w:rsidRPr="00CD354A" w:rsidRDefault="00AC2C19" w:rsidP="00AC2C19">
      <w:pPr>
        <w:spacing w:line="240" w:lineRule="auto"/>
        <w:rPr>
          <w:i/>
          <w:iCs/>
          <w:lang w:val="lt-LT"/>
        </w:rPr>
      </w:pPr>
      <w:r w:rsidRPr="00CD354A">
        <w:rPr>
          <w:b/>
          <w:lang w:val="lt-LT"/>
        </w:rPr>
        <w:t>Vartojimas į raumenis</w:t>
      </w:r>
    </w:p>
    <w:p w:rsidR="00AC2C19" w:rsidRPr="00CD354A" w:rsidRDefault="00AC2C19" w:rsidP="00AC2C19">
      <w:pPr>
        <w:spacing w:line="240" w:lineRule="auto"/>
        <w:rPr>
          <w:i/>
          <w:iCs/>
          <w:lang w:val="lt-LT"/>
        </w:rPr>
      </w:pPr>
      <w:proofErr w:type="spellStart"/>
      <w:r w:rsidRPr="00CD354A">
        <w:rPr>
          <w:i/>
          <w:iCs/>
          <w:lang w:val="lt-LT"/>
        </w:rPr>
        <w:t>Lidokainas</w:t>
      </w:r>
      <w:proofErr w:type="spellEnd"/>
    </w:p>
    <w:p w:rsidR="00AC2C19" w:rsidRPr="00CD354A" w:rsidRDefault="00AC2C19" w:rsidP="00AC2C19">
      <w:pPr>
        <w:spacing w:line="240" w:lineRule="auto"/>
        <w:rPr>
          <w:lang w:val="lt-LT"/>
        </w:rPr>
      </w:pPr>
      <w:r w:rsidRPr="00CD354A">
        <w:rPr>
          <w:lang w:val="lt-LT"/>
        </w:rPr>
        <w:t xml:space="preserve">Tirpinimui reikia sunaudoti 6,7 ml sterilaus injekcinio vandens. Taikoma dviejų pakopų tirpinimo procedūra, kuriai naudojamas sterilus injekcinis vanduo ir gautas tirpalas vėliau praskiedžiamas 2 </w:t>
      </w:r>
      <w:r>
        <w:rPr>
          <w:lang w:val="lt-LT"/>
        </w:rPr>
        <w:t>proc.</w:t>
      </w:r>
      <w:r w:rsidRPr="00CD354A">
        <w:rPr>
          <w:lang w:val="lt-LT"/>
        </w:rPr>
        <w:t xml:space="preserve"> </w:t>
      </w:r>
      <w:proofErr w:type="spellStart"/>
      <w:r w:rsidRPr="00CD354A">
        <w:rPr>
          <w:lang w:val="lt-LT"/>
        </w:rPr>
        <w:t>lidokaino</w:t>
      </w:r>
      <w:proofErr w:type="spellEnd"/>
      <w:r w:rsidRPr="00CD354A">
        <w:rPr>
          <w:lang w:val="lt-LT"/>
        </w:rPr>
        <w:t xml:space="preserve"> tirpalu.</w:t>
      </w:r>
    </w:p>
    <w:p w:rsidR="00AC2C19" w:rsidRPr="00CD354A" w:rsidRDefault="00AC2C19" w:rsidP="00AC2C19">
      <w:pPr>
        <w:spacing w:line="240" w:lineRule="auto"/>
        <w:rPr>
          <w:lang w:val="lt-LT"/>
        </w:rPr>
      </w:pPr>
      <w:r w:rsidRPr="00CD354A">
        <w:rPr>
          <w:lang w:val="lt-LT"/>
        </w:rPr>
        <w:t>Ištirpinus pagal nurodytas instrukcijas, gaunamas skaidrus tirpalas, kuriame negali būti neištirpusių kietų dalelių ir pašalinių medžiagų.</w:t>
      </w:r>
    </w:p>
    <w:p w:rsidR="00AC2C19" w:rsidRPr="00CD354A" w:rsidRDefault="00AC2C19" w:rsidP="00AC2C19">
      <w:pPr>
        <w:spacing w:line="240" w:lineRule="auto"/>
        <w:rPr>
          <w:lang w:val="lt-LT"/>
        </w:rPr>
      </w:pPr>
    </w:p>
    <w:p w:rsidR="00AC2C19" w:rsidRPr="00CD354A" w:rsidRDefault="00AC2C19" w:rsidP="00AC2C19">
      <w:pPr>
        <w:spacing w:line="240" w:lineRule="auto"/>
        <w:rPr>
          <w:b/>
          <w:lang w:val="lt-LT"/>
        </w:rPr>
      </w:pPr>
      <w:r w:rsidRPr="00CD354A">
        <w:rPr>
          <w:b/>
          <w:lang w:val="lt-LT"/>
        </w:rPr>
        <w:t>Vartojimas pacientams, kuriems yra inkstų funkcijos sutrikimas</w:t>
      </w:r>
    </w:p>
    <w:p w:rsidR="00AC2C19" w:rsidRPr="00CD354A" w:rsidRDefault="00AC2C19" w:rsidP="00AC2C19">
      <w:pPr>
        <w:spacing w:line="240" w:lineRule="auto"/>
        <w:rPr>
          <w:lang w:val="lt-LT"/>
        </w:rPr>
      </w:pPr>
      <w:r w:rsidRPr="00CD354A">
        <w:rPr>
          <w:lang w:val="lt-LT"/>
        </w:rPr>
        <w:t xml:space="preserve">Pacientams, kurių </w:t>
      </w:r>
      <w:proofErr w:type="spellStart"/>
      <w:r w:rsidRPr="00CD354A">
        <w:rPr>
          <w:lang w:val="lt-LT"/>
        </w:rPr>
        <w:t>kreatinino</w:t>
      </w:r>
      <w:proofErr w:type="spellEnd"/>
      <w:r w:rsidRPr="00CD354A">
        <w:rPr>
          <w:lang w:val="lt-LT"/>
        </w:rPr>
        <w:t xml:space="preserve"> klirensas yra mažesnis kaip 30 ml/min., reikia keisti </w:t>
      </w:r>
      <w:proofErr w:type="spellStart"/>
      <w:r w:rsidRPr="00CD354A">
        <w:rPr>
          <w:lang w:val="lt-LT"/>
        </w:rPr>
        <w:t>sulbaktamo</w:t>
      </w:r>
      <w:proofErr w:type="spellEnd"/>
      <w:r>
        <w:rPr>
          <w:lang w:val="lt-LT"/>
        </w:rPr>
        <w:t xml:space="preserve"> ir </w:t>
      </w:r>
      <w:proofErr w:type="spellStart"/>
      <w:r w:rsidRPr="00CD354A">
        <w:rPr>
          <w:lang w:val="lt-LT"/>
        </w:rPr>
        <w:t>cefoperazono</w:t>
      </w:r>
      <w:proofErr w:type="spellEnd"/>
      <w:r w:rsidRPr="00CD354A">
        <w:rPr>
          <w:lang w:val="lt-LT"/>
        </w:rPr>
        <w:t xml:space="preserve"> dozavimo planą, kad būtų kompensuojamas </w:t>
      </w:r>
      <w:proofErr w:type="spellStart"/>
      <w:r w:rsidRPr="00CD354A">
        <w:rPr>
          <w:lang w:val="lt-LT"/>
        </w:rPr>
        <w:t>sulbaktamo</w:t>
      </w:r>
      <w:proofErr w:type="spellEnd"/>
      <w:r w:rsidRPr="00CD354A">
        <w:rPr>
          <w:lang w:val="lt-LT"/>
        </w:rPr>
        <w:t xml:space="preserve"> klirenso sumažėjimas. Pacientams, kurių </w:t>
      </w:r>
      <w:proofErr w:type="spellStart"/>
      <w:r w:rsidRPr="00CD354A">
        <w:rPr>
          <w:lang w:val="lt-LT"/>
        </w:rPr>
        <w:t>kreatinino</w:t>
      </w:r>
      <w:proofErr w:type="spellEnd"/>
      <w:r w:rsidRPr="00CD354A">
        <w:rPr>
          <w:lang w:val="lt-LT"/>
        </w:rPr>
        <w:t xml:space="preserve"> klirensas yra 15</w:t>
      </w:r>
      <w:r w:rsidRPr="00CD354A">
        <w:rPr>
          <w:lang w:val="lt-LT"/>
        </w:rPr>
        <w:noBreakHyphen/>
        <w:t xml:space="preserve">30 ml/min., galima suvartoti ne daugiau kaip po 1 g </w:t>
      </w:r>
      <w:proofErr w:type="spellStart"/>
      <w:r w:rsidRPr="00CD354A">
        <w:rPr>
          <w:lang w:val="lt-LT"/>
        </w:rPr>
        <w:t>sulbaktamo</w:t>
      </w:r>
      <w:proofErr w:type="spellEnd"/>
      <w:r w:rsidRPr="00CD354A">
        <w:rPr>
          <w:lang w:val="lt-LT"/>
        </w:rPr>
        <w:t xml:space="preserve"> kas 12 valandų (didžiausia paros dozė yra 2 g </w:t>
      </w:r>
      <w:proofErr w:type="spellStart"/>
      <w:r w:rsidRPr="00CD354A">
        <w:rPr>
          <w:lang w:val="lt-LT"/>
        </w:rPr>
        <w:t>sulbaktamo</w:t>
      </w:r>
      <w:proofErr w:type="spellEnd"/>
      <w:r w:rsidRPr="00CD354A">
        <w:rPr>
          <w:lang w:val="lt-LT"/>
        </w:rPr>
        <w:t xml:space="preserve">), o pacientams, kurių </w:t>
      </w:r>
      <w:proofErr w:type="spellStart"/>
      <w:r w:rsidRPr="00CD354A">
        <w:rPr>
          <w:lang w:val="lt-LT"/>
        </w:rPr>
        <w:t>kreatinino</w:t>
      </w:r>
      <w:proofErr w:type="spellEnd"/>
      <w:r w:rsidRPr="00CD354A">
        <w:rPr>
          <w:lang w:val="lt-LT"/>
        </w:rPr>
        <w:t xml:space="preserve"> klirensas yra mažesnis kaip 15 ml/min., galima suvartoti ne daugiau kaip po 500 mg </w:t>
      </w:r>
      <w:proofErr w:type="spellStart"/>
      <w:r w:rsidRPr="00CD354A">
        <w:rPr>
          <w:lang w:val="lt-LT"/>
        </w:rPr>
        <w:t>sulbaktamo</w:t>
      </w:r>
      <w:proofErr w:type="spellEnd"/>
      <w:r w:rsidRPr="00CD354A">
        <w:rPr>
          <w:lang w:val="lt-LT"/>
        </w:rPr>
        <w:t xml:space="preserve"> kas 12 valandų (didžiausia paros dozė yra 1 g </w:t>
      </w:r>
      <w:proofErr w:type="spellStart"/>
      <w:r w:rsidRPr="00CD354A">
        <w:rPr>
          <w:lang w:val="lt-LT"/>
        </w:rPr>
        <w:t>sulbaktamo</w:t>
      </w:r>
      <w:proofErr w:type="spellEnd"/>
      <w:r w:rsidRPr="00CD354A">
        <w:rPr>
          <w:lang w:val="lt-LT"/>
        </w:rPr>
        <w:t xml:space="preserve">). Sunkių infekcinių ligų atveju gali tekti papildomai skirti </w:t>
      </w:r>
      <w:proofErr w:type="spellStart"/>
      <w:r w:rsidRPr="00CD354A">
        <w:rPr>
          <w:lang w:val="lt-LT"/>
        </w:rPr>
        <w:t>cefoperazono</w:t>
      </w:r>
      <w:proofErr w:type="spellEnd"/>
      <w:r w:rsidRPr="00CD354A">
        <w:rPr>
          <w:lang w:val="lt-LT"/>
        </w:rPr>
        <w:t xml:space="preserve">. Hemodializė reikšmingai keičia </w:t>
      </w:r>
      <w:proofErr w:type="spellStart"/>
      <w:r w:rsidRPr="00CD354A">
        <w:rPr>
          <w:lang w:val="lt-LT"/>
        </w:rPr>
        <w:t>sulbaktamo</w:t>
      </w:r>
      <w:proofErr w:type="spellEnd"/>
      <w:r w:rsidRPr="00CD354A">
        <w:rPr>
          <w:lang w:val="lt-LT"/>
        </w:rPr>
        <w:t xml:space="preserve"> </w:t>
      </w:r>
      <w:proofErr w:type="spellStart"/>
      <w:r w:rsidRPr="00CD354A">
        <w:rPr>
          <w:lang w:val="lt-LT"/>
        </w:rPr>
        <w:t>farmakokinetines</w:t>
      </w:r>
      <w:proofErr w:type="spellEnd"/>
      <w:r w:rsidRPr="00CD354A">
        <w:rPr>
          <w:lang w:val="lt-LT"/>
        </w:rPr>
        <w:t xml:space="preserve"> savybes. </w:t>
      </w:r>
      <w:proofErr w:type="spellStart"/>
      <w:r w:rsidRPr="00CD354A">
        <w:rPr>
          <w:lang w:val="lt-LT"/>
        </w:rPr>
        <w:t>Cefoperazono</w:t>
      </w:r>
      <w:proofErr w:type="spellEnd"/>
      <w:r w:rsidRPr="00CD354A">
        <w:rPr>
          <w:lang w:val="lt-LT"/>
        </w:rPr>
        <w:t xml:space="preserve"> pusinės eliminacijos iš plazmos periodas hemodializės metu pakinta nežymiai. Taigi dozuojant vaistinį preparatą, reikia atsižvelgti į dializės laikotarpį.</w:t>
      </w:r>
    </w:p>
    <w:p w:rsidR="00AC2C19" w:rsidRPr="00CD354A" w:rsidRDefault="00AC2C19" w:rsidP="00AC2C19">
      <w:pPr>
        <w:spacing w:line="240" w:lineRule="auto"/>
        <w:rPr>
          <w:lang w:val="lt-LT"/>
        </w:rPr>
      </w:pPr>
    </w:p>
    <w:p w:rsidR="00AC2C19" w:rsidRPr="00CD354A" w:rsidRDefault="00AC2C19" w:rsidP="00AC2C19">
      <w:pPr>
        <w:autoSpaceDE w:val="0"/>
        <w:autoSpaceDN w:val="0"/>
        <w:adjustRightInd w:val="0"/>
        <w:spacing w:line="240" w:lineRule="auto"/>
        <w:rPr>
          <w:b/>
          <w:bCs/>
          <w:lang w:val="lt-LT"/>
        </w:rPr>
      </w:pPr>
      <w:r w:rsidRPr="00CD354A">
        <w:rPr>
          <w:b/>
          <w:bCs/>
          <w:lang w:val="lt-LT"/>
        </w:rPr>
        <w:t>Nesuderinamumas</w:t>
      </w:r>
    </w:p>
    <w:p w:rsidR="00AC2C19" w:rsidRPr="00CD354A" w:rsidRDefault="00AC2C19" w:rsidP="00AC2C19">
      <w:pPr>
        <w:autoSpaceDE w:val="0"/>
        <w:autoSpaceDN w:val="0"/>
        <w:adjustRightInd w:val="0"/>
        <w:spacing w:line="240" w:lineRule="auto"/>
        <w:rPr>
          <w:i/>
          <w:iCs/>
          <w:lang w:val="lt-LT"/>
        </w:rPr>
      </w:pPr>
      <w:proofErr w:type="spellStart"/>
      <w:r w:rsidRPr="00CD354A">
        <w:rPr>
          <w:i/>
          <w:iCs/>
          <w:lang w:val="lt-LT"/>
        </w:rPr>
        <w:t>Aminoglikozidai</w:t>
      </w:r>
      <w:proofErr w:type="spellEnd"/>
    </w:p>
    <w:p w:rsidR="00AC2C19" w:rsidRPr="00CD354A" w:rsidRDefault="00AC2C19" w:rsidP="00AC2C19">
      <w:pPr>
        <w:pStyle w:val="BTEMEASMCA"/>
      </w:pPr>
      <w:r w:rsidRPr="00CD354A">
        <w:t>Negalima tiesiogiai maišyti sulbaktamo</w:t>
      </w:r>
      <w:r>
        <w:t xml:space="preserve"> ir </w:t>
      </w:r>
      <w:r w:rsidRPr="00CD354A">
        <w:t>cefoperazono ir aminoglikozidų tirpalų, nes šie tirpalai yra fiziškai nesuderinami. Jeigu nusprendžiama, kad reikia kartu gydyti sulbaktamu</w:t>
      </w:r>
      <w:r>
        <w:t xml:space="preserve"> ir </w:t>
      </w:r>
      <w:r w:rsidRPr="00CD354A">
        <w:t>cefoperazonu ir aminoglikozidu, tai galima padaryti nuosekliai leidžiant infuzijas į veną su pertraukomis su sąlyga, kad bus naudojami atskiri antriniai vamzdeliai į veną, o pagrindinis vamzdelis tarp skirtingų vaistinių preparatų dozių bus tinkamai praplautas patvirtintu tirpalu. Be to, sulbaktamą</w:t>
      </w:r>
      <w:r>
        <w:t xml:space="preserve"> ir </w:t>
      </w:r>
      <w:r w:rsidRPr="00CD354A">
        <w:t>cefoperazoną rekomenduojama vartoti visą parą tuo metu, kai įmanoma nevartoti aminoglikozido.</w:t>
      </w:r>
    </w:p>
    <w:p w:rsidR="00AC2C19" w:rsidRPr="00CD354A" w:rsidRDefault="00AC2C19" w:rsidP="00AC2C19">
      <w:pPr>
        <w:pStyle w:val="BTEMEASMCA"/>
      </w:pPr>
    </w:p>
    <w:p w:rsidR="00AC2C19" w:rsidRPr="00CD354A" w:rsidRDefault="00AC2C19" w:rsidP="00AC2C19">
      <w:pPr>
        <w:autoSpaceDE w:val="0"/>
        <w:autoSpaceDN w:val="0"/>
        <w:adjustRightInd w:val="0"/>
        <w:spacing w:line="240" w:lineRule="auto"/>
        <w:rPr>
          <w:i/>
          <w:iCs/>
          <w:lang w:val="lt-LT"/>
        </w:rPr>
      </w:pPr>
      <w:proofErr w:type="spellStart"/>
      <w:r w:rsidRPr="00CD354A">
        <w:rPr>
          <w:i/>
          <w:iCs/>
          <w:lang w:val="lt-LT"/>
        </w:rPr>
        <w:t>Ringerio</w:t>
      </w:r>
      <w:proofErr w:type="spellEnd"/>
      <w:r w:rsidRPr="00CD354A">
        <w:rPr>
          <w:i/>
          <w:iCs/>
          <w:lang w:val="lt-LT"/>
        </w:rPr>
        <w:t xml:space="preserve"> laktato tirpalas</w:t>
      </w:r>
    </w:p>
    <w:p w:rsidR="00AC2C19" w:rsidRPr="00CD354A" w:rsidRDefault="00AC2C19" w:rsidP="00AC2C19">
      <w:pPr>
        <w:pStyle w:val="BTEMEASMCA"/>
      </w:pPr>
      <w:r w:rsidRPr="00CD354A">
        <w:t>Reikia vengti tirpinti miltelius Ringerio laktato tirpale, nes įrodyta, kad toks mišinys yra nesuderinamas. Vis dėlto taikant dviejų pakopų tirpinimo procedūrą, kurios metu iš pradžių milteliai ištirpinami steriliame injekciniame vandenyje, gaunamas mišinys, kuris yra suderinamas su vėliau praskiedimui naudojamu Ringerio laktato tirpalu (žr. anksčiau).</w:t>
      </w:r>
    </w:p>
    <w:p w:rsidR="00AC2C19" w:rsidRPr="00CD354A" w:rsidRDefault="00AC2C19" w:rsidP="00AC2C19">
      <w:pPr>
        <w:pStyle w:val="BTEMEASMCA"/>
      </w:pPr>
    </w:p>
    <w:p w:rsidR="00AC2C19" w:rsidRPr="00CD354A" w:rsidRDefault="00AC2C19" w:rsidP="00AC2C19">
      <w:pPr>
        <w:autoSpaceDE w:val="0"/>
        <w:autoSpaceDN w:val="0"/>
        <w:adjustRightInd w:val="0"/>
        <w:spacing w:line="240" w:lineRule="auto"/>
        <w:rPr>
          <w:i/>
          <w:iCs/>
          <w:lang w:val="lt-LT"/>
        </w:rPr>
      </w:pPr>
      <w:proofErr w:type="spellStart"/>
      <w:r w:rsidRPr="00CD354A">
        <w:rPr>
          <w:i/>
          <w:iCs/>
          <w:lang w:val="lt-LT"/>
        </w:rPr>
        <w:t>Lidokainas</w:t>
      </w:r>
      <w:proofErr w:type="spellEnd"/>
    </w:p>
    <w:p w:rsidR="00AC2C19" w:rsidRPr="00CD354A" w:rsidRDefault="00AC2C19" w:rsidP="00AC2C19">
      <w:pPr>
        <w:pStyle w:val="BTEMEASMCA"/>
      </w:pPr>
      <w:r w:rsidRPr="00CD354A">
        <w:t>Reikia vengti tirpinti miltelius 2</w:t>
      </w:r>
      <w:r>
        <w:t xml:space="preserve"> proc.</w:t>
      </w:r>
      <w:r w:rsidRPr="00CD354A">
        <w:t xml:space="preserve"> lidokaino HCl tirpale, nes įrodyta, kad toks mišinys yra nesuderinamas. Vis dėlto taikant dviejų pakopų tirpinimo procedūrą, kurios metu iš pradžių milteliai ištirpinami steriliame injekciniame vandenyje, gaunamas mišinys, kuris yra suderinamas su vėliau praskiedimui naudojamu 2</w:t>
      </w:r>
      <w:r>
        <w:t xml:space="preserve"> proc.</w:t>
      </w:r>
      <w:r w:rsidRPr="00CD354A">
        <w:t xml:space="preserve"> lidokaino HCl tirpalu (žr. anksčiau).</w:t>
      </w:r>
    </w:p>
    <w:p w:rsidR="00AC2C19" w:rsidRPr="00CD354A" w:rsidRDefault="00AC2C19" w:rsidP="00AC2C19">
      <w:pPr>
        <w:tabs>
          <w:tab w:val="left" w:pos="567"/>
        </w:tabs>
        <w:spacing w:line="240" w:lineRule="auto"/>
        <w:rPr>
          <w:lang w:val="lt-LT"/>
        </w:rPr>
      </w:pPr>
      <w:bookmarkStart w:id="105" w:name="_GoBack"/>
      <w:bookmarkEnd w:id="105"/>
      <w:permStart w:id="1106975069" w:edGrp="everyone"/>
      <w:permEnd w:id="1106975069"/>
    </w:p>
    <w:sectPr w:rsidR="00AC2C19" w:rsidRPr="00CD354A" w:rsidSect="00AC2C19">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68C" w:rsidRDefault="00FA168C" w:rsidP="00AC2C19">
      <w:pPr>
        <w:spacing w:line="240" w:lineRule="auto"/>
      </w:pPr>
      <w:r>
        <w:separator/>
      </w:r>
    </w:p>
  </w:endnote>
  <w:endnote w:type="continuationSeparator" w:id="0">
    <w:p w:rsidR="00FA168C" w:rsidRDefault="00FA168C" w:rsidP="00AC2C19">
      <w:pPr>
        <w:spacing w:line="240" w:lineRule="auto"/>
      </w:pPr>
      <w:r>
        <w:continuationSeparator/>
      </w:r>
    </w:p>
  </w:endnote>
  <w:endnote w:type="continuationNotice" w:id="1">
    <w:p w:rsidR="00FA168C" w:rsidRDefault="00FA16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659" w:rsidRDefault="00431659" w:rsidP="00AC2C19">
    <w:pPr>
      <w:pStyle w:val="Porat"/>
      <w:framePr w:wrap="around" w:vAnchor="text" w:hAnchor="margin" w:xAlign="right" w:y="1"/>
      <w:rPr>
        <w:rStyle w:val="Puslapionumeris"/>
        <w:rFonts w:eastAsia="Calibri"/>
        <w:sz w:val="22"/>
        <w:szCs w:val="22"/>
        <w:lang w:val="en-US" w:eastAsia="en-US"/>
      </w:rPr>
    </w:pPr>
    <w:r>
      <w:rPr>
        <w:rStyle w:val="Puslapionumeris"/>
      </w:rPr>
      <w:fldChar w:fldCharType="begin"/>
    </w:r>
    <w:r>
      <w:rPr>
        <w:rStyle w:val="Puslapionumeris"/>
      </w:rPr>
      <w:instrText xml:space="preserve">PAGE  </w:instrText>
    </w:r>
    <w:r>
      <w:rPr>
        <w:rStyle w:val="Puslapionumeris"/>
      </w:rPr>
      <w:fldChar w:fldCharType="end"/>
    </w:r>
  </w:p>
  <w:p w:rsidR="00431659" w:rsidRDefault="00431659" w:rsidP="00AC2C1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659" w:rsidRDefault="00431659" w:rsidP="00AC2C19">
    <w:pPr>
      <w:pStyle w:val="Porat"/>
      <w:framePr w:wrap="around" w:vAnchor="text" w:hAnchor="margin" w:xAlign="right" w:y="1"/>
      <w:rPr>
        <w:rStyle w:val="Puslapionumeris"/>
        <w:rFonts w:eastAsia="Calibri"/>
        <w:sz w:val="22"/>
        <w:szCs w:val="22"/>
        <w:lang w:val="en-US" w:eastAsia="en-US"/>
      </w:rPr>
    </w:pPr>
    <w:r>
      <w:rPr>
        <w:rStyle w:val="Puslapionumeris"/>
      </w:rPr>
      <w:fldChar w:fldCharType="begin"/>
    </w:r>
    <w:r>
      <w:rPr>
        <w:rStyle w:val="Puslapionumeris"/>
      </w:rPr>
      <w:instrText xml:space="preserve">PAGE  </w:instrText>
    </w:r>
    <w:r>
      <w:rPr>
        <w:rStyle w:val="Puslapionumeris"/>
      </w:rPr>
      <w:fldChar w:fldCharType="separate"/>
    </w:r>
    <w:r w:rsidR="00A241F0">
      <w:rPr>
        <w:rStyle w:val="Puslapionumeris"/>
        <w:noProof/>
      </w:rPr>
      <w:t>25</w:t>
    </w:r>
    <w:r>
      <w:rPr>
        <w:rStyle w:val="Puslapionumeris"/>
      </w:rPr>
      <w:fldChar w:fldCharType="end"/>
    </w:r>
  </w:p>
  <w:p w:rsidR="00431659" w:rsidRDefault="00431659" w:rsidP="00AC2C1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68C" w:rsidRDefault="00FA168C" w:rsidP="00AC2C19">
      <w:pPr>
        <w:spacing w:line="240" w:lineRule="auto"/>
      </w:pPr>
      <w:r>
        <w:separator/>
      </w:r>
    </w:p>
  </w:footnote>
  <w:footnote w:type="continuationSeparator" w:id="0">
    <w:p w:rsidR="00FA168C" w:rsidRDefault="00FA168C" w:rsidP="00AC2C19">
      <w:pPr>
        <w:spacing w:line="240" w:lineRule="auto"/>
      </w:pPr>
      <w:r>
        <w:continuationSeparator/>
      </w:r>
    </w:p>
  </w:footnote>
  <w:footnote w:type="continuationNotice" w:id="1">
    <w:p w:rsidR="00FA168C" w:rsidRDefault="00FA168C">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77E3B1C"/>
    <w:multiLevelType w:val="hybridMultilevel"/>
    <w:tmpl w:val="D9C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61D1F"/>
    <w:multiLevelType w:val="hybridMultilevel"/>
    <w:tmpl w:val="D702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lvlOverride w:ilvl="0">
      <w:lvl w:ilvl="0">
        <w:start w:val="1"/>
        <w:numFmt w:val="bullet"/>
        <w:lvlText w:val="-"/>
        <w:lvlJc w:val="left"/>
        <w:pPr>
          <w:ind w:left="360" w:hanging="360"/>
        </w:p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fSILXyUZiPg0WB85JqlBx5Wu+jHh9VxyeKKeIOR5UurmL/R6va5dZInAs60nrnSOFlbFfJN2Nn5nWZWjSAlCxg==" w:salt="9y1ViJS5bntnz/yF1PoBB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900"/>
    <w:rsid w:val="000B7544"/>
    <w:rsid w:val="00193679"/>
    <w:rsid w:val="001E2DD2"/>
    <w:rsid w:val="00232DE5"/>
    <w:rsid w:val="002A5700"/>
    <w:rsid w:val="002B4B01"/>
    <w:rsid w:val="00402FAA"/>
    <w:rsid w:val="00431659"/>
    <w:rsid w:val="00587638"/>
    <w:rsid w:val="0068795A"/>
    <w:rsid w:val="008D46FC"/>
    <w:rsid w:val="00926E66"/>
    <w:rsid w:val="009E2637"/>
    <w:rsid w:val="009F1FD4"/>
    <w:rsid w:val="009F6900"/>
    <w:rsid w:val="00A241F0"/>
    <w:rsid w:val="00A5398B"/>
    <w:rsid w:val="00A90687"/>
    <w:rsid w:val="00AC2C19"/>
    <w:rsid w:val="00C261DD"/>
    <w:rsid w:val="00C322B2"/>
    <w:rsid w:val="00CF6085"/>
    <w:rsid w:val="00D27F97"/>
    <w:rsid w:val="00D7517E"/>
    <w:rsid w:val="00E409B1"/>
    <w:rsid w:val="00FA168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976D20D-438E-48D6-BAC3-D2BC24D0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6900"/>
    <w:pPr>
      <w:spacing w:line="276" w:lineRule="auto"/>
    </w:pPr>
    <w:rPr>
      <w:rFonts w:ascii="Times New Roman" w:hAnsi="Times New Roman"/>
      <w:sz w:val="22"/>
      <w:szCs w:val="22"/>
      <w:lang w:val="en-US" w:eastAsia="en-US"/>
    </w:rPr>
  </w:style>
  <w:style w:type="paragraph" w:styleId="Antrat1">
    <w:name w:val="heading 1"/>
    <w:basedOn w:val="prastasis"/>
    <w:next w:val="prastasis"/>
    <w:link w:val="Antrat1Diagrama"/>
    <w:uiPriority w:val="9"/>
    <w:qFormat/>
    <w:rsid w:val="009F6900"/>
    <w:pPr>
      <w:keepNext/>
      <w:keepLines/>
      <w:spacing w:before="480"/>
      <w:outlineLvl w:val="0"/>
    </w:pPr>
    <w:rPr>
      <w:rFonts w:ascii="Cambria" w:eastAsia="SimSun" w:hAnsi="Cambria" w:cs="DokChampa"/>
      <w:b/>
      <w:bCs/>
      <w:color w:val="365F91"/>
      <w:sz w:val="28"/>
      <w:szCs w:val="28"/>
      <w:lang w:val="x-none" w:eastAsia="zh-CN" w:bidi="lo-LA"/>
    </w:rPr>
  </w:style>
  <w:style w:type="paragraph" w:styleId="Antrat2">
    <w:name w:val="heading 2"/>
    <w:basedOn w:val="prastasis"/>
    <w:next w:val="prastasis"/>
    <w:link w:val="Antrat2Diagrama"/>
    <w:uiPriority w:val="9"/>
    <w:qFormat/>
    <w:rsid w:val="009F6900"/>
    <w:pPr>
      <w:keepNext/>
      <w:keepLines/>
      <w:spacing w:before="200"/>
      <w:outlineLvl w:val="1"/>
    </w:pPr>
    <w:rPr>
      <w:rFonts w:ascii="Cambria" w:eastAsia="SimSun" w:hAnsi="Cambria" w:cs="DokChampa"/>
      <w:b/>
      <w:bCs/>
      <w:color w:val="4F81BD"/>
      <w:sz w:val="26"/>
      <w:szCs w:val="26"/>
      <w:lang w:val="x-none" w:eastAsia="zh-CN" w:bidi="lo-LA"/>
    </w:rPr>
  </w:style>
  <w:style w:type="paragraph" w:styleId="Antrat3">
    <w:name w:val="heading 3"/>
    <w:basedOn w:val="prastasis"/>
    <w:next w:val="prastasis"/>
    <w:link w:val="Antrat3Diagrama"/>
    <w:uiPriority w:val="9"/>
    <w:qFormat/>
    <w:rsid w:val="009F6900"/>
    <w:pPr>
      <w:keepNext/>
      <w:keepLines/>
      <w:spacing w:before="200"/>
      <w:outlineLvl w:val="2"/>
    </w:pPr>
    <w:rPr>
      <w:rFonts w:ascii="Cambria" w:eastAsia="SimSun" w:hAnsi="Cambria" w:cs="DokChampa"/>
      <w:b/>
      <w:bCs/>
      <w:color w:val="4F81BD"/>
      <w:lang w:val="x-none" w:eastAsia="zh-CN" w:bidi="lo-LA"/>
    </w:rPr>
  </w:style>
  <w:style w:type="paragraph" w:styleId="Antrat4">
    <w:name w:val="heading 4"/>
    <w:basedOn w:val="prastasis"/>
    <w:next w:val="prastasis"/>
    <w:link w:val="Antrat4Diagrama"/>
    <w:uiPriority w:val="9"/>
    <w:qFormat/>
    <w:rsid w:val="006D4570"/>
    <w:pPr>
      <w:keepNext/>
      <w:spacing w:before="240" w:after="60"/>
      <w:outlineLvl w:val="3"/>
    </w:pPr>
    <w:rPr>
      <w:rFonts w:ascii="Calibri" w:eastAsia="Times New Roman" w:hAnsi="Calibri"/>
      <w:b/>
      <w:b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9F6900"/>
    <w:rPr>
      <w:rFonts w:ascii="Cambria" w:eastAsia="SimSun" w:hAnsi="Cambria" w:cs="DokChampa"/>
      <w:b/>
      <w:bCs/>
      <w:color w:val="365F91"/>
      <w:sz w:val="28"/>
      <w:szCs w:val="28"/>
      <w:lang w:eastAsia="zh-CN" w:bidi="lo-LA"/>
    </w:rPr>
  </w:style>
  <w:style w:type="character" w:customStyle="1" w:styleId="Antrat2Diagrama">
    <w:name w:val="Antraštė 2 Diagrama"/>
    <w:link w:val="Antrat2"/>
    <w:uiPriority w:val="9"/>
    <w:rsid w:val="009F6900"/>
    <w:rPr>
      <w:rFonts w:ascii="Cambria" w:eastAsia="SimSun" w:hAnsi="Cambria" w:cs="DokChampa"/>
      <w:b/>
      <w:bCs/>
      <w:color w:val="4F81BD"/>
      <w:sz w:val="26"/>
      <w:szCs w:val="26"/>
      <w:lang w:eastAsia="zh-CN" w:bidi="lo-LA"/>
    </w:rPr>
  </w:style>
  <w:style w:type="character" w:customStyle="1" w:styleId="Antrat3Diagrama">
    <w:name w:val="Antraštė 3 Diagrama"/>
    <w:link w:val="Antrat3"/>
    <w:uiPriority w:val="9"/>
    <w:rsid w:val="009F6900"/>
    <w:rPr>
      <w:rFonts w:ascii="Cambria" w:eastAsia="SimSun" w:hAnsi="Cambria" w:cs="DokChampa"/>
      <w:b/>
      <w:bCs/>
      <w:color w:val="4F81BD"/>
      <w:sz w:val="22"/>
      <w:szCs w:val="22"/>
      <w:lang w:eastAsia="zh-CN" w:bidi="lo-LA"/>
    </w:rPr>
  </w:style>
  <w:style w:type="character" w:styleId="Hipersaitas">
    <w:name w:val="Hyperlink"/>
    <w:uiPriority w:val="99"/>
    <w:rsid w:val="009F6900"/>
    <w:rPr>
      <w:color w:val="0000FF"/>
      <w:u w:val="single"/>
    </w:rPr>
  </w:style>
  <w:style w:type="paragraph" w:customStyle="1" w:styleId="BTEMEASMCA">
    <w:name w:val="BT EMEA_SMCA"/>
    <w:basedOn w:val="prastasis"/>
    <w:link w:val="BTEMEASMCAChar"/>
    <w:autoRedefine/>
    <w:rsid w:val="00D1380D"/>
    <w:pPr>
      <w:tabs>
        <w:tab w:val="left" w:pos="567"/>
      </w:tabs>
      <w:spacing w:line="240" w:lineRule="auto"/>
    </w:pPr>
    <w:rPr>
      <w:rFonts w:eastAsia="Times New Roman"/>
      <w:noProof/>
      <w:lang w:val="x-none" w:eastAsia="zh-CN"/>
    </w:rPr>
  </w:style>
  <w:style w:type="character" w:customStyle="1" w:styleId="BTEMEASMCAChar">
    <w:name w:val="BT EMEA_SMCA Char"/>
    <w:link w:val="BTEMEASMCA"/>
    <w:rsid w:val="00D1380D"/>
    <w:rPr>
      <w:rFonts w:ascii="Times New Roman" w:eastAsia="Times New Roman" w:hAnsi="Times New Roman"/>
      <w:noProof/>
      <w:sz w:val="22"/>
      <w:szCs w:val="22"/>
      <w:lang w:val="x-none" w:eastAsia="zh-CN"/>
    </w:rPr>
  </w:style>
  <w:style w:type="paragraph" w:customStyle="1" w:styleId="TTEMEASMCA">
    <w:name w:val="TT EMEA_SMCA"/>
    <w:basedOn w:val="Antrat1"/>
    <w:link w:val="TTEMEASMCAChar"/>
    <w:autoRedefine/>
    <w:rsid w:val="009F6900"/>
    <w:pPr>
      <w:keepNext w:val="0"/>
      <w:keepLines w:val="0"/>
      <w:tabs>
        <w:tab w:val="left" w:pos="567"/>
      </w:tabs>
      <w:spacing w:before="0" w:line="240" w:lineRule="auto"/>
      <w:ind w:left="567" w:hanging="567"/>
      <w:jc w:val="center"/>
    </w:pPr>
    <w:rPr>
      <w:rFonts w:ascii="Times New Roman" w:eastAsia="Times New Roman" w:hAnsi="Times New Roman" w:cs="Times New Roman"/>
      <w:bCs w:val="0"/>
      <w:caps/>
      <w:color w:val="auto"/>
      <w:sz w:val="20"/>
      <w:szCs w:val="20"/>
      <w:lang w:bidi="ar-SA"/>
    </w:rPr>
  </w:style>
  <w:style w:type="character" w:customStyle="1" w:styleId="TTEMEASMCAChar">
    <w:name w:val="TT EMEA_SMCA Char"/>
    <w:link w:val="TTEMEASMCA"/>
    <w:rsid w:val="009F6900"/>
    <w:rPr>
      <w:rFonts w:ascii="Times New Roman" w:eastAsia="Times New Roman" w:hAnsi="Times New Roman"/>
      <w:b/>
      <w:caps/>
      <w:lang w:eastAsia="zh-CN"/>
    </w:rPr>
  </w:style>
  <w:style w:type="character" w:customStyle="1" w:styleId="PoratDiagrama">
    <w:name w:val="Poraštė Diagrama"/>
    <w:link w:val="Porat"/>
    <w:rsid w:val="009F6900"/>
    <w:rPr>
      <w:rFonts w:ascii="Times New Roman" w:eastAsia="Times New Roman" w:hAnsi="Times New Roman"/>
      <w:lang w:val="lt-LT"/>
    </w:rPr>
  </w:style>
  <w:style w:type="paragraph" w:styleId="Porat">
    <w:name w:val="footer"/>
    <w:basedOn w:val="prastasis"/>
    <w:link w:val="PoratDiagrama"/>
    <w:rsid w:val="009F6900"/>
    <w:pPr>
      <w:tabs>
        <w:tab w:val="center" w:pos="4153"/>
        <w:tab w:val="right" w:pos="8306"/>
      </w:tabs>
      <w:spacing w:line="240" w:lineRule="auto"/>
    </w:pPr>
    <w:rPr>
      <w:rFonts w:eastAsia="Times New Roman"/>
      <w:sz w:val="20"/>
      <w:szCs w:val="20"/>
      <w:lang w:val="lt-LT" w:eastAsia="x-none"/>
    </w:rPr>
  </w:style>
  <w:style w:type="character" w:customStyle="1" w:styleId="FooterChar1">
    <w:name w:val="Footer Char1"/>
    <w:uiPriority w:val="99"/>
    <w:semiHidden/>
    <w:rsid w:val="009F6900"/>
    <w:rPr>
      <w:rFonts w:ascii="Times New Roman" w:hAnsi="Times New Roman"/>
      <w:sz w:val="22"/>
      <w:szCs w:val="22"/>
    </w:rPr>
  </w:style>
  <w:style w:type="paragraph" w:styleId="Komentarotekstas">
    <w:name w:val="annotation text"/>
    <w:basedOn w:val="prastasis"/>
    <w:link w:val="KomentarotekstasDiagrama"/>
    <w:semiHidden/>
    <w:rsid w:val="009F6900"/>
    <w:pPr>
      <w:spacing w:line="240" w:lineRule="auto"/>
    </w:pPr>
    <w:rPr>
      <w:rFonts w:eastAsia="Times New Roman"/>
      <w:sz w:val="20"/>
      <w:szCs w:val="20"/>
      <w:lang w:val="lt-LT" w:eastAsia="x-none"/>
    </w:rPr>
  </w:style>
  <w:style w:type="character" w:customStyle="1" w:styleId="KomentarotekstasDiagrama">
    <w:name w:val="Komentaro tekstas Diagrama"/>
    <w:link w:val="Komentarotekstas"/>
    <w:semiHidden/>
    <w:rsid w:val="009F6900"/>
    <w:rPr>
      <w:rFonts w:ascii="Times New Roman" w:eastAsia="Times New Roman" w:hAnsi="Times New Roman"/>
      <w:lang w:val="lt-LT"/>
    </w:rPr>
  </w:style>
  <w:style w:type="character" w:customStyle="1" w:styleId="AntratsDiagrama">
    <w:name w:val="Antraštės Diagrama"/>
    <w:link w:val="Antrats"/>
    <w:rsid w:val="009F6900"/>
    <w:rPr>
      <w:rFonts w:ascii="Times New Roman" w:eastAsia="Times New Roman" w:hAnsi="Times New Roman"/>
      <w:szCs w:val="24"/>
      <w:lang w:val="lt-LT"/>
    </w:rPr>
  </w:style>
  <w:style w:type="paragraph" w:styleId="Antrats">
    <w:name w:val="header"/>
    <w:basedOn w:val="prastasis"/>
    <w:link w:val="AntratsDiagrama"/>
    <w:rsid w:val="009F6900"/>
    <w:pPr>
      <w:tabs>
        <w:tab w:val="center" w:pos="4819"/>
        <w:tab w:val="right" w:pos="9638"/>
      </w:tabs>
      <w:spacing w:line="240" w:lineRule="auto"/>
    </w:pPr>
    <w:rPr>
      <w:rFonts w:eastAsia="Times New Roman"/>
      <w:sz w:val="20"/>
      <w:szCs w:val="24"/>
      <w:lang w:val="lt-LT" w:eastAsia="x-none"/>
    </w:rPr>
  </w:style>
  <w:style w:type="character" w:customStyle="1" w:styleId="HeaderChar1">
    <w:name w:val="Header Char1"/>
    <w:uiPriority w:val="99"/>
    <w:semiHidden/>
    <w:rsid w:val="009F6900"/>
    <w:rPr>
      <w:rFonts w:ascii="Times New Roman" w:hAnsi="Times New Roman"/>
      <w:sz w:val="22"/>
      <w:szCs w:val="22"/>
    </w:rPr>
  </w:style>
  <w:style w:type="character" w:customStyle="1" w:styleId="apple-style-span">
    <w:name w:val="apple-style-span"/>
    <w:basedOn w:val="Numatytasispastraiposriftas"/>
    <w:rsid w:val="009F6900"/>
  </w:style>
  <w:style w:type="paragraph" w:customStyle="1" w:styleId="PI-1EMEASMCA">
    <w:name w:val="PI-1 EMEA_SMCA"/>
    <w:basedOn w:val="Antrat2"/>
    <w:autoRedefine/>
    <w:rsid w:val="009F6900"/>
    <w:pPr>
      <w:keepLines w:val="0"/>
      <w:tabs>
        <w:tab w:val="left" w:pos="567"/>
      </w:tabs>
      <w:spacing w:before="0" w:line="240" w:lineRule="auto"/>
      <w:ind w:left="567" w:hanging="567"/>
    </w:pPr>
    <w:rPr>
      <w:rFonts w:ascii="Times New Roman" w:eastAsia="Times New Roman" w:hAnsi="Times New Roman" w:cs="Times New Roman"/>
      <w:bCs w:val="0"/>
      <w:color w:val="auto"/>
      <w:sz w:val="22"/>
      <w:szCs w:val="22"/>
      <w:lang w:val="lt-LT" w:eastAsia="en-US" w:bidi="ar-SA"/>
    </w:rPr>
  </w:style>
  <w:style w:type="paragraph" w:customStyle="1" w:styleId="PI-2EMEASMCA">
    <w:name w:val="PI-2 EMEA_SMCA"/>
    <w:basedOn w:val="Antrat3"/>
    <w:autoRedefine/>
    <w:rsid w:val="009F6900"/>
    <w:pPr>
      <w:tabs>
        <w:tab w:val="left" w:pos="567"/>
      </w:tabs>
      <w:spacing w:before="0" w:line="240" w:lineRule="auto"/>
      <w:ind w:left="567" w:hanging="567"/>
    </w:pPr>
    <w:rPr>
      <w:rFonts w:ascii="Times New Roman" w:eastAsia="Times New Roman" w:hAnsi="Times New Roman" w:cs="Times New Roman"/>
      <w:bCs w:val="0"/>
      <w:color w:val="auto"/>
      <w:kern w:val="28"/>
      <w:lang w:val="lt-LT" w:eastAsia="en-US" w:bidi="ar-SA"/>
    </w:rPr>
  </w:style>
  <w:style w:type="paragraph" w:customStyle="1" w:styleId="BTAnIIEMEASMCA">
    <w:name w:val="BT(AnII) EMEA_SMCA"/>
    <w:basedOn w:val="Debesliotekstas"/>
    <w:autoRedefine/>
    <w:rsid w:val="009F6900"/>
    <w:pPr>
      <w:tabs>
        <w:tab w:val="left" w:pos="1701"/>
      </w:tabs>
      <w:ind w:left="1701" w:hanging="567"/>
    </w:pPr>
    <w:rPr>
      <w:rFonts w:ascii="Times New Roman" w:eastAsia="Times New Roman" w:hAnsi="Times New Roman"/>
      <w:b/>
      <w:sz w:val="22"/>
      <w:szCs w:val="22"/>
      <w:lang w:val="en-GB" w:eastAsia="en-US" w:bidi="ar-SA"/>
    </w:rPr>
  </w:style>
  <w:style w:type="paragraph" w:styleId="Debesliotekstas">
    <w:name w:val="Balloon Text"/>
    <w:basedOn w:val="prastasis"/>
    <w:link w:val="DebesliotekstasDiagrama"/>
    <w:uiPriority w:val="99"/>
    <w:semiHidden/>
    <w:unhideWhenUsed/>
    <w:rsid w:val="009F6900"/>
    <w:pPr>
      <w:spacing w:line="240" w:lineRule="auto"/>
    </w:pPr>
    <w:rPr>
      <w:rFonts w:ascii="Tahoma" w:eastAsia="SimSun" w:hAnsi="Tahoma" w:cs="Tahoma"/>
      <w:sz w:val="16"/>
      <w:szCs w:val="16"/>
      <w:lang w:val="x-none" w:eastAsia="zh-CN" w:bidi="lo-LA"/>
    </w:rPr>
  </w:style>
  <w:style w:type="character" w:customStyle="1" w:styleId="DebesliotekstasDiagrama">
    <w:name w:val="Debesėlio tekstas Diagrama"/>
    <w:link w:val="Debesliotekstas"/>
    <w:uiPriority w:val="99"/>
    <w:semiHidden/>
    <w:rsid w:val="009F6900"/>
    <w:rPr>
      <w:rFonts w:ascii="Tahoma" w:eastAsia="SimSun" w:hAnsi="Tahoma" w:cs="Tahoma"/>
      <w:sz w:val="16"/>
      <w:szCs w:val="16"/>
      <w:lang w:eastAsia="zh-CN" w:bidi="lo-LA"/>
    </w:rPr>
  </w:style>
  <w:style w:type="paragraph" w:customStyle="1" w:styleId="BTuEMEASMCA">
    <w:name w:val="BT(u) EMEA_SMCA"/>
    <w:basedOn w:val="BTEMEASMCA"/>
    <w:autoRedefine/>
    <w:rsid w:val="001C2FB4"/>
    <w:rPr>
      <w:u w:val="single"/>
      <w:lang w:eastAsia="en-US"/>
    </w:rPr>
  </w:style>
  <w:style w:type="character" w:customStyle="1" w:styleId="KomentarotemaDiagrama">
    <w:name w:val="Komentaro tema Diagrama"/>
    <w:link w:val="Komentarotema"/>
    <w:uiPriority w:val="99"/>
    <w:rsid w:val="009F6900"/>
    <w:rPr>
      <w:rFonts w:ascii="Times New Roman" w:eastAsia="SimSun" w:hAnsi="Times New Roman" w:cs="DokChampa"/>
      <w:b/>
      <w:bCs/>
      <w:lang w:eastAsia="zh-CN" w:bidi="lo-LA"/>
    </w:rPr>
  </w:style>
  <w:style w:type="paragraph" w:styleId="Komentarotema">
    <w:name w:val="annotation subject"/>
    <w:basedOn w:val="Komentarotekstas"/>
    <w:next w:val="Komentarotekstas"/>
    <w:link w:val="KomentarotemaDiagrama"/>
    <w:uiPriority w:val="99"/>
    <w:unhideWhenUsed/>
    <w:rsid w:val="00326123"/>
    <w:pPr>
      <w:spacing w:after="200"/>
    </w:pPr>
    <w:rPr>
      <w:rFonts w:eastAsia="SimSun" w:cs="DokChampa"/>
      <w:b/>
      <w:bCs/>
      <w:lang w:val="x-none" w:eastAsia="zh-CN" w:bidi="lo-LA"/>
    </w:rPr>
  </w:style>
  <w:style w:type="character" w:customStyle="1" w:styleId="CommentSubjectChar1">
    <w:name w:val="Comment Subject Char1"/>
    <w:uiPriority w:val="99"/>
    <w:semiHidden/>
    <w:rsid w:val="009F6900"/>
    <w:rPr>
      <w:rFonts w:ascii="Times New Roman" w:eastAsia="Times New Roman" w:hAnsi="Times New Roman"/>
      <w:b/>
      <w:bCs/>
      <w:lang w:val="lt-LT"/>
    </w:rPr>
  </w:style>
  <w:style w:type="paragraph" w:customStyle="1" w:styleId="PI-1labEMEASMCA">
    <w:name w:val="PI-1_lab EMEA_SMCA"/>
    <w:basedOn w:val="prastasis"/>
    <w:link w:val="PI-1labEMEASMCAChar"/>
    <w:autoRedefine/>
    <w:rsid w:val="009F6900"/>
    <w:pPr>
      <w:pBdr>
        <w:top w:val="single" w:sz="4" w:space="1" w:color="auto"/>
        <w:left w:val="single" w:sz="4" w:space="4" w:color="auto"/>
        <w:bottom w:val="single" w:sz="4" w:space="1" w:color="auto"/>
        <w:right w:val="single" w:sz="4" w:space="4" w:color="auto"/>
      </w:pBdr>
      <w:tabs>
        <w:tab w:val="left" w:pos="540"/>
      </w:tabs>
      <w:spacing w:line="240" w:lineRule="auto"/>
    </w:pPr>
    <w:rPr>
      <w:rFonts w:eastAsia="Times New Roman"/>
      <w:b/>
      <w:noProof/>
      <w:lang w:val="lt-LT" w:eastAsia="x-none"/>
    </w:rPr>
  </w:style>
  <w:style w:type="character" w:customStyle="1" w:styleId="PI-1labEMEASMCAChar">
    <w:name w:val="PI-1_lab EMEA_SMCA Char"/>
    <w:link w:val="PI-1labEMEASMCA"/>
    <w:rsid w:val="009F6900"/>
    <w:rPr>
      <w:rFonts w:ascii="Times New Roman" w:eastAsia="Times New Roman" w:hAnsi="Times New Roman"/>
      <w:b/>
      <w:noProof/>
      <w:sz w:val="22"/>
      <w:szCs w:val="22"/>
      <w:lang w:val="lt-LT"/>
    </w:rPr>
  </w:style>
  <w:style w:type="character" w:customStyle="1" w:styleId="PagrindinistekstasDiagrama">
    <w:name w:val="Pagrindinis tekstas Diagrama"/>
    <w:link w:val="Pagrindinistekstas"/>
    <w:rsid w:val="009F6900"/>
    <w:rPr>
      <w:rFonts w:ascii="Times New Roman" w:eastAsia="Times New Roman" w:hAnsi="Times New Roman"/>
      <w:lang w:val="lt-LT" w:eastAsia="lt-LT"/>
    </w:rPr>
  </w:style>
  <w:style w:type="paragraph" w:styleId="Pagrindinistekstas">
    <w:name w:val="Body Text"/>
    <w:basedOn w:val="prastasis"/>
    <w:link w:val="PagrindinistekstasDiagrama"/>
    <w:rsid w:val="009F6900"/>
    <w:pPr>
      <w:spacing w:after="120" w:line="240" w:lineRule="auto"/>
    </w:pPr>
    <w:rPr>
      <w:rFonts w:eastAsia="Times New Roman"/>
      <w:sz w:val="20"/>
      <w:szCs w:val="20"/>
      <w:lang w:val="lt-LT" w:eastAsia="lt-LT"/>
    </w:rPr>
  </w:style>
  <w:style w:type="character" w:customStyle="1" w:styleId="BodyTextChar1">
    <w:name w:val="Body Text Char1"/>
    <w:uiPriority w:val="99"/>
    <w:semiHidden/>
    <w:rsid w:val="009F6900"/>
    <w:rPr>
      <w:rFonts w:ascii="Times New Roman" w:hAnsi="Times New Roman"/>
      <w:sz w:val="22"/>
      <w:szCs w:val="22"/>
    </w:rPr>
  </w:style>
  <w:style w:type="paragraph" w:customStyle="1" w:styleId="PI-3EMEASMCA">
    <w:name w:val="PI-3 EMEA_SMCA"/>
    <w:basedOn w:val="prastasis"/>
    <w:autoRedefine/>
    <w:rsid w:val="009F6900"/>
    <w:pPr>
      <w:spacing w:line="220" w:lineRule="exact"/>
    </w:pPr>
    <w:rPr>
      <w:rFonts w:eastAsia="Times New Roman"/>
      <w:bCs/>
      <w:lang w:val="lt-LT"/>
    </w:rPr>
  </w:style>
  <w:style w:type="character" w:styleId="Komentaronuoroda">
    <w:name w:val="annotation reference"/>
    <w:uiPriority w:val="99"/>
    <w:semiHidden/>
    <w:unhideWhenUsed/>
    <w:rsid w:val="009F6900"/>
    <w:rPr>
      <w:sz w:val="16"/>
      <w:szCs w:val="16"/>
    </w:rPr>
  </w:style>
  <w:style w:type="paragraph" w:styleId="Paprastasistekstas">
    <w:name w:val="Plain Text"/>
    <w:basedOn w:val="prastasis"/>
    <w:link w:val="PaprastasistekstasDiagrama"/>
    <w:uiPriority w:val="99"/>
    <w:semiHidden/>
    <w:unhideWhenUsed/>
    <w:rsid w:val="009F6900"/>
    <w:pPr>
      <w:spacing w:line="240" w:lineRule="auto"/>
    </w:pPr>
    <w:rPr>
      <w:rFonts w:ascii="Consolas" w:hAnsi="Consolas"/>
      <w:sz w:val="21"/>
      <w:szCs w:val="21"/>
      <w:lang w:val="x-none" w:eastAsia="x-none"/>
    </w:rPr>
  </w:style>
  <w:style w:type="character" w:customStyle="1" w:styleId="PaprastasistekstasDiagrama">
    <w:name w:val="Paprastasis tekstas Diagrama"/>
    <w:link w:val="Paprastasistekstas"/>
    <w:uiPriority w:val="99"/>
    <w:semiHidden/>
    <w:rsid w:val="009F6900"/>
    <w:rPr>
      <w:rFonts w:ascii="Consolas" w:hAnsi="Consolas" w:cs="Arial"/>
      <w:sz w:val="21"/>
      <w:szCs w:val="21"/>
    </w:rPr>
  </w:style>
  <w:style w:type="character" w:styleId="Puslapionumeris">
    <w:name w:val="page number"/>
    <w:basedOn w:val="Numatytasispastraiposriftas"/>
    <w:rsid w:val="009F6900"/>
  </w:style>
  <w:style w:type="character" w:customStyle="1" w:styleId="Antrat4Diagrama">
    <w:name w:val="Antraštė 4 Diagrama"/>
    <w:link w:val="Antrat4"/>
    <w:uiPriority w:val="9"/>
    <w:semiHidden/>
    <w:rsid w:val="006D4570"/>
    <w:rPr>
      <w:rFonts w:ascii="Calibri" w:eastAsia="Times New Roman" w:hAnsi="Calibri" w:cs="Times New Roman"/>
      <w:b/>
      <w:bCs/>
      <w:sz w:val="28"/>
      <w:szCs w:val="28"/>
    </w:rPr>
  </w:style>
  <w:style w:type="table" w:styleId="Lentelstinklelis">
    <w:name w:val="Table Grid"/>
    <w:basedOn w:val="prastojilentel"/>
    <w:uiPriority w:val="59"/>
    <w:rsid w:val="004B5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link w:val="TableTextChar"/>
    <w:rsid w:val="003510C9"/>
    <w:rPr>
      <w:rFonts w:ascii="Times New Roman" w:eastAsia="Times New Roman" w:hAnsi="Times New Roman" w:cs="Arial"/>
      <w:sz w:val="24"/>
      <w:szCs w:val="24"/>
      <w:lang w:val="en-US" w:eastAsia="en-US"/>
    </w:rPr>
  </w:style>
  <w:style w:type="character" w:customStyle="1" w:styleId="TableTextChar">
    <w:name w:val="TableText Char"/>
    <w:link w:val="TableText"/>
    <w:locked/>
    <w:rsid w:val="003510C9"/>
    <w:rPr>
      <w:rFonts w:ascii="Times New Roman" w:eastAsia="Times New Roman" w:hAnsi="Times New Roman" w:cs="Arial"/>
      <w:sz w:val="24"/>
      <w:szCs w:val="24"/>
      <w:lang w:val="en-US" w:eastAsia="en-US" w:bidi="ar-SA"/>
    </w:rPr>
  </w:style>
  <w:style w:type="character" w:styleId="Dokumentoinaosnumeris">
    <w:name w:val="endnote reference"/>
    <w:rsid w:val="003510C9"/>
    <w:rPr>
      <w:rFonts w:ascii="Times New Roman" w:hAnsi="Times New Roman" w:cs="Arial"/>
      <w:vertAlign w:val="superscript"/>
    </w:rPr>
  </w:style>
  <w:style w:type="paragraph" w:styleId="Dokumentoinaostekstas">
    <w:name w:val="endnote text"/>
    <w:link w:val="DokumentoinaostekstasDiagrama"/>
    <w:rsid w:val="003510C9"/>
    <w:pPr>
      <w:spacing w:after="240"/>
      <w:ind w:left="461" w:right="1440" w:hanging="461"/>
    </w:pPr>
    <w:rPr>
      <w:rFonts w:ascii="Times New Roman" w:eastAsia="Times New Roman" w:hAnsi="Times New Roman"/>
      <w:sz w:val="24"/>
      <w:szCs w:val="24"/>
    </w:rPr>
  </w:style>
  <w:style w:type="character" w:customStyle="1" w:styleId="DokumentoinaostekstasDiagrama">
    <w:name w:val="Dokumento išnašos tekstas Diagrama"/>
    <w:link w:val="Dokumentoinaostekstas"/>
    <w:rsid w:val="003510C9"/>
    <w:rPr>
      <w:rFonts w:ascii="Times New Roman" w:eastAsia="Times New Roman" w:hAnsi="Times New Roman"/>
      <w:sz w:val="24"/>
      <w:szCs w:val="24"/>
      <w:lang w:bidi="ar-SA"/>
    </w:rPr>
  </w:style>
  <w:style w:type="character" w:customStyle="1" w:styleId="Instructions">
    <w:name w:val="Instructions"/>
    <w:rsid w:val="003510C9"/>
    <w:rPr>
      <w:i/>
      <w:iCs/>
      <w:color w:val="008000"/>
    </w:rPr>
  </w:style>
  <w:style w:type="character" w:customStyle="1" w:styleId="TableText9">
    <w:name w:val="TableText 9"/>
    <w:rsid w:val="003510C9"/>
    <w:rPr>
      <w:rFonts w:ascii="Times New Roman" w:hAnsi="Times New Roman"/>
      <w:sz w:val="18"/>
    </w:rPr>
  </w:style>
  <w:style w:type="paragraph" w:customStyle="1" w:styleId="LightGrid-Accent31">
    <w:name w:val="Light Grid - Accent 31"/>
    <w:basedOn w:val="prastasis"/>
    <w:rsid w:val="00FE3C67"/>
    <w:pPr>
      <w:ind w:left="720"/>
      <w:contextualSpacing/>
    </w:pPr>
  </w:style>
  <w:style w:type="paragraph" w:customStyle="1" w:styleId="NormalAgency">
    <w:name w:val="Normal (Agency)"/>
    <w:qFormat/>
    <w:rsid w:val="009D4603"/>
    <w:rPr>
      <w:rFonts w:ascii="Verdana" w:eastAsia="Verdana" w:hAnsi="Verdana" w:cs="Verdana"/>
      <w:sz w:val="18"/>
      <w:szCs w:val="18"/>
      <w:lang w:val="en-GB" w:eastAsia="en-GB"/>
    </w:rPr>
  </w:style>
  <w:style w:type="paragraph" w:customStyle="1" w:styleId="RefAgency">
    <w:name w:val="Ref. (Agency)"/>
    <w:basedOn w:val="prastasis"/>
    <w:rsid w:val="009D4603"/>
    <w:pPr>
      <w:spacing w:line="240" w:lineRule="auto"/>
    </w:pPr>
    <w:rPr>
      <w:rFonts w:ascii="Verdana" w:eastAsia="Times New Roman" w:hAnsi="Verdana"/>
      <w:sz w:val="17"/>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30513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ECA2B-6D96-4894-8FB6-C1C7813C0AC8}">
  <ds:schemaRefs>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6F5B371-E267-438B-A755-C7CB5E29F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6DA2DBF-D313-4D3A-8C6B-A061A588FA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5515</Words>
  <Characters>40383</Characters>
  <Application>Microsoft Office Word</Application>
  <DocSecurity>8</DocSecurity>
  <Lines>336</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45807</CharactersWithSpaces>
  <SharedDoc>false</SharedDoc>
  <HLinks>
    <vt:vector size="48" baseType="variant">
      <vt:variant>
        <vt:i4>7077950</vt:i4>
      </vt:variant>
      <vt:variant>
        <vt:i4>48</vt:i4>
      </vt:variant>
      <vt:variant>
        <vt:i4>0</vt:i4>
      </vt:variant>
      <vt:variant>
        <vt:i4>5</vt:i4>
      </vt:variant>
      <vt:variant>
        <vt:lpwstr>http://www.vvkt.lt/</vt:lpwstr>
      </vt:variant>
      <vt:variant>
        <vt:lpwstr/>
      </vt:variant>
      <vt:variant>
        <vt:i4>7077950</vt:i4>
      </vt:variant>
      <vt:variant>
        <vt:i4>45</vt:i4>
      </vt:variant>
      <vt:variant>
        <vt:i4>0</vt:i4>
      </vt:variant>
      <vt:variant>
        <vt:i4>5</vt:i4>
      </vt:variant>
      <vt:variant>
        <vt:lpwstr>http://www.vvkt.lt/</vt:lpwstr>
      </vt:variant>
      <vt:variant>
        <vt:lpwstr/>
      </vt:variant>
      <vt:variant>
        <vt:i4>2162708</vt:i4>
      </vt:variant>
      <vt:variant>
        <vt:i4>42</vt:i4>
      </vt:variant>
      <vt:variant>
        <vt:i4>0</vt:i4>
      </vt:variant>
      <vt:variant>
        <vt:i4>5</vt:i4>
      </vt:variant>
      <vt:variant>
        <vt:lpwstr>mailto:NepageidaujamaR@vvkt.lt</vt:lpwstr>
      </vt:variant>
      <vt:variant>
        <vt:lpwstr/>
      </vt:variant>
      <vt:variant>
        <vt:i4>7077950</vt:i4>
      </vt:variant>
      <vt:variant>
        <vt:i4>39</vt:i4>
      </vt:variant>
      <vt:variant>
        <vt:i4>0</vt:i4>
      </vt:variant>
      <vt:variant>
        <vt:i4>5</vt:i4>
      </vt:variant>
      <vt:variant>
        <vt:lpwstr>http://www.vvkt.lt/</vt:lpwstr>
      </vt:variant>
      <vt:variant>
        <vt:lpwstr/>
      </vt:variant>
      <vt:variant>
        <vt:i4>7077950</vt:i4>
      </vt:variant>
      <vt:variant>
        <vt:i4>36</vt:i4>
      </vt:variant>
      <vt:variant>
        <vt:i4>0</vt:i4>
      </vt:variant>
      <vt:variant>
        <vt:i4>5</vt:i4>
      </vt:variant>
      <vt:variant>
        <vt:lpwstr>http://www.vvkt.lt/</vt:lpwstr>
      </vt:variant>
      <vt:variant>
        <vt:lpwstr/>
      </vt:variant>
      <vt:variant>
        <vt:i4>7077950</vt:i4>
      </vt:variant>
      <vt:variant>
        <vt:i4>24</vt:i4>
      </vt:variant>
      <vt:variant>
        <vt:i4>0</vt:i4>
      </vt:variant>
      <vt:variant>
        <vt:i4>5</vt:i4>
      </vt:variant>
      <vt:variant>
        <vt:lpwstr>http://www.vvkt.lt/</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7077950</vt:i4>
      </vt:variant>
      <vt:variant>
        <vt:i4>18</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Albina Burkauskaitė</cp:lastModifiedBy>
  <cp:revision>3</cp:revision>
  <cp:lastPrinted>2013-10-07T17:14:00Z</cp:lastPrinted>
  <dcterms:created xsi:type="dcterms:W3CDTF">2017-02-02T12:08:00Z</dcterms:created>
  <dcterms:modified xsi:type="dcterms:W3CDTF">2017-02-02T12:09:00Z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