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581CC" w14:textId="77777777" w:rsidR="00F4318C" w:rsidRDefault="00F4318C" w:rsidP="00F4318C">
      <w:pPr>
        <w:pStyle w:val="TTEMEASMCA"/>
      </w:pPr>
      <w:r>
        <w:t>Pakuotės lapelis: informacija vartotojui</w:t>
      </w:r>
    </w:p>
    <w:p w14:paraId="3681323F" w14:textId="77777777" w:rsidR="00F4318C" w:rsidRDefault="00F4318C" w:rsidP="00F4318C">
      <w:pPr>
        <w:pStyle w:val="BTEMEASMCA"/>
      </w:pPr>
    </w:p>
    <w:p w14:paraId="15716B23" w14:textId="77777777" w:rsidR="00F4318C" w:rsidRDefault="00F4318C" w:rsidP="00F4318C">
      <w:pPr>
        <w:tabs>
          <w:tab w:val="left" w:pos="567"/>
        </w:tabs>
        <w:jc w:val="center"/>
        <w:rPr>
          <w:b/>
          <w:sz w:val="22"/>
          <w:szCs w:val="22"/>
        </w:rPr>
      </w:pPr>
      <w:proofErr w:type="spellStart"/>
      <w:r>
        <w:rPr>
          <w:b/>
          <w:sz w:val="22"/>
          <w:szCs w:val="22"/>
        </w:rPr>
        <w:t>Spirix</w:t>
      </w:r>
      <w:proofErr w:type="spellEnd"/>
      <w:r>
        <w:rPr>
          <w:b/>
          <w:sz w:val="22"/>
          <w:szCs w:val="22"/>
        </w:rPr>
        <w:t xml:space="preserve"> 25 mg tabletės</w:t>
      </w:r>
    </w:p>
    <w:p w14:paraId="3B27E5CC" w14:textId="77777777" w:rsidR="00F4318C" w:rsidRPr="00BA1E6C" w:rsidRDefault="00F4318C" w:rsidP="00F4318C">
      <w:pPr>
        <w:tabs>
          <w:tab w:val="left" w:pos="567"/>
        </w:tabs>
        <w:jc w:val="center"/>
        <w:rPr>
          <w:b/>
          <w:sz w:val="22"/>
          <w:szCs w:val="22"/>
          <w:highlight w:val="lightGray"/>
        </w:rPr>
      </w:pPr>
      <w:proofErr w:type="spellStart"/>
      <w:r w:rsidRPr="00BA1E6C">
        <w:rPr>
          <w:b/>
          <w:sz w:val="22"/>
          <w:szCs w:val="22"/>
          <w:highlight w:val="lightGray"/>
        </w:rPr>
        <w:t>Spirix</w:t>
      </w:r>
      <w:proofErr w:type="spellEnd"/>
      <w:r w:rsidRPr="00BA1E6C">
        <w:rPr>
          <w:b/>
          <w:sz w:val="22"/>
          <w:szCs w:val="22"/>
          <w:highlight w:val="lightGray"/>
        </w:rPr>
        <w:t xml:space="preserve"> 50 mg tabletės</w:t>
      </w:r>
    </w:p>
    <w:p w14:paraId="04A792E9" w14:textId="77777777" w:rsidR="00F4318C" w:rsidRDefault="00F4318C" w:rsidP="00F4318C">
      <w:pPr>
        <w:tabs>
          <w:tab w:val="left" w:pos="567"/>
        </w:tabs>
        <w:jc w:val="center"/>
      </w:pPr>
      <w:proofErr w:type="spellStart"/>
      <w:r w:rsidRPr="00BA1E6C">
        <w:rPr>
          <w:b/>
          <w:sz w:val="22"/>
          <w:szCs w:val="22"/>
          <w:highlight w:val="lightGray"/>
        </w:rPr>
        <w:t>Spirix</w:t>
      </w:r>
      <w:proofErr w:type="spellEnd"/>
      <w:r w:rsidRPr="00BA1E6C">
        <w:rPr>
          <w:b/>
          <w:sz w:val="22"/>
          <w:szCs w:val="22"/>
          <w:highlight w:val="lightGray"/>
        </w:rPr>
        <w:t xml:space="preserve"> 100 mg tabletės</w:t>
      </w:r>
    </w:p>
    <w:p w14:paraId="2BBBB948" w14:textId="77777777" w:rsidR="00F4318C" w:rsidRDefault="00F4318C" w:rsidP="00F4318C">
      <w:pPr>
        <w:pStyle w:val="BTeEMEASMCA"/>
      </w:pPr>
      <w:proofErr w:type="spellStart"/>
      <w:r>
        <w:t>spironolaktonas</w:t>
      </w:r>
      <w:proofErr w:type="spellEnd"/>
    </w:p>
    <w:p w14:paraId="5BBFC151" w14:textId="77777777" w:rsidR="00F4318C" w:rsidRDefault="00F4318C" w:rsidP="00F4318C">
      <w:pPr>
        <w:pStyle w:val="BTEMEASMCA"/>
      </w:pPr>
    </w:p>
    <w:p w14:paraId="6668292C" w14:textId="77777777" w:rsidR="00F4318C" w:rsidRDefault="00F4318C" w:rsidP="00F4318C">
      <w:pPr>
        <w:pStyle w:val="BTbEMEASMCA"/>
      </w:pPr>
      <w:r>
        <w:t>Atidžiai perskaitykite visą šį lapelį, prieš pradėdami vartoti vaistą, nes jame pateikiama Jums svarbi informacija.</w:t>
      </w:r>
    </w:p>
    <w:p w14:paraId="45007AA4" w14:textId="77777777" w:rsidR="00F4318C" w:rsidRDefault="00F4318C" w:rsidP="00F4318C">
      <w:pPr>
        <w:pStyle w:val="BT-EMEASMCA"/>
      </w:pPr>
      <w:r>
        <w:t>Neišmeskite šio lapelio, nes vėl gali prireikti jį perskaityti.</w:t>
      </w:r>
    </w:p>
    <w:p w14:paraId="3E6DB082" w14:textId="77777777" w:rsidR="00F4318C" w:rsidRDefault="00F4318C" w:rsidP="00F4318C">
      <w:pPr>
        <w:pStyle w:val="BT-EMEASMCA"/>
      </w:pPr>
      <w:r>
        <w:t>Jeigu kiltų daugiau klausimų, kreipkitės į gydytoją arba vaistininką.</w:t>
      </w:r>
    </w:p>
    <w:p w14:paraId="11193748" w14:textId="77777777" w:rsidR="00F4318C" w:rsidRDefault="00F4318C" w:rsidP="00F4318C">
      <w:pPr>
        <w:pStyle w:val="BT-EMEASMCA"/>
      </w:pPr>
      <w:r>
        <w:t>Šis vaistas skirtas tik Jums, todėl kitiems žmonėms jo duoti negalima. Vaistas gali jiems pakenkti (net tiems, kurių ligos požymiai yra tokie patys kaip Jūsų).</w:t>
      </w:r>
    </w:p>
    <w:p w14:paraId="0F6A86A6" w14:textId="77777777" w:rsidR="00F4318C" w:rsidRDefault="00F4318C" w:rsidP="00F4318C">
      <w:pPr>
        <w:pStyle w:val="BT-EMEASMCA"/>
      </w:pPr>
      <w:r>
        <w:t>Jeigu pasireiškė šalutinis poveikis (net jeigu jis šiame lapelyje nenurodytas), kreipkitės į gydytoją arba vaistininką. Žr. 4 skyrių.</w:t>
      </w:r>
    </w:p>
    <w:p w14:paraId="04BC3858" w14:textId="77777777" w:rsidR="00F4318C" w:rsidRDefault="00F4318C" w:rsidP="00F4318C">
      <w:pPr>
        <w:pStyle w:val="BTEMEASMCA"/>
      </w:pPr>
    </w:p>
    <w:p w14:paraId="43CA37A0" w14:textId="77777777" w:rsidR="00F4318C" w:rsidRDefault="00F4318C" w:rsidP="00F4318C">
      <w:pPr>
        <w:pStyle w:val="BTbEMEASMCA"/>
      </w:pPr>
      <w:r>
        <w:t>Apie ką rašoma šiame lapelyje?</w:t>
      </w:r>
    </w:p>
    <w:p w14:paraId="3FC4BCAF" w14:textId="77777777" w:rsidR="00F4318C" w:rsidRDefault="00F4318C" w:rsidP="00F4318C">
      <w:pPr>
        <w:pStyle w:val="BTbEMEASMCA"/>
      </w:pPr>
    </w:p>
    <w:p w14:paraId="79874AF4" w14:textId="77777777" w:rsidR="00F4318C" w:rsidRDefault="00F4318C" w:rsidP="00F4318C">
      <w:pPr>
        <w:pStyle w:val="BTEMEASMCA"/>
      </w:pPr>
      <w:r>
        <w:t>1.</w:t>
      </w:r>
      <w:r>
        <w:tab/>
        <w:t xml:space="preserve">Kas yra </w:t>
      </w:r>
      <w:proofErr w:type="spellStart"/>
      <w:r>
        <w:t>Spirix</w:t>
      </w:r>
      <w:proofErr w:type="spellEnd"/>
      <w:r>
        <w:t xml:space="preserve"> ir kam jis vartojamas</w:t>
      </w:r>
    </w:p>
    <w:p w14:paraId="56537A7C" w14:textId="77777777" w:rsidR="00F4318C" w:rsidRDefault="00F4318C" w:rsidP="00F4318C">
      <w:pPr>
        <w:pStyle w:val="BTEMEASMCA"/>
      </w:pPr>
      <w:r>
        <w:t>2.</w:t>
      </w:r>
      <w:r>
        <w:tab/>
        <w:t xml:space="preserve">Kas žinotina prieš vartojant </w:t>
      </w:r>
      <w:proofErr w:type="spellStart"/>
      <w:r>
        <w:t>Spirix</w:t>
      </w:r>
      <w:proofErr w:type="spellEnd"/>
    </w:p>
    <w:p w14:paraId="5B8ECD06" w14:textId="77777777" w:rsidR="00F4318C" w:rsidRDefault="00F4318C" w:rsidP="00F4318C">
      <w:pPr>
        <w:pStyle w:val="BTEMEASMCA"/>
      </w:pPr>
      <w:r>
        <w:t>3.</w:t>
      </w:r>
      <w:r>
        <w:tab/>
        <w:t xml:space="preserve">Kaip vartoti </w:t>
      </w:r>
      <w:proofErr w:type="spellStart"/>
      <w:r>
        <w:t>Spirix</w:t>
      </w:r>
      <w:proofErr w:type="spellEnd"/>
    </w:p>
    <w:p w14:paraId="105C4130" w14:textId="77777777" w:rsidR="00F4318C" w:rsidRDefault="00F4318C" w:rsidP="00F4318C">
      <w:pPr>
        <w:pStyle w:val="BTEMEASMCA"/>
      </w:pPr>
      <w:r>
        <w:t>4.</w:t>
      </w:r>
      <w:r>
        <w:tab/>
        <w:t>Galimas šalutinis poveikis</w:t>
      </w:r>
    </w:p>
    <w:p w14:paraId="3E3D9864" w14:textId="77777777" w:rsidR="00F4318C" w:rsidRDefault="00F4318C" w:rsidP="00F4318C">
      <w:pPr>
        <w:pStyle w:val="BTEMEASMCA"/>
      </w:pPr>
      <w:r>
        <w:t>5.</w:t>
      </w:r>
      <w:r>
        <w:tab/>
        <w:t xml:space="preserve">Kaip laikyti </w:t>
      </w:r>
      <w:proofErr w:type="spellStart"/>
      <w:r>
        <w:t>Spirix</w:t>
      </w:r>
      <w:proofErr w:type="spellEnd"/>
    </w:p>
    <w:p w14:paraId="5C0C18E1" w14:textId="77777777" w:rsidR="00F4318C" w:rsidRDefault="00F4318C" w:rsidP="00F4318C">
      <w:pPr>
        <w:pStyle w:val="BTEMEASMCA"/>
      </w:pPr>
      <w:r>
        <w:t>6.</w:t>
      </w:r>
      <w:r>
        <w:tab/>
        <w:t>Pakuotės turinys ir kita informacija</w:t>
      </w:r>
    </w:p>
    <w:p w14:paraId="572366CC" w14:textId="77777777" w:rsidR="00F4318C" w:rsidRDefault="00F4318C" w:rsidP="00F4318C">
      <w:pPr>
        <w:pStyle w:val="BTEMEASMCA"/>
      </w:pPr>
    </w:p>
    <w:p w14:paraId="042B9201" w14:textId="77777777" w:rsidR="00F4318C" w:rsidRDefault="00F4318C" w:rsidP="00F4318C">
      <w:pPr>
        <w:pStyle w:val="BTEMEASMCA"/>
      </w:pPr>
    </w:p>
    <w:p w14:paraId="168CE770" w14:textId="77777777" w:rsidR="00F4318C" w:rsidRDefault="00F4318C" w:rsidP="00F4318C">
      <w:pPr>
        <w:pStyle w:val="PI-1EMEASMCA"/>
      </w:pPr>
      <w:bookmarkStart w:id="0" w:name="_Toc129243139"/>
      <w:bookmarkStart w:id="1" w:name="_Toc129243264"/>
      <w:r>
        <w:t>1.</w:t>
      </w:r>
      <w:r>
        <w:tab/>
      </w:r>
      <w:bookmarkEnd w:id="0"/>
      <w:bookmarkEnd w:id="1"/>
      <w:r>
        <w:t xml:space="preserve">Kas yra </w:t>
      </w:r>
      <w:proofErr w:type="spellStart"/>
      <w:r>
        <w:t>Spirix</w:t>
      </w:r>
      <w:proofErr w:type="spellEnd"/>
      <w:r>
        <w:t xml:space="preserve"> ir kam jis vartojamas</w:t>
      </w:r>
    </w:p>
    <w:p w14:paraId="36977A92" w14:textId="77777777" w:rsidR="00F4318C" w:rsidRDefault="00F4318C" w:rsidP="00F4318C">
      <w:pPr>
        <w:pStyle w:val="BTEMEASMCA"/>
      </w:pPr>
    </w:p>
    <w:p w14:paraId="6C46066F" w14:textId="77777777" w:rsidR="00F4318C" w:rsidRDefault="00F4318C" w:rsidP="00F4318C">
      <w:pPr>
        <w:pStyle w:val="BTEMEASMCA"/>
      </w:pPr>
      <w:proofErr w:type="spellStart"/>
      <w:r>
        <w:t>Spirix</w:t>
      </w:r>
      <w:proofErr w:type="spellEnd"/>
      <w:r>
        <w:t xml:space="preserve"> yra kalį organizme sulaikantis diuretikas (šlapimo išsiskyrimą skatinantis vaistas), kuriuo gydomas arba diagnozuojamas pirminis </w:t>
      </w:r>
      <w:proofErr w:type="spellStart"/>
      <w:r>
        <w:t>aldosteronizmas</w:t>
      </w:r>
      <w:proofErr w:type="spellEnd"/>
      <w:r>
        <w:t xml:space="preserve"> (per didelis hormono </w:t>
      </w:r>
      <w:proofErr w:type="spellStart"/>
      <w:r>
        <w:t>aldosterono</w:t>
      </w:r>
      <w:proofErr w:type="spellEnd"/>
      <w:r>
        <w:t xml:space="preserve"> kiekis organizme), mažinamos su </w:t>
      </w:r>
      <w:proofErr w:type="spellStart"/>
      <w:r>
        <w:t>staziniu</w:t>
      </w:r>
      <w:proofErr w:type="spellEnd"/>
      <w:r>
        <w:t xml:space="preserve"> širdies nepakankamumu, kepenų ciroze ar </w:t>
      </w:r>
      <w:proofErr w:type="spellStart"/>
      <w:r>
        <w:t>nefroziniu</w:t>
      </w:r>
      <w:proofErr w:type="spellEnd"/>
      <w:r>
        <w:t xml:space="preserve"> sindromu (inkstų liga) susijusios edemos (patinimai). Be to, gali būti vartojamas kaip papildomas vaistas didelio kraujo spaudimo ligai gydyti.</w:t>
      </w:r>
    </w:p>
    <w:p w14:paraId="5571B088" w14:textId="77777777" w:rsidR="00F4318C" w:rsidRDefault="00F4318C" w:rsidP="00F4318C">
      <w:pPr>
        <w:pStyle w:val="BTEMEASMCA"/>
      </w:pPr>
    </w:p>
    <w:p w14:paraId="058E33F1" w14:textId="77777777" w:rsidR="00F4318C" w:rsidRDefault="00F4318C" w:rsidP="00F4318C">
      <w:pPr>
        <w:pStyle w:val="PI-1EMEASMCA"/>
      </w:pPr>
      <w:bookmarkStart w:id="2" w:name="_Toc129243140"/>
      <w:bookmarkStart w:id="3" w:name="_Toc129243265"/>
      <w:r>
        <w:t>2.</w:t>
      </w:r>
      <w:r>
        <w:tab/>
      </w:r>
      <w:bookmarkEnd w:id="2"/>
      <w:bookmarkEnd w:id="3"/>
      <w:r>
        <w:t xml:space="preserve">Kas žinotina prieš vartojant </w:t>
      </w:r>
      <w:proofErr w:type="spellStart"/>
      <w:r>
        <w:t>Spirix</w:t>
      </w:r>
      <w:proofErr w:type="spellEnd"/>
    </w:p>
    <w:p w14:paraId="3B6B528F" w14:textId="77777777" w:rsidR="00F4318C" w:rsidRDefault="00F4318C" w:rsidP="00F4318C">
      <w:pPr>
        <w:pStyle w:val="BTEMEASMCA"/>
      </w:pPr>
    </w:p>
    <w:p w14:paraId="1F4AFFA8" w14:textId="77777777" w:rsidR="00F4318C" w:rsidRDefault="00F4318C" w:rsidP="00F4318C">
      <w:pPr>
        <w:pStyle w:val="PI-3EMEASMCA"/>
      </w:pPr>
      <w:proofErr w:type="spellStart"/>
      <w:r>
        <w:t>Spirix</w:t>
      </w:r>
      <w:proofErr w:type="spellEnd"/>
      <w:r>
        <w:t xml:space="preserve"> vartoti draudžiama:</w:t>
      </w:r>
    </w:p>
    <w:p w14:paraId="1B3EA35B" w14:textId="77777777" w:rsidR="00F4318C" w:rsidRDefault="00F4318C" w:rsidP="00F4318C">
      <w:pPr>
        <w:pStyle w:val="BT-EMEASMCA"/>
      </w:pPr>
      <w:r>
        <w:t xml:space="preserve">jeigu yra alergija </w:t>
      </w:r>
      <w:proofErr w:type="spellStart"/>
      <w:r>
        <w:t>spironolaktonui</w:t>
      </w:r>
      <w:proofErr w:type="spellEnd"/>
      <w:r>
        <w:t xml:space="preserve"> arba bet kuriai pagalbinei šio vaisto medžiagai (jos išvardytos 6 skyriuje);</w:t>
      </w:r>
    </w:p>
    <w:p w14:paraId="4D0D8CEF" w14:textId="77777777" w:rsidR="00F4318C" w:rsidRDefault="00F4318C" w:rsidP="00F4318C">
      <w:pPr>
        <w:pStyle w:val="BT-EMEASMCA"/>
      </w:pPr>
      <w:r>
        <w:t>jeigu kalio koncentracija kraujyje per didelė;</w:t>
      </w:r>
    </w:p>
    <w:p w14:paraId="1BE4937A" w14:textId="77777777" w:rsidR="00F4318C" w:rsidRDefault="00F4318C" w:rsidP="00F4318C">
      <w:pPr>
        <w:pStyle w:val="BT-EMEASMCA"/>
      </w:pPr>
      <w:r>
        <w:t>jeigu natrio koncentracija kraujyje per didelė;</w:t>
      </w:r>
    </w:p>
    <w:p w14:paraId="2AFA8351" w14:textId="77777777" w:rsidR="00F4318C" w:rsidRDefault="00F4318C" w:rsidP="00F4318C">
      <w:pPr>
        <w:pStyle w:val="BT-EMEASMCA"/>
      </w:pPr>
      <w:r>
        <w:t>jeigu yra ūminis arba sunkus lėtinis inkstų veiklos nepakankamumas;</w:t>
      </w:r>
    </w:p>
    <w:p w14:paraId="678C85A7" w14:textId="77777777" w:rsidR="00F4318C" w:rsidRDefault="00F4318C" w:rsidP="00F4318C">
      <w:pPr>
        <w:pStyle w:val="BT-EMEASMCA"/>
      </w:pPr>
      <w:r>
        <w:t>jeigu organizme susilaiko šlapimas;</w:t>
      </w:r>
    </w:p>
    <w:p w14:paraId="14F03F99" w14:textId="77777777" w:rsidR="00F4318C" w:rsidRDefault="00F4318C" w:rsidP="00F4318C">
      <w:pPr>
        <w:pStyle w:val="BT-EMEASMCA"/>
      </w:pPr>
      <w:r>
        <w:t xml:space="preserve">jeigu yra </w:t>
      </w:r>
      <w:proofErr w:type="spellStart"/>
      <w:r>
        <w:t>Adisono</w:t>
      </w:r>
      <w:proofErr w:type="spellEnd"/>
      <w:r>
        <w:t xml:space="preserve"> liga (lėtinė liga dėl dalinio arba visiško antinksčių funkcijos praradimo).</w:t>
      </w:r>
    </w:p>
    <w:p w14:paraId="5FC48195" w14:textId="77777777" w:rsidR="00F4318C" w:rsidRDefault="00F4318C" w:rsidP="00F4318C">
      <w:pPr>
        <w:pStyle w:val="BTEMEASMCA"/>
      </w:pPr>
    </w:p>
    <w:p w14:paraId="10AC2964" w14:textId="77777777" w:rsidR="00F4318C" w:rsidRDefault="00F4318C" w:rsidP="00F4318C">
      <w:pPr>
        <w:pStyle w:val="PI-3EMEASMCA"/>
      </w:pPr>
      <w:r>
        <w:t>Įspėjimai ir atsargumo priemonės</w:t>
      </w:r>
    </w:p>
    <w:p w14:paraId="37BCA943" w14:textId="77777777" w:rsidR="00F4318C" w:rsidRDefault="00F4318C" w:rsidP="00F4318C">
      <w:pPr>
        <w:pStyle w:val="PI-3EMEASMCA"/>
      </w:pPr>
      <w:r>
        <w:t xml:space="preserve">Pasitarkite su gydytoju arba vaistininku, prieš pradėdami vartoti </w:t>
      </w:r>
      <w:proofErr w:type="spellStart"/>
      <w:r>
        <w:t>Spirix</w:t>
      </w:r>
      <w:proofErr w:type="spellEnd"/>
      <w:r>
        <w:t>:</w:t>
      </w:r>
    </w:p>
    <w:p w14:paraId="5BB63133" w14:textId="77777777" w:rsidR="00F4318C" w:rsidRDefault="00F4318C" w:rsidP="00F4318C">
      <w:pPr>
        <w:pStyle w:val="BT-EMEASMCA"/>
      </w:pPr>
      <w:r>
        <w:t>jeigu sergate cukriniu diabetu;</w:t>
      </w:r>
    </w:p>
    <w:p w14:paraId="778A64C4" w14:textId="77777777" w:rsidR="00F4318C" w:rsidRDefault="00F4318C" w:rsidP="00F4318C">
      <w:pPr>
        <w:pStyle w:val="BT-EMEASMCA"/>
      </w:pPr>
      <w:r>
        <w:t>jeigu sutrikusi inkstų ar kepenų veikla;</w:t>
      </w:r>
    </w:p>
    <w:p w14:paraId="13489AFB" w14:textId="77777777" w:rsidR="00F4318C" w:rsidRDefault="00F4318C" w:rsidP="00F4318C">
      <w:pPr>
        <w:pStyle w:val="BT-EMEASMCA"/>
      </w:pPr>
      <w:r>
        <w:t>jeigu vartojate kitokių kalį organizme sulaikančių diuretikų, kalio papildų ar AKF inhibitorių (vaistų nuo didelio kraujo spaudimo ligos).</w:t>
      </w:r>
    </w:p>
    <w:p w14:paraId="636E58B0" w14:textId="77777777" w:rsidR="00F4318C" w:rsidRDefault="00F4318C" w:rsidP="00F4318C">
      <w:pPr>
        <w:pStyle w:val="BTEMEASMCA"/>
      </w:pPr>
    </w:p>
    <w:p w14:paraId="1B4D390C" w14:textId="77777777" w:rsidR="00F4318C" w:rsidRDefault="00F4318C" w:rsidP="00F4318C">
      <w:pPr>
        <w:pStyle w:val="BTEMEASMCA"/>
      </w:pPr>
      <w:proofErr w:type="spellStart"/>
      <w:r>
        <w:lastRenderedPageBreak/>
        <w:t>Spirix</w:t>
      </w:r>
      <w:proofErr w:type="spellEnd"/>
      <w:r>
        <w:t xml:space="preserve"> vartojant kartu su tam tikrais vaistais, kalio papildais ir maistu, kuriame gausu kalio, gali pasireikšti sunki </w:t>
      </w:r>
      <w:proofErr w:type="spellStart"/>
      <w:r>
        <w:t>hiperkalemija</w:t>
      </w:r>
      <w:proofErr w:type="spellEnd"/>
      <w:r>
        <w:t xml:space="preserve"> (kalio kiekio kraujyje padidėjimas). Sunki </w:t>
      </w:r>
      <w:proofErr w:type="spellStart"/>
      <w:r>
        <w:t>hiperkalemija</w:t>
      </w:r>
      <w:proofErr w:type="spellEnd"/>
      <w:r>
        <w:t xml:space="preserve"> gali pasireikšti šiais simptomais: mėšlungiu, nereguliariu širdies ritmu, viduriavimu, pykinimu, svaiguliu arba galvos skausmu.</w:t>
      </w:r>
    </w:p>
    <w:p w14:paraId="7C92446B" w14:textId="77777777" w:rsidR="00F4318C" w:rsidRDefault="00F4318C" w:rsidP="00F4318C">
      <w:pPr>
        <w:pStyle w:val="BTEMEASMCA"/>
      </w:pPr>
    </w:p>
    <w:p w14:paraId="1257AC84" w14:textId="77777777" w:rsidR="00F4318C" w:rsidRDefault="00F4318C" w:rsidP="00F4318C">
      <w:pPr>
        <w:pStyle w:val="PI-3EMEASMCA"/>
      </w:pPr>
      <w:r>
        <w:t xml:space="preserve">Kiti vaistai ir </w:t>
      </w:r>
      <w:proofErr w:type="spellStart"/>
      <w:r>
        <w:t>Spirix</w:t>
      </w:r>
      <w:proofErr w:type="spellEnd"/>
    </w:p>
    <w:p w14:paraId="4882104E" w14:textId="77777777" w:rsidR="00F4318C" w:rsidRDefault="00F4318C" w:rsidP="00F4318C">
      <w:pPr>
        <w:tabs>
          <w:tab w:val="left" w:pos="567"/>
        </w:tabs>
        <w:rPr>
          <w:i/>
          <w:sz w:val="22"/>
          <w:szCs w:val="22"/>
        </w:rPr>
      </w:pPr>
      <w:r>
        <w:rPr>
          <w:i/>
          <w:sz w:val="22"/>
          <w:szCs w:val="22"/>
        </w:rPr>
        <w:t>Nesteroidiniai vaistai nuo uždegimo (NVNU)</w:t>
      </w:r>
    </w:p>
    <w:p w14:paraId="40B85DB2" w14:textId="77777777" w:rsidR="00F4318C" w:rsidRDefault="00F4318C" w:rsidP="00F4318C">
      <w:pPr>
        <w:tabs>
          <w:tab w:val="left" w:pos="567"/>
        </w:tabs>
        <w:rPr>
          <w:sz w:val="22"/>
          <w:szCs w:val="22"/>
        </w:rPr>
      </w:pPr>
      <w:r>
        <w:rPr>
          <w:sz w:val="22"/>
          <w:szCs w:val="22"/>
        </w:rPr>
        <w:t xml:space="preserve">Jei kartu vartojama </w:t>
      </w:r>
      <w:proofErr w:type="spellStart"/>
      <w:r>
        <w:rPr>
          <w:sz w:val="22"/>
          <w:szCs w:val="22"/>
        </w:rPr>
        <w:t>spironolaktono</w:t>
      </w:r>
      <w:proofErr w:type="spellEnd"/>
      <w:r>
        <w:rPr>
          <w:sz w:val="22"/>
          <w:szCs w:val="22"/>
        </w:rPr>
        <w:t xml:space="preserve"> ir NVNU, kalio koncentracija kraujyje gali tapti per didelė ir didėti toksinis poveikis inkstams.</w:t>
      </w:r>
    </w:p>
    <w:p w14:paraId="7BEF5BF0" w14:textId="77777777" w:rsidR="00F4318C" w:rsidRDefault="00F4318C" w:rsidP="00F4318C">
      <w:pPr>
        <w:tabs>
          <w:tab w:val="left" w:pos="567"/>
        </w:tabs>
        <w:rPr>
          <w:i/>
          <w:sz w:val="22"/>
          <w:szCs w:val="22"/>
        </w:rPr>
      </w:pPr>
      <w:proofErr w:type="spellStart"/>
      <w:r>
        <w:rPr>
          <w:i/>
          <w:sz w:val="22"/>
          <w:szCs w:val="22"/>
        </w:rPr>
        <w:t>Ciklosporinas</w:t>
      </w:r>
      <w:proofErr w:type="spellEnd"/>
    </w:p>
    <w:p w14:paraId="28A70412" w14:textId="77777777" w:rsidR="00F4318C" w:rsidRDefault="00F4318C" w:rsidP="00F4318C">
      <w:pPr>
        <w:tabs>
          <w:tab w:val="left" w:pos="567"/>
        </w:tabs>
        <w:rPr>
          <w:sz w:val="22"/>
          <w:szCs w:val="22"/>
        </w:rPr>
      </w:pPr>
      <w:r>
        <w:rPr>
          <w:sz w:val="22"/>
          <w:szCs w:val="22"/>
        </w:rPr>
        <w:t xml:space="preserve">Kartu vartojant </w:t>
      </w:r>
      <w:proofErr w:type="spellStart"/>
      <w:r>
        <w:rPr>
          <w:sz w:val="22"/>
          <w:szCs w:val="22"/>
        </w:rPr>
        <w:t>spironolaktono</w:t>
      </w:r>
      <w:proofErr w:type="spellEnd"/>
      <w:r>
        <w:rPr>
          <w:sz w:val="22"/>
          <w:szCs w:val="22"/>
        </w:rPr>
        <w:t xml:space="preserve"> ir </w:t>
      </w:r>
      <w:proofErr w:type="spellStart"/>
      <w:r>
        <w:rPr>
          <w:sz w:val="22"/>
          <w:szCs w:val="22"/>
        </w:rPr>
        <w:t>ciklosporino</w:t>
      </w:r>
      <w:proofErr w:type="spellEnd"/>
      <w:r>
        <w:rPr>
          <w:sz w:val="22"/>
          <w:szCs w:val="22"/>
        </w:rPr>
        <w:t xml:space="preserve"> (imuninę sistemą slopinančio vaisto), kalio koncentracija kraujyje gali tapti per didelė ir didėti toksinis poveikis inkstams.</w:t>
      </w:r>
    </w:p>
    <w:p w14:paraId="2A53E003" w14:textId="77777777" w:rsidR="00F4318C" w:rsidRDefault="00F4318C" w:rsidP="00F4318C">
      <w:pPr>
        <w:tabs>
          <w:tab w:val="left" w:pos="567"/>
        </w:tabs>
        <w:rPr>
          <w:i/>
          <w:sz w:val="22"/>
          <w:szCs w:val="22"/>
        </w:rPr>
      </w:pPr>
      <w:r>
        <w:rPr>
          <w:i/>
          <w:sz w:val="22"/>
          <w:szCs w:val="22"/>
        </w:rPr>
        <w:t>AKF inhibitoriai, vaistai nuo didelio kraujo spaudimo ligos</w:t>
      </w:r>
    </w:p>
    <w:p w14:paraId="6EC592C7" w14:textId="77777777" w:rsidR="00F4318C" w:rsidRDefault="00F4318C" w:rsidP="00F4318C">
      <w:pPr>
        <w:tabs>
          <w:tab w:val="left" w:pos="567"/>
        </w:tabs>
        <w:rPr>
          <w:sz w:val="22"/>
          <w:szCs w:val="22"/>
        </w:rPr>
      </w:pPr>
      <w:r>
        <w:rPr>
          <w:sz w:val="22"/>
          <w:szCs w:val="22"/>
        </w:rPr>
        <w:t xml:space="preserve">Jeigu kartu vartojama </w:t>
      </w:r>
      <w:proofErr w:type="spellStart"/>
      <w:r>
        <w:rPr>
          <w:sz w:val="22"/>
          <w:szCs w:val="22"/>
        </w:rPr>
        <w:t>spironolaktono</w:t>
      </w:r>
      <w:proofErr w:type="spellEnd"/>
      <w:r>
        <w:rPr>
          <w:sz w:val="22"/>
          <w:szCs w:val="22"/>
        </w:rPr>
        <w:t xml:space="preserve"> ir AKF inhibitorių, gali pavojingai padidėti kalio koncentracija kraujyje. </w:t>
      </w:r>
      <w:proofErr w:type="spellStart"/>
      <w:r>
        <w:rPr>
          <w:sz w:val="22"/>
          <w:szCs w:val="22"/>
        </w:rPr>
        <w:t>Spironolaktonas</w:t>
      </w:r>
      <w:proofErr w:type="spellEnd"/>
      <w:r>
        <w:rPr>
          <w:sz w:val="22"/>
          <w:szCs w:val="22"/>
        </w:rPr>
        <w:t xml:space="preserve"> gali stiprinti kartu vartojamų vaistų nuo didelio kraujo spaudimo ligos kraujo spaudimą mažinantį poveikį, todėl reikia apsvarstyti, ar nesumažinti jų dozės.</w:t>
      </w:r>
    </w:p>
    <w:p w14:paraId="2C9CC545" w14:textId="77777777" w:rsidR="00F4318C" w:rsidRDefault="00F4318C" w:rsidP="00F4318C">
      <w:pPr>
        <w:tabs>
          <w:tab w:val="left" w:pos="567"/>
        </w:tabs>
        <w:rPr>
          <w:i/>
          <w:sz w:val="22"/>
          <w:szCs w:val="22"/>
        </w:rPr>
      </w:pPr>
      <w:r>
        <w:rPr>
          <w:i/>
          <w:sz w:val="22"/>
          <w:szCs w:val="22"/>
        </w:rPr>
        <w:t>Diuretikai (šlapimo išsiskyrimą skatinantys vaistai)</w:t>
      </w:r>
    </w:p>
    <w:p w14:paraId="1548ADFA" w14:textId="77777777" w:rsidR="00F4318C" w:rsidRDefault="00F4318C" w:rsidP="00F4318C">
      <w:pPr>
        <w:tabs>
          <w:tab w:val="left" w:pos="567"/>
        </w:tabs>
        <w:rPr>
          <w:sz w:val="22"/>
          <w:szCs w:val="22"/>
        </w:rPr>
      </w:pPr>
      <w:r>
        <w:rPr>
          <w:sz w:val="22"/>
          <w:szCs w:val="22"/>
        </w:rPr>
        <w:t xml:space="preserve">Kartu vartojami </w:t>
      </w:r>
      <w:proofErr w:type="spellStart"/>
      <w:r>
        <w:rPr>
          <w:sz w:val="22"/>
          <w:szCs w:val="22"/>
        </w:rPr>
        <w:t>spironolaktonas</w:t>
      </w:r>
      <w:proofErr w:type="spellEnd"/>
      <w:r>
        <w:rPr>
          <w:sz w:val="22"/>
          <w:szCs w:val="22"/>
        </w:rPr>
        <w:t xml:space="preserve"> ir kitokie diuretikai gali sukelti natrio stygių. </w:t>
      </w:r>
      <w:proofErr w:type="spellStart"/>
      <w:r>
        <w:rPr>
          <w:sz w:val="22"/>
          <w:szCs w:val="22"/>
        </w:rPr>
        <w:t>Spironolaktonas</w:t>
      </w:r>
      <w:proofErr w:type="spellEnd"/>
      <w:r>
        <w:rPr>
          <w:sz w:val="22"/>
          <w:szCs w:val="22"/>
        </w:rPr>
        <w:t xml:space="preserve"> gali stiprinti kartu vartojamų diuretikų kraujo spaudimą mažinantį poveikį.</w:t>
      </w:r>
    </w:p>
    <w:p w14:paraId="2047155B" w14:textId="77777777" w:rsidR="00F4318C" w:rsidRDefault="00F4318C" w:rsidP="00F4318C">
      <w:pPr>
        <w:tabs>
          <w:tab w:val="left" w:pos="567"/>
        </w:tabs>
        <w:rPr>
          <w:i/>
          <w:sz w:val="22"/>
          <w:szCs w:val="22"/>
        </w:rPr>
      </w:pPr>
      <w:proofErr w:type="spellStart"/>
      <w:r>
        <w:rPr>
          <w:i/>
          <w:sz w:val="22"/>
          <w:szCs w:val="22"/>
        </w:rPr>
        <w:t>Digoksinas</w:t>
      </w:r>
      <w:proofErr w:type="spellEnd"/>
    </w:p>
    <w:p w14:paraId="620B0D1D" w14:textId="77777777" w:rsidR="00F4318C" w:rsidRDefault="00F4318C" w:rsidP="00F4318C">
      <w:pPr>
        <w:pStyle w:val="BTEMEASMCA"/>
      </w:pPr>
      <w:proofErr w:type="spellStart"/>
      <w:r>
        <w:t>Spironolaktonas</w:t>
      </w:r>
      <w:proofErr w:type="spellEnd"/>
      <w:r>
        <w:t xml:space="preserve"> gali mažinti </w:t>
      </w:r>
      <w:proofErr w:type="spellStart"/>
      <w:r>
        <w:t>digoksino</w:t>
      </w:r>
      <w:proofErr w:type="spellEnd"/>
      <w:r>
        <w:t xml:space="preserve"> (vaisto nuo širdies ligų) išskyrimą pro inkstus ir didinti jo koncentraciją kraujo plazmoje. </w:t>
      </w:r>
    </w:p>
    <w:p w14:paraId="5D02EF32" w14:textId="77777777" w:rsidR="00F4318C" w:rsidRDefault="00F4318C" w:rsidP="00F4318C">
      <w:pPr>
        <w:pStyle w:val="BTEMEASMCA"/>
      </w:pPr>
      <w:proofErr w:type="spellStart"/>
      <w:r>
        <w:t>Trimetoprimas</w:t>
      </w:r>
      <w:proofErr w:type="spellEnd"/>
      <w:r>
        <w:t xml:space="preserve"> ir </w:t>
      </w:r>
      <w:proofErr w:type="spellStart"/>
      <w:r>
        <w:t>trimetoprimas</w:t>
      </w:r>
      <w:proofErr w:type="spellEnd"/>
      <w:r>
        <w:t xml:space="preserve"> su </w:t>
      </w:r>
      <w:proofErr w:type="spellStart"/>
      <w:r>
        <w:t>sulfametoksazolu</w:t>
      </w:r>
      <w:proofErr w:type="spellEnd"/>
      <w:r>
        <w:t>.</w:t>
      </w:r>
    </w:p>
    <w:p w14:paraId="549F2CF3" w14:textId="77777777" w:rsidR="00F4318C" w:rsidRPr="003802BB" w:rsidRDefault="00F4318C" w:rsidP="00F4318C">
      <w:pPr>
        <w:pStyle w:val="BTEMEASMCA"/>
        <w:rPr>
          <w:i/>
          <w:iCs/>
        </w:rPr>
      </w:pPr>
      <w:proofErr w:type="spellStart"/>
      <w:r w:rsidRPr="003802BB">
        <w:rPr>
          <w:i/>
          <w:iCs/>
        </w:rPr>
        <w:t>Abirateronas</w:t>
      </w:r>
      <w:proofErr w:type="spellEnd"/>
    </w:p>
    <w:p w14:paraId="798C53AB" w14:textId="77777777" w:rsidR="00F4318C" w:rsidRDefault="00F4318C" w:rsidP="00F4318C">
      <w:pPr>
        <w:pStyle w:val="BTEMEASMCA"/>
      </w:pPr>
      <w:r w:rsidRPr="00A17619">
        <w:t xml:space="preserve">Pasakykite gydytojui, jeigu nuo prostatos vėžio esate gydomas </w:t>
      </w:r>
      <w:proofErr w:type="spellStart"/>
      <w:r w:rsidRPr="00A17619">
        <w:t>abirateronu</w:t>
      </w:r>
      <w:proofErr w:type="spellEnd"/>
      <w:r w:rsidRPr="00A17619">
        <w:t>.</w:t>
      </w:r>
    </w:p>
    <w:p w14:paraId="1772CED2" w14:textId="77777777" w:rsidR="00F4318C" w:rsidRPr="003802BB" w:rsidRDefault="00F4318C" w:rsidP="00F4318C">
      <w:pPr>
        <w:pStyle w:val="BTEMEASMCA"/>
        <w:rPr>
          <w:i/>
          <w:iCs/>
        </w:rPr>
      </w:pPr>
      <w:proofErr w:type="spellStart"/>
      <w:r w:rsidRPr="003802BB">
        <w:rPr>
          <w:i/>
          <w:iCs/>
        </w:rPr>
        <w:t>Mitotanas</w:t>
      </w:r>
      <w:proofErr w:type="spellEnd"/>
    </w:p>
    <w:p w14:paraId="2A74FFF8" w14:textId="77777777" w:rsidR="00F4318C" w:rsidRDefault="00F4318C" w:rsidP="00F4318C">
      <w:pPr>
        <w:pStyle w:val="BTEMEASMCA"/>
      </w:pPr>
      <w:r w:rsidRPr="003802BB">
        <w:t xml:space="preserve">Pasakykite gydytojui, jei vartojate </w:t>
      </w:r>
      <w:proofErr w:type="spellStart"/>
      <w:r w:rsidRPr="003802BB">
        <w:t>mitotaną</w:t>
      </w:r>
      <w:proofErr w:type="spellEnd"/>
      <w:r w:rsidRPr="003802BB">
        <w:t xml:space="preserve"> antinksčių piktybiniams navikams gydyti. Šio vaisto negalima vartoti kartu su </w:t>
      </w:r>
      <w:proofErr w:type="spellStart"/>
      <w:r w:rsidRPr="003802BB">
        <w:t>mitotanu</w:t>
      </w:r>
      <w:proofErr w:type="spellEnd"/>
      <w:r w:rsidRPr="003802BB">
        <w:t>.</w:t>
      </w:r>
    </w:p>
    <w:p w14:paraId="658C90FA" w14:textId="77777777" w:rsidR="00F4318C" w:rsidRPr="002F7ADF" w:rsidRDefault="00F4318C" w:rsidP="00F4318C">
      <w:pPr>
        <w:pStyle w:val="BTEMEASMCA"/>
      </w:pPr>
    </w:p>
    <w:p w14:paraId="5CA2B663" w14:textId="77777777" w:rsidR="00F4318C" w:rsidRDefault="00F4318C" w:rsidP="00F4318C">
      <w:pPr>
        <w:numPr>
          <w:ilvl w:val="12"/>
          <w:numId w:val="0"/>
        </w:numPr>
        <w:ind w:right="-2"/>
        <w:rPr>
          <w:sz w:val="22"/>
          <w:szCs w:val="22"/>
        </w:rPr>
      </w:pPr>
      <w:r>
        <w:rPr>
          <w:noProof/>
          <w:sz w:val="22"/>
          <w:szCs w:val="22"/>
        </w:rPr>
        <w:t>Jeigu vartojate ar neseniai vartojote kitų vaistų arba dėl to nesate tikri, apie tai pasakykite gydytojui arba vaistininkui.</w:t>
      </w:r>
    </w:p>
    <w:p w14:paraId="693BDF8F" w14:textId="77777777" w:rsidR="00F4318C" w:rsidRDefault="00F4318C" w:rsidP="00F4318C">
      <w:pPr>
        <w:pStyle w:val="BTEMEASMCA"/>
      </w:pPr>
    </w:p>
    <w:p w14:paraId="38FC6ADC" w14:textId="77777777" w:rsidR="00F4318C" w:rsidRDefault="00F4318C" w:rsidP="00F4318C">
      <w:pPr>
        <w:pStyle w:val="PI-3EMEASMCA"/>
      </w:pPr>
      <w:r>
        <w:t>Nėštumas ir žindymo laikotarpis</w:t>
      </w:r>
    </w:p>
    <w:p w14:paraId="469C41B4" w14:textId="77777777" w:rsidR="00F4318C" w:rsidRDefault="00F4318C" w:rsidP="00F4318C">
      <w:pPr>
        <w:numPr>
          <w:ilvl w:val="12"/>
          <w:numId w:val="0"/>
        </w:numPr>
        <w:rPr>
          <w:sz w:val="22"/>
          <w:szCs w:val="22"/>
        </w:rPr>
      </w:pPr>
      <w:r>
        <w:rPr>
          <w:noProof/>
          <w:sz w:val="22"/>
          <w:szCs w:val="22"/>
        </w:rPr>
        <w:t>Jeigu esate nėščia, žindote kūdikį, manote, kad galbūt esate nėščia, arba planuojate pastoti, tai prieš vartodama šį vaistą, pasitarkite su gydytoju arba vaistininku.</w:t>
      </w:r>
    </w:p>
    <w:p w14:paraId="739170AD" w14:textId="77777777" w:rsidR="00F4318C" w:rsidRDefault="00F4318C" w:rsidP="00F4318C">
      <w:pPr>
        <w:pStyle w:val="BTEMEASMCA"/>
      </w:pPr>
      <w:proofErr w:type="spellStart"/>
      <w:r>
        <w:t>Spirix</w:t>
      </w:r>
      <w:proofErr w:type="spellEnd"/>
      <w:r>
        <w:t xml:space="preserve"> nėščioms moterims vartoti negalima.</w:t>
      </w:r>
    </w:p>
    <w:p w14:paraId="2D9C9855" w14:textId="77777777" w:rsidR="00F4318C" w:rsidRDefault="00F4318C" w:rsidP="00F4318C">
      <w:pPr>
        <w:pStyle w:val="BTEMEASMCA"/>
      </w:pPr>
      <w:proofErr w:type="spellStart"/>
      <w:r>
        <w:t>Spirix</w:t>
      </w:r>
      <w:proofErr w:type="spellEnd"/>
      <w:r>
        <w:t xml:space="preserve"> žindymo laikotarpiu vartoti negalima. Jeigu šiuo vaistu gydyti neabejotinai būtina, kūdikio maitinimą krūtimi reikia nutraukti.</w:t>
      </w:r>
    </w:p>
    <w:p w14:paraId="6B8CB58A" w14:textId="77777777" w:rsidR="00F4318C" w:rsidRDefault="00F4318C" w:rsidP="00F4318C">
      <w:pPr>
        <w:pStyle w:val="BTEMEASMCA"/>
      </w:pPr>
    </w:p>
    <w:p w14:paraId="101D65F9" w14:textId="77777777" w:rsidR="00F4318C" w:rsidRDefault="00F4318C" w:rsidP="00F4318C">
      <w:pPr>
        <w:pStyle w:val="PI-3EMEASMCA"/>
      </w:pPr>
      <w:r>
        <w:t>Vairavimas ir mechanizmų valdymas</w:t>
      </w:r>
    </w:p>
    <w:p w14:paraId="52DDB83B" w14:textId="77777777" w:rsidR="00F4318C" w:rsidRDefault="00F4318C" w:rsidP="00F4318C">
      <w:pPr>
        <w:pStyle w:val="BTEMEASMCA"/>
      </w:pPr>
      <w:proofErr w:type="spellStart"/>
      <w:r>
        <w:t>Spirix</w:t>
      </w:r>
      <w:proofErr w:type="spellEnd"/>
      <w:r>
        <w:t xml:space="preserve"> gebėjimo vairuoti ir valdyti mechanizmus neveikia.</w:t>
      </w:r>
    </w:p>
    <w:p w14:paraId="1EF180CF" w14:textId="77777777" w:rsidR="00F4318C" w:rsidRDefault="00F4318C" w:rsidP="00F4318C">
      <w:pPr>
        <w:pStyle w:val="BTEMEASMCA"/>
      </w:pPr>
    </w:p>
    <w:p w14:paraId="31E742B7" w14:textId="77777777" w:rsidR="00F4318C" w:rsidRDefault="00F4318C" w:rsidP="00F4318C">
      <w:pPr>
        <w:pStyle w:val="PI-3EMEASMCA"/>
      </w:pPr>
      <w:proofErr w:type="spellStart"/>
      <w:r>
        <w:t>Spirix</w:t>
      </w:r>
      <w:proofErr w:type="spellEnd"/>
      <w:r>
        <w:t xml:space="preserve"> sudėtyje yra laktozės </w:t>
      </w:r>
      <w:proofErr w:type="spellStart"/>
      <w:r>
        <w:t>monohidrato</w:t>
      </w:r>
      <w:proofErr w:type="spellEnd"/>
      <w:r>
        <w:t xml:space="preserve"> </w:t>
      </w:r>
    </w:p>
    <w:p w14:paraId="0FF74531" w14:textId="77777777" w:rsidR="00F4318C" w:rsidRDefault="00F4318C" w:rsidP="00F4318C">
      <w:pPr>
        <w:pStyle w:val="BTEMEASMCA"/>
      </w:pPr>
      <w:r>
        <w:t>Jeigu gydytojas Jums yra sakęs, kad netoleruojate kokių nors angliavandenių, kreipkitės į jį prieš pradėdami vartoti šį vaistą.</w:t>
      </w:r>
    </w:p>
    <w:p w14:paraId="1C26330F" w14:textId="77777777" w:rsidR="00F4318C" w:rsidRDefault="00F4318C" w:rsidP="00F4318C">
      <w:pPr>
        <w:pStyle w:val="BTEMEASMCA"/>
      </w:pPr>
    </w:p>
    <w:p w14:paraId="00817A27" w14:textId="77777777" w:rsidR="00F4318C" w:rsidRDefault="00F4318C" w:rsidP="00F4318C">
      <w:pPr>
        <w:pStyle w:val="BTEMEASMCA"/>
      </w:pPr>
    </w:p>
    <w:p w14:paraId="0237EA63" w14:textId="77777777" w:rsidR="00F4318C" w:rsidRDefault="00F4318C" w:rsidP="00F4318C">
      <w:pPr>
        <w:pStyle w:val="PI-1EMEASMCA"/>
      </w:pPr>
      <w:bookmarkStart w:id="4" w:name="_Toc129243141"/>
      <w:bookmarkStart w:id="5" w:name="_Toc129243266"/>
      <w:r>
        <w:t>3.</w:t>
      </w:r>
      <w:r>
        <w:tab/>
      </w:r>
      <w:bookmarkEnd w:id="4"/>
      <w:bookmarkEnd w:id="5"/>
      <w:r>
        <w:t xml:space="preserve">Kaip vartoti </w:t>
      </w:r>
      <w:proofErr w:type="spellStart"/>
      <w:r>
        <w:t>Spirix</w:t>
      </w:r>
      <w:proofErr w:type="spellEnd"/>
    </w:p>
    <w:p w14:paraId="36277EA1" w14:textId="77777777" w:rsidR="00F4318C" w:rsidRDefault="00F4318C" w:rsidP="00F4318C">
      <w:pPr>
        <w:pStyle w:val="BTEMEASMCA"/>
      </w:pPr>
    </w:p>
    <w:p w14:paraId="2431C157" w14:textId="77777777" w:rsidR="00F4318C" w:rsidRDefault="00F4318C" w:rsidP="00F4318C">
      <w:pPr>
        <w:pStyle w:val="BTEMEASMCA"/>
      </w:pPr>
      <w:r>
        <w:t>Visada vartokite šį vaistą tiksliai kaip nurodė gydytojas. Jeigu abejojate, kreipkitės į gydytoją arba vaistininką.</w:t>
      </w:r>
    </w:p>
    <w:p w14:paraId="23D2DF7A" w14:textId="77777777" w:rsidR="00F4318C" w:rsidRDefault="00F4318C" w:rsidP="00F4318C">
      <w:pPr>
        <w:pStyle w:val="BTEMEASMCA"/>
      </w:pPr>
    </w:p>
    <w:p w14:paraId="6BD41FFD" w14:textId="77777777" w:rsidR="00F4318C" w:rsidRDefault="00F4318C" w:rsidP="00F4318C">
      <w:pPr>
        <w:tabs>
          <w:tab w:val="left" w:pos="567"/>
        </w:tabs>
        <w:ind w:left="567" w:hanging="567"/>
        <w:rPr>
          <w:b/>
          <w:sz w:val="22"/>
          <w:szCs w:val="22"/>
        </w:rPr>
      </w:pPr>
      <w:r>
        <w:rPr>
          <w:b/>
          <w:sz w:val="22"/>
          <w:szCs w:val="22"/>
        </w:rPr>
        <w:t>Dozavimas suaugusiems žmonėms</w:t>
      </w:r>
    </w:p>
    <w:p w14:paraId="43DC107D" w14:textId="77777777" w:rsidR="00F4318C" w:rsidRDefault="00F4318C" w:rsidP="00F4318C">
      <w:pPr>
        <w:tabs>
          <w:tab w:val="left" w:pos="567"/>
        </w:tabs>
        <w:ind w:left="567" w:hanging="567"/>
        <w:rPr>
          <w:sz w:val="22"/>
          <w:szCs w:val="22"/>
          <w:u w:val="single"/>
        </w:rPr>
      </w:pPr>
      <w:r>
        <w:rPr>
          <w:sz w:val="22"/>
          <w:szCs w:val="22"/>
          <w:u w:val="single"/>
        </w:rPr>
        <w:t xml:space="preserve">Pirminio </w:t>
      </w:r>
      <w:proofErr w:type="spellStart"/>
      <w:r>
        <w:rPr>
          <w:sz w:val="22"/>
          <w:szCs w:val="22"/>
          <w:u w:val="single"/>
        </w:rPr>
        <w:t>hiperaldosteronizmo</w:t>
      </w:r>
      <w:proofErr w:type="spellEnd"/>
      <w:r>
        <w:rPr>
          <w:sz w:val="22"/>
          <w:szCs w:val="22"/>
          <w:u w:val="single"/>
        </w:rPr>
        <w:t xml:space="preserve"> gydymas</w:t>
      </w:r>
    </w:p>
    <w:p w14:paraId="6C7174AF" w14:textId="77777777" w:rsidR="00F4318C" w:rsidRDefault="00F4318C" w:rsidP="00F4318C">
      <w:pPr>
        <w:tabs>
          <w:tab w:val="left" w:pos="567"/>
        </w:tabs>
        <w:rPr>
          <w:sz w:val="22"/>
          <w:szCs w:val="22"/>
        </w:rPr>
      </w:pPr>
      <w:r>
        <w:rPr>
          <w:sz w:val="22"/>
          <w:szCs w:val="22"/>
        </w:rPr>
        <w:lastRenderedPageBreak/>
        <w:t xml:space="preserve">Prieš chirurginį </w:t>
      </w:r>
      <w:proofErr w:type="spellStart"/>
      <w:r>
        <w:rPr>
          <w:sz w:val="22"/>
          <w:szCs w:val="22"/>
        </w:rPr>
        <w:t>hiperaldosteronizmo</w:t>
      </w:r>
      <w:proofErr w:type="spellEnd"/>
      <w:r>
        <w:rPr>
          <w:sz w:val="22"/>
          <w:szCs w:val="22"/>
        </w:rPr>
        <w:t xml:space="preserve"> gydymą galima vartoti 100 </w:t>
      </w:r>
      <w:r>
        <w:rPr>
          <w:sz w:val="22"/>
          <w:szCs w:val="22"/>
        </w:rPr>
        <w:noBreakHyphen/>
        <w:t> 400 mg paros dozę. Jei chirurginis gydymas neįmanomas, veiksminga ilgalaikio gydymo dozė turi būti parinkta pati mažiausia.</w:t>
      </w:r>
    </w:p>
    <w:p w14:paraId="57963F48" w14:textId="77777777" w:rsidR="00F4318C" w:rsidRDefault="00F4318C" w:rsidP="00F4318C">
      <w:pPr>
        <w:tabs>
          <w:tab w:val="left" w:pos="567"/>
        </w:tabs>
        <w:rPr>
          <w:sz w:val="22"/>
          <w:szCs w:val="22"/>
        </w:rPr>
      </w:pPr>
      <w:r>
        <w:rPr>
          <w:sz w:val="22"/>
          <w:szCs w:val="22"/>
          <w:u w:val="single"/>
        </w:rPr>
        <w:t xml:space="preserve">Pirminio </w:t>
      </w:r>
      <w:proofErr w:type="spellStart"/>
      <w:r>
        <w:rPr>
          <w:sz w:val="22"/>
          <w:szCs w:val="22"/>
          <w:u w:val="single"/>
        </w:rPr>
        <w:t>hiperaldosteronizmo</w:t>
      </w:r>
      <w:proofErr w:type="spellEnd"/>
      <w:r>
        <w:rPr>
          <w:sz w:val="22"/>
          <w:szCs w:val="22"/>
          <w:u w:val="single"/>
        </w:rPr>
        <w:t xml:space="preserve"> diagnostika</w:t>
      </w:r>
    </w:p>
    <w:p w14:paraId="3A06819A" w14:textId="77777777" w:rsidR="00F4318C" w:rsidRDefault="00F4318C" w:rsidP="00F4318C">
      <w:pPr>
        <w:pStyle w:val="BTEMEASMCA"/>
      </w:pPr>
      <w:r>
        <w:rPr>
          <w:i/>
        </w:rPr>
        <w:t>Ilgalaikis tyrimas.</w:t>
      </w:r>
      <w:r>
        <w:t xml:space="preserve"> </w:t>
      </w:r>
      <w:proofErr w:type="spellStart"/>
      <w:r>
        <w:t>Spironolaktono</w:t>
      </w:r>
      <w:proofErr w:type="spellEnd"/>
      <w:r>
        <w:t xml:space="preserve"> paros dozė yra 400 mg. Ji geriama lygiomis dalimis per 2 – 4 </w:t>
      </w:r>
    </w:p>
    <w:p w14:paraId="26A6BF9F" w14:textId="77777777" w:rsidR="00F4318C" w:rsidRDefault="00F4318C" w:rsidP="00F4318C">
      <w:pPr>
        <w:pStyle w:val="BTEMEASMCA"/>
      </w:pPr>
      <w:r>
        <w:t xml:space="preserve">kartus 3 – 4 savaites. </w:t>
      </w:r>
      <w:proofErr w:type="spellStart"/>
      <w:r>
        <w:t>Hipokalemijos</w:t>
      </w:r>
      <w:proofErr w:type="spellEnd"/>
      <w:r>
        <w:t xml:space="preserve"> (sumažėjusio kalio kiekio kraujyje) ir hipertenzijos (didelio kraujospūdžio ligos) korekcija patvirtina galimą pirminio </w:t>
      </w:r>
      <w:proofErr w:type="spellStart"/>
      <w:r>
        <w:t>hiperaldosteronizmo</w:t>
      </w:r>
      <w:proofErr w:type="spellEnd"/>
      <w:r>
        <w:t xml:space="preserve"> diagnozę.</w:t>
      </w:r>
    </w:p>
    <w:p w14:paraId="661205F5" w14:textId="77777777" w:rsidR="00F4318C" w:rsidRDefault="00F4318C" w:rsidP="00F4318C">
      <w:pPr>
        <w:pStyle w:val="BTEMEASMCA"/>
      </w:pPr>
      <w:r>
        <w:rPr>
          <w:i/>
        </w:rPr>
        <w:t>Trumpalaikis tyrimas.</w:t>
      </w:r>
      <w:r>
        <w:t xml:space="preserve"> </w:t>
      </w:r>
      <w:proofErr w:type="spellStart"/>
      <w:r>
        <w:t>Spironolaktono</w:t>
      </w:r>
      <w:proofErr w:type="spellEnd"/>
      <w:r>
        <w:t xml:space="preserve"> paros dozė yra 400 mg. Ji geriama lygiomis dalimis per 2 – 4 </w:t>
      </w:r>
    </w:p>
    <w:p w14:paraId="5C7B87FB" w14:textId="77777777" w:rsidR="00F4318C" w:rsidRDefault="00F4318C" w:rsidP="00F4318C">
      <w:pPr>
        <w:pStyle w:val="BTEMEASMCA"/>
      </w:pPr>
      <w:r>
        <w:t xml:space="preserve">kartus 4 dienas. Jei vaisto vartojant kraujo serume kalio padaugėja, o nutraukus </w:t>
      </w:r>
      <w:proofErr w:type="spellStart"/>
      <w:r>
        <w:t>spironolaktono</w:t>
      </w:r>
      <w:proofErr w:type="spellEnd"/>
      <w:r>
        <w:t xml:space="preserve"> vartojimą sumažėja, tai patvirtina galimą pirminio </w:t>
      </w:r>
      <w:proofErr w:type="spellStart"/>
      <w:r>
        <w:t>hiperaldosteronizmo</w:t>
      </w:r>
      <w:proofErr w:type="spellEnd"/>
      <w:r>
        <w:t xml:space="preserve"> diagnozę.</w:t>
      </w:r>
    </w:p>
    <w:p w14:paraId="0A1C8B51" w14:textId="77777777" w:rsidR="00F4318C" w:rsidRDefault="00F4318C" w:rsidP="00F4318C">
      <w:pPr>
        <w:pStyle w:val="BTEMEASMCA"/>
      </w:pPr>
    </w:p>
    <w:p w14:paraId="041961D2" w14:textId="77777777" w:rsidR="00F4318C" w:rsidRDefault="00F4318C" w:rsidP="00F4318C">
      <w:pPr>
        <w:tabs>
          <w:tab w:val="left" w:pos="567"/>
        </w:tabs>
        <w:ind w:left="567" w:hanging="567"/>
        <w:rPr>
          <w:sz w:val="22"/>
          <w:szCs w:val="22"/>
          <w:u w:val="single"/>
        </w:rPr>
      </w:pPr>
      <w:r>
        <w:rPr>
          <w:sz w:val="22"/>
          <w:szCs w:val="22"/>
          <w:u w:val="single"/>
        </w:rPr>
        <w:t xml:space="preserve">Edemų (patinimo) ir </w:t>
      </w:r>
      <w:proofErr w:type="spellStart"/>
      <w:r>
        <w:rPr>
          <w:sz w:val="22"/>
          <w:szCs w:val="22"/>
          <w:u w:val="single"/>
        </w:rPr>
        <w:t>ascito</w:t>
      </w:r>
      <w:proofErr w:type="spellEnd"/>
      <w:r>
        <w:rPr>
          <w:sz w:val="22"/>
          <w:szCs w:val="22"/>
          <w:u w:val="single"/>
        </w:rPr>
        <w:t xml:space="preserve"> (skysčio kaupimosi pilvaplėvės ertmėje) mažinimas</w:t>
      </w:r>
    </w:p>
    <w:p w14:paraId="5CCA5C07" w14:textId="77777777" w:rsidR="00F4318C" w:rsidRDefault="00F4318C" w:rsidP="00F4318C">
      <w:pPr>
        <w:tabs>
          <w:tab w:val="left" w:pos="567"/>
        </w:tabs>
        <w:rPr>
          <w:sz w:val="22"/>
          <w:szCs w:val="22"/>
        </w:rPr>
      </w:pPr>
      <w:r>
        <w:rPr>
          <w:sz w:val="22"/>
          <w:szCs w:val="22"/>
        </w:rPr>
        <w:t>Pradinė paros dozė yra 100 mg. Ji išgeriama iš karto arba padalyta per 2 - 4 kartus. Po 5 gydymo dienų parenkama palaikomoji paros dozė, paprastai 25 </w:t>
      </w:r>
      <w:r>
        <w:rPr>
          <w:sz w:val="22"/>
          <w:szCs w:val="22"/>
        </w:rPr>
        <w:noBreakHyphen/>
        <w:t> 200 mg.</w:t>
      </w:r>
    </w:p>
    <w:p w14:paraId="5A394EDC" w14:textId="77777777" w:rsidR="00F4318C" w:rsidRDefault="00F4318C" w:rsidP="00F4318C">
      <w:pPr>
        <w:tabs>
          <w:tab w:val="left" w:pos="567"/>
        </w:tabs>
        <w:rPr>
          <w:sz w:val="22"/>
          <w:szCs w:val="22"/>
        </w:rPr>
      </w:pPr>
      <w:r>
        <w:rPr>
          <w:i/>
          <w:sz w:val="22"/>
          <w:szCs w:val="22"/>
        </w:rPr>
        <w:t xml:space="preserve">Lėtinis širdies veiklos nepakankamumas. </w:t>
      </w:r>
      <w:r>
        <w:rPr>
          <w:sz w:val="22"/>
          <w:szCs w:val="22"/>
        </w:rPr>
        <w:t>Palaikomoji gydymo paros dozė yra 25 mg.</w:t>
      </w:r>
    </w:p>
    <w:p w14:paraId="6393315A" w14:textId="77777777" w:rsidR="00F4318C" w:rsidRDefault="00F4318C" w:rsidP="00F4318C">
      <w:pPr>
        <w:tabs>
          <w:tab w:val="left" w:pos="567"/>
        </w:tabs>
        <w:rPr>
          <w:sz w:val="22"/>
          <w:szCs w:val="22"/>
        </w:rPr>
      </w:pPr>
    </w:p>
    <w:p w14:paraId="20D924F6" w14:textId="77777777" w:rsidR="00F4318C" w:rsidRDefault="00F4318C" w:rsidP="00F4318C">
      <w:pPr>
        <w:tabs>
          <w:tab w:val="left" w:pos="567"/>
        </w:tabs>
        <w:rPr>
          <w:sz w:val="22"/>
          <w:szCs w:val="22"/>
          <w:u w:val="single"/>
        </w:rPr>
      </w:pPr>
      <w:r>
        <w:rPr>
          <w:sz w:val="22"/>
          <w:szCs w:val="22"/>
          <w:u w:val="single"/>
        </w:rPr>
        <w:t>Papildomas pirminės arterinės hipertenzijos (didelio kraujospūdžio ligos) gydymas</w:t>
      </w:r>
    </w:p>
    <w:p w14:paraId="456BADFC" w14:textId="77777777" w:rsidR="00F4318C" w:rsidRDefault="00F4318C" w:rsidP="00F4318C">
      <w:pPr>
        <w:tabs>
          <w:tab w:val="left" w:pos="567"/>
        </w:tabs>
        <w:rPr>
          <w:sz w:val="22"/>
          <w:szCs w:val="22"/>
        </w:rPr>
      </w:pPr>
      <w:r>
        <w:rPr>
          <w:sz w:val="22"/>
          <w:szCs w:val="22"/>
        </w:rPr>
        <w:t xml:space="preserve">Pradinė paros dozė yra 50 – 100 mg. Ji išgeriama per 1 - 2 kartus, derinant su kitokiais vaistais nuo hipertenzijos. Stipriausias </w:t>
      </w:r>
      <w:proofErr w:type="spellStart"/>
      <w:r>
        <w:rPr>
          <w:sz w:val="22"/>
          <w:szCs w:val="22"/>
        </w:rPr>
        <w:t>antihipertenzinis</w:t>
      </w:r>
      <w:proofErr w:type="spellEnd"/>
      <w:r>
        <w:rPr>
          <w:sz w:val="22"/>
          <w:szCs w:val="22"/>
        </w:rPr>
        <w:t xml:space="preserve"> poveikis atsiranda po dviejų savaičių. Vėliau dozę reikia koreguoti, atsižvelgiant į paciento reakciją į medikamentą.</w:t>
      </w:r>
    </w:p>
    <w:p w14:paraId="4EFE745D" w14:textId="77777777" w:rsidR="00F4318C" w:rsidRDefault="00F4318C" w:rsidP="00F4318C">
      <w:pPr>
        <w:tabs>
          <w:tab w:val="left" w:pos="567"/>
        </w:tabs>
        <w:rPr>
          <w:b/>
          <w:sz w:val="22"/>
          <w:szCs w:val="22"/>
        </w:rPr>
      </w:pPr>
    </w:p>
    <w:p w14:paraId="12C2E922" w14:textId="77777777" w:rsidR="00F4318C" w:rsidRDefault="00F4318C" w:rsidP="00F4318C">
      <w:pPr>
        <w:tabs>
          <w:tab w:val="left" w:pos="567"/>
        </w:tabs>
        <w:rPr>
          <w:b/>
          <w:sz w:val="22"/>
          <w:szCs w:val="22"/>
        </w:rPr>
      </w:pPr>
      <w:r>
        <w:rPr>
          <w:b/>
          <w:sz w:val="22"/>
          <w:szCs w:val="22"/>
        </w:rPr>
        <w:t>Vartojimas vaikams</w:t>
      </w:r>
    </w:p>
    <w:p w14:paraId="5A766C8E" w14:textId="77777777" w:rsidR="00F4318C" w:rsidRDefault="00F4318C" w:rsidP="00F4318C">
      <w:pPr>
        <w:tabs>
          <w:tab w:val="left" w:pos="567"/>
        </w:tabs>
        <w:rPr>
          <w:sz w:val="22"/>
          <w:szCs w:val="22"/>
        </w:rPr>
      </w:pPr>
      <w:r>
        <w:rPr>
          <w:sz w:val="22"/>
          <w:szCs w:val="22"/>
        </w:rPr>
        <w:t xml:space="preserve">Pradinė </w:t>
      </w:r>
      <w:proofErr w:type="spellStart"/>
      <w:r>
        <w:rPr>
          <w:sz w:val="22"/>
          <w:szCs w:val="22"/>
        </w:rPr>
        <w:t>spironolaktono</w:t>
      </w:r>
      <w:proofErr w:type="spellEnd"/>
      <w:r>
        <w:rPr>
          <w:sz w:val="22"/>
          <w:szCs w:val="22"/>
        </w:rPr>
        <w:t xml:space="preserve"> paros dozė yra 1 </w:t>
      </w:r>
      <w:r>
        <w:rPr>
          <w:sz w:val="22"/>
          <w:szCs w:val="22"/>
        </w:rPr>
        <w:noBreakHyphen/>
        <w:t> 3 mg/kg kūno svorio. Ji išgeriama iš karto arba per 2 – 4 kartus. Jei skiriamas palaikomasis gydymas arba jei vaisto vartojama su kitokiais diuretikais, dozę reikia mažinti ir vartoti 1 </w:t>
      </w:r>
      <w:r>
        <w:rPr>
          <w:sz w:val="22"/>
          <w:szCs w:val="22"/>
        </w:rPr>
        <w:noBreakHyphen/>
        <w:t> 2 mg/kg kūno svorio per parą.</w:t>
      </w:r>
    </w:p>
    <w:p w14:paraId="0C2F6E10" w14:textId="77777777" w:rsidR="00F4318C" w:rsidRDefault="00F4318C" w:rsidP="00F4318C">
      <w:pPr>
        <w:pStyle w:val="BTEMEASMCA"/>
      </w:pPr>
      <w:r>
        <w:t>Šią tabletę galima padalyti į lygias dozes.</w:t>
      </w:r>
    </w:p>
    <w:p w14:paraId="129E1390" w14:textId="77777777" w:rsidR="00F4318C" w:rsidRDefault="00F4318C" w:rsidP="00F4318C">
      <w:pPr>
        <w:tabs>
          <w:tab w:val="left" w:pos="567"/>
        </w:tabs>
        <w:rPr>
          <w:b/>
          <w:sz w:val="22"/>
          <w:szCs w:val="22"/>
        </w:rPr>
      </w:pPr>
    </w:p>
    <w:p w14:paraId="5561342F" w14:textId="77777777" w:rsidR="00F4318C" w:rsidRDefault="00F4318C" w:rsidP="00F4318C">
      <w:pPr>
        <w:tabs>
          <w:tab w:val="left" w:pos="567"/>
        </w:tabs>
        <w:rPr>
          <w:b/>
          <w:sz w:val="22"/>
          <w:szCs w:val="22"/>
        </w:rPr>
      </w:pPr>
      <w:r>
        <w:rPr>
          <w:b/>
          <w:sz w:val="22"/>
          <w:szCs w:val="22"/>
        </w:rPr>
        <w:t>Dozavimas senyviems pacientams</w:t>
      </w:r>
    </w:p>
    <w:p w14:paraId="0D1BC3BF" w14:textId="77777777" w:rsidR="00F4318C" w:rsidRDefault="00F4318C" w:rsidP="00F4318C">
      <w:pPr>
        <w:tabs>
          <w:tab w:val="left" w:pos="567"/>
        </w:tabs>
        <w:rPr>
          <w:sz w:val="22"/>
          <w:szCs w:val="22"/>
        </w:rPr>
      </w:pPr>
      <w:r>
        <w:rPr>
          <w:sz w:val="22"/>
          <w:szCs w:val="22"/>
        </w:rPr>
        <w:t>Dėl amžiaus dozės paprastai koreguoti nereikia, bet būtina atsižvelgti į labai didelės kalio koncentracijos kraujyje pavojų.</w:t>
      </w:r>
    </w:p>
    <w:p w14:paraId="7D31339A" w14:textId="77777777" w:rsidR="00F4318C" w:rsidRDefault="00F4318C" w:rsidP="00F4318C">
      <w:pPr>
        <w:tabs>
          <w:tab w:val="left" w:pos="567"/>
        </w:tabs>
        <w:rPr>
          <w:sz w:val="22"/>
          <w:szCs w:val="22"/>
        </w:rPr>
      </w:pPr>
    </w:p>
    <w:p w14:paraId="63958425" w14:textId="77777777" w:rsidR="00F4318C" w:rsidRDefault="00F4318C" w:rsidP="00F4318C">
      <w:pPr>
        <w:tabs>
          <w:tab w:val="left" w:pos="567"/>
        </w:tabs>
        <w:rPr>
          <w:b/>
          <w:sz w:val="22"/>
          <w:szCs w:val="22"/>
        </w:rPr>
      </w:pPr>
      <w:r>
        <w:rPr>
          <w:b/>
          <w:sz w:val="22"/>
          <w:szCs w:val="22"/>
        </w:rPr>
        <w:t>Vartojimo instrukcija</w:t>
      </w:r>
    </w:p>
    <w:p w14:paraId="79FB5A2D" w14:textId="77777777" w:rsidR="00F4318C" w:rsidRDefault="00F4318C" w:rsidP="00F4318C">
      <w:pPr>
        <w:tabs>
          <w:tab w:val="left" w:pos="567"/>
        </w:tabs>
        <w:rPr>
          <w:sz w:val="22"/>
          <w:szCs w:val="22"/>
        </w:rPr>
      </w:pPr>
      <w:r>
        <w:rPr>
          <w:sz w:val="22"/>
          <w:szCs w:val="22"/>
        </w:rPr>
        <w:t>Tabletė užgeriama stikline vandens. Tabletę rekomenduojama nuryti sveiką, bet, jei reikia, ją galima perlaužti, kramtyti ar smulkinti.</w:t>
      </w:r>
    </w:p>
    <w:p w14:paraId="3ABF6F47" w14:textId="77777777" w:rsidR="00F4318C" w:rsidRDefault="00F4318C" w:rsidP="00F4318C">
      <w:pPr>
        <w:pStyle w:val="BTEMEASMCA"/>
      </w:pPr>
    </w:p>
    <w:p w14:paraId="5D1CC53E" w14:textId="77777777" w:rsidR="00F4318C" w:rsidRDefault="00F4318C" w:rsidP="00F4318C">
      <w:pPr>
        <w:pStyle w:val="PI-3EMEASMCA"/>
      </w:pPr>
      <w:r>
        <w:t xml:space="preserve">Ką daryti pavartojus per didelę </w:t>
      </w:r>
      <w:proofErr w:type="spellStart"/>
      <w:r>
        <w:t>Spirix</w:t>
      </w:r>
      <w:proofErr w:type="spellEnd"/>
      <w:r>
        <w:t xml:space="preserve"> dozę?</w:t>
      </w:r>
    </w:p>
    <w:p w14:paraId="33C7BC2F" w14:textId="77777777" w:rsidR="00F4318C" w:rsidRDefault="00F4318C" w:rsidP="00F4318C">
      <w:pPr>
        <w:pStyle w:val="BTEMEASMCA"/>
      </w:pPr>
      <w:r>
        <w:t>Perdozavus gali labai padidėti kalio koncentracija serume, atsirasti apsnūdimas, neįprastas sumišimas ir širdies ritmo sutrikimas.</w:t>
      </w:r>
    </w:p>
    <w:p w14:paraId="108B16B1" w14:textId="77777777" w:rsidR="00F4318C" w:rsidRDefault="00F4318C" w:rsidP="00F4318C">
      <w:pPr>
        <w:pStyle w:val="BTEMEASMCA"/>
      </w:pPr>
      <w:r>
        <w:t>Išgėrus per daug vaisto, reikia kreiptis į gydytoją arba artimiausią ligoninę.</w:t>
      </w:r>
    </w:p>
    <w:p w14:paraId="42F23FF2" w14:textId="77777777" w:rsidR="00F4318C" w:rsidRDefault="00F4318C" w:rsidP="00F4318C">
      <w:pPr>
        <w:pStyle w:val="BTEMEASMCA"/>
      </w:pPr>
    </w:p>
    <w:p w14:paraId="628BF0DE" w14:textId="77777777" w:rsidR="00F4318C" w:rsidRDefault="00F4318C" w:rsidP="00F4318C">
      <w:pPr>
        <w:pStyle w:val="BTEMEASMCA"/>
      </w:pPr>
    </w:p>
    <w:p w14:paraId="2DA45934" w14:textId="77777777" w:rsidR="00F4318C" w:rsidRDefault="00F4318C" w:rsidP="00F4318C">
      <w:pPr>
        <w:pStyle w:val="PI-1EMEASMCA"/>
      </w:pPr>
      <w:bookmarkStart w:id="6" w:name="_Toc129243142"/>
      <w:bookmarkStart w:id="7" w:name="_Toc129243267"/>
      <w:r>
        <w:t>4.</w:t>
      </w:r>
      <w:r>
        <w:tab/>
      </w:r>
      <w:bookmarkEnd w:id="6"/>
      <w:bookmarkEnd w:id="7"/>
      <w:r>
        <w:t>Galimas šalutinis poveikis</w:t>
      </w:r>
    </w:p>
    <w:p w14:paraId="14FEF097" w14:textId="77777777" w:rsidR="00F4318C" w:rsidRDefault="00F4318C" w:rsidP="00F4318C">
      <w:pPr>
        <w:pStyle w:val="BTEMEASMCA"/>
      </w:pPr>
    </w:p>
    <w:p w14:paraId="13609C63" w14:textId="77777777" w:rsidR="00F4318C" w:rsidRDefault="00F4318C" w:rsidP="00F4318C">
      <w:pPr>
        <w:pStyle w:val="BTEMEASMCA"/>
      </w:pPr>
      <w:r>
        <w:t>Šis vaistas, kaip ir visi kiti, gali sukelti šalutinį poveikį, nors jis pasireiškia ne visiems žmonėms.</w:t>
      </w:r>
    </w:p>
    <w:p w14:paraId="7C5C3909" w14:textId="77777777" w:rsidR="00F4318C" w:rsidRDefault="00F4318C" w:rsidP="00F4318C">
      <w:pPr>
        <w:pStyle w:val="BTEMEASMCA"/>
      </w:pPr>
    </w:p>
    <w:p w14:paraId="7904FB83" w14:textId="77777777" w:rsidR="00F4318C" w:rsidRDefault="00F4318C" w:rsidP="00F4318C">
      <w:pPr>
        <w:numPr>
          <w:ilvl w:val="12"/>
          <w:numId w:val="0"/>
        </w:numPr>
        <w:tabs>
          <w:tab w:val="left" w:pos="567"/>
        </w:tabs>
        <w:ind w:right="-2"/>
        <w:rPr>
          <w:b/>
          <w:bCs/>
          <w:noProof/>
          <w:snapToGrid w:val="0"/>
          <w:sz w:val="22"/>
          <w:szCs w:val="22"/>
        </w:rPr>
      </w:pPr>
      <w:r w:rsidRPr="005D554B">
        <w:rPr>
          <w:b/>
          <w:bCs/>
          <w:noProof/>
          <w:snapToGrid w:val="0"/>
          <w:sz w:val="22"/>
          <w:szCs w:val="22"/>
        </w:rPr>
        <w:t>Labai dažni šalutinio poveikio reiškiniai (gali pasireikšti ne rečiau kaip 1 iš 10 asmenų)</w:t>
      </w:r>
      <w:r>
        <w:rPr>
          <w:b/>
          <w:bCs/>
          <w:noProof/>
          <w:snapToGrid w:val="0"/>
          <w:sz w:val="22"/>
          <w:szCs w:val="22"/>
        </w:rPr>
        <w:t>:</w:t>
      </w:r>
    </w:p>
    <w:p w14:paraId="4F31CA7F" w14:textId="77777777" w:rsidR="00F4318C" w:rsidRDefault="00F4318C" w:rsidP="00F4318C">
      <w:pPr>
        <w:numPr>
          <w:ilvl w:val="12"/>
          <w:numId w:val="0"/>
        </w:numPr>
        <w:tabs>
          <w:tab w:val="left" w:pos="567"/>
        </w:tabs>
        <w:ind w:right="-2"/>
        <w:rPr>
          <w:sz w:val="22"/>
          <w:szCs w:val="22"/>
        </w:rPr>
      </w:pPr>
      <w:r>
        <w:rPr>
          <w:sz w:val="22"/>
          <w:szCs w:val="22"/>
        </w:rPr>
        <w:t>labai didelė kalio koncentracija kraujyje (pacientams, kuriems yra inkstų veiklos nepakankamumas ar kurie vartoja kalio papildų), širdies ritmo sutrikimas dėl per didelės kalio koncentracijos kraujyje (pacientams, kuriems yra inkstų veiklos nepakankamumas ar kurie vartoja kalio papildų), lytinio potraukio sumažėjimas, erekcijos sutrikimas ir krūtų padidėjimas (vyrams), krūtų padidėjimas, skausmingumas bei menstruacijų nenormalumas (moterims).</w:t>
      </w:r>
    </w:p>
    <w:p w14:paraId="4432585B" w14:textId="77777777" w:rsidR="00F4318C" w:rsidRDefault="00F4318C" w:rsidP="00F4318C">
      <w:pPr>
        <w:numPr>
          <w:ilvl w:val="12"/>
          <w:numId w:val="0"/>
        </w:numPr>
        <w:tabs>
          <w:tab w:val="left" w:pos="567"/>
        </w:tabs>
        <w:ind w:right="-2"/>
        <w:rPr>
          <w:i/>
          <w:sz w:val="22"/>
          <w:szCs w:val="22"/>
        </w:rPr>
      </w:pPr>
    </w:p>
    <w:p w14:paraId="5A747C50" w14:textId="77777777" w:rsidR="00F4318C" w:rsidRDefault="00F4318C" w:rsidP="00F4318C">
      <w:pPr>
        <w:numPr>
          <w:ilvl w:val="12"/>
          <w:numId w:val="0"/>
        </w:numPr>
        <w:tabs>
          <w:tab w:val="left" w:pos="567"/>
        </w:tabs>
        <w:ind w:right="-2"/>
        <w:rPr>
          <w:sz w:val="22"/>
          <w:szCs w:val="22"/>
        </w:rPr>
      </w:pPr>
      <w:r w:rsidRPr="005D554B">
        <w:rPr>
          <w:b/>
          <w:bCs/>
          <w:noProof/>
          <w:snapToGrid w:val="0"/>
          <w:sz w:val="22"/>
          <w:szCs w:val="22"/>
        </w:rPr>
        <w:t>Dažni šalutinio poveikio reiškiniai (gali pasireikšti rečiau kaip 1 iš 10 asmenų)</w:t>
      </w:r>
      <w:r>
        <w:rPr>
          <w:sz w:val="22"/>
          <w:szCs w:val="22"/>
        </w:rPr>
        <w:t>:</w:t>
      </w:r>
    </w:p>
    <w:p w14:paraId="41D2006C" w14:textId="77777777" w:rsidR="00F4318C" w:rsidRDefault="00F4318C" w:rsidP="00F4318C">
      <w:pPr>
        <w:numPr>
          <w:ilvl w:val="12"/>
          <w:numId w:val="0"/>
        </w:numPr>
        <w:tabs>
          <w:tab w:val="left" w:pos="567"/>
        </w:tabs>
        <w:ind w:right="-2"/>
        <w:rPr>
          <w:sz w:val="22"/>
          <w:szCs w:val="22"/>
        </w:rPr>
      </w:pPr>
      <w:r>
        <w:rPr>
          <w:sz w:val="22"/>
          <w:szCs w:val="22"/>
        </w:rPr>
        <w:t>labai didelė kalio koncentracija kraujyje (senyviems, cukriniu diabetu sergantiems ar AKF inhibitorių vartojantiems pacientams), pykinimas, vėmimas, makšties sausumas, lytinio potraukio sumažėjimas ir vartojant labai didelę (450 mg) paros dozę – nevaisingumas.</w:t>
      </w:r>
    </w:p>
    <w:p w14:paraId="306716A3" w14:textId="77777777" w:rsidR="00F4318C" w:rsidRDefault="00F4318C" w:rsidP="00F4318C">
      <w:pPr>
        <w:numPr>
          <w:ilvl w:val="12"/>
          <w:numId w:val="0"/>
        </w:numPr>
        <w:tabs>
          <w:tab w:val="left" w:pos="567"/>
        </w:tabs>
        <w:ind w:right="-2"/>
        <w:rPr>
          <w:i/>
          <w:sz w:val="22"/>
          <w:szCs w:val="22"/>
        </w:rPr>
      </w:pPr>
    </w:p>
    <w:p w14:paraId="7DDC382A" w14:textId="77777777" w:rsidR="00F4318C" w:rsidRDefault="00F4318C" w:rsidP="00F4318C">
      <w:pPr>
        <w:numPr>
          <w:ilvl w:val="12"/>
          <w:numId w:val="0"/>
        </w:numPr>
        <w:tabs>
          <w:tab w:val="left" w:pos="567"/>
        </w:tabs>
        <w:ind w:right="-2"/>
        <w:rPr>
          <w:sz w:val="22"/>
          <w:szCs w:val="22"/>
        </w:rPr>
      </w:pPr>
      <w:r w:rsidRPr="005D554B">
        <w:rPr>
          <w:b/>
          <w:bCs/>
          <w:noProof/>
          <w:snapToGrid w:val="0"/>
          <w:sz w:val="22"/>
          <w:szCs w:val="22"/>
        </w:rPr>
        <w:t>Nedažni šalutinio poveikio reiškiniai (gali pasireikšti rečiau kaip 1 iš 100 asmenų):</w:t>
      </w:r>
    </w:p>
    <w:p w14:paraId="04639201" w14:textId="77777777" w:rsidR="00F4318C" w:rsidRDefault="00F4318C" w:rsidP="00F4318C">
      <w:pPr>
        <w:numPr>
          <w:ilvl w:val="12"/>
          <w:numId w:val="0"/>
        </w:numPr>
        <w:tabs>
          <w:tab w:val="left" w:pos="567"/>
        </w:tabs>
        <w:ind w:right="-2"/>
        <w:rPr>
          <w:sz w:val="22"/>
          <w:szCs w:val="22"/>
        </w:rPr>
      </w:pPr>
      <w:r>
        <w:rPr>
          <w:sz w:val="22"/>
          <w:szCs w:val="22"/>
        </w:rPr>
        <w:t>silpnumas, neįprastas sumišimas ir apsnūdimas (kepenų ciroze sergantiems ligoniams), galvos skausmas.</w:t>
      </w:r>
    </w:p>
    <w:p w14:paraId="7AE4F5D2" w14:textId="77777777" w:rsidR="00F4318C" w:rsidRDefault="00F4318C" w:rsidP="00F4318C">
      <w:pPr>
        <w:numPr>
          <w:ilvl w:val="12"/>
          <w:numId w:val="0"/>
        </w:numPr>
        <w:tabs>
          <w:tab w:val="left" w:pos="567"/>
        </w:tabs>
        <w:ind w:right="-2"/>
        <w:rPr>
          <w:sz w:val="22"/>
          <w:szCs w:val="22"/>
        </w:rPr>
      </w:pPr>
    </w:p>
    <w:p w14:paraId="3CB761BD" w14:textId="77777777" w:rsidR="00F4318C" w:rsidRDefault="00F4318C" w:rsidP="00F4318C">
      <w:pPr>
        <w:numPr>
          <w:ilvl w:val="12"/>
          <w:numId w:val="0"/>
        </w:numPr>
        <w:tabs>
          <w:tab w:val="left" w:pos="567"/>
        </w:tabs>
        <w:ind w:right="-2"/>
        <w:rPr>
          <w:sz w:val="22"/>
          <w:szCs w:val="22"/>
        </w:rPr>
      </w:pPr>
      <w:r w:rsidRPr="005D554B">
        <w:rPr>
          <w:b/>
          <w:bCs/>
          <w:noProof/>
          <w:snapToGrid w:val="0"/>
          <w:sz w:val="22"/>
          <w:szCs w:val="22"/>
        </w:rPr>
        <w:t>Reti šalutinio poveikio reiškiniai (gali pasireikšti rečiau kaip 1 iš 1 000 asmenų):</w:t>
      </w:r>
    </w:p>
    <w:p w14:paraId="622D7197" w14:textId="77777777" w:rsidR="00F4318C" w:rsidRDefault="00F4318C" w:rsidP="00F4318C">
      <w:pPr>
        <w:numPr>
          <w:ilvl w:val="12"/>
          <w:numId w:val="0"/>
        </w:numPr>
        <w:tabs>
          <w:tab w:val="left" w:pos="567"/>
        </w:tabs>
        <w:ind w:right="-2"/>
        <w:rPr>
          <w:sz w:val="22"/>
          <w:szCs w:val="22"/>
        </w:rPr>
      </w:pPr>
      <w:r>
        <w:rPr>
          <w:sz w:val="22"/>
          <w:szCs w:val="22"/>
        </w:rPr>
        <w:t>kraujo pokytis (</w:t>
      </w:r>
      <w:proofErr w:type="spellStart"/>
      <w:r>
        <w:rPr>
          <w:sz w:val="22"/>
          <w:szCs w:val="22"/>
        </w:rPr>
        <w:t>eozinofilų</w:t>
      </w:r>
      <w:proofErr w:type="spellEnd"/>
      <w:r>
        <w:rPr>
          <w:sz w:val="22"/>
          <w:szCs w:val="22"/>
        </w:rPr>
        <w:t xml:space="preserve"> kiekio padidėjimas), natrio stygius kraujyje, per didelis skysčių netekimas, per didelė </w:t>
      </w:r>
      <w:proofErr w:type="spellStart"/>
      <w:r>
        <w:rPr>
          <w:sz w:val="22"/>
          <w:szCs w:val="22"/>
        </w:rPr>
        <w:t>porfirino</w:t>
      </w:r>
      <w:proofErr w:type="spellEnd"/>
      <w:r>
        <w:rPr>
          <w:sz w:val="22"/>
          <w:szCs w:val="22"/>
        </w:rPr>
        <w:t xml:space="preserve"> koncentracija kraujyje ir šlapime, odos išbėrimas, skrandžio uždegimas, skrandžio išopėjimas, kraujavimas iš skrandžio, pilvo skausmas ir viduriavimas.</w:t>
      </w:r>
    </w:p>
    <w:p w14:paraId="046B9735" w14:textId="77777777" w:rsidR="00F4318C" w:rsidRDefault="00F4318C" w:rsidP="00F4318C">
      <w:pPr>
        <w:numPr>
          <w:ilvl w:val="12"/>
          <w:numId w:val="0"/>
        </w:numPr>
        <w:tabs>
          <w:tab w:val="left" w:pos="567"/>
        </w:tabs>
        <w:ind w:right="-2"/>
        <w:rPr>
          <w:sz w:val="22"/>
          <w:szCs w:val="22"/>
        </w:rPr>
      </w:pPr>
    </w:p>
    <w:p w14:paraId="2E948E91" w14:textId="77777777" w:rsidR="00F4318C" w:rsidRDefault="00F4318C" w:rsidP="00F4318C">
      <w:pPr>
        <w:numPr>
          <w:ilvl w:val="12"/>
          <w:numId w:val="0"/>
        </w:numPr>
        <w:tabs>
          <w:tab w:val="left" w:pos="567"/>
        </w:tabs>
        <w:ind w:right="-2"/>
        <w:rPr>
          <w:sz w:val="22"/>
          <w:szCs w:val="22"/>
        </w:rPr>
      </w:pPr>
      <w:r w:rsidRPr="005D554B">
        <w:rPr>
          <w:b/>
          <w:bCs/>
          <w:noProof/>
          <w:snapToGrid w:val="0"/>
          <w:sz w:val="22"/>
          <w:szCs w:val="22"/>
        </w:rPr>
        <w:t>Labai reti šalutinio poveikio reiškiniai (gali pasireikšti rečiau kaip 1 iš 10 000 asmenų</w:t>
      </w:r>
      <w:r>
        <w:rPr>
          <w:sz w:val="22"/>
          <w:szCs w:val="22"/>
        </w:rPr>
        <w:t>:</w:t>
      </w:r>
    </w:p>
    <w:p w14:paraId="142E2100" w14:textId="77777777" w:rsidR="00F4318C" w:rsidRDefault="00F4318C" w:rsidP="00F4318C">
      <w:pPr>
        <w:numPr>
          <w:ilvl w:val="12"/>
          <w:numId w:val="0"/>
        </w:numPr>
        <w:tabs>
          <w:tab w:val="left" w:pos="567"/>
        </w:tabs>
        <w:ind w:right="-2"/>
        <w:rPr>
          <w:sz w:val="22"/>
          <w:szCs w:val="22"/>
        </w:rPr>
      </w:pPr>
      <w:r>
        <w:rPr>
          <w:sz w:val="22"/>
          <w:szCs w:val="22"/>
        </w:rPr>
        <w:t xml:space="preserve">kraujo pokytis (leukocitų arba trombocitų kiekio sumažėjimas), laikinas azoto kiekio kraujyje padidėjimas, kraujagyslių uždegimas, paralyžius, nuplikimas, egzema, hepatitas, sisteminė raudonoji vilkligė, žiedinė </w:t>
      </w:r>
      <w:proofErr w:type="spellStart"/>
      <w:r>
        <w:rPr>
          <w:sz w:val="22"/>
          <w:szCs w:val="22"/>
        </w:rPr>
        <w:t>eritema</w:t>
      </w:r>
      <w:proofErr w:type="spellEnd"/>
      <w:r>
        <w:rPr>
          <w:sz w:val="22"/>
          <w:szCs w:val="22"/>
        </w:rPr>
        <w:t xml:space="preserve"> (bėrimas), ūminis inkstų funkcijos nepakankamumas.</w:t>
      </w:r>
    </w:p>
    <w:p w14:paraId="48B4CC0D" w14:textId="77777777" w:rsidR="00F4318C" w:rsidRDefault="00F4318C" w:rsidP="00F4318C">
      <w:pPr>
        <w:numPr>
          <w:ilvl w:val="12"/>
          <w:numId w:val="0"/>
        </w:numPr>
        <w:tabs>
          <w:tab w:val="left" w:pos="567"/>
        </w:tabs>
        <w:ind w:right="-2"/>
        <w:rPr>
          <w:sz w:val="22"/>
          <w:szCs w:val="22"/>
        </w:rPr>
      </w:pPr>
    </w:p>
    <w:p w14:paraId="5B04DA66" w14:textId="77777777" w:rsidR="00F4318C" w:rsidRDefault="00F4318C" w:rsidP="00F4318C">
      <w:pPr>
        <w:numPr>
          <w:ilvl w:val="12"/>
          <w:numId w:val="0"/>
        </w:numPr>
        <w:tabs>
          <w:tab w:val="left" w:pos="567"/>
        </w:tabs>
        <w:ind w:right="-2"/>
        <w:rPr>
          <w:sz w:val="22"/>
          <w:szCs w:val="22"/>
        </w:rPr>
      </w:pPr>
      <w:r w:rsidRPr="005D554B">
        <w:rPr>
          <w:b/>
          <w:bCs/>
          <w:noProof/>
          <w:snapToGrid w:val="0"/>
          <w:sz w:val="22"/>
          <w:szCs w:val="22"/>
        </w:rPr>
        <w:t>Šalutinio poveikio reiškiniai, kurių</w:t>
      </w:r>
      <w:r>
        <w:rPr>
          <w:b/>
          <w:bCs/>
          <w:noProof/>
          <w:snapToGrid w:val="0"/>
          <w:sz w:val="22"/>
          <w:szCs w:val="22"/>
        </w:rPr>
        <w:t xml:space="preserve"> </w:t>
      </w:r>
      <w:r w:rsidRPr="005D554B">
        <w:rPr>
          <w:b/>
          <w:bCs/>
          <w:noProof/>
          <w:snapToGrid w:val="0"/>
          <w:sz w:val="22"/>
          <w:szCs w:val="22"/>
        </w:rPr>
        <w:t>dažnis nežinomas (negali būti apskaičiuotas pagal turimus duomenis)</w:t>
      </w:r>
      <w:r>
        <w:rPr>
          <w:b/>
          <w:bCs/>
          <w:noProof/>
          <w:snapToGrid w:val="0"/>
          <w:sz w:val="22"/>
          <w:szCs w:val="22"/>
        </w:rPr>
        <w:t>:</w:t>
      </w:r>
    </w:p>
    <w:p w14:paraId="643B666D" w14:textId="77777777" w:rsidR="00F4318C" w:rsidRDefault="00F4318C" w:rsidP="00F4318C">
      <w:pPr>
        <w:numPr>
          <w:ilvl w:val="12"/>
          <w:numId w:val="0"/>
        </w:numPr>
        <w:tabs>
          <w:tab w:val="left" w:pos="567"/>
        </w:tabs>
        <w:ind w:right="-2"/>
        <w:rPr>
          <w:sz w:val="22"/>
          <w:szCs w:val="22"/>
        </w:rPr>
      </w:pPr>
      <w:proofErr w:type="spellStart"/>
      <w:r>
        <w:rPr>
          <w:sz w:val="22"/>
          <w:szCs w:val="22"/>
        </w:rPr>
        <w:t>pemfigoidas</w:t>
      </w:r>
      <w:proofErr w:type="spellEnd"/>
      <w:r>
        <w:rPr>
          <w:sz w:val="22"/>
          <w:szCs w:val="22"/>
        </w:rPr>
        <w:t xml:space="preserve"> (būklė, pasireiškianti skysčio pripildytomis pūslėmis ant odos).</w:t>
      </w:r>
    </w:p>
    <w:p w14:paraId="55D5489A" w14:textId="77777777" w:rsidR="00F4318C" w:rsidRDefault="00F4318C" w:rsidP="00F4318C">
      <w:pPr>
        <w:numPr>
          <w:ilvl w:val="12"/>
          <w:numId w:val="0"/>
        </w:numPr>
        <w:tabs>
          <w:tab w:val="left" w:pos="567"/>
        </w:tabs>
        <w:ind w:right="-2"/>
        <w:rPr>
          <w:sz w:val="22"/>
          <w:szCs w:val="22"/>
        </w:rPr>
      </w:pPr>
    </w:p>
    <w:p w14:paraId="724F1016" w14:textId="77777777" w:rsidR="00F4318C" w:rsidRDefault="00F4318C" w:rsidP="00F4318C">
      <w:pPr>
        <w:rPr>
          <w:b/>
          <w:sz w:val="22"/>
          <w:szCs w:val="22"/>
        </w:rPr>
      </w:pPr>
      <w:r>
        <w:rPr>
          <w:b/>
          <w:sz w:val="22"/>
          <w:szCs w:val="22"/>
        </w:rPr>
        <w:t>Pranešimas apie šalutinį poveikį</w:t>
      </w:r>
    </w:p>
    <w:p w14:paraId="5E291B85" w14:textId="77777777" w:rsidR="00F4318C" w:rsidRDefault="00F4318C" w:rsidP="00F4318C">
      <w:pPr>
        <w:pStyle w:val="BTEMEASMCA"/>
      </w:pPr>
      <w:r>
        <w:t xml:space="preserve">Jeigu pasireiškė šalutinis poveikis, įskaitant šiame lapelyje nenurodytą, pasakykite gydytojui arba vaistininkui. </w:t>
      </w:r>
      <w:r w:rsidRPr="003C107E">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6B106C">
          <w:rPr>
            <w:rStyle w:val="Hipersaitas"/>
          </w:rPr>
          <w:t>https://vapris.vvkt.lt/vvkt-web/public/nrv</w:t>
        </w:r>
      </w:hyperlink>
      <w:r>
        <w:t xml:space="preserve"> </w:t>
      </w:r>
      <w:r w:rsidRPr="003C107E">
        <w:t xml:space="preserve">arba užpildant Paciento pranešimo apie įtariamą nepageidaujamą reakciją (ĮNR) formą, kuri skelbiama https://www.vvkt.lt/index.php?4004286486, ir atsiunčiant elektroniniu paštu (adresu </w:t>
      </w:r>
      <w:proofErr w:type="spellStart"/>
      <w:r w:rsidRPr="003C107E">
        <w:t>NepageidaujamaR@vvkt.lt</w:t>
      </w:r>
      <w:proofErr w:type="spellEnd"/>
      <w:r w:rsidRPr="003C107E">
        <w:t>) arba nemokamu telefonu 8 800 73 568. Pranešdami apie šalutinį poveikį galite mums padėti gauti daugiau informacijos apie šio vaisto saugumą</w:t>
      </w:r>
    </w:p>
    <w:p w14:paraId="6A119D26" w14:textId="77777777" w:rsidR="00F4318C" w:rsidRDefault="00F4318C" w:rsidP="00F4318C">
      <w:pPr>
        <w:pStyle w:val="BTEMEASMCA"/>
      </w:pPr>
    </w:p>
    <w:p w14:paraId="40C6A0DB" w14:textId="77777777" w:rsidR="00F4318C" w:rsidRDefault="00F4318C" w:rsidP="00F4318C">
      <w:pPr>
        <w:pStyle w:val="BTEMEASMCA"/>
      </w:pPr>
    </w:p>
    <w:p w14:paraId="1F15DA89" w14:textId="77777777" w:rsidR="00F4318C" w:rsidRDefault="00F4318C" w:rsidP="00F4318C">
      <w:pPr>
        <w:pStyle w:val="PI-1EMEASMCA"/>
      </w:pPr>
      <w:bookmarkStart w:id="8" w:name="_Toc129243143"/>
      <w:bookmarkStart w:id="9" w:name="_Toc129243268"/>
      <w:r>
        <w:t>5.</w:t>
      </w:r>
      <w:r>
        <w:tab/>
      </w:r>
      <w:bookmarkEnd w:id="8"/>
      <w:bookmarkEnd w:id="9"/>
      <w:r>
        <w:t xml:space="preserve">Kaip laikyti </w:t>
      </w:r>
      <w:proofErr w:type="spellStart"/>
      <w:r>
        <w:t>Spirix</w:t>
      </w:r>
      <w:proofErr w:type="spellEnd"/>
    </w:p>
    <w:p w14:paraId="246D7F9B" w14:textId="77777777" w:rsidR="00F4318C" w:rsidRDefault="00F4318C" w:rsidP="00F4318C">
      <w:pPr>
        <w:pStyle w:val="BTEMEASMCA"/>
      </w:pPr>
    </w:p>
    <w:p w14:paraId="17C51BE0" w14:textId="77777777" w:rsidR="00F4318C" w:rsidRDefault="00F4318C" w:rsidP="00F4318C">
      <w:pPr>
        <w:numPr>
          <w:ilvl w:val="12"/>
          <w:numId w:val="0"/>
        </w:numPr>
        <w:ind w:right="-2"/>
        <w:rPr>
          <w:sz w:val="22"/>
          <w:szCs w:val="22"/>
        </w:rPr>
      </w:pPr>
      <w:r>
        <w:rPr>
          <w:sz w:val="22"/>
          <w:szCs w:val="22"/>
        </w:rPr>
        <w:t>Šį vaistą laikykite vaikams nepastebimoje ir nepasiekiamoje vietoje.</w:t>
      </w:r>
    </w:p>
    <w:p w14:paraId="7FCB2D8C" w14:textId="77777777" w:rsidR="00F4318C" w:rsidRDefault="00F4318C" w:rsidP="00F4318C">
      <w:pPr>
        <w:pStyle w:val="BTEMEASMCA"/>
      </w:pPr>
      <w:r>
        <w:t xml:space="preserve">Laikyti žemesnėje kaip 25 </w:t>
      </w:r>
      <w:r>
        <w:sym w:font="Symbol" w:char="F0B0"/>
      </w:r>
      <w:r>
        <w:t>C temperatūroje.</w:t>
      </w:r>
    </w:p>
    <w:p w14:paraId="309F5782" w14:textId="77777777" w:rsidR="00F4318C" w:rsidRDefault="00F4318C" w:rsidP="00F4318C">
      <w:pPr>
        <w:pStyle w:val="BTEMEASMCA"/>
      </w:pPr>
    </w:p>
    <w:p w14:paraId="6BECF59C" w14:textId="77777777" w:rsidR="00F4318C" w:rsidRDefault="00F4318C" w:rsidP="00F4318C">
      <w:pPr>
        <w:tabs>
          <w:tab w:val="left" w:pos="567"/>
        </w:tabs>
        <w:rPr>
          <w:b/>
          <w:sz w:val="22"/>
          <w:szCs w:val="22"/>
        </w:rPr>
      </w:pPr>
      <w:r>
        <w:rPr>
          <w:sz w:val="22"/>
          <w:szCs w:val="22"/>
        </w:rPr>
        <w:t>Ant kartono dėžutės ir buteliuko etiketės po „EXP“ nurodytam tinkamumo laikui pasibaigus, šio vaisto vartoti negalima. Vaistas tinkamas vartoti iki paskutinės nurodyto mėnesio dienos.</w:t>
      </w:r>
    </w:p>
    <w:p w14:paraId="7C974446" w14:textId="77777777" w:rsidR="00F4318C" w:rsidRDefault="00F4318C" w:rsidP="00F4318C">
      <w:pPr>
        <w:pStyle w:val="BTEMEASMCA"/>
      </w:pPr>
    </w:p>
    <w:p w14:paraId="52233321" w14:textId="77777777" w:rsidR="00F4318C" w:rsidRDefault="00F4318C" w:rsidP="00F4318C">
      <w:pPr>
        <w:pStyle w:val="BTEMEASMCA"/>
      </w:pPr>
      <w:r>
        <w:t>Vaistų negalima išmesti į kanalizaciją arba su buitinėmis atliekomis. Kaip išmesti nereikalingus vaistus, klauskite vaistininko. Šios priemonės padės apsaugoti aplinką.</w:t>
      </w:r>
    </w:p>
    <w:p w14:paraId="2B6D6303" w14:textId="77777777" w:rsidR="00F4318C" w:rsidRDefault="00F4318C" w:rsidP="00F4318C">
      <w:pPr>
        <w:pStyle w:val="BTEMEASMCA"/>
      </w:pPr>
    </w:p>
    <w:p w14:paraId="1E7C44C1" w14:textId="77777777" w:rsidR="00F4318C" w:rsidRDefault="00F4318C" w:rsidP="00F4318C">
      <w:pPr>
        <w:pStyle w:val="BTEMEASMCA"/>
      </w:pPr>
    </w:p>
    <w:p w14:paraId="206671B6" w14:textId="77777777" w:rsidR="00F4318C" w:rsidRDefault="00F4318C" w:rsidP="00F4318C">
      <w:pPr>
        <w:pStyle w:val="PI-1EMEASMCA"/>
      </w:pPr>
      <w:bookmarkStart w:id="10" w:name="_Toc129243144"/>
      <w:bookmarkStart w:id="11" w:name="_Toc129243269"/>
      <w:r>
        <w:t>6.</w:t>
      </w:r>
      <w:r>
        <w:tab/>
      </w:r>
      <w:bookmarkEnd w:id="10"/>
      <w:bookmarkEnd w:id="11"/>
      <w:r>
        <w:t>Pakuotės turinys ir kita informacija</w:t>
      </w:r>
    </w:p>
    <w:p w14:paraId="1525258B" w14:textId="77777777" w:rsidR="00F4318C" w:rsidRDefault="00F4318C" w:rsidP="00F4318C">
      <w:pPr>
        <w:pStyle w:val="BTEMEASMCA"/>
      </w:pPr>
    </w:p>
    <w:p w14:paraId="4D1DF17B" w14:textId="77777777" w:rsidR="00F4318C" w:rsidRDefault="00F4318C" w:rsidP="00F4318C">
      <w:pPr>
        <w:pStyle w:val="PI-3EMEASMCA"/>
      </w:pPr>
      <w:proofErr w:type="spellStart"/>
      <w:r>
        <w:t>Spirix</w:t>
      </w:r>
      <w:proofErr w:type="spellEnd"/>
      <w:r>
        <w:t xml:space="preserve"> sudėtis</w:t>
      </w:r>
    </w:p>
    <w:p w14:paraId="10C5C711" w14:textId="77777777" w:rsidR="00F4318C" w:rsidRDefault="00F4318C" w:rsidP="00F4318C">
      <w:pPr>
        <w:pStyle w:val="BT-EMEASMCA"/>
      </w:pPr>
      <w:r>
        <w:t xml:space="preserve">Veiklioji medžiaga yra </w:t>
      </w:r>
      <w:proofErr w:type="spellStart"/>
      <w:r>
        <w:t>spironolaktonas</w:t>
      </w:r>
      <w:proofErr w:type="spellEnd"/>
      <w:r>
        <w:t xml:space="preserve">. Vienoje tabletėje yra 25 mg, 50 mg arba 100 mg </w:t>
      </w:r>
      <w:proofErr w:type="spellStart"/>
      <w:r>
        <w:t>spironolaktono</w:t>
      </w:r>
      <w:proofErr w:type="spellEnd"/>
      <w:r>
        <w:t>.</w:t>
      </w:r>
    </w:p>
    <w:p w14:paraId="0E728051" w14:textId="77777777" w:rsidR="00F4318C" w:rsidRDefault="00F4318C" w:rsidP="00F4318C">
      <w:pPr>
        <w:pStyle w:val="BT-EMEASMCA"/>
      </w:pPr>
      <w:proofErr w:type="spellStart"/>
      <w:r>
        <w:lastRenderedPageBreak/>
        <w:t>Spirix</w:t>
      </w:r>
      <w:proofErr w:type="spellEnd"/>
      <w:r>
        <w:t xml:space="preserve"> 25 mg tabletės pagalbinės medžiagos yra bevandenis koloidinis silicio dioksidas, laktozė </w:t>
      </w:r>
      <w:proofErr w:type="spellStart"/>
      <w:r>
        <w:t>monohidratas</w:t>
      </w:r>
      <w:proofErr w:type="spellEnd"/>
      <w:r>
        <w:t xml:space="preserve">, magnio </w:t>
      </w:r>
      <w:proofErr w:type="spellStart"/>
      <w:r>
        <w:t>stearatas</w:t>
      </w:r>
      <w:proofErr w:type="spellEnd"/>
      <w:r>
        <w:t xml:space="preserve">, </w:t>
      </w:r>
      <w:proofErr w:type="spellStart"/>
      <w:r>
        <w:t>mikrokristalinė</w:t>
      </w:r>
      <w:proofErr w:type="spellEnd"/>
      <w:r>
        <w:t xml:space="preserve"> celiuliozė, agaras, natrio </w:t>
      </w:r>
      <w:proofErr w:type="spellStart"/>
      <w:r>
        <w:t>laurilsulfatas</w:t>
      </w:r>
      <w:proofErr w:type="spellEnd"/>
      <w:r>
        <w:t xml:space="preserve">, </w:t>
      </w:r>
      <w:proofErr w:type="spellStart"/>
      <w:r>
        <w:t>povidonas</w:t>
      </w:r>
      <w:proofErr w:type="spellEnd"/>
      <w:r>
        <w:t>, ryžių krakmolas, pipirmėčių eterinis aliejus.</w:t>
      </w:r>
    </w:p>
    <w:p w14:paraId="59B14C2F" w14:textId="77777777" w:rsidR="00F4318C" w:rsidRPr="00BA1E6C" w:rsidRDefault="00F4318C" w:rsidP="00F4318C">
      <w:pPr>
        <w:pStyle w:val="BT-EMEASMCA"/>
        <w:rPr>
          <w:highlight w:val="lightGray"/>
        </w:rPr>
      </w:pPr>
      <w:proofErr w:type="spellStart"/>
      <w:r w:rsidRPr="00BA1E6C">
        <w:rPr>
          <w:highlight w:val="lightGray"/>
        </w:rPr>
        <w:t>Spirix</w:t>
      </w:r>
      <w:proofErr w:type="spellEnd"/>
      <w:r w:rsidRPr="00BA1E6C">
        <w:rPr>
          <w:highlight w:val="lightGray"/>
        </w:rPr>
        <w:t xml:space="preserve"> 50 mg ir 100 mg tabletės pagalbinės medžiagos yra bevandenis koloidinis silicio dioksidas, laktozė </w:t>
      </w:r>
      <w:proofErr w:type="spellStart"/>
      <w:r w:rsidRPr="00BA1E6C">
        <w:rPr>
          <w:highlight w:val="lightGray"/>
        </w:rPr>
        <w:t>monohidratas</w:t>
      </w:r>
      <w:proofErr w:type="spellEnd"/>
      <w:r w:rsidRPr="00BA1E6C">
        <w:rPr>
          <w:highlight w:val="lightGray"/>
        </w:rPr>
        <w:t xml:space="preserve">, magnio </w:t>
      </w:r>
      <w:proofErr w:type="spellStart"/>
      <w:r w:rsidRPr="00BA1E6C">
        <w:rPr>
          <w:highlight w:val="lightGray"/>
        </w:rPr>
        <w:t>stearatas</w:t>
      </w:r>
      <w:proofErr w:type="spellEnd"/>
      <w:r w:rsidRPr="00BA1E6C">
        <w:rPr>
          <w:highlight w:val="lightGray"/>
        </w:rPr>
        <w:t xml:space="preserve">, </w:t>
      </w:r>
      <w:proofErr w:type="spellStart"/>
      <w:r w:rsidRPr="00BA1E6C">
        <w:rPr>
          <w:highlight w:val="lightGray"/>
        </w:rPr>
        <w:t>mikrokristalinė</w:t>
      </w:r>
      <w:proofErr w:type="spellEnd"/>
      <w:r w:rsidRPr="00BA1E6C">
        <w:rPr>
          <w:highlight w:val="lightGray"/>
        </w:rPr>
        <w:t xml:space="preserve"> celiuliozė, </w:t>
      </w:r>
      <w:proofErr w:type="spellStart"/>
      <w:r w:rsidRPr="00BA1E6C">
        <w:rPr>
          <w:highlight w:val="lightGray"/>
        </w:rPr>
        <w:t>karboksimetilkrakmolo</w:t>
      </w:r>
      <w:proofErr w:type="spellEnd"/>
      <w:r w:rsidRPr="00BA1E6C">
        <w:rPr>
          <w:highlight w:val="lightGray"/>
        </w:rPr>
        <w:t xml:space="preserve"> A natrio druska, natrio </w:t>
      </w:r>
      <w:proofErr w:type="spellStart"/>
      <w:r w:rsidRPr="00BA1E6C">
        <w:rPr>
          <w:highlight w:val="lightGray"/>
        </w:rPr>
        <w:t>laurilsulfatas</w:t>
      </w:r>
      <w:proofErr w:type="spellEnd"/>
      <w:r w:rsidRPr="00BA1E6C">
        <w:rPr>
          <w:highlight w:val="lightGray"/>
        </w:rPr>
        <w:t xml:space="preserve">, </w:t>
      </w:r>
      <w:proofErr w:type="spellStart"/>
      <w:r w:rsidRPr="00BA1E6C">
        <w:rPr>
          <w:highlight w:val="lightGray"/>
        </w:rPr>
        <w:t>povidonas</w:t>
      </w:r>
      <w:proofErr w:type="spellEnd"/>
      <w:r w:rsidRPr="00BA1E6C">
        <w:rPr>
          <w:highlight w:val="lightGray"/>
        </w:rPr>
        <w:t xml:space="preserve">, ryžių krakmolas, </w:t>
      </w:r>
      <w:proofErr w:type="spellStart"/>
      <w:r w:rsidRPr="00BA1E6C">
        <w:rPr>
          <w:highlight w:val="lightGray"/>
        </w:rPr>
        <w:t>levomentolis</w:t>
      </w:r>
      <w:proofErr w:type="spellEnd"/>
      <w:r w:rsidRPr="00BA1E6C">
        <w:rPr>
          <w:highlight w:val="lightGray"/>
        </w:rPr>
        <w:t>, pipirmėčių eterinis aliejus.</w:t>
      </w:r>
    </w:p>
    <w:p w14:paraId="01C4A016" w14:textId="77777777" w:rsidR="00F4318C" w:rsidRDefault="00F4318C" w:rsidP="00F4318C">
      <w:pPr>
        <w:pStyle w:val="BT-EMEASMCA"/>
      </w:pPr>
    </w:p>
    <w:p w14:paraId="6F3E2CE1" w14:textId="77777777" w:rsidR="00F4318C" w:rsidRDefault="00F4318C" w:rsidP="00F4318C">
      <w:pPr>
        <w:pStyle w:val="BTEMEASMCA"/>
      </w:pPr>
    </w:p>
    <w:p w14:paraId="3F4C991E" w14:textId="77777777" w:rsidR="00F4318C" w:rsidRDefault="00F4318C" w:rsidP="00F4318C">
      <w:pPr>
        <w:pStyle w:val="PI-3EMEASMCA"/>
      </w:pPr>
      <w:proofErr w:type="spellStart"/>
      <w:r>
        <w:t>Spirix</w:t>
      </w:r>
      <w:proofErr w:type="spellEnd"/>
      <w:r>
        <w:t xml:space="preserve"> išvaizda ir kiekis pakuotėje</w:t>
      </w:r>
    </w:p>
    <w:p w14:paraId="789AFB85" w14:textId="77777777" w:rsidR="00F4318C" w:rsidRDefault="00F4318C" w:rsidP="00F4318C">
      <w:pPr>
        <w:pStyle w:val="BTEMEASMCA"/>
      </w:pPr>
      <w:proofErr w:type="spellStart"/>
      <w:r>
        <w:t>Spirix</w:t>
      </w:r>
      <w:proofErr w:type="spellEnd"/>
      <w:r>
        <w:t xml:space="preserve"> 25 mg tabletės yra baltos spalvos, apvalios formos, su vagele. Vienoje tabletės pusėje įspaustas simbolis AB 43. Tabletę galima padalyti į lygias dozes.</w:t>
      </w:r>
    </w:p>
    <w:p w14:paraId="6CB02589" w14:textId="77777777" w:rsidR="00F4318C" w:rsidRDefault="00F4318C" w:rsidP="00F4318C">
      <w:pPr>
        <w:pStyle w:val="BTEMEASMCA"/>
      </w:pPr>
    </w:p>
    <w:p w14:paraId="3C9CDB4D" w14:textId="77777777" w:rsidR="00F4318C" w:rsidRPr="00BA1E6C" w:rsidRDefault="00F4318C" w:rsidP="00F4318C">
      <w:pPr>
        <w:pStyle w:val="BTEMEASMCA"/>
        <w:rPr>
          <w:highlight w:val="lightGray"/>
        </w:rPr>
      </w:pPr>
      <w:proofErr w:type="spellStart"/>
      <w:r w:rsidRPr="00BA1E6C">
        <w:rPr>
          <w:highlight w:val="lightGray"/>
        </w:rPr>
        <w:t>Spirix</w:t>
      </w:r>
      <w:proofErr w:type="spellEnd"/>
      <w:r w:rsidRPr="00BA1E6C">
        <w:rPr>
          <w:highlight w:val="lightGray"/>
        </w:rPr>
        <w:t xml:space="preserve"> 50 mg tabletės yra baltos spalvos, apvalios formos, su vagele. Vienoje tabletės pusėje įspaustas simbolis AB 72. Tabletę galima padalyti į lygias dozes.</w:t>
      </w:r>
    </w:p>
    <w:p w14:paraId="6895ED6A" w14:textId="77777777" w:rsidR="00F4318C" w:rsidRPr="00BA1E6C" w:rsidRDefault="00F4318C" w:rsidP="00F4318C">
      <w:pPr>
        <w:pStyle w:val="BTEMEASMCA"/>
        <w:rPr>
          <w:highlight w:val="lightGray"/>
        </w:rPr>
      </w:pPr>
    </w:p>
    <w:p w14:paraId="5AC1F08B" w14:textId="77777777" w:rsidR="00F4318C" w:rsidRPr="00492B07" w:rsidRDefault="00F4318C" w:rsidP="00F4318C">
      <w:pPr>
        <w:pStyle w:val="BTEMEASMCA"/>
      </w:pPr>
      <w:proofErr w:type="spellStart"/>
      <w:r w:rsidRPr="00BA1E6C">
        <w:rPr>
          <w:highlight w:val="lightGray"/>
        </w:rPr>
        <w:t>Spirix</w:t>
      </w:r>
      <w:proofErr w:type="spellEnd"/>
      <w:r w:rsidRPr="00BA1E6C">
        <w:rPr>
          <w:highlight w:val="lightGray"/>
        </w:rPr>
        <w:t xml:space="preserve"> 100 mg tabletės yra baltos spalvos, apvalios formos, su vagele. Tabletę galima padalyti į lygias dozes.</w:t>
      </w:r>
    </w:p>
    <w:p w14:paraId="5D35FA0F" w14:textId="77777777" w:rsidR="00F4318C" w:rsidRDefault="00F4318C" w:rsidP="00F4318C">
      <w:pPr>
        <w:pStyle w:val="BTEMEASMCA"/>
      </w:pPr>
    </w:p>
    <w:p w14:paraId="7AC6EB0F" w14:textId="77777777" w:rsidR="00F4318C" w:rsidRDefault="00F4318C" w:rsidP="00F4318C">
      <w:pPr>
        <w:tabs>
          <w:tab w:val="left" w:pos="567"/>
        </w:tabs>
        <w:rPr>
          <w:sz w:val="22"/>
          <w:szCs w:val="22"/>
        </w:rPr>
      </w:pPr>
      <w:r>
        <w:rPr>
          <w:sz w:val="22"/>
          <w:szCs w:val="22"/>
        </w:rPr>
        <w:t>Kartono dėžutėje yra DTPE buteliukas, kuriame yra 20 arba 30 tablečių.</w:t>
      </w:r>
    </w:p>
    <w:p w14:paraId="3C34A7F1" w14:textId="77777777" w:rsidR="00F4318C" w:rsidRDefault="00F4318C" w:rsidP="00F4318C">
      <w:pPr>
        <w:pStyle w:val="BTEMEASMCA"/>
      </w:pPr>
      <w:r>
        <w:t>Gali būti tiekiamos ne visų dydžių pakuotės.</w:t>
      </w:r>
    </w:p>
    <w:p w14:paraId="4B1BAE61" w14:textId="77777777" w:rsidR="00F4318C" w:rsidRDefault="00F4318C" w:rsidP="00F4318C">
      <w:pPr>
        <w:pStyle w:val="BTEMEASMCA"/>
      </w:pPr>
    </w:p>
    <w:p w14:paraId="7FFD934E" w14:textId="77777777" w:rsidR="00F4318C" w:rsidRDefault="00F4318C" w:rsidP="00F4318C">
      <w:pPr>
        <w:pStyle w:val="PI-3EMEASMCA"/>
      </w:pPr>
      <w:r>
        <w:t xml:space="preserve">Registruotojas </w:t>
      </w:r>
    </w:p>
    <w:p w14:paraId="3E090FE5" w14:textId="77777777" w:rsidR="00F4318C" w:rsidRPr="00AA46BB" w:rsidRDefault="00F4318C" w:rsidP="00F4318C">
      <w:pPr>
        <w:rPr>
          <w:sz w:val="22"/>
          <w:szCs w:val="22"/>
        </w:rPr>
      </w:pPr>
      <w:proofErr w:type="spellStart"/>
      <w:r w:rsidRPr="00AA46BB">
        <w:rPr>
          <w:sz w:val="22"/>
          <w:szCs w:val="22"/>
        </w:rPr>
        <w:t>Orifarm</w:t>
      </w:r>
      <w:proofErr w:type="spellEnd"/>
      <w:r w:rsidRPr="00AA46BB">
        <w:rPr>
          <w:sz w:val="22"/>
          <w:szCs w:val="22"/>
        </w:rPr>
        <w:t xml:space="preserve"> </w:t>
      </w:r>
      <w:proofErr w:type="spellStart"/>
      <w:r w:rsidRPr="00AA46BB">
        <w:rPr>
          <w:sz w:val="22"/>
          <w:szCs w:val="22"/>
        </w:rPr>
        <w:t>Healthcare</w:t>
      </w:r>
      <w:proofErr w:type="spellEnd"/>
      <w:r w:rsidRPr="00AA46BB">
        <w:rPr>
          <w:sz w:val="22"/>
          <w:szCs w:val="22"/>
        </w:rPr>
        <w:t xml:space="preserve"> A/S</w:t>
      </w:r>
    </w:p>
    <w:p w14:paraId="7CB3A811" w14:textId="77777777" w:rsidR="00F4318C" w:rsidRPr="00AA46BB" w:rsidRDefault="00F4318C" w:rsidP="00F4318C">
      <w:pPr>
        <w:rPr>
          <w:sz w:val="22"/>
          <w:szCs w:val="22"/>
        </w:rPr>
      </w:pPr>
      <w:proofErr w:type="spellStart"/>
      <w:r w:rsidRPr="00AA46BB">
        <w:rPr>
          <w:sz w:val="22"/>
          <w:szCs w:val="22"/>
        </w:rPr>
        <w:t>Energivej</w:t>
      </w:r>
      <w:proofErr w:type="spellEnd"/>
      <w:r w:rsidRPr="00AA46BB">
        <w:rPr>
          <w:sz w:val="22"/>
          <w:szCs w:val="22"/>
        </w:rPr>
        <w:t xml:space="preserve"> 15</w:t>
      </w:r>
    </w:p>
    <w:p w14:paraId="13439940" w14:textId="77777777" w:rsidR="00F4318C" w:rsidRPr="00AA46BB" w:rsidRDefault="00F4318C" w:rsidP="00F4318C">
      <w:pPr>
        <w:rPr>
          <w:sz w:val="22"/>
          <w:szCs w:val="22"/>
        </w:rPr>
      </w:pPr>
      <w:r w:rsidRPr="00AA46BB">
        <w:rPr>
          <w:sz w:val="22"/>
          <w:szCs w:val="22"/>
        </w:rPr>
        <w:t>5260 Odense S</w:t>
      </w:r>
    </w:p>
    <w:p w14:paraId="235AF682" w14:textId="77777777" w:rsidR="00F4318C" w:rsidRPr="00AA46BB" w:rsidRDefault="00F4318C" w:rsidP="00F4318C">
      <w:pPr>
        <w:rPr>
          <w:sz w:val="22"/>
          <w:szCs w:val="22"/>
        </w:rPr>
      </w:pPr>
      <w:r w:rsidRPr="00AA46BB">
        <w:rPr>
          <w:sz w:val="22"/>
          <w:szCs w:val="22"/>
        </w:rPr>
        <w:t>Danija</w:t>
      </w:r>
    </w:p>
    <w:p w14:paraId="73AF8CED" w14:textId="77777777" w:rsidR="00F4318C" w:rsidRDefault="00F4318C" w:rsidP="00F4318C">
      <w:pPr>
        <w:rPr>
          <w:szCs w:val="22"/>
        </w:rPr>
      </w:pPr>
      <w:hyperlink r:id="rId6" w:history="1">
        <w:r w:rsidRPr="008A3BD2">
          <w:rPr>
            <w:rStyle w:val="Hipersaitas"/>
            <w:rFonts w:eastAsiaTheme="majorEastAsia"/>
            <w:szCs w:val="22"/>
          </w:rPr>
          <w:t>info-baltics@orifarm.com</w:t>
        </w:r>
      </w:hyperlink>
    </w:p>
    <w:p w14:paraId="30BE46AD" w14:textId="77777777" w:rsidR="00F4318C" w:rsidRDefault="00F4318C" w:rsidP="00F4318C">
      <w:pPr>
        <w:tabs>
          <w:tab w:val="left" w:pos="567"/>
        </w:tabs>
        <w:rPr>
          <w:sz w:val="22"/>
          <w:szCs w:val="22"/>
        </w:rPr>
      </w:pPr>
    </w:p>
    <w:p w14:paraId="0EAA27F4" w14:textId="77777777" w:rsidR="00F4318C" w:rsidRDefault="00F4318C" w:rsidP="00F4318C">
      <w:pPr>
        <w:tabs>
          <w:tab w:val="left" w:pos="567"/>
        </w:tabs>
        <w:rPr>
          <w:sz w:val="22"/>
          <w:szCs w:val="22"/>
        </w:rPr>
      </w:pPr>
      <w:r>
        <w:rPr>
          <w:b/>
          <w:sz w:val="22"/>
          <w:szCs w:val="22"/>
        </w:rPr>
        <w:t>G</w:t>
      </w:r>
      <w:r w:rsidRPr="00484921">
        <w:rPr>
          <w:b/>
          <w:sz w:val="22"/>
          <w:szCs w:val="22"/>
        </w:rPr>
        <w:t>amintojas</w:t>
      </w:r>
    </w:p>
    <w:p w14:paraId="30CB6B99" w14:textId="77777777" w:rsidR="00F4318C" w:rsidRPr="00F94E66" w:rsidRDefault="00F4318C" w:rsidP="00F4318C">
      <w:pPr>
        <w:tabs>
          <w:tab w:val="left" w:pos="567"/>
        </w:tabs>
        <w:rPr>
          <w:sz w:val="22"/>
          <w:szCs w:val="22"/>
        </w:rPr>
      </w:pPr>
      <w:proofErr w:type="spellStart"/>
      <w:r w:rsidRPr="00F94E66">
        <w:rPr>
          <w:sz w:val="22"/>
          <w:szCs w:val="22"/>
        </w:rPr>
        <w:t>Orifarm</w:t>
      </w:r>
      <w:proofErr w:type="spellEnd"/>
      <w:r w:rsidRPr="00F94E66">
        <w:rPr>
          <w:sz w:val="22"/>
          <w:szCs w:val="22"/>
        </w:rPr>
        <w:t xml:space="preserve"> </w:t>
      </w:r>
      <w:proofErr w:type="spellStart"/>
      <w:r w:rsidRPr="00F94E66">
        <w:rPr>
          <w:sz w:val="22"/>
          <w:szCs w:val="22"/>
        </w:rPr>
        <w:t>Manufacturing</w:t>
      </w:r>
      <w:proofErr w:type="spellEnd"/>
      <w:r w:rsidRPr="00F94E66">
        <w:rPr>
          <w:sz w:val="22"/>
          <w:szCs w:val="22"/>
        </w:rPr>
        <w:t xml:space="preserve"> </w:t>
      </w:r>
      <w:proofErr w:type="spellStart"/>
      <w:r w:rsidRPr="00F94E66">
        <w:rPr>
          <w:sz w:val="22"/>
          <w:szCs w:val="22"/>
        </w:rPr>
        <w:t>Poland</w:t>
      </w:r>
      <w:proofErr w:type="spellEnd"/>
      <w:r w:rsidRPr="00F94E66">
        <w:rPr>
          <w:sz w:val="22"/>
          <w:szCs w:val="22"/>
        </w:rPr>
        <w:t xml:space="preserve"> Sp. z </w:t>
      </w:r>
      <w:proofErr w:type="spellStart"/>
      <w:r w:rsidRPr="00F94E66">
        <w:rPr>
          <w:sz w:val="22"/>
          <w:szCs w:val="22"/>
        </w:rPr>
        <w:t>o.o</w:t>
      </w:r>
      <w:proofErr w:type="spellEnd"/>
      <w:r w:rsidRPr="00F94E66">
        <w:rPr>
          <w:sz w:val="22"/>
          <w:szCs w:val="22"/>
        </w:rPr>
        <w:t>.</w:t>
      </w:r>
    </w:p>
    <w:p w14:paraId="06EB89A7" w14:textId="77777777" w:rsidR="00F4318C" w:rsidRPr="00F94E66" w:rsidRDefault="00F4318C" w:rsidP="00F4318C">
      <w:pPr>
        <w:tabs>
          <w:tab w:val="left" w:pos="567"/>
        </w:tabs>
        <w:rPr>
          <w:sz w:val="22"/>
          <w:szCs w:val="22"/>
        </w:rPr>
      </w:pPr>
      <w:proofErr w:type="spellStart"/>
      <w:r w:rsidRPr="00F94E66">
        <w:rPr>
          <w:sz w:val="22"/>
          <w:szCs w:val="22"/>
        </w:rPr>
        <w:t>Ul</w:t>
      </w:r>
      <w:proofErr w:type="spellEnd"/>
      <w:r w:rsidRPr="00F94E66">
        <w:rPr>
          <w:sz w:val="22"/>
          <w:szCs w:val="22"/>
        </w:rPr>
        <w:t xml:space="preserve">. </w:t>
      </w:r>
      <w:proofErr w:type="spellStart"/>
      <w:r w:rsidRPr="00F94E66">
        <w:rPr>
          <w:sz w:val="22"/>
          <w:szCs w:val="22"/>
        </w:rPr>
        <w:t>Księstwa</w:t>
      </w:r>
      <w:proofErr w:type="spellEnd"/>
      <w:r w:rsidRPr="00F94E66">
        <w:rPr>
          <w:sz w:val="22"/>
          <w:szCs w:val="22"/>
        </w:rPr>
        <w:t xml:space="preserve"> </w:t>
      </w:r>
      <w:proofErr w:type="spellStart"/>
      <w:r w:rsidRPr="00F94E66">
        <w:rPr>
          <w:sz w:val="22"/>
          <w:szCs w:val="22"/>
        </w:rPr>
        <w:t>Łowickiego</w:t>
      </w:r>
      <w:proofErr w:type="spellEnd"/>
      <w:r w:rsidRPr="00F94E66">
        <w:rPr>
          <w:sz w:val="22"/>
          <w:szCs w:val="22"/>
        </w:rPr>
        <w:t xml:space="preserve"> 12</w:t>
      </w:r>
    </w:p>
    <w:p w14:paraId="150C8092" w14:textId="77777777" w:rsidR="00F4318C" w:rsidRPr="00F94E66" w:rsidRDefault="00F4318C" w:rsidP="00F4318C">
      <w:pPr>
        <w:tabs>
          <w:tab w:val="left" w:pos="567"/>
        </w:tabs>
        <w:rPr>
          <w:sz w:val="22"/>
          <w:szCs w:val="22"/>
        </w:rPr>
      </w:pPr>
      <w:r w:rsidRPr="00F94E66">
        <w:rPr>
          <w:sz w:val="22"/>
          <w:szCs w:val="22"/>
        </w:rPr>
        <w:t xml:space="preserve">99-420 </w:t>
      </w:r>
      <w:proofErr w:type="spellStart"/>
      <w:r w:rsidRPr="00F94E66">
        <w:rPr>
          <w:sz w:val="22"/>
          <w:szCs w:val="22"/>
        </w:rPr>
        <w:t>Łyszkowice</w:t>
      </w:r>
      <w:proofErr w:type="spellEnd"/>
    </w:p>
    <w:p w14:paraId="1BAD1DA9" w14:textId="77777777" w:rsidR="00F4318C" w:rsidRPr="00F94E66" w:rsidRDefault="00F4318C" w:rsidP="00F4318C">
      <w:pPr>
        <w:tabs>
          <w:tab w:val="left" w:pos="567"/>
        </w:tabs>
        <w:rPr>
          <w:sz w:val="22"/>
          <w:szCs w:val="22"/>
        </w:rPr>
      </w:pPr>
      <w:r w:rsidRPr="00F94E66">
        <w:rPr>
          <w:sz w:val="22"/>
          <w:szCs w:val="22"/>
        </w:rPr>
        <w:t>Lenkija</w:t>
      </w:r>
    </w:p>
    <w:p w14:paraId="5B578DD9" w14:textId="77777777" w:rsidR="00F4318C" w:rsidRPr="00484921" w:rsidRDefault="00F4318C" w:rsidP="00F4318C">
      <w:pPr>
        <w:tabs>
          <w:tab w:val="left" w:pos="567"/>
        </w:tabs>
        <w:rPr>
          <w:sz w:val="22"/>
          <w:szCs w:val="22"/>
        </w:rPr>
      </w:pPr>
    </w:p>
    <w:p w14:paraId="48E9932D" w14:textId="77777777" w:rsidR="00F4318C" w:rsidRDefault="00F4318C" w:rsidP="00F4318C">
      <w:pPr>
        <w:tabs>
          <w:tab w:val="left" w:pos="567"/>
        </w:tabs>
        <w:rPr>
          <w:sz w:val="22"/>
          <w:szCs w:val="22"/>
        </w:rPr>
      </w:pPr>
    </w:p>
    <w:p w14:paraId="43BFFAEA" w14:textId="77777777" w:rsidR="00F4318C" w:rsidRDefault="00F4318C" w:rsidP="00F4318C">
      <w:pPr>
        <w:pStyle w:val="BTbEMEASMCA"/>
      </w:pPr>
      <w:r>
        <w:rPr>
          <w:bCs/>
        </w:rPr>
        <w:t>Šis pakuotės lapelis</w:t>
      </w:r>
      <w:r>
        <w:t xml:space="preserve"> paskutinį kartą peržiūrėtas 2025-10-16.</w:t>
      </w:r>
    </w:p>
    <w:p w14:paraId="3709CD7B" w14:textId="77777777" w:rsidR="00F4318C" w:rsidRDefault="00F4318C" w:rsidP="00F4318C">
      <w:pPr>
        <w:tabs>
          <w:tab w:val="left" w:pos="567"/>
        </w:tabs>
        <w:rPr>
          <w:sz w:val="22"/>
          <w:szCs w:val="22"/>
        </w:rPr>
      </w:pPr>
    </w:p>
    <w:p w14:paraId="0E1CC5CC" w14:textId="77777777" w:rsidR="00F4318C" w:rsidRDefault="00F4318C" w:rsidP="00F4318C">
      <w:pPr>
        <w:numPr>
          <w:ilvl w:val="12"/>
          <w:numId w:val="0"/>
        </w:numPr>
        <w:ind w:right="-2"/>
        <w:rPr>
          <w:sz w:val="22"/>
          <w:szCs w:val="22"/>
        </w:rPr>
      </w:pPr>
      <w:r>
        <w:rPr>
          <w:sz w:val="22"/>
          <w:szCs w:val="22"/>
        </w:rPr>
        <w:t>Išsami informacija apie šį vaistą pateikiama Valstybinės vaistų kontrolės tarnybos prie Lietuvos Respublikos sveikatos apsaugos ministerijos tinklalapyje</w:t>
      </w:r>
      <w:r>
        <w:rPr>
          <w:i/>
          <w:sz w:val="22"/>
          <w:szCs w:val="22"/>
        </w:rPr>
        <w:t xml:space="preserve"> </w:t>
      </w:r>
      <w:hyperlink r:id="rId7" w:history="1">
        <w:r>
          <w:rPr>
            <w:rStyle w:val="Hipersaitas"/>
            <w:rFonts w:eastAsia="SimSun"/>
            <w:sz w:val="22"/>
            <w:szCs w:val="22"/>
          </w:rPr>
          <w:t>http://www.vvkt.lt/</w:t>
        </w:r>
      </w:hyperlink>
      <w:r>
        <w:rPr>
          <w:sz w:val="22"/>
          <w:szCs w:val="22"/>
        </w:rPr>
        <w:t>.</w:t>
      </w:r>
    </w:p>
    <w:p w14:paraId="00DCDBFC" w14:textId="77777777" w:rsidR="00F4318C" w:rsidRDefault="00F4318C" w:rsidP="00F4318C">
      <w:pPr>
        <w:numPr>
          <w:ilvl w:val="12"/>
          <w:numId w:val="0"/>
        </w:numPr>
        <w:ind w:right="-2"/>
        <w:rPr>
          <w:sz w:val="22"/>
          <w:szCs w:val="22"/>
        </w:rPr>
      </w:pPr>
    </w:p>
    <w:p w14:paraId="33F000DB" w14:textId="77777777" w:rsidR="00F4318C" w:rsidRDefault="00F4318C" w:rsidP="00F4318C">
      <w:pPr>
        <w:pStyle w:val="TTEMEASMCA"/>
      </w:pPr>
    </w:p>
    <w:p w14:paraId="62AEFC4C" w14:textId="77777777" w:rsidR="00222FED" w:rsidRDefault="00222FED"/>
    <w:sectPr w:rsidR="00222FED" w:rsidSect="00F4318C">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02CEA"/>
    <w:multiLevelType w:val="hybridMultilevel"/>
    <w:tmpl w:val="DCE0244A"/>
    <w:lvl w:ilvl="0" w:tplc="803AC9F8">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16cid:durableId="931739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18C"/>
    <w:rsid w:val="00222FED"/>
    <w:rsid w:val="005F173E"/>
    <w:rsid w:val="006D6985"/>
    <w:rsid w:val="008B3AD4"/>
    <w:rsid w:val="00D047C4"/>
    <w:rsid w:val="00EC0D97"/>
    <w:rsid w:val="00F431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C4225"/>
  <w15:chartTrackingRefBased/>
  <w15:docId w15:val="{79D5003B-722C-4CAF-9F2B-75191C68C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318C"/>
    <w:pPr>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F431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431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4318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4318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4318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4318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4318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4318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4318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4318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4318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4318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4318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4318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4318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4318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4318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4318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4318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4318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4318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4318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4318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4318C"/>
    <w:rPr>
      <w:i/>
      <w:iCs/>
      <w:color w:val="404040" w:themeColor="text1" w:themeTint="BF"/>
    </w:rPr>
  </w:style>
  <w:style w:type="paragraph" w:styleId="Sraopastraipa">
    <w:name w:val="List Paragraph"/>
    <w:basedOn w:val="prastasis"/>
    <w:uiPriority w:val="34"/>
    <w:qFormat/>
    <w:rsid w:val="00F4318C"/>
    <w:pPr>
      <w:ind w:left="720"/>
      <w:contextualSpacing/>
    </w:pPr>
  </w:style>
  <w:style w:type="character" w:styleId="Rykuspabraukimas">
    <w:name w:val="Intense Emphasis"/>
    <w:basedOn w:val="Numatytasispastraiposriftas"/>
    <w:uiPriority w:val="21"/>
    <w:qFormat/>
    <w:rsid w:val="00F4318C"/>
    <w:rPr>
      <w:i/>
      <w:iCs/>
      <w:color w:val="0F4761" w:themeColor="accent1" w:themeShade="BF"/>
    </w:rPr>
  </w:style>
  <w:style w:type="paragraph" w:styleId="Iskirtacitata">
    <w:name w:val="Intense Quote"/>
    <w:basedOn w:val="prastasis"/>
    <w:next w:val="prastasis"/>
    <w:link w:val="IskirtacitataDiagrama"/>
    <w:uiPriority w:val="30"/>
    <w:qFormat/>
    <w:rsid w:val="00F431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4318C"/>
    <w:rPr>
      <w:i/>
      <w:iCs/>
      <w:color w:val="0F4761" w:themeColor="accent1" w:themeShade="BF"/>
    </w:rPr>
  </w:style>
  <w:style w:type="character" w:styleId="Rykinuoroda">
    <w:name w:val="Intense Reference"/>
    <w:basedOn w:val="Numatytasispastraiposriftas"/>
    <w:uiPriority w:val="32"/>
    <w:qFormat/>
    <w:rsid w:val="00F4318C"/>
    <w:rPr>
      <w:b/>
      <w:bCs/>
      <w:smallCaps/>
      <w:color w:val="0F4761" w:themeColor="accent1" w:themeShade="BF"/>
      <w:spacing w:val="5"/>
    </w:rPr>
  </w:style>
  <w:style w:type="character" w:styleId="Hipersaitas">
    <w:name w:val="Hyperlink"/>
    <w:basedOn w:val="Numatytasispastraiposriftas"/>
    <w:uiPriority w:val="99"/>
    <w:unhideWhenUsed/>
    <w:rsid w:val="00F4318C"/>
    <w:rPr>
      <w:color w:val="0000FF"/>
      <w:u w:val="single"/>
    </w:rPr>
  </w:style>
  <w:style w:type="paragraph" w:customStyle="1" w:styleId="PI-1EMEASMCA">
    <w:name w:val="PI-1 EMEA_SMCA"/>
    <w:basedOn w:val="Antrat2"/>
    <w:autoRedefine/>
    <w:rsid w:val="00F4318C"/>
    <w:pPr>
      <w:keepLines w:val="0"/>
      <w:tabs>
        <w:tab w:val="left" w:pos="567"/>
      </w:tabs>
      <w:spacing w:before="0" w:after="0"/>
      <w:ind w:left="567" w:hanging="567"/>
    </w:pPr>
    <w:rPr>
      <w:rFonts w:ascii="Times New Roman" w:eastAsia="Times New Roman" w:hAnsi="Times New Roman" w:cs="Times New Roman"/>
      <w:b/>
      <w:color w:val="auto"/>
      <w:sz w:val="22"/>
      <w:szCs w:val="22"/>
    </w:rPr>
  </w:style>
  <w:style w:type="character" w:customStyle="1" w:styleId="BTEMEASMCAChar">
    <w:name w:val="BT EMEA_SMCA Char"/>
    <w:basedOn w:val="Numatytasispastraiposriftas"/>
    <w:link w:val="BTEMEASMCA"/>
    <w:locked/>
    <w:rsid w:val="00F4318C"/>
    <w:rPr>
      <w:rFonts w:ascii="Times New Roman" w:hAnsi="Times New Roman" w:cs="Times New Roman"/>
    </w:rPr>
  </w:style>
  <w:style w:type="paragraph" w:customStyle="1" w:styleId="BTEMEASMCA">
    <w:name w:val="BT EMEA_SMCA"/>
    <w:basedOn w:val="prastasis"/>
    <w:link w:val="BTEMEASMCAChar"/>
    <w:autoRedefine/>
    <w:rsid w:val="00F4318C"/>
    <w:pPr>
      <w:tabs>
        <w:tab w:val="left" w:pos="567"/>
      </w:tabs>
    </w:pPr>
    <w:rPr>
      <w:rFonts w:eastAsiaTheme="minorHAnsi"/>
      <w:kern w:val="2"/>
      <w14:ligatures w14:val="standardContextual"/>
    </w:rPr>
  </w:style>
  <w:style w:type="character" w:customStyle="1" w:styleId="TTEMEASMCAChar">
    <w:name w:val="TT EMEA_SMCA Char"/>
    <w:basedOn w:val="Numatytasispastraiposriftas"/>
    <w:link w:val="TTEMEASMCA"/>
    <w:locked/>
    <w:rsid w:val="00F4318C"/>
    <w:rPr>
      <w:rFonts w:ascii="Times New Roman" w:hAnsi="Times New Roman" w:cs="Times New Roman"/>
      <w:b/>
    </w:rPr>
  </w:style>
  <w:style w:type="paragraph" w:customStyle="1" w:styleId="TTEMEASMCA">
    <w:name w:val="TT EMEA_SMCA"/>
    <w:basedOn w:val="Antrat1"/>
    <w:link w:val="TTEMEASMCAChar"/>
    <w:autoRedefine/>
    <w:rsid w:val="00F4318C"/>
    <w:pPr>
      <w:keepNext w:val="0"/>
      <w:keepLines w:val="0"/>
      <w:tabs>
        <w:tab w:val="left" w:pos="567"/>
      </w:tabs>
      <w:spacing w:before="0" w:after="0"/>
      <w:ind w:left="567" w:hanging="567"/>
      <w:jc w:val="center"/>
    </w:pPr>
    <w:rPr>
      <w:rFonts w:ascii="Times New Roman" w:eastAsiaTheme="minorHAnsi" w:hAnsi="Times New Roman" w:cs="Times New Roman"/>
      <w:b/>
      <w:color w:val="auto"/>
      <w:sz w:val="24"/>
      <w:szCs w:val="24"/>
    </w:rPr>
  </w:style>
  <w:style w:type="paragraph" w:customStyle="1" w:styleId="BT-EMEASMCA">
    <w:name w:val="BT- EMEA_SMCA"/>
    <w:basedOn w:val="BTEMEASMCA"/>
    <w:autoRedefine/>
    <w:rsid w:val="00F4318C"/>
    <w:pPr>
      <w:numPr>
        <w:numId w:val="1"/>
      </w:numPr>
      <w:tabs>
        <w:tab w:val="clear" w:pos="720"/>
        <w:tab w:val="num" w:pos="360"/>
      </w:tabs>
      <w:ind w:left="0" w:firstLine="0"/>
    </w:pPr>
  </w:style>
  <w:style w:type="paragraph" w:customStyle="1" w:styleId="PI-3EMEASMCA">
    <w:name w:val="PI-3 EMEA_SMCA"/>
    <w:basedOn w:val="prastasis"/>
    <w:autoRedefine/>
    <w:rsid w:val="00F4318C"/>
    <w:pPr>
      <w:tabs>
        <w:tab w:val="left" w:pos="567"/>
      </w:tabs>
      <w:spacing w:line="220" w:lineRule="exact"/>
    </w:pPr>
    <w:rPr>
      <w:b/>
      <w:bCs/>
      <w:sz w:val="22"/>
      <w:szCs w:val="22"/>
    </w:rPr>
  </w:style>
  <w:style w:type="paragraph" w:customStyle="1" w:styleId="BTbEMEASMCA">
    <w:name w:val="BT(b) EMEA_SMCA"/>
    <w:basedOn w:val="BTEMEASMCA"/>
    <w:autoRedefine/>
    <w:rsid w:val="00F4318C"/>
    <w:rPr>
      <w:b/>
    </w:rPr>
  </w:style>
  <w:style w:type="paragraph" w:customStyle="1" w:styleId="BTeEMEASMCA">
    <w:name w:val="BT(e) EMEA_SMCA"/>
    <w:basedOn w:val="BTEMEASMCA"/>
    <w:autoRedefine/>
    <w:rsid w:val="00F4318C"/>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altics@orifarm.com" TargetMode="External"/><Relationship Id="rId5"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7942</Words>
  <Characters>4528</Characters>
  <Application>Microsoft Office Word</Application>
  <DocSecurity>0</DocSecurity>
  <Lines>37</Lines>
  <Paragraphs>24</Paragraphs>
  <ScaleCrop>false</ScaleCrop>
  <Company/>
  <LinksUpToDate>false</LinksUpToDate>
  <CharactersWithSpaces>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2025-11-06T13:04:00Z</dcterms:created>
  <dcterms:modified xsi:type="dcterms:W3CDTF">2025-11-06T13:05:00Z</dcterms:modified>
</cp:coreProperties>
</file>