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ind w:left="426"/>
        <w:jc w:val="center"/>
        <w:rPr>
          <w:b/>
          <w:szCs w:val="22"/>
        </w:rPr>
      </w:pPr>
      <w:r w:rsidRPr="00006F46">
        <w:rPr>
          <w:b/>
          <w:szCs w:val="22"/>
        </w:rPr>
        <w:t>Pakuotės lapelis: informacija vartotojui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jc w:val="center"/>
        <w:outlineLvl w:val="0"/>
        <w:rPr>
          <w:b/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jc w:val="center"/>
        <w:outlineLvl w:val="0"/>
        <w:rPr>
          <w:b/>
          <w:szCs w:val="22"/>
        </w:rPr>
      </w:pPr>
      <w:proofErr w:type="spellStart"/>
      <w:r w:rsidRPr="00006F46">
        <w:rPr>
          <w:b/>
          <w:szCs w:val="22"/>
        </w:rPr>
        <w:t>Casodex</w:t>
      </w:r>
      <w:proofErr w:type="spellEnd"/>
      <w:r w:rsidRPr="00006F46">
        <w:rPr>
          <w:b/>
          <w:szCs w:val="22"/>
        </w:rPr>
        <w:t xml:space="preserve"> 50 mg plėvele dengtos tabletės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jc w:val="center"/>
        <w:outlineLvl w:val="0"/>
        <w:rPr>
          <w:szCs w:val="22"/>
        </w:rPr>
      </w:pPr>
      <w:proofErr w:type="spellStart"/>
      <w:r w:rsidRPr="00006F46">
        <w:rPr>
          <w:szCs w:val="22"/>
        </w:rPr>
        <w:t>Bikalutamidas</w:t>
      </w:r>
      <w:proofErr w:type="spellEnd"/>
    </w:p>
    <w:p w:rsidR="00B14426" w:rsidRPr="00006F46" w:rsidRDefault="00B14426" w:rsidP="00B14426">
      <w:pPr>
        <w:tabs>
          <w:tab w:val="left" w:pos="567"/>
        </w:tabs>
        <w:rPr>
          <w:sz w:val="22"/>
          <w:szCs w:val="22"/>
        </w:rPr>
      </w:pPr>
    </w:p>
    <w:p w:rsidR="00B14426" w:rsidRPr="00006F46" w:rsidRDefault="00B14426" w:rsidP="00B14426">
      <w:pPr>
        <w:pStyle w:val="BTbEMEASMCA"/>
      </w:pPr>
      <w:r w:rsidRPr="00006F46">
        <w:t xml:space="preserve">Atidžiai perskaitykite visą šį lapelį, prieš pradėdami vartoti vaistą, nes jame pateikiama Jums </w:t>
      </w:r>
      <w:proofErr w:type="spellStart"/>
      <w:r w:rsidRPr="00006F46">
        <w:t>svabi</w:t>
      </w:r>
      <w:proofErr w:type="spellEnd"/>
      <w:r w:rsidRPr="00006F46">
        <w:t xml:space="preserve"> informacija.</w:t>
      </w:r>
    </w:p>
    <w:p w:rsidR="00B14426" w:rsidRPr="00006F46" w:rsidRDefault="00B14426" w:rsidP="00B14426">
      <w:pPr>
        <w:pStyle w:val="BT-EMEASMCA"/>
      </w:pPr>
      <w:r w:rsidRPr="00006F46">
        <w:t>Neišmeskite šio lapelio, nes vėl gali prireikti jį perskaityti.</w:t>
      </w:r>
    </w:p>
    <w:p w:rsidR="00B14426" w:rsidRPr="00006F46" w:rsidRDefault="00B14426" w:rsidP="00B14426">
      <w:pPr>
        <w:pStyle w:val="BT-EMEASMCA"/>
      </w:pPr>
      <w:r w:rsidRPr="00006F46">
        <w:t>Jeigu kiltų daugiau klausimų, kreipkitės į gydytoją arba vaistininką.</w:t>
      </w:r>
    </w:p>
    <w:p w:rsidR="00B14426" w:rsidRPr="00006F46" w:rsidRDefault="00B14426" w:rsidP="00B14426">
      <w:pPr>
        <w:pStyle w:val="BT-EMEASMCA"/>
      </w:pPr>
      <w:r w:rsidRPr="00006F46">
        <w:t>Šis vaistas skirtas Jums, todėl kitiems žmonėms jo duoti negalima. Vaistas gali jiems pakenkti (net tiems, kurių ligos simptomai yra tokie patys kaip Jūsų).</w:t>
      </w:r>
    </w:p>
    <w:p w:rsidR="00B14426" w:rsidRPr="00006F46" w:rsidRDefault="00B14426" w:rsidP="00B14426">
      <w:pPr>
        <w:pStyle w:val="BT-EMEASMCA"/>
      </w:pPr>
      <w:r w:rsidRPr="00006F46">
        <w:t>Jeigu pasireiškė sunkus šalutinis poveikis (net jeigu is šiame lapelyje nenurodytas),kreipkitės į gydytoją arba vaistininką. Žr. 4 skyrių.</w:t>
      </w:r>
    </w:p>
    <w:p w:rsidR="00B14426" w:rsidRPr="00006F46" w:rsidRDefault="00B14426" w:rsidP="00B14426">
      <w:pPr>
        <w:pStyle w:val="BT-EMEASMCA"/>
        <w:numPr>
          <w:ilvl w:val="0"/>
          <w:numId w:val="0"/>
        </w:numPr>
      </w:pPr>
    </w:p>
    <w:p w:rsidR="00B14426" w:rsidRPr="00006F46" w:rsidRDefault="00B14426" w:rsidP="00B14426">
      <w:pPr>
        <w:pStyle w:val="Antrat4"/>
        <w:tabs>
          <w:tab w:val="left" w:pos="567"/>
        </w:tabs>
        <w:rPr>
          <w:b w:val="0"/>
          <w:sz w:val="22"/>
          <w:szCs w:val="22"/>
        </w:rPr>
      </w:pPr>
      <w:r w:rsidRPr="00006F46">
        <w:rPr>
          <w:sz w:val="22"/>
          <w:szCs w:val="22"/>
        </w:rPr>
        <w:t>Apie ką rašoma šiame lapelyje?</w:t>
      </w:r>
    </w:p>
    <w:p w:rsidR="00B14426" w:rsidRPr="00006F46" w:rsidRDefault="00B14426" w:rsidP="00B14426">
      <w:pPr>
        <w:tabs>
          <w:tab w:val="left" w:pos="567"/>
        </w:tabs>
        <w:rPr>
          <w:sz w:val="22"/>
          <w:szCs w:val="22"/>
        </w:rPr>
      </w:pPr>
    </w:p>
    <w:p w:rsidR="00B14426" w:rsidRPr="00006F46" w:rsidRDefault="00B14426" w:rsidP="00B14426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1.</w:t>
      </w:r>
      <w:r w:rsidRPr="00006F46">
        <w:rPr>
          <w:b w:val="0"/>
          <w:sz w:val="22"/>
          <w:szCs w:val="22"/>
        </w:rPr>
        <w:tab/>
        <w:t xml:space="preserve">Kas yra </w:t>
      </w:r>
      <w:proofErr w:type="spellStart"/>
      <w:r w:rsidRPr="00006F46">
        <w:rPr>
          <w:b w:val="0"/>
          <w:sz w:val="22"/>
          <w:szCs w:val="22"/>
        </w:rPr>
        <w:t>Casodex</w:t>
      </w:r>
      <w:proofErr w:type="spellEnd"/>
      <w:r w:rsidRPr="00006F46">
        <w:rPr>
          <w:b w:val="0"/>
          <w:sz w:val="22"/>
          <w:szCs w:val="22"/>
        </w:rPr>
        <w:t xml:space="preserve"> ir kam jis vartojamas</w:t>
      </w:r>
    </w:p>
    <w:p w:rsidR="00B14426" w:rsidRPr="00006F46" w:rsidRDefault="00B14426" w:rsidP="00B14426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2.</w:t>
      </w:r>
      <w:r w:rsidRPr="00006F46">
        <w:rPr>
          <w:b w:val="0"/>
          <w:sz w:val="22"/>
          <w:szCs w:val="22"/>
        </w:rPr>
        <w:tab/>
        <w:t xml:space="preserve">Kas žinotina prieš vartojant </w:t>
      </w:r>
      <w:proofErr w:type="spellStart"/>
      <w:r w:rsidRPr="00006F46">
        <w:rPr>
          <w:b w:val="0"/>
          <w:sz w:val="22"/>
          <w:szCs w:val="22"/>
        </w:rPr>
        <w:t>Casodex</w:t>
      </w:r>
      <w:proofErr w:type="spellEnd"/>
    </w:p>
    <w:p w:rsidR="00B14426" w:rsidRPr="00006F46" w:rsidRDefault="00B14426" w:rsidP="00B14426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3.</w:t>
      </w:r>
      <w:r w:rsidRPr="00006F46">
        <w:rPr>
          <w:b w:val="0"/>
          <w:sz w:val="22"/>
          <w:szCs w:val="22"/>
        </w:rPr>
        <w:tab/>
        <w:t xml:space="preserve">Kaip vartoti </w:t>
      </w:r>
      <w:proofErr w:type="spellStart"/>
      <w:r w:rsidRPr="00006F46">
        <w:rPr>
          <w:b w:val="0"/>
          <w:sz w:val="22"/>
          <w:szCs w:val="22"/>
        </w:rPr>
        <w:t>Casodex</w:t>
      </w:r>
      <w:proofErr w:type="spellEnd"/>
    </w:p>
    <w:p w:rsidR="00B14426" w:rsidRPr="00006F46" w:rsidRDefault="00B14426" w:rsidP="00B14426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4.</w:t>
      </w:r>
      <w:r w:rsidRPr="00006F46">
        <w:rPr>
          <w:b w:val="0"/>
          <w:sz w:val="22"/>
          <w:szCs w:val="22"/>
        </w:rPr>
        <w:tab/>
        <w:t>Galimas šalutinis poveikis</w:t>
      </w:r>
    </w:p>
    <w:p w:rsidR="00B14426" w:rsidRPr="00006F46" w:rsidRDefault="00B14426" w:rsidP="00B14426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5.</w:t>
      </w:r>
      <w:r w:rsidRPr="00006F46">
        <w:rPr>
          <w:b w:val="0"/>
          <w:sz w:val="22"/>
          <w:szCs w:val="22"/>
        </w:rPr>
        <w:tab/>
        <w:t xml:space="preserve">Kaip laikyti </w:t>
      </w:r>
      <w:proofErr w:type="spellStart"/>
      <w:r w:rsidRPr="00006F46">
        <w:rPr>
          <w:b w:val="0"/>
          <w:sz w:val="22"/>
          <w:szCs w:val="22"/>
        </w:rPr>
        <w:t>Casodex</w:t>
      </w:r>
      <w:proofErr w:type="spellEnd"/>
      <w:r w:rsidRPr="00006F46">
        <w:rPr>
          <w:b w:val="0"/>
          <w:sz w:val="22"/>
          <w:szCs w:val="22"/>
        </w:rPr>
        <w:t xml:space="preserve"> </w:t>
      </w:r>
    </w:p>
    <w:p w:rsidR="00B14426" w:rsidRPr="00006F46" w:rsidRDefault="00B14426" w:rsidP="00B14426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6.</w:t>
      </w:r>
      <w:r w:rsidRPr="00006F46">
        <w:rPr>
          <w:b w:val="0"/>
          <w:sz w:val="22"/>
          <w:szCs w:val="22"/>
        </w:rPr>
        <w:tab/>
        <w:t>Kita informacija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b/>
          <w:szCs w:val="22"/>
        </w:rPr>
        <w:t>1.</w:t>
      </w:r>
      <w:r w:rsidRPr="00006F46">
        <w:rPr>
          <w:b/>
          <w:szCs w:val="22"/>
        </w:rPr>
        <w:tab/>
        <w:t xml:space="preserve">Kas yra </w:t>
      </w:r>
      <w:proofErr w:type="spellStart"/>
      <w:r w:rsidRPr="00006F46">
        <w:rPr>
          <w:b/>
          <w:szCs w:val="22"/>
        </w:rPr>
        <w:t>Casodex</w:t>
      </w:r>
      <w:proofErr w:type="spellEnd"/>
      <w:r w:rsidRPr="00006F46">
        <w:rPr>
          <w:b/>
          <w:szCs w:val="22"/>
        </w:rPr>
        <w:t xml:space="preserve"> ir kam jis vartojamas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 xml:space="preserve"> vartojamas prostatos vėžiui gydyti. </w:t>
      </w:r>
      <w:proofErr w:type="spellStart"/>
      <w:r w:rsidRPr="00006F46">
        <w:rPr>
          <w:szCs w:val="22"/>
        </w:rPr>
        <w:t>Bikalutamidas</w:t>
      </w:r>
      <w:proofErr w:type="spellEnd"/>
      <w:r w:rsidRPr="00006F46">
        <w:rPr>
          <w:szCs w:val="22"/>
        </w:rPr>
        <w:t xml:space="preserve"> priklauso vaistų, vadinamų </w:t>
      </w:r>
      <w:proofErr w:type="spellStart"/>
      <w:r w:rsidRPr="00006F46">
        <w:rPr>
          <w:szCs w:val="22"/>
        </w:rPr>
        <w:t>antiandrogenais</w:t>
      </w:r>
      <w:proofErr w:type="spellEnd"/>
      <w:r w:rsidRPr="00006F46">
        <w:rPr>
          <w:szCs w:val="22"/>
        </w:rPr>
        <w:t>, grupei. Jis slopina kai ku</w:t>
      </w:r>
      <w:r w:rsidRPr="00006F46">
        <w:rPr>
          <w:szCs w:val="22"/>
        </w:rPr>
        <w:softHyphen/>
        <w:t>riuos vyriškųjų lytinių hormonų poveikius.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caps/>
          <w:sz w:val="22"/>
          <w:szCs w:val="22"/>
        </w:rPr>
      </w:pPr>
      <w:r w:rsidRPr="00006F46">
        <w:rPr>
          <w:sz w:val="22"/>
          <w:szCs w:val="22"/>
        </w:rPr>
        <w:t>2.</w:t>
      </w:r>
      <w:r w:rsidRPr="00006F46">
        <w:rPr>
          <w:sz w:val="22"/>
          <w:szCs w:val="22"/>
        </w:rPr>
        <w:tab/>
        <w:t xml:space="preserve">Kas žinotina prieš vartojant </w:t>
      </w:r>
      <w:proofErr w:type="spellStart"/>
      <w:r w:rsidRPr="00006F46">
        <w:rPr>
          <w:sz w:val="22"/>
          <w:szCs w:val="22"/>
        </w:rPr>
        <w:t>Casodex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proofErr w:type="spellStart"/>
      <w:r w:rsidRPr="00006F46">
        <w:rPr>
          <w:b/>
          <w:bCs/>
          <w:szCs w:val="22"/>
        </w:rPr>
        <w:t>Casodex</w:t>
      </w:r>
      <w:proofErr w:type="spellEnd"/>
      <w:r w:rsidRPr="00006F46">
        <w:rPr>
          <w:b/>
          <w:bCs/>
          <w:szCs w:val="22"/>
        </w:rPr>
        <w:t xml:space="preserve"> vartoti negalima:</w:t>
      </w:r>
    </w:p>
    <w:p w:rsidR="00B14426" w:rsidRPr="00006F46" w:rsidRDefault="00B14426" w:rsidP="00B14426">
      <w:pPr>
        <w:pStyle w:val="Pagrindinistekstas"/>
        <w:numPr>
          <w:ilvl w:val="0"/>
          <w:numId w:val="9"/>
        </w:numPr>
        <w:tabs>
          <w:tab w:val="left" w:pos="567"/>
        </w:tabs>
        <w:spacing w:after="0"/>
        <w:ind w:left="567" w:hanging="578"/>
        <w:rPr>
          <w:szCs w:val="22"/>
        </w:rPr>
      </w:pPr>
      <w:r w:rsidRPr="00006F46">
        <w:rPr>
          <w:szCs w:val="22"/>
        </w:rPr>
        <w:t>jei yra alergija veikliajai medžiagai arba bet kuriai pagalbinei šio vaisto (jos išvardytos 6 skyriuje)</w:t>
      </w:r>
      <w:r>
        <w:rPr>
          <w:szCs w:val="22"/>
        </w:rPr>
        <w:t>;</w:t>
      </w:r>
    </w:p>
    <w:p w:rsidR="00B14426" w:rsidRPr="00006F46" w:rsidRDefault="00B14426" w:rsidP="00B14426">
      <w:pPr>
        <w:pStyle w:val="BT-EMEASMCA"/>
        <w:ind w:left="567" w:hanging="567"/>
      </w:pPr>
      <w:r w:rsidRPr="00006F46">
        <w:t>jeigu vartojate terfenadiną, astemizolį (šienligei arba alergijai gydyti) arba cizapridą (skrandžio ligoms gydyti).</w:t>
      </w:r>
    </w:p>
    <w:p w:rsidR="00B14426" w:rsidRPr="00006F46" w:rsidRDefault="00B14426" w:rsidP="00B14426">
      <w:pPr>
        <w:pStyle w:val="Pagrindinistekstas"/>
        <w:numPr>
          <w:ilvl w:val="0"/>
          <w:numId w:val="9"/>
        </w:numPr>
        <w:tabs>
          <w:tab w:val="left" w:pos="567"/>
        </w:tabs>
        <w:spacing w:after="0"/>
        <w:ind w:left="567" w:hanging="567"/>
        <w:rPr>
          <w:szCs w:val="22"/>
        </w:rPr>
      </w:pPr>
      <w:r w:rsidRPr="00006F46">
        <w:rPr>
          <w:szCs w:val="22"/>
        </w:rPr>
        <w:t>moterims ir vaikams</w:t>
      </w:r>
      <w:r>
        <w:rPr>
          <w:szCs w:val="22"/>
        </w:rPr>
        <w:t>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ind w:left="567" w:hanging="567"/>
        <w:rPr>
          <w:szCs w:val="22"/>
        </w:rPr>
      </w:pPr>
    </w:p>
    <w:p w:rsidR="00B14426" w:rsidRPr="00006F46" w:rsidRDefault="00B14426" w:rsidP="00B14426">
      <w:pPr>
        <w:tabs>
          <w:tab w:val="left" w:pos="567"/>
        </w:tabs>
        <w:ind w:left="567" w:hanging="567"/>
        <w:rPr>
          <w:sz w:val="22"/>
          <w:szCs w:val="22"/>
        </w:rPr>
      </w:pPr>
      <w:r w:rsidRPr="00006F46">
        <w:rPr>
          <w:sz w:val="22"/>
          <w:szCs w:val="22"/>
        </w:rPr>
        <w:t>Įspėjimai ir atsargumo priemonės</w:t>
      </w:r>
    </w:p>
    <w:p w:rsidR="00B14426" w:rsidRPr="00006F46" w:rsidRDefault="00B14426" w:rsidP="00B14426">
      <w:pPr>
        <w:numPr>
          <w:ilvl w:val="12"/>
          <w:numId w:val="0"/>
        </w:numPr>
        <w:tabs>
          <w:tab w:val="left" w:pos="567"/>
        </w:tabs>
        <w:ind w:right="-2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 xml:space="preserve">Pasitarkite su gydytoju, prieš pradėdami vartoti </w:t>
      </w:r>
      <w:proofErr w:type="spellStart"/>
      <w:r w:rsidRPr="00006F46">
        <w:rPr>
          <w:b w:val="0"/>
          <w:sz w:val="22"/>
          <w:szCs w:val="22"/>
        </w:rPr>
        <w:t>Casodex</w:t>
      </w:r>
      <w:proofErr w:type="spellEnd"/>
      <w:r w:rsidRPr="00006F46">
        <w:rPr>
          <w:b w:val="0"/>
          <w:sz w:val="22"/>
          <w:szCs w:val="22"/>
        </w:rPr>
        <w:t xml:space="preserve">: </w:t>
      </w:r>
    </w:p>
    <w:p w:rsidR="00B14426" w:rsidRPr="00006F46" w:rsidRDefault="00B14426" w:rsidP="00B14426">
      <w:pPr>
        <w:pStyle w:val="Pagrindinistekstas"/>
        <w:numPr>
          <w:ilvl w:val="0"/>
          <w:numId w:val="8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jeigu nesveikos Jūsų kepenys;</w:t>
      </w:r>
    </w:p>
    <w:p w:rsidR="00B14426" w:rsidRPr="00006F46" w:rsidRDefault="00B14426" w:rsidP="00B14426">
      <w:pPr>
        <w:pStyle w:val="Pagrindinistekstas"/>
        <w:numPr>
          <w:ilvl w:val="0"/>
          <w:numId w:val="8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jeigu Jūs vartojate vaistų, skirtų kraujui skystinti arba krešulių susidarymui išvengti, </w:t>
      </w:r>
      <w:proofErr w:type="spellStart"/>
      <w:r w:rsidRPr="00006F46">
        <w:rPr>
          <w:szCs w:val="22"/>
        </w:rPr>
        <w:t>ciklosporiną</w:t>
      </w:r>
      <w:proofErr w:type="spellEnd"/>
      <w:r w:rsidRPr="00006F46">
        <w:rPr>
          <w:szCs w:val="22"/>
        </w:rPr>
        <w:t xml:space="preserve"> (imuninę sis</w:t>
      </w:r>
      <w:r w:rsidRPr="00006F46">
        <w:rPr>
          <w:szCs w:val="22"/>
        </w:rPr>
        <w:softHyphen/>
        <w:t>te</w:t>
      </w:r>
      <w:r w:rsidRPr="00006F46">
        <w:rPr>
          <w:szCs w:val="22"/>
        </w:rPr>
        <w:softHyphen/>
        <w:t>mą slopinantį vaistą) arba kalcio kanalų blokatorius (vaistus nuo padidėjusio kraujospūdžio ir kai kurių širdies ligų)</w:t>
      </w:r>
      <w:r>
        <w:rPr>
          <w:szCs w:val="22"/>
        </w:rPr>
        <w:t>;</w:t>
      </w:r>
    </w:p>
    <w:p w:rsidR="00B14426" w:rsidRPr="00006F46" w:rsidRDefault="00B14426" w:rsidP="00B14426">
      <w:pPr>
        <w:pStyle w:val="Pagrindinistekstas"/>
        <w:numPr>
          <w:ilvl w:val="0"/>
          <w:numId w:val="8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jeigu Jūs sergate kokia nors širdies arba kraujagyslių liga, įskaitant širdies ritmo sutrikimus (aritmijas), arba vartojate vaistų nuo tokių ligų. Vartojant </w:t>
      </w: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>, gali padidėti širdies ritmo sutrikimų rizika.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rFonts w:eastAsia="Calibri"/>
          <w:bCs/>
          <w:szCs w:val="22"/>
        </w:rPr>
      </w:pPr>
      <w:r w:rsidRPr="00006F46">
        <w:rPr>
          <w:rFonts w:eastAsia="Calibri"/>
          <w:bCs/>
          <w:szCs w:val="22"/>
        </w:rPr>
        <w:t xml:space="preserve">Kol vartojate </w:t>
      </w:r>
      <w:proofErr w:type="spellStart"/>
      <w:r w:rsidRPr="00006F46">
        <w:rPr>
          <w:rFonts w:eastAsia="Calibri"/>
          <w:bCs/>
          <w:szCs w:val="22"/>
        </w:rPr>
        <w:t>Casodex</w:t>
      </w:r>
      <w:proofErr w:type="spellEnd"/>
      <w:r w:rsidRPr="00006F46">
        <w:rPr>
          <w:rFonts w:eastAsia="Calibri"/>
          <w:bCs/>
          <w:szCs w:val="22"/>
        </w:rPr>
        <w:t xml:space="preserve"> ir paskui dar 130 dienų Jūs ir (arba) jų partnerė turite naudoti apsisaugojimo nuo nėštumo priemones. Jeigu dėl jų kiltų klausimų, teiraukitės gydytojo.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Antrat4"/>
        <w:tabs>
          <w:tab w:val="left" w:pos="567"/>
        </w:tabs>
        <w:rPr>
          <w:sz w:val="22"/>
          <w:szCs w:val="22"/>
        </w:rPr>
      </w:pPr>
      <w:r w:rsidRPr="00006F46">
        <w:rPr>
          <w:sz w:val="22"/>
          <w:szCs w:val="22"/>
        </w:rPr>
        <w:t xml:space="preserve">Vaikams 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Cs/>
          <w:szCs w:val="22"/>
        </w:rPr>
      </w:pPr>
      <w:r w:rsidRPr="00006F46">
        <w:rPr>
          <w:szCs w:val="22"/>
        </w:rPr>
        <w:t xml:space="preserve">Vaikams </w:t>
      </w: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 xml:space="preserve"> vartoti negalima.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006F46">
        <w:rPr>
          <w:b/>
          <w:bCs/>
          <w:szCs w:val="22"/>
        </w:rPr>
        <w:t xml:space="preserve">Kiti vaistai ir </w:t>
      </w:r>
      <w:proofErr w:type="spellStart"/>
      <w:r w:rsidRPr="00006F46">
        <w:rPr>
          <w:b/>
          <w:bCs/>
          <w:szCs w:val="22"/>
        </w:rPr>
        <w:t>Casodex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lastRenderedPageBreak/>
        <w:t>Jeigu vartojate arba neseniai vartojote kitų vaistų arba dėl to nesate tikri, apie tai pasakykite gydytojui arba vaistininkui.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Jeigu kartu vartojate vaistus, vadinamus </w:t>
      </w:r>
      <w:proofErr w:type="spellStart"/>
      <w:r w:rsidRPr="00006F46">
        <w:rPr>
          <w:szCs w:val="22"/>
        </w:rPr>
        <w:t>liuteinizuojančio</w:t>
      </w:r>
      <w:proofErr w:type="spellEnd"/>
      <w:r w:rsidRPr="00006F46">
        <w:rPr>
          <w:szCs w:val="22"/>
        </w:rPr>
        <w:t xml:space="preserve"> hormono išsiskyrimą skatinančio hormono (LHISH)</w:t>
      </w:r>
      <w:proofErr w:type="spellStart"/>
      <w:r w:rsidRPr="00006F46">
        <w:rPr>
          <w:szCs w:val="22"/>
        </w:rPr>
        <w:t>agonistais</w:t>
      </w:r>
      <w:proofErr w:type="spellEnd"/>
      <w:r w:rsidRPr="00006F46">
        <w:rPr>
          <w:szCs w:val="22"/>
        </w:rPr>
        <w:t>, gydytojas gali nuspręsti, kad tikslinga stebėti gliukozės koncentracijos kiekį Jūsų kraujyje.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 xml:space="preserve"> gali trukdyti veikti kai kuriems vaistams nuo širdies ritmo sutrikimų (pvz., </w:t>
      </w:r>
      <w:proofErr w:type="spellStart"/>
      <w:r w:rsidRPr="00006F46">
        <w:rPr>
          <w:szCs w:val="22"/>
        </w:rPr>
        <w:t>chinidinui</w:t>
      </w:r>
      <w:proofErr w:type="spellEnd"/>
      <w:r w:rsidRPr="00006F46">
        <w:rPr>
          <w:szCs w:val="22"/>
        </w:rPr>
        <w:t xml:space="preserve">, </w:t>
      </w:r>
      <w:proofErr w:type="spellStart"/>
      <w:r w:rsidRPr="00006F46">
        <w:rPr>
          <w:szCs w:val="22"/>
        </w:rPr>
        <w:t>prokainamidui</w:t>
      </w:r>
      <w:proofErr w:type="spellEnd"/>
      <w:r w:rsidRPr="00006F46">
        <w:rPr>
          <w:szCs w:val="22"/>
        </w:rPr>
        <w:t xml:space="preserve">, </w:t>
      </w:r>
      <w:proofErr w:type="spellStart"/>
      <w:r w:rsidRPr="00006F46">
        <w:rPr>
          <w:szCs w:val="22"/>
        </w:rPr>
        <w:t>amjodaronui</w:t>
      </w:r>
      <w:proofErr w:type="spellEnd"/>
      <w:r w:rsidRPr="00006F46">
        <w:rPr>
          <w:szCs w:val="22"/>
        </w:rPr>
        <w:t xml:space="preserve"> ir </w:t>
      </w:r>
      <w:proofErr w:type="spellStart"/>
      <w:r w:rsidRPr="00006F46">
        <w:rPr>
          <w:szCs w:val="22"/>
        </w:rPr>
        <w:t>sotaloliui</w:t>
      </w:r>
      <w:proofErr w:type="spellEnd"/>
      <w:r w:rsidRPr="00006F46">
        <w:rPr>
          <w:szCs w:val="22"/>
        </w:rPr>
        <w:t xml:space="preserve">) bei padidinti širdies ritmo sutrikimų riziką kartu vartojant kai kurių kitų vaistų, pvz., metadono (jo skiriama skausmui malšinti ir [kartu su kitomis priemonėmis] piktnaudžiaujančių vaistais ar narkotikais pacientų detoksikacijai), </w:t>
      </w:r>
      <w:proofErr w:type="spellStart"/>
      <w:r w:rsidRPr="00006F46">
        <w:rPr>
          <w:szCs w:val="22"/>
        </w:rPr>
        <w:t>moksifloksacino</w:t>
      </w:r>
      <w:proofErr w:type="spellEnd"/>
      <w:r w:rsidRPr="00006F46">
        <w:rPr>
          <w:szCs w:val="22"/>
        </w:rPr>
        <w:t xml:space="preserve"> (antibiotiko) ar vaistų nuo sunkių psichikos ligų.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t xml:space="preserve">Ypač svarbu gydytojui pasakyti, jeigu vartojate kraujo skystinančių vaistų, pvz., </w:t>
      </w:r>
      <w:proofErr w:type="spellStart"/>
      <w:r w:rsidRPr="00006F46">
        <w:t>varfariną</w:t>
      </w:r>
      <w:proofErr w:type="spellEnd"/>
      <w:r w:rsidRPr="00006F46">
        <w:rPr>
          <w:bCs/>
        </w:rPr>
        <w:t>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Nuvykę į ligoninę, informuokite medicinos personalą apie </w:t>
      </w: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 xml:space="preserve"> vartojimą.</w:t>
      </w:r>
    </w:p>
    <w:p w:rsidR="00B14426" w:rsidRPr="00006F46" w:rsidRDefault="00B14426" w:rsidP="00B14426">
      <w:pPr>
        <w:pStyle w:val="PI-3EMEASMCA"/>
        <w:tabs>
          <w:tab w:val="left" w:pos="567"/>
        </w:tabs>
      </w:pPr>
    </w:p>
    <w:p w:rsidR="00B14426" w:rsidRPr="00006F46" w:rsidRDefault="00B14426" w:rsidP="00B14426">
      <w:pPr>
        <w:pStyle w:val="PI-3EMEASMCA"/>
        <w:tabs>
          <w:tab w:val="left" w:pos="567"/>
        </w:tabs>
        <w:spacing w:line="240" w:lineRule="auto"/>
      </w:pPr>
      <w:r w:rsidRPr="00006F46">
        <w:t>Nėštumas, žindymo laikotarpis ir vaisingumas</w:t>
      </w:r>
    </w:p>
    <w:p w:rsidR="00B14426" w:rsidRPr="00006F46" w:rsidRDefault="00B14426" w:rsidP="00B14426">
      <w:pPr>
        <w:pStyle w:val="Antrat1"/>
        <w:tabs>
          <w:tab w:val="left" w:pos="567"/>
        </w:tabs>
        <w:spacing w:after="0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 xml:space="preserve">Moterims </w:t>
      </w:r>
      <w:proofErr w:type="spellStart"/>
      <w:r w:rsidRPr="00006F46">
        <w:rPr>
          <w:b w:val="0"/>
          <w:sz w:val="22"/>
          <w:szCs w:val="22"/>
        </w:rPr>
        <w:t>Casodex</w:t>
      </w:r>
      <w:proofErr w:type="spellEnd"/>
      <w:r w:rsidRPr="00006F46">
        <w:rPr>
          <w:b w:val="0"/>
          <w:sz w:val="22"/>
          <w:szCs w:val="22"/>
        </w:rPr>
        <w:t xml:space="preserve"> vartoti negalima.</w:t>
      </w:r>
    </w:p>
    <w:p w:rsidR="00B14426" w:rsidRPr="00006F46" w:rsidRDefault="00B14426" w:rsidP="00B14426">
      <w:pPr>
        <w:tabs>
          <w:tab w:val="left" w:pos="567"/>
        </w:tabs>
        <w:rPr>
          <w:b w:val="0"/>
          <w:sz w:val="22"/>
          <w:szCs w:val="22"/>
        </w:rPr>
      </w:pPr>
      <w:proofErr w:type="spellStart"/>
      <w:r w:rsidRPr="00006F46">
        <w:rPr>
          <w:b w:val="0"/>
          <w:sz w:val="22"/>
          <w:szCs w:val="22"/>
        </w:rPr>
        <w:t>Casodex</w:t>
      </w:r>
      <w:proofErr w:type="spellEnd"/>
      <w:r w:rsidRPr="00006F46">
        <w:rPr>
          <w:b w:val="0"/>
          <w:sz w:val="22"/>
          <w:szCs w:val="22"/>
        </w:rPr>
        <w:t xml:space="preserve"> gali turėti įtakos vyrų vaisingumui, kuri gali būti laikina.</w:t>
      </w:r>
    </w:p>
    <w:p w:rsidR="00B14426" w:rsidRPr="00006F46" w:rsidRDefault="00B14426" w:rsidP="00B14426">
      <w:pPr>
        <w:tabs>
          <w:tab w:val="left" w:pos="567"/>
        </w:tabs>
      </w:pPr>
    </w:p>
    <w:p w:rsidR="00B14426" w:rsidRPr="00006F46" w:rsidRDefault="00B14426" w:rsidP="00B14426">
      <w:pPr>
        <w:tabs>
          <w:tab w:val="left" w:pos="567"/>
        </w:tabs>
        <w:ind w:left="567" w:hanging="567"/>
        <w:rPr>
          <w:sz w:val="22"/>
          <w:szCs w:val="22"/>
        </w:rPr>
      </w:pPr>
      <w:r w:rsidRPr="00006F46">
        <w:rPr>
          <w:sz w:val="22"/>
          <w:szCs w:val="22"/>
        </w:rPr>
        <w:t>Vairavimas ir mechanizmų valdymas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Gebėjimo vairuoti ir dirbti su technika </w:t>
      </w: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 xml:space="preserve"> neturėtų trikdyti, tačiau kai kurie šį vaistą var</w:t>
      </w:r>
      <w:r w:rsidRPr="00006F46">
        <w:rPr>
          <w:szCs w:val="22"/>
        </w:rPr>
        <w:softHyphen/>
        <w:t>to</w:t>
      </w:r>
      <w:r w:rsidRPr="00006F46">
        <w:rPr>
          <w:szCs w:val="22"/>
        </w:rPr>
        <w:softHyphen/>
        <w:t>jantys pacientai jaučia mieguistumą. Pajutus šių sutrikimų, vairuoti ar dirbti su technika reikia atsar</w:t>
      </w:r>
      <w:r w:rsidRPr="00006F46">
        <w:rPr>
          <w:szCs w:val="22"/>
        </w:rPr>
        <w:softHyphen/>
        <w:t>giai.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proofErr w:type="spellStart"/>
      <w:r w:rsidRPr="00006F46">
        <w:rPr>
          <w:b/>
          <w:szCs w:val="22"/>
        </w:rPr>
        <w:t>Casodex</w:t>
      </w:r>
      <w:proofErr w:type="spellEnd"/>
      <w:r w:rsidRPr="00006F46">
        <w:rPr>
          <w:b/>
          <w:szCs w:val="22"/>
        </w:rPr>
        <w:t xml:space="preserve"> sudėtyje yra laktozės. 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Jei gydytojas yra Jums sakęs, kad netoleruojate kokių nors angliavandenių, kreipkitės</w:t>
      </w:r>
      <w:r>
        <w:rPr>
          <w:szCs w:val="22"/>
        </w:rPr>
        <w:t xml:space="preserve"> </w:t>
      </w:r>
      <w:r w:rsidRPr="00006F46">
        <w:rPr>
          <w:szCs w:val="22"/>
        </w:rPr>
        <w:t>į jį prieš pradėdami vartoti šį vaistą.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I-1EMEASMCA"/>
        <w:tabs>
          <w:tab w:val="left" w:pos="567"/>
        </w:tabs>
        <w:rPr>
          <w:caps/>
          <w:noProof w:val="0"/>
        </w:rPr>
      </w:pPr>
      <w:r w:rsidRPr="00006F46">
        <w:rPr>
          <w:noProof w:val="0"/>
        </w:rPr>
        <w:t>3.</w:t>
      </w:r>
      <w:r w:rsidRPr="00006F46">
        <w:rPr>
          <w:noProof w:val="0"/>
        </w:rPr>
        <w:tab/>
        <w:t xml:space="preserve">Kaip vartoti </w:t>
      </w:r>
      <w:proofErr w:type="spellStart"/>
      <w:r w:rsidRPr="00006F46">
        <w:rPr>
          <w:noProof w:val="0"/>
        </w:rPr>
        <w:t>Casodex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Visada vartokite šį vaistą kaip nurodė gydytojas. Jeigu abejojate, kreipkitės į gydytoją arba vaistininką.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Rekomenduojama dozė – 1 tabletė per parą. 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Nurykite tabletę nepažeistą, užgerdami vandeniu, pageidau</w:t>
      </w:r>
      <w:r w:rsidRPr="00006F46">
        <w:rPr>
          <w:szCs w:val="22"/>
        </w:rPr>
        <w:softHyphen/>
        <w:t>ti</w:t>
      </w:r>
      <w:r w:rsidRPr="00006F46">
        <w:rPr>
          <w:szCs w:val="22"/>
        </w:rPr>
        <w:softHyphen/>
        <w:t>na kasdien tokiu pačiu laiku.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Nenutraukite šių tablečių vartojimo net jeigu jaučiatės gerai, išskyrus atvejį, kai tą nurodo gydytojas.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tabs>
          <w:tab w:val="left" w:pos="567"/>
        </w:tabs>
        <w:ind w:left="567" w:hanging="567"/>
        <w:rPr>
          <w:sz w:val="22"/>
          <w:szCs w:val="22"/>
        </w:rPr>
      </w:pPr>
      <w:r w:rsidRPr="00006F46">
        <w:rPr>
          <w:sz w:val="22"/>
          <w:szCs w:val="22"/>
        </w:rPr>
        <w:t xml:space="preserve">Ką daryti pavartojus per didelę </w:t>
      </w:r>
      <w:proofErr w:type="spellStart"/>
      <w:r w:rsidRPr="00006F46">
        <w:rPr>
          <w:sz w:val="22"/>
          <w:szCs w:val="22"/>
        </w:rPr>
        <w:t>Casodex</w:t>
      </w:r>
      <w:proofErr w:type="spellEnd"/>
      <w:r w:rsidRPr="00006F46">
        <w:rPr>
          <w:sz w:val="22"/>
          <w:szCs w:val="22"/>
        </w:rPr>
        <w:t xml:space="preserve"> dozę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Išgėrę per didelę dozę, nedelsdami kreipkitės į savo gydytoją arba artimiausiąją ligoninę.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tabs>
          <w:tab w:val="left" w:pos="567"/>
        </w:tabs>
        <w:ind w:left="567" w:hanging="567"/>
        <w:rPr>
          <w:sz w:val="22"/>
          <w:szCs w:val="22"/>
        </w:rPr>
      </w:pPr>
      <w:r w:rsidRPr="00006F46">
        <w:rPr>
          <w:sz w:val="22"/>
          <w:szCs w:val="22"/>
        </w:rPr>
        <w:t xml:space="preserve">Pamiršus pavartoti </w:t>
      </w:r>
      <w:proofErr w:type="spellStart"/>
      <w:r w:rsidRPr="00006F46">
        <w:rPr>
          <w:sz w:val="22"/>
          <w:szCs w:val="22"/>
        </w:rPr>
        <w:t>Casodex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Užmirštą šio vaisto dozę prisiminę išgerkite tuoj pat, o toliau jį vartokite įprasta tvarka. Negalima vartoti dvigubos dozės norint kompensuoti praleistą tabletę. Jei nerimau</w:t>
      </w:r>
      <w:r w:rsidRPr="00006F46">
        <w:rPr>
          <w:szCs w:val="22"/>
        </w:rPr>
        <w:softHyphen/>
        <w:t>ja</w:t>
      </w:r>
      <w:r w:rsidRPr="00006F46">
        <w:rPr>
          <w:szCs w:val="22"/>
        </w:rPr>
        <w:softHyphen/>
        <w:t>te, pasitarkite su gydytoju arba vaistininku.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caps/>
          <w:sz w:val="22"/>
          <w:szCs w:val="22"/>
        </w:rPr>
      </w:pPr>
      <w:r w:rsidRPr="00006F46">
        <w:rPr>
          <w:caps/>
          <w:sz w:val="22"/>
          <w:szCs w:val="22"/>
        </w:rPr>
        <w:t>4.</w:t>
      </w:r>
      <w:r w:rsidRPr="00006F46">
        <w:rPr>
          <w:caps/>
          <w:sz w:val="22"/>
          <w:szCs w:val="22"/>
        </w:rPr>
        <w:tab/>
      </w:r>
      <w:r w:rsidRPr="00006F46">
        <w:rPr>
          <w:sz w:val="22"/>
          <w:szCs w:val="22"/>
        </w:rPr>
        <w:t>Galimas šalutinis poveikis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Šis vaistas, kaip ir visi kiti, gali sukelti šalutinį poveikį, nors jis pasireiškia ne visiems žmonėms.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006F46">
        <w:rPr>
          <w:i/>
          <w:szCs w:val="22"/>
        </w:rPr>
        <w:t xml:space="preserve">Alerginės reakcijos (nedažnas šalutinis poveikis, pasireiškia </w:t>
      </w:r>
      <w:r w:rsidRPr="00006F46">
        <w:rPr>
          <w:i/>
          <w:szCs w:val="22"/>
          <w:lang w:eastAsia="lt-LT"/>
        </w:rPr>
        <w:t>mažiau kaip 1 iš 100 žmonių):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006F46">
        <w:rPr>
          <w:szCs w:val="22"/>
          <w:lang w:eastAsia="lt-LT"/>
        </w:rPr>
        <w:t>Gali staiga prasidėti:</w:t>
      </w:r>
    </w:p>
    <w:p w:rsidR="00B14426" w:rsidRPr="00006F46" w:rsidRDefault="00B14426" w:rsidP="00B14426">
      <w:pPr>
        <w:pStyle w:val="Pagrindinistekstas"/>
        <w:numPr>
          <w:ilvl w:val="0"/>
          <w:numId w:val="6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 xml:space="preserve">odos bėrimas, niežulys ar dilgėlinė; </w:t>
      </w:r>
    </w:p>
    <w:p w:rsidR="00B14426" w:rsidRPr="00006F46" w:rsidRDefault="00B14426" w:rsidP="00B14426">
      <w:pPr>
        <w:pStyle w:val="Pagrindinistekstas"/>
        <w:numPr>
          <w:ilvl w:val="0"/>
          <w:numId w:val="1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veido, lūpų, liežuvio, gerklės ar kitų kūno vietų tini</w:t>
      </w:r>
      <w:r w:rsidRPr="00006F46">
        <w:rPr>
          <w:szCs w:val="22"/>
        </w:rPr>
        <w:softHyphen/>
        <w:t>mas.</w:t>
      </w:r>
    </w:p>
    <w:p w:rsidR="00B14426" w:rsidRPr="00006F46" w:rsidRDefault="00B14426" w:rsidP="00B14426">
      <w:pPr>
        <w:pStyle w:val="Pagrindinistekstas"/>
        <w:numPr>
          <w:ilvl w:val="0"/>
          <w:numId w:val="1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dusulys, švokštimas ar kvėpavimo pasunkėjimas.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Tokiu atveju</w:t>
      </w:r>
      <w:r w:rsidRPr="00006F46">
        <w:rPr>
          <w:b/>
          <w:szCs w:val="22"/>
        </w:rPr>
        <w:t>, nedelsdami kreipkitės į gydytoją.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006F46">
        <w:rPr>
          <w:i/>
          <w:szCs w:val="22"/>
        </w:rPr>
        <w:t>Taip pat nedelsdami pasakykite gydytojui, jeigu pasireiškė žemiau išvardytas šalutinis poveikis.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006F46">
        <w:rPr>
          <w:i/>
          <w:szCs w:val="22"/>
        </w:rPr>
        <w:t>Labai dažnas šalutinis poveikis (</w:t>
      </w:r>
      <w:r w:rsidRPr="00006F46">
        <w:rPr>
          <w:i/>
          <w:szCs w:val="22"/>
          <w:lang w:eastAsia="lt-LT"/>
        </w:rPr>
        <w:t>pasireiškia daugiau kaip 1 iš 10 žmonių)</w:t>
      </w:r>
      <w:r w:rsidRPr="00006F46">
        <w:rPr>
          <w:i/>
          <w:szCs w:val="22"/>
        </w:rPr>
        <w:t>:</w:t>
      </w:r>
    </w:p>
    <w:p w:rsidR="00B14426" w:rsidRPr="00006F46" w:rsidRDefault="00B14426" w:rsidP="00B14426">
      <w:pPr>
        <w:pStyle w:val="Pagrindinistekstas"/>
        <w:numPr>
          <w:ilvl w:val="0"/>
          <w:numId w:val="3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pilvo skausmas;</w:t>
      </w:r>
    </w:p>
    <w:p w:rsidR="00B14426" w:rsidRPr="00006F46" w:rsidRDefault="00B14426" w:rsidP="00B14426">
      <w:pPr>
        <w:pStyle w:val="Pagrindinistekstas"/>
        <w:numPr>
          <w:ilvl w:val="0"/>
          <w:numId w:val="3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kraujas šlapime;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Dažnas šalutinis poveikis (pasireiškia </w:t>
      </w:r>
      <w:r w:rsidRPr="00006F46">
        <w:rPr>
          <w:szCs w:val="22"/>
          <w:lang w:eastAsia="lt-LT"/>
        </w:rPr>
        <w:t>mažiau kaip 1 iš 10 žmonių)</w:t>
      </w:r>
      <w:r w:rsidRPr="00006F46">
        <w:rPr>
          <w:szCs w:val="22"/>
        </w:rPr>
        <w:t>: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 xml:space="preserve">odos ar akių baltymų pageltimas (gelta). Tai gali būti </w:t>
      </w:r>
      <w:proofErr w:type="spellStart"/>
      <w:r w:rsidRPr="00006F46">
        <w:rPr>
          <w:szCs w:val="22"/>
        </w:rPr>
        <w:t>požymis,kad</w:t>
      </w:r>
      <w:proofErr w:type="spellEnd"/>
      <w:r w:rsidRPr="00006F46">
        <w:rPr>
          <w:szCs w:val="22"/>
        </w:rPr>
        <w:t xml:space="preserve">  jūsų kepenys yra nesveikos, o retais atvejais (pasireiškia </w:t>
      </w:r>
      <w:r w:rsidRPr="00006F46">
        <w:rPr>
          <w:szCs w:val="22"/>
          <w:lang w:eastAsia="lt-LT"/>
        </w:rPr>
        <w:t xml:space="preserve">mažiau kaip 1 iš 1000 žmonių) </w:t>
      </w:r>
      <w:r w:rsidRPr="00006F46">
        <w:rPr>
          <w:szCs w:val="22"/>
        </w:rPr>
        <w:t>– kepenų nepakankamumas.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Nedažnas šalutinis poveikis (pasireiškia </w:t>
      </w:r>
      <w:r w:rsidRPr="00006F46">
        <w:rPr>
          <w:szCs w:val="22"/>
          <w:lang w:eastAsia="lt-LT"/>
        </w:rPr>
        <w:t>mažiau kaip 1 iš 100 žmonių)</w:t>
      </w:r>
      <w:r w:rsidRPr="00006F46">
        <w:rPr>
          <w:szCs w:val="22"/>
        </w:rPr>
        <w:t>: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ind w:left="340"/>
        <w:rPr>
          <w:szCs w:val="22"/>
        </w:rPr>
      </w:pPr>
      <w:r w:rsidRPr="00006F46">
        <w:rPr>
          <w:szCs w:val="22"/>
        </w:rPr>
        <w:t>stiprus dusulys arba staigus jo pasunkėjimas (kartu gali būti kosulys ir karščiavimas). Tai gali būti plaučių uždegimo požymis, vadi</w:t>
      </w:r>
      <w:r w:rsidRPr="00006F46">
        <w:rPr>
          <w:szCs w:val="22"/>
        </w:rPr>
        <w:softHyphen/>
        <w:t>na</w:t>
      </w:r>
      <w:r w:rsidRPr="00006F46">
        <w:rPr>
          <w:szCs w:val="22"/>
        </w:rPr>
        <w:softHyphen/>
        <w:t xml:space="preserve">mas </w:t>
      </w:r>
      <w:proofErr w:type="spellStart"/>
      <w:r w:rsidRPr="00006F46">
        <w:rPr>
          <w:szCs w:val="22"/>
        </w:rPr>
        <w:t>intersticine</w:t>
      </w:r>
      <w:proofErr w:type="spellEnd"/>
      <w:r w:rsidRPr="00006F46">
        <w:rPr>
          <w:szCs w:val="22"/>
        </w:rPr>
        <w:t xml:space="preserve"> plaučių liga.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006F46">
        <w:rPr>
          <w:i/>
          <w:szCs w:val="22"/>
        </w:rPr>
        <w:t>Kitas galimas šalutinis poveikis: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ind w:left="720"/>
        <w:rPr>
          <w:b/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  <w:lang w:eastAsia="lt-LT"/>
        </w:rPr>
      </w:pPr>
      <w:r w:rsidRPr="00006F46">
        <w:rPr>
          <w:i/>
          <w:szCs w:val="22"/>
        </w:rPr>
        <w:t xml:space="preserve">Labai dažnas (pasireiškia </w:t>
      </w:r>
      <w:r w:rsidRPr="00006F46">
        <w:rPr>
          <w:i/>
          <w:szCs w:val="22"/>
          <w:lang w:eastAsia="lt-LT"/>
        </w:rPr>
        <w:t>daugiau kaip 1iš 10 žmonių):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  <w:lang w:eastAsia="lt-LT"/>
        </w:rPr>
      </w:pPr>
      <w:r w:rsidRPr="00006F46">
        <w:rPr>
          <w:szCs w:val="22"/>
        </w:rPr>
        <w:t>svaigulys;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  <w:lang w:eastAsia="lt-LT"/>
        </w:rPr>
      </w:pPr>
      <w:r w:rsidRPr="00006F46">
        <w:rPr>
          <w:szCs w:val="22"/>
        </w:rPr>
        <w:t>vidurių užkietėjimas;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  <w:lang w:eastAsia="lt-LT"/>
        </w:rPr>
      </w:pPr>
      <w:r w:rsidRPr="00006F46">
        <w:rPr>
          <w:szCs w:val="22"/>
        </w:rPr>
        <w:t>pykinimas;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krūties audinio skausmingumas ar padidėjimas;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karščio pylimas;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  <w:lang w:eastAsia="lt-LT"/>
        </w:rPr>
      </w:pPr>
      <w:r w:rsidRPr="00006F46">
        <w:rPr>
          <w:szCs w:val="22"/>
        </w:rPr>
        <w:t>nuovargis;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  <w:lang w:eastAsia="lt-LT"/>
        </w:rPr>
      </w:pPr>
      <w:r w:rsidRPr="00006F46">
        <w:rPr>
          <w:szCs w:val="22"/>
        </w:rPr>
        <w:t>patinimas (edema);</w:t>
      </w:r>
    </w:p>
    <w:p w:rsidR="00B14426" w:rsidRPr="00006F46" w:rsidRDefault="00B14426" w:rsidP="00B14426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Cs w:val="22"/>
          <w:lang w:eastAsia="lt-LT"/>
        </w:rPr>
      </w:pPr>
      <w:r w:rsidRPr="00006F46">
        <w:rPr>
          <w:szCs w:val="22"/>
        </w:rPr>
        <w:t>raudonųjų kūnelių kraujyje sumažėjimas (anemija). Dėl to jūs galite jausti silpnumą; ar būti išbalęs.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ind w:left="108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006F46">
        <w:rPr>
          <w:i/>
          <w:szCs w:val="22"/>
        </w:rPr>
        <w:t xml:space="preserve">Dažnas šalutinis poveikis (pasireiškia </w:t>
      </w:r>
      <w:r w:rsidRPr="00006F46">
        <w:rPr>
          <w:i/>
          <w:szCs w:val="22"/>
          <w:lang w:eastAsia="lt-LT"/>
        </w:rPr>
        <w:t>mažiau kaip 1 iš 10 žmonių)</w:t>
      </w:r>
      <w:r w:rsidRPr="00006F46">
        <w:rPr>
          <w:i/>
          <w:szCs w:val="22"/>
        </w:rPr>
        <w:t>: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sumažėjęs apetitas;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sumažėjęs lytinis potraukis;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depresija;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mieguistumas;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nevirškinimas</w:t>
      </w:r>
      <w:proofErr w:type="spellEnd"/>
      <w:r w:rsidRPr="00006F46">
        <w:rPr>
          <w:szCs w:val="22"/>
        </w:rPr>
        <w:t>,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pilvo pūtimas;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plaukų slinkimas;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plaukų ataugimas ar nenormalus jų augimas;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sausa oda;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niežulys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odos bėrimas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impotencija;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svorio prieaugis;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krūtinės skausmas;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susilpnėjusi širdies funkcija;</w:t>
      </w:r>
    </w:p>
    <w:p w:rsidR="00B14426" w:rsidRPr="00006F46" w:rsidRDefault="00B14426" w:rsidP="00B14426">
      <w:pPr>
        <w:pStyle w:val="Pagrindinistekstas"/>
        <w:numPr>
          <w:ilvl w:val="0"/>
          <w:numId w:val="5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širdies priepuolis.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006F46">
        <w:rPr>
          <w:i/>
          <w:szCs w:val="22"/>
        </w:rPr>
        <w:t>Retas šalutinis poveikis (pasireiškia mažiau kaip 1 iš 1000 žmonių</w:t>
      </w:r>
      <w:r w:rsidRPr="00006F46">
        <w:rPr>
          <w:i/>
          <w:szCs w:val="22"/>
          <w:lang w:eastAsia="lt-LT"/>
        </w:rPr>
        <w:t>)</w:t>
      </w:r>
      <w:r w:rsidRPr="00006F46">
        <w:rPr>
          <w:i/>
          <w:szCs w:val="22"/>
        </w:rPr>
        <w:t>:</w:t>
      </w:r>
    </w:p>
    <w:p w:rsidR="00B14426" w:rsidRPr="00006F46" w:rsidRDefault="00B14426" w:rsidP="00B14426">
      <w:pPr>
        <w:pStyle w:val="Pagrindinistekstas"/>
        <w:numPr>
          <w:ilvl w:val="0"/>
          <w:numId w:val="7"/>
        </w:numPr>
        <w:tabs>
          <w:tab w:val="left" w:pos="567"/>
        </w:tabs>
        <w:spacing w:after="0"/>
        <w:rPr>
          <w:b/>
          <w:szCs w:val="22"/>
        </w:rPr>
      </w:pPr>
      <w:r w:rsidRPr="00006F46">
        <w:rPr>
          <w:szCs w:val="22"/>
        </w:rPr>
        <w:t>padidėjęs odos jautrumas saulės šviesai.</w:t>
      </w:r>
    </w:p>
    <w:p w:rsidR="00B14426" w:rsidRPr="00F27C22" w:rsidRDefault="00B14426" w:rsidP="00B14426">
      <w:pPr>
        <w:pStyle w:val="Pagrindinistekstas"/>
        <w:tabs>
          <w:tab w:val="left" w:pos="567"/>
        </w:tabs>
        <w:spacing w:after="0"/>
        <w:ind w:left="720"/>
        <w:rPr>
          <w:i/>
          <w:szCs w:val="22"/>
        </w:rPr>
      </w:pPr>
    </w:p>
    <w:p w:rsidR="00B14426" w:rsidRPr="00F27C22" w:rsidRDefault="00B14426" w:rsidP="00B14426">
      <w:pPr>
        <w:pStyle w:val="Pagrindinistekstas"/>
        <w:tabs>
          <w:tab w:val="left" w:pos="567"/>
        </w:tabs>
        <w:spacing w:after="0"/>
        <w:rPr>
          <w:i/>
          <w:szCs w:val="22"/>
        </w:rPr>
      </w:pPr>
      <w:r w:rsidRPr="00F27C22">
        <w:rPr>
          <w:i/>
          <w:szCs w:val="22"/>
        </w:rPr>
        <w:t>Dažnis nežinomas</w:t>
      </w:r>
      <w:r>
        <w:rPr>
          <w:i/>
          <w:szCs w:val="22"/>
        </w:rPr>
        <w:t xml:space="preserve"> (negali būti apskaičiuotas pagal turimus duomenis)</w:t>
      </w:r>
      <w:r w:rsidRPr="00F27C22">
        <w:rPr>
          <w:i/>
          <w:szCs w:val="22"/>
        </w:rPr>
        <w:t xml:space="preserve">: </w:t>
      </w:r>
    </w:p>
    <w:p w:rsidR="00B14426" w:rsidRPr="00006F46" w:rsidRDefault="00B14426" w:rsidP="00B14426">
      <w:pPr>
        <w:pStyle w:val="Pagrindinistekstas"/>
        <w:numPr>
          <w:ilvl w:val="0"/>
          <w:numId w:val="10"/>
        </w:numPr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EKG pokyčiai (pailgėjęs QT intervalas)</w:t>
      </w:r>
      <w:r>
        <w:rPr>
          <w:szCs w:val="22"/>
        </w:rPr>
        <w:t>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Vartojant </w:t>
      </w:r>
      <w:proofErr w:type="spellStart"/>
      <w:r w:rsidRPr="00006F46">
        <w:rPr>
          <w:szCs w:val="22"/>
        </w:rPr>
        <w:t>Casodex</w:t>
      </w:r>
      <w:proofErr w:type="spellEnd"/>
      <w:r w:rsidRPr="00006F46">
        <w:rPr>
          <w:szCs w:val="22"/>
        </w:rPr>
        <w:t>, kartais gali pakisti kraujas, todėl gydytojas gali nurodyti atlikti tam tikrus jo tyrimus.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Nerimauti dėl aukščiau minėto galimo šalutinio poveikio nereikėtų, kadangi Jums jo gali nepasireikšti. 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Jeigu pasireiškė sunkus šalutinis poveikis arba pastebėjote šiame lapelyje nenurodytą šalutinį poveikį, pasakykite gydytojui arba vaistininkui.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tabs>
          <w:tab w:val="left" w:pos="567"/>
        </w:tabs>
        <w:rPr>
          <w:sz w:val="22"/>
          <w:szCs w:val="22"/>
        </w:rPr>
      </w:pPr>
      <w:r w:rsidRPr="00006F46">
        <w:rPr>
          <w:sz w:val="22"/>
          <w:szCs w:val="22"/>
        </w:rPr>
        <w:t>Pranešimas apie šalutinį poveikį</w:t>
      </w:r>
    </w:p>
    <w:p w:rsidR="00B14426" w:rsidRPr="00006F46" w:rsidRDefault="00B14426" w:rsidP="00B14426">
      <w:pPr>
        <w:tabs>
          <w:tab w:val="left" w:pos="567"/>
        </w:tabs>
      </w:pPr>
      <w:r w:rsidRPr="00006F46">
        <w:rPr>
          <w:b w:val="0"/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06F46">
        <w:rPr>
          <w:b w:val="0"/>
          <w:sz w:val="22"/>
          <w:szCs w:val="22"/>
          <w:lang w:eastAsia="zh-CN"/>
        </w:rPr>
        <w:t>elefonu 8 800 73568</w:t>
      </w:r>
      <w:r w:rsidRPr="00006F46">
        <w:rPr>
          <w:b w:val="0"/>
          <w:sz w:val="22"/>
          <w:szCs w:val="22"/>
        </w:rPr>
        <w:t xml:space="preserve"> arba užpildyti interneto svetainėje </w:t>
      </w:r>
      <w:hyperlink r:id="rId6" w:history="1">
        <w:r w:rsidRPr="00006F46">
          <w:rPr>
            <w:rStyle w:val="Hipersaitas"/>
            <w:rFonts w:eastAsia="SimSun"/>
            <w:b w:val="0"/>
            <w:sz w:val="22"/>
            <w:szCs w:val="22"/>
          </w:rPr>
          <w:t>www.vvkt.lt</w:t>
        </w:r>
      </w:hyperlink>
      <w:r w:rsidRPr="00006F46">
        <w:rPr>
          <w:b w:val="0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06F46">
        <w:rPr>
          <w:b w:val="0"/>
          <w:sz w:val="22"/>
          <w:szCs w:val="22"/>
          <w:lang w:eastAsia="zh-CN"/>
        </w:rPr>
        <w:t xml:space="preserve">nemokamu </w:t>
      </w:r>
      <w:r w:rsidRPr="00006F46">
        <w:rPr>
          <w:b w:val="0"/>
          <w:sz w:val="22"/>
          <w:szCs w:val="22"/>
        </w:rPr>
        <w:t>fakso numeriu 8 800 20131</w:t>
      </w:r>
      <w:r w:rsidRPr="00006F46">
        <w:rPr>
          <w:b w:val="0"/>
          <w:sz w:val="22"/>
          <w:szCs w:val="22"/>
          <w:lang w:eastAsia="zh-CN"/>
        </w:rPr>
        <w:t xml:space="preserve">, </w:t>
      </w:r>
      <w:r w:rsidRPr="00006F46">
        <w:rPr>
          <w:b w:val="0"/>
          <w:sz w:val="22"/>
          <w:szCs w:val="22"/>
        </w:rPr>
        <w:t xml:space="preserve">el. paštu </w:t>
      </w:r>
      <w:hyperlink r:id="rId7" w:history="1">
        <w:r w:rsidRPr="00006F46">
          <w:rPr>
            <w:rStyle w:val="Hipersaitas"/>
            <w:rFonts w:eastAsia="SimSun"/>
            <w:b w:val="0"/>
            <w:sz w:val="22"/>
            <w:szCs w:val="22"/>
          </w:rPr>
          <w:t>NepageidaujamaR@vvkt.lt</w:t>
        </w:r>
      </w:hyperlink>
      <w:r w:rsidRPr="00006F46">
        <w:rPr>
          <w:b w:val="0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006F46">
          <w:rPr>
            <w:rStyle w:val="Hipersaitas"/>
            <w:rFonts w:eastAsia="SimSun"/>
            <w:b w:val="0"/>
            <w:sz w:val="22"/>
            <w:szCs w:val="22"/>
          </w:rPr>
          <w:t>http://www.vvkt.lt</w:t>
        </w:r>
      </w:hyperlink>
      <w:r w:rsidRPr="00006F46">
        <w:rPr>
          <w:b w:val="0"/>
          <w:sz w:val="22"/>
          <w:szCs w:val="22"/>
        </w:rPr>
        <w:t>). Pranešdami apie šalutinį poveikį galite mums padėti gauti daugiau informacijos apie šio vaisto saugumą.</w:t>
      </w:r>
    </w:p>
    <w:p w:rsidR="00B14426" w:rsidRPr="00006F46" w:rsidRDefault="00B14426" w:rsidP="00B14426">
      <w:pPr>
        <w:tabs>
          <w:tab w:val="left" w:pos="567"/>
        </w:tabs>
        <w:ind w:right="-449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 xml:space="preserve"> 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006F46">
        <w:rPr>
          <w:b/>
          <w:caps/>
          <w:szCs w:val="22"/>
        </w:rPr>
        <w:t>5.</w:t>
      </w:r>
      <w:r w:rsidRPr="00006F46">
        <w:rPr>
          <w:b/>
          <w:caps/>
          <w:szCs w:val="22"/>
        </w:rPr>
        <w:tab/>
      </w:r>
      <w:r w:rsidRPr="00006F46">
        <w:rPr>
          <w:b/>
          <w:szCs w:val="22"/>
        </w:rPr>
        <w:t xml:space="preserve">Kaip laikyti </w:t>
      </w:r>
      <w:proofErr w:type="spellStart"/>
      <w:r w:rsidRPr="00006F46">
        <w:rPr>
          <w:b/>
          <w:szCs w:val="22"/>
        </w:rPr>
        <w:t>Casodex</w:t>
      </w:r>
      <w:proofErr w:type="spellEnd"/>
      <w:r w:rsidRPr="00006F46">
        <w:rPr>
          <w:b/>
          <w:caps/>
          <w:szCs w:val="22"/>
        </w:rPr>
        <w:t xml:space="preserve"> 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ind w:left="360"/>
        <w:rPr>
          <w:szCs w:val="22"/>
        </w:rPr>
      </w:pPr>
    </w:p>
    <w:p w:rsidR="00B14426" w:rsidRPr="00006F46" w:rsidRDefault="00B14426" w:rsidP="00B14426">
      <w:pPr>
        <w:pStyle w:val="BTEMEASMCA"/>
        <w:tabs>
          <w:tab w:val="left" w:pos="567"/>
        </w:tabs>
        <w:rPr>
          <w:noProof w:val="0"/>
        </w:rPr>
      </w:pPr>
      <w:r w:rsidRPr="00006F46">
        <w:rPr>
          <w:noProof w:val="0"/>
        </w:rPr>
        <w:t>Šį vaistą laikykite vaikams nepastebimoje ir nepasiekiamoje  vietoje.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Laikykite ne aukštesnėje kaip 30 </w:t>
      </w:r>
      <w:r w:rsidRPr="00006F46">
        <w:rPr>
          <w:szCs w:val="22"/>
        </w:rPr>
        <w:sym w:font="Symbol" w:char="F0B0"/>
      </w:r>
      <w:r w:rsidRPr="00006F46">
        <w:rPr>
          <w:szCs w:val="22"/>
        </w:rPr>
        <w:t>C temperatūroje.</w:t>
      </w:r>
    </w:p>
    <w:p w:rsidR="00B14426" w:rsidRPr="00006F46" w:rsidRDefault="00B14426" w:rsidP="00B14426">
      <w:pPr>
        <w:pStyle w:val="BTEMEASMCA"/>
        <w:tabs>
          <w:tab w:val="left" w:pos="567"/>
        </w:tabs>
        <w:rPr>
          <w:noProof w:val="0"/>
        </w:rPr>
      </w:pPr>
    </w:p>
    <w:p w:rsidR="00B14426" w:rsidRPr="00006F46" w:rsidRDefault="00B14426" w:rsidP="00B14426">
      <w:pPr>
        <w:pStyle w:val="BTEMEASMCA"/>
        <w:tabs>
          <w:tab w:val="left" w:pos="567"/>
        </w:tabs>
        <w:rPr>
          <w:noProof w:val="0"/>
        </w:rPr>
      </w:pPr>
      <w:r w:rsidRPr="00006F46">
        <w:rPr>
          <w:noProof w:val="0"/>
        </w:rPr>
        <w:t>Ant dėžutės po „Tinka iki“ ir lizdinės plokštelės nurodytam tinkamumo laikui pasibaigus, šio vaisto vartoti negalima. Vaistas tinka vartoti iki paskutinės nurodyto mėnesio dienos.</w:t>
      </w:r>
    </w:p>
    <w:p w:rsidR="00B14426" w:rsidRPr="00006F46" w:rsidRDefault="00B14426" w:rsidP="00B14426">
      <w:pPr>
        <w:pStyle w:val="BTEMEASMCA"/>
        <w:tabs>
          <w:tab w:val="left" w:pos="567"/>
        </w:tabs>
        <w:rPr>
          <w:noProof w:val="0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numPr>
          <w:ilvl w:val="0"/>
          <w:numId w:val="2"/>
        </w:numPr>
        <w:tabs>
          <w:tab w:val="clear" w:pos="930"/>
          <w:tab w:val="left" w:pos="567"/>
          <w:tab w:val="num" w:pos="600"/>
        </w:tabs>
        <w:ind w:left="600" w:hanging="600"/>
        <w:outlineLvl w:val="0"/>
        <w:rPr>
          <w:sz w:val="22"/>
          <w:szCs w:val="22"/>
        </w:rPr>
      </w:pPr>
      <w:r w:rsidRPr="00006F46">
        <w:rPr>
          <w:sz w:val="22"/>
          <w:szCs w:val="22"/>
        </w:rPr>
        <w:t>Kita informacija</w:t>
      </w:r>
    </w:p>
    <w:p w:rsidR="00B14426" w:rsidRPr="00006F46" w:rsidRDefault="00B14426" w:rsidP="00B14426">
      <w:pPr>
        <w:pStyle w:val="BTEMEASMCA"/>
        <w:tabs>
          <w:tab w:val="left" w:pos="567"/>
        </w:tabs>
        <w:outlineLvl w:val="0"/>
        <w:rPr>
          <w:noProof w:val="0"/>
        </w:rPr>
      </w:pPr>
    </w:p>
    <w:p w:rsidR="00B14426" w:rsidRPr="00006F46" w:rsidRDefault="00B14426" w:rsidP="00B14426">
      <w:pPr>
        <w:tabs>
          <w:tab w:val="left" w:pos="567"/>
        </w:tabs>
        <w:outlineLvl w:val="0"/>
        <w:rPr>
          <w:sz w:val="22"/>
          <w:szCs w:val="22"/>
        </w:rPr>
      </w:pPr>
      <w:proofErr w:type="spellStart"/>
      <w:r w:rsidRPr="00006F46">
        <w:rPr>
          <w:sz w:val="22"/>
          <w:szCs w:val="22"/>
        </w:rPr>
        <w:t>Casodex</w:t>
      </w:r>
      <w:proofErr w:type="spellEnd"/>
      <w:r w:rsidRPr="00006F46">
        <w:rPr>
          <w:sz w:val="22"/>
          <w:szCs w:val="22"/>
        </w:rPr>
        <w:t xml:space="preserve"> sudėtis </w:t>
      </w:r>
    </w:p>
    <w:p w:rsidR="00B14426" w:rsidRPr="00006F46" w:rsidRDefault="00B14426" w:rsidP="00B14426">
      <w:pPr>
        <w:pStyle w:val="BT-EMEASMCA"/>
      </w:pPr>
      <w:r w:rsidRPr="00006F46">
        <w:t>Veiklioji medžiaga yra bikalutamidas. Kiekvienoje plėvele dengtoje tabletėje jo yra 50 mg.</w:t>
      </w:r>
    </w:p>
    <w:p w:rsidR="00B14426" w:rsidRPr="00006F46" w:rsidRDefault="00B14426" w:rsidP="00B14426">
      <w:pPr>
        <w:pStyle w:val="BT-EMEASMCA"/>
      </w:pPr>
      <w:r w:rsidRPr="00006F46">
        <w:t xml:space="preserve">Pagalbinės medžiagos: </w:t>
      </w:r>
      <w:r w:rsidRPr="00006F46">
        <w:rPr>
          <w:i/>
        </w:rPr>
        <w:t xml:space="preserve">tablečių šerdyje - </w:t>
      </w:r>
      <w:r w:rsidRPr="00006F46">
        <w:t xml:space="preserve">laktozė monohidratas, magnio stearatas, povidonas, karboksimetilkrakmolo A natrio druska;  </w:t>
      </w:r>
      <w:r w:rsidRPr="00006F46">
        <w:rPr>
          <w:i/>
        </w:rPr>
        <w:t xml:space="preserve">tablečių plėvelėje - </w:t>
      </w:r>
      <w:r w:rsidRPr="00006F46">
        <w:t>hipro</w:t>
      </w:r>
      <w:r w:rsidRPr="00006F46">
        <w:softHyphen/>
        <w:t>meliozė, makrogolis 300, titano dioksidas E171.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proofErr w:type="spellStart"/>
      <w:r w:rsidRPr="00006F46">
        <w:rPr>
          <w:b/>
          <w:bCs/>
          <w:szCs w:val="22"/>
        </w:rPr>
        <w:t>Casodex</w:t>
      </w:r>
      <w:proofErr w:type="spellEnd"/>
      <w:r w:rsidRPr="00006F46">
        <w:rPr>
          <w:b/>
          <w:bCs/>
          <w:szCs w:val="22"/>
        </w:rPr>
        <w:t xml:space="preserve"> išvaizda ir kiekis pakuotėje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Tabletė yra balta, apvali, abipus išgaubta, plėvele dengta. Vienoje tabletės pusėje yra įspaudas CDX50, kitoje – </w:t>
      </w:r>
      <w:proofErr w:type="spellStart"/>
      <w:r w:rsidRPr="00006F46">
        <w:rPr>
          <w:szCs w:val="22"/>
        </w:rPr>
        <w:t>logo</w:t>
      </w:r>
      <w:proofErr w:type="spellEnd"/>
      <w:r w:rsidRPr="00006F46">
        <w:rPr>
          <w:szCs w:val="22"/>
        </w:rPr>
        <w:t>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Dėžutėje yra 28 tabletės, supakuotos po 14 tablečių į dvi lizdines plokšteles.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b/>
          <w:szCs w:val="22"/>
        </w:rPr>
      </w:pPr>
      <w:r w:rsidRPr="00006F46">
        <w:rPr>
          <w:b/>
        </w:rPr>
        <w:t>Registruotojas</w:t>
      </w:r>
    </w:p>
    <w:p w:rsidR="00B14426" w:rsidRPr="002F0C39" w:rsidRDefault="00B14426" w:rsidP="00B14426">
      <w:pPr>
        <w:rPr>
          <w:b w:val="0"/>
          <w:sz w:val="22"/>
          <w:szCs w:val="22"/>
        </w:rPr>
      </w:pPr>
      <w:proofErr w:type="spellStart"/>
      <w:r w:rsidRPr="002F0C39">
        <w:rPr>
          <w:b w:val="0"/>
          <w:sz w:val="22"/>
          <w:szCs w:val="22"/>
        </w:rPr>
        <w:t>AstraZeneca</w:t>
      </w:r>
      <w:proofErr w:type="spellEnd"/>
      <w:r w:rsidRPr="002F0C39">
        <w:rPr>
          <w:b w:val="0"/>
          <w:sz w:val="22"/>
          <w:szCs w:val="22"/>
        </w:rPr>
        <w:t xml:space="preserve"> AB</w:t>
      </w:r>
    </w:p>
    <w:p w:rsidR="00B14426" w:rsidRPr="002F0C39" w:rsidRDefault="00B14426" w:rsidP="00B14426">
      <w:pPr>
        <w:rPr>
          <w:b w:val="0"/>
          <w:sz w:val="22"/>
          <w:szCs w:val="22"/>
        </w:rPr>
      </w:pPr>
      <w:r w:rsidRPr="002F0C39">
        <w:rPr>
          <w:b w:val="0"/>
          <w:sz w:val="22"/>
          <w:szCs w:val="22"/>
        </w:rPr>
        <w:t xml:space="preserve">SE-151 85 </w:t>
      </w:r>
      <w:proofErr w:type="spellStart"/>
      <w:r w:rsidRPr="002F0C39">
        <w:rPr>
          <w:b w:val="0"/>
          <w:sz w:val="22"/>
          <w:szCs w:val="22"/>
        </w:rPr>
        <w:t>Södertälje</w:t>
      </w:r>
      <w:proofErr w:type="spellEnd"/>
    </w:p>
    <w:p w:rsidR="00B1442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7D13B3">
        <w:rPr>
          <w:szCs w:val="22"/>
        </w:rPr>
        <w:t>Švedija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b/>
          <w:szCs w:val="22"/>
        </w:rPr>
      </w:pPr>
      <w:r w:rsidRPr="00006F46">
        <w:rPr>
          <w:b/>
          <w:szCs w:val="22"/>
        </w:rPr>
        <w:t>Gamintojas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AstraZeneca</w:t>
      </w:r>
      <w:proofErr w:type="spellEnd"/>
      <w:r w:rsidRPr="00006F46">
        <w:rPr>
          <w:szCs w:val="22"/>
        </w:rPr>
        <w:t xml:space="preserve"> UK </w:t>
      </w:r>
      <w:proofErr w:type="spellStart"/>
      <w:r w:rsidRPr="00006F46">
        <w:rPr>
          <w:szCs w:val="22"/>
        </w:rPr>
        <w:t>Limited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Silk</w:t>
      </w:r>
      <w:proofErr w:type="spellEnd"/>
      <w:r w:rsidRPr="00006F46">
        <w:rPr>
          <w:szCs w:val="22"/>
        </w:rPr>
        <w:t xml:space="preserve"> </w:t>
      </w:r>
      <w:proofErr w:type="spellStart"/>
      <w:r w:rsidRPr="00006F46">
        <w:rPr>
          <w:szCs w:val="22"/>
        </w:rPr>
        <w:t>Road</w:t>
      </w:r>
      <w:proofErr w:type="spellEnd"/>
      <w:r w:rsidRPr="00006F46">
        <w:rPr>
          <w:szCs w:val="22"/>
        </w:rPr>
        <w:t xml:space="preserve"> </w:t>
      </w:r>
      <w:proofErr w:type="spellStart"/>
      <w:r w:rsidRPr="00006F46">
        <w:rPr>
          <w:szCs w:val="22"/>
        </w:rPr>
        <w:t>Business</w:t>
      </w:r>
      <w:proofErr w:type="spellEnd"/>
      <w:r w:rsidRPr="00006F46">
        <w:rPr>
          <w:szCs w:val="22"/>
        </w:rPr>
        <w:t xml:space="preserve"> </w:t>
      </w:r>
      <w:proofErr w:type="spellStart"/>
      <w:r w:rsidRPr="00006F46">
        <w:rPr>
          <w:szCs w:val="22"/>
        </w:rPr>
        <w:t>Park</w:t>
      </w:r>
      <w:proofErr w:type="spellEnd"/>
      <w:r w:rsidRPr="00006F46">
        <w:rPr>
          <w:szCs w:val="22"/>
        </w:rPr>
        <w:t xml:space="preserve">, </w:t>
      </w:r>
      <w:proofErr w:type="spellStart"/>
      <w:r w:rsidRPr="00006F46">
        <w:rPr>
          <w:szCs w:val="22"/>
        </w:rPr>
        <w:t>Macclesfield</w:t>
      </w:r>
      <w:proofErr w:type="spellEnd"/>
      <w:r w:rsidRPr="00006F46">
        <w:rPr>
          <w:szCs w:val="22"/>
        </w:rPr>
        <w:t xml:space="preserve">, </w:t>
      </w:r>
      <w:proofErr w:type="spellStart"/>
      <w:r w:rsidRPr="00006F46">
        <w:rPr>
          <w:szCs w:val="22"/>
        </w:rPr>
        <w:t>Cheshire</w:t>
      </w:r>
      <w:proofErr w:type="spellEnd"/>
      <w:r w:rsidRPr="00006F46">
        <w:rPr>
          <w:szCs w:val="22"/>
        </w:rPr>
        <w:t>, SK10 2NA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>Jungtinė Karalystė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b/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szCs w:val="22"/>
        </w:rPr>
      </w:pPr>
      <w:r w:rsidRPr="00006F46">
        <w:rPr>
          <w:szCs w:val="22"/>
        </w:rPr>
        <w:t>arba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szCs w:val="22"/>
        </w:rPr>
      </w:pP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Corden</w:t>
      </w:r>
      <w:proofErr w:type="spellEnd"/>
      <w:r w:rsidRPr="00006F46">
        <w:rPr>
          <w:szCs w:val="22"/>
        </w:rPr>
        <w:t xml:space="preserve"> </w:t>
      </w:r>
      <w:proofErr w:type="spellStart"/>
      <w:r w:rsidRPr="00006F46">
        <w:rPr>
          <w:szCs w:val="22"/>
        </w:rPr>
        <w:t>Pharma</w:t>
      </w:r>
      <w:proofErr w:type="spellEnd"/>
      <w:r w:rsidRPr="00006F46">
        <w:rPr>
          <w:szCs w:val="22"/>
        </w:rPr>
        <w:t xml:space="preserve"> </w:t>
      </w:r>
      <w:proofErr w:type="spellStart"/>
      <w:r w:rsidRPr="00006F46">
        <w:rPr>
          <w:szCs w:val="22"/>
        </w:rPr>
        <w:t>GmbH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006F46">
        <w:rPr>
          <w:szCs w:val="22"/>
        </w:rPr>
        <w:t>Otto-Hahn-Strasse</w:t>
      </w:r>
      <w:proofErr w:type="spellEnd"/>
      <w:r w:rsidRPr="00006F46">
        <w:rPr>
          <w:szCs w:val="22"/>
        </w:rPr>
        <w:t xml:space="preserve">, 68723 </w:t>
      </w:r>
      <w:proofErr w:type="spellStart"/>
      <w:r w:rsidRPr="00006F46">
        <w:rPr>
          <w:szCs w:val="22"/>
        </w:rPr>
        <w:t>Plankstadt</w:t>
      </w:r>
      <w:proofErr w:type="spellEnd"/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szCs w:val="22"/>
        </w:rPr>
      </w:pPr>
      <w:r w:rsidRPr="00006F46">
        <w:rPr>
          <w:szCs w:val="22"/>
        </w:rPr>
        <w:t>Vokietija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outlineLvl w:val="0"/>
        <w:rPr>
          <w:b/>
          <w:szCs w:val="22"/>
        </w:rPr>
      </w:pPr>
    </w:p>
    <w:p w:rsidR="00B14426" w:rsidRPr="00006F46" w:rsidRDefault="00B14426" w:rsidP="00B14426">
      <w:pPr>
        <w:tabs>
          <w:tab w:val="left" w:pos="567"/>
        </w:tabs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Jeigu apie šį vaistą norite sužinoti daugiau, kreipkitės į vietinį registruotojo atstovą.</w:t>
      </w:r>
    </w:p>
    <w:p w:rsidR="00B14426" w:rsidRPr="00006F46" w:rsidRDefault="00B14426" w:rsidP="00B14426">
      <w:pPr>
        <w:tabs>
          <w:tab w:val="left" w:pos="567"/>
        </w:tabs>
        <w:rPr>
          <w:sz w:val="22"/>
          <w:szCs w:val="22"/>
        </w:rPr>
      </w:pPr>
    </w:p>
    <w:p w:rsidR="00B14426" w:rsidRPr="00006F46" w:rsidRDefault="00B14426" w:rsidP="00B14426">
      <w:pPr>
        <w:tabs>
          <w:tab w:val="left" w:pos="567"/>
        </w:tabs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 xml:space="preserve">UAB </w:t>
      </w:r>
      <w:proofErr w:type="spellStart"/>
      <w:r w:rsidRPr="00006F46">
        <w:rPr>
          <w:b w:val="0"/>
          <w:sz w:val="22"/>
          <w:szCs w:val="22"/>
        </w:rPr>
        <w:t>AstraZeneca</w:t>
      </w:r>
      <w:proofErr w:type="spellEnd"/>
      <w:r w:rsidRPr="00006F46">
        <w:rPr>
          <w:b w:val="0"/>
          <w:sz w:val="22"/>
          <w:szCs w:val="22"/>
        </w:rPr>
        <w:t xml:space="preserve"> Lietuva</w:t>
      </w:r>
    </w:p>
    <w:p w:rsidR="00B14426" w:rsidRPr="00006F46" w:rsidRDefault="00B14426" w:rsidP="00B14426">
      <w:pPr>
        <w:tabs>
          <w:tab w:val="left" w:pos="567"/>
        </w:tabs>
        <w:rPr>
          <w:b w:val="0"/>
          <w:sz w:val="22"/>
          <w:szCs w:val="22"/>
        </w:rPr>
      </w:pPr>
      <w:r w:rsidRPr="00006F46">
        <w:rPr>
          <w:b w:val="0"/>
          <w:bCs w:val="0"/>
          <w:sz w:val="22"/>
          <w:szCs w:val="22"/>
        </w:rPr>
        <w:lastRenderedPageBreak/>
        <w:t>Jasinskio</w:t>
      </w:r>
      <w:r w:rsidRPr="00006F46">
        <w:rPr>
          <w:b w:val="0"/>
          <w:sz w:val="22"/>
          <w:szCs w:val="22"/>
        </w:rPr>
        <w:t xml:space="preserve"> g.</w:t>
      </w:r>
      <w:r w:rsidRPr="00006F46">
        <w:rPr>
          <w:b w:val="0"/>
          <w:bCs w:val="0"/>
          <w:sz w:val="22"/>
          <w:szCs w:val="22"/>
        </w:rPr>
        <w:t>16A</w:t>
      </w:r>
    </w:p>
    <w:p w:rsidR="00B14426" w:rsidRPr="00006F46" w:rsidRDefault="00B14426" w:rsidP="00B14426">
      <w:pPr>
        <w:tabs>
          <w:tab w:val="left" w:pos="567"/>
        </w:tabs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LT-</w:t>
      </w:r>
      <w:r w:rsidRPr="00006F46">
        <w:rPr>
          <w:b w:val="0"/>
          <w:bCs w:val="0"/>
          <w:sz w:val="22"/>
          <w:szCs w:val="22"/>
        </w:rPr>
        <w:t>03163</w:t>
      </w:r>
      <w:r w:rsidRPr="00006F46">
        <w:rPr>
          <w:b w:val="0"/>
          <w:sz w:val="22"/>
          <w:szCs w:val="22"/>
        </w:rPr>
        <w:t xml:space="preserve"> Vilnius</w:t>
      </w:r>
    </w:p>
    <w:p w:rsidR="00B14426" w:rsidRPr="00006F46" w:rsidRDefault="00B14426" w:rsidP="00B1442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06F46">
        <w:rPr>
          <w:szCs w:val="22"/>
        </w:rPr>
        <w:t xml:space="preserve">Tel.: +37052660550 </w:t>
      </w:r>
    </w:p>
    <w:p w:rsidR="00B14426" w:rsidRPr="00006F46" w:rsidRDefault="00B14426" w:rsidP="00B14426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14426" w:rsidRPr="00657C76" w:rsidRDefault="00B14426" w:rsidP="00B14426">
      <w:pPr>
        <w:pStyle w:val="BTbEMEASMCA"/>
      </w:pPr>
      <w:r w:rsidRPr="00657C76">
        <w:t>Šis pakuotės lapelis paskutinį kartą peržiūrėtas 201</w:t>
      </w:r>
      <w:r>
        <w:t>9</w:t>
      </w:r>
      <w:r w:rsidRPr="00657C76">
        <w:t>-</w:t>
      </w:r>
      <w:r>
        <w:t>03</w:t>
      </w:r>
      <w:r w:rsidRPr="00657C76">
        <w:t>-</w:t>
      </w:r>
      <w:r>
        <w:t>29</w:t>
      </w:r>
      <w:r w:rsidRPr="00657C76">
        <w:t>.</w:t>
      </w:r>
    </w:p>
    <w:p w:rsidR="00B14426" w:rsidRPr="00006F46" w:rsidRDefault="00B14426" w:rsidP="00B14426">
      <w:pPr>
        <w:pStyle w:val="BTbEMEASMCA"/>
      </w:pPr>
    </w:p>
    <w:p w:rsidR="00B14426" w:rsidRPr="00006F46" w:rsidRDefault="00B14426" w:rsidP="00B14426">
      <w:pPr>
        <w:tabs>
          <w:tab w:val="left" w:pos="567"/>
        </w:tabs>
        <w:rPr>
          <w:sz w:val="22"/>
          <w:szCs w:val="22"/>
        </w:rPr>
      </w:pPr>
      <w:r w:rsidRPr="00006F46">
        <w:rPr>
          <w:sz w:val="22"/>
          <w:szCs w:val="22"/>
        </w:rPr>
        <w:t>Kiti informacijos šaltiniai</w:t>
      </w:r>
    </w:p>
    <w:p w:rsidR="00B14426" w:rsidRPr="00006F46" w:rsidRDefault="00B14426" w:rsidP="00B14426">
      <w:pPr>
        <w:tabs>
          <w:tab w:val="left" w:pos="567"/>
        </w:tabs>
        <w:rPr>
          <w:sz w:val="22"/>
          <w:szCs w:val="22"/>
        </w:rPr>
      </w:pPr>
    </w:p>
    <w:p w:rsidR="00B14426" w:rsidRDefault="00B14426" w:rsidP="00B14426">
      <w:pPr>
        <w:numPr>
          <w:ilvl w:val="12"/>
          <w:numId w:val="0"/>
        </w:numPr>
        <w:tabs>
          <w:tab w:val="left" w:pos="567"/>
        </w:tabs>
        <w:ind w:right="-2"/>
        <w:rPr>
          <w:b w:val="0"/>
          <w:sz w:val="22"/>
          <w:szCs w:val="22"/>
        </w:rPr>
      </w:pPr>
      <w:r w:rsidRPr="00006F46">
        <w:rPr>
          <w:b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06F46">
        <w:rPr>
          <w:b w:val="0"/>
          <w:i/>
          <w:sz w:val="22"/>
          <w:szCs w:val="22"/>
        </w:rPr>
        <w:t xml:space="preserve"> </w:t>
      </w:r>
      <w:hyperlink r:id="rId9" w:history="1">
        <w:r w:rsidRPr="00006F46">
          <w:rPr>
            <w:rStyle w:val="Hipersaitas"/>
            <w:rFonts w:eastAsia="SimSun"/>
            <w:b w:val="0"/>
            <w:sz w:val="22"/>
            <w:szCs w:val="22"/>
          </w:rPr>
          <w:t>http://www.vvkt.lt/</w:t>
        </w:r>
      </w:hyperlink>
      <w:r w:rsidRPr="00006F46">
        <w:rPr>
          <w:b w:val="0"/>
          <w:sz w:val="22"/>
          <w:szCs w:val="22"/>
        </w:rPr>
        <w:t>.</w:t>
      </w:r>
    </w:p>
    <w:p w:rsidR="00B14426" w:rsidRDefault="00B14426" w:rsidP="00B14426">
      <w:pPr>
        <w:numPr>
          <w:ilvl w:val="12"/>
          <w:numId w:val="0"/>
        </w:numPr>
        <w:tabs>
          <w:tab w:val="left" w:pos="567"/>
        </w:tabs>
        <w:ind w:right="-2"/>
        <w:rPr>
          <w:b w:val="0"/>
          <w:sz w:val="22"/>
          <w:szCs w:val="22"/>
        </w:rPr>
      </w:pPr>
    </w:p>
    <w:p w:rsidR="00922298" w:rsidRDefault="00922298">
      <w:bookmarkStart w:id="0" w:name="_GoBack"/>
      <w:bookmarkEnd w:id="0"/>
    </w:p>
    <w:sectPr w:rsidR="00922298" w:rsidSect="003016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284F"/>
    <w:multiLevelType w:val="hybridMultilevel"/>
    <w:tmpl w:val="8BCA6776"/>
    <w:lvl w:ilvl="0" w:tplc="9F4479FE">
      <w:start w:val="1"/>
      <w:numFmt w:val="bullet"/>
      <w:pStyle w:val="BT-EMEASMCA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5440A"/>
    <w:multiLevelType w:val="hybridMultilevel"/>
    <w:tmpl w:val="DDC8DF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E5DD5"/>
    <w:multiLevelType w:val="hybridMultilevel"/>
    <w:tmpl w:val="FE549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7111E"/>
    <w:multiLevelType w:val="hybridMultilevel"/>
    <w:tmpl w:val="F210F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01039"/>
    <w:multiLevelType w:val="hybridMultilevel"/>
    <w:tmpl w:val="1A385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257E9"/>
    <w:multiLevelType w:val="hybridMultilevel"/>
    <w:tmpl w:val="9AA2C51C"/>
    <w:lvl w:ilvl="0" w:tplc="FFFFFFFF"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B57F8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5CC52ACA"/>
    <w:multiLevelType w:val="hybridMultilevel"/>
    <w:tmpl w:val="8278D6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84011"/>
    <w:multiLevelType w:val="hybridMultilevel"/>
    <w:tmpl w:val="260C06E6"/>
    <w:lvl w:ilvl="0" w:tplc="A89A959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754EB1"/>
    <w:multiLevelType w:val="hybridMultilevel"/>
    <w:tmpl w:val="46AE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26"/>
    <w:rsid w:val="00922298"/>
    <w:rsid w:val="00B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DFD0-05F6-4DD6-A0A4-FD6268D7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442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14426"/>
    <w:pPr>
      <w:spacing w:after="240"/>
      <w:outlineLvl w:val="0"/>
    </w:pPr>
    <w:rPr>
      <w:sz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4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B14426"/>
    <w:pPr>
      <w:outlineLvl w:val="3"/>
    </w:pPr>
    <w:rPr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1442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B14426"/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customStyle="1" w:styleId="PI-1EMEASMCA">
    <w:name w:val="PI-1 EMEA_SMCA"/>
    <w:basedOn w:val="Antrat2"/>
    <w:autoRedefine/>
    <w:rsid w:val="00B14426"/>
    <w:pPr>
      <w:keepNext w:val="0"/>
      <w:keepLines w:val="0"/>
      <w:numPr>
        <w:ilvl w:val="12"/>
      </w:numPr>
      <w:spacing w:before="0"/>
      <w:ind w:left="567" w:hanging="567"/>
      <w:outlineLvl w:val="0"/>
    </w:pPr>
    <w:rPr>
      <w:rFonts w:ascii="Times New Roman" w:eastAsia="Times New Roman" w:hAnsi="Times New Roman" w:cs="Times New Roman"/>
      <w:bCs w:val="0"/>
      <w:noProof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B14426"/>
    <w:pPr>
      <w:spacing w:after="120"/>
    </w:pPr>
    <w:rPr>
      <w:b w:val="0"/>
      <w:bCs w:val="0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14426"/>
    <w:rPr>
      <w:rFonts w:ascii="Times New Roman" w:eastAsia="Times New Roman" w:hAnsi="Times New Roman" w:cs="Times New Roman"/>
      <w:szCs w:val="20"/>
    </w:rPr>
  </w:style>
  <w:style w:type="paragraph" w:customStyle="1" w:styleId="BTEMEASMCA">
    <w:name w:val="BT EMEA_SMCA"/>
    <w:basedOn w:val="prastasis"/>
    <w:autoRedefine/>
    <w:rsid w:val="00B14426"/>
    <w:rPr>
      <w:b w:val="0"/>
      <w:bCs w:val="0"/>
      <w:noProof/>
      <w:sz w:val="22"/>
      <w:szCs w:val="22"/>
    </w:rPr>
  </w:style>
  <w:style w:type="paragraph" w:customStyle="1" w:styleId="BTbEMEASMCA">
    <w:name w:val="BT(b) EMEA_SMCA"/>
    <w:basedOn w:val="prastasis"/>
    <w:autoRedefine/>
    <w:rsid w:val="00B14426"/>
    <w:pPr>
      <w:tabs>
        <w:tab w:val="left" w:pos="567"/>
      </w:tabs>
    </w:pPr>
    <w:rPr>
      <w:sz w:val="22"/>
      <w:szCs w:val="22"/>
    </w:rPr>
  </w:style>
  <w:style w:type="paragraph" w:customStyle="1" w:styleId="BT-EMEASMCA">
    <w:name w:val="BT- EMEA_SMCA"/>
    <w:basedOn w:val="BTEMEASMCA"/>
    <w:autoRedefine/>
    <w:rsid w:val="00B14426"/>
    <w:pPr>
      <w:numPr>
        <w:numId w:val="9"/>
      </w:numPr>
      <w:tabs>
        <w:tab w:val="left" w:pos="567"/>
      </w:tabs>
      <w:ind w:hanging="720"/>
    </w:pPr>
  </w:style>
  <w:style w:type="paragraph" w:customStyle="1" w:styleId="PI-3EMEASMCA">
    <w:name w:val="PI-3 EMEA_SMCA"/>
    <w:basedOn w:val="prastasis"/>
    <w:autoRedefine/>
    <w:rsid w:val="00B14426"/>
    <w:pPr>
      <w:spacing w:line="220" w:lineRule="exact"/>
    </w:pPr>
    <w:rPr>
      <w:sz w:val="22"/>
      <w:szCs w:val="22"/>
    </w:rPr>
  </w:style>
  <w:style w:type="character" w:styleId="Hipersaitas">
    <w:name w:val="Hyperlink"/>
    <w:rsid w:val="00B14426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42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865-9AB0-47A9-9F62-EC94A4FB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6174</Words>
  <Characters>3520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2019-03-29T07:03:00Z</dcterms:created>
  <dcterms:modified xsi:type="dcterms:W3CDTF">2019-03-29T07:04:00Z</dcterms:modified>
</cp:coreProperties>
</file>