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5D" w:rsidRPr="00017C0D" w:rsidRDefault="008A2B5D" w:rsidP="008A2B5D">
      <w:pPr>
        <w:jc w:val="center"/>
        <w:rPr>
          <w:b/>
          <w:sz w:val="22"/>
          <w:szCs w:val="22"/>
          <w:lang w:val="lt-LT"/>
        </w:rPr>
      </w:pPr>
      <w:r w:rsidRPr="00017C0D">
        <w:rPr>
          <w:b/>
          <w:snapToGrid w:val="0"/>
          <w:sz w:val="22"/>
          <w:szCs w:val="20"/>
          <w:lang w:val="lt-LT"/>
        </w:rPr>
        <w:t>Pakuotės lapelis:</w:t>
      </w:r>
      <w:r w:rsidRPr="00017C0D">
        <w:rPr>
          <w:b/>
          <w:bCs/>
          <w:iCs/>
          <w:snapToGrid w:val="0"/>
          <w:sz w:val="22"/>
          <w:lang w:val="lt-LT"/>
        </w:rPr>
        <w:t xml:space="preserve"> </w:t>
      </w:r>
      <w:r w:rsidRPr="00017C0D">
        <w:rPr>
          <w:b/>
          <w:snapToGrid w:val="0"/>
          <w:sz w:val="22"/>
          <w:szCs w:val="20"/>
          <w:lang w:val="lt-LT"/>
        </w:rPr>
        <w:t>informacija vartotojui</w:t>
      </w:r>
    </w:p>
    <w:p w:rsidR="008A2B5D" w:rsidRPr="00017C0D" w:rsidRDefault="008A2B5D" w:rsidP="008A2B5D">
      <w:pPr>
        <w:tabs>
          <w:tab w:val="left" w:pos="540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 geriamieji lašai (tirpalas)</w:t>
      </w:r>
    </w:p>
    <w:p w:rsidR="008A2B5D" w:rsidRPr="00017C0D" w:rsidRDefault="008A2B5D" w:rsidP="008A2B5D">
      <w:pPr>
        <w:ind w:left="540"/>
        <w:jc w:val="center"/>
        <w:rPr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Svilarožių</w:t>
      </w:r>
      <w:proofErr w:type="spellEnd"/>
      <w:r w:rsidRPr="00017C0D">
        <w:rPr>
          <w:sz w:val="22"/>
          <w:szCs w:val="22"/>
          <w:lang w:val="lt-LT"/>
        </w:rPr>
        <w:t xml:space="preserve"> šaknys, ramunėlių žiedai, asiūklių žolė, riešutmedžių lapai, </w:t>
      </w:r>
      <w:proofErr w:type="spellStart"/>
      <w:r w:rsidRPr="00017C0D">
        <w:rPr>
          <w:sz w:val="22"/>
          <w:szCs w:val="22"/>
          <w:lang w:val="lt-LT"/>
        </w:rPr>
        <w:t>kraujažolių</w:t>
      </w:r>
      <w:proofErr w:type="spellEnd"/>
      <w:r w:rsidRPr="00017C0D">
        <w:rPr>
          <w:sz w:val="22"/>
          <w:szCs w:val="22"/>
          <w:lang w:val="lt-LT"/>
        </w:rPr>
        <w:t xml:space="preserve"> žolė, ąžuolų žievė, kiaulpienių žolė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spacing w:line="260" w:lineRule="exact"/>
        <w:rPr>
          <w:b/>
          <w:noProof/>
          <w:sz w:val="22"/>
          <w:szCs w:val="20"/>
          <w:lang w:val="lt-LT"/>
        </w:rPr>
      </w:pPr>
      <w:r w:rsidRPr="00017C0D">
        <w:rPr>
          <w:b/>
          <w:noProof/>
          <w:sz w:val="22"/>
          <w:szCs w:val="20"/>
          <w:lang w:val="lt-LT"/>
        </w:rPr>
        <w:t xml:space="preserve">Atidžiai perskaitykite visą šį lapelį, </w:t>
      </w:r>
      <w:r w:rsidRPr="00017C0D">
        <w:rPr>
          <w:b/>
          <w:sz w:val="22"/>
          <w:szCs w:val="20"/>
          <w:lang w:val="lt-LT"/>
        </w:rPr>
        <w:t xml:space="preserve">prieš pradėdami vartoti šį vaistą, </w:t>
      </w:r>
      <w:r w:rsidRPr="00017C0D">
        <w:rPr>
          <w:b/>
          <w:noProof/>
          <w:sz w:val="22"/>
          <w:szCs w:val="20"/>
          <w:lang w:val="lt-LT"/>
        </w:rPr>
        <w:t>nes jame pateikiama Jums svarbi informacija.</w:t>
      </w:r>
    </w:p>
    <w:p w:rsidR="008A2B5D" w:rsidRPr="00017C0D" w:rsidRDefault="008A2B5D" w:rsidP="008A2B5D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8A2B5D" w:rsidRPr="00017C0D" w:rsidRDefault="008A2B5D" w:rsidP="008A2B5D">
      <w:pPr>
        <w:tabs>
          <w:tab w:val="left" w:pos="567"/>
        </w:tabs>
        <w:spacing w:line="260" w:lineRule="exact"/>
        <w:ind w:left="567" w:hanging="567"/>
        <w:rPr>
          <w:noProof/>
          <w:sz w:val="22"/>
          <w:szCs w:val="20"/>
          <w:lang w:val="lt-LT"/>
        </w:rPr>
      </w:pPr>
      <w:r w:rsidRPr="00017C0D">
        <w:rPr>
          <w:noProof/>
          <w:sz w:val="22"/>
          <w:szCs w:val="20"/>
          <w:lang w:val="lt-LT"/>
        </w:rPr>
        <w:t>-</w:t>
      </w:r>
      <w:r w:rsidRPr="00017C0D">
        <w:rPr>
          <w:noProof/>
          <w:sz w:val="22"/>
          <w:szCs w:val="20"/>
          <w:lang w:val="lt-LT"/>
        </w:rPr>
        <w:tab/>
        <w:t>Neišmeskite šio lapelio, nes vėl gali prireikti jį perskaityti.</w:t>
      </w:r>
    </w:p>
    <w:p w:rsidR="008A2B5D" w:rsidRPr="00017C0D" w:rsidRDefault="008A2B5D" w:rsidP="008A2B5D">
      <w:pPr>
        <w:tabs>
          <w:tab w:val="left" w:pos="567"/>
        </w:tabs>
        <w:spacing w:line="260" w:lineRule="exact"/>
        <w:ind w:left="567" w:hanging="567"/>
        <w:rPr>
          <w:noProof/>
          <w:sz w:val="22"/>
          <w:szCs w:val="20"/>
          <w:lang w:val="lt-LT"/>
        </w:rPr>
      </w:pPr>
      <w:r w:rsidRPr="00017C0D">
        <w:rPr>
          <w:noProof/>
          <w:sz w:val="22"/>
          <w:szCs w:val="20"/>
          <w:lang w:val="lt-LT"/>
        </w:rPr>
        <w:t>-</w:t>
      </w:r>
      <w:r w:rsidRPr="00017C0D">
        <w:rPr>
          <w:noProof/>
          <w:sz w:val="22"/>
          <w:szCs w:val="20"/>
          <w:lang w:val="lt-LT"/>
        </w:rPr>
        <w:tab/>
        <w:t>Jeigu norite sužinoti daugiau arba pasitarti, kreipkitės į vaistininką.</w:t>
      </w:r>
    </w:p>
    <w:p w:rsidR="008A2B5D" w:rsidRPr="00017C0D" w:rsidRDefault="008A2B5D" w:rsidP="008A2B5D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017C0D">
        <w:rPr>
          <w:noProof/>
          <w:sz w:val="22"/>
          <w:szCs w:val="20"/>
          <w:lang w:val="lt-LT"/>
        </w:rPr>
        <w:t xml:space="preserve">Jeigu pasireiškė šalutinis poveikis </w:t>
      </w:r>
      <w:r w:rsidRPr="00017C0D">
        <w:rPr>
          <w:sz w:val="22"/>
          <w:szCs w:val="22"/>
          <w:lang w:val="lt-LT"/>
        </w:rPr>
        <w:t>(net jeigu jis šiame lapelyje nenurodytas), kreipkitės į gydytoją arba vaistininką arba slaugytoją.</w:t>
      </w:r>
      <w:r w:rsidRPr="00017C0D">
        <w:rPr>
          <w:sz w:val="22"/>
          <w:szCs w:val="20"/>
          <w:lang w:val="lt-LT"/>
        </w:rPr>
        <w:t xml:space="preserve"> </w:t>
      </w:r>
      <w:r w:rsidRPr="00017C0D">
        <w:rPr>
          <w:noProof/>
          <w:sz w:val="22"/>
          <w:szCs w:val="20"/>
          <w:lang w:val="lt-LT"/>
        </w:rPr>
        <w:t>Žr. 4 skyrių.</w:t>
      </w:r>
    </w:p>
    <w:p w:rsidR="008A2B5D" w:rsidRPr="00017C0D" w:rsidRDefault="008A2B5D" w:rsidP="008A2B5D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Jeigu per 7 paras Jūsų savijauta nepagerėjo arba net pablogėjo, kreipkitės į gydytoją.</w:t>
      </w:r>
    </w:p>
    <w:p w:rsidR="008A2B5D" w:rsidRPr="00017C0D" w:rsidRDefault="008A2B5D" w:rsidP="008A2B5D">
      <w:pPr>
        <w:tabs>
          <w:tab w:val="left" w:pos="540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ind w:left="567" w:hanging="567"/>
        <w:rPr>
          <w:b/>
          <w:sz w:val="22"/>
          <w:szCs w:val="22"/>
          <w:lang w:val="lt-LT"/>
        </w:rPr>
      </w:pPr>
      <w:r w:rsidRPr="00017C0D">
        <w:rPr>
          <w:b/>
          <w:sz w:val="22"/>
          <w:szCs w:val="22"/>
          <w:lang w:val="lt-LT"/>
        </w:rPr>
        <w:t>Apie ką rašoma šiame lapelyje?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1.</w:t>
      </w:r>
      <w:r w:rsidRPr="00017C0D">
        <w:rPr>
          <w:sz w:val="22"/>
          <w:szCs w:val="22"/>
          <w:lang w:val="lt-LT"/>
        </w:rPr>
        <w:tab/>
        <w:t xml:space="preserve">Kas yra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ir kam jis vartojamas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2.</w:t>
      </w:r>
      <w:r w:rsidRPr="00017C0D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3.</w:t>
      </w:r>
      <w:r w:rsidRPr="00017C0D">
        <w:rPr>
          <w:sz w:val="22"/>
          <w:szCs w:val="22"/>
          <w:lang w:val="lt-LT"/>
        </w:rPr>
        <w:tab/>
        <w:t xml:space="preserve">Kaip vartoti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4.</w:t>
      </w:r>
      <w:r w:rsidRPr="00017C0D">
        <w:rPr>
          <w:sz w:val="22"/>
          <w:szCs w:val="22"/>
          <w:lang w:val="lt-LT"/>
        </w:rPr>
        <w:tab/>
        <w:t>Galimas šalutinis poveikis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5.</w:t>
      </w:r>
      <w:r w:rsidRPr="00017C0D">
        <w:rPr>
          <w:sz w:val="22"/>
          <w:szCs w:val="22"/>
          <w:lang w:val="lt-LT"/>
        </w:rPr>
        <w:tab/>
        <w:t xml:space="preserve">Kaip laikyti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40"/>
          <w:tab w:val="left" w:pos="567"/>
        </w:tabs>
        <w:rPr>
          <w:b/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6.</w:t>
      </w:r>
      <w:r w:rsidRPr="00017C0D">
        <w:rPr>
          <w:sz w:val="22"/>
          <w:szCs w:val="22"/>
          <w:lang w:val="lt-LT"/>
        </w:rPr>
        <w:tab/>
        <w:t>Pakuotės turinys ir kita</w:t>
      </w:r>
      <w:r w:rsidRPr="00017C0D">
        <w:rPr>
          <w:noProof/>
          <w:sz w:val="22"/>
          <w:szCs w:val="22"/>
          <w:lang w:val="lt-LT"/>
        </w:rPr>
        <w:t xml:space="preserve"> informacija</w:t>
      </w:r>
    </w:p>
    <w:p w:rsidR="008A2B5D" w:rsidRPr="00017C0D" w:rsidRDefault="008A2B5D" w:rsidP="008A2B5D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8A2B5D" w:rsidRPr="00017C0D" w:rsidRDefault="008A2B5D" w:rsidP="008A2B5D">
      <w:pPr>
        <w:pStyle w:val="Sraopastraipa"/>
        <w:numPr>
          <w:ilvl w:val="0"/>
          <w:numId w:val="2"/>
        </w:numPr>
        <w:tabs>
          <w:tab w:val="left" w:pos="567"/>
        </w:tabs>
        <w:ind w:hanging="930"/>
        <w:rPr>
          <w:b/>
          <w:noProof/>
          <w:sz w:val="22"/>
          <w:szCs w:val="20"/>
          <w:lang w:val="lt-LT"/>
        </w:rPr>
      </w:pPr>
      <w:r w:rsidRPr="00017C0D">
        <w:rPr>
          <w:b/>
          <w:sz w:val="22"/>
          <w:szCs w:val="20"/>
          <w:lang w:val="lt-LT"/>
        </w:rPr>
        <w:t xml:space="preserve">Kas yra </w:t>
      </w:r>
      <w:proofErr w:type="spellStart"/>
      <w:r w:rsidRPr="00017C0D">
        <w:rPr>
          <w:b/>
          <w:sz w:val="22"/>
          <w:szCs w:val="20"/>
          <w:lang w:val="lt-LT"/>
        </w:rPr>
        <w:t>Tonsilgon</w:t>
      </w:r>
      <w:proofErr w:type="spellEnd"/>
      <w:r w:rsidRPr="00017C0D">
        <w:rPr>
          <w:b/>
          <w:sz w:val="22"/>
          <w:szCs w:val="20"/>
          <w:lang w:val="lt-LT"/>
        </w:rPr>
        <w:t> N ir kam jis vartojamas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Tradicinis augalinis </w:t>
      </w:r>
      <w:r>
        <w:rPr>
          <w:sz w:val="22"/>
          <w:szCs w:val="22"/>
          <w:lang w:val="lt-LT"/>
        </w:rPr>
        <w:t>vaist</w:t>
      </w:r>
      <w:r w:rsidRPr="00017C0D">
        <w:rPr>
          <w:sz w:val="22"/>
          <w:szCs w:val="22"/>
          <w:lang w:val="lt-LT"/>
        </w:rPr>
        <w:t xml:space="preserve">as, kurio indikacijos pagrįstos tik ilgalaikiu vartojimu, skirtas dažnai pasikartojantiems viršutinių kvėpavimo takų </w:t>
      </w:r>
      <w:proofErr w:type="spellStart"/>
      <w:r w:rsidRPr="00017C0D">
        <w:rPr>
          <w:sz w:val="22"/>
          <w:szCs w:val="22"/>
          <w:lang w:val="lt-LT"/>
        </w:rPr>
        <w:t>uždegimams</w:t>
      </w:r>
      <w:proofErr w:type="spellEnd"/>
      <w:r w:rsidRPr="00017C0D">
        <w:rPr>
          <w:sz w:val="22"/>
          <w:szCs w:val="22"/>
          <w:lang w:val="lt-LT"/>
        </w:rPr>
        <w:t>, ypač tonzilių uždegimui gydyti.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Jeigu per 7 paras Jūsų savijauta nepagerėjo arba net pablogėjo, kreipkitės į gydytoją.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ind w:left="567" w:hanging="567"/>
        <w:outlineLvl w:val="0"/>
        <w:rPr>
          <w:b/>
          <w:lang w:val="lt-LT"/>
        </w:rPr>
      </w:pPr>
      <w:r w:rsidRPr="00017C0D">
        <w:rPr>
          <w:b/>
          <w:sz w:val="22"/>
          <w:szCs w:val="22"/>
          <w:lang w:val="lt-LT"/>
        </w:rPr>
        <w:t>2.</w:t>
      </w:r>
      <w:r w:rsidRPr="00017C0D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</w:t>
      </w:r>
      <w:r w:rsidRPr="00017C0D">
        <w:rPr>
          <w:b/>
          <w:bCs/>
          <w:sz w:val="22"/>
          <w:szCs w:val="22"/>
          <w:lang w:val="lt-LT"/>
        </w:rPr>
        <w:t xml:space="preserve"> vartoti </w:t>
      </w:r>
      <w:r>
        <w:rPr>
          <w:b/>
          <w:bCs/>
          <w:sz w:val="22"/>
          <w:szCs w:val="22"/>
          <w:lang w:val="lt-LT"/>
        </w:rPr>
        <w:t>draudžiama</w:t>
      </w:r>
      <w:r w:rsidRPr="00017C0D">
        <w:rPr>
          <w:b/>
          <w:bCs/>
          <w:sz w:val="22"/>
          <w:szCs w:val="22"/>
          <w:lang w:val="lt-LT"/>
        </w:rPr>
        <w:t>:</w:t>
      </w:r>
    </w:p>
    <w:p w:rsidR="008A2B5D" w:rsidRPr="00017C0D" w:rsidRDefault="008A2B5D" w:rsidP="008A2B5D">
      <w:pPr>
        <w:tabs>
          <w:tab w:val="left" w:pos="567"/>
        </w:tabs>
        <w:ind w:left="567" w:hanging="567"/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-</w:t>
      </w:r>
      <w:r w:rsidRPr="00017C0D">
        <w:rPr>
          <w:noProof/>
          <w:sz w:val="22"/>
          <w:szCs w:val="22"/>
          <w:lang w:val="lt-LT"/>
        </w:rPr>
        <w:tab/>
        <w:t xml:space="preserve">jeigu yra alergija </w:t>
      </w:r>
      <w:r w:rsidRPr="00017C0D">
        <w:rPr>
          <w:sz w:val="22"/>
          <w:szCs w:val="22"/>
          <w:lang w:val="lt-LT"/>
        </w:rPr>
        <w:t xml:space="preserve">veikliosioms medžiagoms </w:t>
      </w:r>
      <w:r w:rsidRPr="00017C0D">
        <w:rPr>
          <w:noProof/>
          <w:sz w:val="22"/>
          <w:lang w:val="lt-LT"/>
        </w:rPr>
        <w:t>arba bet kuriai pagalbinei šio vaisto medžiagai (jos išvardytos 6 skyriuje);</w:t>
      </w:r>
    </w:p>
    <w:p w:rsidR="008A2B5D" w:rsidRPr="00017C0D" w:rsidRDefault="008A2B5D" w:rsidP="008A2B5D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-</w:t>
      </w:r>
      <w:r w:rsidRPr="00017C0D">
        <w:rPr>
          <w:noProof/>
          <w:sz w:val="22"/>
          <w:szCs w:val="22"/>
          <w:lang w:val="lt-LT"/>
        </w:rPr>
        <w:tab/>
        <w:t>jeigu yra alergija graižažiedžių šeimos augalams.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spacing w:line="260" w:lineRule="exact"/>
        <w:ind w:left="567" w:hanging="567"/>
        <w:rPr>
          <w:b/>
          <w:noProof/>
          <w:sz w:val="22"/>
          <w:szCs w:val="22"/>
          <w:lang w:val="lt-LT"/>
        </w:rPr>
      </w:pPr>
      <w:r w:rsidRPr="00017C0D">
        <w:rPr>
          <w:b/>
          <w:noProof/>
          <w:sz w:val="22"/>
          <w:szCs w:val="22"/>
          <w:lang w:val="lt-LT"/>
        </w:rPr>
        <w:t>Įspėjimai ir atsargumo priemonės</w:t>
      </w:r>
    </w:p>
    <w:p w:rsidR="008A2B5D" w:rsidRPr="00017C0D" w:rsidRDefault="008A2B5D" w:rsidP="008A2B5D">
      <w:pPr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Jeigu simptomai išlieka ilgiau nei vieną savaitę arba atsiranda tokių simptomų kaip dusulys, karščiavimas, pūlingi ar kruvini skrepliai, kreipkitės į gydytoją.</w:t>
      </w:r>
    </w:p>
    <w:p w:rsidR="008A2B5D" w:rsidRPr="00017C0D" w:rsidRDefault="008A2B5D" w:rsidP="008A2B5D">
      <w:pPr>
        <w:rPr>
          <w:noProof/>
          <w:sz w:val="22"/>
          <w:szCs w:val="22"/>
          <w:lang w:val="lt-LT"/>
        </w:rPr>
      </w:pPr>
    </w:p>
    <w:p w:rsidR="008A2B5D" w:rsidRPr="00017C0D" w:rsidRDefault="008A2B5D" w:rsidP="008A2B5D">
      <w:pPr>
        <w:rPr>
          <w:i/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Vartojant vaistų, kurių sudėtyje yra ramunėlių žiedų gali pasireikšti padidėjusio jautrumo reakcijų. Padidėjusio jautrumo reakcijų taip pat gali pasireikšti žmonėms, kurių padidėjęs jautrumas graižažiedžių šeimos augalams (pvz., kiečiui</w:t>
      </w:r>
      <w:r w:rsidRPr="00017C0D">
        <w:rPr>
          <w:i/>
          <w:sz w:val="22"/>
          <w:szCs w:val="22"/>
          <w:lang w:val="lt-LT"/>
        </w:rPr>
        <w:t xml:space="preserve">, </w:t>
      </w:r>
      <w:proofErr w:type="spellStart"/>
      <w:r w:rsidRPr="00017C0D">
        <w:rPr>
          <w:sz w:val="22"/>
          <w:szCs w:val="22"/>
          <w:lang w:val="lt-LT"/>
        </w:rPr>
        <w:t>kraujažolei</w:t>
      </w:r>
      <w:proofErr w:type="spellEnd"/>
      <w:r w:rsidRPr="00017C0D">
        <w:rPr>
          <w:sz w:val="22"/>
          <w:szCs w:val="22"/>
          <w:lang w:val="lt-LT"/>
        </w:rPr>
        <w:t>, chrizantemoms,</w:t>
      </w:r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sz w:val="22"/>
          <w:szCs w:val="22"/>
          <w:lang w:val="lt-LT"/>
        </w:rPr>
        <w:t>sidabrakrūmiui</w:t>
      </w:r>
      <w:proofErr w:type="spellEnd"/>
      <w:r w:rsidRPr="00017C0D">
        <w:rPr>
          <w:sz w:val="22"/>
          <w:szCs w:val="22"/>
          <w:lang w:val="lt-LT"/>
        </w:rPr>
        <w:t xml:space="preserve"> ir kt.)</w:t>
      </w:r>
      <w:r w:rsidRPr="00017C0D">
        <w:rPr>
          <w:i/>
          <w:sz w:val="22"/>
          <w:szCs w:val="22"/>
          <w:lang w:val="lt-LT"/>
        </w:rPr>
        <w:t>.</w:t>
      </w:r>
    </w:p>
    <w:p w:rsidR="008A2B5D" w:rsidRPr="00017C0D" w:rsidRDefault="008A2B5D" w:rsidP="008A2B5D">
      <w:pPr>
        <w:rPr>
          <w:noProof/>
          <w:sz w:val="22"/>
          <w:szCs w:val="22"/>
          <w:lang w:val="lt-LT"/>
        </w:rPr>
      </w:pPr>
    </w:p>
    <w:p w:rsidR="008A2B5D" w:rsidRPr="00017C0D" w:rsidRDefault="008A2B5D" w:rsidP="008A2B5D">
      <w:pPr>
        <w:rPr>
          <w:b/>
          <w:noProof/>
          <w:sz w:val="22"/>
          <w:szCs w:val="22"/>
          <w:lang w:val="lt-LT"/>
        </w:rPr>
      </w:pPr>
      <w:r w:rsidRPr="00017C0D">
        <w:rPr>
          <w:b/>
          <w:noProof/>
          <w:sz w:val="22"/>
          <w:szCs w:val="22"/>
          <w:lang w:val="lt-LT"/>
        </w:rPr>
        <w:t>Vaikams</w:t>
      </w:r>
    </w:p>
    <w:p w:rsidR="008A2B5D" w:rsidRPr="00017C0D" w:rsidRDefault="008A2B5D" w:rsidP="008A2B5D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Jaunesniems nei 2 metų amžiaus vaikams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vartoti nerekomenduojama, nes duomenų apie veiksmingumą ir saugumą nepakanka.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b/>
          <w:sz w:val="22"/>
          <w:szCs w:val="22"/>
          <w:lang w:val="lt-LT"/>
        </w:rPr>
      </w:pPr>
      <w:r w:rsidRPr="00017C0D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lastRenderedPageBreak/>
        <w:t>Sąveika su kitais vaistais iki šiol nežinoma.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 xml:space="preserve"> N gali sumažinti arba sustabdyti </w:t>
      </w:r>
      <w:proofErr w:type="spellStart"/>
      <w:r w:rsidRPr="00017C0D">
        <w:rPr>
          <w:sz w:val="22"/>
          <w:szCs w:val="22"/>
          <w:lang w:val="lt-LT"/>
        </w:rPr>
        <w:t>alkaloidų</w:t>
      </w:r>
      <w:proofErr w:type="spellEnd"/>
      <w:r w:rsidRPr="00017C0D">
        <w:rPr>
          <w:sz w:val="22"/>
          <w:szCs w:val="22"/>
          <w:lang w:val="lt-LT"/>
        </w:rPr>
        <w:t xml:space="preserve"> (pvz., kosulį slopinančių vaistų, kurių sudėtyje yra kodeino) ir kitų panašių vaistų absorbciją.</w:t>
      </w:r>
    </w:p>
    <w:p w:rsidR="008A2B5D" w:rsidRPr="00017C0D" w:rsidRDefault="008A2B5D" w:rsidP="008A2B5D">
      <w:pPr>
        <w:rPr>
          <w:noProof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b/>
          <w:sz w:val="22"/>
          <w:szCs w:val="22"/>
          <w:lang w:val="lt-LT"/>
        </w:rPr>
      </w:pPr>
      <w:r w:rsidRPr="00017C0D">
        <w:rPr>
          <w:noProof/>
          <w:snapToGrid w:val="0"/>
          <w:sz w:val="22"/>
          <w:lang w:val="lt-LT"/>
        </w:rPr>
        <w:t>Jeigu vartojate ar neseniai vartojote kitų vaistų arba dėl to nesate tikri, apie tai pasakykite gydytojui arba vaistininkui.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 xml:space="preserve"> N vartojimas su maistu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Duomenų apie sąveiką su maistu nėra.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017C0D">
        <w:rPr>
          <w:b/>
          <w:sz w:val="22"/>
          <w:szCs w:val="22"/>
          <w:lang w:val="lt-LT"/>
        </w:rPr>
        <w:t>Nėštumas, žindymo laikotarpis ir vaisingumas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noProof/>
          <w:sz w:val="22"/>
          <w:lang w:val="lt-LT"/>
        </w:rPr>
        <w:t>Jeigu esate nėščia, žindote kūdikį, manote, kad galbūt esate nėščia, arba planuojate pastoti, tai, prieš vartodama šį vaistą, pasitarkite su vaistininku</w:t>
      </w:r>
      <w:r w:rsidRPr="00017C0D">
        <w:rPr>
          <w:noProof/>
          <w:sz w:val="22"/>
          <w:szCs w:val="20"/>
          <w:lang w:val="lt-LT"/>
        </w:rPr>
        <w:t>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Nerekomenduojama vartoti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nėščiosioms ir žindyvėms.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017C0D">
        <w:rPr>
          <w:b/>
          <w:sz w:val="22"/>
          <w:szCs w:val="22"/>
          <w:lang w:val="lt-LT"/>
        </w:rPr>
        <w:t>Vairavimas ir mechanizmų valdymas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gebėjimo vairuoti ir valdyti mechanizmus neveikia arba veikia nereikšmingai.</w:t>
      </w:r>
    </w:p>
    <w:p w:rsidR="008A2B5D" w:rsidRPr="00017C0D" w:rsidRDefault="008A2B5D" w:rsidP="008A2B5D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8A2B5D" w:rsidRDefault="008A2B5D" w:rsidP="008A2B5D">
      <w:pPr>
        <w:rPr>
          <w:b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 sudėtyje yra etanolio</w:t>
      </w:r>
    </w:p>
    <w:p w:rsidR="008A2B5D" w:rsidRDefault="008A2B5D" w:rsidP="008A2B5D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Kiekviename šio vaistinio preparato dozavimo vienete (</w:t>
      </w:r>
      <w:r w:rsidRPr="004A355F">
        <w:rPr>
          <w:sz w:val="22"/>
          <w:szCs w:val="22"/>
          <w:lang w:val="lt-LT"/>
        </w:rPr>
        <w:t>25 lašuose</w:t>
      </w:r>
      <w:r>
        <w:rPr>
          <w:sz w:val="22"/>
          <w:szCs w:val="22"/>
          <w:lang w:val="lt-LT"/>
        </w:rPr>
        <w:t>)</w:t>
      </w:r>
      <w:r w:rsidRPr="004A355F">
        <w:rPr>
          <w:sz w:val="22"/>
          <w:szCs w:val="22"/>
          <w:lang w:val="lt-LT"/>
        </w:rPr>
        <w:t xml:space="preserve"> yra</w:t>
      </w:r>
      <w:r w:rsidRPr="00080211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210 </w:t>
      </w:r>
      <w:r w:rsidRPr="00080211">
        <w:rPr>
          <w:sz w:val="22"/>
          <w:szCs w:val="22"/>
          <w:lang w:val="lt-LT"/>
        </w:rPr>
        <w:t>mg alkoholio (etanolio), tai atitinka 152</w:t>
      </w:r>
      <w:r>
        <w:rPr>
          <w:sz w:val="22"/>
          <w:szCs w:val="22"/>
          <w:lang w:val="lt-LT"/>
        </w:rPr>
        <w:t> </w:t>
      </w:r>
      <w:r w:rsidRPr="00080211">
        <w:rPr>
          <w:sz w:val="22"/>
          <w:szCs w:val="22"/>
          <w:lang w:val="lt-LT"/>
        </w:rPr>
        <w:t>mg/ml (19</w:t>
      </w:r>
      <w:r>
        <w:rPr>
          <w:sz w:val="22"/>
          <w:szCs w:val="22"/>
          <w:lang w:val="lt-LT"/>
        </w:rPr>
        <w:t> </w:t>
      </w:r>
      <w:r w:rsidRPr="00080211">
        <w:rPr>
          <w:sz w:val="22"/>
          <w:szCs w:val="22"/>
          <w:lang w:val="lt-LT"/>
        </w:rPr>
        <w:t>%</w:t>
      </w:r>
      <w:r>
        <w:rPr>
          <w:sz w:val="22"/>
          <w:szCs w:val="22"/>
          <w:lang w:val="lt-LT"/>
        </w:rPr>
        <w:t xml:space="preserve"> </w:t>
      </w:r>
      <w:r w:rsidRPr="00080211">
        <w:rPr>
          <w:sz w:val="22"/>
          <w:szCs w:val="22"/>
          <w:lang w:val="lt-LT"/>
        </w:rPr>
        <w:t xml:space="preserve">V/V). Toks </w:t>
      </w:r>
      <w:r>
        <w:rPr>
          <w:sz w:val="22"/>
          <w:szCs w:val="22"/>
          <w:lang w:val="lt-LT"/>
        </w:rPr>
        <w:t xml:space="preserve">25 lašuose </w:t>
      </w:r>
      <w:r w:rsidRPr="00080211">
        <w:rPr>
          <w:sz w:val="22"/>
          <w:szCs w:val="22"/>
          <w:lang w:val="lt-LT"/>
        </w:rPr>
        <w:t xml:space="preserve">esantis alkoholio kiekis atitinka mažiau kaip </w:t>
      </w:r>
      <w:r>
        <w:rPr>
          <w:sz w:val="22"/>
          <w:szCs w:val="22"/>
          <w:lang w:val="lt-LT"/>
        </w:rPr>
        <w:t>6 </w:t>
      </w:r>
      <w:r w:rsidRPr="00080211">
        <w:rPr>
          <w:sz w:val="22"/>
          <w:szCs w:val="22"/>
          <w:lang w:val="lt-LT"/>
        </w:rPr>
        <w:t xml:space="preserve">ml alaus ar </w:t>
      </w:r>
      <w:r>
        <w:rPr>
          <w:sz w:val="22"/>
          <w:szCs w:val="22"/>
          <w:lang w:val="lt-LT"/>
        </w:rPr>
        <w:t>3 </w:t>
      </w:r>
      <w:r w:rsidRPr="00080211">
        <w:rPr>
          <w:sz w:val="22"/>
          <w:szCs w:val="22"/>
          <w:lang w:val="lt-LT"/>
        </w:rPr>
        <w:t>ml vyno. Mažas alkoholio kiekis, esantis šio vaisto sudėtyje, nesukelia pastebimo poveikio.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017C0D">
        <w:rPr>
          <w:b/>
          <w:bCs/>
          <w:sz w:val="22"/>
          <w:szCs w:val="22"/>
          <w:lang w:val="lt-LT"/>
        </w:rPr>
        <w:t>3.</w:t>
      </w:r>
      <w:r w:rsidRPr="00017C0D">
        <w:rPr>
          <w:b/>
          <w:bCs/>
          <w:sz w:val="22"/>
          <w:szCs w:val="22"/>
          <w:lang w:val="lt-LT"/>
        </w:rPr>
        <w:tab/>
      </w:r>
      <w:r w:rsidRPr="00017C0D">
        <w:rPr>
          <w:b/>
          <w:bCs/>
          <w:snapToGrid w:val="0"/>
          <w:sz w:val="22"/>
          <w:szCs w:val="22"/>
          <w:lang w:val="lt-LT"/>
        </w:rPr>
        <w:t xml:space="preserve">Kaip vartoti </w:t>
      </w:r>
      <w:proofErr w:type="spellStart"/>
      <w:r w:rsidRPr="00017C0D">
        <w:rPr>
          <w:b/>
          <w:bCs/>
          <w:snapToGrid w:val="0"/>
          <w:sz w:val="22"/>
          <w:szCs w:val="22"/>
          <w:lang w:val="lt-LT"/>
        </w:rPr>
        <w:t>Tonsilgon</w:t>
      </w:r>
      <w:proofErr w:type="spellEnd"/>
      <w:r w:rsidRPr="00017C0D">
        <w:rPr>
          <w:b/>
          <w:bCs/>
          <w:snapToGrid w:val="0"/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noProof/>
          <w:snapToGrid w:val="0"/>
          <w:sz w:val="22"/>
          <w:lang w:val="lt-LT"/>
        </w:rPr>
        <w:t>Visada vartokite šį vaistą tiksliai kaip nurodė gydytojas arba vaistininkas.</w:t>
      </w:r>
      <w:r w:rsidRPr="00017C0D">
        <w:rPr>
          <w:sz w:val="22"/>
          <w:szCs w:val="22"/>
          <w:lang w:val="lt-LT"/>
        </w:rPr>
        <w:t xml:space="preserve"> Jeigu abejojate, kreipkitės į gydytoją ar vaistininką.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outlineLvl w:val="0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Rekomenduojama dozė yra:</w:t>
      </w:r>
    </w:p>
    <w:p w:rsidR="008A2B5D" w:rsidRPr="00017C0D" w:rsidRDefault="008A2B5D" w:rsidP="008A2B5D">
      <w:pPr>
        <w:jc w:val="both"/>
        <w:rPr>
          <w:i/>
          <w:iCs/>
          <w:sz w:val="22"/>
          <w:szCs w:val="22"/>
          <w:lang w:val="lt-LT"/>
        </w:rPr>
      </w:pPr>
    </w:p>
    <w:p w:rsidR="008A2B5D" w:rsidRPr="00017C0D" w:rsidRDefault="008A2B5D" w:rsidP="008A2B5D">
      <w:pPr>
        <w:jc w:val="both"/>
        <w:rPr>
          <w:i/>
          <w:iCs/>
          <w:sz w:val="22"/>
          <w:szCs w:val="22"/>
          <w:lang w:val="lt-LT"/>
        </w:rPr>
      </w:pPr>
      <w:r w:rsidRPr="00017C0D">
        <w:rPr>
          <w:i/>
          <w:iCs/>
          <w:sz w:val="22"/>
          <w:szCs w:val="22"/>
          <w:lang w:val="lt-LT"/>
        </w:rPr>
        <w:t>Dozavimas, esant ūminiams ligos simptomams</w:t>
      </w:r>
    </w:p>
    <w:p w:rsidR="008A2B5D" w:rsidRPr="00017C0D" w:rsidRDefault="008A2B5D" w:rsidP="008A2B5D">
      <w:pPr>
        <w:jc w:val="both"/>
        <w:rPr>
          <w:i/>
          <w:iCs/>
          <w:sz w:val="22"/>
          <w:szCs w:val="22"/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2268"/>
      </w:tblGrid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Pacientai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Vienkartinė dozė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 xml:space="preserve">Vartojimo dažnis 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Paros dozė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Suaugusieji ir paaugliai nuo 12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25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geriamieji lašai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5</w:t>
            </w:r>
            <w:r w:rsidRPr="00017C0D">
              <w:rPr>
                <w:iCs/>
                <w:sz w:val="22"/>
                <w:szCs w:val="22"/>
                <w:lang w:val="lt-LT"/>
              </w:rPr>
              <w:noBreakHyphen/>
              <w:t>6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125</w:t>
            </w:r>
            <w:r w:rsidRPr="00017C0D">
              <w:rPr>
                <w:sz w:val="22"/>
                <w:szCs w:val="22"/>
                <w:lang w:val="lt-LT"/>
              </w:rPr>
              <w:t>–150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 lašų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Vaikai 6–11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15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geriamųjų lašų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5</w:t>
            </w:r>
            <w:r w:rsidRPr="00017C0D">
              <w:rPr>
                <w:iCs/>
                <w:sz w:val="22"/>
                <w:szCs w:val="22"/>
                <w:lang w:val="lt-LT"/>
              </w:rPr>
              <w:noBreakHyphen/>
              <w:t>6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75</w:t>
            </w:r>
            <w:r w:rsidRPr="00017C0D">
              <w:rPr>
                <w:sz w:val="22"/>
                <w:szCs w:val="22"/>
                <w:lang w:val="lt-LT"/>
              </w:rPr>
              <w:t>–</w:t>
            </w:r>
            <w:r w:rsidRPr="00017C0D">
              <w:rPr>
                <w:iCs/>
                <w:sz w:val="22"/>
                <w:szCs w:val="22"/>
                <w:lang w:val="lt-LT"/>
              </w:rPr>
              <w:t>90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lašų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Vaikai 2–5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10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geriamųjų lašų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5</w:t>
            </w:r>
            <w:r w:rsidRPr="00017C0D">
              <w:rPr>
                <w:iCs/>
                <w:sz w:val="22"/>
                <w:szCs w:val="22"/>
                <w:lang w:val="lt-LT"/>
              </w:rPr>
              <w:noBreakHyphen/>
              <w:t>6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50</w:t>
            </w:r>
            <w:r w:rsidRPr="00017C0D">
              <w:rPr>
                <w:sz w:val="22"/>
                <w:szCs w:val="22"/>
                <w:lang w:val="lt-LT"/>
              </w:rPr>
              <w:t>–</w:t>
            </w:r>
            <w:r w:rsidRPr="00017C0D">
              <w:rPr>
                <w:iCs/>
                <w:sz w:val="22"/>
                <w:szCs w:val="22"/>
                <w:lang w:val="lt-LT"/>
              </w:rPr>
              <w:t>60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lašų</w:t>
            </w:r>
          </w:p>
        </w:tc>
      </w:tr>
    </w:tbl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</w:p>
    <w:p w:rsidR="008A2B5D" w:rsidRPr="00017C0D" w:rsidRDefault="008A2B5D" w:rsidP="008A2B5D">
      <w:pPr>
        <w:jc w:val="both"/>
        <w:rPr>
          <w:iCs/>
          <w:sz w:val="22"/>
          <w:szCs w:val="22"/>
          <w:lang w:val="lt-LT"/>
        </w:rPr>
      </w:pPr>
      <w:r w:rsidRPr="00017C0D">
        <w:rPr>
          <w:iCs/>
          <w:sz w:val="22"/>
          <w:szCs w:val="22"/>
          <w:lang w:val="lt-LT"/>
        </w:rPr>
        <w:t>Dozavimas ūminiams ligos simptomams sumažėjus</w:t>
      </w:r>
    </w:p>
    <w:p w:rsidR="008A2B5D" w:rsidRPr="00017C0D" w:rsidRDefault="008A2B5D" w:rsidP="008A2B5D">
      <w:pPr>
        <w:jc w:val="both"/>
        <w:rPr>
          <w:i/>
          <w:iCs/>
          <w:sz w:val="22"/>
          <w:szCs w:val="22"/>
          <w:lang w:val="lt-LT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2268"/>
      </w:tblGrid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Pacientai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Vienkartinė dozė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Vartojimo dažnis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017C0D">
              <w:rPr>
                <w:b/>
                <w:iCs/>
                <w:sz w:val="22"/>
                <w:szCs w:val="22"/>
                <w:lang w:val="lt-LT"/>
              </w:rPr>
              <w:t>Paros dozė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Suaugusieji ir paaugliai nuo 12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25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geriamieji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lašai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3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75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geriamieji lašai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Vaikai 6–11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15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lašų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3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45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geriamieji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lašai</w:t>
            </w:r>
          </w:p>
        </w:tc>
      </w:tr>
      <w:tr w:rsidR="008A2B5D" w:rsidRPr="00017C0D" w:rsidTr="000E7AC2">
        <w:tc>
          <w:tcPr>
            <w:tcW w:w="3397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sz w:val="22"/>
                <w:szCs w:val="22"/>
                <w:lang w:val="lt-LT"/>
              </w:rPr>
              <w:t>Vaikai 2–5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metų</w:t>
            </w:r>
          </w:p>
        </w:tc>
        <w:tc>
          <w:tcPr>
            <w:tcW w:w="1843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lašų</w:t>
            </w:r>
          </w:p>
        </w:tc>
        <w:tc>
          <w:tcPr>
            <w:tcW w:w="1985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3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iCs/>
                <w:sz w:val="22"/>
                <w:szCs w:val="22"/>
                <w:lang w:val="lt-LT"/>
              </w:rPr>
              <w:t>kartus per dieną</w:t>
            </w:r>
          </w:p>
        </w:tc>
        <w:tc>
          <w:tcPr>
            <w:tcW w:w="2268" w:type="dxa"/>
          </w:tcPr>
          <w:p w:rsidR="008A2B5D" w:rsidRPr="00017C0D" w:rsidRDefault="008A2B5D" w:rsidP="000E7AC2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017C0D">
              <w:rPr>
                <w:iCs/>
                <w:sz w:val="22"/>
                <w:szCs w:val="22"/>
                <w:lang w:val="lt-LT"/>
              </w:rPr>
              <w:t>30</w:t>
            </w:r>
            <w:r>
              <w:rPr>
                <w:iCs/>
                <w:sz w:val="22"/>
                <w:szCs w:val="22"/>
                <w:lang w:val="lt-LT"/>
              </w:rPr>
              <w:t> </w:t>
            </w:r>
            <w:r w:rsidRPr="00017C0D">
              <w:rPr>
                <w:sz w:val="22"/>
                <w:szCs w:val="22"/>
                <w:lang w:val="lt-LT"/>
              </w:rPr>
              <w:t>geriamųjų</w:t>
            </w:r>
            <w:r w:rsidRPr="00017C0D">
              <w:rPr>
                <w:iCs/>
                <w:sz w:val="22"/>
                <w:szCs w:val="22"/>
                <w:lang w:val="lt-LT"/>
              </w:rPr>
              <w:t xml:space="preserve"> lašų</w:t>
            </w:r>
          </w:p>
        </w:tc>
      </w:tr>
    </w:tbl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jc w:val="both"/>
        <w:rPr>
          <w:iCs/>
          <w:sz w:val="22"/>
          <w:szCs w:val="22"/>
          <w:lang w:val="lt-LT"/>
        </w:rPr>
      </w:pPr>
      <w:r w:rsidRPr="00017C0D">
        <w:rPr>
          <w:i/>
          <w:iCs/>
          <w:color w:val="000000"/>
          <w:sz w:val="22"/>
          <w:szCs w:val="22"/>
          <w:lang w:val="lt-LT"/>
        </w:rPr>
        <w:t>Pacientams, kurių inkstų ar kepenų funkcija sutrikusi</w:t>
      </w:r>
    </w:p>
    <w:p w:rsidR="008A2B5D" w:rsidRPr="00017C0D" w:rsidRDefault="008A2B5D" w:rsidP="008A2B5D">
      <w:pPr>
        <w:jc w:val="both"/>
        <w:rPr>
          <w:iCs/>
          <w:sz w:val="22"/>
          <w:szCs w:val="22"/>
          <w:lang w:val="lt-LT"/>
        </w:rPr>
      </w:pPr>
      <w:r w:rsidRPr="00017C0D">
        <w:rPr>
          <w:iCs/>
          <w:sz w:val="22"/>
          <w:szCs w:val="22"/>
          <w:lang w:val="lt-LT"/>
        </w:rPr>
        <w:t>Nėra pakankamai duomenų apie vaisto dozavimą, esant sutrikusiai inkstų ir (ar) kepenų funkcijai.</w:t>
      </w:r>
    </w:p>
    <w:p w:rsidR="008A2B5D" w:rsidRPr="00017C0D" w:rsidRDefault="008A2B5D" w:rsidP="008A2B5D">
      <w:pPr>
        <w:jc w:val="both"/>
        <w:rPr>
          <w:iCs/>
          <w:sz w:val="22"/>
          <w:szCs w:val="22"/>
          <w:lang w:val="lt-LT"/>
        </w:rPr>
      </w:pPr>
    </w:p>
    <w:p w:rsidR="008A2B5D" w:rsidRPr="00017C0D" w:rsidRDefault="008A2B5D" w:rsidP="008A2B5D">
      <w:pPr>
        <w:keepNext/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Vartojimo metodas</w:t>
      </w:r>
    </w:p>
    <w:p w:rsidR="008A2B5D" w:rsidRPr="00017C0D" w:rsidRDefault="008A2B5D" w:rsidP="008A2B5D">
      <w:pPr>
        <w:keepNext/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Jeigu reikia, vartokite geriamuosius lašus kartu su nedideliu skysčio kiekiu (pvz., stikline vandens).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017C0D">
        <w:rPr>
          <w:sz w:val="22"/>
          <w:szCs w:val="22"/>
          <w:u w:val="single"/>
          <w:lang w:val="lt-LT"/>
        </w:rPr>
        <w:t>Vartojimo instrukcija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lastRenderedPageBreak/>
        <w:t xml:space="preserve">Lašinant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N, buteliuką reikia laikyti vertikaliai.</w:t>
      </w:r>
    </w:p>
    <w:p w:rsidR="008A2B5D" w:rsidRPr="00017C0D" w:rsidRDefault="008A2B5D" w:rsidP="008A2B5D">
      <w:pPr>
        <w:tabs>
          <w:tab w:val="left" w:pos="5948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b/>
          <w:noProof/>
          <w:sz w:val="22"/>
          <w:lang w:val="lt-LT"/>
        </w:rPr>
      </w:pPr>
      <w:r w:rsidRPr="00017C0D">
        <w:rPr>
          <w:b/>
          <w:noProof/>
          <w:sz w:val="22"/>
          <w:lang w:val="lt-LT"/>
        </w:rPr>
        <w:t>Ką daryti pavartojus per didelę Tonsilgon N dozę</w:t>
      </w:r>
    </w:p>
    <w:p w:rsidR="008A2B5D" w:rsidRPr="00017C0D" w:rsidRDefault="008A2B5D" w:rsidP="008A2B5D">
      <w:pPr>
        <w:tabs>
          <w:tab w:val="left" w:pos="567"/>
        </w:tabs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Perdozavimo atvejų nepastebėta. Perdozavus pasakykite apie tai savo gydytojui.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keepNext/>
        <w:keepLines/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017C0D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keepNext/>
        <w:keepLines/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017C0D">
        <w:rPr>
          <w:bCs/>
          <w:sz w:val="22"/>
          <w:szCs w:val="22"/>
          <w:lang w:val="lt-LT"/>
        </w:rPr>
        <w:t>Negalima vartoti dvigubos dozės norint kompensuoti praleistą dozę.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lt-LT"/>
        </w:rPr>
      </w:pPr>
      <w:r w:rsidRPr="00017C0D">
        <w:rPr>
          <w:b/>
          <w:noProof/>
          <w:sz w:val="22"/>
          <w:szCs w:val="22"/>
          <w:lang w:val="lt-LT"/>
        </w:rPr>
        <w:t>Nustojus vartoti Tonsilgon N</w:t>
      </w:r>
    </w:p>
    <w:p w:rsidR="008A2B5D" w:rsidRPr="00017C0D" w:rsidRDefault="008A2B5D" w:rsidP="008A2B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Paprastai vaistą galite nustoti vartoti be jokių keblumų.</w:t>
      </w:r>
    </w:p>
    <w:p w:rsidR="008A2B5D" w:rsidRPr="00017C0D" w:rsidRDefault="008A2B5D" w:rsidP="008A2B5D">
      <w:pPr>
        <w:tabs>
          <w:tab w:val="left" w:pos="567"/>
        </w:tabs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>Jei kiltų daugiau klausimų dėl šio vaisto vartojimo, kreipkitės į gydytoją arba vaistininką.</w:t>
      </w:r>
    </w:p>
    <w:p w:rsidR="008A2B5D" w:rsidRPr="00017C0D" w:rsidRDefault="008A2B5D" w:rsidP="008A2B5D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017C0D">
        <w:rPr>
          <w:b/>
          <w:bCs/>
          <w:sz w:val="22"/>
          <w:szCs w:val="22"/>
          <w:lang w:val="lt-LT"/>
        </w:rPr>
        <w:t>4.</w:t>
      </w:r>
      <w:r w:rsidRPr="00017C0D">
        <w:rPr>
          <w:b/>
          <w:bCs/>
          <w:sz w:val="22"/>
          <w:szCs w:val="22"/>
          <w:lang w:val="lt-LT"/>
        </w:rPr>
        <w:tab/>
      </w:r>
      <w:r w:rsidRPr="00017C0D">
        <w:rPr>
          <w:b/>
          <w:sz w:val="22"/>
          <w:lang w:val="lt-LT"/>
        </w:rPr>
        <w:t>Galimas šalutinis poveikis</w:t>
      </w:r>
      <w:r w:rsidRPr="00017C0D" w:rsidDel="001B12DD">
        <w:rPr>
          <w:b/>
          <w:bCs/>
          <w:sz w:val="22"/>
          <w:szCs w:val="22"/>
          <w:lang w:val="lt-LT"/>
        </w:rPr>
        <w:t xml:space="preserve"> </w:t>
      </w:r>
    </w:p>
    <w:p w:rsidR="008A2B5D" w:rsidRPr="00017C0D" w:rsidRDefault="008A2B5D" w:rsidP="008A2B5D">
      <w:pPr>
        <w:tabs>
          <w:tab w:val="left" w:pos="3919"/>
        </w:tabs>
        <w:outlineLvl w:val="0"/>
        <w:rPr>
          <w:b/>
          <w:bCs/>
          <w:sz w:val="22"/>
          <w:szCs w:val="22"/>
          <w:lang w:val="lt-LT"/>
        </w:rPr>
      </w:pPr>
    </w:p>
    <w:p w:rsidR="008A2B5D" w:rsidRDefault="008A2B5D" w:rsidP="008A2B5D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017C0D">
        <w:rPr>
          <w:noProof/>
          <w:snapToGrid w:val="0"/>
          <w:sz w:val="22"/>
          <w:lang w:val="lt-LT"/>
        </w:rPr>
        <w:t>Šis vaistas, kaip ir visi kiti</w:t>
      </w:r>
      <w:r w:rsidRPr="00017C0D">
        <w:rPr>
          <w:bCs/>
          <w:sz w:val="22"/>
          <w:szCs w:val="22"/>
          <w:lang w:val="lt-LT"/>
        </w:rPr>
        <w:t>, gali sukelti šalutinį poveikį, nors jis pasireiškia ne visiems žmonėms.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</w:p>
    <w:p w:rsidR="008A2B5D" w:rsidRDefault="008A2B5D" w:rsidP="008A2B5D">
      <w:pPr>
        <w:rPr>
          <w:i/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Imuninės sistemos </w:t>
      </w:r>
      <w:proofErr w:type="spellStart"/>
      <w:r w:rsidRPr="00017C0D">
        <w:rPr>
          <w:sz w:val="22"/>
          <w:szCs w:val="22"/>
          <w:lang w:val="lt-LT"/>
        </w:rPr>
        <w:t>sutrikimai</w:t>
      </w:r>
      <w:r w:rsidRPr="00AF1F0E">
        <w:rPr>
          <w:b/>
          <w:sz w:val="22"/>
          <w:szCs w:val="22"/>
          <w:lang w:val="lt-LT"/>
        </w:rPr>
        <w:t>Reti</w:t>
      </w:r>
      <w:proofErr w:type="spellEnd"/>
      <w:r w:rsidRPr="00AF1F0E">
        <w:rPr>
          <w:b/>
          <w:sz w:val="22"/>
          <w:szCs w:val="22"/>
          <w:lang w:val="lt-LT"/>
        </w:rPr>
        <w:t xml:space="preserve"> šalutinio poveikio reiškiniai (gali pasireikšti rečiau kaip 1 iš 1 000 asmenų): </w:t>
      </w:r>
      <w:r>
        <w:rPr>
          <w:sz w:val="22"/>
          <w:szCs w:val="22"/>
          <w:lang w:val="lt-LT"/>
        </w:rPr>
        <w:t>a</w:t>
      </w:r>
      <w:r w:rsidRPr="00017C0D">
        <w:rPr>
          <w:sz w:val="22"/>
          <w:szCs w:val="22"/>
          <w:lang w:val="lt-LT"/>
        </w:rPr>
        <w:t>lerginės odos reakcijos (pvz.,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egzantema</w:t>
      </w:r>
      <w:proofErr w:type="spellEnd"/>
      <w:r>
        <w:rPr>
          <w:sz w:val="22"/>
          <w:szCs w:val="22"/>
          <w:lang w:val="lt-LT"/>
        </w:rPr>
        <w:t xml:space="preserve"> (</w:t>
      </w:r>
      <w:r w:rsidRPr="00017C0D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iš</w:t>
      </w:r>
      <w:r w:rsidRPr="00017C0D">
        <w:rPr>
          <w:sz w:val="22"/>
          <w:szCs w:val="22"/>
          <w:lang w:val="lt-LT"/>
        </w:rPr>
        <w:t>bėrimas</w:t>
      </w:r>
      <w:r>
        <w:rPr>
          <w:sz w:val="22"/>
          <w:szCs w:val="22"/>
          <w:lang w:val="lt-LT"/>
        </w:rPr>
        <w:t>)</w:t>
      </w:r>
      <w:r w:rsidRPr="00017C0D">
        <w:rPr>
          <w:sz w:val="22"/>
          <w:szCs w:val="22"/>
          <w:lang w:val="lt-LT"/>
        </w:rPr>
        <w:t>, dilgėlinė)</w:t>
      </w:r>
      <w:r>
        <w:rPr>
          <w:sz w:val="22"/>
          <w:szCs w:val="22"/>
          <w:lang w:val="lt-LT"/>
        </w:rPr>
        <w:t>.</w:t>
      </w:r>
    </w:p>
    <w:p w:rsidR="008A2B5D" w:rsidRDefault="008A2B5D" w:rsidP="008A2B5D">
      <w:pPr>
        <w:rPr>
          <w:b/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Virškinimo trakto sutrikimai</w:t>
      </w:r>
    </w:p>
    <w:p w:rsidR="008A2B5D" w:rsidRPr="00AF1F0E" w:rsidRDefault="008A2B5D" w:rsidP="008A2B5D">
      <w:pPr>
        <w:rPr>
          <w:sz w:val="22"/>
          <w:szCs w:val="22"/>
          <w:lang w:val="lt-LT"/>
        </w:rPr>
      </w:pPr>
      <w:r w:rsidRPr="00AF1F0E">
        <w:rPr>
          <w:b/>
          <w:sz w:val="22"/>
          <w:szCs w:val="22"/>
          <w:lang w:val="lt-LT"/>
        </w:rPr>
        <w:t>Reti šalutinio poveikio reiškiniai (gali pasireikšti rečiau kaip 1 iš 1 000 asmenų):</w:t>
      </w:r>
      <w:r w:rsidRPr="00865360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vėmimas, pilvo skausmas.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Jei pasireiškė pirmieji padidinto jautrumo ar alerginės reakcijos požymiai, nutraukite </w:t>
      </w: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geriamųjų lašų vartojimą.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b/>
          <w:sz w:val="22"/>
          <w:szCs w:val="22"/>
          <w:lang w:val="lt-LT"/>
        </w:rPr>
      </w:pPr>
      <w:r w:rsidRPr="00017C0D">
        <w:rPr>
          <w:b/>
          <w:noProof/>
          <w:sz w:val="22"/>
          <w:szCs w:val="22"/>
          <w:lang w:val="lt-LT"/>
        </w:rPr>
        <w:t>Pranešimas apie šalutinį poveikį</w:t>
      </w:r>
    </w:p>
    <w:p w:rsidR="008A2B5D" w:rsidRPr="00017C0D" w:rsidRDefault="008A2B5D" w:rsidP="008A2B5D">
      <w:pPr>
        <w:rPr>
          <w:noProof/>
          <w:sz w:val="22"/>
          <w:szCs w:val="22"/>
          <w:lang w:val="lt-LT"/>
        </w:rPr>
      </w:pPr>
      <w:r w:rsidRPr="00017C0D">
        <w:rPr>
          <w:noProof/>
          <w:sz w:val="22"/>
          <w:szCs w:val="22"/>
          <w:lang w:val="lt-LT"/>
        </w:rPr>
        <w:t xml:space="preserve">Jeigu pasireiškė šalutinis poveikis, įskaitant šiame lapelyje nenurodytą, pasakykite gydytojui vaistininkui. </w:t>
      </w:r>
      <w:r w:rsidRPr="006A4857">
        <w:rPr>
          <w:noProof/>
          <w:sz w:val="22"/>
          <w:szCs w:val="22"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017C0D">
        <w:rPr>
          <w:b/>
          <w:bCs/>
          <w:sz w:val="22"/>
          <w:szCs w:val="22"/>
          <w:lang w:val="lt-LT"/>
        </w:rPr>
        <w:t>5.</w:t>
      </w:r>
      <w:r w:rsidRPr="00017C0D">
        <w:rPr>
          <w:b/>
          <w:bCs/>
          <w:sz w:val="22"/>
          <w:szCs w:val="22"/>
          <w:lang w:val="lt-LT"/>
        </w:rPr>
        <w:tab/>
        <w:t xml:space="preserve">Kaip laikyti </w:t>
      </w:r>
      <w:proofErr w:type="spellStart"/>
      <w:r w:rsidRPr="00017C0D">
        <w:rPr>
          <w:b/>
          <w:bCs/>
          <w:sz w:val="22"/>
          <w:szCs w:val="22"/>
          <w:lang w:val="lt-LT"/>
        </w:rPr>
        <w:t>Tonsilgon</w:t>
      </w:r>
      <w:proofErr w:type="spellEnd"/>
      <w:r w:rsidRPr="00017C0D">
        <w:rPr>
          <w:b/>
          <w:bCs/>
          <w:sz w:val="22"/>
          <w:szCs w:val="22"/>
          <w:lang w:val="lt-LT"/>
        </w:rPr>
        <w:t> N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numPr>
          <w:ilvl w:val="12"/>
          <w:numId w:val="0"/>
        </w:numPr>
        <w:ind w:right="-2"/>
        <w:rPr>
          <w:snapToGrid w:val="0"/>
          <w:sz w:val="22"/>
          <w:lang w:val="lt-LT"/>
        </w:rPr>
      </w:pPr>
      <w:r w:rsidRPr="00017C0D">
        <w:rPr>
          <w:noProof/>
          <w:snapToGrid w:val="0"/>
          <w:sz w:val="22"/>
          <w:lang w:val="lt-LT"/>
        </w:rPr>
        <w:t>Šį vaistą laikykite vaikams nepastebimoje ir nepasiekiamoje vietoje.</w:t>
      </w:r>
    </w:p>
    <w:p w:rsidR="008A2B5D" w:rsidRPr="00017C0D" w:rsidRDefault="008A2B5D" w:rsidP="008A2B5D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Laikyti ne aukštesnėje kaip 25 </w:t>
      </w:r>
      <w:r w:rsidRPr="00017C0D">
        <w:rPr>
          <w:sz w:val="22"/>
          <w:szCs w:val="22"/>
          <w:lang w:val="lt-LT"/>
        </w:rPr>
        <w:sym w:font="Symbol" w:char="F0B0"/>
      </w:r>
      <w:r w:rsidRPr="00017C0D">
        <w:rPr>
          <w:sz w:val="22"/>
          <w:szCs w:val="22"/>
          <w:lang w:val="lt-LT"/>
        </w:rPr>
        <w:t>C temperatūroje.</w:t>
      </w:r>
    </w:p>
    <w:p w:rsidR="008A2B5D" w:rsidRPr="00017C0D" w:rsidRDefault="008A2B5D" w:rsidP="008A2B5D">
      <w:pPr>
        <w:tabs>
          <w:tab w:val="left" w:pos="540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Buteliuką laikyti išorinėje dėžutėje, kad vaistas būtų apsaugotas nuo šviesos. Buteliuką laikyti sandarų.</w:t>
      </w:r>
    </w:p>
    <w:p w:rsidR="008A2B5D" w:rsidRPr="00017C0D" w:rsidRDefault="008A2B5D" w:rsidP="008A2B5D">
      <w:pPr>
        <w:tabs>
          <w:tab w:val="left" w:pos="540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Laikymo metu tirpalas gali susidrumsti ar iškristi nuosėdos.</w:t>
      </w:r>
    </w:p>
    <w:p w:rsidR="008A2B5D" w:rsidRPr="00017C0D" w:rsidRDefault="008A2B5D" w:rsidP="008A2B5D">
      <w:pPr>
        <w:tabs>
          <w:tab w:val="left" w:pos="540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Pirmą kartą atidarius buteliuką, geriamųjų lašų tinkamumo laikas – 6 mėnesiai.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Ant etiketės ir dėžutės po „Tinka iki“ nurodytam tinkamumo laikui pasibaigus, šio vaisto vartoti negalima. Vaistas tinkamas vartoti iki paskutinės nurodyto mėnesio dienos.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017C0D">
        <w:rPr>
          <w:b/>
          <w:bCs/>
          <w:sz w:val="22"/>
          <w:szCs w:val="22"/>
          <w:lang w:val="lt-LT"/>
        </w:rPr>
        <w:t>6.</w:t>
      </w:r>
      <w:r w:rsidRPr="00017C0D">
        <w:rPr>
          <w:b/>
          <w:bCs/>
          <w:sz w:val="22"/>
          <w:szCs w:val="22"/>
          <w:lang w:val="lt-LT"/>
        </w:rPr>
        <w:tab/>
      </w:r>
      <w:r w:rsidRPr="00017C0D">
        <w:rPr>
          <w:b/>
          <w:snapToGrid w:val="0"/>
          <w:sz w:val="22"/>
          <w:szCs w:val="20"/>
          <w:lang w:val="lt-LT"/>
        </w:rPr>
        <w:t>Pakuotės turinys ir kita informacija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b/>
          <w:bCs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> N</w:t>
      </w:r>
      <w:r w:rsidRPr="00017C0D">
        <w:rPr>
          <w:b/>
          <w:bCs/>
          <w:sz w:val="22"/>
          <w:szCs w:val="22"/>
          <w:lang w:val="lt-LT"/>
        </w:rPr>
        <w:t xml:space="preserve"> sudėtis</w:t>
      </w:r>
    </w:p>
    <w:p w:rsidR="008A2B5D" w:rsidRPr="00017C0D" w:rsidRDefault="008A2B5D" w:rsidP="008A2B5D">
      <w:pPr>
        <w:rPr>
          <w:b/>
          <w:bCs/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-</w:t>
      </w:r>
      <w:r w:rsidRPr="00017C0D">
        <w:rPr>
          <w:sz w:val="22"/>
          <w:szCs w:val="22"/>
          <w:lang w:val="lt-LT"/>
        </w:rPr>
        <w:tab/>
        <w:t xml:space="preserve">Veikliosios medžiagos yra </w:t>
      </w:r>
      <w:proofErr w:type="spellStart"/>
      <w:r w:rsidRPr="00017C0D">
        <w:rPr>
          <w:sz w:val="22"/>
          <w:szCs w:val="22"/>
          <w:lang w:val="lt-LT"/>
        </w:rPr>
        <w:t>svilarožių</w:t>
      </w:r>
      <w:proofErr w:type="spellEnd"/>
      <w:r w:rsidRPr="00017C0D">
        <w:rPr>
          <w:sz w:val="22"/>
          <w:szCs w:val="22"/>
          <w:lang w:val="lt-LT"/>
        </w:rPr>
        <w:t xml:space="preserve"> šaknys, ramunėlių žiedai, asiūklių žolė, riešutmedžių lapai, </w:t>
      </w:r>
      <w:proofErr w:type="spellStart"/>
      <w:r w:rsidRPr="00017C0D">
        <w:rPr>
          <w:sz w:val="22"/>
          <w:szCs w:val="22"/>
          <w:lang w:val="lt-LT"/>
        </w:rPr>
        <w:t>kraujažolių</w:t>
      </w:r>
      <w:proofErr w:type="spellEnd"/>
      <w:r w:rsidRPr="00017C0D">
        <w:rPr>
          <w:sz w:val="22"/>
          <w:szCs w:val="22"/>
          <w:lang w:val="lt-LT"/>
        </w:rPr>
        <w:t xml:space="preserve"> žolė, ąžuolų žievė, kiaulpienių žolė.</w:t>
      </w:r>
    </w:p>
    <w:p w:rsidR="008A2B5D" w:rsidRPr="00017C0D" w:rsidRDefault="008A2B5D" w:rsidP="008A2B5D">
      <w:pPr>
        <w:ind w:left="540" w:hanging="540"/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1 g tirpalo yra 290 mg skystojo ekstrakto, pagaminto iš: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4 mg </w:t>
      </w:r>
      <w:proofErr w:type="spellStart"/>
      <w:r w:rsidRPr="00017C0D">
        <w:rPr>
          <w:i/>
          <w:sz w:val="22"/>
          <w:szCs w:val="22"/>
          <w:lang w:val="lt-LT"/>
        </w:rPr>
        <w:t>Althaea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o</w:t>
      </w:r>
      <w:r>
        <w:rPr>
          <w:i/>
          <w:sz w:val="22"/>
          <w:szCs w:val="22"/>
          <w:lang w:val="lt-LT"/>
        </w:rPr>
        <w:t>f</w:t>
      </w:r>
      <w:r w:rsidRPr="00017C0D">
        <w:rPr>
          <w:i/>
          <w:sz w:val="22"/>
          <w:szCs w:val="22"/>
          <w:lang w:val="lt-LT"/>
        </w:rPr>
        <w:t>ficinalis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r w:rsidRPr="00017C0D">
        <w:rPr>
          <w:sz w:val="22"/>
          <w:szCs w:val="22"/>
          <w:lang w:val="lt-LT"/>
        </w:rPr>
        <w:t xml:space="preserve">L., </w:t>
      </w:r>
      <w:proofErr w:type="spellStart"/>
      <w:r w:rsidRPr="00017C0D">
        <w:rPr>
          <w:sz w:val="22"/>
          <w:szCs w:val="22"/>
          <w:lang w:val="lt-LT"/>
        </w:rPr>
        <w:t>radix</w:t>
      </w:r>
      <w:proofErr w:type="spellEnd"/>
      <w:r w:rsidRPr="00017C0D">
        <w:rPr>
          <w:sz w:val="22"/>
          <w:szCs w:val="22"/>
          <w:lang w:val="lt-LT"/>
        </w:rPr>
        <w:t xml:space="preserve"> (</w:t>
      </w:r>
      <w:proofErr w:type="spellStart"/>
      <w:r w:rsidRPr="00017C0D">
        <w:rPr>
          <w:sz w:val="22"/>
          <w:szCs w:val="22"/>
          <w:lang w:val="lt-LT"/>
        </w:rPr>
        <w:t>svilarožių</w:t>
      </w:r>
      <w:proofErr w:type="spellEnd"/>
      <w:r w:rsidRPr="00017C0D">
        <w:rPr>
          <w:sz w:val="22"/>
          <w:szCs w:val="22"/>
          <w:lang w:val="lt-LT"/>
        </w:rPr>
        <w:t xml:space="preserve"> šaknų), 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3 mg </w:t>
      </w:r>
      <w:proofErr w:type="spellStart"/>
      <w:r w:rsidRPr="00017C0D">
        <w:rPr>
          <w:sz w:val="22"/>
          <w:szCs w:val="22"/>
          <w:lang w:val="lt-LT"/>
        </w:rPr>
        <w:t>Matricaria</w:t>
      </w:r>
      <w:proofErr w:type="spellEnd"/>
      <w:r w:rsidRPr="00017C0D">
        <w:rPr>
          <w:sz w:val="22"/>
          <w:szCs w:val="22"/>
          <w:lang w:val="lt-LT"/>
        </w:rPr>
        <w:t xml:space="preserve"> </w:t>
      </w:r>
      <w:proofErr w:type="spellStart"/>
      <w:r w:rsidRPr="00017C0D">
        <w:rPr>
          <w:sz w:val="22"/>
          <w:szCs w:val="22"/>
          <w:lang w:val="lt-LT"/>
        </w:rPr>
        <w:t>recutita</w:t>
      </w:r>
      <w:proofErr w:type="spellEnd"/>
      <w:r w:rsidRPr="00017C0D">
        <w:rPr>
          <w:sz w:val="22"/>
          <w:szCs w:val="22"/>
          <w:lang w:val="lt-LT"/>
        </w:rPr>
        <w:t xml:space="preserve"> </w:t>
      </w:r>
      <w:r w:rsidRPr="00017C0D">
        <w:rPr>
          <w:i/>
          <w:sz w:val="22"/>
          <w:szCs w:val="22"/>
          <w:lang w:val="lt-LT"/>
        </w:rPr>
        <w:t>L.(</w:t>
      </w:r>
      <w:proofErr w:type="spellStart"/>
      <w:r w:rsidRPr="00017C0D">
        <w:rPr>
          <w:i/>
          <w:sz w:val="22"/>
          <w:szCs w:val="22"/>
          <w:lang w:val="lt-LT"/>
        </w:rPr>
        <w:t>Chamomilla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recutita</w:t>
      </w:r>
      <w:proofErr w:type="spellEnd"/>
      <w:r w:rsidRPr="00017C0D">
        <w:rPr>
          <w:i/>
          <w:sz w:val="22"/>
          <w:szCs w:val="22"/>
          <w:lang w:val="lt-LT"/>
        </w:rPr>
        <w:t xml:space="preserve"> (</w:t>
      </w:r>
      <w:r w:rsidRPr="00017C0D">
        <w:rPr>
          <w:sz w:val="22"/>
          <w:szCs w:val="22"/>
          <w:lang w:val="lt-LT"/>
        </w:rPr>
        <w:t>L)</w:t>
      </w:r>
      <w:r w:rsidRPr="00017C0D">
        <w:rPr>
          <w:i/>
          <w:sz w:val="22"/>
          <w:szCs w:val="22"/>
          <w:lang w:val="lt-LT"/>
        </w:rPr>
        <w:t xml:space="preserve">, </w:t>
      </w:r>
      <w:proofErr w:type="spellStart"/>
      <w:r w:rsidRPr="00017C0D">
        <w:rPr>
          <w:i/>
          <w:sz w:val="22"/>
          <w:szCs w:val="22"/>
          <w:lang w:val="lt-LT"/>
        </w:rPr>
        <w:t>Rauschert</w:t>
      </w:r>
      <w:proofErr w:type="spellEnd"/>
      <w:r w:rsidRPr="00017C0D">
        <w:rPr>
          <w:i/>
          <w:sz w:val="22"/>
          <w:szCs w:val="22"/>
          <w:lang w:val="lt-LT"/>
        </w:rPr>
        <w:t xml:space="preserve">), </w:t>
      </w:r>
      <w:proofErr w:type="spellStart"/>
      <w:r w:rsidRPr="00017C0D">
        <w:rPr>
          <w:sz w:val="22"/>
          <w:szCs w:val="22"/>
          <w:lang w:val="lt-LT"/>
        </w:rPr>
        <w:t>flos</w:t>
      </w:r>
      <w:proofErr w:type="spellEnd"/>
      <w:r w:rsidRPr="00017C0D">
        <w:rPr>
          <w:sz w:val="22"/>
          <w:szCs w:val="22"/>
          <w:lang w:val="lt-LT"/>
        </w:rPr>
        <w:t xml:space="preserve"> (ramunėlių žiedų),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5 mg </w:t>
      </w:r>
      <w:proofErr w:type="spellStart"/>
      <w:r w:rsidRPr="00017C0D">
        <w:rPr>
          <w:i/>
          <w:sz w:val="22"/>
          <w:szCs w:val="22"/>
          <w:lang w:val="lt-LT"/>
        </w:rPr>
        <w:t>Equisetum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arvense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r w:rsidRPr="00017C0D">
        <w:rPr>
          <w:sz w:val="22"/>
          <w:szCs w:val="22"/>
          <w:lang w:val="lt-LT"/>
        </w:rPr>
        <w:t>L</w:t>
      </w:r>
      <w:r w:rsidRPr="00017C0D">
        <w:rPr>
          <w:i/>
          <w:sz w:val="22"/>
          <w:szCs w:val="22"/>
          <w:lang w:val="lt-LT"/>
        </w:rPr>
        <w:t xml:space="preserve">., </w:t>
      </w:r>
      <w:proofErr w:type="spellStart"/>
      <w:r w:rsidRPr="00017C0D">
        <w:rPr>
          <w:sz w:val="22"/>
          <w:szCs w:val="22"/>
          <w:lang w:val="lt-LT"/>
        </w:rPr>
        <w:t>herba</w:t>
      </w:r>
      <w:proofErr w:type="spellEnd"/>
      <w:r w:rsidRPr="00017C0D">
        <w:rPr>
          <w:sz w:val="22"/>
          <w:szCs w:val="22"/>
          <w:lang w:val="lt-LT"/>
        </w:rPr>
        <w:t xml:space="preserve"> (asiūklių žolės),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4 mg </w:t>
      </w:r>
      <w:proofErr w:type="spellStart"/>
      <w:r w:rsidRPr="00017C0D">
        <w:rPr>
          <w:i/>
          <w:sz w:val="22"/>
          <w:szCs w:val="22"/>
          <w:lang w:val="lt-LT"/>
        </w:rPr>
        <w:t>Juglans</w:t>
      </w:r>
      <w:proofErr w:type="spellEnd"/>
      <w:r w:rsidRPr="00017C0D">
        <w:rPr>
          <w:i/>
          <w:sz w:val="22"/>
          <w:szCs w:val="22"/>
          <w:lang w:val="lt-LT"/>
        </w:rPr>
        <w:t xml:space="preserve"> regia </w:t>
      </w:r>
      <w:r w:rsidRPr="00017C0D">
        <w:rPr>
          <w:sz w:val="22"/>
          <w:szCs w:val="22"/>
          <w:lang w:val="lt-LT"/>
        </w:rPr>
        <w:t xml:space="preserve">L., </w:t>
      </w:r>
      <w:proofErr w:type="spellStart"/>
      <w:r w:rsidRPr="00017C0D">
        <w:rPr>
          <w:sz w:val="22"/>
          <w:szCs w:val="22"/>
          <w:lang w:val="lt-LT"/>
        </w:rPr>
        <w:t>folium</w:t>
      </w:r>
      <w:proofErr w:type="spellEnd"/>
      <w:r w:rsidRPr="00017C0D">
        <w:rPr>
          <w:sz w:val="22"/>
          <w:szCs w:val="22"/>
          <w:lang w:val="lt-LT"/>
        </w:rPr>
        <w:t xml:space="preserve"> (riešutmedžių lapų),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4 mg </w:t>
      </w:r>
      <w:proofErr w:type="spellStart"/>
      <w:r w:rsidRPr="00017C0D">
        <w:rPr>
          <w:i/>
          <w:sz w:val="22"/>
          <w:szCs w:val="22"/>
          <w:lang w:val="lt-LT"/>
        </w:rPr>
        <w:t>Achillea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millefolium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r w:rsidRPr="00017C0D">
        <w:rPr>
          <w:sz w:val="22"/>
          <w:szCs w:val="22"/>
          <w:lang w:val="lt-LT"/>
        </w:rPr>
        <w:t>L</w:t>
      </w:r>
      <w:r w:rsidRPr="00017C0D">
        <w:rPr>
          <w:i/>
          <w:sz w:val="22"/>
          <w:szCs w:val="22"/>
          <w:lang w:val="lt-LT"/>
        </w:rPr>
        <w:t>.,</w:t>
      </w:r>
      <w:r w:rsidRPr="00017C0D">
        <w:rPr>
          <w:sz w:val="22"/>
          <w:szCs w:val="22"/>
          <w:lang w:val="lt-LT"/>
        </w:rPr>
        <w:t xml:space="preserve"> </w:t>
      </w:r>
      <w:proofErr w:type="spellStart"/>
      <w:r w:rsidRPr="00017C0D">
        <w:rPr>
          <w:sz w:val="22"/>
          <w:szCs w:val="22"/>
          <w:lang w:val="lt-LT"/>
        </w:rPr>
        <w:t>herba</w:t>
      </w:r>
      <w:proofErr w:type="spellEnd"/>
      <w:r w:rsidRPr="00017C0D">
        <w:rPr>
          <w:sz w:val="22"/>
          <w:szCs w:val="22"/>
          <w:lang w:val="lt-LT"/>
        </w:rPr>
        <w:t xml:space="preserve"> (</w:t>
      </w:r>
      <w:proofErr w:type="spellStart"/>
      <w:r w:rsidRPr="00017C0D">
        <w:rPr>
          <w:sz w:val="22"/>
          <w:szCs w:val="22"/>
          <w:lang w:val="lt-LT"/>
        </w:rPr>
        <w:t>kraujažolių</w:t>
      </w:r>
      <w:proofErr w:type="spellEnd"/>
      <w:r w:rsidRPr="00017C0D">
        <w:rPr>
          <w:sz w:val="22"/>
          <w:szCs w:val="22"/>
          <w:lang w:val="lt-LT"/>
        </w:rPr>
        <w:t xml:space="preserve"> žolės),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2 mg </w:t>
      </w:r>
      <w:proofErr w:type="spellStart"/>
      <w:r w:rsidRPr="00017C0D">
        <w:rPr>
          <w:i/>
          <w:sz w:val="22"/>
          <w:szCs w:val="22"/>
          <w:lang w:val="lt-LT"/>
        </w:rPr>
        <w:t>Quercus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robur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r w:rsidRPr="00017C0D">
        <w:rPr>
          <w:sz w:val="22"/>
          <w:szCs w:val="22"/>
          <w:lang w:val="lt-LT"/>
        </w:rPr>
        <w:t>L</w:t>
      </w:r>
      <w:r w:rsidRPr="00017C0D">
        <w:rPr>
          <w:i/>
          <w:sz w:val="22"/>
          <w:szCs w:val="22"/>
          <w:lang w:val="lt-LT"/>
        </w:rPr>
        <w:t xml:space="preserve">.,Q. </w:t>
      </w:r>
      <w:proofErr w:type="spellStart"/>
      <w:r w:rsidRPr="00017C0D">
        <w:rPr>
          <w:i/>
          <w:sz w:val="22"/>
          <w:szCs w:val="22"/>
          <w:lang w:val="lt-LT"/>
        </w:rPr>
        <w:t>petraea</w:t>
      </w:r>
      <w:proofErr w:type="spellEnd"/>
      <w:r w:rsidRPr="00017C0D">
        <w:rPr>
          <w:i/>
          <w:sz w:val="22"/>
          <w:szCs w:val="22"/>
          <w:lang w:val="lt-LT"/>
        </w:rPr>
        <w:t xml:space="preserve"> (</w:t>
      </w:r>
      <w:proofErr w:type="spellStart"/>
      <w:r w:rsidRPr="00017C0D">
        <w:rPr>
          <w:i/>
          <w:sz w:val="22"/>
          <w:szCs w:val="22"/>
          <w:lang w:val="lt-LT"/>
        </w:rPr>
        <w:t>Matt</w:t>
      </w:r>
      <w:proofErr w:type="spellEnd"/>
      <w:r w:rsidRPr="00017C0D">
        <w:rPr>
          <w:i/>
          <w:sz w:val="22"/>
          <w:szCs w:val="22"/>
          <w:lang w:val="lt-LT"/>
        </w:rPr>
        <w:t xml:space="preserve">.) </w:t>
      </w:r>
      <w:proofErr w:type="spellStart"/>
      <w:r w:rsidRPr="00017C0D">
        <w:rPr>
          <w:sz w:val="22"/>
          <w:szCs w:val="22"/>
          <w:lang w:val="lt-LT"/>
        </w:rPr>
        <w:t>Liebl</w:t>
      </w:r>
      <w:proofErr w:type="spellEnd"/>
      <w:r w:rsidRPr="00017C0D">
        <w:rPr>
          <w:sz w:val="22"/>
          <w:szCs w:val="22"/>
          <w:lang w:val="lt-LT"/>
        </w:rPr>
        <w:t xml:space="preserve">. ir </w:t>
      </w:r>
      <w:r w:rsidRPr="00017C0D">
        <w:rPr>
          <w:i/>
          <w:sz w:val="22"/>
          <w:szCs w:val="22"/>
          <w:lang w:val="lt-LT"/>
        </w:rPr>
        <w:t>Q</w:t>
      </w:r>
      <w:r w:rsidRPr="00017C0D">
        <w:rPr>
          <w:sz w:val="22"/>
          <w:szCs w:val="22"/>
          <w:lang w:val="lt-LT"/>
        </w:rPr>
        <w:t xml:space="preserve">. </w:t>
      </w:r>
      <w:proofErr w:type="spellStart"/>
      <w:r w:rsidRPr="00017C0D">
        <w:rPr>
          <w:i/>
          <w:sz w:val="22"/>
          <w:szCs w:val="22"/>
          <w:lang w:val="lt-LT"/>
        </w:rPr>
        <w:t>pubescens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Willd</w:t>
      </w:r>
      <w:proofErr w:type="spellEnd"/>
      <w:r w:rsidRPr="00017C0D">
        <w:rPr>
          <w:i/>
          <w:sz w:val="22"/>
          <w:szCs w:val="22"/>
          <w:lang w:val="lt-LT"/>
        </w:rPr>
        <w:t xml:space="preserve">., </w:t>
      </w:r>
      <w:proofErr w:type="spellStart"/>
      <w:r w:rsidRPr="00017C0D">
        <w:rPr>
          <w:sz w:val="22"/>
          <w:szCs w:val="22"/>
          <w:lang w:val="lt-LT"/>
        </w:rPr>
        <w:t>cortex</w:t>
      </w:r>
      <w:proofErr w:type="spellEnd"/>
      <w:r w:rsidRPr="00017C0D">
        <w:rPr>
          <w:sz w:val="22"/>
          <w:szCs w:val="22"/>
          <w:lang w:val="lt-LT"/>
        </w:rPr>
        <w:t xml:space="preserve"> (ąžuolų žievės),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4 mg </w:t>
      </w:r>
      <w:proofErr w:type="spellStart"/>
      <w:r w:rsidRPr="00017C0D">
        <w:rPr>
          <w:i/>
          <w:sz w:val="22"/>
          <w:szCs w:val="22"/>
          <w:lang w:val="lt-LT"/>
        </w:rPr>
        <w:t>Taraxacum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i/>
          <w:sz w:val="22"/>
          <w:szCs w:val="22"/>
          <w:lang w:val="lt-LT"/>
        </w:rPr>
        <w:t>officinale</w:t>
      </w:r>
      <w:proofErr w:type="spellEnd"/>
      <w:r w:rsidRPr="00017C0D">
        <w:rPr>
          <w:i/>
          <w:sz w:val="22"/>
          <w:szCs w:val="22"/>
          <w:lang w:val="lt-LT"/>
        </w:rPr>
        <w:t xml:space="preserve"> </w:t>
      </w:r>
      <w:proofErr w:type="spellStart"/>
      <w:r w:rsidRPr="00017C0D">
        <w:rPr>
          <w:sz w:val="22"/>
          <w:szCs w:val="22"/>
          <w:lang w:val="lt-LT"/>
        </w:rPr>
        <w:t>F.H.Wigg</w:t>
      </w:r>
      <w:proofErr w:type="spellEnd"/>
      <w:r w:rsidRPr="00017C0D">
        <w:rPr>
          <w:sz w:val="22"/>
          <w:szCs w:val="22"/>
          <w:lang w:val="lt-LT"/>
        </w:rPr>
        <w:t xml:space="preserve">., </w:t>
      </w:r>
      <w:proofErr w:type="spellStart"/>
      <w:r w:rsidRPr="00017C0D">
        <w:rPr>
          <w:sz w:val="22"/>
          <w:szCs w:val="22"/>
          <w:lang w:val="lt-LT"/>
        </w:rPr>
        <w:t>herba</w:t>
      </w:r>
      <w:proofErr w:type="spellEnd"/>
      <w:r w:rsidRPr="00017C0D">
        <w:rPr>
          <w:sz w:val="22"/>
          <w:szCs w:val="22"/>
          <w:lang w:val="lt-LT"/>
        </w:rPr>
        <w:t xml:space="preserve"> (kiaulpienių žolės). 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Ekstrakcijos tirpiklis: 59 % (V/V) etanolis.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-</w:t>
      </w:r>
      <w:r w:rsidRPr="00017C0D">
        <w:rPr>
          <w:sz w:val="22"/>
          <w:szCs w:val="22"/>
          <w:lang w:val="lt-LT"/>
        </w:rPr>
        <w:tab/>
        <w:t>Pagalbinės medžiagos yra etanolis (96 %), išgrynintas vanduo.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b/>
          <w:sz w:val="22"/>
          <w:szCs w:val="22"/>
          <w:lang w:val="lt-LT"/>
        </w:rPr>
      </w:pPr>
      <w:proofErr w:type="spellStart"/>
      <w:r w:rsidRPr="00017C0D">
        <w:rPr>
          <w:b/>
          <w:sz w:val="22"/>
          <w:szCs w:val="22"/>
          <w:lang w:val="lt-LT"/>
        </w:rPr>
        <w:t>Tonsilgon</w:t>
      </w:r>
      <w:proofErr w:type="spellEnd"/>
      <w:r w:rsidRPr="00017C0D">
        <w:rPr>
          <w:b/>
          <w:sz w:val="22"/>
          <w:szCs w:val="22"/>
          <w:lang w:val="lt-LT"/>
        </w:rPr>
        <w:t xml:space="preserve"> N</w:t>
      </w:r>
      <w:r w:rsidRPr="00017C0D">
        <w:rPr>
          <w:b/>
          <w:bCs/>
          <w:sz w:val="22"/>
          <w:szCs w:val="22"/>
          <w:lang w:val="lt-LT"/>
        </w:rPr>
        <w:t xml:space="preserve"> išvaizda ir kiekis pakuotėje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Skaidrus ar šiek tiek drumstas, gelsvai rudas, ramunėlių kvapo ir skonio skystis.</w:t>
      </w:r>
    </w:p>
    <w:p w:rsidR="008A2B5D" w:rsidRPr="00017C0D" w:rsidRDefault="008A2B5D" w:rsidP="008A2B5D">
      <w:pPr>
        <w:tabs>
          <w:tab w:val="left" w:pos="0"/>
        </w:tabs>
        <w:rPr>
          <w:noProof/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Tonsilgon</w:t>
      </w:r>
      <w:proofErr w:type="spellEnd"/>
      <w:r w:rsidRPr="00017C0D">
        <w:rPr>
          <w:sz w:val="22"/>
          <w:szCs w:val="22"/>
          <w:lang w:val="lt-LT"/>
        </w:rPr>
        <w:t> N geriamieji lašai tiekiami buteliukuose su lašintuvu. Kartono dėžutėje yra vienas buteliukas, kuriame yra 50 ml geriamųjų lašų.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b/>
          <w:sz w:val="22"/>
          <w:szCs w:val="22"/>
          <w:lang w:val="lt-LT"/>
        </w:rPr>
      </w:pPr>
      <w:r w:rsidRPr="00017C0D">
        <w:rPr>
          <w:b/>
          <w:sz w:val="22"/>
          <w:szCs w:val="22"/>
          <w:lang w:val="lt-LT"/>
        </w:rPr>
        <w:t>Registruotojas ir gamintojas</w:t>
      </w:r>
    </w:p>
    <w:p w:rsidR="008A2B5D" w:rsidRPr="00017C0D" w:rsidRDefault="008A2B5D" w:rsidP="008A2B5D">
      <w:pPr>
        <w:jc w:val="both"/>
        <w:rPr>
          <w:caps/>
          <w:sz w:val="22"/>
          <w:szCs w:val="22"/>
          <w:lang w:val="lt-LT"/>
        </w:rPr>
      </w:pP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caps/>
          <w:sz w:val="22"/>
          <w:szCs w:val="22"/>
          <w:lang w:val="lt-LT"/>
        </w:rPr>
        <w:t>Bionorica</w:t>
      </w:r>
      <w:r w:rsidRPr="00017C0D">
        <w:rPr>
          <w:sz w:val="22"/>
          <w:szCs w:val="22"/>
          <w:lang w:val="lt-LT"/>
        </w:rPr>
        <w:t xml:space="preserve"> SE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Kerschensteinerstrasse</w:t>
      </w:r>
      <w:proofErr w:type="spellEnd"/>
      <w:r w:rsidRPr="00017C0D">
        <w:rPr>
          <w:sz w:val="22"/>
          <w:szCs w:val="22"/>
          <w:lang w:val="lt-LT"/>
        </w:rPr>
        <w:t xml:space="preserve"> 11–15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92318 </w:t>
      </w:r>
      <w:proofErr w:type="spellStart"/>
      <w:r w:rsidRPr="00017C0D">
        <w:rPr>
          <w:sz w:val="22"/>
          <w:szCs w:val="22"/>
          <w:lang w:val="lt-LT"/>
        </w:rPr>
        <w:t>Neumarkt</w:t>
      </w:r>
      <w:proofErr w:type="spellEnd"/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Vokietija</w:t>
      </w:r>
    </w:p>
    <w:p w:rsidR="008A2B5D" w:rsidRPr="00017C0D" w:rsidRDefault="008A2B5D" w:rsidP="008A2B5D">
      <w:pPr>
        <w:jc w:val="both"/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Tel. +49-9181-23190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Faksas +49-9181-231265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Jeigu apie šį vaistą norite sužinoti daugiau, kreipkitės į vietinį registruotojo atstovą.</w:t>
      </w: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rPr>
          <w:sz w:val="22"/>
          <w:szCs w:val="22"/>
          <w:lang w:val="lt-LT"/>
        </w:rPr>
      </w:pPr>
      <w:proofErr w:type="spellStart"/>
      <w:r w:rsidRPr="00017C0D">
        <w:rPr>
          <w:sz w:val="22"/>
          <w:szCs w:val="22"/>
          <w:lang w:val="lt-LT"/>
        </w:rPr>
        <w:t>Bionorica</w:t>
      </w:r>
      <w:proofErr w:type="spellEnd"/>
      <w:r w:rsidRPr="00017C0D">
        <w:rPr>
          <w:sz w:val="22"/>
          <w:szCs w:val="22"/>
          <w:lang w:val="lt-LT"/>
        </w:rPr>
        <w:t xml:space="preserve"> Lithuania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Šiaulių g. 10–57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LT-01134 Vilnius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Lietuva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>Tel.: +370 5 2157481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  <w:r w:rsidRPr="00017C0D">
        <w:rPr>
          <w:sz w:val="22"/>
          <w:szCs w:val="22"/>
          <w:lang w:val="lt-LT"/>
        </w:rPr>
        <w:t xml:space="preserve">El. paštas: </w:t>
      </w:r>
      <w:hyperlink r:id="rId5" w:history="1">
        <w:r w:rsidRPr="00017C0D">
          <w:rPr>
            <w:rStyle w:val="Hipersaitas"/>
            <w:rFonts w:eastAsiaTheme="majorEastAsia"/>
            <w:sz w:val="22"/>
            <w:szCs w:val="22"/>
            <w:lang w:val="lt-LT"/>
          </w:rPr>
          <w:t>info@bionorica.lt</w:t>
        </w:r>
      </w:hyperlink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</w:p>
    <w:p w:rsidR="008A2B5D" w:rsidRPr="00017C0D" w:rsidRDefault="008A2B5D" w:rsidP="008A2B5D">
      <w:pPr>
        <w:tabs>
          <w:tab w:val="left" w:pos="567"/>
        </w:tabs>
        <w:rPr>
          <w:sz w:val="22"/>
          <w:szCs w:val="22"/>
          <w:lang w:val="lt-LT"/>
        </w:rPr>
      </w:pPr>
      <w:r w:rsidRPr="00017C0D">
        <w:rPr>
          <w:b/>
          <w:bCs/>
          <w:iCs/>
          <w:sz w:val="22"/>
          <w:szCs w:val="22"/>
          <w:lang w:val="lt-LT"/>
        </w:rPr>
        <w:t xml:space="preserve">Šis pakuotės lapelis paskutinį kartą peržiūrėtas </w:t>
      </w:r>
      <w:r>
        <w:rPr>
          <w:b/>
          <w:bCs/>
          <w:iCs/>
          <w:sz w:val="22"/>
          <w:szCs w:val="22"/>
          <w:lang w:val="lt-LT"/>
        </w:rPr>
        <w:t>2022-08-16.</w:t>
      </w:r>
    </w:p>
    <w:p w:rsidR="008A2B5D" w:rsidRPr="00017C0D" w:rsidRDefault="008A2B5D" w:rsidP="008A2B5D">
      <w:pPr>
        <w:rPr>
          <w:sz w:val="22"/>
          <w:szCs w:val="22"/>
          <w:lang w:val="lt-LT"/>
        </w:rPr>
      </w:pPr>
    </w:p>
    <w:p w:rsidR="008A2B5D" w:rsidRPr="00017C0D" w:rsidRDefault="008A2B5D" w:rsidP="008A2B5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lang w:val="lt-LT"/>
        </w:rPr>
      </w:pPr>
      <w:r w:rsidRPr="00017C0D">
        <w:rPr>
          <w:snapToGrid w:val="0"/>
          <w:sz w:val="22"/>
          <w:szCs w:val="20"/>
          <w:lang w:val="lt-LT"/>
        </w:rPr>
        <w:t xml:space="preserve">Išsami informacija apie šį </w:t>
      </w:r>
      <w:r w:rsidRPr="00017C0D">
        <w:rPr>
          <w:snapToGrid w:val="0"/>
          <w:sz w:val="22"/>
          <w:lang w:val="lt-LT"/>
        </w:rPr>
        <w:t>vaistą</w:t>
      </w:r>
      <w:r w:rsidRPr="00017C0D">
        <w:rPr>
          <w:snapToGrid w:val="0"/>
          <w:sz w:val="22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017C0D">
        <w:rPr>
          <w:i/>
          <w:snapToGrid w:val="0"/>
          <w:sz w:val="22"/>
          <w:lang w:val="lt-LT"/>
        </w:rPr>
        <w:t xml:space="preserve"> </w:t>
      </w:r>
      <w:hyperlink r:id="rId6" w:history="1">
        <w:r w:rsidRPr="00017C0D">
          <w:rPr>
            <w:rFonts w:eastAsia="SimSun"/>
            <w:snapToGrid w:val="0"/>
            <w:color w:val="0000FF"/>
            <w:sz w:val="22"/>
            <w:szCs w:val="20"/>
            <w:u w:val="single"/>
            <w:lang w:val="lt-LT"/>
          </w:rPr>
          <w:t>http://www.vvkt.lt/</w:t>
        </w:r>
      </w:hyperlink>
      <w:r w:rsidRPr="00017C0D">
        <w:rPr>
          <w:snapToGrid w:val="0"/>
          <w:sz w:val="22"/>
          <w:szCs w:val="20"/>
          <w:lang w:val="lt-LT"/>
        </w:rPr>
        <w:t>.</w:t>
      </w: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4D2F52D1"/>
    <w:multiLevelType w:val="hybridMultilevel"/>
    <w:tmpl w:val="C876D100"/>
    <w:lvl w:ilvl="0" w:tplc="FEDE1D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D"/>
    <w:rsid w:val="00234094"/>
    <w:rsid w:val="002A211A"/>
    <w:rsid w:val="008A2B5D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9577-6756-4A11-958C-16425F08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B5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8A2B5D"/>
    <w:rPr>
      <w:color w:val="0000FF"/>
      <w:u w:val="single"/>
    </w:rPr>
  </w:style>
  <w:style w:type="table" w:styleId="Lentelstinklelis">
    <w:name w:val="Table Grid"/>
    <w:basedOn w:val="prastojilentel"/>
    <w:rsid w:val="008A2B5D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5" Type="http://schemas.openxmlformats.org/officeDocument/2006/relationships/hyperlink" Target="mailto:info@bionoric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5589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2022-08-17T05:37:00Z</dcterms:created>
  <dcterms:modified xsi:type="dcterms:W3CDTF">2022-08-17T05:38:00Z</dcterms:modified>
</cp:coreProperties>
</file>