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F30" w:rsidRPr="00B34FA1" w:rsidRDefault="002B7F30" w:rsidP="002B7F30">
      <w:pPr>
        <w:pStyle w:val="Antrat2"/>
        <w:spacing w:before="0" w:after="0" w:line="240" w:lineRule="auto"/>
        <w:jc w:val="center"/>
        <w:rPr>
          <w:rFonts w:ascii="Times New Roman" w:hAnsi="Times New Roman"/>
          <w:bCs w:val="0"/>
          <w:i w:val="0"/>
          <w:iCs w:val="0"/>
          <w:sz w:val="22"/>
          <w:szCs w:val="24"/>
          <w:lang w:val="lt-LT"/>
        </w:rPr>
      </w:pPr>
      <w:bookmarkStart w:id="0" w:name="_Hlk87043844"/>
      <w:r w:rsidRPr="00B34FA1">
        <w:rPr>
          <w:rFonts w:ascii="Times New Roman" w:hAnsi="Times New Roman"/>
          <w:i w:val="0"/>
          <w:sz w:val="22"/>
          <w:lang w:val="lt-LT"/>
        </w:rPr>
        <w:t>Pakuotės lapelis:</w:t>
      </w:r>
      <w:r w:rsidRPr="00B34FA1">
        <w:rPr>
          <w:rFonts w:ascii="Times New Roman" w:hAnsi="Times New Roman"/>
          <w:bCs w:val="0"/>
          <w:i w:val="0"/>
          <w:iCs w:val="0"/>
          <w:sz w:val="22"/>
          <w:szCs w:val="24"/>
          <w:lang w:val="lt-LT"/>
        </w:rPr>
        <w:t xml:space="preserve"> </w:t>
      </w:r>
      <w:r>
        <w:rPr>
          <w:rFonts w:ascii="Times New Roman" w:hAnsi="Times New Roman"/>
          <w:i w:val="0"/>
          <w:sz w:val="22"/>
          <w:lang w:val="lt-LT"/>
        </w:rPr>
        <w:t xml:space="preserve">informacija </w:t>
      </w:r>
      <w:r w:rsidRPr="00B34FA1">
        <w:rPr>
          <w:rFonts w:ascii="Times New Roman" w:hAnsi="Times New Roman"/>
          <w:i w:val="0"/>
          <w:sz w:val="22"/>
          <w:lang w:val="lt-LT"/>
        </w:rPr>
        <w:t>pacientui</w:t>
      </w:r>
    </w:p>
    <w:bookmarkEnd w:id="0"/>
    <w:p w:rsidR="002B7F30" w:rsidRPr="005C01ED" w:rsidRDefault="002B7F30" w:rsidP="002B7F30">
      <w:pPr>
        <w:pStyle w:val="TTEMEASMCA"/>
        <w:rPr>
          <w:sz w:val="22"/>
          <w:szCs w:val="22"/>
          <w:lang w:val="lt-LT"/>
        </w:rPr>
      </w:pPr>
    </w:p>
    <w:p w:rsidR="002B7F30" w:rsidRPr="005C01ED" w:rsidRDefault="002B7F30" w:rsidP="002B7F30">
      <w:pPr>
        <w:pStyle w:val="BTEMEASMCA"/>
        <w:jc w:val="center"/>
        <w:rPr>
          <w:sz w:val="22"/>
          <w:szCs w:val="22"/>
        </w:rPr>
      </w:pPr>
    </w:p>
    <w:p w:rsidR="002B7F30" w:rsidRPr="005C01ED" w:rsidRDefault="002B7F30" w:rsidP="002B7F30">
      <w:pPr>
        <w:pStyle w:val="BTEMEASMCA"/>
        <w:jc w:val="center"/>
        <w:rPr>
          <w:b/>
          <w:sz w:val="22"/>
          <w:szCs w:val="22"/>
        </w:rPr>
      </w:pPr>
      <w:r w:rsidRPr="005C01ED">
        <w:rPr>
          <w:b/>
          <w:sz w:val="22"/>
          <w:szCs w:val="22"/>
        </w:rPr>
        <w:t>Clindamycin-MIP 300 mg  plėvele dengtos tabletės</w:t>
      </w:r>
    </w:p>
    <w:p w:rsidR="002B7F30" w:rsidRPr="005C01ED" w:rsidRDefault="002B7F30" w:rsidP="002B7F30">
      <w:pPr>
        <w:pStyle w:val="BTEMEASMCA"/>
        <w:jc w:val="center"/>
        <w:rPr>
          <w:b/>
          <w:sz w:val="22"/>
          <w:szCs w:val="22"/>
        </w:rPr>
      </w:pPr>
      <w:r w:rsidRPr="005C01ED">
        <w:rPr>
          <w:b/>
          <w:sz w:val="22"/>
          <w:szCs w:val="22"/>
        </w:rPr>
        <w:t>Clindamycin-MIP 600 mg  plėvele dengtos tabletės</w:t>
      </w:r>
    </w:p>
    <w:p w:rsidR="002B7F30" w:rsidRPr="005C01ED" w:rsidRDefault="002B7F30" w:rsidP="002B7F30">
      <w:pPr>
        <w:pStyle w:val="BTeEMEASMCA"/>
        <w:rPr>
          <w:sz w:val="22"/>
          <w:szCs w:val="22"/>
        </w:rPr>
      </w:pPr>
      <w:r>
        <w:rPr>
          <w:sz w:val="22"/>
          <w:szCs w:val="22"/>
        </w:rPr>
        <w:t>k</w:t>
      </w:r>
      <w:r w:rsidRPr="005C01ED">
        <w:rPr>
          <w:sz w:val="22"/>
          <w:szCs w:val="22"/>
        </w:rPr>
        <w:t>lindamicinas</w:t>
      </w:r>
    </w:p>
    <w:p w:rsidR="002B7F30" w:rsidRDefault="002B7F30" w:rsidP="002B7F30">
      <w:pPr>
        <w:pStyle w:val="Antrat2"/>
        <w:spacing w:before="0" w:after="0" w:line="240" w:lineRule="auto"/>
        <w:jc w:val="center"/>
        <w:rPr>
          <w:rFonts w:ascii="Times New Roman" w:hAnsi="Times New Roman"/>
          <w:i w:val="0"/>
          <w:sz w:val="22"/>
          <w:lang w:val="lt-LT"/>
        </w:rPr>
      </w:pPr>
    </w:p>
    <w:p w:rsidR="002B7F30" w:rsidRPr="002F30D6" w:rsidRDefault="002B7F30" w:rsidP="002B7F30">
      <w:pPr>
        <w:tabs>
          <w:tab w:val="clear" w:pos="567"/>
        </w:tabs>
        <w:spacing w:line="240" w:lineRule="auto"/>
        <w:rPr>
          <w:szCs w:val="24"/>
          <w:lang w:val="lt-LT"/>
        </w:rPr>
      </w:pPr>
    </w:p>
    <w:p w:rsidR="002B7F30" w:rsidRPr="002F30D6" w:rsidRDefault="002B7F30" w:rsidP="002B7F30">
      <w:pPr>
        <w:pStyle w:val="BTbEMEASMCA"/>
        <w:rPr>
          <w:sz w:val="22"/>
          <w:szCs w:val="22"/>
        </w:rPr>
      </w:pPr>
      <w:r w:rsidRPr="002F30D6">
        <w:rPr>
          <w:sz w:val="22"/>
          <w:szCs w:val="22"/>
        </w:rPr>
        <w:t>Atidžiai perskaitykite visą šį lapelį, prieš pradėdami vartoti vaistą, nes jame pateikiama Jums svarbi informacija.</w:t>
      </w:r>
    </w:p>
    <w:p w:rsidR="002B7F30" w:rsidRPr="009E42F2" w:rsidRDefault="002B7F30" w:rsidP="002B7F30">
      <w:pPr>
        <w:numPr>
          <w:ilvl w:val="0"/>
          <w:numId w:val="1"/>
        </w:numPr>
        <w:tabs>
          <w:tab w:val="clear" w:pos="567"/>
        </w:tabs>
        <w:spacing w:line="240" w:lineRule="auto"/>
        <w:rPr>
          <w:szCs w:val="22"/>
          <w:lang w:val="lt-LT"/>
        </w:rPr>
      </w:pPr>
      <w:r w:rsidRPr="009E42F2">
        <w:rPr>
          <w:szCs w:val="22"/>
          <w:lang w:val="lt-LT"/>
        </w:rPr>
        <w:t>Neišmeskite šio lapelio, nes vėl gali prireikti jį perskaityti.</w:t>
      </w:r>
    </w:p>
    <w:p w:rsidR="002B7F30" w:rsidRPr="009E42F2" w:rsidRDefault="002B7F30" w:rsidP="002B7F30">
      <w:pPr>
        <w:numPr>
          <w:ilvl w:val="0"/>
          <w:numId w:val="1"/>
        </w:numPr>
        <w:tabs>
          <w:tab w:val="clear" w:pos="567"/>
        </w:tabs>
        <w:spacing w:line="240" w:lineRule="auto"/>
        <w:rPr>
          <w:szCs w:val="22"/>
          <w:lang w:val="lt-LT"/>
        </w:rPr>
      </w:pPr>
      <w:r w:rsidRPr="009E42F2">
        <w:rPr>
          <w:szCs w:val="22"/>
          <w:lang w:val="lt-LT"/>
        </w:rPr>
        <w:t>Jeigu kiltų daugiau klausimų, kreipkitės į gydytoją arba vaistininką.</w:t>
      </w:r>
    </w:p>
    <w:p w:rsidR="002B7F30" w:rsidRPr="009E42F2" w:rsidRDefault="002B7F30" w:rsidP="002B7F30">
      <w:pPr>
        <w:numPr>
          <w:ilvl w:val="0"/>
          <w:numId w:val="1"/>
        </w:numPr>
        <w:tabs>
          <w:tab w:val="clear" w:pos="567"/>
        </w:tabs>
        <w:spacing w:line="240" w:lineRule="auto"/>
        <w:rPr>
          <w:szCs w:val="22"/>
          <w:lang w:val="lt-LT"/>
        </w:rPr>
      </w:pPr>
      <w:r w:rsidRPr="009E42F2">
        <w:rPr>
          <w:szCs w:val="22"/>
          <w:lang w:val="lt-LT"/>
        </w:rPr>
        <w:t>Šis vaistas skirtas tik Jums, todėl kitiems žmonėms jo duoti negalima. Vaistas gali jiems pakenkti (net tiems, kurių ligos požymiai yra tokie patys kaip Jūsų).</w:t>
      </w:r>
    </w:p>
    <w:p w:rsidR="002B7F30" w:rsidRPr="009E42F2" w:rsidRDefault="002B7F30" w:rsidP="002B7F30">
      <w:pPr>
        <w:numPr>
          <w:ilvl w:val="0"/>
          <w:numId w:val="1"/>
        </w:numPr>
        <w:tabs>
          <w:tab w:val="clear" w:pos="567"/>
        </w:tabs>
        <w:spacing w:line="240" w:lineRule="auto"/>
        <w:rPr>
          <w:szCs w:val="22"/>
          <w:lang w:val="lt-LT"/>
        </w:rPr>
      </w:pPr>
      <w:r w:rsidRPr="009E42F2">
        <w:rPr>
          <w:szCs w:val="22"/>
          <w:lang w:val="lt-LT"/>
        </w:rPr>
        <w:t>Jeigu pasireiškė šalutinis poveikis (net jeigu jis šiame lapelyje nenurodytas), kreipkitės į gydytoj</w:t>
      </w:r>
      <w:r>
        <w:rPr>
          <w:szCs w:val="22"/>
          <w:lang w:val="lt-LT"/>
        </w:rPr>
        <w:t>ą</w:t>
      </w:r>
      <w:r w:rsidRPr="009E42F2">
        <w:rPr>
          <w:szCs w:val="22"/>
          <w:lang w:val="lt-LT"/>
        </w:rPr>
        <w:t xml:space="preserve"> arba vaistinink</w:t>
      </w:r>
      <w:r>
        <w:rPr>
          <w:szCs w:val="22"/>
          <w:lang w:val="lt-LT"/>
        </w:rPr>
        <w:t>ą</w:t>
      </w:r>
      <w:r w:rsidRPr="009E42F2">
        <w:rPr>
          <w:szCs w:val="22"/>
          <w:lang w:val="lt-LT"/>
        </w:rPr>
        <w:t>. Žr. 4 skyrių.</w:t>
      </w:r>
    </w:p>
    <w:p w:rsidR="002B7F30" w:rsidRPr="00B34FA1" w:rsidRDefault="002B7F30" w:rsidP="002B7F30">
      <w:pPr>
        <w:tabs>
          <w:tab w:val="clear" w:pos="567"/>
        </w:tabs>
        <w:spacing w:line="240" w:lineRule="auto"/>
        <w:ind w:right="-2"/>
        <w:rPr>
          <w:szCs w:val="24"/>
          <w:lang w:val="lt-LT"/>
        </w:rPr>
      </w:pPr>
    </w:p>
    <w:p w:rsidR="002B7F30" w:rsidRPr="00B34FA1" w:rsidRDefault="002B7F30" w:rsidP="002B7F30">
      <w:pPr>
        <w:tabs>
          <w:tab w:val="clear" w:pos="567"/>
        </w:tabs>
        <w:spacing w:line="240" w:lineRule="auto"/>
        <w:ind w:right="-2"/>
        <w:rPr>
          <w:szCs w:val="24"/>
          <w:lang w:val="lt-LT"/>
        </w:rPr>
      </w:pPr>
    </w:p>
    <w:p w:rsidR="002B7F30" w:rsidRDefault="002B7F30" w:rsidP="002B7F30">
      <w:pPr>
        <w:pStyle w:val="Antrat4"/>
        <w:rPr>
          <w:rFonts w:ascii="Times New Roman" w:hAnsi="Times New Roman"/>
          <w:sz w:val="22"/>
          <w:lang w:val="lt-LT"/>
        </w:rPr>
      </w:pPr>
      <w:r w:rsidRPr="00B34FA1">
        <w:rPr>
          <w:rFonts w:ascii="Times New Roman" w:hAnsi="Times New Roman"/>
          <w:sz w:val="22"/>
          <w:lang w:val="lt-LT"/>
        </w:rPr>
        <w:t>Apie ką rašoma šiame lapelyje?</w:t>
      </w:r>
    </w:p>
    <w:p w:rsidR="002B7F30" w:rsidRPr="002C30E4" w:rsidRDefault="002B7F30" w:rsidP="002B7F30">
      <w:pPr>
        <w:rPr>
          <w:lang w:val="lt-LT"/>
        </w:rPr>
      </w:pPr>
    </w:p>
    <w:p w:rsidR="002B7F30" w:rsidRPr="002F30D6" w:rsidRDefault="002B7F30" w:rsidP="002B7F30">
      <w:pPr>
        <w:numPr>
          <w:ilvl w:val="12"/>
          <w:numId w:val="0"/>
        </w:numPr>
        <w:tabs>
          <w:tab w:val="clear" w:pos="567"/>
          <w:tab w:val="left" w:pos="426"/>
        </w:tabs>
        <w:spacing w:line="240" w:lineRule="auto"/>
        <w:rPr>
          <w:iCs/>
          <w:szCs w:val="24"/>
          <w:lang w:val="lt-LT"/>
        </w:rPr>
      </w:pPr>
      <w:r w:rsidRPr="002F30D6">
        <w:rPr>
          <w:iCs/>
          <w:szCs w:val="24"/>
          <w:lang w:val="lt-LT"/>
        </w:rPr>
        <w:t>1.</w:t>
      </w:r>
      <w:r w:rsidRPr="002F30D6">
        <w:rPr>
          <w:iCs/>
          <w:szCs w:val="24"/>
          <w:lang w:val="lt-LT"/>
        </w:rPr>
        <w:tab/>
        <w:t xml:space="preserve">Kas yra </w:t>
      </w:r>
      <w:proofErr w:type="spellStart"/>
      <w:r w:rsidRPr="002F30D6">
        <w:rPr>
          <w:iCs/>
          <w:szCs w:val="24"/>
          <w:lang w:val="lt-LT"/>
        </w:rPr>
        <w:t>Clindamycin</w:t>
      </w:r>
      <w:proofErr w:type="spellEnd"/>
      <w:r w:rsidRPr="002F30D6">
        <w:rPr>
          <w:iCs/>
          <w:szCs w:val="24"/>
          <w:lang w:val="lt-LT"/>
        </w:rPr>
        <w:t>-MIP ir kam jis vartojamas</w:t>
      </w:r>
    </w:p>
    <w:p w:rsidR="002B7F30" w:rsidRPr="002F30D6" w:rsidRDefault="002B7F30" w:rsidP="002B7F30">
      <w:pPr>
        <w:numPr>
          <w:ilvl w:val="12"/>
          <w:numId w:val="0"/>
        </w:numPr>
        <w:tabs>
          <w:tab w:val="clear" w:pos="567"/>
          <w:tab w:val="left" w:pos="426"/>
        </w:tabs>
        <w:spacing w:line="240" w:lineRule="auto"/>
        <w:rPr>
          <w:iCs/>
          <w:szCs w:val="24"/>
          <w:lang w:val="lt-LT"/>
        </w:rPr>
      </w:pPr>
      <w:r w:rsidRPr="002F30D6">
        <w:rPr>
          <w:iCs/>
          <w:szCs w:val="24"/>
          <w:lang w:val="lt-LT"/>
        </w:rPr>
        <w:t>2.</w:t>
      </w:r>
      <w:r w:rsidRPr="002F30D6">
        <w:rPr>
          <w:iCs/>
          <w:szCs w:val="24"/>
          <w:lang w:val="lt-LT"/>
        </w:rPr>
        <w:tab/>
        <w:t xml:space="preserve">Kas žinotina prieš vartojant </w:t>
      </w:r>
      <w:proofErr w:type="spellStart"/>
      <w:r w:rsidRPr="002F30D6">
        <w:rPr>
          <w:iCs/>
          <w:szCs w:val="24"/>
          <w:lang w:val="lt-LT"/>
        </w:rPr>
        <w:t>Clindamycin</w:t>
      </w:r>
      <w:proofErr w:type="spellEnd"/>
      <w:r w:rsidRPr="002F30D6">
        <w:rPr>
          <w:iCs/>
          <w:szCs w:val="24"/>
          <w:lang w:val="lt-LT"/>
        </w:rPr>
        <w:t>-MIP</w:t>
      </w:r>
    </w:p>
    <w:p w:rsidR="002B7F30" w:rsidRPr="002F30D6" w:rsidRDefault="002B7F30" w:rsidP="002B7F30">
      <w:pPr>
        <w:numPr>
          <w:ilvl w:val="12"/>
          <w:numId w:val="0"/>
        </w:numPr>
        <w:tabs>
          <w:tab w:val="clear" w:pos="567"/>
          <w:tab w:val="left" w:pos="426"/>
        </w:tabs>
        <w:spacing w:line="240" w:lineRule="auto"/>
        <w:rPr>
          <w:iCs/>
          <w:szCs w:val="24"/>
          <w:lang w:val="lt-LT"/>
        </w:rPr>
      </w:pPr>
      <w:r w:rsidRPr="002F30D6">
        <w:rPr>
          <w:iCs/>
          <w:szCs w:val="24"/>
          <w:lang w:val="lt-LT"/>
        </w:rPr>
        <w:t>3.</w:t>
      </w:r>
      <w:r w:rsidRPr="002F30D6">
        <w:rPr>
          <w:iCs/>
          <w:szCs w:val="24"/>
          <w:lang w:val="lt-LT"/>
        </w:rPr>
        <w:tab/>
        <w:t xml:space="preserve">Kaip vartoti </w:t>
      </w:r>
      <w:proofErr w:type="spellStart"/>
      <w:r w:rsidRPr="002F30D6">
        <w:rPr>
          <w:iCs/>
          <w:szCs w:val="24"/>
          <w:lang w:val="lt-LT"/>
        </w:rPr>
        <w:t>Clindamycin</w:t>
      </w:r>
      <w:proofErr w:type="spellEnd"/>
      <w:r w:rsidRPr="002F30D6">
        <w:rPr>
          <w:iCs/>
          <w:szCs w:val="24"/>
          <w:lang w:val="lt-LT"/>
        </w:rPr>
        <w:t>-MIP</w:t>
      </w:r>
    </w:p>
    <w:p w:rsidR="002B7F30" w:rsidRPr="002F30D6" w:rsidRDefault="002B7F30" w:rsidP="002B7F30">
      <w:pPr>
        <w:numPr>
          <w:ilvl w:val="12"/>
          <w:numId w:val="0"/>
        </w:numPr>
        <w:tabs>
          <w:tab w:val="clear" w:pos="567"/>
          <w:tab w:val="left" w:pos="426"/>
        </w:tabs>
        <w:spacing w:line="240" w:lineRule="auto"/>
        <w:rPr>
          <w:iCs/>
          <w:szCs w:val="24"/>
          <w:lang w:val="lt-LT"/>
        </w:rPr>
      </w:pPr>
      <w:r w:rsidRPr="002F30D6">
        <w:rPr>
          <w:iCs/>
          <w:szCs w:val="24"/>
          <w:lang w:val="lt-LT"/>
        </w:rPr>
        <w:t>4.</w:t>
      </w:r>
      <w:r w:rsidRPr="002F30D6">
        <w:rPr>
          <w:iCs/>
          <w:szCs w:val="24"/>
          <w:lang w:val="lt-LT"/>
        </w:rPr>
        <w:tab/>
        <w:t>Galimas šalutinis poveikis</w:t>
      </w:r>
    </w:p>
    <w:p w:rsidR="002B7F30" w:rsidRPr="002F30D6" w:rsidRDefault="002B7F30" w:rsidP="002B7F30">
      <w:pPr>
        <w:numPr>
          <w:ilvl w:val="12"/>
          <w:numId w:val="0"/>
        </w:numPr>
        <w:tabs>
          <w:tab w:val="clear" w:pos="567"/>
          <w:tab w:val="left" w:pos="426"/>
        </w:tabs>
        <w:spacing w:line="240" w:lineRule="auto"/>
        <w:rPr>
          <w:iCs/>
          <w:szCs w:val="24"/>
          <w:lang w:val="lt-LT"/>
        </w:rPr>
      </w:pPr>
      <w:r w:rsidRPr="002F30D6">
        <w:rPr>
          <w:iCs/>
          <w:szCs w:val="24"/>
          <w:lang w:val="lt-LT"/>
        </w:rPr>
        <w:t>5.</w:t>
      </w:r>
      <w:r w:rsidRPr="002F30D6">
        <w:rPr>
          <w:iCs/>
          <w:szCs w:val="24"/>
          <w:lang w:val="lt-LT"/>
        </w:rPr>
        <w:tab/>
        <w:t xml:space="preserve">Kaip laikyti </w:t>
      </w:r>
      <w:proofErr w:type="spellStart"/>
      <w:r w:rsidRPr="002F30D6">
        <w:rPr>
          <w:iCs/>
          <w:szCs w:val="24"/>
          <w:lang w:val="lt-LT"/>
        </w:rPr>
        <w:t>Clindamycin</w:t>
      </w:r>
      <w:proofErr w:type="spellEnd"/>
      <w:r w:rsidRPr="002F30D6">
        <w:rPr>
          <w:iCs/>
          <w:szCs w:val="24"/>
          <w:lang w:val="lt-LT"/>
        </w:rPr>
        <w:t>-MIP</w:t>
      </w:r>
    </w:p>
    <w:p w:rsidR="002B7F30" w:rsidRPr="002F30D6" w:rsidRDefault="002B7F30" w:rsidP="002B7F30">
      <w:pPr>
        <w:numPr>
          <w:ilvl w:val="12"/>
          <w:numId w:val="0"/>
        </w:numPr>
        <w:tabs>
          <w:tab w:val="clear" w:pos="567"/>
          <w:tab w:val="left" w:pos="426"/>
        </w:tabs>
        <w:spacing w:line="240" w:lineRule="auto"/>
        <w:rPr>
          <w:iCs/>
          <w:szCs w:val="24"/>
          <w:lang w:val="lt-LT"/>
        </w:rPr>
      </w:pPr>
      <w:r w:rsidRPr="002F30D6">
        <w:rPr>
          <w:iCs/>
          <w:szCs w:val="24"/>
          <w:lang w:val="lt-LT"/>
        </w:rPr>
        <w:t>6.</w:t>
      </w:r>
      <w:r w:rsidRPr="002F30D6">
        <w:rPr>
          <w:iCs/>
          <w:szCs w:val="24"/>
          <w:lang w:val="lt-LT"/>
        </w:rPr>
        <w:tab/>
        <w:t>Pakuotės turinys ir</w:t>
      </w:r>
      <w:r w:rsidRPr="002F30D6" w:rsidDel="008C6070">
        <w:rPr>
          <w:iCs/>
          <w:szCs w:val="24"/>
          <w:lang w:val="lt-LT"/>
        </w:rPr>
        <w:t xml:space="preserve"> </w:t>
      </w:r>
      <w:r w:rsidRPr="002F30D6">
        <w:rPr>
          <w:iCs/>
          <w:szCs w:val="24"/>
          <w:lang w:val="lt-LT"/>
        </w:rPr>
        <w:t>kita informacija</w:t>
      </w:r>
    </w:p>
    <w:p w:rsidR="002B7F30" w:rsidRPr="00B34FA1" w:rsidRDefault="002B7F30" w:rsidP="002B7F30">
      <w:pPr>
        <w:numPr>
          <w:ilvl w:val="12"/>
          <w:numId w:val="0"/>
        </w:numPr>
        <w:tabs>
          <w:tab w:val="clear" w:pos="567"/>
        </w:tabs>
        <w:spacing w:line="240" w:lineRule="auto"/>
        <w:ind w:right="-2"/>
        <w:rPr>
          <w:szCs w:val="24"/>
          <w:lang w:val="lt-LT"/>
        </w:rPr>
      </w:pPr>
    </w:p>
    <w:p w:rsidR="002B7F30" w:rsidRPr="00B34FA1" w:rsidRDefault="002B7F30" w:rsidP="002B7F30">
      <w:pPr>
        <w:numPr>
          <w:ilvl w:val="12"/>
          <w:numId w:val="0"/>
        </w:numPr>
        <w:tabs>
          <w:tab w:val="clear" w:pos="567"/>
        </w:tabs>
        <w:spacing w:line="240" w:lineRule="auto"/>
        <w:ind w:right="-2"/>
        <w:rPr>
          <w:szCs w:val="24"/>
          <w:lang w:val="lt-LT"/>
        </w:rPr>
      </w:pPr>
    </w:p>
    <w:p w:rsidR="002B7F30" w:rsidRPr="00B34FA1" w:rsidRDefault="002B7F30" w:rsidP="002B7F30">
      <w:pPr>
        <w:pStyle w:val="Antrat4"/>
        <w:rPr>
          <w:rFonts w:ascii="Times New Roman" w:hAnsi="Times New Roman"/>
          <w:sz w:val="22"/>
          <w:lang w:val="lt-LT"/>
        </w:rPr>
      </w:pPr>
      <w:bookmarkStart w:id="1" w:name="_Toc129243139"/>
      <w:bookmarkStart w:id="2" w:name="_Toc129243264"/>
      <w:r w:rsidRPr="00B34FA1">
        <w:rPr>
          <w:rFonts w:ascii="Times New Roman" w:hAnsi="Times New Roman"/>
          <w:sz w:val="22"/>
          <w:lang w:val="lt-LT"/>
        </w:rPr>
        <w:t>1.</w:t>
      </w:r>
      <w:r w:rsidRPr="00B34FA1">
        <w:rPr>
          <w:rFonts w:ascii="Times New Roman" w:hAnsi="Times New Roman"/>
          <w:sz w:val="22"/>
          <w:lang w:val="lt-LT"/>
        </w:rPr>
        <w:tab/>
        <w:t xml:space="preserve">Kas yra </w:t>
      </w:r>
      <w:proofErr w:type="spellStart"/>
      <w:r>
        <w:rPr>
          <w:rFonts w:ascii="Times New Roman" w:hAnsi="Times New Roman"/>
          <w:sz w:val="22"/>
          <w:lang w:val="lt-LT"/>
        </w:rPr>
        <w:t>Clindamycin</w:t>
      </w:r>
      <w:proofErr w:type="spellEnd"/>
      <w:r>
        <w:rPr>
          <w:rFonts w:ascii="Times New Roman" w:hAnsi="Times New Roman"/>
          <w:sz w:val="22"/>
          <w:lang w:val="lt-LT"/>
        </w:rPr>
        <w:t>-MIP</w:t>
      </w:r>
      <w:r w:rsidRPr="00E4096C">
        <w:rPr>
          <w:rFonts w:ascii="Times New Roman" w:hAnsi="Times New Roman"/>
          <w:sz w:val="22"/>
          <w:szCs w:val="22"/>
          <w:lang w:val="lt-LT"/>
        </w:rPr>
        <w:t xml:space="preserve"> </w:t>
      </w:r>
      <w:bookmarkEnd w:id="1"/>
      <w:bookmarkEnd w:id="2"/>
      <w:r w:rsidRPr="00B34FA1">
        <w:rPr>
          <w:rFonts w:ascii="Times New Roman" w:hAnsi="Times New Roman"/>
          <w:sz w:val="22"/>
          <w:lang w:val="lt-LT"/>
        </w:rPr>
        <w:t>ir kam jis vartojamas</w:t>
      </w:r>
    </w:p>
    <w:p w:rsidR="002B7F30" w:rsidRPr="00B34FA1" w:rsidRDefault="002B7F30" w:rsidP="002B7F30">
      <w:pPr>
        <w:numPr>
          <w:ilvl w:val="12"/>
          <w:numId w:val="0"/>
        </w:numPr>
        <w:tabs>
          <w:tab w:val="clear" w:pos="567"/>
        </w:tabs>
        <w:spacing w:line="240" w:lineRule="auto"/>
        <w:ind w:right="-2"/>
        <w:rPr>
          <w:szCs w:val="24"/>
          <w:lang w:val="lt-LT"/>
        </w:rPr>
      </w:pPr>
    </w:p>
    <w:p w:rsidR="002B7F30" w:rsidRPr="00971C10" w:rsidRDefault="002B7F30" w:rsidP="002B7F30">
      <w:pPr>
        <w:numPr>
          <w:ilvl w:val="12"/>
          <w:numId w:val="0"/>
        </w:numPr>
        <w:tabs>
          <w:tab w:val="clear" w:pos="567"/>
        </w:tabs>
        <w:spacing w:line="240" w:lineRule="auto"/>
        <w:ind w:right="-2"/>
        <w:rPr>
          <w:iCs/>
          <w:noProof/>
          <w:szCs w:val="24"/>
          <w:lang w:val="lt-LT"/>
        </w:rPr>
      </w:pPr>
      <w:r w:rsidRPr="00971C10">
        <w:rPr>
          <w:iCs/>
          <w:noProof/>
          <w:szCs w:val="24"/>
          <w:lang w:val="lt-LT"/>
        </w:rPr>
        <w:t>Clindamycin-MIP yra pusiau sintetinis, linkozamidų grupės antibiotikas.</w:t>
      </w:r>
    </w:p>
    <w:p w:rsidR="002B7F30" w:rsidRPr="00971C10" w:rsidRDefault="002B7F30" w:rsidP="002B7F30">
      <w:pPr>
        <w:numPr>
          <w:ilvl w:val="12"/>
          <w:numId w:val="0"/>
        </w:numPr>
        <w:tabs>
          <w:tab w:val="clear" w:pos="567"/>
        </w:tabs>
        <w:spacing w:line="240" w:lineRule="auto"/>
        <w:ind w:right="-2"/>
        <w:rPr>
          <w:iCs/>
          <w:noProof/>
          <w:szCs w:val="24"/>
          <w:lang w:val="lt-LT"/>
        </w:rPr>
      </w:pPr>
    </w:p>
    <w:p w:rsidR="002B7F30" w:rsidRPr="00971C10" w:rsidRDefault="002B7F30" w:rsidP="002B7F30">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t>Vaistas vartojamas klindamicinui jautrių mikroorganizmų sukeltų infekcinių ligų gydymui:</w:t>
      </w:r>
    </w:p>
    <w:p w:rsidR="002B7F30" w:rsidRPr="00971C10" w:rsidRDefault="002B7F30" w:rsidP="002B7F30">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kaulų ir sąnarių pvz., kaulų čiulpų uždegimo (osteomielito) ir sąnarių uždegimo su kraujo užkrėtimu (sepsinio artrito);</w:t>
      </w:r>
    </w:p>
    <w:p w:rsidR="002B7F30" w:rsidRPr="00971C10" w:rsidRDefault="002B7F30" w:rsidP="002B7F30">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ausų, nosies ir gerklės pvz., migdolų uždegimo (tonzilito), gerklės uždegimo (faringito), ančių uždegimo (sinusito), vidurinės ausies uždegimo, skarlatinos;</w:t>
      </w:r>
    </w:p>
    <w:p w:rsidR="002B7F30" w:rsidRPr="00971C10" w:rsidRDefault="002B7F30" w:rsidP="002B7F30">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dantų ir žandikaulio pvz., apydančio pūlinio ir uždegimo (periodontito);</w:t>
      </w:r>
    </w:p>
    <w:p w:rsidR="002B7F30" w:rsidRPr="00971C10" w:rsidRDefault="002B7F30" w:rsidP="002B7F30">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apatinių kvėpavimo takų pvz., bronchų uždegimo (bronchito), plaučių uždegimo (pneumonijos), pūlinio plaučių susirgimo (plaučių empiemos, absceso);</w:t>
      </w:r>
    </w:p>
    <w:p w:rsidR="002B7F30" w:rsidRPr="00971C10" w:rsidRDefault="002B7F30" w:rsidP="002B7F30">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pilvo ertmės pvz., pilvaplėvės uždegimo (peritonito) ir pilvo pūlinys (abscesas) (kartu su kitu tinkamu antibiotiku);</w:t>
      </w:r>
    </w:p>
    <w:p w:rsidR="002B7F30" w:rsidRPr="00971C10" w:rsidRDefault="002B7F30" w:rsidP="002B7F30">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odos ir minkštųjų audinių pvz., spuogų, šunvotės, celiulito, išbėrimo pūlinėliais, pūlinių ir žaizdų infekcijos, rožės, pūlinio nagų pažeidimo;</w:t>
      </w:r>
    </w:p>
    <w:p w:rsidR="002B7F30" w:rsidRPr="00971C10" w:rsidRDefault="002B7F30" w:rsidP="002B7F30">
      <w:pPr>
        <w:numPr>
          <w:ilvl w:val="12"/>
          <w:numId w:val="0"/>
        </w:numPr>
        <w:tabs>
          <w:tab w:val="clear" w:pos="567"/>
          <w:tab w:val="left" w:pos="426"/>
        </w:tabs>
        <w:spacing w:line="240" w:lineRule="auto"/>
        <w:ind w:left="426" w:right="-2" w:hanging="426"/>
        <w:rPr>
          <w:iCs/>
          <w:noProof/>
          <w:szCs w:val="24"/>
          <w:lang w:val="lt-LT"/>
        </w:rPr>
      </w:pPr>
      <w:r w:rsidRPr="00971C10">
        <w:rPr>
          <w:iCs/>
          <w:noProof/>
          <w:szCs w:val="24"/>
          <w:lang w:val="lt-LT"/>
        </w:rPr>
        <w:sym w:font="Symbol" w:char="F0B7"/>
      </w:r>
      <w:r>
        <w:rPr>
          <w:iCs/>
          <w:noProof/>
          <w:szCs w:val="24"/>
          <w:lang w:val="lt-LT"/>
        </w:rPr>
        <w:tab/>
      </w:r>
      <w:r w:rsidRPr="00971C10">
        <w:rPr>
          <w:iCs/>
          <w:noProof/>
          <w:szCs w:val="24"/>
          <w:lang w:val="lt-LT"/>
        </w:rPr>
        <w:t>dubens ir moterų lyties organų pvz., gimdos gleivinės uždegimo (endometrito), celiulito, makšties skliauto infekcijos, kiaušintakių ir kiaušidžių pūlinio, kiaušintakių uždegimo (salpingito), gimdos kaklelio uždegimo (cervicito), uždegiminės dubens ligos (kartu su kitu antibiotiku).</w:t>
      </w:r>
    </w:p>
    <w:p w:rsidR="002B7F30" w:rsidRPr="00B34FA1" w:rsidRDefault="002B7F30" w:rsidP="002B7F30">
      <w:pPr>
        <w:numPr>
          <w:ilvl w:val="12"/>
          <w:numId w:val="0"/>
        </w:numPr>
        <w:tabs>
          <w:tab w:val="clear" w:pos="567"/>
        </w:tabs>
        <w:spacing w:line="240" w:lineRule="auto"/>
        <w:ind w:right="-2"/>
        <w:rPr>
          <w:szCs w:val="24"/>
          <w:lang w:val="lt-LT"/>
        </w:rPr>
      </w:pPr>
    </w:p>
    <w:p w:rsidR="002B7F30" w:rsidRPr="00B34FA1" w:rsidRDefault="002B7F30" w:rsidP="002B7F30">
      <w:pPr>
        <w:numPr>
          <w:ilvl w:val="12"/>
          <w:numId w:val="0"/>
        </w:numPr>
        <w:tabs>
          <w:tab w:val="clear" w:pos="567"/>
        </w:tabs>
        <w:spacing w:line="240" w:lineRule="auto"/>
        <w:ind w:right="-2"/>
        <w:rPr>
          <w:szCs w:val="24"/>
          <w:lang w:val="lt-LT"/>
        </w:rPr>
      </w:pPr>
    </w:p>
    <w:p w:rsidR="002B7F30" w:rsidRPr="00B34FA1" w:rsidRDefault="002B7F30" w:rsidP="002B7F30">
      <w:pPr>
        <w:pStyle w:val="Antrat4"/>
        <w:rPr>
          <w:rFonts w:ascii="Times New Roman" w:hAnsi="Times New Roman"/>
          <w:sz w:val="22"/>
          <w:lang w:val="lt-LT"/>
        </w:rPr>
      </w:pPr>
      <w:bookmarkStart w:id="3" w:name="_Toc129243140"/>
      <w:bookmarkStart w:id="4" w:name="_Toc129243265"/>
      <w:r w:rsidRPr="00B34FA1">
        <w:rPr>
          <w:rFonts w:ascii="Times New Roman" w:hAnsi="Times New Roman"/>
          <w:sz w:val="22"/>
          <w:lang w:val="lt-LT"/>
        </w:rPr>
        <w:t>2.</w:t>
      </w:r>
      <w:r w:rsidRPr="00B34FA1">
        <w:rPr>
          <w:rFonts w:ascii="Times New Roman" w:hAnsi="Times New Roman"/>
          <w:sz w:val="22"/>
          <w:lang w:val="lt-LT"/>
        </w:rPr>
        <w:tab/>
        <w:t xml:space="preserve">Kas žinotina prieš vartojant </w:t>
      </w:r>
      <w:bookmarkEnd w:id="3"/>
      <w:bookmarkEnd w:id="4"/>
      <w:proofErr w:type="spellStart"/>
      <w:r>
        <w:rPr>
          <w:rFonts w:ascii="Times New Roman" w:hAnsi="Times New Roman"/>
          <w:sz w:val="22"/>
          <w:lang w:val="lt-LT"/>
        </w:rPr>
        <w:t>Clindamycin</w:t>
      </w:r>
      <w:proofErr w:type="spellEnd"/>
      <w:r>
        <w:rPr>
          <w:rFonts w:ascii="Times New Roman" w:hAnsi="Times New Roman"/>
          <w:sz w:val="22"/>
          <w:lang w:val="lt-LT"/>
        </w:rPr>
        <w:t>-MIP</w:t>
      </w:r>
      <w:r w:rsidRPr="00B34FA1">
        <w:rPr>
          <w:rFonts w:ascii="Times New Roman" w:hAnsi="Times New Roman"/>
          <w:bCs w:val="0"/>
          <w:sz w:val="22"/>
          <w:szCs w:val="24"/>
          <w:lang w:val="lt-LT"/>
        </w:rPr>
        <w:t xml:space="preserve"> </w:t>
      </w:r>
    </w:p>
    <w:p w:rsidR="002B7F30" w:rsidRPr="00B34FA1" w:rsidRDefault="002B7F30" w:rsidP="002B7F30">
      <w:pPr>
        <w:numPr>
          <w:ilvl w:val="12"/>
          <w:numId w:val="0"/>
        </w:numPr>
        <w:tabs>
          <w:tab w:val="clear" w:pos="567"/>
        </w:tabs>
        <w:spacing w:line="240" w:lineRule="auto"/>
        <w:ind w:right="-2"/>
        <w:rPr>
          <w:szCs w:val="24"/>
          <w:lang w:val="lt-LT"/>
        </w:rPr>
      </w:pPr>
    </w:p>
    <w:p w:rsidR="002B7F30" w:rsidRPr="00C372F9" w:rsidRDefault="002B7F30" w:rsidP="002B7F30">
      <w:pPr>
        <w:tabs>
          <w:tab w:val="clear" w:pos="567"/>
        </w:tabs>
        <w:spacing w:line="220" w:lineRule="exact"/>
        <w:rPr>
          <w:b/>
          <w:bCs/>
          <w:noProof/>
          <w:snapToGrid/>
          <w:szCs w:val="22"/>
          <w:lang w:val="lt-LT"/>
        </w:rPr>
      </w:pPr>
      <w:r w:rsidRPr="00C372F9">
        <w:rPr>
          <w:b/>
          <w:bCs/>
          <w:noProof/>
          <w:snapToGrid/>
          <w:szCs w:val="22"/>
          <w:lang w:val="lt-LT"/>
        </w:rPr>
        <w:t xml:space="preserve">Clindamycin-MIP vartoti </w:t>
      </w:r>
      <w:r>
        <w:rPr>
          <w:b/>
          <w:bCs/>
          <w:noProof/>
          <w:snapToGrid/>
          <w:szCs w:val="22"/>
          <w:lang w:val="lt-LT"/>
        </w:rPr>
        <w:t>draudžiama</w:t>
      </w:r>
      <w:r w:rsidRPr="00C372F9">
        <w:rPr>
          <w:b/>
          <w:bCs/>
          <w:noProof/>
          <w:snapToGrid/>
          <w:szCs w:val="22"/>
          <w:lang w:val="lt-LT"/>
        </w:rPr>
        <w:t>:</w:t>
      </w:r>
    </w:p>
    <w:p w:rsidR="002B7F30" w:rsidRPr="00C372F9" w:rsidRDefault="002B7F30" w:rsidP="002B7F30">
      <w:pPr>
        <w:numPr>
          <w:ilvl w:val="0"/>
          <w:numId w:val="1"/>
        </w:numPr>
        <w:tabs>
          <w:tab w:val="clear" w:pos="567"/>
        </w:tabs>
        <w:spacing w:line="240" w:lineRule="auto"/>
        <w:ind w:left="426" w:hanging="426"/>
        <w:rPr>
          <w:snapToGrid/>
          <w:szCs w:val="22"/>
          <w:lang w:val="lt-LT"/>
        </w:rPr>
      </w:pPr>
      <w:r w:rsidRPr="00C372F9">
        <w:rPr>
          <w:snapToGrid/>
          <w:szCs w:val="22"/>
          <w:lang w:val="lt-LT"/>
        </w:rPr>
        <w:t xml:space="preserve">jeigu yra alergija (padidėjęs jautrumas) </w:t>
      </w:r>
      <w:proofErr w:type="spellStart"/>
      <w:r w:rsidRPr="00C372F9">
        <w:rPr>
          <w:snapToGrid/>
          <w:szCs w:val="22"/>
          <w:lang w:val="lt-LT"/>
        </w:rPr>
        <w:t>klindamicinui</w:t>
      </w:r>
      <w:proofErr w:type="spellEnd"/>
      <w:r w:rsidRPr="00C372F9">
        <w:rPr>
          <w:snapToGrid/>
          <w:szCs w:val="22"/>
          <w:lang w:val="lt-LT"/>
        </w:rPr>
        <w:t xml:space="preserve"> ar </w:t>
      </w:r>
      <w:proofErr w:type="spellStart"/>
      <w:r w:rsidRPr="00C372F9">
        <w:rPr>
          <w:snapToGrid/>
          <w:szCs w:val="22"/>
          <w:lang w:val="lt-LT"/>
        </w:rPr>
        <w:t>linkomicinui</w:t>
      </w:r>
      <w:proofErr w:type="spellEnd"/>
      <w:r w:rsidRPr="00C372F9">
        <w:rPr>
          <w:snapToGrid/>
          <w:szCs w:val="22"/>
          <w:lang w:val="lt-LT"/>
        </w:rPr>
        <w:t xml:space="preserve"> arba bet kuriai pagalbinei </w:t>
      </w:r>
      <w:proofErr w:type="spellStart"/>
      <w:r w:rsidRPr="00C372F9">
        <w:rPr>
          <w:snapToGrid/>
          <w:szCs w:val="22"/>
          <w:lang w:val="lt-LT"/>
        </w:rPr>
        <w:t>Clindamycin</w:t>
      </w:r>
      <w:proofErr w:type="spellEnd"/>
      <w:r w:rsidRPr="00C372F9">
        <w:rPr>
          <w:snapToGrid/>
          <w:szCs w:val="22"/>
          <w:lang w:val="lt-LT"/>
        </w:rPr>
        <w:t>-MIP medžiagai (jos išvardytos 6 skyriuje).</w:t>
      </w:r>
    </w:p>
    <w:p w:rsidR="002B7F30" w:rsidRPr="00C372F9" w:rsidRDefault="002B7F30" w:rsidP="002B7F30">
      <w:pPr>
        <w:tabs>
          <w:tab w:val="clear" w:pos="567"/>
        </w:tabs>
        <w:spacing w:line="240" w:lineRule="auto"/>
        <w:rPr>
          <w:snapToGrid/>
          <w:szCs w:val="22"/>
          <w:lang w:val="lt-LT"/>
        </w:rPr>
      </w:pPr>
    </w:p>
    <w:p w:rsidR="002B7F30" w:rsidRPr="00C372F9" w:rsidRDefault="002B7F30" w:rsidP="002B7F30">
      <w:pPr>
        <w:tabs>
          <w:tab w:val="clear" w:pos="567"/>
        </w:tabs>
        <w:spacing w:line="240" w:lineRule="auto"/>
        <w:rPr>
          <w:b/>
          <w:snapToGrid/>
          <w:szCs w:val="22"/>
          <w:lang w:val="lt-LT"/>
        </w:rPr>
      </w:pPr>
      <w:r w:rsidRPr="00C372F9">
        <w:rPr>
          <w:b/>
          <w:snapToGrid/>
          <w:szCs w:val="22"/>
          <w:lang w:val="lt-LT"/>
        </w:rPr>
        <w:t>Įspėjimai ir atsargumo priemonės</w:t>
      </w:r>
    </w:p>
    <w:p w:rsidR="002B7F30" w:rsidRPr="00C372F9" w:rsidRDefault="002B7F30" w:rsidP="002B7F30">
      <w:pPr>
        <w:tabs>
          <w:tab w:val="clear" w:pos="567"/>
        </w:tabs>
        <w:spacing w:line="240" w:lineRule="auto"/>
        <w:rPr>
          <w:snapToGrid/>
          <w:szCs w:val="22"/>
          <w:lang w:val="lt-LT"/>
        </w:rPr>
      </w:pPr>
      <w:r w:rsidRPr="00C372F9">
        <w:rPr>
          <w:snapToGrid/>
          <w:szCs w:val="22"/>
          <w:lang w:val="lt-LT"/>
        </w:rPr>
        <w:t xml:space="preserve">Pasitarkite su gydytoju arba vaistininku, prieš pradėdami vartoti </w:t>
      </w:r>
      <w:proofErr w:type="spellStart"/>
      <w:r w:rsidRPr="00C372F9">
        <w:rPr>
          <w:snapToGrid/>
          <w:szCs w:val="22"/>
          <w:lang w:val="lt-LT"/>
        </w:rPr>
        <w:t>Clindamycin</w:t>
      </w:r>
      <w:proofErr w:type="spellEnd"/>
      <w:r w:rsidRPr="00C372F9">
        <w:rPr>
          <w:snapToGrid/>
          <w:szCs w:val="22"/>
          <w:lang w:val="lt-LT"/>
        </w:rPr>
        <w:t>-MIP.</w:t>
      </w:r>
    </w:p>
    <w:p w:rsidR="002B7F30" w:rsidRPr="00C372F9" w:rsidRDefault="002B7F30" w:rsidP="002B7F30">
      <w:pPr>
        <w:numPr>
          <w:ilvl w:val="0"/>
          <w:numId w:val="2"/>
        </w:numPr>
        <w:tabs>
          <w:tab w:val="clear" w:pos="567"/>
        </w:tabs>
        <w:spacing w:line="240" w:lineRule="auto"/>
        <w:ind w:left="426"/>
        <w:rPr>
          <w:snapToGrid/>
          <w:szCs w:val="22"/>
          <w:lang w:val="lt-LT"/>
        </w:rPr>
      </w:pPr>
      <w:proofErr w:type="spellStart"/>
      <w:r w:rsidRPr="00C372F9">
        <w:rPr>
          <w:snapToGrid/>
          <w:szCs w:val="22"/>
          <w:lang w:val="lt-LT"/>
        </w:rPr>
        <w:lastRenderedPageBreak/>
        <w:t>Clindamycin</w:t>
      </w:r>
      <w:proofErr w:type="spellEnd"/>
      <w:r w:rsidRPr="00C372F9">
        <w:rPr>
          <w:snapToGrid/>
          <w:szCs w:val="22"/>
          <w:lang w:val="lt-LT"/>
        </w:rPr>
        <w:t>-MIP, kaip ir dauguma kitų antibiotikų, gali sukelti gyvybei pavojingą storosios žarnos uždegimą (kolitą). Gydymas antibiotikais keičia normalią žarnyno florą ir gali sudaryti sąlygas per didelio žalingų bakterijų (</w:t>
      </w:r>
      <w:proofErr w:type="spellStart"/>
      <w:r w:rsidRPr="00C372F9">
        <w:rPr>
          <w:snapToGrid/>
          <w:szCs w:val="22"/>
          <w:lang w:val="lt-LT"/>
        </w:rPr>
        <w:t>klostridijų</w:t>
      </w:r>
      <w:proofErr w:type="spellEnd"/>
      <w:r w:rsidRPr="00C372F9">
        <w:rPr>
          <w:snapToGrid/>
          <w:szCs w:val="22"/>
          <w:lang w:val="lt-LT"/>
        </w:rPr>
        <w:t>) kiekio atsiradimui. Diagnozavus sunkų infekcinį storosios žarnos uždegimą (</w:t>
      </w:r>
      <w:proofErr w:type="spellStart"/>
      <w:r w:rsidRPr="00C372F9">
        <w:rPr>
          <w:snapToGrid/>
          <w:szCs w:val="22"/>
          <w:lang w:val="lt-LT"/>
        </w:rPr>
        <w:t>pseudomembraninį</w:t>
      </w:r>
      <w:proofErr w:type="spellEnd"/>
      <w:r w:rsidRPr="00C372F9">
        <w:rPr>
          <w:snapToGrid/>
          <w:szCs w:val="22"/>
          <w:lang w:val="lt-LT"/>
        </w:rPr>
        <w:t xml:space="preserve"> kolitą), būtina imtis atitinkamų gydymo priemonių.</w:t>
      </w:r>
    </w:p>
    <w:p w:rsidR="002B7F30" w:rsidRPr="00C372F9" w:rsidRDefault="002B7F30" w:rsidP="002B7F30">
      <w:pPr>
        <w:numPr>
          <w:ilvl w:val="0"/>
          <w:numId w:val="2"/>
        </w:numPr>
        <w:tabs>
          <w:tab w:val="clear" w:pos="567"/>
        </w:tabs>
        <w:spacing w:line="240" w:lineRule="auto"/>
        <w:ind w:left="426"/>
        <w:rPr>
          <w:snapToGrid/>
          <w:szCs w:val="22"/>
          <w:lang w:val="lt-LT"/>
        </w:rPr>
      </w:pPr>
      <w:proofErr w:type="spellStart"/>
      <w:r w:rsidRPr="00C372F9">
        <w:rPr>
          <w:snapToGrid/>
          <w:szCs w:val="22"/>
          <w:lang w:val="lt-LT"/>
        </w:rPr>
        <w:t>Clindamycin</w:t>
      </w:r>
      <w:proofErr w:type="spellEnd"/>
      <w:r w:rsidRPr="00C372F9">
        <w:rPr>
          <w:snapToGrid/>
          <w:szCs w:val="22"/>
          <w:lang w:val="lt-LT"/>
        </w:rPr>
        <w:t>-MIP nepatenka į smegenis ir todėl netinka smegenų dangalų uždegimui gydyti.</w:t>
      </w:r>
    </w:p>
    <w:p w:rsidR="002B7F30" w:rsidRPr="00C372F9" w:rsidRDefault="002B7F30" w:rsidP="002B7F30">
      <w:pPr>
        <w:numPr>
          <w:ilvl w:val="0"/>
          <w:numId w:val="2"/>
        </w:numPr>
        <w:tabs>
          <w:tab w:val="clear" w:pos="567"/>
        </w:tabs>
        <w:spacing w:line="240" w:lineRule="auto"/>
        <w:ind w:left="426"/>
        <w:rPr>
          <w:snapToGrid/>
          <w:szCs w:val="22"/>
          <w:lang w:val="lt-LT"/>
        </w:rPr>
      </w:pPr>
      <w:r w:rsidRPr="00C372F9">
        <w:rPr>
          <w:snapToGrid/>
          <w:szCs w:val="22"/>
          <w:lang w:val="lt-LT"/>
        </w:rPr>
        <w:t xml:space="preserve">Jei </w:t>
      </w:r>
      <w:proofErr w:type="spellStart"/>
      <w:r w:rsidRPr="00C372F9">
        <w:rPr>
          <w:snapToGrid/>
          <w:szCs w:val="22"/>
          <w:lang w:val="lt-LT"/>
        </w:rPr>
        <w:t>Clindamycin</w:t>
      </w:r>
      <w:proofErr w:type="spellEnd"/>
      <w:r w:rsidRPr="00C372F9">
        <w:rPr>
          <w:snapToGrid/>
          <w:szCs w:val="22"/>
          <w:lang w:val="lt-LT"/>
        </w:rPr>
        <w:t>-MIP vartojamas ilgai, reikia reguliariai tirti</w:t>
      </w:r>
      <w:r>
        <w:rPr>
          <w:snapToGrid/>
          <w:szCs w:val="22"/>
          <w:lang w:val="lt-LT"/>
        </w:rPr>
        <w:t xml:space="preserve"> </w:t>
      </w:r>
      <w:r w:rsidRPr="00C372F9">
        <w:rPr>
          <w:snapToGrid/>
          <w:szCs w:val="22"/>
          <w:lang w:val="lt-LT"/>
        </w:rPr>
        <w:t xml:space="preserve">kepenų ir inkstų funkciją. Vartojant </w:t>
      </w:r>
      <w:proofErr w:type="spellStart"/>
      <w:r w:rsidRPr="00C372F9">
        <w:rPr>
          <w:snapToGrid/>
          <w:szCs w:val="22"/>
          <w:lang w:val="lt-LT"/>
        </w:rPr>
        <w:t>klindamicino</w:t>
      </w:r>
      <w:proofErr w:type="spellEnd"/>
      <w:r w:rsidRPr="00C372F9">
        <w:rPr>
          <w:snapToGrid/>
          <w:szCs w:val="22"/>
          <w:lang w:val="lt-LT"/>
        </w:rPr>
        <w:t xml:space="preserve">, gali įsivyrauti nejautrūs mikroorganizmai, ypač </w:t>
      </w:r>
      <w:proofErr w:type="spellStart"/>
      <w:r w:rsidRPr="00C372F9">
        <w:rPr>
          <w:snapToGrid/>
          <w:szCs w:val="22"/>
          <w:lang w:val="lt-LT"/>
        </w:rPr>
        <w:t>mieliagybiai</w:t>
      </w:r>
      <w:proofErr w:type="spellEnd"/>
      <w:r w:rsidRPr="00C372F9">
        <w:rPr>
          <w:snapToGrid/>
          <w:szCs w:val="22"/>
          <w:lang w:val="lt-LT"/>
        </w:rPr>
        <w:t>.</w:t>
      </w:r>
    </w:p>
    <w:p w:rsidR="002B7F30" w:rsidRDefault="002B7F30" w:rsidP="002B7F30">
      <w:pPr>
        <w:tabs>
          <w:tab w:val="clear" w:pos="567"/>
        </w:tabs>
        <w:spacing w:line="240" w:lineRule="auto"/>
        <w:rPr>
          <w:snapToGrid/>
          <w:szCs w:val="22"/>
          <w:lang w:val="lt-LT"/>
        </w:rPr>
      </w:pPr>
    </w:p>
    <w:p w:rsidR="002B7F30" w:rsidRDefault="002B7F30" w:rsidP="002B7F30">
      <w:pPr>
        <w:tabs>
          <w:tab w:val="clear" w:pos="567"/>
        </w:tabs>
        <w:spacing w:line="240" w:lineRule="auto"/>
        <w:rPr>
          <w:snapToGrid/>
          <w:szCs w:val="22"/>
          <w:lang w:val="lt-LT"/>
        </w:rPr>
      </w:pPr>
      <w:r w:rsidRPr="00793882">
        <w:rPr>
          <w:snapToGrid/>
          <w:szCs w:val="22"/>
          <w:lang w:val="lt-LT"/>
        </w:rPr>
        <w:t>Gali pasireikšti ūminių inkstų veiklos sutrikimų. Pasakykite savo gydytojui apie visus savo šiuo metu vartojamus vaistus ir jeigu Jums yra kokių nors inkstų sutrikimų. Jeigu Jūs šlapinatės mažiau nei įprastai, Jūsų organizme kaupiasi skystis ir dėl to tinsta Jūsų kojos, kulkšnys arba pėdos, Jūs dūstate arba Jus pykina, nedelsdami kreipkitės į savo gydytoją.</w:t>
      </w:r>
    </w:p>
    <w:p w:rsidR="002B7F30" w:rsidRPr="00C372F9" w:rsidRDefault="002B7F30" w:rsidP="002B7F30">
      <w:pPr>
        <w:tabs>
          <w:tab w:val="clear" w:pos="567"/>
        </w:tabs>
        <w:spacing w:line="240" w:lineRule="auto"/>
        <w:rPr>
          <w:snapToGrid/>
          <w:szCs w:val="22"/>
          <w:lang w:val="lt-LT"/>
        </w:rPr>
      </w:pPr>
    </w:p>
    <w:p w:rsidR="002B7F30" w:rsidRPr="00C372F9" w:rsidRDefault="002B7F30" w:rsidP="002B7F30">
      <w:pPr>
        <w:tabs>
          <w:tab w:val="clear" w:pos="567"/>
        </w:tabs>
        <w:spacing w:line="220" w:lineRule="exact"/>
        <w:rPr>
          <w:b/>
          <w:bCs/>
          <w:noProof/>
          <w:snapToGrid/>
          <w:szCs w:val="22"/>
          <w:lang w:val="lt-LT"/>
        </w:rPr>
      </w:pPr>
      <w:r w:rsidRPr="00C372F9">
        <w:rPr>
          <w:b/>
          <w:bCs/>
          <w:noProof/>
          <w:snapToGrid/>
          <w:szCs w:val="22"/>
          <w:lang w:val="lt-LT"/>
        </w:rPr>
        <w:t>Kiti vaistai ir Clindamycin-MIP</w:t>
      </w: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Jeigu vartojate ar neseniai vartojote kitų vaistų arba dėl to nesate tikri, apie tai pasakykite gydytojui arba vaistininkui.</w:t>
      </w:r>
    </w:p>
    <w:p w:rsidR="002B7F30" w:rsidRPr="00C372F9" w:rsidRDefault="002B7F30" w:rsidP="002B7F30">
      <w:pPr>
        <w:tabs>
          <w:tab w:val="clear" w:pos="567"/>
          <w:tab w:val="left" w:pos="720"/>
        </w:tabs>
        <w:spacing w:line="240" w:lineRule="auto"/>
        <w:rPr>
          <w:iCs/>
          <w:noProof/>
          <w:snapToGrid/>
          <w:szCs w:val="22"/>
          <w:lang w:val="lt-LT" w:eastAsia="x-none"/>
        </w:rPr>
      </w:pPr>
    </w:p>
    <w:p w:rsidR="002B7F30" w:rsidRPr="00C372F9" w:rsidRDefault="002B7F30" w:rsidP="002B7F30">
      <w:pPr>
        <w:tabs>
          <w:tab w:val="clear" w:pos="567"/>
        </w:tabs>
        <w:spacing w:line="240" w:lineRule="auto"/>
        <w:rPr>
          <w:snapToGrid/>
          <w:szCs w:val="22"/>
          <w:lang w:val="lt-LT"/>
        </w:rPr>
      </w:pPr>
      <w:proofErr w:type="spellStart"/>
      <w:r w:rsidRPr="00C372F9">
        <w:rPr>
          <w:snapToGrid/>
          <w:szCs w:val="22"/>
          <w:lang w:val="lt-LT"/>
        </w:rPr>
        <w:t>In</w:t>
      </w:r>
      <w:proofErr w:type="spellEnd"/>
      <w:r w:rsidRPr="00C372F9">
        <w:rPr>
          <w:snapToGrid/>
          <w:szCs w:val="22"/>
          <w:lang w:val="lt-LT"/>
        </w:rPr>
        <w:t xml:space="preserve"> </w:t>
      </w:r>
      <w:proofErr w:type="spellStart"/>
      <w:r w:rsidRPr="00C372F9">
        <w:rPr>
          <w:snapToGrid/>
          <w:szCs w:val="22"/>
          <w:lang w:val="lt-LT"/>
        </w:rPr>
        <w:t>vitro</w:t>
      </w:r>
      <w:proofErr w:type="spellEnd"/>
      <w:r w:rsidRPr="00C372F9">
        <w:rPr>
          <w:snapToGrid/>
          <w:szCs w:val="22"/>
          <w:lang w:val="lt-LT"/>
        </w:rPr>
        <w:t xml:space="preserve"> tarp </w:t>
      </w:r>
      <w:proofErr w:type="spellStart"/>
      <w:r w:rsidRPr="00C372F9">
        <w:rPr>
          <w:snapToGrid/>
          <w:szCs w:val="22"/>
          <w:lang w:val="lt-LT"/>
        </w:rPr>
        <w:t>klindamicino</w:t>
      </w:r>
      <w:proofErr w:type="spellEnd"/>
      <w:r w:rsidRPr="00C372F9">
        <w:rPr>
          <w:snapToGrid/>
          <w:szCs w:val="22"/>
          <w:lang w:val="lt-LT"/>
        </w:rPr>
        <w:t xml:space="preserve"> ir </w:t>
      </w:r>
      <w:proofErr w:type="spellStart"/>
      <w:r w:rsidRPr="00C372F9">
        <w:rPr>
          <w:snapToGrid/>
          <w:szCs w:val="22"/>
          <w:lang w:val="lt-LT"/>
        </w:rPr>
        <w:t>eritromicino</w:t>
      </w:r>
      <w:proofErr w:type="spellEnd"/>
      <w:r w:rsidRPr="00C372F9">
        <w:rPr>
          <w:snapToGrid/>
          <w:szCs w:val="22"/>
          <w:lang w:val="lt-LT"/>
        </w:rPr>
        <w:t xml:space="preserve"> pastebėtas vienas kito poveikį neutralizuojantis poveikis, kuris gali būti kliniškai reikšmingas, todėl šių vaistų nereikėtų vartoti kartu.</w:t>
      </w:r>
    </w:p>
    <w:p w:rsidR="002B7F30" w:rsidRDefault="002B7F30" w:rsidP="002B7F30">
      <w:pPr>
        <w:tabs>
          <w:tab w:val="clear" w:pos="567"/>
        </w:tabs>
        <w:spacing w:line="240" w:lineRule="auto"/>
        <w:rPr>
          <w:snapToGrid/>
          <w:szCs w:val="22"/>
          <w:lang w:val="lt-LT"/>
        </w:rPr>
      </w:pPr>
      <w:r w:rsidRPr="00C372F9">
        <w:rPr>
          <w:snapToGrid/>
          <w:szCs w:val="22"/>
          <w:lang w:val="lt-LT"/>
        </w:rPr>
        <w:t xml:space="preserve">Vartojant </w:t>
      </w:r>
      <w:proofErr w:type="spellStart"/>
      <w:r w:rsidRPr="00C372F9">
        <w:rPr>
          <w:snapToGrid/>
          <w:szCs w:val="22"/>
          <w:lang w:val="lt-LT"/>
        </w:rPr>
        <w:t>klindamicino</w:t>
      </w:r>
      <w:proofErr w:type="spellEnd"/>
      <w:r w:rsidRPr="00C372F9">
        <w:rPr>
          <w:snapToGrid/>
          <w:szCs w:val="22"/>
          <w:lang w:val="lt-LT"/>
        </w:rPr>
        <w:t xml:space="preserve"> tablečių, blokuojamas nervinio impulso perdavimas raumenims, todėl gali sustiprėti kitų tokį </w:t>
      </w:r>
      <w:proofErr w:type="spellStart"/>
      <w:r w:rsidRPr="00C372F9">
        <w:rPr>
          <w:snapToGrid/>
          <w:szCs w:val="22"/>
          <w:lang w:val="lt-LT"/>
        </w:rPr>
        <w:t>poveiikį</w:t>
      </w:r>
      <w:proofErr w:type="spellEnd"/>
      <w:r w:rsidRPr="00C372F9">
        <w:rPr>
          <w:snapToGrid/>
          <w:szCs w:val="22"/>
          <w:lang w:val="lt-LT"/>
        </w:rPr>
        <w:t xml:space="preserve"> sukeliančių (</w:t>
      </w:r>
      <w:proofErr w:type="spellStart"/>
      <w:r w:rsidRPr="00C372F9">
        <w:rPr>
          <w:snapToGrid/>
          <w:szCs w:val="22"/>
          <w:lang w:val="lt-LT"/>
        </w:rPr>
        <w:t>mioneuralinių</w:t>
      </w:r>
      <w:proofErr w:type="spellEnd"/>
      <w:r w:rsidRPr="00C372F9">
        <w:rPr>
          <w:snapToGrid/>
          <w:szCs w:val="22"/>
          <w:lang w:val="lt-LT"/>
        </w:rPr>
        <w:t xml:space="preserve"> </w:t>
      </w:r>
      <w:proofErr w:type="spellStart"/>
      <w:r w:rsidRPr="00C372F9">
        <w:rPr>
          <w:snapToGrid/>
          <w:szCs w:val="22"/>
          <w:lang w:val="lt-LT"/>
        </w:rPr>
        <w:t>sinapsių</w:t>
      </w:r>
      <w:proofErr w:type="spellEnd"/>
      <w:r w:rsidRPr="00C372F9">
        <w:rPr>
          <w:snapToGrid/>
          <w:szCs w:val="22"/>
          <w:lang w:val="lt-LT"/>
        </w:rPr>
        <w:t xml:space="preserve"> blokatorių) poveikis. Atsižvelgiant į tai, </w:t>
      </w:r>
      <w:proofErr w:type="spellStart"/>
      <w:r w:rsidRPr="00C372F9">
        <w:rPr>
          <w:snapToGrid/>
          <w:szCs w:val="22"/>
          <w:lang w:val="lt-LT"/>
        </w:rPr>
        <w:t>klindamicinas</w:t>
      </w:r>
      <w:proofErr w:type="spellEnd"/>
      <w:r w:rsidRPr="00C372F9">
        <w:rPr>
          <w:snapToGrid/>
          <w:szCs w:val="22"/>
          <w:lang w:val="lt-LT"/>
        </w:rPr>
        <w:t xml:space="preserve"> kartu su tokiais vaistais vartojamas atsargiai.</w:t>
      </w:r>
    </w:p>
    <w:p w:rsidR="002B7F30" w:rsidRPr="008C006E" w:rsidRDefault="002B7F30" w:rsidP="002B7F30">
      <w:pPr>
        <w:tabs>
          <w:tab w:val="clear" w:pos="567"/>
          <w:tab w:val="num" w:pos="-142"/>
          <w:tab w:val="num" w:pos="720"/>
        </w:tabs>
        <w:spacing w:line="240" w:lineRule="auto"/>
        <w:rPr>
          <w:color w:val="000000"/>
          <w:lang w:val="x-none"/>
        </w:rPr>
      </w:pPr>
      <w:r w:rsidRPr="00567EB6">
        <w:rPr>
          <w:color w:val="000000"/>
          <w:lang w:val="x-none"/>
        </w:rPr>
        <w:t xml:space="preserve">Jei vartojama </w:t>
      </w:r>
      <w:proofErr w:type="spellStart"/>
      <w:r w:rsidRPr="00567EB6">
        <w:rPr>
          <w:color w:val="000000"/>
          <w:lang w:val="x-none"/>
        </w:rPr>
        <w:t>varfarino</w:t>
      </w:r>
      <w:proofErr w:type="spellEnd"/>
      <w:r w:rsidRPr="00567EB6">
        <w:rPr>
          <w:color w:val="000000"/>
          <w:lang w:val="x-none"/>
        </w:rPr>
        <w:t xml:space="preserve"> ar panašių vaistų (jais skystinamas kraujas), gali padidėti kraujavimo pasireiškimo</w:t>
      </w:r>
      <w:r w:rsidRPr="00793882">
        <w:rPr>
          <w:color w:val="000000"/>
          <w:lang w:val="lt-LT"/>
        </w:rPr>
        <w:t xml:space="preserve"> </w:t>
      </w:r>
      <w:r w:rsidRPr="00567EB6">
        <w:rPr>
          <w:color w:val="000000"/>
          <w:lang w:val="x-none"/>
        </w:rPr>
        <w:t>rizika. Gydytojas gali reguliariai atlikinėti kraujo tyrimus, kad patikrintų Jūsų kraujo krešėjimą.</w:t>
      </w:r>
    </w:p>
    <w:p w:rsidR="002B7F30" w:rsidRPr="00C372F9" w:rsidRDefault="002B7F30" w:rsidP="002B7F30">
      <w:pPr>
        <w:tabs>
          <w:tab w:val="clear" w:pos="567"/>
        </w:tabs>
        <w:spacing w:line="240" w:lineRule="auto"/>
        <w:rPr>
          <w:snapToGrid/>
          <w:szCs w:val="22"/>
          <w:lang w:val="lt-LT"/>
        </w:rPr>
      </w:pPr>
    </w:p>
    <w:p w:rsidR="002B7F30" w:rsidRPr="00C372F9" w:rsidRDefault="002B7F30" w:rsidP="002B7F30">
      <w:pPr>
        <w:tabs>
          <w:tab w:val="clear" w:pos="567"/>
        </w:tabs>
        <w:spacing w:line="220" w:lineRule="exact"/>
        <w:rPr>
          <w:b/>
          <w:bCs/>
          <w:noProof/>
          <w:snapToGrid/>
          <w:szCs w:val="22"/>
          <w:lang w:val="lt-LT"/>
        </w:rPr>
      </w:pPr>
      <w:r w:rsidRPr="00C372F9">
        <w:rPr>
          <w:b/>
          <w:bCs/>
          <w:noProof/>
          <w:snapToGrid/>
          <w:szCs w:val="22"/>
          <w:lang w:val="lt-LT"/>
        </w:rPr>
        <w:t>Nėštumas ir žindymo laikotarpis</w:t>
      </w: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Prieš vartojant bet kokį vaistą, būtina pasitarti su gydytoju arba vaistininku.</w:t>
      </w:r>
    </w:p>
    <w:p w:rsidR="002B7F30" w:rsidRPr="00C372F9" w:rsidRDefault="002B7F30" w:rsidP="002B7F30">
      <w:pPr>
        <w:tabs>
          <w:tab w:val="clear" w:pos="567"/>
          <w:tab w:val="left" w:pos="720"/>
        </w:tabs>
        <w:spacing w:line="240" w:lineRule="auto"/>
        <w:rPr>
          <w:iCs/>
          <w:noProof/>
          <w:snapToGrid/>
          <w:szCs w:val="22"/>
          <w:lang w:val="lt-LT" w:eastAsia="x-none"/>
        </w:rPr>
      </w:pP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Klindamicinas skiriamas nėščiosioms tik tada, kai šis vaistas yra akivaizdžiai būtinas.</w:t>
      </w: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Žindyvės gali vartoti šio vaisto tik pasitarusios su gydytoju.</w:t>
      </w:r>
    </w:p>
    <w:p w:rsidR="002B7F30" w:rsidRPr="00C372F9" w:rsidRDefault="002B7F30" w:rsidP="002B7F30">
      <w:pPr>
        <w:tabs>
          <w:tab w:val="clear" w:pos="567"/>
          <w:tab w:val="left" w:pos="720"/>
        </w:tabs>
        <w:spacing w:line="240" w:lineRule="auto"/>
        <w:rPr>
          <w:iCs/>
          <w:noProof/>
          <w:snapToGrid/>
          <w:szCs w:val="22"/>
          <w:lang w:val="lt-LT" w:eastAsia="x-none"/>
        </w:rPr>
      </w:pPr>
    </w:p>
    <w:p w:rsidR="002B7F30" w:rsidRPr="00C372F9" w:rsidRDefault="002B7F30" w:rsidP="002B7F30">
      <w:pPr>
        <w:tabs>
          <w:tab w:val="clear" w:pos="567"/>
        </w:tabs>
        <w:spacing w:line="220" w:lineRule="exact"/>
        <w:rPr>
          <w:b/>
          <w:bCs/>
          <w:noProof/>
          <w:snapToGrid/>
          <w:szCs w:val="22"/>
          <w:lang w:val="lt-LT"/>
        </w:rPr>
      </w:pPr>
      <w:r w:rsidRPr="00C372F9">
        <w:rPr>
          <w:b/>
          <w:bCs/>
          <w:noProof/>
          <w:snapToGrid/>
          <w:szCs w:val="22"/>
          <w:lang w:val="lt-LT"/>
        </w:rPr>
        <w:t>Vairavimas ir mechanizmų valdymas</w:t>
      </w: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Poveikio gebėjimui vairuoti ir valdyti mechanizmus tyrimų neatlikta.</w:t>
      </w:r>
    </w:p>
    <w:p w:rsidR="002B7F30" w:rsidRDefault="002B7F30" w:rsidP="002B7F30">
      <w:pPr>
        <w:numPr>
          <w:ilvl w:val="12"/>
          <w:numId w:val="0"/>
        </w:numPr>
        <w:tabs>
          <w:tab w:val="clear" w:pos="567"/>
        </w:tabs>
        <w:spacing w:line="240" w:lineRule="auto"/>
        <w:ind w:right="-2"/>
        <w:rPr>
          <w:szCs w:val="24"/>
          <w:lang w:val="lt-LT"/>
        </w:rPr>
      </w:pPr>
    </w:p>
    <w:p w:rsidR="002B7F30" w:rsidRPr="00B34FA1" w:rsidRDefault="002B7F30" w:rsidP="002B7F30">
      <w:pPr>
        <w:numPr>
          <w:ilvl w:val="12"/>
          <w:numId w:val="0"/>
        </w:numPr>
        <w:tabs>
          <w:tab w:val="clear" w:pos="567"/>
        </w:tabs>
        <w:spacing w:line="240" w:lineRule="auto"/>
        <w:ind w:right="-2"/>
        <w:rPr>
          <w:szCs w:val="24"/>
          <w:lang w:val="lt-LT"/>
        </w:rPr>
      </w:pPr>
    </w:p>
    <w:p w:rsidR="002B7F30" w:rsidRPr="00B34FA1" w:rsidRDefault="002B7F30" w:rsidP="002B7F30">
      <w:pPr>
        <w:pStyle w:val="Antrat3"/>
        <w:spacing w:before="0" w:after="0" w:line="240" w:lineRule="auto"/>
        <w:rPr>
          <w:rFonts w:ascii="Times New Roman" w:hAnsi="Times New Roman"/>
          <w:sz w:val="22"/>
          <w:lang w:val="lt-LT"/>
        </w:rPr>
      </w:pPr>
      <w:bookmarkStart w:id="5" w:name="_Toc129243141"/>
      <w:bookmarkStart w:id="6" w:name="_Toc129243266"/>
      <w:r w:rsidRPr="00B34FA1">
        <w:rPr>
          <w:rFonts w:ascii="Times New Roman" w:hAnsi="Times New Roman"/>
          <w:sz w:val="22"/>
          <w:lang w:val="lt-LT"/>
        </w:rPr>
        <w:t>3.</w:t>
      </w:r>
      <w:r w:rsidRPr="00B34FA1">
        <w:rPr>
          <w:rFonts w:ascii="Times New Roman" w:hAnsi="Times New Roman"/>
          <w:sz w:val="22"/>
          <w:lang w:val="lt-LT"/>
        </w:rPr>
        <w:tab/>
        <w:t xml:space="preserve">Kaip vartoti </w:t>
      </w:r>
      <w:bookmarkEnd w:id="5"/>
      <w:bookmarkEnd w:id="6"/>
      <w:proofErr w:type="spellStart"/>
      <w:r>
        <w:rPr>
          <w:rFonts w:ascii="Times New Roman" w:hAnsi="Times New Roman"/>
          <w:sz w:val="22"/>
          <w:lang w:val="lt-LT"/>
        </w:rPr>
        <w:t>Clindamycin</w:t>
      </w:r>
      <w:proofErr w:type="spellEnd"/>
      <w:r>
        <w:rPr>
          <w:rFonts w:ascii="Times New Roman" w:hAnsi="Times New Roman"/>
          <w:sz w:val="22"/>
          <w:lang w:val="lt-LT"/>
        </w:rPr>
        <w:t>-MIP</w:t>
      </w:r>
    </w:p>
    <w:p w:rsidR="002B7F30" w:rsidRPr="00B34FA1" w:rsidRDefault="002B7F30" w:rsidP="002B7F30">
      <w:pPr>
        <w:numPr>
          <w:ilvl w:val="12"/>
          <w:numId w:val="0"/>
        </w:numPr>
        <w:tabs>
          <w:tab w:val="clear" w:pos="567"/>
        </w:tabs>
        <w:spacing w:line="240" w:lineRule="auto"/>
        <w:ind w:right="-2"/>
        <w:rPr>
          <w:szCs w:val="24"/>
          <w:lang w:val="lt-LT"/>
        </w:rPr>
      </w:pP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 xml:space="preserve">Clindamycin-MIP visada vartokite tiksliai, kaip nurodė gydytojas. Jeigu abejojate, kreipkitės į gydytoją arba vaistininką. </w:t>
      </w:r>
    </w:p>
    <w:p w:rsidR="002B7F30" w:rsidRPr="00C372F9" w:rsidRDefault="002B7F30" w:rsidP="002B7F30">
      <w:pPr>
        <w:tabs>
          <w:tab w:val="clear" w:pos="567"/>
          <w:tab w:val="left" w:pos="720"/>
        </w:tabs>
        <w:spacing w:line="240" w:lineRule="auto"/>
        <w:rPr>
          <w:iCs/>
          <w:noProof/>
          <w:snapToGrid/>
          <w:szCs w:val="22"/>
          <w:lang w:val="lt-LT" w:eastAsia="x-none"/>
        </w:rPr>
      </w:pPr>
    </w:p>
    <w:p w:rsidR="002B7F30" w:rsidRPr="00C372F9" w:rsidRDefault="002B7F30" w:rsidP="002B7F30">
      <w:pPr>
        <w:tabs>
          <w:tab w:val="clear" w:pos="567"/>
          <w:tab w:val="left" w:pos="720"/>
        </w:tabs>
        <w:spacing w:line="240" w:lineRule="auto"/>
        <w:rPr>
          <w:iCs/>
          <w:noProof/>
          <w:snapToGrid/>
          <w:szCs w:val="22"/>
          <w:lang w:val="lt-LT" w:eastAsia="x-none"/>
        </w:rPr>
      </w:pPr>
      <w:r w:rsidRPr="00AD54EE">
        <w:rPr>
          <w:i/>
          <w:iCs/>
          <w:noProof/>
          <w:snapToGrid/>
          <w:szCs w:val="22"/>
          <w:lang w:val="lt-LT" w:eastAsia="x-none"/>
        </w:rPr>
        <w:t>Clindamycin-MIP 300 mg plėvele dengtos tabletės</w:t>
      </w:r>
      <w:r w:rsidRPr="00C372F9">
        <w:rPr>
          <w:iCs/>
          <w:noProof/>
          <w:snapToGrid/>
          <w:szCs w:val="22"/>
          <w:lang w:val="lt-LT" w:eastAsia="x-none"/>
        </w:rPr>
        <w:t xml:space="preserve">. Priklausomai nuo infekcinės ligos sunkumo ir vietos vyresniems kaip 12 metų pacientams klindamicino paros dozė yra </w:t>
      </w:r>
      <w:r>
        <w:rPr>
          <w:iCs/>
          <w:noProof/>
          <w:snapToGrid/>
          <w:szCs w:val="22"/>
          <w:lang w:val="lt-LT" w:eastAsia="x-none"/>
        </w:rPr>
        <w:t>2</w:t>
      </w:r>
      <w:r w:rsidRPr="00C372F9">
        <w:rPr>
          <w:iCs/>
          <w:noProof/>
          <w:snapToGrid/>
          <w:szCs w:val="22"/>
          <w:lang w:val="lt-LT" w:eastAsia="x-none"/>
        </w:rPr>
        <w:t xml:space="preserve">-6 tabletės ( </w:t>
      </w:r>
      <w:r>
        <w:rPr>
          <w:iCs/>
          <w:noProof/>
          <w:snapToGrid/>
          <w:szCs w:val="22"/>
          <w:lang w:val="lt-LT" w:eastAsia="x-none"/>
        </w:rPr>
        <w:t>6</w:t>
      </w:r>
      <w:r w:rsidRPr="00C372F9">
        <w:rPr>
          <w:iCs/>
          <w:noProof/>
          <w:snapToGrid/>
          <w:szCs w:val="22"/>
          <w:lang w:val="lt-LT" w:eastAsia="x-none"/>
        </w:rPr>
        <w:t xml:space="preserve">00 - 1800 </w:t>
      </w:r>
      <w:r>
        <w:rPr>
          <w:iCs/>
          <w:noProof/>
          <w:snapToGrid/>
          <w:szCs w:val="22"/>
          <w:lang w:val="lt-LT" w:eastAsia="x-none"/>
        </w:rPr>
        <w:t>m</w:t>
      </w:r>
      <w:r w:rsidRPr="00C372F9">
        <w:rPr>
          <w:iCs/>
          <w:noProof/>
          <w:snapToGrid/>
          <w:szCs w:val="22"/>
          <w:lang w:val="lt-LT" w:eastAsia="x-none"/>
        </w:rPr>
        <w:t xml:space="preserve">g). Paros dozę reikia padalyti lygias dalis ir išgerti per 2, 3 ar 4 kartus. </w:t>
      </w:r>
    </w:p>
    <w:p w:rsidR="002B7F30" w:rsidRPr="0098011D" w:rsidRDefault="002B7F30" w:rsidP="002B7F30">
      <w:pPr>
        <w:rPr>
          <w:iCs/>
          <w:szCs w:val="24"/>
          <w:lang w:val="lt-LT"/>
        </w:rPr>
      </w:pPr>
    </w:p>
    <w:p w:rsidR="002B7F30" w:rsidRPr="00C372F9" w:rsidRDefault="002B7F30" w:rsidP="002B7F30">
      <w:pPr>
        <w:tabs>
          <w:tab w:val="clear" w:pos="567"/>
          <w:tab w:val="left" w:pos="720"/>
        </w:tabs>
        <w:spacing w:line="240" w:lineRule="auto"/>
        <w:rPr>
          <w:iCs/>
          <w:noProof/>
          <w:snapToGrid/>
          <w:szCs w:val="22"/>
          <w:lang w:val="lt-LT" w:eastAsia="x-none"/>
        </w:rPr>
      </w:pPr>
      <w:r w:rsidRPr="00AD54EE">
        <w:rPr>
          <w:i/>
          <w:iCs/>
          <w:noProof/>
          <w:snapToGrid/>
          <w:szCs w:val="22"/>
          <w:lang w:val="lt-LT" w:eastAsia="x-none"/>
        </w:rPr>
        <w:t>Clindamycin-MIP 600 mg plėvele dengtos tabletės</w:t>
      </w:r>
      <w:r w:rsidRPr="00C372F9">
        <w:rPr>
          <w:iCs/>
          <w:noProof/>
          <w:snapToGrid/>
          <w:szCs w:val="22"/>
          <w:lang w:val="lt-LT" w:eastAsia="x-none"/>
        </w:rPr>
        <w:t xml:space="preserve">. Paprastai per parą reikia gerti po 1 tabletę tris kartus, t.y.  1800 mg. Jei per parą reikia vartoti mažiau kaip 1800 mg, vartojamos klindamicino tabletės kuriose veikliosios medžiagos yra mažiau. </w:t>
      </w:r>
    </w:p>
    <w:p w:rsidR="002B7F30" w:rsidRPr="00C372F9" w:rsidRDefault="002B7F30" w:rsidP="002B7F30">
      <w:pPr>
        <w:tabs>
          <w:tab w:val="clear" w:pos="567"/>
          <w:tab w:val="left" w:pos="720"/>
        </w:tabs>
        <w:spacing w:line="240" w:lineRule="auto"/>
        <w:rPr>
          <w:iCs/>
          <w:noProof/>
          <w:snapToGrid/>
          <w:szCs w:val="22"/>
          <w:lang w:val="lt-LT" w:eastAsia="x-none"/>
        </w:rPr>
      </w:pP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 xml:space="preserve">Norint išvengti galimo stemplės suerzinimo, klindamicino hidrochlorido tabletė užgeriama pilna stikline vandens. </w:t>
      </w:r>
    </w:p>
    <w:p w:rsidR="002B7F30" w:rsidRPr="00C372F9" w:rsidRDefault="002B7F30" w:rsidP="002B7F30">
      <w:pPr>
        <w:tabs>
          <w:tab w:val="clear" w:pos="567"/>
          <w:tab w:val="left" w:pos="720"/>
        </w:tabs>
        <w:spacing w:line="240" w:lineRule="auto"/>
        <w:rPr>
          <w:i/>
          <w:iCs/>
          <w:noProof/>
          <w:snapToGrid/>
          <w:szCs w:val="22"/>
          <w:lang w:val="lt-LT" w:eastAsia="x-none"/>
        </w:rPr>
      </w:pPr>
    </w:p>
    <w:p w:rsidR="002B7F30" w:rsidRPr="00C372F9" w:rsidRDefault="002B7F30" w:rsidP="002B7F30">
      <w:pPr>
        <w:tabs>
          <w:tab w:val="clear" w:pos="567"/>
          <w:tab w:val="left" w:pos="720"/>
        </w:tabs>
        <w:spacing w:line="240" w:lineRule="auto"/>
        <w:rPr>
          <w:i/>
          <w:iCs/>
          <w:noProof/>
          <w:snapToGrid/>
          <w:szCs w:val="22"/>
          <w:lang w:val="lt-LT" w:eastAsia="x-none"/>
        </w:rPr>
      </w:pPr>
      <w:r w:rsidRPr="00C372F9">
        <w:rPr>
          <w:i/>
          <w:iCs/>
          <w:noProof/>
          <w:snapToGrid/>
          <w:szCs w:val="22"/>
          <w:lang w:val="lt-LT" w:eastAsia="x-none"/>
        </w:rPr>
        <w:t>Jaunesni kaip 12 metų vaikai</w:t>
      </w: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Jaunesniems kaip 12 metų vaikams Clindamycin-MIP vartoti nerekomenduojama.</w:t>
      </w:r>
    </w:p>
    <w:p w:rsidR="002B7F30" w:rsidRPr="00C372F9" w:rsidRDefault="002B7F30" w:rsidP="002B7F30">
      <w:pPr>
        <w:tabs>
          <w:tab w:val="clear" w:pos="567"/>
          <w:tab w:val="left" w:pos="720"/>
        </w:tabs>
        <w:spacing w:line="240" w:lineRule="auto"/>
        <w:rPr>
          <w:iCs/>
          <w:noProof/>
          <w:snapToGrid/>
          <w:szCs w:val="22"/>
          <w:lang w:val="lt-LT" w:eastAsia="x-none"/>
        </w:rPr>
      </w:pPr>
    </w:p>
    <w:p w:rsidR="002B7F30" w:rsidRPr="00C372F9" w:rsidRDefault="002B7F30" w:rsidP="002B7F30">
      <w:pPr>
        <w:numPr>
          <w:ilvl w:val="12"/>
          <w:numId w:val="0"/>
        </w:numPr>
        <w:tabs>
          <w:tab w:val="clear" w:pos="567"/>
        </w:tabs>
        <w:spacing w:line="240" w:lineRule="auto"/>
        <w:rPr>
          <w:i/>
          <w:snapToGrid/>
          <w:szCs w:val="22"/>
          <w:lang w:val="lt-LT" w:eastAsia="de-DE"/>
        </w:rPr>
      </w:pPr>
      <w:r w:rsidRPr="00C372F9">
        <w:rPr>
          <w:i/>
          <w:snapToGrid/>
          <w:szCs w:val="22"/>
          <w:lang w:val="lt-LT" w:eastAsia="de-DE"/>
        </w:rPr>
        <w:t>Senyvi pacientai</w:t>
      </w: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lastRenderedPageBreak/>
        <w:t>Senyviems pacientams, kurių kepenų ir inkstų veikla (įvertinus amžių) nesutrikusi, nereikia koreguoti vaisto dozės.</w:t>
      </w:r>
    </w:p>
    <w:p w:rsidR="002B7F30" w:rsidRPr="00C372F9" w:rsidRDefault="002B7F30" w:rsidP="002B7F30">
      <w:pPr>
        <w:tabs>
          <w:tab w:val="clear" w:pos="567"/>
          <w:tab w:val="left" w:pos="720"/>
        </w:tabs>
        <w:spacing w:line="240" w:lineRule="auto"/>
        <w:rPr>
          <w:iCs/>
          <w:noProof/>
          <w:snapToGrid/>
          <w:szCs w:val="22"/>
          <w:lang w:val="lt-LT" w:eastAsia="x-none"/>
        </w:rPr>
      </w:pPr>
    </w:p>
    <w:p w:rsidR="002B7F30" w:rsidRPr="00C372F9" w:rsidRDefault="002B7F30" w:rsidP="002B7F30">
      <w:pPr>
        <w:tabs>
          <w:tab w:val="clear" w:pos="567"/>
          <w:tab w:val="left" w:pos="720"/>
        </w:tabs>
        <w:spacing w:line="240" w:lineRule="auto"/>
        <w:rPr>
          <w:i/>
          <w:iCs/>
          <w:noProof/>
          <w:snapToGrid/>
          <w:szCs w:val="22"/>
          <w:lang w:val="lt-LT" w:eastAsia="x-none"/>
        </w:rPr>
      </w:pPr>
      <w:r w:rsidRPr="00C372F9">
        <w:rPr>
          <w:i/>
          <w:iCs/>
          <w:noProof/>
          <w:snapToGrid/>
          <w:szCs w:val="22"/>
          <w:lang w:val="lt-LT" w:eastAsia="x-none"/>
        </w:rPr>
        <w:t>Vartojimas sergant kepenų funkcijos nepakankamumu</w:t>
      </w: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 xml:space="preserve">Pacientams su kepenų nepakankamumu nėra būtina keisti klindamicino dozavimo. </w:t>
      </w:r>
    </w:p>
    <w:p w:rsidR="002B7F30" w:rsidRPr="00C372F9" w:rsidRDefault="002B7F30" w:rsidP="002B7F30">
      <w:pPr>
        <w:tabs>
          <w:tab w:val="clear" w:pos="567"/>
          <w:tab w:val="left" w:pos="720"/>
        </w:tabs>
        <w:spacing w:line="240" w:lineRule="auto"/>
        <w:rPr>
          <w:iCs/>
          <w:noProof/>
          <w:snapToGrid/>
          <w:szCs w:val="22"/>
          <w:lang w:val="lt-LT" w:eastAsia="x-none"/>
        </w:rPr>
      </w:pPr>
    </w:p>
    <w:p w:rsidR="002B7F30" w:rsidRPr="00C372F9" w:rsidRDefault="002B7F30" w:rsidP="002B7F30">
      <w:pPr>
        <w:tabs>
          <w:tab w:val="clear" w:pos="567"/>
          <w:tab w:val="left" w:pos="720"/>
        </w:tabs>
        <w:spacing w:line="240" w:lineRule="auto"/>
        <w:rPr>
          <w:i/>
          <w:iCs/>
          <w:noProof/>
          <w:snapToGrid/>
          <w:szCs w:val="22"/>
          <w:lang w:val="lt-LT" w:eastAsia="x-none"/>
        </w:rPr>
      </w:pPr>
      <w:r w:rsidRPr="00C372F9">
        <w:rPr>
          <w:i/>
          <w:iCs/>
          <w:noProof/>
          <w:snapToGrid/>
          <w:szCs w:val="22"/>
          <w:lang w:val="lt-LT" w:eastAsia="x-none"/>
        </w:rPr>
        <w:t>Vartojimas sergant inkstų funkcijos nepakankamumu</w:t>
      </w: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 xml:space="preserve">Pacientams su inkstų nepakankamumu nėra būtina keisti klindamicino dozavimo. </w:t>
      </w:r>
    </w:p>
    <w:p w:rsidR="002B7F30" w:rsidRPr="00C372F9" w:rsidRDefault="002B7F30" w:rsidP="002B7F30">
      <w:pPr>
        <w:numPr>
          <w:ilvl w:val="12"/>
          <w:numId w:val="0"/>
        </w:numPr>
        <w:tabs>
          <w:tab w:val="clear" w:pos="567"/>
        </w:tabs>
        <w:spacing w:line="240" w:lineRule="auto"/>
        <w:rPr>
          <w:i/>
          <w:snapToGrid/>
          <w:szCs w:val="22"/>
          <w:lang w:val="lt-LT" w:eastAsia="de-DE"/>
        </w:rPr>
      </w:pPr>
    </w:p>
    <w:p w:rsidR="002B7F30" w:rsidRPr="00C372F9" w:rsidRDefault="002B7F30" w:rsidP="002B7F30">
      <w:pPr>
        <w:numPr>
          <w:ilvl w:val="12"/>
          <w:numId w:val="0"/>
        </w:numPr>
        <w:tabs>
          <w:tab w:val="clear" w:pos="567"/>
        </w:tabs>
        <w:spacing w:line="240" w:lineRule="auto"/>
        <w:rPr>
          <w:i/>
          <w:snapToGrid/>
          <w:szCs w:val="22"/>
          <w:lang w:val="lt-LT" w:eastAsia="de-DE"/>
        </w:rPr>
      </w:pPr>
      <w:r w:rsidRPr="00C372F9">
        <w:rPr>
          <w:i/>
          <w:snapToGrid/>
          <w:szCs w:val="22"/>
          <w:lang w:val="lt-LT" w:eastAsia="de-DE"/>
        </w:rPr>
        <w:t>Dozavimas tam tikrų ligų atvejais</w:t>
      </w:r>
    </w:p>
    <w:p w:rsidR="002B7F30" w:rsidRPr="00C372F9" w:rsidRDefault="002B7F30" w:rsidP="002B7F30">
      <w:pPr>
        <w:numPr>
          <w:ilvl w:val="12"/>
          <w:numId w:val="0"/>
        </w:numPr>
        <w:tabs>
          <w:tab w:val="clear" w:pos="567"/>
        </w:tabs>
        <w:spacing w:line="240" w:lineRule="auto"/>
        <w:rPr>
          <w:snapToGrid/>
          <w:szCs w:val="22"/>
          <w:u w:val="single"/>
          <w:lang w:val="lt-LT" w:eastAsia="de-DE"/>
        </w:rPr>
      </w:pPr>
    </w:p>
    <w:p w:rsidR="002B7F30" w:rsidRPr="00C372F9" w:rsidRDefault="002B7F30" w:rsidP="002B7F30">
      <w:pPr>
        <w:numPr>
          <w:ilvl w:val="12"/>
          <w:numId w:val="0"/>
        </w:numPr>
        <w:tabs>
          <w:tab w:val="clear" w:pos="567"/>
        </w:tabs>
        <w:spacing w:line="240" w:lineRule="auto"/>
        <w:rPr>
          <w:snapToGrid/>
          <w:szCs w:val="22"/>
          <w:u w:val="single"/>
          <w:lang w:val="lt-LT" w:eastAsia="de-DE"/>
        </w:rPr>
      </w:pPr>
      <w:r w:rsidRPr="00C372F9">
        <w:rPr>
          <w:snapToGrid/>
          <w:szCs w:val="22"/>
          <w:u w:val="single"/>
          <w:lang w:val="lt-LT" w:eastAsia="de-DE"/>
        </w:rPr>
        <w:t>β hemolizinių streptokokų sukeltoms infekcinėms ligoms gydyti.</w:t>
      </w:r>
    </w:p>
    <w:p w:rsidR="002B7F30" w:rsidRPr="00C372F9" w:rsidRDefault="002B7F30" w:rsidP="002B7F30">
      <w:pPr>
        <w:numPr>
          <w:ilvl w:val="12"/>
          <w:numId w:val="0"/>
        </w:numPr>
        <w:tabs>
          <w:tab w:val="clear" w:pos="567"/>
        </w:tabs>
        <w:spacing w:line="240" w:lineRule="auto"/>
        <w:rPr>
          <w:snapToGrid/>
          <w:szCs w:val="22"/>
          <w:lang w:val="lt-LT" w:eastAsia="de-DE"/>
        </w:rPr>
      </w:pPr>
      <w:r w:rsidRPr="00C372F9">
        <w:rPr>
          <w:snapToGrid/>
          <w:szCs w:val="22"/>
          <w:lang w:val="lt-LT" w:eastAsia="de-DE"/>
        </w:rPr>
        <w:t>Vartojamos vaisto dozės, rekomenduotos aukščiau. Gydymas turi trukti bent 10 dienų.</w:t>
      </w:r>
    </w:p>
    <w:p w:rsidR="002B7F30" w:rsidRPr="00C372F9" w:rsidRDefault="002B7F30" w:rsidP="002B7F30">
      <w:pPr>
        <w:numPr>
          <w:ilvl w:val="12"/>
          <w:numId w:val="0"/>
        </w:numPr>
        <w:tabs>
          <w:tab w:val="clear" w:pos="567"/>
        </w:tabs>
        <w:spacing w:line="240" w:lineRule="auto"/>
        <w:rPr>
          <w:snapToGrid/>
          <w:szCs w:val="22"/>
          <w:u w:val="single"/>
          <w:lang w:val="lt-LT" w:eastAsia="de-DE"/>
        </w:rPr>
      </w:pPr>
    </w:p>
    <w:p w:rsidR="002B7F30" w:rsidRPr="00C372F9" w:rsidRDefault="002B7F30" w:rsidP="002B7F30">
      <w:pPr>
        <w:keepNext/>
        <w:numPr>
          <w:ilvl w:val="12"/>
          <w:numId w:val="0"/>
        </w:numPr>
        <w:tabs>
          <w:tab w:val="clear" w:pos="567"/>
        </w:tabs>
        <w:spacing w:line="240" w:lineRule="auto"/>
        <w:rPr>
          <w:snapToGrid/>
          <w:szCs w:val="22"/>
          <w:u w:val="single"/>
          <w:lang w:val="lt-LT" w:eastAsia="de-DE"/>
        </w:rPr>
      </w:pPr>
      <w:r w:rsidRPr="00C372F9">
        <w:rPr>
          <w:snapToGrid/>
          <w:szCs w:val="22"/>
          <w:u w:val="single"/>
          <w:lang w:val="lt-LT" w:eastAsia="de-DE"/>
        </w:rPr>
        <w:t>Uždegiminės dubens ligos gydymas ligoninėje.</w:t>
      </w:r>
    </w:p>
    <w:p w:rsidR="002B7F30" w:rsidRPr="00C372F9" w:rsidRDefault="002B7F30" w:rsidP="002B7F30">
      <w:pPr>
        <w:keepNext/>
        <w:tabs>
          <w:tab w:val="clear" w:pos="567"/>
          <w:tab w:val="left" w:pos="720"/>
        </w:tabs>
        <w:spacing w:line="240" w:lineRule="auto"/>
        <w:rPr>
          <w:iCs/>
          <w:noProof/>
          <w:snapToGrid/>
          <w:szCs w:val="22"/>
          <w:lang w:val="lt-LT" w:eastAsia="x-none"/>
        </w:rPr>
      </w:pPr>
      <w:r w:rsidRPr="00C372F9">
        <w:rPr>
          <w:iCs/>
          <w:noProof/>
          <w:snapToGrid/>
          <w:szCs w:val="22"/>
          <w:lang w:val="lt-LT" w:eastAsia="x-none"/>
        </w:rPr>
        <w:t>Vartojama 900 mg klindamicino fosfato į veną kas 8 val. kartu su kitu tinkamu antibiotiku. Šie vaistai vartojami į veną bent keturias dienas ir bent 48 val. po to, kai būklė pagerėja. Vėliau geriama 450 mg Clindamycin-MIP kas 6 valandas ir viso gydymo trukmė yra 10 -</w:t>
      </w:r>
      <w:r w:rsidRPr="00C372F9">
        <w:rPr>
          <w:iCs/>
          <w:noProof/>
          <w:snapToGrid/>
          <w:szCs w:val="22"/>
          <w:lang w:val="lt-LT" w:eastAsia="x-none"/>
        </w:rPr>
        <w:softHyphen/>
        <w:t> 14 dienų.</w:t>
      </w:r>
    </w:p>
    <w:p w:rsidR="002B7F30" w:rsidRPr="00C372F9" w:rsidRDefault="002B7F30" w:rsidP="002B7F30">
      <w:pPr>
        <w:tabs>
          <w:tab w:val="clear" w:pos="567"/>
          <w:tab w:val="left" w:pos="720"/>
        </w:tabs>
        <w:spacing w:line="240" w:lineRule="auto"/>
        <w:rPr>
          <w:iCs/>
          <w:noProof/>
          <w:snapToGrid/>
          <w:szCs w:val="22"/>
          <w:lang w:val="lt-LT" w:eastAsia="x-none"/>
        </w:rPr>
      </w:pPr>
    </w:p>
    <w:p w:rsidR="002B7F30" w:rsidRPr="00C372F9" w:rsidRDefault="002B7F30" w:rsidP="002B7F30">
      <w:pPr>
        <w:tabs>
          <w:tab w:val="clear" w:pos="567"/>
          <w:tab w:val="left" w:pos="720"/>
        </w:tabs>
        <w:spacing w:line="240" w:lineRule="auto"/>
        <w:rPr>
          <w:iCs/>
          <w:noProof/>
          <w:snapToGrid/>
          <w:szCs w:val="22"/>
          <w:u w:val="single"/>
          <w:lang w:val="lt-LT" w:eastAsia="x-none"/>
        </w:rPr>
      </w:pPr>
      <w:r w:rsidRPr="00C372F9">
        <w:rPr>
          <w:i/>
          <w:iCs/>
          <w:noProof/>
          <w:snapToGrid/>
          <w:szCs w:val="22"/>
          <w:u w:val="single"/>
          <w:lang w:val="lt-LT" w:eastAsia="x-none"/>
        </w:rPr>
        <w:t>Chlamydia trachomatis</w:t>
      </w:r>
      <w:r w:rsidRPr="00C372F9">
        <w:rPr>
          <w:iCs/>
          <w:noProof/>
          <w:snapToGrid/>
          <w:szCs w:val="22"/>
          <w:u w:val="single"/>
          <w:lang w:val="lt-LT" w:eastAsia="x-none"/>
        </w:rPr>
        <w:t xml:space="preserve"> sukelto gimdos kaklelio uždegimo gydymas:</w:t>
      </w: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Geriamos Clindamycin-MIP tabletės. Vartojama 450 mg keturis kartus per parą, 10-14 dienų.</w:t>
      </w:r>
    </w:p>
    <w:p w:rsidR="002B7F30" w:rsidRPr="00C372F9" w:rsidRDefault="002B7F30" w:rsidP="002B7F30">
      <w:pPr>
        <w:tabs>
          <w:tab w:val="clear" w:pos="567"/>
          <w:tab w:val="left" w:pos="720"/>
        </w:tabs>
        <w:spacing w:line="240" w:lineRule="auto"/>
        <w:rPr>
          <w:iCs/>
          <w:noProof/>
          <w:snapToGrid/>
          <w:szCs w:val="22"/>
          <w:lang w:val="lt-LT" w:eastAsia="x-none"/>
        </w:rPr>
      </w:pPr>
    </w:p>
    <w:p w:rsidR="002B7F30" w:rsidRPr="00C372F9" w:rsidRDefault="002B7F30" w:rsidP="002B7F30">
      <w:pPr>
        <w:numPr>
          <w:ilvl w:val="12"/>
          <w:numId w:val="0"/>
        </w:numPr>
        <w:tabs>
          <w:tab w:val="clear" w:pos="567"/>
        </w:tabs>
        <w:spacing w:line="240" w:lineRule="auto"/>
        <w:jc w:val="both"/>
        <w:rPr>
          <w:snapToGrid/>
          <w:szCs w:val="22"/>
          <w:u w:val="single"/>
          <w:lang w:val="lt-LT" w:eastAsia="de-DE"/>
        </w:rPr>
      </w:pPr>
      <w:r w:rsidRPr="00C372F9">
        <w:rPr>
          <w:snapToGrid/>
          <w:szCs w:val="22"/>
          <w:u w:val="single"/>
          <w:lang w:val="lt-LT" w:eastAsia="de-DE"/>
        </w:rPr>
        <w:t>Ūminio streptokokų sukelto migdolų ar ryklės uždegimo gydymas.</w:t>
      </w:r>
    </w:p>
    <w:p w:rsidR="002B7F30" w:rsidRPr="00C372F9" w:rsidRDefault="002B7F30" w:rsidP="002B7F30">
      <w:pPr>
        <w:tabs>
          <w:tab w:val="clear" w:pos="567"/>
          <w:tab w:val="left" w:pos="720"/>
        </w:tabs>
        <w:spacing w:line="240" w:lineRule="auto"/>
        <w:rPr>
          <w:iCs/>
          <w:noProof/>
          <w:snapToGrid/>
          <w:szCs w:val="22"/>
          <w:lang w:val="lt-LT" w:eastAsia="x-none"/>
        </w:rPr>
      </w:pPr>
      <w:r w:rsidRPr="00C372F9">
        <w:rPr>
          <w:iCs/>
          <w:noProof/>
          <w:snapToGrid/>
          <w:szCs w:val="22"/>
          <w:lang w:val="lt-LT" w:eastAsia="x-none"/>
        </w:rPr>
        <w:t>Geriama 300 mg Clindamycin-MIP du kartus per parą. Gydymo trukmė – 10 dienų.</w:t>
      </w:r>
    </w:p>
    <w:p w:rsidR="002B7F30" w:rsidRPr="00C372F9" w:rsidRDefault="002B7F30" w:rsidP="002B7F30">
      <w:pPr>
        <w:tabs>
          <w:tab w:val="clear" w:pos="567"/>
          <w:tab w:val="left" w:pos="720"/>
        </w:tabs>
        <w:spacing w:line="240" w:lineRule="auto"/>
        <w:rPr>
          <w:iCs/>
          <w:noProof/>
          <w:snapToGrid/>
          <w:sz w:val="20"/>
          <w:lang w:val="lt-LT" w:eastAsia="x-none"/>
        </w:rPr>
      </w:pPr>
    </w:p>
    <w:p w:rsidR="002B7F30" w:rsidRPr="00C372F9" w:rsidRDefault="002B7F30" w:rsidP="002B7F30">
      <w:pPr>
        <w:tabs>
          <w:tab w:val="clear" w:pos="567"/>
        </w:tabs>
        <w:spacing w:line="220" w:lineRule="exact"/>
        <w:rPr>
          <w:b/>
          <w:bCs/>
          <w:noProof/>
          <w:snapToGrid/>
          <w:szCs w:val="22"/>
          <w:lang w:val="lt-LT"/>
        </w:rPr>
      </w:pPr>
      <w:r w:rsidRPr="00793882">
        <w:rPr>
          <w:b/>
          <w:bCs/>
          <w:noProof/>
          <w:snapToGrid/>
          <w:szCs w:val="22"/>
          <w:lang w:val="lt-LT"/>
        </w:rPr>
        <w:t xml:space="preserve">Ką daryti </w:t>
      </w:r>
      <w:r>
        <w:rPr>
          <w:b/>
          <w:bCs/>
          <w:noProof/>
          <w:snapToGrid/>
          <w:szCs w:val="22"/>
          <w:lang w:val="lt-LT"/>
        </w:rPr>
        <w:t>p</w:t>
      </w:r>
      <w:r w:rsidRPr="00C372F9">
        <w:rPr>
          <w:b/>
          <w:bCs/>
          <w:noProof/>
          <w:snapToGrid/>
          <w:szCs w:val="22"/>
          <w:lang w:val="lt-LT"/>
        </w:rPr>
        <w:t>avartojus per didelę Clindamycin-MIP dozę</w:t>
      </w:r>
    </w:p>
    <w:p w:rsidR="002B7F30" w:rsidRPr="006842DF" w:rsidRDefault="002B7F30" w:rsidP="002B7F30">
      <w:pPr>
        <w:tabs>
          <w:tab w:val="clear" w:pos="567"/>
          <w:tab w:val="left" w:pos="720"/>
        </w:tabs>
        <w:spacing w:line="240" w:lineRule="auto"/>
        <w:rPr>
          <w:iCs/>
          <w:noProof/>
          <w:snapToGrid/>
          <w:szCs w:val="22"/>
          <w:lang w:val="lt-LT" w:eastAsia="x-none"/>
        </w:rPr>
      </w:pPr>
      <w:r w:rsidRPr="006842DF">
        <w:rPr>
          <w:iCs/>
          <w:noProof/>
          <w:snapToGrid/>
          <w:szCs w:val="22"/>
          <w:lang w:val="lt-LT" w:eastAsia="x-none"/>
        </w:rPr>
        <w:t>Jei atsitiktinai suvartojote per didelę vaisto</w:t>
      </w:r>
      <w:r w:rsidRPr="006842DF">
        <w:rPr>
          <w:iCs/>
          <w:noProof/>
          <w:snapToGrid/>
          <w:spacing w:val="20"/>
          <w:szCs w:val="22"/>
          <w:lang w:val="lt-LT" w:eastAsia="x-none"/>
        </w:rPr>
        <w:t xml:space="preserve"> dozę</w:t>
      </w:r>
      <w:r w:rsidRPr="006842DF">
        <w:rPr>
          <w:iCs/>
          <w:noProof/>
          <w:snapToGrid/>
          <w:szCs w:val="22"/>
          <w:lang w:val="lt-LT" w:eastAsia="x-none"/>
        </w:rPr>
        <w:t>, apie tai būtina nedelsiant pranešti gydytojui arba kreiptis į ligoninę.</w:t>
      </w:r>
    </w:p>
    <w:p w:rsidR="002B7F30" w:rsidRPr="006842DF" w:rsidRDefault="002B7F30" w:rsidP="002B7F30">
      <w:pPr>
        <w:tabs>
          <w:tab w:val="clear" w:pos="567"/>
          <w:tab w:val="left" w:pos="720"/>
        </w:tabs>
        <w:spacing w:line="240" w:lineRule="auto"/>
        <w:rPr>
          <w:iCs/>
          <w:noProof/>
          <w:snapToGrid/>
          <w:szCs w:val="22"/>
          <w:lang w:val="lt-LT" w:eastAsia="x-none"/>
        </w:rPr>
      </w:pPr>
    </w:p>
    <w:p w:rsidR="002B7F30" w:rsidRPr="006842DF" w:rsidRDefault="002B7F30" w:rsidP="002B7F30">
      <w:pPr>
        <w:tabs>
          <w:tab w:val="clear" w:pos="567"/>
          <w:tab w:val="left" w:pos="720"/>
        </w:tabs>
        <w:spacing w:line="240" w:lineRule="auto"/>
        <w:rPr>
          <w:iCs/>
          <w:noProof/>
          <w:snapToGrid/>
          <w:szCs w:val="22"/>
          <w:lang w:val="lt-LT" w:eastAsia="x-none"/>
        </w:rPr>
      </w:pPr>
      <w:r w:rsidRPr="006842DF">
        <w:rPr>
          <w:iCs/>
          <w:noProof/>
          <w:snapToGrid/>
          <w:szCs w:val="22"/>
          <w:lang w:val="lt-LT" w:eastAsia="x-none"/>
        </w:rPr>
        <w:t>Jeigu įtariate, kad išgėrėte per daug vaisto, nedelsdamas kreipkitės į gydytoją.</w:t>
      </w:r>
    </w:p>
    <w:p w:rsidR="002B7F30" w:rsidRPr="00C372F9" w:rsidRDefault="002B7F30" w:rsidP="002B7F30">
      <w:pPr>
        <w:tabs>
          <w:tab w:val="clear" w:pos="567"/>
        </w:tabs>
        <w:spacing w:line="220" w:lineRule="exact"/>
        <w:rPr>
          <w:b/>
          <w:bCs/>
          <w:noProof/>
          <w:snapToGrid/>
          <w:szCs w:val="22"/>
          <w:lang w:val="lt-LT"/>
        </w:rPr>
      </w:pPr>
    </w:p>
    <w:p w:rsidR="002B7F30" w:rsidRPr="002040EE" w:rsidRDefault="002B7F30" w:rsidP="002B7F30">
      <w:pPr>
        <w:tabs>
          <w:tab w:val="clear" w:pos="567"/>
        </w:tabs>
        <w:spacing w:line="220" w:lineRule="exact"/>
        <w:rPr>
          <w:b/>
          <w:bCs/>
          <w:noProof/>
          <w:snapToGrid/>
          <w:szCs w:val="22"/>
          <w:lang w:val="lt-LT"/>
        </w:rPr>
      </w:pPr>
      <w:r w:rsidRPr="002040EE">
        <w:rPr>
          <w:b/>
          <w:bCs/>
          <w:noProof/>
          <w:snapToGrid/>
          <w:szCs w:val="22"/>
          <w:lang w:val="lt-LT"/>
        </w:rPr>
        <w:t>Pamiršus pavartoti Clindamycin-MIP</w:t>
      </w:r>
    </w:p>
    <w:p w:rsidR="002B7F30" w:rsidRPr="002040EE" w:rsidRDefault="002B7F30" w:rsidP="002B7F30">
      <w:pPr>
        <w:tabs>
          <w:tab w:val="clear" w:pos="567"/>
          <w:tab w:val="left" w:pos="720"/>
        </w:tabs>
        <w:spacing w:line="240" w:lineRule="auto"/>
        <w:rPr>
          <w:iCs/>
          <w:noProof/>
          <w:snapToGrid/>
          <w:szCs w:val="22"/>
          <w:lang w:val="lt-LT" w:eastAsia="x-none"/>
        </w:rPr>
      </w:pPr>
      <w:r w:rsidRPr="002040EE">
        <w:rPr>
          <w:iCs/>
          <w:noProof/>
          <w:snapToGrid/>
          <w:szCs w:val="22"/>
          <w:lang w:val="lt-LT" w:eastAsia="x-none"/>
        </w:rPr>
        <w:t>Negalima vartoti dvigubos dozės norint kompensuoti praleistą dozę.</w:t>
      </w:r>
    </w:p>
    <w:p w:rsidR="002B7F30" w:rsidRPr="002040EE" w:rsidRDefault="002B7F30" w:rsidP="002B7F30">
      <w:pPr>
        <w:tabs>
          <w:tab w:val="clear" w:pos="567"/>
          <w:tab w:val="left" w:pos="720"/>
        </w:tabs>
        <w:spacing w:line="240" w:lineRule="auto"/>
        <w:rPr>
          <w:iCs/>
          <w:noProof/>
          <w:snapToGrid/>
          <w:szCs w:val="22"/>
          <w:lang w:val="lt-LT" w:eastAsia="x-none"/>
        </w:rPr>
      </w:pPr>
    </w:p>
    <w:p w:rsidR="002B7F30" w:rsidRPr="002040EE" w:rsidRDefault="002B7F30" w:rsidP="002B7F30">
      <w:pPr>
        <w:tabs>
          <w:tab w:val="clear" w:pos="567"/>
          <w:tab w:val="left" w:pos="720"/>
        </w:tabs>
        <w:spacing w:line="240" w:lineRule="auto"/>
        <w:rPr>
          <w:iCs/>
          <w:noProof/>
          <w:snapToGrid/>
          <w:szCs w:val="22"/>
          <w:lang w:val="lt-LT" w:eastAsia="x-none"/>
        </w:rPr>
      </w:pPr>
      <w:r w:rsidRPr="002040EE">
        <w:rPr>
          <w:iCs/>
          <w:noProof/>
          <w:snapToGrid/>
          <w:szCs w:val="22"/>
          <w:lang w:val="lt-LT" w:eastAsia="x-none"/>
        </w:rPr>
        <w:t>Jeigu kiltų daugiau klausimų dėl šio vaisto vartojimo, kreipkitės į gydytoją arba vaistininką.</w:t>
      </w:r>
    </w:p>
    <w:p w:rsidR="002B7F30" w:rsidRPr="002040EE" w:rsidRDefault="002B7F30" w:rsidP="002B7F30">
      <w:pPr>
        <w:numPr>
          <w:ilvl w:val="12"/>
          <w:numId w:val="0"/>
        </w:numPr>
        <w:tabs>
          <w:tab w:val="clear" w:pos="567"/>
        </w:tabs>
        <w:spacing w:line="240" w:lineRule="auto"/>
        <w:rPr>
          <w:szCs w:val="22"/>
          <w:lang w:val="lt-LT"/>
        </w:rPr>
      </w:pPr>
    </w:p>
    <w:p w:rsidR="002B7F30" w:rsidRPr="00B34FA1" w:rsidRDefault="002B7F30" w:rsidP="002B7F30">
      <w:pPr>
        <w:numPr>
          <w:ilvl w:val="12"/>
          <w:numId w:val="0"/>
        </w:numPr>
        <w:tabs>
          <w:tab w:val="clear" w:pos="567"/>
        </w:tabs>
        <w:spacing w:line="240" w:lineRule="auto"/>
        <w:rPr>
          <w:szCs w:val="24"/>
          <w:lang w:val="lt-LT"/>
        </w:rPr>
      </w:pPr>
    </w:p>
    <w:p w:rsidR="002B7F30" w:rsidRPr="00B34FA1" w:rsidRDefault="002B7F30" w:rsidP="002B7F30">
      <w:pPr>
        <w:pStyle w:val="Antrat3"/>
        <w:spacing w:before="0" w:after="0" w:line="240" w:lineRule="auto"/>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rsidR="002B7F30" w:rsidRPr="00B34FA1" w:rsidRDefault="002B7F30" w:rsidP="002B7F30">
      <w:pPr>
        <w:numPr>
          <w:ilvl w:val="12"/>
          <w:numId w:val="0"/>
        </w:numPr>
        <w:tabs>
          <w:tab w:val="clear" w:pos="567"/>
        </w:tabs>
        <w:spacing w:line="240" w:lineRule="auto"/>
        <w:rPr>
          <w:szCs w:val="24"/>
          <w:lang w:val="lt-LT"/>
        </w:rPr>
      </w:pPr>
    </w:p>
    <w:p w:rsidR="002B7F30" w:rsidRPr="00B34FA1" w:rsidRDefault="002B7F30" w:rsidP="002B7F30">
      <w:pPr>
        <w:numPr>
          <w:ilvl w:val="12"/>
          <w:numId w:val="0"/>
        </w:numPr>
        <w:tabs>
          <w:tab w:val="clear" w:pos="567"/>
        </w:tabs>
        <w:spacing w:line="240" w:lineRule="auto"/>
        <w:ind w:right="-29"/>
        <w:rPr>
          <w:szCs w:val="24"/>
          <w:lang w:val="lt-LT"/>
        </w:rPr>
      </w:pPr>
      <w:r w:rsidRPr="00B34FA1">
        <w:rPr>
          <w:noProof/>
          <w:szCs w:val="24"/>
          <w:lang w:val="lt-LT"/>
        </w:rPr>
        <w:t>Šis vaistas, kaip ir visi kiti, gali sukelti šalutinį poveikį, nors jis pasireiškia ne visiems žmonėms.</w:t>
      </w:r>
    </w:p>
    <w:p w:rsidR="002B7F30" w:rsidRDefault="002B7F30" w:rsidP="002B7F30">
      <w:pPr>
        <w:numPr>
          <w:ilvl w:val="12"/>
          <w:numId w:val="0"/>
        </w:numPr>
        <w:tabs>
          <w:tab w:val="clear" w:pos="567"/>
        </w:tabs>
        <w:spacing w:line="240" w:lineRule="auto"/>
        <w:ind w:right="-29"/>
        <w:rPr>
          <w:szCs w:val="24"/>
          <w:lang w:val="lt-LT"/>
        </w:rPr>
      </w:pPr>
    </w:p>
    <w:p w:rsidR="002B7F30" w:rsidRPr="00466093" w:rsidRDefault="002B7F30" w:rsidP="002B7F30">
      <w:pPr>
        <w:tabs>
          <w:tab w:val="clear" w:pos="567"/>
        </w:tabs>
        <w:autoSpaceDE w:val="0"/>
        <w:spacing w:line="240" w:lineRule="auto"/>
        <w:contextualSpacing/>
        <w:rPr>
          <w:lang w:val="lt-LT"/>
        </w:rPr>
      </w:pPr>
      <w:r w:rsidRPr="00D575CD">
        <w:rPr>
          <w:szCs w:val="22"/>
          <w:lang w:val="lt-LT"/>
        </w:rPr>
        <w:t xml:space="preserve">Nepageidaujamo poveikio </w:t>
      </w:r>
      <w:r w:rsidRPr="00D575CD">
        <w:rPr>
          <w:lang w:val="lt-LT"/>
        </w:rPr>
        <w:t>dažnis apibūdinamas taip: labai dažnas (≥ 1/10), dažnas (nuo ≥ 1/100 iki &lt; 1/10), nedažnas (nuo ≥ 1/1</w:t>
      </w:r>
      <w:r>
        <w:rPr>
          <w:lang w:val="lt-LT"/>
        </w:rPr>
        <w:t xml:space="preserve"> </w:t>
      </w:r>
      <w:r w:rsidRPr="00D575CD">
        <w:rPr>
          <w:lang w:val="lt-LT"/>
        </w:rPr>
        <w:t>000 iki &lt; 1/100), retas (nuo ≥ 1/10</w:t>
      </w:r>
      <w:r>
        <w:rPr>
          <w:lang w:val="lt-LT"/>
        </w:rPr>
        <w:t xml:space="preserve"> </w:t>
      </w:r>
      <w:r w:rsidRPr="00D575CD">
        <w:rPr>
          <w:lang w:val="lt-LT"/>
        </w:rPr>
        <w:t>000 iki &lt; 1/1</w:t>
      </w:r>
      <w:r>
        <w:rPr>
          <w:lang w:val="lt-LT"/>
        </w:rPr>
        <w:t xml:space="preserve"> </w:t>
      </w:r>
      <w:r w:rsidRPr="00D575CD">
        <w:rPr>
          <w:lang w:val="lt-LT"/>
        </w:rPr>
        <w:t>000), labai retas (&lt; 1/10</w:t>
      </w:r>
      <w:r>
        <w:rPr>
          <w:lang w:val="lt-LT"/>
        </w:rPr>
        <w:t xml:space="preserve"> </w:t>
      </w:r>
      <w:r w:rsidRPr="00D575CD">
        <w:rPr>
          <w:lang w:val="lt-LT"/>
        </w:rPr>
        <w:t>000) ir nežinomas (negali būti apskaičiuotas pagal turimus duomenis).</w:t>
      </w:r>
    </w:p>
    <w:p w:rsidR="002B7F30" w:rsidRPr="004F0844" w:rsidRDefault="002B7F30" w:rsidP="002B7F30">
      <w:pPr>
        <w:numPr>
          <w:ilvl w:val="12"/>
          <w:numId w:val="0"/>
        </w:numPr>
        <w:tabs>
          <w:tab w:val="clear" w:pos="567"/>
        </w:tabs>
        <w:spacing w:line="240" w:lineRule="auto"/>
        <w:ind w:right="-29"/>
        <w:rPr>
          <w:szCs w:val="22"/>
          <w:lang w:val="lt-LT"/>
        </w:rPr>
      </w:pPr>
    </w:p>
    <w:p w:rsidR="002B7F30" w:rsidRPr="004F0844" w:rsidRDefault="002B7F30" w:rsidP="002B7F30">
      <w:pPr>
        <w:numPr>
          <w:ilvl w:val="12"/>
          <w:numId w:val="0"/>
        </w:numPr>
        <w:tabs>
          <w:tab w:val="clear" w:pos="567"/>
        </w:tabs>
        <w:spacing w:line="240" w:lineRule="auto"/>
        <w:jc w:val="both"/>
        <w:rPr>
          <w:iCs/>
          <w:snapToGrid/>
          <w:szCs w:val="22"/>
          <w:u w:val="single"/>
          <w:lang w:val="lt-LT" w:eastAsia="de-DE"/>
        </w:rPr>
      </w:pPr>
      <w:r w:rsidRPr="004F0844">
        <w:rPr>
          <w:iCs/>
          <w:snapToGrid/>
          <w:szCs w:val="22"/>
          <w:u w:val="single"/>
          <w:lang w:val="lt-LT" w:eastAsia="de-DE"/>
        </w:rPr>
        <w:t xml:space="preserve">Virškinimo trakto sutrikimai: </w:t>
      </w:r>
    </w:p>
    <w:p w:rsidR="002B7F30" w:rsidRPr="004F0844" w:rsidRDefault="002B7F30" w:rsidP="002B7F30">
      <w:pPr>
        <w:tabs>
          <w:tab w:val="clear" w:pos="567"/>
          <w:tab w:val="left" w:pos="720"/>
        </w:tabs>
        <w:spacing w:line="240" w:lineRule="auto"/>
        <w:ind w:left="1290" w:hanging="1290"/>
        <w:rPr>
          <w:iCs/>
          <w:noProof/>
          <w:snapToGrid/>
          <w:szCs w:val="22"/>
          <w:lang w:val="lt-LT" w:eastAsia="x-none"/>
        </w:rPr>
      </w:pPr>
      <w:r w:rsidRPr="004F0844">
        <w:rPr>
          <w:i/>
          <w:iCs/>
          <w:noProof/>
          <w:snapToGrid/>
          <w:szCs w:val="22"/>
          <w:lang w:val="lt-LT" w:eastAsia="x-none"/>
        </w:rPr>
        <w:t>Dažni</w:t>
      </w:r>
      <w:r w:rsidRPr="004F0844">
        <w:rPr>
          <w:noProof/>
          <w:snapToGrid/>
          <w:szCs w:val="22"/>
          <w:lang w:val="lt-LT" w:eastAsia="x-none"/>
        </w:rPr>
        <w:t xml:space="preserve">: </w:t>
      </w:r>
      <w:r w:rsidRPr="004F0844">
        <w:rPr>
          <w:noProof/>
          <w:snapToGrid/>
          <w:szCs w:val="22"/>
          <w:lang w:val="lt-LT" w:eastAsia="x-none"/>
        </w:rPr>
        <w:tab/>
      </w:r>
      <w:r w:rsidRPr="004F0844">
        <w:rPr>
          <w:noProof/>
          <w:snapToGrid/>
          <w:szCs w:val="22"/>
          <w:lang w:val="lt-LT" w:eastAsia="x-none"/>
        </w:rPr>
        <w:tab/>
      </w:r>
      <w:r w:rsidRPr="004F0844">
        <w:rPr>
          <w:iCs/>
          <w:noProof/>
          <w:snapToGrid/>
          <w:szCs w:val="22"/>
          <w:lang w:val="lt-LT" w:eastAsia="x-none"/>
        </w:rPr>
        <w:t>pilvo skausmas, pykinimas, vėmimas, viduriavimas, stemplės uždegimas, storosios žarnos uždegimas ir stemplės opa.</w:t>
      </w:r>
    </w:p>
    <w:p w:rsidR="002B7F30" w:rsidRPr="004F0844" w:rsidRDefault="002B7F30" w:rsidP="002B7F30">
      <w:pPr>
        <w:tabs>
          <w:tab w:val="clear" w:pos="567"/>
          <w:tab w:val="left" w:pos="720"/>
        </w:tabs>
        <w:spacing w:line="240" w:lineRule="auto"/>
        <w:rPr>
          <w:i/>
          <w:iCs/>
          <w:noProof/>
          <w:snapToGrid/>
          <w:szCs w:val="22"/>
          <w:lang w:val="lt-LT" w:eastAsia="x-none"/>
        </w:rPr>
      </w:pPr>
    </w:p>
    <w:p w:rsidR="002B7F30" w:rsidRPr="004F0844" w:rsidRDefault="002B7F30" w:rsidP="002B7F30">
      <w:pPr>
        <w:tabs>
          <w:tab w:val="clear" w:pos="567"/>
          <w:tab w:val="left" w:pos="720"/>
        </w:tabs>
        <w:spacing w:line="240" w:lineRule="auto"/>
        <w:rPr>
          <w:i/>
          <w:iCs/>
          <w:noProof/>
          <w:snapToGrid/>
          <w:szCs w:val="22"/>
          <w:lang w:val="lt-LT" w:eastAsia="x-none"/>
        </w:rPr>
      </w:pPr>
      <w:r w:rsidRPr="004F0844">
        <w:rPr>
          <w:noProof/>
          <w:snapToGrid/>
          <w:szCs w:val="22"/>
          <w:u w:val="single"/>
          <w:lang w:val="lt-LT" w:eastAsia="x-none"/>
        </w:rPr>
        <w:t>Kepenų ir tulžies sistemos sutrikimai</w:t>
      </w:r>
      <w:r w:rsidRPr="004F0844">
        <w:rPr>
          <w:i/>
          <w:iCs/>
          <w:noProof/>
          <w:snapToGrid/>
          <w:szCs w:val="22"/>
          <w:lang w:val="lt-LT" w:eastAsia="x-none"/>
        </w:rPr>
        <w:t>:</w:t>
      </w:r>
    </w:p>
    <w:p w:rsidR="002B7F30" w:rsidRPr="004F0844" w:rsidRDefault="002B7F30" w:rsidP="002B7F30">
      <w:pPr>
        <w:tabs>
          <w:tab w:val="clear" w:pos="567"/>
          <w:tab w:val="left" w:pos="720"/>
          <w:tab w:val="left" w:pos="1276"/>
        </w:tabs>
        <w:spacing w:line="240" w:lineRule="auto"/>
        <w:rPr>
          <w:iCs/>
          <w:noProof/>
          <w:snapToGrid/>
          <w:szCs w:val="22"/>
          <w:lang w:val="lt-LT" w:eastAsia="x-none"/>
        </w:rPr>
      </w:pPr>
      <w:r w:rsidRPr="004F0844">
        <w:rPr>
          <w:i/>
          <w:iCs/>
          <w:noProof/>
          <w:snapToGrid/>
          <w:szCs w:val="22"/>
          <w:lang w:val="lt-LT" w:eastAsia="x-none"/>
        </w:rPr>
        <w:t>Labai reti:</w:t>
      </w:r>
      <w:r w:rsidRPr="004F0844">
        <w:rPr>
          <w:iCs/>
          <w:noProof/>
          <w:snapToGrid/>
          <w:szCs w:val="22"/>
          <w:lang w:val="lt-LT" w:eastAsia="x-none"/>
        </w:rPr>
        <w:t xml:space="preserve"> </w:t>
      </w:r>
      <w:r w:rsidRPr="004F0844">
        <w:rPr>
          <w:iCs/>
          <w:noProof/>
          <w:snapToGrid/>
          <w:szCs w:val="22"/>
          <w:lang w:val="lt-LT" w:eastAsia="x-none"/>
        </w:rPr>
        <w:tab/>
        <w:t>geltos ir kepenų funkcijos pakenkimo atvejai.</w:t>
      </w:r>
    </w:p>
    <w:p w:rsidR="002B7F30" w:rsidRPr="004F0844" w:rsidRDefault="002B7F30" w:rsidP="002B7F30">
      <w:pPr>
        <w:tabs>
          <w:tab w:val="clear" w:pos="567"/>
          <w:tab w:val="left" w:pos="720"/>
        </w:tabs>
        <w:spacing w:line="240" w:lineRule="auto"/>
        <w:rPr>
          <w:i/>
          <w:iCs/>
          <w:noProof/>
          <w:snapToGrid/>
          <w:szCs w:val="22"/>
          <w:lang w:val="lt-LT" w:eastAsia="x-none"/>
        </w:rPr>
      </w:pPr>
    </w:p>
    <w:p w:rsidR="002B7F30" w:rsidRPr="004F0844" w:rsidRDefault="002B7F30" w:rsidP="002B7F30">
      <w:pPr>
        <w:tabs>
          <w:tab w:val="clear" w:pos="567"/>
          <w:tab w:val="left" w:pos="720"/>
        </w:tabs>
        <w:spacing w:line="240" w:lineRule="auto"/>
        <w:rPr>
          <w:iCs/>
          <w:noProof/>
          <w:snapToGrid/>
          <w:szCs w:val="22"/>
          <w:lang w:val="lt-LT" w:eastAsia="x-none"/>
        </w:rPr>
      </w:pPr>
      <w:r w:rsidRPr="004F0844">
        <w:rPr>
          <w:noProof/>
          <w:snapToGrid/>
          <w:szCs w:val="22"/>
          <w:u w:val="single"/>
          <w:lang w:val="lt-LT" w:eastAsia="x-none"/>
        </w:rPr>
        <w:t>Kraujo ir limfinės sistemos sutrikimai</w:t>
      </w:r>
      <w:r w:rsidRPr="004F0844">
        <w:rPr>
          <w:iCs/>
          <w:noProof/>
          <w:snapToGrid/>
          <w:szCs w:val="22"/>
          <w:lang w:val="lt-LT" w:eastAsia="x-none"/>
        </w:rPr>
        <w:t xml:space="preserve">: </w:t>
      </w:r>
    </w:p>
    <w:p w:rsidR="002B7F30" w:rsidRPr="004F0844" w:rsidRDefault="002B7F30" w:rsidP="002B7F30">
      <w:pPr>
        <w:tabs>
          <w:tab w:val="clear" w:pos="567"/>
          <w:tab w:val="left" w:pos="720"/>
        </w:tabs>
        <w:spacing w:line="240" w:lineRule="auto"/>
        <w:ind w:left="1290" w:hanging="1290"/>
        <w:rPr>
          <w:iCs/>
          <w:noProof/>
          <w:snapToGrid/>
          <w:szCs w:val="22"/>
          <w:lang w:val="lt-LT" w:eastAsia="x-none"/>
        </w:rPr>
      </w:pPr>
      <w:r w:rsidRPr="004F0844">
        <w:rPr>
          <w:i/>
          <w:iCs/>
          <w:noProof/>
          <w:snapToGrid/>
          <w:szCs w:val="22"/>
          <w:lang w:val="lt-LT" w:eastAsia="x-none"/>
        </w:rPr>
        <w:t>Labai reti:</w:t>
      </w:r>
      <w:r w:rsidRPr="004F0844">
        <w:rPr>
          <w:iCs/>
          <w:noProof/>
          <w:snapToGrid/>
          <w:szCs w:val="22"/>
          <w:lang w:val="lt-LT" w:eastAsia="x-none"/>
        </w:rPr>
        <w:t xml:space="preserve"> </w:t>
      </w:r>
      <w:r w:rsidRPr="004F0844">
        <w:rPr>
          <w:iCs/>
          <w:noProof/>
          <w:snapToGrid/>
          <w:szCs w:val="22"/>
          <w:lang w:val="lt-LT" w:eastAsia="x-none"/>
        </w:rPr>
        <w:tab/>
        <w:t>baltųjų kraujo ląstelių kiekio sumažėjimas (leukopenija, neutropenija), tam tikrų baltų kraujo ląstelių išnykimas (agranulocitozė), tam tikrų baltų kraujo ląstelių padidėjimas (eozinofilija), trombocitų kiekio kraujyje sumažėjimas.</w:t>
      </w:r>
    </w:p>
    <w:p w:rsidR="002B7F30" w:rsidRPr="004F0844" w:rsidRDefault="002B7F30" w:rsidP="002B7F30">
      <w:pPr>
        <w:tabs>
          <w:tab w:val="clear" w:pos="567"/>
          <w:tab w:val="left" w:pos="720"/>
        </w:tabs>
        <w:spacing w:line="240" w:lineRule="auto"/>
        <w:rPr>
          <w:i/>
          <w:iCs/>
          <w:noProof/>
          <w:snapToGrid/>
          <w:szCs w:val="22"/>
          <w:lang w:val="lt-LT" w:eastAsia="x-none"/>
        </w:rPr>
      </w:pPr>
    </w:p>
    <w:p w:rsidR="002B7F30" w:rsidRPr="004F0844" w:rsidRDefault="002B7F30" w:rsidP="002B7F30">
      <w:pPr>
        <w:tabs>
          <w:tab w:val="clear" w:pos="567"/>
          <w:tab w:val="left" w:pos="720"/>
        </w:tabs>
        <w:spacing w:line="240" w:lineRule="auto"/>
        <w:rPr>
          <w:iCs/>
          <w:noProof/>
          <w:snapToGrid/>
          <w:szCs w:val="22"/>
          <w:lang w:val="lt-LT" w:eastAsia="x-none"/>
        </w:rPr>
      </w:pPr>
      <w:r w:rsidRPr="004F0844">
        <w:rPr>
          <w:noProof/>
          <w:snapToGrid/>
          <w:szCs w:val="22"/>
          <w:u w:val="single"/>
          <w:lang w:val="lt-LT" w:eastAsia="x-none"/>
        </w:rPr>
        <w:t>Imuninės sistemos sutrikimai</w:t>
      </w:r>
      <w:r w:rsidRPr="004F0844">
        <w:rPr>
          <w:iCs/>
          <w:noProof/>
          <w:snapToGrid/>
          <w:szCs w:val="22"/>
          <w:lang w:val="lt-LT" w:eastAsia="x-none"/>
        </w:rPr>
        <w:t xml:space="preserve">: </w:t>
      </w:r>
    </w:p>
    <w:p w:rsidR="002B7F30" w:rsidRPr="004F0844" w:rsidRDefault="002B7F30" w:rsidP="002B7F30">
      <w:pPr>
        <w:tabs>
          <w:tab w:val="clear" w:pos="567"/>
          <w:tab w:val="left" w:pos="720"/>
          <w:tab w:val="left" w:pos="1276"/>
        </w:tabs>
        <w:spacing w:line="240" w:lineRule="auto"/>
        <w:rPr>
          <w:iCs/>
          <w:noProof/>
          <w:snapToGrid/>
          <w:szCs w:val="22"/>
          <w:lang w:val="lt-LT" w:eastAsia="x-none"/>
        </w:rPr>
      </w:pPr>
      <w:r w:rsidRPr="004F0844">
        <w:rPr>
          <w:i/>
          <w:noProof/>
          <w:snapToGrid/>
          <w:szCs w:val="22"/>
          <w:lang w:val="lt-LT" w:eastAsia="x-none"/>
        </w:rPr>
        <w:lastRenderedPageBreak/>
        <w:t>Labai reti</w:t>
      </w:r>
      <w:r w:rsidRPr="004F0844">
        <w:rPr>
          <w:iCs/>
          <w:noProof/>
          <w:snapToGrid/>
          <w:szCs w:val="22"/>
          <w:lang w:val="lt-LT" w:eastAsia="x-none"/>
        </w:rPr>
        <w:t xml:space="preserve">: </w:t>
      </w:r>
      <w:r w:rsidRPr="004F0844">
        <w:rPr>
          <w:iCs/>
          <w:noProof/>
          <w:snapToGrid/>
          <w:szCs w:val="22"/>
          <w:lang w:val="lt-LT" w:eastAsia="x-none"/>
        </w:rPr>
        <w:tab/>
        <w:t>sunkios alerginės reakcijos (anafilaksijos) atvejai.</w:t>
      </w:r>
    </w:p>
    <w:p w:rsidR="002B7F30" w:rsidRPr="004F0844" w:rsidRDefault="002B7F30" w:rsidP="002B7F30">
      <w:pPr>
        <w:tabs>
          <w:tab w:val="clear" w:pos="567"/>
          <w:tab w:val="left" w:pos="720"/>
        </w:tabs>
        <w:spacing w:line="240" w:lineRule="auto"/>
        <w:rPr>
          <w:i/>
          <w:iCs/>
          <w:noProof/>
          <w:snapToGrid/>
          <w:szCs w:val="22"/>
          <w:lang w:val="lt-LT" w:eastAsia="x-none"/>
        </w:rPr>
      </w:pPr>
    </w:p>
    <w:p w:rsidR="002B7F30" w:rsidRPr="004F0844" w:rsidRDefault="002B7F30" w:rsidP="002B7F30">
      <w:pPr>
        <w:tabs>
          <w:tab w:val="clear" w:pos="567"/>
          <w:tab w:val="left" w:pos="720"/>
        </w:tabs>
        <w:spacing w:line="240" w:lineRule="auto"/>
        <w:rPr>
          <w:i/>
          <w:iCs/>
          <w:noProof/>
          <w:snapToGrid/>
          <w:szCs w:val="22"/>
          <w:lang w:val="lt-LT" w:eastAsia="x-none"/>
        </w:rPr>
      </w:pPr>
      <w:r w:rsidRPr="004F0844">
        <w:rPr>
          <w:noProof/>
          <w:snapToGrid/>
          <w:szCs w:val="22"/>
          <w:u w:val="single"/>
          <w:lang w:val="lt-LT" w:eastAsia="x-none"/>
        </w:rPr>
        <w:t>Odos ir poodinio audinio sutrikimai</w:t>
      </w:r>
      <w:r w:rsidRPr="004F0844">
        <w:rPr>
          <w:i/>
          <w:iCs/>
          <w:noProof/>
          <w:snapToGrid/>
          <w:szCs w:val="22"/>
          <w:lang w:val="lt-LT" w:eastAsia="x-none"/>
        </w:rPr>
        <w:t>:</w:t>
      </w:r>
    </w:p>
    <w:p w:rsidR="002B7F30" w:rsidRPr="004F0844" w:rsidRDefault="002B7F30" w:rsidP="002B7F30">
      <w:pPr>
        <w:tabs>
          <w:tab w:val="clear" w:pos="567"/>
          <w:tab w:val="left" w:pos="720"/>
        </w:tabs>
        <w:spacing w:line="240" w:lineRule="auto"/>
        <w:ind w:left="1290" w:hanging="1290"/>
        <w:rPr>
          <w:iCs/>
          <w:noProof/>
          <w:snapToGrid/>
          <w:szCs w:val="22"/>
          <w:lang w:val="lt-LT" w:eastAsia="x-none"/>
        </w:rPr>
      </w:pPr>
      <w:r w:rsidRPr="004F0844">
        <w:rPr>
          <w:i/>
          <w:iCs/>
          <w:noProof/>
          <w:snapToGrid/>
          <w:szCs w:val="22"/>
          <w:lang w:val="lt-LT" w:eastAsia="x-none"/>
        </w:rPr>
        <w:t>Dažni</w:t>
      </w:r>
      <w:r w:rsidRPr="004F0844">
        <w:rPr>
          <w:noProof/>
          <w:snapToGrid/>
          <w:szCs w:val="22"/>
          <w:lang w:val="lt-LT" w:eastAsia="x-none"/>
        </w:rPr>
        <w:t xml:space="preserve">: </w:t>
      </w:r>
      <w:r w:rsidRPr="004F0844">
        <w:rPr>
          <w:noProof/>
          <w:snapToGrid/>
          <w:szCs w:val="22"/>
          <w:lang w:val="lt-LT" w:eastAsia="x-none"/>
        </w:rPr>
        <w:tab/>
      </w:r>
      <w:r w:rsidRPr="004F0844">
        <w:rPr>
          <w:noProof/>
          <w:snapToGrid/>
          <w:szCs w:val="22"/>
          <w:lang w:val="lt-LT" w:eastAsia="x-none"/>
        </w:rPr>
        <w:tab/>
      </w:r>
      <w:r w:rsidRPr="004F0844">
        <w:rPr>
          <w:iCs/>
          <w:noProof/>
          <w:snapToGrid/>
          <w:szCs w:val="22"/>
          <w:lang w:val="lt-LT" w:eastAsia="x-none"/>
        </w:rPr>
        <w:t xml:space="preserve">bėrimas dėmelėmis ir mazgeliais, išplitęs lengvas ar vidutinio laipsnio tymus primenantis bėrimas. </w:t>
      </w:r>
    </w:p>
    <w:p w:rsidR="002B7F30" w:rsidRPr="004F0844" w:rsidRDefault="002B7F30" w:rsidP="002B7F30">
      <w:pPr>
        <w:tabs>
          <w:tab w:val="clear" w:pos="567"/>
          <w:tab w:val="left" w:pos="720"/>
          <w:tab w:val="left" w:pos="1276"/>
        </w:tabs>
        <w:spacing w:line="240" w:lineRule="auto"/>
        <w:rPr>
          <w:iCs/>
          <w:noProof/>
          <w:snapToGrid/>
          <w:szCs w:val="22"/>
          <w:lang w:val="lt-LT" w:eastAsia="x-none"/>
        </w:rPr>
      </w:pPr>
      <w:r w:rsidRPr="004F0844">
        <w:rPr>
          <w:i/>
          <w:noProof/>
          <w:snapToGrid/>
          <w:szCs w:val="22"/>
          <w:lang w:val="lt-LT" w:eastAsia="x-none"/>
        </w:rPr>
        <w:t>Nedažni</w:t>
      </w:r>
      <w:r w:rsidRPr="004F0844">
        <w:rPr>
          <w:iCs/>
          <w:noProof/>
          <w:snapToGrid/>
          <w:szCs w:val="22"/>
          <w:lang w:val="lt-LT" w:eastAsia="x-none"/>
        </w:rPr>
        <w:t xml:space="preserve">: </w:t>
      </w:r>
      <w:r w:rsidRPr="004F0844">
        <w:rPr>
          <w:iCs/>
          <w:noProof/>
          <w:snapToGrid/>
          <w:szCs w:val="22"/>
          <w:lang w:val="lt-LT" w:eastAsia="x-none"/>
        </w:rPr>
        <w:tab/>
        <w:t>dilgėlinė, niež</w:t>
      </w:r>
      <w:r>
        <w:rPr>
          <w:iCs/>
          <w:noProof/>
          <w:snapToGrid/>
          <w:szCs w:val="22"/>
          <w:lang w:val="lt-LT" w:eastAsia="x-none"/>
        </w:rPr>
        <w:t>ėjimas</w:t>
      </w:r>
      <w:r w:rsidRPr="004F0844">
        <w:rPr>
          <w:iCs/>
          <w:noProof/>
          <w:snapToGrid/>
          <w:szCs w:val="22"/>
          <w:lang w:val="lt-LT" w:eastAsia="x-none"/>
        </w:rPr>
        <w:t>.</w:t>
      </w:r>
    </w:p>
    <w:p w:rsidR="002B7F30" w:rsidRPr="004F0844" w:rsidRDefault="002B7F30" w:rsidP="002B7F30">
      <w:pPr>
        <w:tabs>
          <w:tab w:val="clear" w:pos="567"/>
          <w:tab w:val="left" w:pos="720"/>
        </w:tabs>
        <w:spacing w:line="240" w:lineRule="auto"/>
        <w:ind w:left="1290" w:hanging="1290"/>
        <w:rPr>
          <w:iCs/>
          <w:noProof/>
          <w:snapToGrid/>
          <w:szCs w:val="22"/>
          <w:lang w:val="lt-LT" w:eastAsia="x-none"/>
        </w:rPr>
      </w:pPr>
      <w:r w:rsidRPr="004F0844">
        <w:rPr>
          <w:i/>
          <w:noProof/>
          <w:snapToGrid/>
          <w:szCs w:val="22"/>
          <w:lang w:val="lt-LT" w:eastAsia="x-none"/>
        </w:rPr>
        <w:t>Reti:</w:t>
      </w:r>
      <w:r w:rsidRPr="004F0844">
        <w:rPr>
          <w:iCs/>
          <w:noProof/>
          <w:snapToGrid/>
          <w:szCs w:val="22"/>
          <w:lang w:val="lt-LT" w:eastAsia="x-none"/>
        </w:rPr>
        <w:t xml:space="preserve"> </w:t>
      </w:r>
      <w:r w:rsidRPr="004F0844">
        <w:rPr>
          <w:iCs/>
          <w:noProof/>
          <w:snapToGrid/>
          <w:szCs w:val="22"/>
          <w:lang w:val="lt-LT" w:eastAsia="x-none"/>
        </w:rPr>
        <w:tab/>
      </w:r>
      <w:r w:rsidRPr="004F0844">
        <w:rPr>
          <w:iCs/>
          <w:noProof/>
          <w:snapToGrid/>
          <w:szCs w:val="22"/>
          <w:lang w:val="lt-LT" w:eastAsia="x-none"/>
        </w:rPr>
        <w:tab/>
        <w:t>odos uždegimo su odos lupimusi ar pūslių atsiradimu, daugiaformis paraudimas paraudimas, kai kuriais atvejais primenanti Stiveno - Džonsono sindromą (sunkus alerginis odos išbėrimas), kitos sunkios odos reakcijos (eksfoliacinis dermatitas, toksinė epidermio nekrolizė).</w:t>
      </w:r>
    </w:p>
    <w:p w:rsidR="002B7F30" w:rsidRPr="004F0844" w:rsidRDefault="002B7F30" w:rsidP="002B7F30">
      <w:pPr>
        <w:tabs>
          <w:tab w:val="clear" w:pos="567"/>
          <w:tab w:val="left" w:pos="720"/>
          <w:tab w:val="left" w:pos="1276"/>
        </w:tabs>
        <w:spacing w:line="240" w:lineRule="auto"/>
        <w:rPr>
          <w:iCs/>
          <w:noProof/>
          <w:snapToGrid/>
          <w:szCs w:val="22"/>
          <w:lang w:val="lt-LT" w:eastAsia="x-none"/>
        </w:rPr>
      </w:pPr>
      <w:r w:rsidRPr="004F0844">
        <w:rPr>
          <w:i/>
          <w:noProof/>
          <w:snapToGrid/>
          <w:szCs w:val="22"/>
          <w:lang w:val="lt-LT" w:eastAsia="x-none"/>
        </w:rPr>
        <w:t>Labai reti</w:t>
      </w:r>
      <w:r w:rsidRPr="004F0844">
        <w:rPr>
          <w:iCs/>
          <w:noProof/>
          <w:snapToGrid/>
          <w:szCs w:val="22"/>
          <w:lang w:val="lt-LT" w:eastAsia="x-none"/>
        </w:rPr>
        <w:t xml:space="preserve">: </w:t>
      </w:r>
      <w:r w:rsidRPr="004F0844">
        <w:rPr>
          <w:iCs/>
          <w:noProof/>
          <w:snapToGrid/>
          <w:szCs w:val="22"/>
          <w:lang w:val="lt-LT" w:eastAsia="x-none"/>
        </w:rPr>
        <w:tab/>
        <w:t>anafilaksinės reakcijos ir makšties uždegimas.</w:t>
      </w:r>
    </w:p>
    <w:p w:rsidR="002B7F30" w:rsidRPr="004F0844" w:rsidRDefault="002B7F30" w:rsidP="002B7F30">
      <w:pPr>
        <w:tabs>
          <w:tab w:val="clear" w:pos="567"/>
          <w:tab w:val="left" w:pos="720"/>
        </w:tabs>
        <w:spacing w:line="240" w:lineRule="auto"/>
        <w:rPr>
          <w:i/>
          <w:noProof/>
          <w:snapToGrid/>
          <w:szCs w:val="22"/>
          <w:lang w:val="lt-LT" w:eastAsia="x-none"/>
        </w:rPr>
      </w:pPr>
    </w:p>
    <w:p w:rsidR="002B7F30" w:rsidRPr="004F0844" w:rsidRDefault="002B7F30" w:rsidP="002B7F30">
      <w:pPr>
        <w:tabs>
          <w:tab w:val="clear" w:pos="567"/>
          <w:tab w:val="left" w:pos="720"/>
        </w:tabs>
        <w:spacing w:line="240" w:lineRule="auto"/>
        <w:rPr>
          <w:iCs/>
          <w:noProof/>
          <w:snapToGrid/>
          <w:szCs w:val="22"/>
          <w:lang w:val="lt-LT" w:eastAsia="x-none"/>
        </w:rPr>
      </w:pPr>
      <w:r w:rsidRPr="004F0844">
        <w:rPr>
          <w:i/>
          <w:noProof/>
          <w:snapToGrid/>
          <w:szCs w:val="22"/>
          <w:u w:val="single"/>
          <w:lang w:val="sv-SE" w:eastAsia="x-none"/>
        </w:rPr>
        <w:t>Nervų sistemos sutrikimai</w:t>
      </w:r>
      <w:r w:rsidRPr="004F0844">
        <w:rPr>
          <w:iCs/>
          <w:noProof/>
          <w:snapToGrid/>
          <w:szCs w:val="22"/>
          <w:lang w:val="sv-SE" w:eastAsia="x-none"/>
        </w:rPr>
        <w:t>:</w:t>
      </w:r>
    </w:p>
    <w:p w:rsidR="002B7F30" w:rsidRPr="004F0844" w:rsidRDefault="002B7F30" w:rsidP="002B7F30">
      <w:pPr>
        <w:tabs>
          <w:tab w:val="clear" w:pos="567"/>
          <w:tab w:val="left" w:pos="720"/>
        </w:tabs>
        <w:spacing w:line="240" w:lineRule="auto"/>
        <w:rPr>
          <w:iCs/>
          <w:noProof/>
          <w:snapToGrid/>
          <w:szCs w:val="22"/>
          <w:lang w:val="lt-LT" w:eastAsia="x-none"/>
        </w:rPr>
      </w:pPr>
      <w:r w:rsidRPr="004F0844">
        <w:rPr>
          <w:i/>
          <w:noProof/>
          <w:snapToGrid/>
          <w:szCs w:val="22"/>
          <w:lang w:val="lt-LT" w:eastAsia="x-none"/>
        </w:rPr>
        <w:t>Labai reti</w:t>
      </w:r>
      <w:r w:rsidRPr="004F0844">
        <w:rPr>
          <w:iCs/>
          <w:noProof/>
          <w:snapToGrid/>
          <w:szCs w:val="22"/>
          <w:lang w:val="lt-LT" w:eastAsia="x-none"/>
        </w:rPr>
        <w:t xml:space="preserve">: </w:t>
      </w:r>
      <w:r w:rsidRPr="004F0844">
        <w:rPr>
          <w:iCs/>
          <w:noProof/>
          <w:snapToGrid/>
          <w:szCs w:val="22"/>
          <w:lang w:val="lt-LT" w:eastAsia="x-none"/>
        </w:rPr>
        <w:tab/>
        <w:t>pakitęs skonis.</w:t>
      </w:r>
    </w:p>
    <w:p w:rsidR="002B7F30" w:rsidRPr="004F0844" w:rsidRDefault="002B7F30" w:rsidP="002B7F30">
      <w:pPr>
        <w:numPr>
          <w:ilvl w:val="12"/>
          <w:numId w:val="0"/>
        </w:numPr>
        <w:tabs>
          <w:tab w:val="clear" w:pos="567"/>
        </w:tabs>
        <w:spacing w:line="240" w:lineRule="auto"/>
        <w:jc w:val="both"/>
        <w:rPr>
          <w:i/>
          <w:iCs/>
          <w:snapToGrid/>
          <w:szCs w:val="22"/>
          <w:lang w:val="lt-LT" w:eastAsia="de-DE"/>
        </w:rPr>
      </w:pPr>
    </w:p>
    <w:p w:rsidR="002B7F30" w:rsidRPr="004F0844" w:rsidRDefault="002B7F30" w:rsidP="002B7F30">
      <w:pPr>
        <w:keepNext/>
        <w:numPr>
          <w:ilvl w:val="12"/>
          <w:numId w:val="0"/>
        </w:numPr>
        <w:tabs>
          <w:tab w:val="clear" w:pos="567"/>
        </w:tabs>
        <w:spacing w:line="240" w:lineRule="auto"/>
        <w:jc w:val="both"/>
        <w:rPr>
          <w:snapToGrid/>
          <w:szCs w:val="22"/>
          <w:lang w:val="lt-LT" w:eastAsia="de-DE"/>
        </w:rPr>
      </w:pPr>
      <w:r w:rsidRPr="004F0844">
        <w:rPr>
          <w:i/>
          <w:iCs/>
          <w:noProof/>
          <w:snapToGrid/>
          <w:szCs w:val="22"/>
          <w:u w:val="single"/>
          <w:lang w:val="pt-PT" w:eastAsia="de-DE"/>
        </w:rPr>
        <w:t>Skeleto, raumenų ir jungiamojo audinio sutrikimai</w:t>
      </w:r>
      <w:r w:rsidRPr="004F0844">
        <w:rPr>
          <w:snapToGrid/>
          <w:szCs w:val="22"/>
          <w:lang w:val="lt-LT" w:eastAsia="de-DE"/>
        </w:rPr>
        <w:t>:</w:t>
      </w:r>
    </w:p>
    <w:p w:rsidR="002B7F30" w:rsidRPr="004F0844" w:rsidRDefault="002B7F30" w:rsidP="002B7F30">
      <w:pPr>
        <w:keepNext/>
        <w:numPr>
          <w:ilvl w:val="12"/>
          <w:numId w:val="0"/>
        </w:numPr>
        <w:tabs>
          <w:tab w:val="clear" w:pos="567"/>
        </w:tabs>
        <w:spacing w:line="240" w:lineRule="auto"/>
        <w:jc w:val="both"/>
        <w:rPr>
          <w:snapToGrid/>
          <w:szCs w:val="22"/>
          <w:lang w:val="lt-LT" w:eastAsia="de-DE"/>
        </w:rPr>
      </w:pPr>
      <w:r w:rsidRPr="004F0844">
        <w:rPr>
          <w:i/>
          <w:iCs/>
          <w:snapToGrid/>
          <w:szCs w:val="22"/>
          <w:lang w:val="lt-LT" w:eastAsia="de-DE"/>
        </w:rPr>
        <w:t>Labai reti</w:t>
      </w:r>
      <w:r w:rsidRPr="004F0844">
        <w:rPr>
          <w:snapToGrid/>
          <w:szCs w:val="22"/>
          <w:lang w:val="lt-LT" w:eastAsia="de-DE"/>
        </w:rPr>
        <w:t xml:space="preserve">: </w:t>
      </w:r>
      <w:r w:rsidRPr="004F0844">
        <w:rPr>
          <w:snapToGrid/>
          <w:szCs w:val="22"/>
          <w:lang w:val="lt-LT" w:eastAsia="de-DE"/>
        </w:rPr>
        <w:tab/>
        <w:t>daugelio sąnarių uždegimas (poliartritas).</w:t>
      </w:r>
    </w:p>
    <w:p w:rsidR="002B7F30" w:rsidRDefault="002B7F30" w:rsidP="002B7F30">
      <w:pPr>
        <w:spacing w:line="240" w:lineRule="auto"/>
        <w:rPr>
          <w:szCs w:val="24"/>
          <w:lang w:val="lt-LT"/>
        </w:rPr>
      </w:pPr>
    </w:p>
    <w:p w:rsidR="002B7F30" w:rsidRPr="00793882" w:rsidRDefault="002B7F30" w:rsidP="002B7F30">
      <w:pPr>
        <w:spacing w:line="240" w:lineRule="auto"/>
        <w:rPr>
          <w:szCs w:val="24"/>
          <w:lang w:val="lt-LT"/>
        </w:rPr>
      </w:pPr>
    </w:p>
    <w:p w:rsidR="002B7F30" w:rsidRPr="00793882" w:rsidRDefault="002B7F30" w:rsidP="002B7F30">
      <w:pPr>
        <w:spacing w:line="240" w:lineRule="auto"/>
        <w:rPr>
          <w:szCs w:val="24"/>
          <w:lang w:val="lt-LT"/>
        </w:rPr>
      </w:pPr>
      <w:r w:rsidRPr="00793882">
        <w:rPr>
          <w:szCs w:val="24"/>
          <w:lang w:val="lt-LT"/>
        </w:rPr>
        <w:t>Nedelsdami pasakykite savo gydytojui, jeigu Jums stiprėja:</w:t>
      </w:r>
    </w:p>
    <w:p w:rsidR="002B7F30" w:rsidRPr="00793882" w:rsidRDefault="002B7F30" w:rsidP="002B7F30">
      <w:pPr>
        <w:pStyle w:val="Sraopastraipa"/>
        <w:numPr>
          <w:ilvl w:val="0"/>
          <w:numId w:val="1"/>
        </w:numPr>
        <w:tabs>
          <w:tab w:val="clear" w:pos="567"/>
          <w:tab w:val="left" w:pos="426"/>
        </w:tabs>
        <w:spacing w:line="240" w:lineRule="auto"/>
        <w:ind w:left="426" w:hanging="426"/>
        <w:rPr>
          <w:snapToGrid/>
          <w:szCs w:val="22"/>
          <w:lang w:val="lt-LT"/>
        </w:rPr>
      </w:pPr>
      <w:r w:rsidRPr="00793882">
        <w:rPr>
          <w:snapToGrid/>
          <w:szCs w:val="22"/>
          <w:lang w:val="lt-LT"/>
        </w:rPr>
        <w:t>skysčio kaupimasis organizme, sukeliantis kojų, kulkšnių arba pėdų patinimą, dusulys arba pykinimas.</w:t>
      </w:r>
    </w:p>
    <w:p w:rsidR="002B7F30" w:rsidRPr="00793882" w:rsidRDefault="002B7F30" w:rsidP="002B7F30">
      <w:pPr>
        <w:spacing w:line="240" w:lineRule="auto"/>
        <w:rPr>
          <w:szCs w:val="24"/>
          <w:lang w:val="lt-LT"/>
        </w:rPr>
      </w:pPr>
    </w:p>
    <w:p w:rsidR="002B7F30" w:rsidRPr="00B34FA1" w:rsidRDefault="002B7F30" w:rsidP="002B7F30">
      <w:pPr>
        <w:spacing w:line="240" w:lineRule="auto"/>
        <w:rPr>
          <w:b/>
          <w:szCs w:val="24"/>
          <w:lang w:val="lt-LT"/>
        </w:rPr>
      </w:pPr>
      <w:r w:rsidRPr="00B34FA1">
        <w:rPr>
          <w:b/>
          <w:noProof/>
          <w:szCs w:val="24"/>
          <w:lang w:val="lt-LT"/>
        </w:rPr>
        <w:t>Pranešimas apie šalutinį poveikį</w:t>
      </w:r>
    </w:p>
    <w:p w:rsidR="002B7F30" w:rsidRPr="008B101A" w:rsidRDefault="002B7F30" w:rsidP="002B7F30">
      <w:pPr>
        <w:ind w:right="-1"/>
        <w:rPr>
          <w:lang w:val="lt-LT"/>
        </w:rPr>
      </w:pPr>
      <w:r w:rsidRPr="00E4251E">
        <w:rPr>
          <w:lang w:val="lt-LT"/>
        </w:rPr>
        <w:t xml:space="preserve">Jeigu pasireiškė šalutinis poveikis, įskaitant šiame lapelyje nenurodytą, pasakykite gydytojui arba vaistininkui. </w:t>
      </w:r>
      <w:r w:rsidRPr="008B101A">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B101A">
          <w:rPr>
            <w:color w:val="0000FF"/>
            <w:u w:val="single"/>
            <w:lang w:val="lt-LT"/>
          </w:rPr>
          <w:t>https://vapris.vvkt.lt/vvkt-web/public/nrv</w:t>
        </w:r>
      </w:hyperlink>
      <w:r w:rsidRPr="008B101A">
        <w:rPr>
          <w:lang w:val="lt-LT"/>
        </w:rPr>
        <w:t xml:space="preserve"> arba užpildant Paciento pranešimo apie įtariamą nepageidaujamą reakciją (ĮNR) formą, kuri skelbiama </w:t>
      </w:r>
      <w:hyperlink r:id="rId6" w:history="1">
        <w:r w:rsidRPr="008B101A">
          <w:rPr>
            <w:color w:val="0000FF"/>
            <w:u w:val="single"/>
            <w:lang w:val="lt-LT"/>
          </w:rPr>
          <w:t>https://www.vvkt.lt/index.php?4004286486</w:t>
        </w:r>
      </w:hyperlink>
      <w:r w:rsidRPr="008B101A">
        <w:rPr>
          <w:lang w:val="lt-LT"/>
        </w:rPr>
        <w:t xml:space="preserve">, ir atsiunčiant elektroniniu paštu (adresu </w:t>
      </w:r>
      <w:hyperlink r:id="rId7" w:history="1">
        <w:r w:rsidRPr="008B101A">
          <w:rPr>
            <w:color w:val="0000FF"/>
            <w:u w:val="single"/>
            <w:lang w:val="lt-LT"/>
          </w:rPr>
          <w:t>NepageidaujamaR@vvkt.lt</w:t>
        </w:r>
      </w:hyperlink>
      <w:r w:rsidRPr="008B101A">
        <w:rPr>
          <w:lang w:val="lt-LT"/>
        </w:rPr>
        <w:t>) arba nemokamu telefonu 8 800 73 568. Pranešdami apie šalutinį poveikį galite mums padėti gauti daugiau informacijos apie šio vaisto saugumą.</w:t>
      </w:r>
    </w:p>
    <w:p w:rsidR="002B7F30" w:rsidRDefault="002B7F30" w:rsidP="002B7F30">
      <w:pPr>
        <w:ind w:right="-449"/>
        <w:rPr>
          <w:noProof/>
          <w:szCs w:val="24"/>
          <w:lang w:val="lt-LT"/>
        </w:rPr>
      </w:pPr>
    </w:p>
    <w:p w:rsidR="002B7F30" w:rsidRDefault="002B7F30" w:rsidP="002B7F30">
      <w:pPr>
        <w:ind w:right="-449"/>
        <w:rPr>
          <w:noProof/>
          <w:szCs w:val="24"/>
          <w:lang w:val="lt-LT"/>
        </w:rPr>
      </w:pPr>
    </w:p>
    <w:p w:rsidR="002B7F30" w:rsidRPr="00B34FA1" w:rsidRDefault="002B7F30" w:rsidP="002B7F30">
      <w:pPr>
        <w:pStyle w:val="Antrat3"/>
        <w:spacing w:before="0" w:after="0" w:line="240" w:lineRule="auto"/>
        <w:rPr>
          <w:rFonts w:ascii="Times New Roman" w:hAnsi="Times New Roman"/>
          <w:sz w:val="22"/>
          <w:lang w:val="lt-LT"/>
        </w:rPr>
      </w:pPr>
      <w:bookmarkStart w:id="7" w:name="_Toc129243143"/>
      <w:bookmarkStart w:id="8" w:name="_Toc129243268"/>
      <w:r w:rsidRPr="00B34FA1">
        <w:rPr>
          <w:rFonts w:ascii="Times New Roman" w:hAnsi="Times New Roman"/>
          <w:sz w:val="22"/>
          <w:lang w:val="lt-LT"/>
        </w:rPr>
        <w:t>5.</w:t>
      </w:r>
      <w:r w:rsidRPr="00B34FA1">
        <w:rPr>
          <w:rFonts w:ascii="Times New Roman" w:hAnsi="Times New Roman"/>
          <w:sz w:val="22"/>
          <w:lang w:val="lt-LT"/>
        </w:rPr>
        <w:tab/>
      </w:r>
      <w:bookmarkEnd w:id="7"/>
      <w:bookmarkEnd w:id="8"/>
      <w:r w:rsidRPr="00B34FA1">
        <w:rPr>
          <w:rFonts w:ascii="Times New Roman" w:hAnsi="Times New Roman"/>
          <w:sz w:val="22"/>
          <w:lang w:val="lt-LT"/>
        </w:rPr>
        <w:t xml:space="preserve">Kaip laikyti </w:t>
      </w:r>
      <w:proofErr w:type="spellStart"/>
      <w:r>
        <w:rPr>
          <w:rFonts w:ascii="Times New Roman" w:hAnsi="Times New Roman"/>
          <w:sz w:val="22"/>
          <w:lang w:val="lt-LT"/>
        </w:rPr>
        <w:t>Clindamycin</w:t>
      </w:r>
      <w:proofErr w:type="spellEnd"/>
      <w:r>
        <w:rPr>
          <w:rFonts w:ascii="Times New Roman" w:hAnsi="Times New Roman"/>
          <w:sz w:val="22"/>
          <w:lang w:val="lt-LT"/>
        </w:rPr>
        <w:t>-MIP</w:t>
      </w:r>
    </w:p>
    <w:p w:rsidR="002B7F30" w:rsidRPr="00B34FA1" w:rsidRDefault="002B7F30" w:rsidP="002B7F30">
      <w:pPr>
        <w:numPr>
          <w:ilvl w:val="12"/>
          <w:numId w:val="0"/>
        </w:numPr>
        <w:tabs>
          <w:tab w:val="clear" w:pos="567"/>
        </w:tabs>
        <w:spacing w:line="240" w:lineRule="auto"/>
        <w:ind w:right="-2"/>
        <w:rPr>
          <w:szCs w:val="24"/>
          <w:lang w:val="lt-LT"/>
        </w:rPr>
      </w:pPr>
    </w:p>
    <w:p w:rsidR="002B7F30" w:rsidRPr="00B34FA1" w:rsidRDefault="002B7F30" w:rsidP="002B7F30">
      <w:pPr>
        <w:numPr>
          <w:ilvl w:val="12"/>
          <w:numId w:val="0"/>
        </w:numPr>
        <w:tabs>
          <w:tab w:val="clear" w:pos="567"/>
        </w:tabs>
        <w:spacing w:line="240" w:lineRule="auto"/>
        <w:ind w:right="-2"/>
        <w:rPr>
          <w:szCs w:val="24"/>
          <w:lang w:val="lt-LT"/>
        </w:rPr>
      </w:pPr>
      <w:r w:rsidRPr="00B34FA1">
        <w:rPr>
          <w:noProof/>
          <w:szCs w:val="24"/>
          <w:lang w:val="lt-LT"/>
        </w:rPr>
        <w:t>Šį vaistą laikykite vaikams nepastebimoje ir nepasiekiamoje vietoje.</w:t>
      </w:r>
    </w:p>
    <w:p w:rsidR="002B7F30" w:rsidRPr="00B34FA1" w:rsidRDefault="002B7F30" w:rsidP="002B7F30">
      <w:pPr>
        <w:numPr>
          <w:ilvl w:val="12"/>
          <w:numId w:val="0"/>
        </w:numPr>
        <w:tabs>
          <w:tab w:val="clear" w:pos="567"/>
        </w:tabs>
        <w:spacing w:line="240" w:lineRule="auto"/>
        <w:ind w:right="-2"/>
        <w:rPr>
          <w:szCs w:val="24"/>
          <w:lang w:val="lt-LT"/>
        </w:rPr>
      </w:pPr>
    </w:p>
    <w:p w:rsidR="002B7F30" w:rsidRPr="00E4251E" w:rsidRDefault="002B7F30" w:rsidP="002B7F30">
      <w:pPr>
        <w:numPr>
          <w:ilvl w:val="12"/>
          <w:numId w:val="0"/>
        </w:numPr>
        <w:tabs>
          <w:tab w:val="clear" w:pos="567"/>
        </w:tabs>
        <w:spacing w:line="240" w:lineRule="auto"/>
        <w:ind w:right="-2"/>
        <w:rPr>
          <w:noProof/>
          <w:szCs w:val="24"/>
          <w:lang w:val="lt-LT"/>
        </w:rPr>
      </w:pPr>
      <w:r w:rsidRPr="00E4251E">
        <w:rPr>
          <w:noProof/>
          <w:szCs w:val="24"/>
          <w:lang w:val="lt-LT"/>
        </w:rPr>
        <w:t xml:space="preserve">Laikyti ne aukštesnėje kaip 25 </w:t>
      </w:r>
      <w:r w:rsidRPr="00E4251E">
        <w:rPr>
          <w:noProof/>
          <w:szCs w:val="24"/>
          <w:lang w:val="lt-LT"/>
        </w:rPr>
        <w:sym w:font="Symbol" w:char="F0B0"/>
      </w:r>
      <w:r w:rsidRPr="00E4251E">
        <w:rPr>
          <w:noProof/>
          <w:szCs w:val="24"/>
          <w:lang w:val="lt-LT"/>
        </w:rPr>
        <w:t>C temperatūroje.</w:t>
      </w:r>
    </w:p>
    <w:p w:rsidR="002B7F30" w:rsidRPr="00E4251E" w:rsidRDefault="002B7F30" w:rsidP="002B7F30">
      <w:pPr>
        <w:numPr>
          <w:ilvl w:val="12"/>
          <w:numId w:val="0"/>
        </w:numPr>
        <w:tabs>
          <w:tab w:val="clear" w:pos="567"/>
        </w:tabs>
        <w:spacing w:line="240" w:lineRule="auto"/>
        <w:ind w:right="-2"/>
        <w:rPr>
          <w:noProof/>
          <w:szCs w:val="24"/>
          <w:lang w:val="lt-LT"/>
        </w:rPr>
      </w:pPr>
      <w:r w:rsidRPr="00E4251E">
        <w:rPr>
          <w:noProof/>
          <w:szCs w:val="24"/>
          <w:lang w:val="lt-LT"/>
        </w:rPr>
        <w:t xml:space="preserve">Lizdinę plokštelę laikyti išorinėje dėžutėje, kad </w:t>
      </w:r>
      <w:r>
        <w:rPr>
          <w:noProof/>
          <w:szCs w:val="24"/>
          <w:lang w:val="lt-LT"/>
        </w:rPr>
        <w:t>vaistas</w:t>
      </w:r>
      <w:r w:rsidRPr="00E4251E">
        <w:rPr>
          <w:noProof/>
          <w:szCs w:val="24"/>
          <w:lang w:val="lt-LT"/>
        </w:rPr>
        <w:t xml:space="preserve"> būtų apsaugotas nuo šviesos.</w:t>
      </w:r>
    </w:p>
    <w:p w:rsidR="002B7F30" w:rsidRPr="00E4251E" w:rsidRDefault="002B7F30" w:rsidP="002B7F30">
      <w:pPr>
        <w:numPr>
          <w:ilvl w:val="12"/>
          <w:numId w:val="0"/>
        </w:numPr>
        <w:tabs>
          <w:tab w:val="clear" w:pos="567"/>
        </w:tabs>
        <w:spacing w:line="240" w:lineRule="auto"/>
        <w:ind w:right="-2"/>
        <w:rPr>
          <w:noProof/>
          <w:szCs w:val="24"/>
          <w:lang w:val="lt-LT"/>
        </w:rPr>
      </w:pPr>
    </w:p>
    <w:p w:rsidR="002B7F30" w:rsidRPr="00E4251E" w:rsidRDefault="002B7F30" w:rsidP="002B7F30">
      <w:pPr>
        <w:numPr>
          <w:ilvl w:val="12"/>
          <w:numId w:val="0"/>
        </w:numPr>
        <w:tabs>
          <w:tab w:val="clear" w:pos="567"/>
        </w:tabs>
        <w:spacing w:line="240" w:lineRule="auto"/>
        <w:ind w:right="-2"/>
        <w:rPr>
          <w:iCs/>
          <w:noProof/>
          <w:szCs w:val="24"/>
          <w:lang w:val="lt-LT"/>
        </w:rPr>
      </w:pPr>
      <w:r w:rsidRPr="00E4251E">
        <w:rPr>
          <w:iCs/>
          <w:noProof/>
          <w:szCs w:val="24"/>
          <w:lang w:val="lt-LT"/>
        </w:rPr>
        <w:t xml:space="preserve">Ant dėžutės po „Tinka iki“ ir ant lizdinės ploktelės po „EXP“ nurodytam tinkamumo laikui pasibaigus, </w:t>
      </w:r>
      <w:r>
        <w:rPr>
          <w:iCs/>
          <w:noProof/>
          <w:szCs w:val="24"/>
          <w:lang w:val="lt-LT"/>
        </w:rPr>
        <w:t>šio vaisto</w:t>
      </w:r>
      <w:r w:rsidRPr="00E4251E">
        <w:rPr>
          <w:iCs/>
          <w:noProof/>
          <w:szCs w:val="24"/>
          <w:lang w:val="lt-LT"/>
        </w:rPr>
        <w:t xml:space="preserve"> vartoti negalima. Vaistas tinkamas vartoti iki paskutinės nurodyto mėnesio dienos.</w:t>
      </w:r>
    </w:p>
    <w:p w:rsidR="002B7F30" w:rsidRPr="00E4251E" w:rsidRDefault="002B7F30" w:rsidP="002B7F30">
      <w:pPr>
        <w:numPr>
          <w:ilvl w:val="12"/>
          <w:numId w:val="0"/>
        </w:numPr>
        <w:tabs>
          <w:tab w:val="clear" w:pos="567"/>
        </w:tabs>
        <w:spacing w:line="240" w:lineRule="auto"/>
        <w:ind w:right="-2"/>
        <w:rPr>
          <w:iCs/>
          <w:noProof/>
          <w:szCs w:val="24"/>
          <w:lang w:val="lt-LT"/>
        </w:rPr>
      </w:pPr>
    </w:p>
    <w:p w:rsidR="002B7F30" w:rsidRPr="00E4251E" w:rsidRDefault="002B7F30" w:rsidP="002B7F30">
      <w:pPr>
        <w:numPr>
          <w:ilvl w:val="12"/>
          <w:numId w:val="0"/>
        </w:numPr>
        <w:tabs>
          <w:tab w:val="clear" w:pos="567"/>
        </w:tabs>
        <w:spacing w:line="240" w:lineRule="auto"/>
        <w:ind w:right="-2"/>
        <w:rPr>
          <w:iCs/>
          <w:noProof/>
          <w:szCs w:val="24"/>
          <w:lang w:val="lt-LT"/>
        </w:rPr>
      </w:pPr>
      <w:r w:rsidRPr="00E4251E">
        <w:rPr>
          <w:iCs/>
          <w:noProof/>
          <w:szCs w:val="24"/>
          <w:lang w:val="lt-LT"/>
        </w:rPr>
        <w:t xml:space="preserve">Vaistų negalima išmesti į kanalizaciją arba su buitinėmis atliekomis. Kaip </w:t>
      </w:r>
      <w:r w:rsidRPr="00E4251E">
        <w:rPr>
          <w:noProof/>
          <w:szCs w:val="24"/>
          <w:lang w:val="lt-LT"/>
        </w:rPr>
        <w:t xml:space="preserve"> </w:t>
      </w:r>
      <w:r w:rsidRPr="00E4251E">
        <w:rPr>
          <w:iCs/>
          <w:noProof/>
          <w:szCs w:val="24"/>
          <w:lang w:val="lt-LT"/>
        </w:rPr>
        <w:t>išmesti</w:t>
      </w:r>
      <w:r>
        <w:rPr>
          <w:iCs/>
          <w:noProof/>
          <w:szCs w:val="24"/>
          <w:lang w:val="lt-LT"/>
        </w:rPr>
        <w:t xml:space="preserve"> </w:t>
      </w:r>
      <w:r w:rsidRPr="00E4251E">
        <w:rPr>
          <w:iCs/>
          <w:noProof/>
          <w:szCs w:val="24"/>
          <w:lang w:val="lt-LT"/>
        </w:rPr>
        <w:t>nereikalingus vaistus, klauskite vaistininko. Šios priemonės padės apsaugoti aplinką.</w:t>
      </w:r>
    </w:p>
    <w:p w:rsidR="002B7F30" w:rsidRDefault="002B7F30" w:rsidP="002B7F30">
      <w:pPr>
        <w:numPr>
          <w:ilvl w:val="12"/>
          <w:numId w:val="0"/>
        </w:numPr>
        <w:tabs>
          <w:tab w:val="clear" w:pos="567"/>
        </w:tabs>
        <w:spacing w:line="240" w:lineRule="auto"/>
        <w:ind w:right="-2"/>
        <w:rPr>
          <w:noProof/>
          <w:szCs w:val="24"/>
          <w:lang w:val="lt-LT"/>
        </w:rPr>
      </w:pPr>
    </w:p>
    <w:p w:rsidR="002B7F30" w:rsidRPr="00B34FA1" w:rsidRDefault="002B7F30" w:rsidP="002B7F30">
      <w:pPr>
        <w:numPr>
          <w:ilvl w:val="12"/>
          <w:numId w:val="0"/>
        </w:numPr>
        <w:tabs>
          <w:tab w:val="clear" w:pos="567"/>
        </w:tabs>
        <w:spacing w:line="240" w:lineRule="auto"/>
        <w:ind w:right="-2"/>
        <w:rPr>
          <w:noProof/>
          <w:szCs w:val="24"/>
          <w:lang w:val="lt-LT"/>
        </w:rPr>
      </w:pPr>
    </w:p>
    <w:p w:rsidR="002B7F30" w:rsidRPr="00B34FA1" w:rsidRDefault="002B7F30" w:rsidP="002B7F30">
      <w:pPr>
        <w:pStyle w:val="Antrat3"/>
        <w:spacing w:before="0" w:after="0" w:line="240" w:lineRule="auto"/>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rsidR="002B7F30" w:rsidRPr="00B34FA1" w:rsidRDefault="002B7F30" w:rsidP="002B7F30">
      <w:pPr>
        <w:numPr>
          <w:ilvl w:val="12"/>
          <w:numId w:val="0"/>
        </w:numPr>
        <w:tabs>
          <w:tab w:val="clear" w:pos="567"/>
        </w:tabs>
        <w:spacing w:line="240" w:lineRule="auto"/>
        <w:rPr>
          <w:szCs w:val="24"/>
          <w:lang w:val="lt-LT"/>
        </w:rPr>
      </w:pPr>
    </w:p>
    <w:p w:rsidR="002B7F30" w:rsidRPr="00E4251E" w:rsidRDefault="002B7F30" w:rsidP="002B7F30">
      <w:pPr>
        <w:tabs>
          <w:tab w:val="clear" w:pos="567"/>
        </w:tabs>
        <w:spacing w:line="220" w:lineRule="exact"/>
        <w:rPr>
          <w:iCs/>
          <w:noProof/>
          <w:snapToGrid/>
          <w:szCs w:val="22"/>
          <w:lang w:val="lt-LT" w:eastAsia="x-none"/>
        </w:rPr>
      </w:pPr>
      <w:r w:rsidRPr="00E4251E">
        <w:rPr>
          <w:b/>
          <w:bCs/>
          <w:noProof/>
          <w:snapToGrid/>
          <w:szCs w:val="22"/>
          <w:lang w:val="lt-LT"/>
        </w:rPr>
        <w:t>Clindamycin-MIP sudėtis</w:t>
      </w:r>
    </w:p>
    <w:p w:rsidR="002B7F30" w:rsidRPr="00E4251E" w:rsidRDefault="002B7F30" w:rsidP="002B7F30">
      <w:pPr>
        <w:tabs>
          <w:tab w:val="clear" w:pos="567"/>
          <w:tab w:val="left" w:pos="426"/>
        </w:tabs>
        <w:spacing w:line="240" w:lineRule="auto"/>
        <w:rPr>
          <w:iCs/>
          <w:noProof/>
          <w:snapToGrid/>
          <w:szCs w:val="22"/>
          <w:lang w:val="lt-LT" w:eastAsia="x-none"/>
        </w:rPr>
      </w:pPr>
      <w:r w:rsidRPr="00E4251E">
        <w:rPr>
          <w:iCs/>
          <w:noProof/>
          <w:snapToGrid/>
          <w:szCs w:val="22"/>
          <w:lang w:val="lt-LT" w:eastAsia="x-none"/>
        </w:rPr>
        <w:t>-</w:t>
      </w:r>
      <w:r w:rsidRPr="00E4251E">
        <w:rPr>
          <w:iCs/>
          <w:noProof/>
          <w:snapToGrid/>
          <w:szCs w:val="22"/>
          <w:lang w:val="lt-LT" w:eastAsia="x-none"/>
        </w:rPr>
        <w:tab/>
        <w:t>Veiklioji medžiaga yra klindamicino hidrochloridas.</w:t>
      </w:r>
    </w:p>
    <w:p w:rsidR="002B7F30" w:rsidRPr="00E4251E" w:rsidRDefault="002B7F30" w:rsidP="002B7F30">
      <w:pPr>
        <w:tabs>
          <w:tab w:val="clear" w:pos="567"/>
        </w:tabs>
        <w:spacing w:line="240" w:lineRule="auto"/>
        <w:rPr>
          <w:snapToGrid/>
          <w:szCs w:val="22"/>
          <w:lang w:val="lt-LT"/>
        </w:rPr>
      </w:pPr>
      <w:r w:rsidRPr="00E4251E">
        <w:rPr>
          <w:i/>
          <w:snapToGrid/>
          <w:szCs w:val="22"/>
          <w:lang w:val="lt-LT"/>
        </w:rPr>
        <w:t>300 mg plėvele dengtos tabletės</w:t>
      </w:r>
      <w:r w:rsidRPr="00E4251E">
        <w:rPr>
          <w:snapToGrid/>
          <w:szCs w:val="22"/>
          <w:lang w:val="lt-LT"/>
        </w:rPr>
        <w:t xml:space="preserve">. Vienoje tabletėje yra 344 mg </w:t>
      </w:r>
      <w:proofErr w:type="spellStart"/>
      <w:r w:rsidRPr="00E4251E">
        <w:rPr>
          <w:snapToGrid/>
          <w:szCs w:val="22"/>
          <w:lang w:val="lt-LT"/>
        </w:rPr>
        <w:t>klindamicino</w:t>
      </w:r>
      <w:proofErr w:type="spellEnd"/>
      <w:r w:rsidRPr="00E4251E">
        <w:rPr>
          <w:snapToGrid/>
          <w:szCs w:val="22"/>
          <w:lang w:val="lt-LT"/>
        </w:rPr>
        <w:t xml:space="preserve"> hidrochlorido, atitinkančio 300 mg </w:t>
      </w:r>
      <w:proofErr w:type="spellStart"/>
      <w:r w:rsidRPr="00E4251E">
        <w:rPr>
          <w:snapToGrid/>
          <w:szCs w:val="22"/>
          <w:lang w:val="lt-LT"/>
        </w:rPr>
        <w:t>klindamicino</w:t>
      </w:r>
      <w:proofErr w:type="spellEnd"/>
      <w:r w:rsidRPr="00E4251E">
        <w:rPr>
          <w:snapToGrid/>
          <w:szCs w:val="22"/>
          <w:lang w:val="lt-LT"/>
        </w:rPr>
        <w:t>.</w:t>
      </w:r>
    </w:p>
    <w:p w:rsidR="002B7F30" w:rsidRPr="00E4251E" w:rsidRDefault="002B7F30" w:rsidP="002B7F30">
      <w:pPr>
        <w:tabs>
          <w:tab w:val="clear" w:pos="567"/>
        </w:tabs>
        <w:spacing w:line="240" w:lineRule="auto"/>
        <w:rPr>
          <w:snapToGrid/>
          <w:szCs w:val="22"/>
          <w:lang w:val="lt-LT"/>
        </w:rPr>
      </w:pPr>
      <w:r w:rsidRPr="00E4251E">
        <w:rPr>
          <w:i/>
          <w:snapToGrid/>
          <w:szCs w:val="22"/>
          <w:lang w:val="lt-LT"/>
        </w:rPr>
        <w:t>600 mg plėvele dengtos tabletės</w:t>
      </w:r>
      <w:r w:rsidRPr="00E4251E">
        <w:rPr>
          <w:snapToGrid/>
          <w:szCs w:val="22"/>
          <w:lang w:val="lt-LT"/>
        </w:rPr>
        <w:t xml:space="preserve">. Vienoje tabletėje yra 688 mg </w:t>
      </w:r>
      <w:proofErr w:type="spellStart"/>
      <w:r w:rsidRPr="00E4251E">
        <w:rPr>
          <w:snapToGrid/>
          <w:szCs w:val="22"/>
          <w:lang w:val="lt-LT"/>
        </w:rPr>
        <w:t>klindamicino</w:t>
      </w:r>
      <w:proofErr w:type="spellEnd"/>
      <w:r w:rsidRPr="00E4251E">
        <w:rPr>
          <w:snapToGrid/>
          <w:szCs w:val="22"/>
          <w:lang w:val="lt-LT"/>
        </w:rPr>
        <w:t xml:space="preserve"> hidrochlorido, atitinkančio 600 mg </w:t>
      </w:r>
      <w:proofErr w:type="spellStart"/>
      <w:r w:rsidRPr="00E4251E">
        <w:rPr>
          <w:snapToGrid/>
          <w:szCs w:val="22"/>
          <w:lang w:val="lt-LT"/>
        </w:rPr>
        <w:t>klindamicino</w:t>
      </w:r>
      <w:proofErr w:type="spellEnd"/>
      <w:r w:rsidRPr="00E4251E">
        <w:rPr>
          <w:snapToGrid/>
          <w:szCs w:val="22"/>
          <w:lang w:val="lt-LT"/>
        </w:rPr>
        <w:t>.</w:t>
      </w:r>
    </w:p>
    <w:p w:rsidR="002B7F30" w:rsidRPr="00E4251E" w:rsidRDefault="002B7F30" w:rsidP="002B7F30">
      <w:pPr>
        <w:numPr>
          <w:ilvl w:val="0"/>
          <w:numId w:val="1"/>
        </w:numPr>
        <w:tabs>
          <w:tab w:val="clear" w:pos="567"/>
          <w:tab w:val="left" w:pos="426"/>
        </w:tabs>
        <w:spacing w:line="240" w:lineRule="auto"/>
        <w:ind w:left="0" w:firstLine="0"/>
        <w:rPr>
          <w:snapToGrid/>
          <w:szCs w:val="22"/>
          <w:lang w:val="lt-LT"/>
        </w:rPr>
      </w:pPr>
      <w:r w:rsidRPr="00E4251E">
        <w:rPr>
          <w:snapToGrid/>
          <w:szCs w:val="22"/>
          <w:lang w:val="lt-LT"/>
        </w:rPr>
        <w:lastRenderedPageBreak/>
        <w:t xml:space="preserve">Pagalbinės medžiagos yra: </w:t>
      </w:r>
    </w:p>
    <w:p w:rsidR="002B7F30" w:rsidRPr="00E4251E" w:rsidRDefault="002B7F30" w:rsidP="002B7F30">
      <w:pPr>
        <w:tabs>
          <w:tab w:val="clear" w:pos="567"/>
        </w:tabs>
        <w:spacing w:line="240" w:lineRule="auto"/>
        <w:rPr>
          <w:snapToGrid/>
          <w:szCs w:val="22"/>
          <w:lang w:val="lt-LT"/>
        </w:rPr>
      </w:pPr>
      <w:r w:rsidRPr="00E4251E">
        <w:rPr>
          <w:snapToGrid/>
          <w:szCs w:val="22"/>
          <w:lang w:val="lt-LT"/>
        </w:rPr>
        <w:t xml:space="preserve">Tabletės branduolys: </w:t>
      </w:r>
      <w:proofErr w:type="spellStart"/>
      <w:r w:rsidRPr="00E4251E">
        <w:rPr>
          <w:snapToGrid/>
          <w:szCs w:val="22"/>
          <w:lang w:val="lt-LT"/>
        </w:rPr>
        <w:t>mikrokristalinė</w:t>
      </w:r>
      <w:proofErr w:type="spellEnd"/>
      <w:r w:rsidRPr="00E4251E">
        <w:rPr>
          <w:snapToGrid/>
          <w:szCs w:val="22"/>
          <w:lang w:val="lt-LT"/>
        </w:rPr>
        <w:t xml:space="preserve"> celiuliozė, </w:t>
      </w:r>
      <w:proofErr w:type="spellStart"/>
      <w:r w:rsidRPr="00E4251E">
        <w:rPr>
          <w:snapToGrid/>
          <w:szCs w:val="22"/>
          <w:lang w:val="lt-LT"/>
        </w:rPr>
        <w:t>manitolis</w:t>
      </w:r>
      <w:proofErr w:type="spellEnd"/>
      <w:r w:rsidRPr="00E4251E">
        <w:rPr>
          <w:snapToGrid/>
          <w:szCs w:val="22"/>
          <w:lang w:val="lt-LT"/>
        </w:rPr>
        <w:t xml:space="preserve"> (E421), talkas, magnio </w:t>
      </w:r>
      <w:proofErr w:type="spellStart"/>
      <w:r w:rsidRPr="00E4251E">
        <w:rPr>
          <w:snapToGrid/>
          <w:szCs w:val="22"/>
          <w:lang w:val="lt-LT"/>
        </w:rPr>
        <w:t>stearatas</w:t>
      </w:r>
      <w:proofErr w:type="spellEnd"/>
      <w:r w:rsidRPr="00E4251E">
        <w:rPr>
          <w:snapToGrid/>
          <w:szCs w:val="22"/>
          <w:lang w:val="lt-LT"/>
        </w:rPr>
        <w:t xml:space="preserve">, </w:t>
      </w:r>
      <w:proofErr w:type="spellStart"/>
      <w:r w:rsidRPr="00E4251E">
        <w:rPr>
          <w:snapToGrid/>
          <w:szCs w:val="22"/>
          <w:lang w:val="lt-LT"/>
        </w:rPr>
        <w:t>krospovidonas</w:t>
      </w:r>
      <w:proofErr w:type="spellEnd"/>
      <w:r w:rsidRPr="00E4251E">
        <w:rPr>
          <w:snapToGrid/>
          <w:szCs w:val="22"/>
          <w:lang w:val="lt-LT"/>
        </w:rPr>
        <w:t xml:space="preserve">, koloidinis bevandenis silicio dioksidas; </w:t>
      </w:r>
    </w:p>
    <w:p w:rsidR="002B7F30" w:rsidRPr="00E4251E" w:rsidRDefault="002B7F30" w:rsidP="002B7F30">
      <w:pPr>
        <w:tabs>
          <w:tab w:val="clear" w:pos="567"/>
        </w:tabs>
        <w:spacing w:line="240" w:lineRule="auto"/>
        <w:rPr>
          <w:snapToGrid/>
          <w:szCs w:val="22"/>
          <w:lang w:val="lt-LT"/>
        </w:rPr>
      </w:pPr>
      <w:r w:rsidRPr="00E4251E">
        <w:rPr>
          <w:snapToGrid/>
          <w:szCs w:val="22"/>
          <w:lang w:val="lt-LT"/>
        </w:rPr>
        <w:t xml:space="preserve">Tabletės plėvelė: titano dioksidas (E171), </w:t>
      </w:r>
      <w:proofErr w:type="spellStart"/>
      <w:r w:rsidRPr="00E4251E">
        <w:rPr>
          <w:snapToGrid/>
          <w:szCs w:val="22"/>
          <w:lang w:val="lt-LT"/>
        </w:rPr>
        <w:t>makrogolis</w:t>
      </w:r>
      <w:proofErr w:type="spellEnd"/>
      <w:r w:rsidRPr="00E4251E">
        <w:rPr>
          <w:snapToGrid/>
          <w:szCs w:val="22"/>
          <w:lang w:val="lt-LT"/>
        </w:rPr>
        <w:t xml:space="preserve"> 6000, bazinis </w:t>
      </w:r>
      <w:proofErr w:type="spellStart"/>
      <w:r w:rsidRPr="00E4251E">
        <w:rPr>
          <w:snapToGrid/>
          <w:szCs w:val="22"/>
          <w:lang w:val="lt-LT"/>
        </w:rPr>
        <w:t>butilintas</w:t>
      </w:r>
      <w:proofErr w:type="spellEnd"/>
      <w:r w:rsidRPr="00E4251E">
        <w:rPr>
          <w:snapToGrid/>
          <w:szCs w:val="22"/>
          <w:lang w:val="lt-LT"/>
        </w:rPr>
        <w:t xml:space="preserve"> </w:t>
      </w:r>
      <w:proofErr w:type="spellStart"/>
      <w:r w:rsidRPr="00E4251E">
        <w:rPr>
          <w:snapToGrid/>
          <w:szCs w:val="22"/>
          <w:lang w:val="lt-LT"/>
        </w:rPr>
        <w:t>metakrilato</w:t>
      </w:r>
      <w:proofErr w:type="spellEnd"/>
      <w:r w:rsidRPr="00E4251E">
        <w:rPr>
          <w:snapToGrid/>
          <w:szCs w:val="22"/>
          <w:lang w:val="lt-LT"/>
        </w:rPr>
        <w:t xml:space="preserve"> </w:t>
      </w:r>
      <w:proofErr w:type="spellStart"/>
      <w:r w:rsidRPr="00E4251E">
        <w:rPr>
          <w:snapToGrid/>
          <w:szCs w:val="22"/>
          <w:lang w:val="lt-LT"/>
        </w:rPr>
        <w:t>kopolimeras</w:t>
      </w:r>
      <w:proofErr w:type="spellEnd"/>
      <w:r w:rsidRPr="00E4251E">
        <w:rPr>
          <w:snapToGrid/>
          <w:szCs w:val="22"/>
          <w:lang w:val="lt-LT"/>
        </w:rPr>
        <w:t xml:space="preserve">, talkas, magnio </w:t>
      </w:r>
      <w:proofErr w:type="spellStart"/>
      <w:r w:rsidRPr="00E4251E">
        <w:rPr>
          <w:snapToGrid/>
          <w:szCs w:val="22"/>
          <w:lang w:val="lt-LT"/>
        </w:rPr>
        <w:t>stearatas</w:t>
      </w:r>
      <w:proofErr w:type="spellEnd"/>
      <w:r w:rsidRPr="00E4251E">
        <w:rPr>
          <w:snapToGrid/>
          <w:szCs w:val="22"/>
          <w:lang w:val="lt-LT"/>
        </w:rPr>
        <w:t>.</w:t>
      </w:r>
    </w:p>
    <w:p w:rsidR="002B7F30" w:rsidRPr="00E4251E" w:rsidRDefault="002B7F30" w:rsidP="002B7F30">
      <w:pPr>
        <w:tabs>
          <w:tab w:val="clear" w:pos="567"/>
        </w:tabs>
        <w:spacing w:line="240" w:lineRule="auto"/>
        <w:rPr>
          <w:snapToGrid/>
          <w:szCs w:val="22"/>
          <w:lang w:val="lt-LT"/>
        </w:rPr>
      </w:pPr>
    </w:p>
    <w:p w:rsidR="002B7F30" w:rsidRPr="00E4251E" w:rsidRDefault="002B7F30" w:rsidP="002B7F30">
      <w:pPr>
        <w:tabs>
          <w:tab w:val="clear" w:pos="567"/>
        </w:tabs>
        <w:spacing w:line="220" w:lineRule="exact"/>
        <w:rPr>
          <w:b/>
          <w:bCs/>
          <w:noProof/>
          <w:snapToGrid/>
          <w:szCs w:val="22"/>
          <w:lang w:val="lt-LT"/>
        </w:rPr>
      </w:pPr>
      <w:r w:rsidRPr="00E4251E">
        <w:rPr>
          <w:b/>
          <w:bCs/>
          <w:noProof/>
          <w:snapToGrid/>
          <w:szCs w:val="22"/>
          <w:lang w:val="lt-LT"/>
        </w:rPr>
        <w:t>Clindamycin-MIP išvaizda ir kiekis pakuotėje</w:t>
      </w:r>
    </w:p>
    <w:p w:rsidR="002B7F30" w:rsidRPr="00E4251E" w:rsidRDefault="002B7F30" w:rsidP="002B7F30">
      <w:pPr>
        <w:tabs>
          <w:tab w:val="clear" w:pos="567"/>
        </w:tabs>
        <w:spacing w:line="240" w:lineRule="auto"/>
        <w:rPr>
          <w:snapToGrid/>
          <w:szCs w:val="22"/>
          <w:lang w:val="lt-LT"/>
        </w:rPr>
      </w:pPr>
      <w:r w:rsidRPr="00E4251E">
        <w:rPr>
          <w:snapToGrid/>
          <w:szCs w:val="22"/>
          <w:lang w:val="lt-LT"/>
        </w:rPr>
        <w:t>Tabletės yra baltos spalvos, apvalios, abipus išga</w:t>
      </w:r>
      <w:r>
        <w:rPr>
          <w:snapToGrid/>
          <w:szCs w:val="22"/>
          <w:lang w:val="lt-LT"/>
        </w:rPr>
        <w:t>ubtos, maždaug 12 mm skersmens.</w:t>
      </w:r>
    </w:p>
    <w:p w:rsidR="002B7F30" w:rsidRPr="00E4251E" w:rsidRDefault="002B7F30" w:rsidP="002B7F30">
      <w:pPr>
        <w:tabs>
          <w:tab w:val="clear" w:pos="567"/>
        </w:tabs>
        <w:spacing w:line="240" w:lineRule="auto"/>
        <w:rPr>
          <w:snapToGrid/>
          <w:szCs w:val="22"/>
          <w:lang w:val="lt-LT"/>
        </w:rPr>
      </w:pPr>
      <w:r w:rsidRPr="00E4251E">
        <w:rPr>
          <w:snapToGrid/>
          <w:szCs w:val="22"/>
          <w:lang w:val="lt-LT"/>
        </w:rPr>
        <w:t xml:space="preserve">PVC/Aliuminio lizdinė plokštelė. Kartoninėje dėžutėje yra 6, 12, 16 arba 30 tablečių. </w:t>
      </w:r>
    </w:p>
    <w:p w:rsidR="002B7F30" w:rsidRPr="00E4251E" w:rsidRDefault="002B7F30" w:rsidP="002B7F30">
      <w:pPr>
        <w:tabs>
          <w:tab w:val="clear" w:pos="567"/>
          <w:tab w:val="left" w:pos="720"/>
        </w:tabs>
        <w:spacing w:line="240" w:lineRule="auto"/>
        <w:rPr>
          <w:iCs/>
          <w:noProof/>
          <w:snapToGrid/>
          <w:szCs w:val="22"/>
          <w:lang w:val="lt-LT" w:eastAsia="x-none"/>
        </w:rPr>
      </w:pPr>
    </w:p>
    <w:p w:rsidR="002B7F30" w:rsidRPr="00E4251E" w:rsidRDefault="002B7F30" w:rsidP="002B7F30">
      <w:pPr>
        <w:tabs>
          <w:tab w:val="clear" w:pos="567"/>
          <w:tab w:val="left" w:pos="720"/>
        </w:tabs>
        <w:spacing w:line="240" w:lineRule="auto"/>
        <w:rPr>
          <w:iCs/>
          <w:noProof/>
          <w:snapToGrid/>
          <w:szCs w:val="22"/>
          <w:u w:val="single"/>
          <w:lang w:val="lt-LT" w:eastAsia="x-none"/>
        </w:rPr>
      </w:pPr>
      <w:r w:rsidRPr="00E4251E">
        <w:rPr>
          <w:iCs/>
          <w:noProof/>
          <w:snapToGrid/>
          <w:szCs w:val="22"/>
          <w:u w:val="single"/>
          <w:lang w:val="lt-LT" w:eastAsia="x-none"/>
        </w:rPr>
        <w:t>Clindamycin-MIP 600 mg  plėvele dengtos tabletės</w:t>
      </w:r>
    </w:p>
    <w:p w:rsidR="002B7F30" w:rsidRPr="0010518E" w:rsidRDefault="002B7F30" w:rsidP="002B7F30">
      <w:pPr>
        <w:rPr>
          <w:iCs/>
          <w:noProof/>
          <w:szCs w:val="24"/>
          <w:lang w:val="lt-LT"/>
        </w:rPr>
      </w:pPr>
      <w:r w:rsidRPr="00E4251E">
        <w:rPr>
          <w:snapToGrid/>
          <w:szCs w:val="22"/>
          <w:lang w:val="lt-LT"/>
        </w:rPr>
        <w:t>Tabletės yra balto spalvos, pailgos, su vagele abiejose pusėse.</w:t>
      </w:r>
      <w:r w:rsidRPr="00DD0329">
        <w:rPr>
          <w:iCs/>
          <w:noProof/>
          <w:szCs w:val="24"/>
          <w:lang w:val="lt-LT"/>
        </w:rPr>
        <w:t xml:space="preserve"> </w:t>
      </w:r>
      <w:r w:rsidRPr="005F1657">
        <w:rPr>
          <w:iCs/>
          <w:noProof/>
          <w:szCs w:val="24"/>
          <w:lang w:val="lt-LT"/>
        </w:rPr>
        <w:t xml:space="preserve">Tabletę galima padalyti į  lygias </w:t>
      </w:r>
      <w:r>
        <w:rPr>
          <w:iCs/>
          <w:noProof/>
          <w:szCs w:val="24"/>
          <w:lang w:val="lt-LT"/>
        </w:rPr>
        <w:t>dozes</w:t>
      </w:r>
      <w:r w:rsidRPr="005F1657">
        <w:rPr>
          <w:iCs/>
          <w:noProof/>
          <w:szCs w:val="24"/>
          <w:lang w:val="lt-LT"/>
        </w:rPr>
        <w:t>.</w:t>
      </w:r>
    </w:p>
    <w:p w:rsidR="002B7F30" w:rsidRPr="00E4251E" w:rsidRDefault="002B7F30" w:rsidP="002B7F30">
      <w:pPr>
        <w:tabs>
          <w:tab w:val="clear" w:pos="567"/>
        </w:tabs>
        <w:spacing w:line="240" w:lineRule="auto"/>
        <w:rPr>
          <w:snapToGrid/>
          <w:szCs w:val="22"/>
          <w:lang w:val="lt-LT"/>
        </w:rPr>
      </w:pPr>
      <w:r w:rsidRPr="00E4251E">
        <w:rPr>
          <w:snapToGrid/>
          <w:szCs w:val="22"/>
          <w:lang w:val="lt-LT"/>
        </w:rPr>
        <w:t xml:space="preserve">PVC/Aliuminio lizdinė plokštelė. Kartoninėje dėžutėje yra 6, 12, 16 arba 32 tabletės. </w:t>
      </w:r>
    </w:p>
    <w:p w:rsidR="002B7F30" w:rsidRPr="00E4251E" w:rsidRDefault="002B7F30" w:rsidP="002B7F30">
      <w:pPr>
        <w:tabs>
          <w:tab w:val="clear" w:pos="567"/>
        </w:tabs>
        <w:spacing w:line="240" w:lineRule="auto"/>
        <w:rPr>
          <w:snapToGrid/>
          <w:szCs w:val="22"/>
          <w:lang w:val="lt-LT"/>
        </w:rPr>
      </w:pPr>
      <w:r w:rsidRPr="00E4251E">
        <w:rPr>
          <w:snapToGrid/>
          <w:szCs w:val="22"/>
          <w:lang w:val="lt-LT"/>
        </w:rPr>
        <w:t>Gali būti tiekiamos ne visų dydžių pakuotės</w:t>
      </w:r>
    </w:p>
    <w:p w:rsidR="002B7F30" w:rsidRPr="00E4251E" w:rsidRDefault="002B7F30" w:rsidP="002B7F30">
      <w:pPr>
        <w:tabs>
          <w:tab w:val="clear" w:pos="567"/>
          <w:tab w:val="left" w:pos="720"/>
        </w:tabs>
        <w:spacing w:line="240" w:lineRule="auto"/>
        <w:rPr>
          <w:iCs/>
          <w:noProof/>
          <w:snapToGrid/>
          <w:szCs w:val="22"/>
          <w:lang w:val="lt-LT" w:eastAsia="x-none"/>
        </w:rPr>
      </w:pPr>
    </w:p>
    <w:p w:rsidR="002B7F30" w:rsidRPr="00E4251E" w:rsidRDefault="002B7F30" w:rsidP="002B7F30">
      <w:pPr>
        <w:tabs>
          <w:tab w:val="clear" w:pos="567"/>
        </w:tabs>
        <w:spacing w:line="220" w:lineRule="exact"/>
        <w:rPr>
          <w:b/>
          <w:bCs/>
          <w:noProof/>
          <w:snapToGrid/>
          <w:szCs w:val="22"/>
          <w:lang w:val="lt-LT"/>
        </w:rPr>
      </w:pPr>
    </w:p>
    <w:p w:rsidR="002B7F30" w:rsidRPr="00E4251E" w:rsidRDefault="002B7F30" w:rsidP="002B7F30">
      <w:pPr>
        <w:tabs>
          <w:tab w:val="clear" w:pos="567"/>
        </w:tabs>
        <w:spacing w:line="220" w:lineRule="exact"/>
        <w:rPr>
          <w:b/>
          <w:bCs/>
          <w:noProof/>
          <w:snapToGrid/>
          <w:szCs w:val="22"/>
          <w:lang w:val="lt-LT"/>
        </w:rPr>
      </w:pPr>
      <w:r w:rsidRPr="00E4251E">
        <w:rPr>
          <w:b/>
          <w:bCs/>
          <w:noProof/>
          <w:snapToGrid/>
          <w:szCs w:val="22"/>
          <w:lang w:val="lt-LT"/>
        </w:rPr>
        <w:t>Registruotojas ir gamintojas</w:t>
      </w:r>
    </w:p>
    <w:p w:rsidR="002B7F30" w:rsidRPr="00E4251E" w:rsidRDefault="002B7F30" w:rsidP="002B7F30">
      <w:pPr>
        <w:tabs>
          <w:tab w:val="clear" w:pos="567"/>
          <w:tab w:val="left" w:pos="720"/>
        </w:tabs>
        <w:spacing w:line="240" w:lineRule="auto"/>
        <w:rPr>
          <w:b/>
          <w:iCs/>
          <w:noProof/>
          <w:snapToGrid/>
          <w:szCs w:val="22"/>
          <w:lang w:val="lt-LT" w:eastAsia="x-none"/>
        </w:rPr>
      </w:pPr>
      <w:r w:rsidRPr="00E4251E">
        <w:rPr>
          <w:b/>
          <w:iCs/>
          <w:noProof/>
          <w:snapToGrid/>
          <w:szCs w:val="22"/>
          <w:lang w:val="lt-LT" w:eastAsia="x-none"/>
        </w:rPr>
        <w:t>Registruotojas</w:t>
      </w:r>
    </w:p>
    <w:p w:rsidR="002B7F30" w:rsidRPr="00E4251E" w:rsidRDefault="002B7F30" w:rsidP="002B7F30">
      <w:pPr>
        <w:tabs>
          <w:tab w:val="clear" w:pos="567"/>
          <w:tab w:val="left" w:pos="720"/>
        </w:tabs>
        <w:spacing w:line="240" w:lineRule="auto"/>
        <w:rPr>
          <w:iCs/>
          <w:noProof/>
          <w:snapToGrid/>
          <w:szCs w:val="22"/>
          <w:lang w:val="lt-LT" w:eastAsia="x-none"/>
        </w:rPr>
      </w:pPr>
      <w:r w:rsidRPr="00E4251E">
        <w:rPr>
          <w:iCs/>
          <w:noProof/>
          <w:snapToGrid/>
          <w:szCs w:val="22"/>
          <w:lang w:val="lt-LT" w:eastAsia="x-none"/>
        </w:rPr>
        <w:t>MIP Pharma GmbH</w:t>
      </w:r>
    </w:p>
    <w:p w:rsidR="002B7F30" w:rsidRPr="00E4251E" w:rsidRDefault="002B7F30" w:rsidP="002B7F30">
      <w:pPr>
        <w:tabs>
          <w:tab w:val="clear" w:pos="567"/>
          <w:tab w:val="left" w:pos="720"/>
        </w:tabs>
        <w:spacing w:line="240" w:lineRule="auto"/>
        <w:rPr>
          <w:iCs/>
          <w:noProof/>
          <w:snapToGrid/>
          <w:szCs w:val="22"/>
          <w:lang w:val="lt-LT" w:eastAsia="x-none"/>
        </w:rPr>
      </w:pPr>
      <w:r w:rsidRPr="00E4251E">
        <w:rPr>
          <w:iCs/>
          <w:noProof/>
          <w:snapToGrid/>
          <w:szCs w:val="22"/>
          <w:lang w:val="lt-LT" w:eastAsia="x-none"/>
        </w:rPr>
        <w:t>Kirkeler Straβe 41</w:t>
      </w:r>
    </w:p>
    <w:p w:rsidR="002B7F30" w:rsidRPr="00E4251E" w:rsidRDefault="002B7F30" w:rsidP="002B7F30">
      <w:pPr>
        <w:tabs>
          <w:tab w:val="clear" w:pos="567"/>
          <w:tab w:val="left" w:pos="720"/>
        </w:tabs>
        <w:spacing w:line="240" w:lineRule="auto"/>
        <w:rPr>
          <w:iCs/>
          <w:noProof/>
          <w:snapToGrid/>
          <w:szCs w:val="22"/>
          <w:lang w:val="lt-LT" w:eastAsia="x-none"/>
        </w:rPr>
      </w:pPr>
      <w:r w:rsidRPr="00E4251E">
        <w:rPr>
          <w:iCs/>
          <w:noProof/>
          <w:snapToGrid/>
          <w:szCs w:val="22"/>
          <w:lang w:val="lt-LT" w:eastAsia="x-none"/>
        </w:rPr>
        <w:t>D-66440 Blieskastel - Niederwürzbach</w:t>
      </w:r>
    </w:p>
    <w:p w:rsidR="002B7F30" w:rsidRPr="00E4251E" w:rsidRDefault="002B7F30" w:rsidP="002B7F30">
      <w:pPr>
        <w:tabs>
          <w:tab w:val="clear" w:pos="567"/>
          <w:tab w:val="left" w:pos="720"/>
        </w:tabs>
        <w:spacing w:line="240" w:lineRule="auto"/>
        <w:rPr>
          <w:iCs/>
          <w:noProof/>
          <w:snapToGrid/>
          <w:szCs w:val="22"/>
          <w:lang w:val="lt-LT" w:eastAsia="x-none"/>
        </w:rPr>
      </w:pPr>
      <w:r w:rsidRPr="00E4251E">
        <w:rPr>
          <w:iCs/>
          <w:noProof/>
          <w:snapToGrid/>
          <w:szCs w:val="22"/>
          <w:lang w:val="lt-LT" w:eastAsia="x-none"/>
        </w:rPr>
        <w:t>Vokietija</w:t>
      </w:r>
    </w:p>
    <w:p w:rsidR="002B7F30" w:rsidRPr="00E4251E" w:rsidRDefault="002B7F30" w:rsidP="002B7F30">
      <w:pPr>
        <w:tabs>
          <w:tab w:val="clear" w:pos="567"/>
          <w:tab w:val="left" w:pos="720"/>
        </w:tabs>
        <w:spacing w:line="240" w:lineRule="auto"/>
        <w:rPr>
          <w:iCs/>
          <w:noProof/>
          <w:snapToGrid/>
          <w:szCs w:val="22"/>
          <w:lang w:val="lt-LT" w:eastAsia="x-none"/>
        </w:rPr>
      </w:pPr>
    </w:p>
    <w:p w:rsidR="002B7F30" w:rsidRPr="00E4251E" w:rsidRDefault="002B7F30" w:rsidP="002B7F30">
      <w:pPr>
        <w:tabs>
          <w:tab w:val="clear" w:pos="567"/>
        </w:tabs>
        <w:spacing w:line="240" w:lineRule="auto"/>
        <w:rPr>
          <w:b/>
          <w:snapToGrid/>
          <w:szCs w:val="22"/>
          <w:lang w:val="lt-LT"/>
        </w:rPr>
      </w:pPr>
      <w:r w:rsidRPr="00E4251E">
        <w:rPr>
          <w:b/>
          <w:snapToGrid/>
          <w:szCs w:val="22"/>
          <w:lang w:val="lt-LT"/>
        </w:rPr>
        <w:t>Gamintojas</w:t>
      </w:r>
    </w:p>
    <w:p w:rsidR="002B7F30" w:rsidRPr="00E4251E" w:rsidRDefault="002B7F30" w:rsidP="002B7F30">
      <w:pPr>
        <w:tabs>
          <w:tab w:val="clear" w:pos="567"/>
        </w:tabs>
        <w:spacing w:line="240" w:lineRule="auto"/>
        <w:rPr>
          <w:snapToGrid/>
          <w:szCs w:val="22"/>
          <w:lang w:val="lt-LT"/>
        </w:rPr>
      </w:pPr>
      <w:proofErr w:type="spellStart"/>
      <w:r w:rsidRPr="00E4251E">
        <w:rPr>
          <w:snapToGrid/>
          <w:szCs w:val="22"/>
          <w:lang w:val="lt-LT"/>
        </w:rPr>
        <w:t>Chephasaar</w:t>
      </w:r>
      <w:proofErr w:type="spellEnd"/>
    </w:p>
    <w:p w:rsidR="002B7F30" w:rsidRPr="00E4251E" w:rsidRDefault="002B7F30" w:rsidP="002B7F30">
      <w:pPr>
        <w:tabs>
          <w:tab w:val="clear" w:pos="567"/>
        </w:tabs>
        <w:spacing w:line="240" w:lineRule="auto"/>
        <w:rPr>
          <w:snapToGrid/>
          <w:szCs w:val="22"/>
          <w:lang w:val="lt-LT"/>
        </w:rPr>
      </w:pPr>
      <w:r w:rsidRPr="00E4251E">
        <w:rPr>
          <w:snapToGrid/>
          <w:szCs w:val="22"/>
          <w:lang w:val="lt-LT"/>
        </w:rPr>
        <w:t>Chem.-</w:t>
      </w:r>
      <w:proofErr w:type="spellStart"/>
      <w:r w:rsidRPr="00E4251E">
        <w:rPr>
          <w:snapToGrid/>
          <w:szCs w:val="22"/>
          <w:lang w:val="lt-LT"/>
        </w:rPr>
        <w:t>pharm</w:t>
      </w:r>
      <w:proofErr w:type="spellEnd"/>
      <w:r w:rsidRPr="00E4251E">
        <w:rPr>
          <w:snapToGrid/>
          <w:szCs w:val="22"/>
          <w:lang w:val="lt-LT"/>
        </w:rPr>
        <w:t xml:space="preserve">. </w:t>
      </w:r>
      <w:proofErr w:type="spellStart"/>
      <w:r w:rsidRPr="00E4251E">
        <w:rPr>
          <w:snapToGrid/>
          <w:szCs w:val="22"/>
          <w:lang w:val="lt-LT"/>
        </w:rPr>
        <w:t>Fabrik</w:t>
      </w:r>
      <w:proofErr w:type="spellEnd"/>
      <w:r w:rsidRPr="00E4251E">
        <w:rPr>
          <w:snapToGrid/>
          <w:szCs w:val="22"/>
          <w:lang w:val="lt-LT"/>
        </w:rPr>
        <w:t xml:space="preserve"> </w:t>
      </w:r>
      <w:proofErr w:type="spellStart"/>
      <w:r w:rsidRPr="00E4251E">
        <w:rPr>
          <w:snapToGrid/>
          <w:szCs w:val="22"/>
          <w:lang w:val="lt-LT"/>
        </w:rPr>
        <w:t>GmbH</w:t>
      </w:r>
      <w:proofErr w:type="spellEnd"/>
    </w:p>
    <w:p w:rsidR="002B7F30" w:rsidRPr="00E4251E" w:rsidRDefault="002B7F30" w:rsidP="002B7F30">
      <w:pPr>
        <w:tabs>
          <w:tab w:val="clear" w:pos="567"/>
        </w:tabs>
        <w:spacing w:line="240" w:lineRule="auto"/>
        <w:rPr>
          <w:snapToGrid/>
          <w:szCs w:val="22"/>
          <w:lang w:val="lt-LT"/>
        </w:rPr>
      </w:pPr>
      <w:proofErr w:type="spellStart"/>
      <w:r w:rsidRPr="00E4251E">
        <w:rPr>
          <w:snapToGrid/>
          <w:szCs w:val="22"/>
          <w:lang w:val="lt-LT"/>
        </w:rPr>
        <w:t>Mühlstraße</w:t>
      </w:r>
      <w:proofErr w:type="spellEnd"/>
      <w:r w:rsidRPr="00E4251E">
        <w:rPr>
          <w:snapToGrid/>
          <w:szCs w:val="22"/>
          <w:lang w:val="lt-LT"/>
        </w:rPr>
        <w:t xml:space="preserve"> 50</w:t>
      </w:r>
    </w:p>
    <w:p w:rsidR="002B7F30" w:rsidRPr="00E4251E" w:rsidRDefault="002B7F30" w:rsidP="002B7F30">
      <w:pPr>
        <w:tabs>
          <w:tab w:val="clear" w:pos="567"/>
        </w:tabs>
        <w:spacing w:line="240" w:lineRule="auto"/>
        <w:rPr>
          <w:snapToGrid/>
          <w:szCs w:val="22"/>
          <w:lang w:val="lt-LT"/>
        </w:rPr>
      </w:pPr>
      <w:r w:rsidRPr="00E4251E">
        <w:rPr>
          <w:snapToGrid/>
          <w:szCs w:val="22"/>
          <w:lang w:val="lt-LT"/>
        </w:rPr>
        <w:t xml:space="preserve">D-66386 </w:t>
      </w:r>
      <w:proofErr w:type="spellStart"/>
      <w:r w:rsidRPr="00E4251E">
        <w:rPr>
          <w:snapToGrid/>
          <w:szCs w:val="22"/>
          <w:lang w:val="lt-LT"/>
        </w:rPr>
        <w:t>St.Ingbert</w:t>
      </w:r>
      <w:proofErr w:type="spellEnd"/>
      <w:r w:rsidRPr="00E4251E">
        <w:rPr>
          <w:snapToGrid/>
          <w:szCs w:val="22"/>
          <w:lang w:val="lt-LT"/>
        </w:rPr>
        <w:t>, Vokietija</w:t>
      </w:r>
    </w:p>
    <w:p w:rsidR="002B7F30" w:rsidRPr="00E4251E" w:rsidRDefault="002B7F30" w:rsidP="002B7F30">
      <w:pPr>
        <w:tabs>
          <w:tab w:val="clear" w:pos="567"/>
          <w:tab w:val="left" w:pos="851"/>
        </w:tabs>
        <w:spacing w:line="240" w:lineRule="auto"/>
        <w:rPr>
          <w:snapToGrid/>
          <w:szCs w:val="22"/>
          <w:lang w:val="lt-LT"/>
        </w:rPr>
      </w:pPr>
      <w:r w:rsidRPr="00E4251E">
        <w:rPr>
          <w:snapToGrid/>
          <w:szCs w:val="22"/>
          <w:lang w:val="lt-LT"/>
        </w:rPr>
        <w:t>Tel.:</w:t>
      </w:r>
      <w:r w:rsidRPr="00E4251E">
        <w:rPr>
          <w:snapToGrid/>
          <w:szCs w:val="22"/>
          <w:lang w:val="lt-LT"/>
        </w:rPr>
        <w:tab/>
        <w:t>++49 (0) 68 94 / 97 1-0</w:t>
      </w:r>
    </w:p>
    <w:p w:rsidR="002B7F30" w:rsidRPr="00E4251E" w:rsidRDefault="002B7F30" w:rsidP="002B7F30">
      <w:pPr>
        <w:tabs>
          <w:tab w:val="clear" w:pos="567"/>
          <w:tab w:val="left" w:pos="851"/>
        </w:tabs>
        <w:overflowPunct w:val="0"/>
        <w:autoSpaceDE w:val="0"/>
        <w:autoSpaceDN w:val="0"/>
        <w:adjustRightInd w:val="0"/>
        <w:spacing w:line="240" w:lineRule="auto"/>
        <w:textAlignment w:val="baseline"/>
        <w:rPr>
          <w:snapToGrid/>
          <w:szCs w:val="22"/>
          <w:lang w:val="lt-LT" w:eastAsia="de-DE"/>
        </w:rPr>
      </w:pPr>
      <w:r w:rsidRPr="00E4251E">
        <w:rPr>
          <w:snapToGrid/>
          <w:szCs w:val="22"/>
          <w:lang w:val="lt-LT" w:eastAsia="de-DE"/>
        </w:rPr>
        <w:t>Faksas:</w:t>
      </w:r>
      <w:r w:rsidRPr="00E4251E">
        <w:rPr>
          <w:snapToGrid/>
          <w:szCs w:val="22"/>
          <w:lang w:val="lt-LT" w:eastAsia="de-DE"/>
        </w:rPr>
        <w:tab/>
        <w:t>++49 (0) 68 94 / 97 1-2 75</w:t>
      </w:r>
    </w:p>
    <w:p w:rsidR="002B7F30" w:rsidRPr="00E4251E" w:rsidRDefault="002B7F30" w:rsidP="002B7F30">
      <w:pPr>
        <w:tabs>
          <w:tab w:val="clear" w:pos="567"/>
          <w:tab w:val="left" w:pos="720"/>
        </w:tabs>
        <w:spacing w:line="240" w:lineRule="auto"/>
        <w:rPr>
          <w:iCs/>
          <w:noProof/>
          <w:snapToGrid/>
          <w:szCs w:val="22"/>
          <w:lang w:val="lt-LT" w:eastAsia="x-none"/>
        </w:rPr>
      </w:pPr>
    </w:p>
    <w:p w:rsidR="002B7F30" w:rsidRPr="00E4251E" w:rsidRDefault="002B7F30" w:rsidP="002B7F30">
      <w:pPr>
        <w:tabs>
          <w:tab w:val="clear" w:pos="567"/>
          <w:tab w:val="left" w:pos="720"/>
        </w:tabs>
        <w:spacing w:line="240" w:lineRule="auto"/>
        <w:rPr>
          <w:iCs/>
          <w:noProof/>
          <w:snapToGrid/>
          <w:szCs w:val="22"/>
          <w:lang w:val="lt-LT" w:eastAsia="x-none"/>
        </w:rPr>
      </w:pPr>
      <w:r w:rsidRPr="00E4251E">
        <w:rPr>
          <w:iCs/>
          <w:noProof/>
          <w:snapToGrid/>
          <w:szCs w:val="22"/>
          <w:lang w:val="lt-LT" w:eastAsia="x-none"/>
        </w:rPr>
        <w:t>Jeigu apie šį vaistą norite sužinoti daugiau, kreipkitės į r</w:t>
      </w:r>
      <w:r>
        <w:rPr>
          <w:iCs/>
          <w:noProof/>
          <w:snapToGrid/>
          <w:szCs w:val="22"/>
          <w:lang w:val="lt-LT" w:eastAsia="x-none"/>
        </w:rPr>
        <w:t>egistruotoją</w:t>
      </w:r>
      <w:r w:rsidRPr="00E4251E">
        <w:rPr>
          <w:iCs/>
          <w:noProof/>
          <w:snapToGrid/>
          <w:szCs w:val="22"/>
          <w:lang w:val="lt-LT" w:eastAsia="x-none"/>
        </w:rPr>
        <w:t>.</w:t>
      </w:r>
    </w:p>
    <w:p w:rsidR="002B7F30" w:rsidRPr="00B34FA1" w:rsidRDefault="002B7F30" w:rsidP="002B7F30">
      <w:pPr>
        <w:ind w:left="567" w:hanging="567"/>
        <w:rPr>
          <w:lang w:val="lt-LT"/>
        </w:rPr>
      </w:pPr>
    </w:p>
    <w:p w:rsidR="002B7F30" w:rsidRPr="00B34FA1" w:rsidRDefault="002B7F30" w:rsidP="002B7F30">
      <w:pPr>
        <w:numPr>
          <w:ilvl w:val="12"/>
          <w:numId w:val="0"/>
        </w:numPr>
        <w:tabs>
          <w:tab w:val="clear" w:pos="567"/>
        </w:tabs>
        <w:spacing w:line="240" w:lineRule="auto"/>
        <w:ind w:right="-2"/>
        <w:rPr>
          <w:b/>
          <w:lang w:val="lt-LT"/>
        </w:rPr>
      </w:pPr>
      <w:r w:rsidRPr="00B34FA1">
        <w:rPr>
          <w:b/>
          <w:lang w:val="lt-LT"/>
        </w:rPr>
        <w:t xml:space="preserve">Šis pakuotės lapelis paskutinį kartą peržiūrėtas </w:t>
      </w:r>
      <w:r>
        <w:rPr>
          <w:b/>
          <w:lang w:val="lt-LT"/>
        </w:rPr>
        <w:t>2021-11-15.</w:t>
      </w:r>
    </w:p>
    <w:p w:rsidR="002B7F30" w:rsidRPr="00B34FA1" w:rsidRDefault="002B7F30" w:rsidP="002B7F30">
      <w:pPr>
        <w:numPr>
          <w:ilvl w:val="12"/>
          <w:numId w:val="0"/>
        </w:numPr>
        <w:spacing w:line="240" w:lineRule="auto"/>
        <w:ind w:right="-2"/>
        <w:rPr>
          <w:i/>
          <w:szCs w:val="24"/>
          <w:lang w:val="lt-LT"/>
        </w:rPr>
      </w:pPr>
    </w:p>
    <w:p w:rsidR="002B7F30" w:rsidRPr="00F70E65" w:rsidRDefault="002B7F30" w:rsidP="002B7F30">
      <w:pPr>
        <w:numPr>
          <w:ilvl w:val="12"/>
          <w:numId w:val="0"/>
        </w:numPr>
        <w:spacing w:line="240" w:lineRule="auto"/>
        <w:ind w:right="-2"/>
        <w:rPr>
          <w:szCs w:val="24"/>
          <w:lang w:val="lt-LT"/>
        </w:rPr>
      </w:pPr>
      <w:r w:rsidRPr="00D575CD">
        <w:rPr>
          <w:lang w:val="lt-LT"/>
        </w:rPr>
        <w:t xml:space="preserve">Išsami informacija apie šį </w:t>
      </w:r>
      <w:r w:rsidRPr="00D575CD">
        <w:rPr>
          <w:szCs w:val="24"/>
          <w:lang w:val="lt-LT"/>
        </w:rPr>
        <w:t>vaistą</w:t>
      </w:r>
      <w:r w:rsidRPr="00D575CD">
        <w:rPr>
          <w:lang w:val="lt-LT"/>
        </w:rPr>
        <w:t xml:space="preserve"> pateikiama Valstybinės vaistų kontrolės tarnybos prie Lietuvos Respublikos sveikatos apsaugos ministerijos tinklalapyje</w:t>
      </w:r>
      <w:r w:rsidRPr="00D575CD">
        <w:rPr>
          <w:i/>
          <w:szCs w:val="24"/>
          <w:lang w:val="lt-LT"/>
        </w:rPr>
        <w:t xml:space="preserve"> </w:t>
      </w:r>
      <w:hyperlink r:id="rId8" w:history="1">
        <w:r w:rsidRPr="00D575CD">
          <w:rPr>
            <w:rStyle w:val="Hipersaitas"/>
            <w:rFonts w:eastAsia="SimSun"/>
            <w:lang w:val="lt-LT"/>
          </w:rPr>
          <w:t>http://www.vvkt.lt/</w:t>
        </w:r>
      </w:hyperlink>
      <w:r w:rsidRPr="00D575CD">
        <w:rPr>
          <w:lang w:val="lt-LT"/>
        </w:rPr>
        <w:t>.</w:t>
      </w:r>
    </w:p>
    <w:p w:rsidR="002B7F30" w:rsidRPr="00C33627" w:rsidRDefault="002B7F30" w:rsidP="002B7F30">
      <w:pPr>
        <w:rPr>
          <w:lang w:val="lt-LT"/>
        </w:rPr>
      </w:pPr>
    </w:p>
    <w:p w:rsidR="002B7F30" w:rsidRPr="00F70E65" w:rsidRDefault="002B7F30" w:rsidP="002B7F30">
      <w:pPr>
        <w:outlineLvl w:val="0"/>
        <w:rPr>
          <w:szCs w:val="24"/>
          <w:lang w:val="lt-LT"/>
        </w:rPr>
      </w:pPr>
    </w:p>
    <w:p w:rsidR="002B7F30" w:rsidRPr="00C33627" w:rsidRDefault="002B7F30" w:rsidP="002B7F30">
      <w:pPr>
        <w:rPr>
          <w:lang w:val="lt-LT"/>
        </w:rPr>
      </w:pPr>
    </w:p>
    <w:p w:rsidR="002B7F30" w:rsidRPr="003317D2" w:rsidRDefault="002B7F30" w:rsidP="002B7F30">
      <w:pPr>
        <w:rPr>
          <w:lang w:val="lt-LT"/>
        </w:rPr>
      </w:pPr>
    </w:p>
    <w:p w:rsidR="009041DB" w:rsidRDefault="009041DB">
      <w:bookmarkStart w:id="9" w:name="_GoBack"/>
      <w:bookmarkEnd w:id="9"/>
    </w:p>
    <w:sectPr w:rsidR="009041DB" w:rsidSect="003B0A6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00DE4"/>
    <w:multiLevelType w:val="hybridMultilevel"/>
    <w:tmpl w:val="4BE63A26"/>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236E6F"/>
    <w:multiLevelType w:val="hybridMultilevel"/>
    <w:tmpl w:val="B094BCAC"/>
    <w:lvl w:ilvl="0" w:tplc="CFAA642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30"/>
    <w:rsid w:val="002B7F30"/>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DBE5B-F6AD-42CE-BD0C-8F41A459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7F30"/>
    <w:pPr>
      <w:tabs>
        <w:tab w:val="left" w:pos="567"/>
      </w:tabs>
      <w:spacing w:after="0" w:line="260" w:lineRule="exact"/>
    </w:pPr>
    <w:rPr>
      <w:rFonts w:ascii="Times New Roman" w:hAnsi="Times New Roman" w:cs="Times New Roman"/>
      <w:snapToGrid w:val="0"/>
      <w:szCs w:val="20"/>
      <w:lang w:val="en-GB"/>
    </w:rPr>
  </w:style>
  <w:style w:type="paragraph" w:styleId="Antrat1">
    <w:name w:val="heading 1"/>
    <w:basedOn w:val="prastasis"/>
    <w:next w:val="prastasis"/>
    <w:link w:val="Antrat1Diagrama"/>
    <w:uiPriority w:val="9"/>
    <w:qFormat/>
    <w:rsid w:val="002B7F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qFormat/>
    <w:rsid w:val="002B7F3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2B7F3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2B7F30"/>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B7F30"/>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2B7F30"/>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2B7F30"/>
    <w:rPr>
      <w:rFonts w:ascii="Calibri" w:hAnsi="Calibri" w:cs="Times New Roman"/>
      <w:b/>
      <w:bCs/>
      <w:snapToGrid w:val="0"/>
      <w:sz w:val="28"/>
      <w:szCs w:val="28"/>
      <w:lang w:val="en-GB" w:eastAsia="x-none"/>
    </w:rPr>
  </w:style>
  <w:style w:type="character" w:styleId="Hipersaitas">
    <w:name w:val="Hyperlink"/>
    <w:rsid w:val="002B7F30"/>
    <w:rPr>
      <w:color w:val="0000FF"/>
      <w:u w:val="single"/>
    </w:rPr>
  </w:style>
  <w:style w:type="paragraph" w:customStyle="1" w:styleId="BTEMEASMCA">
    <w:name w:val="BT EMEA_SMCA"/>
    <w:basedOn w:val="prastasis"/>
    <w:link w:val="BTEMEASMCAChar"/>
    <w:autoRedefine/>
    <w:rsid w:val="002B7F30"/>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2B7F30"/>
    <w:rPr>
      <w:rFonts w:ascii="Times New Roman" w:eastAsia="SimSun" w:hAnsi="Times New Roman" w:cs="Times New Roman"/>
      <w:noProof/>
      <w:sz w:val="20"/>
      <w:szCs w:val="20"/>
      <w:lang w:val="x-none" w:eastAsia="x-none"/>
    </w:rPr>
  </w:style>
  <w:style w:type="paragraph" w:customStyle="1" w:styleId="BTeEMEASMCA">
    <w:name w:val="BT(e) EMEA_SMCA"/>
    <w:basedOn w:val="BTEMEASMCA"/>
    <w:autoRedefine/>
    <w:rsid w:val="002B7F30"/>
    <w:pPr>
      <w:tabs>
        <w:tab w:val="left" w:pos="720"/>
      </w:tabs>
      <w:jc w:val="center"/>
    </w:pPr>
    <w:rPr>
      <w:rFonts w:eastAsia="Times New Roman"/>
      <w:iCs/>
      <w:lang w:val="lt-LT"/>
    </w:rPr>
  </w:style>
  <w:style w:type="paragraph" w:customStyle="1" w:styleId="BTbEMEASMCA">
    <w:name w:val="BT(b) EMEA_SMCA"/>
    <w:basedOn w:val="BTEMEASMCA"/>
    <w:autoRedefine/>
    <w:rsid w:val="002B7F30"/>
    <w:pPr>
      <w:tabs>
        <w:tab w:val="left" w:pos="720"/>
      </w:tabs>
    </w:pPr>
    <w:rPr>
      <w:rFonts w:eastAsia="Times New Roman"/>
      <w:b/>
      <w:iCs/>
      <w:lang w:val="lt-LT"/>
    </w:rPr>
  </w:style>
  <w:style w:type="paragraph" w:customStyle="1" w:styleId="TTEMEASMCA">
    <w:name w:val="TT EMEA_SMCA"/>
    <w:basedOn w:val="Antrat1"/>
    <w:link w:val="TTEMEASMCAChar"/>
    <w:autoRedefine/>
    <w:rsid w:val="002B7F30"/>
    <w:pPr>
      <w:keepNext w:val="0"/>
      <w:keepLines w:val="0"/>
      <w:spacing w:before="0" w:line="240" w:lineRule="auto"/>
      <w:ind w:left="567" w:hanging="567"/>
      <w:jc w:val="center"/>
    </w:pPr>
    <w:rPr>
      <w:rFonts w:ascii="Times New Roman" w:eastAsia="Times New Roman" w:hAnsi="Times New Roman" w:cs="Times New Roman"/>
      <w:b/>
      <w:caps/>
      <w:snapToGrid/>
      <w:color w:val="auto"/>
      <w:sz w:val="20"/>
      <w:szCs w:val="20"/>
      <w:lang w:val="en-US" w:eastAsia="x-none"/>
    </w:rPr>
  </w:style>
  <w:style w:type="character" w:customStyle="1" w:styleId="TTEMEASMCAChar">
    <w:name w:val="TT EMEA_SMCA Char"/>
    <w:link w:val="TTEMEASMCA"/>
    <w:rsid w:val="002B7F30"/>
    <w:rPr>
      <w:rFonts w:ascii="Times New Roman" w:hAnsi="Times New Roman" w:cs="Times New Roman"/>
      <w:b/>
      <w:caps/>
      <w:sz w:val="20"/>
      <w:szCs w:val="20"/>
      <w:lang w:val="en-US" w:eastAsia="x-none"/>
    </w:rPr>
  </w:style>
  <w:style w:type="paragraph" w:styleId="Sraopastraipa">
    <w:name w:val="List Paragraph"/>
    <w:basedOn w:val="prastasis"/>
    <w:uiPriority w:val="34"/>
    <w:qFormat/>
    <w:rsid w:val="002B7F30"/>
    <w:pPr>
      <w:ind w:left="720"/>
      <w:contextualSpacing/>
    </w:pPr>
  </w:style>
  <w:style w:type="character" w:customStyle="1" w:styleId="Antrat1Diagrama">
    <w:name w:val="Antraštė 1 Diagrama"/>
    <w:basedOn w:val="Numatytasispastraiposriftas"/>
    <w:link w:val="Antrat1"/>
    <w:uiPriority w:val="9"/>
    <w:rsid w:val="002B7F30"/>
    <w:rPr>
      <w:rFonts w:asciiTheme="majorHAnsi" w:eastAsiaTheme="majorEastAsia" w:hAnsiTheme="majorHAnsi" w:cstheme="majorBidi"/>
      <w:snapToGrid w:val="0"/>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8028</Words>
  <Characters>4576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2021-11-18T06:48:00Z</dcterms:created>
  <dcterms:modified xsi:type="dcterms:W3CDTF">2021-11-18T06:48:00Z</dcterms:modified>
</cp:coreProperties>
</file>