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AA247" w14:textId="77777777" w:rsidR="008319CE" w:rsidRPr="008A1932" w:rsidRDefault="008319CE" w:rsidP="008319CE">
      <w:pPr>
        <w:jc w:val="center"/>
        <w:outlineLvl w:val="0"/>
        <w:rPr>
          <w:b/>
        </w:rPr>
      </w:pPr>
      <w:r w:rsidRPr="008A1932">
        <w:rPr>
          <w:b/>
        </w:rPr>
        <w:t>Pakuotės lapelis: informacija vartotojui</w:t>
      </w:r>
    </w:p>
    <w:p w14:paraId="16F06B7E" w14:textId="77777777" w:rsidR="008319CE" w:rsidRPr="002627C1" w:rsidRDefault="008319CE" w:rsidP="008319CE">
      <w:pPr>
        <w:jc w:val="center"/>
        <w:outlineLvl w:val="0"/>
        <w:rPr>
          <w:bCs/>
        </w:rPr>
      </w:pPr>
    </w:p>
    <w:p w14:paraId="20587141" w14:textId="77777777" w:rsidR="008319CE" w:rsidRPr="008A1932" w:rsidRDefault="008319CE" w:rsidP="008319CE">
      <w:pPr>
        <w:autoSpaceDE w:val="0"/>
        <w:autoSpaceDN w:val="0"/>
        <w:adjustRightInd w:val="0"/>
        <w:jc w:val="center"/>
        <w:rPr>
          <w:b/>
          <w:iCs/>
        </w:rPr>
      </w:pPr>
      <w:proofErr w:type="spellStart"/>
      <w:r w:rsidRPr="008A1932">
        <w:rPr>
          <w:b/>
          <w:bCs/>
        </w:rPr>
        <w:t>Varilrix</w:t>
      </w:r>
      <w:proofErr w:type="spellEnd"/>
      <w:r w:rsidRPr="008A1932">
        <w:rPr>
          <w:b/>
          <w:bCs/>
        </w:rPr>
        <w:t xml:space="preserve"> milteliai ir tirpiklis injekciniam tirpalui</w:t>
      </w:r>
      <w:r>
        <w:rPr>
          <w:b/>
          <w:bCs/>
        </w:rPr>
        <w:t xml:space="preserve"> </w:t>
      </w:r>
      <w:r w:rsidRPr="00AC76F1">
        <w:rPr>
          <w:b/>
          <w:bCs/>
        </w:rPr>
        <w:t>užpildytame švirkšte</w:t>
      </w:r>
    </w:p>
    <w:p w14:paraId="7BFD9217" w14:textId="77777777" w:rsidR="008319CE" w:rsidRPr="008A1932" w:rsidRDefault="008319CE" w:rsidP="008319CE">
      <w:pPr>
        <w:numPr>
          <w:ilvl w:val="12"/>
          <w:numId w:val="0"/>
        </w:numPr>
        <w:jc w:val="center"/>
      </w:pPr>
      <w:r w:rsidRPr="008A1932">
        <w:rPr>
          <w:szCs w:val="22"/>
        </w:rPr>
        <w:t>vakcina nuo vėjaraupių (gyvoji)</w:t>
      </w:r>
    </w:p>
    <w:p w14:paraId="49DA877F" w14:textId="77777777" w:rsidR="008319CE" w:rsidRPr="008A1932" w:rsidRDefault="008319CE" w:rsidP="008319CE">
      <w:pPr>
        <w:jc w:val="center"/>
      </w:pPr>
    </w:p>
    <w:p w14:paraId="5F8CF8D0" w14:textId="77777777" w:rsidR="008319CE" w:rsidRPr="008A1932" w:rsidRDefault="008319CE" w:rsidP="008319CE">
      <w:pPr>
        <w:suppressAutoHyphens/>
      </w:pPr>
      <w:r w:rsidRPr="008A1932">
        <w:rPr>
          <w:b/>
        </w:rPr>
        <w:t>Atidžiai perskaitykite visą šį lapelį, prieš pradėdami vartoti vaistą, nes jame pateikiama Jums svarbi informacija.</w:t>
      </w:r>
    </w:p>
    <w:p w14:paraId="3E32300F" w14:textId="77777777" w:rsidR="008319CE" w:rsidRPr="008A1932" w:rsidRDefault="008319CE" w:rsidP="008319CE">
      <w:pPr>
        <w:ind w:left="567" w:hanging="567"/>
      </w:pPr>
      <w:r w:rsidRPr="008A1932">
        <w:t>-</w:t>
      </w:r>
      <w:r w:rsidRPr="008A1932">
        <w:tab/>
        <w:t>Neišmeskite šio lapelio, nes vėl gali prireikti jį perskaityti.</w:t>
      </w:r>
    </w:p>
    <w:p w14:paraId="266A89E4" w14:textId="77777777" w:rsidR="008319CE" w:rsidRPr="008A1932" w:rsidRDefault="008319CE" w:rsidP="008319CE">
      <w:pPr>
        <w:ind w:left="567" w:hanging="567"/>
      </w:pPr>
      <w:r w:rsidRPr="008A1932">
        <w:t>-</w:t>
      </w:r>
      <w:r w:rsidRPr="008A1932">
        <w:tab/>
        <w:t>Jeigu kiltų daugiau klausimų, kreipkitės į gydytoją, vaistininką arba slaugytoją.</w:t>
      </w:r>
    </w:p>
    <w:p w14:paraId="6038AC85" w14:textId="77777777" w:rsidR="008319CE" w:rsidRPr="008A1932" w:rsidRDefault="008319CE" w:rsidP="008319CE">
      <w:pPr>
        <w:tabs>
          <w:tab w:val="left" w:pos="567"/>
        </w:tabs>
        <w:ind w:left="567" w:hanging="567"/>
      </w:pPr>
      <w:r w:rsidRPr="008A1932">
        <w:t>-</w:t>
      </w:r>
      <w:r w:rsidRPr="008A1932">
        <w:tab/>
        <w:t xml:space="preserve">Ši </w:t>
      </w:r>
      <w:r>
        <w:t xml:space="preserve">vakcina </w:t>
      </w:r>
      <w:r w:rsidRPr="008A1932">
        <w:t>skirta tik Jums, todėl kitiems žmonėms jo</w:t>
      </w:r>
      <w:r>
        <w:t>s</w:t>
      </w:r>
      <w:r w:rsidRPr="008A1932">
        <w:t xml:space="preserve"> duoti negalima.</w:t>
      </w:r>
    </w:p>
    <w:p w14:paraId="793F4919" w14:textId="77777777" w:rsidR="008319CE" w:rsidRPr="008A1932" w:rsidRDefault="008319CE" w:rsidP="008319CE">
      <w:pPr>
        <w:numPr>
          <w:ilvl w:val="0"/>
          <w:numId w:val="1"/>
        </w:numPr>
        <w:tabs>
          <w:tab w:val="left" w:pos="567"/>
        </w:tabs>
        <w:ind w:left="540" w:hanging="540"/>
        <w:rPr>
          <w:szCs w:val="22"/>
        </w:rPr>
      </w:pPr>
      <w:r w:rsidRPr="008A1932">
        <w:t xml:space="preserve">Jeigu pasireiškė šalutinis poveikis </w:t>
      </w:r>
      <w:r w:rsidRPr="008A1932">
        <w:rPr>
          <w:szCs w:val="22"/>
        </w:rPr>
        <w:t xml:space="preserve">(net jeigu jis šiame lapelyje nenurodytas), kreipkitės į gydytoją, vaistininką arba slaugytoją. </w:t>
      </w:r>
      <w:r w:rsidRPr="008A1932">
        <w:t>Žr.</w:t>
      </w:r>
      <w:r>
        <w:t xml:space="preserve"> </w:t>
      </w:r>
      <w:r w:rsidRPr="008A1932">
        <w:t>4 skyrių.</w:t>
      </w:r>
    </w:p>
    <w:p w14:paraId="0BE43BAC" w14:textId="77777777" w:rsidR="008319CE" w:rsidRPr="008A1932" w:rsidRDefault="008319CE" w:rsidP="008319CE"/>
    <w:p w14:paraId="4DD1E510" w14:textId="77777777" w:rsidR="008319CE" w:rsidRPr="008A1932" w:rsidRDefault="008319CE" w:rsidP="008319CE">
      <w:pPr>
        <w:ind w:left="567" w:hanging="567"/>
        <w:rPr>
          <w:b/>
          <w:szCs w:val="22"/>
        </w:rPr>
      </w:pPr>
      <w:r w:rsidRPr="008A1932">
        <w:rPr>
          <w:b/>
          <w:szCs w:val="22"/>
        </w:rPr>
        <w:t>Apie ką rašoma šiame lapelyje?</w:t>
      </w:r>
    </w:p>
    <w:p w14:paraId="084D7DC5" w14:textId="77777777" w:rsidR="008319CE" w:rsidRPr="00835B82" w:rsidRDefault="008319CE" w:rsidP="008319CE"/>
    <w:p w14:paraId="1FDE91B6" w14:textId="77777777" w:rsidR="008319CE" w:rsidRPr="008A1932" w:rsidRDefault="008319CE" w:rsidP="008319CE">
      <w:pPr>
        <w:ind w:left="567" w:hanging="567"/>
      </w:pPr>
      <w:r w:rsidRPr="008A1932">
        <w:t>1.</w:t>
      </w:r>
      <w:r w:rsidRPr="008A1932">
        <w:tab/>
        <w:t xml:space="preserve">Kas yra </w:t>
      </w:r>
      <w:proofErr w:type="spellStart"/>
      <w:r w:rsidRPr="008A1932">
        <w:t>Varilrix</w:t>
      </w:r>
      <w:proofErr w:type="spellEnd"/>
      <w:r w:rsidRPr="008A1932">
        <w:t xml:space="preserve"> ir kam jis vartojamas</w:t>
      </w:r>
    </w:p>
    <w:p w14:paraId="3888ADDD" w14:textId="77777777" w:rsidR="008319CE" w:rsidRPr="008A1932" w:rsidRDefault="008319CE" w:rsidP="008319CE">
      <w:pPr>
        <w:ind w:left="567" w:hanging="567"/>
      </w:pPr>
      <w:r w:rsidRPr="008A1932">
        <w:t>2.</w:t>
      </w:r>
      <w:r w:rsidRPr="008A1932">
        <w:tab/>
        <w:t xml:space="preserve">Kas žinotina prieš vartojant </w:t>
      </w:r>
      <w:proofErr w:type="spellStart"/>
      <w:r w:rsidRPr="008A1932">
        <w:t>Varilrix</w:t>
      </w:r>
      <w:proofErr w:type="spellEnd"/>
    </w:p>
    <w:p w14:paraId="6E82BA58" w14:textId="77777777" w:rsidR="008319CE" w:rsidRPr="008A1932" w:rsidRDefault="008319CE" w:rsidP="008319CE">
      <w:pPr>
        <w:ind w:left="567" w:hanging="567"/>
      </w:pPr>
      <w:r w:rsidRPr="008A1932">
        <w:t>3.</w:t>
      </w:r>
      <w:r w:rsidRPr="008A1932">
        <w:tab/>
        <w:t xml:space="preserve">Kaip vartoti </w:t>
      </w:r>
      <w:proofErr w:type="spellStart"/>
      <w:r w:rsidRPr="008A1932">
        <w:t>Varilrix</w:t>
      </w:r>
      <w:proofErr w:type="spellEnd"/>
    </w:p>
    <w:p w14:paraId="2833B19D" w14:textId="77777777" w:rsidR="008319CE" w:rsidRPr="008A1932" w:rsidRDefault="008319CE" w:rsidP="008319CE">
      <w:pPr>
        <w:ind w:left="567" w:hanging="567"/>
      </w:pPr>
      <w:r w:rsidRPr="008A1932">
        <w:t>4.</w:t>
      </w:r>
      <w:r w:rsidRPr="008A1932">
        <w:tab/>
        <w:t>Galimas šalutinis poveikis</w:t>
      </w:r>
    </w:p>
    <w:p w14:paraId="6231A063" w14:textId="77777777" w:rsidR="008319CE" w:rsidRPr="008A1932" w:rsidRDefault="008319CE" w:rsidP="008319CE">
      <w:pPr>
        <w:ind w:left="567" w:hanging="567"/>
      </w:pPr>
      <w:r w:rsidRPr="008A1932">
        <w:t>5.</w:t>
      </w:r>
      <w:r w:rsidRPr="008A1932">
        <w:tab/>
        <w:t xml:space="preserve">Kaip laikyti </w:t>
      </w:r>
      <w:proofErr w:type="spellStart"/>
      <w:r w:rsidRPr="008A1932">
        <w:t>Varilrix</w:t>
      </w:r>
      <w:proofErr w:type="spellEnd"/>
    </w:p>
    <w:p w14:paraId="24E2D354" w14:textId="77777777" w:rsidR="008319CE" w:rsidRPr="008A1932" w:rsidRDefault="008319CE" w:rsidP="008319CE">
      <w:pPr>
        <w:ind w:left="567" w:hanging="567"/>
      </w:pPr>
      <w:r w:rsidRPr="008A1932">
        <w:t>6.</w:t>
      </w:r>
      <w:r w:rsidRPr="008A1932">
        <w:tab/>
        <w:t>Pakuotės turinys ir kita informacija</w:t>
      </w:r>
    </w:p>
    <w:p w14:paraId="2CD1FD6E" w14:textId="77777777" w:rsidR="008319CE" w:rsidRPr="008A1932" w:rsidRDefault="008319CE" w:rsidP="008319CE">
      <w:pPr>
        <w:numPr>
          <w:ilvl w:val="12"/>
          <w:numId w:val="0"/>
        </w:numPr>
      </w:pPr>
    </w:p>
    <w:p w14:paraId="0EF43C7B" w14:textId="77777777" w:rsidR="008319CE" w:rsidRPr="008A1932" w:rsidRDefault="008319CE" w:rsidP="008319CE">
      <w:pPr>
        <w:numPr>
          <w:ilvl w:val="12"/>
          <w:numId w:val="0"/>
        </w:numPr>
      </w:pPr>
    </w:p>
    <w:p w14:paraId="4AC0F427" w14:textId="77777777" w:rsidR="008319CE" w:rsidRPr="008A1932" w:rsidRDefault="008319CE" w:rsidP="008319CE">
      <w:pPr>
        <w:numPr>
          <w:ilvl w:val="12"/>
          <w:numId w:val="0"/>
        </w:numPr>
        <w:ind w:left="567" w:hanging="567"/>
        <w:outlineLvl w:val="0"/>
        <w:rPr>
          <w:b/>
          <w:caps/>
        </w:rPr>
      </w:pPr>
      <w:r w:rsidRPr="008A1932">
        <w:rPr>
          <w:b/>
        </w:rPr>
        <w:t>1.</w:t>
      </w:r>
      <w:r w:rsidRPr="008A1932">
        <w:rPr>
          <w:b/>
        </w:rPr>
        <w:tab/>
        <w:t xml:space="preserve">Kas yra </w:t>
      </w:r>
      <w:proofErr w:type="spellStart"/>
      <w:r w:rsidRPr="008A1932">
        <w:rPr>
          <w:b/>
        </w:rPr>
        <w:t>Varilrix</w:t>
      </w:r>
      <w:proofErr w:type="spellEnd"/>
      <w:r w:rsidRPr="008A1932">
        <w:rPr>
          <w:b/>
        </w:rPr>
        <w:t xml:space="preserve"> ir kam jis vartojamas</w:t>
      </w:r>
    </w:p>
    <w:p w14:paraId="67636238" w14:textId="77777777" w:rsidR="008319CE" w:rsidRPr="008A1932" w:rsidRDefault="008319CE" w:rsidP="008319CE">
      <w:pPr>
        <w:ind w:left="567" w:hanging="567"/>
      </w:pPr>
    </w:p>
    <w:p w14:paraId="6ABBE751" w14:textId="77777777" w:rsidR="008319CE" w:rsidRPr="008A1932" w:rsidRDefault="008319CE" w:rsidP="008319CE">
      <w:pPr>
        <w:tabs>
          <w:tab w:val="left" w:pos="567"/>
        </w:tabs>
        <w:rPr>
          <w:szCs w:val="22"/>
        </w:rPr>
      </w:pPr>
      <w:bookmarkStart w:id="0" w:name="_Hlk62751291"/>
      <w:proofErr w:type="spellStart"/>
      <w:r w:rsidRPr="008A1932">
        <w:rPr>
          <w:szCs w:val="22"/>
        </w:rPr>
        <w:t>Varilrix</w:t>
      </w:r>
      <w:proofErr w:type="spellEnd"/>
      <w:r w:rsidRPr="008A1932">
        <w:rPr>
          <w:szCs w:val="22"/>
        </w:rPr>
        <w:t xml:space="preserve"> yra vakcina, kuri vartojama </w:t>
      </w:r>
      <w:bookmarkEnd w:id="0"/>
      <w:r w:rsidRPr="008A1932">
        <w:rPr>
          <w:szCs w:val="22"/>
        </w:rPr>
        <w:t>asmenims nuo 12 mėnesių amžiaus, siekiant apsaugoti nuo vėjaraupių (</w:t>
      </w:r>
      <w:proofErr w:type="spellStart"/>
      <w:r w:rsidRPr="008A1932">
        <w:rPr>
          <w:i/>
          <w:szCs w:val="22"/>
        </w:rPr>
        <w:t>varicella</w:t>
      </w:r>
      <w:proofErr w:type="spellEnd"/>
      <w:r w:rsidRPr="008A1932">
        <w:rPr>
          <w:szCs w:val="22"/>
        </w:rPr>
        <w:t>). Tam tikromis aplinkybėmis</w:t>
      </w:r>
      <w:r w:rsidRPr="008A1932">
        <w:t xml:space="preserve"> </w:t>
      </w:r>
      <w:proofErr w:type="spellStart"/>
      <w:r w:rsidRPr="008A1932">
        <w:rPr>
          <w:szCs w:val="22"/>
        </w:rPr>
        <w:t>Varilrix</w:t>
      </w:r>
      <w:proofErr w:type="spellEnd"/>
      <w:r w:rsidRPr="008A1932">
        <w:rPr>
          <w:szCs w:val="22"/>
        </w:rPr>
        <w:t xml:space="preserve"> taip pat galima vartoti kūdikiams nuo 9 mėnesių amžiaus.</w:t>
      </w:r>
    </w:p>
    <w:p w14:paraId="45A5FA9F" w14:textId="77777777" w:rsidR="008319CE" w:rsidRPr="008A1932" w:rsidRDefault="008319CE" w:rsidP="008319CE">
      <w:pPr>
        <w:tabs>
          <w:tab w:val="left" w:pos="567"/>
        </w:tabs>
        <w:rPr>
          <w:szCs w:val="22"/>
        </w:rPr>
      </w:pPr>
    </w:p>
    <w:p w14:paraId="0B8C8AB2" w14:textId="77777777" w:rsidR="008319CE" w:rsidRPr="008A1932" w:rsidRDefault="008319CE" w:rsidP="008319CE">
      <w:pPr>
        <w:tabs>
          <w:tab w:val="left" w:pos="567"/>
          <w:tab w:val="left" w:pos="7560"/>
        </w:tabs>
        <w:rPr>
          <w:szCs w:val="22"/>
        </w:rPr>
      </w:pPr>
      <w:r w:rsidRPr="008A1932">
        <w:rPr>
          <w:szCs w:val="22"/>
        </w:rPr>
        <w:t>Paskiepijimas vakcina per 3 paras po bendravimo su vėjaraupiais sergančiu asmeniu gali padėti išvengti vėjaraupių arba sumažinti ligos sunkumą.</w:t>
      </w:r>
    </w:p>
    <w:p w14:paraId="29B1757B" w14:textId="77777777" w:rsidR="008319CE" w:rsidRPr="008A1932" w:rsidRDefault="008319CE" w:rsidP="008319CE">
      <w:pPr>
        <w:tabs>
          <w:tab w:val="left" w:pos="567"/>
          <w:tab w:val="left" w:pos="7560"/>
        </w:tabs>
        <w:rPr>
          <w:szCs w:val="22"/>
        </w:rPr>
      </w:pPr>
    </w:p>
    <w:p w14:paraId="17F4A69C" w14:textId="77777777" w:rsidR="008319CE" w:rsidRPr="008A1932" w:rsidRDefault="008319CE" w:rsidP="008319CE">
      <w:pPr>
        <w:tabs>
          <w:tab w:val="left" w:pos="567"/>
          <w:tab w:val="left" w:pos="7560"/>
        </w:tabs>
        <w:rPr>
          <w:b/>
          <w:bCs/>
          <w:szCs w:val="22"/>
        </w:rPr>
      </w:pPr>
      <w:r w:rsidRPr="008A1932">
        <w:rPr>
          <w:b/>
          <w:bCs/>
          <w:szCs w:val="22"/>
        </w:rPr>
        <w:t xml:space="preserve">Kaip veikia </w:t>
      </w:r>
      <w:proofErr w:type="spellStart"/>
      <w:r w:rsidRPr="008A1932">
        <w:rPr>
          <w:b/>
          <w:bCs/>
          <w:szCs w:val="22"/>
        </w:rPr>
        <w:t>Varilrix</w:t>
      </w:r>
      <w:proofErr w:type="spellEnd"/>
    </w:p>
    <w:p w14:paraId="1FA8679F" w14:textId="77777777" w:rsidR="008319CE" w:rsidRPr="008A1932" w:rsidRDefault="008319CE" w:rsidP="008319CE">
      <w:pPr>
        <w:tabs>
          <w:tab w:val="left" w:pos="567"/>
          <w:tab w:val="left" w:pos="7560"/>
        </w:tabs>
        <w:rPr>
          <w:szCs w:val="22"/>
        </w:rPr>
      </w:pPr>
      <w:proofErr w:type="spellStart"/>
      <w:r w:rsidRPr="008A1932">
        <w:rPr>
          <w:szCs w:val="22"/>
        </w:rPr>
        <w:t>Varilrix</w:t>
      </w:r>
      <w:proofErr w:type="spellEnd"/>
      <w:r w:rsidRPr="008A1932">
        <w:rPr>
          <w:szCs w:val="22"/>
        </w:rPr>
        <w:t xml:space="preserve"> paskiepyto žmogaus imuninė sistema (natūrali organizmo gynybinė sistema) gamina antikūnus, kurie saugo žmogų nuo vėjaraupių (</w:t>
      </w:r>
      <w:proofErr w:type="spellStart"/>
      <w:r w:rsidRPr="008A1932">
        <w:rPr>
          <w:i/>
          <w:szCs w:val="22"/>
        </w:rPr>
        <w:t>varicella</w:t>
      </w:r>
      <w:proofErr w:type="spellEnd"/>
      <w:r w:rsidRPr="008A1932">
        <w:rPr>
          <w:szCs w:val="22"/>
        </w:rPr>
        <w:t xml:space="preserve">) virusų infekcijos. </w:t>
      </w:r>
    </w:p>
    <w:p w14:paraId="1A9BF40A" w14:textId="77777777" w:rsidR="008319CE" w:rsidRPr="008A1932" w:rsidRDefault="008319CE" w:rsidP="008319CE">
      <w:pPr>
        <w:tabs>
          <w:tab w:val="left" w:pos="567"/>
        </w:tabs>
        <w:rPr>
          <w:szCs w:val="22"/>
        </w:rPr>
      </w:pPr>
      <w:bookmarkStart w:id="1" w:name="_Hlk62301185"/>
      <w:proofErr w:type="spellStart"/>
      <w:r w:rsidRPr="008A1932">
        <w:rPr>
          <w:szCs w:val="22"/>
        </w:rPr>
        <w:t>Varilrix</w:t>
      </w:r>
      <w:bookmarkEnd w:id="1"/>
      <w:proofErr w:type="spellEnd"/>
      <w:r w:rsidRPr="008A1932">
        <w:rPr>
          <w:szCs w:val="22"/>
        </w:rPr>
        <w:t xml:space="preserve"> sudėtyje yra susilpnintų virusų, kurie mažai tikėtina, kad sukeltų vėjaraupius sveikiems žmonėms.</w:t>
      </w:r>
    </w:p>
    <w:p w14:paraId="6BEDDCBA" w14:textId="77777777" w:rsidR="008319CE" w:rsidRPr="008A1932" w:rsidRDefault="008319CE" w:rsidP="008319CE">
      <w:pPr>
        <w:tabs>
          <w:tab w:val="left" w:pos="567"/>
        </w:tabs>
        <w:rPr>
          <w:szCs w:val="22"/>
        </w:rPr>
      </w:pPr>
    </w:p>
    <w:p w14:paraId="1F39B526" w14:textId="77777777" w:rsidR="008319CE" w:rsidRPr="008A1932" w:rsidRDefault="008319CE" w:rsidP="008319CE">
      <w:pPr>
        <w:tabs>
          <w:tab w:val="left" w:pos="567"/>
        </w:tabs>
        <w:rPr>
          <w:szCs w:val="22"/>
        </w:rPr>
      </w:pPr>
      <w:proofErr w:type="spellStart"/>
      <w:r w:rsidRPr="008A1932">
        <w:rPr>
          <w:szCs w:val="22"/>
        </w:rPr>
        <w:t>Varilrix</w:t>
      </w:r>
      <w:proofErr w:type="spellEnd"/>
      <w:r w:rsidRPr="008A1932">
        <w:rPr>
          <w:szCs w:val="22"/>
        </w:rPr>
        <w:t>, kaip ir visos kitos vakcinos, ne visus paskiepytus žmones gali pilnai apsaugoti nuo infekcijos.</w:t>
      </w:r>
    </w:p>
    <w:p w14:paraId="03E723BD" w14:textId="77777777" w:rsidR="008319CE" w:rsidRPr="008A1932" w:rsidRDefault="008319CE" w:rsidP="008319CE">
      <w:pPr>
        <w:tabs>
          <w:tab w:val="left" w:pos="567"/>
          <w:tab w:val="left" w:pos="7560"/>
        </w:tabs>
        <w:rPr>
          <w:szCs w:val="22"/>
        </w:rPr>
      </w:pPr>
    </w:p>
    <w:p w14:paraId="5552AE39" w14:textId="77777777" w:rsidR="008319CE" w:rsidRPr="008A1932" w:rsidRDefault="008319CE" w:rsidP="008319CE">
      <w:pPr>
        <w:numPr>
          <w:ilvl w:val="12"/>
          <w:numId w:val="0"/>
        </w:numPr>
      </w:pPr>
    </w:p>
    <w:p w14:paraId="5FF2B31F" w14:textId="77777777" w:rsidR="008319CE" w:rsidRPr="008A1932" w:rsidRDefault="008319CE" w:rsidP="008319CE">
      <w:pPr>
        <w:numPr>
          <w:ilvl w:val="12"/>
          <w:numId w:val="0"/>
        </w:numPr>
        <w:ind w:left="567" w:hanging="567"/>
        <w:outlineLvl w:val="0"/>
        <w:rPr>
          <w:b/>
          <w:caps/>
        </w:rPr>
      </w:pPr>
      <w:r w:rsidRPr="008A1932">
        <w:rPr>
          <w:b/>
        </w:rPr>
        <w:t>2.</w:t>
      </w:r>
      <w:r w:rsidRPr="008A1932">
        <w:rPr>
          <w:b/>
        </w:rPr>
        <w:tab/>
        <w:t xml:space="preserve">Kas žinotina prieš vartojant </w:t>
      </w:r>
      <w:proofErr w:type="spellStart"/>
      <w:r w:rsidRPr="008A1932">
        <w:rPr>
          <w:b/>
        </w:rPr>
        <w:t>Varilrix</w:t>
      </w:r>
      <w:proofErr w:type="spellEnd"/>
    </w:p>
    <w:p w14:paraId="7CCE941C" w14:textId="77777777" w:rsidR="008319CE" w:rsidRPr="008A1932" w:rsidRDefault="008319CE" w:rsidP="008319CE">
      <w:pPr>
        <w:ind w:left="567" w:hanging="567"/>
      </w:pPr>
    </w:p>
    <w:p w14:paraId="1C14ECF0" w14:textId="77777777" w:rsidR="008319CE" w:rsidRPr="008A1932" w:rsidRDefault="008319CE" w:rsidP="008319CE">
      <w:pPr>
        <w:ind w:left="567" w:hanging="567"/>
        <w:rPr>
          <w:b/>
          <w:bCs/>
        </w:rPr>
      </w:pPr>
      <w:proofErr w:type="spellStart"/>
      <w:r w:rsidRPr="008A1932">
        <w:rPr>
          <w:b/>
          <w:bCs/>
        </w:rPr>
        <w:t>Varilrix</w:t>
      </w:r>
      <w:proofErr w:type="spellEnd"/>
      <w:r w:rsidRPr="008A1932">
        <w:rPr>
          <w:b/>
          <w:bCs/>
        </w:rPr>
        <w:t xml:space="preserve"> vartoti </w:t>
      </w:r>
      <w:r>
        <w:rPr>
          <w:b/>
          <w:bCs/>
        </w:rPr>
        <w:t>draudžiama:</w:t>
      </w:r>
    </w:p>
    <w:p w14:paraId="69D262EA" w14:textId="77777777" w:rsidR="008319CE" w:rsidRPr="00835B82" w:rsidRDefault="008319CE" w:rsidP="008319CE">
      <w:pPr>
        <w:ind w:left="567" w:hanging="567"/>
        <w:rPr>
          <w:caps/>
        </w:rPr>
      </w:pPr>
    </w:p>
    <w:p w14:paraId="47299FE5" w14:textId="77777777" w:rsidR="008319CE" w:rsidRDefault="008319CE" w:rsidP="008319CE">
      <w:pPr>
        <w:numPr>
          <w:ilvl w:val="0"/>
          <w:numId w:val="2"/>
        </w:numPr>
      </w:pPr>
      <w:r w:rsidRPr="008A1932">
        <w:t>jei Jūs ar Jūsų vaikas sergate kokia nors imuninę sistemą silpninančia liga (pvz., kraujo sutrikimais, vėžiu, esate užsikrėtę žmogaus imunodeficito virusu [ŽIV] arba sergate įgytu imunodeficito sindromu [</w:t>
      </w:r>
      <w:r w:rsidRPr="008A1932">
        <w:rPr>
          <w:i/>
          <w:iCs/>
        </w:rPr>
        <w:t>AIDS</w:t>
      </w:r>
      <w:r w:rsidRPr="008A1932">
        <w:t xml:space="preserve">]) arba </w:t>
      </w:r>
      <w:r>
        <w:t xml:space="preserve">neseniai vartojote ir vis dar </w:t>
      </w:r>
      <w:r w:rsidRPr="008A1932">
        <w:t>vartojate koki</w:t>
      </w:r>
      <w:r>
        <w:t>ų</w:t>
      </w:r>
      <w:r w:rsidRPr="008A1932">
        <w:t xml:space="preserve"> nors vaist</w:t>
      </w:r>
      <w:r>
        <w:t>ų</w:t>
      </w:r>
      <w:r w:rsidRPr="008A1932">
        <w:t>, kurie silpnina imuninę sistemą</w:t>
      </w:r>
      <w:r>
        <w:t xml:space="preserve"> </w:t>
      </w:r>
      <w:r w:rsidRPr="008A1932">
        <w:t>(</w:t>
      </w:r>
      <w:r>
        <w:t>išskyrus</w:t>
      </w:r>
      <w:r w:rsidRPr="008A1932">
        <w:t xml:space="preserve"> </w:t>
      </w:r>
      <w:r>
        <w:t xml:space="preserve">astmos gydymą ar pakeičiamąją terapiją maža </w:t>
      </w:r>
      <w:r w:rsidRPr="008A1932">
        <w:t>kortikosteroid</w:t>
      </w:r>
      <w:r>
        <w:t>ų doze</w:t>
      </w:r>
      <w:r w:rsidRPr="008A1932">
        <w:t xml:space="preserve">). </w:t>
      </w:r>
    </w:p>
    <w:p w14:paraId="22E7FBD2" w14:textId="77777777" w:rsidR="008319CE" w:rsidRPr="008A1932" w:rsidRDefault="008319CE" w:rsidP="008319CE">
      <w:pPr>
        <w:ind w:left="709"/>
      </w:pPr>
      <w:r w:rsidRPr="008A1932">
        <w:t>Ar Jūs arba Jūsų vaikas būsite paskiepyti vakcina, priklausys nuo Jūsų imuninės apsaugos lygio. Žr.</w:t>
      </w:r>
      <w:r>
        <w:t> </w:t>
      </w:r>
      <w:r w:rsidRPr="008A1932">
        <w:t>2</w:t>
      </w:r>
      <w:r>
        <w:t> </w:t>
      </w:r>
      <w:r w:rsidRPr="008A1932">
        <w:t>skyriuje skyrelį „Įspėjimai ir atsargumo priemonės“;</w:t>
      </w:r>
    </w:p>
    <w:p w14:paraId="38B462C8" w14:textId="77777777" w:rsidR="008319CE" w:rsidRPr="008A1932" w:rsidRDefault="008319CE" w:rsidP="008319CE">
      <w:pPr>
        <w:numPr>
          <w:ilvl w:val="0"/>
          <w:numId w:val="2"/>
        </w:numPr>
        <w:rPr>
          <w:szCs w:val="22"/>
        </w:rPr>
      </w:pPr>
      <w:r w:rsidRPr="008A1932">
        <w:t xml:space="preserve">jeigu Jums ar Jūsų vaikui yra alergija bet kuriai vakcinoje esančiai medžiagai </w:t>
      </w:r>
      <w:r w:rsidRPr="008A1932">
        <w:rPr>
          <w:szCs w:val="22"/>
        </w:rPr>
        <w:t>(jos išvardytos 6 skyriuje). Alerginės reakcijos požymiai gali būti odos išbėrimas, dusulys, veido ar liežuvio patinimas;</w:t>
      </w:r>
    </w:p>
    <w:p w14:paraId="7B3E7509" w14:textId="77777777" w:rsidR="008319CE" w:rsidRPr="008A1932" w:rsidRDefault="008319CE" w:rsidP="008319CE">
      <w:pPr>
        <w:numPr>
          <w:ilvl w:val="0"/>
          <w:numId w:val="2"/>
        </w:numPr>
        <w:rPr>
          <w:szCs w:val="22"/>
        </w:rPr>
      </w:pPr>
      <w:r w:rsidRPr="008A1932">
        <w:rPr>
          <w:szCs w:val="22"/>
        </w:rPr>
        <w:lastRenderedPageBreak/>
        <w:t xml:space="preserve">jeigu žinoma, kad Jūs ar Jūsų vaikas esate alergiški </w:t>
      </w:r>
      <w:proofErr w:type="spellStart"/>
      <w:r w:rsidRPr="008A1932">
        <w:rPr>
          <w:szCs w:val="22"/>
        </w:rPr>
        <w:t>neomicinui</w:t>
      </w:r>
      <w:proofErr w:type="spellEnd"/>
      <w:r w:rsidRPr="008A1932">
        <w:rPr>
          <w:szCs w:val="22"/>
        </w:rPr>
        <w:t xml:space="preserve"> (antibiotikas).</w:t>
      </w:r>
      <w:r w:rsidRPr="008A1932">
        <w:t xml:space="preserve"> </w:t>
      </w:r>
      <w:r w:rsidRPr="008A1932">
        <w:rPr>
          <w:szCs w:val="22"/>
        </w:rPr>
        <w:t xml:space="preserve">Žinomas kontaktinis dermatitas (odos išbėrimas, kai oda tiesiogiai liečiasi su alergenais, pavyzdžiui, </w:t>
      </w:r>
      <w:proofErr w:type="spellStart"/>
      <w:r w:rsidRPr="008A1932">
        <w:rPr>
          <w:szCs w:val="22"/>
        </w:rPr>
        <w:t>neomicinu</w:t>
      </w:r>
      <w:proofErr w:type="spellEnd"/>
      <w:r w:rsidRPr="008A1932">
        <w:rPr>
          <w:szCs w:val="22"/>
        </w:rPr>
        <w:t>) neturėtų būti priežastis neskiepyti, bet pirmiausia pasitarkite su savo gydytoju;</w:t>
      </w:r>
    </w:p>
    <w:p w14:paraId="261CC711" w14:textId="77777777" w:rsidR="008319CE" w:rsidRPr="008A1932" w:rsidRDefault="008319CE" w:rsidP="008319CE">
      <w:pPr>
        <w:numPr>
          <w:ilvl w:val="0"/>
          <w:numId w:val="2"/>
        </w:numPr>
        <w:rPr>
          <w:szCs w:val="22"/>
        </w:rPr>
      </w:pPr>
      <w:r w:rsidRPr="008A1932">
        <w:rPr>
          <w:szCs w:val="22"/>
        </w:rPr>
        <w:t>jeigu Jums ar Jūsų vaikui pirmiau buvo pasireiškusi alerginė reakcija po paskiepijimo bet kuria vakcina nuo vėjaraupių;</w:t>
      </w:r>
    </w:p>
    <w:p w14:paraId="390DA720" w14:textId="77777777" w:rsidR="008319CE" w:rsidRPr="008A1932" w:rsidRDefault="008319CE" w:rsidP="008319CE">
      <w:pPr>
        <w:numPr>
          <w:ilvl w:val="0"/>
          <w:numId w:val="2"/>
        </w:numPr>
        <w:rPr>
          <w:szCs w:val="22"/>
        </w:rPr>
      </w:pPr>
      <w:r w:rsidRPr="008A1932">
        <w:t>jei esate nėščia. Be to, negalima pastoti 1 mėnesį po skiepijimo.</w:t>
      </w:r>
    </w:p>
    <w:p w14:paraId="5BD14932" w14:textId="77777777" w:rsidR="008319CE" w:rsidRPr="008A1932" w:rsidRDefault="008319CE" w:rsidP="008319CE">
      <w:pPr>
        <w:numPr>
          <w:ilvl w:val="12"/>
          <w:numId w:val="0"/>
        </w:numPr>
        <w:ind w:left="567" w:hanging="567"/>
      </w:pPr>
    </w:p>
    <w:p w14:paraId="06F1E373" w14:textId="77777777" w:rsidR="008319CE" w:rsidRPr="008A1932" w:rsidRDefault="008319CE" w:rsidP="008319CE">
      <w:pPr>
        <w:ind w:left="567" w:hanging="567"/>
        <w:rPr>
          <w:b/>
        </w:rPr>
      </w:pPr>
      <w:r w:rsidRPr="008A1932">
        <w:rPr>
          <w:b/>
        </w:rPr>
        <w:t>Įspėjimai ir atsargumo priemonės</w:t>
      </w:r>
      <w:r w:rsidRPr="008A1932">
        <w:rPr>
          <w:szCs w:val="22"/>
        </w:rPr>
        <w:t xml:space="preserve"> </w:t>
      </w:r>
    </w:p>
    <w:p w14:paraId="08AF75EB" w14:textId="77777777" w:rsidR="008319CE" w:rsidRPr="008A1932" w:rsidRDefault="008319CE" w:rsidP="008319CE">
      <w:pPr>
        <w:rPr>
          <w:szCs w:val="22"/>
        </w:rPr>
      </w:pPr>
      <w:r w:rsidRPr="008A1932">
        <w:rPr>
          <w:szCs w:val="22"/>
        </w:rPr>
        <w:t xml:space="preserve">Pasitarkite su gydytoju, vaistininku arba slaugytoju, prieš paskiepijant Jus ar Jūsų vaiką </w:t>
      </w:r>
      <w:proofErr w:type="spellStart"/>
      <w:r w:rsidRPr="008A1932">
        <w:rPr>
          <w:szCs w:val="22"/>
        </w:rPr>
        <w:t>Varilrix</w:t>
      </w:r>
      <w:proofErr w:type="spellEnd"/>
      <w:r w:rsidRPr="008A1932">
        <w:rPr>
          <w:szCs w:val="22"/>
        </w:rPr>
        <w:t>:</w:t>
      </w:r>
    </w:p>
    <w:p w14:paraId="4E4B6241" w14:textId="77777777" w:rsidR="008319CE" w:rsidRPr="008A1932" w:rsidRDefault="008319CE" w:rsidP="008319CE">
      <w:pPr>
        <w:numPr>
          <w:ilvl w:val="0"/>
          <w:numId w:val="2"/>
        </w:numPr>
        <w:rPr>
          <w:szCs w:val="22"/>
        </w:rPr>
      </w:pPr>
      <w:r w:rsidRPr="008A1932">
        <w:rPr>
          <w:szCs w:val="22"/>
        </w:rPr>
        <w:t>jeigu Jūs ar Jūsų vaikas sergate sunkia infekcine liga, pasireiškiančia didele kūno temperatūra. Gali prireikti atidėti vakcinaciją iki tol, kol visiškai pasveiksite. Dėl lengvos infekcijos, pavyzdžiui, slogos, vakcinacijos atidėti nebūtina, bet visų pirma pasikalbėkite su savo gydytoju;</w:t>
      </w:r>
    </w:p>
    <w:p w14:paraId="3D05460F" w14:textId="77777777" w:rsidR="008319CE" w:rsidRPr="008A1932" w:rsidRDefault="008319CE" w:rsidP="008319CE">
      <w:pPr>
        <w:numPr>
          <w:ilvl w:val="0"/>
          <w:numId w:val="2"/>
        </w:numPr>
        <w:rPr>
          <w:szCs w:val="22"/>
        </w:rPr>
      </w:pPr>
      <w:r w:rsidRPr="008A1932">
        <w:rPr>
          <w:szCs w:val="22"/>
        </w:rPr>
        <w:t>jeigu Jūsų ar Jūsų vaiko imuninė sistema nusilpusi dėl ligos (pavyzdžiui, dėl ŽIV infekcijos) ir (arba) gydymo</w:t>
      </w:r>
      <w:r>
        <w:rPr>
          <w:szCs w:val="22"/>
        </w:rPr>
        <w:t xml:space="preserve"> arba pradėsite (</w:t>
      </w:r>
      <w:r w:rsidRPr="008A1932">
        <w:rPr>
          <w:szCs w:val="22"/>
        </w:rPr>
        <w:t>Jūsų vaik</w:t>
      </w:r>
      <w:r>
        <w:rPr>
          <w:szCs w:val="22"/>
        </w:rPr>
        <w:t>as pradės) vartoti vaistų, kurie silpnina imuninę sistemą</w:t>
      </w:r>
      <w:r w:rsidRPr="008A1932">
        <w:rPr>
          <w:szCs w:val="22"/>
        </w:rPr>
        <w:t>. Jūs ar Jūsų vaikas turi būti atidžiai stebimas, nes reakcija į vakciną gali būti nepakankama, kad būtų užtikrinta apsauga nuo ligų (žr.</w:t>
      </w:r>
      <w:r>
        <w:rPr>
          <w:szCs w:val="22"/>
        </w:rPr>
        <w:t xml:space="preserve"> </w:t>
      </w:r>
      <w:r w:rsidRPr="008A1932">
        <w:rPr>
          <w:szCs w:val="22"/>
        </w:rPr>
        <w:t>2</w:t>
      </w:r>
      <w:r>
        <w:rPr>
          <w:szCs w:val="22"/>
        </w:rPr>
        <w:t> </w:t>
      </w:r>
      <w:r w:rsidRPr="008A1932">
        <w:rPr>
          <w:szCs w:val="22"/>
        </w:rPr>
        <w:t>skyriuje skyrelį „</w:t>
      </w:r>
      <w:proofErr w:type="spellStart"/>
      <w:r w:rsidRPr="008A1932">
        <w:rPr>
          <w:szCs w:val="22"/>
        </w:rPr>
        <w:t>Varilrix</w:t>
      </w:r>
      <w:proofErr w:type="spellEnd"/>
      <w:r w:rsidRPr="008A1932">
        <w:rPr>
          <w:szCs w:val="22"/>
        </w:rPr>
        <w:t xml:space="preserve"> vartoti negalima“);</w:t>
      </w:r>
    </w:p>
    <w:p w14:paraId="0E5D7D40" w14:textId="77777777" w:rsidR="008319CE" w:rsidRPr="008A1932" w:rsidRDefault="008319CE" w:rsidP="008319CE">
      <w:pPr>
        <w:numPr>
          <w:ilvl w:val="0"/>
          <w:numId w:val="2"/>
        </w:numPr>
        <w:rPr>
          <w:szCs w:val="22"/>
        </w:rPr>
      </w:pPr>
      <w:r w:rsidRPr="008A1932">
        <w:rPr>
          <w:szCs w:val="22"/>
        </w:rPr>
        <w:t>jeigu yra kraujavimo sutrikimų arba lengvai atsiranda mėlynių.</w:t>
      </w:r>
    </w:p>
    <w:p w14:paraId="339AC4E3" w14:textId="77777777" w:rsidR="008319CE" w:rsidRPr="008A1932" w:rsidRDefault="008319CE" w:rsidP="008319CE">
      <w:pPr>
        <w:rPr>
          <w:szCs w:val="22"/>
        </w:rPr>
      </w:pPr>
    </w:p>
    <w:p w14:paraId="537FFAA0" w14:textId="77777777" w:rsidR="008319CE" w:rsidRPr="008A1932" w:rsidRDefault="008319CE" w:rsidP="008319CE">
      <w:pPr>
        <w:rPr>
          <w:szCs w:val="22"/>
        </w:rPr>
      </w:pPr>
      <w:r w:rsidRPr="008A1932">
        <w:rPr>
          <w:szCs w:val="22"/>
        </w:rPr>
        <w:t>Galimas alpimas (dažniausiai paaugliams) po arba net prieš bet kurią injekciją adata. Todėl svarbu pasakyti gydytojui ar slaugytojui, kad Jūs arba Jūsų vaikas alpote anksčiau leidžiant injekciją.</w:t>
      </w:r>
    </w:p>
    <w:p w14:paraId="6FBEB4DF" w14:textId="77777777" w:rsidR="008319CE" w:rsidRPr="008A1932" w:rsidRDefault="008319CE" w:rsidP="008319CE">
      <w:pPr>
        <w:rPr>
          <w:szCs w:val="22"/>
        </w:rPr>
      </w:pPr>
    </w:p>
    <w:p w14:paraId="022DCCAC" w14:textId="77777777" w:rsidR="008319CE" w:rsidRPr="008A1932" w:rsidRDefault="008319CE" w:rsidP="008319CE">
      <w:pPr>
        <w:rPr>
          <w:szCs w:val="22"/>
        </w:rPr>
      </w:pPr>
      <w:proofErr w:type="spellStart"/>
      <w:r w:rsidRPr="008A1932">
        <w:rPr>
          <w:szCs w:val="22"/>
        </w:rPr>
        <w:t>Varilrix</w:t>
      </w:r>
      <w:proofErr w:type="spellEnd"/>
      <w:r w:rsidRPr="008A1932">
        <w:rPr>
          <w:szCs w:val="22"/>
        </w:rPr>
        <w:t>, kaip ir kitos vakcinos, gali ne visiškai apsaugoti Jus ar Jūsų vaiką nuo užsikrėtimo vėjaraupiais. Vis dėlto paskiepyti asmenys, užsikrėtę vėjaraupiais, dažniausiai serga labai lengvai, palyginti su asmenimis, kurie vakcina nebuvo skiepyti.</w:t>
      </w:r>
    </w:p>
    <w:p w14:paraId="32118720" w14:textId="77777777" w:rsidR="008319CE" w:rsidRPr="008A1932" w:rsidRDefault="008319CE" w:rsidP="008319CE">
      <w:pPr>
        <w:rPr>
          <w:szCs w:val="22"/>
        </w:rPr>
      </w:pPr>
    </w:p>
    <w:p w14:paraId="6579A9A5" w14:textId="77777777" w:rsidR="008319CE" w:rsidRPr="008A1932" w:rsidRDefault="008319CE" w:rsidP="008319CE">
      <w:pPr>
        <w:rPr>
          <w:szCs w:val="22"/>
        </w:rPr>
      </w:pPr>
      <w:r w:rsidRPr="008A1932">
        <w:rPr>
          <w:szCs w:val="22"/>
        </w:rPr>
        <w:t xml:space="preserve">Retais atvejais vakcinuoti asmenys </w:t>
      </w:r>
      <w:proofErr w:type="spellStart"/>
      <w:r w:rsidRPr="008A1932">
        <w:rPr>
          <w:szCs w:val="22"/>
        </w:rPr>
        <w:t>susilpnintais</w:t>
      </w:r>
      <w:proofErr w:type="spellEnd"/>
      <w:r w:rsidRPr="008A1932">
        <w:rPr>
          <w:szCs w:val="22"/>
        </w:rPr>
        <w:t xml:space="preserve"> virusais gali užkrėsti kitus žmones. Taip dažniausiai įvyksta, kai paskiepytam asmeniui atsiranda nedaug dėmelių ar pūslelių. Tokiu būdu užsikrėtusiems sveikiems asmenims dažniausiai atsiranda tik lengvas išbėrimas, kuris nėra kenksmingas.</w:t>
      </w:r>
    </w:p>
    <w:p w14:paraId="076E19AD" w14:textId="77777777" w:rsidR="008319CE" w:rsidRPr="008A1932" w:rsidRDefault="008319CE" w:rsidP="008319CE">
      <w:pPr>
        <w:rPr>
          <w:szCs w:val="22"/>
        </w:rPr>
      </w:pPr>
    </w:p>
    <w:p w14:paraId="25DBC98E" w14:textId="77777777" w:rsidR="008319CE" w:rsidRPr="008A1932" w:rsidRDefault="008319CE" w:rsidP="008319CE">
      <w:pPr>
        <w:rPr>
          <w:noProof/>
        </w:rPr>
      </w:pPr>
      <w:r w:rsidRPr="008A1932">
        <w:rPr>
          <w:noProof/>
        </w:rPr>
        <w:t>Iš karto po vakcinacijos Jūs ar Jūsų vaikas iki 6 savaičių po paskiepijimo turite vengti, jeigu įmanoma, artimo bendravimo su toliau išvardytais asmenimis:</w:t>
      </w:r>
    </w:p>
    <w:p w14:paraId="7BD01FE7" w14:textId="77777777" w:rsidR="008319CE" w:rsidRPr="008A1932" w:rsidRDefault="008319CE" w:rsidP="008319CE">
      <w:pPr>
        <w:numPr>
          <w:ilvl w:val="0"/>
          <w:numId w:val="2"/>
        </w:numPr>
        <w:rPr>
          <w:szCs w:val="22"/>
        </w:rPr>
      </w:pPr>
      <w:r w:rsidRPr="008A1932">
        <w:rPr>
          <w:szCs w:val="22"/>
        </w:rPr>
        <w:t>asmenys, kurių imuninė sistema yra nusilpusi;</w:t>
      </w:r>
    </w:p>
    <w:p w14:paraId="7A64E085" w14:textId="77777777" w:rsidR="008319CE" w:rsidRPr="008A1932" w:rsidRDefault="008319CE" w:rsidP="008319CE">
      <w:pPr>
        <w:numPr>
          <w:ilvl w:val="0"/>
          <w:numId w:val="2"/>
        </w:numPr>
        <w:rPr>
          <w:szCs w:val="22"/>
        </w:rPr>
      </w:pPr>
      <w:r w:rsidRPr="008A1932">
        <w:rPr>
          <w:szCs w:val="22"/>
        </w:rPr>
        <w:t>vėjaraupiais nesirgusios ir nuo vėjaraupių neskiepytos nėščios moterys;</w:t>
      </w:r>
    </w:p>
    <w:p w14:paraId="0B06350C" w14:textId="77777777" w:rsidR="008319CE" w:rsidRPr="008A1932" w:rsidRDefault="008319CE" w:rsidP="008319CE">
      <w:pPr>
        <w:numPr>
          <w:ilvl w:val="0"/>
          <w:numId w:val="2"/>
        </w:numPr>
        <w:rPr>
          <w:szCs w:val="22"/>
        </w:rPr>
      </w:pPr>
      <w:r w:rsidRPr="008A1932">
        <w:rPr>
          <w:szCs w:val="22"/>
        </w:rPr>
        <w:t>naujagimiai motinų, kurios nėra sirgusios vėjaraupiais ir nebuvo skiepytos nuo vėjaraupių.</w:t>
      </w:r>
    </w:p>
    <w:p w14:paraId="082DC20A" w14:textId="77777777" w:rsidR="008319CE" w:rsidRPr="008A1932" w:rsidRDefault="008319CE" w:rsidP="008319CE">
      <w:pPr>
        <w:numPr>
          <w:ilvl w:val="12"/>
          <w:numId w:val="0"/>
        </w:numPr>
      </w:pPr>
    </w:p>
    <w:p w14:paraId="5E79A158" w14:textId="77777777" w:rsidR="008319CE" w:rsidRPr="008A1932" w:rsidRDefault="008319CE" w:rsidP="008319CE">
      <w:pPr>
        <w:numPr>
          <w:ilvl w:val="12"/>
          <w:numId w:val="0"/>
        </w:numPr>
        <w:ind w:right="-2"/>
      </w:pPr>
      <w:r w:rsidRPr="008A1932">
        <w:rPr>
          <w:b/>
        </w:rPr>
        <w:t xml:space="preserve">Kiti vaistai ir </w:t>
      </w:r>
      <w:proofErr w:type="spellStart"/>
      <w:r w:rsidRPr="008A1932">
        <w:rPr>
          <w:b/>
        </w:rPr>
        <w:t>Varilrix</w:t>
      </w:r>
      <w:proofErr w:type="spellEnd"/>
    </w:p>
    <w:p w14:paraId="7B2F9125" w14:textId="77777777" w:rsidR="008319CE" w:rsidRPr="008A1932" w:rsidRDefault="008319CE" w:rsidP="008319CE">
      <w:r w:rsidRPr="008A1932">
        <w:t xml:space="preserve">Jeigu vartojate ar neseniai vartojote kitų vakcinų ir (arba) vaistų </w:t>
      </w:r>
      <w:r w:rsidRPr="008A1932">
        <w:rPr>
          <w:szCs w:val="22"/>
        </w:rPr>
        <w:t>arba dėl to nesate tikri, apie tai</w:t>
      </w:r>
      <w:r w:rsidRPr="008A1932">
        <w:t xml:space="preserve"> pasakykite gydytojui arba vaistininkui.</w:t>
      </w:r>
    </w:p>
    <w:p w14:paraId="6AE03306" w14:textId="77777777" w:rsidR="008319CE" w:rsidRPr="008A1932" w:rsidRDefault="008319CE" w:rsidP="008319CE"/>
    <w:p w14:paraId="36124D50" w14:textId="77777777" w:rsidR="008319CE" w:rsidRPr="008A1932" w:rsidRDefault="008319CE" w:rsidP="008319CE">
      <w:pPr>
        <w:rPr>
          <w:szCs w:val="22"/>
        </w:rPr>
      </w:pPr>
      <w:r w:rsidRPr="008A1932">
        <w:rPr>
          <w:szCs w:val="22"/>
        </w:rPr>
        <w:t xml:space="preserve">Pasakykite gydytojui, jei Jums ar Jūsų vaikui planuojama atlikti odos mėginį dėl galimos tuberkuliozės. Atliekant šį mėginį per 6 savaites po paskiepijimo </w:t>
      </w:r>
      <w:proofErr w:type="spellStart"/>
      <w:r w:rsidRPr="008A1932">
        <w:rPr>
          <w:szCs w:val="22"/>
        </w:rPr>
        <w:t>Varilrix</w:t>
      </w:r>
      <w:proofErr w:type="spellEnd"/>
      <w:r w:rsidRPr="008A1932">
        <w:rPr>
          <w:szCs w:val="22"/>
        </w:rPr>
        <w:t>, jo duomenys gali būti neteisingi.</w:t>
      </w:r>
    </w:p>
    <w:p w14:paraId="772CD1B2" w14:textId="77777777" w:rsidR="008319CE" w:rsidRPr="008A1932" w:rsidRDefault="008319CE" w:rsidP="008319CE">
      <w:pPr>
        <w:rPr>
          <w:szCs w:val="22"/>
        </w:rPr>
      </w:pPr>
    </w:p>
    <w:p w14:paraId="0D759F7D" w14:textId="77777777" w:rsidR="008319CE" w:rsidRPr="008A1932" w:rsidRDefault="008319CE" w:rsidP="008319CE">
      <w:pPr>
        <w:rPr>
          <w:szCs w:val="22"/>
        </w:rPr>
      </w:pPr>
      <w:bookmarkStart w:id="2" w:name="_Hlk62308675"/>
      <w:r w:rsidRPr="008A1932">
        <w:rPr>
          <w:szCs w:val="22"/>
        </w:rPr>
        <w:t xml:space="preserve">Jei Jums ar Jūsų vaikui </w:t>
      </w:r>
      <w:bookmarkEnd w:id="2"/>
      <w:r w:rsidRPr="008A1932">
        <w:rPr>
          <w:szCs w:val="22"/>
        </w:rPr>
        <w:t>nesenai buvo perpilta kraujo ar suleista žmogaus antikūnų (imunoglobulinai), vakcinaciją reikėtų atidėti bent 3 mėnesiams.</w:t>
      </w:r>
    </w:p>
    <w:p w14:paraId="747441C5" w14:textId="77777777" w:rsidR="008319CE" w:rsidRPr="008A1932" w:rsidRDefault="008319CE" w:rsidP="008319CE">
      <w:pPr>
        <w:numPr>
          <w:ilvl w:val="12"/>
          <w:numId w:val="0"/>
        </w:numPr>
        <w:tabs>
          <w:tab w:val="left" w:pos="567"/>
        </w:tabs>
        <w:rPr>
          <w:noProof/>
          <w:szCs w:val="22"/>
        </w:rPr>
      </w:pPr>
    </w:p>
    <w:p w14:paraId="2B0C07B9" w14:textId="77777777" w:rsidR="008319CE" w:rsidRPr="008A1932" w:rsidRDefault="008319CE" w:rsidP="008319CE">
      <w:pPr>
        <w:rPr>
          <w:szCs w:val="22"/>
        </w:rPr>
      </w:pPr>
      <w:r w:rsidRPr="008A1932">
        <w:rPr>
          <w:szCs w:val="22"/>
        </w:rPr>
        <w:t xml:space="preserve">Paskiepijus </w:t>
      </w:r>
      <w:proofErr w:type="spellStart"/>
      <w:r w:rsidRPr="008A1932">
        <w:rPr>
          <w:szCs w:val="22"/>
        </w:rPr>
        <w:t>Varilrix</w:t>
      </w:r>
      <w:proofErr w:type="spellEnd"/>
      <w:r w:rsidRPr="008A1932">
        <w:rPr>
          <w:szCs w:val="22"/>
        </w:rPr>
        <w:t xml:space="preserve">, 6 savaites reikėtų vengti vartoti aspirino arba kitų </w:t>
      </w:r>
      <w:proofErr w:type="spellStart"/>
      <w:r w:rsidRPr="008A1932">
        <w:rPr>
          <w:szCs w:val="22"/>
        </w:rPr>
        <w:t>salicilatų</w:t>
      </w:r>
      <w:proofErr w:type="spellEnd"/>
      <w:r w:rsidRPr="008A1932">
        <w:rPr>
          <w:szCs w:val="22"/>
        </w:rPr>
        <w:t xml:space="preserve"> (medžiaga, kurios yra vaistų, vartojamų karščiavimui mažinti ir skausmui malšinti, sudėtyje), nes tai gali sukelti sunkią ligą, vadinamą </w:t>
      </w:r>
      <w:proofErr w:type="spellStart"/>
      <w:r w:rsidRPr="008A1932">
        <w:rPr>
          <w:i/>
          <w:iCs/>
          <w:szCs w:val="22"/>
        </w:rPr>
        <w:t>Reye</w:t>
      </w:r>
      <w:proofErr w:type="spellEnd"/>
      <w:r w:rsidRPr="008A1932">
        <w:rPr>
          <w:i/>
          <w:iCs/>
          <w:szCs w:val="22"/>
        </w:rPr>
        <w:t xml:space="preserve"> </w:t>
      </w:r>
      <w:r w:rsidRPr="008A1932">
        <w:rPr>
          <w:szCs w:val="22"/>
        </w:rPr>
        <w:t>sindromu, galinčią pažeisti visus organus.</w:t>
      </w:r>
    </w:p>
    <w:p w14:paraId="07910014" w14:textId="77777777" w:rsidR="008319CE" w:rsidRPr="008A1932" w:rsidRDefault="008319CE" w:rsidP="008319CE">
      <w:pPr>
        <w:rPr>
          <w:szCs w:val="22"/>
        </w:rPr>
      </w:pPr>
    </w:p>
    <w:p w14:paraId="60BCB7C3" w14:textId="77777777" w:rsidR="008319CE" w:rsidRPr="008A1932" w:rsidRDefault="008319CE" w:rsidP="008319CE">
      <w:pPr>
        <w:rPr>
          <w:szCs w:val="22"/>
        </w:rPr>
      </w:pPr>
      <w:proofErr w:type="spellStart"/>
      <w:r w:rsidRPr="008A1932">
        <w:rPr>
          <w:szCs w:val="22"/>
        </w:rPr>
        <w:t>Varilrix</w:t>
      </w:r>
      <w:proofErr w:type="spellEnd"/>
      <w:r w:rsidRPr="008A1932">
        <w:rPr>
          <w:szCs w:val="22"/>
        </w:rPr>
        <w:t xml:space="preserve"> galima suleisti tuo pačiu laiku, kaip ir kitas vakcinas. Kiekvieną vakciną reikia suleisti į skirtingą injekcijos vietą.</w:t>
      </w:r>
    </w:p>
    <w:p w14:paraId="42E28C08" w14:textId="77777777" w:rsidR="008319CE" w:rsidRPr="008A1932" w:rsidRDefault="008319CE" w:rsidP="008319CE">
      <w:pPr>
        <w:numPr>
          <w:ilvl w:val="12"/>
          <w:numId w:val="0"/>
        </w:numPr>
      </w:pPr>
    </w:p>
    <w:p w14:paraId="0822E0BB" w14:textId="77777777" w:rsidR="008319CE" w:rsidRPr="008A1932" w:rsidRDefault="008319CE" w:rsidP="008319CE">
      <w:pPr>
        <w:keepNext/>
        <w:ind w:left="567" w:hanging="567"/>
        <w:rPr>
          <w:b/>
        </w:rPr>
      </w:pPr>
      <w:r w:rsidRPr="008A1932">
        <w:rPr>
          <w:b/>
        </w:rPr>
        <w:t>Nėštumas ir žindymo laikotarpis</w:t>
      </w:r>
    </w:p>
    <w:p w14:paraId="3D1426E6" w14:textId="77777777" w:rsidR="008319CE" w:rsidRPr="008A1932" w:rsidRDefault="008319CE" w:rsidP="008319CE">
      <w:pPr>
        <w:rPr>
          <w:szCs w:val="22"/>
        </w:rPr>
      </w:pPr>
      <w:proofErr w:type="spellStart"/>
      <w:r w:rsidRPr="008A1932">
        <w:rPr>
          <w:szCs w:val="22"/>
        </w:rPr>
        <w:t>Varilrix</w:t>
      </w:r>
      <w:proofErr w:type="spellEnd"/>
      <w:r w:rsidRPr="008A1932">
        <w:rPr>
          <w:szCs w:val="22"/>
        </w:rPr>
        <w:t xml:space="preserve"> skiepyti nėščias moteris negalima.</w:t>
      </w:r>
    </w:p>
    <w:p w14:paraId="49250B8A" w14:textId="77777777" w:rsidR="008319CE" w:rsidRPr="008A1932" w:rsidRDefault="008319CE" w:rsidP="008319CE">
      <w:pPr>
        <w:rPr>
          <w:szCs w:val="22"/>
        </w:rPr>
      </w:pPr>
    </w:p>
    <w:p w14:paraId="2D3879A3" w14:textId="77777777" w:rsidR="008319CE" w:rsidRPr="008A1932" w:rsidRDefault="008319CE" w:rsidP="008319CE">
      <w:pPr>
        <w:rPr>
          <w:szCs w:val="22"/>
        </w:rPr>
      </w:pPr>
      <w:r w:rsidRPr="008A1932">
        <w:rPr>
          <w:szCs w:val="22"/>
        </w:rPr>
        <w:t>Jeigu esate nėščia, žindote kūdikį, manote, kad galbūt esate nėščia arba planuojate pastoti, tai prieš vartojant šią vakciną, pasitarkite su gydytoju arba vaistininku. Be to, svarbu, kad nepastotumėte vieną mėnesį po skiepijimo. Šiuo laikotarpiu Jūs turite naudoti veiksmingą kontracepcijos metodą, kad išvengtumėte nėštumo.</w:t>
      </w:r>
    </w:p>
    <w:p w14:paraId="6A9F2726" w14:textId="77777777" w:rsidR="008319CE" w:rsidRPr="008A1932" w:rsidRDefault="008319CE" w:rsidP="008319CE">
      <w:pPr>
        <w:numPr>
          <w:ilvl w:val="12"/>
          <w:numId w:val="0"/>
        </w:numPr>
      </w:pPr>
    </w:p>
    <w:p w14:paraId="76ADBAD6" w14:textId="77777777" w:rsidR="008319CE" w:rsidRPr="008A1932" w:rsidRDefault="008319CE" w:rsidP="008319CE">
      <w:pPr>
        <w:numPr>
          <w:ilvl w:val="12"/>
          <w:numId w:val="0"/>
        </w:numPr>
      </w:pPr>
      <w:r w:rsidRPr="008A1932">
        <w:t xml:space="preserve">Jeigu žindote ar planuojate žindyti kūdikį, apie tai pasakykite savo gydytojui. Jūsų gydytojas nuspręs, ar Jus galima skiepyti </w:t>
      </w:r>
      <w:proofErr w:type="spellStart"/>
      <w:r w:rsidRPr="008A1932">
        <w:t>Varilrix</w:t>
      </w:r>
      <w:proofErr w:type="spellEnd"/>
      <w:r w:rsidRPr="008A1932">
        <w:t>.</w:t>
      </w:r>
    </w:p>
    <w:p w14:paraId="01E5A260" w14:textId="77777777" w:rsidR="008319CE" w:rsidRPr="008A1932" w:rsidRDefault="008319CE" w:rsidP="008319CE"/>
    <w:p w14:paraId="6192EF73" w14:textId="77777777" w:rsidR="008319CE" w:rsidRPr="008A1932" w:rsidRDefault="008319CE" w:rsidP="008319CE">
      <w:pPr>
        <w:ind w:left="567" w:hanging="567"/>
        <w:rPr>
          <w:b/>
        </w:rPr>
      </w:pPr>
      <w:r w:rsidRPr="008A1932">
        <w:rPr>
          <w:b/>
        </w:rPr>
        <w:t>Vairavimas ir mechanizmų valdymas</w:t>
      </w:r>
    </w:p>
    <w:p w14:paraId="5CF8FFEC" w14:textId="77777777" w:rsidR="008319CE" w:rsidRPr="008A1932" w:rsidRDefault="008319CE" w:rsidP="008319CE">
      <w:proofErr w:type="spellStart"/>
      <w:r w:rsidRPr="008A1932">
        <w:t>Varilrix</w:t>
      </w:r>
      <w:proofErr w:type="spellEnd"/>
      <w:r w:rsidRPr="008A1932">
        <w:t xml:space="preserve"> gebėjimo vairuoti ir valdyti mechanizmus neveikia arba veikia nereikšmingai. Visgi kai kuris 4 skyriuje („Galimas šalutinis poveikis“) nurodytas poveikis gali laikinai paveikti gebėjimą vairuoti ir valdyti mechanizmus.</w:t>
      </w:r>
    </w:p>
    <w:p w14:paraId="577ED5DA" w14:textId="77777777" w:rsidR="008319CE" w:rsidRPr="008A1932" w:rsidRDefault="008319CE" w:rsidP="008319CE">
      <w:pPr>
        <w:numPr>
          <w:ilvl w:val="12"/>
          <w:numId w:val="0"/>
        </w:numPr>
      </w:pPr>
    </w:p>
    <w:p w14:paraId="37DEF339" w14:textId="77777777" w:rsidR="008319CE" w:rsidRPr="008A1932" w:rsidRDefault="008319CE" w:rsidP="008319CE">
      <w:pPr>
        <w:pStyle w:val="PI-3EMEASMCA"/>
      </w:pPr>
      <w:r w:rsidRPr="008A1932">
        <w:rPr>
          <w:noProof/>
        </w:rPr>
        <w:t>Varilrix</w:t>
      </w:r>
      <w:r w:rsidRPr="008A1932">
        <w:t xml:space="preserve"> sudėtyje yra </w:t>
      </w:r>
      <w:proofErr w:type="spellStart"/>
      <w:r w:rsidRPr="008A1932">
        <w:t>sorbitolio</w:t>
      </w:r>
      <w:proofErr w:type="spellEnd"/>
      <w:r>
        <w:t xml:space="preserve">, </w:t>
      </w:r>
      <w:proofErr w:type="spellStart"/>
      <w:r w:rsidRPr="00BC363B">
        <w:t>fenilalanin</w:t>
      </w:r>
      <w:r>
        <w:t>o</w:t>
      </w:r>
      <w:proofErr w:type="spellEnd"/>
      <w:r>
        <w:t xml:space="preserve"> ir </w:t>
      </w:r>
      <w:proofErr w:type="spellStart"/>
      <w:r>
        <w:t>prolino</w:t>
      </w:r>
      <w:proofErr w:type="spellEnd"/>
    </w:p>
    <w:p w14:paraId="7F25A22D" w14:textId="77777777" w:rsidR="008319CE" w:rsidRDefault="008319CE" w:rsidP="008319CE">
      <w:pPr>
        <w:pStyle w:val="PI-3EMEASMCA"/>
        <w:rPr>
          <w:b w:val="0"/>
          <w:bCs w:val="0"/>
        </w:rPr>
      </w:pPr>
      <w:r w:rsidRPr="00CF5733">
        <w:rPr>
          <w:b w:val="0"/>
          <w:bCs w:val="0"/>
        </w:rPr>
        <w:t xml:space="preserve">Vienoje šios vakcinos dozėje yra 6 mg </w:t>
      </w:r>
      <w:proofErr w:type="spellStart"/>
      <w:r w:rsidRPr="00CF5733">
        <w:rPr>
          <w:b w:val="0"/>
          <w:bCs w:val="0"/>
        </w:rPr>
        <w:t>sorbitolio</w:t>
      </w:r>
      <w:proofErr w:type="spellEnd"/>
      <w:r w:rsidRPr="00CF5733">
        <w:rPr>
          <w:b w:val="0"/>
          <w:bCs w:val="0"/>
        </w:rPr>
        <w:t>.</w:t>
      </w:r>
    </w:p>
    <w:p w14:paraId="61CB9BB2" w14:textId="77777777" w:rsidR="008319CE" w:rsidRPr="00CF5733" w:rsidRDefault="008319CE" w:rsidP="008319CE">
      <w:pPr>
        <w:pStyle w:val="PI-3EMEASMCA"/>
        <w:rPr>
          <w:b w:val="0"/>
          <w:bCs w:val="0"/>
        </w:rPr>
      </w:pPr>
    </w:p>
    <w:p w14:paraId="5B20E589" w14:textId="77777777" w:rsidR="008319CE" w:rsidRDefault="008319CE" w:rsidP="008319CE">
      <w:r>
        <w:t>Vienoje šios vakcinos dozėje</w:t>
      </w:r>
      <w:r w:rsidRPr="006B3F34">
        <w:t xml:space="preserve"> yra 331</w:t>
      </w:r>
      <w:r>
        <w:t> </w:t>
      </w:r>
      <w:proofErr w:type="spellStart"/>
      <w:r w:rsidRPr="006B3F34">
        <w:t>mikrograma</w:t>
      </w:r>
      <w:r>
        <w:t>s</w:t>
      </w:r>
      <w:proofErr w:type="spellEnd"/>
      <w:r w:rsidRPr="006B3F34">
        <w:t xml:space="preserve"> </w:t>
      </w:r>
      <w:proofErr w:type="spellStart"/>
      <w:r w:rsidRPr="006B3F34">
        <w:t>fenilalanino</w:t>
      </w:r>
      <w:proofErr w:type="spellEnd"/>
      <w:r w:rsidRPr="006B3F34">
        <w:t xml:space="preserve">. </w:t>
      </w:r>
      <w:proofErr w:type="spellStart"/>
      <w:r w:rsidRPr="006B3F34">
        <w:t>Fenilalaninas</w:t>
      </w:r>
      <w:proofErr w:type="spellEnd"/>
      <w:r w:rsidRPr="006B3F34">
        <w:t xml:space="preserve"> gali būti kenksmingas, jei sergate </w:t>
      </w:r>
      <w:proofErr w:type="spellStart"/>
      <w:r w:rsidRPr="006B3F34">
        <w:t>fenilketonurija</w:t>
      </w:r>
      <w:proofErr w:type="spellEnd"/>
      <w:r w:rsidRPr="006B3F34">
        <w:t xml:space="preserve"> (</w:t>
      </w:r>
      <w:r>
        <w:t>FKU</w:t>
      </w:r>
      <w:r w:rsidRPr="006B3F34">
        <w:t xml:space="preserve">) - reta genetine liga, kurios metu kaupiasi </w:t>
      </w:r>
      <w:proofErr w:type="spellStart"/>
      <w:r w:rsidRPr="006B3F34">
        <w:t>fenilalaninas</w:t>
      </w:r>
      <w:proofErr w:type="spellEnd"/>
      <w:r w:rsidRPr="006B3F34">
        <w:t>, nes organizmas negali jo tinkamai pašalinti.</w:t>
      </w:r>
    </w:p>
    <w:p w14:paraId="1812ABDD" w14:textId="77777777" w:rsidR="008319CE" w:rsidRDefault="008319CE" w:rsidP="008319CE"/>
    <w:p w14:paraId="1F57F0C3" w14:textId="77777777" w:rsidR="008319CE" w:rsidRDefault="008319CE" w:rsidP="008319CE">
      <w:pPr>
        <w:rPr>
          <w:noProof/>
        </w:rPr>
      </w:pPr>
      <w:r>
        <w:rPr>
          <w:lang w:eastAsia="lt-LT"/>
        </w:rPr>
        <w:t xml:space="preserve">Vienoje šios </w:t>
      </w:r>
      <w:r w:rsidRPr="00CF79D4">
        <w:rPr>
          <w:lang w:eastAsia="lt-LT"/>
        </w:rPr>
        <w:t>vakcinos dozėje yra</w:t>
      </w:r>
      <w:r>
        <w:rPr>
          <w:lang w:eastAsia="lt-LT"/>
        </w:rPr>
        <w:t xml:space="preserve"> </w:t>
      </w:r>
      <w:r w:rsidRPr="00B8144B">
        <w:rPr>
          <w:noProof/>
        </w:rPr>
        <w:t>40</w:t>
      </w:r>
      <w:r>
        <w:rPr>
          <w:noProof/>
        </w:rPr>
        <w:t>2 </w:t>
      </w:r>
      <w:r w:rsidRPr="00B8144B">
        <w:rPr>
          <w:noProof/>
        </w:rPr>
        <w:t>m</w:t>
      </w:r>
      <w:r>
        <w:rPr>
          <w:noProof/>
        </w:rPr>
        <w:t>ikrogramai</w:t>
      </w:r>
      <w:r w:rsidRPr="00B8144B">
        <w:rPr>
          <w:noProof/>
        </w:rPr>
        <w:t xml:space="preserve"> prolin</w:t>
      </w:r>
      <w:r>
        <w:rPr>
          <w:noProof/>
        </w:rPr>
        <w:t>o.</w:t>
      </w:r>
      <w:r w:rsidRPr="004F3507">
        <w:t xml:space="preserve"> </w:t>
      </w:r>
      <w:r w:rsidRPr="004F3507">
        <w:rPr>
          <w:noProof/>
        </w:rPr>
        <w:t xml:space="preserve">Prolinas gali būti </w:t>
      </w:r>
      <w:r>
        <w:rPr>
          <w:noProof/>
        </w:rPr>
        <w:t>kenksmin</w:t>
      </w:r>
      <w:r w:rsidRPr="004F3507">
        <w:rPr>
          <w:noProof/>
        </w:rPr>
        <w:t>gas</w:t>
      </w:r>
      <w:r>
        <w:rPr>
          <w:noProof/>
        </w:rPr>
        <w:t xml:space="preserve"> </w:t>
      </w:r>
      <w:r w:rsidRPr="004F3507">
        <w:rPr>
          <w:noProof/>
        </w:rPr>
        <w:t>sergantiems hiperprolinemija</w:t>
      </w:r>
      <w:r>
        <w:rPr>
          <w:noProof/>
        </w:rPr>
        <w:t xml:space="preserve">, </w:t>
      </w:r>
      <w:r w:rsidRPr="004F3507">
        <w:rPr>
          <w:noProof/>
        </w:rPr>
        <w:t>ret</w:t>
      </w:r>
      <w:r>
        <w:rPr>
          <w:noProof/>
        </w:rPr>
        <w:t>a</w:t>
      </w:r>
      <w:r w:rsidRPr="004F3507">
        <w:rPr>
          <w:noProof/>
        </w:rPr>
        <w:t xml:space="preserve"> genetin</w:t>
      </w:r>
      <w:r>
        <w:rPr>
          <w:noProof/>
        </w:rPr>
        <w:t>e</w:t>
      </w:r>
      <w:r w:rsidRPr="004F3507">
        <w:rPr>
          <w:noProof/>
        </w:rPr>
        <w:t xml:space="preserve"> </w:t>
      </w:r>
      <w:r>
        <w:rPr>
          <w:noProof/>
        </w:rPr>
        <w:t>liga</w:t>
      </w:r>
      <w:r w:rsidRPr="004F3507">
        <w:rPr>
          <w:noProof/>
        </w:rPr>
        <w:t xml:space="preserve">, </w:t>
      </w:r>
      <w:r w:rsidRPr="008B1FA6">
        <w:rPr>
          <w:noProof/>
        </w:rPr>
        <w:t>kuri</w:t>
      </w:r>
      <w:r>
        <w:rPr>
          <w:noProof/>
        </w:rPr>
        <w:t>a sergant,</w:t>
      </w:r>
      <w:r w:rsidRPr="008B1FA6">
        <w:rPr>
          <w:noProof/>
        </w:rPr>
        <w:t xml:space="preserve"> </w:t>
      </w:r>
      <w:r w:rsidRPr="004F3507">
        <w:rPr>
          <w:noProof/>
        </w:rPr>
        <w:t>prolin</w:t>
      </w:r>
      <w:r>
        <w:rPr>
          <w:noProof/>
        </w:rPr>
        <w:t>as</w:t>
      </w:r>
      <w:r w:rsidRPr="004F3507">
        <w:rPr>
          <w:noProof/>
        </w:rPr>
        <w:t xml:space="preserve"> kaupiasi organizme. Jei</w:t>
      </w:r>
      <w:r>
        <w:rPr>
          <w:noProof/>
        </w:rPr>
        <w:t>gu</w:t>
      </w:r>
      <w:r w:rsidRPr="004F3507">
        <w:rPr>
          <w:noProof/>
        </w:rPr>
        <w:t xml:space="preserve"> </w:t>
      </w:r>
      <w:r>
        <w:rPr>
          <w:noProof/>
        </w:rPr>
        <w:t>Jums nustatyta</w:t>
      </w:r>
      <w:r w:rsidRPr="004F3507">
        <w:rPr>
          <w:noProof/>
        </w:rPr>
        <w:t xml:space="preserve"> hiperprolinemija, </w:t>
      </w:r>
      <w:r>
        <w:rPr>
          <w:noProof/>
        </w:rPr>
        <w:t>Jums</w:t>
      </w:r>
      <w:r w:rsidRPr="004F3507">
        <w:rPr>
          <w:noProof/>
        </w:rPr>
        <w:t xml:space="preserve"> šio vaisto</w:t>
      </w:r>
      <w:r>
        <w:rPr>
          <w:noProof/>
        </w:rPr>
        <w:t xml:space="preserve"> vartoti negalima</w:t>
      </w:r>
      <w:r w:rsidRPr="004F3507">
        <w:rPr>
          <w:noProof/>
        </w:rPr>
        <w:t xml:space="preserve">, nebent </w:t>
      </w:r>
      <w:r>
        <w:rPr>
          <w:noProof/>
        </w:rPr>
        <w:t>tai patarė</w:t>
      </w:r>
      <w:r w:rsidRPr="004F3507">
        <w:rPr>
          <w:noProof/>
        </w:rPr>
        <w:t xml:space="preserve"> gydytojas.</w:t>
      </w:r>
    </w:p>
    <w:p w14:paraId="0BBC3A84" w14:textId="77777777" w:rsidR="008319CE" w:rsidRPr="00A73111" w:rsidRDefault="008319CE" w:rsidP="008319CE">
      <w:pPr>
        <w:rPr>
          <w:lang w:eastAsia="lt-LT"/>
        </w:rPr>
      </w:pPr>
    </w:p>
    <w:p w14:paraId="4F1D8CFB" w14:textId="77777777" w:rsidR="008319CE" w:rsidRPr="008A1932" w:rsidRDefault="008319CE" w:rsidP="008319CE">
      <w:pPr>
        <w:numPr>
          <w:ilvl w:val="12"/>
          <w:numId w:val="0"/>
        </w:numPr>
        <w:ind w:right="-2"/>
      </w:pPr>
    </w:p>
    <w:p w14:paraId="3BB64769" w14:textId="77777777" w:rsidR="008319CE" w:rsidRPr="00835B82" w:rsidRDefault="008319CE" w:rsidP="008319CE">
      <w:pPr>
        <w:numPr>
          <w:ilvl w:val="12"/>
          <w:numId w:val="0"/>
        </w:numPr>
        <w:ind w:left="567" w:hanging="567"/>
        <w:outlineLvl w:val="0"/>
        <w:rPr>
          <w:b/>
          <w:caps/>
        </w:rPr>
      </w:pPr>
      <w:r w:rsidRPr="008A1932">
        <w:rPr>
          <w:b/>
        </w:rPr>
        <w:t>3.</w:t>
      </w:r>
      <w:r w:rsidRPr="008A1932">
        <w:rPr>
          <w:b/>
        </w:rPr>
        <w:tab/>
        <w:t xml:space="preserve">Kaip vartoti </w:t>
      </w:r>
      <w:proofErr w:type="spellStart"/>
      <w:r w:rsidRPr="008A1932">
        <w:rPr>
          <w:b/>
        </w:rPr>
        <w:t>Varilrix</w:t>
      </w:r>
      <w:proofErr w:type="spellEnd"/>
    </w:p>
    <w:p w14:paraId="5ADE52E5" w14:textId="77777777" w:rsidR="008319CE" w:rsidRPr="008A1932" w:rsidRDefault="008319CE" w:rsidP="008319CE">
      <w:pPr>
        <w:ind w:left="567" w:hanging="567"/>
      </w:pPr>
    </w:p>
    <w:p w14:paraId="1E1F0D89" w14:textId="77777777" w:rsidR="008319CE" w:rsidRPr="008A1932" w:rsidRDefault="008319CE" w:rsidP="008319CE">
      <w:pPr>
        <w:tabs>
          <w:tab w:val="left" w:pos="567"/>
        </w:tabs>
        <w:rPr>
          <w:szCs w:val="22"/>
        </w:rPr>
      </w:pPr>
      <w:bookmarkStart w:id="3" w:name="_Hlk62309578"/>
      <w:r w:rsidRPr="008A1932">
        <w:rPr>
          <w:noProof/>
          <w:szCs w:val="22"/>
        </w:rPr>
        <w:t>Varilrix</w:t>
      </w:r>
      <w:bookmarkEnd w:id="3"/>
      <w:r w:rsidRPr="008A1932">
        <w:rPr>
          <w:noProof/>
          <w:szCs w:val="22"/>
        </w:rPr>
        <w:t xml:space="preserve"> yra su</w:t>
      </w:r>
      <w:r w:rsidRPr="008A1932">
        <w:rPr>
          <w:szCs w:val="22"/>
        </w:rPr>
        <w:t>leidžiama po oda arba į raumenis žasto arba išorinėje šlaunies srityje.</w:t>
      </w:r>
    </w:p>
    <w:p w14:paraId="2856FB4A" w14:textId="77777777" w:rsidR="008319CE" w:rsidRPr="008A1932" w:rsidRDefault="008319CE" w:rsidP="008319CE">
      <w:pPr>
        <w:tabs>
          <w:tab w:val="left" w:pos="567"/>
        </w:tabs>
        <w:rPr>
          <w:szCs w:val="22"/>
        </w:rPr>
      </w:pPr>
    </w:p>
    <w:p w14:paraId="2BF31A67" w14:textId="77777777" w:rsidR="008319CE" w:rsidRPr="008A1932" w:rsidRDefault="008319CE" w:rsidP="008319CE">
      <w:pPr>
        <w:rPr>
          <w:szCs w:val="22"/>
        </w:rPr>
      </w:pPr>
      <w:r w:rsidRPr="008A1932">
        <w:rPr>
          <w:szCs w:val="22"/>
        </w:rPr>
        <w:t>Asmenims nuo 12 mėnesių amžiaus reikia suleisti 2 </w:t>
      </w:r>
      <w:proofErr w:type="spellStart"/>
      <w:r w:rsidRPr="008A1932">
        <w:rPr>
          <w:szCs w:val="22"/>
        </w:rPr>
        <w:t>Varilrix</w:t>
      </w:r>
      <w:proofErr w:type="spellEnd"/>
      <w:r w:rsidRPr="008A1932">
        <w:rPr>
          <w:szCs w:val="22"/>
        </w:rPr>
        <w:t xml:space="preserve"> dozės, tarp kurių turi būti ne trumpesnė kaip 6 savaičių pertrauka. Pertrauka tarp pirmosios ir antrosios dozių </w:t>
      </w:r>
      <w:r w:rsidRPr="008A1932">
        <w:rPr>
          <w:b/>
          <w:bCs/>
          <w:szCs w:val="22"/>
        </w:rPr>
        <w:t xml:space="preserve">turi būti ne </w:t>
      </w:r>
      <w:r w:rsidRPr="008A1932">
        <w:rPr>
          <w:szCs w:val="22"/>
        </w:rPr>
        <w:t>trumpesnė kaip 4 savaitės.</w:t>
      </w:r>
    </w:p>
    <w:p w14:paraId="2848B710" w14:textId="77777777" w:rsidR="008319CE" w:rsidRPr="008A1932" w:rsidRDefault="008319CE" w:rsidP="008319CE">
      <w:pPr>
        <w:rPr>
          <w:szCs w:val="22"/>
        </w:rPr>
      </w:pPr>
    </w:p>
    <w:p w14:paraId="08A3ABE5" w14:textId="77777777" w:rsidR="008319CE" w:rsidRPr="008A1932" w:rsidRDefault="008319CE" w:rsidP="008319CE">
      <w:pPr>
        <w:rPr>
          <w:szCs w:val="22"/>
          <w:u w:val="single"/>
        </w:rPr>
      </w:pPr>
      <w:r w:rsidRPr="008A1932">
        <w:rPr>
          <w:szCs w:val="22"/>
        </w:rPr>
        <w:t xml:space="preserve">Tam tikromis aplinkybėmis pirmąją </w:t>
      </w:r>
      <w:proofErr w:type="spellStart"/>
      <w:r w:rsidRPr="008A1932">
        <w:rPr>
          <w:szCs w:val="22"/>
        </w:rPr>
        <w:t>Varilrix</w:t>
      </w:r>
      <w:proofErr w:type="spellEnd"/>
      <w:r w:rsidRPr="008A1932">
        <w:rPr>
          <w:szCs w:val="22"/>
        </w:rPr>
        <w:t xml:space="preserve"> dozę galima suleisti 9</w:t>
      </w:r>
      <w:r w:rsidRPr="008A1932">
        <w:rPr>
          <w:szCs w:val="22"/>
        </w:rPr>
        <w:noBreakHyphen/>
        <w:t>11 mėnesių amžiaus kūdikiams. Tokiais atvejais turi būti suleistos dvi dozės ir tarp jų turi būti ne trumpesnė kaip 3 mėnesių pertrauka.</w:t>
      </w:r>
    </w:p>
    <w:p w14:paraId="0A0623D2" w14:textId="77777777" w:rsidR="008319CE" w:rsidRPr="008A1932" w:rsidRDefault="008319CE" w:rsidP="008319CE">
      <w:pPr>
        <w:tabs>
          <w:tab w:val="left" w:pos="567"/>
        </w:tabs>
        <w:rPr>
          <w:szCs w:val="22"/>
        </w:rPr>
      </w:pPr>
    </w:p>
    <w:p w14:paraId="2898E889" w14:textId="77777777" w:rsidR="008319CE" w:rsidRPr="008A1932" w:rsidRDefault="008319CE" w:rsidP="008319CE">
      <w:pPr>
        <w:rPr>
          <w:szCs w:val="22"/>
        </w:rPr>
      </w:pPr>
      <w:r w:rsidRPr="008A1932">
        <w:rPr>
          <w:szCs w:val="22"/>
        </w:rPr>
        <w:t xml:space="preserve">Asmenims, kuriems yra didelis sunkių vėjaraupių pavojus, pavyzdžiui, gydomiems nuo vėžio, gali prireikti papildomų dozių. Pertrauka tarp dozių </w:t>
      </w:r>
      <w:r w:rsidRPr="008A1932">
        <w:rPr>
          <w:b/>
          <w:bCs/>
          <w:szCs w:val="22"/>
        </w:rPr>
        <w:t xml:space="preserve">turi būti ne </w:t>
      </w:r>
      <w:r w:rsidRPr="008A1932">
        <w:rPr>
          <w:szCs w:val="22"/>
        </w:rPr>
        <w:t>trumpesnė kaip 4 savaitės.</w:t>
      </w:r>
    </w:p>
    <w:p w14:paraId="0D1DA0EC" w14:textId="77777777" w:rsidR="008319CE" w:rsidRPr="008A1932" w:rsidRDefault="008319CE" w:rsidP="008319CE">
      <w:pPr>
        <w:tabs>
          <w:tab w:val="left" w:pos="567"/>
        </w:tabs>
        <w:rPr>
          <w:szCs w:val="22"/>
        </w:rPr>
      </w:pPr>
    </w:p>
    <w:p w14:paraId="44B32658" w14:textId="77777777" w:rsidR="008319CE" w:rsidRPr="008A1932" w:rsidRDefault="008319CE" w:rsidP="008319CE">
      <w:r w:rsidRPr="008A1932">
        <w:rPr>
          <w:szCs w:val="22"/>
        </w:rPr>
        <w:t>Tinkamą laiką ir dozių skaičių nustatys gydytojas, remdamasis atitinkamomis oficialiomis rekomendacijomis.</w:t>
      </w:r>
    </w:p>
    <w:p w14:paraId="27D2E90B" w14:textId="77777777" w:rsidR="008319CE" w:rsidRPr="008A1932" w:rsidRDefault="008319CE" w:rsidP="008319CE"/>
    <w:p w14:paraId="61431420" w14:textId="77777777" w:rsidR="008319CE" w:rsidRPr="008A1932" w:rsidRDefault="008319CE" w:rsidP="008319CE">
      <w:pPr>
        <w:ind w:left="567" w:hanging="567"/>
        <w:rPr>
          <w:b/>
        </w:rPr>
      </w:pPr>
      <w:r w:rsidRPr="008A1932">
        <w:rPr>
          <w:b/>
        </w:rPr>
        <w:t xml:space="preserve">Ką daryti Jums ar Jūsų vaikui pavartojus per didelę </w:t>
      </w:r>
      <w:proofErr w:type="spellStart"/>
      <w:r w:rsidRPr="008A1932">
        <w:rPr>
          <w:b/>
        </w:rPr>
        <w:t>Varilrix</w:t>
      </w:r>
      <w:proofErr w:type="spellEnd"/>
      <w:r w:rsidRPr="008A1932">
        <w:rPr>
          <w:b/>
        </w:rPr>
        <w:t xml:space="preserve"> dozę</w:t>
      </w:r>
    </w:p>
    <w:p w14:paraId="6567F440" w14:textId="77777777" w:rsidR="008319CE" w:rsidRPr="008A1932" w:rsidRDefault="008319CE" w:rsidP="008319CE">
      <w:pPr>
        <w:rPr>
          <w:bCs/>
        </w:rPr>
      </w:pPr>
      <w:r w:rsidRPr="008A1932">
        <w:rPr>
          <w:bCs/>
        </w:rPr>
        <w:t>Perdozavimas yra mažai tikėtinas, nes vakcina tiekiama vienos dozės flakone ir ją suleidžia gydytojas arba slaugytojas. Buvo pranešta apie keletą atsitiktinio perdozavimo atvejų ir tik kai kuriais iš jų buvo pranešta apie nenormalų mieguistumą ir priepuolius (traukulius).</w:t>
      </w:r>
    </w:p>
    <w:p w14:paraId="60123947" w14:textId="77777777" w:rsidR="008319CE" w:rsidRPr="008A1932" w:rsidRDefault="008319CE" w:rsidP="008319CE">
      <w:pPr>
        <w:rPr>
          <w:bCs/>
        </w:rPr>
      </w:pPr>
    </w:p>
    <w:p w14:paraId="362C4690" w14:textId="77777777" w:rsidR="008319CE" w:rsidRPr="008A1932" w:rsidRDefault="008319CE" w:rsidP="008319CE">
      <w:pPr>
        <w:ind w:left="567" w:hanging="567"/>
        <w:rPr>
          <w:b/>
        </w:rPr>
      </w:pPr>
      <w:r w:rsidRPr="008A1932">
        <w:rPr>
          <w:b/>
        </w:rPr>
        <w:t>Jei manote, kad Jūs ar Jūsų vaikas praleidote dozę</w:t>
      </w:r>
    </w:p>
    <w:p w14:paraId="5B9BE01F" w14:textId="77777777" w:rsidR="008319CE" w:rsidRPr="008A1932" w:rsidRDefault="008319CE" w:rsidP="008319CE">
      <w:r w:rsidRPr="008A1932">
        <w:t>Kreipkitės į savo gydytoją, kuris nuspręs, ar reikalinga dozė ir kada ją reikėtų suleisti.</w:t>
      </w:r>
    </w:p>
    <w:p w14:paraId="05F1EEFD" w14:textId="77777777" w:rsidR="008319CE" w:rsidRPr="008A1932" w:rsidRDefault="008319CE" w:rsidP="008319CE">
      <w:pPr>
        <w:numPr>
          <w:ilvl w:val="12"/>
          <w:numId w:val="0"/>
        </w:numPr>
        <w:ind w:right="-2"/>
      </w:pPr>
    </w:p>
    <w:p w14:paraId="2D6A1EB4" w14:textId="77777777" w:rsidR="008319CE" w:rsidRPr="008A1932" w:rsidRDefault="008319CE" w:rsidP="008319CE">
      <w:pPr>
        <w:numPr>
          <w:ilvl w:val="12"/>
          <w:numId w:val="0"/>
        </w:numPr>
        <w:ind w:right="-2"/>
      </w:pPr>
    </w:p>
    <w:p w14:paraId="5B289B1B" w14:textId="77777777" w:rsidR="008319CE" w:rsidRPr="008A1932" w:rsidRDefault="008319CE" w:rsidP="008319CE">
      <w:pPr>
        <w:numPr>
          <w:ilvl w:val="12"/>
          <w:numId w:val="0"/>
        </w:numPr>
        <w:ind w:left="567" w:hanging="567"/>
        <w:outlineLvl w:val="0"/>
        <w:rPr>
          <w:b/>
          <w:caps/>
        </w:rPr>
      </w:pPr>
      <w:r w:rsidRPr="008A1932">
        <w:rPr>
          <w:b/>
          <w:caps/>
        </w:rPr>
        <w:t>4.</w:t>
      </w:r>
      <w:r w:rsidRPr="008A1932">
        <w:rPr>
          <w:b/>
          <w:caps/>
        </w:rPr>
        <w:tab/>
      </w:r>
      <w:r w:rsidRPr="008A1932">
        <w:rPr>
          <w:b/>
        </w:rPr>
        <w:t>Galimas šalutinis poveikis</w:t>
      </w:r>
    </w:p>
    <w:p w14:paraId="3FD35218" w14:textId="77777777" w:rsidR="008319CE" w:rsidRPr="008A1932" w:rsidRDefault="008319CE" w:rsidP="008319CE">
      <w:pPr>
        <w:ind w:left="567" w:hanging="567"/>
      </w:pPr>
    </w:p>
    <w:p w14:paraId="29014327" w14:textId="77777777" w:rsidR="008319CE" w:rsidRPr="008A1932" w:rsidRDefault="008319CE" w:rsidP="008319CE">
      <w:pPr>
        <w:ind w:left="567" w:hanging="567"/>
      </w:pPr>
      <w:r w:rsidRPr="008A1932">
        <w:t>Šis vaistas, kaip ir visi kiti, gali sukelti šalutinį poveikį, nors jis pasireiškia ne visiems žmonėms.</w:t>
      </w:r>
    </w:p>
    <w:p w14:paraId="307A003E" w14:textId="77777777" w:rsidR="008319CE" w:rsidRPr="008A1932" w:rsidRDefault="008319CE" w:rsidP="008319CE">
      <w:pPr>
        <w:rPr>
          <w:noProof/>
          <w:szCs w:val="22"/>
        </w:rPr>
      </w:pPr>
    </w:p>
    <w:p w14:paraId="53681287" w14:textId="77777777" w:rsidR="008319CE" w:rsidRPr="008A1932" w:rsidRDefault="008319CE" w:rsidP="008319CE">
      <w:pPr>
        <w:rPr>
          <w:iCs/>
          <w:szCs w:val="22"/>
        </w:rPr>
      </w:pPr>
      <w:r w:rsidRPr="008A1932">
        <w:rPr>
          <w:iCs/>
          <w:szCs w:val="22"/>
        </w:rPr>
        <w:t>Vartojant šią vakciną, gali pasireikšti toliau nurodytas šalutinis poveikis.</w:t>
      </w:r>
    </w:p>
    <w:p w14:paraId="5A9BB43C" w14:textId="77777777" w:rsidR="008319CE" w:rsidRPr="008A1932" w:rsidRDefault="008319CE" w:rsidP="008319CE">
      <w:pPr>
        <w:rPr>
          <w:iCs/>
          <w:szCs w:val="22"/>
        </w:rPr>
      </w:pPr>
    </w:p>
    <w:p w14:paraId="225E50EB" w14:textId="77777777" w:rsidR="008319CE" w:rsidRPr="008A1932" w:rsidRDefault="008319CE" w:rsidP="008319CE">
      <w:pPr>
        <w:tabs>
          <w:tab w:val="left" w:pos="540"/>
        </w:tabs>
        <w:rPr>
          <w:szCs w:val="22"/>
        </w:rPr>
      </w:pPr>
      <w:r w:rsidRPr="00835B82">
        <w:rPr>
          <w:b/>
        </w:rPr>
        <w:t xml:space="preserve">Labai </w:t>
      </w:r>
      <w:r w:rsidRPr="00CF5733">
        <w:rPr>
          <w:b/>
          <w:szCs w:val="22"/>
        </w:rPr>
        <w:t>dažn</w:t>
      </w:r>
      <w:r w:rsidRPr="00CF5733">
        <w:rPr>
          <w:b/>
          <w:bCs/>
          <w:szCs w:val="22"/>
        </w:rPr>
        <w:t>i šalutinio poveikio reiškiniai</w:t>
      </w:r>
      <w:r w:rsidRPr="008A1932">
        <w:rPr>
          <w:szCs w:val="22"/>
        </w:rPr>
        <w:t xml:space="preserve"> </w:t>
      </w:r>
      <w:r w:rsidRPr="00D0531F">
        <w:t>(gali pasireikšti ne rečiau kaip 1 iš 10 asmenų):</w:t>
      </w:r>
      <w:r>
        <w:rPr>
          <w:bCs/>
          <w:szCs w:val="22"/>
        </w:rPr>
        <w:t xml:space="preserve"> </w:t>
      </w:r>
      <w:r w:rsidRPr="008A1932">
        <w:rPr>
          <w:szCs w:val="22"/>
        </w:rPr>
        <w:t>skausmas ir paraudimas injekcijos vietoje.</w:t>
      </w:r>
    </w:p>
    <w:p w14:paraId="17530929" w14:textId="77777777" w:rsidR="008319CE" w:rsidRPr="008A1932" w:rsidRDefault="008319CE" w:rsidP="008319CE">
      <w:pPr>
        <w:rPr>
          <w:szCs w:val="22"/>
        </w:rPr>
      </w:pPr>
    </w:p>
    <w:p w14:paraId="67932FCD" w14:textId="77777777" w:rsidR="008319CE" w:rsidRPr="008A1932" w:rsidRDefault="008319CE" w:rsidP="008319CE">
      <w:pPr>
        <w:tabs>
          <w:tab w:val="left" w:pos="0"/>
        </w:tabs>
        <w:rPr>
          <w:szCs w:val="22"/>
        </w:rPr>
      </w:pPr>
      <w:r>
        <w:rPr>
          <w:b/>
          <w:bCs/>
          <w:szCs w:val="22"/>
        </w:rPr>
        <w:t>Dažni šalutinio poveikio reiškiniai</w:t>
      </w:r>
      <w:r w:rsidRPr="00835B82">
        <w:rPr>
          <w:b/>
        </w:rPr>
        <w:t xml:space="preserve"> </w:t>
      </w:r>
      <w:r w:rsidRPr="00D0531F">
        <w:t>(gali pasireikšti rečiau kaip 1 iš 10 asmenų):</w:t>
      </w:r>
      <w:r>
        <w:rPr>
          <w:szCs w:val="22"/>
        </w:rPr>
        <w:t xml:space="preserve"> </w:t>
      </w:r>
      <w:r w:rsidRPr="008A1932">
        <w:rPr>
          <w:szCs w:val="22"/>
        </w:rPr>
        <w:t>išbėrimas (spuogai ir [arba] pūslelės);</w:t>
      </w:r>
      <w:r>
        <w:rPr>
          <w:szCs w:val="22"/>
        </w:rPr>
        <w:t xml:space="preserve"> </w:t>
      </w:r>
      <w:r w:rsidRPr="008A1932">
        <w:rPr>
          <w:szCs w:val="22"/>
        </w:rPr>
        <w:t>patinimas injekcijos vietoje *;</w:t>
      </w:r>
      <w:r>
        <w:rPr>
          <w:szCs w:val="22"/>
        </w:rPr>
        <w:t xml:space="preserve"> </w:t>
      </w:r>
      <w:r w:rsidRPr="008A1932">
        <w:rPr>
          <w:szCs w:val="22"/>
        </w:rPr>
        <w:t>karščiavimas 38 °C ar didesnis (temperatūra tiesiojoje žarnoje) *.</w:t>
      </w:r>
    </w:p>
    <w:p w14:paraId="149DB75F" w14:textId="77777777" w:rsidR="008319CE" w:rsidRPr="008A1932" w:rsidRDefault="008319CE" w:rsidP="008319CE">
      <w:pPr>
        <w:rPr>
          <w:szCs w:val="22"/>
        </w:rPr>
      </w:pPr>
    </w:p>
    <w:p w14:paraId="01908092" w14:textId="77777777" w:rsidR="008319CE" w:rsidRPr="008A1932" w:rsidRDefault="008319CE" w:rsidP="008319CE">
      <w:pPr>
        <w:tabs>
          <w:tab w:val="left" w:pos="0"/>
        </w:tabs>
        <w:rPr>
          <w:szCs w:val="22"/>
        </w:rPr>
      </w:pPr>
      <w:r>
        <w:rPr>
          <w:b/>
          <w:bCs/>
          <w:szCs w:val="22"/>
        </w:rPr>
        <w:t>Nedažni šalutinio poveikio reiškiniai</w:t>
      </w:r>
      <w:r w:rsidRPr="00835B82">
        <w:rPr>
          <w:b/>
        </w:rPr>
        <w:t xml:space="preserve"> </w:t>
      </w:r>
      <w:r w:rsidRPr="00D0531F">
        <w:t>(gali pasireikšti rečiau kaip 1 iš 100 asmenų):</w:t>
      </w:r>
      <w:r>
        <w:rPr>
          <w:szCs w:val="22"/>
        </w:rPr>
        <w:t xml:space="preserve"> </w:t>
      </w:r>
      <w:r w:rsidRPr="008A1932">
        <w:rPr>
          <w:szCs w:val="22"/>
        </w:rPr>
        <w:t>viršutinių kvėpavimo takų infekcija;</w:t>
      </w:r>
      <w:r>
        <w:rPr>
          <w:szCs w:val="22"/>
        </w:rPr>
        <w:t xml:space="preserve"> </w:t>
      </w:r>
      <w:r w:rsidRPr="008A1932">
        <w:rPr>
          <w:szCs w:val="22"/>
        </w:rPr>
        <w:t>gerklės skausmas ir diskomfortas ryjant (</w:t>
      </w:r>
      <w:proofErr w:type="spellStart"/>
      <w:r w:rsidRPr="008A1932">
        <w:rPr>
          <w:szCs w:val="22"/>
        </w:rPr>
        <w:t>faringitas</w:t>
      </w:r>
      <w:proofErr w:type="spellEnd"/>
      <w:r w:rsidRPr="008A1932">
        <w:rPr>
          <w:szCs w:val="22"/>
        </w:rPr>
        <w:t>);</w:t>
      </w:r>
      <w:r>
        <w:rPr>
          <w:szCs w:val="22"/>
        </w:rPr>
        <w:t xml:space="preserve"> </w:t>
      </w:r>
      <w:r w:rsidRPr="008A1932">
        <w:rPr>
          <w:szCs w:val="22"/>
        </w:rPr>
        <w:t>limfmazgių patinimas;</w:t>
      </w:r>
      <w:r>
        <w:rPr>
          <w:szCs w:val="22"/>
        </w:rPr>
        <w:t xml:space="preserve"> </w:t>
      </w:r>
      <w:r w:rsidRPr="008A1932">
        <w:rPr>
          <w:szCs w:val="22"/>
        </w:rPr>
        <w:t>dirglumas;</w:t>
      </w:r>
      <w:r>
        <w:rPr>
          <w:szCs w:val="22"/>
        </w:rPr>
        <w:t xml:space="preserve"> </w:t>
      </w:r>
      <w:r w:rsidRPr="008A1932">
        <w:rPr>
          <w:szCs w:val="22"/>
        </w:rPr>
        <w:t>galvos skausmas;</w:t>
      </w:r>
      <w:r>
        <w:rPr>
          <w:szCs w:val="22"/>
        </w:rPr>
        <w:t xml:space="preserve"> </w:t>
      </w:r>
      <w:r w:rsidRPr="008A1932">
        <w:rPr>
          <w:szCs w:val="22"/>
        </w:rPr>
        <w:t>mieguistumas; kosulys;</w:t>
      </w:r>
      <w:r>
        <w:rPr>
          <w:szCs w:val="22"/>
        </w:rPr>
        <w:t xml:space="preserve"> </w:t>
      </w:r>
      <w:r w:rsidRPr="008A1932">
        <w:rPr>
          <w:szCs w:val="22"/>
        </w:rPr>
        <w:t>nosies niežėjimas, sloga ar užsikimšimas, čiaudulys (rinitas);</w:t>
      </w:r>
      <w:r>
        <w:rPr>
          <w:szCs w:val="22"/>
        </w:rPr>
        <w:t xml:space="preserve"> </w:t>
      </w:r>
      <w:r w:rsidRPr="008A1932">
        <w:rPr>
          <w:szCs w:val="22"/>
        </w:rPr>
        <w:t>pykinimas;</w:t>
      </w:r>
      <w:r>
        <w:rPr>
          <w:szCs w:val="22"/>
        </w:rPr>
        <w:t xml:space="preserve"> </w:t>
      </w:r>
      <w:r w:rsidRPr="008A1932">
        <w:rPr>
          <w:szCs w:val="22"/>
        </w:rPr>
        <w:t>vėmimas;</w:t>
      </w:r>
      <w:r>
        <w:rPr>
          <w:szCs w:val="22"/>
        </w:rPr>
        <w:t xml:space="preserve"> </w:t>
      </w:r>
      <w:r w:rsidRPr="008A1932">
        <w:rPr>
          <w:szCs w:val="22"/>
        </w:rPr>
        <w:t>į vėjaraupius panašus išbėrimas;</w:t>
      </w:r>
      <w:r>
        <w:rPr>
          <w:szCs w:val="22"/>
        </w:rPr>
        <w:t xml:space="preserve"> </w:t>
      </w:r>
      <w:r w:rsidRPr="008A1932">
        <w:rPr>
          <w:szCs w:val="22"/>
        </w:rPr>
        <w:t>niežėjimas;</w:t>
      </w:r>
      <w:r>
        <w:rPr>
          <w:szCs w:val="22"/>
        </w:rPr>
        <w:t xml:space="preserve"> </w:t>
      </w:r>
      <w:r w:rsidRPr="008A1932">
        <w:rPr>
          <w:szCs w:val="22"/>
        </w:rPr>
        <w:t>sąnarių skausmas;</w:t>
      </w:r>
      <w:r>
        <w:rPr>
          <w:szCs w:val="22"/>
        </w:rPr>
        <w:t xml:space="preserve"> </w:t>
      </w:r>
      <w:r w:rsidRPr="008A1932">
        <w:rPr>
          <w:szCs w:val="22"/>
        </w:rPr>
        <w:t>raumenų skausmas;</w:t>
      </w:r>
      <w:r>
        <w:rPr>
          <w:szCs w:val="22"/>
        </w:rPr>
        <w:t xml:space="preserve"> </w:t>
      </w:r>
      <w:r w:rsidRPr="008A1932">
        <w:rPr>
          <w:szCs w:val="22"/>
        </w:rPr>
        <w:t>karščiavimas virš 39,5 °C (temperatūra tiesiojoje žarnoje);</w:t>
      </w:r>
      <w:r>
        <w:rPr>
          <w:szCs w:val="22"/>
        </w:rPr>
        <w:t xml:space="preserve"> </w:t>
      </w:r>
      <w:r w:rsidRPr="008A1932">
        <w:rPr>
          <w:szCs w:val="22"/>
        </w:rPr>
        <w:t>energijos stoka (nuovargis);</w:t>
      </w:r>
      <w:r>
        <w:rPr>
          <w:szCs w:val="22"/>
        </w:rPr>
        <w:t xml:space="preserve"> </w:t>
      </w:r>
      <w:r w:rsidRPr="008A1932">
        <w:rPr>
          <w:szCs w:val="22"/>
        </w:rPr>
        <w:t>bendro negalavimo jutimas.</w:t>
      </w:r>
    </w:p>
    <w:p w14:paraId="1FA11857" w14:textId="77777777" w:rsidR="008319CE" w:rsidRPr="008A1932" w:rsidRDefault="008319CE" w:rsidP="008319CE">
      <w:pPr>
        <w:rPr>
          <w:szCs w:val="22"/>
        </w:rPr>
      </w:pPr>
    </w:p>
    <w:p w14:paraId="022F7709" w14:textId="77777777" w:rsidR="008319CE" w:rsidRPr="008A1932" w:rsidRDefault="008319CE" w:rsidP="008319CE">
      <w:pPr>
        <w:tabs>
          <w:tab w:val="left" w:pos="0"/>
        </w:tabs>
        <w:rPr>
          <w:szCs w:val="22"/>
        </w:rPr>
      </w:pPr>
      <w:r w:rsidRPr="00CF5733">
        <w:rPr>
          <w:b/>
          <w:bCs/>
          <w:szCs w:val="22"/>
        </w:rPr>
        <w:t>Reti šalutinio poveikio reiškiniai</w:t>
      </w:r>
      <w:r w:rsidRPr="00835B82">
        <w:rPr>
          <w:b/>
        </w:rPr>
        <w:t xml:space="preserve"> </w:t>
      </w:r>
      <w:r w:rsidRPr="00D0531F">
        <w:t>(gali pasireikšti rečiau kaip 1 iš 1 000 asmenų):</w:t>
      </w:r>
      <w:r>
        <w:rPr>
          <w:szCs w:val="22"/>
        </w:rPr>
        <w:t xml:space="preserve"> </w:t>
      </w:r>
      <w:r w:rsidRPr="008A1932">
        <w:rPr>
          <w:szCs w:val="22"/>
        </w:rPr>
        <w:t>akies uždegimas (konjunktyvitas);</w:t>
      </w:r>
      <w:r>
        <w:rPr>
          <w:szCs w:val="22"/>
        </w:rPr>
        <w:t xml:space="preserve"> </w:t>
      </w:r>
      <w:r w:rsidRPr="008A1932">
        <w:rPr>
          <w:szCs w:val="22"/>
        </w:rPr>
        <w:t>pilvo skausmas;</w:t>
      </w:r>
      <w:r>
        <w:rPr>
          <w:szCs w:val="22"/>
        </w:rPr>
        <w:t xml:space="preserve"> </w:t>
      </w:r>
      <w:r w:rsidRPr="008A1932">
        <w:rPr>
          <w:szCs w:val="22"/>
        </w:rPr>
        <w:t>viduriavimas;</w:t>
      </w:r>
      <w:r>
        <w:rPr>
          <w:szCs w:val="22"/>
        </w:rPr>
        <w:t xml:space="preserve"> </w:t>
      </w:r>
      <w:r w:rsidRPr="008A1932">
        <w:rPr>
          <w:szCs w:val="22"/>
        </w:rPr>
        <w:t>niežtintysis, iškilusis išbėrimas (dilgėlinė).</w:t>
      </w:r>
    </w:p>
    <w:p w14:paraId="71F64070" w14:textId="77777777" w:rsidR="008319CE" w:rsidRPr="008A1932" w:rsidRDefault="008319CE" w:rsidP="008319CE">
      <w:pPr>
        <w:tabs>
          <w:tab w:val="num" w:pos="900"/>
        </w:tabs>
        <w:ind w:left="900" w:hanging="360"/>
        <w:rPr>
          <w:szCs w:val="22"/>
        </w:rPr>
      </w:pPr>
    </w:p>
    <w:p w14:paraId="0F12F8AC" w14:textId="77777777" w:rsidR="008319CE" w:rsidRPr="008A1932" w:rsidRDefault="008319CE" w:rsidP="008319CE">
      <w:pPr>
        <w:tabs>
          <w:tab w:val="num" w:pos="0"/>
        </w:tabs>
        <w:rPr>
          <w:szCs w:val="22"/>
        </w:rPr>
      </w:pPr>
      <w:r w:rsidRPr="008A1932">
        <w:rPr>
          <w:szCs w:val="22"/>
        </w:rPr>
        <w:t>* Patinimas injekcijos vietoje ir karščiavimas gali labai dažnai pasireikšti paaugliams ir suaugusiesiems. Patinimas taip pat labai dažnai pasireiškia jaunesniems kaip 13 metų vaikams po antrosios dozės suleidimo.</w:t>
      </w:r>
    </w:p>
    <w:p w14:paraId="65DAA78A" w14:textId="77777777" w:rsidR="008319CE" w:rsidRPr="008A1932" w:rsidRDefault="008319CE" w:rsidP="008319CE">
      <w:pPr>
        <w:tabs>
          <w:tab w:val="num" w:pos="900"/>
        </w:tabs>
        <w:ind w:left="900" w:hanging="360"/>
        <w:rPr>
          <w:szCs w:val="22"/>
        </w:rPr>
      </w:pPr>
    </w:p>
    <w:p w14:paraId="105A36CC" w14:textId="77777777" w:rsidR="008319CE" w:rsidRDefault="008319CE" w:rsidP="008319CE">
      <w:pPr>
        <w:tabs>
          <w:tab w:val="num" w:pos="900"/>
        </w:tabs>
        <w:rPr>
          <w:b/>
          <w:bCs/>
          <w:szCs w:val="22"/>
        </w:rPr>
      </w:pPr>
      <w:r>
        <w:rPr>
          <w:b/>
          <w:bCs/>
          <w:szCs w:val="22"/>
        </w:rPr>
        <w:t>Šalutinio poveikio reiškiniai, kurių dažnis nežinomas (negali būti apskaičiuotas pagal turimus duomenis):</w:t>
      </w:r>
    </w:p>
    <w:p w14:paraId="6FF4E588" w14:textId="77777777" w:rsidR="008319CE" w:rsidRDefault="008319CE" w:rsidP="008319CE">
      <w:pPr>
        <w:numPr>
          <w:ilvl w:val="0"/>
          <w:numId w:val="4"/>
        </w:numPr>
        <w:tabs>
          <w:tab w:val="left" w:pos="567"/>
          <w:tab w:val="left" w:pos="1080"/>
        </w:tabs>
        <w:ind w:left="567" w:hanging="567"/>
        <w:rPr>
          <w:szCs w:val="22"/>
        </w:rPr>
      </w:pPr>
      <w:r w:rsidRPr="0069761A">
        <w:rPr>
          <w:szCs w:val="22"/>
        </w:rPr>
        <w:t xml:space="preserve">po vakcinacijos gyvosiomis </w:t>
      </w:r>
      <w:proofErr w:type="spellStart"/>
      <w:r w:rsidRPr="0069761A">
        <w:rPr>
          <w:szCs w:val="22"/>
        </w:rPr>
        <w:t>susilpnintomis</w:t>
      </w:r>
      <w:proofErr w:type="spellEnd"/>
      <w:r w:rsidRPr="0069761A">
        <w:rPr>
          <w:szCs w:val="22"/>
        </w:rPr>
        <w:t xml:space="preserve"> vakcinomis nuo vėjaraupių pranešta apie infekcijos arba galvos smegenų uždegimo (encefalito) atvejus. Keli tokie atvejai baigėsi mirtimi, visų pirma asmenims, kurių imuninė sistema susilpnėjusi (kaip nurodyta 2</w:t>
      </w:r>
      <w:r>
        <w:rPr>
          <w:szCs w:val="22"/>
        </w:rPr>
        <w:t> </w:t>
      </w:r>
      <w:r w:rsidRPr="0069761A">
        <w:rPr>
          <w:szCs w:val="22"/>
        </w:rPr>
        <w:t xml:space="preserve">skyriuje, </w:t>
      </w:r>
      <w:proofErr w:type="spellStart"/>
      <w:r w:rsidRPr="0069761A">
        <w:rPr>
          <w:szCs w:val="22"/>
        </w:rPr>
        <w:t>Varilrix</w:t>
      </w:r>
      <w:proofErr w:type="spellEnd"/>
      <w:r w:rsidRPr="0069761A">
        <w:rPr>
          <w:szCs w:val="22"/>
        </w:rPr>
        <w:t xml:space="preserve"> draudžiama skirti pacientams, kurių imuninė sistema yra susilpnėjusi). Jeigu jūs arba jūsų vaikas netektų sąmonės arba sumažėtų jūsų sąmoningumas, pasireikštų traukuliai arba kūno judesių kontrolės netekimas, taip pat karščiavimas ir galvos skausmas, nedelsdami kreipkitės medicininės pagalbos, nes tai gali būti infekcijos arba galvos smegenų uždegimo požymis. Informuokite savo gydytoją arba vaistininką, kad jūs arba jūsų vaikas skiepytas </w:t>
      </w:r>
      <w:r w:rsidRPr="00AB6B5D">
        <w:rPr>
          <w:szCs w:val="22"/>
        </w:rPr>
        <w:t>gyv</w:t>
      </w:r>
      <w:r>
        <w:rPr>
          <w:szCs w:val="22"/>
        </w:rPr>
        <w:t>ąja</w:t>
      </w:r>
      <w:r w:rsidRPr="00AB6B5D">
        <w:rPr>
          <w:szCs w:val="22"/>
        </w:rPr>
        <w:t xml:space="preserve"> </w:t>
      </w:r>
      <w:proofErr w:type="spellStart"/>
      <w:r w:rsidRPr="00AB6B5D">
        <w:rPr>
          <w:szCs w:val="22"/>
        </w:rPr>
        <w:t>susilpnint</w:t>
      </w:r>
      <w:r>
        <w:rPr>
          <w:szCs w:val="22"/>
        </w:rPr>
        <w:t>a</w:t>
      </w:r>
      <w:proofErr w:type="spellEnd"/>
      <w:r w:rsidRPr="00AB6B5D">
        <w:rPr>
          <w:szCs w:val="22"/>
        </w:rPr>
        <w:t xml:space="preserve"> vakcin</w:t>
      </w:r>
      <w:r>
        <w:rPr>
          <w:szCs w:val="22"/>
        </w:rPr>
        <w:t>a</w:t>
      </w:r>
      <w:r w:rsidRPr="00AB6B5D">
        <w:rPr>
          <w:szCs w:val="22"/>
        </w:rPr>
        <w:t xml:space="preserve"> nuo vėjaraupių</w:t>
      </w:r>
      <w:r>
        <w:rPr>
          <w:szCs w:val="22"/>
        </w:rPr>
        <w:t>;</w:t>
      </w:r>
    </w:p>
    <w:p w14:paraId="21167FCE" w14:textId="77777777" w:rsidR="008319CE" w:rsidRPr="0069761A" w:rsidRDefault="008319CE" w:rsidP="008319CE">
      <w:pPr>
        <w:numPr>
          <w:ilvl w:val="0"/>
          <w:numId w:val="4"/>
        </w:numPr>
        <w:tabs>
          <w:tab w:val="left" w:pos="567"/>
          <w:tab w:val="left" w:pos="1080"/>
        </w:tabs>
        <w:ind w:left="567" w:hanging="567"/>
        <w:rPr>
          <w:szCs w:val="22"/>
        </w:rPr>
      </w:pPr>
      <w:r>
        <w:rPr>
          <w:szCs w:val="22"/>
        </w:rPr>
        <w:t>n</w:t>
      </w:r>
      <w:r w:rsidRPr="0069761A">
        <w:rPr>
          <w:szCs w:val="22"/>
        </w:rPr>
        <w:t xml:space="preserve">ugaros smegenų </w:t>
      </w:r>
      <w:r>
        <w:rPr>
          <w:szCs w:val="22"/>
        </w:rPr>
        <w:t>ir</w:t>
      </w:r>
      <w:r w:rsidRPr="0069761A">
        <w:rPr>
          <w:szCs w:val="22"/>
        </w:rPr>
        <w:t xml:space="preserve"> periferinių nervų infekcija ar</w:t>
      </w:r>
      <w:r>
        <w:rPr>
          <w:szCs w:val="22"/>
        </w:rPr>
        <w:t>ba</w:t>
      </w:r>
      <w:r w:rsidRPr="0069761A">
        <w:rPr>
          <w:szCs w:val="22"/>
        </w:rPr>
        <w:t xml:space="preserve"> uždegimas, dėl kurio </w:t>
      </w:r>
      <w:r>
        <w:rPr>
          <w:szCs w:val="22"/>
        </w:rPr>
        <w:t xml:space="preserve">laikinai sunku </w:t>
      </w:r>
      <w:r w:rsidRPr="0069761A">
        <w:rPr>
          <w:szCs w:val="22"/>
        </w:rPr>
        <w:t>vaikščioti (</w:t>
      </w:r>
      <w:r>
        <w:rPr>
          <w:szCs w:val="22"/>
        </w:rPr>
        <w:t>netvirta</w:t>
      </w:r>
      <w:r w:rsidRPr="0069761A">
        <w:rPr>
          <w:szCs w:val="22"/>
        </w:rPr>
        <w:t xml:space="preserve"> eisena) ir (arba)</w:t>
      </w:r>
      <w:r>
        <w:rPr>
          <w:szCs w:val="22"/>
        </w:rPr>
        <w:t xml:space="preserve"> laikinai netenkama</w:t>
      </w:r>
      <w:r w:rsidRPr="0069761A">
        <w:rPr>
          <w:szCs w:val="22"/>
        </w:rPr>
        <w:t xml:space="preserve"> judesių</w:t>
      </w:r>
      <w:r>
        <w:rPr>
          <w:szCs w:val="22"/>
        </w:rPr>
        <w:t xml:space="preserve"> kontrolės;</w:t>
      </w:r>
    </w:p>
    <w:p w14:paraId="7731BCCD" w14:textId="77777777" w:rsidR="008319CE" w:rsidRPr="00AB6B5D" w:rsidRDefault="008319CE" w:rsidP="008319CE">
      <w:pPr>
        <w:numPr>
          <w:ilvl w:val="0"/>
          <w:numId w:val="4"/>
        </w:numPr>
        <w:tabs>
          <w:tab w:val="left" w:pos="567"/>
          <w:tab w:val="left" w:pos="1080"/>
        </w:tabs>
        <w:ind w:left="567" w:hanging="567"/>
        <w:rPr>
          <w:szCs w:val="22"/>
        </w:rPr>
      </w:pPr>
      <w:r>
        <w:rPr>
          <w:szCs w:val="22"/>
        </w:rPr>
        <w:t>i</w:t>
      </w:r>
      <w:r w:rsidRPr="00AB6B5D">
        <w:rPr>
          <w:szCs w:val="22"/>
        </w:rPr>
        <w:t>nsultas</w:t>
      </w:r>
      <w:r>
        <w:rPr>
          <w:szCs w:val="22"/>
        </w:rPr>
        <w:t xml:space="preserve"> </w:t>
      </w:r>
      <w:r w:rsidRPr="008A1932">
        <w:rPr>
          <w:szCs w:val="22"/>
        </w:rPr>
        <w:t>(</w:t>
      </w:r>
      <w:r>
        <w:rPr>
          <w:szCs w:val="22"/>
        </w:rPr>
        <w:t xml:space="preserve">galvos </w:t>
      </w:r>
      <w:r w:rsidRPr="008A1932">
        <w:rPr>
          <w:szCs w:val="22"/>
        </w:rPr>
        <w:t xml:space="preserve">smegenų </w:t>
      </w:r>
      <w:r>
        <w:rPr>
          <w:szCs w:val="22"/>
        </w:rPr>
        <w:t>pažeidimas</w:t>
      </w:r>
      <w:r w:rsidRPr="008A1932">
        <w:rPr>
          <w:szCs w:val="22"/>
        </w:rPr>
        <w:t>, kur</w:t>
      </w:r>
      <w:r>
        <w:rPr>
          <w:szCs w:val="22"/>
        </w:rPr>
        <w:t>į sukelia kraujotakos sutrikimas</w:t>
      </w:r>
      <w:r w:rsidRPr="008A1932">
        <w:rPr>
          <w:szCs w:val="22"/>
        </w:rPr>
        <w:t>);</w:t>
      </w:r>
    </w:p>
    <w:p w14:paraId="4A2502CD" w14:textId="77777777" w:rsidR="008319CE" w:rsidRPr="007E7DA6" w:rsidRDefault="008319CE" w:rsidP="008319CE">
      <w:pPr>
        <w:numPr>
          <w:ilvl w:val="0"/>
          <w:numId w:val="4"/>
        </w:numPr>
        <w:tabs>
          <w:tab w:val="left" w:pos="567"/>
          <w:tab w:val="left" w:pos="1080"/>
        </w:tabs>
        <w:ind w:left="567" w:hanging="567"/>
        <w:rPr>
          <w:lang w:eastAsia="lt-LT"/>
        </w:rPr>
      </w:pPr>
      <w:r>
        <w:rPr>
          <w:szCs w:val="22"/>
        </w:rPr>
        <w:t>priepuoliai arba traukuliai;</w:t>
      </w:r>
    </w:p>
    <w:p w14:paraId="08E955E8" w14:textId="77777777" w:rsidR="008319CE" w:rsidRPr="008A1932" w:rsidRDefault="008319CE" w:rsidP="008319CE">
      <w:pPr>
        <w:numPr>
          <w:ilvl w:val="0"/>
          <w:numId w:val="4"/>
        </w:numPr>
        <w:tabs>
          <w:tab w:val="left" w:pos="567"/>
          <w:tab w:val="left" w:pos="1080"/>
        </w:tabs>
        <w:ind w:left="567" w:hanging="567"/>
        <w:rPr>
          <w:szCs w:val="22"/>
        </w:rPr>
      </w:pPr>
      <w:r w:rsidRPr="008A1932">
        <w:rPr>
          <w:szCs w:val="22"/>
        </w:rPr>
        <w:t>juosiančioji pūslelinė (</w:t>
      </w:r>
      <w:proofErr w:type="spellStart"/>
      <w:r w:rsidRPr="008A1932">
        <w:rPr>
          <w:i/>
          <w:szCs w:val="22"/>
        </w:rPr>
        <w:t>Herpes</w:t>
      </w:r>
      <w:proofErr w:type="spellEnd"/>
      <w:r w:rsidRPr="008A1932">
        <w:rPr>
          <w:i/>
          <w:szCs w:val="22"/>
        </w:rPr>
        <w:t xml:space="preserve"> </w:t>
      </w:r>
      <w:proofErr w:type="spellStart"/>
      <w:r w:rsidRPr="008A1932">
        <w:rPr>
          <w:i/>
          <w:szCs w:val="22"/>
        </w:rPr>
        <w:t>zoster</w:t>
      </w:r>
      <w:proofErr w:type="spellEnd"/>
      <w:r w:rsidRPr="008A1932">
        <w:rPr>
          <w:szCs w:val="22"/>
        </w:rPr>
        <w:t>);</w:t>
      </w:r>
    </w:p>
    <w:p w14:paraId="7A915A2D" w14:textId="77777777" w:rsidR="008319CE" w:rsidRPr="008A1932" w:rsidRDefault="008319CE" w:rsidP="008319CE">
      <w:pPr>
        <w:numPr>
          <w:ilvl w:val="0"/>
          <w:numId w:val="4"/>
        </w:numPr>
        <w:tabs>
          <w:tab w:val="left" w:pos="567"/>
        </w:tabs>
        <w:ind w:left="567" w:hanging="567"/>
        <w:rPr>
          <w:szCs w:val="22"/>
        </w:rPr>
      </w:pPr>
      <w:r w:rsidRPr="008A1932">
        <w:rPr>
          <w:szCs w:val="22"/>
        </w:rPr>
        <w:t>mažos dėminės kraujosruvos ar lengviau nei įprastai atsirandančios mėlynės dėl kraujo ląstelių, vadinamų trombocitais, kiekio sumažėjimo;</w:t>
      </w:r>
    </w:p>
    <w:p w14:paraId="353D79B1" w14:textId="77777777" w:rsidR="008319CE" w:rsidRPr="008A1932" w:rsidRDefault="008319CE" w:rsidP="008319CE">
      <w:pPr>
        <w:numPr>
          <w:ilvl w:val="0"/>
          <w:numId w:val="4"/>
        </w:numPr>
        <w:tabs>
          <w:tab w:val="left" w:pos="567"/>
        </w:tabs>
        <w:ind w:left="567" w:hanging="567"/>
        <w:rPr>
          <w:szCs w:val="22"/>
        </w:rPr>
      </w:pPr>
      <w:r w:rsidRPr="008A1932">
        <w:rPr>
          <w:szCs w:val="22"/>
        </w:rPr>
        <w:t>alerginės reakcijos. Išbėrimai, kurie gali būti niežtintys ar pūslėti, akių ir veido patinimas, pasunkėjęs kvėpavimas ar rijimas, staigus kraujospūdžio sumažėjimas ir sąmonės netekimas. Tokios reakcijos gali pasireikšti dar neišvykus iš gydytojo priimamojo. Tačiau, jei Jums ar Jūsų vaikui atsiranda bet kuris iš šių simptomų, turėtumėte skubiai kreiptis į gydytoją;</w:t>
      </w:r>
    </w:p>
    <w:p w14:paraId="12725332" w14:textId="77777777" w:rsidR="008319CE" w:rsidRPr="008A1932" w:rsidRDefault="008319CE" w:rsidP="008319CE">
      <w:pPr>
        <w:numPr>
          <w:ilvl w:val="0"/>
          <w:numId w:val="4"/>
        </w:numPr>
        <w:tabs>
          <w:tab w:val="left" w:pos="567"/>
        </w:tabs>
        <w:ind w:left="567" w:hanging="567"/>
        <w:rPr>
          <w:szCs w:val="22"/>
        </w:rPr>
      </w:pPr>
      <w:r w:rsidRPr="008A1932">
        <w:rPr>
          <w:szCs w:val="22"/>
        </w:rPr>
        <w:t>kraujagyslių uždegimas, susiaurėjimas arba užsikimšimas. Tai gali pasireikšti neįprastu kraujavimu arba mėlynėmis po oda (</w:t>
      </w:r>
      <w:proofErr w:type="spellStart"/>
      <w:r w:rsidRPr="008A1932">
        <w:rPr>
          <w:szCs w:val="22"/>
        </w:rPr>
        <w:t>Henoch</w:t>
      </w:r>
      <w:proofErr w:type="spellEnd"/>
      <w:r w:rsidRPr="008A1932">
        <w:rPr>
          <w:szCs w:val="22"/>
        </w:rPr>
        <w:t xml:space="preserve"> </w:t>
      </w:r>
      <w:proofErr w:type="spellStart"/>
      <w:r w:rsidRPr="008A1932">
        <w:rPr>
          <w:szCs w:val="22"/>
        </w:rPr>
        <w:t>Schonlein</w:t>
      </w:r>
      <w:proofErr w:type="spellEnd"/>
      <w:r w:rsidRPr="008A1932">
        <w:rPr>
          <w:szCs w:val="22"/>
        </w:rPr>
        <w:t xml:space="preserve"> purpura) arba karščiavimu, kuris trunka ilgiau nei keletą parų ir yra susijęs su juosmens išbėrimu, o kartais vėliau pasireiškia rankų ir pirštų odos lupimasis, akių, lūpų, gerklės ir liežuvio paraudimu (</w:t>
      </w:r>
      <w:proofErr w:type="spellStart"/>
      <w:r w:rsidRPr="008A1932">
        <w:rPr>
          <w:szCs w:val="22"/>
        </w:rPr>
        <w:t>Kawasaki</w:t>
      </w:r>
      <w:proofErr w:type="spellEnd"/>
      <w:r w:rsidRPr="008A1932">
        <w:rPr>
          <w:szCs w:val="22"/>
        </w:rPr>
        <w:t xml:space="preserve"> liga);</w:t>
      </w:r>
    </w:p>
    <w:p w14:paraId="46EE5B1D" w14:textId="77777777" w:rsidR="008319CE" w:rsidRPr="008A1932" w:rsidRDefault="008319CE" w:rsidP="008319CE">
      <w:pPr>
        <w:numPr>
          <w:ilvl w:val="0"/>
          <w:numId w:val="4"/>
        </w:numPr>
        <w:tabs>
          <w:tab w:val="left" w:pos="567"/>
        </w:tabs>
        <w:ind w:left="567" w:hanging="567"/>
        <w:rPr>
          <w:szCs w:val="22"/>
        </w:rPr>
      </w:pPr>
      <w:r w:rsidRPr="008A1932">
        <w:rPr>
          <w:szCs w:val="22"/>
        </w:rPr>
        <w:t xml:space="preserve">daugiaformė </w:t>
      </w:r>
      <w:proofErr w:type="spellStart"/>
      <w:r w:rsidRPr="008A1932">
        <w:rPr>
          <w:szCs w:val="22"/>
        </w:rPr>
        <w:t>eritema</w:t>
      </w:r>
      <w:proofErr w:type="spellEnd"/>
      <w:r w:rsidRPr="008A1932">
        <w:rPr>
          <w:szCs w:val="22"/>
        </w:rPr>
        <w:t xml:space="preserve"> (simptomai: raudonos, dažnai niežtinčios dėmės, panašios į tymų išbėrimą, kuris prasideda ant galūnių, o kartais ir ant veido bei likusio kūno).</w:t>
      </w:r>
    </w:p>
    <w:p w14:paraId="412A38FC" w14:textId="77777777" w:rsidR="008319CE" w:rsidRPr="008A1932" w:rsidRDefault="008319CE" w:rsidP="008319CE"/>
    <w:p w14:paraId="0BD8E009" w14:textId="77777777" w:rsidR="008319CE" w:rsidRPr="008A1932" w:rsidRDefault="008319CE" w:rsidP="008319CE">
      <w:pPr>
        <w:keepNext/>
      </w:pPr>
      <w:r w:rsidRPr="008A1932">
        <w:rPr>
          <w:b/>
        </w:rPr>
        <w:t>Pranešimas</w:t>
      </w:r>
      <w:r w:rsidRPr="00835B82">
        <w:rPr>
          <w:b/>
        </w:rPr>
        <w:t xml:space="preserve"> apie šalutinį poveikį</w:t>
      </w:r>
    </w:p>
    <w:p w14:paraId="1A176D7F" w14:textId="77777777" w:rsidR="008319CE" w:rsidRPr="008A1932" w:rsidRDefault="008319CE" w:rsidP="008319CE">
      <w:pPr>
        <w:rPr>
          <w:noProof/>
          <w:szCs w:val="22"/>
        </w:rPr>
      </w:pPr>
      <w:r w:rsidRPr="00096E3F">
        <w:rPr>
          <w:noProof/>
          <w:szCs w:val="22"/>
        </w:rPr>
        <w:t>Jeigu pasireiškė šalutinis poveikis, įskaitant šiame lapelyje nenurodytą, pasakykite</w:t>
      </w:r>
      <w:r>
        <w:rPr>
          <w:noProof/>
          <w:szCs w:val="22"/>
        </w:rPr>
        <w:t xml:space="preserve"> </w:t>
      </w:r>
      <w:r w:rsidRPr="00096E3F">
        <w:rPr>
          <w:noProof/>
          <w:szCs w:val="22"/>
        </w:rPr>
        <w:t>gydytojui</w:t>
      </w:r>
      <w:r>
        <w:rPr>
          <w:noProof/>
          <w:szCs w:val="22"/>
        </w:rPr>
        <w:t xml:space="preserve"> </w:t>
      </w:r>
      <w:r w:rsidRPr="00096E3F">
        <w:rPr>
          <w:noProof/>
          <w:szCs w:val="22"/>
        </w:rPr>
        <w:t xml:space="preserve">arba vaistininkui. Pranešimą apie šalutinį poveikį galite užpildyti ir pateikti Valstybinės vaistų kontrolės tarnybos prie Lietuvos Respublikos sveikatos apsaugos ministerijos tinklalapyje </w:t>
      </w:r>
      <w:hyperlink r:id="rId5" w:history="1">
        <w:r w:rsidRPr="00C24E4D">
          <w:rPr>
            <w:rStyle w:val="Hipersaitas"/>
            <w:noProof/>
            <w:szCs w:val="22"/>
          </w:rPr>
          <w:t>https://vvkt.lrv.lt/lt/</w:t>
        </w:r>
      </w:hyperlink>
      <w:r>
        <w:rPr>
          <w:noProof/>
          <w:szCs w:val="22"/>
        </w:rPr>
        <w:t xml:space="preserve"> </w:t>
      </w:r>
      <w:r w:rsidRPr="00096E3F">
        <w:rPr>
          <w:noProof/>
          <w:szCs w:val="22"/>
        </w:rPr>
        <w:t xml:space="preserve">nurodytais būdais arba paskambinti nemokamu telefonu </w:t>
      </w:r>
      <w:r w:rsidRPr="007E7DA6">
        <w:rPr>
          <w:noProof/>
          <w:szCs w:val="22"/>
        </w:rPr>
        <w:t>+3</w:t>
      </w:r>
      <w:r>
        <w:rPr>
          <w:noProof/>
          <w:szCs w:val="22"/>
        </w:rPr>
        <w:t>70</w:t>
      </w:r>
      <w:r w:rsidRPr="00096E3F">
        <w:rPr>
          <w:noProof/>
          <w:szCs w:val="22"/>
        </w:rPr>
        <w:t xml:space="preserve"> 800 73 568. Pranešdami apie šalutinį poveikį galite mums padėti gauti daugiau informacijos apie šio vaisto saugumą.</w:t>
      </w:r>
    </w:p>
    <w:p w14:paraId="0FD06BC5" w14:textId="77777777" w:rsidR="008319CE" w:rsidRPr="008A1932" w:rsidRDefault="008319CE" w:rsidP="008319CE">
      <w:pPr>
        <w:numPr>
          <w:ilvl w:val="12"/>
          <w:numId w:val="0"/>
        </w:numPr>
        <w:ind w:right="-2"/>
      </w:pPr>
    </w:p>
    <w:p w14:paraId="49C314BF" w14:textId="77777777" w:rsidR="008319CE" w:rsidRPr="008A1932" w:rsidRDefault="008319CE" w:rsidP="008319CE">
      <w:pPr>
        <w:numPr>
          <w:ilvl w:val="12"/>
          <w:numId w:val="0"/>
        </w:numPr>
        <w:ind w:right="-2"/>
      </w:pPr>
    </w:p>
    <w:p w14:paraId="5BFFB55B" w14:textId="77777777" w:rsidR="008319CE" w:rsidRPr="008A1932" w:rsidRDefault="008319CE" w:rsidP="008319CE">
      <w:pPr>
        <w:numPr>
          <w:ilvl w:val="12"/>
          <w:numId w:val="0"/>
        </w:numPr>
        <w:ind w:left="567" w:right="-2" w:hanging="567"/>
      </w:pPr>
      <w:r w:rsidRPr="008A1932">
        <w:rPr>
          <w:b/>
        </w:rPr>
        <w:t>5.</w:t>
      </w:r>
      <w:r w:rsidRPr="008A1932">
        <w:rPr>
          <w:b/>
        </w:rPr>
        <w:tab/>
        <w:t xml:space="preserve">Kaip laikyti </w:t>
      </w:r>
      <w:proofErr w:type="spellStart"/>
      <w:r w:rsidRPr="008A1932">
        <w:rPr>
          <w:b/>
        </w:rPr>
        <w:t>Varilrix</w:t>
      </w:r>
      <w:proofErr w:type="spellEnd"/>
    </w:p>
    <w:p w14:paraId="7BDD5951" w14:textId="77777777" w:rsidR="008319CE" w:rsidRPr="008A1932" w:rsidRDefault="008319CE" w:rsidP="008319CE">
      <w:pPr>
        <w:rPr>
          <w:i/>
        </w:rPr>
      </w:pPr>
    </w:p>
    <w:p w14:paraId="75B882E4" w14:textId="77777777" w:rsidR="008319CE" w:rsidRPr="008A1932" w:rsidRDefault="008319CE" w:rsidP="008319CE">
      <w:pPr>
        <w:numPr>
          <w:ilvl w:val="12"/>
          <w:numId w:val="0"/>
        </w:numPr>
        <w:tabs>
          <w:tab w:val="left" w:pos="567"/>
        </w:tabs>
        <w:ind w:right="-2"/>
        <w:rPr>
          <w:noProof/>
          <w:szCs w:val="22"/>
        </w:rPr>
      </w:pPr>
      <w:r w:rsidRPr="008A1932">
        <w:rPr>
          <w:szCs w:val="22"/>
        </w:rPr>
        <w:t>Šį vaistą laikykite</w:t>
      </w:r>
      <w:r w:rsidRPr="008A1932">
        <w:rPr>
          <w:noProof/>
          <w:szCs w:val="22"/>
        </w:rPr>
        <w:t xml:space="preserve"> vaikams </w:t>
      </w:r>
      <w:r w:rsidRPr="008A1932">
        <w:rPr>
          <w:szCs w:val="22"/>
        </w:rPr>
        <w:t>nepastebimoje ir nepasiekiamoje</w:t>
      </w:r>
      <w:r w:rsidRPr="008A1932">
        <w:rPr>
          <w:noProof/>
          <w:szCs w:val="22"/>
        </w:rPr>
        <w:t xml:space="preserve"> vietoje.</w:t>
      </w:r>
    </w:p>
    <w:p w14:paraId="42825871" w14:textId="77777777" w:rsidR="008319CE" w:rsidRPr="00835B82" w:rsidRDefault="008319CE" w:rsidP="008319CE">
      <w:pPr>
        <w:tabs>
          <w:tab w:val="left" w:pos="567"/>
        </w:tabs>
      </w:pPr>
    </w:p>
    <w:p w14:paraId="1D87CB62" w14:textId="77777777" w:rsidR="008319CE" w:rsidRPr="008A1932" w:rsidRDefault="008319CE" w:rsidP="008319CE">
      <w:pPr>
        <w:tabs>
          <w:tab w:val="left" w:pos="567"/>
        </w:tabs>
        <w:rPr>
          <w:szCs w:val="22"/>
        </w:rPr>
      </w:pPr>
      <w:r w:rsidRPr="008A1932">
        <w:rPr>
          <w:szCs w:val="22"/>
        </w:rPr>
        <w:t xml:space="preserve">Ant dėžutės ir etiketės po „EXP“ nurodytam </w:t>
      </w:r>
      <w:r w:rsidRPr="008A1932">
        <w:rPr>
          <w:noProof/>
          <w:szCs w:val="22"/>
        </w:rPr>
        <w:t>tinkamumo laikui pasibaigus, šio vaisto vartoti negalima</w:t>
      </w:r>
      <w:r w:rsidRPr="008A1932">
        <w:rPr>
          <w:szCs w:val="22"/>
        </w:rPr>
        <w:t>. Vaistas tinkamas vartoti iki paskutinės nurodyto mėnesio dienos.</w:t>
      </w:r>
    </w:p>
    <w:p w14:paraId="7D922A64" w14:textId="77777777" w:rsidR="008319CE" w:rsidRPr="008A1932" w:rsidRDefault="008319CE" w:rsidP="008319CE">
      <w:pPr>
        <w:tabs>
          <w:tab w:val="left" w:pos="567"/>
        </w:tabs>
        <w:rPr>
          <w:caps/>
          <w:szCs w:val="22"/>
        </w:rPr>
      </w:pPr>
    </w:p>
    <w:p w14:paraId="6B713C94" w14:textId="77777777" w:rsidR="008319CE" w:rsidRPr="008A1932" w:rsidRDefault="008319CE" w:rsidP="008319CE">
      <w:pPr>
        <w:tabs>
          <w:tab w:val="left" w:pos="567"/>
        </w:tabs>
        <w:rPr>
          <w:szCs w:val="22"/>
        </w:rPr>
      </w:pPr>
      <w:r w:rsidRPr="008A1932">
        <w:rPr>
          <w:szCs w:val="22"/>
        </w:rPr>
        <w:t xml:space="preserve">Laikyti </w:t>
      </w:r>
      <w:r>
        <w:rPr>
          <w:szCs w:val="22"/>
        </w:rPr>
        <w:t xml:space="preserve">ir transportuoti </w:t>
      </w:r>
      <w:r w:rsidRPr="008A1932">
        <w:rPr>
          <w:szCs w:val="22"/>
        </w:rPr>
        <w:t>šaldytuve (2 – 8 </w:t>
      </w:r>
      <w:r w:rsidRPr="008A1932">
        <w:rPr>
          <w:szCs w:val="22"/>
        </w:rPr>
        <w:sym w:font="Symbol" w:char="00B0"/>
      </w:r>
      <w:r w:rsidRPr="008A1932">
        <w:rPr>
          <w:szCs w:val="22"/>
        </w:rPr>
        <w:t>C</w:t>
      </w:r>
      <w:r>
        <w:rPr>
          <w:szCs w:val="22"/>
        </w:rPr>
        <w:t xml:space="preserve"> temperatūroje</w:t>
      </w:r>
      <w:r w:rsidRPr="008A1932">
        <w:rPr>
          <w:szCs w:val="22"/>
        </w:rPr>
        <w:t>).</w:t>
      </w:r>
    </w:p>
    <w:p w14:paraId="722DFC83" w14:textId="77777777" w:rsidR="008319CE" w:rsidRPr="008A1932" w:rsidRDefault="008319CE" w:rsidP="008319CE">
      <w:pPr>
        <w:rPr>
          <w:szCs w:val="22"/>
        </w:rPr>
      </w:pPr>
    </w:p>
    <w:p w14:paraId="693D2C71" w14:textId="77777777" w:rsidR="008319CE" w:rsidRDefault="008319CE" w:rsidP="008319CE">
      <w:pPr>
        <w:rPr>
          <w:szCs w:val="22"/>
        </w:rPr>
      </w:pPr>
      <w:r w:rsidRPr="00446F28">
        <w:rPr>
          <w:szCs w:val="22"/>
        </w:rPr>
        <w:t xml:space="preserve">Laikyti gamintojo pakuotėje, kad </w:t>
      </w:r>
      <w:r>
        <w:rPr>
          <w:szCs w:val="22"/>
        </w:rPr>
        <w:t>vaistas</w:t>
      </w:r>
      <w:r w:rsidRPr="00446F28">
        <w:rPr>
          <w:szCs w:val="22"/>
        </w:rPr>
        <w:t xml:space="preserve"> būtų apsaugotas nuo šviesos.</w:t>
      </w:r>
    </w:p>
    <w:p w14:paraId="6ADED8D2" w14:textId="77777777" w:rsidR="008319CE" w:rsidRPr="008A1932" w:rsidRDefault="008319CE" w:rsidP="008319CE">
      <w:pPr>
        <w:rPr>
          <w:szCs w:val="22"/>
        </w:rPr>
      </w:pPr>
    </w:p>
    <w:p w14:paraId="0230CE1A" w14:textId="77777777" w:rsidR="008319CE" w:rsidRPr="008A1932" w:rsidRDefault="008319CE" w:rsidP="008319CE">
      <w:pPr>
        <w:rPr>
          <w:szCs w:val="22"/>
        </w:rPr>
      </w:pPr>
      <w:r w:rsidRPr="008A1932">
        <w:rPr>
          <w:szCs w:val="22"/>
        </w:rPr>
        <w:t xml:space="preserve">Paruoštą vakciną </w:t>
      </w:r>
      <w:r>
        <w:rPr>
          <w:szCs w:val="22"/>
        </w:rPr>
        <w:t xml:space="preserve">reikia </w:t>
      </w:r>
      <w:r w:rsidRPr="008A1932">
        <w:rPr>
          <w:szCs w:val="22"/>
        </w:rPr>
        <w:t>vartoti nedelsiant.</w:t>
      </w:r>
      <w:r>
        <w:rPr>
          <w:szCs w:val="22"/>
        </w:rPr>
        <w:t xml:space="preserve"> </w:t>
      </w:r>
      <w:r w:rsidRPr="00E81D15">
        <w:rPr>
          <w:szCs w:val="22"/>
        </w:rPr>
        <w:t xml:space="preserve">Jei tai neįmanoma, paruoštą vakciną </w:t>
      </w:r>
      <w:r>
        <w:rPr>
          <w:szCs w:val="22"/>
        </w:rPr>
        <w:t>reikia</w:t>
      </w:r>
      <w:r w:rsidRPr="00E81D15">
        <w:rPr>
          <w:szCs w:val="22"/>
        </w:rPr>
        <w:t xml:space="preserve"> laikyti kambario temperatūroje (25</w:t>
      </w:r>
      <w:r>
        <w:rPr>
          <w:szCs w:val="22"/>
        </w:rPr>
        <w:t> </w:t>
      </w:r>
      <w:r w:rsidRPr="00E81D15">
        <w:rPr>
          <w:szCs w:val="22"/>
        </w:rPr>
        <w:t>°C)</w:t>
      </w:r>
      <w:r>
        <w:rPr>
          <w:szCs w:val="22"/>
        </w:rPr>
        <w:t xml:space="preserve"> ir suleisit per </w:t>
      </w:r>
      <w:r w:rsidRPr="00E81D15">
        <w:rPr>
          <w:szCs w:val="22"/>
        </w:rPr>
        <w:t>90</w:t>
      </w:r>
      <w:r>
        <w:rPr>
          <w:szCs w:val="22"/>
        </w:rPr>
        <w:t> </w:t>
      </w:r>
      <w:r w:rsidRPr="00E81D15">
        <w:rPr>
          <w:szCs w:val="22"/>
        </w:rPr>
        <w:t xml:space="preserve">minučių arba </w:t>
      </w:r>
      <w:r>
        <w:rPr>
          <w:szCs w:val="22"/>
        </w:rPr>
        <w:t xml:space="preserve">laikyti </w:t>
      </w:r>
      <w:r w:rsidRPr="00E81D15">
        <w:rPr>
          <w:szCs w:val="22"/>
        </w:rPr>
        <w:t>šaldytuve (</w:t>
      </w:r>
      <w:r>
        <w:rPr>
          <w:szCs w:val="22"/>
        </w:rPr>
        <w:t xml:space="preserve">nuo </w:t>
      </w:r>
      <w:r w:rsidRPr="00E81D15">
        <w:rPr>
          <w:szCs w:val="22"/>
        </w:rPr>
        <w:t>2</w:t>
      </w:r>
      <w:r>
        <w:rPr>
          <w:szCs w:val="22"/>
        </w:rPr>
        <w:t> </w:t>
      </w:r>
      <w:r w:rsidRPr="00E81D15">
        <w:rPr>
          <w:szCs w:val="22"/>
        </w:rPr>
        <w:t>°C iki 8 ° C)</w:t>
      </w:r>
      <w:r>
        <w:rPr>
          <w:szCs w:val="22"/>
        </w:rPr>
        <w:t xml:space="preserve"> ir suleisti per </w:t>
      </w:r>
      <w:r w:rsidRPr="00E81D15">
        <w:rPr>
          <w:szCs w:val="22"/>
        </w:rPr>
        <w:t>8</w:t>
      </w:r>
      <w:r>
        <w:rPr>
          <w:szCs w:val="22"/>
        </w:rPr>
        <w:t> </w:t>
      </w:r>
      <w:r w:rsidRPr="00E81D15">
        <w:rPr>
          <w:szCs w:val="22"/>
        </w:rPr>
        <w:t>valand</w:t>
      </w:r>
      <w:r>
        <w:rPr>
          <w:szCs w:val="22"/>
        </w:rPr>
        <w:t>as po paruošimo</w:t>
      </w:r>
      <w:r w:rsidRPr="00E81D15">
        <w:rPr>
          <w:szCs w:val="22"/>
        </w:rPr>
        <w:t>.</w:t>
      </w:r>
    </w:p>
    <w:p w14:paraId="255F7ECF" w14:textId="77777777" w:rsidR="008319CE" w:rsidRPr="008A1932" w:rsidRDefault="008319CE" w:rsidP="008319CE">
      <w:pPr>
        <w:tabs>
          <w:tab w:val="left" w:pos="567"/>
        </w:tabs>
        <w:rPr>
          <w:szCs w:val="22"/>
        </w:rPr>
      </w:pPr>
    </w:p>
    <w:p w14:paraId="5B9089FD" w14:textId="77777777" w:rsidR="008319CE" w:rsidRPr="008A1932" w:rsidRDefault="008319CE" w:rsidP="008319CE">
      <w:pPr>
        <w:tabs>
          <w:tab w:val="left" w:pos="567"/>
        </w:tabs>
        <w:rPr>
          <w:szCs w:val="22"/>
        </w:rPr>
      </w:pPr>
      <w:r w:rsidRPr="008A1932">
        <w:rPr>
          <w:szCs w:val="22"/>
        </w:rPr>
        <w:t>Vaistų negalima išmesti į kanalizaciją arba su buitinėmis atliekomis. Kaip išmesti nereikalingus vaistus, klauskite vaistininko. Šios priemonės padės apsaugoti aplinką.</w:t>
      </w:r>
    </w:p>
    <w:p w14:paraId="530AA7FE" w14:textId="77777777" w:rsidR="008319CE" w:rsidRPr="008A1932" w:rsidRDefault="008319CE" w:rsidP="008319CE">
      <w:pPr>
        <w:numPr>
          <w:ilvl w:val="12"/>
          <w:numId w:val="0"/>
        </w:numPr>
        <w:ind w:right="-2"/>
      </w:pPr>
    </w:p>
    <w:p w14:paraId="5ADBA97E" w14:textId="77777777" w:rsidR="008319CE" w:rsidRPr="008A1932" w:rsidRDefault="008319CE" w:rsidP="008319CE">
      <w:pPr>
        <w:numPr>
          <w:ilvl w:val="12"/>
          <w:numId w:val="0"/>
        </w:numPr>
        <w:ind w:right="-2"/>
      </w:pPr>
    </w:p>
    <w:p w14:paraId="38022808" w14:textId="77777777" w:rsidR="008319CE" w:rsidRPr="008A1932" w:rsidRDefault="008319CE" w:rsidP="008319CE">
      <w:pPr>
        <w:numPr>
          <w:ilvl w:val="12"/>
          <w:numId w:val="0"/>
        </w:numPr>
        <w:ind w:left="567" w:hanging="567"/>
        <w:rPr>
          <w:b/>
          <w:highlight w:val="lightGray"/>
        </w:rPr>
      </w:pPr>
      <w:r w:rsidRPr="008A1932">
        <w:rPr>
          <w:b/>
        </w:rPr>
        <w:t>6.</w:t>
      </w:r>
      <w:r w:rsidRPr="008A1932">
        <w:rPr>
          <w:b/>
        </w:rPr>
        <w:tab/>
        <w:t>Pakuotės turinys ir kita informacija</w:t>
      </w:r>
    </w:p>
    <w:p w14:paraId="45C68BE7" w14:textId="77777777" w:rsidR="008319CE" w:rsidRPr="008A1932" w:rsidRDefault="008319CE" w:rsidP="008319CE">
      <w:pPr>
        <w:numPr>
          <w:ilvl w:val="12"/>
          <w:numId w:val="0"/>
        </w:numPr>
        <w:ind w:right="-2"/>
        <w:rPr>
          <w:highlight w:val="lightGray"/>
        </w:rPr>
      </w:pPr>
    </w:p>
    <w:p w14:paraId="6CF20451" w14:textId="77777777" w:rsidR="008319CE" w:rsidRDefault="008319CE" w:rsidP="008319CE">
      <w:pPr>
        <w:numPr>
          <w:ilvl w:val="12"/>
          <w:numId w:val="0"/>
        </w:numPr>
        <w:tabs>
          <w:tab w:val="left" w:pos="567"/>
        </w:tabs>
        <w:ind w:right="-2"/>
        <w:rPr>
          <w:b/>
          <w:bCs/>
          <w:noProof/>
          <w:szCs w:val="22"/>
        </w:rPr>
      </w:pPr>
      <w:r w:rsidRPr="008A1932">
        <w:rPr>
          <w:b/>
          <w:bCs/>
          <w:noProof/>
          <w:szCs w:val="22"/>
        </w:rPr>
        <w:t>Varilrix sudėtis</w:t>
      </w:r>
    </w:p>
    <w:p w14:paraId="1B9C8ABE" w14:textId="77777777" w:rsidR="008319CE" w:rsidRPr="008A1932" w:rsidRDefault="008319CE" w:rsidP="008319CE">
      <w:pPr>
        <w:numPr>
          <w:ilvl w:val="12"/>
          <w:numId w:val="0"/>
        </w:numPr>
        <w:tabs>
          <w:tab w:val="left" w:pos="567"/>
        </w:tabs>
        <w:ind w:right="-2"/>
        <w:rPr>
          <w:noProof/>
          <w:szCs w:val="22"/>
          <w:u w:val="single"/>
        </w:rPr>
      </w:pPr>
    </w:p>
    <w:p w14:paraId="5F83637A" w14:textId="77777777" w:rsidR="008319CE" w:rsidRPr="00835B82" w:rsidRDefault="008319CE" w:rsidP="008319CE">
      <w:pPr>
        <w:tabs>
          <w:tab w:val="left" w:pos="567"/>
        </w:tabs>
        <w:ind w:right="-2"/>
      </w:pPr>
      <w:r w:rsidRPr="008A1932">
        <w:rPr>
          <w:szCs w:val="22"/>
        </w:rPr>
        <w:t xml:space="preserve">Veiklioji medžiaga yra gyvas </w:t>
      </w:r>
      <w:proofErr w:type="spellStart"/>
      <w:r w:rsidRPr="008A1932">
        <w:rPr>
          <w:szCs w:val="22"/>
        </w:rPr>
        <w:t>susilpnintas</w:t>
      </w:r>
      <w:proofErr w:type="spellEnd"/>
      <w:r w:rsidRPr="008A1932">
        <w:rPr>
          <w:szCs w:val="22"/>
        </w:rPr>
        <w:t xml:space="preserve"> </w:t>
      </w:r>
      <w:r>
        <w:rPr>
          <w:iCs/>
          <w:szCs w:val="22"/>
        </w:rPr>
        <w:t>vėjaraupių virusas</w:t>
      </w:r>
      <w:r w:rsidRPr="008A1932">
        <w:rPr>
          <w:szCs w:val="22"/>
        </w:rPr>
        <w:t xml:space="preserve"> </w:t>
      </w:r>
      <w:r>
        <w:rPr>
          <w:szCs w:val="22"/>
        </w:rPr>
        <w:t>(</w:t>
      </w:r>
      <w:r w:rsidRPr="008A1932">
        <w:rPr>
          <w:i/>
          <w:szCs w:val="22"/>
        </w:rPr>
        <w:t>Oka</w:t>
      </w:r>
      <w:r w:rsidRPr="008A1932">
        <w:rPr>
          <w:szCs w:val="22"/>
        </w:rPr>
        <w:t xml:space="preserve"> padermės, išaugintas žmogaus </w:t>
      </w:r>
      <w:proofErr w:type="spellStart"/>
      <w:r w:rsidRPr="008A1932">
        <w:rPr>
          <w:szCs w:val="22"/>
        </w:rPr>
        <w:t>diploidinių</w:t>
      </w:r>
      <w:proofErr w:type="spellEnd"/>
      <w:r w:rsidRPr="008A1932">
        <w:rPr>
          <w:szCs w:val="22"/>
        </w:rPr>
        <w:t xml:space="preserve"> ląstelių MRC-5 kultūroje</w:t>
      </w:r>
      <w:r>
        <w:rPr>
          <w:szCs w:val="22"/>
        </w:rPr>
        <w:t>)</w:t>
      </w:r>
      <w:r w:rsidRPr="008A1932">
        <w:rPr>
          <w:szCs w:val="22"/>
        </w:rPr>
        <w:t>.</w:t>
      </w:r>
      <w:r>
        <w:rPr>
          <w:szCs w:val="22"/>
        </w:rPr>
        <w:t xml:space="preserve"> </w:t>
      </w:r>
      <w:r w:rsidRPr="00A87F9C">
        <w:rPr>
          <w:szCs w:val="22"/>
        </w:rPr>
        <w:t>Vienoje paruoštoje 0,5 ml vakcinos dozėje yra ne mažiau kaip 10</w:t>
      </w:r>
      <w:r w:rsidRPr="0033333F">
        <w:rPr>
          <w:szCs w:val="22"/>
          <w:vertAlign w:val="superscript"/>
        </w:rPr>
        <w:t>3,3</w:t>
      </w:r>
      <w:r w:rsidRPr="0044119D">
        <w:rPr>
          <w:szCs w:val="22"/>
        </w:rPr>
        <w:t xml:space="preserve"> plokšteles formuojančio šio viruso vienetų (PFU).</w:t>
      </w:r>
    </w:p>
    <w:p w14:paraId="4E8C31F6" w14:textId="77777777" w:rsidR="008319CE" w:rsidRPr="008A1932" w:rsidRDefault="008319CE" w:rsidP="008319CE">
      <w:pPr>
        <w:tabs>
          <w:tab w:val="left" w:pos="567"/>
        </w:tabs>
        <w:ind w:left="540" w:right="-2"/>
        <w:rPr>
          <w:i/>
          <w:iCs/>
          <w:noProof/>
          <w:szCs w:val="22"/>
        </w:rPr>
      </w:pPr>
    </w:p>
    <w:p w14:paraId="736580C2" w14:textId="77777777" w:rsidR="008319CE" w:rsidRPr="008A1932" w:rsidRDefault="008319CE" w:rsidP="008319CE">
      <w:pPr>
        <w:tabs>
          <w:tab w:val="left" w:pos="567"/>
        </w:tabs>
        <w:ind w:right="-2"/>
        <w:rPr>
          <w:noProof/>
          <w:szCs w:val="22"/>
        </w:rPr>
      </w:pPr>
      <w:r w:rsidRPr="008A1932">
        <w:rPr>
          <w:noProof/>
          <w:szCs w:val="22"/>
        </w:rPr>
        <w:t>Pagalbinės medžiagos:</w:t>
      </w:r>
    </w:p>
    <w:p w14:paraId="18097CE1" w14:textId="77777777" w:rsidR="008319CE" w:rsidRPr="00D23A0B" w:rsidRDefault="008319CE" w:rsidP="008319CE">
      <w:pPr>
        <w:tabs>
          <w:tab w:val="left" w:pos="0"/>
        </w:tabs>
        <w:ind w:right="-2"/>
        <w:rPr>
          <w:noProof/>
          <w:szCs w:val="22"/>
        </w:rPr>
      </w:pPr>
      <w:r w:rsidRPr="00A73111">
        <w:rPr>
          <w:noProof/>
          <w:szCs w:val="22"/>
          <w:u w:val="single"/>
        </w:rPr>
        <w:t>Milteliai</w:t>
      </w:r>
      <w:r>
        <w:rPr>
          <w:noProof/>
          <w:szCs w:val="22"/>
        </w:rPr>
        <w:t>:</w:t>
      </w:r>
      <w:r w:rsidRPr="00A87F9C">
        <w:rPr>
          <w:szCs w:val="22"/>
        </w:rPr>
        <w:t xml:space="preserve"> aminorūgštys</w:t>
      </w:r>
      <w:r w:rsidRPr="00D23A0B">
        <w:rPr>
          <w:szCs w:val="22"/>
        </w:rPr>
        <w:t xml:space="preserve"> (kurių sudėtyje yra </w:t>
      </w:r>
      <w:proofErr w:type="spellStart"/>
      <w:r w:rsidRPr="00D23A0B">
        <w:rPr>
          <w:szCs w:val="22"/>
        </w:rPr>
        <w:t>fenilalanino</w:t>
      </w:r>
      <w:proofErr w:type="spellEnd"/>
      <w:r>
        <w:rPr>
          <w:szCs w:val="22"/>
        </w:rPr>
        <w:t xml:space="preserve"> ir </w:t>
      </w:r>
      <w:proofErr w:type="spellStart"/>
      <w:r>
        <w:rPr>
          <w:szCs w:val="22"/>
        </w:rPr>
        <w:t>prolino</w:t>
      </w:r>
      <w:proofErr w:type="spellEnd"/>
      <w:r w:rsidRPr="00D23A0B">
        <w:rPr>
          <w:szCs w:val="22"/>
        </w:rPr>
        <w:t xml:space="preserve">), bevandenė laktozė, </w:t>
      </w:r>
      <w:proofErr w:type="spellStart"/>
      <w:r w:rsidRPr="00D23A0B">
        <w:rPr>
          <w:szCs w:val="22"/>
        </w:rPr>
        <w:t>sorbitolis</w:t>
      </w:r>
      <w:proofErr w:type="spellEnd"/>
      <w:r>
        <w:rPr>
          <w:szCs w:val="22"/>
        </w:rPr>
        <w:t> </w:t>
      </w:r>
      <w:r w:rsidRPr="00D23A0B">
        <w:rPr>
          <w:szCs w:val="22"/>
        </w:rPr>
        <w:t xml:space="preserve">(E 420), </w:t>
      </w:r>
      <w:proofErr w:type="spellStart"/>
      <w:r w:rsidRPr="00D23A0B">
        <w:rPr>
          <w:szCs w:val="22"/>
        </w:rPr>
        <w:t>manitolis</w:t>
      </w:r>
      <w:proofErr w:type="spellEnd"/>
      <w:r w:rsidRPr="00D23A0B">
        <w:rPr>
          <w:szCs w:val="22"/>
        </w:rPr>
        <w:t xml:space="preserve"> (E 421)</w:t>
      </w:r>
      <w:r>
        <w:rPr>
          <w:szCs w:val="22"/>
        </w:rPr>
        <w:t>.</w:t>
      </w:r>
    </w:p>
    <w:p w14:paraId="3F087484" w14:textId="77777777" w:rsidR="008319CE" w:rsidRPr="00D23A0B" w:rsidRDefault="008319CE" w:rsidP="008319CE">
      <w:pPr>
        <w:tabs>
          <w:tab w:val="left" w:pos="0"/>
        </w:tabs>
        <w:ind w:right="-2"/>
        <w:rPr>
          <w:noProof/>
          <w:szCs w:val="22"/>
        </w:rPr>
      </w:pPr>
      <w:r w:rsidRPr="00D0531F">
        <w:rPr>
          <w:u w:val="single"/>
        </w:rPr>
        <w:t>Tirpiklis</w:t>
      </w:r>
      <w:r>
        <w:rPr>
          <w:szCs w:val="22"/>
        </w:rPr>
        <w:t>:</w:t>
      </w:r>
      <w:r w:rsidRPr="0044119D">
        <w:rPr>
          <w:szCs w:val="22"/>
        </w:rPr>
        <w:t xml:space="preserve"> </w:t>
      </w:r>
      <w:r w:rsidRPr="0044119D">
        <w:rPr>
          <w:iCs/>
          <w:szCs w:val="22"/>
        </w:rPr>
        <w:t>injekcinis vanduo</w:t>
      </w:r>
      <w:r w:rsidRPr="006D5876">
        <w:rPr>
          <w:noProof/>
          <w:szCs w:val="22"/>
        </w:rPr>
        <w:t>.</w:t>
      </w:r>
    </w:p>
    <w:p w14:paraId="426ACF4F" w14:textId="77777777" w:rsidR="008319CE" w:rsidRDefault="008319CE" w:rsidP="008319CE">
      <w:pPr>
        <w:rPr>
          <w:bCs/>
          <w:lang w:eastAsia="lt-LT"/>
        </w:rPr>
      </w:pPr>
      <w:r>
        <w:rPr>
          <w:bCs/>
          <w:lang w:eastAsia="lt-LT"/>
        </w:rPr>
        <w:t>Žr. 2 skyriuje skyrelį „</w:t>
      </w:r>
      <w:proofErr w:type="spellStart"/>
      <w:r>
        <w:rPr>
          <w:bCs/>
          <w:lang w:eastAsia="lt-LT"/>
        </w:rPr>
        <w:t>Varilrix</w:t>
      </w:r>
      <w:proofErr w:type="spellEnd"/>
      <w:r>
        <w:rPr>
          <w:bCs/>
          <w:lang w:eastAsia="lt-LT"/>
        </w:rPr>
        <w:t xml:space="preserve"> sudėtyje yra </w:t>
      </w:r>
      <w:proofErr w:type="spellStart"/>
      <w:r>
        <w:rPr>
          <w:bCs/>
          <w:lang w:eastAsia="lt-LT"/>
        </w:rPr>
        <w:t>sorbitolio</w:t>
      </w:r>
      <w:proofErr w:type="spellEnd"/>
      <w:r>
        <w:rPr>
          <w:bCs/>
          <w:lang w:eastAsia="lt-LT"/>
        </w:rPr>
        <w:t xml:space="preserve">, </w:t>
      </w:r>
      <w:proofErr w:type="spellStart"/>
      <w:r>
        <w:rPr>
          <w:lang w:eastAsia="lt-LT"/>
        </w:rPr>
        <w:t>fenilalanino</w:t>
      </w:r>
      <w:proofErr w:type="spellEnd"/>
      <w:r>
        <w:rPr>
          <w:lang w:eastAsia="lt-LT"/>
        </w:rPr>
        <w:t xml:space="preserve"> ir </w:t>
      </w:r>
      <w:proofErr w:type="spellStart"/>
      <w:r>
        <w:rPr>
          <w:lang w:eastAsia="lt-LT"/>
        </w:rPr>
        <w:t>prolino</w:t>
      </w:r>
      <w:proofErr w:type="spellEnd"/>
      <w:r>
        <w:rPr>
          <w:lang w:eastAsia="lt-LT"/>
        </w:rPr>
        <w:t>“.</w:t>
      </w:r>
    </w:p>
    <w:p w14:paraId="169FDDFF" w14:textId="77777777" w:rsidR="008319CE" w:rsidRPr="0061121D" w:rsidRDefault="008319CE" w:rsidP="008319CE">
      <w:pPr>
        <w:ind w:left="567" w:hanging="567"/>
        <w:rPr>
          <w:bCs/>
          <w:lang w:eastAsia="lt-LT"/>
        </w:rPr>
      </w:pPr>
    </w:p>
    <w:p w14:paraId="0E144061" w14:textId="77777777" w:rsidR="008319CE" w:rsidRPr="008A1932" w:rsidRDefault="008319CE" w:rsidP="008319CE">
      <w:pPr>
        <w:tabs>
          <w:tab w:val="left" w:pos="567"/>
        </w:tabs>
        <w:ind w:right="-2"/>
        <w:rPr>
          <w:noProof/>
          <w:szCs w:val="22"/>
        </w:rPr>
      </w:pPr>
    </w:p>
    <w:p w14:paraId="39F67A51" w14:textId="77777777" w:rsidR="008319CE" w:rsidRPr="008A1932" w:rsidRDefault="008319CE" w:rsidP="008319CE">
      <w:pPr>
        <w:numPr>
          <w:ilvl w:val="12"/>
          <w:numId w:val="0"/>
        </w:numPr>
        <w:tabs>
          <w:tab w:val="left" w:pos="567"/>
        </w:tabs>
        <w:ind w:right="-2"/>
        <w:rPr>
          <w:szCs w:val="22"/>
        </w:rPr>
      </w:pPr>
      <w:r w:rsidRPr="008A1932">
        <w:rPr>
          <w:b/>
          <w:bCs/>
          <w:noProof/>
          <w:szCs w:val="22"/>
        </w:rPr>
        <w:t>Varilrix išvaizda ir kiekis pakuotėje</w:t>
      </w:r>
    </w:p>
    <w:p w14:paraId="3FBF4E4B" w14:textId="77777777" w:rsidR="008319CE" w:rsidRDefault="008319CE" w:rsidP="008319CE">
      <w:pPr>
        <w:tabs>
          <w:tab w:val="left" w:pos="567"/>
        </w:tabs>
        <w:rPr>
          <w:szCs w:val="22"/>
        </w:rPr>
      </w:pPr>
    </w:p>
    <w:p w14:paraId="292B570F" w14:textId="77777777" w:rsidR="008319CE" w:rsidRDefault="008319CE" w:rsidP="008319CE">
      <w:pPr>
        <w:tabs>
          <w:tab w:val="left" w:pos="567"/>
        </w:tabs>
        <w:rPr>
          <w:szCs w:val="22"/>
        </w:rPr>
      </w:pPr>
      <w:r>
        <w:rPr>
          <w:szCs w:val="22"/>
        </w:rPr>
        <w:t>M</w:t>
      </w:r>
      <w:r w:rsidRPr="008A1932">
        <w:rPr>
          <w:szCs w:val="22"/>
        </w:rPr>
        <w:t xml:space="preserve">ilteliai </w:t>
      </w:r>
      <w:r w:rsidRPr="00A25429">
        <w:rPr>
          <w:szCs w:val="22"/>
        </w:rPr>
        <w:t>ir tirpiklis injekciniam tirpalui</w:t>
      </w:r>
      <w:r>
        <w:rPr>
          <w:szCs w:val="22"/>
        </w:rPr>
        <w:t xml:space="preserve"> </w:t>
      </w:r>
      <w:r w:rsidRPr="00A25429">
        <w:rPr>
          <w:szCs w:val="22"/>
        </w:rPr>
        <w:t>užpildytame švirkšte</w:t>
      </w:r>
      <w:r>
        <w:rPr>
          <w:szCs w:val="22"/>
        </w:rPr>
        <w:t>.</w:t>
      </w:r>
      <w:r w:rsidRPr="008C33F8">
        <w:rPr>
          <w:noProof/>
          <w:szCs w:val="22"/>
        </w:rPr>
        <w:t xml:space="preserve"> </w:t>
      </w:r>
      <w:r>
        <w:rPr>
          <w:noProof/>
          <w:szCs w:val="22"/>
        </w:rPr>
        <w:t>Milteliai yra</w:t>
      </w:r>
      <w:r>
        <w:rPr>
          <w:szCs w:val="22"/>
        </w:rPr>
        <w:t xml:space="preserve"> </w:t>
      </w:r>
      <w:r w:rsidRPr="008A1932">
        <w:rPr>
          <w:szCs w:val="22"/>
        </w:rPr>
        <w:t>šviesiai kreminės, gelsvos ar švelniai rožinės spalvos</w:t>
      </w:r>
      <w:r>
        <w:rPr>
          <w:szCs w:val="22"/>
        </w:rPr>
        <w:t>. Tirpiklis</w:t>
      </w:r>
      <w:r w:rsidRPr="008A1932">
        <w:rPr>
          <w:szCs w:val="22"/>
        </w:rPr>
        <w:t xml:space="preserve"> </w:t>
      </w:r>
      <w:r>
        <w:rPr>
          <w:szCs w:val="22"/>
        </w:rPr>
        <w:t>yra</w:t>
      </w:r>
      <w:r w:rsidRPr="008A1932">
        <w:rPr>
          <w:szCs w:val="22"/>
        </w:rPr>
        <w:t xml:space="preserve"> skaidrus</w:t>
      </w:r>
      <w:r>
        <w:rPr>
          <w:szCs w:val="22"/>
        </w:rPr>
        <w:t>,</w:t>
      </w:r>
      <w:r w:rsidRPr="008A1932">
        <w:rPr>
          <w:szCs w:val="22"/>
        </w:rPr>
        <w:t xml:space="preserve"> bespalvis </w:t>
      </w:r>
      <w:r>
        <w:rPr>
          <w:szCs w:val="22"/>
        </w:rPr>
        <w:t>t</w:t>
      </w:r>
      <w:r w:rsidRPr="008A1932">
        <w:rPr>
          <w:szCs w:val="22"/>
        </w:rPr>
        <w:t>irp</w:t>
      </w:r>
      <w:r>
        <w:rPr>
          <w:szCs w:val="22"/>
        </w:rPr>
        <w:t>ala</w:t>
      </w:r>
      <w:r w:rsidRPr="008A1932">
        <w:rPr>
          <w:szCs w:val="22"/>
        </w:rPr>
        <w:t>s.</w:t>
      </w:r>
    </w:p>
    <w:p w14:paraId="7EB79CAF" w14:textId="77777777" w:rsidR="008319CE" w:rsidRDefault="008319CE" w:rsidP="008319CE">
      <w:pPr>
        <w:tabs>
          <w:tab w:val="left" w:pos="567"/>
        </w:tabs>
        <w:rPr>
          <w:szCs w:val="22"/>
        </w:rPr>
      </w:pPr>
    </w:p>
    <w:p w14:paraId="6502D54A" w14:textId="77777777" w:rsidR="008319CE" w:rsidRDefault="008319CE" w:rsidP="008319CE">
      <w:pPr>
        <w:shd w:val="clear" w:color="auto" w:fill="FFFFFF"/>
        <w:rPr>
          <w:color w:val="000000"/>
          <w:lang w:eastAsia="lt-LT"/>
        </w:rPr>
      </w:pPr>
      <w:proofErr w:type="spellStart"/>
      <w:r>
        <w:rPr>
          <w:color w:val="000000"/>
          <w:lang w:eastAsia="lt-LT"/>
        </w:rPr>
        <w:t>Varilrix</w:t>
      </w:r>
      <w:proofErr w:type="spellEnd"/>
      <w:r>
        <w:rPr>
          <w:color w:val="000000"/>
          <w:lang w:eastAsia="lt-LT"/>
        </w:rPr>
        <w:t xml:space="preserve"> sudaro</w:t>
      </w:r>
    </w:p>
    <w:p w14:paraId="38BD717E" w14:textId="77777777" w:rsidR="008319CE" w:rsidRDefault="008319CE" w:rsidP="008319CE">
      <w:pPr>
        <w:shd w:val="clear" w:color="auto" w:fill="FFFFFF"/>
        <w:rPr>
          <w:color w:val="000000"/>
          <w:lang w:eastAsia="lt-LT"/>
        </w:rPr>
      </w:pPr>
    </w:p>
    <w:p w14:paraId="56B7C10B" w14:textId="77777777" w:rsidR="008319CE" w:rsidRPr="0091479F" w:rsidRDefault="008319CE" w:rsidP="008319CE">
      <w:pPr>
        <w:pStyle w:val="Sraopastraipa"/>
        <w:numPr>
          <w:ilvl w:val="0"/>
          <w:numId w:val="3"/>
        </w:numPr>
        <w:ind w:left="567" w:hanging="567"/>
        <w:rPr>
          <w:szCs w:val="22"/>
        </w:rPr>
      </w:pPr>
      <w:r>
        <w:rPr>
          <w:szCs w:val="22"/>
        </w:rPr>
        <w:t>Stiklo f</w:t>
      </w:r>
      <w:r w:rsidRPr="0091479F">
        <w:rPr>
          <w:szCs w:val="22"/>
        </w:rPr>
        <w:t>lakon</w:t>
      </w:r>
      <w:r>
        <w:rPr>
          <w:szCs w:val="22"/>
        </w:rPr>
        <w:t>as</w:t>
      </w:r>
      <w:r w:rsidRPr="0091479F">
        <w:rPr>
          <w:szCs w:val="22"/>
        </w:rPr>
        <w:t xml:space="preserve">, </w:t>
      </w:r>
      <w:r>
        <w:rPr>
          <w:szCs w:val="22"/>
        </w:rPr>
        <w:t>kuriame yra milteliai vienai dozei.</w:t>
      </w:r>
    </w:p>
    <w:p w14:paraId="6275ADC4" w14:textId="77777777" w:rsidR="008319CE" w:rsidRDefault="008319CE" w:rsidP="008319CE">
      <w:pPr>
        <w:pStyle w:val="Sraopastraipa"/>
        <w:numPr>
          <w:ilvl w:val="0"/>
          <w:numId w:val="3"/>
        </w:numPr>
        <w:ind w:left="567" w:hanging="567"/>
        <w:rPr>
          <w:szCs w:val="22"/>
        </w:rPr>
      </w:pPr>
      <w:r>
        <w:rPr>
          <w:szCs w:val="22"/>
        </w:rPr>
        <w:t>U</w:t>
      </w:r>
      <w:r w:rsidRPr="0091479F">
        <w:rPr>
          <w:szCs w:val="22"/>
        </w:rPr>
        <w:t>žpildyta</w:t>
      </w:r>
      <w:r>
        <w:rPr>
          <w:szCs w:val="22"/>
        </w:rPr>
        <w:t>s</w:t>
      </w:r>
      <w:r w:rsidRPr="0091479F">
        <w:rPr>
          <w:szCs w:val="22"/>
        </w:rPr>
        <w:t xml:space="preserve"> švirkšt</w:t>
      </w:r>
      <w:r>
        <w:rPr>
          <w:szCs w:val="22"/>
        </w:rPr>
        <w:t>as</w:t>
      </w:r>
      <w:r w:rsidRPr="0091479F">
        <w:rPr>
          <w:szCs w:val="22"/>
        </w:rPr>
        <w:t xml:space="preserve">, </w:t>
      </w:r>
      <w:r>
        <w:rPr>
          <w:szCs w:val="22"/>
        </w:rPr>
        <w:t>kuriame yra tirpiklio vienai dozei.</w:t>
      </w:r>
    </w:p>
    <w:p w14:paraId="5798322F" w14:textId="77777777" w:rsidR="008319CE" w:rsidRDefault="008319CE" w:rsidP="008319CE">
      <w:pPr>
        <w:rPr>
          <w:szCs w:val="22"/>
        </w:rPr>
      </w:pPr>
    </w:p>
    <w:p w14:paraId="04CA2A31" w14:textId="77777777" w:rsidR="008319CE" w:rsidRDefault="008319CE" w:rsidP="008319CE">
      <w:pPr>
        <w:shd w:val="clear" w:color="auto" w:fill="FFFFFF"/>
        <w:rPr>
          <w:color w:val="000000"/>
          <w:lang w:eastAsia="lt-LT"/>
        </w:rPr>
      </w:pPr>
      <w:r>
        <w:rPr>
          <w:color w:val="000000"/>
        </w:rPr>
        <w:t>P</w:t>
      </w:r>
      <w:r>
        <w:t>akuotėje yra</w:t>
      </w:r>
      <w:r w:rsidRPr="00E149F6">
        <w:t xml:space="preserve"> </w:t>
      </w:r>
      <w:r>
        <w:t xml:space="preserve">po </w:t>
      </w:r>
      <w:r w:rsidRPr="00E149F6">
        <w:t xml:space="preserve">1 </w:t>
      </w:r>
      <w:r>
        <w:t>arba</w:t>
      </w:r>
      <w:r w:rsidRPr="00E149F6">
        <w:t xml:space="preserve"> </w:t>
      </w:r>
      <w:r>
        <w:t xml:space="preserve">po </w:t>
      </w:r>
      <w:r w:rsidRPr="00E149F6">
        <w:t>10</w:t>
      </w:r>
      <w:r>
        <w:t> </w:t>
      </w:r>
      <w:r>
        <w:rPr>
          <w:lang w:eastAsia="lt-LT"/>
        </w:rPr>
        <w:t>flakonų</w:t>
      </w:r>
      <w:r w:rsidRPr="008711D1">
        <w:rPr>
          <w:lang w:eastAsia="lt-LT"/>
        </w:rPr>
        <w:t xml:space="preserve"> ir užpildytų švirkštų</w:t>
      </w:r>
      <w:r>
        <w:t xml:space="preserve"> su</w:t>
      </w:r>
      <w:r w:rsidRPr="00E149F6">
        <w:t xml:space="preserve"> </w:t>
      </w:r>
      <w:r>
        <w:t xml:space="preserve">1 arba </w:t>
      </w:r>
      <w:r w:rsidRPr="00E149F6">
        <w:t xml:space="preserve">2 </w:t>
      </w:r>
      <w:r>
        <w:t>atskiromis</w:t>
      </w:r>
      <w:r w:rsidRPr="00E149F6">
        <w:t xml:space="preserve"> </w:t>
      </w:r>
      <w:r>
        <w:t>adatomi</w:t>
      </w:r>
      <w:r w:rsidRPr="00E149F6">
        <w:t>s</w:t>
      </w:r>
      <w:r>
        <w:t xml:space="preserve"> arba be</w:t>
      </w:r>
      <w:r w:rsidRPr="00E149F6">
        <w:t xml:space="preserve"> </w:t>
      </w:r>
      <w:r>
        <w:t>adatų.</w:t>
      </w:r>
    </w:p>
    <w:p w14:paraId="5AC1499B" w14:textId="77777777" w:rsidR="008319CE" w:rsidRPr="008A1932" w:rsidRDefault="008319CE" w:rsidP="008319CE">
      <w:pPr>
        <w:tabs>
          <w:tab w:val="left" w:pos="567"/>
        </w:tabs>
        <w:rPr>
          <w:szCs w:val="22"/>
        </w:rPr>
      </w:pPr>
    </w:p>
    <w:p w14:paraId="443194CD" w14:textId="77777777" w:rsidR="008319CE" w:rsidRPr="008A1932" w:rsidRDefault="008319CE" w:rsidP="008319CE">
      <w:pPr>
        <w:rPr>
          <w:szCs w:val="22"/>
        </w:rPr>
      </w:pPr>
      <w:r w:rsidRPr="008A1932">
        <w:rPr>
          <w:szCs w:val="22"/>
        </w:rPr>
        <w:t>Gali būti tiekiamos ne visų dydžių pakuotės.</w:t>
      </w:r>
    </w:p>
    <w:p w14:paraId="3D265FFA" w14:textId="77777777" w:rsidR="008319CE" w:rsidRPr="008A1932" w:rsidRDefault="008319CE" w:rsidP="008319CE">
      <w:pPr>
        <w:numPr>
          <w:ilvl w:val="12"/>
          <w:numId w:val="0"/>
        </w:numPr>
        <w:tabs>
          <w:tab w:val="left" w:pos="567"/>
        </w:tabs>
        <w:ind w:right="-2"/>
        <w:rPr>
          <w:noProof/>
          <w:szCs w:val="22"/>
          <w:highlight w:val="lightGray"/>
        </w:rPr>
      </w:pPr>
    </w:p>
    <w:p w14:paraId="043CDC0E" w14:textId="77777777" w:rsidR="008319CE" w:rsidRPr="008A1932" w:rsidRDefault="008319CE" w:rsidP="008319CE">
      <w:pPr>
        <w:keepNext/>
        <w:numPr>
          <w:ilvl w:val="12"/>
          <w:numId w:val="0"/>
        </w:numPr>
        <w:tabs>
          <w:tab w:val="left" w:pos="567"/>
        </w:tabs>
        <w:rPr>
          <w:noProof/>
          <w:szCs w:val="22"/>
        </w:rPr>
      </w:pPr>
      <w:r w:rsidRPr="008A1932">
        <w:rPr>
          <w:b/>
          <w:noProof/>
          <w:szCs w:val="22"/>
        </w:rPr>
        <w:t>Registruotojas ir gamintojas</w:t>
      </w:r>
    </w:p>
    <w:p w14:paraId="2DD2BD95" w14:textId="77777777" w:rsidR="008319CE" w:rsidRPr="008A1932" w:rsidRDefault="008319CE" w:rsidP="008319CE">
      <w:pPr>
        <w:keepNext/>
      </w:pPr>
      <w:proofErr w:type="spellStart"/>
      <w:r w:rsidRPr="008A1932">
        <w:t>GlaxoSmithKline</w:t>
      </w:r>
      <w:proofErr w:type="spellEnd"/>
      <w:r w:rsidRPr="008A1932">
        <w:t xml:space="preserve"> </w:t>
      </w:r>
      <w:proofErr w:type="spellStart"/>
      <w:r w:rsidRPr="008A1932">
        <w:t>Biologicals</w:t>
      </w:r>
      <w:proofErr w:type="spellEnd"/>
      <w:r w:rsidRPr="008A1932">
        <w:t xml:space="preserve"> SA</w:t>
      </w:r>
    </w:p>
    <w:p w14:paraId="08BFD553" w14:textId="77777777" w:rsidR="008319CE" w:rsidRPr="008A1932" w:rsidRDefault="008319CE" w:rsidP="008319CE">
      <w:pPr>
        <w:keepNext/>
      </w:pPr>
      <w:proofErr w:type="spellStart"/>
      <w:r w:rsidRPr="008A1932">
        <w:t>Rue</w:t>
      </w:r>
      <w:proofErr w:type="spellEnd"/>
      <w:r w:rsidRPr="008A1932">
        <w:t xml:space="preserve"> de </w:t>
      </w:r>
      <w:proofErr w:type="spellStart"/>
      <w:r w:rsidRPr="008A1932">
        <w:t>l'Institut</w:t>
      </w:r>
      <w:proofErr w:type="spellEnd"/>
      <w:r w:rsidRPr="008A1932">
        <w:t xml:space="preserve"> 89, </w:t>
      </w:r>
    </w:p>
    <w:p w14:paraId="42677C9C" w14:textId="77777777" w:rsidR="008319CE" w:rsidRPr="008A1932" w:rsidRDefault="008319CE" w:rsidP="008319CE">
      <w:r w:rsidRPr="008A1932">
        <w:t xml:space="preserve">B-1330 </w:t>
      </w:r>
      <w:proofErr w:type="spellStart"/>
      <w:r w:rsidRPr="008A1932">
        <w:t>Rixensart</w:t>
      </w:r>
      <w:proofErr w:type="spellEnd"/>
      <w:r w:rsidRPr="008A1932">
        <w:t xml:space="preserve">, </w:t>
      </w:r>
    </w:p>
    <w:p w14:paraId="17245400" w14:textId="77777777" w:rsidR="008319CE" w:rsidRPr="008A1932" w:rsidRDefault="008319CE" w:rsidP="008319CE">
      <w:pPr>
        <w:ind w:left="709" w:hanging="709"/>
        <w:jc w:val="both"/>
        <w:rPr>
          <w:szCs w:val="22"/>
        </w:rPr>
      </w:pPr>
      <w:r w:rsidRPr="008A1932">
        <w:t>Belgija</w:t>
      </w:r>
      <w:r w:rsidRPr="008A1932">
        <w:rPr>
          <w:szCs w:val="22"/>
        </w:rPr>
        <w:t xml:space="preserve"> </w:t>
      </w:r>
    </w:p>
    <w:p w14:paraId="67B749FB" w14:textId="77777777" w:rsidR="008319CE" w:rsidRDefault="008319CE" w:rsidP="008319CE">
      <w:pPr>
        <w:tabs>
          <w:tab w:val="left" w:pos="567"/>
        </w:tabs>
        <w:rPr>
          <w:szCs w:val="22"/>
          <w:highlight w:val="lightGray"/>
        </w:rPr>
      </w:pPr>
    </w:p>
    <w:p w14:paraId="7D9E150C" w14:textId="77777777" w:rsidR="008319CE" w:rsidRPr="00C15D04" w:rsidRDefault="008319CE" w:rsidP="008319CE">
      <w:pPr>
        <w:tabs>
          <w:tab w:val="left" w:pos="567"/>
        </w:tabs>
        <w:rPr>
          <w:b/>
          <w:bCs/>
          <w:szCs w:val="22"/>
        </w:rPr>
      </w:pPr>
      <w:r w:rsidRPr="00C15D04">
        <w:rPr>
          <w:b/>
          <w:bCs/>
          <w:szCs w:val="22"/>
        </w:rPr>
        <w:lastRenderedPageBreak/>
        <w:t>Šis vaistas Europos ekonominės erdvės valstybėse narėse registruotas tokiais pavadinimais:</w:t>
      </w:r>
    </w:p>
    <w:p w14:paraId="349A58A8" w14:textId="77777777" w:rsidR="008319CE" w:rsidRDefault="008319CE" w:rsidP="008319CE">
      <w:pPr>
        <w:tabs>
          <w:tab w:val="left" w:pos="567"/>
        </w:tabs>
        <w:rPr>
          <w:szCs w:val="22"/>
        </w:rPr>
      </w:pPr>
    </w:p>
    <w:tbl>
      <w:tblPr>
        <w:tblStyle w:val="Lentelstinklelis"/>
        <w:tblW w:w="5000" w:type="pct"/>
        <w:tblLook w:val="04A0" w:firstRow="1" w:lastRow="0" w:firstColumn="1" w:lastColumn="0" w:noHBand="0" w:noVBand="1"/>
      </w:tblPr>
      <w:tblGrid>
        <w:gridCol w:w="4530"/>
        <w:gridCol w:w="4530"/>
      </w:tblGrid>
      <w:tr w:rsidR="008319CE" w14:paraId="784E76D6" w14:textId="77777777" w:rsidTr="009326E2">
        <w:tc>
          <w:tcPr>
            <w:tcW w:w="2500" w:type="pct"/>
          </w:tcPr>
          <w:p w14:paraId="20480312" w14:textId="77777777" w:rsidR="008319CE" w:rsidRPr="00D92B3D" w:rsidRDefault="008319CE" w:rsidP="009326E2">
            <w:pPr>
              <w:tabs>
                <w:tab w:val="left" w:pos="720"/>
                <w:tab w:val="right" w:pos="8820"/>
              </w:tabs>
              <w:rPr>
                <w:b/>
                <w:bCs/>
                <w:sz w:val="22"/>
                <w:szCs w:val="22"/>
                <w:lang w:val="lt-LT"/>
              </w:rPr>
            </w:pPr>
            <w:r w:rsidRPr="0011151C">
              <w:rPr>
                <w:sz w:val="22"/>
                <w:szCs w:val="22"/>
                <w:lang w:val="lt-LT"/>
              </w:rPr>
              <w:t>Austrija, Belgija, Kipras, Čekija, Danija, Estija, Suomija, Prancūzija, Vokietija, Graikija, Vengrija, Islandija, Italija, Liuksemburgas, Malta, Norvegija, Lenkija, Portugalija, Rumunija, Švedija</w:t>
            </w:r>
          </w:p>
        </w:tc>
        <w:tc>
          <w:tcPr>
            <w:tcW w:w="2500" w:type="pct"/>
          </w:tcPr>
          <w:p w14:paraId="05AA7B72" w14:textId="77777777" w:rsidR="008319CE" w:rsidRPr="00D92B3D" w:rsidRDefault="008319CE" w:rsidP="009326E2">
            <w:pPr>
              <w:tabs>
                <w:tab w:val="left" w:pos="720"/>
                <w:tab w:val="right" w:pos="8820"/>
              </w:tabs>
              <w:jc w:val="both"/>
              <w:rPr>
                <w:b/>
                <w:bCs/>
                <w:sz w:val="22"/>
                <w:szCs w:val="22"/>
                <w:lang w:val="en-US"/>
              </w:rPr>
            </w:pPr>
            <w:r w:rsidRPr="00D92B3D">
              <w:rPr>
                <w:sz w:val="22"/>
                <w:szCs w:val="22"/>
              </w:rPr>
              <w:t>VARILRIX</w:t>
            </w:r>
          </w:p>
        </w:tc>
      </w:tr>
      <w:tr w:rsidR="008319CE" w14:paraId="501F504A" w14:textId="77777777" w:rsidTr="009326E2">
        <w:tc>
          <w:tcPr>
            <w:tcW w:w="2500" w:type="pct"/>
          </w:tcPr>
          <w:p w14:paraId="7531F94F" w14:textId="77777777" w:rsidR="008319CE" w:rsidRPr="00D92B3D" w:rsidRDefault="008319CE" w:rsidP="009326E2">
            <w:pPr>
              <w:tabs>
                <w:tab w:val="left" w:pos="720"/>
                <w:tab w:val="right" w:pos="8820"/>
              </w:tabs>
              <w:jc w:val="both"/>
              <w:rPr>
                <w:sz w:val="22"/>
                <w:szCs w:val="22"/>
                <w:lang w:val="en-US"/>
              </w:rPr>
            </w:pPr>
            <w:proofErr w:type="spellStart"/>
            <w:r>
              <w:rPr>
                <w:sz w:val="22"/>
                <w:szCs w:val="22"/>
                <w:lang w:val="en-US"/>
              </w:rPr>
              <w:t>Latvija</w:t>
            </w:r>
            <w:proofErr w:type="spellEnd"/>
          </w:p>
        </w:tc>
        <w:tc>
          <w:tcPr>
            <w:tcW w:w="2500" w:type="pct"/>
          </w:tcPr>
          <w:p w14:paraId="1936386C" w14:textId="77777777" w:rsidR="008319CE" w:rsidRPr="00D92B3D" w:rsidRDefault="008319CE" w:rsidP="009326E2">
            <w:pPr>
              <w:tabs>
                <w:tab w:val="left" w:pos="720"/>
                <w:tab w:val="right" w:pos="8820"/>
              </w:tabs>
              <w:jc w:val="both"/>
              <w:rPr>
                <w:sz w:val="22"/>
                <w:szCs w:val="22"/>
                <w:lang w:val="en-US"/>
              </w:rPr>
            </w:pPr>
            <w:proofErr w:type="spellStart"/>
            <w:r w:rsidRPr="00D92B3D">
              <w:rPr>
                <w:sz w:val="22"/>
                <w:szCs w:val="22"/>
                <w:lang w:val="en-US"/>
              </w:rPr>
              <w:t>Varilrix</w:t>
            </w:r>
            <w:proofErr w:type="spellEnd"/>
            <w:r w:rsidRPr="00D92B3D">
              <w:rPr>
                <w:sz w:val="22"/>
                <w:szCs w:val="22"/>
                <w:lang w:val="en-US"/>
              </w:rPr>
              <w:t xml:space="preserve"> </w:t>
            </w:r>
            <w:proofErr w:type="spellStart"/>
            <w:r w:rsidRPr="00D92B3D">
              <w:rPr>
                <w:sz w:val="22"/>
                <w:szCs w:val="22"/>
                <w:lang w:val="en-US"/>
              </w:rPr>
              <w:t>pulveris</w:t>
            </w:r>
            <w:proofErr w:type="spellEnd"/>
            <w:r w:rsidRPr="00D92B3D">
              <w:rPr>
                <w:sz w:val="22"/>
                <w:szCs w:val="22"/>
                <w:lang w:val="en-US"/>
              </w:rPr>
              <w:t xml:space="preserve"> un </w:t>
            </w:r>
            <w:proofErr w:type="spellStart"/>
            <w:r w:rsidRPr="00D92B3D">
              <w:rPr>
                <w:sz w:val="22"/>
                <w:szCs w:val="22"/>
                <w:lang w:val="en-US"/>
              </w:rPr>
              <w:t>šķīdinātājs</w:t>
            </w:r>
            <w:proofErr w:type="spellEnd"/>
            <w:r w:rsidRPr="00D92B3D">
              <w:rPr>
                <w:sz w:val="22"/>
                <w:szCs w:val="22"/>
                <w:lang w:val="en-US"/>
              </w:rPr>
              <w:t xml:space="preserve"> </w:t>
            </w:r>
            <w:proofErr w:type="spellStart"/>
            <w:r w:rsidRPr="00D92B3D">
              <w:rPr>
                <w:sz w:val="22"/>
                <w:szCs w:val="22"/>
                <w:lang w:val="en-US"/>
              </w:rPr>
              <w:t>injekciju</w:t>
            </w:r>
            <w:proofErr w:type="spellEnd"/>
            <w:r w:rsidRPr="00D92B3D">
              <w:rPr>
                <w:sz w:val="22"/>
                <w:szCs w:val="22"/>
                <w:lang w:val="en-US"/>
              </w:rPr>
              <w:t xml:space="preserve"> </w:t>
            </w:r>
            <w:proofErr w:type="spellStart"/>
            <w:r w:rsidRPr="00D92B3D">
              <w:rPr>
                <w:sz w:val="22"/>
                <w:szCs w:val="22"/>
                <w:lang w:val="en-US"/>
              </w:rPr>
              <w:t>šķīduma</w:t>
            </w:r>
            <w:proofErr w:type="spellEnd"/>
            <w:r w:rsidRPr="00D92B3D">
              <w:rPr>
                <w:sz w:val="22"/>
                <w:szCs w:val="22"/>
                <w:lang w:val="en-US"/>
              </w:rPr>
              <w:t xml:space="preserve"> </w:t>
            </w:r>
            <w:proofErr w:type="spellStart"/>
            <w:r w:rsidRPr="00D92B3D">
              <w:rPr>
                <w:sz w:val="22"/>
                <w:szCs w:val="22"/>
                <w:lang w:val="en-US"/>
              </w:rPr>
              <w:t>pagatavošanai</w:t>
            </w:r>
            <w:proofErr w:type="spellEnd"/>
            <w:r w:rsidRPr="00D92B3D">
              <w:rPr>
                <w:sz w:val="22"/>
                <w:szCs w:val="22"/>
                <w:lang w:val="en-US"/>
              </w:rPr>
              <w:t xml:space="preserve"> </w:t>
            </w:r>
            <w:proofErr w:type="spellStart"/>
            <w:r w:rsidRPr="00D92B3D">
              <w:rPr>
                <w:sz w:val="22"/>
                <w:szCs w:val="22"/>
                <w:lang w:val="en-US"/>
              </w:rPr>
              <w:t>pilnšļircē</w:t>
            </w:r>
            <w:proofErr w:type="spellEnd"/>
          </w:p>
        </w:tc>
      </w:tr>
      <w:tr w:rsidR="008319CE" w:rsidRPr="009A54F7" w14:paraId="6E83CB8D" w14:textId="77777777" w:rsidTr="009326E2">
        <w:tc>
          <w:tcPr>
            <w:tcW w:w="2500" w:type="pct"/>
          </w:tcPr>
          <w:p w14:paraId="5C58048B" w14:textId="77777777" w:rsidR="008319CE" w:rsidRPr="00D92B3D" w:rsidRDefault="008319CE" w:rsidP="009326E2">
            <w:pPr>
              <w:tabs>
                <w:tab w:val="left" w:pos="720"/>
                <w:tab w:val="right" w:pos="8820"/>
              </w:tabs>
              <w:jc w:val="both"/>
              <w:rPr>
                <w:b/>
                <w:bCs/>
                <w:sz w:val="22"/>
                <w:szCs w:val="22"/>
                <w:lang w:val="pl-PL"/>
              </w:rPr>
            </w:pPr>
            <w:r>
              <w:rPr>
                <w:sz w:val="22"/>
                <w:szCs w:val="22"/>
                <w:lang w:val="en-US"/>
              </w:rPr>
              <w:t>Lietuva</w:t>
            </w:r>
          </w:p>
        </w:tc>
        <w:tc>
          <w:tcPr>
            <w:tcW w:w="2500" w:type="pct"/>
          </w:tcPr>
          <w:p w14:paraId="37B32449" w14:textId="77777777" w:rsidR="008319CE" w:rsidRPr="00D92B3D" w:rsidRDefault="008319CE" w:rsidP="009326E2">
            <w:pPr>
              <w:tabs>
                <w:tab w:val="left" w:pos="720"/>
                <w:tab w:val="right" w:pos="8820"/>
              </w:tabs>
              <w:jc w:val="both"/>
              <w:rPr>
                <w:b/>
                <w:bCs/>
                <w:sz w:val="22"/>
                <w:szCs w:val="22"/>
                <w:lang w:val="pl-PL"/>
              </w:rPr>
            </w:pPr>
            <w:proofErr w:type="spellStart"/>
            <w:r w:rsidRPr="00D92B3D">
              <w:rPr>
                <w:sz w:val="22"/>
                <w:szCs w:val="22"/>
                <w:lang w:val="pl-PL"/>
              </w:rPr>
              <w:t>Varilrix</w:t>
            </w:r>
            <w:proofErr w:type="spellEnd"/>
            <w:r w:rsidRPr="00D92B3D">
              <w:rPr>
                <w:sz w:val="22"/>
                <w:szCs w:val="22"/>
                <w:lang w:val="pl-PL"/>
              </w:rPr>
              <w:t xml:space="preserve"> </w:t>
            </w:r>
            <w:proofErr w:type="spellStart"/>
            <w:r w:rsidRPr="00D92B3D">
              <w:rPr>
                <w:sz w:val="22"/>
                <w:szCs w:val="22"/>
                <w:lang w:val="pl-PL"/>
              </w:rPr>
              <w:t>milteliai</w:t>
            </w:r>
            <w:proofErr w:type="spellEnd"/>
            <w:r w:rsidRPr="00D92B3D">
              <w:rPr>
                <w:sz w:val="22"/>
                <w:szCs w:val="22"/>
                <w:lang w:val="pl-PL"/>
              </w:rPr>
              <w:t xml:space="preserve"> </w:t>
            </w:r>
            <w:proofErr w:type="spellStart"/>
            <w:r w:rsidRPr="00D92B3D">
              <w:rPr>
                <w:sz w:val="22"/>
                <w:szCs w:val="22"/>
                <w:lang w:val="pl-PL"/>
              </w:rPr>
              <w:t>ir</w:t>
            </w:r>
            <w:proofErr w:type="spellEnd"/>
            <w:r w:rsidRPr="00D92B3D">
              <w:rPr>
                <w:sz w:val="22"/>
                <w:szCs w:val="22"/>
                <w:lang w:val="pl-PL"/>
              </w:rPr>
              <w:t xml:space="preserve"> </w:t>
            </w:r>
            <w:proofErr w:type="spellStart"/>
            <w:r w:rsidRPr="00D92B3D">
              <w:rPr>
                <w:sz w:val="22"/>
                <w:szCs w:val="22"/>
                <w:lang w:val="pl-PL"/>
              </w:rPr>
              <w:t>tirpiklis</w:t>
            </w:r>
            <w:proofErr w:type="spellEnd"/>
            <w:r w:rsidRPr="00D92B3D">
              <w:rPr>
                <w:sz w:val="22"/>
                <w:szCs w:val="22"/>
                <w:lang w:val="pl-PL"/>
              </w:rPr>
              <w:t xml:space="preserve"> </w:t>
            </w:r>
            <w:proofErr w:type="spellStart"/>
            <w:r w:rsidRPr="00D92B3D">
              <w:rPr>
                <w:sz w:val="22"/>
                <w:szCs w:val="22"/>
                <w:lang w:val="pl-PL"/>
              </w:rPr>
              <w:t>injekciniam</w:t>
            </w:r>
            <w:proofErr w:type="spellEnd"/>
            <w:r w:rsidRPr="00D92B3D">
              <w:rPr>
                <w:sz w:val="22"/>
                <w:szCs w:val="22"/>
                <w:lang w:val="pl-PL"/>
              </w:rPr>
              <w:t xml:space="preserve"> </w:t>
            </w:r>
            <w:proofErr w:type="spellStart"/>
            <w:r w:rsidRPr="00D92B3D">
              <w:rPr>
                <w:sz w:val="22"/>
                <w:szCs w:val="22"/>
                <w:lang w:val="pl-PL"/>
              </w:rPr>
              <w:t>tirpalui</w:t>
            </w:r>
            <w:proofErr w:type="spellEnd"/>
            <w:r w:rsidRPr="00D92B3D">
              <w:rPr>
                <w:sz w:val="22"/>
                <w:szCs w:val="22"/>
                <w:lang w:val="pl-PL"/>
              </w:rPr>
              <w:t xml:space="preserve"> </w:t>
            </w:r>
            <w:proofErr w:type="spellStart"/>
            <w:r w:rsidRPr="00D92B3D">
              <w:rPr>
                <w:sz w:val="22"/>
                <w:szCs w:val="22"/>
                <w:lang w:val="pl-PL"/>
              </w:rPr>
              <w:t>užpildytame</w:t>
            </w:r>
            <w:proofErr w:type="spellEnd"/>
            <w:r w:rsidRPr="00D92B3D">
              <w:rPr>
                <w:sz w:val="22"/>
                <w:szCs w:val="22"/>
                <w:lang w:val="pl-PL"/>
              </w:rPr>
              <w:t xml:space="preserve"> </w:t>
            </w:r>
            <w:proofErr w:type="spellStart"/>
            <w:r w:rsidRPr="00D92B3D">
              <w:rPr>
                <w:sz w:val="22"/>
                <w:szCs w:val="22"/>
                <w:lang w:val="pl-PL"/>
              </w:rPr>
              <w:t>švirkšte</w:t>
            </w:r>
            <w:proofErr w:type="spellEnd"/>
          </w:p>
        </w:tc>
      </w:tr>
      <w:tr w:rsidR="008319CE" w:rsidRPr="009A54F7" w14:paraId="5E7CB05F" w14:textId="77777777" w:rsidTr="009326E2">
        <w:tc>
          <w:tcPr>
            <w:tcW w:w="2500" w:type="pct"/>
          </w:tcPr>
          <w:p w14:paraId="5124C18E" w14:textId="77777777" w:rsidR="008319CE" w:rsidRPr="00D92B3D" w:rsidRDefault="008319CE" w:rsidP="009326E2">
            <w:pPr>
              <w:tabs>
                <w:tab w:val="left" w:pos="720"/>
                <w:tab w:val="right" w:pos="8820"/>
              </w:tabs>
              <w:jc w:val="both"/>
              <w:rPr>
                <w:b/>
                <w:bCs/>
                <w:sz w:val="22"/>
                <w:szCs w:val="22"/>
                <w:lang w:val="en-US"/>
              </w:rPr>
            </w:pPr>
            <w:proofErr w:type="spellStart"/>
            <w:r>
              <w:rPr>
                <w:sz w:val="22"/>
                <w:szCs w:val="22"/>
                <w:lang w:val="en-US"/>
              </w:rPr>
              <w:t>Ispanija</w:t>
            </w:r>
            <w:proofErr w:type="spellEnd"/>
          </w:p>
        </w:tc>
        <w:tc>
          <w:tcPr>
            <w:tcW w:w="2500" w:type="pct"/>
          </w:tcPr>
          <w:p w14:paraId="0A223CA1" w14:textId="77777777" w:rsidR="008319CE" w:rsidRPr="00D92B3D" w:rsidRDefault="008319CE" w:rsidP="009326E2">
            <w:pPr>
              <w:tabs>
                <w:tab w:val="left" w:pos="720"/>
                <w:tab w:val="right" w:pos="8820"/>
              </w:tabs>
              <w:jc w:val="both"/>
              <w:rPr>
                <w:b/>
                <w:bCs/>
                <w:sz w:val="22"/>
                <w:szCs w:val="22"/>
                <w:lang w:val="es-ES"/>
              </w:rPr>
            </w:pPr>
            <w:r w:rsidRPr="00D92B3D">
              <w:rPr>
                <w:sz w:val="22"/>
                <w:szCs w:val="22"/>
                <w:lang w:val="es-ES"/>
              </w:rPr>
              <w:t>VARILRIX polvo y disolvente para solución inyectable en jeringa precargada</w:t>
            </w:r>
          </w:p>
        </w:tc>
      </w:tr>
    </w:tbl>
    <w:p w14:paraId="70871C14" w14:textId="77777777" w:rsidR="008319CE" w:rsidRDefault="008319CE" w:rsidP="008319CE">
      <w:pPr>
        <w:tabs>
          <w:tab w:val="left" w:pos="567"/>
        </w:tabs>
        <w:rPr>
          <w:szCs w:val="22"/>
        </w:rPr>
      </w:pPr>
    </w:p>
    <w:p w14:paraId="0A4D16DE" w14:textId="77777777" w:rsidR="008319CE" w:rsidRPr="008A1932" w:rsidRDefault="008319CE" w:rsidP="008319CE">
      <w:pPr>
        <w:pStyle w:val="Antrat4"/>
        <w:rPr>
          <w:szCs w:val="22"/>
        </w:rPr>
      </w:pPr>
      <w:r w:rsidRPr="008A1932">
        <w:rPr>
          <w:szCs w:val="22"/>
        </w:rPr>
        <w:t>Šis pakuotės lapelis paskutinį kartą peržiūrėtas</w:t>
      </w:r>
      <w:r>
        <w:rPr>
          <w:szCs w:val="22"/>
        </w:rPr>
        <w:t xml:space="preserve"> 2026-04-01.</w:t>
      </w:r>
    </w:p>
    <w:p w14:paraId="4A72EFD4" w14:textId="77777777" w:rsidR="008319CE" w:rsidRPr="008A1932" w:rsidRDefault="008319CE" w:rsidP="008319CE">
      <w:pPr>
        <w:tabs>
          <w:tab w:val="left" w:pos="567"/>
        </w:tabs>
        <w:rPr>
          <w:szCs w:val="22"/>
          <w:highlight w:val="lightGray"/>
        </w:rPr>
      </w:pPr>
    </w:p>
    <w:p w14:paraId="36678629" w14:textId="77777777" w:rsidR="008319CE" w:rsidRPr="008A1932" w:rsidRDefault="008319CE" w:rsidP="008319CE">
      <w:pPr>
        <w:numPr>
          <w:ilvl w:val="12"/>
          <w:numId w:val="0"/>
        </w:numPr>
        <w:ind w:right="-2"/>
        <w:rPr>
          <w:b/>
        </w:rPr>
      </w:pPr>
      <w:r w:rsidRPr="008A1932">
        <w:rPr>
          <w:b/>
        </w:rPr>
        <w:t>Kiti informacijos šaltiniai</w:t>
      </w:r>
    </w:p>
    <w:p w14:paraId="3C92AD2F" w14:textId="77777777" w:rsidR="008319CE" w:rsidRPr="00095B61" w:rsidRDefault="008319CE" w:rsidP="008319CE">
      <w:pPr>
        <w:numPr>
          <w:ilvl w:val="12"/>
          <w:numId w:val="0"/>
        </w:numPr>
        <w:ind w:right="-2"/>
      </w:pPr>
      <w:r w:rsidRPr="005B20CA">
        <w:t xml:space="preserve">Išsami informacija apie šį vaistą pateikiama Valstybinės vaistų kontrolės tarnybos prie Lietuvos Respublikos sveikatos apsaugos ministerijos tinklalapyje </w:t>
      </w:r>
      <w:hyperlink r:id="rId6" w:history="1">
        <w:r w:rsidRPr="00C24E4D">
          <w:rPr>
            <w:rStyle w:val="Hipersaitas"/>
          </w:rPr>
          <w:t>https://vvkt.lrv.lt/lt/</w:t>
        </w:r>
      </w:hyperlink>
      <w:r>
        <w:t>.</w:t>
      </w:r>
    </w:p>
    <w:p w14:paraId="620AB931" w14:textId="77777777" w:rsidR="008319CE" w:rsidRPr="008A1932" w:rsidRDefault="008319CE" w:rsidP="008319CE">
      <w:pPr>
        <w:numPr>
          <w:ilvl w:val="12"/>
          <w:numId w:val="0"/>
        </w:numPr>
        <w:ind w:right="-2"/>
      </w:pPr>
      <w:r w:rsidRPr="008A1932">
        <w:t>------------------------------------------------------------------------------------------------------------------------</w:t>
      </w:r>
    </w:p>
    <w:p w14:paraId="506F73D4" w14:textId="77777777" w:rsidR="008319CE" w:rsidRPr="008A1932" w:rsidRDefault="008319CE" w:rsidP="008319CE">
      <w:pPr>
        <w:ind w:left="567" w:hanging="567"/>
      </w:pPr>
      <w:r w:rsidRPr="008A1932">
        <w:rPr>
          <w:szCs w:val="22"/>
        </w:rPr>
        <w:t>Toliau</w:t>
      </w:r>
      <w:r w:rsidRPr="008A1932">
        <w:t xml:space="preserve"> pateikta informacija skirta tik sveikatos priežiūros specialistams.</w:t>
      </w:r>
    </w:p>
    <w:p w14:paraId="5EBB5C7D" w14:textId="77777777" w:rsidR="008319CE" w:rsidRPr="008A1932" w:rsidRDefault="008319CE" w:rsidP="008319CE">
      <w:pPr>
        <w:numPr>
          <w:ilvl w:val="12"/>
          <w:numId w:val="0"/>
        </w:numPr>
        <w:tabs>
          <w:tab w:val="left" w:pos="567"/>
        </w:tabs>
        <w:ind w:right="-2"/>
        <w:rPr>
          <w:noProof/>
          <w:szCs w:val="22"/>
        </w:rPr>
      </w:pPr>
    </w:p>
    <w:p w14:paraId="54D80465" w14:textId="77777777" w:rsidR="008319CE" w:rsidRPr="008A1932" w:rsidRDefault="008319CE" w:rsidP="008319CE">
      <w:r w:rsidRPr="008A1932">
        <w:t>Kaip ir vartojant visas injekcines vakcinas, visada turi būti lengvai prieinamos medicininės gydymo ir priežiūros priemonės tam atvejui, jeigu po vakcinos suleidimo pasireikštų retai pasitaikanti anafilaksinė reakcija.</w:t>
      </w:r>
    </w:p>
    <w:p w14:paraId="7E2D807D" w14:textId="77777777" w:rsidR="008319CE" w:rsidRPr="008A1932" w:rsidRDefault="008319CE" w:rsidP="008319CE">
      <w:pPr>
        <w:tabs>
          <w:tab w:val="left" w:pos="567"/>
        </w:tabs>
        <w:rPr>
          <w:szCs w:val="22"/>
        </w:rPr>
      </w:pPr>
    </w:p>
    <w:p w14:paraId="32A72788" w14:textId="77777777" w:rsidR="008319CE" w:rsidRPr="008A1932" w:rsidRDefault="008319CE" w:rsidP="008319CE">
      <w:pPr>
        <w:tabs>
          <w:tab w:val="left" w:pos="567"/>
        </w:tabs>
        <w:rPr>
          <w:szCs w:val="22"/>
        </w:rPr>
      </w:pPr>
      <w:r w:rsidRPr="008A1932">
        <w:rPr>
          <w:szCs w:val="22"/>
        </w:rPr>
        <w:t xml:space="preserve">Prieš vakcinos injekciją reikia palaukti, kol alkoholis ar kita dezinfekuojančioji medžiaga išgaruos nuo odos paviršiaus, nes jie gali </w:t>
      </w:r>
      <w:proofErr w:type="spellStart"/>
      <w:r w:rsidRPr="008A1932">
        <w:rPr>
          <w:szCs w:val="22"/>
        </w:rPr>
        <w:t>inaktyvuoti</w:t>
      </w:r>
      <w:proofErr w:type="spellEnd"/>
      <w:r w:rsidRPr="008A1932">
        <w:rPr>
          <w:szCs w:val="22"/>
        </w:rPr>
        <w:t xml:space="preserve"> vakcinoje esančius virusus.</w:t>
      </w:r>
    </w:p>
    <w:p w14:paraId="51A46A71" w14:textId="77777777" w:rsidR="008319CE" w:rsidRPr="008A1932" w:rsidRDefault="008319CE" w:rsidP="008319CE">
      <w:pPr>
        <w:tabs>
          <w:tab w:val="left" w:pos="567"/>
        </w:tabs>
        <w:rPr>
          <w:szCs w:val="22"/>
        </w:rPr>
      </w:pPr>
    </w:p>
    <w:p w14:paraId="2B944951" w14:textId="77777777" w:rsidR="008319CE" w:rsidRPr="008A1932" w:rsidRDefault="008319CE" w:rsidP="008319CE">
      <w:pPr>
        <w:tabs>
          <w:tab w:val="left" w:pos="567"/>
        </w:tabs>
        <w:rPr>
          <w:szCs w:val="22"/>
        </w:rPr>
      </w:pPr>
      <w:proofErr w:type="spellStart"/>
      <w:r w:rsidRPr="008A1932">
        <w:rPr>
          <w:szCs w:val="22"/>
        </w:rPr>
        <w:t>Varilrix</w:t>
      </w:r>
      <w:proofErr w:type="spellEnd"/>
      <w:r w:rsidRPr="008A1932">
        <w:rPr>
          <w:szCs w:val="22"/>
        </w:rPr>
        <w:t xml:space="preserve"> negalima suleisti į kraujagyslę arba į odą.</w:t>
      </w:r>
    </w:p>
    <w:p w14:paraId="72CD8137" w14:textId="77777777" w:rsidR="008319CE" w:rsidRPr="008A1932" w:rsidRDefault="008319CE" w:rsidP="008319CE">
      <w:pPr>
        <w:tabs>
          <w:tab w:val="left" w:pos="567"/>
        </w:tabs>
        <w:rPr>
          <w:szCs w:val="22"/>
        </w:rPr>
      </w:pPr>
    </w:p>
    <w:p w14:paraId="50E2FE2F" w14:textId="77777777" w:rsidR="008319CE" w:rsidRPr="008A1932" w:rsidRDefault="008319CE" w:rsidP="008319CE">
      <w:r w:rsidRPr="008A1932">
        <w:t>Suderinamumo tyrimų neatlikta, todėl šio vaistinio preparato maišyti su kitais negalima.</w:t>
      </w:r>
    </w:p>
    <w:p w14:paraId="2F3E3DCC" w14:textId="77777777" w:rsidR="008319CE" w:rsidRPr="008A1932" w:rsidRDefault="008319CE" w:rsidP="008319CE">
      <w:pPr>
        <w:tabs>
          <w:tab w:val="left" w:pos="567"/>
        </w:tabs>
        <w:rPr>
          <w:szCs w:val="22"/>
        </w:rPr>
      </w:pPr>
    </w:p>
    <w:p w14:paraId="01D58418" w14:textId="77777777" w:rsidR="008319CE" w:rsidRDefault="008319CE" w:rsidP="008319CE">
      <w:pPr>
        <w:rPr>
          <w:szCs w:val="22"/>
        </w:rPr>
      </w:pPr>
      <w:bookmarkStart w:id="4" w:name="_Hlk5202676"/>
      <w:r>
        <w:rPr>
          <w:szCs w:val="22"/>
        </w:rPr>
        <w:t>T</w:t>
      </w:r>
      <w:r w:rsidRPr="008A1932">
        <w:rPr>
          <w:szCs w:val="22"/>
        </w:rPr>
        <w:t xml:space="preserve">irpiklį </w:t>
      </w:r>
      <w:r>
        <w:rPr>
          <w:szCs w:val="22"/>
        </w:rPr>
        <w:t xml:space="preserve">prieš ruošiant vakciną </w:t>
      </w:r>
      <w:r w:rsidRPr="008A1932">
        <w:rPr>
          <w:szCs w:val="22"/>
        </w:rPr>
        <w:t xml:space="preserve">ir </w:t>
      </w:r>
      <w:r>
        <w:rPr>
          <w:szCs w:val="22"/>
        </w:rPr>
        <w:t>paruoštą</w:t>
      </w:r>
      <w:r w:rsidRPr="008A1932">
        <w:rPr>
          <w:szCs w:val="22"/>
        </w:rPr>
        <w:t xml:space="preserve"> vakciną </w:t>
      </w:r>
      <w:r>
        <w:rPr>
          <w:szCs w:val="22"/>
        </w:rPr>
        <w:t xml:space="preserve">prieš vartojimą </w:t>
      </w:r>
      <w:r w:rsidRPr="008A1932">
        <w:rPr>
          <w:szCs w:val="22"/>
        </w:rPr>
        <w:t>reikia apžiūrėti</w:t>
      </w:r>
      <w:bookmarkStart w:id="5" w:name="_Hlk5202669"/>
      <w:r>
        <w:rPr>
          <w:szCs w:val="22"/>
        </w:rPr>
        <w:t xml:space="preserve">. </w:t>
      </w:r>
      <w:r w:rsidRPr="00A21E53">
        <w:rPr>
          <w:szCs w:val="22"/>
        </w:rPr>
        <w:t xml:space="preserve">Paruoštos vakcinos spalva dėl nedidelių jos pH pokyčių gali skirtis nuo </w:t>
      </w:r>
      <w:r>
        <w:rPr>
          <w:szCs w:val="22"/>
        </w:rPr>
        <w:t>skaidrios persiko</w:t>
      </w:r>
      <w:r w:rsidRPr="00CE6094">
        <w:rPr>
          <w:szCs w:val="22"/>
        </w:rPr>
        <w:t xml:space="preserve"> </w:t>
      </w:r>
      <w:r w:rsidRPr="00A21E53">
        <w:rPr>
          <w:szCs w:val="22"/>
        </w:rPr>
        <w:t xml:space="preserve">iki </w:t>
      </w:r>
      <w:r>
        <w:rPr>
          <w:szCs w:val="22"/>
        </w:rPr>
        <w:t>rožinės</w:t>
      </w:r>
      <w:r w:rsidRPr="00A21E53">
        <w:rPr>
          <w:szCs w:val="22"/>
        </w:rPr>
        <w:t>. J</w:t>
      </w:r>
      <w:r>
        <w:rPr>
          <w:szCs w:val="22"/>
        </w:rPr>
        <w:t>i</w:t>
      </w:r>
      <w:r w:rsidRPr="00A21E53">
        <w:rPr>
          <w:szCs w:val="22"/>
        </w:rPr>
        <w:t xml:space="preserve"> </w:t>
      </w:r>
      <w:r w:rsidRPr="00D92B3D">
        <w:rPr>
          <w:b/>
          <w:bCs/>
          <w:szCs w:val="22"/>
        </w:rPr>
        <w:t xml:space="preserve">gali </w:t>
      </w:r>
      <w:r>
        <w:rPr>
          <w:b/>
          <w:bCs/>
          <w:szCs w:val="22"/>
        </w:rPr>
        <w:t>turėti</w:t>
      </w:r>
      <w:r w:rsidRPr="00D92B3D">
        <w:rPr>
          <w:b/>
          <w:bCs/>
          <w:szCs w:val="22"/>
        </w:rPr>
        <w:t xml:space="preserve"> permatomų su </w:t>
      </w:r>
      <w:r>
        <w:rPr>
          <w:b/>
          <w:bCs/>
          <w:szCs w:val="22"/>
        </w:rPr>
        <w:t>vaistu</w:t>
      </w:r>
      <w:r w:rsidRPr="00D92B3D">
        <w:rPr>
          <w:b/>
          <w:bCs/>
          <w:szCs w:val="22"/>
        </w:rPr>
        <w:t xml:space="preserve"> susijusių dalelių.</w:t>
      </w:r>
      <w:r w:rsidRPr="00A21E53">
        <w:rPr>
          <w:szCs w:val="22"/>
        </w:rPr>
        <w:t xml:space="preserve"> Tai normalu ir </w:t>
      </w:r>
      <w:r w:rsidRPr="00737E03">
        <w:rPr>
          <w:szCs w:val="22"/>
        </w:rPr>
        <w:t xml:space="preserve">neturi įtakos vakcinos </w:t>
      </w:r>
      <w:bookmarkEnd w:id="5"/>
      <w:r w:rsidRPr="00737E03">
        <w:rPr>
          <w:szCs w:val="22"/>
        </w:rPr>
        <w:t>veikimui</w:t>
      </w:r>
      <w:r w:rsidRPr="00A21E53">
        <w:rPr>
          <w:szCs w:val="22"/>
        </w:rPr>
        <w:t>.</w:t>
      </w:r>
    </w:p>
    <w:p w14:paraId="77393D0B" w14:textId="77777777" w:rsidR="008319CE" w:rsidRDefault="008319CE" w:rsidP="008319CE">
      <w:pPr>
        <w:rPr>
          <w:szCs w:val="22"/>
        </w:rPr>
      </w:pPr>
    </w:p>
    <w:p w14:paraId="69E7D545" w14:textId="77777777" w:rsidR="008319CE" w:rsidRPr="00095B61" w:rsidRDefault="008319CE" w:rsidP="008319CE">
      <w:pPr>
        <w:rPr>
          <w:b/>
        </w:rPr>
      </w:pPr>
      <w:r w:rsidRPr="00D92B3D">
        <w:rPr>
          <w:b/>
          <w:bCs/>
          <w:szCs w:val="22"/>
        </w:rPr>
        <w:t xml:space="preserve">Negalima </w:t>
      </w:r>
      <w:r w:rsidRPr="00095B61">
        <w:rPr>
          <w:b/>
        </w:rPr>
        <w:t>vartoti</w:t>
      </w:r>
      <w:r w:rsidRPr="00D92B3D">
        <w:rPr>
          <w:b/>
          <w:bCs/>
          <w:szCs w:val="22"/>
        </w:rPr>
        <w:t>, jei vakcin</w:t>
      </w:r>
      <w:r>
        <w:rPr>
          <w:b/>
          <w:bCs/>
          <w:szCs w:val="22"/>
        </w:rPr>
        <w:t>a</w:t>
      </w:r>
      <w:r w:rsidRPr="00D92B3D">
        <w:rPr>
          <w:b/>
          <w:bCs/>
          <w:szCs w:val="22"/>
        </w:rPr>
        <w:t xml:space="preserve"> yra kitokios spalvos arba </w:t>
      </w:r>
      <w:r>
        <w:rPr>
          <w:b/>
          <w:bCs/>
          <w:szCs w:val="22"/>
        </w:rPr>
        <w:t xml:space="preserve">turi </w:t>
      </w:r>
      <w:r w:rsidRPr="00D92B3D">
        <w:rPr>
          <w:b/>
          <w:bCs/>
          <w:szCs w:val="22"/>
        </w:rPr>
        <w:t>kitokių kietųjų dalelių</w:t>
      </w:r>
      <w:r w:rsidRPr="00095B61">
        <w:rPr>
          <w:b/>
        </w:rPr>
        <w:t>.</w:t>
      </w:r>
    </w:p>
    <w:bookmarkEnd w:id="4"/>
    <w:p w14:paraId="7DED95CC" w14:textId="77777777" w:rsidR="008319CE" w:rsidRPr="008A1932" w:rsidRDefault="008319CE" w:rsidP="008319CE">
      <w:pPr>
        <w:tabs>
          <w:tab w:val="left" w:pos="567"/>
        </w:tabs>
        <w:rPr>
          <w:szCs w:val="22"/>
        </w:rPr>
      </w:pPr>
    </w:p>
    <w:p w14:paraId="1E98BC3B" w14:textId="77777777" w:rsidR="008319CE" w:rsidRPr="008A1932" w:rsidRDefault="008319CE" w:rsidP="008319CE">
      <w:pPr>
        <w:tabs>
          <w:tab w:val="left" w:pos="567"/>
        </w:tabs>
        <w:rPr>
          <w:szCs w:val="22"/>
        </w:rPr>
      </w:pPr>
      <w:r w:rsidRPr="00C15D04">
        <w:rPr>
          <w:szCs w:val="22"/>
        </w:rPr>
        <w:t>Vakciną</w:t>
      </w:r>
      <w:r w:rsidRPr="008A1932">
        <w:rPr>
          <w:szCs w:val="22"/>
        </w:rPr>
        <w:t xml:space="preserve"> reikia paruošti </w:t>
      </w:r>
      <w:r>
        <w:rPr>
          <w:szCs w:val="22"/>
        </w:rPr>
        <w:t xml:space="preserve">tinkama adata (nuo </w:t>
      </w:r>
      <w:r w:rsidRPr="00F82D6D">
        <w:rPr>
          <w:szCs w:val="22"/>
        </w:rPr>
        <w:t xml:space="preserve">21G </w:t>
      </w:r>
      <w:r>
        <w:rPr>
          <w:szCs w:val="22"/>
        </w:rPr>
        <w:t>iki</w:t>
      </w:r>
      <w:r w:rsidRPr="00F82D6D">
        <w:rPr>
          <w:szCs w:val="22"/>
        </w:rPr>
        <w:t xml:space="preserve"> 25G</w:t>
      </w:r>
      <w:r>
        <w:rPr>
          <w:szCs w:val="22"/>
        </w:rPr>
        <w:t xml:space="preserve">) </w:t>
      </w:r>
      <w:r w:rsidRPr="008A1932">
        <w:rPr>
          <w:szCs w:val="22"/>
        </w:rPr>
        <w:t>sušvirkščiant visą kartu tiekiam</w:t>
      </w:r>
      <w:r>
        <w:rPr>
          <w:szCs w:val="22"/>
        </w:rPr>
        <w:t>ame</w:t>
      </w:r>
      <w:r w:rsidRPr="008A1932">
        <w:rPr>
          <w:szCs w:val="22"/>
        </w:rPr>
        <w:t xml:space="preserve"> </w:t>
      </w:r>
      <w:r>
        <w:rPr>
          <w:szCs w:val="22"/>
        </w:rPr>
        <w:t>užpildytame švirkšte</w:t>
      </w:r>
      <w:r w:rsidRPr="008A1932">
        <w:rPr>
          <w:szCs w:val="22"/>
        </w:rPr>
        <w:t xml:space="preserve"> esantį tirpiklį į flakoną, kuriame yra milteliai. </w:t>
      </w:r>
      <w:bookmarkStart w:id="6" w:name="_Hlk5202690"/>
    </w:p>
    <w:bookmarkEnd w:id="6"/>
    <w:p w14:paraId="6479E67E" w14:textId="77777777" w:rsidR="008319CE" w:rsidRPr="008A1932" w:rsidRDefault="008319CE" w:rsidP="008319CE">
      <w:pPr>
        <w:rPr>
          <w:szCs w:val="22"/>
        </w:rPr>
      </w:pPr>
    </w:p>
    <w:p w14:paraId="338C5F6B" w14:textId="77777777" w:rsidR="008319CE" w:rsidRDefault="008319CE" w:rsidP="008319CE">
      <w:pPr>
        <w:rPr>
          <w:szCs w:val="22"/>
        </w:rPr>
      </w:pPr>
      <w:bookmarkStart w:id="7" w:name="_Hlk5202798"/>
      <w:r w:rsidRPr="008A1932">
        <w:rPr>
          <w:szCs w:val="22"/>
        </w:rPr>
        <w:t>Nor</w:t>
      </w:r>
      <w:r>
        <w:rPr>
          <w:szCs w:val="22"/>
        </w:rPr>
        <w:t>int</w:t>
      </w:r>
      <w:r w:rsidRPr="008A1932">
        <w:rPr>
          <w:szCs w:val="22"/>
        </w:rPr>
        <w:t xml:space="preserve"> uždėti adatą ant švirkšto, </w:t>
      </w:r>
      <w:r>
        <w:rPr>
          <w:szCs w:val="22"/>
        </w:rPr>
        <w:t xml:space="preserve">reikia </w:t>
      </w:r>
      <w:r w:rsidRPr="008A1932">
        <w:t>atidžiai perskaity</w:t>
      </w:r>
      <w:r>
        <w:t>ti</w:t>
      </w:r>
      <w:r w:rsidRPr="008A1932">
        <w:t xml:space="preserve"> instrukcijas</w:t>
      </w:r>
      <w:r w:rsidRPr="008A1932">
        <w:rPr>
          <w:szCs w:val="22"/>
        </w:rPr>
        <w:t xml:space="preserve">. </w:t>
      </w:r>
    </w:p>
    <w:p w14:paraId="2B355813" w14:textId="77777777" w:rsidR="008319CE" w:rsidRPr="008A1932" w:rsidRDefault="008319CE" w:rsidP="008319CE">
      <w:pPr>
        <w:rPr>
          <w:szCs w:val="22"/>
        </w:rPr>
      </w:pPr>
    </w:p>
    <w:tbl>
      <w:tblPr>
        <w:tblW w:w="0" w:type="auto"/>
        <w:jc w:val="center"/>
        <w:tblLook w:val="04A0" w:firstRow="1" w:lastRow="0" w:firstColumn="1" w:lastColumn="0" w:noHBand="0" w:noVBand="1"/>
      </w:tblPr>
      <w:tblGrid>
        <w:gridCol w:w="3618"/>
        <w:gridCol w:w="5238"/>
      </w:tblGrid>
      <w:tr w:rsidR="008319CE" w:rsidRPr="0005488A" w14:paraId="257B3AE9" w14:textId="77777777" w:rsidTr="009326E2">
        <w:trPr>
          <w:jc w:val="center"/>
        </w:trPr>
        <w:tc>
          <w:tcPr>
            <w:tcW w:w="3618" w:type="dxa"/>
          </w:tcPr>
          <w:p w14:paraId="3880A054" w14:textId="77777777" w:rsidR="008319CE" w:rsidRPr="0005488A" w:rsidRDefault="008319CE" w:rsidP="009326E2">
            <w:pPr>
              <w:keepNext/>
              <w:keepLines/>
              <w:widowControl w:val="0"/>
              <w:spacing w:after="120"/>
              <w:jc w:val="center"/>
              <w:rPr>
                <w:sz w:val="24"/>
                <w:highlight w:val="lightGray"/>
              </w:rPr>
            </w:pPr>
            <w:r w:rsidRPr="0005488A">
              <w:rPr>
                <w:noProof/>
                <w:sz w:val="24"/>
              </w:rPr>
              <w:lastRenderedPageBreak/>
              <mc:AlternateContent>
                <mc:Choice Requires="wps">
                  <w:drawing>
                    <wp:anchor distT="0" distB="0" distL="0" distR="0" simplePos="0" relativeHeight="251659264" behindDoc="0" locked="0" layoutInCell="1" allowOverlap="0" wp14:anchorId="1C3AA239" wp14:editId="106E181C">
                      <wp:simplePos x="0" y="0"/>
                      <wp:positionH relativeFrom="column">
                        <wp:posOffset>-84428</wp:posOffset>
                      </wp:positionH>
                      <wp:positionV relativeFrom="paragraph">
                        <wp:posOffset>848360</wp:posOffset>
                      </wp:positionV>
                      <wp:extent cx="753549" cy="302260"/>
                      <wp:effectExtent l="0" t="0" r="0" b="0"/>
                      <wp:wrapNone/>
                      <wp:docPr id="2002401822" name="Text Box 20024018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3549" cy="302260"/>
                              </a:xfrm>
                              <a:prstGeom prst="rect">
                                <a:avLst/>
                              </a:prstGeom>
                              <a:noFill/>
                              <a:ln w="6350">
                                <a:noFill/>
                              </a:ln>
                            </wps:spPr>
                            <wps:txbx>
                              <w:txbxContent>
                                <w:p w14:paraId="7D862111" w14:textId="77777777" w:rsidR="008319CE" w:rsidRPr="00A80719" w:rsidRDefault="008319CE" w:rsidP="008319CE">
                                  <w:pPr>
                                    <w:rPr>
                                      <w:sz w:val="20"/>
                                    </w:rPr>
                                  </w:pPr>
                                  <w:r>
                                    <w:rPr>
                                      <w:sz w:val="20"/>
                                    </w:rPr>
                                    <w:t>Stūmoklis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AA239" id="_x0000_t202" coordsize="21600,21600" o:spt="202" path="m,l,21600r21600,l21600,xe">
                      <v:stroke joinstyle="miter"/>
                      <v:path gradientshapeok="t" o:connecttype="rect"/>
                    </v:shapetype>
                    <v:shape id="Text Box 2002401822" o:spid="_x0000_s1026" type="#_x0000_t202" style="position:absolute;left:0;text-align:left;margin-left:-6.65pt;margin-top:66.8pt;width:59.35pt;height:23.8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" o:allowoverlap="f" filled="f" stroked="f" strokeweight=".5pt">
                      <v:textbox>
                        <w:txbxContent>
                          <w:p w14:paraId="7D862111" w14:textId="77777777" w:rsidR="008319CE" w:rsidRPr="00A80719" w:rsidRDefault="008319CE" w:rsidP="008319CE">
                            <w:pPr>
                              <w:rPr>
                                <w:sz w:val="20"/>
                              </w:rPr>
                            </w:pPr>
                            <w:r>
                              <w:rPr>
                                <w:sz w:val="20"/>
                              </w:rPr>
                              <w:t>Stūmoklis</w:t>
                            </w:r>
                          </w:p>
                        </w:txbxContent>
                      </v:textbox>
                    </v:shape>
                  </w:pict>
                </mc:Fallback>
              </mc:AlternateContent>
            </w:r>
            <w:r w:rsidRPr="0005488A">
              <w:rPr>
                <w:noProof/>
                <w:sz w:val="24"/>
              </w:rPr>
              <mc:AlternateContent>
                <mc:Choice Requires="wps">
                  <w:drawing>
                    <wp:anchor distT="0" distB="0" distL="0" distR="0" simplePos="0" relativeHeight="251661312" behindDoc="0" locked="0" layoutInCell="1" allowOverlap="0" wp14:anchorId="6A9FB4E0" wp14:editId="0BEAD2E4">
                      <wp:simplePos x="0" y="0"/>
                      <wp:positionH relativeFrom="column">
                        <wp:posOffset>635469</wp:posOffset>
                      </wp:positionH>
                      <wp:positionV relativeFrom="paragraph">
                        <wp:posOffset>1031351</wp:posOffset>
                      </wp:positionV>
                      <wp:extent cx="720969" cy="316230"/>
                      <wp:effectExtent l="0" t="0" r="0" b="0"/>
                      <wp:wrapNone/>
                      <wp:docPr id="773092933" name="Text Box 7730929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0969" cy="316230"/>
                              </a:xfrm>
                              <a:prstGeom prst="rect">
                                <a:avLst/>
                              </a:prstGeom>
                              <a:noFill/>
                              <a:ln w="6350">
                                <a:noFill/>
                              </a:ln>
                            </wps:spPr>
                            <wps:txbx>
                              <w:txbxContent>
                                <w:p w14:paraId="6F4501DE" w14:textId="77777777" w:rsidR="008319CE" w:rsidRPr="00A80719" w:rsidRDefault="008319CE" w:rsidP="008319CE">
                                  <w:pPr>
                                    <w:rPr>
                                      <w:sz w:val="20"/>
                                    </w:rPr>
                                  </w:pPr>
                                  <w:r>
                                    <w:rPr>
                                      <w:sz w:val="20"/>
                                    </w:rPr>
                                    <w:t>Korpusas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FB4E0" id="Text Box 773092933" o:spid="_x0000_s1027" type="#_x0000_t202" style="position:absolute;left:0;text-align:left;margin-left:50.05pt;margin-top:81.2pt;width:56.75pt;height:24.9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" o:allowoverlap="f" filled="f" stroked="f" strokeweight=".5pt">
                      <v:textbox>
                        <w:txbxContent>
                          <w:p w14:paraId="6F4501DE" w14:textId="77777777" w:rsidR="008319CE" w:rsidRPr="00A80719" w:rsidRDefault="008319CE" w:rsidP="008319CE">
                            <w:pPr>
                              <w:rPr>
                                <w:sz w:val="20"/>
                              </w:rPr>
                            </w:pPr>
                            <w:r>
                              <w:rPr>
                                <w:sz w:val="20"/>
                              </w:rPr>
                              <w:t>Korpusas</w:t>
                            </w:r>
                          </w:p>
                        </w:txbxContent>
                      </v:textbox>
                    </v:shape>
                  </w:pict>
                </mc:Fallback>
              </mc:AlternateContent>
            </w:r>
            <w:r w:rsidRPr="0005488A">
              <w:rPr>
                <w:noProof/>
                <w:sz w:val="24"/>
              </w:rPr>
              <mc:AlternateContent>
                <mc:Choice Requires="wps">
                  <w:drawing>
                    <wp:anchor distT="0" distB="0" distL="0" distR="0" simplePos="0" relativeHeight="251662336" behindDoc="0" locked="0" layoutInCell="1" allowOverlap="0" wp14:anchorId="4AA91C51" wp14:editId="54B01EB3">
                      <wp:simplePos x="0" y="0"/>
                      <wp:positionH relativeFrom="column">
                        <wp:posOffset>1268923</wp:posOffset>
                      </wp:positionH>
                      <wp:positionV relativeFrom="paragraph">
                        <wp:posOffset>1180272</wp:posOffset>
                      </wp:positionV>
                      <wp:extent cx="682791" cy="277495"/>
                      <wp:effectExtent l="0" t="0" r="0" b="0"/>
                      <wp:wrapNone/>
                      <wp:docPr id="480627117" name="Text Box 480627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791" cy="277495"/>
                              </a:xfrm>
                              <a:prstGeom prst="rect">
                                <a:avLst/>
                              </a:prstGeom>
                              <a:noFill/>
                              <a:ln w="6350">
                                <a:noFill/>
                              </a:ln>
                            </wps:spPr>
                            <wps:txbx>
                              <w:txbxContent>
                                <w:p w14:paraId="630E0742" w14:textId="77777777" w:rsidR="008319CE" w:rsidRPr="00A80719" w:rsidRDefault="008319CE" w:rsidP="008319CE">
                                  <w:pPr>
                                    <w:rPr>
                                      <w:sz w:val="20"/>
                                    </w:rPr>
                                  </w:pPr>
                                  <w:r>
                                    <w:rPr>
                                      <w:sz w:val="20"/>
                                    </w:rPr>
                                    <w:t>Dangtelis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91C51" id="Text Box 480627117" o:spid="_x0000_s1028" type="#_x0000_t202" style="position:absolute;left:0;text-align:left;margin-left:99.9pt;margin-top:92.95pt;width:53.75pt;height:21.8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" o:allowoverlap="f" filled="f" stroked="f" strokeweight=".5pt">
                      <v:textbox>
                        <w:txbxContent>
                          <w:p w14:paraId="630E0742" w14:textId="77777777" w:rsidR="008319CE" w:rsidRPr="00A80719" w:rsidRDefault="008319CE" w:rsidP="008319CE">
                            <w:pPr>
                              <w:rPr>
                                <w:sz w:val="20"/>
                              </w:rPr>
                            </w:pPr>
                            <w:r>
                              <w:rPr>
                                <w:sz w:val="20"/>
                              </w:rPr>
                              <w:t>Dangtelis</w:t>
                            </w:r>
                          </w:p>
                        </w:txbxContent>
                      </v:textbox>
                    </v:shape>
                  </w:pict>
                </mc:Fallback>
              </mc:AlternateContent>
            </w:r>
            <w:r w:rsidRPr="0005488A">
              <w:rPr>
                <w:noProof/>
                <w:sz w:val="24"/>
              </w:rPr>
              <mc:AlternateContent>
                <mc:Choice Requires="wps">
                  <w:drawing>
                    <wp:anchor distT="0" distB="0" distL="0" distR="0" simplePos="0" relativeHeight="251660288" behindDoc="0" locked="0" layoutInCell="1" allowOverlap="0" wp14:anchorId="0396999D" wp14:editId="438FD4AE">
                      <wp:simplePos x="0" y="0"/>
                      <wp:positionH relativeFrom="column">
                        <wp:posOffset>1059131</wp:posOffset>
                      </wp:positionH>
                      <wp:positionV relativeFrom="paragraph">
                        <wp:posOffset>320089</wp:posOffset>
                      </wp:positionV>
                      <wp:extent cx="1192530" cy="446307"/>
                      <wp:effectExtent l="0" t="0" r="0" b="0"/>
                      <wp:wrapNone/>
                      <wp:docPr id="65190324" name="Text Box 65190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446307"/>
                              </a:xfrm>
                              <a:prstGeom prst="rect">
                                <a:avLst/>
                              </a:prstGeom>
                              <a:noFill/>
                              <a:ln w="6350">
                                <a:noFill/>
                              </a:ln>
                            </wps:spPr>
                            <wps:txbx>
                              <w:txbxContent>
                                <w:p w14:paraId="30A7BDB0" w14:textId="77777777" w:rsidR="008319CE" w:rsidRPr="00FF6A8B" w:rsidRDefault="008319CE" w:rsidP="008319CE">
                                  <w:pPr>
                                    <w:rPr>
                                      <w:sz w:val="20"/>
                                    </w:rPr>
                                  </w:pPr>
                                  <w:proofErr w:type="spellStart"/>
                                  <w:r w:rsidRPr="006D503C">
                                    <w:rPr>
                                      <w:i/>
                                      <w:iCs/>
                                      <w:sz w:val="20"/>
                                    </w:rPr>
                                    <w:t>Luer</w:t>
                                  </w:r>
                                  <w:proofErr w:type="spellEnd"/>
                                  <w:r w:rsidRPr="006D503C">
                                    <w:rPr>
                                      <w:i/>
                                      <w:iCs/>
                                      <w:sz w:val="20"/>
                                    </w:rPr>
                                    <w:t xml:space="preserve"> </w:t>
                                  </w:r>
                                  <w:proofErr w:type="spellStart"/>
                                  <w:r w:rsidRPr="006D503C">
                                    <w:rPr>
                                      <w:i/>
                                      <w:iCs/>
                                      <w:sz w:val="20"/>
                                    </w:rPr>
                                    <w:t>Lock</w:t>
                                  </w:r>
                                  <w:proofErr w:type="spellEnd"/>
                                  <w:r w:rsidRPr="00FF6A8B">
                                    <w:rPr>
                                      <w:sz w:val="20"/>
                                    </w:rPr>
                                    <w:t xml:space="preserve"> </w:t>
                                  </w:r>
                                  <w:r>
                                    <w:rPr>
                                      <w:sz w:val="20"/>
                                    </w:rPr>
                                    <w:t>adapteris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6999D" id="Text Box 65190324" o:spid="_x0000_s1029" type="#_x0000_t202" style="position:absolute;left:0;text-align:left;margin-left:83.4pt;margin-top:25.2pt;width:93.9pt;height:35.1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" o:allowoverlap="f" filled="f" stroked="f" strokeweight=".5pt">
                      <v:textbox>
                        <w:txbxContent>
                          <w:p w14:paraId="30A7BDB0" w14:textId="77777777" w:rsidR="008319CE" w:rsidRPr="00FF6A8B" w:rsidRDefault="008319CE" w:rsidP="008319CE">
                            <w:pPr>
                              <w:rPr>
                                <w:sz w:val="20"/>
                              </w:rPr>
                            </w:pPr>
                            <w:proofErr w:type="spellStart"/>
                            <w:r w:rsidRPr="006D503C">
                              <w:rPr>
                                <w:i/>
                                <w:iCs/>
                                <w:sz w:val="20"/>
                              </w:rPr>
                              <w:t>Luer</w:t>
                            </w:r>
                            <w:proofErr w:type="spellEnd"/>
                            <w:r w:rsidRPr="006D503C">
                              <w:rPr>
                                <w:i/>
                                <w:iCs/>
                                <w:sz w:val="20"/>
                              </w:rPr>
                              <w:t xml:space="preserve"> </w:t>
                            </w:r>
                            <w:proofErr w:type="spellStart"/>
                            <w:r w:rsidRPr="006D503C">
                              <w:rPr>
                                <w:i/>
                                <w:iCs/>
                                <w:sz w:val="20"/>
                              </w:rPr>
                              <w:t>Lock</w:t>
                            </w:r>
                            <w:proofErr w:type="spellEnd"/>
                            <w:r w:rsidRPr="00FF6A8B">
                              <w:rPr>
                                <w:sz w:val="20"/>
                              </w:rPr>
                              <w:t xml:space="preserve"> </w:t>
                            </w:r>
                            <w:r>
                              <w:rPr>
                                <w:sz w:val="20"/>
                              </w:rPr>
                              <w:t>adapteris</w:t>
                            </w:r>
                          </w:p>
                        </w:txbxContent>
                      </v:textbox>
                    </v:shape>
                  </w:pict>
                </mc:Fallback>
              </mc:AlternateContent>
            </w:r>
            <w:r w:rsidRPr="0005488A">
              <w:rPr>
                <w:noProof/>
                <w:sz w:val="24"/>
              </w:rPr>
              <w:drawing>
                <wp:inline distT="0" distB="0" distL="0" distR="0" wp14:anchorId="7FDEFD56" wp14:editId="28A9BC30">
                  <wp:extent cx="1741170" cy="1755775"/>
                  <wp:effectExtent l="0" t="0" r="0" b="0"/>
                  <wp:docPr id="1712914162" name="Picture 1712914162"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antenna&#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1170" cy="1755775"/>
                          </a:xfrm>
                          <a:prstGeom prst="rect">
                            <a:avLst/>
                          </a:prstGeom>
                          <a:noFill/>
                          <a:ln>
                            <a:noFill/>
                          </a:ln>
                        </pic:spPr>
                      </pic:pic>
                    </a:graphicData>
                  </a:graphic>
                </wp:inline>
              </w:drawing>
            </w:r>
          </w:p>
        </w:tc>
        <w:tc>
          <w:tcPr>
            <w:tcW w:w="5238" w:type="dxa"/>
          </w:tcPr>
          <w:p w14:paraId="39937EAC" w14:textId="77777777" w:rsidR="008319CE" w:rsidRPr="0005488A" w:rsidRDefault="008319CE" w:rsidP="009326E2">
            <w:pPr>
              <w:keepNext/>
              <w:keepLines/>
              <w:widowControl w:val="0"/>
              <w:spacing w:after="120"/>
              <w:jc w:val="both"/>
              <w:rPr>
                <w:szCs w:val="22"/>
              </w:rPr>
            </w:pPr>
          </w:p>
          <w:p w14:paraId="6A6F6340" w14:textId="77777777" w:rsidR="008319CE" w:rsidRPr="0005488A" w:rsidRDefault="008319CE" w:rsidP="009326E2">
            <w:pPr>
              <w:keepNext/>
              <w:keepLines/>
              <w:widowControl w:val="0"/>
              <w:spacing w:after="240"/>
              <w:jc w:val="both"/>
              <w:rPr>
                <w:rFonts w:eastAsia="MS Mincho"/>
                <w:szCs w:val="22"/>
                <w:lang w:eastAsia="ja-JP"/>
              </w:rPr>
            </w:pPr>
          </w:p>
          <w:p w14:paraId="4E3F7520" w14:textId="77777777" w:rsidR="008319CE" w:rsidRPr="00C27A1A" w:rsidRDefault="008319CE" w:rsidP="009326E2">
            <w:pPr>
              <w:keepNext/>
              <w:keepLines/>
              <w:widowControl w:val="0"/>
              <w:spacing w:after="240"/>
              <w:jc w:val="both"/>
              <w:rPr>
                <w:rFonts w:eastAsia="MS Mincho"/>
                <w:lang w:eastAsia="ja-JP"/>
              </w:rPr>
            </w:pPr>
            <w:r>
              <w:rPr>
                <w:rFonts w:eastAsia="MS Mincho"/>
                <w:lang w:eastAsia="ja-JP"/>
              </w:rPr>
              <w:t>Švirkštą reikia laikyti už korpuso, bet ne už stūmoklio</w:t>
            </w:r>
            <w:r w:rsidRPr="00C27A1A">
              <w:rPr>
                <w:rFonts w:eastAsia="MS Mincho"/>
                <w:lang w:eastAsia="ja-JP"/>
              </w:rPr>
              <w:t xml:space="preserve"> </w:t>
            </w:r>
            <w:r>
              <w:rPr>
                <w:rFonts w:eastAsia="MS Mincho"/>
                <w:lang w:eastAsia="ja-JP"/>
              </w:rPr>
              <w:t>a</w:t>
            </w:r>
            <w:r w:rsidRPr="00C27A1A">
              <w:rPr>
                <w:rFonts w:eastAsia="MS Mincho"/>
                <w:lang w:eastAsia="ja-JP"/>
              </w:rPr>
              <w:t xml:space="preserve">r </w:t>
            </w:r>
            <w:proofErr w:type="spellStart"/>
            <w:r w:rsidRPr="00C27A1A">
              <w:rPr>
                <w:rFonts w:eastAsia="MS Mincho"/>
                <w:i/>
                <w:iCs/>
                <w:lang w:eastAsia="ja-JP"/>
              </w:rPr>
              <w:t>Luer</w:t>
            </w:r>
            <w:proofErr w:type="spellEnd"/>
            <w:r w:rsidRPr="00C27A1A">
              <w:rPr>
                <w:rFonts w:eastAsia="MS Mincho"/>
                <w:i/>
                <w:iCs/>
                <w:lang w:eastAsia="ja-JP"/>
              </w:rPr>
              <w:t xml:space="preserve"> </w:t>
            </w:r>
            <w:proofErr w:type="spellStart"/>
            <w:r w:rsidRPr="00C27A1A">
              <w:rPr>
                <w:rFonts w:eastAsia="MS Mincho"/>
                <w:i/>
                <w:iCs/>
                <w:lang w:eastAsia="ja-JP"/>
              </w:rPr>
              <w:t>Lock</w:t>
            </w:r>
            <w:proofErr w:type="spellEnd"/>
            <w:r w:rsidRPr="00C27A1A">
              <w:rPr>
                <w:rFonts w:eastAsia="MS Mincho"/>
                <w:lang w:eastAsia="ja-JP"/>
              </w:rPr>
              <w:t xml:space="preserve"> </w:t>
            </w:r>
            <w:r>
              <w:rPr>
                <w:rFonts w:eastAsia="MS Mincho"/>
                <w:lang w:eastAsia="ja-JP"/>
              </w:rPr>
              <w:t>a</w:t>
            </w:r>
            <w:r w:rsidRPr="00C27A1A">
              <w:rPr>
                <w:rFonts w:eastAsia="MS Mincho"/>
                <w:lang w:eastAsia="ja-JP"/>
              </w:rPr>
              <w:t>dapt</w:t>
            </w:r>
            <w:r>
              <w:rPr>
                <w:rFonts w:eastAsia="MS Mincho"/>
                <w:lang w:eastAsia="ja-JP"/>
              </w:rPr>
              <w:t>erio</w:t>
            </w:r>
            <w:r w:rsidRPr="00C27A1A">
              <w:rPr>
                <w:rFonts w:eastAsia="MS Mincho"/>
                <w:lang w:eastAsia="ja-JP"/>
              </w:rPr>
              <w:t xml:space="preserve"> (LLA).</w:t>
            </w:r>
          </w:p>
          <w:p w14:paraId="737D3586" w14:textId="77777777" w:rsidR="008319CE" w:rsidRPr="0005488A" w:rsidRDefault="008319CE" w:rsidP="009326E2">
            <w:pPr>
              <w:keepNext/>
              <w:keepLines/>
              <w:widowControl w:val="0"/>
              <w:spacing w:after="120"/>
              <w:jc w:val="both"/>
              <w:rPr>
                <w:szCs w:val="22"/>
              </w:rPr>
            </w:pPr>
            <w:r>
              <w:rPr>
                <w:color w:val="000000"/>
              </w:rPr>
              <w:t>Švirkšto dangtelį reikia atsukti jį pasukant prieš laikrodžio rodyklę</w:t>
            </w:r>
            <w:r w:rsidRPr="00C27A1A">
              <w:rPr>
                <w:color w:val="000000"/>
              </w:rPr>
              <w:t>.</w:t>
            </w:r>
          </w:p>
        </w:tc>
      </w:tr>
      <w:tr w:rsidR="008319CE" w:rsidRPr="0005488A" w14:paraId="0C988AC9" w14:textId="77777777" w:rsidTr="009326E2">
        <w:trPr>
          <w:jc w:val="center"/>
        </w:trPr>
        <w:tc>
          <w:tcPr>
            <w:tcW w:w="3618" w:type="dxa"/>
          </w:tcPr>
          <w:p w14:paraId="038FBF69" w14:textId="77777777" w:rsidR="008319CE" w:rsidRPr="0005488A" w:rsidRDefault="008319CE" w:rsidP="009326E2">
            <w:pPr>
              <w:keepNext/>
              <w:keepLines/>
              <w:widowControl w:val="0"/>
              <w:spacing w:after="120"/>
              <w:jc w:val="center"/>
              <w:rPr>
                <w:sz w:val="24"/>
                <w:highlight w:val="lightGray"/>
              </w:rPr>
            </w:pPr>
            <w:r w:rsidRPr="0005488A">
              <w:rPr>
                <w:rFonts w:ascii="Calibri" w:hAnsi="Calibri"/>
                <w:noProof/>
                <w:szCs w:val="22"/>
              </w:rPr>
              <mc:AlternateContent>
                <mc:Choice Requires="wps">
                  <w:drawing>
                    <wp:anchor distT="0" distB="0" distL="0" distR="0" simplePos="0" relativeHeight="251663360" behindDoc="0" locked="0" layoutInCell="1" allowOverlap="0" wp14:anchorId="12A53F4D" wp14:editId="687A39D9">
                      <wp:simplePos x="0" y="0"/>
                      <wp:positionH relativeFrom="column">
                        <wp:posOffset>949960</wp:posOffset>
                      </wp:positionH>
                      <wp:positionV relativeFrom="paragraph">
                        <wp:posOffset>356235</wp:posOffset>
                      </wp:positionV>
                      <wp:extent cx="942975" cy="271780"/>
                      <wp:effectExtent l="0" t="0" r="0" b="0"/>
                      <wp:wrapNone/>
                      <wp:docPr id="1944886374" name="Text Box 1944886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975" cy="271780"/>
                              </a:xfrm>
                              <a:prstGeom prst="rect">
                                <a:avLst/>
                              </a:prstGeom>
                              <a:noFill/>
                              <a:ln w="6350">
                                <a:noFill/>
                              </a:ln>
                            </wps:spPr>
                            <wps:txbx>
                              <w:txbxContent>
                                <w:p w14:paraId="574527AA" w14:textId="77777777" w:rsidR="008319CE" w:rsidRPr="00FF6A8B" w:rsidRDefault="008319CE" w:rsidP="008319CE">
                                  <w:pPr>
                                    <w:rPr>
                                      <w:sz w:val="20"/>
                                    </w:rPr>
                                  </w:pPr>
                                  <w:r>
                                    <w:rPr>
                                      <w:sz w:val="20"/>
                                    </w:rPr>
                                    <w:t>Adatos įvorė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53F4D" id="Text Box 1944886374" o:spid="_x0000_s1030" type="#_x0000_t202" style="position:absolute;left:0;text-align:left;margin-left:74.8pt;margin-top:28.05pt;width:74.25pt;height:21.4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" o:allowoverlap="f" filled="f" stroked="f" strokeweight=".5pt">
                      <v:textbox>
                        <w:txbxContent>
                          <w:p w14:paraId="574527AA" w14:textId="77777777" w:rsidR="008319CE" w:rsidRPr="00FF6A8B" w:rsidRDefault="008319CE" w:rsidP="008319CE">
                            <w:pPr>
                              <w:rPr>
                                <w:sz w:val="20"/>
                              </w:rPr>
                            </w:pPr>
                            <w:r>
                              <w:rPr>
                                <w:sz w:val="20"/>
                              </w:rPr>
                              <w:t>Adatos įvorė</w:t>
                            </w:r>
                          </w:p>
                        </w:txbxContent>
                      </v:textbox>
                    </v:shape>
                  </w:pict>
                </mc:Fallback>
              </mc:AlternateContent>
            </w:r>
            <w:r w:rsidRPr="0005488A">
              <w:rPr>
                <w:noProof/>
                <w:sz w:val="24"/>
              </w:rPr>
              <w:drawing>
                <wp:inline distT="0" distB="0" distL="0" distR="0" wp14:anchorId="340A219C" wp14:editId="03B8271B">
                  <wp:extent cx="1828800" cy="1836420"/>
                  <wp:effectExtent l="0" t="0" r="0" b="0"/>
                  <wp:docPr id="437162903" name="Picture 43716290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36420"/>
                          </a:xfrm>
                          <a:prstGeom prst="rect">
                            <a:avLst/>
                          </a:prstGeom>
                          <a:noFill/>
                          <a:ln>
                            <a:noFill/>
                          </a:ln>
                        </pic:spPr>
                      </pic:pic>
                    </a:graphicData>
                  </a:graphic>
                </wp:inline>
              </w:drawing>
            </w:r>
          </w:p>
        </w:tc>
        <w:tc>
          <w:tcPr>
            <w:tcW w:w="5238" w:type="dxa"/>
          </w:tcPr>
          <w:p w14:paraId="3CAECC8D" w14:textId="77777777" w:rsidR="008319CE" w:rsidRPr="00C27A1A" w:rsidRDefault="008319CE" w:rsidP="009326E2">
            <w:pPr>
              <w:keepNext/>
              <w:keepLines/>
              <w:widowControl w:val="0"/>
              <w:spacing w:after="120"/>
              <w:jc w:val="both"/>
              <w:rPr>
                <w:color w:val="000000"/>
              </w:rPr>
            </w:pPr>
            <w:r>
              <w:rPr>
                <w:color w:val="000000"/>
              </w:rPr>
              <w:t>Norint pritvirtinti adatą, įvorę reikia atsargiai sujungti su</w:t>
            </w:r>
            <w:r w:rsidRPr="00C27A1A">
              <w:rPr>
                <w:color w:val="000000"/>
              </w:rPr>
              <w:t xml:space="preserve"> LLA </w:t>
            </w:r>
            <w:r>
              <w:rPr>
                <w:color w:val="000000"/>
              </w:rPr>
              <w:t>ir</w:t>
            </w:r>
            <w:r w:rsidRPr="00C27A1A">
              <w:rPr>
                <w:color w:val="000000"/>
              </w:rPr>
              <w:t xml:space="preserve"> </w:t>
            </w:r>
            <w:r>
              <w:rPr>
                <w:color w:val="000000"/>
              </w:rPr>
              <w:t>pasukti pagal laikrodžio rodyklę ketvirtį apsisukimo, kol pajuntama, kad adata užsifiksavo.</w:t>
            </w:r>
          </w:p>
          <w:p w14:paraId="18EA19E9" w14:textId="77777777" w:rsidR="008319CE" w:rsidRPr="00C27A1A" w:rsidRDefault="008319CE" w:rsidP="009326E2">
            <w:pPr>
              <w:keepNext/>
              <w:keepLines/>
              <w:widowControl w:val="0"/>
              <w:spacing w:after="240"/>
              <w:jc w:val="both"/>
              <w:rPr>
                <w:rFonts w:eastAsia="MS Mincho"/>
                <w:lang w:eastAsia="ja-JP"/>
              </w:rPr>
            </w:pPr>
            <w:r>
              <w:rPr>
                <w:rFonts w:eastAsia="MS Mincho"/>
                <w:lang w:eastAsia="ja-JP"/>
              </w:rPr>
              <w:t xml:space="preserve">Adatą reikia laikyti nukreiptą pagal švirkšto ašį. To nepadarius, </w:t>
            </w:r>
            <w:r w:rsidRPr="00C27A1A">
              <w:rPr>
                <w:rFonts w:eastAsia="MS Mincho"/>
                <w:lang w:eastAsia="ja-JP"/>
              </w:rPr>
              <w:t xml:space="preserve">LLA </w:t>
            </w:r>
            <w:r>
              <w:rPr>
                <w:rFonts w:eastAsia="MS Mincho"/>
                <w:lang w:eastAsia="ja-JP"/>
              </w:rPr>
              <w:t>gali</w:t>
            </w:r>
            <w:r w:rsidRPr="00C27A1A">
              <w:rPr>
                <w:rFonts w:eastAsia="MS Mincho"/>
                <w:lang w:eastAsia="ja-JP"/>
              </w:rPr>
              <w:t xml:space="preserve"> d</w:t>
            </w:r>
            <w:r>
              <w:rPr>
                <w:rFonts w:eastAsia="MS Mincho"/>
                <w:lang w:eastAsia="ja-JP"/>
              </w:rPr>
              <w:t>eformuotis ir praleisti tirpalą</w:t>
            </w:r>
            <w:r w:rsidRPr="00C27A1A">
              <w:rPr>
                <w:rFonts w:eastAsia="MS Mincho"/>
                <w:lang w:eastAsia="ja-JP"/>
              </w:rPr>
              <w:t>.</w:t>
            </w:r>
          </w:p>
          <w:p w14:paraId="67F0CD91" w14:textId="77777777" w:rsidR="008319CE" w:rsidRPr="00C27A1A" w:rsidRDefault="008319CE" w:rsidP="009326E2">
            <w:pPr>
              <w:keepNext/>
              <w:keepLines/>
              <w:widowControl w:val="0"/>
              <w:spacing w:after="240"/>
              <w:jc w:val="both"/>
              <w:rPr>
                <w:rFonts w:eastAsia="MS Mincho"/>
                <w:lang w:eastAsia="ja-JP"/>
              </w:rPr>
            </w:pPr>
            <w:r>
              <w:rPr>
                <w:rFonts w:eastAsia="MS Mincho"/>
                <w:lang w:eastAsia="ja-JP"/>
              </w:rPr>
              <w:t xml:space="preserve">Jeigu surenkant švirkštą </w:t>
            </w:r>
            <w:r w:rsidRPr="00C27A1A">
              <w:rPr>
                <w:rFonts w:eastAsia="MS Mincho"/>
                <w:lang w:eastAsia="ja-JP"/>
              </w:rPr>
              <w:t xml:space="preserve">LLA </w:t>
            </w:r>
            <w:r>
              <w:rPr>
                <w:rFonts w:eastAsia="MS Mincho"/>
                <w:lang w:eastAsia="ja-JP"/>
              </w:rPr>
              <w:t>atsipalaiduoja</w:t>
            </w:r>
            <w:r w:rsidRPr="00C27A1A">
              <w:rPr>
                <w:rFonts w:eastAsia="MS Mincho"/>
                <w:lang w:eastAsia="ja-JP"/>
              </w:rPr>
              <w:t xml:space="preserve">, </w:t>
            </w:r>
            <w:r>
              <w:rPr>
                <w:rFonts w:eastAsia="MS Mincho"/>
                <w:lang w:eastAsia="ja-JP"/>
              </w:rPr>
              <w:t>reikia paimti naują vakcinos dozę</w:t>
            </w:r>
            <w:r w:rsidRPr="00C27A1A">
              <w:rPr>
                <w:rFonts w:eastAsia="MS Mincho"/>
                <w:lang w:eastAsia="ja-JP"/>
              </w:rPr>
              <w:t xml:space="preserve"> (n</w:t>
            </w:r>
            <w:r>
              <w:rPr>
                <w:rFonts w:eastAsia="MS Mincho"/>
                <w:lang w:eastAsia="ja-JP"/>
              </w:rPr>
              <w:t>aują</w:t>
            </w:r>
            <w:r w:rsidRPr="00C27A1A">
              <w:rPr>
                <w:rFonts w:eastAsia="MS Mincho"/>
                <w:lang w:eastAsia="ja-JP"/>
              </w:rPr>
              <w:t xml:space="preserve"> </w:t>
            </w:r>
            <w:r>
              <w:rPr>
                <w:rFonts w:eastAsia="MS Mincho"/>
                <w:lang w:eastAsia="ja-JP"/>
              </w:rPr>
              <w:t>švirkštą ir flakoną</w:t>
            </w:r>
            <w:r w:rsidRPr="00C27A1A">
              <w:rPr>
                <w:rFonts w:eastAsia="MS Mincho"/>
                <w:lang w:eastAsia="ja-JP"/>
              </w:rPr>
              <w:t>).</w:t>
            </w:r>
          </w:p>
          <w:p w14:paraId="1C0B3049" w14:textId="77777777" w:rsidR="008319CE" w:rsidRPr="00C27A1A" w:rsidRDefault="008319CE" w:rsidP="009326E2">
            <w:pPr>
              <w:keepNext/>
              <w:keepLines/>
              <w:widowControl w:val="0"/>
              <w:spacing w:after="120"/>
              <w:jc w:val="both"/>
              <w:rPr>
                <w:color w:val="000000"/>
              </w:rPr>
            </w:pPr>
            <w:r>
              <w:rPr>
                <w:color w:val="000000"/>
              </w:rPr>
              <w:t>Vakciną reikia ištirpinti taip, kaip aprašyta toliau</w:t>
            </w:r>
            <w:r w:rsidRPr="00C27A1A">
              <w:rPr>
                <w:color w:val="000000"/>
              </w:rPr>
              <w:t>.</w:t>
            </w:r>
          </w:p>
          <w:p w14:paraId="7448169D" w14:textId="77777777" w:rsidR="008319CE" w:rsidRPr="0005488A" w:rsidRDefault="008319CE" w:rsidP="009326E2">
            <w:pPr>
              <w:keepNext/>
              <w:keepLines/>
              <w:widowControl w:val="0"/>
              <w:spacing w:after="120"/>
              <w:jc w:val="both"/>
              <w:rPr>
                <w:szCs w:val="22"/>
              </w:rPr>
            </w:pPr>
            <w:r>
              <w:rPr>
                <w:color w:val="000000"/>
              </w:rPr>
              <w:t>Švirkšto stūmoklio negalima ištraukti iš korpuso. Jeigu taip atsitiko, vakcinos leisti negalima.</w:t>
            </w:r>
          </w:p>
        </w:tc>
      </w:tr>
    </w:tbl>
    <w:p w14:paraId="5310FD56" w14:textId="77777777" w:rsidR="008319CE" w:rsidRPr="008A1932" w:rsidRDefault="008319CE" w:rsidP="008319CE">
      <w:pPr>
        <w:widowControl w:val="0"/>
        <w:adjustRightInd w:val="0"/>
        <w:textAlignment w:val="baseline"/>
      </w:pPr>
    </w:p>
    <w:p w14:paraId="4DD3AE8C" w14:textId="77777777" w:rsidR="008319CE" w:rsidRPr="00892EBA" w:rsidRDefault="008319CE" w:rsidP="008319CE">
      <w:pPr>
        <w:pStyle w:val="Sraopastraipa"/>
        <w:widowControl w:val="0"/>
        <w:numPr>
          <w:ilvl w:val="0"/>
          <w:numId w:val="5"/>
        </w:numPr>
        <w:adjustRightInd w:val="0"/>
        <w:ind w:left="360"/>
        <w:textAlignment w:val="baseline"/>
        <w:rPr>
          <w:szCs w:val="22"/>
        </w:rPr>
      </w:pPr>
      <w:r w:rsidRPr="00892EBA">
        <w:rPr>
          <w:szCs w:val="22"/>
        </w:rPr>
        <w:t>Tirpiklį reikia suleisti į miltelius ir gerai pakratyti tol, kol milteliai visiškai ištirpsta tirpiklyje. Paruošą vakciną reikia vartoti nedelsiant.</w:t>
      </w:r>
    </w:p>
    <w:p w14:paraId="4CDC16B0" w14:textId="77777777" w:rsidR="008319CE" w:rsidRPr="008A1932" w:rsidRDefault="008319CE" w:rsidP="008319CE">
      <w:pPr>
        <w:rPr>
          <w:szCs w:val="22"/>
        </w:rPr>
      </w:pPr>
    </w:p>
    <w:p w14:paraId="325F3202" w14:textId="77777777" w:rsidR="008319CE" w:rsidRPr="00892EBA" w:rsidRDefault="008319CE" w:rsidP="008319CE">
      <w:pPr>
        <w:pStyle w:val="Sraopastraipa"/>
        <w:widowControl w:val="0"/>
        <w:numPr>
          <w:ilvl w:val="0"/>
          <w:numId w:val="5"/>
        </w:numPr>
        <w:adjustRightInd w:val="0"/>
        <w:ind w:left="360"/>
        <w:textAlignment w:val="baseline"/>
        <w:rPr>
          <w:szCs w:val="22"/>
        </w:rPr>
      </w:pPr>
      <w:r w:rsidRPr="00892EBA">
        <w:rPr>
          <w:szCs w:val="22"/>
        </w:rPr>
        <w:t>Reikia ištraukti visą flakone esantį turinį ir suleisti.</w:t>
      </w:r>
    </w:p>
    <w:p w14:paraId="090E48ED" w14:textId="77777777" w:rsidR="008319CE" w:rsidRPr="008A1932" w:rsidRDefault="008319CE" w:rsidP="008319CE">
      <w:pPr>
        <w:rPr>
          <w:szCs w:val="22"/>
        </w:rPr>
      </w:pPr>
    </w:p>
    <w:p w14:paraId="0410698B" w14:textId="77777777" w:rsidR="008319CE" w:rsidRPr="00892EBA" w:rsidRDefault="008319CE" w:rsidP="008319CE">
      <w:pPr>
        <w:pStyle w:val="Sraopastraipa"/>
        <w:widowControl w:val="0"/>
        <w:numPr>
          <w:ilvl w:val="0"/>
          <w:numId w:val="5"/>
        </w:numPr>
        <w:adjustRightInd w:val="0"/>
        <w:ind w:left="360"/>
        <w:textAlignment w:val="baseline"/>
        <w:rPr>
          <w:szCs w:val="22"/>
        </w:rPr>
      </w:pPr>
      <w:r w:rsidRPr="00892EBA">
        <w:rPr>
          <w:szCs w:val="22"/>
        </w:rPr>
        <w:t>Vakcinos suleidimui reikia naudoti naują adatą.</w:t>
      </w:r>
      <w:r w:rsidRPr="008A1932">
        <w:t xml:space="preserve"> Adatą reikia nusukti nuo švirkšto ir pritvirtinti injekcinę adatą, pakartojant pirmiau aprašyt</w:t>
      </w:r>
      <w:r>
        <w:t>us</w:t>
      </w:r>
      <w:r w:rsidRPr="008A1932">
        <w:t xml:space="preserve"> veiksm</w:t>
      </w:r>
      <w:r>
        <w:t>us</w:t>
      </w:r>
      <w:r w:rsidRPr="008A1932">
        <w:t>.</w:t>
      </w:r>
    </w:p>
    <w:p w14:paraId="04ADAAE1" w14:textId="77777777" w:rsidR="008319CE" w:rsidRPr="008A1932" w:rsidRDefault="008319CE" w:rsidP="008319CE">
      <w:pPr>
        <w:rPr>
          <w:szCs w:val="22"/>
        </w:rPr>
      </w:pPr>
    </w:p>
    <w:bookmarkEnd w:id="7"/>
    <w:p w14:paraId="158121C1" w14:textId="77777777" w:rsidR="008319CE" w:rsidRDefault="008319CE" w:rsidP="008319CE">
      <w:pPr>
        <w:rPr>
          <w:szCs w:val="22"/>
        </w:rPr>
      </w:pPr>
      <w:r w:rsidRPr="008A1932">
        <w:rPr>
          <w:szCs w:val="22"/>
        </w:rPr>
        <w:t xml:space="preserve">Paruoštą vakciną </w:t>
      </w:r>
      <w:r>
        <w:rPr>
          <w:szCs w:val="22"/>
        </w:rPr>
        <w:t>reikia iš karto suleisti</w:t>
      </w:r>
      <w:r w:rsidRPr="008A1932">
        <w:rPr>
          <w:szCs w:val="22"/>
        </w:rPr>
        <w:t>.</w:t>
      </w:r>
      <w:r>
        <w:rPr>
          <w:szCs w:val="22"/>
        </w:rPr>
        <w:t xml:space="preserve"> </w:t>
      </w:r>
      <w:r w:rsidRPr="008711D1">
        <w:rPr>
          <w:lang w:eastAsia="lt-LT"/>
        </w:rPr>
        <w:t xml:space="preserve">Jeigu tai neįmanoma, </w:t>
      </w:r>
      <w:r>
        <w:rPr>
          <w:szCs w:val="22"/>
        </w:rPr>
        <w:t xml:space="preserve">vakciną reikia laikyti kambario temperatūroje </w:t>
      </w:r>
      <w:r>
        <w:t xml:space="preserve">(25 °C) ir suvartoti per </w:t>
      </w:r>
      <w:r>
        <w:rPr>
          <w:szCs w:val="22"/>
        </w:rPr>
        <w:t xml:space="preserve">90 minučių </w:t>
      </w:r>
      <w:r>
        <w:t xml:space="preserve">arba laikyti šaldytuve (2 °C </w:t>
      </w:r>
      <w:r w:rsidRPr="008A1932">
        <w:rPr>
          <w:szCs w:val="22"/>
        </w:rPr>
        <w:t>–</w:t>
      </w:r>
      <w:r>
        <w:t xml:space="preserve"> 8 °C)</w:t>
      </w:r>
      <w:r>
        <w:rPr>
          <w:szCs w:val="22"/>
        </w:rPr>
        <w:t xml:space="preserve"> ir suvartoti per </w:t>
      </w:r>
      <w:r w:rsidRPr="008711D1">
        <w:rPr>
          <w:lang w:eastAsia="lt-LT"/>
        </w:rPr>
        <w:t xml:space="preserve">8 valandas po </w:t>
      </w:r>
      <w:r>
        <w:rPr>
          <w:lang w:eastAsia="lt-LT"/>
        </w:rPr>
        <w:t xml:space="preserve">paruošimo. </w:t>
      </w:r>
    </w:p>
    <w:p w14:paraId="15F89C71" w14:textId="77777777" w:rsidR="008319CE" w:rsidRPr="008A1932" w:rsidRDefault="008319CE" w:rsidP="008319CE">
      <w:pPr>
        <w:rPr>
          <w:szCs w:val="22"/>
        </w:rPr>
      </w:pPr>
    </w:p>
    <w:p w14:paraId="7D965EC8" w14:textId="77777777" w:rsidR="008319CE" w:rsidRPr="008A1932" w:rsidRDefault="008319CE" w:rsidP="008319CE">
      <w:pPr>
        <w:rPr>
          <w:szCs w:val="22"/>
        </w:rPr>
      </w:pPr>
      <w:r w:rsidRPr="008A1932">
        <w:rPr>
          <w:szCs w:val="22"/>
        </w:rPr>
        <w:t>Nesuvartotą vaistinį preparatą ar atliekas reikia tvarkyti laikantis vietinių reikalavimų.</w:t>
      </w:r>
    </w:p>
    <w:p w14:paraId="0CBF26A8" w14:textId="0E4EA349" w:rsidR="008319CE" w:rsidRDefault="008319CE" w:rsidP="008319CE">
      <w:pPr>
        <w:spacing w:after="160" w:line="259" w:lineRule="auto"/>
        <w:rPr>
          <w:szCs w:val="22"/>
        </w:rPr>
      </w:pPr>
    </w:p>
    <w:p w14:paraId="0417DA56"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Klee One"/>
    <w:charset w:val="00"/>
    <w:family w:val="auto"/>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A416535"/>
    <w:multiLevelType w:val="hybridMultilevel"/>
    <w:tmpl w:val="6CDA600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376522"/>
    <w:multiLevelType w:val="hybridMultilevel"/>
    <w:tmpl w:val="2050FC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75D00E1"/>
    <w:multiLevelType w:val="hybridMultilevel"/>
    <w:tmpl w:val="EB3AC7A6"/>
    <w:lvl w:ilvl="0" w:tplc="83000402">
      <w:start w:val="2"/>
      <w:numFmt w:val="bullet"/>
      <w:lvlText w:val="-"/>
      <w:lvlJc w:val="left"/>
      <w:pPr>
        <w:ind w:left="720" w:hanging="360"/>
      </w:pPr>
      <w:rPr>
        <w:rFonts w:ascii="Times New Roman" w:eastAsia="TimesNewRoman" w:hAnsi="Times New Roman"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15:restartNumberingAfterBreak="0">
    <w:nsid w:val="7C603C40"/>
    <w:multiLevelType w:val="hybridMultilevel"/>
    <w:tmpl w:val="7526C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9021071">
    <w:abstractNumId w:val="0"/>
    <w:lvlOverride w:ilvl="0">
      <w:lvl w:ilvl="0">
        <w:start w:val="1"/>
        <w:numFmt w:val="bullet"/>
        <w:lvlText w:val="-"/>
        <w:legacy w:legacy="1" w:legacySpace="0" w:legacyIndent="360"/>
        <w:lvlJc w:val="left"/>
        <w:pPr>
          <w:ind w:left="360" w:hanging="360"/>
        </w:pPr>
      </w:lvl>
    </w:lvlOverride>
  </w:num>
  <w:num w:numId="2" w16cid:durableId="864824980">
    <w:abstractNumId w:val="2"/>
  </w:num>
  <w:num w:numId="3" w16cid:durableId="2063478814">
    <w:abstractNumId w:val="1"/>
  </w:num>
  <w:num w:numId="4" w16cid:durableId="1823547072">
    <w:abstractNumId w:val="3"/>
  </w:num>
  <w:num w:numId="5" w16cid:durableId="2900943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CE"/>
    <w:rsid w:val="001B003B"/>
    <w:rsid w:val="00222FED"/>
    <w:rsid w:val="005F173E"/>
    <w:rsid w:val="008319C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8FD13"/>
  <w15:chartTrackingRefBased/>
  <w15:docId w15:val="{08D012DD-60B7-445B-BFB3-C1F45E172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19CE"/>
    <w:pPr>
      <w:spacing w:after="0" w:line="240" w:lineRule="auto"/>
    </w:pPr>
    <w:rPr>
      <w:rFonts w:eastAsia="Times New Roman"/>
      <w:kern w:val="0"/>
      <w:szCs w:val="24"/>
      <w14:ligatures w14:val="none"/>
    </w:rPr>
  </w:style>
  <w:style w:type="paragraph" w:styleId="Antrat1">
    <w:name w:val="heading 1"/>
    <w:basedOn w:val="prastasis"/>
    <w:next w:val="prastasis"/>
    <w:link w:val="Antrat1Diagrama"/>
    <w:uiPriority w:val="9"/>
    <w:qFormat/>
    <w:rsid w:val="008319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319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319C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nhideWhenUsed/>
    <w:qFormat/>
    <w:rsid w:val="008319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319CE"/>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8319C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319C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319C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319C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19C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319C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319C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rsid w:val="008319C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319C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319C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319C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319C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319C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319C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319C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319C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319C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319C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319CE"/>
    <w:rPr>
      <w:i/>
      <w:iCs/>
      <w:color w:val="404040" w:themeColor="text1" w:themeTint="BF"/>
    </w:rPr>
  </w:style>
  <w:style w:type="paragraph" w:styleId="Sraopastraipa">
    <w:name w:val="List Paragraph"/>
    <w:basedOn w:val="prastasis"/>
    <w:uiPriority w:val="34"/>
    <w:qFormat/>
    <w:rsid w:val="008319CE"/>
    <w:pPr>
      <w:ind w:left="720"/>
      <w:contextualSpacing/>
    </w:pPr>
  </w:style>
  <w:style w:type="character" w:styleId="Rykuspabraukimas">
    <w:name w:val="Intense Emphasis"/>
    <w:basedOn w:val="Numatytasispastraiposriftas"/>
    <w:uiPriority w:val="21"/>
    <w:qFormat/>
    <w:rsid w:val="008319CE"/>
    <w:rPr>
      <w:i/>
      <w:iCs/>
      <w:color w:val="0F4761" w:themeColor="accent1" w:themeShade="BF"/>
    </w:rPr>
  </w:style>
  <w:style w:type="paragraph" w:styleId="Iskirtacitata">
    <w:name w:val="Intense Quote"/>
    <w:basedOn w:val="prastasis"/>
    <w:next w:val="prastasis"/>
    <w:link w:val="IskirtacitataDiagrama"/>
    <w:uiPriority w:val="30"/>
    <w:qFormat/>
    <w:rsid w:val="008319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319CE"/>
    <w:rPr>
      <w:i/>
      <w:iCs/>
      <w:color w:val="0F4761" w:themeColor="accent1" w:themeShade="BF"/>
    </w:rPr>
  </w:style>
  <w:style w:type="character" w:styleId="Rykinuoroda">
    <w:name w:val="Intense Reference"/>
    <w:basedOn w:val="Numatytasispastraiposriftas"/>
    <w:uiPriority w:val="32"/>
    <w:qFormat/>
    <w:rsid w:val="008319CE"/>
    <w:rPr>
      <w:b/>
      <w:bCs/>
      <w:smallCaps/>
      <w:color w:val="0F4761" w:themeColor="accent1" w:themeShade="BF"/>
      <w:spacing w:val="5"/>
    </w:rPr>
  </w:style>
  <w:style w:type="character" w:styleId="Hipersaitas">
    <w:name w:val="Hyperlink"/>
    <w:uiPriority w:val="99"/>
    <w:rsid w:val="008319CE"/>
    <w:rPr>
      <w:color w:val="0000FF"/>
      <w:u w:val="single"/>
    </w:rPr>
  </w:style>
  <w:style w:type="paragraph" w:customStyle="1" w:styleId="PI-3EMEASMCA">
    <w:name w:val="PI-3 EMEA_SMCA"/>
    <w:basedOn w:val="prastasis"/>
    <w:autoRedefine/>
    <w:rsid w:val="008319CE"/>
    <w:pPr>
      <w:keepNext/>
      <w:spacing w:line="240" w:lineRule="exact"/>
    </w:pPr>
    <w:rPr>
      <w:rFonts w:eastAsia="Calibri"/>
      <w:b/>
      <w:bCs/>
      <w:szCs w:val="22"/>
    </w:rPr>
  </w:style>
  <w:style w:type="table" w:styleId="Lentelstinklelis">
    <w:name w:val="Table Grid"/>
    <w:basedOn w:val="prastojilentel"/>
    <w:rsid w:val="008319CE"/>
    <w:pPr>
      <w:spacing w:after="0" w:line="240" w:lineRule="auto"/>
    </w:pPr>
    <w:rPr>
      <w:rFonts w:eastAsia="Times New Roman"/>
      <w:kern w:val="0"/>
      <w:sz w:val="20"/>
      <w:szCs w:val="20"/>
      <w:lang w:val="fr-BE"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11756</Words>
  <Characters>6702</Characters>
  <Application>Microsoft Office Word</Application>
  <DocSecurity>0</DocSecurity>
  <Lines>55</Lines>
  <Paragraphs>36</Paragraphs>
  <ScaleCrop>false</ScaleCrop>
  <Company/>
  <LinksUpToDate>false</LinksUpToDate>
  <CharactersWithSpaces>18422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2026-05-18T07:36:00Z</dcterms:created>
  <dcterms:modified xsi:type="dcterms:W3CDTF">2026-05-18T07:37:00Z</dcterms:modified>
</cp:coreProperties>
</file>