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8E8" w:rsidRPr="00603F1E" w:rsidRDefault="00C138E8" w:rsidP="00C138E8">
      <w:pPr>
        <w:pStyle w:val="TTEMEASMCA"/>
        <w:rPr>
          <w:lang w:val="lt-LT"/>
        </w:rPr>
      </w:pPr>
      <w:bookmarkStart w:id="0" w:name="_Toc129243138"/>
      <w:bookmarkStart w:id="1" w:name="_Toc129243263"/>
      <w:r w:rsidRPr="00603F1E">
        <w:rPr>
          <w:lang w:val="lt-LT"/>
        </w:rPr>
        <w:t>P</w:t>
      </w:r>
      <w:r w:rsidRPr="00603F1E">
        <w:rPr>
          <w:caps w:val="0"/>
          <w:lang w:val="lt-LT"/>
        </w:rPr>
        <w:t>akuotės lapelis: informacija vartotojui</w:t>
      </w:r>
      <w:bookmarkEnd w:id="0"/>
      <w:bookmarkEnd w:id="1"/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beEMEASMCA"/>
      </w:pPr>
      <w:r w:rsidRPr="00603F1E">
        <w:t>Cinnabsin N tabletės</w:t>
      </w:r>
    </w:p>
    <w:p w:rsidR="00C138E8" w:rsidRPr="00A579D0" w:rsidRDefault="00C138E8" w:rsidP="00C138E8">
      <w:pPr>
        <w:pStyle w:val="BTbeEMEASMCA"/>
        <w:rPr>
          <w:b w:val="0"/>
        </w:rPr>
      </w:pPr>
      <w:r w:rsidRPr="00A579D0">
        <w:rPr>
          <w:b w:val="0"/>
        </w:rPr>
        <w:t>Cinnabaris D3, Hydrastis D3, Kalium bichromicum D3, Echinacea D1</w:t>
      </w:r>
    </w:p>
    <w:p w:rsidR="00C138E8" w:rsidRPr="00200B06" w:rsidRDefault="00C138E8" w:rsidP="00C138E8">
      <w:pPr>
        <w:pStyle w:val="BTbeEMEASMCA"/>
        <w:rPr>
          <w:b w:val="0"/>
        </w:rPr>
      </w:pPr>
    </w:p>
    <w:p w:rsidR="00C138E8" w:rsidRPr="00200B06" w:rsidRDefault="00C138E8" w:rsidP="00C138E8">
      <w:pPr>
        <w:pStyle w:val="BTbeEMEASMCA"/>
        <w:rPr>
          <w:b w:val="0"/>
        </w:rPr>
      </w:pPr>
      <w:r w:rsidRPr="00200B06">
        <w:rPr>
          <w:b w:val="0"/>
        </w:rPr>
        <w:t xml:space="preserve">Homeopatinis </w:t>
      </w:r>
      <w:r w:rsidRPr="00A579D0">
        <w:rPr>
          <w:b w:val="0"/>
        </w:rPr>
        <w:t>vaistas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bEMEASMCA"/>
      </w:pPr>
      <w:r w:rsidRPr="00603F1E">
        <w:t>Atidžiai perskaitykite visą šį lapelį, prieš pradėdami vartoti šį vaistą, nes jame pateikiama Jums svarbi informacija.</w:t>
      </w:r>
    </w:p>
    <w:p w:rsidR="00C138E8" w:rsidRPr="00CD4663" w:rsidRDefault="00C138E8" w:rsidP="00C138E8">
      <w:pPr>
        <w:rPr>
          <w:szCs w:val="22"/>
          <w:lang w:val="lt-LT"/>
        </w:rPr>
      </w:pPr>
      <w:r w:rsidRPr="005459B7">
        <w:rPr>
          <w:szCs w:val="22"/>
          <w:lang w:val="lt-LT"/>
        </w:rPr>
        <w:t xml:space="preserve">Visada vartokite šį vaistą </w:t>
      </w:r>
      <w:r w:rsidRPr="00E6005F">
        <w:rPr>
          <w:szCs w:val="22"/>
          <w:lang w:val="lt-LT"/>
        </w:rPr>
        <w:t>tiksliai kaip aprašyta šiame lapelyje arba kaip nurodė gydytojas arba vaistininkas.</w:t>
      </w:r>
    </w:p>
    <w:p w:rsidR="00C138E8" w:rsidRPr="00603F1E" w:rsidRDefault="00C138E8" w:rsidP="00C138E8">
      <w:pPr>
        <w:pStyle w:val="Sraopastraipa"/>
        <w:numPr>
          <w:ilvl w:val="0"/>
          <w:numId w:val="1"/>
        </w:numPr>
        <w:ind w:hanging="720"/>
        <w:rPr>
          <w:szCs w:val="22"/>
          <w:lang w:val="lt-LT"/>
        </w:rPr>
      </w:pPr>
      <w:r w:rsidRPr="00603F1E">
        <w:rPr>
          <w:szCs w:val="22"/>
          <w:lang w:val="lt-LT"/>
        </w:rPr>
        <w:t>Neišmeskite šio lapelio, nes vėl gali prireikti jį perskaityti.</w:t>
      </w:r>
    </w:p>
    <w:p w:rsidR="00C138E8" w:rsidRPr="00603F1E" w:rsidRDefault="00C138E8" w:rsidP="00C138E8">
      <w:pPr>
        <w:pStyle w:val="Sraopastraipa"/>
        <w:numPr>
          <w:ilvl w:val="0"/>
          <w:numId w:val="1"/>
        </w:numPr>
        <w:ind w:hanging="720"/>
        <w:rPr>
          <w:szCs w:val="22"/>
          <w:lang w:val="lt-LT"/>
        </w:rPr>
      </w:pPr>
      <w:r w:rsidRPr="00603F1E">
        <w:rPr>
          <w:szCs w:val="22"/>
          <w:lang w:val="lt-LT"/>
        </w:rPr>
        <w:t>Jeigu norite sužinoti daugiau arba pasitarti, kreipkitės į vaistininką.</w:t>
      </w:r>
    </w:p>
    <w:p w:rsidR="00C138E8" w:rsidRPr="00603F1E" w:rsidRDefault="00C138E8" w:rsidP="00C138E8">
      <w:pPr>
        <w:pStyle w:val="Sraopastraipa"/>
        <w:numPr>
          <w:ilvl w:val="0"/>
          <w:numId w:val="1"/>
        </w:numPr>
        <w:ind w:left="567" w:hanging="567"/>
        <w:rPr>
          <w:szCs w:val="22"/>
          <w:lang w:val="lt-LT"/>
        </w:rPr>
      </w:pPr>
      <w:r w:rsidRPr="00603F1E">
        <w:rPr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:rsidR="00C138E8" w:rsidRPr="00603F1E" w:rsidRDefault="00C138E8" w:rsidP="00C138E8">
      <w:pPr>
        <w:pStyle w:val="Sraopastraipa"/>
        <w:numPr>
          <w:ilvl w:val="0"/>
          <w:numId w:val="1"/>
        </w:numPr>
        <w:ind w:left="567" w:hanging="567"/>
        <w:rPr>
          <w:szCs w:val="22"/>
          <w:lang w:val="lt-LT"/>
        </w:rPr>
      </w:pPr>
      <w:r w:rsidRPr="00603F1E">
        <w:rPr>
          <w:szCs w:val="22"/>
          <w:lang w:val="lt-LT"/>
        </w:rPr>
        <w:t>Jeigu ūminės ligos atveju per 2 dienas Jūsų savijauta nepagerėjo arba net pablogėjo, kreipkitės į gydytoją.</w:t>
      </w:r>
    </w:p>
    <w:p w:rsidR="00C138E8" w:rsidRPr="00603F1E" w:rsidRDefault="00C138E8" w:rsidP="00C138E8">
      <w:pPr>
        <w:pStyle w:val="Sraopastraipa"/>
        <w:numPr>
          <w:ilvl w:val="0"/>
          <w:numId w:val="1"/>
        </w:numPr>
        <w:ind w:left="567" w:hanging="567"/>
        <w:rPr>
          <w:szCs w:val="22"/>
          <w:lang w:val="lt-LT"/>
        </w:rPr>
      </w:pPr>
      <w:r w:rsidRPr="00603F1E">
        <w:rPr>
          <w:szCs w:val="22"/>
          <w:lang w:val="lt-LT"/>
        </w:rPr>
        <w:t>Jeigu lėtinės ligos atveju per 4 savaites Jūsų savijauta nepagerėjo arba net pablogėjo, kreipkitės į gydytoją.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bEMEASMCA"/>
      </w:pPr>
      <w:r w:rsidRPr="00603F1E">
        <w:t>Apie ką rašoma šiame lapelyje?</w:t>
      </w:r>
    </w:p>
    <w:p w:rsidR="00C138E8" w:rsidRPr="00603F1E" w:rsidRDefault="00C138E8" w:rsidP="00C138E8">
      <w:pPr>
        <w:pStyle w:val="BTbEMEASMCA"/>
      </w:pPr>
    </w:p>
    <w:p w:rsidR="00C138E8" w:rsidRPr="00603F1E" w:rsidRDefault="00C138E8" w:rsidP="00C138E8">
      <w:pPr>
        <w:pStyle w:val="BTEMEASMCA"/>
      </w:pPr>
      <w:r w:rsidRPr="00603F1E">
        <w:t>1.</w:t>
      </w:r>
      <w:r w:rsidRPr="00603F1E">
        <w:tab/>
        <w:t>Kas yra Cinnabsin N ir kam jis vartojamas</w:t>
      </w:r>
    </w:p>
    <w:p w:rsidR="00C138E8" w:rsidRPr="00603F1E" w:rsidRDefault="00C138E8" w:rsidP="00C138E8">
      <w:pPr>
        <w:pStyle w:val="BTEMEASMCA"/>
      </w:pPr>
      <w:r w:rsidRPr="00603F1E">
        <w:t>2.</w:t>
      </w:r>
      <w:r w:rsidRPr="00603F1E">
        <w:tab/>
        <w:t xml:space="preserve">Kas žinotina prieš vartojant Cinnabsin N </w:t>
      </w:r>
    </w:p>
    <w:p w:rsidR="00C138E8" w:rsidRPr="00603F1E" w:rsidRDefault="00C138E8" w:rsidP="00C138E8">
      <w:pPr>
        <w:pStyle w:val="BTEMEASMCA"/>
      </w:pPr>
      <w:r w:rsidRPr="00603F1E">
        <w:t>3.</w:t>
      </w:r>
      <w:r w:rsidRPr="00603F1E">
        <w:tab/>
        <w:t xml:space="preserve">Kaip vartoti Cinnabsin N </w:t>
      </w:r>
    </w:p>
    <w:p w:rsidR="00C138E8" w:rsidRPr="00603F1E" w:rsidRDefault="00C138E8" w:rsidP="00C138E8">
      <w:pPr>
        <w:pStyle w:val="BTEMEASMCA"/>
      </w:pPr>
      <w:r w:rsidRPr="00603F1E">
        <w:t>4.</w:t>
      </w:r>
      <w:r w:rsidRPr="00603F1E">
        <w:tab/>
        <w:t>Galimas šalutinis poveikis</w:t>
      </w:r>
    </w:p>
    <w:p w:rsidR="00C138E8" w:rsidRPr="00603F1E" w:rsidRDefault="00C138E8" w:rsidP="00C138E8">
      <w:pPr>
        <w:pStyle w:val="BTEMEASMCA"/>
      </w:pPr>
      <w:r w:rsidRPr="00603F1E">
        <w:t>5.</w:t>
      </w:r>
      <w:r w:rsidRPr="00603F1E">
        <w:tab/>
        <w:t xml:space="preserve">Kaip laikyti Cinnabsin N </w:t>
      </w:r>
    </w:p>
    <w:p w:rsidR="00C138E8" w:rsidRPr="00603F1E" w:rsidRDefault="00C138E8" w:rsidP="00C138E8">
      <w:pPr>
        <w:pStyle w:val="BTEMEASMCA"/>
      </w:pPr>
      <w:r w:rsidRPr="00603F1E">
        <w:t>6.</w:t>
      </w:r>
      <w:r w:rsidRPr="00603F1E">
        <w:tab/>
        <w:t>Pakuotės turinys ir kita informacija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1EMEASMCA"/>
      </w:pPr>
      <w:bookmarkStart w:id="2" w:name="_Toc129243139"/>
      <w:bookmarkStart w:id="3" w:name="_Toc129243264"/>
      <w:r w:rsidRPr="00603F1E">
        <w:t>1.</w:t>
      </w:r>
      <w:r w:rsidRPr="00603F1E">
        <w:tab/>
        <w:t>Kas yra Cinnabsin N ir kam jis vartojamas</w:t>
      </w:r>
      <w:bookmarkEnd w:id="2"/>
      <w:bookmarkEnd w:id="3"/>
    </w:p>
    <w:p w:rsidR="00C138E8" w:rsidRPr="00603F1E" w:rsidRDefault="00C138E8" w:rsidP="00C138E8">
      <w:pPr>
        <w:pStyle w:val="BTEMEASMCA"/>
      </w:pPr>
    </w:p>
    <w:p w:rsidR="00C138E8" w:rsidRPr="00AA01E1" w:rsidRDefault="00C138E8" w:rsidP="00C138E8">
      <w:pPr>
        <w:pStyle w:val="PI-2EMEASMCA"/>
      </w:pPr>
      <w:r w:rsidRPr="00AA01E1">
        <w:t xml:space="preserve">Cinnabsin N yra homeopatinis </w:t>
      </w:r>
      <w:r w:rsidRPr="00AC217E">
        <w:t>vaistas</w:t>
      </w:r>
      <w:r>
        <w:t xml:space="preserve"> </w:t>
      </w:r>
      <w:r w:rsidRPr="00AC217E">
        <w:t>papildomam</w:t>
      </w:r>
      <w:r w:rsidRPr="00AA01E1">
        <w:t xml:space="preserve"> ūminio ar lėtinio sinusito gydymui.</w:t>
      </w:r>
    </w:p>
    <w:p w:rsidR="00C138E8" w:rsidRPr="00603F1E" w:rsidRDefault="00C138E8" w:rsidP="00C138E8">
      <w:pPr>
        <w:pStyle w:val="PI-2EMEASMCA"/>
      </w:pPr>
    </w:p>
    <w:p w:rsidR="00C138E8" w:rsidRPr="00AA01E1" w:rsidRDefault="00C138E8" w:rsidP="00C138E8">
      <w:pPr>
        <w:pStyle w:val="PI-2EMEASMCA"/>
      </w:pPr>
      <w:r w:rsidRPr="00603F1E">
        <w:t xml:space="preserve">Indikacijos pagrįstos tik homeopatijos principais. 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>Jeigu ūminės ligos atveju per 2 dienas Jūsų savijauta nepagerėjo arba net pablogėjo, kreipkitės į gydytoją.</w:t>
      </w: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>Jeigu lėtinės ligos atveju per 4 savaites Jūsų savijauta nepagerėjo arba net pablogėjo, kreipkitės į gydytoją.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1EMEASMCA"/>
      </w:pPr>
      <w:bookmarkStart w:id="4" w:name="_Toc129243140"/>
      <w:bookmarkStart w:id="5" w:name="_Toc129243265"/>
      <w:r w:rsidRPr="00603F1E">
        <w:t>2.</w:t>
      </w:r>
      <w:r w:rsidRPr="00603F1E">
        <w:tab/>
        <w:t xml:space="preserve">Kas žinotina prieš vartojant </w:t>
      </w:r>
      <w:bookmarkEnd w:id="4"/>
      <w:bookmarkEnd w:id="5"/>
      <w:r w:rsidRPr="00603F1E">
        <w:t xml:space="preserve">Cinnabsin N 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3EMEASMCA"/>
      </w:pPr>
      <w:r w:rsidRPr="00603F1E">
        <w:t xml:space="preserve">Cinnabsin N vartoti </w:t>
      </w:r>
      <w:r>
        <w:t>draudžiama</w:t>
      </w:r>
      <w:r w:rsidRPr="00603F1E">
        <w:t>:</w:t>
      </w:r>
    </w:p>
    <w:p w:rsidR="00C138E8" w:rsidRPr="005C150A" w:rsidRDefault="00C138E8" w:rsidP="00C138E8">
      <w:pPr>
        <w:pStyle w:val="Sraopastraipa"/>
        <w:numPr>
          <w:ilvl w:val="0"/>
          <w:numId w:val="2"/>
        </w:numPr>
        <w:ind w:left="567" w:hanging="567"/>
        <w:rPr>
          <w:szCs w:val="22"/>
          <w:lang w:val="lt-LT"/>
        </w:rPr>
      </w:pPr>
      <w:r w:rsidRPr="005C150A">
        <w:rPr>
          <w:szCs w:val="22"/>
          <w:lang w:val="lt-LT"/>
        </w:rPr>
        <w:t>jeigu yra alergija veikliosioms medžiagoms, pvz., chromui, ežiuolei arba kitoms astrinių šeimos augalams, arba bet kuriai pagalbinei šio vaisto medžiagai (jos išvardytos 6 skyriuje).</w:t>
      </w:r>
    </w:p>
    <w:p w:rsidR="00C138E8" w:rsidRPr="005C150A" w:rsidRDefault="00C138E8" w:rsidP="00C138E8">
      <w:pPr>
        <w:pStyle w:val="Sraopastraipa"/>
        <w:numPr>
          <w:ilvl w:val="0"/>
          <w:numId w:val="2"/>
        </w:numPr>
        <w:ind w:left="567" w:hanging="567"/>
        <w:rPr>
          <w:szCs w:val="22"/>
          <w:lang w:val="lt-LT"/>
        </w:rPr>
      </w:pPr>
      <w:r w:rsidRPr="005C150A">
        <w:rPr>
          <w:szCs w:val="22"/>
          <w:lang w:val="lt-LT"/>
        </w:rPr>
        <w:t>esant progresuojančioms sisteminėms ligoms, pvz., tuberkuliozei, baltųjų kraujo kūnelių sisteminėms ligoms (pvz.</w:t>
      </w:r>
      <w:r>
        <w:rPr>
          <w:szCs w:val="22"/>
          <w:lang w:val="lt-LT"/>
        </w:rPr>
        <w:t xml:space="preserve">, </w:t>
      </w:r>
      <w:r w:rsidRPr="005C150A">
        <w:rPr>
          <w:szCs w:val="22"/>
          <w:lang w:val="lt-LT"/>
        </w:rPr>
        <w:t>leukemijai), autoimuninėms ligoms (uždegiminei jungiamojo audinio ligai, vadinamajai kolagenozei, išsėtinei sklerozei), imuniteto deficitui (pvz., AIDS), imunineto nusilpimui (pvz., po organų arba kaulų čiulpų persodinimo, chemoterapijos), ŽIV infekcijai.</w:t>
      </w:r>
    </w:p>
    <w:p w:rsidR="00C138E8" w:rsidRPr="00603F1E" w:rsidRDefault="00C138E8" w:rsidP="00C138E8">
      <w:pPr>
        <w:pStyle w:val="PI-3EMEASMCA"/>
      </w:pPr>
    </w:p>
    <w:p w:rsidR="00C138E8" w:rsidRPr="00603F1E" w:rsidRDefault="00C138E8" w:rsidP="00C138E8">
      <w:pPr>
        <w:pStyle w:val="PI-3EMEASMCA"/>
      </w:pPr>
      <w:r w:rsidRPr="00603F1E">
        <w:t>Įspėjimai ir atsargumo priemonės</w:t>
      </w:r>
    </w:p>
    <w:p w:rsidR="00C138E8" w:rsidRPr="00603F1E" w:rsidRDefault="00C138E8" w:rsidP="00C138E8">
      <w:pPr>
        <w:pStyle w:val="PI-3EMEASMCA"/>
        <w:rPr>
          <w:b w:val="0"/>
        </w:rPr>
      </w:pPr>
      <w:r w:rsidRPr="00603F1E">
        <w:rPr>
          <w:b w:val="0"/>
        </w:rPr>
        <w:t>Pavartojus vaistų, kurių sudėtyje yra ežiuolės, gali atsirasti odos išbėrimas, niežėjimas, retais atvejais, veido patinimas, dusulys, galvos svaigimas ir kraujospūdžio kritimas.</w:t>
      </w:r>
    </w:p>
    <w:p w:rsidR="00C138E8" w:rsidRPr="00603F1E" w:rsidRDefault="00C138E8" w:rsidP="00C138E8">
      <w:pPr>
        <w:pStyle w:val="PI-3EMEASMCA"/>
        <w:rPr>
          <w:b w:val="0"/>
        </w:rPr>
      </w:pPr>
    </w:p>
    <w:p w:rsidR="00C138E8" w:rsidRPr="00603F1E" w:rsidRDefault="00C138E8" w:rsidP="00C138E8">
      <w:pPr>
        <w:pStyle w:val="PI-3EMEASMCA"/>
        <w:rPr>
          <w:b w:val="0"/>
        </w:rPr>
      </w:pPr>
      <w:r w:rsidRPr="00603F1E">
        <w:rPr>
          <w:b w:val="0"/>
        </w:rPr>
        <w:t>Jeigu padidėja seilėtekis, sumažinkite dozę arba nutraukite vaisto vartojimą.</w:t>
      </w:r>
    </w:p>
    <w:p w:rsidR="00C138E8" w:rsidRPr="00603F1E" w:rsidRDefault="00C138E8" w:rsidP="00C138E8">
      <w:pPr>
        <w:pStyle w:val="PI-3EMEASMCA"/>
        <w:rPr>
          <w:b w:val="0"/>
        </w:rPr>
      </w:pPr>
    </w:p>
    <w:p w:rsidR="00C138E8" w:rsidRPr="00603F1E" w:rsidRDefault="00C138E8" w:rsidP="00C138E8">
      <w:pPr>
        <w:pStyle w:val="PI-3EMEASMCA"/>
        <w:rPr>
          <w:b w:val="0"/>
        </w:rPr>
      </w:pPr>
      <w:r w:rsidRPr="00603F1E">
        <w:rPr>
          <w:b w:val="0"/>
        </w:rPr>
        <w:lastRenderedPageBreak/>
        <w:t>Kviečių krakmolas ir medžiagos, kurių sudėtyje yra gyvsidabrio (</w:t>
      </w:r>
      <w:r w:rsidRPr="00603F1E">
        <w:rPr>
          <w:b w:val="0"/>
          <w:i/>
        </w:rPr>
        <w:t>Cinnabaris</w:t>
      </w:r>
      <w:r w:rsidRPr="00603F1E">
        <w:rPr>
          <w:b w:val="0"/>
        </w:rPr>
        <w:t xml:space="preserve">), gali sukelti padidėjusio jautrumo reakcijų. </w:t>
      </w:r>
    </w:p>
    <w:p w:rsidR="00C138E8" w:rsidRPr="00603F1E" w:rsidRDefault="00C138E8" w:rsidP="00C138E8">
      <w:pPr>
        <w:pStyle w:val="PI-3EMEASMCA"/>
        <w:rPr>
          <w:b w:val="0"/>
        </w:rPr>
      </w:pPr>
      <w:r w:rsidRPr="00603F1E">
        <w:rPr>
          <w:b w:val="0"/>
        </w:rPr>
        <w:t xml:space="preserve"> </w:t>
      </w:r>
    </w:p>
    <w:p w:rsidR="00C138E8" w:rsidRPr="00200B06" w:rsidRDefault="00C138E8" w:rsidP="00C138E8">
      <w:pPr>
        <w:pStyle w:val="BT-EMEASMCA"/>
      </w:pPr>
      <w:r w:rsidRPr="00200B06">
        <w:t>Pasitarkite su gydytoju, jeigu patinsta veidas, karščiuojama, atsiranda stiprus galvos skausmas arba atsiranda papildomų negalavimų.</w:t>
      </w:r>
    </w:p>
    <w:p w:rsidR="00C138E8" w:rsidRPr="00200B06" w:rsidRDefault="00C138E8" w:rsidP="00C138E8">
      <w:pPr>
        <w:pStyle w:val="BT-EMEASMCA"/>
      </w:pP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>Vartojant homeopatinį vaistą, iš pradžių būklė gali laikinai pablogėti (pirminis homeopatinis pablogėjimas).</w:t>
      </w:r>
      <w:r w:rsidRPr="00603F1E">
        <w:rPr>
          <w:b/>
          <w:szCs w:val="22"/>
          <w:lang w:val="lt-LT"/>
        </w:rPr>
        <w:t xml:space="preserve"> </w:t>
      </w:r>
      <w:r w:rsidRPr="00603F1E">
        <w:rPr>
          <w:szCs w:val="22"/>
          <w:lang w:val="lt-LT"/>
        </w:rPr>
        <w:t>Tokiu atveju, nutraukite Cinnabsin N vartojimą ir pasitarkite su gydytoju.</w:t>
      </w:r>
    </w:p>
    <w:p w:rsidR="00C138E8" w:rsidRPr="00603F1E" w:rsidRDefault="00C138E8" w:rsidP="00C138E8">
      <w:pPr>
        <w:pStyle w:val="BT-EMEASMCA"/>
      </w:pPr>
    </w:p>
    <w:p w:rsidR="00C138E8" w:rsidRPr="00603F1E" w:rsidRDefault="00C138E8" w:rsidP="00C138E8">
      <w:pPr>
        <w:pStyle w:val="BT-EMEASMCA"/>
      </w:pPr>
      <w:r w:rsidRPr="00603F1E">
        <w:t>Vaikams</w:t>
      </w: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color w:val="000000"/>
          <w:szCs w:val="22"/>
          <w:lang w:val="lt-LT"/>
        </w:rPr>
        <w:t>Cinnabsin N</w:t>
      </w:r>
      <w:r w:rsidRPr="00603F1E">
        <w:rPr>
          <w:noProof/>
          <w:szCs w:val="22"/>
          <w:lang w:val="lt-LT"/>
        </w:rPr>
        <w:t xml:space="preserve"> saugumas ir veiksmingumas jaunesniems kaip 2 metų vaikams neištirti. Duomenų nėra.</w:t>
      </w:r>
      <w:r w:rsidRPr="00603F1E">
        <w:rPr>
          <w:szCs w:val="22"/>
          <w:lang w:val="lt-LT"/>
        </w:rPr>
        <w:t xml:space="preserve"> </w:t>
      </w:r>
    </w:p>
    <w:p w:rsidR="00C138E8" w:rsidRPr="00603F1E" w:rsidRDefault="00C138E8" w:rsidP="00C138E8">
      <w:pPr>
        <w:pStyle w:val="BTEMEASMCA"/>
      </w:pPr>
    </w:p>
    <w:p w:rsidR="00C138E8" w:rsidRPr="00200B06" w:rsidRDefault="00C138E8" w:rsidP="00C138E8">
      <w:pPr>
        <w:pStyle w:val="BTEMEASMCA"/>
      </w:pPr>
      <w:r w:rsidRPr="00200B06">
        <w:t>Kiti vaistai ir Cinnabsin N</w:t>
      </w:r>
    </w:p>
    <w:p w:rsidR="00C138E8" w:rsidRPr="00603F1E" w:rsidRDefault="00C138E8" w:rsidP="00C138E8">
      <w:pPr>
        <w:pStyle w:val="BTEMEASMCA"/>
      </w:pPr>
      <w:r w:rsidRPr="00603F1E">
        <w:t xml:space="preserve">Sąveika su kitais vaistais nebuvo pastebėta. </w:t>
      </w:r>
    </w:p>
    <w:p w:rsidR="00C138E8" w:rsidRPr="00603F1E" w:rsidRDefault="00C138E8" w:rsidP="00C138E8">
      <w:pPr>
        <w:pStyle w:val="BTEMEASMCA"/>
        <w:rPr>
          <w:noProof w:val="0"/>
        </w:rPr>
      </w:pPr>
      <w:r w:rsidRPr="00603F1E">
        <w:t>Jeigu vartojate arba neseniai vartojote kitų vaistų arba dėl to nesate tikri, apie tai pasakykite gydytojui arba vaistininkui.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3EMEASMCA"/>
      </w:pPr>
      <w:r w:rsidRPr="00603F1E">
        <w:t>Cinnabsin N vartojimas su maistu, gėrimais ir alkoholiu</w:t>
      </w:r>
    </w:p>
    <w:p w:rsidR="00C138E8" w:rsidRPr="00603F1E" w:rsidRDefault="00C138E8" w:rsidP="00C138E8">
      <w:pPr>
        <w:pStyle w:val="BTEMEASMCA"/>
      </w:pPr>
      <w:r w:rsidRPr="00603F1E">
        <w:t>Homeopatinių vaistų veikimą gali įtakoti neigiami gyvenimo būdo veiksniai, taip pat stimuliuojančios medžiagos arba alkoholis ir tabakas.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  <w:r w:rsidRPr="00603F1E">
        <w:t>Nerekomenduojama vartoti šio vaisto su maistu ir gėrimais. Cinnabsin N vartoti mažiausiai pusę valandos prieš valgį ar pusę valandos po jo.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3EMEASMCA"/>
      </w:pPr>
      <w:r w:rsidRPr="00603F1E">
        <w:t>Nėštumas, žindymo laikotarpis ir vaisingumas</w:t>
      </w:r>
    </w:p>
    <w:p w:rsidR="00C138E8" w:rsidRPr="00603F1E" w:rsidRDefault="00C138E8" w:rsidP="00C138E8">
      <w:pPr>
        <w:pStyle w:val="BTEMEASMCA"/>
      </w:pPr>
      <w:r w:rsidRPr="00603F1E">
        <w:t>Jeigu esate nėščia, žindote kūdikį, manote, kad galbūt esate nėščia, arba planuojate pastoti, tai prieš vartodama šį vaistą pasitarkite su gydytoju arba vaistininku.</w:t>
      </w:r>
    </w:p>
    <w:p w:rsidR="00C138E8" w:rsidRPr="00603F1E" w:rsidRDefault="00C138E8" w:rsidP="00C138E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jc w:val="both"/>
        <w:rPr>
          <w:color w:val="000000"/>
          <w:spacing w:val="-3"/>
          <w:szCs w:val="22"/>
          <w:lang w:val="lt-LT"/>
        </w:rPr>
      </w:pPr>
      <w:r w:rsidRPr="00603F1E">
        <w:rPr>
          <w:color w:val="000000"/>
          <w:spacing w:val="-3"/>
          <w:szCs w:val="22"/>
          <w:lang w:val="lt-LT"/>
        </w:rPr>
        <w:t>Nėštumo metu ir žindymo laikotarpiu Cinnabsin N galima vartoti tik gydytojui leidus.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3EMEASMCA"/>
      </w:pPr>
      <w:r w:rsidRPr="00603F1E">
        <w:t>Vairavimas ir mechanizmų valdymas</w:t>
      </w:r>
    </w:p>
    <w:p w:rsidR="00C138E8" w:rsidRPr="00603F1E" w:rsidRDefault="00C138E8" w:rsidP="00C138E8">
      <w:pPr>
        <w:pStyle w:val="BTEMEASMCA"/>
      </w:pPr>
      <w:r w:rsidRPr="00603F1E">
        <w:t xml:space="preserve">Cinnabsin N gebėjimo vairuoti ir valdyti mechanizmus neveikia arba veikia nereikšmingai. </w:t>
      </w:r>
    </w:p>
    <w:p w:rsidR="00C138E8" w:rsidRPr="00603F1E" w:rsidRDefault="00C138E8" w:rsidP="00C138E8">
      <w:pPr>
        <w:pStyle w:val="PI-3EMEASMCA"/>
      </w:pPr>
    </w:p>
    <w:p w:rsidR="00C138E8" w:rsidRPr="00603F1E" w:rsidRDefault="00C138E8" w:rsidP="00C138E8">
      <w:pPr>
        <w:pStyle w:val="PI-3EMEASMCA"/>
      </w:pPr>
      <w:r w:rsidRPr="00603F1E">
        <w:t>Cinnabsin N sudėtyje yra laktozės ir kviečių krakmolo</w:t>
      </w:r>
    </w:p>
    <w:p w:rsidR="00C138E8" w:rsidRPr="00603F1E" w:rsidRDefault="00C138E8" w:rsidP="00C138E8">
      <w:pPr>
        <w:pStyle w:val="PI-3EMEASMCA"/>
        <w:rPr>
          <w:b w:val="0"/>
        </w:rPr>
      </w:pPr>
      <w:r w:rsidRPr="00603F1E">
        <w:rPr>
          <w:b w:val="0"/>
        </w:rPr>
        <w:t xml:space="preserve">Jeigu gydytojas Jums yra sakęs, kad netoleruojate kokių nors angliavandenių, kreipkitės į jį prieš pradėdami vartoti šį vaistą. 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  <w:rPr>
          <w:noProof w:val="0"/>
        </w:rPr>
      </w:pPr>
      <w:r w:rsidRPr="00603F1E">
        <w:t>Šis vaistas tinka sergantiems celiakija. Negalima vartoti kviečiams alergiškiems pacientams (ši liga skiriasi nuo celiakijos).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1EMEASMCA"/>
      </w:pPr>
      <w:bookmarkStart w:id="6" w:name="_Toc129243141"/>
      <w:bookmarkStart w:id="7" w:name="_Toc129243266"/>
      <w:r w:rsidRPr="00603F1E">
        <w:t>3.</w:t>
      </w:r>
      <w:r w:rsidRPr="00603F1E">
        <w:tab/>
        <w:t xml:space="preserve">Kaip vartoti </w:t>
      </w:r>
      <w:bookmarkEnd w:id="6"/>
      <w:bookmarkEnd w:id="7"/>
      <w:r w:rsidRPr="00603F1E">
        <w:t xml:space="preserve">Cinnabsin N 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  <w:r w:rsidRPr="00603F1E">
        <w:t>Visada vartokite šį vaistą tiksliai</w:t>
      </w:r>
      <w:r>
        <w:t>,</w:t>
      </w:r>
      <w:r w:rsidRPr="00603F1E">
        <w:t xml:space="preserve"> kaip aprašyta šiame lapelyje arba kaip nurodė gydytojas arba vaistininkas. Jeigu abejojate, kreipkitės į gydytoją arba vaistininką. 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>Jei gydytojas nepaskyrė kitaip, suaugusiesiems</w:t>
      </w:r>
      <w:r w:rsidRPr="00603F1E">
        <w:rPr>
          <w:i/>
          <w:szCs w:val="22"/>
          <w:lang w:val="lt-LT"/>
        </w:rPr>
        <w:t>, ūminės ligos metu</w:t>
      </w:r>
      <w:r w:rsidRPr="00603F1E">
        <w:rPr>
          <w:szCs w:val="22"/>
          <w:lang w:val="lt-LT"/>
        </w:rPr>
        <w:t xml:space="preserve"> vartoti po 1 tabletę kas pusvalandį arba valandą (iki 6 tablečių per dieną), kol pagerėja savijauta. </w:t>
      </w:r>
      <w:r w:rsidRPr="00603F1E">
        <w:rPr>
          <w:i/>
          <w:szCs w:val="22"/>
          <w:lang w:val="lt-LT"/>
        </w:rPr>
        <w:t>Tolimesniam gydymui</w:t>
      </w:r>
      <w:r w:rsidRPr="00603F1E">
        <w:rPr>
          <w:szCs w:val="22"/>
          <w:lang w:val="lt-LT"/>
        </w:rPr>
        <w:t xml:space="preserve"> vartoti po 1 tabletę 3 kartus per dieną.</w:t>
      </w: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ab/>
      </w:r>
    </w:p>
    <w:p w:rsidR="00C138E8" w:rsidRPr="00603F1E" w:rsidRDefault="00C138E8" w:rsidP="00C138E8">
      <w:pPr>
        <w:ind w:left="567" w:hanging="567"/>
        <w:rPr>
          <w:szCs w:val="22"/>
          <w:lang w:val="lt-LT"/>
        </w:rPr>
      </w:pPr>
      <w:r w:rsidRPr="00603F1E">
        <w:rPr>
          <w:szCs w:val="22"/>
          <w:lang w:val="lt-LT"/>
        </w:rPr>
        <w:t xml:space="preserve">Gydant </w:t>
      </w:r>
      <w:r w:rsidRPr="00603F1E">
        <w:rPr>
          <w:i/>
          <w:szCs w:val="22"/>
          <w:lang w:val="lt-LT"/>
        </w:rPr>
        <w:t xml:space="preserve">lėtinę ligą </w:t>
      </w:r>
      <w:r w:rsidRPr="00603F1E">
        <w:rPr>
          <w:szCs w:val="22"/>
          <w:lang w:val="lt-LT"/>
        </w:rPr>
        <w:t xml:space="preserve">vartoti po 1 tabletę 3 kartus per dieną. </w:t>
      </w:r>
    </w:p>
    <w:p w:rsidR="00C138E8" w:rsidRPr="00603F1E" w:rsidRDefault="00C138E8" w:rsidP="00C138E8">
      <w:pPr>
        <w:rPr>
          <w:szCs w:val="22"/>
          <w:lang w:val="lt-LT"/>
        </w:rPr>
      </w:pPr>
    </w:p>
    <w:p w:rsidR="00C138E8" w:rsidRPr="00603F1E" w:rsidRDefault="00C138E8" w:rsidP="00C138E8">
      <w:pPr>
        <w:rPr>
          <w:b/>
          <w:szCs w:val="22"/>
          <w:lang w:val="lt-LT"/>
        </w:rPr>
      </w:pPr>
      <w:r w:rsidRPr="00603F1E">
        <w:rPr>
          <w:b/>
          <w:szCs w:val="22"/>
          <w:lang w:val="lt-LT"/>
        </w:rPr>
        <w:t>Vartojimas vaikams ir paaugliams</w:t>
      </w: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 xml:space="preserve">Vaikams nuo 2 iki 5 metų, </w:t>
      </w:r>
      <w:r w:rsidRPr="00603F1E">
        <w:rPr>
          <w:i/>
          <w:szCs w:val="22"/>
          <w:lang w:val="lt-LT"/>
        </w:rPr>
        <w:t>ūminės ir lėtinės ligos metu</w:t>
      </w:r>
      <w:r w:rsidRPr="00603F1E">
        <w:rPr>
          <w:szCs w:val="22"/>
          <w:lang w:val="lt-LT"/>
        </w:rPr>
        <w:t>,</w:t>
      </w:r>
      <w:r w:rsidRPr="00603F1E">
        <w:rPr>
          <w:i/>
          <w:szCs w:val="22"/>
          <w:lang w:val="lt-LT"/>
        </w:rPr>
        <w:t xml:space="preserve"> </w:t>
      </w:r>
      <w:r w:rsidRPr="00603F1E">
        <w:rPr>
          <w:szCs w:val="22"/>
          <w:lang w:val="lt-LT"/>
        </w:rPr>
        <w:t>vartoti pusę suaugusiųjų dozės.</w:t>
      </w:r>
    </w:p>
    <w:p w:rsidR="00C138E8" w:rsidRPr="00603F1E" w:rsidRDefault="00C138E8" w:rsidP="00C138E8">
      <w:pPr>
        <w:ind w:left="567"/>
        <w:rPr>
          <w:i/>
          <w:szCs w:val="22"/>
          <w:lang w:val="lt-LT"/>
        </w:rPr>
      </w:pP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 xml:space="preserve">Vaikams nuo 6 iki 11 metų, </w:t>
      </w:r>
      <w:r w:rsidRPr="00603F1E">
        <w:rPr>
          <w:i/>
          <w:szCs w:val="22"/>
          <w:lang w:val="lt-LT"/>
        </w:rPr>
        <w:t xml:space="preserve">ūminės ir lėtinės ligos metu,  </w:t>
      </w:r>
      <w:r w:rsidRPr="00603F1E">
        <w:rPr>
          <w:szCs w:val="22"/>
          <w:lang w:val="lt-LT"/>
        </w:rPr>
        <w:t>vartoti 2/3 suaugusiųjų dozės.</w:t>
      </w:r>
    </w:p>
    <w:p w:rsidR="00C138E8" w:rsidRPr="00603F1E" w:rsidRDefault="00C138E8" w:rsidP="00C138E8">
      <w:pPr>
        <w:ind w:left="567"/>
        <w:rPr>
          <w:szCs w:val="22"/>
          <w:lang w:val="lt-LT"/>
        </w:rPr>
      </w:pP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>Paaugliams nuo 12 metų</w:t>
      </w:r>
      <w:r w:rsidRPr="00603F1E">
        <w:rPr>
          <w:szCs w:val="22"/>
          <w:u w:val="single"/>
          <w:lang w:val="lt-LT"/>
        </w:rPr>
        <w:t>,</w:t>
      </w:r>
      <w:r w:rsidRPr="00603F1E">
        <w:rPr>
          <w:i/>
          <w:szCs w:val="22"/>
          <w:lang w:val="lt-LT"/>
        </w:rPr>
        <w:t xml:space="preserve"> ūminės ligos metu</w:t>
      </w:r>
      <w:r w:rsidRPr="00603F1E">
        <w:rPr>
          <w:szCs w:val="22"/>
          <w:lang w:val="lt-LT"/>
        </w:rPr>
        <w:t xml:space="preserve"> vartoti po 1 tabletę kas pusvalandį arba valandą (iki 6 tablečių per dieną), kol pagerėja savijauta. </w:t>
      </w:r>
      <w:r w:rsidRPr="00603F1E">
        <w:rPr>
          <w:i/>
          <w:szCs w:val="22"/>
          <w:lang w:val="lt-LT"/>
        </w:rPr>
        <w:t>Tolimesniam gydymui</w:t>
      </w:r>
      <w:r w:rsidRPr="00603F1E">
        <w:rPr>
          <w:szCs w:val="22"/>
          <w:lang w:val="lt-LT"/>
        </w:rPr>
        <w:t xml:space="preserve"> vartoti po 1 tabletę 3 kartus per dieną.</w:t>
      </w:r>
    </w:p>
    <w:p w:rsidR="00C138E8" w:rsidRPr="00603F1E" w:rsidRDefault="00C138E8" w:rsidP="00C138E8">
      <w:pPr>
        <w:rPr>
          <w:szCs w:val="22"/>
          <w:lang w:val="lt-LT"/>
        </w:rPr>
      </w:pP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i/>
          <w:szCs w:val="22"/>
          <w:lang w:val="lt-LT"/>
        </w:rPr>
        <w:t>Gydant lėtinę ligą</w:t>
      </w:r>
      <w:r w:rsidRPr="00603F1E">
        <w:rPr>
          <w:szCs w:val="22"/>
          <w:lang w:val="lt-LT"/>
        </w:rPr>
        <w:t xml:space="preserve"> paaugliams nuo 12 metų vartoti po 1 tabletę 3 kartus per dieną. </w:t>
      </w:r>
    </w:p>
    <w:p w:rsidR="00C138E8" w:rsidRPr="00603F1E" w:rsidRDefault="00C138E8" w:rsidP="00C138E8">
      <w:pPr>
        <w:ind w:left="567"/>
        <w:rPr>
          <w:szCs w:val="22"/>
          <w:lang w:val="lt-LT"/>
        </w:rPr>
      </w:pPr>
    </w:p>
    <w:p w:rsidR="00C138E8" w:rsidRPr="00603F1E" w:rsidRDefault="00C138E8" w:rsidP="00C138E8">
      <w:pPr>
        <w:pStyle w:val="BTEMEASMCA"/>
      </w:pPr>
      <w:r w:rsidRPr="00603F1E">
        <w:t>Nerekomenduojama vartoti šio vaisto su maistu ir gėrimais. Tabletes vartoti mažiausiai pusę valandos prieš valgį ar pusę valandos po jo.</w:t>
      </w:r>
    </w:p>
    <w:p w:rsidR="00C138E8" w:rsidRPr="00603F1E" w:rsidRDefault="00C138E8" w:rsidP="00C138E8">
      <w:pPr>
        <w:rPr>
          <w:szCs w:val="22"/>
          <w:lang w:val="lt-LT"/>
        </w:rPr>
      </w:pP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>Rekomenduojama leisti tabletėms lėtai ištirpti burnoje. Mažiems vaikams tabletes galima ištirpinti nedideliame kiekyje vandens.</w:t>
      </w:r>
    </w:p>
    <w:p w:rsidR="00C138E8" w:rsidRPr="00603F1E" w:rsidRDefault="00C138E8" w:rsidP="00C138E8">
      <w:pPr>
        <w:rPr>
          <w:szCs w:val="22"/>
          <w:lang w:val="lt-LT"/>
        </w:rPr>
      </w:pPr>
    </w:p>
    <w:p w:rsidR="00C138E8" w:rsidRPr="00603F1E" w:rsidRDefault="00C138E8" w:rsidP="00C138E8">
      <w:pPr>
        <w:pStyle w:val="PI-3EMEASMCA"/>
      </w:pPr>
      <w:r w:rsidRPr="00603F1E">
        <w:t>Ką daryti pavartojus per didelę Cinnabsin N dozę</w:t>
      </w:r>
    </w:p>
    <w:p w:rsidR="00C138E8" w:rsidRPr="00603F1E" w:rsidRDefault="00C138E8" w:rsidP="00C138E8">
      <w:pPr>
        <w:pStyle w:val="BTEMEASMCA"/>
      </w:pPr>
      <w:r w:rsidRPr="00603F1E">
        <w:t>Pavartojus per didelę dozę, jokio žalingo poveikio neturi būti.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3EMEASMCA"/>
      </w:pPr>
      <w:r w:rsidRPr="00603F1E">
        <w:t xml:space="preserve">Pamiršus pavartoti Cinnabsin N </w:t>
      </w:r>
    </w:p>
    <w:p w:rsidR="00C138E8" w:rsidRPr="00603F1E" w:rsidRDefault="00C138E8" w:rsidP="00C138E8">
      <w:pPr>
        <w:pStyle w:val="BTEMEASMCA"/>
      </w:pPr>
      <w:r w:rsidRPr="00603F1E">
        <w:t>Negalima vartoti dvigubos dozės norint kompensuoti praleistą tabletę.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3EMEASMCA"/>
      </w:pPr>
      <w:r w:rsidRPr="00603F1E">
        <w:t xml:space="preserve">Nustojus vartoti Cinnabsin N </w:t>
      </w:r>
    </w:p>
    <w:p w:rsidR="00C138E8" w:rsidRPr="00603F1E" w:rsidRDefault="00C138E8" w:rsidP="00C138E8">
      <w:pPr>
        <w:pStyle w:val="BTEMEASMCA"/>
      </w:pPr>
      <w:r w:rsidRPr="00603F1E">
        <w:t>Nustojus vartoti Cinnabsin N jokio žalingo poveikio neturi būti.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  <w:r w:rsidRPr="00603F1E">
        <w:t>Jeigu kiltų daugiau klausimų dėl šio vaisto vartojimo, kreipkitės į gydytoją arba vaistininką.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1EMEASMCA"/>
      </w:pPr>
      <w:bookmarkStart w:id="8" w:name="_Toc129243142"/>
      <w:bookmarkStart w:id="9" w:name="_Toc129243267"/>
      <w:r w:rsidRPr="00603F1E">
        <w:t>4.</w:t>
      </w:r>
      <w:r w:rsidRPr="00603F1E">
        <w:tab/>
        <w:t>Galimas šalutinis poveikis</w:t>
      </w:r>
      <w:bookmarkEnd w:id="8"/>
      <w:bookmarkEnd w:id="9"/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  <w:rPr>
          <w:noProof w:val="0"/>
        </w:rPr>
      </w:pPr>
      <w:r w:rsidRPr="00603F1E">
        <w:t>Šis vaistas, kaip ir visi kiti, gali sukelti šalutinį poveikį, nors jis pasireiškia ne visiems žmonėms.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  <w:r w:rsidRPr="00603F1E">
        <w:t xml:space="preserve">Pavartojus Cinnabsin N gali atsirasti padidėjusio jautrumo reakcijų: odos </w:t>
      </w:r>
      <w:r>
        <w:t>iš</w:t>
      </w:r>
      <w:r w:rsidRPr="00603F1E">
        <w:t>bėrimas ir virškinimo trakto negalavimai. Nepageidaujamo poveikio dažnis n</w:t>
      </w:r>
      <w:r>
        <w:t>e</w:t>
      </w:r>
      <w:r w:rsidRPr="00603F1E">
        <w:t>žinomas. Atsiradus padidėjusio jautrumo reakcij</w:t>
      </w:r>
      <w:r>
        <w:t>ų</w:t>
      </w:r>
      <w:r w:rsidRPr="00603F1E">
        <w:t>, nutraukite vaisto vartojimą ir kreipkitės į gydytoją.</w:t>
      </w:r>
    </w:p>
    <w:p w:rsidR="00C138E8" w:rsidRPr="00603F1E" w:rsidRDefault="00C138E8" w:rsidP="00C138E8">
      <w:pPr>
        <w:pStyle w:val="Antrat3"/>
        <w:rPr>
          <w:szCs w:val="22"/>
          <w:lang w:val="lt-LT"/>
        </w:rPr>
      </w:pPr>
      <w:bookmarkStart w:id="10" w:name="_Toc129243143"/>
      <w:bookmarkStart w:id="11" w:name="_Toc129243268"/>
      <w:r w:rsidRPr="00603F1E">
        <w:rPr>
          <w:szCs w:val="22"/>
          <w:lang w:val="lt-LT"/>
        </w:rPr>
        <w:t>Pranešimas apie šalutinį poveikį</w:t>
      </w: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 xml:space="preserve">Jeigu pasireiškė šalutinis poveikis, įskaitant šiame lapelyje nenurodytą, pasakykite gydytojui arba vaistininkui. </w:t>
      </w:r>
      <w:r w:rsidRPr="005E6EA6">
        <w:rPr>
          <w:szCs w:val="22"/>
          <w:lang w:val="lt-LT"/>
        </w:rPr>
        <w:t>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NepageidaujamaR@vvkt.lt) arba nemokamu telefonu 8 800 73 568. Pranešdami apie šalutinį poveikį galite mums padėti gauti daugiau informacijos apie šio vaisto saugumą.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1EMEASMCA"/>
      </w:pPr>
      <w:r w:rsidRPr="00603F1E">
        <w:t>5.</w:t>
      </w:r>
      <w:r w:rsidRPr="00603F1E">
        <w:tab/>
        <w:t xml:space="preserve">Kaip laikyti </w:t>
      </w:r>
      <w:bookmarkEnd w:id="10"/>
      <w:bookmarkEnd w:id="11"/>
      <w:r w:rsidRPr="00603F1E">
        <w:t xml:space="preserve">Cinnabsin N 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  <w:r w:rsidRPr="00603F1E">
        <w:t>Šį vaistą laikykite vaikams nepastebimoje ir nepasiekiamoje vietoje.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  <w:rPr>
          <w:noProof w:val="0"/>
        </w:rPr>
      </w:pPr>
      <w:r w:rsidRPr="00603F1E">
        <w:t>Ant lizdinės plokštelės ir dėžutės po „Tinka iki“ nurodytam tinkamumo laikui pasibaigus, šio vaisto  vartoti negalima. Vaistas tinkamas vartoti iki paskutinės nurodyto mėnesio dienos.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  <w:r w:rsidRPr="00603F1E">
        <w:t>Laikyti ne aukštesnėje kaip 25</w:t>
      </w:r>
      <w:r>
        <w:t xml:space="preserve"> </w:t>
      </w:r>
      <w:r w:rsidRPr="00603F1E">
        <w:t>°C temperatūroje.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  <w:r w:rsidRPr="00603F1E">
        <w:t>Vaistų negalima išmesti į kanalizaciją arba su buitinėmis atliekomis. Kaip išmesti nereikalingus vaistus, klauskite vaistininko. Šios priemonės padės apsaugoti aplinką.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1EMEASMCA"/>
      </w:pPr>
      <w:bookmarkStart w:id="12" w:name="_Toc129243144"/>
      <w:bookmarkStart w:id="13" w:name="_Toc129243269"/>
      <w:r w:rsidRPr="00603F1E">
        <w:t>6.</w:t>
      </w:r>
      <w:r w:rsidRPr="00603F1E">
        <w:tab/>
        <w:t xml:space="preserve">Pakuotės turinys ir </w:t>
      </w:r>
      <w:bookmarkEnd w:id="12"/>
      <w:bookmarkEnd w:id="13"/>
      <w:r w:rsidRPr="00603F1E">
        <w:t>kita informacija</w:t>
      </w:r>
    </w:p>
    <w:p w:rsidR="00C138E8" w:rsidRPr="00603F1E" w:rsidRDefault="00C138E8" w:rsidP="00C138E8">
      <w:pPr>
        <w:pStyle w:val="PI-1EMEASMCA"/>
      </w:pPr>
    </w:p>
    <w:p w:rsidR="00C138E8" w:rsidRPr="00603F1E" w:rsidRDefault="00C138E8" w:rsidP="00C138E8">
      <w:pPr>
        <w:pStyle w:val="PI-3EMEASMCA"/>
      </w:pPr>
      <w:r w:rsidRPr="00603F1E">
        <w:t>Cinnabsin N sudėtis</w:t>
      </w:r>
    </w:p>
    <w:p w:rsidR="00C138E8" w:rsidRPr="0057350D" w:rsidRDefault="00C138E8" w:rsidP="00C138E8">
      <w:pPr>
        <w:pStyle w:val="Sraopastraipa"/>
        <w:numPr>
          <w:ilvl w:val="0"/>
          <w:numId w:val="3"/>
        </w:numPr>
        <w:rPr>
          <w:szCs w:val="22"/>
          <w:lang w:val="lt-LT"/>
        </w:rPr>
      </w:pPr>
      <w:r w:rsidRPr="008721AC">
        <w:rPr>
          <w:szCs w:val="22"/>
          <w:lang w:val="lt-LT"/>
        </w:rPr>
        <w:t>Vienoje tabletėje yra šių veikliųjų medžiagų: Cinnabaris D3 25 mg, Hydrastis D3 25 mg, Kalium bichromicum D3 25 mg, Echinacea</w:t>
      </w:r>
      <w:r w:rsidRPr="0031022A">
        <w:rPr>
          <w:szCs w:val="22"/>
          <w:lang w:val="lt-LT"/>
        </w:rPr>
        <w:t xml:space="preserve"> D1 25 mg.</w:t>
      </w:r>
    </w:p>
    <w:p w:rsidR="00C138E8" w:rsidRPr="0055063B" w:rsidRDefault="00C138E8" w:rsidP="00C138E8">
      <w:pPr>
        <w:pStyle w:val="Sraopastraipa"/>
        <w:numPr>
          <w:ilvl w:val="0"/>
          <w:numId w:val="3"/>
        </w:numPr>
        <w:rPr>
          <w:szCs w:val="22"/>
          <w:lang w:val="lt-LT"/>
        </w:rPr>
      </w:pPr>
      <w:r w:rsidRPr="00190E27">
        <w:rPr>
          <w:szCs w:val="22"/>
          <w:lang w:val="lt-LT"/>
        </w:rPr>
        <w:t>Pagalbinės medžiagos yra</w:t>
      </w:r>
      <w:r w:rsidRPr="00857B28">
        <w:rPr>
          <w:szCs w:val="22"/>
          <w:lang w:val="lt-LT"/>
        </w:rPr>
        <w:t xml:space="preserve"> laktozė</w:t>
      </w:r>
      <w:r w:rsidRPr="0055063B">
        <w:rPr>
          <w:szCs w:val="22"/>
          <w:lang w:val="lt-LT"/>
        </w:rPr>
        <w:t>s monohidratas, kviečių krakmolas, magnio stearatas.</w:t>
      </w:r>
    </w:p>
    <w:p w:rsidR="00C138E8" w:rsidRPr="00603F1E" w:rsidRDefault="00C138E8" w:rsidP="00C138E8">
      <w:pPr>
        <w:pStyle w:val="BTEMEASMCA"/>
      </w:pPr>
    </w:p>
    <w:p w:rsidR="00C138E8" w:rsidRPr="00603F1E" w:rsidRDefault="00C138E8" w:rsidP="00C138E8">
      <w:pPr>
        <w:pStyle w:val="PI-3EMEASMCA"/>
      </w:pPr>
      <w:r w:rsidRPr="00603F1E">
        <w:t>Cinnabsin N išvaizda ir kiekis pakuotėje</w:t>
      </w:r>
    </w:p>
    <w:p w:rsidR="00C138E8" w:rsidRPr="00603F1E" w:rsidRDefault="00C138E8" w:rsidP="00C138E8">
      <w:pPr>
        <w:pStyle w:val="BTEMEASMCA"/>
      </w:pPr>
      <w:r w:rsidRPr="00603F1E">
        <w:t>Tabletės yra baltos arba balkšvos, plokščios, su nusklembtomis briaunomis, kartais šiek tiek taškuotos.</w:t>
      </w:r>
    </w:p>
    <w:p w:rsidR="00C138E8" w:rsidRPr="00603F1E" w:rsidRDefault="00C138E8" w:rsidP="00C138E8">
      <w:pPr>
        <w:pStyle w:val="BTEMEASMCA"/>
      </w:pPr>
      <w:r w:rsidRPr="00603F1E">
        <w:t>Po 20 tablečių lizdinėje plokštelėje, pagamintoje iš PVC ir aliuminio folijos. Vienoje kartoninėje dėžutėje su pakuotės lapeliu yra 40 arba 100 tablečių.</w:t>
      </w:r>
    </w:p>
    <w:p w:rsidR="00C138E8" w:rsidRPr="00603F1E" w:rsidRDefault="00C138E8" w:rsidP="00C138E8">
      <w:pPr>
        <w:pStyle w:val="BTEMEASMCA"/>
        <w:rPr>
          <w:noProof w:val="0"/>
        </w:rPr>
      </w:pPr>
      <w:r w:rsidRPr="00603F1E">
        <w:t>Gali būti tiekiamos ne visų dydžių pakuotės.</w:t>
      </w:r>
    </w:p>
    <w:p w:rsidR="00C138E8" w:rsidRPr="00603F1E" w:rsidRDefault="00C138E8" w:rsidP="00C138E8">
      <w:pPr>
        <w:pStyle w:val="BTEMEASMCA"/>
      </w:pPr>
    </w:p>
    <w:p w:rsidR="00C138E8" w:rsidRDefault="00C138E8" w:rsidP="00C138E8">
      <w:pPr>
        <w:pStyle w:val="PI-3EMEASMCA"/>
        <w:rPr>
          <w:sz w:val="20"/>
          <w:lang w:eastAsia="lt-LT"/>
        </w:rPr>
      </w:pPr>
      <w:r>
        <w:t>Registruotojas</w:t>
      </w:r>
    </w:p>
    <w:p w:rsidR="00C138E8" w:rsidRDefault="00C138E8" w:rsidP="00C138E8">
      <w:pPr>
        <w:pStyle w:val="BTEMEASMCA"/>
      </w:pPr>
    </w:p>
    <w:p w:rsidR="00C138E8" w:rsidRPr="00200B06" w:rsidRDefault="00C138E8" w:rsidP="00C138E8">
      <w:pPr>
        <w:rPr>
          <w:lang w:val="de-DE"/>
        </w:rPr>
      </w:pPr>
      <w:r w:rsidRPr="00200B06">
        <w:rPr>
          <w:lang w:val="de-DE"/>
        </w:rPr>
        <w:t>Alpen Pharma GmbH</w:t>
      </w:r>
    </w:p>
    <w:p w:rsidR="00C138E8" w:rsidRDefault="00C138E8" w:rsidP="00C138E8">
      <w:pPr>
        <w:rPr>
          <w:szCs w:val="22"/>
          <w:lang w:val="de-DE"/>
        </w:rPr>
      </w:pPr>
      <w:r>
        <w:rPr>
          <w:szCs w:val="22"/>
          <w:lang w:val="de-DE"/>
        </w:rPr>
        <w:t>Steinenfeld 3</w:t>
      </w:r>
    </w:p>
    <w:p w:rsidR="00C138E8" w:rsidRDefault="00C138E8" w:rsidP="00C138E8">
      <w:pPr>
        <w:rPr>
          <w:szCs w:val="22"/>
        </w:rPr>
      </w:pPr>
      <w:r>
        <w:rPr>
          <w:szCs w:val="22"/>
        </w:rPr>
        <w:t>77736 Zell am Harmersbach</w:t>
      </w:r>
    </w:p>
    <w:p w:rsidR="00C138E8" w:rsidRDefault="00C138E8" w:rsidP="00C138E8">
      <w:pPr>
        <w:rPr>
          <w:szCs w:val="22"/>
        </w:rPr>
      </w:pPr>
      <w:r>
        <w:rPr>
          <w:szCs w:val="22"/>
        </w:rPr>
        <w:t>Vokietija</w:t>
      </w:r>
    </w:p>
    <w:p w:rsidR="00C138E8" w:rsidRDefault="00C138E8" w:rsidP="00C138E8">
      <w:pPr>
        <w:rPr>
          <w:szCs w:val="22"/>
        </w:rPr>
      </w:pPr>
      <w:r>
        <w:rPr>
          <w:szCs w:val="22"/>
        </w:rPr>
        <w:t>Tel. +49 7243 200 49 20</w:t>
      </w:r>
    </w:p>
    <w:p w:rsidR="00C138E8" w:rsidRDefault="00C138E8" w:rsidP="00C138E8">
      <w:pPr>
        <w:rPr>
          <w:noProof/>
          <w:sz w:val="24"/>
          <w:szCs w:val="22"/>
        </w:rPr>
      </w:pPr>
      <w:r>
        <w:t xml:space="preserve">El. paštas </w:t>
      </w:r>
      <w:hyperlink r:id="rId5" w:history="1">
        <w:r>
          <w:rPr>
            <w:rStyle w:val="Hipersaitas"/>
          </w:rPr>
          <w:t>info.germany@alpenpharma.com</w:t>
        </w:r>
      </w:hyperlink>
    </w:p>
    <w:p w:rsidR="00C138E8" w:rsidRDefault="00C138E8" w:rsidP="00C138E8">
      <w:pPr>
        <w:jc w:val="both"/>
        <w:rPr>
          <w:sz w:val="20"/>
          <w:lang w:val="lt-LT"/>
        </w:rPr>
      </w:pPr>
    </w:p>
    <w:p w:rsidR="00C138E8" w:rsidRDefault="00C138E8" w:rsidP="00C138E8">
      <w:pPr>
        <w:jc w:val="both"/>
        <w:rPr>
          <w:b/>
          <w:bCs/>
        </w:rPr>
      </w:pPr>
      <w:r>
        <w:rPr>
          <w:b/>
          <w:bCs/>
        </w:rPr>
        <w:t>Gamintojas</w:t>
      </w:r>
    </w:p>
    <w:p w:rsidR="00C138E8" w:rsidRDefault="00C138E8" w:rsidP="00C138E8">
      <w:pPr>
        <w:jc w:val="both"/>
        <w:rPr>
          <w:b/>
          <w:bCs/>
        </w:rPr>
      </w:pPr>
    </w:p>
    <w:p w:rsidR="00C138E8" w:rsidRPr="00200B06" w:rsidRDefault="00C138E8" w:rsidP="00C138E8">
      <w:pPr>
        <w:jc w:val="both"/>
        <w:rPr>
          <w:szCs w:val="22"/>
          <w:highlight w:val="lightGray"/>
        </w:rPr>
      </w:pPr>
      <w:r w:rsidRPr="00200B06">
        <w:rPr>
          <w:szCs w:val="22"/>
          <w:highlight w:val="lightGray"/>
        </w:rPr>
        <w:t xml:space="preserve">Deutsche Homöopathie-Union </w:t>
      </w:r>
    </w:p>
    <w:p w:rsidR="00C138E8" w:rsidRPr="00200B06" w:rsidRDefault="00C138E8" w:rsidP="00C138E8">
      <w:pPr>
        <w:jc w:val="both"/>
        <w:rPr>
          <w:szCs w:val="22"/>
          <w:highlight w:val="lightGray"/>
        </w:rPr>
      </w:pPr>
      <w:r w:rsidRPr="00200B06">
        <w:rPr>
          <w:szCs w:val="22"/>
          <w:highlight w:val="lightGray"/>
        </w:rPr>
        <w:t>DHU-Arzneimittel GmbH &amp; Co. KG</w:t>
      </w:r>
    </w:p>
    <w:p w:rsidR="00C138E8" w:rsidRPr="00200B06" w:rsidRDefault="00C138E8" w:rsidP="00C138E8">
      <w:pPr>
        <w:pStyle w:val="BTEMEASMCA"/>
        <w:rPr>
          <w:highlight w:val="lightGray"/>
        </w:rPr>
      </w:pPr>
      <w:r w:rsidRPr="00200B06">
        <w:rPr>
          <w:highlight w:val="lightGray"/>
        </w:rPr>
        <w:t>Ottostr. 24</w:t>
      </w:r>
    </w:p>
    <w:p w:rsidR="00C138E8" w:rsidRPr="00200B06" w:rsidRDefault="00C138E8" w:rsidP="00C138E8">
      <w:pPr>
        <w:pStyle w:val="BTEMEASMCA"/>
        <w:rPr>
          <w:highlight w:val="lightGray"/>
        </w:rPr>
      </w:pPr>
      <w:r w:rsidRPr="00200B06">
        <w:rPr>
          <w:highlight w:val="lightGray"/>
        </w:rPr>
        <w:t>76227 Karlsruhe</w:t>
      </w:r>
    </w:p>
    <w:p w:rsidR="00C138E8" w:rsidRPr="00200B06" w:rsidRDefault="00C138E8" w:rsidP="00C138E8">
      <w:pPr>
        <w:pStyle w:val="BTEMEASMCA"/>
        <w:rPr>
          <w:highlight w:val="lightGray"/>
        </w:rPr>
      </w:pPr>
      <w:r w:rsidRPr="00200B06">
        <w:rPr>
          <w:highlight w:val="lightGray"/>
        </w:rPr>
        <w:t>Vokietija</w:t>
      </w:r>
    </w:p>
    <w:p w:rsidR="00C138E8" w:rsidRPr="00200B06" w:rsidRDefault="00C138E8" w:rsidP="00C138E8">
      <w:pPr>
        <w:pStyle w:val="BTEMEASMCA"/>
        <w:rPr>
          <w:rStyle w:val="Hipersaitas"/>
          <w:highlight w:val="lightGray"/>
        </w:rPr>
      </w:pPr>
    </w:p>
    <w:p w:rsidR="00C138E8" w:rsidRDefault="00C138E8" w:rsidP="00C138E8">
      <w:pPr>
        <w:pStyle w:val="BTEMEASMCA"/>
      </w:pPr>
      <w:r w:rsidRPr="00200B06">
        <w:rPr>
          <w:highlight w:val="lightGray"/>
        </w:rPr>
        <w:t>ir</w:t>
      </w:r>
    </w:p>
    <w:p w:rsidR="00C138E8" w:rsidRDefault="00C138E8" w:rsidP="00C138E8">
      <w:pPr>
        <w:pStyle w:val="BTEMEASMCA"/>
      </w:pPr>
    </w:p>
    <w:p w:rsidR="00C138E8" w:rsidRDefault="00C138E8" w:rsidP="00C138E8">
      <w:pPr>
        <w:pStyle w:val="BTEMEASMCA"/>
      </w:pPr>
      <w:r>
        <w:t>Dr. Gustav Klein GmbH &amp; Co. KG</w:t>
      </w:r>
    </w:p>
    <w:p w:rsidR="00C138E8" w:rsidRDefault="00C138E8" w:rsidP="00C138E8">
      <w:pPr>
        <w:pStyle w:val="BTEMEASMCA"/>
      </w:pPr>
      <w:r>
        <w:t>Steinenfeld 3</w:t>
      </w:r>
    </w:p>
    <w:p w:rsidR="00C138E8" w:rsidRDefault="00C138E8" w:rsidP="00C138E8">
      <w:pPr>
        <w:pStyle w:val="BTEMEASMCA"/>
      </w:pPr>
      <w:r>
        <w:t>77736 Zell am Harmersbach</w:t>
      </w:r>
    </w:p>
    <w:p w:rsidR="00C138E8" w:rsidRDefault="00C138E8" w:rsidP="00C138E8">
      <w:pPr>
        <w:pStyle w:val="BTEMEASMCA"/>
      </w:pPr>
      <w:r>
        <w:t>Vokietija</w:t>
      </w:r>
    </w:p>
    <w:p w:rsidR="00C138E8" w:rsidRDefault="00C138E8" w:rsidP="00C138E8">
      <w:pPr>
        <w:pStyle w:val="BTEMEASMCA"/>
      </w:pPr>
    </w:p>
    <w:p w:rsidR="00C138E8" w:rsidRDefault="00C138E8" w:rsidP="00C138E8">
      <w:pPr>
        <w:rPr>
          <w:b/>
          <w:bCs/>
          <w:lang w:val="lt-LT"/>
        </w:rPr>
      </w:pPr>
      <w:r w:rsidRPr="006620F0">
        <w:rPr>
          <w:b/>
          <w:bCs/>
          <w:lang w:val="lt-LT"/>
        </w:rPr>
        <w:t>Šis pakuotės lapelis paskutinį kartą peržiūrėtas  2023-12-</w:t>
      </w:r>
      <w:r>
        <w:rPr>
          <w:b/>
          <w:bCs/>
          <w:lang w:val="lt-LT"/>
        </w:rPr>
        <w:t>27</w:t>
      </w:r>
      <w:r w:rsidRPr="006620F0">
        <w:rPr>
          <w:b/>
          <w:bCs/>
          <w:lang w:val="lt-LT"/>
        </w:rPr>
        <w:t>.</w:t>
      </w:r>
    </w:p>
    <w:p w:rsidR="00C138E8" w:rsidRPr="006620F0" w:rsidRDefault="00C138E8" w:rsidP="00C138E8">
      <w:pPr>
        <w:rPr>
          <w:b/>
          <w:bCs/>
          <w:u w:val="single"/>
          <w:lang w:val="lt-LT"/>
        </w:rPr>
      </w:pPr>
    </w:p>
    <w:p w:rsidR="00C138E8" w:rsidRPr="00603F1E" w:rsidRDefault="00C138E8" w:rsidP="00C138E8">
      <w:pPr>
        <w:rPr>
          <w:szCs w:val="22"/>
          <w:lang w:val="lt-LT"/>
        </w:rPr>
      </w:pPr>
      <w:r w:rsidRPr="00603F1E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603F1E">
        <w:rPr>
          <w:i/>
          <w:iCs/>
          <w:szCs w:val="22"/>
          <w:lang w:val="lt-LT"/>
        </w:rPr>
        <w:t xml:space="preserve"> </w:t>
      </w:r>
      <w:hyperlink r:id="rId6" w:history="1">
        <w:r w:rsidRPr="00603F1E">
          <w:rPr>
            <w:rStyle w:val="Hipersaitas"/>
            <w:szCs w:val="22"/>
            <w:lang w:val="lt-LT"/>
          </w:rPr>
          <w:t>http://www.vvkt.lt/</w:t>
        </w:r>
      </w:hyperlink>
      <w:r w:rsidRPr="00603F1E">
        <w:rPr>
          <w:szCs w:val="22"/>
          <w:lang w:val="lt-LT"/>
        </w:rPr>
        <w:t>.</w:t>
      </w:r>
    </w:p>
    <w:p w:rsidR="00C138E8" w:rsidRPr="00603F1E" w:rsidRDefault="00C138E8" w:rsidP="00C138E8">
      <w:pPr>
        <w:rPr>
          <w:szCs w:val="22"/>
          <w:u w:val="single"/>
          <w:lang w:val="lt-LT"/>
        </w:rPr>
      </w:pPr>
    </w:p>
    <w:p w:rsidR="00C138E8" w:rsidRPr="00603F1E" w:rsidRDefault="00C138E8" w:rsidP="00C138E8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bookmarkStart w:id="14" w:name="_GoBack"/>
      <w:bookmarkEnd w:id="14"/>
    </w:p>
    <w:p w:rsidR="00C138E8" w:rsidRPr="00603F1E" w:rsidRDefault="00C138E8" w:rsidP="00C138E8">
      <w:pPr>
        <w:rPr>
          <w:szCs w:val="22"/>
          <w:lang w:val="lt-LT"/>
        </w:rPr>
      </w:pPr>
    </w:p>
    <w:p w:rsidR="009041DB" w:rsidRDefault="009041DB"/>
    <w:sectPr w:rsidR="009041DB" w:rsidSect="00685177">
      <w:headerReference w:type="default" r:id="rId7"/>
      <w:footerReference w:type="default" r:id="rId8"/>
      <w:footerReference w:type="first" r:id="rId9"/>
      <w:endnotePr>
        <w:numFmt w:val="decimal"/>
      </w:endnotePr>
      <w:pgSz w:w="11907" w:h="16840" w:code="9"/>
      <w:pgMar w:top="1134" w:right="1418" w:bottom="1134" w:left="1418" w:header="737" w:footer="737" w:gutter="0"/>
      <w:cols w:space="1296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6838583"/>
      <w:docPartObj>
        <w:docPartGallery w:val="Page Numbers (Bottom of Page)"/>
        <w:docPartUnique/>
      </w:docPartObj>
    </w:sdtPr>
    <w:sdtEndPr/>
    <w:sdtContent>
      <w:p w:rsidR="00AE3C77" w:rsidRDefault="00C138E8">
        <w:pPr>
          <w:pStyle w:val="Porat"/>
          <w:jc w:val="right"/>
        </w:pPr>
        <w:r w:rsidRPr="00274BF4">
          <w:rPr>
            <w:sz w:val="22"/>
            <w:szCs w:val="22"/>
          </w:rPr>
          <w:fldChar w:fldCharType="begin"/>
        </w:r>
        <w:r w:rsidRPr="00274BF4">
          <w:rPr>
            <w:sz w:val="22"/>
            <w:szCs w:val="22"/>
          </w:rPr>
          <w:instrText>PAGE   \* MERGEFORMAT</w:instrText>
        </w:r>
        <w:r w:rsidRPr="00274BF4">
          <w:rPr>
            <w:sz w:val="22"/>
            <w:szCs w:val="22"/>
          </w:rPr>
          <w:fldChar w:fldCharType="separate"/>
        </w:r>
        <w:r w:rsidRPr="00C138E8">
          <w:rPr>
            <w:noProof/>
            <w:sz w:val="22"/>
            <w:szCs w:val="22"/>
            <w:lang w:val="lt-LT"/>
          </w:rPr>
          <w:t>1</w:t>
        </w:r>
        <w:r w:rsidRPr="00274BF4">
          <w:rPr>
            <w:sz w:val="22"/>
            <w:szCs w:val="22"/>
          </w:rPr>
          <w:fldChar w:fldCharType="end"/>
        </w:r>
      </w:p>
    </w:sdtContent>
  </w:sdt>
  <w:p w:rsidR="00AE3C77" w:rsidRPr="002B68B9" w:rsidRDefault="00C138E8" w:rsidP="000F1DF1">
    <w:pPr>
      <w:pStyle w:val="Porat"/>
      <w:tabs>
        <w:tab w:val="right" w:pos="8931"/>
      </w:tabs>
      <w:ind w:right="96"/>
      <w:rPr>
        <w:rFonts w:ascii="Arial" w:hAnsi="Arial" w:cs="Arial"/>
        <w:vanish/>
        <w:sz w:val="16"/>
        <w:szCs w:val="16"/>
        <w:lang w:val="de-D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C77" w:rsidRPr="000F1DF1" w:rsidRDefault="00C138E8" w:rsidP="00735BA0">
    <w:pPr>
      <w:pStyle w:val="Porat"/>
      <w:tabs>
        <w:tab w:val="right" w:pos="8931"/>
      </w:tabs>
      <w:ind w:right="96"/>
      <w:rPr>
        <w:vanish/>
        <w:sz w:val="16"/>
        <w:szCs w:val="16"/>
      </w:rPr>
    </w:pPr>
    <w:r w:rsidRPr="000F1DF1">
      <w:rPr>
        <w:vanish/>
        <w:sz w:val="16"/>
        <w:szCs w:val="16"/>
      </w:rPr>
      <w:fldChar w:fldCharType="begin"/>
    </w:r>
    <w:r w:rsidRPr="000F1DF1">
      <w:rPr>
        <w:vanish/>
        <w:sz w:val="16"/>
        <w:szCs w:val="16"/>
      </w:rPr>
      <w:instrText xml:space="preserve"> EQ </w:instrText>
    </w:r>
    <w:r w:rsidRPr="000F1DF1">
      <w:rPr>
        <w:vanish/>
        <w:sz w:val="16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01E1" w:rsidRDefault="00C138E8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6A7587"/>
    <w:multiLevelType w:val="hybridMultilevel"/>
    <w:tmpl w:val="2EF493E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FD23F3"/>
    <w:multiLevelType w:val="hybridMultilevel"/>
    <w:tmpl w:val="A18C197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5372D0"/>
    <w:multiLevelType w:val="hybridMultilevel"/>
    <w:tmpl w:val="BA94798E"/>
    <w:lvl w:ilvl="0" w:tplc="4C5CEB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8E8"/>
    <w:rsid w:val="00004415"/>
    <w:rsid w:val="000A110A"/>
    <w:rsid w:val="001C0548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AC23C0"/>
    <w:rsid w:val="00B578BF"/>
    <w:rsid w:val="00C138E8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26092"/>
  <w15:chartTrackingRefBased/>
  <w15:docId w15:val="{CD18C060-44AF-46C2-AC41-56749CE96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138E8"/>
    <w:pPr>
      <w:tabs>
        <w:tab w:val="left" w:pos="567"/>
      </w:tabs>
      <w:spacing w:after="0" w:line="260" w:lineRule="exact"/>
    </w:pPr>
    <w:rPr>
      <w:rFonts w:ascii="Times New Roman" w:hAnsi="Times New Roman" w:cs="Times New Roman"/>
      <w:szCs w:val="20"/>
      <w:lang w:val="en-GB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138E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138E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ntrat3">
    <w:name w:val="heading 3"/>
    <w:basedOn w:val="prastasis"/>
    <w:next w:val="prastasis"/>
    <w:link w:val="Antrat3Diagrama"/>
    <w:qFormat/>
    <w:rsid w:val="00C138E8"/>
    <w:pPr>
      <w:numPr>
        <w:ilvl w:val="12"/>
      </w:numPr>
      <w:tabs>
        <w:tab w:val="clear" w:pos="567"/>
      </w:tabs>
      <w:spacing w:before="240" w:line="240" w:lineRule="auto"/>
      <w:outlineLvl w:val="2"/>
    </w:pPr>
    <w:rPr>
      <w:b/>
      <w:noProof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rsid w:val="00C138E8"/>
    <w:rPr>
      <w:rFonts w:ascii="Times New Roman" w:hAnsi="Times New Roman" w:cs="Times New Roman"/>
      <w:b/>
      <w:noProof/>
      <w:szCs w:val="20"/>
      <w:lang w:val="en-GB"/>
    </w:rPr>
  </w:style>
  <w:style w:type="paragraph" w:styleId="Antrats">
    <w:name w:val="header"/>
    <w:basedOn w:val="prastasis"/>
    <w:link w:val="AntratsDiagrama"/>
    <w:rsid w:val="00C138E8"/>
    <w:pPr>
      <w:tabs>
        <w:tab w:val="center" w:pos="4536"/>
        <w:tab w:val="right" w:pos="9072"/>
      </w:tabs>
    </w:pPr>
    <w:rPr>
      <w:rFonts w:ascii="Tms Rmn" w:hAnsi="Tms Rmn"/>
      <w:sz w:val="24"/>
    </w:rPr>
  </w:style>
  <w:style w:type="character" w:customStyle="1" w:styleId="AntratsDiagrama">
    <w:name w:val="Antraštės Diagrama"/>
    <w:basedOn w:val="Numatytasispastraiposriftas"/>
    <w:link w:val="Antrats"/>
    <w:rsid w:val="00C138E8"/>
    <w:rPr>
      <w:rFonts w:ascii="Tms Rmn" w:hAnsi="Tms Rmn" w:cs="Times New Roman"/>
      <w:sz w:val="24"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C138E8"/>
    <w:pPr>
      <w:tabs>
        <w:tab w:val="center" w:pos="4536"/>
        <w:tab w:val="right" w:pos="9072"/>
      </w:tabs>
    </w:pPr>
    <w:rPr>
      <w:rFonts w:ascii="Tms Rmn" w:hAnsi="Tms Rmn"/>
      <w:sz w:val="24"/>
    </w:rPr>
  </w:style>
  <w:style w:type="character" w:customStyle="1" w:styleId="PoratDiagrama">
    <w:name w:val="Poraštė Diagrama"/>
    <w:basedOn w:val="Numatytasispastraiposriftas"/>
    <w:link w:val="Porat"/>
    <w:uiPriority w:val="99"/>
    <w:rsid w:val="00C138E8"/>
    <w:rPr>
      <w:rFonts w:ascii="Tms Rmn" w:hAnsi="Tms Rmn" w:cs="Times New Roman"/>
      <w:sz w:val="24"/>
      <w:szCs w:val="20"/>
      <w:lang w:val="en-GB"/>
    </w:rPr>
  </w:style>
  <w:style w:type="character" w:styleId="Hipersaitas">
    <w:name w:val="Hyperlink"/>
    <w:rsid w:val="00C138E8"/>
    <w:rPr>
      <w:color w:val="0000FF"/>
      <w:u w:val="single"/>
    </w:rPr>
  </w:style>
  <w:style w:type="paragraph" w:customStyle="1" w:styleId="PI-1EMEASMCA">
    <w:name w:val="PI-1 EMEA_SMCA"/>
    <w:basedOn w:val="Antrat2"/>
    <w:autoRedefine/>
    <w:rsid w:val="00C138E8"/>
    <w:pPr>
      <w:keepLines w:val="0"/>
      <w:spacing w:before="0" w:line="240" w:lineRule="auto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  <w:lang w:val="lt-LT"/>
    </w:rPr>
  </w:style>
  <w:style w:type="paragraph" w:customStyle="1" w:styleId="PI-2EMEASMCA">
    <w:name w:val="PI-2 EMEA_SMCA"/>
    <w:basedOn w:val="Antrat3"/>
    <w:autoRedefine/>
    <w:rsid w:val="00C138E8"/>
    <w:pPr>
      <w:keepNext/>
      <w:keepLines/>
      <w:numPr>
        <w:ilvl w:val="0"/>
      </w:numPr>
      <w:tabs>
        <w:tab w:val="left" w:pos="567"/>
      </w:tabs>
      <w:spacing w:before="0"/>
      <w:ind w:left="567" w:hanging="567"/>
    </w:pPr>
    <w:rPr>
      <w:bCs/>
      <w:noProof w:val="0"/>
      <w:kern w:val="28"/>
      <w:szCs w:val="22"/>
      <w:lang w:val="lt-LT"/>
    </w:rPr>
  </w:style>
  <w:style w:type="paragraph" w:customStyle="1" w:styleId="BTEMEASMCA">
    <w:name w:val="BT EMEA_SMCA"/>
    <w:basedOn w:val="prastasis"/>
    <w:link w:val="BTEMEASMCAChar"/>
    <w:autoRedefine/>
    <w:rsid w:val="00C138E8"/>
    <w:pPr>
      <w:tabs>
        <w:tab w:val="clear" w:pos="567"/>
      </w:tabs>
      <w:spacing w:line="240" w:lineRule="auto"/>
    </w:pPr>
    <w:rPr>
      <w:noProof/>
      <w:szCs w:val="22"/>
      <w:lang w:val="lt-LT"/>
    </w:rPr>
  </w:style>
  <w:style w:type="paragraph" w:customStyle="1" w:styleId="TTEMEASMCA">
    <w:name w:val="TT EMEA_SMCA"/>
    <w:basedOn w:val="Antrat1"/>
    <w:link w:val="TTEMEASMCAChar"/>
    <w:autoRedefine/>
    <w:rsid w:val="00C138E8"/>
    <w:pPr>
      <w:keepNext w:val="0"/>
      <w:keepLines w:val="0"/>
      <w:spacing w:before="0" w:line="240" w:lineRule="auto"/>
      <w:ind w:left="567" w:hanging="567"/>
      <w:jc w:val="center"/>
    </w:pPr>
    <w:rPr>
      <w:rFonts w:ascii="Times New Roman" w:eastAsia="Times New Roman" w:hAnsi="Times New Roman" w:cs="Times New Roman"/>
      <w:b/>
      <w:caps/>
      <w:color w:val="auto"/>
      <w:sz w:val="22"/>
      <w:szCs w:val="22"/>
      <w:lang w:val="en-US"/>
    </w:rPr>
  </w:style>
  <w:style w:type="character" w:customStyle="1" w:styleId="TTEMEASMCAChar">
    <w:name w:val="TT EMEA_SMCA Char"/>
    <w:link w:val="TTEMEASMCA"/>
    <w:rsid w:val="00C138E8"/>
    <w:rPr>
      <w:rFonts w:ascii="Times New Roman" w:hAnsi="Times New Roman" w:cs="Times New Roman"/>
      <w:b/>
      <w:caps/>
      <w:lang w:val="en-US"/>
    </w:rPr>
  </w:style>
  <w:style w:type="character" w:customStyle="1" w:styleId="BTEMEASMCAChar">
    <w:name w:val="BT EMEA_SMCA Char"/>
    <w:link w:val="BTEMEASMCA"/>
    <w:rsid w:val="00C138E8"/>
    <w:rPr>
      <w:rFonts w:ascii="Times New Roman" w:hAnsi="Times New Roman" w:cs="Times New Roman"/>
      <w:noProof/>
    </w:rPr>
  </w:style>
  <w:style w:type="paragraph" w:customStyle="1" w:styleId="BT-EMEASMCA">
    <w:name w:val="BT- EMEA_SMCA"/>
    <w:basedOn w:val="BTEMEASMCA"/>
    <w:autoRedefine/>
    <w:rsid w:val="00C138E8"/>
    <w:rPr>
      <w:b/>
    </w:rPr>
  </w:style>
  <w:style w:type="paragraph" w:customStyle="1" w:styleId="PI-3EMEASMCA">
    <w:name w:val="PI-3 EMEA_SMCA"/>
    <w:basedOn w:val="prastasis"/>
    <w:autoRedefine/>
    <w:rsid w:val="00C138E8"/>
    <w:pPr>
      <w:tabs>
        <w:tab w:val="clear" w:pos="567"/>
      </w:tabs>
      <w:spacing w:line="220" w:lineRule="exact"/>
    </w:pPr>
    <w:rPr>
      <w:b/>
      <w:bCs/>
      <w:szCs w:val="22"/>
      <w:lang w:val="lt-LT"/>
    </w:rPr>
  </w:style>
  <w:style w:type="paragraph" w:customStyle="1" w:styleId="BTbEMEASMCA">
    <w:name w:val="BT(b) EMEA_SMCA"/>
    <w:basedOn w:val="BTEMEASMCA"/>
    <w:autoRedefine/>
    <w:rsid w:val="00C138E8"/>
    <w:rPr>
      <w:b/>
    </w:rPr>
  </w:style>
  <w:style w:type="paragraph" w:customStyle="1" w:styleId="BTbeEMEASMCA">
    <w:name w:val="BT(be) EMEA_SMCA"/>
    <w:basedOn w:val="BTEMEASMCA"/>
    <w:autoRedefine/>
    <w:rsid w:val="00C138E8"/>
    <w:pPr>
      <w:jc w:val="center"/>
    </w:pPr>
    <w:rPr>
      <w:b/>
    </w:rPr>
  </w:style>
  <w:style w:type="paragraph" w:styleId="Sraopastraipa">
    <w:name w:val="List Paragraph"/>
    <w:basedOn w:val="prastasis"/>
    <w:uiPriority w:val="34"/>
    <w:qFormat/>
    <w:rsid w:val="00C138E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138E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C138E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vkt.lt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nfo.germany@alpenpharma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5684</Words>
  <Characters>3240</Characters>
  <Application>Microsoft Office Word</Application>
  <DocSecurity>0</DocSecurity>
  <Lines>27</Lines>
  <Paragraphs>17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12</vt:i4>
      </vt:variant>
    </vt:vector>
  </HeadingPairs>
  <TitlesOfParts>
    <vt:vector size="13" baseType="lpstr">
      <vt:lpstr/>
      <vt:lpstr>Pakuotės lapelis: informacija vartotojui</vt:lpstr>
      <vt:lpstr>    1.	Kas yra Cinnabsin N ir kam jis vartojamas</vt:lpstr>
      <vt:lpstr>        Cinnabsin N yra homeopatinis vaistas papildomam ūminio ar lėtinio sinusito gydym</vt:lpstr>
      <vt:lpstr>        </vt:lpstr>
      <vt:lpstr>        Indikacijos pagrįstos tik homeopatijos principais. </vt:lpstr>
      <vt:lpstr>    2.	Kas žinotina prieš vartojant Cinnabsin N </vt:lpstr>
      <vt:lpstr>    3.	Kaip vartoti Cinnabsin N </vt:lpstr>
      <vt:lpstr>    4.	Galimas šalutinis poveikis</vt:lpstr>
      <vt:lpstr>        Pranešimas apie šalutinį poveikį</vt:lpstr>
      <vt:lpstr>    5.	Kaip laikyti Cinnabsin N </vt:lpstr>
      <vt:lpstr>    6.	Pakuotės turinys ir kita informacija</vt:lpstr>
      <vt:lpstr>    </vt:lpstr>
    </vt:vector>
  </TitlesOfParts>
  <Company/>
  <LinksUpToDate>false</LinksUpToDate>
  <CharactersWithSpaces>8907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2024-01-04T07:57:00Z</dcterms:created>
  <dcterms:modified xsi:type="dcterms:W3CDTF">2024-01-04T07:57:00Z</dcterms:modified>
</cp:coreProperties>
</file>