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A6" w:rsidRPr="001F3497" w:rsidRDefault="003965A6" w:rsidP="0039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iCs/>
          <w:lang w:eastAsia="lt-LT"/>
        </w:rPr>
        <w:t>Pakuotės lapelis: informacija vartotojui</w:t>
      </w:r>
    </w:p>
    <w:p w:rsidR="003965A6" w:rsidRPr="001F3497" w:rsidRDefault="003965A6" w:rsidP="003965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 xml:space="preserve">RAMEVAL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:rsidR="003965A6" w:rsidRPr="001F3497" w:rsidRDefault="003965A6" w:rsidP="003965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alerijonų šaknų, sukatžolių žolės, apynių spurgų, pipirmėčių lapų tinktūra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3965A6" w:rsidRPr="001F3497" w:rsidRDefault="003965A6" w:rsidP="003965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Atidžiai perskaitykite visą šį lapelį, </w:t>
      </w:r>
      <w:r w:rsidRPr="001F3497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nes jame pateikiama Jums svarbi informacija.</w:t>
      </w:r>
    </w:p>
    <w:p w:rsidR="003965A6" w:rsidRPr="001F3497" w:rsidRDefault="003965A6" w:rsidP="003965A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3965A6" w:rsidRPr="001F3497" w:rsidRDefault="003965A6" w:rsidP="003965A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-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3965A6" w:rsidRPr="001F3497" w:rsidRDefault="003965A6" w:rsidP="003965A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-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:rsidR="003965A6" w:rsidRPr="001F3497" w:rsidRDefault="003965A6" w:rsidP="003965A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</w:t>
      </w:r>
      <w:r w:rsidRPr="001F349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>Žr. 4 skyrių</w:t>
      </w:r>
      <w:r w:rsidRPr="001F3497">
        <w:rPr>
          <w:rFonts w:ascii="Times New Roman" w:eastAsia="Times New Roman" w:hAnsi="Times New Roman"/>
          <w:lang w:eastAsia="lt-LT"/>
        </w:rPr>
        <w:t>.</w:t>
      </w:r>
    </w:p>
    <w:p w:rsidR="003965A6" w:rsidRPr="001F3497" w:rsidRDefault="003965A6" w:rsidP="003965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-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Jeigu per 14 dienų Jūsų savijauta nepagerėjo arba net pablogėjo, kreipkitės į gydytoją.</w:t>
      </w:r>
    </w:p>
    <w:p w:rsidR="003965A6" w:rsidRPr="001F3497" w:rsidRDefault="003965A6" w:rsidP="003965A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yra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 xml:space="preserve">RAMEVAL </w:t>
      </w:r>
      <w:r w:rsidRPr="001F3497">
        <w:rPr>
          <w:rFonts w:ascii="Times New Roman" w:eastAsia="Times New Roman" w:hAnsi="Times New Roman" w:cs="Times New Roman"/>
          <w:lang w:eastAsia="lt-LT"/>
        </w:rPr>
        <w:t>ir kam jis vartojamas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>RAMEVAL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>RAMEVAL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>RAMEVAL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 xml:space="preserve">Kas yra </w:t>
      </w:r>
      <w:r w:rsidRPr="001F3497">
        <w:rPr>
          <w:rFonts w:ascii="Times New Roman Bold" w:eastAsia="Times New Roman" w:hAnsi="Times New Roman Bold" w:cs="Times New Roman"/>
          <w:b/>
          <w:caps/>
          <w:szCs w:val="20"/>
          <w:lang w:eastAsia="lt-LT"/>
        </w:rPr>
        <w:t>RAMEVAL</w:t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 xml:space="preserve"> ir kam jis vartojamas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1F3497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1F3497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1F3497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:rsidR="003965A6" w:rsidRPr="001F3497" w:rsidRDefault="003965A6" w:rsidP="003965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1F3497">
        <w:rPr>
          <w:rFonts w:ascii="Times New Roman" w:eastAsia="Times New Roman" w:hAnsi="Times New Roman" w:cs="Times New Roman"/>
          <w:szCs w:val="24"/>
          <w:lang w:eastAsia="lt-LT"/>
        </w:rPr>
        <w:t>Tai tradicinis augalinis vaistinis preparatas, vartojamas pagal nurodytas indikacijas, išimtinai remiantis ilgalaikėmis vartojimo tradicijomis.</w:t>
      </w:r>
    </w:p>
    <w:p w:rsidR="003965A6" w:rsidRPr="001F3497" w:rsidRDefault="003965A6" w:rsidP="003965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:rsidR="003965A6" w:rsidRPr="001F3497" w:rsidRDefault="003965A6" w:rsidP="003965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Kas žinotina prieš vartojant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  <w:r w:rsidRPr="001F3497">
        <w:rPr>
          <w:rFonts w:ascii="Times New Roman Bold" w:eastAsia="Times New Roman" w:hAnsi="Times New Roman Bold" w:cs="Times New Roman"/>
          <w:b/>
          <w:caps/>
          <w:szCs w:val="20"/>
          <w:lang w:eastAsia="lt-LT"/>
        </w:rPr>
        <w:t>RAMEVAL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RAMEVAL</w:t>
      </w:r>
      <w:r w:rsidRPr="001F3497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3965A6" w:rsidRPr="001F3497" w:rsidRDefault="003965A6" w:rsidP="003965A6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padidėjęs jautrumas vaisto sudėtyje esančioms medžiagoms.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Įspėjimai ir atsargumo 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p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>riemonės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Pasitarkite su gydytoju arba vaistininku, prieš pradėdami vartoti RAMEVAL.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vartojant šį vaistą ilgiau kaip dvi savaites simptomai išlieka, būtina pasitarti su gydytoju ar kvalifikuotu sveikatos priežiūros specialistu.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Jūs turite akmenų tulžies pūslėje ar kitokių tulžies pūslės funkcijos sutrikimų, šį vaistą turėtumėte vartoti atsargiai.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Jeigu Jūs sergate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gastroezofaginiu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refliuksu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(rėmens graužimu), šį vaistą turėtumėte vartoti atsargiai nes gali padidėti rėmens graužimas.</w:t>
      </w:r>
    </w:p>
    <w:p w:rsidR="003965A6" w:rsidRPr="001F3497" w:rsidRDefault="003965A6" w:rsidP="003965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Vaikams ir paaugliams</w:t>
      </w:r>
    </w:p>
    <w:p w:rsidR="003965A6" w:rsidRPr="001F3497" w:rsidRDefault="003965A6" w:rsidP="003965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Šio vaistinio preparato nerekomenduojama naudoti jaunesniems nei 18 metų asmenims.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 xml:space="preserve">Kiti vaistai ir </w:t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RAMEVAL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Šis vaistas gali pakeisti arba padidinti kitų vaistų poveikį. Nerekomenduojama šio vaisto vartoti kartu su kitais raminamaisiais vaistais.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tikri, apie tai pasakykite gydytojui arba vaistininkui.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Nėštumas, žindymo laikotarpis ir vaisingumas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Prieš vartojant bet kokį vaistą, būtina pasitarti su gydytoju arba vaistininku.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Nėštumo metu šio vaisto vartoti negalima.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1F3497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šį vaistą žindymo laikotarpiu, nežinoma.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1F3497">
        <w:rPr>
          <w:rFonts w:ascii="Times New Roman" w:eastAsia="Times New Roman" w:hAnsi="Times New Roman" w:cs="Times New Roman"/>
          <w:kern w:val="28"/>
          <w:lang w:eastAsia="lt-LT"/>
        </w:rPr>
        <w:t xml:space="preserve">Nėra žinoma ar </w:t>
      </w:r>
      <w:proofErr w:type="spellStart"/>
      <w:r w:rsidRPr="001F3497">
        <w:rPr>
          <w:rFonts w:ascii="Times New Roman" w:eastAsia="Times New Roman" w:hAnsi="Times New Roman" w:cs="Times New Roman"/>
          <w:kern w:val="28"/>
          <w:lang w:eastAsia="lt-LT"/>
        </w:rPr>
        <w:t>Rameval</w:t>
      </w:r>
      <w:proofErr w:type="spellEnd"/>
      <w:r w:rsidRPr="001F3497">
        <w:rPr>
          <w:rFonts w:ascii="Times New Roman" w:eastAsia="Times New Roman" w:hAnsi="Times New Roman" w:cs="Times New Roman"/>
          <w:kern w:val="28"/>
          <w:lang w:eastAsia="lt-LT"/>
        </w:rPr>
        <w:t xml:space="preserve"> turi įtakos vaisingumui.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RAMEVAL sudėtyje yra etanolio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Šio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sudėtyje yra ne mažiau kaip 63 % </w:t>
      </w:r>
      <w:r>
        <w:rPr>
          <w:rFonts w:ascii="Times New Roman" w:eastAsia="Times New Roman" w:hAnsi="Times New Roman" w:cs="Times New Roman"/>
          <w:lang w:eastAsia="lt-LT"/>
        </w:rPr>
        <w:t xml:space="preserve">(V/V)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etanolio,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. 337 mg dozėje</w:t>
      </w:r>
      <w:r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atitinka 7,54 ml alaus, 3,14 ml vyno. </w:t>
      </w:r>
      <w:r w:rsidRPr="00DB7EEF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mallCaps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Kaip vartoti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RAMEVAL</w:t>
      </w:r>
    </w:p>
    <w:p w:rsidR="003965A6" w:rsidRPr="001F3497" w:rsidRDefault="003965A6" w:rsidP="003965A6">
      <w:pPr>
        <w:numPr>
          <w:ilvl w:val="12"/>
          <w:numId w:val="0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Visada</w:t>
      </w:r>
      <w:r w:rsidRPr="001F3497">
        <w:rPr>
          <w:rFonts w:ascii="Times New Roman" w:eastAsia="Times New Roman" w:hAnsi="Times New Roman"/>
          <w:lang w:eastAsia="lt-LT"/>
        </w:rPr>
        <w:t xml:space="preserve"> vartokite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šį vaistą </w:t>
      </w:r>
      <w:r w:rsidRPr="001F3497">
        <w:rPr>
          <w:rFonts w:ascii="Times New Roman" w:eastAsia="Times New Roman" w:hAnsi="Times New Roman"/>
          <w:lang w:eastAsia="lt-LT"/>
        </w:rPr>
        <w:t>tiksliai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kaip aprašyta šiame lapelyje arba</w:t>
      </w:r>
      <w:r w:rsidRPr="001F3497">
        <w:rPr>
          <w:rFonts w:ascii="Times New Roman" w:eastAsia="Times New Roman" w:hAnsi="Times New Roman"/>
          <w:lang w:eastAsia="lt-LT"/>
        </w:rPr>
        <w:t xml:space="preserve"> kaip nurodė gydytojas arba vaistininkas. Jeigu abejojate, kreipkitės į gydytoją arba vaistininką.</w:t>
      </w:r>
    </w:p>
    <w:p w:rsidR="003965A6" w:rsidRPr="001F3497" w:rsidRDefault="003965A6" w:rsidP="003965A6">
      <w:pPr>
        <w:numPr>
          <w:ilvl w:val="12"/>
          <w:numId w:val="0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Suaugusiems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Gerti 1 – 3 kartus per dieną po 20 – 30 geriamųjų lašų</w:t>
      </w:r>
      <w:r w:rsidRPr="001F3497">
        <w:rPr>
          <w:rFonts w:ascii="Times New Roman" w:eastAsia="Times New Roman" w:hAnsi="Times New Roman" w:cs="Times New Roman"/>
          <w:bCs/>
          <w:lang w:eastAsia="lt-LT"/>
        </w:rPr>
        <w:t>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632DFD" w:rsidRDefault="003965A6" w:rsidP="003965A6">
      <w:pPr>
        <w:keepNext/>
        <w:spacing w:after="0" w:line="240" w:lineRule="auto"/>
        <w:outlineLvl w:val="1"/>
      </w:pPr>
      <w:r w:rsidRPr="00EF114C">
        <w:rPr>
          <w:rFonts w:ascii="Times New Roman" w:hAnsi="Times New Roman"/>
          <w:b/>
        </w:rPr>
        <w:t>Vartojimas vaikams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nes nėra atlikta atitinkamų saugumo tyrimų.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Ką daryti pavartojus per didelę RAMEVAL</w:t>
      </w:r>
      <w:r w:rsidRPr="001F3497">
        <w:rPr>
          <w:rFonts w:ascii="Times New Roman" w:eastAsia="Times New Roman" w:hAnsi="Times New Roman" w:cs="Times New Roman"/>
          <w:b/>
          <w:small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>dozę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?</w:t>
      </w:r>
    </w:p>
    <w:p w:rsidR="003965A6" w:rsidRPr="001F3497" w:rsidRDefault="003965A6" w:rsidP="003965A6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:rsidR="003965A6" w:rsidRPr="001F3497" w:rsidRDefault="003965A6" w:rsidP="003965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Galimas šalutinis poveikis</w:t>
      </w:r>
    </w:p>
    <w:p w:rsidR="003965A6" w:rsidRPr="001F3497" w:rsidRDefault="003965A6" w:rsidP="003965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DB7EEF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B7EEF">
        <w:rPr>
          <w:rFonts w:ascii="Times New Roman" w:eastAsia="Times New Roman" w:hAnsi="Times New Roman" w:cs="Times New Roman"/>
          <w:b/>
          <w:lang w:eastAsia="lt-LT"/>
        </w:rPr>
        <w:t>Šalutinio poveikio reiškiniai, kurių dažnis nežinomas (negali būti apskaičiuotas pagal turimus duomenis):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Pavartojus valerijonų šaknų preparatų gali atsirasti virškinimo sutrikimo simptomai (pavyzdžiui, pykinimas, pilvo diegliai).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Pavartojus pipirmėčių lapų preparatų, gali paaštrėti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gastroezofaginis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refliuksas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ir padidėti rėmens graužimas. 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Galimi alerginės ar į ją panašios reakcijos (dilgėlinės, niežėjimo) pavieniai atvejai.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lastRenderedPageBreak/>
        <w:t>Pranešimas apie šalutinį poveikį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F40AED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40AED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F40AED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F40AED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F40AED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F40AED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F40AED">
        <w:rPr>
          <w:rFonts w:ascii="Times New Roman" w:hAnsi="Times New Roman" w:cs="Times New Roman"/>
          <w:snapToGrid w:val="0"/>
        </w:rPr>
        <w:t xml:space="preserve">) arba nemokamu telefonu 8 800 73 568. </w:t>
      </w:r>
      <w:r w:rsidRPr="001F3497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Kaip laikyti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RAMEVAL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4"/>
          <w:lang w:eastAsia="lt-LT"/>
        </w:rPr>
        <w:t>Šį vaistą l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aikykite vaikams nepastebimoje ir nepasiekiamoje vietoje.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Laikyti ne aukštesnėje kaip 25º C</w:t>
      </w:r>
      <w:r w:rsidRPr="001F3497" w:rsidDel="00F65C9E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temperatūroje.</w:t>
      </w:r>
    </w:p>
    <w:p w:rsidR="003965A6" w:rsidRPr="001F3497" w:rsidRDefault="003965A6" w:rsidP="003965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vaistas būtų apsaugotas nuo šviesos.</w:t>
      </w:r>
    </w:p>
    <w:p w:rsidR="003965A6" w:rsidRPr="001F3497" w:rsidRDefault="003965A6" w:rsidP="003965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:rsidR="003965A6" w:rsidRPr="001F3497" w:rsidRDefault="003965A6" w:rsidP="003965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Ant buteliuko etiketės ir dėžutės po „Tinka iki“ nurodytam tinkamumo laikui pasibaigus, šio vaisto vartoti negalima.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Vaistas tinkamas vartoti iki paskutinės nurodyto mėnesio dienos.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Pakuotės turinys ir kita informacija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RAMEVAL sudėtis</w:t>
      </w:r>
    </w:p>
    <w:p w:rsidR="003965A6" w:rsidRPr="001F3497" w:rsidRDefault="003965A6" w:rsidP="003965A6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Veiklioji medžiaga yra valerijonų šaknų, sukatžolių žolės, apynių spurgų, pipirmėčių lapų tinktūra.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1 ml geriamųjų lašų yra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1 ml tinktūros (1:5) iš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L.s.l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(valerijonų šaknų),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>L.,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(sukatžolių žolės),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Humulus</w:t>
      </w:r>
      <w:proofErr w:type="spellEnd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lupulus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flos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(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apynių spurgų),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i/>
          <w:iCs/>
          <w:lang w:eastAsia="lt-LT"/>
        </w:rPr>
        <w:t xml:space="preserve">x 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(pipirmėčių lapų) (3/3/2/2).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: 70 % (V/V) etanolis.</w:t>
      </w:r>
    </w:p>
    <w:p w:rsidR="003965A6" w:rsidRPr="001F3497" w:rsidRDefault="003965A6" w:rsidP="003965A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rAMEVAL 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pakuotėje: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Žalsvai gelsvai rudos spalvos, skaidrus, būdingo kvapo kartus skystis.</w:t>
      </w:r>
    </w:p>
    <w:p w:rsidR="003965A6" w:rsidRPr="001F3497" w:rsidRDefault="003965A6" w:rsidP="003965A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Laikymo metu gali iškristi nuosėdų.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buteliukas, kuriame yra 50 ml geriamųjų lašų.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965A6" w:rsidRPr="001F3497" w:rsidRDefault="003965A6" w:rsidP="003965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gamintojas: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lapelis paskutinį kartą peržiūrėtas </w:t>
      </w:r>
      <w:r>
        <w:rPr>
          <w:rFonts w:ascii="Times New Roman" w:eastAsia="Times New Roman" w:hAnsi="Times New Roman" w:cs="Times New Roman"/>
          <w:b/>
          <w:lang w:eastAsia="lt-LT"/>
        </w:rPr>
        <w:t>2022-02-15.</w:t>
      </w: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965A6" w:rsidRPr="001F3497" w:rsidRDefault="003965A6" w:rsidP="003965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Išsami informacija apie šį vaistą pateikiama Valstybinės vaistų kontrolės tarnybos prie Lietuvos Respublikos sveikatos apsaugos ministerijos tinklalapyje</w:t>
      </w:r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hyperlink r:id="rId8" w:history="1">
        <w:r w:rsidRPr="00EF114C">
          <w:rPr>
            <w:rFonts w:cs="Times New Roman"/>
          </w:rPr>
          <w:t>http://www.vvkt.lt/</w:t>
        </w:r>
      </w:hyperlink>
      <w:r w:rsidRPr="00632DF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D9483EF2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A6"/>
    <w:rsid w:val="00234094"/>
    <w:rsid w:val="003965A6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56872-A33E-4BB9-BF9A-F7983755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65A6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4662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2022-02-22T13:26:00Z</dcterms:created>
  <dcterms:modified xsi:type="dcterms:W3CDTF">2022-02-22T13:26:00Z</dcterms:modified>
</cp:coreProperties>
</file>