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04" w:rsidRDefault="000E5F04" w:rsidP="000E5F04">
      <w:pPr>
        <w:pStyle w:val="TTEMEASMCA"/>
        <w:rPr>
          <w:rFonts w:ascii="Times New Roman" w:hAnsi="Times New Roman"/>
        </w:rPr>
      </w:pPr>
      <w:bookmarkStart w:id="0" w:name="_Toc129243138"/>
      <w:bookmarkStart w:id="1" w:name="_Toc129243263"/>
      <w:r>
        <w:rPr>
          <w:rFonts w:ascii="Times New Roman" w:hAnsi="Times New Roman"/>
          <w:caps w:val="0"/>
        </w:rPr>
        <w:t>Pakuotės lapelis: informacija vartotojui</w:t>
      </w:r>
      <w:bookmarkEnd w:id="0"/>
      <w:bookmarkEnd w:id="1"/>
    </w:p>
    <w:p w:rsidR="000E5F04" w:rsidRDefault="000E5F04" w:rsidP="000E5F04">
      <w:pPr>
        <w:pStyle w:val="BTEMEASMCA"/>
        <w:jc w:val="center"/>
        <w:rPr>
          <w:rFonts w:ascii="Times New Roman" w:hAnsi="Times New Roman"/>
          <w:noProof w:val="0"/>
        </w:rPr>
      </w:pPr>
    </w:p>
    <w:p w:rsidR="000E5F04" w:rsidRDefault="000E5F04" w:rsidP="000E5F04">
      <w:pPr>
        <w:jc w:val="center"/>
        <w:rPr>
          <w:b/>
          <w:sz w:val="22"/>
          <w:szCs w:val="22"/>
        </w:rPr>
      </w:pPr>
      <w:proofErr w:type="spellStart"/>
      <w:r>
        <w:rPr>
          <w:b/>
          <w:sz w:val="22"/>
          <w:szCs w:val="22"/>
        </w:rPr>
        <w:t>Amikacin</w:t>
      </w:r>
      <w:proofErr w:type="spellEnd"/>
      <w:r>
        <w:rPr>
          <w:b/>
          <w:sz w:val="22"/>
          <w:szCs w:val="22"/>
        </w:rPr>
        <w:t xml:space="preserve"> </w:t>
      </w:r>
      <w:proofErr w:type="spellStart"/>
      <w:r>
        <w:rPr>
          <w:b/>
          <w:sz w:val="22"/>
          <w:szCs w:val="22"/>
        </w:rPr>
        <w:t>Sopharma</w:t>
      </w:r>
      <w:proofErr w:type="spellEnd"/>
      <w:r>
        <w:rPr>
          <w:b/>
          <w:sz w:val="22"/>
          <w:szCs w:val="22"/>
        </w:rPr>
        <w:t xml:space="preserve"> 250 mg/ml injekcinis tirpalas</w:t>
      </w:r>
    </w:p>
    <w:p w:rsidR="000E5F04" w:rsidRDefault="000E5F04" w:rsidP="000E5F04">
      <w:pPr>
        <w:jc w:val="center"/>
        <w:rPr>
          <w:bCs/>
          <w:sz w:val="22"/>
          <w:szCs w:val="22"/>
        </w:rPr>
      </w:pPr>
      <w:proofErr w:type="spellStart"/>
      <w:r>
        <w:rPr>
          <w:bCs/>
          <w:sz w:val="22"/>
          <w:szCs w:val="22"/>
        </w:rPr>
        <w:t>Amikacinas</w:t>
      </w:r>
      <w:proofErr w:type="spellEnd"/>
    </w:p>
    <w:p w:rsidR="000E5F04" w:rsidRDefault="000E5F04" w:rsidP="000E5F04">
      <w:pPr>
        <w:pStyle w:val="BTEMEASMCA"/>
        <w:rPr>
          <w:rFonts w:ascii="Times New Roman" w:hAnsi="Times New Roman"/>
          <w:noProof w:val="0"/>
          <w:sz w:val="20"/>
          <w:szCs w:val="20"/>
        </w:rPr>
      </w:pPr>
    </w:p>
    <w:p w:rsidR="000E5F04" w:rsidRDefault="000E5F04" w:rsidP="000E5F04">
      <w:pPr>
        <w:pStyle w:val="BTbEMEASMCA"/>
        <w:rPr>
          <w:rFonts w:ascii="Times New Roman" w:hAnsi="Times New Roman"/>
        </w:rPr>
      </w:pPr>
      <w:r>
        <w:rPr>
          <w:rFonts w:ascii="Times New Roman" w:hAnsi="Times New Roman"/>
        </w:rPr>
        <w:t>Atidžiai perskaitykite visą šį lapelį, prieš pradėdami vartoti vaistą, nes jame pateikiama Jums svarbi informacija.</w:t>
      </w:r>
    </w:p>
    <w:p w:rsidR="000E5F04" w:rsidRDefault="000E5F04" w:rsidP="000E5F04">
      <w:pPr>
        <w:pStyle w:val="BT-EMEASMCA"/>
        <w:tabs>
          <w:tab w:val="clear" w:pos="360"/>
          <w:tab w:val="num" w:pos="720"/>
        </w:tabs>
        <w:ind w:left="720" w:hanging="363"/>
        <w:rPr>
          <w:rFonts w:ascii="Times New Roman" w:hAnsi="Times New Roman"/>
          <w:noProof w:val="0"/>
        </w:rPr>
      </w:pPr>
      <w:r>
        <w:rPr>
          <w:rFonts w:ascii="Times New Roman" w:hAnsi="Times New Roman"/>
          <w:noProof w:val="0"/>
        </w:rPr>
        <w:t>Neišmeskite šio lapelio, nes vėl gali prireikti jį perskaityti.</w:t>
      </w:r>
    </w:p>
    <w:p w:rsidR="000E5F04" w:rsidRDefault="000E5F04" w:rsidP="000E5F04">
      <w:pPr>
        <w:pStyle w:val="BT-EMEASMCA"/>
        <w:tabs>
          <w:tab w:val="clear" w:pos="360"/>
          <w:tab w:val="num" w:pos="720"/>
        </w:tabs>
        <w:ind w:left="720" w:hanging="363"/>
        <w:rPr>
          <w:rFonts w:ascii="Times New Roman" w:hAnsi="Times New Roman"/>
          <w:noProof w:val="0"/>
        </w:rPr>
      </w:pPr>
      <w:r>
        <w:rPr>
          <w:rFonts w:ascii="Times New Roman" w:hAnsi="Times New Roman"/>
          <w:noProof w:val="0"/>
        </w:rPr>
        <w:t>Jeigu kiltų daugiau klausimų, kreipkitės į gydytoją arba vaistininką.</w:t>
      </w:r>
    </w:p>
    <w:p w:rsidR="000E5F04" w:rsidRDefault="000E5F04" w:rsidP="000E5F04">
      <w:pPr>
        <w:pStyle w:val="BT-EMEASMCA"/>
        <w:tabs>
          <w:tab w:val="clear" w:pos="360"/>
          <w:tab w:val="num" w:pos="720"/>
        </w:tabs>
        <w:ind w:left="720" w:hanging="363"/>
        <w:rPr>
          <w:rFonts w:ascii="Times New Roman" w:hAnsi="Times New Roman"/>
          <w:noProof w:val="0"/>
        </w:rPr>
      </w:pPr>
      <w:r>
        <w:rPr>
          <w:rFonts w:ascii="Times New Roman" w:hAnsi="Times New Roman"/>
          <w:noProof w:val="0"/>
        </w:rPr>
        <w:t>Šis vaistas skirtas tik Jums, todėl kitiems žmonėms jo duoti negalima. Vaistas gali jiems pakenkti (net tiems, kurių ligos požymiai yra tokie patys kaip Jūsų).</w:t>
      </w:r>
    </w:p>
    <w:p w:rsidR="000E5F04" w:rsidRDefault="000E5F04" w:rsidP="000E5F04">
      <w:pPr>
        <w:pStyle w:val="BT-EMEASMCA"/>
        <w:tabs>
          <w:tab w:val="clear" w:pos="360"/>
          <w:tab w:val="num" w:pos="720"/>
        </w:tabs>
        <w:ind w:left="720" w:hanging="363"/>
        <w:rPr>
          <w:rFonts w:ascii="Times New Roman" w:hAnsi="Times New Roman"/>
          <w:noProof w:val="0"/>
        </w:rPr>
      </w:pPr>
      <w:r>
        <w:rPr>
          <w:rFonts w:ascii="Times New Roman" w:hAnsi="Times New Roman"/>
        </w:rPr>
        <w:t>Jeigu pasireiškė šalutinis poveikis (net jeigu jis šiame lapelyje nenurodytas), kreipkitės į gydytoją arba vaistininką. Žr. 4 skyrių.</w:t>
      </w:r>
    </w:p>
    <w:p w:rsidR="000E5F04" w:rsidRDefault="000E5F04" w:rsidP="000E5F04">
      <w:pPr>
        <w:pStyle w:val="BTEMEASMCA"/>
        <w:rPr>
          <w:rFonts w:ascii="Times New Roman" w:hAnsi="Times New Roman"/>
          <w:noProof w:val="0"/>
        </w:rPr>
      </w:pPr>
    </w:p>
    <w:p w:rsidR="000E5F04" w:rsidRDefault="000E5F04" w:rsidP="000E5F04">
      <w:pPr>
        <w:pStyle w:val="BTbEMEASMCA"/>
        <w:rPr>
          <w:rFonts w:ascii="Times New Roman" w:hAnsi="Times New Roman"/>
        </w:rPr>
      </w:pPr>
      <w:r>
        <w:rPr>
          <w:rFonts w:ascii="Times New Roman" w:hAnsi="Times New Roman"/>
        </w:rPr>
        <w:t>Apie ką rašoma šiame lapelyje?</w:t>
      </w:r>
    </w:p>
    <w:p w:rsidR="000E5F04" w:rsidRDefault="000E5F04" w:rsidP="000E5F04">
      <w:pPr>
        <w:pStyle w:val="BTbEMEASMCA"/>
        <w:rPr>
          <w:rFonts w:ascii="Times New Roman" w:hAnsi="Times New Roman"/>
        </w:rPr>
      </w:pPr>
    </w:p>
    <w:p w:rsidR="000E5F04" w:rsidRDefault="000E5F04" w:rsidP="000E5F04">
      <w:pPr>
        <w:pStyle w:val="BTEMEASMCA"/>
        <w:tabs>
          <w:tab w:val="left" w:pos="720"/>
        </w:tabs>
        <w:rPr>
          <w:rFonts w:ascii="Times New Roman" w:hAnsi="Times New Roman"/>
          <w:noProof w:val="0"/>
        </w:rPr>
      </w:pPr>
      <w:r>
        <w:rPr>
          <w:rFonts w:ascii="Times New Roman" w:hAnsi="Times New Roman"/>
          <w:noProof w:val="0"/>
        </w:rPr>
        <w:t>1.</w:t>
      </w:r>
      <w:r>
        <w:rPr>
          <w:rFonts w:ascii="Times New Roman" w:hAnsi="Times New Roman"/>
          <w:noProof w:val="0"/>
        </w:rPr>
        <w:tab/>
        <w:t xml:space="preserve">Kas yra </w:t>
      </w:r>
      <w:proofErr w:type="spellStart"/>
      <w:r>
        <w:rPr>
          <w:rFonts w:ascii="Times New Roman" w:hAnsi="Times New Roman"/>
          <w:noProof w:val="0"/>
        </w:rPr>
        <w:t>Amikacin</w:t>
      </w:r>
      <w:proofErr w:type="spellEnd"/>
      <w:r>
        <w:rPr>
          <w:rFonts w:ascii="Times New Roman" w:hAnsi="Times New Roman"/>
          <w:noProof w:val="0"/>
        </w:rPr>
        <w:t xml:space="preserve"> </w:t>
      </w:r>
      <w:proofErr w:type="spellStart"/>
      <w:r>
        <w:rPr>
          <w:rFonts w:ascii="Times New Roman" w:hAnsi="Times New Roman"/>
          <w:noProof w:val="0"/>
        </w:rPr>
        <w:t>Sopharma</w:t>
      </w:r>
      <w:proofErr w:type="spellEnd"/>
      <w:r>
        <w:rPr>
          <w:rFonts w:ascii="Times New Roman" w:hAnsi="Times New Roman"/>
          <w:noProof w:val="0"/>
        </w:rPr>
        <w:t xml:space="preserve"> ir kam jis vartojamas</w:t>
      </w:r>
    </w:p>
    <w:p w:rsidR="000E5F04" w:rsidRDefault="000E5F04" w:rsidP="000E5F04">
      <w:pPr>
        <w:pStyle w:val="BTEMEASMCA"/>
        <w:tabs>
          <w:tab w:val="left" w:pos="720"/>
        </w:tabs>
        <w:rPr>
          <w:rFonts w:ascii="Times New Roman" w:hAnsi="Times New Roman"/>
          <w:noProof w:val="0"/>
        </w:rPr>
      </w:pPr>
      <w:r>
        <w:rPr>
          <w:rFonts w:ascii="Times New Roman" w:hAnsi="Times New Roman"/>
          <w:noProof w:val="0"/>
        </w:rPr>
        <w:t>2.</w:t>
      </w:r>
      <w:r>
        <w:rPr>
          <w:rFonts w:ascii="Times New Roman" w:hAnsi="Times New Roman"/>
          <w:noProof w:val="0"/>
        </w:rPr>
        <w:tab/>
        <w:t xml:space="preserve">Kas žinotina prieš vartojant </w:t>
      </w:r>
      <w:proofErr w:type="spellStart"/>
      <w:r>
        <w:rPr>
          <w:rFonts w:ascii="Times New Roman" w:hAnsi="Times New Roman"/>
          <w:noProof w:val="0"/>
        </w:rPr>
        <w:t>Amikacin</w:t>
      </w:r>
      <w:proofErr w:type="spellEnd"/>
      <w:r>
        <w:rPr>
          <w:rFonts w:ascii="Times New Roman" w:hAnsi="Times New Roman"/>
          <w:noProof w:val="0"/>
        </w:rPr>
        <w:t xml:space="preserve"> </w:t>
      </w:r>
      <w:proofErr w:type="spellStart"/>
      <w:r>
        <w:rPr>
          <w:rFonts w:ascii="Times New Roman" w:hAnsi="Times New Roman"/>
          <w:noProof w:val="0"/>
        </w:rPr>
        <w:t>Sopharma</w:t>
      </w:r>
      <w:proofErr w:type="spellEnd"/>
    </w:p>
    <w:p w:rsidR="000E5F04" w:rsidRDefault="000E5F04" w:rsidP="000E5F04">
      <w:pPr>
        <w:pStyle w:val="BTEMEASMCA"/>
        <w:tabs>
          <w:tab w:val="left" w:pos="720"/>
        </w:tabs>
        <w:rPr>
          <w:rFonts w:ascii="Times New Roman" w:hAnsi="Times New Roman"/>
          <w:noProof w:val="0"/>
        </w:rPr>
      </w:pPr>
      <w:r>
        <w:rPr>
          <w:rFonts w:ascii="Times New Roman" w:hAnsi="Times New Roman"/>
          <w:noProof w:val="0"/>
        </w:rPr>
        <w:t>3.</w:t>
      </w:r>
      <w:r>
        <w:rPr>
          <w:rFonts w:ascii="Times New Roman" w:hAnsi="Times New Roman"/>
          <w:noProof w:val="0"/>
        </w:rPr>
        <w:tab/>
        <w:t xml:space="preserve">Kaip vartoti </w:t>
      </w:r>
      <w:proofErr w:type="spellStart"/>
      <w:r>
        <w:rPr>
          <w:rFonts w:ascii="Times New Roman" w:hAnsi="Times New Roman"/>
          <w:noProof w:val="0"/>
        </w:rPr>
        <w:t>Amikacin</w:t>
      </w:r>
      <w:proofErr w:type="spellEnd"/>
      <w:r>
        <w:rPr>
          <w:rFonts w:ascii="Times New Roman" w:hAnsi="Times New Roman"/>
          <w:noProof w:val="0"/>
        </w:rPr>
        <w:t xml:space="preserve"> </w:t>
      </w:r>
      <w:proofErr w:type="spellStart"/>
      <w:r>
        <w:rPr>
          <w:rFonts w:ascii="Times New Roman" w:hAnsi="Times New Roman"/>
          <w:noProof w:val="0"/>
        </w:rPr>
        <w:t>Sopharma</w:t>
      </w:r>
      <w:proofErr w:type="spellEnd"/>
    </w:p>
    <w:p w:rsidR="000E5F04" w:rsidRDefault="000E5F04" w:rsidP="000E5F04">
      <w:pPr>
        <w:pStyle w:val="BTEMEASMCA"/>
        <w:tabs>
          <w:tab w:val="left" w:pos="720"/>
        </w:tabs>
        <w:rPr>
          <w:rFonts w:ascii="Times New Roman" w:hAnsi="Times New Roman"/>
          <w:noProof w:val="0"/>
        </w:rPr>
      </w:pPr>
      <w:r>
        <w:rPr>
          <w:rFonts w:ascii="Times New Roman" w:hAnsi="Times New Roman"/>
          <w:noProof w:val="0"/>
        </w:rPr>
        <w:t>4.</w:t>
      </w:r>
      <w:r>
        <w:rPr>
          <w:rFonts w:ascii="Times New Roman" w:hAnsi="Times New Roman"/>
          <w:noProof w:val="0"/>
        </w:rPr>
        <w:tab/>
        <w:t>Galimas šalutinis poveikis</w:t>
      </w:r>
    </w:p>
    <w:p w:rsidR="000E5F04" w:rsidRDefault="000E5F04" w:rsidP="000E5F04">
      <w:pPr>
        <w:pStyle w:val="BTEMEASMCA"/>
        <w:tabs>
          <w:tab w:val="left" w:pos="720"/>
        </w:tabs>
        <w:rPr>
          <w:rFonts w:ascii="Times New Roman" w:hAnsi="Times New Roman"/>
          <w:noProof w:val="0"/>
        </w:rPr>
      </w:pPr>
      <w:r>
        <w:rPr>
          <w:rFonts w:ascii="Times New Roman" w:hAnsi="Times New Roman"/>
          <w:noProof w:val="0"/>
        </w:rPr>
        <w:t>5.</w:t>
      </w:r>
      <w:r>
        <w:rPr>
          <w:rFonts w:ascii="Times New Roman" w:hAnsi="Times New Roman"/>
          <w:noProof w:val="0"/>
        </w:rPr>
        <w:tab/>
        <w:t xml:space="preserve">Kaip laikyti </w:t>
      </w:r>
      <w:proofErr w:type="spellStart"/>
      <w:r>
        <w:rPr>
          <w:rFonts w:ascii="Times New Roman" w:hAnsi="Times New Roman"/>
          <w:noProof w:val="0"/>
        </w:rPr>
        <w:t>Amikacin</w:t>
      </w:r>
      <w:proofErr w:type="spellEnd"/>
      <w:r>
        <w:rPr>
          <w:rFonts w:ascii="Times New Roman" w:hAnsi="Times New Roman"/>
          <w:noProof w:val="0"/>
        </w:rPr>
        <w:t xml:space="preserve"> </w:t>
      </w:r>
      <w:proofErr w:type="spellStart"/>
      <w:r>
        <w:rPr>
          <w:rFonts w:ascii="Times New Roman" w:hAnsi="Times New Roman"/>
          <w:noProof w:val="0"/>
        </w:rPr>
        <w:t>Sopharma</w:t>
      </w:r>
      <w:proofErr w:type="spellEnd"/>
    </w:p>
    <w:p w:rsidR="000E5F04" w:rsidRDefault="000E5F04" w:rsidP="000E5F04">
      <w:pPr>
        <w:pStyle w:val="BTEMEASMCA"/>
        <w:tabs>
          <w:tab w:val="left" w:pos="720"/>
        </w:tabs>
        <w:rPr>
          <w:rFonts w:ascii="Times New Roman" w:hAnsi="Times New Roman"/>
          <w:noProof w:val="0"/>
        </w:rPr>
      </w:pPr>
      <w:r>
        <w:rPr>
          <w:rFonts w:ascii="Times New Roman" w:hAnsi="Times New Roman"/>
          <w:noProof w:val="0"/>
        </w:rPr>
        <w:t>6.</w:t>
      </w:r>
      <w:r>
        <w:rPr>
          <w:rFonts w:ascii="Times New Roman" w:hAnsi="Times New Roman"/>
          <w:noProof w:val="0"/>
        </w:rPr>
        <w:tab/>
        <w:t>Pakuotės turinys ir kita informacija</w:t>
      </w:r>
    </w:p>
    <w:p w:rsidR="000E5F04" w:rsidRDefault="000E5F04" w:rsidP="000E5F04">
      <w:pPr>
        <w:pStyle w:val="BTEMEASMCA"/>
        <w:rPr>
          <w:rFonts w:ascii="Times New Roman" w:hAnsi="Times New Roman"/>
          <w:noProof w:val="0"/>
        </w:rPr>
      </w:pPr>
    </w:p>
    <w:p w:rsidR="000E5F04" w:rsidRDefault="000E5F04" w:rsidP="000E5F04">
      <w:pPr>
        <w:pStyle w:val="BTEMEASMCA"/>
        <w:rPr>
          <w:rFonts w:ascii="Times New Roman" w:hAnsi="Times New Roman"/>
          <w:noProof w:val="0"/>
        </w:rPr>
      </w:pPr>
    </w:p>
    <w:p w:rsidR="000E5F04" w:rsidRDefault="000E5F04" w:rsidP="000E5F04">
      <w:pPr>
        <w:pStyle w:val="PI-1EMEASMCA"/>
      </w:pPr>
      <w:bookmarkStart w:id="2" w:name="_Toc129243139"/>
      <w:bookmarkStart w:id="3" w:name="_Toc129243264"/>
      <w:r>
        <w:t>1.</w:t>
      </w:r>
      <w:r>
        <w:tab/>
        <w:t xml:space="preserve">Kas yra </w:t>
      </w:r>
      <w:proofErr w:type="spellStart"/>
      <w:r>
        <w:t>Amikacin</w:t>
      </w:r>
      <w:proofErr w:type="spellEnd"/>
      <w:r>
        <w:t xml:space="preserve"> </w:t>
      </w:r>
      <w:proofErr w:type="spellStart"/>
      <w:r>
        <w:t>Sopharma</w:t>
      </w:r>
      <w:proofErr w:type="spellEnd"/>
      <w:r>
        <w:t xml:space="preserve"> ir kam jis vartojamas</w:t>
      </w:r>
      <w:bookmarkEnd w:id="2"/>
      <w:bookmarkEnd w:id="3"/>
    </w:p>
    <w:p w:rsidR="000E5F04" w:rsidRDefault="000E5F04" w:rsidP="000E5F04">
      <w:pPr>
        <w:pStyle w:val="BTEMEASMCA"/>
        <w:rPr>
          <w:rFonts w:ascii="Times New Roman" w:hAnsi="Times New Roman"/>
          <w:noProof w:val="0"/>
        </w:rPr>
      </w:pPr>
    </w:p>
    <w:p w:rsidR="000E5F04" w:rsidRDefault="000E5F04" w:rsidP="000E5F04">
      <w:pPr>
        <w:pStyle w:val="Pagrindinistekstas"/>
        <w:rPr>
          <w:sz w:val="22"/>
          <w:szCs w:val="22"/>
        </w:rPr>
      </w:pPr>
      <w:proofErr w:type="spellStart"/>
      <w:r>
        <w:rPr>
          <w:sz w:val="22"/>
          <w:szCs w:val="22"/>
        </w:rPr>
        <w:t>Amikacin</w:t>
      </w:r>
      <w:proofErr w:type="spellEnd"/>
      <w:r>
        <w:rPr>
          <w:sz w:val="22"/>
          <w:szCs w:val="22"/>
        </w:rPr>
        <w:t xml:space="preserve"> </w:t>
      </w:r>
      <w:proofErr w:type="spellStart"/>
      <w:r>
        <w:rPr>
          <w:sz w:val="22"/>
          <w:szCs w:val="22"/>
        </w:rPr>
        <w:t>Sopharma</w:t>
      </w:r>
      <w:proofErr w:type="spellEnd"/>
      <w:r>
        <w:rPr>
          <w:sz w:val="22"/>
          <w:szCs w:val="22"/>
        </w:rPr>
        <w:t xml:space="preserve"> priklauso </w:t>
      </w:r>
      <w:proofErr w:type="spellStart"/>
      <w:r>
        <w:rPr>
          <w:sz w:val="22"/>
          <w:szCs w:val="22"/>
        </w:rPr>
        <w:t>aminoglikozidų</w:t>
      </w:r>
      <w:proofErr w:type="spellEnd"/>
      <w:r>
        <w:rPr>
          <w:sz w:val="22"/>
          <w:szCs w:val="22"/>
        </w:rPr>
        <w:t xml:space="preserve"> antibiotikų grupei.</w:t>
      </w:r>
    </w:p>
    <w:p w:rsidR="000E5F04" w:rsidRDefault="000E5F04" w:rsidP="000E5F04">
      <w:pPr>
        <w:pStyle w:val="Pagrindinistekstas"/>
        <w:rPr>
          <w:sz w:val="22"/>
          <w:szCs w:val="22"/>
        </w:rPr>
      </w:pPr>
    </w:p>
    <w:p w:rsidR="000E5F04" w:rsidRDefault="000E5F04" w:rsidP="000E5F04">
      <w:pPr>
        <w:rPr>
          <w:sz w:val="22"/>
          <w:szCs w:val="22"/>
        </w:rPr>
      </w:pPr>
      <w:proofErr w:type="spellStart"/>
      <w:r>
        <w:rPr>
          <w:sz w:val="22"/>
          <w:szCs w:val="22"/>
        </w:rPr>
        <w:t>Amikacin</w:t>
      </w:r>
      <w:proofErr w:type="spellEnd"/>
      <w:r>
        <w:rPr>
          <w:sz w:val="22"/>
          <w:szCs w:val="22"/>
        </w:rPr>
        <w:t xml:space="preserve"> </w:t>
      </w:r>
      <w:proofErr w:type="spellStart"/>
      <w:r>
        <w:rPr>
          <w:sz w:val="22"/>
          <w:szCs w:val="22"/>
        </w:rPr>
        <w:t>Sopharma</w:t>
      </w:r>
      <w:proofErr w:type="spellEnd"/>
      <w:r>
        <w:rPr>
          <w:sz w:val="22"/>
          <w:szCs w:val="22"/>
        </w:rPr>
        <w:t xml:space="preserve"> injekcinį tirpalą galima vartoti sunkioms </w:t>
      </w:r>
      <w:proofErr w:type="spellStart"/>
      <w:r>
        <w:rPr>
          <w:sz w:val="22"/>
          <w:szCs w:val="22"/>
        </w:rPr>
        <w:t>amikacinui</w:t>
      </w:r>
      <w:proofErr w:type="spellEnd"/>
      <w:r>
        <w:rPr>
          <w:sz w:val="22"/>
          <w:szCs w:val="22"/>
        </w:rPr>
        <w:t xml:space="preserve"> jautrių mikroorganizmų sukeltoms infekcinėms ligoms gydyti: vidinėms pilvo infekcinėms ligoms, įskaitant peritonitą (vidinės pilvo ertmės uždegimą), sunkiam plaučių uždegimui, įskaitant įgytą gydymo įstaigoje, odos, poodinio audinio infekcinėms ligoms, įskaitant užkrėstą nudegimą, šlapimo takų infekcinėms ligoms.</w:t>
      </w:r>
    </w:p>
    <w:p w:rsidR="000E5F04" w:rsidRDefault="000E5F04" w:rsidP="000E5F04">
      <w:pPr>
        <w:pStyle w:val="BTEMEASMCA"/>
        <w:rPr>
          <w:rFonts w:ascii="Times New Roman" w:hAnsi="Times New Roman"/>
          <w:noProof w:val="0"/>
          <w:sz w:val="20"/>
          <w:szCs w:val="20"/>
        </w:rPr>
      </w:pPr>
    </w:p>
    <w:p w:rsidR="000E5F04" w:rsidRDefault="000E5F04" w:rsidP="000E5F04">
      <w:pPr>
        <w:pStyle w:val="BTEMEASMCA"/>
        <w:rPr>
          <w:rFonts w:ascii="Times New Roman" w:hAnsi="Times New Roman"/>
          <w:noProof w:val="0"/>
        </w:rPr>
      </w:pPr>
    </w:p>
    <w:p w:rsidR="000E5F04" w:rsidRDefault="000E5F04" w:rsidP="000E5F04">
      <w:pPr>
        <w:pStyle w:val="PI-1EMEASMCA"/>
      </w:pPr>
      <w:bookmarkStart w:id="4" w:name="_Toc129243140"/>
      <w:bookmarkStart w:id="5" w:name="_Toc129243265"/>
      <w:r>
        <w:t>2.</w:t>
      </w:r>
      <w:r>
        <w:tab/>
        <w:t xml:space="preserve">Kas žinotina prieš vartojant </w:t>
      </w:r>
      <w:proofErr w:type="spellStart"/>
      <w:r>
        <w:t>Amikacin</w:t>
      </w:r>
      <w:proofErr w:type="spellEnd"/>
      <w:r>
        <w:t xml:space="preserve"> </w:t>
      </w:r>
      <w:proofErr w:type="spellStart"/>
      <w:r>
        <w:t>Sopharma</w:t>
      </w:r>
      <w:bookmarkEnd w:id="4"/>
      <w:bookmarkEnd w:id="5"/>
      <w:proofErr w:type="spellEnd"/>
    </w:p>
    <w:p w:rsidR="000E5F04" w:rsidRDefault="000E5F04" w:rsidP="000E5F04">
      <w:pPr>
        <w:pStyle w:val="BTEMEASMCA"/>
        <w:rPr>
          <w:rFonts w:ascii="Times New Roman" w:hAnsi="Times New Roman"/>
          <w:noProof w:val="0"/>
        </w:rPr>
      </w:pPr>
    </w:p>
    <w:p w:rsidR="000E5F04" w:rsidRDefault="000E5F04" w:rsidP="000E5F04">
      <w:pPr>
        <w:pStyle w:val="PI-3EMEASMCA"/>
      </w:pPr>
      <w:r>
        <w:t>Amikacin Sopharma vartoti negalima:</w:t>
      </w:r>
    </w:p>
    <w:p w:rsidR="000E5F04" w:rsidRDefault="000E5F04" w:rsidP="000E5F04">
      <w:pPr>
        <w:numPr>
          <w:ilvl w:val="0"/>
          <w:numId w:val="2"/>
        </w:numPr>
        <w:rPr>
          <w:sz w:val="22"/>
          <w:szCs w:val="22"/>
        </w:rPr>
      </w:pPr>
      <w:r>
        <w:rPr>
          <w:sz w:val="22"/>
          <w:szCs w:val="22"/>
        </w:rPr>
        <w:t xml:space="preserve">jeigu yra alergija </w:t>
      </w:r>
      <w:proofErr w:type="spellStart"/>
      <w:r>
        <w:rPr>
          <w:sz w:val="22"/>
          <w:szCs w:val="22"/>
        </w:rPr>
        <w:t>aminoglikozidų</w:t>
      </w:r>
      <w:proofErr w:type="spellEnd"/>
      <w:r>
        <w:rPr>
          <w:sz w:val="22"/>
          <w:szCs w:val="22"/>
        </w:rPr>
        <w:t xml:space="preserve"> grupės antibiotikams arba bet kuriai pagalbinei šio vaisto medžiagai </w:t>
      </w:r>
      <w:r>
        <w:rPr>
          <w:noProof/>
          <w:sz w:val="22"/>
          <w:szCs w:val="22"/>
        </w:rPr>
        <w:t>(jos išvardytos 6 skyriuje);</w:t>
      </w:r>
    </w:p>
    <w:p w:rsidR="000E5F04" w:rsidRDefault="000E5F04" w:rsidP="000E5F04">
      <w:pPr>
        <w:numPr>
          <w:ilvl w:val="0"/>
          <w:numId w:val="2"/>
        </w:numPr>
        <w:rPr>
          <w:sz w:val="22"/>
          <w:szCs w:val="22"/>
        </w:rPr>
      </w:pPr>
      <w:r>
        <w:rPr>
          <w:sz w:val="22"/>
          <w:szCs w:val="22"/>
          <w:lang w:eastAsia="lt-LT"/>
        </w:rPr>
        <w:t xml:space="preserve">jeigu Jūs sergate </w:t>
      </w:r>
      <w:proofErr w:type="spellStart"/>
      <w:r>
        <w:rPr>
          <w:sz w:val="22"/>
          <w:szCs w:val="22"/>
          <w:lang w:eastAsia="lt-LT"/>
        </w:rPr>
        <w:t>generalizuota</w:t>
      </w:r>
      <w:proofErr w:type="spellEnd"/>
      <w:r>
        <w:rPr>
          <w:sz w:val="22"/>
          <w:szCs w:val="22"/>
          <w:lang w:eastAsia="lt-LT"/>
        </w:rPr>
        <w:t xml:space="preserve"> </w:t>
      </w:r>
      <w:proofErr w:type="spellStart"/>
      <w:r>
        <w:rPr>
          <w:sz w:val="22"/>
          <w:szCs w:val="22"/>
          <w:lang w:eastAsia="lt-LT"/>
        </w:rPr>
        <w:t>miastenija</w:t>
      </w:r>
      <w:proofErr w:type="spellEnd"/>
      <w:r>
        <w:rPr>
          <w:sz w:val="22"/>
          <w:szCs w:val="22"/>
          <w:lang w:eastAsia="lt-LT"/>
        </w:rPr>
        <w:t xml:space="preserve"> (raumenų silpnumu);</w:t>
      </w:r>
    </w:p>
    <w:p w:rsidR="000E5F04" w:rsidRDefault="000E5F04" w:rsidP="000E5F04">
      <w:pPr>
        <w:numPr>
          <w:ilvl w:val="0"/>
          <w:numId w:val="2"/>
        </w:numPr>
        <w:rPr>
          <w:sz w:val="22"/>
          <w:szCs w:val="22"/>
        </w:rPr>
      </w:pPr>
      <w:r>
        <w:rPr>
          <w:sz w:val="22"/>
          <w:szCs w:val="22"/>
        </w:rPr>
        <w:t>nėštumo ir žindymo laikotarpiu.</w:t>
      </w:r>
    </w:p>
    <w:p w:rsidR="000E5F04" w:rsidRDefault="000E5F04" w:rsidP="000E5F04">
      <w:pPr>
        <w:pStyle w:val="BTEMEASMCA"/>
        <w:rPr>
          <w:rFonts w:ascii="Times New Roman" w:hAnsi="Times New Roman"/>
          <w:noProof w:val="0"/>
          <w:sz w:val="20"/>
          <w:szCs w:val="20"/>
        </w:rPr>
      </w:pPr>
    </w:p>
    <w:p w:rsidR="000E5F04" w:rsidRDefault="000E5F04" w:rsidP="000E5F04">
      <w:pPr>
        <w:pStyle w:val="Antrat4"/>
        <w:spacing w:line="240" w:lineRule="auto"/>
        <w:rPr>
          <w:rFonts w:ascii="Times New Roman" w:hAnsi="Times New Roman"/>
          <w:sz w:val="22"/>
          <w:szCs w:val="22"/>
        </w:rPr>
      </w:pPr>
      <w:r>
        <w:rPr>
          <w:rFonts w:ascii="Times New Roman" w:hAnsi="Times New Roman"/>
          <w:sz w:val="22"/>
          <w:szCs w:val="22"/>
        </w:rPr>
        <w:t xml:space="preserve">Įspėjimai ir atsargumo priemonės </w:t>
      </w:r>
    </w:p>
    <w:p w:rsidR="000E5F04" w:rsidRDefault="000E5F04" w:rsidP="000E5F04">
      <w:pPr>
        <w:numPr>
          <w:ilvl w:val="12"/>
          <w:numId w:val="0"/>
        </w:numPr>
        <w:ind w:right="-2"/>
        <w:rPr>
          <w:sz w:val="22"/>
          <w:szCs w:val="22"/>
        </w:rPr>
      </w:pPr>
      <w:r>
        <w:rPr>
          <w:noProof/>
          <w:sz w:val="22"/>
          <w:szCs w:val="22"/>
        </w:rPr>
        <w:t xml:space="preserve">Pasitarkite su gydytoju arba vaistininku, prieš pradėdami vartoti </w:t>
      </w:r>
      <w:proofErr w:type="spellStart"/>
      <w:r>
        <w:rPr>
          <w:sz w:val="22"/>
          <w:szCs w:val="22"/>
        </w:rPr>
        <w:t>Amikacin</w:t>
      </w:r>
      <w:proofErr w:type="spellEnd"/>
      <w:r>
        <w:rPr>
          <w:sz w:val="22"/>
          <w:szCs w:val="22"/>
        </w:rPr>
        <w:t xml:space="preserve"> </w:t>
      </w:r>
      <w:proofErr w:type="spellStart"/>
      <w:r>
        <w:rPr>
          <w:sz w:val="22"/>
          <w:szCs w:val="22"/>
        </w:rPr>
        <w:t>Sopharma</w:t>
      </w:r>
      <w:proofErr w:type="spellEnd"/>
      <w:r>
        <w:rPr>
          <w:noProof/>
          <w:sz w:val="22"/>
          <w:szCs w:val="22"/>
        </w:rPr>
        <w:t>:</w:t>
      </w:r>
    </w:p>
    <w:p w:rsidR="000E5F04" w:rsidRDefault="000E5F04" w:rsidP="000E5F04">
      <w:pPr>
        <w:numPr>
          <w:ilvl w:val="0"/>
          <w:numId w:val="2"/>
        </w:numPr>
        <w:rPr>
          <w:sz w:val="22"/>
          <w:szCs w:val="22"/>
        </w:rPr>
      </w:pPr>
      <w:r>
        <w:rPr>
          <w:sz w:val="22"/>
          <w:szCs w:val="22"/>
        </w:rPr>
        <w:t xml:space="preserve">jeigu Jūs sergate </w:t>
      </w:r>
      <w:proofErr w:type="spellStart"/>
      <w:r>
        <w:rPr>
          <w:sz w:val="22"/>
          <w:szCs w:val="22"/>
        </w:rPr>
        <w:t>Parkinsono</w:t>
      </w:r>
      <w:proofErr w:type="spellEnd"/>
      <w:r>
        <w:rPr>
          <w:sz w:val="22"/>
          <w:szCs w:val="22"/>
        </w:rPr>
        <w:t xml:space="preserve"> liga (lėtiniu progresuojančiu galvos smegenų susirgimu), klausos nervo ligomis, sunkiu inkstų ar kepenų funkcijos nepakankamumu;</w:t>
      </w:r>
    </w:p>
    <w:p w:rsidR="000E5F04" w:rsidRDefault="000E5F04" w:rsidP="000E5F04">
      <w:pPr>
        <w:numPr>
          <w:ilvl w:val="0"/>
          <w:numId w:val="2"/>
        </w:numPr>
        <w:rPr>
          <w:sz w:val="22"/>
          <w:szCs w:val="22"/>
        </w:rPr>
      </w:pPr>
      <w:r>
        <w:rPr>
          <w:sz w:val="22"/>
          <w:szCs w:val="22"/>
        </w:rPr>
        <w:t>esant didelei vaisto koncentracijai plazmoje, padidėja vaisto toksinis poveikis klausos nervui ir inkstams, todėl gydytojas turėtų stebėti vaisto koncentraciją plazmoje, o didžiausia jo koncentracija plazmoje neturi viršyti 30 – 35 </w:t>
      </w:r>
      <w:proofErr w:type="spellStart"/>
      <w:r>
        <w:rPr>
          <w:sz w:val="22"/>
          <w:szCs w:val="22"/>
        </w:rPr>
        <w:t>mikrogramų</w:t>
      </w:r>
      <w:proofErr w:type="spellEnd"/>
      <w:r>
        <w:rPr>
          <w:sz w:val="22"/>
          <w:szCs w:val="22"/>
        </w:rPr>
        <w:t>/ml;</w:t>
      </w:r>
    </w:p>
    <w:p w:rsidR="000E5F04" w:rsidRDefault="000E5F04" w:rsidP="000E5F04">
      <w:pPr>
        <w:numPr>
          <w:ilvl w:val="0"/>
          <w:numId w:val="2"/>
        </w:numPr>
        <w:rPr>
          <w:sz w:val="22"/>
          <w:szCs w:val="22"/>
        </w:rPr>
      </w:pPr>
      <w:proofErr w:type="spellStart"/>
      <w:r>
        <w:rPr>
          <w:sz w:val="22"/>
          <w:szCs w:val="22"/>
        </w:rPr>
        <w:t>amikacinu</w:t>
      </w:r>
      <w:proofErr w:type="spellEnd"/>
      <w:r>
        <w:rPr>
          <w:sz w:val="22"/>
          <w:szCs w:val="22"/>
        </w:rPr>
        <w:t xml:space="preserve"> gydant ilgą laiką, būtina stebėti paciento inkstų veiklą ir klausos nervo būklę.</w:t>
      </w:r>
    </w:p>
    <w:p w:rsidR="000E5F04" w:rsidRDefault="000E5F04" w:rsidP="000E5F04">
      <w:pPr>
        <w:pStyle w:val="BTEMEASMCA"/>
        <w:rPr>
          <w:rFonts w:ascii="Times New Roman" w:hAnsi="Times New Roman"/>
          <w:noProof w:val="0"/>
          <w:sz w:val="20"/>
          <w:szCs w:val="20"/>
        </w:rPr>
      </w:pPr>
    </w:p>
    <w:p w:rsidR="000E5F04" w:rsidRDefault="000E5F04" w:rsidP="000E5F04">
      <w:pPr>
        <w:pStyle w:val="PI-3EMEASMCA"/>
      </w:pPr>
      <w:r>
        <w:t xml:space="preserve">Kiti vaistai ir Amikacin Sopharma </w:t>
      </w:r>
    </w:p>
    <w:p w:rsidR="000E5F04" w:rsidRDefault="000E5F04" w:rsidP="000E5F04">
      <w:pPr>
        <w:pStyle w:val="PI-3EMEASMCA"/>
        <w:rPr>
          <w:b w:val="0"/>
          <w:bCs w:val="0"/>
        </w:rPr>
      </w:pPr>
      <w:r>
        <w:rPr>
          <w:b w:val="0"/>
          <w:bCs w:val="0"/>
        </w:rPr>
        <w:t>Jeigu vartojate ar neseniai vartojote kitų vaistų arba dėl to nesate tikri, apie tai pasakykite gydytojui arba vaistininkui.</w:t>
      </w:r>
    </w:p>
    <w:p w:rsidR="000E5F04" w:rsidRDefault="000E5F04" w:rsidP="000E5F04">
      <w:pPr>
        <w:tabs>
          <w:tab w:val="left" w:pos="567"/>
        </w:tabs>
        <w:rPr>
          <w:sz w:val="22"/>
          <w:szCs w:val="22"/>
        </w:rPr>
      </w:pPr>
    </w:p>
    <w:p w:rsidR="000E5F04" w:rsidRDefault="000E5F04" w:rsidP="000E5F04">
      <w:pPr>
        <w:rPr>
          <w:sz w:val="22"/>
          <w:szCs w:val="22"/>
        </w:rPr>
      </w:pPr>
      <w:r>
        <w:rPr>
          <w:sz w:val="22"/>
          <w:szCs w:val="22"/>
        </w:rPr>
        <w:t>Pasakykite gydytojui, jei vartojate:</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lastRenderedPageBreak/>
        <w:t xml:space="preserve">kitus į </w:t>
      </w:r>
      <w:proofErr w:type="spellStart"/>
      <w:r>
        <w:rPr>
          <w:sz w:val="22"/>
          <w:szCs w:val="22"/>
        </w:rPr>
        <w:t>amikaciną</w:t>
      </w:r>
      <w:proofErr w:type="spellEnd"/>
      <w:r>
        <w:rPr>
          <w:sz w:val="22"/>
          <w:szCs w:val="22"/>
        </w:rPr>
        <w:t xml:space="preserve"> panašius antibiotikus;</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t>raumenis atpalaiduojančius vaistus;</w:t>
      </w:r>
    </w:p>
    <w:p w:rsidR="000E5F04" w:rsidRDefault="000E5F04" w:rsidP="000E5F04">
      <w:pPr>
        <w:widowControl w:val="0"/>
        <w:numPr>
          <w:ilvl w:val="0"/>
          <w:numId w:val="3"/>
        </w:numPr>
        <w:tabs>
          <w:tab w:val="clear" w:pos="360"/>
          <w:tab w:val="num" w:pos="567"/>
        </w:tabs>
        <w:ind w:left="567" w:right="-2" w:hanging="567"/>
        <w:rPr>
          <w:noProof/>
          <w:sz w:val="22"/>
          <w:szCs w:val="22"/>
        </w:rPr>
      </w:pPr>
      <w:proofErr w:type="spellStart"/>
      <w:r>
        <w:rPr>
          <w:sz w:val="22"/>
          <w:szCs w:val="22"/>
        </w:rPr>
        <w:t>bisfosfonatus</w:t>
      </w:r>
      <w:proofErr w:type="spellEnd"/>
      <w:r>
        <w:rPr>
          <w:sz w:val="22"/>
          <w:szCs w:val="22"/>
        </w:rPr>
        <w:t>;</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t>preparatus, kurių sudėtyje yra platinos;</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t xml:space="preserve">greitai veikiančius diuretikus (vaistus, didinančius šlapimo išsiskyrimą), pvz. </w:t>
      </w:r>
      <w:proofErr w:type="spellStart"/>
      <w:r>
        <w:rPr>
          <w:sz w:val="22"/>
          <w:szCs w:val="22"/>
        </w:rPr>
        <w:t>furozemidą</w:t>
      </w:r>
      <w:proofErr w:type="spellEnd"/>
      <w:r>
        <w:rPr>
          <w:sz w:val="22"/>
          <w:szCs w:val="22"/>
        </w:rPr>
        <w:t>;</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t>tiaminą (B1), nes jis gali prarasti savo veiksmingumą;</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t xml:space="preserve">bet kokius kitus vaistus, kurie gali pakenkti kepenims ar klausai; </w:t>
      </w:r>
    </w:p>
    <w:p w:rsidR="000E5F04" w:rsidRDefault="000E5F04" w:rsidP="000E5F04">
      <w:pPr>
        <w:widowControl w:val="0"/>
        <w:numPr>
          <w:ilvl w:val="0"/>
          <w:numId w:val="3"/>
        </w:numPr>
        <w:tabs>
          <w:tab w:val="clear" w:pos="360"/>
          <w:tab w:val="num" w:pos="567"/>
        </w:tabs>
        <w:ind w:left="567" w:right="-2" w:hanging="567"/>
        <w:rPr>
          <w:noProof/>
          <w:sz w:val="22"/>
          <w:szCs w:val="22"/>
        </w:rPr>
      </w:pPr>
      <w:r>
        <w:rPr>
          <w:sz w:val="22"/>
          <w:szCs w:val="22"/>
        </w:rPr>
        <w:t>jei neseniai vartojote anestetikų.</w:t>
      </w:r>
    </w:p>
    <w:p w:rsidR="000E5F04" w:rsidRDefault="000E5F04" w:rsidP="000E5F04">
      <w:pPr>
        <w:tabs>
          <w:tab w:val="num" w:pos="0"/>
        </w:tabs>
        <w:rPr>
          <w:sz w:val="22"/>
          <w:szCs w:val="22"/>
        </w:rPr>
      </w:pPr>
    </w:p>
    <w:p w:rsidR="000E5F04" w:rsidRDefault="000E5F04" w:rsidP="000E5F04">
      <w:pPr>
        <w:tabs>
          <w:tab w:val="num" w:pos="0"/>
        </w:tabs>
        <w:rPr>
          <w:sz w:val="22"/>
          <w:szCs w:val="22"/>
        </w:rPr>
      </w:pPr>
      <w:r>
        <w:rPr>
          <w:sz w:val="22"/>
          <w:szCs w:val="22"/>
        </w:rPr>
        <w:t xml:space="preserve">Naujagimiams </w:t>
      </w:r>
      <w:proofErr w:type="spellStart"/>
      <w:r>
        <w:rPr>
          <w:sz w:val="22"/>
          <w:szCs w:val="22"/>
        </w:rPr>
        <w:t>indometacinas</w:t>
      </w:r>
      <w:proofErr w:type="spellEnd"/>
      <w:r>
        <w:rPr>
          <w:sz w:val="22"/>
          <w:szCs w:val="22"/>
        </w:rPr>
        <w:t xml:space="preserve"> (vaistas nuo uždegimo) gali padidinti pasisavinamo </w:t>
      </w:r>
      <w:proofErr w:type="spellStart"/>
      <w:r>
        <w:rPr>
          <w:sz w:val="22"/>
          <w:szCs w:val="22"/>
        </w:rPr>
        <w:t>amikacino</w:t>
      </w:r>
      <w:proofErr w:type="spellEnd"/>
      <w:r>
        <w:rPr>
          <w:sz w:val="22"/>
          <w:szCs w:val="22"/>
        </w:rPr>
        <w:t xml:space="preserve"> kiekį.</w:t>
      </w:r>
    </w:p>
    <w:p w:rsidR="000E5F04" w:rsidRDefault="000E5F04" w:rsidP="000E5F04">
      <w:pPr>
        <w:pStyle w:val="BTEMEASMCA"/>
        <w:rPr>
          <w:rFonts w:ascii="Times New Roman" w:hAnsi="Times New Roman"/>
          <w:noProof w:val="0"/>
          <w:sz w:val="20"/>
          <w:szCs w:val="20"/>
        </w:rPr>
      </w:pPr>
    </w:p>
    <w:p w:rsidR="000E5F04" w:rsidRDefault="000E5F04" w:rsidP="000E5F04">
      <w:pPr>
        <w:pStyle w:val="PI-3EMEASMCA"/>
      </w:pPr>
      <w:r>
        <w:t>Nėštumas ir žindymo laikotarpis</w:t>
      </w:r>
    </w:p>
    <w:p w:rsidR="000E5F04" w:rsidRDefault="000E5F04" w:rsidP="000E5F04">
      <w:pPr>
        <w:pStyle w:val="Pagrindinistekstas"/>
        <w:rPr>
          <w:noProof/>
          <w:sz w:val="22"/>
          <w:szCs w:val="22"/>
        </w:rPr>
      </w:pPr>
      <w:r>
        <w:rPr>
          <w:noProof/>
          <w:sz w:val="22"/>
          <w:szCs w:val="22"/>
        </w:rPr>
        <w:t>Jeigu esate nėščia, žindote kūdikį, manote, kad galbūt esate nėščia, arba planuojate pastoti, tai prieš vartodama šį vaistą, pasitarkite su gydytoju arba vaistininku.</w:t>
      </w:r>
    </w:p>
    <w:p w:rsidR="000E5F04" w:rsidRDefault="000E5F04" w:rsidP="000E5F04">
      <w:pPr>
        <w:pStyle w:val="Pagrindinistekstas"/>
        <w:rPr>
          <w:sz w:val="22"/>
          <w:szCs w:val="22"/>
        </w:rPr>
      </w:pPr>
    </w:p>
    <w:p w:rsidR="000E5F04" w:rsidRDefault="000E5F04" w:rsidP="000E5F04">
      <w:pPr>
        <w:pStyle w:val="Pagrindinistekstas"/>
        <w:rPr>
          <w:sz w:val="22"/>
          <w:szCs w:val="22"/>
        </w:rPr>
      </w:pPr>
      <w:proofErr w:type="spellStart"/>
      <w:r>
        <w:rPr>
          <w:sz w:val="22"/>
          <w:szCs w:val="22"/>
        </w:rPr>
        <w:t>Amikacinas</w:t>
      </w:r>
      <w:proofErr w:type="spellEnd"/>
      <w:r>
        <w:rPr>
          <w:sz w:val="22"/>
          <w:szCs w:val="22"/>
        </w:rPr>
        <w:t xml:space="preserve"> prasiskverbia pro placentą, tačiau į motinos pieną patenka nedideliais kiekiais, todėl nėščiosioms ir žindyvėms </w:t>
      </w:r>
      <w:proofErr w:type="spellStart"/>
      <w:r>
        <w:rPr>
          <w:sz w:val="22"/>
          <w:szCs w:val="22"/>
        </w:rPr>
        <w:t>amikacino</w:t>
      </w:r>
      <w:proofErr w:type="spellEnd"/>
      <w:r>
        <w:rPr>
          <w:sz w:val="22"/>
          <w:szCs w:val="22"/>
        </w:rPr>
        <w:t xml:space="preserve"> vartoti negalima.</w:t>
      </w:r>
    </w:p>
    <w:p w:rsidR="000E5F04" w:rsidRDefault="000E5F04" w:rsidP="000E5F04">
      <w:pPr>
        <w:pStyle w:val="BTEMEASMCA"/>
        <w:rPr>
          <w:rFonts w:ascii="Times New Roman" w:hAnsi="Times New Roman"/>
          <w:noProof w:val="0"/>
          <w:sz w:val="20"/>
          <w:szCs w:val="20"/>
        </w:rPr>
      </w:pPr>
    </w:p>
    <w:p w:rsidR="000E5F04" w:rsidRDefault="000E5F04" w:rsidP="000E5F04">
      <w:pPr>
        <w:pStyle w:val="PI-3EMEASMCA"/>
      </w:pPr>
      <w:r>
        <w:t>Vairavimas ir mechanizmų valdymas</w:t>
      </w:r>
    </w:p>
    <w:p w:rsidR="000E5F04" w:rsidRDefault="000E5F04" w:rsidP="000E5F04">
      <w:pPr>
        <w:pStyle w:val="Pagrindinistekstas"/>
        <w:rPr>
          <w:sz w:val="22"/>
          <w:szCs w:val="22"/>
        </w:rPr>
      </w:pPr>
      <w:r>
        <w:rPr>
          <w:sz w:val="22"/>
          <w:szCs w:val="22"/>
        </w:rPr>
        <w:t>Dėl raumenų paralyžiaus pavojaus, toksinio poveikio klausos nervui ir nervinėms galūnėms vairuoti ar dirbti kitą sutelkto dėmesio reikalaujantį darbą vaisto vartojimo laikotarpiu nerekomenduojama.</w:t>
      </w:r>
    </w:p>
    <w:p w:rsidR="000E5F04" w:rsidRDefault="000E5F04" w:rsidP="000E5F04">
      <w:pPr>
        <w:pStyle w:val="BTEMEASMCA"/>
        <w:rPr>
          <w:rFonts w:ascii="Times New Roman" w:hAnsi="Times New Roman"/>
          <w:noProof w:val="0"/>
          <w:sz w:val="20"/>
          <w:szCs w:val="20"/>
        </w:rPr>
      </w:pPr>
    </w:p>
    <w:p w:rsidR="000E5F04" w:rsidRDefault="000E5F04" w:rsidP="000E5F04">
      <w:pPr>
        <w:pStyle w:val="PI-3EMEASMCA"/>
      </w:pPr>
      <w:r>
        <w:t>Amikacin Sopharma sudėtyje yra natrio metabisulfito (E223)</w:t>
      </w:r>
    </w:p>
    <w:p w:rsidR="000E5F04" w:rsidRDefault="000E5F04" w:rsidP="000E5F04">
      <w:pPr>
        <w:pStyle w:val="PI-3EMEASMCA"/>
        <w:rPr>
          <w:b w:val="0"/>
        </w:rPr>
      </w:pPr>
      <w:r>
        <w:rPr>
          <w:b w:val="0"/>
        </w:rPr>
        <w:t>Šio vaisto sudėtyje yra natrio metabisulfito, kuris retais atvejais gali sukelti sunkių padidėjusio jautrumo reakcijų ir bronchų spazmą.</w:t>
      </w:r>
    </w:p>
    <w:p w:rsidR="000E5F04" w:rsidRDefault="000E5F04" w:rsidP="000E5F04">
      <w:pPr>
        <w:tabs>
          <w:tab w:val="left" w:pos="567"/>
        </w:tabs>
        <w:rPr>
          <w:sz w:val="22"/>
          <w:szCs w:val="22"/>
        </w:rPr>
      </w:pPr>
      <w:r>
        <w:rPr>
          <w:sz w:val="22"/>
          <w:szCs w:val="22"/>
        </w:rPr>
        <w:t>Šio vaisto 1 ml yra mažiau kaip 1 </w:t>
      </w:r>
      <w:proofErr w:type="spellStart"/>
      <w:r>
        <w:rPr>
          <w:sz w:val="22"/>
          <w:szCs w:val="22"/>
        </w:rPr>
        <w:t>mmol</w:t>
      </w:r>
      <w:proofErr w:type="spellEnd"/>
      <w:r>
        <w:rPr>
          <w:sz w:val="22"/>
          <w:szCs w:val="22"/>
        </w:rPr>
        <w:t xml:space="preserve"> (23 mg) natrio, t. y. jis beveik neturi reikšmės.</w:t>
      </w:r>
    </w:p>
    <w:p w:rsidR="000E5F04" w:rsidRDefault="000E5F04" w:rsidP="000E5F04">
      <w:pPr>
        <w:pStyle w:val="BTEMEASMCA"/>
        <w:rPr>
          <w:rFonts w:ascii="Times New Roman" w:hAnsi="Times New Roman"/>
          <w:noProof w:val="0"/>
          <w:sz w:val="20"/>
          <w:szCs w:val="20"/>
        </w:rPr>
      </w:pPr>
    </w:p>
    <w:p w:rsidR="000E5F04" w:rsidRDefault="000E5F04" w:rsidP="000E5F04">
      <w:pPr>
        <w:pStyle w:val="BTEMEASMCA"/>
        <w:rPr>
          <w:rFonts w:ascii="Times New Roman" w:hAnsi="Times New Roman"/>
          <w:noProof w:val="0"/>
        </w:rPr>
      </w:pPr>
    </w:p>
    <w:p w:rsidR="000E5F04" w:rsidRDefault="000E5F04" w:rsidP="000E5F04">
      <w:pPr>
        <w:pStyle w:val="PI-1EMEASMCA"/>
      </w:pPr>
      <w:bookmarkStart w:id="6" w:name="_Toc129243141"/>
      <w:bookmarkStart w:id="7" w:name="_Toc129243266"/>
      <w:r>
        <w:t>3.</w:t>
      </w:r>
      <w:r>
        <w:tab/>
        <w:t xml:space="preserve">Kaip vartoti </w:t>
      </w:r>
      <w:proofErr w:type="spellStart"/>
      <w:r>
        <w:t>Amikacin</w:t>
      </w:r>
      <w:proofErr w:type="spellEnd"/>
      <w:r>
        <w:t xml:space="preserve"> </w:t>
      </w:r>
      <w:proofErr w:type="spellStart"/>
      <w:r>
        <w:t>Sopharma</w:t>
      </w:r>
      <w:bookmarkEnd w:id="6"/>
      <w:bookmarkEnd w:id="7"/>
      <w:proofErr w:type="spellEnd"/>
    </w:p>
    <w:p w:rsidR="000E5F04" w:rsidRDefault="000E5F04" w:rsidP="000E5F04">
      <w:pPr>
        <w:pStyle w:val="BTEMEASMCA"/>
        <w:rPr>
          <w:rFonts w:ascii="Times New Roman" w:hAnsi="Times New Roman"/>
          <w:noProof w:val="0"/>
        </w:rPr>
      </w:pPr>
    </w:p>
    <w:p w:rsidR="000E5F04" w:rsidRDefault="000E5F04" w:rsidP="000E5F04">
      <w:pPr>
        <w:pStyle w:val="BTEMEASMCA"/>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p>
    <w:p w:rsidR="000E5F04" w:rsidRDefault="000E5F04" w:rsidP="000E5F04">
      <w:pPr>
        <w:pStyle w:val="BTEMEASMCA"/>
        <w:rPr>
          <w:rFonts w:ascii="Times New Roman" w:hAnsi="Times New Roman"/>
          <w:noProof w:val="0"/>
        </w:rPr>
      </w:pPr>
    </w:p>
    <w:p w:rsidR="000E5F04" w:rsidRDefault="000E5F04" w:rsidP="000E5F04">
      <w:pPr>
        <w:rPr>
          <w:sz w:val="22"/>
          <w:szCs w:val="22"/>
        </w:rPr>
      </w:pPr>
      <w:r>
        <w:rPr>
          <w:sz w:val="22"/>
          <w:szCs w:val="22"/>
        </w:rPr>
        <w:t xml:space="preserve">Jei inkstų funkcija nesutrikusi, </w:t>
      </w:r>
      <w:proofErr w:type="spellStart"/>
      <w:r>
        <w:rPr>
          <w:sz w:val="22"/>
          <w:szCs w:val="22"/>
        </w:rPr>
        <w:t>amikacino</w:t>
      </w:r>
      <w:proofErr w:type="spellEnd"/>
      <w:r>
        <w:rPr>
          <w:sz w:val="22"/>
          <w:szCs w:val="22"/>
        </w:rPr>
        <w:t xml:space="preserve"> suaugusiesiems ir vaikams skiriama injekcijomis į raumenis ir į veną. Vaistą į veną galima suleisti greitai arba skirti lašine infuzija.</w:t>
      </w:r>
    </w:p>
    <w:p w:rsidR="000E5F04" w:rsidRDefault="000E5F04" w:rsidP="000E5F04">
      <w:pPr>
        <w:rPr>
          <w:sz w:val="22"/>
          <w:szCs w:val="22"/>
        </w:rPr>
      </w:pPr>
      <w:r>
        <w:rPr>
          <w:sz w:val="22"/>
          <w:szCs w:val="22"/>
        </w:rPr>
        <w:t xml:space="preserve"> </w:t>
      </w:r>
    </w:p>
    <w:p w:rsidR="000E5F04" w:rsidRDefault="000E5F04" w:rsidP="000E5F04">
      <w:pPr>
        <w:rPr>
          <w:sz w:val="22"/>
          <w:szCs w:val="22"/>
        </w:rPr>
      </w:pPr>
      <w:r>
        <w:rPr>
          <w:sz w:val="22"/>
          <w:szCs w:val="22"/>
        </w:rPr>
        <w:t xml:space="preserve">Paros dozė yra 5 mg/kg kūno svorio kas 8 valandas arba 7,5 mg/kg kūno svorio kas 12 valandų. Gydymo trukmė yra 7 – 10 parų. Intraveninei infuzijai 500 mg vaisto reikia praskiesti 200 ml sterilaus fiziologinio tirpalo arba kitokio tirpiklio. Vaistas turi sulašėti per 30 – 60 minučių. Nekomplikuotai šlapimo takų infekcinei ligai gydyti vaisto po 250 mg kas 12 valandų galima vartoti injekcijomis į raumenis arba intraveninėmis infuzijomis. Didžiausia paros dozė neturi viršyti 15 mg/kg kūno masės, o bendroji gydymo kurso dozė suaugusiems žmonėms neturi viršyti 15 g. Jei inkstų funkcija sutrikusi, norint išvengti kaupimosi organizme, vaisto reikėtų vartoti mažesnėmis dozėmis ir didesniais intervalais. Tokiais atvejais dozė nustatoma pagal </w:t>
      </w:r>
      <w:proofErr w:type="spellStart"/>
      <w:r>
        <w:rPr>
          <w:sz w:val="22"/>
          <w:szCs w:val="22"/>
        </w:rPr>
        <w:t>kreatinino</w:t>
      </w:r>
      <w:proofErr w:type="spellEnd"/>
      <w:r>
        <w:rPr>
          <w:sz w:val="22"/>
          <w:szCs w:val="22"/>
        </w:rPr>
        <w:t xml:space="preserve"> išsiskyrimą ir serumo </w:t>
      </w:r>
      <w:proofErr w:type="spellStart"/>
      <w:r>
        <w:rPr>
          <w:sz w:val="22"/>
          <w:szCs w:val="22"/>
        </w:rPr>
        <w:t>kreatinino</w:t>
      </w:r>
      <w:proofErr w:type="spellEnd"/>
      <w:r>
        <w:rPr>
          <w:sz w:val="22"/>
          <w:szCs w:val="22"/>
        </w:rPr>
        <w:t xml:space="preserve"> kiekį. </w:t>
      </w:r>
    </w:p>
    <w:p w:rsidR="000E5F04" w:rsidRDefault="000E5F04" w:rsidP="000E5F04">
      <w:pPr>
        <w:rPr>
          <w:sz w:val="22"/>
          <w:szCs w:val="22"/>
        </w:rPr>
      </w:pPr>
      <w:r>
        <w:rPr>
          <w:sz w:val="22"/>
          <w:szCs w:val="22"/>
        </w:rPr>
        <w:t xml:space="preserve">Vaistą galima skiesti 5 % gliukozės, 0,9 % natrio chlorido, 5 % gliukozės - 0,9 % natrio chlorido tirpalu (santykis 2:1), 5 % gliukozės - 0,2 % natrio chlorido tirpalu arba </w:t>
      </w:r>
      <w:proofErr w:type="spellStart"/>
      <w:r>
        <w:rPr>
          <w:sz w:val="22"/>
          <w:szCs w:val="22"/>
        </w:rPr>
        <w:t>Ringerio</w:t>
      </w:r>
      <w:proofErr w:type="spellEnd"/>
      <w:r>
        <w:rPr>
          <w:sz w:val="22"/>
          <w:szCs w:val="22"/>
        </w:rPr>
        <w:t xml:space="preserve"> laktato infuziniu tirpalu.</w:t>
      </w:r>
    </w:p>
    <w:p w:rsidR="000E5F04" w:rsidRDefault="000E5F04" w:rsidP="000E5F04">
      <w:pPr>
        <w:tabs>
          <w:tab w:val="left" w:pos="567"/>
        </w:tabs>
        <w:rPr>
          <w:sz w:val="22"/>
          <w:szCs w:val="22"/>
        </w:rPr>
      </w:pPr>
      <w:r>
        <w:rPr>
          <w:sz w:val="22"/>
          <w:szCs w:val="22"/>
        </w:rPr>
        <w:t>Paruoštas infuzinis tirpalas yra skaidrus bespalvis tirpalas.</w:t>
      </w:r>
    </w:p>
    <w:p w:rsidR="000E5F04" w:rsidRDefault="000E5F04" w:rsidP="000E5F04">
      <w:pPr>
        <w:rPr>
          <w:sz w:val="22"/>
          <w:szCs w:val="22"/>
        </w:rPr>
      </w:pPr>
    </w:p>
    <w:p w:rsidR="000E5F04" w:rsidRDefault="000E5F04" w:rsidP="000E5F04">
      <w:pPr>
        <w:rPr>
          <w:sz w:val="22"/>
          <w:szCs w:val="22"/>
        </w:rPr>
      </w:pPr>
      <w:r>
        <w:rPr>
          <w:sz w:val="22"/>
          <w:szCs w:val="22"/>
        </w:rPr>
        <w:t xml:space="preserve">Naujagimiams ir neišnešiotiems naujagimiams pradinė vienkartinė </w:t>
      </w:r>
      <w:proofErr w:type="spellStart"/>
      <w:r>
        <w:rPr>
          <w:sz w:val="22"/>
          <w:szCs w:val="22"/>
        </w:rPr>
        <w:t>amikacino</w:t>
      </w:r>
      <w:proofErr w:type="spellEnd"/>
      <w:r>
        <w:rPr>
          <w:sz w:val="22"/>
          <w:szCs w:val="22"/>
        </w:rPr>
        <w:t xml:space="preserve"> dozė yra 10 mg/kg kūno masės. Po to 7 – 10 parų vartojama po 7,5 mg/kg kūno masės kas 12 valandų.</w:t>
      </w:r>
    </w:p>
    <w:p w:rsidR="000E5F04" w:rsidRDefault="000E5F04" w:rsidP="000E5F04">
      <w:pPr>
        <w:rPr>
          <w:sz w:val="22"/>
          <w:szCs w:val="22"/>
        </w:rPr>
      </w:pPr>
    </w:p>
    <w:p w:rsidR="000E5F04" w:rsidRDefault="000E5F04" w:rsidP="000E5F04">
      <w:pPr>
        <w:rPr>
          <w:sz w:val="22"/>
          <w:szCs w:val="22"/>
        </w:rPr>
      </w:pPr>
      <w:r>
        <w:rPr>
          <w:sz w:val="22"/>
          <w:szCs w:val="22"/>
        </w:rPr>
        <w:t xml:space="preserve">Kaip ir kitų </w:t>
      </w:r>
      <w:proofErr w:type="spellStart"/>
      <w:r>
        <w:rPr>
          <w:sz w:val="22"/>
          <w:szCs w:val="22"/>
        </w:rPr>
        <w:t>aminoglikozidų</w:t>
      </w:r>
      <w:proofErr w:type="spellEnd"/>
      <w:r>
        <w:rPr>
          <w:sz w:val="22"/>
          <w:szCs w:val="22"/>
        </w:rPr>
        <w:t xml:space="preserve"> grupės antibiotikų, </w:t>
      </w:r>
      <w:proofErr w:type="spellStart"/>
      <w:r>
        <w:rPr>
          <w:sz w:val="22"/>
          <w:szCs w:val="22"/>
        </w:rPr>
        <w:t>amikacino</w:t>
      </w:r>
      <w:proofErr w:type="spellEnd"/>
      <w:r>
        <w:rPr>
          <w:sz w:val="22"/>
          <w:szCs w:val="22"/>
        </w:rPr>
        <w:t xml:space="preserve"> galima vartoti vieną kartą per parą suleidžiant 1,0 g į raumenis arba 15 mg/kg kūno masės į veną. </w:t>
      </w:r>
    </w:p>
    <w:p w:rsidR="000E5F04" w:rsidRDefault="000E5F04" w:rsidP="000E5F04">
      <w:pPr>
        <w:rPr>
          <w:sz w:val="22"/>
          <w:szCs w:val="22"/>
        </w:rPr>
      </w:pPr>
    </w:p>
    <w:p w:rsidR="000E5F04" w:rsidRDefault="000E5F04" w:rsidP="000E5F04">
      <w:pPr>
        <w:pStyle w:val="PI-3EMEASMCA"/>
      </w:pPr>
      <w:r>
        <w:t>Ką daryti pavartojus per didelę Amikacin Sopharma dozę?</w:t>
      </w:r>
    </w:p>
    <w:p w:rsidR="000E5F04" w:rsidRDefault="000E5F04" w:rsidP="000E5F04">
      <w:pPr>
        <w:numPr>
          <w:ilvl w:val="12"/>
          <w:numId w:val="0"/>
        </w:numPr>
        <w:ind w:right="-29"/>
        <w:rPr>
          <w:sz w:val="22"/>
          <w:szCs w:val="22"/>
        </w:rPr>
      </w:pPr>
      <w:r>
        <w:rPr>
          <w:sz w:val="22"/>
          <w:szCs w:val="22"/>
        </w:rPr>
        <w:lastRenderedPageBreak/>
        <w:t xml:space="preserve">Perdozavimas gali sukelti inkstų ir klausos nervų pažeidimą arba raumenų funkcijos blokadą (paralyžių). Tokiu atveju būtina nedelsiant nutraukti </w:t>
      </w:r>
      <w:proofErr w:type="spellStart"/>
      <w:r>
        <w:rPr>
          <w:sz w:val="22"/>
          <w:szCs w:val="22"/>
        </w:rPr>
        <w:t>amikacino</w:t>
      </w:r>
      <w:proofErr w:type="spellEnd"/>
      <w:r>
        <w:rPr>
          <w:sz w:val="22"/>
          <w:szCs w:val="22"/>
        </w:rPr>
        <w:t xml:space="preserve"> infuziją ir kreiptis į gydytoją.</w:t>
      </w:r>
    </w:p>
    <w:p w:rsidR="000E5F04" w:rsidRDefault="000E5F04" w:rsidP="000E5F04">
      <w:pPr>
        <w:numPr>
          <w:ilvl w:val="12"/>
          <w:numId w:val="0"/>
        </w:numPr>
        <w:ind w:right="-29"/>
        <w:rPr>
          <w:sz w:val="22"/>
          <w:szCs w:val="22"/>
        </w:rPr>
      </w:pPr>
    </w:p>
    <w:p w:rsidR="000E5F04" w:rsidRDefault="000E5F04" w:rsidP="000E5F04">
      <w:pPr>
        <w:pStyle w:val="BTEMEASMCA"/>
        <w:rPr>
          <w:rFonts w:ascii="Times New Roman" w:hAnsi="Times New Roman"/>
          <w:noProof w:val="0"/>
          <w:sz w:val="20"/>
          <w:szCs w:val="20"/>
        </w:rPr>
      </w:pPr>
    </w:p>
    <w:p w:rsidR="000E5F04" w:rsidRDefault="000E5F04" w:rsidP="000E5F04">
      <w:pPr>
        <w:pStyle w:val="BTEMEASMCA"/>
        <w:rPr>
          <w:rFonts w:ascii="Times New Roman" w:hAnsi="Times New Roman"/>
          <w:noProof w:val="0"/>
        </w:rPr>
      </w:pPr>
      <w:r>
        <w:rPr>
          <w:rFonts w:ascii="Times New Roman" w:hAnsi="Times New Roman"/>
          <w:noProof w:val="0"/>
        </w:rPr>
        <w:t>Jeigu kiltų daugiau klausimų dėl šio vaisto vartojimo, kreipkitės į gydytoją arba vaistininką.</w:t>
      </w:r>
    </w:p>
    <w:p w:rsidR="000E5F04" w:rsidRDefault="000E5F04" w:rsidP="000E5F04">
      <w:pPr>
        <w:pStyle w:val="BTEMEASMCA"/>
        <w:rPr>
          <w:rFonts w:ascii="Times New Roman" w:hAnsi="Times New Roman"/>
          <w:noProof w:val="0"/>
        </w:rPr>
      </w:pPr>
    </w:p>
    <w:p w:rsidR="000E5F04" w:rsidRDefault="000E5F04" w:rsidP="000E5F04">
      <w:pPr>
        <w:pStyle w:val="BTEMEASMCA"/>
        <w:rPr>
          <w:rFonts w:ascii="Times New Roman" w:hAnsi="Times New Roman"/>
          <w:noProof w:val="0"/>
        </w:rPr>
      </w:pPr>
    </w:p>
    <w:p w:rsidR="000E5F04" w:rsidRDefault="000E5F04" w:rsidP="000E5F04">
      <w:pPr>
        <w:pStyle w:val="PI-1EMEASMCA"/>
      </w:pPr>
      <w:bookmarkStart w:id="8" w:name="_Toc129243142"/>
      <w:bookmarkStart w:id="9" w:name="_Toc129243267"/>
      <w:r>
        <w:t>4.</w:t>
      </w:r>
      <w:r>
        <w:tab/>
        <w:t>Galimas šalutinis poveikis</w:t>
      </w:r>
      <w:bookmarkEnd w:id="8"/>
      <w:bookmarkEnd w:id="9"/>
    </w:p>
    <w:p w:rsidR="000E5F04" w:rsidRDefault="000E5F04" w:rsidP="000E5F04">
      <w:pPr>
        <w:pStyle w:val="BTEMEASMCA"/>
        <w:rPr>
          <w:rFonts w:ascii="Times New Roman" w:hAnsi="Times New Roman"/>
          <w:noProof w:val="0"/>
        </w:rPr>
      </w:pPr>
    </w:p>
    <w:p w:rsidR="000E5F04" w:rsidRDefault="000E5F04" w:rsidP="000E5F04">
      <w:pPr>
        <w:rPr>
          <w:sz w:val="22"/>
          <w:szCs w:val="22"/>
        </w:rPr>
      </w:pPr>
      <w:r>
        <w:rPr>
          <w:sz w:val="22"/>
          <w:szCs w:val="22"/>
        </w:rPr>
        <w:t>Šis vaistas, kaip ir visi kiti, gali sukelti šalutinį poveikį, nors jis pasireiškia ne visiems žmonėms.</w:t>
      </w:r>
    </w:p>
    <w:p w:rsidR="000E5F04" w:rsidRDefault="000E5F04" w:rsidP="000E5F04">
      <w:pPr>
        <w:numPr>
          <w:ilvl w:val="12"/>
          <w:numId w:val="0"/>
        </w:numPr>
        <w:ind w:left="567" w:right="-2"/>
        <w:rPr>
          <w:noProof/>
          <w:sz w:val="22"/>
          <w:szCs w:val="22"/>
        </w:rPr>
      </w:pPr>
    </w:p>
    <w:p w:rsidR="000E5F04" w:rsidRDefault="000E5F04" w:rsidP="000E5F04">
      <w:pPr>
        <w:numPr>
          <w:ilvl w:val="12"/>
          <w:numId w:val="0"/>
        </w:numPr>
        <w:ind w:right="-2"/>
        <w:rPr>
          <w:noProof/>
          <w:sz w:val="22"/>
          <w:szCs w:val="22"/>
        </w:rPr>
      </w:pPr>
      <w:r>
        <w:rPr>
          <w:sz w:val="22"/>
          <w:szCs w:val="22"/>
        </w:rPr>
        <w:t xml:space="preserve">Esant tam tikroms sąlygoms pasireiškė </w:t>
      </w:r>
      <w:proofErr w:type="spellStart"/>
      <w:r>
        <w:rPr>
          <w:sz w:val="22"/>
          <w:szCs w:val="22"/>
        </w:rPr>
        <w:t>amikacino</w:t>
      </w:r>
      <w:proofErr w:type="spellEnd"/>
      <w:r>
        <w:rPr>
          <w:sz w:val="22"/>
          <w:szCs w:val="22"/>
        </w:rPr>
        <w:t xml:space="preserve"> (taip pat ir į jį panašių medžiagų) toksinis poveikis klausos nervams ir inkstams. Inkstų pažeidimai gydant </w:t>
      </w:r>
      <w:proofErr w:type="spellStart"/>
      <w:r>
        <w:rPr>
          <w:sz w:val="22"/>
          <w:szCs w:val="22"/>
        </w:rPr>
        <w:t>amikacinu</w:t>
      </w:r>
      <w:proofErr w:type="spellEnd"/>
      <w:r>
        <w:rPr>
          <w:sz w:val="22"/>
          <w:szCs w:val="22"/>
        </w:rPr>
        <w:t xml:space="preserve"> yra nedažni ir paprastai praeina nutraukus vaisto vartojimą. Daugeliu atvejų inkstų pažeidimas būna susijęs su per didelėmis dozėmis arba ilgai trunkančiu gydymu, jau esamais inkstų sutrikimais arba su kitomis medžiagomis, taip pat pasižyminčiomis inkstus pažeidžiančiu poveikiu. Daugumos nepageidaujamų reakcijų galima išvengti griežtai laikantis atsargumo priemonių ir atsargiai dozuojant vaistą pagal instrukcijas.</w:t>
      </w:r>
    </w:p>
    <w:p w:rsidR="000E5F04" w:rsidRDefault="000E5F04" w:rsidP="000E5F04">
      <w:pPr>
        <w:numPr>
          <w:ilvl w:val="12"/>
          <w:numId w:val="0"/>
        </w:numPr>
        <w:ind w:left="567"/>
        <w:rPr>
          <w:noProof/>
          <w:sz w:val="22"/>
          <w:szCs w:val="22"/>
        </w:rPr>
      </w:pPr>
    </w:p>
    <w:p w:rsidR="000E5F04" w:rsidRDefault="000E5F04" w:rsidP="000E5F04">
      <w:pPr>
        <w:pStyle w:val="Plattetekstvet"/>
        <w:widowControl w:val="0"/>
        <w:spacing w:after="0"/>
        <w:rPr>
          <w:rFonts w:ascii="Times New Roman" w:hAnsi="Times New Roman"/>
          <w:noProof/>
          <w:szCs w:val="22"/>
          <w:lang w:val="lt-LT"/>
        </w:rPr>
      </w:pPr>
      <w:r>
        <w:rPr>
          <w:rFonts w:ascii="Times New Roman" w:hAnsi="Times New Roman"/>
          <w:szCs w:val="22"/>
          <w:lang w:val="lt-LT"/>
        </w:rPr>
        <w:t>Šios tik retai pasireiškiančios nepageidaujamos reakcijos gali būti sunkios, gali reikėti skubaus gydymo:</w:t>
      </w:r>
    </w:p>
    <w:p w:rsidR="000E5F04" w:rsidRDefault="000E5F04" w:rsidP="000E5F04">
      <w:pPr>
        <w:widowControl w:val="0"/>
        <w:numPr>
          <w:ilvl w:val="0"/>
          <w:numId w:val="4"/>
        </w:numPr>
        <w:tabs>
          <w:tab w:val="num" w:pos="567"/>
        </w:tabs>
        <w:ind w:left="567" w:hanging="567"/>
        <w:rPr>
          <w:noProof/>
          <w:sz w:val="22"/>
          <w:szCs w:val="22"/>
        </w:rPr>
      </w:pPr>
      <w:r>
        <w:rPr>
          <w:sz w:val="22"/>
          <w:szCs w:val="22"/>
        </w:rPr>
        <w:t>sunkios ūmaus padidėjusio jautrumo (alerginės) reakcijos ir šokas;</w:t>
      </w:r>
    </w:p>
    <w:p w:rsidR="000E5F04" w:rsidRDefault="000E5F04" w:rsidP="000E5F04">
      <w:pPr>
        <w:widowControl w:val="0"/>
        <w:numPr>
          <w:ilvl w:val="0"/>
          <w:numId w:val="4"/>
        </w:numPr>
        <w:tabs>
          <w:tab w:val="num" w:pos="567"/>
        </w:tabs>
        <w:ind w:left="567" w:hanging="567"/>
        <w:rPr>
          <w:noProof/>
          <w:sz w:val="22"/>
          <w:szCs w:val="22"/>
        </w:rPr>
      </w:pPr>
      <w:r>
        <w:rPr>
          <w:sz w:val="22"/>
          <w:szCs w:val="22"/>
        </w:rPr>
        <w:t>kurtumas;</w:t>
      </w:r>
    </w:p>
    <w:p w:rsidR="000E5F04" w:rsidRDefault="000E5F04" w:rsidP="000E5F04">
      <w:pPr>
        <w:widowControl w:val="0"/>
        <w:numPr>
          <w:ilvl w:val="0"/>
          <w:numId w:val="4"/>
        </w:numPr>
        <w:tabs>
          <w:tab w:val="num" w:pos="567"/>
        </w:tabs>
        <w:ind w:left="567" w:hanging="567"/>
        <w:rPr>
          <w:noProof/>
          <w:sz w:val="22"/>
          <w:szCs w:val="22"/>
        </w:rPr>
      </w:pPr>
      <w:r>
        <w:rPr>
          <w:sz w:val="22"/>
          <w:szCs w:val="22"/>
        </w:rPr>
        <w:t>kvėpavimo paralyžius;</w:t>
      </w:r>
    </w:p>
    <w:p w:rsidR="000E5F04" w:rsidRDefault="000E5F04" w:rsidP="000E5F04">
      <w:pPr>
        <w:widowControl w:val="0"/>
        <w:numPr>
          <w:ilvl w:val="0"/>
          <w:numId w:val="4"/>
        </w:numPr>
        <w:tabs>
          <w:tab w:val="num" w:pos="567"/>
        </w:tabs>
        <w:ind w:left="567" w:hanging="567"/>
        <w:rPr>
          <w:noProof/>
          <w:sz w:val="22"/>
          <w:szCs w:val="22"/>
        </w:rPr>
      </w:pPr>
      <w:r>
        <w:rPr>
          <w:sz w:val="22"/>
          <w:szCs w:val="22"/>
        </w:rPr>
        <w:t>ūmus inkstų nepakankamumas.</w:t>
      </w:r>
    </w:p>
    <w:p w:rsidR="000E5F04" w:rsidRDefault="000E5F04" w:rsidP="000E5F04">
      <w:pPr>
        <w:tabs>
          <w:tab w:val="num" w:pos="567"/>
        </w:tabs>
        <w:ind w:left="567" w:hanging="567"/>
        <w:rPr>
          <w:noProof/>
          <w:sz w:val="22"/>
          <w:szCs w:val="22"/>
        </w:rPr>
      </w:pPr>
    </w:p>
    <w:p w:rsidR="000E5F04" w:rsidRDefault="000E5F04" w:rsidP="000E5F04">
      <w:pPr>
        <w:tabs>
          <w:tab w:val="num" w:pos="993"/>
        </w:tabs>
        <w:rPr>
          <w:noProof/>
          <w:sz w:val="22"/>
          <w:szCs w:val="22"/>
        </w:rPr>
      </w:pPr>
      <w:r>
        <w:rPr>
          <w:sz w:val="22"/>
          <w:szCs w:val="22"/>
        </w:rPr>
        <w:t>Kiti šalutiniai poveikiai</w:t>
      </w:r>
    </w:p>
    <w:p w:rsidR="000E5F04" w:rsidRDefault="000E5F04" w:rsidP="000E5F04">
      <w:pPr>
        <w:ind w:left="567"/>
        <w:rPr>
          <w:sz w:val="22"/>
          <w:szCs w:val="22"/>
        </w:rPr>
      </w:pPr>
    </w:p>
    <w:p w:rsidR="000E5F04" w:rsidRDefault="000E5F04" w:rsidP="000E5F04">
      <w:pPr>
        <w:rPr>
          <w:sz w:val="22"/>
          <w:szCs w:val="22"/>
        </w:rPr>
      </w:pPr>
      <w:r>
        <w:rPr>
          <w:sz w:val="22"/>
          <w:szCs w:val="22"/>
        </w:rPr>
        <w:t>Nedažni šalutiniai poveikiai (pasireiškia nuo 1 iki 10 vartotojų iš 1000)</w:t>
      </w:r>
    </w:p>
    <w:p w:rsidR="000E5F04" w:rsidRDefault="000E5F04" w:rsidP="000E5F04">
      <w:pPr>
        <w:widowControl w:val="0"/>
        <w:numPr>
          <w:ilvl w:val="0"/>
          <w:numId w:val="5"/>
        </w:numPr>
        <w:tabs>
          <w:tab w:val="clear" w:pos="284"/>
          <w:tab w:val="num" w:pos="567"/>
        </w:tabs>
        <w:autoSpaceDE w:val="0"/>
        <w:autoSpaceDN w:val="0"/>
        <w:adjustRightInd w:val="0"/>
        <w:ind w:left="567" w:hanging="567"/>
        <w:rPr>
          <w:sz w:val="22"/>
          <w:szCs w:val="22"/>
        </w:rPr>
      </w:pPr>
      <w:r>
        <w:rPr>
          <w:sz w:val="22"/>
          <w:szCs w:val="22"/>
        </w:rPr>
        <w:t>Galvos sukimasis, svaigimas.</w:t>
      </w:r>
    </w:p>
    <w:p w:rsidR="000E5F04" w:rsidRDefault="000E5F04" w:rsidP="000E5F04">
      <w:pPr>
        <w:widowControl w:val="0"/>
        <w:numPr>
          <w:ilvl w:val="0"/>
          <w:numId w:val="5"/>
        </w:numPr>
        <w:tabs>
          <w:tab w:val="clear" w:pos="284"/>
          <w:tab w:val="num" w:pos="567"/>
        </w:tabs>
        <w:autoSpaceDE w:val="0"/>
        <w:autoSpaceDN w:val="0"/>
        <w:adjustRightInd w:val="0"/>
        <w:ind w:left="567" w:hanging="567"/>
        <w:rPr>
          <w:sz w:val="22"/>
          <w:szCs w:val="22"/>
        </w:rPr>
      </w:pPr>
      <w:r>
        <w:rPr>
          <w:sz w:val="22"/>
          <w:szCs w:val="22"/>
        </w:rPr>
        <w:t>Nevalingi akių judesiai viena kryptimi.</w:t>
      </w:r>
    </w:p>
    <w:p w:rsidR="000E5F04" w:rsidRDefault="000E5F04" w:rsidP="000E5F04">
      <w:pPr>
        <w:widowControl w:val="0"/>
        <w:numPr>
          <w:ilvl w:val="0"/>
          <w:numId w:val="5"/>
        </w:numPr>
        <w:tabs>
          <w:tab w:val="clear" w:pos="284"/>
          <w:tab w:val="num" w:pos="567"/>
        </w:tabs>
        <w:autoSpaceDE w:val="0"/>
        <w:autoSpaceDN w:val="0"/>
        <w:adjustRightInd w:val="0"/>
        <w:ind w:left="567" w:hanging="567"/>
        <w:rPr>
          <w:sz w:val="22"/>
          <w:szCs w:val="22"/>
        </w:rPr>
      </w:pPr>
      <w:r>
        <w:rPr>
          <w:sz w:val="22"/>
          <w:szCs w:val="22"/>
        </w:rPr>
        <w:t>Triukšmas ausyse, spaudimo pojūtis ausyse, klausos sutrikimas.</w:t>
      </w:r>
    </w:p>
    <w:p w:rsidR="000E5F04" w:rsidRDefault="000E5F04" w:rsidP="000E5F04">
      <w:pPr>
        <w:widowControl w:val="0"/>
        <w:numPr>
          <w:ilvl w:val="0"/>
          <w:numId w:val="5"/>
        </w:numPr>
        <w:tabs>
          <w:tab w:val="clear" w:pos="284"/>
          <w:tab w:val="num" w:pos="567"/>
        </w:tabs>
        <w:autoSpaceDE w:val="0"/>
        <w:autoSpaceDN w:val="0"/>
        <w:adjustRightInd w:val="0"/>
        <w:ind w:left="567" w:hanging="567"/>
        <w:rPr>
          <w:sz w:val="22"/>
          <w:szCs w:val="22"/>
        </w:rPr>
      </w:pPr>
      <w:r>
        <w:rPr>
          <w:sz w:val="22"/>
          <w:szCs w:val="22"/>
        </w:rPr>
        <w:t>Pykinimas.</w:t>
      </w:r>
    </w:p>
    <w:p w:rsidR="000E5F04" w:rsidRDefault="000E5F04" w:rsidP="000E5F04">
      <w:pPr>
        <w:widowControl w:val="0"/>
        <w:numPr>
          <w:ilvl w:val="0"/>
          <w:numId w:val="5"/>
        </w:numPr>
        <w:tabs>
          <w:tab w:val="clear" w:pos="284"/>
          <w:tab w:val="num" w:pos="567"/>
        </w:tabs>
        <w:ind w:left="567" w:hanging="567"/>
        <w:rPr>
          <w:sz w:val="22"/>
          <w:szCs w:val="22"/>
        </w:rPr>
      </w:pPr>
      <w:r>
        <w:rPr>
          <w:sz w:val="22"/>
          <w:szCs w:val="22"/>
        </w:rPr>
        <w:t>Tam tikrų inkstų dalių pažeidimas, inkstų funkcijos sutrikimas.</w:t>
      </w:r>
    </w:p>
    <w:p w:rsidR="000E5F04" w:rsidRDefault="000E5F04" w:rsidP="000E5F04">
      <w:pPr>
        <w:rPr>
          <w:sz w:val="22"/>
          <w:szCs w:val="22"/>
        </w:rPr>
      </w:pPr>
    </w:p>
    <w:p w:rsidR="000E5F04" w:rsidRDefault="000E5F04" w:rsidP="000E5F04">
      <w:pPr>
        <w:rPr>
          <w:sz w:val="22"/>
          <w:szCs w:val="22"/>
        </w:rPr>
      </w:pPr>
      <w:r>
        <w:rPr>
          <w:sz w:val="22"/>
          <w:szCs w:val="22"/>
        </w:rPr>
        <w:t>Reti šalutiniai poveikiai (pasireiškia nuo 1 iki 10 vartotojų iš 10 000)</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Papildoma infekcija arba kolonizacija (su atspariais mikroorganizmais arba į mieles panašiais grybeliais).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Leukocitų, eritrocitų arba trombocitų skaičiaus sumažėjimas žemiau normos ribos, tam tikro tipo leukocitų (</w:t>
      </w:r>
      <w:proofErr w:type="spellStart"/>
      <w:r>
        <w:rPr>
          <w:sz w:val="22"/>
          <w:szCs w:val="22"/>
        </w:rPr>
        <w:t>eozinofilų</w:t>
      </w:r>
      <w:proofErr w:type="spellEnd"/>
      <w:r>
        <w:rPr>
          <w:sz w:val="22"/>
          <w:szCs w:val="22"/>
        </w:rPr>
        <w:t>) skaičiaus padidėjimas.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Padidėjusio jautrumo (alerginės) reakcijos, odos išbėrimas, niežulys, dilgėlinė.</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Mažas magnio kiekis kraujyje.</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 xml:space="preserve">Galvos skausmas, migrena, </w:t>
      </w:r>
      <w:proofErr w:type="spellStart"/>
      <w:r>
        <w:rPr>
          <w:sz w:val="22"/>
          <w:szCs w:val="22"/>
        </w:rPr>
        <w:t>parestezija</w:t>
      </w:r>
      <w:proofErr w:type="spellEnd"/>
      <w:r>
        <w:rPr>
          <w:sz w:val="22"/>
          <w:szCs w:val="22"/>
        </w:rPr>
        <w:t xml:space="preserve"> (tirpimo, niežėjimo ir kitų nesamų dirgiklių tariamasis jutimas), drebulys.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Mažas kraujospūdis.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Kvėpavimo pasunkėjimas.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Vėmimas.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Sąnarių skausmas.</w:t>
      </w:r>
    </w:p>
    <w:p w:rsidR="000E5F04" w:rsidRDefault="000E5F04" w:rsidP="000E5F04">
      <w:pPr>
        <w:widowControl w:val="0"/>
        <w:numPr>
          <w:ilvl w:val="0"/>
          <w:numId w:val="6"/>
        </w:numPr>
        <w:tabs>
          <w:tab w:val="clear" w:pos="284"/>
          <w:tab w:val="num" w:pos="567"/>
        </w:tabs>
        <w:autoSpaceDE w:val="0"/>
        <w:autoSpaceDN w:val="0"/>
        <w:adjustRightInd w:val="0"/>
        <w:ind w:left="567" w:hanging="567"/>
        <w:rPr>
          <w:sz w:val="22"/>
          <w:szCs w:val="22"/>
        </w:rPr>
      </w:pPr>
      <w:r>
        <w:rPr>
          <w:sz w:val="22"/>
          <w:szCs w:val="22"/>
        </w:rPr>
        <w:t>Vaisto sukeltas karščiavimas.</w:t>
      </w:r>
    </w:p>
    <w:p w:rsidR="000E5F04" w:rsidRDefault="000E5F04" w:rsidP="000E5F04">
      <w:pPr>
        <w:widowControl w:val="0"/>
        <w:numPr>
          <w:ilvl w:val="0"/>
          <w:numId w:val="6"/>
        </w:numPr>
        <w:tabs>
          <w:tab w:val="clear" w:pos="284"/>
          <w:tab w:val="num" w:pos="567"/>
        </w:tabs>
        <w:ind w:left="567" w:hanging="567"/>
        <w:rPr>
          <w:sz w:val="22"/>
          <w:szCs w:val="22"/>
        </w:rPr>
      </w:pPr>
      <w:r>
        <w:rPr>
          <w:sz w:val="22"/>
          <w:szCs w:val="22"/>
        </w:rPr>
        <w:t>Padidėjęs tam tikrų kepenų fermentų aktyvumas kraujyje.</w:t>
      </w:r>
    </w:p>
    <w:p w:rsidR="000E5F04" w:rsidRDefault="000E5F04" w:rsidP="000E5F04">
      <w:pPr>
        <w:rPr>
          <w:sz w:val="22"/>
          <w:szCs w:val="22"/>
        </w:rPr>
      </w:pPr>
    </w:p>
    <w:p w:rsidR="000E5F04" w:rsidRDefault="000E5F04" w:rsidP="000E5F04">
      <w:pPr>
        <w:rPr>
          <w:sz w:val="22"/>
          <w:szCs w:val="22"/>
        </w:rPr>
      </w:pPr>
      <w:r>
        <w:rPr>
          <w:sz w:val="22"/>
          <w:szCs w:val="22"/>
        </w:rPr>
        <w:t>Labai reti šalutiniai poveikiai (pasireiškia rečiau negu 1 iš 10 000 vartotojų)</w:t>
      </w:r>
    </w:p>
    <w:p w:rsidR="000E5F04" w:rsidRDefault="000E5F04" w:rsidP="000E5F04">
      <w:pPr>
        <w:widowControl w:val="0"/>
        <w:numPr>
          <w:ilvl w:val="0"/>
          <w:numId w:val="7"/>
        </w:numPr>
        <w:tabs>
          <w:tab w:val="clear" w:pos="284"/>
          <w:tab w:val="num" w:pos="567"/>
        </w:tabs>
        <w:autoSpaceDE w:val="0"/>
        <w:autoSpaceDN w:val="0"/>
        <w:adjustRightInd w:val="0"/>
        <w:ind w:left="567" w:hanging="567"/>
        <w:rPr>
          <w:sz w:val="22"/>
          <w:szCs w:val="22"/>
        </w:rPr>
      </w:pPr>
      <w:r>
        <w:rPr>
          <w:sz w:val="22"/>
          <w:szCs w:val="22"/>
        </w:rPr>
        <w:t>Sunki ūmi padidėjusio jautrumo (alerginė) reakcija ir šokas (pavieniai atvejai).</w:t>
      </w:r>
    </w:p>
    <w:p w:rsidR="000E5F04" w:rsidRDefault="000E5F04" w:rsidP="000E5F04">
      <w:pPr>
        <w:widowControl w:val="0"/>
        <w:numPr>
          <w:ilvl w:val="0"/>
          <w:numId w:val="7"/>
        </w:numPr>
        <w:tabs>
          <w:tab w:val="clear" w:pos="284"/>
          <w:tab w:val="num" w:pos="567"/>
        </w:tabs>
        <w:autoSpaceDE w:val="0"/>
        <w:autoSpaceDN w:val="0"/>
        <w:adjustRightInd w:val="0"/>
        <w:ind w:left="567" w:hanging="567"/>
        <w:rPr>
          <w:sz w:val="22"/>
          <w:szCs w:val="22"/>
        </w:rPr>
      </w:pPr>
      <w:r>
        <w:rPr>
          <w:sz w:val="22"/>
          <w:szCs w:val="22"/>
        </w:rPr>
        <w:t>Kurtumas (pavieniai atvejai).</w:t>
      </w:r>
    </w:p>
    <w:p w:rsidR="000E5F04" w:rsidRDefault="000E5F04" w:rsidP="000E5F04">
      <w:pPr>
        <w:widowControl w:val="0"/>
        <w:numPr>
          <w:ilvl w:val="0"/>
          <w:numId w:val="7"/>
        </w:numPr>
        <w:tabs>
          <w:tab w:val="clear" w:pos="284"/>
          <w:tab w:val="num" w:pos="567"/>
        </w:tabs>
        <w:autoSpaceDE w:val="0"/>
        <w:autoSpaceDN w:val="0"/>
        <w:adjustRightInd w:val="0"/>
        <w:ind w:left="567" w:hanging="567"/>
        <w:rPr>
          <w:sz w:val="22"/>
          <w:szCs w:val="22"/>
        </w:rPr>
      </w:pPr>
      <w:r>
        <w:rPr>
          <w:sz w:val="22"/>
          <w:szCs w:val="22"/>
        </w:rPr>
        <w:t>Kvėpavimo paralyžius (pavieniai atvejai).</w:t>
      </w:r>
    </w:p>
    <w:p w:rsidR="000E5F04" w:rsidRDefault="000E5F04" w:rsidP="000E5F04">
      <w:pPr>
        <w:widowControl w:val="0"/>
        <w:numPr>
          <w:ilvl w:val="0"/>
          <w:numId w:val="7"/>
        </w:numPr>
        <w:tabs>
          <w:tab w:val="clear" w:pos="284"/>
          <w:tab w:val="num" w:pos="567"/>
        </w:tabs>
        <w:autoSpaceDE w:val="0"/>
        <w:autoSpaceDN w:val="0"/>
        <w:adjustRightInd w:val="0"/>
        <w:ind w:left="567" w:hanging="567"/>
        <w:rPr>
          <w:sz w:val="22"/>
          <w:szCs w:val="22"/>
        </w:rPr>
      </w:pPr>
      <w:r>
        <w:rPr>
          <w:sz w:val="22"/>
          <w:szCs w:val="22"/>
        </w:rPr>
        <w:lastRenderedPageBreak/>
        <w:t>Raumenų funkcijos blokada.</w:t>
      </w:r>
    </w:p>
    <w:p w:rsidR="000E5F04" w:rsidRDefault="000E5F04" w:rsidP="000E5F04">
      <w:pPr>
        <w:widowControl w:val="0"/>
        <w:numPr>
          <w:ilvl w:val="0"/>
          <w:numId w:val="7"/>
        </w:numPr>
        <w:tabs>
          <w:tab w:val="clear" w:pos="284"/>
          <w:tab w:val="num" w:pos="567"/>
        </w:tabs>
        <w:ind w:left="567" w:hanging="567"/>
        <w:rPr>
          <w:sz w:val="22"/>
          <w:szCs w:val="22"/>
        </w:rPr>
      </w:pPr>
      <w:r>
        <w:rPr>
          <w:sz w:val="22"/>
          <w:szCs w:val="22"/>
        </w:rPr>
        <w:t>Sunkus inkstų pažeidimas, ūmus inkstų nepakankamumas.</w:t>
      </w:r>
    </w:p>
    <w:p w:rsidR="000E5F04" w:rsidRDefault="000E5F04" w:rsidP="000E5F04">
      <w:pPr>
        <w:rPr>
          <w:sz w:val="22"/>
          <w:szCs w:val="22"/>
        </w:rPr>
      </w:pPr>
    </w:p>
    <w:p w:rsidR="000E5F04" w:rsidRDefault="000E5F04" w:rsidP="000E5F04">
      <w:pPr>
        <w:rPr>
          <w:sz w:val="22"/>
          <w:szCs w:val="22"/>
        </w:rPr>
      </w:pPr>
      <w:r>
        <w:rPr>
          <w:sz w:val="22"/>
          <w:szCs w:val="22"/>
        </w:rPr>
        <w:t>Dažnis nežinomas (negalima apskaičiuoti pagal turimus duomenis)</w:t>
      </w:r>
    </w:p>
    <w:p w:rsidR="000E5F04" w:rsidRDefault="000E5F04" w:rsidP="000E5F04">
      <w:pPr>
        <w:widowControl w:val="0"/>
        <w:numPr>
          <w:ilvl w:val="0"/>
          <w:numId w:val="8"/>
        </w:numPr>
        <w:tabs>
          <w:tab w:val="clear" w:pos="284"/>
          <w:tab w:val="num" w:pos="567"/>
        </w:tabs>
        <w:ind w:left="567" w:hanging="567"/>
        <w:rPr>
          <w:sz w:val="22"/>
          <w:szCs w:val="22"/>
        </w:rPr>
      </w:pPr>
      <w:r>
        <w:rPr>
          <w:sz w:val="22"/>
          <w:szCs w:val="22"/>
        </w:rPr>
        <w:t xml:space="preserve">Alerginės reakcijos į visus vaistus, kurie panašūs į </w:t>
      </w:r>
      <w:proofErr w:type="spellStart"/>
      <w:r>
        <w:rPr>
          <w:sz w:val="22"/>
          <w:szCs w:val="22"/>
        </w:rPr>
        <w:t>amikaciną</w:t>
      </w:r>
      <w:proofErr w:type="spellEnd"/>
      <w:r>
        <w:rPr>
          <w:sz w:val="22"/>
          <w:szCs w:val="22"/>
        </w:rPr>
        <w:t>.</w:t>
      </w:r>
    </w:p>
    <w:p w:rsidR="000E5F04" w:rsidRDefault="000E5F04" w:rsidP="000E5F04">
      <w:pPr>
        <w:keepNext/>
        <w:ind w:left="567"/>
        <w:rPr>
          <w:sz w:val="22"/>
          <w:szCs w:val="22"/>
        </w:rPr>
      </w:pPr>
    </w:p>
    <w:p w:rsidR="000E5F04" w:rsidRDefault="000E5F04" w:rsidP="000E5F04">
      <w:pPr>
        <w:numPr>
          <w:ilvl w:val="12"/>
          <w:numId w:val="0"/>
        </w:numPr>
        <w:outlineLvl w:val="0"/>
        <w:rPr>
          <w:b/>
          <w:noProof/>
          <w:sz w:val="22"/>
          <w:szCs w:val="22"/>
        </w:rPr>
      </w:pPr>
      <w:r>
        <w:rPr>
          <w:b/>
          <w:noProof/>
          <w:sz w:val="22"/>
          <w:szCs w:val="22"/>
        </w:rPr>
        <w:t>Pranešimas apie šalutinį poveikį</w:t>
      </w:r>
    </w:p>
    <w:p w:rsidR="000E5F04" w:rsidRDefault="000E5F04" w:rsidP="000E5F04">
      <w:pPr>
        <w:snapToGrid w:val="0"/>
        <w:rPr>
          <w:rFonts w:eastAsia="Calibri"/>
          <w:sz w:val="22"/>
          <w:szCs w:val="22"/>
        </w:rPr>
      </w:pPr>
      <w:r>
        <w:rPr>
          <w:rFonts w:eastAsia="Calibri"/>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eastAsia="Calibri"/>
          <w:sz w:val="22"/>
          <w:szCs w:val="22"/>
          <w:lang w:eastAsia="zh-CN"/>
        </w:rPr>
        <w:t>elefonu 8 800 73568</w:t>
      </w:r>
      <w:r>
        <w:rPr>
          <w:rFonts w:eastAsia="Calibri"/>
          <w:sz w:val="22"/>
          <w:szCs w:val="22"/>
        </w:rPr>
        <w:t xml:space="preserve"> arba užpildyti interneto svetainėje </w:t>
      </w:r>
      <w:hyperlink r:id="rId5" w:history="1">
        <w:r>
          <w:rPr>
            <w:rStyle w:val="Hipersaitas"/>
            <w:rFonts w:eastAsia="Calibri"/>
            <w:sz w:val="22"/>
            <w:szCs w:val="22"/>
          </w:rPr>
          <w:t>www.vvkt.lt</w:t>
        </w:r>
      </w:hyperlink>
      <w:r>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w:t>
      </w:r>
      <w:r>
        <w:rPr>
          <w:rFonts w:eastAsia="Calibri"/>
          <w:sz w:val="22"/>
          <w:szCs w:val="22"/>
          <w:lang w:eastAsia="zh-CN"/>
        </w:rPr>
        <w:t xml:space="preserve">nemokamu </w:t>
      </w:r>
      <w:r>
        <w:rPr>
          <w:rFonts w:eastAsia="Calibri"/>
          <w:sz w:val="22"/>
          <w:szCs w:val="22"/>
        </w:rPr>
        <w:t>fakso numeriu 8 800 20131</w:t>
      </w:r>
      <w:r>
        <w:rPr>
          <w:rFonts w:eastAsia="Calibri"/>
          <w:sz w:val="22"/>
          <w:szCs w:val="22"/>
          <w:lang w:eastAsia="zh-CN"/>
        </w:rPr>
        <w:t xml:space="preserve">, </w:t>
      </w:r>
      <w:r>
        <w:rPr>
          <w:rFonts w:eastAsia="Calibri"/>
          <w:sz w:val="22"/>
          <w:szCs w:val="22"/>
        </w:rPr>
        <w:t xml:space="preserve">el. paštu </w:t>
      </w:r>
      <w:hyperlink r:id="rId6" w:history="1">
        <w:r>
          <w:rPr>
            <w:rStyle w:val="Hipersaitas"/>
            <w:rFonts w:eastAsia="Calibri"/>
            <w:sz w:val="22"/>
            <w:szCs w:val="22"/>
          </w:rPr>
          <w:t>NepageidaujamaR@vvkt.lt</w:t>
        </w:r>
      </w:hyperlink>
      <w:r>
        <w:rPr>
          <w:rFonts w:eastAsia="Calibri"/>
          <w:sz w:val="22"/>
          <w:szCs w:val="22"/>
        </w:rPr>
        <w:t xml:space="preserve">, taip pat per Valstybinės vaistų kontrolės tarnybos prie Lietuvos Respublikos sveikatos apsaugos ministerijos interneto svetainę (adresu </w:t>
      </w:r>
      <w:hyperlink r:id="rId7" w:history="1">
        <w:r>
          <w:rPr>
            <w:rStyle w:val="Hipersaitas"/>
            <w:rFonts w:eastAsia="Calibri"/>
            <w:sz w:val="22"/>
            <w:szCs w:val="22"/>
          </w:rPr>
          <w:t>http://www.vvkt.lt</w:t>
        </w:r>
      </w:hyperlink>
      <w:r>
        <w:rPr>
          <w:rFonts w:eastAsia="Calibri"/>
          <w:sz w:val="22"/>
          <w:szCs w:val="22"/>
        </w:rPr>
        <w:t>). Pranešdami apie šalutinį poveikį galite mums padėti gauti daugiau informacijos apie šio vaisto saugumą.</w:t>
      </w:r>
    </w:p>
    <w:p w:rsidR="000E5F04" w:rsidRDefault="000E5F04" w:rsidP="000E5F04">
      <w:pPr>
        <w:pStyle w:val="BTEMEASMCA"/>
        <w:rPr>
          <w:rFonts w:ascii="Times New Roman" w:eastAsia="Calibri" w:hAnsi="Times New Roman"/>
          <w:noProof w:val="0"/>
          <w:sz w:val="20"/>
          <w:szCs w:val="20"/>
        </w:rPr>
      </w:pPr>
    </w:p>
    <w:p w:rsidR="000E5F04" w:rsidRDefault="000E5F04" w:rsidP="000E5F04">
      <w:pPr>
        <w:pStyle w:val="BTEMEASMCA"/>
        <w:rPr>
          <w:rFonts w:ascii="Times New Roman" w:hAnsi="Times New Roman"/>
          <w:noProof w:val="0"/>
        </w:rPr>
      </w:pPr>
    </w:p>
    <w:p w:rsidR="000E5F04" w:rsidRDefault="000E5F04" w:rsidP="000E5F04">
      <w:pPr>
        <w:pStyle w:val="PI-1EMEASMCA"/>
      </w:pPr>
      <w:bookmarkStart w:id="10" w:name="_Toc129243143"/>
      <w:bookmarkStart w:id="11" w:name="_Toc129243268"/>
      <w:r>
        <w:t>5.</w:t>
      </w:r>
      <w:r>
        <w:tab/>
        <w:t xml:space="preserve">Kaip laikyti </w:t>
      </w:r>
      <w:bookmarkEnd w:id="10"/>
      <w:bookmarkEnd w:id="11"/>
      <w:proofErr w:type="spellStart"/>
      <w:r>
        <w:t>Amikacin</w:t>
      </w:r>
      <w:proofErr w:type="spellEnd"/>
      <w:r>
        <w:t xml:space="preserve"> </w:t>
      </w:r>
      <w:proofErr w:type="spellStart"/>
      <w:r>
        <w:t>Sopharma</w:t>
      </w:r>
      <w:proofErr w:type="spellEnd"/>
    </w:p>
    <w:p w:rsidR="000E5F04" w:rsidRDefault="000E5F04" w:rsidP="000E5F04">
      <w:pPr>
        <w:pStyle w:val="BTEMEASMCA"/>
        <w:rPr>
          <w:rFonts w:ascii="Times New Roman" w:hAnsi="Times New Roman"/>
          <w:noProof w:val="0"/>
        </w:rPr>
      </w:pPr>
    </w:p>
    <w:p w:rsidR="000E5F04" w:rsidRDefault="000E5F04" w:rsidP="000E5F04">
      <w:pPr>
        <w:rPr>
          <w:sz w:val="22"/>
          <w:szCs w:val="22"/>
        </w:rPr>
      </w:pPr>
      <w:r>
        <w:rPr>
          <w:sz w:val="22"/>
          <w:szCs w:val="22"/>
        </w:rPr>
        <w:t>Šį vaistą laikykite vaikams nepastebimoje ir nepasiekiamoje vietoje.</w:t>
      </w:r>
    </w:p>
    <w:p w:rsidR="000E5F04" w:rsidRDefault="000E5F04" w:rsidP="000E5F04">
      <w:pPr>
        <w:rPr>
          <w:sz w:val="22"/>
          <w:szCs w:val="22"/>
        </w:rPr>
      </w:pPr>
    </w:p>
    <w:p w:rsidR="000E5F04" w:rsidRDefault="000E5F04" w:rsidP="000E5F04">
      <w:pPr>
        <w:rPr>
          <w:color w:val="000000"/>
          <w:sz w:val="22"/>
          <w:szCs w:val="22"/>
        </w:rPr>
      </w:pPr>
      <w:r>
        <w:rPr>
          <w:sz w:val="22"/>
          <w:szCs w:val="22"/>
        </w:rPr>
        <w:t>Ant dėžutės ir ampulės po „EXP“ nurodytam tinkamumo laikui pasibaigus, šio vaisto vartoti negalima. Vaistas tinkamas vartoti iki paskutinės nurodyto mėnesio dienos.</w:t>
      </w:r>
    </w:p>
    <w:p w:rsidR="000E5F04" w:rsidRDefault="000E5F04" w:rsidP="000E5F04">
      <w:pPr>
        <w:rPr>
          <w:sz w:val="22"/>
          <w:szCs w:val="22"/>
        </w:rPr>
      </w:pPr>
    </w:p>
    <w:p w:rsidR="000E5F04" w:rsidRDefault="000E5F04" w:rsidP="000E5F04">
      <w:pPr>
        <w:rPr>
          <w:sz w:val="22"/>
          <w:szCs w:val="22"/>
        </w:rPr>
      </w:pPr>
      <w:r>
        <w:rPr>
          <w:sz w:val="22"/>
          <w:szCs w:val="22"/>
        </w:rPr>
        <w:t>Laikyti ne aukštesnėje kaip 25 ºC temperatūroje.</w:t>
      </w:r>
    </w:p>
    <w:p w:rsidR="000E5F04" w:rsidRDefault="000E5F04" w:rsidP="000E5F04">
      <w:pPr>
        <w:pStyle w:val="Pagrindinistekstas"/>
        <w:rPr>
          <w:sz w:val="22"/>
          <w:szCs w:val="22"/>
        </w:rPr>
      </w:pPr>
      <w:r>
        <w:rPr>
          <w:sz w:val="22"/>
          <w:szCs w:val="22"/>
        </w:rPr>
        <w:t>Negalima užšaldyti.</w:t>
      </w:r>
    </w:p>
    <w:p w:rsidR="000E5F04" w:rsidRDefault="000E5F04" w:rsidP="000E5F04">
      <w:pPr>
        <w:pStyle w:val="Pagrindinistekstas"/>
        <w:rPr>
          <w:sz w:val="22"/>
          <w:szCs w:val="22"/>
        </w:rPr>
      </w:pPr>
      <w:r>
        <w:rPr>
          <w:sz w:val="22"/>
          <w:szCs w:val="22"/>
        </w:rPr>
        <w:t xml:space="preserve">Ampules laikyti išorinėje dėžutėje, kad vaistas būtų apsaugotas nuo šviesos. </w:t>
      </w:r>
    </w:p>
    <w:p w:rsidR="000E5F04" w:rsidRDefault="000E5F04" w:rsidP="000E5F04">
      <w:pPr>
        <w:tabs>
          <w:tab w:val="left" w:pos="567"/>
        </w:tabs>
        <w:rPr>
          <w:sz w:val="22"/>
          <w:szCs w:val="22"/>
        </w:rPr>
      </w:pPr>
      <w:r>
        <w:rPr>
          <w:sz w:val="22"/>
          <w:szCs w:val="22"/>
        </w:rPr>
        <w:t>Atidarius ampulę, vaistą vartoti nedelsiant. Nesuvartotą vaisto likutį išmesti.</w:t>
      </w:r>
    </w:p>
    <w:p w:rsidR="000E5F04" w:rsidRDefault="000E5F04" w:rsidP="000E5F04">
      <w:pPr>
        <w:pStyle w:val="BTEMEASMCA"/>
        <w:rPr>
          <w:rFonts w:ascii="Times New Roman" w:hAnsi="Times New Roman"/>
          <w:noProof w:val="0"/>
          <w:sz w:val="20"/>
          <w:szCs w:val="20"/>
        </w:rPr>
      </w:pPr>
    </w:p>
    <w:p w:rsidR="000E5F04" w:rsidRDefault="000E5F04" w:rsidP="000E5F04">
      <w:pPr>
        <w:pStyle w:val="BTEMEASMCA"/>
        <w:rPr>
          <w:rFonts w:ascii="Times New Roman" w:hAnsi="Times New Roman"/>
          <w:noProof w:val="0"/>
        </w:rPr>
      </w:pPr>
      <w:r>
        <w:rPr>
          <w:rFonts w:ascii="Times New Roman" w:hAnsi="Times New Roman"/>
          <w:noProof w:val="0"/>
        </w:rPr>
        <w:t>Vaistų negalima išmesti į kanalizaciją arba su buitinėmis atliekomis. Kaip išmesti nereikalingus vaistus, klauskite vaistininko. Šios priemonės padės apsaugoti aplinką.</w:t>
      </w:r>
    </w:p>
    <w:p w:rsidR="000E5F04" w:rsidRDefault="000E5F04" w:rsidP="000E5F04">
      <w:pPr>
        <w:pStyle w:val="BTEMEASMCA"/>
        <w:rPr>
          <w:rFonts w:ascii="Times New Roman" w:hAnsi="Times New Roman"/>
          <w:noProof w:val="0"/>
        </w:rPr>
      </w:pPr>
    </w:p>
    <w:p w:rsidR="000E5F04" w:rsidRDefault="000E5F04" w:rsidP="000E5F04">
      <w:pPr>
        <w:pStyle w:val="BTEMEASMCA"/>
        <w:rPr>
          <w:rFonts w:ascii="Times New Roman" w:hAnsi="Times New Roman"/>
          <w:noProof w:val="0"/>
        </w:rPr>
      </w:pPr>
    </w:p>
    <w:p w:rsidR="000E5F04" w:rsidRDefault="000E5F04" w:rsidP="000E5F04">
      <w:pPr>
        <w:pStyle w:val="PI-1EMEASMCA"/>
      </w:pPr>
      <w:bookmarkStart w:id="12" w:name="_Toc129243144"/>
      <w:bookmarkStart w:id="13" w:name="_Toc129243269"/>
      <w:r>
        <w:t>6.</w:t>
      </w:r>
      <w:r>
        <w:tab/>
        <w:t>Pakuotės turinys ir kita informacija</w:t>
      </w:r>
      <w:bookmarkEnd w:id="12"/>
      <w:bookmarkEnd w:id="13"/>
    </w:p>
    <w:p w:rsidR="000E5F04" w:rsidRDefault="000E5F04" w:rsidP="000E5F04">
      <w:pPr>
        <w:pStyle w:val="BTEMEASMCA"/>
        <w:rPr>
          <w:rFonts w:ascii="Times New Roman" w:hAnsi="Times New Roman"/>
          <w:noProof w:val="0"/>
        </w:rPr>
      </w:pPr>
    </w:p>
    <w:p w:rsidR="000E5F04" w:rsidRDefault="000E5F04" w:rsidP="000E5F04">
      <w:pPr>
        <w:pStyle w:val="PI-3EMEASMCA"/>
      </w:pPr>
      <w:r>
        <w:t>Amikacin Sopharma sudėtis</w:t>
      </w:r>
    </w:p>
    <w:p w:rsidR="000E5F04" w:rsidRDefault="000E5F04" w:rsidP="000E5F04">
      <w:pPr>
        <w:pStyle w:val="BT-EMEASMCA"/>
        <w:tabs>
          <w:tab w:val="clear" w:pos="360"/>
          <w:tab w:val="num" w:pos="720"/>
        </w:tabs>
        <w:ind w:left="720" w:hanging="363"/>
        <w:rPr>
          <w:rFonts w:ascii="Times New Roman" w:hAnsi="Times New Roman"/>
        </w:rPr>
      </w:pPr>
      <w:r>
        <w:rPr>
          <w:rFonts w:ascii="Times New Roman" w:hAnsi="Times New Roman"/>
        </w:rPr>
        <w:t>Veiklioji medžiaga yra amikacinas. 1 ml injekcinio tirpalo yra 250 mg amikacino (sulfato pavidalu). 2 ml ampulėje yra 500 mg amikacino (sulfato pavidalu).</w:t>
      </w:r>
    </w:p>
    <w:p w:rsidR="000E5F04" w:rsidRDefault="000E5F04" w:rsidP="000E5F04">
      <w:pPr>
        <w:pStyle w:val="BT-EMEASMCA"/>
        <w:numPr>
          <w:ilvl w:val="0"/>
          <w:numId w:val="0"/>
        </w:numPr>
        <w:tabs>
          <w:tab w:val="left" w:pos="1296"/>
        </w:tabs>
        <w:ind w:left="720"/>
        <w:rPr>
          <w:rFonts w:ascii="Times New Roman" w:hAnsi="Times New Roman"/>
        </w:rPr>
      </w:pPr>
      <w:r>
        <w:rPr>
          <w:rFonts w:ascii="Times New Roman" w:hAnsi="Times New Roman"/>
        </w:rPr>
        <w:t>4 ml ampulėje yra 1000 mg amikacino (sulfato pavidalu).</w:t>
      </w:r>
    </w:p>
    <w:p w:rsidR="000E5F04" w:rsidRDefault="000E5F04" w:rsidP="000E5F04">
      <w:pPr>
        <w:pStyle w:val="BT-EMEASMCA"/>
        <w:tabs>
          <w:tab w:val="clear" w:pos="360"/>
          <w:tab w:val="num" w:pos="720"/>
        </w:tabs>
        <w:ind w:left="720" w:hanging="363"/>
        <w:rPr>
          <w:rFonts w:ascii="Times New Roman" w:hAnsi="Times New Roman"/>
        </w:rPr>
      </w:pPr>
      <w:r>
        <w:rPr>
          <w:rFonts w:ascii="Times New Roman" w:hAnsi="Times New Roman"/>
        </w:rPr>
        <w:t>Pagalbinės medžiagos yra natrio metabisulfitas (E223), natrio citratas dihidratas, sulfato rūgštis (pH koreguoti), injekcinis vanduo.</w:t>
      </w:r>
    </w:p>
    <w:p w:rsidR="000E5F04" w:rsidRDefault="000E5F04" w:rsidP="000E5F04">
      <w:pPr>
        <w:pStyle w:val="BT-EMEASMCA"/>
        <w:numPr>
          <w:ilvl w:val="0"/>
          <w:numId w:val="0"/>
        </w:numPr>
        <w:tabs>
          <w:tab w:val="left" w:pos="1296"/>
        </w:tabs>
        <w:ind w:left="357"/>
        <w:rPr>
          <w:rFonts w:ascii="Times New Roman" w:hAnsi="Times New Roman"/>
          <w:noProof w:val="0"/>
        </w:rPr>
      </w:pPr>
    </w:p>
    <w:p w:rsidR="000E5F04" w:rsidRDefault="000E5F04" w:rsidP="000E5F04">
      <w:pPr>
        <w:pStyle w:val="PI-3EMEASMCA"/>
      </w:pPr>
      <w:r>
        <w:t>Amikacin Sopharma išvaizda ir kiekis pakuotėje</w:t>
      </w:r>
    </w:p>
    <w:p w:rsidR="000E5F04" w:rsidRDefault="000E5F04" w:rsidP="000E5F04">
      <w:pPr>
        <w:pStyle w:val="BTEMEASMCA"/>
        <w:rPr>
          <w:rFonts w:ascii="Times New Roman" w:hAnsi="Times New Roman"/>
        </w:rPr>
      </w:pPr>
      <w:r>
        <w:rPr>
          <w:rFonts w:ascii="Times New Roman" w:hAnsi="Times New Roman"/>
        </w:rPr>
        <w:t>Amikacin Sopharma tirpalas yra skaidrus bespalvis arba šiek tiek gelsvas.</w:t>
      </w:r>
    </w:p>
    <w:p w:rsidR="000E5F04" w:rsidRDefault="000E5F04" w:rsidP="000E5F04">
      <w:pPr>
        <w:pStyle w:val="Pagrindinistekstas"/>
        <w:rPr>
          <w:sz w:val="22"/>
          <w:szCs w:val="22"/>
        </w:rPr>
      </w:pPr>
    </w:p>
    <w:p w:rsidR="000E5F04" w:rsidRDefault="000E5F04" w:rsidP="000E5F04">
      <w:pPr>
        <w:pStyle w:val="Pagrindinistekstas"/>
        <w:rPr>
          <w:sz w:val="22"/>
          <w:szCs w:val="22"/>
        </w:rPr>
      </w:pPr>
      <w:proofErr w:type="spellStart"/>
      <w:r>
        <w:rPr>
          <w:sz w:val="22"/>
          <w:szCs w:val="22"/>
        </w:rPr>
        <w:t>Amikacin</w:t>
      </w:r>
      <w:proofErr w:type="spellEnd"/>
      <w:r>
        <w:rPr>
          <w:sz w:val="22"/>
          <w:szCs w:val="22"/>
        </w:rPr>
        <w:t xml:space="preserve"> </w:t>
      </w:r>
      <w:proofErr w:type="spellStart"/>
      <w:r>
        <w:rPr>
          <w:sz w:val="22"/>
          <w:szCs w:val="22"/>
        </w:rPr>
        <w:t>Sopharma</w:t>
      </w:r>
      <w:proofErr w:type="spellEnd"/>
      <w:r>
        <w:rPr>
          <w:sz w:val="22"/>
          <w:szCs w:val="22"/>
        </w:rPr>
        <w:t xml:space="preserve"> 250 mg/ml: bespalvio I tipo stiklo 2 ml ir 4 ml ampulės. Po 10 ampulių supakuota į kietas PVC lizdines plokšteles. Kartoninėje dėžutėje yra 10 arba 100 ampulių.</w:t>
      </w:r>
    </w:p>
    <w:p w:rsidR="000E5F04" w:rsidRDefault="000E5F04" w:rsidP="000E5F04">
      <w:pPr>
        <w:pStyle w:val="Pagrindinistekstas"/>
        <w:rPr>
          <w:sz w:val="22"/>
          <w:szCs w:val="22"/>
        </w:rPr>
      </w:pPr>
    </w:p>
    <w:p w:rsidR="000E5F04" w:rsidRDefault="000E5F04" w:rsidP="000E5F04">
      <w:pPr>
        <w:pStyle w:val="Pagrindinistekstas"/>
        <w:rPr>
          <w:sz w:val="22"/>
          <w:szCs w:val="22"/>
        </w:rPr>
      </w:pPr>
      <w:r>
        <w:rPr>
          <w:sz w:val="22"/>
          <w:szCs w:val="22"/>
        </w:rPr>
        <w:t>Gali būti tiekiamos ne visų dydžių pakuotės.</w:t>
      </w:r>
    </w:p>
    <w:p w:rsidR="000E5F04" w:rsidRDefault="000E5F04" w:rsidP="000E5F04">
      <w:pPr>
        <w:pStyle w:val="Pagrindinistekstas"/>
        <w:rPr>
          <w:sz w:val="22"/>
          <w:szCs w:val="22"/>
        </w:rPr>
      </w:pPr>
    </w:p>
    <w:p w:rsidR="000E5F04" w:rsidRDefault="000E5F04" w:rsidP="000E5F04">
      <w:pPr>
        <w:pStyle w:val="PI-3EMEASMCA"/>
      </w:pPr>
      <w:r>
        <w:t>Registruotojas ir gamintojas</w:t>
      </w:r>
    </w:p>
    <w:p w:rsidR="000E5F04" w:rsidRDefault="000E5F04" w:rsidP="000E5F04">
      <w:pPr>
        <w:rPr>
          <w:sz w:val="22"/>
          <w:szCs w:val="22"/>
        </w:rPr>
      </w:pPr>
      <w:r>
        <w:rPr>
          <w:sz w:val="22"/>
          <w:szCs w:val="22"/>
        </w:rPr>
        <w:t>SOPHARMA AD</w:t>
      </w:r>
    </w:p>
    <w:p w:rsidR="000E5F04" w:rsidRDefault="000E5F04" w:rsidP="000E5F04">
      <w:pPr>
        <w:rPr>
          <w:sz w:val="22"/>
          <w:szCs w:val="22"/>
        </w:rPr>
      </w:pPr>
      <w:r>
        <w:rPr>
          <w:sz w:val="22"/>
          <w:szCs w:val="22"/>
        </w:rPr>
        <w:t xml:space="preserve">16 </w:t>
      </w:r>
      <w:proofErr w:type="spellStart"/>
      <w:r>
        <w:rPr>
          <w:sz w:val="22"/>
          <w:szCs w:val="22"/>
        </w:rPr>
        <w:t>Iliensko</w:t>
      </w:r>
      <w:proofErr w:type="spellEnd"/>
      <w:r>
        <w:rPr>
          <w:sz w:val="22"/>
          <w:szCs w:val="22"/>
        </w:rPr>
        <w:t xml:space="preserve"> </w:t>
      </w:r>
      <w:proofErr w:type="spellStart"/>
      <w:r>
        <w:rPr>
          <w:sz w:val="22"/>
          <w:szCs w:val="22"/>
        </w:rPr>
        <w:t>Shosse</w:t>
      </w:r>
      <w:proofErr w:type="spellEnd"/>
      <w:r>
        <w:rPr>
          <w:sz w:val="22"/>
          <w:szCs w:val="22"/>
        </w:rPr>
        <w:t xml:space="preserve"> Str.</w:t>
      </w:r>
    </w:p>
    <w:p w:rsidR="000E5F04" w:rsidRDefault="000E5F04" w:rsidP="000E5F04">
      <w:pPr>
        <w:rPr>
          <w:sz w:val="22"/>
          <w:szCs w:val="22"/>
        </w:rPr>
      </w:pPr>
      <w:proofErr w:type="spellStart"/>
      <w:r>
        <w:rPr>
          <w:sz w:val="22"/>
          <w:szCs w:val="22"/>
        </w:rPr>
        <w:t>Sofia</w:t>
      </w:r>
      <w:proofErr w:type="spellEnd"/>
      <w:r>
        <w:rPr>
          <w:sz w:val="22"/>
          <w:szCs w:val="22"/>
        </w:rPr>
        <w:t xml:space="preserve"> 1220,</w:t>
      </w:r>
    </w:p>
    <w:p w:rsidR="000E5F04" w:rsidRDefault="000E5F04" w:rsidP="000E5F04">
      <w:pPr>
        <w:rPr>
          <w:sz w:val="22"/>
          <w:szCs w:val="22"/>
        </w:rPr>
      </w:pPr>
      <w:r>
        <w:rPr>
          <w:sz w:val="22"/>
          <w:szCs w:val="22"/>
        </w:rPr>
        <w:lastRenderedPageBreak/>
        <w:t>Bulgarija</w:t>
      </w:r>
    </w:p>
    <w:p w:rsidR="000E5F04" w:rsidRDefault="000E5F04" w:rsidP="000E5F04">
      <w:pPr>
        <w:pStyle w:val="BTEMEASMCA"/>
        <w:rPr>
          <w:rFonts w:ascii="Times New Roman" w:hAnsi="Times New Roman"/>
          <w:noProof w:val="0"/>
          <w:sz w:val="20"/>
          <w:szCs w:val="20"/>
        </w:rPr>
      </w:pPr>
    </w:p>
    <w:p w:rsidR="000E5F04" w:rsidRDefault="000E5F04" w:rsidP="000E5F04">
      <w:pPr>
        <w:numPr>
          <w:ilvl w:val="12"/>
          <w:numId w:val="0"/>
        </w:numPr>
        <w:ind w:right="-2"/>
        <w:rPr>
          <w:noProof/>
          <w:snapToGrid w:val="0"/>
          <w:sz w:val="22"/>
          <w:szCs w:val="22"/>
        </w:rPr>
      </w:pPr>
      <w:r>
        <w:rPr>
          <w:noProof/>
          <w:snapToGrid w:val="0"/>
          <w:sz w:val="22"/>
          <w:szCs w:val="22"/>
        </w:rPr>
        <w:t>Jeigu apie šį vaistą norite sužinoti daugiau, kreipkitės į vietinį registruotojo atstovą.</w:t>
      </w:r>
    </w:p>
    <w:p w:rsidR="000E5F04" w:rsidRDefault="000E5F04" w:rsidP="000E5F04">
      <w:pPr>
        <w:rPr>
          <w:snapToGrid w:val="0"/>
          <w:sz w:val="22"/>
          <w:szCs w:val="22"/>
        </w:rPr>
      </w:pPr>
    </w:p>
    <w:p w:rsidR="000E5F04" w:rsidRDefault="000E5F04" w:rsidP="000E5F04">
      <w:pPr>
        <w:rPr>
          <w:b/>
          <w:snapToGrid w:val="0"/>
          <w:sz w:val="22"/>
          <w:szCs w:val="22"/>
        </w:rPr>
      </w:pPr>
      <w:r>
        <w:rPr>
          <w:snapToGrid w:val="0"/>
          <w:sz w:val="22"/>
          <w:szCs w:val="22"/>
        </w:rPr>
        <w:t>UAB “Maras”</w:t>
      </w:r>
    </w:p>
    <w:p w:rsidR="000E5F04" w:rsidRDefault="000E5F04" w:rsidP="000E5F04">
      <w:pPr>
        <w:numPr>
          <w:ilvl w:val="12"/>
          <w:numId w:val="0"/>
        </w:numPr>
        <w:ind w:right="-2"/>
        <w:rPr>
          <w:snapToGrid w:val="0"/>
          <w:sz w:val="22"/>
          <w:szCs w:val="22"/>
        </w:rPr>
      </w:pPr>
      <w:r>
        <w:rPr>
          <w:snapToGrid w:val="0"/>
          <w:sz w:val="22"/>
          <w:szCs w:val="22"/>
        </w:rPr>
        <w:t>Panerių g. 243</w:t>
      </w:r>
    </w:p>
    <w:p w:rsidR="000E5F04" w:rsidRDefault="000E5F04" w:rsidP="000E5F04">
      <w:pPr>
        <w:numPr>
          <w:ilvl w:val="12"/>
          <w:numId w:val="0"/>
        </w:numPr>
        <w:ind w:right="-2"/>
        <w:rPr>
          <w:snapToGrid w:val="0"/>
          <w:sz w:val="22"/>
          <w:szCs w:val="22"/>
        </w:rPr>
      </w:pPr>
      <w:r>
        <w:rPr>
          <w:snapToGrid w:val="0"/>
          <w:sz w:val="22"/>
          <w:szCs w:val="22"/>
        </w:rPr>
        <w:t>LT-48439 Kaunas</w:t>
      </w:r>
    </w:p>
    <w:p w:rsidR="000E5F04" w:rsidRDefault="000E5F04" w:rsidP="000E5F04">
      <w:pPr>
        <w:numPr>
          <w:ilvl w:val="12"/>
          <w:numId w:val="0"/>
        </w:numPr>
        <w:ind w:right="-2"/>
        <w:rPr>
          <w:snapToGrid w:val="0"/>
          <w:sz w:val="22"/>
          <w:szCs w:val="22"/>
        </w:rPr>
      </w:pPr>
      <w:r>
        <w:rPr>
          <w:snapToGrid w:val="0"/>
          <w:sz w:val="22"/>
          <w:szCs w:val="22"/>
        </w:rPr>
        <w:t>El. paštas info@maras.lt</w:t>
      </w:r>
    </w:p>
    <w:p w:rsidR="000E5F04" w:rsidRDefault="000E5F04" w:rsidP="000E5F04">
      <w:pPr>
        <w:pStyle w:val="BTEMEASMCA"/>
        <w:rPr>
          <w:rFonts w:ascii="Times New Roman" w:hAnsi="Times New Roman"/>
          <w:noProof w:val="0"/>
          <w:sz w:val="20"/>
          <w:szCs w:val="20"/>
        </w:rPr>
      </w:pPr>
    </w:p>
    <w:p w:rsidR="000E5F04" w:rsidRDefault="000E5F04" w:rsidP="000E5F04">
      <w:pPr>
        <w:pStyle w:val="BTbEMEASMCA"/>
        <w:rPr>
          <w:rFonts w:ascii="Times New Roman" w:hAnsi="Times New Roman"/>
        </w:rPr>
      </w:pPr>
      <w:r>
        <w:rPr>
          <w:rFonts w:ascii="Times New Roman" w:hAnsi="Times New Roman"/>
          <w:bCs/>
        </w:rPr>
        <w:t>Šis pakuotės lapelis</w:t>
      </w:r>
      <w:r>
        <w:rPr>
          <w:rFonts w:ascii="Times New Roman" w:hAnsi="Times New Roman"/>
        </w:rPr>
        <w:t xml:space="preserve"> paskutinį kartą peržiūrėtas 2019-09-23.</w:t>
      </w:r>
    </w:p>
    <w:p w:rsidR="000E5F04" w:rsidRDefault="000E5F04" w:rsidP="000E5F04">
      <w:pPr>
        <w:rPr>
          <w:sz w:val="22"/>
          <w:szCs w:val="22"/>
        </w:rPr>
      </w:pPr>
    </w:p>
    <w:p w:rsidR="000E5F04" w:rsidRDefault="000E5F04" w:rsidP="000E5F04">
      <w:pPr>
        <w:rPr>
          <w:sz w:val="22"/>
          <w:szCs w:val="22"/>
        </w:rPr>
      </w:pPr>
    </w:p>
    <w:p w:rsidR="000E5F04" w:rsidRDefault="000E5F04" w:rsidP="000E5F04">
      <w:pPr>
        <w:pStyle w:val="BTEMEASMCA"/>
        <w:rPr>
          <w:rFonts w:ascii="Times New Roman" w:hAnsi="Times New Roman"/>
          <w:sz w:val="20"/>
          <w:szCs w:val="20"/>
        </w:rPr>
      </w:pPr>
      <w:r>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Pr>
            <w:rStyle w:val="Hipersaitas"/>
          </w:rPr>
          <w:t>http://www.vvkt.lt/</w:t>
        </w:r>
      </w:hyperlink>
    </w:p>
    <w:p w:rsidR="000E5F04" w:rsidRDefault="000E5F04" w:rsidP="000E5F04">
      <w:pPr>
        <w:rPr>
          <w:sz w:val="22"/>
          <w:szCs w:val="22"/>
          <w:highlight w:val="yellow"/>
        </w:rPr>
      </w:pPr>
    </w:p>
    <w:p w:rsidR="000E5F04" w:rsidRDefault="000E5F04" w:rsidP="000E5F04">
      <w:pPr>
        <w:rPr>
          <w:sz w:val="22"/>
          <w:szCs w:val="22"/>
        </w:rPr>
      </w:pPr>
    </w:p>
    <w:p w:rsidR="000E5F04" w:rsidRDefault="000E5F04" w:rsidP="000E5F04">
      <w:pPr>
        <w:rPr>
          <w:sz w:val="22"/>
          <w:szCs w:val="22"/>
        </w:rPr>
      </w:pPr>
    </w:p>
    <w:p w:rsidR="000E5F04" w:rsidRDefault="000E5F04" w:rsidP="000E5F04">
      <w:pPr>
        <w:rPr>
          <w:sz w:val="22"/>
          <w:szCs w:val="22"/>
        </w:rPr>
      </w:pPr>
    </w:p>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4A2"/>
    <w:multiLevelType w:val="hybridMultilevel"/>
    <w:tmpl w:val="0BC4AD26"/>
    <w:lvl w:ilvl="0" w:tplc="BDDE7C9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2018713B"/>
    <w:multiLevelType w:val="hybridMultilevel"/>
    <w:tmpl w:val="6152FBB0"/>
    <w:lvl w:ilvl="0" w:tplc="6CD24E94">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27AA1"/>
    <w:multiLevelType w:val="hybridMultilevel"/>
    <w:tmpl w:val="94A4C83E"/>
    <w:lvl w:ilvl="0" w:tplc="6CD24E94">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F24C9"/>
    <w:multiLevelType w:val="hybridMultilevel"/>
    <w:tmpl w:val="BC163432"/>
    <w:lvl w:ilvl="0" w:tplc="6CD24E94">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D33FD3"/>
    <w:multiLevelType w:val="hybridMultilevel"/>
    <w:tmpl w:val="47A61ECE"/>
    <w:lvl w:ilvl="0" w:tplc="BDDE7C96">
      <w:numFmt w:val="bullet"/>
      <w:lvlText w:val="–"/>
      <w:lvlJc w:val="left"/>
      <w:pPr>
        <w:tabs>
          <w:tab w:val="num" w:pos="1287"/>
        </w:tabs>
        <w:ind w:left="1287" w:hanging="360"/>
      </w:pPr>
      <w:rPr>
        <w:rFonts w:ascii="Times New Roman" w:eastAsia="Times New Roman" w:hAnsi="Times New Roman" w:cs="Times New Roman"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4B0D6CCD"/>
    <w:multiLevelType w:val="hybridMultilevel"/>
    <w:tmpl w:val="7360A56A"/>
    <w:lvl w:ilvl="0" w:tplc="6CD24E94">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04"/>
    <w:rsid w:val="000E5F04"/>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0FFD8-E16A-49E1-A554-6B8A3900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F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E5F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E5F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semiHidden/>
    <w:unhideWhenUsed/>
    <w:qFormat/>
    <w:rsid w:val="000E5F04"/>
    <w:pPr>
      <w:keepNext/>
      <w:spacing w:line="360" w:lineRule="auto"/>
      <w:outlineLvl w:val="3"/>
    </w:pPr>
    <w:rPr>
      <w:rFonts w:ascii="Calibri" w:hAnsi="Calibri"/>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0E5F04"/>
    <w:rPr>
      <w:rFonts w:ascii="Calibri" w:eastAsia="Times New Roman" w:hAnsi="Calibri" w:cs="Times New Roman"/>
      <w:b/>
      <w:sz w:val="28"/>
      <w:szCs w:val="20"/>
      <w:lang w:eastAsia="lt-LT"/>
    </w:rPr>
  </w:style>
  <w:style w:type="character" w:styleId="Hipersaitas">
    <w:name w:val="Hyperlink"/>
    <w:semiHidden/>
    <w:unhideWhenUsed/>
    <w:rsid w:val="000E5F04"/>
    <w:rPr>
      <w:rFonts w:ascii="Times New Roman" w:hAnsi="Times New Roman" w:cs="Times New Roman" w:hint="default"/>
      <w:color w:val="0000FF"/>
      <w:u w:val="single"/>
    </w:rPr>
  </w:style>
  <w:style w:type="paragraph" w:styleId="Pagrindinistekstas">
    <w:name w:val="Body Text"/>
    <w:basedOn w:val="prastasis"/>
    <w:link w:val="PagrindinistekstasDiagrama"/>
    <w:semiHidden/>
    <w:unhideWhenUsed/>
    <w:rsid w:val="000E5F04"/>
    <w:rPr>
      <w:szCs w:val="20"/>
    </w:rPr>
  </w:style>
  <w:style w:type="character" w:customStyle="1" w:styleId="PagrindinistekstasDiagrama">
    <w:name w:val="Pagrindinis tekstas Diagrama"/>
    <w:basedOn w:val="Numatytasispastraiposriftas"/>
    <w:link w:val="Pagrindinistekstas"/>
    <w:semiHidden/>
    <w:rsid w:val="000E5F04"/>
    <w:rPr>
      <w:rFonts w:ascii="Times New Roman" w:eastAsia="Times New Roman" w:hAnsi="Times New Roman" w:cs="Times New Roman"/>
      <w:sz w:val="24"/>
      <w:szCs w:val="20"/>
    </w:rPr>
  </w:style>
  <w:style w:type="paragraph" w:customStyle="1" w:styleId="PI-1EMEASMCA">
    <w:name w:val="PI-1 EMEA_SMCA"/>
    <w:basedOn w:val="Antrat2"/>
    <w:next w:val="prastasis"/>
    <w:autoRedefine/>
    <w:uiPriority w:val="99"/>
    <w:rsid w:val="000E5F04"/>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0E5F04"/>
    <w:rPr>
      <w:noProof/>
    </w:rPr>
  </w:style>
  <w:style w:type="paragraph" w:customStyle="1" w:styleId="BTEMEASMCA">
    <w:name w:val="BT EMEA_SMCA"/>
    <w:basedOn w:val="prastasis"/>
    <w:link w:val="BTEMEASMCAChar"/>
    <w:autoRedefine/>
    <w:rsid w:val="000E5F04"/>
    <w:rPr>
      <w:rFonts w:asciiTheme="minorHAnsi" w:eastAsiaTheme="minorHAnsi" w:hAnsiTheme="minorHAnsi" w:cstheme="minorBidi"/>
      <w:noProof/>
      <w:sz w:val="22"/>
      <w:szCs w:val="22"/>
    </w:rPr>
  </w:style>
  <w:style w:type="character" w:customStyle="1" w:styleId="TTEMEASMCAChar">
    <w:name w:val="TT EMEA_SMCA Char"/>
    <w:link w:val="TTEMEASMCA"/>
    <w:uiPriority w:val="99"/>
    <w:locked/>
    <w:rsid w:val="000E5F04"/>
    <w:rPr>
      <w:b/>
      <w:caps/>
    </w:rPr>
  </w:style>
  <w:style w:type="paragraph" w:customStyle="1" w:styleId="TTEMEASMCA">
    <w:name w:val="TT EMEA_SMCA"/>
    <w:basedOn w:val="Antrat1"/>
    <w:link w:val="TTEMEASMCAChar"/>
    <w:autoRedefine/>
    <w:uiPriority w:val="99"/>
    <w:rsid w:val="000E5F04"/>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rPr>
  </w:style>
  <w:style w:type="paragraph" w:customStyle="1" w:styleId="BT-EMEASMCA">
    <w:name w:val="BT- EMEA_SMCA"/>
    <w:basedOn w:val="BTEMEASMCA"/>
    <w:autoRedefine/>
    <w:uiPriority w:val="99"/>
    <w:rsid w:val="000E5F04"/>
    <w:pPr>
      <w:numPr>
        <w:numId w:val="1"/>
      </w:numPr>
      <w:tabs>
        <w:tab w:val="clear" w:pos="720"/>
        <w:tab w:val="num" w:pos="360"/>
      </w:tabs>
      <w:ind w:left="0" w:firstLine="0"/>
    </w:pPr>
  </w:style>
  <w:style w:type="paragraph" w:customStyle="1" w:styleId="PI-3EMEASMCA">
    <w:name w:val="PI-3 EMEA_SMCA"/>
    <w:basedOn w:val="prastasis"/>
    <w:autoRedefine/>
    <w:rsid w:val="000E5F04"/>
    <w:pPr>
      <w:spacing w:line="220" w:lineRule="exact"/>
    </w:pPr>
    <w:rPr>
      <w:b/>
      <w:bCs/>
      <w:noProof/>
      <w:sz w:val="22"/>
      <w:szCs w:val="22"/>
    </w:rPr>
  </w:style>
  <w:style w:type="paragraph" w:customStyle="1" w:styleId="BTbEMEASMCA">
    <w:name w:val="BT(b) EMEA_SMCA"/>
    <w:basedOn w:val="BTEMEASMCA"/>
    <w:autoRedefine/>
    <w:uiPriority w:val="99"/>
    <w:rsid w:val="000E5F04"/>
    <w:rPr>
      <w:b/>
      <w:noProof w:val="0"/>
    </w:rPr>
  </w:style>
  <w:style w:type="paragraph" w:customStyle="1" w:styleId="Plattetekstvet">
    <w:name w:val="Platte tekst vet"/>
    <w:basedOn w:val="Pagrindinistekstas"/>
    <w:next w:val="Pagrindinistekstas"/>
    <w:uiPriority w:val="99"/>
    <w:rsid w:val="000E5F04"/>
    <w:pPr>
      <w:spacing w:after="120"/>
    </w:pPr>
    <w:rPr>
      <w:rFonts w:ascii="Arial" w:hAnsi="Arial"/>
      <w:b/>
      <w:sz w:val="22"/>
      <w:lang w:val="nl-NL" w:eastAsia="lt-LT"/>
    </w:rPr>
  </w:style>
  <w:style w:type="character" w:customStyle="1" w:styleId="Antrat2Diagrama">
    <w:name w:val="Antraštė 2 Diagrama"/>
    <w:basedOn w:val="Numatytasispastraiposriftas"/>
    <w:link w:val="Antrat2"/>
    <w:uiPriority w:val="9"/>
    <w:semiHidden/>
    <w:rsid w:val="000E5F04"/>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E5F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0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7257</Words>
  <Characters>4137</Characters>
  <Application>Microsoft Office Word</Application>
  <DocSecurity>0</DocSecurity>
  <Lines>34</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2019-09-25T12:12:00Z</dcterms:created>
  <dcterms:modified xsi:type="dcterms:W3CDTF">2019-09-25T12:14:00Z</dcterms:modified>
</cp:coreProperties>
</file>