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tabs>
          <w:tab w:val="left" w:pos="-1440"/>
          <w:tab w:val="left" w:pos="-720"/>
        </w:tabs>
        <w:spacing w:after="0" w:line="240" w:lineRule="auto"/>
        <w:jc w:val="center"/>
        <w:rPr>
          <w:rFonts w:ascii="Times New Roman" w:eastAsia="Calibri" w:hAnsi="Times New Roman" w:cs="Times New Roman"/>
          <w:b/>
          <w:noProof w:val="0"/>
        </w:rPr>
      </w:pPr>
    </w:p>
    <w:p w:rsidR="00544645" w:rsidRDefault="00544645" w:rsidP="00544645">
      <w:pPr>
        <w:tabs>
          <w:tab w:val="left" w:pos="-1440"/>
          <w:tab w:val="left" w:pos="-720"/>
        </w:tabs>
        <w:spacing w:after="0" w:line="240" w:lineRule="auto"/>
        <w:jc w:val="center"/>
        <w:rPr>
          <w:rFonts w:ascii="Times New Roman" w:eastAsia="Calibri" w:hAnsi="Times New Roman" w:cs="Times New Roman"/>
          <w:b/>
          <w:noProof w:val="0"/>
        </w:rPr>
      </w:pPr>
    </w:p>
    <w:p w:rsidR="00544645" w:rsidRDefault="00544645" w:rsidP="00544645">
      <w:pPr>
        <w:tabs>
          <w:tab w:val="left" w:pos="-1440"/>
          <w:tab w:val="left" w:pos="-720"/>
        </w:tabs>
        <w:spacing w:after="0" w:line="240" w:lineRule="auto"/>
        <w:jc w:val="center"/>
        <w:rPr>
          <w:rFonts w:ascii="Times New Roman" w:eastAsia="Calibri" w:hAnsi="Times New Roman" w:cs="Times New Roman"/>
          <w:b/>
          <w:noProof w:val="0"/>
        </w:rPr>
      </w:pPr>
    </w:p>
    <w:p w:rsidR="00544645" w:rsidRDefault="00544645" w:rsidP="00544645">
      <w:pPr>
        <w:spacing w:after="0" w:line="240" w:lineRule="auto"/>
        <w:ind w:left="567" w:hanging="567"/>
        <w:jc w:val="center"/>
        <w:outlineLvl w:val="0"/>
        <w:rPr>
          <w:rFonts w:ascii="Times New Roman" w:eastAsia="Calibri" w:hAnsi="Times New Roman" w:cs="Times New Roman"/>
          <w:noProof w:val="0"/>
        </w:rPr>
      </w:pPr>
      <w:r>
        <w:rPr>
          <w:rFonts w:ascii="Times New Roman" w:eastAsia="Calibri" w:hAnsi="Times New Roman" w:cs="Times New Roman"/>
          <w:b/>
          <w:noProof w:val="0"/>
        </w:rPr>
        <w:t>I PRIEDAS</w:t>
      </w:r>
    </w:p>
    <w:p w:rsidR="00544645" w:rsidRDefault="00544645" w:rsidP="00544645">
      <w:pPr>
        <w:spacing w:after="0" w:line="240" w:lineRule="auto"/>
        <w:ind w:left="567" w:hanging="567"/>
        <w:jc w:val="center"/>
        <w:rPr>
          <w:rFonts w:ascii="Times New Roman" w:eastAsia="Calibri" w:hAnsi="Times New Roman" w:cs="Times New Roman"/>
          <w:b/>
          <w:noProof w:val="0"/>
        </w:rPr>
      </w:pPr>
    </w:p>
    <w:p w:rsidR="00544645" w:rsidRDefault="00544645" w:rsidP="00544645">
      <w:pPr>
        <w:spacing w:after="0" w:line="240" w:lineRule="auto"/>
        <w:ind w:left="567" w:hanging="567"/>
        <w:jc w:val="center"/>
        <w:outlineLvl w:val="0"/>
        <w:rPr>
          <w:rFonts w:ascii="Times New Roman" w:eastAsia="Calibri" w:hAnsi="Times New Roman" w:cs="Times New Roman"/>
          <w:b/>
          <w:noProof w:val="0"/>
        </w:rPr>
      </w:pPr>
      <w:r>
        <w:rPr>
          <w:rFonts w:ascii="Times New Roman" w:eastAsia="Calibri" w:hAnsi="Times New Roman" w:cs="Times New Roman"/>
          <w:b/>
          <w:noProof w:val="0"/>
        </w:rPr>
        <w:t>PREPARATO CHARAKTERISTIKŲ SANTRAUKA</w:t>
      </w:r>
    </w:p>
    <w:p w:rsidR="00544645" w:rsidRDefault="00544645" w:rsidP="00544645">
      <w:pPr>
        <w:tabs>
          <w:tab w:val="left" w:pos="-1440"/>
          <w:tab w:val="left" w:pos="-720"/>
        </w:tabs>
        <w:spacing w:after="0" w:line="240" w:lineRule="auto"/>
        <w:jc w:val="center"/>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Cs/>
          <w:iCs/>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tabs>
          <w:tab w:val="left" w:pos="7095"/>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ab/>
      </w:r>
    </w:p>
    <w:p w:rsidR="00544645" w:rsidRDefault="00544645" w:rsidP="00544645">
      <w:pPr>
        <w:spacing w:after="0" w:line="240" w:lineRule="auto"/>
        <w:ind w:left="567" w:hanging="567"/>
        <w:rPr>
          <w:rFonts w:ascii="Times New Roman" w:eastAsia="Calibri" w:hAnsi="Times New Roman" w:cs="Times New Roman"/>
          <w:b/>
          <w:bCs/>
          <w:noProof w:val="0"/>
        </w:rPr>
      </w:pPr>
      <w:r>
        <w:rPr>
          <w:rFonts w:ascii="Times New Roman" w:eastAsia="Calibri" w:hAnsi="Times New Roman" w:cs="Times New Roman"/>
          <w:noProof w:val="0"/>
        </w:rPr>
        <w:br w:type="page"/>
      </w:r>
      <w:r>
        <w:rPr>
          <w:rFonts w:ascii="Times New Roman" w:eastAsia="Calibri" w:hAnsi="Times New Roman" w:cs="Times New Roman"/>
          <w:b/>
          <w:bCs/>
          <w:noProof w:val="0"/>
        </w:rPr>
        <w:lastRenderedPageBreak/>
        <w:t>1.</w:t>
      </w:r>
      <w:r>
        <w:rPr>
          <w:rFonts w:ascii="Times New Roman" w:eastAsia="Calibri" w:hAnsi="Times New Roman" w:cs="Times New Roman"/>
          <w:b/>
          <w:bCs/>
          <w:noProof w:val="0"/>
        </w:rPr>
        <w:tab/>
        <w:t>VAISTINIO PREPARATO PAVADINIMAS</w:t>
      </w:r>
    </w:p>
    <w:p w:rsidR="00544645" w:rsidRDefault="00544645" w:rsidP="00544645">
      <w:pPr>
        <w:spacing w:after="0" w:line="240" w:lineRule="auto"/>
        <w:rPr>
          <w:rFonts w:ascii="Times New Roman" w:eastAsia="Calibri" w:hAnsi="Times New Roman" w:cs="Times New Roman"/>
          <w:bCs/>
          <w:noProof w:val="0"/>
        </w:rPr>
      </w:pPr>
    </w:p>
    <w:p w:rsidR="00544645" w:rsidRDefault="00544645" w:rsidP="00544645">
      <w:pPr>
        <w:spacing w:after="0" w:line="240" w:lineRule="auto"/>
        <w:rPr>
          <w:rFonts w:ascii="Times New Roman" w:eastAsia="Calibri" w:hAnsi="Times New Roman" w:cs="Times New Roman"/>
          <w:bCs/>
          <w:noProof w:val="0"/>
        </w:rPr>
      </w:pPr>
      <w:bookmarkStart w:id="0" w:name="OLE_LINK2"/>
      <w:bookmarkStart w:id="1" w:name="OLE_LINK1"/>
      <w:r>
        <w:rPr>
          <w:rFonts w:ascii="Times New Roman" w:eastAsia="Calibri" w:hAnsi="Times New Roman" w:cs="Times New Roman"/>
          <w:bCs/>
          <w:noProof w:val="0"/>
        </w:rPr>
        <w:t>Duracef 500 mg kietosios kapsulės</w:t>
      </w:r>
    </w:p>
    <w:bookmarkEnd w:id="0"/>
    <w:bookmarkEnd w:id="1"/>
    <w:p w:rsidR="00544645" w:rsidRDefault="00544645" w:rsidP="00544645">
      <w:pPr>
        <w:spacing w:after="0" w:line="240" w:lineRule="auto"/>
        <w:rPr>
          <w:rFonts w:ascii="Times New Roman" w:eastAsia="Calibri" w:hAnsi="Times New Roman" w:cs="Times New Roman"/>
          <w:bCs/>
          <w:noProof w:val="0"/>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KOKYBINĖ IR KIEKYBINĖ SUDĖTIS</w:t>
      </w:r>
    </w:p>
    <w:p w:rsidR="00544645" w:rsidRDefault="00544645" w:rsidP="00544645">
      <w:pPr>
        <w:spacing w:after="0" w:line="240" w:lineRule="auto"/>
        <w:rPr>
          <w:rFonts w:ascii="Times New Roman" w:eastAsia="Calibri" w:hAnsi="Times New Roman" w:cs="Times New Roman"/>
          <w:noProof w:val="0"/>
          <w:u w:val="single"/>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Kiekvienoje kietojoje kapsulėje yra 500 mg cefadroksilio (monohidrato pavidalu).</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u w:val="single"/>
        </w:rPr>
        <w:t>Pagalbinė medžiaga, kurios poveikis žinomas</w:t>
      </w:r>
      <w:r>
        <w:rPr>
          <w:rFonts w:ascii="Times New Roman" w:eastAsia="Calibri" w:hAnsi="Times New Roman" w:cs="Times New Roman"/>
          <w:noProof w:val="0"/>
        </w:rPr>
        <w:t>: laktozė monohidratas (5,51 mg).</w:t>
      </w:r>
    </w:p>
    <w:p w:rsidR="00544645" w:rsidRDefault="00544645" w:rsidP="00544645">
      <w:pPr>
        <w:spacing w:after="0" w:line="240" w:lineRule="auto"/>
        <w:rPr>
          <w:rFonts w:ascii="Times New Roman" w:eastAsia="Calibri" w:hAnsi="Times New Roman" w:cs="Times New Roman"/>
          <w:bCs/>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Visos pagalbinės  medžiagos išvardytos 6.1 skyriuje.</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3.</w:t>
      </w:r>
      <w:r>
        <w:rPr>
          <w:rFonts w:ascii="Times New Roman" w:eastAsia="Calibri" w:hAnsi="Times New Roman" w:cs="Times New Roman"/>
          <w:b/>
          <w:noProof w:val="0"/>
        </w:rPr>
        <w:tab/>
        <w:t>FARMACINĖ FORMA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Kietoji kapsulė.</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Kietosios kapsulės yra baltos spalvos, matinės, su juodu užrašu „7244“. </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KLINIKINĖ INFORMACIJA</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4.1</w:t>
      </w:r>
      <w:r>
        <w:rPr>
          <w:rFonts w:ascii="Times New Roman" w:eastAsia="Calibri" w:hAnsi="Times New Roman" w:cs="Times New Roman"/>
          <w:b/>
          <w:noProof w:val="0"/>
        </w:rPr>
        <w:tab/>
        <w:t>Terapinės indikacijos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Cefadroksiliui jautrių mikroorganizmų sukeltų infekcinių ligų gydymas:</w:t>
      </w:r>
    </w:p>
    <w:p w:rsidR="00544645" w:rsidRDefault="00544645" w:rsidP="00544645">
      <w:pPr>
        <w:numPr>
          <w:ilvl w:val="0"/>
          <w:numId w:val="4"/>
        </w:numPr>
        <w:tabs>
          <w:tab w:val="left" w:pos="426"/>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kvėpavimo takų (tonzilito ir faringito);</w:t>
      </w:r>
    </w:p>
    <w:p w:rsidR="00544645" w:rsidRDefault="00544645" w:rsidP="00544645">
      <w:pPr>
        <w:numPr>
          <w:ilvl w:val="0"/>
          <w:numId w:val="4"/>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  odos ir minkštųjų audinių (piodermijos, impetigos, absceso, furunkulo);</w:t>
      </w:r>
    </w:p>
    <w:p w:rsidR="00544645" w:rsidRDefault="00544645" w:rsidP="00544645">
      <w:pPr>
        <w:numPr>
          <w:ilvl w:val="0"/>
          <w:numId w:val="4"/>
        </w:numPr>
        <w:tabs>
          <w:tab w:val="left" w:pos="426"/>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šlapimo takų (cistito, pielonefrito).</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Reikia atsižvelgti į oficialias vietines tinkamo antimikrobinių vaistinių preparatų vartojimo rekomendacijas.</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4.2</w:t>
      </w:r>
      <w:r>
        <w:rPr>
          <w:rFonts w:ascii="Times New Roman" w:eastAsia="Calibri" w:hAnsi="Times New Roman" w:cs="Times New Roman"/>
          <w:b/>
          <w:noProof w:val="0"/>
        </w:rPr>
        <w:tab/>
        <w:t>Dozavimas ir vartojimo metodas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sz w:val="24"/>
          <w:u w:val="single"/>
        </w:rPr>
        <w:t>Dozavimas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Cefadroksilis yra atsparus rūgšties poveikiui. Jį galima gerti neatsižvelgiant į maitinimąsi. Šio vaistinio preparato vartojimas valgio metu gali padėti sumažinti galimus virškinimo trakto sutrikimus, kurių kartais pasireiškia vartojant geriamuosius cefalosporinus.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Kai išnyksta infekcinės ligos simptomai arba pacientas nuo jos kliniškai pasveiksta, šį vaistinį preparatą reikia vartoti dar bent 48 - 72 val. Gydant β hemolizinių streptokokų sukeltas infekcines ligas, Duracef reikia vartoti bent 10 parų.</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Prireikus atliekamas sukėlėjo jautrumo cefadroksiliui tyrimas.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b/>
          <w:noProof w:val="0"/>
        </w:rPr>
      </w:pPr>
      <w:r>
        <w:rPr>
          <w:rFonts w:ascii="Times New Roman" w:eastAsia="Calibri" w:hAnsi="Times New Roman" w:cs="Times New Roman"/>
          <w:i/>
          <w:noProof w:val="0"/>
          <w:u w:val="single"/>
        </w:rPr>
        <w:t>Suaugusiesiems ir daugiau kaip 40 kg sveriantiems vaikams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u w:val="single"/>
        </w:rPr>
      </w:pPr>
      <w:r>
        <w:rPr>
          <w:rFonts w:ascii="Times New Roman" w:eastAsia="Calibri" w:hAnsi="Times New Roman" w:cs="Times New Roman"/>
          <w:noProof w:val="0"/>
          <w:u w:val="single"/>
        </w:rPr>
        <w:t>Faringitas ir tonzilitas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Įprasta dozė A grupės β hemolizinių streptokokų sukeltam faringitui ir tonzilitui gydyti yra 1 g per parą. Ji išgeriama iš karto arba padalijama į 2 lygias vienkartines. Vaistinis preparatas vartojamas 10 parų.</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u w:val="single"/>
        </w:rPr>
      </w:pPr>
      <w:r>
        <w:rPr>
          <w:rFonts w:ascii="Times New Roman" w:eastAsia="Calibri" w:hAnsi="Times New Roman" w:cs="Times New Roman"/>
          <w:noProof w:val="0"/>
          <w:u w:val="single"/>
        </w:rPr>
        <w:t>Odos ir minkštųjų audinių infekcinės ligos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Įprasta dozė yra 1 g per parą. Ji išgeriama iš karto arba padalijama į 2 lygias vienkartines.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u w:val="single"/>
        </w:rPr>
      </w:pPr>
      <w:r>
        <w:rPr>
          <w:rFonts w:ascii="Times New Roman" w:eastAsia="Calibri" w:hAnsi="Times New Roman" w:cs="Times New Roman"/>
          <w:noProof w:val="0"/>
          <w:u w:val="single"/>
        </w:rPr>
        <w:t>Šlapimo takų infekcinės ligos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lastRenderedPageBreak/>
        <w:t>Įprasta dozė yra 2 g per parą. Ji padalijama į 2 lygias vienkartines. Įprasta dozė nekomplikuotoms apatinių šlapimo takų infekcinėms ligoms (t.y. cistitui) gydyti yra 1 g arba 2 g per parą. Ji išgeriama iš karto arba padalijama į 2 lygias vienkartines.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Mažiau kaip 40 kg sveriantiems vaikams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Rekomenduojama įprasta paros dozė </w:t>
      </w:r>
      <w:r>
        <w:rPr>
          <w:rFonts w:ascii="Times New Roman" w:eastAsia="Calibri" w:hAnsi="Times New Roman" w:cs="Times New Roman"/>
          <w:noProof w:val="0"/>
        </w:rPr>
        <w:sym w:font="Symbol" w:char="F02D"/>
      </w:r>
      <w:r>
        <w:rPr>
          <w:rFonts w:ascii="Times New Roman" w:eastAsia="Calibri" w:hAnsi="Times New Roman" w:cs="Times New Roman"/>
          <w:noProof w:val="0"/>
        </w:rPr>
        <w:t xml:space="preserve"> 25 – 50 mg/kg. Ji lygiomis dalimis išgeriama per du kartus (kas 12 val.). Gydant faringitą, tonzilitą ar impetigą, visą rekomenduojamą paros dozę galima išgerti vienu kartu.</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i/>
          <w:noProof w:val="0"/>
          <w:u w:val="single"/>
        </w:rPr>
      </w:pPr>
      <w:r>
        <w:rPr>
          <w:rFonts w:ascii="Times New Roman" w:eastAsia="Calibri" w:hAnsi="Times New Roman" w:cs="Times New Roman"/>
          <w:i/>
          <w:noProof w:val="0"/>
          <w:u w:val="single"/>
        </w:rPr>
        <w:t>Pacientams, kurių inkstų funkcija sutrikusi</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Kad vaistas nesikauptų organizme, cefadroksilio dozavimą reikia koreguoti pagal kreatinino klirensą. Suaugusiesiems pradinė Duracef dozė yra 1 g, o palaikomoji – 500 mg. Palaikomosios dozės vartojimo intervalas parenkamas atsižvelgiant į kreatinino klirensą kaip nurodyta žemiau. </w:t>
      </w:r>
    </w:p>
    <w:p w:rsidR="00544645" w:rsidRDefault="00544645" w:rsidP="00544645">
      <w:pPr>
        <w:spacing w:after="0" w:line="240" w:lineRule="auto"/>
        <w:rPr>
          <w:rFonts w:ascii="Times New Roman" w:eastAsia="Calibri" w:hAnsi="Times New Roman" w:cs="Times New Roman"/>
          <w:noProof w:val="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9"/>
        <w:gridCol w:w="3800"/>
      </w:tblGrid>
      <w:tr w:rsidR="00544645" w:rsidTr="00544645">
        <w:trPr>
          <w:jc w:val="center"/>
        </w:trPr>
        <w:tc>
          <w:tcPr>
            <w:tcW w:w="5219"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Kreatinino klirensas (ml/min/1,73 m</w:t>
            </w:r>
            <w:r>
              <w:rPr>
                <w:rFonts w:ascii="Times New Roman" w:eastAsia="Calibri" w:hAnsi="Times New Roman" w:cs="Times New Roman"/>
                <w:noProof w:val="0"/>
                <w:vertAlign w:val="superscript"/>
              </w:rPr>
              <w:t>2</w:t>
            </w:r>
            <w:r>
              <w:rPr>
                <w:rFonts w:ascii="Times New Roman" w:eastAsia="Calibri" w:hAnsi="Times New Roman" w:cs="Times New Roman"/>
                <w:noProof w:val="0"/>
              </w:rPr>
              <w:t>)</w:t>
            </w:r>
          </w:p>
        </w:tc>
        <w:tc>
          <w:tcPr>
            <w:tcW w:w="3800"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Vartojimo intervalas</w:t>
            </w:r>
          </w:p>
        </w:tc>
      </w:tr>
      <w:tr w:rsidR="00544645" w:rsidTr="00544645">
        <w:trPr>
          <w:jc w:val="center"/>
        </w:trPr>
        <w:tc>
          <w:tcPr>
            <w:tcW w:w="5219"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0 - 10</w:t>
            </w:r>
          </w:p>
        </w:tc>
        <w:tc>
          <w:tcPr>
            <w:tcW w:w="3800"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36 val.</w:t>
            </w:r>
          </w:p>
        </w:tc>
      </w:tr>
      <w:tr w:rsidR="00544645" w:rsidTr="00544645">
        <w:trPr>
          <w:jc w:val="center"/>
        </w:trPr>
        <w:tc>
          <w:tcPr>
            <w:tcW w:w="5219"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10 - 25</w:t>
            </w:r>
          </w:p>
        </w:tc>
        <w:tc>
          <w:tcPr>
            <w:tcW w:w="3800"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24 val.</w:t>
            </w:r>
          </w:p>
        </w:tc>
      </w:tr>
      <w:tr w:rsidR="00544645" w:rsidTr="00544645">
        <w:trPr>
          <w:jc w:val="center"/>
        </w:trPr>
        <w:tc>
          <w:tcPr>
            <w:tcW w:w="5219"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25 - 50</w:t>
            </w:r>
          </w:p>
        </w:tc>
        <w:tc>
          <w:tcPr>
            <w:tcW w:w="3800" w:type="dxa"/>
            <w:tcBorders>
              <w:top w:val="single" w:sz="6" w:space="0" w:color="auto"/>
              <w:left w:val="single" w:sz="6" w:space="0" w:color="auto"/>
              <w:bottom w:val="single" w:sz="6" w:space="0" w:color="auto"/>
              <w:right w:val="single" w:sz="6"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12 val.</w:t>
            </w:r>
          </w:p>
        </w:tc>
      </w:tr>
    </w:tbl>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Pacientams, kurių kreatinino klirensas didesnis nei 50 ml/min./1,73 m</w:t>
      </w:r>
      <w:r>
        <w:rPr>
          <w:rFonts w:ascii="Times New Roman" w:eastAsia="Calibri" w:hAnsi="Times New Roman" w:cs="Times New Roman"/>
          <w:noProof w:val="0"/>
          <w:vertAlign w:val="superscript"/>
        </w:rPr>
        <w:t>2</w:t>
      </w:r>
      <w:r>
        <w:rPr>
          <w:rFonts w:ascii="Times New Roman" w:eastAsia="Calibri" w:hAnsi="Times New Roman" w:cs="Times New Roman"/>
          <w:noProof w:val="0"/>
        </w:rPr>
        <w:t>, šis vaistas dozuojamas taip pat kaip tiems, kurių inkstų funkcija normali.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Tyrimais su 5 ligoniais, kuriems buvo anurija, nustatyta, jog išgėrus 1 g </w:t>
      </w:r>
      <w:r>
        <w:rPr>
          <w:rFonts w:ascii="Times New Roman" w:eastAsia="Calibri" w:hAnsi="Times New Roman" w:cs="Times New Roman"/>
          <w:bCs/>
          <w:noProof w:val="0"/>
        </w:rPr>
        <w:t>Duracef</w:t>
      </w:r>
      <w:r>
        <w:rPr>
          <w:rFonts w:ascii="Times New Roman" w:eastAsia="Calibri" w:hAnsi="Times New Roman" w:cs="Times New Roman"/>
          <w:noProof w:val="0"/>
        </w:rPr>
        <w:t>, per 6 - 8 hemodializės valandas iš organizmo pašalinama maždaug 63</w:t>
      </w:r>
      <w:r>
        <w:rPr>
          <w:rFonts w:ascii="Times New Roman" w:eastAsia="Calibri" w:hAnsi="Times New Roman" w:cs="Times New Roman"/>
          <w:noProof w:val="0"/>
        </w:rPr>
        <w:sym w:font="Symbol" w:char="F025"/>
      </w:r>
      <w:r>
        <w:rPr>
          <w:rFonts w:ascii="Times New Roman" w:eastAsia="Calibri" w:hAnsi="Times New Roman" w:cs="Times New Roman"/>
          <w:noProof w:val="0"/>
        </w:rPr>
        <w:t xml:space="preserve"> vaistinio preparato.</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Senyviems pacientams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Specifinių dozavimo rekomendacijų ar atsargumo priemonių senyviems pacientams nereikia, tik reikia stebėti pacientus, kurių inkstų funkcija sutrikusi.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Pacientams, kurių kepenų funkcija sutrikusi</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Dozės koreguoti nereikia.</w:t>
      </w:r>
    </w:p>
    <w:p w:rsidR="00544645" w:rsidRDefault="00544645" w:rsidP="00544645">
      <w:pPr>
        <w:spacing w:after="0" w:line="240" w:lineRule="auto"/>
        <w:rPr>
          <w:rFonts w:ascii="Times New Roman" w:eastAsia="Calibri" w:hAnsi="Times New Roman" w:cs="Times New Roman"/>
          <w:noProof w:val="0"/>
          <w:u w:val="single"/>
        </w:rPr>
      </w:pPr>
    </w:p>
    <w:p w:rsidR="00544645" w:rsidRDefault="00544645" w:rsidP="00544645">
      <w:pPr>
        <w:spacing w:after="0" w:line="240" w:lineRule="auto"/>
        <w:rPr>
          <w:rFonts w:ascii="Times New Roman" w:eastAsia="Calibri" w:hAnsi="Times New Roman" w:cs="Times New Roman"/>
          <w:noProof w:val="0"/>
          <w:u w:val="single"/>
        </w:rPr>
      </w:pPr>
      <w:r>
        <w:rPr>
          <w:rFonts w:ascii="Times New Roman" w:eastAsia="Calibri" w:hAnsi="Times New Roman" w:cs="Times New Roman"/>
          <w:noProof w:val="0"/>
          <w:u w:val="single"/>
        </w:rPr>
        <w:t>Vartojimo metodas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Vartoti per burną.</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4.3</w:t>
      </w:r>
      <w:r>
        <w:rPr>
          <w:rFonts w:ascii="Times New Roman" w:eastAsia="Calibri" w:hAnsi="Times New Roman" w:cs="Times New Roman"/>
          <w:b/>
          <w:noProof w:val="0"/>
        </w:rPr>
        <w:tab/>
        <w:t>Kontraindikacijos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numPr>
          <w:ilvl w:val="0"/>
          <w:numId w:val="6"/>
        </w:numPr>
        <w:tabs>
          <w:tab w:val="left" w:pos="426"/>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Padidėjęs jautrumas veikliajai arba bet kuriai pagalbinei medžiagai.</w:t>
      </w:r>
    </w:p>
    <w:p w:rsidR="00544645" w:rsidRDefault="00544645" w:rsidP="00544645">
      <w:pPr>
        <w:numPr>
          <w:ilvl w:val="0"/>
          <w:numId w:val="6"/>
        </w:numPr>
        <w:tabs>
          <w:tab w:val="left" w:pos="567"/>
        </w:tabs>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 xml:space="preserve">  Alergija cefalosporinų grupės antibiotikams.</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4.4</w:t>
      </w:r>
      <w:r>
        <w:rPr>
          <w:rFonts w:ascii="Times New Roman" w:eastAsia="Calibri" w:hAnsi="Times New Roman" w:cs="Times New Roman"/>
          <w:b/>
          <w:noProof w:val="0"/>
        </w:rPr>
        <w:tab/>
        <w:t>Specialūs įspėjimai ir atsargumo priemonės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Prieš skiriant </w:t>
      </w:r>
      <w:r>
        <w:rPr>
          <w:rFonts w:ascii="Times New Roman" w:eastAsia="Calibri" w:hAnsi="Times New Roman" w:cs="Times New Roman"/>
          <w:bCs/>
          <w:noProof w:val="0"/>
        </w:rPr>
        <w:t xml:space="preserve">Duracef </w:t>
      </w:r>
      <w:r>
        <w:rPr>
          <w:rFonts w:ascii="Times New Roman" w:eastAsia="Calibri" w:hAnsi="Times New Roman" w:cs="Times New Roman"/>
          <w:noProof w:val="0"/>
        </w:rPr>
        <w:t xml:space="preserve">būtina tiksliai išsiaiškinti, ar nebuvo pasireiškusi padidėjusio jautrumo reakcija cefadroksiliui, kitokiems cefalosporinams, penicilinams ar kitiems vaistams. Penicilinams alergiškus žmones </w:t>
      </w:r>
      <w:r>
        <w:rPr>
          <w:rFonts w:ascii="Times New Roman" w:eastAsia="Calibri" w:hAnsi="Times New Roman" w:cs="Times New Roman"/>
          <w:bCs/>
          <w:noProof w:val="0"/>
        </w:rPr>
        <w:t xml:space="preserve">Duracef </w:t>
      </w:r>
      <w:r>
        <w:rPr>
          <w:rFonts w:ascii="Times New Roman" w:eastAsia="Calibri" w:hAnsi="Times New Roman" w:cs="Times New Roman"/>
          <w:noProof w:val="0"/>
        </w:rPr>
        <w:t>reikia gydyti atsargiai, kadangi β  laktaminiams antibiotikams galima kryžminė alergija. Ji gali pasireikšti net 10 </w:t>
      </w:r>
      <w:r>
        <w:rPr>
          <w:rFonts w:ascii="Times New Roman" w:eastAsia="Calibri" w:hAnsi="Times New Roman" w:cs="Times New Roman"/>
          <w:noProof w:val="0"/>
        </w:rPr>
        <w:sym w:font="Symbol" w:char="F025"/>
      </w:r>
      <w:r>
        <w:rPr>
          <w:rFonts w:ascii="Times New Roman" w:eastAsia="Calibri" w:hAnsi="Times New Roman" w:cs="Times New Roman"/>
          <w:noProof w:val="0"/>
        </w:rPr>
        <w:t xml:space="preserve"> penicilinams alergiškų žmonių. Jei </w:t>
      </w:r>
      <w:r>
        <w:rPr>
          <w:rFonts w:ascii="Times New Roman" w:eastAsia="Calibri" w:hAnsi="Times New Roman" w:cs="Times New Roman"/>
          <w:bCs/>
          <w:noProof w:val="0"/>
        </w:rPr>
        <w:t xml:space="preserve">Duracef </w:t>
      </w:r>
      <w:r>
        <w:rPr>
          <w:rFonts w:ascii="Times New Roman" w:eastAsia="Calibri" w:hAnsi="Times New Roman" w:cs="Times New Roman"/>
          <w:noProof w:val="0"/>
        </w:rPr>
        <w:t>sukelia alerginę reakciją, jo vartojimą būtina nutraukti. Prasidėjus sunkiai ūminei padidėjusio jautrumo reakcijai, gali prireikti skubios medicinos pagalbos priemonių.</w:t>
      </w:r>
    </w:p>
    <w:p w:rsidR="00544645" w:rsidRDefault="00544645" w:rsidP="00544645">
      <w:pPr>
        <w:tabs>
          <w:tab w:val="left" w:pos="567"/>
        </w:tabs>
        <w:spacing w:after="0" w:line="240" w:lineRule="auto"/>
        <w:rPr>
          <w:rFonts w:ascii="Times New Roman" w:eastAsia="Calibri" w:hAnsi="Times New Roman" w:cs="Times New Roman"/>
          <w:noProof w:val="0"/>
        </w:rPr>
      </w:pPr>
    </w:p>
    <w:p w:rsidR="00544645" w:rsidRDefault="00544645" w:rsidP="00544645">
      <w:p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Vartojant beveik visus antibakterinius vaistinius preparatus, įskaitant Duracef, yra buvę su </w:t>
      </w:r>
      <w:r>
        <w:rPr>
          <w:rFonts w:ascii="Times New Roman" w:eastAsia="Calibri" w:hAnsi="Times New Roman" w:cs="Times New Roman"/>
          <w:i/>
          <w:noProof w:val="0"/>
        </w:rPr>
        <w:t xml:space="preserve">Clostridium difficile </w:t>
      </w:r>
      <w:r>
        <w:rPr>
          <w:rFonts w:ascii="Times New Roman" w:eastAsia="Calibri" w:hAnsi="Times New Roman" w:cs="Times New Roman"/>
          <w:noProof w:val="0"/>
        </w:rPr>
        <w:t xml:space="preserve">susijusio viduriavimo atvejų. Šis sutrikimas gali būti įvairaus sunkumo – nuo lengvo viduriavimo iki mirtino kolito. Jei pacientas, vartojantis arba neseniai vartojęs antibiotikų, pradeda viduriuoti, niekada negalima užmiršti su </w:t>
      </w:r>
      <w:r>
        <w:rPr>
          <w:rFonts w:ascii="Times New Roman" w:eastAsia="Calibri" w:hAnsi="Times New Roman" w:cs="Times New Roman"/>
          <w:i/>
          <w:noProof w:val="0"/>
        </w:rPr>
        <w:t>Clostridium difficile</w:t>
      </w:r>
      <w:r>
        <w:rPr>
          <w:rFonts w:ascii="Times New Roman" w:eastAsia="Calibri" w:hAnsi="Times New Roman" w:cs="Times New Roman"/>
          <w:noProof w:val="0"/>
        </w:rPr>
        <w:t xml:space="preserve"> susijusio viduriavimo galimybės. Būtina kruopščiai surinkti anamnezę, kadangi su </w:t>
      </w:r>
      <w:r>
        <w:rPr>
          <w:rFonts w:ascii="Times New Roman" w:eastAsia="Calibri" w:hAnsi="Times New Roman" w:cs="Times New Roman"/>
          <w:i/>
          <w:noProof w:val="0"/>
        </w:rPr>
        <w:t>Clostridium difficile</w:t>
      </w:r>
      <w:r>
        <w:rPr>
          <w:rFonts w:ascii="Times New Roman" w:eastAsia="Calibri" w:hAnsi="Times New Roman" w:cs="Times New Roman"/>
          <w:noProof w:val="0"/>
        </w:rPr>
        <w:t xml:space="preserve"> susijusio viduriavimo atvejų yra pasireiškę net po 2 mėnesių po antibakterinių vaistinių preparatų vartojimo. Įtarus ar diagnozavus su </w:t>
      </w:r>
      <w:r>
        <w:rPr>
          <w:rFonts w:ascii="Times New Roman" w:eastAsia="Calibri" w:hAnsi="Times New Roman" w:cs="Times New Roman"/>
          <w:i/>
          <w:noProof w:val="0"/>
        </w:rPr>
        <w:lastRenderedPageBreak/>
        <w:t>Clostridium difficile</w:t>
      </w:r>
      <w:r>
        <w:rPr>
          <w:rFonts w:ascii="Times New Roman" w:eastAsia="Calibri" w:hAnsi="Times New Roman" w:cs="Times New Roman"/>
          <w:noProof w:val="0"/>
        </w:rPr>
        <w:t xml:space="preserve"> susijusį viduriavimą, </w:t>
      </w:r>
      <w:r>
        <w:rPr>
          <w:rFonts w:ascii="Times New Roman" w:eastAsia="Calibri" w:hAnsi="Times New Roman" w:cs="Times New Roman"/>
          <w:i/>
          <w:noProof w:val="0"/>
        </w:rPr>
        <w:t>Clostridium difficile</w:t>
      </w:r>
      <w:r>
        <w:rPr>
          <w:rFonts w:ascii="Times New Roman" w:eastAsia="Calibri" w:hAnsi="Times New Roman" w:cs="Times New Roman"/>
          <w:noProof w:val="0"/>
        </w:rPr>
        <w:t xml:space="preserve"> infekcijai gydyti </w:t>
      </w:r>
      <w:r>
        <w:rPr>
          <w:rFonts w:ascii="Times New Roman" w:eastAsia="Calibri" w:hAnsi="Times New Roman" w:cs="Times New Roman"/>
          <w:noProof w:val="0"/>
          <w:u w:val="single"/>
        </w:rPr>
        <w:t>ne</w:t>
      </w:r>
      <w:r>
        <w:rPr>
          <w:rFonts w:ascii="Times New Roman" w:eastAsia="Calibri" w:hAnsi="Times New Roman" w:cs="Times New Roman"/>
          <w:noProof w:val="0"/>
        </w:rPr>
        <w:t>skirtų antibiotikų vartojimą gali tekti nutraukti.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bCs/>
          <w:noProof w:val="0"/>
        </w:rPr>
        <w:t xml:space="preserve">Duracef </w:t>
      </w:r>
      <w:r>
        <w:rPr>
          <w:rFonts w:ascii="Times New Roman" w:eastAsia="Calibri" w:hAnsi="Times New Roman" w:cs="Times New Roman"/>
          <w:noProof w:val="0"/>
        </w:rPr>
        <w:t>vartojant ilgai, gali atsirasti ir daugėti atsparių mikroorganizmų. Taip gydant, pacientą būtina atidžiai prižiūrėti. Pasireiškus superinfekcijai, reikia imtis tinkamų gydymo priemonių.</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 xml:space="preserve">Žmones, sirgusius virškinimo trakto ligomis, ypač kolitu, </w:t>
      </w:r>
      <w:r>
        <w:rPr>
          <w:rFonts w:ascii="Times New Roman" w:eastAsia="Calibri" w:hAnsi="Times New Roman" w:cs="Times New Roman"/>
          <w:bCs/>
          <w:noProof w:val="0"/>
        </w:rPr>
        <w:t xml:space="preserve">Duracef </w:t>
      </w:r>
      <w:r>
        <w:rPr>
          <w:rFonts w:ascii="Times New Roman" w:eastAsia="Calibri" w:hAnsi="Times New Roman" w:cs="Times New Roman"/>
          <w:noProof w:val="0"/>
        </w:rPr>
        <w:t>reikia gydyti atsargiai.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Jeigu yra inkstų funkcijos sutrikimas, Duracef reikia gydyti atsargiai (žr. 4.2 skyrių). Pacientus, kuriems nustatytas inkstų nepakankamumas (arba įtariama, kad jis yra), reikia atidžiai prižiūrėti, prieš gydymą ir jo metu būtina atlikti reikiamus laboratorinius tyrimus.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Vartojant cefalosporinų, gali tapti teigiama tiesioginė Kumbso reakcija. Atliekant kraujo tyrimus, donoro ir recipiento kraujo grupių atitikimo testą naudojant antiglobulinus ar Kumbso reakcijos testą naujagimiams, kurių motinos prieš gimdymą vartojo cefalosporinų, reikia nepamiršti, kad Kumbso reakcija gali būti teigiama dėl šių medikamentų vartojimo.</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Laktozė</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Duracef  sudėtyje yra laktozės monohidrato. Šio vaistinio preparato negalima vartoti pacientams, kuriems nustatytas retas paveldimas sutrikimas – galaktozės netoleravimas, visiškas laktazės stygius arba gliukozės ir galaktozės malabsorbcija.</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4.5</w:t>
      </w:r>
      <w:r>
        <w:rPr>
          <w:rFonts w:ascii="Times New Roman" w:eastAsia="Calibri" w:hAnsi="Times New Roman" w:cs="Times New Roman"/>
          <w:b/>
          <w:noProof w:val="0"/>
        </w:rPr>
        <w:tab/>
        <w:t>Sąveika su kitais vaistiniais preparatais ir kitokia sąveika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Sąveikos tyrimų neatlikta.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Cefalosporinai gali sustiprinti krešėjimą slopinantį antikoaguliantų poveikį. Tuo pat metu vartojamas probenecidas slopina cefadroksilio eliminaciją per inkstus, todėl kartu su probenecidu vartojamo cefadroksilio koncentracija plazmoje gali padidėti. Cefadroksilis gali susilpninti geriamųjų kontraceptikų kontraceptinį poveikį. Cefadroksilio negalima vartoti kartu su bakteriostatinio poveikio vaistiniais preparatais (pvz., tetraciklinu, eritromicinu, sulfonamidais), kadangi jų poveikis gali būti antagonistinis. Cefadroksilio negalima vartoti kartu su aminoglikozidų grupės antibiotikais, vankomicinu ar didelėmis kilpinių diuretikų dozėmis, kadangi šie vaistiniai preparatai gali stiprinti vienas kito nefrotoksinį poveikį. Dėl pasireiškusio viduriavimo gali sutrikti kitų vaistinių preparatų rezorbcija ir dėl to sumažėti jų veiksmingumas.</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4.6</w:t>
      </w:r>
      <w:r>
        <w:rPr>
          <w:rFonts w:ascii="Times New Roman" w:eastAsia="Calibri" w:hAnsi="Times New Roman" w:cs="Times New Roman"/>
          <w:b/>
          <w:noProof w:val="0"/>
        </w:rPr>
        <w:tab/>
        <w:t>Vaisingumas, nėštumo ir žindymo laikotarpis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Tyrimų metu pelių ir žiurkių, vartojusių cefadroksilio dozę, kuri yra 11 kartų didesnė už dozę, rekomenduojamą žmogui, vaisingumas nesutriko, žalingo poveikio jų vaisiui nepasireiškė. Tinkamų ir gerai kontroliuojamų tyrimų su nėščiomis moterimis neatlikta. Kadangi remiantis tyrimų su gyvūnais rezultatais ne visada galima numatyti, koks poveikis gali pasireikšti žmogui, nėščias moteris šiuo vaistiniu preparatu galima gydyti tik neabejotai būtinais atvejais.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 xml:space="preserve">Į motinos pieną cefadroksilio patenka, todėl žindyves </w:t>
      </w:r>
      <w:r>
        <w:rPr>
          <w:rFonts w:ascii="Times New Roman" w:eastAsia="Calibri" w:hAnsi="Times New Roman" w:cs="Times New Roman"/>
          <w:bCs/>
          <w:noProof w:val="0"/>
        </w:rPr>
        <w:t xml:space="preserve">Duracef </w:t>
      </w:r>
      <w:r>
        <w:rPr>
          <w:rFonts w:ascii="Times New Roman" w:eastAsia="Calibri" w:hAnsi="Times New Roman" w:cs="Times New Roman"/>
          <w:noProof w:val="0"/>
        </w:rPr>
        <w:t xml:space="preserve">reikia gydyti atsargiai. </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4.7</w:t>
      </w:r>
      <w:r>
        <w:rPr>
          <w:rFonts w:ascii="Times New Roman" w:eastAsia="Calibri" w:hAnsi="Times New Roman" w:cs="Times New Roman"/>
          <w:b/>
          <w:noProof w:val="0"/>
        </w:rPr>
        <w:tab/>
        <w:t>Poveikis gebėjimui vairuoti ir valdyti mechanizmus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Poveikio gebėjimui vairuoti ir valdyti mechanizmus tyrimų neatlikta.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4.8</w:t>
      </w:r>
      <w:r>
        <w:rPr>
          <w:rFonts w:ascii="Times New Roman" w:eastAsia="Calibri" w:hAnsi="Times New Roman" w:cs="Times New Roman"/>
          <w:b/>
          <w:noProof w:val="0"/>
        </w:rPr>
        <w:tab/>
        <w:t>Nepageidaujamas poveikis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Vartojant cefadroksilį stebėti panašūs nepageidaujami reiškiniai kaip ir vartojant kitus cefalosporinus.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Žemiau pateikiamoje lentelėje nepageidaujami reiškiniai sugrupuoti pagal organų sistemų klases (naudojami terminai pagal MedDra) ir dažnį. Nepageidaujamo poveikio dažnis apibūdinamas taip: labai dažnas (</w:t>
      </w:r>
      <w:r>
        <w:rPr>
          <w:rFonts w:ascii="Times New Roman" w:eastAsia="Calibri" w:hAnsi="Times New Roman" w:cs="Times New Roman"/>
          <w:noProof w:val="0"/>
        </w:rPr>
        <w:sym w:font="Symbol" w:char="F0B3"/>
      </w:r>
      <w:r>
        <w:rPr>
          <w:rFonts w:ascii="Times New Roman" w:eastAsia="Calibri" w:hAnsi="Times New Roman" w:cs="Times New Roman"/>
          <w:noProof w:val="0"/>
        </w:rPr>
        <w:t xml:space="preserve"> 1/10), dažnas (nuo </w:t>
      </w:r>
      <w:r>
        <w:rPr>
          <w:rFonts w:ascii="Times New Roman" w:eastAsia="Calibri" w:hAnsi="Times New Roman" w:cs="Times New Roman"/>
          <w:noProof w:val="0"/>
        </w:rPr>
        <w:sym w:font="Symbol" w:char="F0B3"/>
      </w:r>
      <w:r>
        <w:rPr>
          <w:rFonts w:ascii="Times New Roman" w:eastAsia="Calibri" w:hAnsi="Times New Roman" w:cs="Times New Roman"/>
          <w:noProof w:val="0"/>
        </w:rPr>
        <w:t xml:space="preserve"> 1/100 iki &lt; 1/10), nedažnas (nuo </w:t>
      </w:r>
      <w:r>
        <w:rPr>
          <w:rFonts w:ascii="Times New Roman" w:eastAsia="Calibri" w:hAnsi="Times New Roman" w:cs="Times New Roman"/>
          <w:noProof w:val="0"/>
        </w:rPr>
        <w:sym w:font="Symbol" w:char="F0B3"/>
      </w:r>
      <w:r>
        <w:rPr>
          <w:rFonts w:ascii="Times New Roman" w:eastAsia="Calibri" w:hAnsi="Times New Roman" w:cs="Times New Roman"/>
          <w:noProof w:val="0"/>
        </w:rPr>
        <w:t xml:space="preserve"> 1/1 000 iki &lt; 1/100), retas </w:t>
      </w:r>
      <w:r>
        <w:rPr>
          <w:rFonts w:ascii="Times New Roman" w:eastAsia="Calibri" w:hAnsi="Times New Roman" w:cs="Times New Roman"/>
          <w:noProof w:val="0"/>
        </w:rPr>
        <w:lastRenderedPageBreak/>
        <w:t xml:space="preserve">(nuo </w:t>
      </w:r>
      <w:r>
        <w:rPr>
          <w:rFonts w:ascii="Times New Roman" w:eastAsia="Calibri" w:hAnsi="Times New Roman" w:cs="Times New Roman"/>
          <w:noProof w:val="0"/>
        </w:rPr>
        <w:sym w:font="Symbol" w:char="F0B3"/>
      </w:r>
      <w:r>
        <w:rPr>
          <w:rFonts w:ascii="Times New Roman" w:eastAsia="Calibri" w:hAnsi="Times New Roman" w:cs="Times New Roman"/>
          <w:noProof w:val="0"/>
        </w:rPr>
        <w:t> 1/10 000 iki &lt; 1/1000), labai retas (&lt; 1/10 000) ir nežinomas (negali būti apskaičiuotas pagal turimus duomenis). Kiekvienoje dažnio grupėje nepageidaujamas</w:t>
      </w:r>
      <w:r>
        <w:rPr>
          <w:rFonts w:ascii="Times New Roman" w:eastAsia="Calibri" w:hAnsi="Times New Roman" w:cs="Times New Roman"/>
          <w:b/>
          <w:iCs/>
          <w:noProof w:val="0"/>
        </w:rPr>
        <w:t xml:space="preserve"> </w:t>
      </w:r>
      <w:r>
        <w:rPr>
          <w:rFonts w:ascii="Times New Roman" w:eastAsia="Calibri" w:hAnsi="Times New Roman" w:cs="Times New Roman"/>
          <w:iCs/>
          <w:noProof w:val="0"/>
        </w:rPr>
        <w:t>poveikis</w:t>
      </w:r>
      <w:r>
        <w:rPr>
          <w:rFonts w:ascii="Times New Roman" w:eastAsia="Calibri" w:hAnsi="Times New Roman" w:cs="Times New Roman"/>
          <w:noProof w:val="0"/>
        </w:rPr>
        <w:t xml:space="preserve"> pateikiamas mažėjančio sunkumo tvarka.</w:t>
      </w:r>
    </w:p>
    <w:p w:rsidR="00544645" w:rsidRDefault="00544645" w:rsidP="00544645">
      <w:pPr>
        <w:spacing w:after="0" w:line="240" w:lineRule="auto"/>
        <w:rPr>
          <w:rFonts w:ascii="Times New Roman" w:eastAsia="Calibri" w:hAnsi="Times New Roman" w:cs="Times New Roman"/>
          <w:noProof w:val="0"/>
        </w:rPr>
      </w:pPr>
    </w:p>
    <w:tbl>
      <w:tblPr>
        <w:tblW w:w="9593" w:type="dxa"/>
        <w:tblLook w:val="04A0" w:firstRow="1" w:lastRow="0" w:firstColumn="1" w:lastColumn="0" w:noHBand="0" w:noVBand="1"/>
      </w:tblPr>
      <w:tblGrid>
        <w:gridCol w:w="3794"/>
        <w:gridCol w:w="1276"/>
        <w:gridCol w:w="4523"/>
      </w:tblGrid>
      <w:tr w:rsidR="00544645" w:rsidTr="00544645">
        <w:tc>
          <w:tcPr>
            <w:tcW w:w="3794" w:type="dxa"/>
            <w:tcBorders>
              <w:top w:val="single" w:sz="6" w:space="0" w:color="000000"/>
              <w:left w:val="single" w:sz="6" w:space="0" w:color="000000"/>
              <w:bottom w:val="single" w:sz="6" w:space="0" w:color="000000"/>
              <w:right w:val="single" w:sz="4" w:space="0" w:color="auto"/>
            </w:tcBorders>
            <w:hideMark/>
          </w:tcPr>
          <w:p w:rsidR="00544645" w:rsidRDefault="00544645">
            <w:pPr>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Organų sistemų klasė</w:t>
            </w:r>
            <w:r>
              <w:rPr>
                <w:rFonts w:ascii="Times New Roman" w:eastAsia="Calibri" w:hAnsi="Times New Roman" w:cs="Times New Roman"/>
                <w:b/>
                <w:noProof w:val="0"/>
              </w:rPr>
              <w:br/>
              <w:t xml:space="preserve">(pagal MedDRA) </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Dažnis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 xml:space="preserve">MedDRA terminas </w:t>
            </w:r>
          </w:p>
        </w:tc>
      </w:tr>
      <w:tr w:rsidR="00544645" w:rsidTr="00544645">
        <w:tc>
          <w:tcPr>
            <w:tcW w:w="3794" w:type="dxa"/>
            <w:vMerge w:val="restart"/>
            <w:tcBorders>
              <w:top w:val="single" w:sz="6" w:space="0" w:color="000000"/>
              <w:left w:val="single" w:sz="6" w:space="0" w:color="000000"/>
              <w:bottom w:val="nil"/>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Infekcijos ir infestacijos </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retas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makšties infekcija </w:t>
            </w:r>
          </w:p>
        </w:tc>
      </w:tr>
      <w:tr w:rsidR="00544645" w:rsidTr="00544645">
        <w:tc>
          <w:tcPr>
            <w:tcW w:w="0" w:type="auto"/>
            <w:vMerge/>
            <w:tcBorders>
              <w:top w:val="single" w:sz="6" w:space="0" w:color="000000"/>
              <w:left w:val="single" w:sz="6" w:space="0" w:color="000000"/>
              <w:bottom w:val="nil"/>
              <w:right w:val="single" w:sz="4" w:space="0" w:color="auto"/>
            </w:tcBorders>
            <w:vAlign w:val="center"/>
            <w:hideMark/>
          </w:tcPr>
          <w:p w:rsidR="00544645" w:rsidRDefault="00544645">
            <w:pPr>
              <w:spacing w:after="0"/>
              <w:rPr>
                <w:rFonts w:ascii="Times New Roman" w:eastAsia="Calibri" w:hAnsi="Times New Roman" w:cs="Times New Roman"/>
                <w:noProof w:val="0"/>
              </w:rPr>
            </w:pP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nežinomas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lytinių organų kandidozė</w:t>
            </w:r>
          </w:p>
        </w:tc>
      </w:tr>
      <w:tr w:rsidR="00544645" w:rsidTr="00544645">
        <w:tc>
          <w:tcPr>
            <w:tcW w:w="3794" w:type="dxa"/>
            <w:tcBorders>
              <w:top w:val="single" w:sz="6" w:space="0" w:color="000000"/>
              <w:left w:val="single" w:sz="6" w:space="0" w:color="000000"/>
              <w:bottom w:val="nil"/>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Kraujo ir limfinės sistemos sutrikimai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nežinomas </w:t>
            </w:r>
          </w:p>
        </w:tc>
        <w:tc>
          <w:tcPr>
            <w:tcW w:w="4523" w:type="dxa"/>
            <w:tcBorders>
              <w:top w:val="single" w:sz="4" w:space="0" w:color="auto"/>
              <w:left w:val="single" w:sz="4" w:space="0" w:color="auto"/>
              <w:bottom w:val="single" w:sz="4" w:space="0" w:color="auto"/>
              <w:right w:val="single" w:sz="4" w:space="0" w:color="auto"/>
            </w:tcBorders>
            <w:vAlign w:val="bottom"/>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agranulocitozė, neutropenija, trombocitopenija</w:t>
            </w:r>
          </w:p>
        </w:tc>
      </w:tr>
      <w:tr w:rsidR="00544645" w:rsidTr="00544645">
        <w:tc>
          <w:tcPr>
            <w:tcW w:w="3794" w:type="dxa"/>
            <w:tcBorders>
              <w:top w:val="single" w:sz="6" w:space="0" w:color="000000"/>
              <w:left w:val="single" w:sz="6" w:space="0" w:color="000000"/>
              <w:bottom w:val="nil"/>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Imuninės sistemos sutrikimai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nežinomas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anafilaksinė reakcija, angioneurozinė edema, padidėjęs jautrumas, seruminė liga</w:t>
            </w:r>
          </w:p>
        </w:tc>
      </w:tr>
      <w:tr w:rsidR="00544645" w:rsidTr="00544645">
        <w:tc>
          <w:tcPr>
            <w:tcW w:w="3794" w:type="dxa"/>
            <w:vMerge w:val="restart"/>
            <w:tcBorders>
              <w:top w:val="single" w:sz="6" w:space="0" w:color="000000"/>
              <w:left w:val="single" w:sz="6" w:space="0" w:color="000000"/>
              <w:bottom w:val="single" w:sz="6" w:space="0" w:color="000000"/>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Virškinimo trakto sutrikimai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dažnas</w:t>
            </w:r>
          </w:p>
        </w:tc>
        <w:tc>
          <w:tcPr>
            <w:tcW w:w="4523" w:type="dxa"/>
            <w:tcBorders>
              <w:top w:val="single" w:sz="4" w:space="0" w:color="auto"/>
              <w:left w:val="single" w:sz="4" w:space="0" w:color="auto"/>
              <w:bottom w:val="single" w:sz="4" w:space="0" w:color="auto"/>
              <w:right w:val="single" w:sz="4" w:space="0" w:color="auto"/>
            </w:tcBorders>
            <w:vAlign w:val="bottom"/>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viduriavimas, dispepsija, pykinimas, vėmimas </w:t>
            </w:r>
          </w:p>
        </w:tc>
      </w:tr>
      <w:tr w:rsidR="00544645" w:rsidTr="00544645">
        <w:tc>
          <w:tcPr>
            <w:tcW w:w="0" w:type="auto"/>
            <w:vMerge/>
            <w:tcBorders>
              <w:top w:val="single" w:sz="6" w:space="0" w:color="000000"/>
              <w:left w:val="single" w:sz="6" w:space="0" w:color="000000"/>
              <w:bottom w:val="single" w:sz="6" w:space="0" w:color="000000"/>
              <w:right w:val="single" w:sz="4" w:space="0" w:color="auto"/>
            </w:tcBorders>
            <w:vAlign w:val="center"/>
            <w:hideMark/>
          </w:tcPr>
          <w:p w:rsidR="00544645" w:rsidRDefault="00544645">
            <w:pPr>
              <w:spacing w:after="0"/>
              <w:rPr>
                <w:rFonts w:ascii="Times New Roman" w:eastAsia="Calibri" w:hAnsi="Times New Roman" w:cs="Times New Roman"/>
                <w:noProof w:val="0"/>
              </w:rPr>
            </w:pP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nežinomas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pseudomembraninis kolitas</w:t>
            </w:r>
          </w:p>
        </w:tc>
      </w:tr>
      <w:tr w:rsidR="00544645" w:rsidTr="00544645">
        <w:tc>
          <w:tcPr>
            <w:tcW w:w="3794" w:type="dxa"/>
            <w:tcBorders>
              <w:top w:val="single" w:sz="6" w:space="0" w:color="000000"/>
              <w:left w:val="single" w:sz="6" w:space="0" w:color="000000"/>
              <w:bottom w:val="nil"/>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Kepenų ir tulžies sistemos sutrikimai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nežinomas </w:t>
            </w:r>
          </w:p>
        </w:tc>
        <w:tc>
          <w:tcPr>
            <w:tcW w:w="4523" w:type="dxa"/>
            <w:tcBorders>
              <w:top w:val="single" w:sz="4" w:space="0" w:color="auto"/>
              <w:left w:val="single" w:sz="4" w:space="0" w:color="auto"/>
              <w:bottom w:val="single" w:sz="4" w:space="0" w:color="auto"/>
              <w:right w:val="single" w:sz="4" w:space="0" w:color="auto"/>
            </w:tcBorders>
            <w:vAlign w:val="bottom"/>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kepenų nepakankamumas, tulžies stazė, sutrikusi kepenų funkcija</w:t>
            </w:r>
          </w:p>
        </w:tc>
      </w:tr>
      <w:tr w:rsidR="00544645" w:rsidTr="00544645">
        <w:tc>
          <w:tcPr>
            <w:tcW w:w="3794" w:type="dxa"/>
            <w:vMerge w:val="restart"/>
            <w:tcBorders>
              <w:top w:val="single" w:sz="6" w:space="0" w:color="000000"/>
              <w:left w:val="single" w:sz="6" w:space="0" w:color="000000"/>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Odos ir poodinio audinio sutrikimai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retas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dilgėlinė, išbėrimas, niežulys</w:t>
            </w:r>
          </w:p>
        </w:tc>
      </w:tr>
      <w:tr w:rsidR="00544645" w:rsidTr="00544645">
        <w:tc>
          <w:tcPr>
            <w:tcW w:w="0" w:type="auto"/>
            <w:vMerge/>
            <w:tcBorders>
              <w:top w:val="single" w:sz="6" w:space="0" w:color="000000"/>
              <w:left w:val="single" w:sz="6" w:space="0" w:color="000000"/>
              <w:bottom w:val="single" w:sz="4" w:space="0" w:color="auto"/>
              <w:right w:val="single" w:sz="4" w:space="0" w:color="auto"/>
            </w:tcBorders>
            <w:vAlign w:val="center"/>
            <w:hideMark/>
          </w:tcPr>
          <w:p w:rsidR="00544645" w:rsidRDefault="00544645">
            <w:pPr>
              <w:spacing w:after="0"/>
              <w:rPr>
                <w:rFonts w:ascii="Times New Roman" w:eastAsia="Calibri" w:hAnsi="Times New Roman" w:cs="Times New Roman"/>
                <w:noProof w:val="0"/>
              </w:rPr>
            </w:pP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nežinomas</w:t>
            </w:r>
          </w:p>
        </w:tc>
        <w:tc>
          <w:tcPr>
            <w:tcW w:w="4523" w:type="dxa"/>
            <w:tcBorders>
              <w:top w:val="single" w:sz="4" w:space="0" w:color="auto"/>
              <w:left w:val="single" w:sz="4" w:space="0" w:color="auto"/>
              <w:bottom w:val="single" w:sz="4" w:space="0" w:color="auto"/>
              <w:right w:val="single" w:sz="4" w:space="0" w:color="auto"/>
            </w:tcBorders>
            <w:vAlign w:val="bottom"/>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i/>
                <w:noProof w:val="0"/>
              </w:rPr>
              <w:t>Stevens-Johnson</w:t>
            </w:r>
            <w:r>
              <w:rPr>
                <w:rFonts w:ascii="Times New Roman" w:eastAsia="Calibri" w:hAnsi="Times New Roman" w:cs="Times New Roman"/>
                <w:noProof w:val="0"/>
              </w:rPr>
              <w:t xml:space="preserve"> sindromas, daugiaformė eritema, toksinė epidermio nekrozė</w:t>
            </w:r>
          </w:p>
        </w:tc>
      </w:tr>
      <w:tr w:rsidR="00544645" w:rsidTr="00544645">
        <w:tc>
          <w:tcPr>
            <w:tcW w:w="3794" w:type="dxa"/>
            <w:tcBorders>
              <w:top w:val="single" w:sz="4" w:space="0" w:color="auto"/>
              <w:left w:val="single" w:sz="4" w:space="0" w:color="auto"/>
              <w:bottom w:val="single" w:sz="4" w:space="0" w:color="auto"/>
              <w:right w:val="single" w:sz="4" w:space="0" w:color="auto"/>
            </w:tcBorders>
            <w:vAlign w:val="bottom"/>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Raumenų, kaulų ir jungiamojo audinio sutrikimai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nežinomas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sąnarių skausmas</w:t>
            </w:r>
          </w:p>
        </w:tc>
      </w:tr>
      <w:tr w:rsidR="00544645" w:rsidTr="00544645">
        <w:tc>
          <w:tcPr>
            <w:tcW w:w="3794" w:type="dxa"/>
            <w:tcBorders>
              <w:top w:val="single" w:sz="4" w:space="0" w:color="auto"/>
              <w:left w:val="single" w:sz="4" w:space="0" w:color="auto"/>
              <w:bottom w:val="single" w:sz="4" w:space="0" w:color="auto"/>
              <w:right w:val="single" w:sz="4" w:space="0" w:color="auto"/>
            </w:tcBorders>
            <w:vAlign w:val="bottom"/>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Lytinės sistemos ir krūties sutrikimai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nežinomas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lytinių organų niežulys</w:t>
            </w:r>
          </w:p>
        </w:tc>
      </w:tr>
      <w:tr w:rsidR="00544645" w:rsidTr="00544645">
        <w:tc>
          <w:tcPr>
            <w:tcW w:w="3794"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Bendri sutrikimai ir vartojimo vietos pažeidimai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dažnas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karščiavimas</w:t>
            </w:r>
          </w:p>
        </w:tc>
      </w:tr>
      <w:tr w:rsidR="00544645" w:rsidTr="00544645">
        <w:tc>
          <w:tcPr>
            <w:tcW w:w="3794"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Tyrimai</w:t>
            </w:r>
          </w:p>
        </w:tc>
        <w:tc>
          <w:tcPr>
            <w:tcW w:w="1276"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nežinomas</w:t>
            </w:r>
          </w:p>
        </w:tc>
        <w:tc>
          <w:tcPr>
            <w:tcW w:w="4523" w:type="dxa"/>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padidėjusi transaminazių koncentracija</w:t>
            </w:r>
          </w:p>
        </w:tc>
      </w:tr>
    </w:tbl>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autoSpaceDE w:val="0"/>
        <w:autoSpaceDN w:val="0"/>
        <w:adjustRightInd w:val="0"/>
        <w:spacing w:after="0" w:line="240" w:lineRule="auto"/>
        <w:rPr>
          <w:rFonts w:ascii="Times New Roman" w:eastAsia="Calibri" w:hAnsi="Times New Roman" w:cs="Times New Roman"/>
          <w:noProof w:val="0"/>
          <w:u w:val="single"/>
        </w:rPr>
      </w:pPr>
      <w:r>
        <w:rPr>
          <w:rFonts w:ascii="Times New Roman" w:eastAsia="Calibri" w:hAnsi="Times New Roman" w:cs="Times New Roman"/>
          <w:u w:val="single"/>
        </w:rPr>
        <w:t>Pranešimas apie įtariamas nepageidaujamas reakcijas</w:t>
      </w:r>
    </w:p>
    <w:p w:rsidR="00544645" w:rsidRDefault="00544645" w:rsidP="00544645">
      <w:pPr>
        <w:autoSpaceDE w:val="0"/>
        <w:autoSpaceDN w:val="0"/>
        <w:adjustRightInd w:val="0"/>
        <w:spacing w:after="0" w:line="240" w:lineRule="auto"/>
        <w:rPr>
          <w:rFonts w:ascii="Times New Roman" w:eastAsia="Calibri" w:hAnsi="Times New Roman" w:cs="Times New Roman"/>
          <w:b/>
          <w:noProof w:val="0"/>
        </w:rPr>
      </w:pPr>
      <w:r>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w:t>
      </w:r>
      <w:r>
        <w:rPr>
          <w:rFonts w:ascii="Times New Roman" w:eastAsia="Calibri" w:hAnsi="Times New Roman" w:cs="Times New Roman"/>
          <w:noProof w:val="0"/>
        </w:rPr>
        <w:t xml:space="preserve"> </w:t>
      </w:r>
      <w:r>
        <w:rPr>
          <w:rFonts w:ascii="Times New Roman" w:eastAsia="Calibri" w:hAnsi="Times New Roman" w:cs="Times New Roman"/>
        </w:rPr>
        <w:t>Sveikatos priežiūros specialistai turi pranešti apie bet kokias įtariamas nepageidaujamas reakcijas, užpildę interneto svetainėje http://</w:t>
      </w:r>
      <w:hyperlink r:id="rId5" w:history="1">
        <w:r>
          <w:rPr>
            <w:rStyle w:val="Hipersaitas"/>
            <w:rFonts w:eastAsia="SimSun"/>
          </w:rPr>
          <w:t>www.vvkt.lt</w:t>
        </w:r>
      </w:hyperlink>
      <w:r>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 adresu </w:t>
      </w:r>
      <w:hyperlink r:id="rId6" w:history="1">
        <w:r>
          <w:rPr>
            <w:rStyle w:val="Hipersaitas"/>
            <w:rFonts w:eastAsia="SimSun"/>
          </w:rPr>
          <w:t>NepageidaujamaR@vvkt.lt</w:t>
        </w:r>
      </w:hyperlink>
      <w:r>
        <w:rPr>
          <w:rFonts w:ascii="Times New Roman" w:eastAsia="SimSun" w:hAnsi="Times New Roman" w:cs="Times New Roman"/>
          <w:color w:val="0000FF"/>
          <w:u w:val="single"/>
        </w:rPr>
        <w:t xml:space="preserve">), </w:t>
      </w:r>
      <w:r>
        <w:rPr>
          <w:rFonts w:ascii="Times New Roman" w:eastAsia="SimSun" w:hAnsi="Times New Roman" w:cs="Times New Roman"/>
        </w:rPr>
        <w:t>per interneto svetainę (adresu</w:t>
      </w:r>
      <w:r>
        <w:rPr>
          <w:rFonts w:ascii="Times New Roman" w:eastAsia="SimSun" w:hAnsi="Times New Roman" w:cs="Times New Roman"/>
          <w:u w:val="single"/>
        </w:rPr>
        <w:t xml:space="preserve"> </w:t>
      </w:r>
      <w:r>
        <w:rPr>
          <w:rFonts w:ascii="Times New Roman" w:eastAsia="SimSun" w:hAnsi="Times New Roman" w:cs="Times New Roman"/>
          <w:color w:val="0000FF"/>
          <w:u w:val="single"/>
        </w:rPr>
        <w:t>http://www.vvkt.lt)</w:t>
      </w:r>
      <w:r>
        <w:rPr>
          <w:rFonts w:ascii="Times New Roman" w:eastAsia="Calibri" w:hAnsi="Times New Roman" w:cs="Times New Roman"/>
        </w:rPr>
        <w:t>.</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4.9</w:t>
      </w:r>
      <w:r>
        <w:rPr>
          <w:rFonts w:ascii="Times New Roman" w:eastAsia="Calibri" w:hAnsi="Times New Roman" w:cs="Times New Roman"/>
          <w:b/>
          <w:noProof w:val="0"/>
        </w:rPr>
        <w:tab/>
        <w:t>Perdozavimas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Jaunesnių nei 6 metų vaikų, išgėrusių ne didesnę kaip 250 mg/kg kūno svorio penicilino ar cefalosporino dozę, gydymo rezultatai rodo, jog mažesnės negu 250 mg/kg kūno svorio cefalosporinų dozės (ji yra 5 - 10 kartų didesnė už dozę, rekomenduojamą vartoti žmogui) pavartojimas su sunkiomis pasekmėmis nebūna susijęs. Kitokio gydymo, išskyrus sekimą ir bendrąsias palaikomąsias priemones, nereikėjo. Daugumai vaikų per 72 valandų stebėjimo periodą simptomų neatsirado. Kai kuriems vaikams sutriko virškinimas, prasidėjo bėrimas. Didesnę nei 250 mg/kg dozę išgėrusiam pacientui reikia šalinti vaistą iš skrandžio (sukelti vėmimą arba plauti skrandį).</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Informacija apie vaistinio preparato šalinimą iš organizmo hemodializės būdu pateikiama 4.2 skyriuje.</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FARMAKOLOGINĖS SAVYBĖS</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5.1</w:t>
      </w:r>
      <w:r>
        <w:rPr>
          <w:rFonts w:ascii="Times New Roman" w:eastAsia="Calibri" w:hAnsi="Times New Roman" w:cs="Times New Roman"/>
          <w:b/>
          <w:noProof w:val="0"/>
        </w:rPr>
        <w:tab/>
        <w:t>Farmakodinaminės savybės</w:t>
      </w:r>
    </w:p>
    <w:p w:rsidR="00544645" w:rsidRDefault="00544645" w:rsidP="00544645">
      <w:pPr>
        <w:spacing w:after="0" w:line="240" w:lineRule="auto"/>
        <w:rPr>
          <w:rFonts w:ascii="Times New Roman" w:eastAsia="Calibri" w:hAnsi="Times New Roman" w:cs="Times New Roman"/>
          <w:iCs/>
          <w:noProof w:val="0"/>
        </w:rPr>
      </w:pPr>
    </w:p>
    <w:p w:rsidR="00544645" w:rsidRDefault="00544645" w:rsidP="00544645">
      <w:pPr>
        <w:spacing w:after="0" w:line="240" w:lineRule="auto"/>
        <w:outlineLvl w:val="0"/>
        <w:rPr>
          <w:rFonts w:ascii="Times New Roman" w:eastAsia="Calibri" w:hAnsi="Times New Roman" w:cs="Times New Roman"/>
          <w:iCs/>
          <w:noProof w:val="0"/>
        </w:rPr>
      </w:pPr>
      <w:r>
        <w:rPr>
          <w:rFonts w:ascii="Times New Roman" w:eastAsia="Calibri" w:hAnsi="Times New Roman" w:cs="Times New Roman"/>
          <w:iCs/>
          <w:noProof w:val="0"/>
        </w:rPr>
        <w:t xml:space="preserve">Farmakoterapinė grupė </w:t>
      </w:r>
      <w:r>
        <w:rPr>
          <w:rFonts w:ascii="Times New Roman" w:eastAsia="Calibri" w:hAnsi="Times New Roman" w:cs="Times New Roman"/>
          <w:noProof w:val="0"/>
        </w:rPr>
        <w:t>– pirmosios kartos cefalosporinai</w:t>
      </w:r>
      <w:r>
        <w:rPr>
          <w:rFonts w:ascii="Times New Roman" w:eastAsia="Calibri" w:hAnsi="Times New Roman" w:cs="Times New Roman"/>
          <w:iCs/>
          <w:noProof w:val="0"/>
        </w:rPr>
        <w:t>, ATC kodas - J01DB05</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Veikimo mechanizmas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Cefadroksilis yra pusiau sintetinis geriamasis cefalosporino darinys. Tyrimų </w:t>
      </w:r>
      <w:r>
        <w:rPr>
          <w:rFonts w:ascii="Times New Roman" w:eastAsia="Calibri" w:hAnsi="Times New Roman" w:cs="Times New Roman"/>
          <w:i/>
          <w:noProof w:val="0"/>
        </w:rPr>
        <w:t xml:space="preserve">in vitro </w:t>
      </w:r>
      <w:r>
        <w:rPr>
          <w:rFonts w:ascii="Times New Roman" w:eastAsia="Calibri" w:hAnsi="Times New Roman" w:cs="Times New Roman"/>
          <w:noProof w:val="0"/>
        </w:rPr>
        <w:t>duome</w:t>
      </w:r>
      <w:r>
        <w:rPr>
          <w:rFonts w:ascii="Times New Roman" w:eastAsia="Calibri" w:hAnsi="Times New Roman" w:cs="Times New Roman"/>
          <w:noProof w:val="0"/>
        </w:rPr>
        <w:softHyphen/>
        <w:t xml:space="preserve">nimis, cefalosporinai sukelia baktericidinį poveikį, prisijungę prie penicilinus prijungiančių baltymų ir </w:t>
      </w:r>
      <w:r>
        <w:rPr>
          <w:rFonts w:ascii="Times New Roman" w:eastAsia="Calibri" w:hAnsi="Times New Roman" w:cs="Times New Roman"/>
          <w:noProof w:val="0"/>
        </w:rPr>
        <w:lastRenderedPageBreak/>
        <w:t>slopindami aktyviai besidalijančių bakterijų ląstelių sienelių sintezę. Dėl to susidariusių ląstelių sienelės turi defektų ir būna neatsparios osmosiniam poveikiui.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Farmakokinetikos ir farmakodinamikos santykis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Cefadroksilis sukelia nuo laiko priklausomą baktericidinį poveikį.</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Atsparumo mechanizmai</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Cefadroksilio veiksmingumą lemia tai, kaip jis geba nepakitęs pasiekti penicilinus prijungiantį baltymą ir prie jo prisijungti. Atsparumą β laktaminiams antibiotikams gali sukelti β laktaminio žiedo fermentinė hidrolizė (jei bakterijos gamina β laktamazę). β laktamazės genus bakterijos chromosoma gali turėti nuo jos susidarymo arba jie gali būti įgyti (perduoti per plazmides). Pastarąjį procesą gali skatinti β laktaminiai antibiotikai. Kitas atsparumo β laktaminiams antibiotikams mechanizmas yra susijęs su penicilinus prijungiančių baltymų pokyčiais, dėl kurių sumažėja jų afinitetas β laktaminiams antibiotikams ir gebėjimas juos prijungti. Dėl šios priežasties ląstelės sienelės sintezę β laktaminiai antibiotikai trikdo silpniau.</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Jautrumas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Europos jautrumo antimikrobiniams vaistams tyrimų komitetas (EUCAST) prie Europos klinikinės mikrobiologijos ir infekcinių ligų sąjungos (ESCMID) harmonizuotų jautrumo cefadroksiliui ribų nėra nustatę.</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Konkrečių bakterijų rūšių įgyto atsparumo paplitimas gali būti skirtingas įvairiose geografinėse vietovėse ir įvairiu laiku, todėl apie jį pageidautina turėti vietinę informaciją, ypač kai gydomos sunkios infekcinės ligos. Prireikus, jeigu vietinis atsparumo paplitimas yra toks, kad vaisto naudingumas bent kai kurioms infekcinėms ligoms gydyti yra abejotinas, būtina konsultuotis su ekspertu.</w:t>
      </w:r>
    </w:p>
    <w:p w:rsidR="00544645" w:rsidRDefault="00544645" w:rsidP="00544645">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602"/>
      </w:tblGrid>
      <w:tr w:rsidR="00544645" w:rsidTr="00544645">
        <w:tc>
          <w:tcPr>
            <w:tcW w:w="0" w:type="auto"/>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Jautrūs</w:t>
            </w:r>
          </w:p>
        </w:tc>
        <w:tc>
          <w:tcPr>
            <w:tcW w:w="0" w:type="auto"/>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β</w:t>
            </w:r>
            <w:r>
              <w:rPr>
                <w:rFonts w:ascii="Times New Roman" w:eastAsia="Calibri" w:hAnsi="Times New Roman" w:cs="Times New Roman"/>
                <w:noProof w:val="0"/>
              </w:rPr>
              <w:noBreakHyphen/>
              <w:t>hemoliziniai streptokokai (A, B, C ir G grupių)</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Staphylococcus aureus </w:t>
            </w:r>
            <w:r>
              <w:rPr>
                <w:rFonts w:ascii="Times New Roman" w:eastAsia="Calibri" w:hAnsi="Times New Roman" w:cs="Times New Roman"/>
                <w:i/>
                <w:noProof w:val="0"/>
                <w:vertAlign w:val="superscript"/>
              </w:rPr>
              <w:t>1</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noProof w:val="0"/>
              </w:rPr>
              <w:t xml:space="preserve">Kiti stafilokokai, įskaitant </w:t>
            </w:r>
            <w:r>
              <w:rPr>
                <w:rFonts w:ascii="Times New Roman" w:eastAsia="Calibri" w:hAnsi="Times New Roman" w:cs="Times New Roman"/>
                <w:i/>
                <w:noProof w:val="0"/>
              </w:rPr>
              <w:t xml:space="preserve">S. saprophyticus </w:t>
            </w:r>
            <w:r>
              <w:rPr>
                <w:rFonts w:ascii="Times New Roman" w:eastAsia="Calibri" w:hAnsi="Times New Roman" w:cs="Times New Roman"/>
                <w:i/>
                <w:noProof w:val="0"/>
                <w:vertAlign w:val="superscript"/>
              </w:rPr>
              <w:t>1</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Streptococcus pneumoniae</w:t>
            </w:r>
          </w:p>
        </w:tc>
      </w:tr>
      <w:tr w:rsidR="00544645" w:rsidTr="00544645">
        <w:tc>
          <w:tcPr>
            <w:tcW w:w="0" w:type="auto"/>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Vidutinio jautrumo</w:t>
            </w:r>
          </w:p>
        </w:tc>
        <w:tc>
          <w:tcPr>
            <w:tcW w:w="0" w:type="auto"/>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Escherichia coli </w:t>
            </w:r>
            <w:r>
              <w:rPr>
                <w:rFonts w:ascii="Times New Roman" w:eastAsia="Calibri" w:hAnsi="Times New Roman" w:cs="Times New Roman"/>
                <w:i/>
                <w:noProof w:val="0"/>
                <w:vertAlign w:val="superscript"/>
              </w:rPr>
              <w:t>2</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Klebsiella</w:t>
            </w:r>
            <w:r>
              <w:rPr>
                <w:rFonts w:ascii="Times New Roman" w:eastAsia="Calibri" w:hAnsi="Times New Roman" w:cs="Times New Roman"/>
                <w:noProof w:val="0"/>
              </w:rPr>
              <w:t xml:space="preserve"> rūšys </w:t>
            </w:r>
            <w:r>
              <w:rPr>
                <w:rFonts w:ascii="Times New Roman" w:eastAsia="Calibri" w:hAnsi="Times New Roman" w:cs="Times New Roman"/>
                <w:i/>
                <w:noProof w:val="0"/>
                <w:vertAlign w:val="superscript"/>
              </w:rPr>
              <w:t>2</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Proteus mirabilis </w:t>
            </w:r>
            <w:r>
              <w:rPr>
                <w:rFonts w:ascii="Times New Roman" w:eastAsia="Calibri" w:hAnsi="Times New Roman" w:cs="Times New Roman"/>
                <w:i/>
                <w:noProof w:val="0"/>
                <w:vertAlign w:val="superscript"/>
              </w:rPr>
              <w:t>2</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Moraxella catarrhalis </w:t>
            </w:r>
            <w:r>
              <w:rPr>
                <w:rFonts w:ascii="Times New Roman" w:eastAsia="Calibri" w:hAnsi="Times New Roman" w:cs="Times New Roman"/>
                <w:i/>
                <w:noProof w:val="0"/>
                <w:vertAlign w:val="superscript"/>
              </w:rPr>
              <w:t>3</w:t>
            </w:r>
          </w:p>
        </w:tc>
      </w:tr>
      <w:tr w:rsidR="00544645" w:rsidTr="00544645">
        <w:tc>
          <w:tcPr>
            <w:tcW w:w="0" w:type="auto"/>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Atsparūs</w:t>
            </w:r>
          </w:p>
        </w:tc>
        <w:tc>
          <w:tcPr>
            <w:tcW w:w="0" w:type="auto"/>
            <w:tcBorders>
              <w:top w:val="single" w:sz="4" w:space="0" w:color="auto"/>
              <w:left w:val="single" w:sz="4" w:space="0" w:color="auto"/>
              <w:bottom w:val="single" w:sz="4" w:space="0" w:color="auto"/>
              <w:right w:val="single" w:sz="4" w:space="0" w:color="auto"/>
            </w:tcBorders>
            <w:hideMark/>
          </w:tcPr>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Citrobacter </w:t>
            </w:r>
            <w:r>
              <w:rPr>
                <w:rFonts w:ascii="Times New Roman" w:eastAsia="Calibri" w:hAnsi="Times New Roman" w:cs="Times New Roman"/>
                <w:noProof w:val="0"/>
              </w:rPr>
              <w:t>rūšys</w:t>
            </w:r>
            <w:r>
              <w:rPr>
                <w:rFonts w:ascii="Times New Roman" w:eastAsia="Calibri" w:hAnsi="Times New Roman" w:cs="Times New Roman"/>
                <w:i/>
                <w:noProof w:val="0"/>
              </w:rPr>
              <w:t xml:space="preserve">, Enterobacter </w:t>
            </w:r>
            <w:r>
              <w:rPr>
                <w:rFonts w:ascii="Times New Roman" w:eastAsia="Calibri" w:hAnsi="Times New Roman" w:cs="Times New Roman"/>
                <w:noProof w:val="0"/>
              </w:rPr>
              <w:t>rūšys</w:t>
            </w:r>
            <w:r>
              <w:rPr>
                <w:rFonts w:ascii="Times New Roman" w:eastAsia="Calibri" w:hAnsi="Times New Roman" w:cs="Times New Roman"/>
                <w:i/>
                <w:noProof w:val="0"/>
              </w:rPr>
              <w:t xml:space="preserve">, Proteus </w:t>
            </w:r>
            <w:r>
              <w:rPr>
                <w:rFonts w:ascii="Times New Roman" w:eastAsia="Calibri" w:hAnsi="Times New Roman" w:cs="Times New Roman"/>
                <w:noProof w:val="0"/>
              </w:rPr>
              <w:t>rūšys (indolui teigiamos)</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Serratia </w:t>
            </w:r>
            <w:r>
              <w:rPr>
                <w:rFonts w:ascii="Times New Roman" w:eastAsia="Calibri" w:hAnsi="Times New Roman" w:cs="Times New Roman"/>
                <w:noProof w:val="0"/>
              </w:rPr>
              <w:t>rūšys</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Morganella morganii</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Campylobacter</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Haemophilus influenzae</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Pseudomonas </w:t>
            </w:r>
            <w:r>
              <w:rPr>
                <w:rFonts w:ascii="Times New Roman" w:eastAsia="Calibri" w:hAnsi="Times New Roman" w:cs="Times New Roman"/>
                <w:noProof w:val="0"/>
              </w:rPr>
              <w:t>rūšys</w:t>
            </w:r>
            <w:r>
              <w:rPr>
                <w:rFonts w:ascii="Times New Roman" w:eastAsia="Calibri" w:hAnsi="Times New Roman" w:cs="Times New Roman"/>
                <w:i/>
                <w:noProof w:val="0"/>
              </w:rPr>
              <w:t>, Clostridium difficile</w:t>
            </w:r>
          </w:p>
          <w:p w:rsidR="00544645" w:rsidRDefault="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 xml:space="preserve">Listeria monocytogenes, Legionella, Chlamydia </w:t>
            </w:r>
            <w:r>
              <w:rPr>
                <w:rFonts w:ascii="Times New Roman" w:eastAsia="Calibri" w:hAnsi="Times New Roman" w:cs="Times New Roman"/>
                <w:noProof w:val="0"/>
              </w:rPr>
              <w:t>ir</w:t>
            </w:r>
            <w:r>
              <w:rPr>
                <w:rFonts w:ascii="Times New Roman" w:eastAsia="Calibri" w:hAnsi="Times New Roman" w:cs="Times New Roman"/>
                <w:i/>
                <w:noProof w:val="0"/>
              </w:rPr>
              <w:t xml:space="preserve"> Mycoplasma </w:t>
            </w:r>
            <w:r>
              <w:rPr>
                <w:rFonts w:ascii="Times New Roman" w:eastAsia="Calibri" w:hAnsi="Times New Roman" w:cs="Times New Roman"/>
                <w:noProof w:val="0"/>
              </w:rPr>
              <w:t>rūšys</w:t>
            </w:r>
          </w:p>
          <w:p w:rsidR="00544645" w:rsidRDefault="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Enterokokai</w:t>
            </w:r>
          </w:p>
          <w:p w:rsidR="00544645" w:rsidRDefault="00544645">
            <w:pPr>
              <w:spacing w:after="0" w:line="240" w:lineRule="auto"/>
              <w:rPr>
                <w:rFonts w:ascii="Times New Roman" w:eastAsia="Calibri" w:hAnsi="Times New Roman" w:cs="Times New Roman"/>
                <w:i/>
                <w:noProof w:val="0"/>
                <w:highlight w:val="yellow"/>
              </w:rPr>
            </w:pPr>
            <w:r>
              <w:rPr>
                <w:rFonts w:ascii="Times New Roman" w:eastAsia="Calibri" w:hAnsi="Times New Roman" w:cs="Times New Roman"/>
                <w:i/>
                <w:noProof w:val="0"/>
              </w:rPr>
              <w:t xml:space="preserve">Bacteroides </w:t>
            </w:r>
            <w:r>
              <w:rPr>
                <w:rFonts w:ascii="Times New Roman" w:eastAsia="Calibri" w:hAnsi="Times New Roman" w:cs="Times New Roman"/>
                <w:noProof w:val="0"/>
              </w:rPr>
              <w:t>rūšys</w:t>
            </w:r>
          </w:p>
        </w:tc>
      </w:tr>
    </w:tbl>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vertAlign w:val="superscript"/>
        </w:rPr>
        <w:t>1</w:t>
      </w:r>
      <w:r>
        <w:rPr>
          <w:rFonts w:ascii="Times New Roman" w:eastAsia="Calibri" w:hAnsi="Times New Roman" w:cs="Times New Roman"/>
          <w:noProof w:val="0"/>
        </w:rPr>
        <w:t xml:space="preserve"> </w:t>
      </w:r>
      <w:r>
        <w:rPr>
          <w:rFonts w:ascii="Times New Roman" w:eastAsia="Calibri" w:hAnsi="Times New Roman" w:cs="Times New Roman"/>
          <w:i/>
          <w:iCs/>
          <w:noProof w:val="0"/>
        </w:rPr>
        <w:t>S. aureus</w:t>
      </w:r>
      <w:r>
        <w:rPr>
          <w:rFonts w:ascii="Times New Roman" w:eastAsia="Calibri" w:hAnsi="Times New Roman" w:cs="Times New Roman"/>
          <w:noProof w:val="0"/>
        </w:rPr>
        <w:t xml:space="preserve"> ir kiti stafilokokai, įskaitant koaguliazei teigiamus, koaguliazei neigiamus ir penicilinazę gaminančius štamus.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vertAlign w:val="superscript"/>
        </w:rPr>
        <w:t>2</w:t>
      </w:r>
      <w:r>
        <w:rPr>
          <w:rFonts w:ascii="Times New Roman" w:eastAsia="Calibri" w:hAnsi="Times New Roman" w:cs="Times New Roman"/>
          <w:noProof w:val="0"/>
        </w:rPr>
        <w:t xml:space="preserve"> </w:t>
      </w:r>
      <w:r>
        <w:rPr>
          <w:rFonts w:ascii="Times New Roman" w:eastAsia="Calibri" w:hAnsi="Times New Roman" w:cs="Times New Roman"/>
          <w:i/>
          <w:iCs/>
          <w:noProof w:val="0"/>
        </w:rPr>
        <w:t>E. Coli,</w:t>
      </w:r>
      <w:r>
        <w:rPr>
          <w:rFonts w:ascii="Times New Roman" w:eastAsia="Calibri" w:hAnsi="Times New Roman" w:cs="Times New Roman"/>
          <w:noProof w:val="0"/>
        </w:rPr>
        <w:t xml:space="preserve"> </w:t>
      </w:r>
      <w:r>
        <w:rPr>
          <w:rFonts w:ascii="Times New Roman" w:eastAsia="Calibri" w:hAnsi="Times New Roman" w:cs="Times New Roman"/>
          <w:i/>
          <w:iCs/>
          <w:noProof w:val="0"/>
        </w:rPr>
        <w:t xml:space="preserve">Klebsiella </w:t>
      </w:r>
      <w:r>
        <w:rPr>
          <w:rFonts w:ascii="Times New Roman" w:eastAsia="Calibri" w:hAnsi="Times New Roman" w:cs="Times New Roman"/>
          <w:noProof w:val="0"/>
        </w:rPr>
        <w:t>rūšys ir</w:t>
      </w:r>
      <w:r>
        <w:rPr>
          <w:rFonts w:ascii="Times New Roman" w:eastAsia="Calibri" w:hAnsi="Times New Roman" w:cs="Times New Roman"/>
          <w:i/>
          <w:noProof w:val="0"/>
        </w:rPr>
        <w:t xml:space="preserve"> </w:t>
      </w:r>
      <w:r>
        <w:rPr>
          <w:rFonts w:ascii="Times New Roman" w:eastAsia="Calibri" w:hAnsi="Times New Roman" w:cs="Times New Roman"/>
          <w:i/>
          <w:iCs/>
          <w:noProof w:val="0"/>
        </w:rPr>
        <w:t>P. mirabilis</w:t>
      </w:r>
      <w:r>
        <w:rPr>
          <w:rFonts w:ascii="Times New Roman" w:eastAsia="Calibri" w:hAnsi="Times New Roman" w:cs="Times New Roman"/>
          <w:noProof w:val="0"/>
        </w:rPr>
        <w:t xml:space="preserve"> laikomi jautriais sergant apatinių šlapimo takų infekcinėmis ligomis.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vertAlign w:val="superscript"/>
        </w:rPr>
        <w:t>3</w:t>
      </w:r>
      <w:r>
        <w:rPr>
          <w:rFonts w:ascii="Times New Roman" w:eastAsia="Calibri" w:hAnsi="Times New Roman" w:cs="Times New Roman"/>
          <w:noProof w:val="0"/>
        </w:rPr>
        <w:t xml:space="preserve"> Dažnai pasitaiko β laktamazę gaminančių </w:t>
      </w:r>
      <w:r>
        <w:rPr>
          <w:rFonts w:ascii="Times New Roman" w:eastAsia="Calibri" w:hAnsi="Times New Roman" w:cs="Times New Roman"/>
          <w:i/>
          <w:iCs/>
          <w:noProof w:val="0"/>
        </w:rPr>
        <w:t>M. catarrhalis</w:t>
      </w:r>
      <w:r>
        <w:rPr>
          <w:rFonts w:ascii="Times New Roman" w:eastAsia="Calibri" w:hAnsi="Times New Roman" w:cs="Times New Roman"/>
          <w:noProof w:val="0"/>
        </w:rPr>
        <w:t xml:space="preserve"> štamų.</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Galimas kryžminis atsparumas β laktaminiams antibiotikams (penicilinams ir cefalosporinams). Penicilinams atsparūs pneumokokai ir meticilinui atsparūs </w:t>
      </w:r>
      <w:r>
        <w:rPr>
          <w:rFonts w:ascii="Times New Roman" w:eastAsia="Calibri" w:hAnsi="Times New Roman" w:cs="Times New Roman"/>
          <w:i/>
          <w:noProof w:val="0"/>
        </w:rPr>
        <w:t>Staphylococcus aureus</w:t>
      </w:r>
      <w:r>
        <w:rPr>
          <w:rFonts w:ascii="Times New Roman" w:eastAsia="Calibri" w:hAnsi="Times New Roman" w:cs="Times New Roman"/>
          <w:noProof w:val="0"/>
        </w:rPr>
        <w:t xml:space="preserve"> būna atsparūs ir cefadroksiliui. Dėl su plazmidėmis susijusios β laktamazės gamybos gali būti atsparūs izoliuoti </w:t>
      </w:r>
      <w:r>
        <w:rPr>
          <w:rFonts w:ascii="Times New Roman" w:eastAsia="Calibri" w:hAnsi="Times New Roman" w:cs="Times New Roman"/>
          <w:i/>
          <w:iCs/>
          <w:noProof w:val="0"/>
        </w:rPr>
        <w:t>E. coli</w:t>
      </w:r>
      <w:r>
        <w:rPr>
          <w:rFonts w:ascii="Times New Roman" w:eastAsia="Calibri" w:hAnsi="Times New Roman" w:cs="Times New Roman"/>
          <w:noProof w:val="0"/>
        </w:rPr>
        <w:t xml:space="preserve">, </w:t>
      </w:r>
      <w:r>
        <w:rPr>
          <w:rFonts w:ascii="Times New Roman" w:eastAsia="Calibri" w:hAnsi="Times New Roman" w:cs="Times New Roman"/>
          <w:i/>
          <w:iCs/>
          <w:noProof w:val="0"/>
        </w:rPr>
        <w:t xml:space="preserve">Klebsiella </w:t>
      </w:r>
      <w:r>
        <w:rPr>
          <w:rFonts w:ascii="Times New Roman" w:eastAsia="Calibri" w:hAnsi="Times New Roman" w:cs="Times New Roman"/>
          <w:iCs/>
          <w:noProof w:val="0"/>
        </w:rPr>
        <w:t>rūšių</w:t>
      </w:r>
      <w:r>
        <w:rPr>
          <w:rFonts w:ascii="Times New Roman" w:eastAsia="Calibri" w:hAnsi="Times New Roman" w:cs="Times New Roman"/>
          <w:noProof w:val="0"/>
        </w:rPr>
        <w:t xml:space="preserve"> ir </w:t>
      </w:r>
      <w:r>
        <w:rPr>
          <w:rFonts w:ascii="Times New Roman" w:eastAsia="Calibri" w:hAnsi="Times New Roman" w:cs="Times New Roman"/>
          <w:i/>
          <w:iCs/>
          <w:noProof w:val="0"/>
        </w:rPr>
        <w:t>P. mirabilis</w:t>
      </w:r>
      <w:r>
        <w:rPr>
          <w:rFonts w:ascii="Times New Roman" w:eastAsia="Calibri" w:hAnsi="Times New Roman" w:cs="Times New Roman"/>
          <w:iCs/>
          <w:noProof w:val="0"/>
        </w:rPr>
        <w:t xml:space="preserve"> štamai</w:t>
      </w:r>
      <w:r>
        <w:rPr>
          <w:rFonts w:ascii="Times New Roman" w:eastAsia="Calibri" w:hAnsi="Times New Roman" w:cs="Times New Roman"/>
          <w:noProof w:val="0"/>
        </w:rPr>
        <w:t xml:space="preserve">. Gydymo metu gali išsivystyti </w:t>
      </w:r>
      <w:r>
        <w:rPr>
          <w:rFonts w:ascii="Times New Roman" w:eastAsia="Calibri" w:hAnsi="Times New Roman" w:cs="Times New Roman"/>
          <w:i/>
          <w:iCs/>
          <w:noProof w:val="0"/>
        </w:rPr>
        <w:t>Enterobacter</w:t>
      </w:r>
      <w:r>
        <w:rPr>
          <w:rFonts w:ascii="Times New Roman" w:eastAsia="Calibri" w:hAnsi="Times New Roman" w:cs="Times New Roman"/>
          <w:noProof w:val="0"/>
        </w:rPr>
        <w:t xml:space="preserve">, </w:t>
      </w:r>
      <w:r>
        <w:rPr>
          <w:rFonts w:ascii="Times New Roman" w:eastAsia="Calibri" w:hAnsi="Times New Roman" w:cs="Times New Roman"/>
          <w:i/>
          <w:iCs/>
          <w:noProof w:val="0"/>
        </w:rPr>
        <w:t>Citrobacter</w:t>
      </w:r>
      <w:r>
        <w:rPr>
          <w:rFonts w:ascii="Times New Roman" w:eastAsia="Calibri" w:hAnsi="Times New Roman" w:cs="Times New Roman"/>
          <w:noProof w:val="0"/>
        </w:rPr>
        <w:t xml:space="preserve">, </w:t>
      </w:r>
      <w:r>
        <w:rPr>
          <w:rFonts w:ascii="Times New Roman" w:eastAsia="Calibri" w:hAnsi="Times New Roman" w:cs="Times New Roman"/>
          <w:i/>
          <w:iCs/>
          <w:noProof w:val="0"/>
        </w:rPr>
        <w:t>Morganella</w:t>
      </w:r>
      <w:r>
        <w:rPr>
          <w:rFonts w:ascii="Times New Roman" w:eastAsia="Calibri" w:hAnsi="Times New Roman" w:cs="Times New Roman"/>
          <w:noProof w:val="0"/>
        </w:rPr>
        <w:t xml:space="preserve"> ir </w:t>
      </w:r>
      <w:r>
        <w:rPr>
          <w:rFonts w:ascii="Times New Roman" w:eastAsia="Calibri" w:hAnsi="Times New Roman" w:cs="Times New Roman"/>
          <w:i/>
          <w:iCs/>
          <w:noProof w:val="0"/>
        </w:rPr>
        <w:t>Serratia</w:t>
      </w:r>
      <w:r>
        <w:rPr>
          <w:rFonts w:ascii="Times New Roman" w:eastAsia="Calibri" w:hAnsi="Times New Roman" w:cs="Times New Roman"/>
          <w:noProof w:val="0"/>
        </w:rPr>
        <w:t xml:space="preserve"> rūšių atsparumas.</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5.2</w:t>
      </w:r>
      <w:r>
        <w:rPr>
          <w:rFonts w:ascii="Times New Roman" w:eastAsia="Calibri" w:hAnsi="Times New Roman" w:cs="Times New Roman"/>
          <w:b/>
          <w:noProof w:val="0"/>
        </w:rPr>
        <w:tab/>
        <w:t>Farmakokinetinės savybės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Absorbcija</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Išgertas cefadroksilis rezorbuojamas greitai. Rezorbcijos ypatybės nevalgius ir po valgio nesiskiria.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Pasiskirstymas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Išgėrus vieną 500 mg arba 1 g dozę, vidutinė didžiausia koncentracija serume buvo atitinkamai maždaug 16 mikrogramų/ml ir 28 mikrogramai/ml. Išmatuojama koncentracija serume išliko 12 valandų po vaisto vartojimo. Maždaug 20 % vaisto būna prisijungusio prie plazmos baltymų. Cefadroksilis plačiai pasiskirsto organizmo audiniuose ir skysčiuose, praeina per placentos barjerą ir patenka į motinos pieną.</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Biotransformacija</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Daugiausia cefadroksilio eliminuojama nepakitusio, jo metabolizmas žmogaus organizme nereikšmingas.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u w:val="single"/>
        </w:rPr>
      </w:pPr>
      <w:r>
        <w:rPr>
          <w:rFonts w:ascii="Times New Roman" w:eastAsia="Calibri" w:hAnsi="Times New Roman" w:cs="Times New Roman"/>
          <w:i/>
          <w:noProof w:val="0"/>
          <w:u w:val="single"/>
        </w:rPr>
        <w:t>Eliminacija</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Daugiau kaip 90 </w:t>
      </w:r>
      <w:r>
        <w:rPr>
          <w:rFonts w:ascii="Times New Roman" w:eastAsia="Calibri" w:hAnsi="Times New Roman" w:cs="Times New Roman"/>
          <w:noProof w:val="0"/>
        </w:rPr>
        <w:sym w:font="Symbol" w:char="F025"/>
      </w:r>
      <w:r>
        <w:rPr>
          <w:rFonts w:ascii="Times New Roman" w:eastAsia="Calibri" w:hAnsi="Times New Roman" w:cs="Times New Roman"/>
          <w:noProof w:val="0"/>
        </w:rPr>
        <w:t xml:space="preserve"> vaisto išskiriama nepakitusio su šlapimu per 24 valandas. Pusinės eliminacijos laikas yra apie 2 val. Išgėrus vieną 500 mg dozę, didžiausia koncentracija šlapime būna maždaug 1800 mikrogramų/ml. Didinant dozę, dažniausiai proporcingai didėja ir cefadroksilio koncentracija šlapime. Išgėrus 1 g dozę, šio antibiotiko koncentracija šlapime gerokai viršija jam jautrių šlapimo takų infekcijų sukėlėjų MSK 20 - 22 valandas.</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5.3</w:t>
      </w:r>
      <w:r>
        <w:rPr>
          <w:rFonts w:ascii="Times New Roman" w:eastAsia="Calibri" w:hAnsi="Times New Roman" w:cs="Times New Roman"/>
          <w:b/>
          <w:noProof w:val="0"/>
        </w:rPr>
        <w:tab/>
        <w:t>Ikiklinikinių saugumo tyrimų duomenys</w:t>
      </w:r>
    </w:p>
    <w:p w:rsidR="00544645" w:rsidRDefault="00544645" w:rsidP="00544645">
      <w:pPr>
        <w:spacing w:after="0" w:line="240" w:lineRule="auto"/>
        <w:rPr>
          <w:rFonts w:ascii="Times New Roman" w:eastAsia="Calibri" w:hAnsi="Times New Roman" w:cs="Times New Roman"/>
          <w:i/>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Ilgalaikiais tyrimais kancerogeninis poveikis nenustatinėtas. Genotoksinis poveikis netirtas.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Naujų aktualių ikiklinikinių tyrimų duomenų nėra.</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6.</w:t>
      </w:r>
      <w:r>
        <w:rPr>
          <w:rFonts w:ascii="Times New Roman" w:eastAsia="Calibri" w:hAnsi="Times New Roman" w:cs="Times New Roman"/>
          <w:b/>
          <w:noProof w:val="0"/>
        </w:rPr>
        <w:tab/>
        <w:t>FARMACINĖ INFORMACIJA</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6.1</w:t>
      </w:r>
      <w:r>
        <w:rPr>
          <w:rFonts w:ascii="Times New Roman" w:eastAsia="Calibri" w:hAnsi="Times New Roman" w:cs="Times New Roman"/>
          <w:b/>
          <w:noProof w:val="0"/>
        </w:rPr>
        <w:tab/>
        <w:t>Pagalbinių medžiagų sąrašas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Kapsulės turinys:</w:t>
      </w: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Magnio stearatas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Laktozė monohidratas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Bevandenis koloidinis silicio dioksidas</w:t>
      </w:r>
    </w:p>
    <w:p w:rsidR="00544645" w:rsidRDefault="00544645" w:rsidP="00544645">
      <w:pPr>
        <w:spacing w:after="0" w:line="240" w:lineRule="auto"/>
        <w:rPr>
          <w:rFonts w:ascii="Times New Roman" w:eastAsia="Calibri" w:hAnsi="Times New Roman" w:cs="Times New Roman"/>
          <w:i/>
          <w:noProof w:val="0"/>
        </w:rPr>
      </w:pPr>
    </w:p>
    <w:p w:rsidR="00544645" w:rsidRDefault="00544645" w:rsidP="00544645">
      <w:pPr>
        <w:spacing w:after="0" w:line="240" w:lineRule="auto"/>
        <w:rPr>
          <w:rFonts w:ascii="Times New Roman" w:eastAsia="Calibri" w:hAnsi="Times New Roman" w:cs="Times New Roman"/>
          <w:i/>
          <w:noProof w:val="0"/>
        </w:rPr>
      </w:pPr>
      <w:r>
        <w:rPr>
          <w:rFonts w:ascii="Times New Roman" w:eastAsia="Calibri" w:hAnsi="Times New Roman" w:cs="Times New Roman"/>
          <w:i/>
          <w:noProof w:val="0"/>
        </w:rPr>
        <w:t>Kapsulės apvalkalas: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Titano dioksidas E171</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Želatina</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Rašalo sudėtyje yra šelako, geležies juodojo oksido E172, propilenglikolio E1520, amonio hidroksido E527.</w:t>
      </w:r>
    </w:p>
    <w:p w:rsidR="00544645" w:rsidRDefault="00544645" w:rsidP="00544645">
      <w:pPr>
        <w:spacing w:after="0" w:line="240" w:lineRule="auto"/>
        <w:rPr>
          <w:rFonts w:ascii="Times New Roman" w:eastAsia="Calibri" w:hAnsi="Times New Roman" w:cs="Times New Roman"/>
          <w:noProof w:val="0"/>
          <w:u w:val="single"/>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6.2</w:t>
      </w:r>
      <w:r>
        <w:rPr>
          <w:rFonts w:ascii="Times New Roman" w:eastAsia="Calibri" w:hAnsi="Times New Roman" w:cs="Times New Roman"/>
          <w:b/>
          <w:noProof w:val="0"/>
        </w:rPr>
        <w:tab/>
        <w:t>Nesuderinamumas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
          <w:noProof w:val="0"/>
        </w:rPr>
      </w:pPr>
      <w:r>
        <w:rPr>
          <w:rFonts w:ascii="Times New Roman" w:eastAsia="Calibri" w:hAnsi="Times New Roman" w:cs="Times New Roman"/>
          <w:noProof w:val="0"/>
        </w:rPr>
        <w:t>Duomenys nebūtini.</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6.3</w:t>
      </w:r>
      <w:r>
        <w:rPr>
          <w:rFonts w:ascii="Times New Roman" w:eastAsia="Calibri" w:hAnsi="Times New Roman" w:cs="Times New Roman"/>
          <w:b/>
          <w:noProof w:val="0"/>
        </w:rPr>
        <w:tab/>
        <w:t>Tinkamumo laikas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3 metai.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6.4</w:t>
      </w:r>
      <w:r>
        <w:rPr>
          <w:rFonts w:ascii="Times New Roman" w:eastAsia="Calibri" w:hAnsi="Times New Roman" w:cs="Times New Roman"/>
          <w:b/>
          <w:noProof w:val="0"/>
        </w:rPr>
        <w:tab/>
        <w:t>Specialios laikymo sąlygos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Laikyti ne aukštesnėje kaip 25 </w:t>
      </w:r>
      <w:r>
        <w:rPr>
          <w:rFonts w:ascii="Times New Roman" w:eastAsia="Calibri" w:hAnsi="Times New Roman" w:cs="Times New Roman"/>
          <w:noProof w:val="0"/>
        </w:rPr>
        <w:sym w:font="Symbol" w:char="F0B0"/>
      </w:r>
      <w:r>
        <w:rPr>
          <w:rFonts w:ascii="Times New Roman" w:eastAsia="Calibri" w:hAnsi="Times New Roman" w:cs="Times New Roman"/>
          <w:noProof w:val="0"/>
        </w:rPr>
        <w:t>C temperatūroje.</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6.5</w:t>
      </w:r>
      <w:r>
        <w:rPr>
          <w:rFonts w:ascii="Times New Roman" w:eastAsia="Calibri" w:hAnsi="Times New Roman" w:cs="Times New Roman"/>
          <w:b/>
          <w:noProof w:val="0"/>
        </w:rPr>
        <w:tab/>
        <w:t>Talpyklės pobūdis ir jos turinys</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lastRenderedPageBreak/>
        <w:t>Dėžutėje yra 12 kietųjų kapsulių PVC/PVDC lizdinėse plokštelėse.</w:t>
      </w:r>
    </w:p>
    <w:p w:rsidR="00544645" w:rsidRDefault="00544645" w:rsidP="00544645">
      <w:pPr>
        <w:spacing w:after="0" w:line="240" w:lineRule="auto"/>
        <w:rPr>
          <w:rFonts w:ascii="Times New Roman" w:eastAsia="Calibri" w:hAnsi="Times New Roman" w:cs="Times New Roman"/>
          <w:bCs/>
          <w:noProof w:val="0"/>
          <w:u w:val="single"/>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6.6</w:t>
      </w:r>
      <w:r>
        <w:rPr>
          <w:rFonts w:ascii="Times New Roman" w:eastAsia="Calibri" w:hAnsi="Times New Roman" w:cs="Times New Roman"/>
          <w:b/>
          <w:noProof w:val="0"/>
        </w:rPr>
        <w:tab/>
        <w:t>Specialūs reikalavimai atliekoms tvarkyti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Nesuvartotą vaistinį preparatą ar atliekas reikia tvarkyti laikantis vietinių reikalavimų.</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7.</w:t>
      </w:r>
      <w:r>
        <w:rPr>
          <w:rFonts w:ascii="Times New Roman" w:eastAsia="Calibri" w:hAnsi="Times New Roman" w:cs="Times New Roman"/>
          <w:b/>
          <w:noProof w:val="0"/>
        </w:rPr>
        <w:tab/>
        <w:t>REGISTRUOTOJAS</w:t>
      </w:r>
    </w:p>
    <w:p w:rsidR="00544645" w:rsidRDefault="00544645" w:rsidP="00544645">
      <w:pPr>
        <w:spacing w:after="0" w:line="240" w:lineRule="auto"/>
        <w:rPr>
          <w:rFonts w:ascii="Times New Roman" w:eastAsia="Calibri" w:hAnsi="Times New Roman" w:cs="Times New Roman"/>
          <w:noProof w:val="0"/>
        </w:rPr>
      </w:pPr>
    </w:p>
    <w:p w:rsidR="00A44EB8" w:rsidRPr="00A44EB8" w:rsidRDefault="00A44EB8" w:rsidP="00A44EB8">
      <w:pPr>
        <w:spacing w:after="0" w:line="240" w:lineRule="auto"/>
        <w:rPr>
          <w:rFonts w:ascii="Times New Roman" w:eastAsia="Arial Unicode MS" w:hAnsi="Times New Roman" w:cs="Times New Roman"/>
        </w:rPr>
      </w:pPr>
      <w:r w:rsidRPr="00A44EB8">
        <w:rPr>
          <w:rFonts w:ascii="Times New Roman" w:eastAsia="Arial Unicode MS" w:hAnsi="Times New Roman" w:cs="Times New Roman"/>
        </w:rPr>
        <w:t>Bausch Health Ireland Limited</w:t>
      </w:r>
    </w:p>
    <w:p w:rsidR="00A44EB8" w:rsidRPr="00A44EB8" w:rsidRDefault="00A44EB8" w:rsidP="00A44EB8">
      <w:pPr>
        <w:spacing w:after="0" w:line="240" w:lineRule="auto"/>
        <w:rPr>
          <w:rFonts w:ascii="Times New Roman" w:eastAsia="Arial Unicode MS" w:hAnsi="Times New Roman" w:cs="Times New Roman"/>
        </w:rPr>
      </w:pPr>
      <w:r w:rsidRPr="00A44EB8">
        <w:rPr>
          <w:rFonts w:ascii="Times New Roman" w:eastAsia="Arial Unicode MS" w:hAnsi="Times New Roman" w:cs="Times New Roman"/>
        </w:rPr>
        <w:t>3013 Lake Drive</w:t>
      </w:r>
    </w:p>
    <w:p w:rsidR="00A44EB8" w:rsidRPr="00A44EB8" w:rsidRDefault="00A44EB8" w:rsidP="00A44EB8">
      <w:pPr>
        <w:spacing w:after="0" w:line="240" w:lineRule="auto"/>
        <w:rPr>
          <w:rFonts w:ascii="Times New Roman" w:eastAsia="Arial Unicode MS" w:hAnsi="Times New Roman" w:cs="Times New Roman"/>
        </w:rPr>
      </w:pPr>
      <w:r w:rsidRPr="00A44EB8">
        <w:rPr>
          <w:rFonts w:ascii="Times New Roman" w:eastAsia="Arial Unicode MS" w:hAnsi="Times New Roman" w:cs="Times New Roman"/>
        </w:rPr>
        <w:t>Citywest Business Campus</w:t>
      </w:r>
    </w:p>
    <w:p w:rsidR="00A44EB8" w:rsidRPr="00A44EB8" w:rsidRDefault="00A44EB8" w:rsidP="00A44EB8">
      <w:pPr>
        <w:spacing w:after="0" w:line="240" w:lineRule="auto"/>
        <w:rPr>
          <w:rFonts w:ascii="Times New Roman" w:eastAsia="Arial Unicode MS" w:hAnsi="Times New Roman" w:cs="Times New Roman"/>
        </w:rPr>
      </w:pPr>
      <w:r w:rsidRPr="00A44EB8">
        <w:rPr>
          <w:rFonts w:ascii="Times New Roman" w:eastAsia="Arial Unicode MS" w:hAnsi="Times New Roman" w:cs="Times New Roman"/>
        </w:rPr>
        <w:t>Dublin 24, D24PPT3</w:t>
      </w:r>
    </w:p>
    <w:p w:rsidR="00544645" w:rsidRDefault="00A44EB8" w:rsidP="00A44EB8">
      <w:pPr>
        <w:spacing w:after="0" w:line="240" w:lineRule="auto"/>
        <w:rPr>
          <w:rFonts w:ascii="Times New Roman" w:eastAsia="Arial Unicode MS" w:hAnsi="Times New Roman" w:cs="Times New Roman"/>
        </w:rPr>
      </w:pPr>
      <w:r w:rsidRPr="00A44EB8">
        <w:rPr>
          <w:rFonts w:ascii="Times New Roman" w:eastAsia="Arial Unicode MS" w:hAnsi="Times New Roman" w:cs="Times New Roman"/>
        </w:rPr>
        <w:t>Airija</w:t>
      </w:r>
    </w:p>
    <w:p w:rsidR="00A44EB8" w:rsidRDefault="00A44EB8" w:rsidP="00A44EB8">
      <w:pPr>
        <w:spacing w:after="0" w:line="240" w:lineRule="auto"/>
        <w:rPr>
          <w:rFonts w:ascii="Times New Roman" w:eastAsia="Arial Unicode MS" w:hAnsi="Times New Roman" w:cs="Times New Roman"/>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8.</w:t>
      </w:r>
      <w:r>
        <w:rPr>
          <w:rFonts w:ascii="Times New Roman" w:eastAsia="Calibri" w:hAnsi="Times New Roman" w:cs="Times New Roman"/>
          <w:b/>
          <w:noProof w:val="0"/>
        </w:rPr>
        <w:tab/>
        <w:t>REGISTRACIJOS PAŽYMĖJIMO NUMERIS (-IAI)</w:t>
      </w:r>
    </w:p>
    <w:p w:rsidR="00544645" w:rsidRDefault="00544645" w:rsidP="00544645">
      <w:pPr>
        <w:spacing w:after="0" w:line="240" w:lineRule="auto"/>
        <w:rPr>
          <w:rFonts w:ascii="Times New Roman" w:eastAsia="Calibri" w:hAnsi="Times New Roman" w:cs="Times New Roman"/>
          <w:bCs/>
          <w:noProof w:val="0"/>
        </w:rPr>
      </w:pPr>
    </w:p>
    <w:p w:rsidR="00544645" w:rsidRDefault="00544645" w:rsidP="00544645">
      <w:pPr>
        <w:spacing w:after="0" w:line="240" w:lineRule="auto"/>
        <w:outlineLvl w:val="0"/>
        <w:rPr>
          <w:rFonts w:ascii="Times New Roman" w:eastAsia="Calibri" w:hAnsi="Times New Roman" w:cs="Times New Roman"/>
          <w:bCs/>
          <w:noProof w:val="0"/>
        </w:rPr>
      </w:pPr>
      <w:r>
        <w:rPr>
          <w:rFonts w:ascii="Times New Roman" w:eastAsia="Calibri" w:hAnsi="Times New Roman" w:cs="Times New Roman"/>
          <w:bCs/>
          <w:noProof w:val="0"/>
        </w:rPr>
        <w:t>LT/1/97/1240/002</w:t>
      </w:r>
    </w:p>
    <w:p w:rsidR="00544645" w:rsidRDefault="00544645" w:rsidP="00544645">
      <w:pPr>
        <w:spacing w:after="0" w:line="240" w:lineRule="auto"/>
        <w:rPr>
          <w:rFonts w:ascii="Times New Roman" w:eastAsia="Calibri" w:hAnsi="Times New Roman" w:cs="Times New Roman"/>
          <w:bCs/>
          <w:noProof w:val="0"/>
          <w:u w:val="single"/>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9.</w:t>
      </w:r>
      <w:r>
        <w:rPr>
          <w:rFonts w:ascii="Times New Roman" w:eastAsia="Calibri" w:hAnsi="Times New Roman" w:cs="Times New Roman"/>
          <w:b/>
          <w:noProof w:val="0"/>
        </w:rPr>
        <w:tab/>
        <w:t>REGISTRAVIMO / PERREGISTRAVIMO DATA</w:t>
      </w:r>
    </w:p>
    <w:p w:rsidR="00544645" w:rsidRDefault="00544645" w:rsidP="00544645">
      <w:pPr>
        <w:spacing w:after="0" w:line="240" w:lineRule="auto"/>
        <w:rPr>
          <w:rFonts w:ascii="Times New Roman" w:eastAsia="Calibri" w:hAnsi="Times New Roman" w:cs="Times New Roman"/>
          <w:bCs/>
          <w:noProof w:val="0"/>
        </w:rPr>
      </w:pPr>
    </w:p>
    <w:p w:rsidR="00544645" w:rsidRDefault="00544645" w:rsidP="00544645">
      <w:pPr>
        <w:spacing w:after="0" w:line="240" w:lineRule="auto"/>
        <w:rPr>
          <w:rFonts w:ascii="Times New Roman" w:eastAsia="Calibri" w:hAnsi="Times New Roman" w:cs="Times New Roman"/>
          <w:bCs/>
          <w:noProof w:val="0"/>
        </w:rPr>
      </w:pPr>
      <w:r>
        <w:rPr>
          <w:rFonts w:ascii="Times New Roman" w:eastAsia="Calibri" w:hAnsi="Times New Roman" w:cs="Times New Roman"/>
        </w:rPr>
        <w:t>Registravimo data 1997 m. kovo 12 d.</w:t>
      </w:r>
    </w:p>
    <w:p w:rsidR="00544645" w:rsidRDefault="00544645" w:rsidP="00544645">
      <w:pPr>
        <w:spacing w:after="0" w:line="240" w:lineRule="auto"/>
        <w:rPr>
          <w:rFonts w:ascii="Times New Roman" w:eastAsia="Calibri" w:hAnsi="Times New Roman" w:cs="Times New Roman"/>
          <w:bCs/>
          <w:noProof w:val="0"/>
          <w:u w:val="single"/>
        </w:rPr>
      </w:pPr>
      <w:r>
        <w:rPr>
          <w:rFonts w:ascii="Times New Roman" w:eastAsia="Calibri" w:hAnsi="Times New Roman" w:cs="Times New Roman"/>
        </w:rPr>
        <w:t>Paskutinio perregistravimo data 2008 m. liepos  31 d.</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10.</w:t>
      </w:r>
      <w:r>
        <w:rPr>
          <w:rFonts w:ascii="Times New Roman" w:eastAsia="Calibri" w:hAnsi="Times New Roman" w:cs="Times New Roman"/>
          <w:b/>
          <w:noProof w:val="0"/>
        </w:rPr>
        <w:tab/>
        <w:t>TEKSTO PERŽIŪROS DATA</w:t>
      </w:r>
    </w:p>
    <w:p w:rsidR="00544645" w:rsidRDefault="00544645" w:rsidP="00544645">
      <w:pPr>
        <w:spacing w:after="0" w:line="240" w:lineRule="auto"/>
        <w:rPr>
          <w:rFonts w:ascii="Times New Roman" w:eastAsia="Calibri" w:hAnsi="Times New Roman" w:cs="Times New Roman"/>
          <w:noProof w:val="0"/>
        </w:rPr>
      </w:pPr>
    </w:p>
    <w:p w:rsidR="00544645" w:rsidRPr="00A44EB8" w:rsidRDefault="00A44EB8" w:rsidP="00544645">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 xml:space="preserve"> 2020 </w:t>
      </w:r>
      <w:r w:rsidR="007D3097">
        <w:rPr>
          <w:rFonts w:ascii="Times New Roman" w:eastAsia="Calibri" w:hAnsi="Times New Roman" w:cs="Times New Roman"/>
          <w:noProof w:val="0"/>
        </w:rPr>
        <w:t xml:space="preserve">m. </w:t>
      </w:r>
      <w:r>
        <w:rPr>
          <w:rFonts w:ascii="Times New Roman" w:eastAsia="Calibri" w:hAnsi="Times New Roman" w:cs="Times New Roman"/>
          <w:noProof w:val="0"/>
        </w:rPr>
        <w:t xml:space="preserve">lapkričio </w:t>
      </w:r>
      <w:r>
        <w:rPr>
          <w:rFonts w:ascii="Times New Roman" w:eastAsia="Calibri" w:hAnsi="Times New Roman" w:cs="Times New Roman"/>
          <w:noProof w:val="0"/>
          <w:lang w:val="en-US"/>
        </w:rPr>
        <w:t>30 d.</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color w:val="0000FF"/>
        </w:rPr>
      </w:pPr>
      <w:r>
        <w:rPr>
          <w:rFonts w:ascii="Times New Roman" w:eastAsia="Calibri" w:hAnsi="Times New Roman" w:cs="Times New Roman"/>
        </w:rPr>
        <w:t xml:space="preserve">Išsami informacija apie šį vaistinį preparatą </w:t>
      </w:r>
      <w:r>
        <w:rPr>
          <w:rFonts w:ascii="Times New Roman" w:eastAsia="Calibri" w:hAnsi="Times New Roman" w:cs="Times New Roman"/>
          <w:noProof w:val="0"/>
        </w:rPr>
        <w:t xml:space="preserve">pateikiama Valstybinės vaistų kontrolės tarnybos prie Lietuvos Respublikos sveikatos apsaugos ministerijos </w:t>
      </w:r>
      <w:r>
        <w:rPr>
          <w:rFonts w:ascii="Times New Roman" w:eastAsia="Calibri" w:hAnsi="Times New Roman" w:cs="Times New Roman"/>
        </w:rPr>
        <w:t>tinklalapyje</w:t>
      </w:r>
      <w:r>
        <w:rPr>
          <w:rFonts w:ascii="Times New Roman" w:eastAsia="Calibri" w:hAnsi="Times New Roman" w:cs="Times New Roman"/>
          <w:i/>
        </w:rPr>
        <w:t xml:space="preserve"> </w:t>
      </w:r>
      <w:hyperlink r:id="rId7" w:history="1">
        <w:r>
          <w:rPr>
            <w:rStyle w:val="Hipersaitas"/>
            <w:rFonts w:eastAsia="Calibri"/>
            <w:noProof w:val="0"/>
          </w:rPr>
          <w:t>http://www.vvkt.lt/</w:t>
        </w:r>
      </w:hyperlink>
    </w:p>
    <w:p w:rsidR="00544645" w:rsidRDefault="00544645" w:rsidP="00544645">
      <w:pPr>
        <w:spacing w:after="0" w:line="240" w:lineRule="auto"/>
        <w:rPr>
          <w:rFonts w:ascii="Times New Roman" w:eastAsia="Calibri" w:hAnsi="Times New Roman" w:cs="Times New Roman"/>
          <w:noProof w:val="0"/>
          <w:color w:val="0000FF"/>
        </w:rPr>
      </w:pP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br w:type="page"/>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tabs>
          <w:tab w:val="left" w:pos="567"/>
        </w:tabs>
        <w:spacing w:after="0" w:line="240" w:lineRule="auto"/>
        <w:ind w:left="567" w:hanging="567"/>
        <w:jc w:val="center"/>
        <w:outlineLvl w:val="0"/>
        <w:rPr>
          <w:rFonts w:ascii="Times New Roman" w:eastAsia="Calibri" w:hAnsi="Times New Roman" w:cs="Times New Roman"/>
          <w:b/>
          <w:caps/>
          <w:noProof w:val="0"/>
        </w:rPr>
      </w:pPr>
      <w:bookmarkStart w:id="2" w:name="_Toc129243253"/>
      <w:bookmarkStart w:id="3" w:name="_Toc129243128"/>
    </w:p>
    <w:p w:rsidR="00544645" w:rsidRDefault="00544645" w:rsidP="00544645">
      <w:pPr>
        <w:tabs>
          <w:tab w:val="left" w:pos="567"/>
        </w:tabs>
        <w:spacing w:after="0" w:line="240" w:lineRule="auto"/>
        <w:ind w:left="567" w:hanging="567"/>
        <w:jc w:val="center"/>
        <w:outlineLvl w:val="0"/>
        <w:rPr>
          <w:rFonts w:ascii="Times New Roman" w:eastAsia="Calibri" w:hAnsi="Times New Roman" w:cs="Times New Roman"/>
          <w:b/>
          <w:caps/>
          <w:noProof w:val="0"/>
        </w:rPr>
      </w:pPr>
      <w:r>
        <w:rPr>
          <w:rFonts w:ascii="Times New Roman" w:eastAsia="Calibri" w:hAnsi="Times New Roman" w:cs="Times New Roman"/>
          <w:b/>
          <w:caps/>
          <w:noProof w:val="0"/>
        </w:rPr>
        <w:t>II PRIEDAS</w:t>
      </w:r>
      <w:bookmarkEnd w:id="2"/>
      <w:bookmarkEnd w:id="3"/>
    </w:p>
    <w:p w:rsidR="00544645" w:rsidRDefault="00544645" w:rsidP="00544645">
      <w:pPr>
        <w:tabs>
          <w:tab w:val="left" w:pos="567"/>
        </w:tabs>
        <w:spacing w:after="0" w:line="240" w:lineRule="auto"/>
        <w:ind w:left="567" w:hanging="567"/>
        <w:jc w:val="center"/>
        <w:outlineLvl w:val="0"/>
        <w:rPr>
          <w:rFonts w:ascii="Times New Roman" w:eastAsia="Calibri" w:hAnsi="Times New Roman" w:cs="Times New Roman"/>
          <w:b/>
          <w:caps/>
          <w:noProof w:val="0"/>
        </w:rPr>
      </w:pPr>
    </w:p>
    <w:p w:rsidR="00544645" w:rsidRDefault="00544645" w:rsidP="00544645">
      <w:pPr>
        <w:tabs>
          <w:tab w:val="left" w:pos="567"/>
        </w:tabs>
        <w:spacing w:after="0" w:line="240" w:lineRule="auto"/>
        <w:ind w:left="567" w:hanging="567"/>
        <w:jc w:val="center"/>
        <w:outlineLvl w:val="0"/>
        <w:rPr>
          <w:rFonts w:ascii="Times New Roman" w:eastAsia="Calibri" w:hAnsi="Times New Roman" w:cs="Times New Roman"/>
          <w:b/>
          <w:caps/>
          <w:noProof w:val="0"/>
        </w:rPr>
      </w:pPr>
      <w:r>
        <w:rPr>
          <w:rFonts w:ascii="Times New Roman" w:eastAsia="Calibri" w:hAnsi="Times New Roman" w:cs="Times New Roman"/>
          <w:b/>
          <w:caps/>
          <w:noProof w:val="0"/>
        </w:rPr>
        <w:t>REGISTRACIJOS SĄLYGOS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tabs>
          <w:tab w:val="left" w:pos="1701"/>
        </w:tabs>
        <w:spacing w:after="0" w:line="240" w:lineRule="auto"/>
        <w:ind w:left="1701" w:hanging="567"/>
        <w:rPr>
          <w:rFonts w:ascii="Times New Roman" w:eastAsia="Calibri" w:hAnsi="Times New Roman" w:cs="Times New Roman"/>
          <w:b/>
          <w:noProof w:val="0"/>
          <w:highlight w:val="yellow"/>
        </w:rPr>
      </w:pPr>
      <w:r>
        <w:rPr>
          <w:rFonts w:ascii="Times New Roman" w:eastAsia="Calibri" w:hAnsi="Times New Roman" w:cs="Times New Roman"/>
          <w:b/>
          <w:noProof w:val="0"/>
        </w:rPr>
        <w:t>A.</w:t>
      </w:r>
      <w:r>
        <w:rPr>
          <w:rFonts w:ascii="Times New Roman" w:eastAsia="Calibri" w:hAnsi="Times New Roman" w:cs="Times New Roman"/>
          <w:b/>
          <w:noProof w:val="0"/>
        </w:rPr>
        <w:tab/>
        <w:t>GAMINTOJAS (-AI), ATSAKINGAS (-I) UŽ SERIJŲ IŠLEIDIMĄ</w:t>
      </w:r>
    </w:p>
    <w:p w:rsidR="00544645" w:rsidRDefault="00544645" w:rsidP="00544645">
      <w:pPr>
        <w:spacing w:after="0" w:line="240" w:lineRule="auto"/>
        <w:rPr>
          <w:rFonts w:ascii="Times New Roman" w:eastAsia="Calibri" w:hAnsi="Times New Roman" w:cs="Times New Roman"/>
          <w:noProof w:val="0"/>
          <w:highlight w:val="yellow"/>
        </w:rPr>
      </w:pPr>
    </w:p>
    <w:p w:rsidR="00544645" w:rsidRDefault="00544645" w:rsidP="00544645">
      <w:pPr>
        <w:tabs>
          <w:tab w:val="left" w:pos="1701"/>
        </w:tabs>
        <w:spacing w:after="0" w:line="240" w:lineRule="auto"/>
        <w:ind w:left="1701" w:hanging="567"/>
        <w:rPr>
          <w:rFonts w:ascii="Times New Roman" w:eastAsia="Calibri" w:hAnsi="Times New Roman" w:cs="Times New Roman"/>
          <w:b/>
          <w:noProof w:val="0"/>
        </w:rPr>
      </w:pPr>
      <w:r>
        <w:rPr>
          <w:rFonts w:ascii="Times New Roman" w:eastAsia="Calibri" w:hAnsi="Times New Roman" w:cs="Times New Roman"/>
          <w:b/>
          <w:noProof w:val="0"/>
        </w:rPr>
        <w:t>B.</w:t>
      </w:r>
      <w:r>
        <w:rPr>
          <w:rFonts w:ascii="Times New Roman" w:eastAsia="Calibri" w:hAnsi="Times New Roman" w:cs="Times New Roman"/>
          <w:b/>
          <w:noProof w:val="0"/>
        </w:rPr>
        <w:tab/>
        <w:t>TIEKIMO IR VARTOJIMO SĄLYGOS AR APRIBOJIMAI</w:t>
      </w:r>
    </w:p>
    <w:p w:rsidR="00544645" w:rsidRDefault="00544645" w:rsidP="00544645">
      <w:pPr>
        <w:spacing w:after="0" w:line="240" w:lineRule="auto"/>
        <w:rPr>
          <w:rFonts w:ascii="Times New Roman" w:eastAsia="Calibri" w:hAnsi="Times New Roman" w:cs="Times New Roman"/>
          <w:noProof w:val="0"/>
          <w:highlight w:val="yellow"/>
        </w:rPr>
      </w:pPr>
    </w:p>
    <w:p w:rsidR="00544645" w:rsidRDefault="00544645" w:rsidP="00544645">
      <w:pPr>
        <w:tabs>
          <w:tab w:val="left" w:pos="1701"/>
        </w:tabs>
        <w:spacing w:after="0" w:line="240" w:lineRule="auto"/>
        <w:ind w:left="1701" w:hanging="567"/>
        <w:rPr>
          <w:rFonts w:ascii="Times New Roman" w:eastAsia="Calibri" w:hAnsi="Times New Roman" w:cs="Times New Roman"/>
          <w:b/>
          <w:noProof w:val="0"/>
        </w:rPr>
      </w:pPr>
    </w:p>
    <w:p w:rsidR="00544645" w:rsidRDefault="00544645" w:rsidP="00544645">
      <w:pPr>
        <w:spacing w:after="0" w:line="240" w:lineRule="auto"/>
        <w:ind w:left="1701" w:right="1558" w:hanging="850"/>
        <w:rPr>
          <w:rFonts w:ascii="Times New Roman" w:eastAsia="Calibri" w:hAnsi="Times New Roman" w:cs="Times New Roman"/>
          <w:b/>
          <w:noProof w:val="0"/>
        </w:rPr>
      </w:pPr>
    </w:p>
    <w:p w:rsidR="00544645" w:rsidRDefault="00544645" w:rsidP="00544645">
      <w:pPr>
        <w:spacing w:after="0" w:line="240" w:lineRule="auto"/>
        <w:ind w:left="567" w:hanging="567"/>
        <w:rPr>
          <w:rFonts w:ascii="Times New Roman" w:eastAsia="Calibri" w:hAnsi="Times New Roman" w:cs="Times New Roman"/>
          <w:noProof w:val="0"/>
        </w:rPr>
      </w:pPr>
      <w:r>
        <w:rPr>
          <w:rFonts w:ascii="Times New Roman" w:eastAsia="Calibri" w:hAnsi="Times New Roman" w:cs="Times New Roman"/>
          <w:noProof w:val="0"/>
        </w:rPr>
        <w:br w:type="page"/>
      </w:r>
      <w:r>
        <w:rPr>
          <w:rFonts w:ascii="Times New Roman" w:eastAsia="Calibri" w:hAnsi="Times New Roman" w:cs="Times New Roman"/>
          <w:b/>
          <w:noProof w:val="0"/>
        </w:rPr>
        <w:lastRenderedPageBreak/>
        <w:t>A.</w:t>
      </w:r>
      <w:r>
        <w:rPr>
          <w:rFonts w:ascii="Times New Roman" w:eastAsia="Calibri" w:hAnsi="Times New Roman" w:cs="Times New Roman"/>
          <w:b/>
          <w:noProof w:val="0"/>
        </w:rPr>
        <w:tab/>
        <w:t>GAMINTOJAS (-AI), ATSAKINGAS (-I) UŽ SERIJŲ IŠLEIDIMĄ</w:t>
      </w:r>
    </w:p>
    <w:p w:rsidR="00544645" w:rsidRDefault="00544645" w:rsidP="00544645">
      <w:pPr>
        <w:spacing w:after="0" w:line="240" w:lineRule="auto"/>
        <w:ind w:left="567" w:hanging="567"/>
        <w:rPr>
          <w:rFonts w:ascii="Times New Roman" w:eastAsia="Calibri" w:hAnsi="Times New Roman" w:cs="Times New Roman"/>
          <w:noProof w:val="0"/>
          <w:highlight w:val="yellow"/>
        </w:rPr>
      </w:pPr>
    </w:p>
    <w:p w:rsidR="00544645" w:rsidRDefault="00544645" w:rsidP="00544645">
      <w:pPr>
        <w:spacing w:after="0" w:line="240" w:lineRule="auto"/>
        <w:jc w:val="both"/>
        <w:outlineLvl w:val="0"/>
        <w:rPr>
          <w:rFonts w:ascii="Times New Roman" w:eastAsia="Calibri" w:hAnsi="Times New Roman" w:cs="Times New Roman"/>
          <w:noProof w:val="0"/>
        </w:rPr>
      </w:pPr>
      <w:r>
        <w:rPr>
          <w:rFonts w:ascii="Times New Roman" w:eastAsia="Calibri" w:hAnsi="Times New Roman" w:cs="Times New Roman"/>
          <w:noProof w:val="0"/>
          <w:u w:val="single"/>
        </w:rPr>
        <w:t>Gamintojo (-ų), atsakingo (-ų) už serijų išleidimą, pavadinimas (-ai) ir adresas (-ai)</w:t>
      </w:r>
    </w:p>
    <w:p w:rsidR="00544645" w:rsidRDefault="00544645" w:rsidP="00544645">
      <w:pPr>
        <w:spacing w:after="0" w:line="240" w:lineRule="auto"/>
        <w:rPr>
          <w:rFonts w:ascii="Times New Roman" w:eastAsia="Calibri" w:hAnsi="Times New Roman" w:cs="Times New Roman"/>
          <w:noProof w:val="0"/>
          <w:highlight w:val="yellow"/>
        </w:rPr>
      </w:pPr>
    </w:p>
    <w:p w:rsidR="00544645" w:rsidRDefault="00544645" w:rsidP="00544645">
      <w:pPr>
        <w:spacing w:after="0" w:line="240" w:lineRule="auto"/>
        <w:rPr>
          <w:rFonts w:ascii="Times New Roman" w:eastAsia="Times New Roman" w:hAnsi="Times New Roman" w:cs="Times New Roman"/>
          <w:noProof w:val="0"/>
          <w:lang w:val="en-GB"/>
        </w:rPr>
      </w:pPr>
      <w:r>
        <w:rPr>
          <w:rFonts w:ascii="Times New Roman" w:eastAsia="Times New Roman" w:hAnsi="Times New Roman" w:cs="Times New Roman"/>
          <w:noProof w:val="0"/>
          <w:lang w:val="en-GB"/>
        </w:rPr>
        <w:t>PenCef Pharma GmbH</w:t>
      </w:r>
    </w:p>
    <w:p w:rsidR="00544645" w:rsidRDefault="00544645" w:rsidP="00544645">
      <w:pPr>
        <w:spacing w:after="0" w:line="240" w:lineRule="auto"/>
        <w:rPr>
          <w:rFonts w:ascii="Times New Roman" w:eastAsia="Times New Roman" w:hAnsi="Times New Roman" w:cs="Times New Roman"/>
          <w:noProof w:val="0"/>
          <w:lang w:val="en-GB"/>
        </w:rPr>
      </w:pPr>
      <w:r>
        <w:rPr>
          <w:rFonts w:ascii="Times New Roman" w:eastAsia="Times New Roman" w:hAnsi="Times New Roman" w:cs="Times New Roman"/>
          <w:noProof w:val="0"/>
          <w:lang w:val="en-GB"/>
        </w:rPr>
        <w:t>Schützenanger 9</w:t>
      </w:r>
    </w:p>
    <w:p w:rsidR="00544645" w:rsidRDefault="00544645" w:rsidP="00544645">
      <w:pPr>
        <w:spacing w:after="0" w:line="240" w:lineRule="auto"/>
        <w:rPr>
          <w:rFonts w:ascii="Times New Roman" w:eastAsia="Times New Roman" w:hAnsi="Times New Roman" w:cs="Times New Roman"/>
          <w:noProof w:val="0"/>
          <w:lang w:val="en-GB"/>
        </w:rPr>
      </w:pPr>
      <w:r>
        <w:rPr>
          <w:rFonts w:ascii="Times New Roman" w:eastAsia="Times New Roman" w:hAnsi="Times New Roman" w:cs="Times New Roman"/>
          <w:noProof w:val="0"/>
          <w:lang w:val="en-GB"/>
        </w:rPr>
        <w:t>37081 Göttingen</w:t>
      </w:r>
    </w:p>
    <w:p w:rsidR="00544645" w:rsidRDefault="00544645" w:rsidP="00544645">
      <w:pPr>
        <w:spacing w:after="0" w:line="240" w:lineRule="auto"/>
        <w:rPr>
          <w:rFonts w:ascii="Times New Roman" w:eastAsia="Times New Roman" w:hAnsi="Times New Roman" w:cs="Times New Roman"/>
          <w:noProof w:val="0"/>
          <w:lang w:val="en-GB"/>
        </w:rPr>
      </w:pPr>
      <w:r>
        <w:rPr>
          <w:rFonts w:ascii="Times New Roman" w:eastAsia="Times New Roman" w:hAnsi="Times New Roman" w:cs="Times New Roman"/>
          <w:noProof w:val="0"/>
          <w:lang w:val="en-GB"/>
        </w:rPr>
        <w:t>Lower Saxony</w:t>
      </w:r>
    </w:p>
    <w:p w:rsidR="00544645" w:rsidRDefault="00544645" w:rsidP="00544645">
      <w:pPr>
        <w:spacing w:after="0" w:line="240" w:lineRule="auto"/>
        <w:rPr>
          <w:rFonts w:ascii="Times New Roman" w:eastAsia="Times New Roman" w:hAnsi="Times New Roman" w:cs="Times New Roman"/>
          <w:noProof w:val="0"/>
          <w:lang w:val="en-GB"/>
        </w:rPr>
      </w:pPr>
      <w:r>
        <w:rPr>
          <w:rFonts w:ascii="Times New Roman" w:eastAsia="Times New Roman" w:hAnsi="Times New Roman" w:cs="Times New Roman"/>
          <w:noProof w:val="0"/>
          <w:lang w:val="en-GB"/>
        </w:rPr>
        <w:t>Vokietija</w:t>
      </w:r>
    </w:p>
    <w:p w:rsidR="00544645" w:rsidRDefault="00544645" w:rsidP="00544645">
      <w:pPr>
        <w:spacing w:after="0" w:line="240" w:lineRule="auto"/>
        <w:rPr>
          <w:rFonts w:ascii="Times New Roman" w:eastAsia="Calibri" w:hAnsi="Times New Roman" w:cs="Times New Roman"/>
          <w:noProof w:val="0"/>
          <w:highlight w:val="yellow"/>
        </w:rPr>
      </w:pPr>
    </w:p>
    <w:p w:rsidR="00544645" w:rsidRDefault="00544645" w:rsidP="00544645">
      <w:pPr>
        <w:spacing w:after="0" w:line="240" w:lineRule="auto"/>
        <w:rPr>
          <w:rFonts w:ascii="Times New Roman" w:eastAsia="Calibri" w:hAnsi="Times New Roman" w:cs="Times New Roman"/>
          <w:noProof w:val="0"/>
          <w:highlight w:val="yellow"/>
        </w:rPr>
      </w:pPr>
    </w:p>
    <w:p w:rsidR="00544645" w:rsidRDefault="00544645" w:rsidP="00544645">
      <w:pPr>
        <w:spacing w:after="0" w:line="240" w:lineRule="auto"/>
        <w:ind w:left="567" w:hanging="567"/>
        <w:rPr>
          <w:rFonts w:ascii="Times New Roman" w:eastAsia="Calibri" w:hAnsi="Times New Roman" w:cs="Times New Roman"/>
          <w:b/>
          <w:noProof w:val="0"/>
        </w:rPr>
      </w:pPr>
      <w:r>
        <w:rPr>
          <w:rFonts w:ascii="Times New Roman" w:eastAsia="Calibri" w:hAnsi="Times New Roman" w:cs="Times New Roman"/>
          <w:b/>
          <w:noProof w:val="0"/>
        </w:rPr>
        <w:t>B.</w:t>
      </w:r>
      <w:r>
        <w:rPr>
          <w:rFonts w:ascii="Times New Roman" w:eastAsia="Calibri" w:hAnsi="Times New Roman" w:cs="Times New Roman"/>
          <w:b/>
          <w:noProof w:val="0"/>
        </w:rPr>
        <w:tab/>
        <w:t>TIEKIMO IR VARTOJIMO SĄLYGOS AR APRIBOJIMAI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numPr>
          <w:ilvl w:val="12"/>
          <w:numId w:val="0"/>
        </w:num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Receptinis vaistinis preparatas.</w:t>
      </w:r>
    </w:p>
    <w:p w:rsidR="00544645" w:rsidRDefault="00544645" w:rsidP="00544645">
      <w:pPr>
        <w:numPr>
          <w:ilvl w:val="12"/>
          <w:numId w:val="0"/>
        </w:numPr>
        <w:spacing w:after="0" w:line="240" w:lineRule="auto"/>
        <w:rPr>
          <w:rFonts w:ascii="Times New Roman" w:eastAsia="Calibri" w:hAnsi="Times New Roman" w:cs="Times New Roman"/>
          <w:noProof w:val="0"/>
          <w:highlight w:val="yellow"/>
        </w:rPr>
      </w:pPr>
    </w:p>
    <w:p w:rsidR="00544645" w:rsidRDefault="00544645" w:rsidP="00544645">
      <w:pPr>
        <w:spacing w:after="0" w:line="240" w:lineRule="auto"/>
        <w:ind w:right="-1"/>
        <w:rPr>
          <w:rFonts w:ascii="Times New Roman" w:eastAsia="Calibri" w:hAnsi="Times New Roman" w:cs="Times New Roman"/>
          <w:noProof w:val="0"/>
          <w:highlight w:val="yellow"/>
        </w:rPr>
      </w:pPr>
    </w:p>
    <w:p w:rsidR="00544645" w:rsidRDefault="00544645" w:rsidP="00544645">
      <w:pPr>
        <w:spacing w:after="0" w:line="240" w:lineRule="auto"/>
        <w:ind w:right="-1"/>
        <w:rPr>
          <w:rFonts w:ascii="Times New Roman" w:eastAsia="Calibri" w:hAnsi="Times New Roman" w:cs="Times New Roman"/>
          <w:noProof w:val="0"/>
          <w:highlight w:val="yellow"/>
        </w:rPr>
      </w:pPr>
    </w:p>
    <w:p w:rsidR="00544645" w:rsidRDefault="00544645" w:rsidP="00544645">
      <w:pPr>
        <w:spacing w:after="0" w:line="240" w:lineRule="auto"/>
        <w:ind w:right="-1"/>
        <w:rPr>
          <w:rFonts w:ascii="Times New Roman" w:eastAsia="Calibri" w:hAnsi="Times New Roman" w:cs="Times New Roman"/>
          <w:noProof w:val="0"/>
          <w:highlight w:val="yellow"/>
        </w:rPr>
      </w:pPr>
    </w:p>
    <w:p w:rsidR="00544645" w:rsidRDefault="00544645" w:rsidP="00544645">
      <w:pPr>
        <w:spacing w:after="0" w:line="240" w:lineRule="auto"/>
        <w:ind w:right="-1"/>
        <w:rPr>
          <w:rFonts w:ascii="Times New Roman" w:eastAsia="Calibri" w:hAnsi="Times New Roman" w:cs="Times New Roman"/>
          <w:noProof w:val="0"/>
          <w:highlight w:val="yellow"/>
        </w:rPr>
      </w:pPr>
    </w:p>
    <w:p w:rsidR="00544645" w:rsidRDefault="00544645" w:rsidP="00544645">
      <w:pPr>
        <w:spacing w:after="0" w:line="240" w:lineRule="auto"/>
        <w:ind w:right="-1"/>
        <w:rPr>
          <w:rFonts w:ascii="Times New Roman" w:eastAsia="Calibri" w:hAnsi="Times New Roman" w:cs="Times New Roman"/>
          <w:noProof w:val="0"/>
          <w:highlight w:val="yellow"/>
        </w:rPr>
      </w:pPr>
    </w:p>
    <w:p w:rsidR="00544645" w:rsidRDefault="00544645" w:rsidP="00544645">
      <w:pPr>
        <w:spacing w:after="0" w:line="240" w:lineRule="auto"/>
        <w:ind w:right="-1"/>
        <w:rPr>
          <w:rFonts w:ascii="Times New Roman" w:eastAsia="Calibri" w:hAnsi="Times New Roman" w:cs="Times New Roman"/>
          <w:noProof w:val="0"/>
          <w:highlight w:val="yellow"/>
        </w:rPr>
      </w:pPr>
    </w:p>
    <w:p w:rsidR="00544645" w:rsidRDefault="00544645" w:rsidP="00544645">
      <w:pPr>
        <w:spacing w:after="0" w:line="240" w:lineRule="auto"/>
        <w:ind w:right="-1"/>
        <w:rPr>
          <w:rFonts w:ascii="Times New Roman" w:eastAsia="Calibri" w:hAnsi="Times New Roman" w:cs="Times New Roman"/>
          <w:noProof w:val="0"/>
        </w:rPr>
      </w:pPr>
    </w:p>
    <w:p w:rsidR="00544645" w:rsidRDefault="00544645" w:rsidP="00544645">
      <w:pPr>
        <w:spacing w:after="0" w:line="240" w:lineRule="auto"/>
        <w:ind w:right="566"/>
        <w:rPr>
          <w:rFonts w:ascii="Times New Roman" w:eastAsia="Calibri" w:hAnsi="Times New Roman" w:cs="Times New Roman"/>
          <w:noProof w:val="0"/>
        </w:rPr>
      </w:pPr>
      <w:r>
        <w:rPr>
          <w:rFonts w:ascii="Times New Roman" w:eastAsia="Calibri" w:hAnsi="Times New Roman" w:cs="Times New Roman"/>
          <w:b/>
          <w:noProof w:val="0"/>
        </w:rPr>
        <w:br w:type="page"/>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jc w:val="center"/>
        <w:outlineLvl w:val="0"/>
        <w:rPr>
          <w:rFonts w:ascii="Times New Roman" w:eastAsia="Calibri" w:hAnsi="Times New Roman" w:cs="Times New Roman"/>
          <w:b/>
          <w:noProof w:val="0"/>
        </w:rPr>
      </w:pPr>
    </w:p>
    <w:p w:rsidR="00544645" w:rsidRDefault="00544645" w:rsidP="00544645">
      <w:pPr>
        <w:spacing w:after="0" w:line="240" w:lineRule="auto"/>
        <w:jc w:val="center"/>
        <w:outlineLvl w:val="0"/>
        <w:rPr>
          <w:rFonts w:ascii="Times New Roman" w:eastAsia="Calibri" w:hAnsi="Times New Roman" w:cs="Times New Roman"/>
          <w:b/>
          <w:noProof w:val="0"/>
        </w:rPr>
      </w:pPr>
      <w:r>
        <w:rPr>
          <w:rFonts w:ascii="Times New Roman" w:eastAsia="Calibri" w:hAnsi="Times New Roman" w:cs="Times New Roman"/>
          <w:b/>
          <w:noProof w:val="0"/>
        </w:rPr>
        <w:t>III PRIEDAS</w:t>
      </w:r>
    </w:p>
    <w:p w:rsidR="00544645" w:rsidRDefault="00544645" w:rsidP="00544645">
      <w:pPr>
        <w:spacing w:after="0" w:line="240" w:lineRule="auto"/>
        <w:jc w:val="center"/>
        <w:rPr>
          <w:rFonts w:ascii="Times New Roman" w:eastAsia="Calibri" w:hAnsi="Times New Roman" w:cs="Times New Roman"/>
          <w:b/>
          <w:noProof w:val="0"/>
        </w:rPr>
      </w:pPr>
    </w:p>
    <w:p w:rsidR="00544645" w:rsidRDefault="00544645" w:rsidP="00544645">
      <w:pPr>
        <w:spacing w:after="0" w:line="240" w:lineRule="auto"/>
        <w:jc w:val="center"/>
        <w:outlineLvl w:val="0"/>
        <w:rPr>
          <w:rFonts w:ascii="Times New Roman" w:eastAsia="Calibri" w:hAnsi="Times New Roman" w:cs="Times New Roman"/>
          <w:b/>
          <w:noProof w:val="0"/>
        </w:rPr>
      </w:pPr>
      <w:r>
        <w:rPr>
          <w:rFonts w:ascii="Times New Roman" w:eastAsia="Calibri" w:hAnsi="Times New Roman" w:cs="Times New Roman"/>
          <w:b/>
          <w:noProof w:val="0"/>
        </w:rPr>
        <w:t>ŽENKLINIMAS IR PAKUOTĖS LAPELIS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br w:type="page"/>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jc w:val="center"/>
        <w:outlineLvl w:val="0"/>
        <w:rPr>
          <w:rFonts w:ascii="Times New Roman" w:eastAsia="Calibri" w:hAnsi="Times New Roman" w:cs="Times New Roman"/>
          <w:b/>
          <w:noProof w:val="0"/>
        </w:rPr>
      </w:pPr>
    </w:p>
    <w:p w:rsidR="00544645" w:rsidRDefault="00544645" w:rsidP="00544645">
      <w:pPr>
        <w:spacing w:after="0" w:line="240" w:lineRule="auto"/>
        <w:jc w:val="center"/>
        <w:outlineLvl w:val="0"/>
        <w:rPr>
          <w:rFonts w:ascii="Times New Roman" w:eastAsia="Calibri" w:hAnsi="Times New Roman" w:cs="Times New Roman"/>
          <w:noProof w:val="0"/>
        </w:rPr>
      </w:pPr>
      <w:r>
        <w:rPr>
          <w:rFonts w:ascii="Times New Roman" w:eastAsia="Calibri" w:hAnsi="Times New Roman" w:cs="Times New Roman"/>
          <w:b/>
          <w:noProof w:val="0"/>
        </w:rPr>
        <w:t>A. ŽENKLINIMAS</w:t>
      </w:r>
    </w:p>
    <w:p w:rsidR="00544645" w:rsidRDefault="00544645" w:rsidP="00544645">
      <w:pPr>
        <w:shd w:val="clear" w:color="auto" w:fill="FFFFFF"/>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br w:type="page"/>
      </w:r>
      <w:r>
        <w:rPr>
          <w:rFonts w:ascii="Times New Roman" w:eastAsia="Calibri" w:hAnsi="Times New Roman" w:cs="Times New Roman"/>
          <w:b/>
          <w:noProof w:val="0"/>
        </w:rPr>
        <w:lastRenderedPageBreak/>
        <w:t>INFORMACIJA ANT IŠORINĖS PAKUOTĖS</w:t>
      </w: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noProof w:val="0"/>
        </w:rPr>
      </w:pPr>
      <w:r>
        <w:rPr>
          <w:rFonts w:ascii="Times New Roman" w:eastAsia="Calibri" w:hAnsi="Times New Roman" w:cs="Times New Roman"/>
          <w:b/>
          <w:noProof w:val="0"/>
        </w:rPr>
        <w:t>KARTONO DĖŽUTĖ</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1.</w:t>
      </w:r>
      <w:r>
        <w:rPr>
          <w:rFonts w:ascii="Times New Roman" w:eastAsia="Calibri" w:hAnsi="Times New Roman" w:cs="Times New Roman"/>
          <w:b/>
          <w:noProof w:val="0"/>
        </w:rPr>
        <w:tab/>
        <w:t>VAISTINIO PREPARATO PAVADINIMAS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Duracef 500 mg kietosios kapsulės</w:t>
      </w: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Cefadroxilum</w:t>
      </w:r>
    </w:p>
    <w:p w:rsidR="00544645" w:rsidRDefault="00544645"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VEIKLIOJI (-IOS) MEDŽIAGA (-OS) IR JOS (-Ų) KIEKIS (-IAI)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Vienoje kapsulėje yra 500 mg cefadroksilio (monohidrato pavidalu).</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highlight w:val="lightGray"/>
        </w:rPr>
      </w:pPr>
      <w:r>
        <w:rPr>
          <w:rFonts w:ascii="Times New Roman" w:eastAsia="Calibri" w:hAnsi="Times New Roman" w:cs="Times New Roman"/>
          <w:b/>
          <w:noProof w:val="0"/>
        </w:rPr>
        <w:t>3.</w:t>
      </w:r>
      <w:r>
        <w:rPr>
          <w:rFonts w:ascii="Times New Roman" w:eastAsia="Calibri" w:hAnsi="Times New Roman" w:cs="Times New Roman"/>
          <w:b/>
          <w:noProof w:val="0"/>
        </w:rPr>
        <w:tab/>
        <w:t>PAGALBINIŲ MEDŽIAGŲ SĄRAŠAS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 xml:space="preserve">Sudėtyje yra laktozės. </w:t>
      </w:r>
      <w:r>
        <w:rPr>
          <w:rFonts w:ascii="Times New Roman" w:eastAsia="Calibri" w:hAnsi="Times New Roman" w:cs="Times New Roman"/>
          <w:noProof w:val="0"/>
          <w:highlight w:val="lightGray"/>
        </w:rPr>
        <w:t>Daugiau informacijos žr. pakuotės lapelyje.</w:t>
      </w:r>
    </w:p>
    <w:p w:rsidR="00544645" w:rsidRDefault="00544645"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FARMACINĖ FORMA IR KIEKIS PAKUOTĖJE</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12 </w:t>
      </w:r>
      <w:r>
        <w:rPr>
          <w:rFonts w:ascii="Times New Roman" w:eastAsia="Calibri" w:hAnsi="Times New Roman" w:cs="Times New Roman"/>
          <w:noProof w:val="0"/>
          <w:highlight w:val="lightGray"/>
        </w:rPr>
        <w:t>kietųjų</w:t>
      </w:r>
      <w:r>
        <w:rPr>
          <w:rFonts w:ascii="Times New Roman" w:eastAsia="Calibri" w:hAnsi="Times New Roman" w:cs="Times New Roman"/>
          <w:noProof w:val="0"/>
        </w:rPr>
        <w:t xml:space="preserve"> kapsulių</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highlight w:val="lightGray"/>
        </w:rPr>
      </w:pPr>
      <w:r>
        <w:rPr>
          <w:rFonts w:ascii="Times New Roman" w:eastAsia="Calibri" w:hAnsi="Times New Roman" w:cs="Times New Roman"/>
          <w:b/>
          <w:noProof w:val="0"/>
        </w:rPr>
        <w:t>5.</w:t>
      </w:r>
      <w:r>
        <w:rPr>
          <w:rFonts w:ascii="Times New Roman" w:eastAsia="Calibri" w:hAnsi="Times New Roman" w:cs="Times New Roman"/>
          <w:b/>
          <w:noProof w:val="0"/>
        </w:rPr>
        <w:tab/>
        <w:t>VARTOJIMO METODAS IR BŪDAS (-AI)</w:t>
      </w:r>
    </w:p>
    <w:p w:rsidR="00544645" w:rsidRDefault="00544645" w:rsidP="00544645">
      <w:pPr>
        <w:spacing w:after="0" w:line="240" w:lineRule="auto"/>
        <w:rPr>
          <w:rFonts w:ascii="Times New Roman" w:eastAsia="Calibri" w:hAnsi="Times New Roman" w:cs="Times New Roman"/>
          <w:i/>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Vartoti per burną.</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Prieš vartojimą perskaitykite pakuotės lapelį.</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6.</w:t>
      </w:r>
      <w:r>
        <w:rPr>
          <w:rFonts w:ascii="Times New Roman" w:eastAsia="Calibri" w:hAnsi="Times New Roman" w:cs="Times New Roman"/>
          <w:b/>
          <w:noProof w:val="0"/>
        </w:rPr>
        <w:tab/>
      </w:r>
      <w:r>
        <w:rPr>
          <w:rFonts w:ascii="Times New Roman" w:eastAsia="Calibri" w:hAnsi="Times New Roman" w:cs="Times New Roman"/>
          <w:b/>
          <w:bCs/>
          <w:noProof w:val="0"/>
        </w:rPr>
        <w:t>SPECIALUS ĮSPĖJIMAS, KAD VAISTINĮ PREPARATĄ BŪTINA LAIKYTI VAIKAMS NEPASTEBIMOJE IR NEPASIEKIAMOJE VIETOJE</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iCs/>
          <w:noProof w:val="0"/>
        </w:rPr>
      </w:pPr>
      <w:r>
        <w:rPr>
          <w:rFonts w:ascii="Times New Roman" w:eastAsia="Calibri" w:hAnsi="Times New Roman" w:cs="Times New Roman"/>
          <w:iCs/>
          <w:noProof w:val="0"/>
        </w:rPr>
        <w:t>Laikyti vaikams nepastebimoje ir nepasiekiamoje vietoje.</w:t>
      </w:r>
    </w:p>
    <w:p w:rsidR="00544645" w:rsidRDefault="00544645" w:rsidP="00544645">
      <w:pPr>
        <w:spacing w:after="0" w:line="240" w:lineRule="auto"/>
        <w:outlineLvl w:val="0"/>
        <w:rPr>
          <w:rFonts w:ascii="Times New Roman" w:eastAsia="Calibri" w:hAnsi="Times New Roman" w:cs="Times New Roman"/>
          <w:iCs/>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highlight w:val="lightGray"/>
        </w:rPr>
      </w:pPr>
      <w:r>
        <w:rPr>
          <w:rFonts w:ascii="Times New Roman" w:eastAsia="Calibri" w:hAnsi="Times New Roman" w:cs="Times New Roman"/>
          <w:b/>
          <w:noProof w:val="0"/>
        </w:rPr>
        <w:t>7.</w:t>
      </w:r>
      <w:r>
        <w:rPr>
          <w:rFonts w:ascii="Times New Roman" w:eastAsia="Calibri" w:hAnsi="Times New Roman" w:cs="Times New Roman"/>
          <w:b/>
          <w:noProof w:val="0"/>
        </w:rPr>
        <w:tab/>
      </w:r>
      <w:r>
        <w:rPr>
          <w:rFonts w:ascii="Times New Roman" w:eastAsia="Calibri" w:hAnsi="Times New Roman" w:cs="Times New Roman"/>
          <w:b/>
          <w:bCs/>
          <w:noProof w:val="0"/>
        </w:rPr>
        <w:t>KITAS (-I) SPECIALUS (-ŪS) ĮSPĖJIMAS (-AI) (JEI REIKIA)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highlight w:val="lightGray"/>
        </w:rPr>
      </w:pPr>
      <w:r>
        <w:rPr>
          <w:rFonts w:ascii="Times New Roman" w:eastAsia="Calibri" w:hAnsi="Times New Roman" w:cs="Times New Roman"/>
          <w:b/>
          <w:noProof w:val="0"/>
        </w:rPr>
        <w:t>8.</w:t>
      </w:r>
      <w:r>
        <w:rPr>
          <w:rFonts w:ascii="Times New Roman" w:eastAsia="Calibri" w:hAnsi="Times New Roman" w:cs="Times New Roman"/>
          <w:b/>
          <w:noProof w:val="0"/>
        </w:rPr>
        <w:tab/>
      </w:r>
      <w:r>
        <w:rPr>
          <w:rFonts w:ascii="Times New Roman" w:eastAsia="Calibri" w:hAnsi="Times New Roman" w:cs="Times New Roman"/>
          <w:b/>
          <w:bCs/>
          <w:noProof w:val="0"/>
        </w:rPr>
        <w:t>TINKAMUMO LAIKAS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 xml:space="preserve">EXP </w:t>
      </w:r>
      <w:r>
        <w:rPr>
          <w:rFonts w:ascii="Calibri" w:eastAsia="Calibri" w:hAnsi="Calibri" w:cs="Times New Roman"/>
          <w:noProof w:val="0"/>
        </w:rPr>
        <w:t>{</w:t>
      </w:r>
      <w:r>
        <w:rPr>
          <w:rFonts w:ascii="Times New Roman" w:eastAsia="Calibri" w:hAnsi="Times New Roman" w:cs="Times New Roman"/>
          <w:noProof w:val="0"/>
        </w:rPr>
        <w:t>mm/MMMM</w:t>
      </w:r>
      <w:r>
        <w:rPr>
          <w:rFonts w:ascii="Calibri" w:eastAsia="Calibri" w:hAnsi="Calibri" w:cs="Times New Roman"/>
          <w:noProof w:val="0"/>
        </w:rPr>
        <w:t>}</w:t>
      </w:r>
    </w:p>
    <w:p w:rsidR="00544645" w:rsidRDefault="00544645"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9.</w:t>
      </w:r>
      <w:r>
        <w:rPr>
          <w:rFonts w:ascii="Times New Roman" w:eastAsia="Calibri" w:hAnsi="Times New Roman" w:cs="Times New Roman"/>
          <w:b/>
          <w:noProof w:val="0"/>
        </w:rPr>
        <w:tab/>
      </w:r>
      <w:r>
        <w:rPr>
          <w:rFonts w:ascii="Times New Roman" w:eastAsia="Calibri" w:hAnsi="Times New Roman" w:cs="Times New Roman"/>
          <w:b/>
          <w:caps/>
          <w:noProof w:val="0"/>
        </w:rPr>
        <w:t xml:space="preserve">SPECIALIOS </w:t>
      </w:r>
      <w:r>
        <w:rPr>
          <w:rFonts w:ascii="Times New Roman" w:eastAsia="Calibri" w:hAnsi="Times New Roman" w:cs="Times New Roman"/>
          <w:b/>
          <w:noProof w:val="0"/>
        </w:rPr>
        <w:t>LAIKYMO SĄLYGOS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Laikyti ne aukštesnėje kaip 25 °C temperatūroje.</w:t>
      </w:r>
    </w:p>
    <w:p w:rsidR="00544645" w:rsidRDefault="00544645"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ind w:left="567" w:hanging="567"/>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10.</w:t>
      </w:r>
      <w:r>
        <w:rPr>
          <w:rFonts w:ascii="Times New Roman" w:eastAsia="Calibri" w:hAnsi="Times New Roman" w:cs="Times New Roman"/>
          <w:b/>
          <w:noProof w:val="0"/>
        </w:rPr>
        <w:tab/>
        <w:t>SPECIALIOS ATSARGUMO PRIEMONĖS DĖL NESUVARTOTO</w:t>
      </w:r>
      <w:r>
        <w:rPr>
          <w:rFonts w:ascii="Times New Roman" w:eastAsia="Calibri" w:hAnsi="Times New Roman" w:cs="Times New Roman"/>
          <w:b/>
          <w:bCs/>
          <w:noProof w:val="0"/>
        </w:rPr>
        <w:t xml:space="preserve"> VAISTINIO PREPARATO AR JO ATLIEKŲ TVARKYMO</w:t>
      </w:r>
      <w:r>
        <w:rPr>
          <w:rFonts w:ascii="Times New Roman" w:eastAsia="Calibri" w:hAnsi="Times New Roman" w:cs="Times New Roman"/>
          <w:noProof w:val="0"/>
        </w:rPr>
        <w:t xml:space="preserve"> </w:t>
      </w:r>
      <w:r>
        <w:rPr>
          <w:rFonts w:ascii="Times New Roman" w:eastAsia="Calibri" w:hAnsi="Times New Roman" w:cs="Times New Roman"/>
          <w:b/>
          <w:noProof w:val="0"/>
        </w:rPr>
        <w:t>(JEI REIKIA</w:t>
      </w:r>
      <w:r>
        <w:rPr>
          <w:rFonts w:ascii="Times New Roman" w:eastAsia="Calibri" w:hAnsi="Times New Roman" w:cs="Times New Roman"/>
          <w:b/>
          <w:caps/>
          <w:noProof w:val="0"/>
        </w:rPr>
        <w:t>)</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lastRenderedPageBreak/>
        <w:t>11.</w:t>
      </w:r>
      <w:r>
        <w:rPr>
          <w:rFonts w:ascii="Times New Roman" w:eastAsia="Calibri" w:hAnsi="Times New Roman" w:cs="Times New Roman"/>
          <w:b/>
          <w:noProof w:val="0"/>
        </w:rPr>
        <w:tab/>
        <w:t>REGISTRUOTOJO PAVADINIMAS IR ADRESAS</w:t>
      </w:r>
    </w:p>
    <w:p w:rsidR="00544645" w:rsidRDefault="00544645" w:rsidP="00544645">
      <w:pPr>
        <w:spacing w:after="0" w:line="240" w:lineRule="auto"/>
        <w:rPr>
          <w:rFonts w:ascii="Times New Roman" w:eastAsia="Calibri" w:hAnsi="Times New Roman" w:cs="Times New Roman"/>
          <w:noProof w:val="0"/>
        </w:rPr>
      </w:pPr>
    </w:p>
    <w:p w:rsidR="00A44EB8" w:rsidRPr="00A44EB8" w:rsidRDefault="00A44EB8" w:rsidP="00A44EB8">
      <w:pPr>
        <w:spacing w:after="0" w:line="240" w:lineRule="auto"/>
        <w:rPr>
          <w:rFonts w:ascii="Times New Roman" w:eastAsia="Calibri" w:hAnsi="Times New Roman" w:cs="Times New Roman"/>
          <w:noProof w:val="0"/>
        </w:rPr>
      </w:pPr>
      <w:r w:rsidRPr="00A44EB8">
        <w:rPr>
          <w:rFonts w:ascii="Times New Roman" w:eastAsia="Calibri" w:hAnsi="Times New Roman" w:cs="Times New Roman"/>
          <w:noProof w:val="0"/>
        </w:rPr>
        <w:t>Bausch Health Ireland Limited</w:t>
      </w:r>
    </w:p>
    <w:p w:rsidR="00A44EB8" w:rsidRPr="00A44EB8" w:rsidRDefault="00A44EB8" w:rsidP="00A44EB8">
      <w:pPr>
        <w:spacing w:after="0" w:line="240" w:lineRule="auto"/>
        <w:rPr>
          <w:rFonts w:ascii="Times New Roman" w:eastAsia="Calibri" w:hAnsi="Times New Roman" w:cs="Times New Roman"/>
          <w:noProof w:val="0"/>
        </w:rPr>
      </w:pPr>
      <w:r w:rsidRPr="00A44EB8">
        <w:rPr>
          <w:rFonts w:ascii="Times New Roman" w:eastAsia="Calibri" w:hAnsi="Times New Roman" w:cs="Times New Roman"/>
          <w:noProof w:val="0"/>
        </w:rPr>
        <w:t>3013 Lake Drive</w:t>
      </w:r>
    </w:p>
    <w:p w:rsidR="00A44EB8" w:rsidRPr="00A44EB8" w:rsidRDefault="00A44EB8" w:rsidP="00A44EB8">
      <w:pPr>
        <w:spacing w:after="0" w:line="240" w:lineRule="auto"/>
        <w:rPr>
          <w:rFonts w:ascii="Times New Roman" w:eastAsia="Calibri" w:hAnsi="Times New Roman" w:cs="Times New Roman"/>
          <w:noProof w:val="0"/>
        </w:rPr>
      </w:pPr>
      <w:r w:rsidRPr="00A44EB8">
        <w:rPr>
          <w:rFonts w:ascii="Times New Roman" w:eastAsia="Calibri" w:hAnsi="Times New Roman" w:cs="Times New Roman"/>
          <w:noProof w:val="0"/>
        </w:rPr>
        <w:t>Citywest Business Campus</w:t>
      </w:r>
    </w:p>
    <w:p w:rsidR="00A44EB8" w:rsidRPr="00A44EB8" w:rsidRDefault="00A44EB8" w:rsidP="00A44EB8">
      <w:pPr>
        <w:spacing w:after="0" w:line="240" w:lineRule="auto"/>
        <w:rPr>
          <w:rFonts w:ascii="Times New Roman" w:eastAsia="Calibri" w:hAnsi="Times New Roman" w:cs="Times New Roman"/>
          <w:noProof w:val="0"/>
        </w:rPr>
      </w:pPr>
      <w:r w:rsidRPr="00A44EB8">
        <w:rPr>
          <w:rFonts w:ascii="Times New Roman" w:eastAsia="Calibri" w:hAnsi="Times New Roman" w:cs="Times New Roman"/>
          <w:noProof w:val="0"/>
        </w:rPr>
        <w:t>Dublin 24, D24PPT3</w:t>
      </w:r>
    </w:p>
    <w:p w:rsidR="00544645" w:rsidRDefault="00A44EB8" w:rsidP="00A44EB8">
      <w:pPr>
        <w:spacing w:after="0" w:line="240" w:lineRule="auto"/>
        <w:rPr>
          <w:rFonts w:ascii="Times New Roman" w:eastAsia="Calibri" w:hAnsi="Times New Roman" w:cs="Times New Roman"/>
          <w:noProof w:val="0"/>
        </w:rPr>
      </w:pPr>
      <w:r w:rsidRPr="00A44EB8">
        <w:rPr>
          <w:rFonts w:ascii="Times New Roman" w:eastAsia="Calibri" w:hAnsi="Times New Roman" w:cs="Times New Roman"/>
          <w:noProof w:val="0"/>
        </w:rPr>
        <w:t>Airija</w:t>
      </w:r>
    </w:p>
    <w:p w:rsidR="00A44EB8" w:rsidRDefault="00A44EB8" w:rsidP="00A44EB8">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12.</w:t>
      </w:r>
      <w:r>
        <w:rPr>
          <w:rFonts w:ascii="Times New Roman" w:eastAsia="Calibri" w:hAnsi="Times New Roman" w:cs="Times New Roman"/>
          <w:b/>
          <w:noProof w:val="0"/>
        </w:rPr>
        <w:tab/>
        <w:t>REGISTRACIJOS PAŽYMĖJIMO NUMERIS (-IAI)</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bCs/>
          <w:noProof w:val="0"/>
        </w:rPr>
      </w:pPr>
      <w:r>
        <w:rPr>
          <w:rFonts w:ascii="Times New Roman" w:eastAsia="Calibri" w:hAnsi="Times New Roman" w:cs="Times New Roman"/>
          <w:bCs/>
          <w:noProof w:val="0"/>
        </w:rPr>
        <w:t>LT/1/97/1240/002</w:t>
      </w:r>
    </w:p>
    <w:p w:rsidR="00544645" w:rsidRDefault="00544645"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13.</w:t>
      </w:r>
      <w:r>
        <w:rPr>
          <w:rFonts w:ascii="Times New Roman" w:eastAsia="Calibri" w:hAnsi="Times New Roman" w:cs="Times New Roman"/>
          <w:b/>
          <w:noProof w:val="0"/>
        </w:rPr>
        <w:tab/>
        <w:t>SERIJOS NUMERIS</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Lot</w:t>
      </w:r>
    </w:p>
    <w:p w:rsidR="00544645" w:rsidRDefault="00544645"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14.</w:t>
      </w:r>
      <w:r>
        <w:rPr>
          <w:rFonts w:ascii="Times New Roman" w:eastAsia="Calibri" w:hAnsi="Times New Roman" w:cs="Times New Roman"/>
          <w:b/>
          <w:noProof w:val="0"/>
        </w:rPr>
        <w:tab/>
        <w:t>PARDAVIMO (IŠDAVIMO) TVARKA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noProof w:val="0"/>
        </w:rPr>
        <w:t>Receptinis vaistas</w:t>
      </w:r>
    </w:p>
    <w:p w:rsidR="00544645" w:rsidRDefault="00544645" w:rsidP="00544645">
      <w:pPr>
        <w:spacing w:after="0" w:line="240" w:lineRule="auto"/>
        <w:ind w:left="567" w:hanging="567"/>
        <w:outlineLvl w:val="0"/>
        <w:rPr>
          <w:rFonts w:ascii="Times New Roman" w:eastAsia="Calibri" w:hAnsi="Times New Roman" w:cs="Times New Roman"/>
          <w:noProof w:val="0"/>
        </w:rPr>
      </w:pPr>
    </w:p>
    <w:p w:rsidR="00544645" w:rsidRDefault="00544645" w:rsidP="00544645">
      <w:pPr>
        <w:spacing w:after="0" w:line="240" w:lineRule="auto"/>
        <w:ind w:left="567" w:hanging="567"/>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15.</w:t>
      </w:r>
      <w:r>
        <w:rPr>
          <w:rFonts w:ascii="Times New Roman" w:eastAsia="Calibri" w:hAnsi="Times New Roman" w:cs="Times New Roman"/>
          <w:b/>
          <w:noProof w:val="0"/>
        </w:rPr>
        <w:tab/>
        <w:t>VARTOJIMO INSTRUKCIJA</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16.</w:t>
      </w:r>
      <w:r>
        <w:rPr>
          <w:rFonts w:ascii="Times New Roman" w:eastAsia="Calibri" w:hAnsi="Times New Roman" w:cs="Times New Roman"/>
          <w:b/>
          <w:noProof w:val="0"/>
        </w:rPr>
        <w:tab/>
        <w:t>INFORMACIJA BRAILIO RAŠTU</w:t>
      </w:r>
    </w:p>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Duracef 500 mg</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val="0"/>
        </w:rPr>
      </w:pPr>
      <w:r>
        <w:rPr>
          <w:rFonts w:ascii="Times New Roman" w:eastAsia="Times New Roman" w:hAnsi="Times New Roman" w:cs="Times New Roman"/>
          <w:b/>
          <w:noProof w:val="0"/>
        </w:rPr>
        <w:t>17.</w:t>
      </w:r>
      <w:r>
        <w:rPr>
          <w:rFonts w:ascii="Times New Roman" w:eastAsia="Times New Roman" w:hAnsi="Times New Roman" w:cs="Times New Roman"/>
          <w:b/>
          <w:noProof w:val="0"/>
        </w:rPr>
        <w:tab/>
        <w:t>UNIKALUS IDENTIFIKATORIUS – 2D BRŪKŠNINIS KODAS</w:t>
      </w:r>
    </w:p>
    <w:p w:rsidR="00544645" w:rsidRDefault="00544645" w:rsidP="00544645">
      <w:pPr>
        <w:spacing w:after="0"/>
        <w:rPr>
          <w:rFonts w:ascii="Times New Roman" w:hAnsi="Times New Roman" w:cs="Times New Roman"/>
          <w:szCs w:val="20"/>
        </w:rPr>
      </w:pPr>
    </w:p>
    <w:p w:rsidR="00544645" w:rsidRDefault="00544645" w:rsidP="00544645">
      <w:pPr>
        <w:spacing w:after="0"/>
        <w:rPr>
          <w:rFonts w:ascii="Times New Roman" w:hAnsi="Times New Roman" w:cs="Times New Roman"/>
          <w:shd w:val="clear" w:color="auto" w:fill="CCCCCC"/>
        </w:rPr>
      </w:pPr>
      <w:r>
        <w:rPr>
          <w:rFonts w:ascii="Times New Roman" w:hAnsi="Times New Roman" w:cs="Times New Roman"/>
          <w:highlight w:val="lightGray"/>
        </w:rPr>
        <w:t>2D brūkšninis kodas su nurodytu unikaliu identifikatoriumi.</w:t>
      </w:r>
    </w:p>
    <w:p w:rsidR="00544645" w:rsidRDefault="00544645" w:rsidP="00544645">
      <w:pPr>
        <w:spacing w:after="0"/>
        <w:rPr>
          <w:rFonts w:ascii="Times New Roman" w:hAnsi="Times New Roman" w:cs="Times New Roman"/>
          <w:szCs w:val="20"/>
        </w:rPr>
      </w:pPr>
    </w:p>
    <w:p w:rsidR="00544645" w:rsidRDefault="00544645" w:rsidP="00544645">
      <w:pPr>
        <w:spacing w:after="0"/>
        <w:rPr>
          <w:rFonts w:ascii="Times New Roman" w:hAnsi="Times New Roman" w:cs="Times New Roman"/>
        </w:rPr>
      </w:pPr>
    </w:p>
    <w:p w:rsidR="00544645" w:rsidRDefault="00544645" w:rsidP="0054464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val="0"/>
        </w:rPr>
      </w:pPr>
      <w:r>
        <w:rPr>
          <w:rFonts w:ascii="Times New Roman" w:eastAsia="Times New Roman" w:hAnsi="Times New Roman" w:cs="Times New Roman"/>
          <w:b/>
          <w:noProof w:val="0"/>
        </w:rPr>
        <w:t>18.</w:t>
      </w:r>
      <w:r>
        <w:rPr>
          <w:rFonts w:ascii="Times New Roman" w:eastAsia="Times New Roman" w:hAnsi="Times New Roman" w:cs="Times New Roman"/>
          <w:b/>
          <w:noProof w:val="0"/>
        </w:rPr>
        <w:tab/>
        <w:t>UNIKALUS IDENTIFIKATORIUS – ŽMONĖMS SUPRANTAMI DUOMENYS</w:t>
      </w:r>
    </w:p>
    <w:p w:rsidR="00544645" w:rsidRDefault="00544645" w:rsidP="00544645">
      <w:pPr>
        <w:spacing w:after="0"/>
        <w:rPr>
          <w:rFonts w:ascii="Times New Roman" w:hAnsi="Times New Roman" w:cs="Times New Roman"/>
        </w:rPr>
      </w:pPr>
    </w:p>
    <w:p w:rsidR="00544645" w:rsidRDefault="00544645" w:rsidP="00544645">
      <w:pPr>
        <w:spacing w:after="0"/>
        <w:rPr>
          <w:rFonts w:ascii="Times New Roman" w:hAnsi="Times New Roman" w:cs="Times New Roman"/>
          <w:noProof w:val="0"/>
          <w:color w:val="008000"/>
        </w:rPr>
      </w:pPr>
      <w:r>
        <w:rPr>
          <w:rFonts w:ascii="Times New Roman" w:hAnsi="Times New Roman" w:cs="Times New Roman"/>
          <w:noProof w:val="0"/>
        </w:rPr>
        <w:t>PC: {numeris}</w:t>
      </w:r>
    </w:p>
    <w:p w:rsidR="00544645" w:rsidRDefault="00544645" w:rsidP="00544645">
      <w:pPr>
        <w:spacing w:after="0"/>
        <w:rPr>
          <w:rFonts w:ascii="Times New Roman" w:hAnsi="Times New Roman" w:cs="Times New Roman"/>
          <w:noProof w:val="0"/>
        </w:rPr>
      </w:pPr>
      <w:r>
        <w:rPr>
          <w:rFonts w:ascii="Times New Roman" w:hAnsi="Times New Roman" w:cs="Times New Roman"/>
          <w:noProof w:val="0"/>
        </w:rPr>
        <w:t>SN: {numeris}</w:t>
      </w:r>
    </w:p>
    <w:p w:rsidR="00544645" w:rsidRDefault="00544645" w:rsidP="00544645">
      <w:pPr>
        <w:spacing w:after="0"/>
        <w:rPr>
          <w:rFonts w:ascii="Times New Roman" w:hAnsi="Times New Roman" w:cs="Times New Roman"/>
          <w:noProof w:val="0"/>
        </w:rPr>
      </w:pPr>
      <w:r>
        <w:rPr>
          <w:rFonts w:ascii="Times New Roman" w:hAnsi="Times New Roman" w:cs="Times New Roman"/>
          <w:noProof w:val="0"/>
          <w:highlight w:val="lightGray"/>
        </w:rPr>
        <w:t>NN: {numeris}</w:t>
      </w:r>
    </w:p>
    <w:p w:rsidR="00544645" w:rsidRDefault="00544645" w:rsidP="00544645">
      <w:pPr>
        <w:spacing w:after="0"/>
        <w:rPr>
          <w:rFonts w:ascii="Times New Roman" w:hAnsi="Times New Roman" w:cs="Times New Roman"/>
          <w:vanish/>
        </w:rPr>
      </w:pPr>
    </w:p>
    <w:p w:rsidR="00544645" w:rsidRDefault="00544645" w:rsidP="00544645">
      <w:pPr>
        <w:spacing w:after="0"/>
        <w:rPr>
          <w:vanish/>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br w:type="page"/>
      </w:r>
    </w:p>
    <w:p w:rsidR="00544645" w:rsidRDefault="00544645" w:rsidP="00544645">
      <w:pPr>
        <w:spacing w:after="0" w:line="240" w:lineRule="auto"/>
        <w:ind w:right="113"/>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44645" w:rsidTr="00544645">
        <w:trPr>
          <w:trHeight w:val="785"/>
        </w:trPr>
        <w:tc>
          <w:tcPr>
            <w:tcW w:w="9287" w:type="dxa"/>
            <w:tcBorders>
              <w:top w:val="single" w:sz="4" w:space="0" w:color="auto"/>
              <w:left w:val="single" w:sz="4" w:space="0" w:color="auto"/>
              <w:bottom w:val="single" w:sz="4" w:space="0" w:color="auto"/>
              <w:right w:val="single" w:sz="4" w:space="0" w:color="auto"/>
            </w:tcBorders>
          </w:tcPr>
          <w:p w:rsidR="00544645" w:rsidRDefault="00544645">
            <w:pPr>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 xml:space="preserve">MINIMALI </w:t>
            </w:r>
            <w:r>
              <w:rPr>
                <w:rFonts w:ascii="Times New Roman" w:eastAsia="Calibri" w:hAnsi="Times New Roman" w:cs="Times New Roman"/>
                <w:b/>
                <w:caps/>
                <w:noProof w:val="0"/>
              </w:rPr>
              <w:t xml:space="preserve">informacija ant </w:t>
            </w:r>
            <w:r>
              <w:rPr>
                <w:rFonts w:ascii="Times New Roman" w:eastAsia="Calibri" w:hAnsi="Times New Roman" w:cs="Times New Roman"/>
                <w:b/>
                <w:noProof w:val="0"/>
              </w:rPr>
              <w:t>LIZDINIŲ PLOKŠTELIŲ ARBA DVISLUOKSNIŲ JUOSTELIŲ</w:t>
            </w:r>
          </w:p>
          <w:p w:rsidR="00544645" w:rsidRDefault="00544645">
            <w:pPr>
              <w:spacing w:after="0" w:line="240" w:lineRule="auto"/>
              <w:rPr>
                <w:rFonts w:ascii="Times New Roman" w:eastAsia="Calibri" w:hAnsi="Times New Roman" w:cs="Times New Roman"/>
                <w:b/>
                <w:noProof w:val="0"/>
              </w:rPr>
            </w:pPr>
          </w:p>
          <w:p w:rsidR="00544645" w:rsidRDefault="00544645">
            <w:pPr>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LIZDINĖ PLOKŠTELĖ</w:t>
            </w:r>
          </w:p>
        </w:tc>
      </w:tr>
    </w:tbl>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rPr>
          <w:rFonts w:ascii="Times New Roman" w:eastAsia="Calibri" w:hAnsi="Times New Roman" w:cs="Times New Roman"/>
          <w:b/>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44645" w:rsidTr="00544645">
        <w:tc>
          <w:tcPr>
            <w:tcW w:w="9287" w:type="dxa"/>
            <w:tcBorders>
              <w:top w:val="single" w:sz="4" w:space="0" w:color="auto"/>
              <w:left w:val="single" w:sz="4" w:space="0" w:color="auto"/>
              <w:bottom w:val="single" w:sz="4" w:space="0" w:color="auto"/>
              <w:right w:val="single" w:sz="4" w:space="0" w:color="auto"/>
            </w:tcBorders>
            <w:hideMark/>
          </w:tcPr>
          <w:p w:rsidR="00544645" w:rsidRDefault="00544645">
            <w:pPr>
              <w:tabs>
                <w:tab w:val="left" w:pos="142"/>
              </w:tabs>
              <w:spacing w:after="0" w:line="240" w:lineRule="auto"/>
              <w:ind w:left="567" w:hanging="567"/>
              <w:rPr>
                <w:rFonts w:ascii="Times New Roman" w:eastAsia="Calibri" w:hAnsi="Times New Roman" w:cs="Times New Roman"/>
                <w:b/>
                <w:noProof w:val="0"/>
              </w:rPr>
            </w:pPr>
            <w:r>
              <w:rPr>
                <w:rFonts w:ascii="Times New Roman" w:eastAsia="Calibri" w:hAnsi="Times New Roman" w:cs="Times New Roman"/>
                <w:b/>
                <w:noProof w:val="0"/>
              </w:rPr>
              <w:t>1.</w:t>
            </w:r>
            <w:r>
              <w:rPr>
                <w:rFonts w:ascii="Times New Roman" w:eastAsia="Calibri" w:hAnsi="Times New Roman" w:cs="Times New Roman"/>
                <w:b/>
                <w:noProof w:val="0"/>
              </w:rPr>
              <w:tab/>
            </w:r>
            <w:r>
              <w:rPr>
                <w:rFonts w:ascii="Times New Roman" w:eastAsia="Calibri" w:hAnsi="Times New Roman" w:cs="Times New Roman"/>
                <w:b/>
                <w:caps/>
                <w:noProof w:val="0"/>
              </w:rPr>
              <w:t>Vaistinio preparato pavadinimas</w:t>
            </w:r>
          </w:p>
        </w:tc>
      </w:tr>
    </w:tbl>
    <w:p w:rsidR="00544645" w:rsidRDefault="00544645" w:rsidP="00544645">
      <w:pPr>
        <w:spacing w:after="0" w:line="240" w:lineRule="auto"/>
        <w:ind w:left="567" w:hanging="567"/>
        <w:rPr>
          <w:rFonts w:ascii="Times New Roman" w:eastAsia="Calibri" w:hAnsi="Times New Roman" w:cs="Times New Roman"/>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Duracef 500 mg kapsulės</w:t>
      </w:r>
    </w:p>
    <w:p w:rsidR="00544645" w:rsidRDefault="00544645" w:rsidP="00544645">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Cefadroxilum</w:t>
      </w:r>
    </w:p>
    <w:p w:rsidR="00544645" w:rsidRDefault="00544645" w:rsidP="00544645">
      <w:pPr>
        <w:spacing w:after="0" w:line="240" w:lineRule="auto"/>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44645" w:rsidTr="00544645">
        <w:tc>
          <w:tcPr>
            <w:tcW w:w="9287" w:type="dxa"/>
            <w:tcBorders>
              <w:top w:val="single" w:sz="4" w:space="0" w:color="auto"/>
              <w:left w:val="single" w:sz="4" w:space="0" w:color="auto"/>
              <w:bottom w:val="single" w:sz="4" w:space="0" w:color="auto"/>
              <w:right w:val="single" w:sz="4" w:space="0" w:color="auto"/>
            </w:tcBorders>
            <w:hideMark/>
          </w:tcPr>
          <w:p w:rsidR="00544645" w:rsidRDefault="00544645">
            <w:pPr>
              <w:tabs>
                <w:tab w:val="left" w:pos="142"/>
              </w:tabs>
              <w:spacing w:after="0" w:line="240" w:lineRule="auto"/>
              <w:ind w:left="567" w:hanging="567"/>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r>
            <w:r>
              <w:rPr>
                <w:rFonts w:ascii="Times New Roman" w:eastAsia="Calibri" w:hAnsi="Times New Roman" w:cs="Times New Roman"/>
                <w:b/>
                <w:caps/>
                <w:noProof w:val="0"/>
              </w:rPr>
              <w:t>REGISTRUOTOJO pavadinimas</w:t>
            </w:r>
          </w:p>
        </w:tc>
      </w:tr>
    </w:tbl>
    <w:p w:rsidR="00544645" w:rsidRDefault="00544645" w:rsidP="00544645">
      <w:pPr>
        <w:spacing w:after="0" w:line="240" w:lineRule="auto"/>
        <w:rPr>
          <w:rFonts w:ascii="Times New Roman" w:eastAsia="Calibri" w:hAnsi="Times New Roman" w:cs="Times New Roman"/>
          <w:b/>
          <w:noProof w:val="0"/>
        </w:rPr>
      </w:pPr>
    </w:p>
    <w:p w:rsidR="00544645" w:rsidRDefault="00A44EB8" w:rsidP="00544645">
      <w:pPr>
        <w:spacing w:after="0" w:line="240" w:lineRule="auto"/>
        <w:outlineLvl w:val="0"/>
        <w:rPr>
          <w:rFonts w:ascii="Times New Roman" w:eastAsia="Calibri" w:hAnsi="Times New Roman" w:cs="Times New Roman"/>
          <w:noProof w:val="0"/>
        </w:rPr>
      </w:pPr>
      <w:r w:rsidRPr="00A44EB8">
        <w:rPr>
          <w:rFonts w:ascii="Times New Roman" w:eastAsia="Calibri" w:hAnsi="Times New Roman" w:cs="Times New Roman"/>
          <w:noProof w:val="0"/>
        </w:rPr>
        <w:t>Bausch Health Ireland Limited</w:t>
      </w:r>
    </w:p>
    <w:p w:rsidR="00A44EB8" w:rsidRPr="00A44EB8" w:rsidRDefault="00A44EB8"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b/>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44645" w:rsidTr="00544645">
        <w:tc>
          <w:tcPr>
            <w:tcW w:w="9287" w:type="dxa"/>
            <w:tcBorders>
              <w:top w:val="single" w:sz="4" w:space="0" w:color="auto"/>
              <w:left w:val="single" w:sz="4" w:space="0" w:color="auto"/>
              <w:bottom w:val="single" w:sz="4" w:space="0" w:color="auto"/>
              <w:right w:val="single" w:sz="4" w:space="0" w:color="auto"/>
            </w:tcBorders>
            <w:hideMark/>
          </w:tcPr>
          <w:p w:rsidR="00544645" w:rsidRDefault="00544645">
            <w:pPr>
              <w:tabs>
                <w:tab w:val="left" w:pos="142"/>
              </w:tabs>
              <w:spacing w:after="0" w:line="240" w:lineRule="auto"/>
              <w:ind w:left="567" w:hanging="567"/>
              <w:rPr>
                <w:rFonts w:ascii="Times New Roman" w:eastAsia="Calibri" w:hAnsi="Times New Roman" w:cs="Times New Roman"/>
                <w:b/>
                <w:noProof w:val="0"/>
              </w:rPr>
            </w:pPr>
            <w:r>
              <w:rPr>
                <w:rFonts w:ascii="Times New Roman" w:eastAsia="Calibri" w:hAnsi="Times New Roman" w:cs="Times New Roman"/>
                <w:b/>
                <w:noProof w:val="0"/>
              </w:rPr>
              <w:t>3.</w:t>
            </w:r>
            <w:r>
              <w:rPr>
                <w:rFonts w:ascii="Times New Roman" w:eastAsia="Calibri" w:hAnsi="Times New Roman" w:cs="Times New Roman"/>
                <w:b/>
                <w:noProof w:val="0"/>
              </w:rPr>
              <w:tab/>
            </w:r>
            <w:r>
              <w:rPr>
                <w:rFonts w:ascii="Times New Roman" w:eastAsia="Calibri" w:hAnsi="Times New Roman" w:cs="Times New Roman"/>
                <w:b/>
                <w:caps/>
                <w:noProof w:val="0"/>
              </w:rPr>
              <w:t>tinkamumo laikas</w:t>
            </w:r>
          </w:p>
        </w:tc>
      </w:tr>
    </w:tbl>
    <w:p w:rsidR="00544645" w:rsidRDefault="00544645" w:rsidP="00544645">
      <w:pPr>
        <w:spacing w:after="0" w:line="240" w:lineRule="auto"/>
        <w:rPr>
          <w:rFonts w:ascii="Times New Roman" w:eastAsia="Calibri" w:hAnsi="Times New Roman" w:cs="Times New Roman"/>
          <w:b/>
          <w:noProof w:val="0"/>
        </w:rPr>
      </w:pPr>
    </w:p>
    <w:p w:rsidR="00544645" w:rsidRDefault="00544645" w:rsidP="00544645">
      <w:pPr>
        <w:spacing w:after="0" w:line="240" w:lineRule="auto"/>
        <w:outlineLvl w:val="0"/>
        <w:rPr>
          <w:rFonts w:ascii="Times New Roman" w:eastAsia="Calibri" w:hAnsi="Times New Roman" w:cs="Times New Roman"/>
          <w:noProof w:val="0"/>
        </w:rPr>
      </w:pPr>
      <w:r>
        <w:rPr>
          <w:rFonts w:ascii="Times New Roman" w:eastAsia="Calibri" w:hAnsi="Times New Roman" w:cs="Times New Roman"/>
          <w:noProof w:val="0"/>
        </w:rPr>
        <w:t xml:space="preserve">EXP </w:t>
      </w:r>
      <w:r>
        <w:rPr>
          <w:rFonts w:ascii="Calibri" w:eastAsia="Calibri" w:hAnsi="Calibri" w:cs="Times New Roman"/>
          <w:noProof w:val="0"/>
        </w:rPr>
        <w:t>{</w:t>
      </w:r>
      <w:r>
        <w:rPr>
          <w:rFonts w:ascii="Times New Roman" w:eastAsia="Calibri" w:hAnsi="Times New Roman" w:cs="Times New Roman"/>
          <w:noProof w:val="0"/>
        </w:rPr>
        <w:t>mm/MMMM</w:t>
      </w:r>
      <w:r>
        <w:rPr>
          <w:rFonts w:ascii="Calibri" w:eastAsia="Calibri" w:hAnsi="Calibri" w:cs="Times New Roman"/>
          <w:noProof w:val="0"/>
        </w:rPr>
        <w:t>}</w:t>
      </w:r>
    </w:p>
    <w:p w:rsidR="00544645" w:rsidRDefault="00544645" w:rsidP="00544645">
      <w:pPr>
        <w:spacing w:after="0" w:line="240" w:lineRule="auto"/>
        <w:outlineLvl w:val="0"/>
        <w:rPr>
          <w:rFonts w:ascii="Times New Roman" w:eastAsia="Calibri" w:hAnsi="Times New Roman" w:cs="Times New Roman"/>
          <w:noProof w:val="0"/>
        </w:rPr>
      </w:pPr>
    </w:p>
    <w:p w:rsidR="00544645" w:rsidRDefault="00544645" w:rsidP="00544645">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44645" w:rsidTr="00544645">
        <w:tc>
          <w:tcPr>
            <w:tcW w:w="9287" w:type="dxa"/>
            <w:tcBorders>
              <w:top w:val="single" w:sz="4" w:space="0" w:color="auto"/>
              <w:left w:val="single" w:sz="4" w:space="0" w:color="auto"/>
              <w:bottom w:val="single" w:sz="4" w:space="0" w:color="auto"/>
              <w:right w:val="single" w:sz="4" w:space="0" w:color="auto"/>
            </w:tcBorders>
            <w:hideMark/>
          </w:tcPr>
          <w:p w:rsidR="00544645" w:rsidRDefault="00544645">
            <w:pPr>
              <w:tabs>
                <w:tab w:val="left" w:pos="142"/>
              </w:tabs>
              <w:spacing w:after="0" w:line="240" w:lineRule="auto"/>
              <w:ind w:left="567" w:hanging="567"/>
              <w:rPr>
                <w:rFonts w:ascii="Times New Roman" w:eastAsia="Calibri" w:hAnsi="Times New Roman" w:cs="Times New Roman"/>
                <w:b/>
                <w:noProof w:val="0"/>
              </w:rPr>
            </w:pPr>
            <w:r>
              <w:rPr>
                <w:rFonts w:ascii="Times New Roman" w:eastAsia="Calibri" w:hAnsi="Times New Roman" w:cs="Times New Roman"/>
                <w:b/>
                <w:noProof w:val="0"/>
              </w:rPr>
              <w:t>4.</w:t>
            </w:r>
            <w:r>
              <w:rPr>
                <w:rFonts w:ascii="Times New Roman" w:eastAsia="Calibri" w:hAnsi="Times New Roman" w:cs="Times New Roman"/>
                <w:b/>
                <w:noProof w:val="0"/>
              </w:rPr>
              <w:tab/>
            </w:r>
            <w:r>
              <w:rPr>
                <w:rFonts w:ascii="Times New Roman" w:eastAsia="Calibri" w:hAnsi="Times New Roman" w:cs="Times New Roman"/>
                <w:b/>
                <w:caps/>
                <w:noProof w:val="0"/>
              </w:rPr>
              <w:t>serijos numeris</w:t>
            </w:r>
          </w:p>
        </w:tc>
      </w:tr>
    </w:tbl>
    <w:p w:rsidR="00544645" w:rsidRDefault="00544645" w:rsidP="00544645">
      <w:pPr>
        <w:spacing w:after="0" w:line="240" w:lineRule="auto"/>
        <w:ind w:right="113"/>
        <w:rPr>
          <w:rFonts w:ascii="Times New Roman" w:eastAsia="Calibri" w:hAnsi="Times New Roman" w:cs="Times New Roman"/>
          <w:noProof w:val="0"/>
        </w:rPr>
      </w:pPr>
    </w:p>
    <w:p w:rsidR="00544645" w:rsidRDefault="00544645" w:rsidP="00544645">
      <w:pPr>
        <w:spacing w:after="0" w:line="240" w:lineRule="auto"/>
        <w:ind w:right="113"/>
        <w:outlineLvl w:val="0"/>
        <w:rPr>
          <w:rFonts w:ascii="Times New Roman" w:eastAsia="Calibri" w:hAnsi="Times New Roman" w:cs="Times New Roman"/>
          <w:noProof w:val="0"/>
        </w:rPr>
      </w:pPr>
      <w:r>
        <w:rPr>
          <w:rFonts w:ascii="Times New Roman" w:eastAsia="Calibri" w:hAnsi="Times New Roman" w:cs="Times New Roman"/>
          <w:noProof w:val="0"/>
        </w:rPr>
        <w:t>Lot</w:t>
      </w:r>
    </w:p>
    <w:p w:rsidR="00544645" w:rsidRDefault="00544645" w:rsidP="00544645">
      <w:pPr>
        <w:spacing w:after="0" w:line="240" w:lineRule="auto"/>
        <w:ind w:right="113"/>
        <w:outlineLvl w:val="0"/>
        <w:rPr>
          <w:rFonts w:ascii="Times New Roman" w:eastAsia="Calibri" w:hAnsi="Times New Roman" w:cs="Times New Roman"/>
          <w:noProof w:val="0"/>
        </w:rPr>
      </w:pPr>
    </w:p>
    <w:p w:rsidR="00544645" w:rsidRDefault="00544645" w:rsidP="00544645">
      <w:pPr>
        <w:spacing w:after="0" w:line="240" w:lineRule="auto"/>
        <w:ind w:right="113"/>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44645" w:rsidTr="00544645">
        <w:tc>
          <w:tcPr>
            <w:tcW w:w="9287" w:type="dxa"/>
            <w:tcBorders>
              <w:top w:val="single" w:sz="4" w:space="0" w:color="auto"/>
              <w:left w:val="single" w:sz="4" w:space="0" w:color="auto"/>
              <w:bottom w:val="single" w:sz="4" w:space="0" w:color="auto"/>
              <w:right w:val="single" w:sz="4" w:space="0" w:color="auto"/>
            </w:tcBorders>
            <w:hideMark/>
          </w:tcPr>
          <w:p w:rsidR="00544645" w:rsidRDefault="00544645">
            <w:pPr>
              <w:tabs>
                <w:tab w:val="left" w:pos="142"/>
              </w:tabs>
              <w:spacing w:after="0" w:line="240" w:lineRule="auto"/>
              <w:ind w:left="567" w:hanging="567"/>
              <w:rPr>
                <w:rFonts w:ascii="Times New Roman" w:eastAsia="Calibri" w:hAnsi="Times New Roman" w:cs="Times New Roman"/>
                <w:b/>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KITA</w:t>
            </w:r>
          </w:p>
        </w:tc>
      </w:tr>
    </w:tbl>
    <w:p w:rsidR="00544645" w:rsidRDefault="00544645" w:rsidP="00544645">
      <w:pPr>
        <w:spacing w:after="0" w:line="240" w:lineRule="auto"/>
        <w:ind w:right="113"/>
        <w:rPr>
          <w:rFonts w:ascii="Times New Roman" w:eastAsia="Calibri" w:hAnsi="Times New Roman" w:cs="Times New Roman"/>
          <w:noProof w:val="0"/>
        </w:rPr>
      </w:pPr>
    </w:p>
    <w:p w:rsidR="00544645" w:rsidRDefault="00544645" w:rsidP="00544645">
      <w:pPr>
        <w:spacing w:after="0" w:line="240" w:lineRule="auto"/>
        <w:ind w:right="113"/>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r>
        <w:rPr>
          <w:rFonts w:ascii="Times New Roman" w:eastAsia="Calibri" w:hAnsi="Times New Roman" w:cs="Times New Roman"/>
          <w:noProof w:val="0"/>
        </w:rPr>
        <w:br w:type="page"/>
      </w: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rPr>
          <w:rFonts w:ascii="Times New Roman" w:eastAsia="Calibri" w:hAnsi="Times New Roman" w:cs="Times New Roman"/>
          <w:noProof w:val="0"/>
        </w:rPr>
      </w:pPr>
    </w:p>
    <w:p w:rsidR="00544645" w:rsidRDefault="00544645" w:rsidP="00544645">
      <w:pPr>
        <w:spacing w:after="0" w:line="240" w:lineRule="auto"/>
        <w:jc w:val="center"/>
        <w:outlineLvl w:val="0"/>
        <w:rPr>
          <w:rFonts w:ascii="Times New Roman" w:eastAsia="Calibri" w:hAnsi="Times New Roman" w:cs="Times New Roman"/>
          <w:b/>
          <w:noProof w:val="0"/>
        </w:rPr>
      </w:pPr>
    </w:p>
    <w:p w:rsidR="00544645" w:rsidRDefault="00544645" w:rsidP="00544645">
      <w:pPr>
        <w:spacing w:after="0" w:line="240" w:lineRule="auto"/>
        <w:jc w:val="center"/>
        <w:outlineLvl w:val="0"/>
        <w:rPr>
          <w:rFonts w:ascii="Times New Roman" w:eastAsia="Calibri" w:hAnsi="Times New Roman" w:cs="Times New Roman"/>
          <w:b/>
          <w:noProof w:val="0"/>
        </w:rPr>
      </w:pPr>
    </w:p>
    <w:p w:rsidR="00544645" w:rsidRDefault="00544645" w:rsidP="00544645">
      <w:pPr>
        <w:spacing w:after="0" w:line="240" w:lineRule="auto"/>
        <w:jc w:val="center"/>
        <w:outlineLvl w:val="0"/>
        <w:rPr>
          <w:rFonts w:ascii="Times New Roman" w:eastAsia="Calibri" w:hAnsi="Times New Roman" w:cs="Times New Roman"/>
          <w:b/>
          <w:noProof w:val="0"/>
        </w:rPr>
      </w:pPr>
    </w:p>
    <w:p w:rsidR="00544645" w:rsidRDefault="00544645" w:rsidP="00544645">
      <w:pPr>
        <w:spacing w:after="0" w:line="240" w:lineRule="auto"/>
        <w:jc w:val="center"/>
        <w:outlineLvl w:val="0"/>
        <w:rPr>
          <w:rFonts w:ascii="Times New Roman" w:eastAsia="Calibri" w:hAnsi="Times New Roman" w:cs="Times New Roman"/>
          <w:noProof w:val="0"/>
        </w:rPr>
      </w:pPr>
      <w:r>
        <w:rPr>
          <w:rFonts w:ascii="Times New Roman" w:eastAsia="Calibri" w:hAnsi="Times New Roman" w:cs="Times New Roman"/>
          <w:b/>
          <w:noProof w:val="0"/>
        </w:rPr>
        <w:t>B. PAKUOTĖS LAPELIS</w:t>
      </w:r>
    </w:p>
    <w:p w:rsidR="00544645" w:rsidRDefault="00544645" w:rsidP="00544645">
      <w:pPr>
        <w:spacing w:after="0" w:line="240" w:lineRule="auto"/>
        <w:jc w:val="center"/>
        <w:rPr>
          <w:rFonts w:ascii="Times New Roman" w:eastAsia="Calibri" w:hAnsi="Times New Roman" w:cs="Times New Roman"/>
          <w:noProof w:val="0"/>
        </w:rPr>
      </w:pPr>
    </w:p>
    <w:p w:rsidR="00FF2BB3" w:rsidRPr="00FF2BB3" w:rsidRDefault="00544645" w:rsidP="00FF2BB3">
      <w:pPr>
        <w:spacing w:after="0" w:line="240" w:lineRule="auto"/>
        <w:jc w:val="center"/>
        <w:outlineLvl w:val="0"/>
        <w:rPr>
          <w:rFonts w:ascii="Times New Roman" w:hAnsi="Times New Roman" w:cs="Times New Roman"/>
          <w:b/>
        </w:rPr>
      </w:pPr>
      <w:r>
        <w:rPr>
          <w:rFonts w:ascii="Times New Roman" w:eastAsia="Calibri" w:hAnsi="Times New Roman" w:cs="Times New Roman"/>
          <w:b/>
          <w:noProof w:val="0"/>
        </w:rPr>
        <w:br w:type="page"/>
      </w:r>
      <w:r w:rsidR="00FF2BB3" w:rsidRPr="00FF2BB3">
        <w:rPr>
          <w:rFonts w:ascii="Times New Roman" w:hAnsi="Times New Roman" w:cs="Times New Roman"/>
          <w:b/>
        </w:rPr>
        <w:lastRenderedPageBreak/>
        <w:t>Pakuotės lapelis: informacija vartotojui</w:t>
      </w:r>
    </w:p>
    <w:p w:rsidR="00FF2BB3" w:rsidRPr="00FF2BB3" w:rsidRDefault="00FF2BB3" w:rsidP="00FF2BB3">
      <w:pPr>
        <w:spacing w:after="0" w:line="240" w:lineRule="auto"/>
        <w:jc w:val="center"/>
        <w:outlineLvl w:val="0"/>
        <w:rPr>
          <w:rFonts w:ascii="Times New Roman" w:hAnsi="Times New Roman" w:cs="Times New Roman"/>
          <w:b/>
        </w:rPr>
      </w:pPr>
    </w:p>
    <w:p w:rsidR="00FF2BB3" w:rsidRPr="00FF2BB3" w:rsidRDefault="00FF2BB3" w:rsidP="00FF2BB3">
      <w:pPr>
        <w:tabs>
          <w:tab w:val="left" w:pos="0"/>
        </w:tabs>
        <w:spacing w:after="0" w:line="240" w:lineRule="auto"/>
        <w:jc w:val="center"/>
        <w:outlineLvl w:val="0"/>
        <w:rPr>
          <w:rFonts w:ascii="Times New Roman" w:hAnsi="Times New Roman" w:cs="Times New Roman"/>
          <w:b/>
          <w:bCs/>
        </w:rPr>
      </w:pPr>
      <w:r w:rsidRPr="00FF2BB3">
        <w:rPr>
          <w:rFonts w:ascii="Times New Roman" w:hAnsi="Times New Roman" w:cs="Times New Roman"/>
          <w:b/>
          <w:bCs/>
        </w:rPr>
        <w:t>Duracef 250 mg/5 ml milteliai geriamajai suspensijai</w:t>
      </w:r>
    </w:p>
    <w:p w:rsidR="00FF2BB3" w:rsidRPr="00FF2BB3" w:rsidRDefault="00FF2BB3" w:rsidP="00FF2BB3">
      <w:pPr>
        <w:tabs>
          <w:tab w:val="left" w:pos="0"/>
        </w:tabs>
        <w:spacing w:after="0" w:line="240" w:lineRule="auto"/>
        <w:jc w:val="center"/>
        <w:outlineLvl w:val="0"/>
        <w:rPr>
          <w:rFonts w:ascii="Times New Roman" w:hAnsi="Times New Roman" w:cs="Times New Roman"/>
          <w:b/>
          <w:bCs/>
          <w:highlight w:val="lightGray"/>
        </w:rPr>
      </w:pPr>
      <w:r w:rsidRPr="00FF2BB3">
        <w:rPr>
          <w:rFonts w:ascii="Times New Roman" w:hAnsi="Times New Roman" w:cs="Times New Roman"/>
          <w:b/>
          <w:bCs/>
          <w:highlight w:val="lightGray"/>
        </w:rPr>
        <w:t>Duracef 500 mg kietosios kapsulės</w:t>
      </w:r>
    </w:p>
    <w:p w:rsidR="00FF2BB3" w:rsidRPr="00FF2BB3" w:rsidRDefault="00FF2BB3" w:rsidP="00FF2BB3">
      <w:pPr>
        <w:tabs>
          <w:tab w:val="left" w:pos="0"/>
        </w:tabs>
        <w:spacing w:after="0" w:line="240" w:lineRule="auto"/>
        <w:jc w:val="center"/>
        <w:outlineLvl w:val="0"/>
        <w:rPr>
          <w:rFonts w:ascii="Times New Roman" w:hAnsi="Times New Roman" w:cs="Times New Roman"/>
          <w:bCs/>
        </w:rPr>
      </w:pPr>
      <w:r w:rsidRPr="00FF2BB3">
        <w:rPr>
          <w:rFonts w:ascii="Times New Roman" w:hAnsi="Times New Roman" w:cs="Times New Roman"/>
          <w:b/>
          <w:bCs/>
          <w:highlight w:val="lightGray"/>
        </w:rPr>
        <w:t>Duracef 1 g disperguojamosios tabletės</w:t>
      </w:r>
    </w:p>
    <w:p w:rsidR="00FF2BB3" w:rsidRPr="00FF2BB3" w:rsidRDefault="00FF2BB3" w:rsidP="00FF2BB3">
      <w:pPr>
        <w:numPr>
          <w:ilvl w:val="12"/>
          <w:numId w:val="0"/>
        </w:numPr>
        <w:spacing w:after="0" w:line="240" w:lineRule="auto"/>
        <w:jc w:val="center"/>
        <w:outlineLvl w:val="0"/>
        <w:rPr>
          <w:rFonts w:ascii="Times New Roman" w:hAnsi="Times New Roman" w:cs="Times New Roman"/>
          <w:bCs/>
        </w:rPr>
      </w:pPr>
      <w:r w:rsidRPr="00FF2BB3">
        <w:rPr>
          <w:rFonts w:ascii="Times New Roman" w:hAnsi="Times New Roman" w:cs="Times New Roman"/>
          <w:bCs/>
        </w:rPr>
        <w:t>Cefadroksilis</w:t>
      </w:r>
    </w:p>
    <w:p w:rsidR="00FF2BB3" w:rsidRPr="00FF2BB3" w:rsidRDefault="00FF2BB3" w:rsidP="00FF2BB3">
      <w:pPr>
        <w:spacing w:after="0" w:line="240" w:lineRule="auto"/>
        <w:jc w:val="center"/>
        <w:rPr>
          <w:rFonts w:ascii="Times New Roman" w:hAnsi="Times New Roman" w:cs="Times New Roman"/>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Atidžiai perskaitykite visą šį lapelį, prieš pradėdami vartoti vaistą, nes jame pateikiama Jums svarbi informacija.</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w:t>
      </w:r>
      <w:r w:rsidRPr="00FF2BB3">
        <w:rPr>
          <w:rFonts w:ascii="Times New Roman" w:hAnsi="Times New Roman" w:cs="Times New Roman"/>
        </w:rPr>
        <w:tab/>
        <w:t>Neišmeskite šio lapelio, nes vėl gali prireikti jį perskaityti.</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w:t>
      </w:r>
      <w:r w:rsidRPr="00FF2BB3">
        <w:rPr>
          <w:rFonts w:ascii="Times New Roman" w:hAnsi="Times New Roman" w:cs="Times New Roman"/>
        </w:rPr>
        <w:tab/>
        <w:t>Jeigu kiltų daugiau klausimų, kreipkitės į gydytoją arba vaistininką.</w:t>
      </w:r>
    </w:p>
    <w:p w:rsidR="00FF2BB3" w:rsidRPr="00FF2BB3" w:rsidRDefault="00FF2BB3" w:rsidP="00FF2BB3">
      <w:pPr>
        <w:numPr>
          <w:ilvl w:val="0"/>
          <w:numId w:val="2"/>
        </w:numPr>
        <w:tabs>
          <w:tab w:val="left" w:pos="567"/>
        </w:tabs>
        <w:spacing w:after="0" w:line="240" w:lineRule="auto"/>
        <w:ind w:left="567" w:hanging="567"/>
        <w:rPr>
          <w:rFonts w:ascii="Times New Roman" w:hAnsi="Times New Roman" w:cs="Times New Roman"/>
        </w:rPr>
      </w:pPr>
      <w:r w:rsidRPr="00FF2BB3">
        <w:rPr>
          <w:rFonts w:ascii="Times New Roman" w:hAnsi="Times New Roman" w:cs="Times New Roman"/>
        </w:rPr>
        <w:t>Šis vaistas skirtas tik Jums, todėl kitiems žmonėms jo duoti negalima. Vaistas gali jiems pakenkti (net tiems, kurių ligos simptomai yra tokie patys kaip Jūsų).</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w:t>
      </w:r>
      <w:r w:rsidRPr="00FF2BB3">
        <w:rPr>
          <w:rFonts w:ascii="Times New Roman" w:hAnsi="Times New Roman" w:cs="Times New Roman"/>
        </w:rPr>
        <w:tab/>
        <w:t>Jeigu pasireiškė šalutinis poveikis (net jeigu jis šiame lapelyje nenurodytas), kreipkitės į gydytoją arba vaistininką. Žr. 4 skyrių.</w:t>
      </w:r>
    </w:p>
    <w:p w:rsidR="00FF2BB3" w:rsidRPr="00FF2BB3" w:rsidRDefault="00FF2BB3" w:rsidP="00FF2BB3">
      <w:pPr>
        <w:numPr>
          <w:ilvl w:val="12"/>
          <w:numId w:val="0"/>
        </w:numPr>
        <w:spacing w:after="0" w:line="240" w:lineRule="auto"/>
        <w:ind w:right="-2"/>
        <w:outlineLvl w:val="0"/>
        <w:rPr>
          <w:rFonts w:ascii="Times New Roman" w:hAnsi="Times New Roman" w:cs="Times New Roman"/>
          <w:b/>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Apie ką rašoma šiame lapelyje?</w:t>
      </w:r>
    </w:p>
    <w:p w:rsidR="00FF2BB3" w:rsidRPr="00FF2BB3" w:rsidRDefault="00FF2BB3" w:rsidP="00FF2BB3">
      <w:pPr>
        <w:spacing w:after="0" w:line="240" w:lineRule="auto"/>
        <w:ind w:left="567" w:hanging="567"/>
        <w:outlineLvl w:val="0"/>
        <w:rPr>
          <w:rFonts w:ascii="Times New Roman" w:hAnsi="Times New Roman" w:cs="Times New Roman"/>
          <w:b/>
        </w:rPr>
      </w:pP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1.</w:t>
      </w:r>
      <w:r w:rsidRPr="00FF2BB3">
        <w:rPr>
          <w:rFonts w:ascii="Times New Roman" w:hAnsi="Times New Roman" w:cs="Times New Roman"/>
        </w:rPr>
        <w:tab/>
        <w:t xml:space="preserve">Kas yra </w:t>
      </w:r>
      <w:r w:rsidRPr="00FF2BB3">
        <w:rPr>
          <w:rFonts w:ascii="Times New Roman" w:hAnsi="Times New Roman" w:cs="Times New Roman"/>
          <w:bCs/>
        </w:rPr>
        <w:t>Duracef</w:t>
      </w:r>
      <w:r w:rsidRPr="00FF2BB3">
        <w:rPr>
          <w:rFonts w:ascii="Times New Roman" w:hAnsi="Times New Roman" w:cs="Times New Roman"/>
          <w:b/>
          <w:bCs/>
        </w:rPr>
        <w:t xml:space="preserve"> </w:t>
      </w:r>
      <w:r w:rsidRPr="00FF2BB3">
        <w:rPr>
          <w:rFonts w:ascii="Times New Roman" w:hAnsi="Times New Roman" w:cs="Times New Roman"/>
          <w:bCs/>
        </w:rPr>
        <w:t>i</w:t>
      </w:r>
      <w:r w:rsidRPr="00FF2BB3">
        <w:rPr>
          <w:rFonts w:ascii="Times New Roman" w:hAnsi="Times New Roman" w:cs="Times New Roman"/>
        </w:rPr>
        <w:t>r kam jis vartojamas</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2.</w:t>
      </w:r>
      <w:r w:rsidRPr="00FF2BB3">
        <w:rPr>
          <w:rFonts w:ascii="Times New Roman" w:hAnsi="Times New Roman" w:cs="Times New Roman"/>
        </w:rPr>
        <w:tab/>
        <w:t xml:space="preserve">Kas žinotina prieš vartojant </w:t>
      </w:r>
      <w:r w:rsidRPr="00FF2BB3">
        <w:rPr>
          <w:rFonts w:ascii="Times New Roman" w:hAnsi="Times New Roman" w:cs="Times New Roman"/>
          <w:bCs/>
        </w:rPr>
        <w:t>Duracef</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3.</w:t>
      </w:r>
      <w:r w:rsidRPr="00FF2BB3">
        <w:rPr>
          <w:rFonts w:ascii="Times New Roman" w:hAnsi="Times New Roman" w:cs="Times New Roman"/>
        </w:rPr>
        <w:tab/>
        <w:t xml:space="preserve">Kaip vartoti </w:t>
      </w:r>
      <w:r w:rsidRPr="00FF2BB3">
        <w:rPr>
          <w:rFonts w:ascii="Times New Roman" w:hAnsi="Times New Roman" w:cs="Times New Roman"/>
          <w:bCs/>
        </w:rPr>
        <w:t>Duracef</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4.</w:t>
      </w:r>
      <w:r w:rsidRPr="00FF2BB3">
        <w:rPr>
          <w:rFonts w:ascii="Times New Roman" w:hAnsi="Times New Roman" w:cs="Times New Roman"/>
        </w:rPr>
        <w:tab/>
        <w:t>Galimas šalutinis poveikis</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5.</w:t>
      </w:r>
      <w:r w:rsidRPr="00FF2BB3">
        <w:rPr>
          <w:rFonts w:ascii="Times New Roman" w:hAnsi="Times New Roman" w:cs="Times New Roman"/>
        </w:rPr>
        <w:tab/>
        <w:t xml:space="preserve">Kaip laikyti </w:t>
      </w:r>
      <w:r w:rsidRPr="00FF2BB3">
        <w:rPr>
          <w:rFonts w:ascii="Times New Roman" w:hAnsi="Times New Roman" w:cs="Times New Roman"/>
          <w:bCs/>
        </w:rPr>
        <w:t>Duracef</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6.</w:t>
      </w:r>
      <w:r w:rsidRPr="00FF2BB3">
        <w:rPr>
          <w:rFonts w:ascii="Times New Roman" w:hAnsi="Times New Roman" w:cs="Times New Roman"/>
        </w:rPr>
        <w:tab/>
        <w:t>Pakuotės turinys ir kita informacija</w:t>
      </w:r>
    </w:p>
    <w:p w:rsidR="00FF2BB3" w:rsidRPr="00FF2BB3" w:rsidRDefault="00FF2BB3" w:rsidP="00FF2BB3">
      <w:pPr>
        <w:numPr>
          <w:ilvl w:val="12"/>
          <w:numId w:val="0"/>
        </w:numPr>
        <w:spacing w:after="0" w:line="240" w:lineRule="auto"/>
        <w:rPr>
          <w:rFonts w:ascii="Times New Roman" w:hAnsi="Times New Roman" w:cs="Times New Roman"/>
        </w:rPr>
      </w:pPr>
    </w:p>
    <w:p w:rsidR="00FF2BB3" w:rsidRPr="00FF2BB3" w:rsidRDefault="00FF2BB3" w:rsidP="00FF2BB3">
      <w:pPr>
        <w:numPr>
          <w:ilvl w:val="12"/>
          <w:numId w:val="0"/>
        </w:numPr>
        <w:spacing w:after="0" w:line="240" w:lineRule="auto"/>
        <w:rPr>
          <w:rFonts w:ascii="Times New Roman" w:hAnsi="Times New Roman" w:cs="Times New Roman"/>
        </w:rPr>
      </w:pPr>
    </w:p>
    <w:p w:rsidR="00FF2BB3" w:rsidRPr="00FF2BB3" w:rsidRDefault="00FF2BB3" w:rsidP="00FF2BB3">
      <w:pPr>
        <w:numPr>
          <w:ilvl w:val="12"/>
          <w:numId w:val="0"/>
        </w:numPr>
        <w:spacing w:after="0" w:line="240" w:lineRule="auto"/>
        <w:ind w:left="567" w:hanging="567"/>
        <w:outlineLvl w:val="0"/>
        <w:rPr>
          <w:rFonts w:ascii="Times New Roman" w:hAnsi="Times New Roman" w:cs="Times New Roman"/>
          <w:b/>
          <w:caps/>
        </w:rPr>
      </w:pPr>
      <w:r w:rsidRPr="00FF2BB3">
        <w:rPr>
          <w:rFonts w:ascii="Times New Roman" w:hAnsi="Times New Roman" w:cs="Times New Roman"/>
          <w:b/>
        </w:rPr>
        <w:t>1.</w:t>
      </w:r>
      <w:r w:rsidRPr="00FF2BB3">
        <w:rPr>
          <w:rFonts w:ascii="Times New Roman" w:hAnsi="Times New Roman" w:cs="Times New Roman"/>
          <w:b/>
        </w:rPr>
        <w:tab/>
        <w:t>Kas yra Duracef ir kam jis vartojamas</w:t>
      </w:r>
    </w:p>
    <w:p w:rsidR="00FF2BB3" w:rsidRPr="00FF2BB3" w:rsidRDefault="00FF2BB3" w:rsidP="00FF2BB3">
      <w:pPr>
        <w:spacing w:after="0" w:line="240" w:lineRule="auto"/>
        <w:ind w:left="567" w:hanging="567"/>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bCs/>
        </w:rPr>
      </w:pPr>
      <w:r w:rsidRPr="00FF2BB3">
        <w:rPr>
          <w:rFonts w:ascii="Times New Roman" w:hAnsi="Times New Roman" w:cs="Times New Roman"/>
        </w:rPr>
        <w:t>Duracef</w:t>
      </w:r>
      <w:r w:rsidRPr="00FF2BB3">
        <w:rPr>
          <w:rFonts w:ascii="Times New Roman" w:hAnsi="Times New Roman" w:cs="Times New Roman"/>
          <w:color w:val="0000FF"/>
        </w:rPr>
        <w:t xml:space="preserve"> </w:t>
      </w:r>
      <w:r w:rsidRPr="00FF2BB3">
        <w:rPr>
          <w:rFonts w:ascii="Times New Roman" w:hAnsi="Times New Roman" w:cs="Times New Roman"/>
          <w:bCs/>
        </w:rPr>
        <w:t>yra cefalosporinų grupės antibiotikas. Cefalosporinai pažeidžia bakterijų ląstelių membranas ir tokiu būdu suardo augančias bakterijas. Prieš skirdamas Duracef, gydytojas gali ištirti bakterijų jautrumą šiam vaistui.</w:t>
      </w:r>
    </w:p>
    <w:p w:rsidR="00FF2BB3" w:rsidRPr="00FF2BB3" w:rsidRDefault="00FF2BB3" w:rsidP="00FF2BB3">
      <w:pPr>
        <w:spacing w:after="0" w:line="240" w:lineRule="auto"/>
        <w:rPr>
          <w:rFonts w:ascii="Times New Roman" w:hAnsi="Times New Roman" w:cs="Times New Roman"/>
          <w:iCs/>
        </w:rPr>
      </w:pPr>
    </w:p>
    <w:p w:rsidR="00FF2BB3" w:rsidRPr="00FF2BB3" w:rsidRDefault="00FF2BB3" w:rsidP="00FF2BB3">
      <w:pPr>
        <w:spacing w:after="0" w:line="240" w:lineRule="auto"/>
        <w:rPr>
          <w:rFonts w:ascii="Times New Roman" w:hAnsi="Times New Roman" w:cs="Times New Roman"/>
          <w:i/>
        </w:rPr>
      </w:pPr>
      <w:r w:rsidRPr="00FF2BB3">
        <w:rPr>
          <w:rFonts w:ascii="Times New Roman" w:hAnsi="Times New Roman" w:cs="Times New Roman"/>
        </w:rPr>
        <w:t>Duracef vartojamas šioms jam jautrių bakterijų sukeltoms infekcinėms ligoms gydyti:</w:t>
      </w:r>
    </w:p>
    <w:p w:rsidR="00FF2BB3" w:rsidRPr="00FF2BB3" w:rsidRDefault="00FF2BB3" w:rsidP="00FF2BB3">
      <w:pPr>
        <w:numPr>
          <w:ilvl w:val="0"/>
          <w:numId w:val="7"/>
        </w:numPr>
        <w:tabs>
          <w:tab w:val="left" w:pos="426"/>
          <w:tab w:val="left" w:pos="567"/>
        </w:tabs>
        <w:spacing w:after="0" w:line="240" w:lineRule="auto"/>
        <w:ind w:left="993" w:hanging="567"/>
        <w:rPr>
          <w:rFonts w:ascii="Times New Roman" w:hAnsi="Times New Roman" w:cs="Times New Roman"/>
        </w:rPr>
      </w:pPr>
      <w:r w:rsidRPr="00FF2BB3">
        <w:rPr>
          <w:rFonts w:ascii="Times New Roman" w:hAnsi="Times New Roman" w:cs="Times New Roman"/>
        </w:rPr>
        <w:t>kvėpavimo takų (tonzilių ir gerklės uždegimui);</w:t>
      </w:r>
    </w:p>
    <w:p w:rsidR="00FF2BB3" w:rsidRPr="00FF2BB3" w:rsidRDefault="00FF2BB3" w:rsidP="00FF2BB3">
      <w:pPr>
        <w:numPr>
          <w:ilvl w:val="0"/>
          <w:numId w:val="7"/>
        </w:numPr>
        <w:tabs>
          <w:tab w:val="left" w:pos="426"/>
          <w:tab w:val="left" w:pos="567"/>
        </w:tabs>
        <w:spacing w:after="0" w:line="240" w:lineRule="auto"/>
        <w:ind w:left="993" w:hanging="567"/>
        <w:rPr>
          <w:rFonts w:ascii="Times New Roman" w:hAnsi="Times New Roman" w:cs="Times New Roman"/>
        </w:rPr>
      </w:pPr>
      <w:r w:rsidRPr="00FF2BB3">
        <w:rPr>
          <w:rFonts w:ascii="Times New Roman" w:hAnsi="Times New Roman" w:cs="Times New Roman"/>
        </w:rPr>
        <w:t>odos ir minkštųjų audinių pūlinėms ligoms (jos vadinamos piodermija, impetiga, pūliniu, šunvote);</w:t>
      </w:r>
    </w:p>
    <w:p w:rsidR="00FF2BB3" w:rsidRPr="00FF2BB3" w:rsidRDefault="00FF2BB3" w:rsidP="00FF2BB3">
      <w:pPr>
        <w:numPr>
          <w:ilvl w:val="0"/>
          <w:numId w:val="7"/>
        </w:numPr>
        <w:tabs>
          <w:tab w:val="left" w:pos="426"/>
          <w:tab w:val="left" w:pos="567"/>
        </w:tabs>
        <w:spacing w:after="0" w:line="240" w:lineRule="auto"/>
        <w:ind w:left="993" w:hanging="567"/>
        <w:rPr>
          <w:rFonts w:ascii="Times New Roman" w:hAnsi="Times New Roman" w:cs="Times New Roman"/>
        </w:rPr>
      </w:pPr>
      <w:r w:rsidRPr="00FF2BB3">
        <w:rPr>
          <w:rFonts w:ascii="Times New Roman" w:hAnsi="Times New Roman" w:cs="Times New Roman"/>
        </w:rPr>
        <w:t>šlapimo takų (šlapimo pūslės uždegimui, inkstų geldelių uždegimui).</w:t>
      </w:r>
    </w:p>
    <w:p w:rsidR="00FF2BB3" w:rsidRPr="00FF2BB3" w:rsidRDefault="00FF2BB3" w:rsidP="00FF2BB3">
      <w:pPr>
        <w:spacing w:after="0" w:line="240" w:lineRule="auto"/>
        <w:jc w:val="both"/>
        <w:rPr>
          <w:rFonts w:ascii="Times New Roman" w:hAnsi="Times New Roman" w:cs="Times New Roman"/>
          <w:iCs/>
        </w:rPr>
      </w:pPr>
    </w:p>
    <w:p w:rsidR="00FF2BB3" w:rsidRPr="00FF2BB3" w:rsidRDefault="00FF2BB3" w:rsidP="00FF2BB3">
      <w:pPr>
        <w:numPr>
          <w:ilvl w:val="12"/>
          <w:numId w:val="0"/>
        </w:numPr>
        <w:spacing w:after="0" w:line="240" w:lineRule="auto"/>
        <w:rPr>
          <w:rFonts w:ascii="Times New Roman" w:hAnsi="Times New Roman" w:cs="Times New Roman"/>
        </w:rPr>
      </w:pPr>
    </w:p>
    <w:p w:rsidR="00FF2BB3" w:rsidRPr="00FF2BB3" w:rsidRDefault="00FF2BB3" w:rsidP="00FF2BB3">
      <w:pPr>
        <w:numPr>
          <w:ilvl w:val="12"/>
          <w:numId w:val="0"/>
        </w:numPr>
        <w:spacing w:after="0" w:line="240" w:lineRule="auto"/>
        <w:ind w:left="567" w:hanging="567"/>
        <w:outlineLvl w:val="0"/>
        <w:rPr>
          <w:rFonts w:ascii="Times New Roman" w:hAnsi="Times New Roman" w:cs="Times New Roman"/>
          <w:b/>
          <w:caps/>
        </w:rPr>
      </w:pPr>
      <w:r w:rsidRPr="00FF2BB3">
        <w:rPr>
          <w:rFonts w:ascii="Times New Roman" w:hAnsi="Times New Roman" w:cs="Times New Roman"/>
          <w:b/>
        </w:rPr>
        <w:t>2.</w:t>
      </w:r>
      <w:r w:rsidRPr="00FF2BB3">
        <w:rPr>
          <w:rFonts w:ascii="Times New Roman" w:hAnsi="Times New Roman" w:cs="Times New Roman"/>
          <w:b/>
        </w:rPr>
        <w:tab/>
        <w:t>Kas žinotina prieš vartojant Duracef</w:t>
      </w:r>
    </w:p>
    <w:p w:rsidR="00FF2BB3" w:rsidRPr="00FF2BB3" w:rsidRDefault="00FF2BB3" w:rsidP="00FF2BB3">
      <w:pPr>
        <w:spacing w:after="0" w:line="240" w:lineRule="auto"/>
        <w:ind w:left="567" w:hanging="567"/>
        <w:rPr>
          <w:rFonts w:ascii="Times New Roman" w:hAnsi="Times New Roman" w:cs="Times New Roman"/>
        </w:rPr>
      </w:pPr>
    </w:p>
    <w:p w:rsidR="00FF2BB3" w:rsidRPr="00FF2BB3" w:rsidRDefault="00FF2BB3" w:rsidP="00FF2BB3">
      <w:pPr>
        <w:spacing w:after="0" w:line="240" w:lineRule="auto"/>
        <w:ind w:left="567" w:hanging="567"/>
        <w:outlineLvl w:val="0"/>
        <w:rPr>
          <w:rFonts w:ascii="Times New Roman" w:hAnsi="Times New Roman" w:cs="Times New Roman"/>
          <w:b/>
          <w:caps/>
        </w:rPr>
      </w:pPr>
      <w:r w:rsidRPr="00FF2BB3">
        <w:rPr>
          <w:rFonts w:ascii="Times New Roman" w:hAnsi="Times New Roman" w:cs="Times New Roman"/>
          <w:b/>
          <w:bCs/>
        </w:rPr>
        <w:t>Duracef vartoti negalima:</w:t>
      </w:r>
    </w:p>
    <w:p w:rsidR="00FF2BB3" w:rsidRPr="00FF2BB3" w:rsidRDefault="00FF2BB3" w:rsidP="00FF2BB3">
      <w:pPr>
        <w:numPr>
          <w:ilvl w:val="0"/>
          <w:numId w:val="9"/>
        </w:numPr>
        <w:tabs>
          <w:tab w:val="left" w:pos="567"/>
        </w:tabs>
        <w:autoSpaceDE w:val="0"/>
        <w:autoSpaceDN w:val="0"/>
        <w:adjustRightInd w:val="0"/>
        <w:spacing w:after="0" w:line="240" w:lineRule="auto"/>
        <w:ind w:left="567" w:hanging="425"/>
        <w:rPr>
          <w:rFonts w:ascii="Times New Roman" w:hAnsi="Times New Roman" w:cs="Times New Roman"/>
          <w:bCs/>
        </w:rPr>
      </w:pPr>
      <w:r w:rsidRPr="00FF2BB3">
        <w:rPr>
          <w:rFonts w:ascii="Times New Roman" w:hAnsi="Times New Roman" w:cs="Times New Roman"/>
          <w:bCs/>
        </w:rPr>
        <w:t xml:space="preserve">jeigu yra alergija cefadroksiliui arba bet kuriai pagalbinei </w:t>
      </w:r>
      <w:r w:rsidRPr="00FF2BB3">
        <w:rPr>
          <w:rFonts w:ascii="Times New Roman" w:hAnsi="Times New Roman" w:cs="Times New Roman"/>
        </w:rPr>
        <w:t xml:space="preserve">šio vaisto </w:t>
      </w:r>
      <w:r w:rsidRPr="00FF2BB3">
        <w:rPr>
          <w:rFonts w:ascii="Times New Roman" w:hAnsi="Times New Roman" w:cs="Times New Roman"/>
          <w:bCs/>
        </w:rPr>
        <w:t>medžiagai (jos išvardytos 6 skyriuje);</w:t>
      </w:r>
    </w:p>
    <w:p w:rsidR="00FF2BB3" w:rsidRPr="00FF2BB3" w:rsidRDefault="00FF2BB3" w:rsidP="00FF2BB3">
      <w:pPr>
        <w:numPr>
          <w:ilvl w:val="0"/>
          <w:numId w:val="9"/>
        </w:numPr>
        <w:tabs>
          <w:tab w:val="left" w:pos="567"/>
        </w:tabs>
        <w:spacing w:after="0" w:line="240" w:lineRule="auto"/>
        <w:ind w:left="567" w:hanging="425"/>
        <w:rPr>
          <w:rFonts w:ascii="Times New Roman" w:hAnsi="Times New Roman" w:cs="Times New Roman"/>
        </w:rPr>
      </w:pPr>
      <w:r w:rsidRPr="00FF2BB3">
        <w:rPr>
          <w:rFonts w:ascii="Times New Roman" w:hAnsi="Times New Roman" w:cs="Times New Roman"/>
        </w:rPr>
        <w:t>jeigu yra alergija bet kuriam kitam cefalosporinų grupės antibiotikui.</w:t>
      </w:r>
    </w:p>
    <w:p w:rsidR="00FF2BB3" w:rsidRPr="00FF2BB3" w:rsidRDefault="00FF2BB3" w:rsidP="00FF2BB3">
      <w:pPr>
        <w:spacing w:after="0" w:line="240" w:lineRule="auto"/>
        <w:ind w:left="567" w:hanging="567"/>
        <w:rPr>
          <w:rFonts w:ascii="Times New Roman" w:hAnsi="Times New Roman" w:cs="Times New Roman"/>
          <w:b/>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Įspėjimai ir atsargumo priemonės</w:t>
      </w: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rPr>
        <w:t>Pasitarkite su gydytoju arba vaistininku, prieš pradėdami vartoti Duracef:</w:t>
      </w:r>
      <w:r w:rsidRPr="00FF2BB3">
        <w:rPr>
          <w:rFonts w:ascii="Times New Roman" w:hAnsi="Times New Roman" w:cs="Times New Roman"/>
          <w:b/>
        </w:rPr>
        <w:t xml:space="preserve"> </w:t>
      </w:r>
    </w:p>
    <w:p w:rsidR="00FF2BB3" w:rsidRPr="00FF2BB3" w:rsidRDefault="00FF2BB3" w:rsidP="00FF2BB3">
      <w:pPr>
        <w:numPr>
          <w:ilvl w:val="0"/>
          <w:numId w:val="9"/>
        </w:numPr>
        <w:tabs>
          <w:tab w:val="left" w:pos="567"/>
        </w:tabs>
        <w:autoSpaceDE w:val="0"/>
        <w:autoSpaceDN w:val="0"/>
        <w:adjustRightInd w:val="0"/>
        <w:spacing w:after="0" w:line="240" w:lineRule="auto"/>
        <w:ind w:left="567" w:hanging="425"/>
        <w:rPr>
          <w:rFonts w:ascii="Times New Roman" w:hAnsi="Times New Roman" w:cs="Times New Roman"/>
          <w:bCs/>
        </w:rPr>
      </w:pPr>
      <w:r w:rsidRPr="00FF2BB3">
        <w:rPr>
          <w:rFonts w:ascii="Times New Roman" w:hAnsi="Times New Roman" w:cs="Times New Roman"/>
          <w:bCs/>
        </w:rPr>
        <w:t>jeigu buvo pasireiškusi alerginė (padidėjusio jautrumo) reakcija kuriam nors penicilinų grupės antibiotikui;</w:t>
      </w:r>
    </w:p>
    <w:p w:rsidR="00FF2BB3" w:rsidRPr="00FF2BB3" w:rsidRDefault="00FF2BB3" w:rsidP="00FF2BB3">
      <w:pPr>
        <w:numPr>
          <w:ilvl w:val="0"/>
          <w:numId w:val="9"/>
        </w:numPr>
        <w:tabs>
          <w:tab w:val="left" w:pos="567"/>
        </w:tabs>
        <w:autoSpaceDE w:val="0"/>
        <w:autoSpaceDN w:val="0"/>
        <w:adjustRightInd w:val="0"/>
        <w:spacing w:after="0" w:line="240" w:lineRule="auto"/>
        <w:ind w:left="567" w:hanging="425"/>
        <w:rPr>
          <w:rFonts w:ascii="Times New Roman" w:hAnsi="Times New Roman" w:cs="Times New Roman"/>
          <w:bCs/>
        </w:rPr>
      </w:pPr>
      <w:r w:rsidRPr="00FF2BB3">
        <w:rPr>
          <w:rFonts w:ascii="Times New Roman" w:hAnsi="Times New Roman" w:cs="Times New Roman"/>
          <w:bCs/>
        </w:rPr>
        <w:t>jeigu sutrikusi inkstų funkcija (tuomet gydytojas skirs šio vaisto ilgesniais intervalais);</w:t>
      </w:r>
    </w:p>
    <w:p w:rsidR="00FF2BB3" w:rsidRPr="00FF2BB3" w:rsidRDefault="00FF2BB3" w:rsidP="00FF2BB3">
      <w:pPr>
        <w:numPr>
          <w:ilvl w:val="0"/>
          <w:numId w:val="11"/>
        </w:numPr>
        <w:tabs>
          <w:tab w:val="left" w:pos="567"/>
        </w:tabs>
        <w:spacing w:after="0" w:line="240" w:lineRule="auto"/>
        <w:ind w:left="567" w:hanging="425"/>
        <w:rPr>
          <w:rFonts w:ascii="Times New Roman" w:hAnsi="Times New Roman" w:cs="Times New Roman"/>
        </w:rPr>
      </w:pPr>
      <w:r w:rsidRPr="00FF2BB3">
        <w:rPr>
          <w:rFonts w:ascii="Times New Roman" w:hAnsi="Times New Roman" w:cs="Times New Roman"/>
        </w:rPr>
        <w:t>jeigu vartojant šį vaistą</w:t>
      </w:r>
      <w:r w:rsidRPr="00FF2BB3">
        <w:rPr>
          <w:rFonts w:ascii="Times New Roman" w:hAnsi="Times New Roman" w:cs="Times New Roman"/>
          <w:b/>
        </w:rPr>
        <w:t xml:space="preserve"> </w:t>
      </w:r>
      <w:r w:rsidRPr="00FF2BB3">
        <w:rPr>
          <w:rFonts w:ascii="Times New Roman" w:hAnsi="Times New Roman" w:cs="Times New Roman"/>
        </w:rPr>
        <w:t>arba</w:t>
      </w:r>
      <w:r w:rsidRPr="00FF2BB3">
        <w:rPr>
          <w:rFonts w:ascii="Times New Roman" w:hAnsi="Times New Roman" w:cs="Times New Roman"/>
          <w:b/>
        </w:rPr>
        <w:t xml:space="preserve"> </w:t>
      </w:r>
      <w:r w:rsidRPr="00FF2BB3">
        <w:rPr>
          <w:rFonts w:ascii="Times New Roman" w:hAnsi="Times New Roman" w:cs="Times New Roman"/>
        </w:rPr>
        <w:t>vėliau prasideda viduriavimas, arba</w:t>
      </w:r>
      <w:r w:rsidRPr="00FF2BB3">
        <w:rPr>
          <w:rFonts w:ascii="Times New Roman" w:hAnsi="Times New Roman" w:cs="Times New Roman"/>
          <w:b/>
        </w:rPr>
        <w:t xml:space="preserve"> </w:t>
      </w:r>
      <w:r w:rsidRPr="00FF2BB3">
        <w:rPr>
          <w:rFonts w:ascii="Times New Roman" w:hAnsi="Times New Roman" w:cs="Times New Roman"/>
        </w:rPr>
        <w:t>jeigu anksčiau</w:t>
      </w:r>
      <w:r w:rsidRPr="00FF2BB3">
        <w:rPr>
          <w:rFonts w:ascii="Times New Roman" w:hAnsi="Times New Roman" w:cs="Times New Roman"/>
          <w:b/>
        </w:rPr>
        <w:t xml:space="preserve"> </w:t>
      </w:r>
      <w:r w:rsidRPr="00FF2BB3">
        <w:rPr>
          <w:rFonts w:ascii="Times New Roman" w:hAnsi="Times New Roman" w:cs="Times New Roman"/>
        </w:rPr>
        <w:t>sirgote storosios žarnos uždegimu.</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Kiti vaistai ir Duracef</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 xml:space="preserve">Cefalosporinų grupės antibiotikai gali sumažinti geriamųjų kontraceptikų veiksmingumą ir sustiprinti geriamųjų krešėjimą slopinančių vaistų poveikį. Pasakykite gydytojui, jei vartojate probenecidą (nuo </w:t>
      </w:r>
      <w:r w:rsidRPr="00FF2BB3">
        <w:rPr>
          <w:rFonts w:ascii="Times New Roman" w:hAnsi="Times New Roman" w:cs="Times New Roman"/>
        </w:rPr>
        <w:lastRenderedPageBreak/>
        <w:t>podagros). Jeigu vartojate arba neseniai vartojote kitų vaistų, įskaitant įsigytus be recepto, pasakykite gydytojui.</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bCs/>
        </w:rPr>
        <w:t xml:space="preserve">Duracef </w:t>
      </w:r>
      <w:r w:rsidRPr="00FF2BB3">
        <w:rPr>
          <w:rFonts w:ascii="Times New Roman" w:hAnsi="Times New Roman" w:cs="Times New Roman"/>
          <w:b/>
        </w:rPr>
        <w:t>vartojimas su maistu ir gėrimais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bCs/>
        </w:rPr>
        <w:t>Duracef</w:t>
      </w:r>
      <w:r w:rsidRPr="00FF2BB3">
        <w:rPr>
          <w:rFonts w:ascii="Times New Roman" w:hAnsi="Times New Roman" w:cs="Times New Roman"/>
          <w:b/>
          <w:bCs/>
        </w:rPr>
        <w:t xml:space="preserve"> </w:t>
      </w:r>
      <w:r w:rsidRPr="00FF2BB3">
        <w:rPr>
          <w:rFonts w:ascii="Times New Roman" w:hAnsi="Times New Roman" w:cs="Times New Roman"/>
        </w:rPr>
        <w:t>galima vartoti valgant arba kitu laiku.</w:t>
      </w:r>
    </w:p>
    <w:p w:rsidR="00FF2BB3" w:rsidRPr="00FF2BB3" w:rsidRDefault="00FF2BB3" w:rsidP="00FF2BB3">
      <w:pPr>
        <w:numPr>
          <w:ilvl w:val="12"/>
          <w:numId w:val="0"/>
        </w:numPr>
        <w:tabs>
          <w:tab w:val="left" w:pos="1290"/>
        </w:tabs>
        <w:spacing w:after="0" w:line="240" w:lineRule="auto"/>
        <w:ind w:right="-2"/>
        <w:rPr>
          <w:rFonts w:ascii="Times New Roman" w:hAnsi="Times New Roman" w:cs="Times New Roman"/>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Nėštumas ir žindymo laikotarpis</w:t>
      </w:r>
    </w:p>
    <w:p w:rsidR="00FF2BB3" w:rsidRPr="00FF2BB3" w:rsidRDefault="00FF2BB3" w:rsidP="00FF2BB3">
      <w:pPr>
        <w:tabs>
          <w:tab w:val="left" w:pos="0"/>
        </w:tabs>
        <w:spacing w:after="0" w:line="240" w:lineRule="auto"/>
        <w:rPr>
          <w:rFonts w:ascii="Times New Roman" w:hAnsi="Times New Roman" w:cs="Times New Roman"/>
        </w:rPr>
      </w:pPr>
      <w:r w:rsidRPr="00FF2BB3">
        <w:rPr>
          <w:rFonts w:ascii="Times New Roman" w:hAnsi="Times New Roman" w:cs="Times New Roman"/>
        </w:rPr>
        <w:t>Prieš vartojant bet kokį vaistą, būtina pasitarti su gydytoju. Nedidelė Duracef dozės dalis patenka į motinos pieną. Jeigu moteris nori toliau žindyti kūdikį pradėjusi vartoti šį vaistą, ji turi pasikonsultuoti su gydytoju.</w:t>
      </w:r>
    </w:p>
    <w:p w:rsidR="00FF2BB3" w:rsidRPr="00FF2BB3" w:rsidRDefault="00FF2BB3" w:rsidP="00FF2BB3">
      <w:pPr>
        <w:spacing w:after="0" w:line="240" w:lineRule="auto"/>
        <w:ind w:left="567" w:hanging="567"/>
        <w:rPr>
          <w:rFonts w:ascii="Times New Roman" w:hAnsi="Times New Roman" w:cs="Times New Roman"/>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Vairavimas ir mechanizmų valdymas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Jeigu pajustumėte, kad pablogėjęs gebėjimas vairuoti arba valdyti mechanizmus, tai šių darbų nedirbkite.</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tabs>
          <w:tab w:val="left" w:pos="0"/>
        </w:tabs>
        <w:spacing w:after="0" w:line="240" w:lineRule="auto"/>
        <w:outlineLvl w:val="0"/>
        <w:rPr>
          <w:rFonts w:ascii="Times New Roman" w:hAnsi="Times New Roman" w:cs="Times New Roman"/>
          <w:highlight w:val="lightGray"/>
        </w:rPr>
      </w:pPr>
      <w:r w:rsidRPr="00FF2BB3">
        <w:rPr>
          <w:rFonts w:ascii="Times New Roman" w:hAnsi="Times New Roman" w:cs="Times New Roman"/>
          <w:b/>
          <w:highlight w:val="lightGray"/>
          <w:u w:val="single"/>
        </w:rPr>
        <w:t>Duracef miltelių geriamajai suspensijai</w:t>
      </w:r>
      <w:r w:rsidRPr="00FF2BB3">
        <w:rPr>
          <w:rFonts w:ascii="Times New Roman" w:hAnsi="Times New Roman" w:cs="Times New Roman"/>
          <w:b/>
          <w:highlight w:val="lightGray"/>
        </w:rPr>
        <w:t xml:space="preserve"> sudėtyje yra natrio, natrio benzoato ir sacharozės</w:t>
      </w:r>
      <w:r w:rsidRPr="00FF2BB3">
        <w:rPr>
          <w:rFonts w:ascii="Times New Roman" w:hAnsi="Times New Roman" w:cs="Times New Roman"/>
          <w:highlight w:val="lightGray"/>
        </w:rPr>
        <w:t xml:space="preserve"> </w:t>
      </w:r>
    </w:p>
    <w:p w:rsidR="00FF2BB3" w:rsidRPr="00FF2BB3" w:rsidRDefault="00FF2BB3" w:rsidP="00FF2BB3">
      <w:pPr>
        <w:tabs>
          <w:tab w:val="left" w:pos="0"/>
        </w:tabs>
        <w:spacing w:after="0" w:line="240" w:lineRule="auto"/>
        <w:outlineLvl w:val="0"/>
        <w:rPr>
          <w:rFonts w:ascii="Times New Roman" w:hAnsi="Times New Roman" w:cs="Times New Roman"/>
          <w:bCs/>
        </w:rPr>
      </w:pPr>
      <w:r w:rsidRPr="00FF2BB3">
        <w:rPr>
          <w:rFonts w:ascii="Times New Roman" w:hAnsi="Times New Roman" w:cs="Times New Roman"/>
          <w:i/>
          <w:highlight w:val="lightGray"/>
        </w:rPr>
        <w:t>Sacharozė.</w:t>
      </w:r>
      <w:r w:rsidRPr="00FF2BB3">
        <w:rPr>
          <w:rFonts w:ascii="Times New Roman" w:hAnsi="Times New Roman" w:cs="Times New Roman"/>
          <w:highlight w:val="lightGray"/>
        </w:rPr>
        <w:t xml:space="preserve"> Viename mililitre paruoštos vartoti geriamosios suspensijos yra 515 mg sacharozės. Į tai būtina atsižvelgti, jeigu sergate cukriniu diabetu. Jeigu gydytojas Jums yra sakęs, kad netoleruojate kokių nors angliavandenių, kreipkitės į jį prieš pradėdami vartoti </w:t>
      </w:r>
      <w:r w:rsidRPr="00FF2BB3">
        <w:rPr>
          <w:rFonts w:ascii="Times New Roman" w:hAnsi="Times New Roman" w:cs="Times New Roman"/>
          <w:bCs/>
          <w:highlight w:val="lightGray"/>
        </w:rPr>
        <w:t>šį vaistą.</w:t>
      </w:r>
    </w:p>
    <w:p w:rsidR="00FF2BB3" w:rsidRPr="00FF2BB3" w:rsidRDefault="00FF2BB3" w:rsidP="00FF2BB3">
      <w:pPr>
        <w:tabs>
          <w:tab w:val="left" w:pos="0"/>
        </w:tabs>
        <w:spacing w:after="0"/>
        <w:outlineLvl w:val="0"/>
        <w:rPr>
          <w:rFonts w:ascii="Times New Roman" w:hAnsi="Times New Roman" w:cs="Times New Roman"/>
        </w:rPr>
      </w:pPr>
      <w:r w:rsidRPr="00FF2BB3">
        <w:rPr>
          <w:rFonts w:ascii="Times New Roman" w:hAnsi="Times New Roman" w:cs="Times New Roman"/>
          <w:bCs/>
          <w:i/>
          <w:highlight w:val="lightGray"/>
        </w:rPr>
        <w:t>Natrio benzoatas</w:t>
      </w:r>
      <w:r w:rsidRPr="00FF2BB3">
        <w:rPr>
          <w:rFonts w:ascii="Times New Roman" w:hAnsi="Times New Roman" w:cs="Times New Roman"/>
          <w:bCs/>
          <w:highlight w:val="lightGray"/>
        </w:rPr>
        <w:t xml:space="preserve">. </w:t>
      </w:r>
      <w:r w:rsidRPr="00FF2BB3">
        <w:rPr>
          <w:rFonts w:ascii="Times New Roman" w:hAnsi="Times New Roman" w:cs="Times New Roman"/>
          <w:highlight w:val="lightGray"/>
        </w:rPr>
        <w:t>Penkiuose mililitruose paruoštos vartoti geriamosios suspensijos yra 4,5 mg natrio benzoato, tai atitinka 0,9 mg/ml. Natrio benzoatas naujagimiams (iki 4 savaičių amžiaus) gali sunkinti geltą (odos ir akių pageltimą).</w:t>
      </w:r>
    </w:p>
    <w:p w:rsidR="00FF2BB3" w:rsidRPr="00FF2BB3" w:rsidRDefault="00FF2BB3" w:rsidP="00FF2BB3">
      <w:pPr>
        <w:tabs>
          <w:tab w:val="left" w:pos="0"/>
        </w:tabs>
        <w:spacing w:after="0"/>
        <w:outlineLvl w:val="0"/>
        <w:rPr>
          <w:rFonts w:ascii="Times New Roman" w:hAnsi="Times New Roman" w:cs="Times New Roman"/>
          <w:bCs/>
        </w:rPr>
      </w:pPr>
      <w:r w:rsidRPr="00FF2BB3">
        <w:rPr>
          <w:rFonts w:ascii="Times New Roman" w:hAnsi="Times New Roman" w:cs="Times New Roman"/>
          <w:i/>
          <w:iCs/>
          <w:highlight w:val="lightGray"/>
        </w:rPr>
        <w:t>Natris.</w:t>
      </w:r>
      <w:r w:rsidRPr="00FF2BB3">
        <w:rPr>
          <w:rFonts w:ascii="Times New Roman" w:hAnsi="Times New Roman" w:cs="Times New Roman"/>
          <w:b/>
          <w:bCs/>
          <w:highlight w:val="lightGray"/>
        </w:rPr>
        <w:t xml:space="preserve"> </w:t>
      </w:r>
      <w:r w:rsidRPr="00FF2BB3">
        <w:rPr>
          <w:rFonts w:ascii="Times New Roman" w:hAnsi="Times New Roman" w:cs="Times New Roman"/>
          <w:highlight w:val="lightGray"/>
        </w:rPr>
        <w:t>Penkiuose šio vaisto mililitruose yra mažiau kaip 1 mmol natrio (0,72 mg), t.y., jis beveik neturi reikšmės.</w:t>
      </w:r>
    </w:p>
    <w:p w:rsidR="00FF2BB3" w:rsidRPr="00FF2BB3" w:rsidRDefault="00FF2BB3" w:rsidP="00FF2BB3">
      <w:pPr>
        <w:tabs>
          <w:tab w:val="left" w:pos="0"/>
        </w:tabs>
        <w:spacing w:after="0" w:line="240" w:lineRule="auto"/>
        <w:outlineLvl w:val="0"/>
        <w:rPr>
          <w:rFonts w:ascii="Times New Roman" w:hAnsi="Times New Roman" w:cs="Times New Roman"/>
        </w:rPr>
      </w:pPr>
    </w:p>
    <w:p w:rsidR="00FF2BB3" w:rsidRPr="00FF2BB3" w:rsidRDefault="00FF2BB3" w:rsidP="00FF2BB3">
      <w:pPr>
        <w:numPr>
          <w:ilvl w:val="12"/>
          <w:numId w:val="0"/>
        </w:numPr>
        <w:spacing w:after="0" w:line="240" w:lineRule="auto"/>
        <w:rPr>
          <w:rFonts w:ascii="Times New Roman" w:hAnsi="Times New Roman" w:cs="Times New Roman"/>
          <w:bCs/>
        </w:rPr>
      </w:pPr>
      <w:r w:rsidRPr="00FF2BB3">
        <w:rPr>
          <w:rFonts w:ascii="Times New Roman" w:hAnsi="Times New Roman" w:cs="Times New Roman"/>
          <w:b/>
          <w:highlight w:val="lightGray"/>
          <w:u w:val="single"/>
        </w:rPr>
        <w:t>Duracef kietųjų kapsulių</w:t>
      </w:r>
      <w:r w:rsidRPr="00FF2BB3">
        <w:rPr>
          <w:rFonts w:ascii="Times New Roman" w:hAnsi="Times New Roman" w:cs="Times New Roman"/>
          <w:b/>
          <w:highlight w:val="lightGray"/>
        </w:rPr>
        <w:t xml:space="preserve"> sudėtyje yra laktozės</w:t>
      </w:r>
      <w:r w:rsidRPr="00FF2BB3">
        <w:rPr>
          <w:rFonts w:ascii="Times New Roman" w:hAnsi="Times New Roman" w:cs="Times New Roman"/>
          <w:highlight w:val="lightGray"/>
        </w:rPr>
        <w:t xml:space="preserve">. Jeigu gydytojas Jums yra sakęs, kad netoleruojate kokių nors angliavandenių, kreipkitės į jį prieš pradėdami vartoti </w:t>
      </w:r>
      <w:r w:rsidRPr="00FF2BB3">
        <w:rPr>
          <w:rFonts w:ascii="Times New Roman" w:hAnsi="Times New Roman" w:cs="Times New Roman"/>
          <w:bCs/>
          <w:highlight w:val="lightGray"/>
        </w:rPr>
        <w:t>šį vaistą.</w:t>
      </w:r>
    </w:p>
    <w:p w:rsidR="00FF2BB3" w:rsidRPr="00FF2BB3" w:rsidRDefault="00FF2BB3" w:rsidP="00FF2BB3">
      <w:pPr>
        <w:numPr>
          <w:ilvl w:val="12"/>
          <w:numId w:val="0"/>
        </w:numPr>
        <w:spacing w:after="0" w:line="240" w:lineRule="auto"/>
        <w:rPr>
          <w:rFonts w:ascii="Times New Roman" w:hAnsi="Times New Roman" w:cs="Times New Roman"/>
          <w:bCs/>
        </w:rPr>
      </w:pPr>
    </w:p>
    <w:p w:rsidR="00FF2BB3" w:rsidRPr="00FF2BB3" w:rsidRDefault="00FF2BB3" w:rsidP="00FF2BB3">
      <w:pPr>
        <w:numPr>
          <w:ilvl w:val="12"/>
          <w:numId w:val="0"/>
        </w:numPr>
        <w:spacing w:after="0" w:line="240" w:lineRule="auto"/>
        <w:rPr>
          <w:rFonts w:ascii="Times New Roman" w:hAnsi="Times New Roman" w:cs="Times New Roman"/>
          <w:b/>
          <w:highlight w:val="lightGray"/>
        </w:rPr>
      </w:pPr>
      <w:r w:rsidRPr="00FF2BB3">
        <w:rPr>
          <w:rFonts w:ascii="Times New Roman" w:hAnsi="Times New Roman" w:cs="Times New Roman"/>
          <w:b/>
          <w:highlight w:val="lightGray"/>
        </w:rPr>
        <w:t>Duracef disperguojamųjų tablečių sudėtyje yra natrio</w:t>
      </w:r>
    </w:p>
    <w:p w:rsidR="00FF2BB3" w:rsidRPr="00FF2BB3" w:rsidRDefault="00FF2BB3" w:rsidP="00FF2BB3">
      <w:pPr>
        <w:numPr>
          <w:ilvl w:val="12"/>
          <w:numId w:val="0"/>
        </w:numPr>
        <w:spacing w:after="0" w:line="240" w:lineRule="auto"/>
        <w:rPr>
          <w:rFonts w:ascii="Times New Roman" w:hAnsi="Times New Roman" w:cs="Times New Roman"/>
          <w:b/>
        </w:rPr>
      </w:pPr>
      <w:r w:rsidRPr="00FF2BB3">
        <w:rPr>
          <w:rFonts w:ascii="Times New Roman" w:hAnsi="Times New Roman" w:cs="Times New Roman"/>
          <w:highlight w:val="lightGray"/>
        </w:rPr>
        <w:t>Vienoje šio vaisto tabletėje yra mažiau kaip 1 mmol natrio (3,03 mg), t.y., jis beveik neturi reikšmės.</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left="567" w:hanging="567"/>
        <w:outlineLvl w:val="0"/>
        <w:rPr>
          <w:rFonts w:ascii="Times New Roman" w:hAnsi="Times New Roman" w:cs="Times New Roman"/>
          <w:b/>
          <w:caps/>
        </w:rPr>
      </w:pPr>
      <w:r w:rsidRPr="00FF2BB3">
        <w:rPr>
          <w:rFonts w:ascii="Times New Roman" w:hAnsi="Times New Roman" w:cs="Times New Roman"/>
          <w:b/>
        </w:rPr>
        <w:t>3.</w:t>
      </w:r>
      <w:r w:rsidRPr="00FF2BB3">
        <w:rPr>
          <w:rFonts w:ascii="Times New Roman" w:hAnsi="Times New Roman" w:cs="Times New Roman"/>
          <w:b/>
        </w:rPr>
        <w:tab/>
        <w:t>Kaip vartoti Duracef</w:t>
      </w:r>
    </w:p>
    <w:p w:rsidR="00FF2BB3" w:rsidRPr="00FF2BB3" w:rsidRDefault="00FF2BB3" w:rsidP="00FF2BB3">
      <w:pPr>
        <w:spacing w:after="0" w:line="240" w:lineRule="auto"/>
        <w:ind w:left="567" w:hanging="567"/>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bCs/>
        </w:rPr>
        <w:t>V</w:t>
      </w:r>
      <w:r w:rsidRPr="00FF2BB3">
        <w:rPr>
          <w:rFonts w:ascii="Times New Roman" w:hAnsi="Times New Roman" w:cs="Times New Roman"/>
        </w:rPr>
        <w:t>isada vartokite šį vaistą tiksliai kaip nurodė gydytojas. Jeigu abejojate, kreipkitės į gydytoją arba vaistininką.</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b/>
        </w:rPr>
      </w:pPr>
      <w:r w:rsidRPr="00FF2BB3">
        <w:rPr>
          <w:rFonts w:ascii="Times New Roman" w:hAnsi="Times New Roman" w:cs="Times New Roman"/>
          <w:b/>
        </w:rPr>
        <w:t>Suaugusiesiems ir daugiau kaip 40 kg sveriantiems vaikams</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u w:val="single"/>
        </w:rPr>
      </w:pPr>
      <w:r w:rsidRPr="00FF2BB3">
        <w:rPr>
          <w:rFonts w:ascii="Times New Roman" w:hAnsi="Times New Roman" w:cs="Times New Roman"/>
          <w:u w:val="single"/>
        </w:rPr>
        <w:t>Tonzilių ir gerklės uždegimas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Įprasta dozė yra 1 g per parą. Ji išgeriama iš karto arba padalijama į 2 lygias vienkartines. Vaistas vartojamas 10 parų.</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u w:val="single"/>
        </w:rPr>
      </w:pPr>
      <w:r w:rsidRPr="00FF2BB3">
        <w:rPr>
          <w:rFonts w:ascii="Times New Roman" w:hAnsi="Times New Roman" w:cs="Times New Roman"/>
          <w:u w:val="single"/>
        </w:rPr>
        <w:t>Odos ir minkštųjų audinių infekcinės ligos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Įprasta dozė yra 1 g per parą. Ji išgeriama iš karto arba padalijama į 2 lygias vienkartines.</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u w:val="single"/>
        </w:rPr>
      </w:pPr>
      <w:r w:rsidRPr="00FF2BB3">
        <w:rPr>
          <w:rFonts w:ascii="Times New Roman" w:hAnsi="Times New Roman" w:cs="Times New Roman"/>
          <w:u w:val="single"/>
        </w:rPr>
        <w:t>Šlapimo takų infekcinės ligos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Įprasta dozė yra 2 g per parą. Ji padalijama į 2 lygias vienkartines. Įprasta dozė nekomplikuotoms apatinių šlapimo takų infekcinėms ligoms (t.y. šlapimo pūslės uždegimui) gydyti yra 1 g arba 2 g per parą. Ji išgeriama iš karto arba padalijama į 2 lygias vienkartines.</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b/>
        </w:rPr>
      </w:pPr>
      <w:r w:rsidRPr="00FF2BB3">
        <w:rPr>
          <w:rFonts w:ascii="Times New Roman" w:hAnsi="Times New Roman" w:cs="Times New Roman"/>
          <w:b/>
        </w:rPr>
        <w:t>Mažiau kaip 40 kg sveriantiems vaikams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 xml:space="preserve">Rekomenduojama įprasta paros dozė </w:t>
      </w:r>
      <w:r w:rsidRPr="00FF2BB3">
        <w:rPr>
          <w:rFonts w:ascii="Times New Roman" w:hAnsi="Times New Roman" w:cs="Times New Roman"/>
        </w:rPr>
        <w:sym w:font="Symbol" w:char="F02D"/>
      </w:r>
      <w:r w:rsidRPr="00FF2BB3">
        <w:rPr>
          <w:rFonts w:ascii="Times New Roman" w:hAnsi="Times New Roman" w:cs="Times New Roman"/>
        </w:rPr>
        <w:t xml:space="preserve"> 25 – 50 mg/kg kūno svorio. Ji lygiomis dalimis išgeriama per du kartus (kas 12 val.). Gydant tonzilių ar gerklės uždegimą arba impetigą (pūlinėlinę), visą rekomenduojamą paros dozę galima išgerti vienu kartu. Vaikams negalima vartoti didesnės paros dozės už didžiausią nurodytą suaugusiesiems.</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outlineLvl w:val="0"/>
        <w:rPr>
          <w:rFonts w:ascii="Times New Roman" w:hAnsi="Times New Roman" w:cs="Times New Roman"/>
          <w:i/>
        </w:rPr>
      </w:pPr>
      <w:r w:rsidRPr="00FF2BB3">
        <w:rPr>
          <w:rFonts w:ascii="Times New Roman" w:hAnsi="Times New Roman" w:cs="Times New Roman"/>
          <w:i/>
        </w:rPr>
        <w:t>Pacientams, kurių inkstų funkcija sutrikusi</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 xml:space="preserve">Jeigu sutrikusi Jūsų inkstų funkcija (kreatinino klirensas </w:t>
      </w:r>
      <w:r w:rsidRPr="00FF2BB3">
        <w:rPr>
          <w:rFonts w:ascii="Times New Roman" w:hAnsi="Times New Roman" w:cs="Times New Roman"/>
          <w:u w:val="single"/>
        </w:rPr>
        <w:t>&lt;</w:t>
      </w:r>
      <w:r w:rsidRPr="00FF2BB3">
        <w:rPr>
          <w:rFonts w:ascii="Times New Roman" w:hAnsi="Times New Roman" w:cs="Times New Roman"/>
        </w:rPr>
        <w:t> 50 ml/min), šio vaisto dozę gydytojas pakoreguos (po pirmosios dozės, kuri bus tokia kaip įprasta, vėliau šį vaistą vartosite ilgesniais laiko tarpais).</w:t>
      </w:r>
    </w:p>
    <w:p w:rsidR="00FF2BB3" w:rsidRPr="00FF2BB3" w:rsidRDefault="00FF2BB3" w:rsidP="00FF2BB3">
      <w:pPr>
        <w:keepNext/>
        <w:spacing w:after="0" w:line="240" w:lineRule="auto"/>
        <w:ind w:left="567" w:hanging="567"/>
        <w:jc w:val="both"/>
        <w:outlineLvl w:val="7"/>
        <w:rPr>
          <w:rFonts w:ascii="Times New Roman" w:hAnsi="Times New Roman" w:cs="Times New Roman"/>
          <w:b/>
          <w:bCs/>
        </w:rPr>
      </w:pPr>
    </w:p>
    <w:p w:rsidR="00FF2BB3" w:rsidRPr="00FF2BB3" w:rsidRDefault="00FF2BB3" w:rsidP="00FF2BB3">
      <w:pPr>
        <w:keepNext/>
        <w:spacing w:after="0" w:line="240" w:lineRule="auto"/>
        <w:ind w:left="567" w:hanging="567"/>
        <w:jc w:val="both"/>
        <w:outlineLvl w:val="7"/>
        <w:rPr>
          <w:rFonts w:ascii="Times New Roman" w:hAnsi="Times New Roman" w:cs="Times New Roman"/>
          <w:bCs/>
          <w:i/>
          <w:highlight w:val="lightGray"/>
        </w:rPr>
      </w:pPr>
      <w:r w:rsidRPr="00FF2BB3">
        <w:rPr>
          <w:rFonts w:ascii="Times New Roman" w:hAnsi="Times New Roman" w:cs="Times New Roman"/>
          <w:i/>
          <w:highlight w:val="lightGray"/>
        </w:rPr>
        <w:t>Miltelių geriamajai suspensijai ruošimas vartojimui</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highlight w:val="lightGray"/>
        </w:rPr>
        <w:t>Pakratykite buteliuką, kad milteliai pasidarytų birūs. Įpilkite maždaug pusę geriamosios suspensijos ruošimui reikalingo vandens. Atsargiai pakratykite buteliuką, kol susidarys homogeninė geriamoji suspensija. Įpilkite vandens iki ant buteliuko etiketės esančios žymos. 5 ml taip paruoštos geriamosios suspensijos yra 250 mg cefadroksilio. Buteliuką laikykite sandarų. Prieš vartojimą suplakite.</w:t>
      </w:r>
    </w:p>
    <w:p w:rsidR="00FF2BB3" w:rsidRPr="00FF2BB3" w:rsidRDefault="00FF2BB3" w:rsidP="00FF2BB3">
      <w:pPr>
        <w:spacing w:after="0" w:line="240" w:lineRule="auto"/>
        <w:jc w:val="both"/>
        <w:rPr>
          <w:rFonts w:ascii="Times New Roman" w:hAnsi="Times New Roman" w:cs="Times New Roman"/>
        </w:rPr>
      </w:pPr>
      <w:r w:rsidRPr="00FF2BB3">
        <w:rPr>
          <w:rFonts w:ascii="Times New Roman" w:hAnsi="Times New Roman" w:cs="Times New Roman"/>
          <w:highlight w:val="lightGray"/>
        </w:rPr>
        <w:t>Geriamosios suspensijos dozavimui pakuotėje yra matavimo šaukštas</w:t>
      </w:r>
      <w:r w:rsidRPr="00FF2BB3">
        <w:rPr>
          <w:rFonts w:ascii="Times New Roman" w:hAnsi="Times New Roman" w:cs="Times New Roman"/>
        </w:rPr>
        <w:t>.</w:t>
      </w:r>
    </w:p>
    <w:p w:rsidR="00FF2BB3" w:rsidRPr="00FF2BB3" w:rsidRDefault="00FF2BB3" w:rsidP="00FF2BB3">
      <w:pPr>
        <w:spacing w:after="0" w:line="240" w:lineRule="auto"/>
        <w:jc w:val="both"/>
        <w:rPr>
          <w:rFonts w:ascii="Times New Roman" w:hAnsi="Times New Roman" w:cs="Times New Roman"/>
          <w:i/>
          <w:iCs/>
          <w:u w:val="single"/>
        </w:rPr>
      </w:pPr>
    </w:p>
    <w:p w:rsidR="00FF2BB3" w:rsidRPr="00FF2BB3" w:rsidRDefault="00FF2BB3" w:rsidP="00FF2BB3">
      <w:pPr>
        <w:spacing w:after="0" w:line="240" w:lineRule="auto"/>
        <w:jc w:val="both"/>
        <w:outlineLvl w:val="0"/>
        <w:rPr>
          <w:rFonts w:ascii="Times New Roman" w:hAnsi="Times New Roman" w:cs="Times New Roman"/>
          <w:highlight w:val="lightGray"/>
        </w:rPr>
      </w:pPr>
      <w:r w:rsidRPr="00FF2BB3">
        <w:rPr>
          <w:rFonts w:ascii="Times New Roman" w:hAnsi="Times New Roman" w:cs="Times New Roman"/>
          <w:i/>
          <w:iCs/>
          <w:highlight w:val="lightGray"/>
        </w:rPr>
        <w:t xml:space="preserve">Disperguojamųjų tablečių </w:t>
      </w:r>
      <w:r w:rsidRPr="00FF2BB3">
        <w:rPr>
          <w:rFonts w:ascii="Times New Roman" w:hAnsi="Times New Roman" w:cs="Times New Roman"/>
          <w:i/>
          <w:highlight w:val="lightGray"/>
        </w:rPr>
        <w:t>ruošimas vartojimui</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highlight w:val="lightGray"/>
        </w:rPr>
        <w:t>Nuplėšę foliją, įmeskite disperguojamąją tabletę į 120 ml vandens. Palaukite 30 - 60 sekundžių, kol disperguojamoji tabletė suirs. Po to visa gauta dispersija gerai sumaišoma ir išgeriama. Disperguojamosios tabletės ruošiamos prieš pat vartojimą.</w:t>
      </w:r>
    </w:p>
    <w:p w:rsidR="00FF2BB3" w:rsidRPr="00FF2BB3" w:rsidRDefault="00FF2BB3" w:rsidP="00FF2BB3">
      <w:pPr>
        <w:spacing w:after="0" w:line="240" w:lineRule="auto"/>
        <w:jc w:val="both"/>
        <w:rPr>
          <w:rFonts w:ascii="Times New Roman" w:hAnsi="Times New Roman" w:cs="Times New Roman"/>
          <w:i/>
          <w:iCs/>
          <w:u w:val="single"/>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 xml:space="preserve">Ką daryti pavartojus per didelę </w:t>
      </w:r>
      <w:r w:rsidRPr="00FF2BB3">
        <w:rPr>
          <w:rFonts w:ascii="Times New Roman" w:hAnsi="Times New Roman" w:cs="Times New Roman"/>
          <w:b/>
          <w:bCs/>
        </w:rPr>
        <w:t xml:space="preserve">Duracef </w:t>
      </w:r>
      <w:r w:rsidRPr="00FF2BB3">
        <w:rPr>
          <w:rFonts w:ascii="Times New Roman" w:hAnsi="Times New Roman" w:cs="Times New Roman"/>
          <w:b/>
        </w:rPr>
        <w:t>dozę?</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Gali sutrikti virškinimas, išberti odą. Jeigu įtariate, kad išgėrėte per didelę vaisto dozę arba manote, kad jo nurijo vaikas, nedelsdami kvieskite gydytoją.</w:t>
      </w:r>
    </w:p>
    <w:p w:rsidR="00FF2BB3" w:rsidRPr="00FF2BB3" w:rsidRDefault="00FF2BB3" w:rsidP="00FF2BB3">
      <w:pPr>
        <w:spacing w:after="0" w:line="240" w:lineRule="auto"/>
        <w:ind w:left="567" w:hanging="567"/>
        <w:rPr>
          <w:rFonts w:ascii="Times New Roman" w:hAnsi="Times New Roman" w:cs="Times New Roman"/>
          <w:b/>
        </w:rPr>
      </w:pPr>
    </w:p>
    <w:p w:rsidR="00FF2BB3" w:rsidRPr="00FF2BB3" w:rsidRDefault="00FF2BB3" w:rsidP="00FF2BB3">
      <w:pPr>
        <w:spacing w:after="0" w:line="240" w:lineRule="auto"/>
        <w:ind w:left="567" w:hanging="567"/>
        <w:outlineLvl w:val="0"/>
        <w:rPr>
          <w:rFonts w:ascii="Times New Roman" w:hAnsi="Times New Roman" w:cs="Times New Roman"/>
          <w:b/>
        </w:rPr>
      </w:pPr>
      <w:r w:rsidRPr="00FF2BB3">
        <w:rPr>
          <w:rFonts w:ascii="Times New Roman" w:hAnsi="Times New Roman" w:cs="Times New Roman"/>
          <w:b/>
        </w:rPr>
        <w:t xml:space="preserve">Pamiršus pavartoti </w:t>
      </w:r>
      <w:r w:rsidRPr="00FF2BB3">
        <w:rPr>
          <w:rFonts w:ascii="Times New Roman" w:hAnsi="Times New Roman" w:cs="Times New Roman"/>
          <w:b/>
          <w:bCs/>
        </w:rPr>
        <w:t>Duracef</w:t>
      </w:r>
    </w:p>
    <w:p w:rsidR="00FF2BB3" w:rsidRPr="00FF2BB3" w:rsidRDefault="00FF2BB3" w:rsidP="00FF2BB3">
      <w:pPr>
        <w:spacing w:after="0" w:line="240" w:lineRule="auto"/>
        <w:ind w:left="567" w:hanging="567"/>
        <w:rPr>
          <w:rFonts w:ascii="Times New Roman" w:hAnsi="Times New Roman" w:cs="Times New Roman"/>
        </w:rPr>
      </w:pPr>
      <w:r w:rsidRPr="00FF2BB3">
        <w:rPr>
          <w:rFonts w:ascii="Times New Roman" w:hAnsi="Times New Roman" w:cs="Times New Roman"/>
        </w:rPr>
        <w:t>Negalima vartoti dvigubos dozės norint kompensuoti praleistą dozę.</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 xml:space="preserve">Jeigu iki kitos dozės vartojimo laiko liko bent </w:t>
      </w:r>
      <w:r w:rsidRPr="00FF2BB3">
        <w:rPr>
          <w:rFonts w:ascii="Times New Roman" w:hAnsi="Times New Roman" w:cs="Times New Roman"/>
          <w:caps/>
        </w:rPr>
        <w:t>4</w:t>
      </w:r>
      <w:r w:rsidRPr="00FF2BB3">
        <w:rPr>
          <w:rFonts w:ascii="Times New Roman" w:hAnsi="Times New Roman" w:cs="Times New Roman"/>
        </w:rPr>
        <w:t xml:space="preserve"> valandos, prisiminę reikiamą dozę išgerkite tuojau pat. Jeigu kitą dozę reikės vartoti greičiau kaip po 4 valandų, tai užmirštąją praleiskite, o kitą gerkite įprastu laiku.</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numPr>
          <w:ilvl w:val="12"/>
          <w:numId w:val="0"/>
        </w:numPr>
        <w:spacing w:after="0" w:line="240" w:lineRule="auto"/>
        <w:ind w:left="567" w:hanging="567"/>
        <w:outlineLvl w:val="0"/>
        <w:rPr>
          <w:rFonts w:ascii="Times New Roman" w:hAnsi="Times New Roman" w:cs="Times New Roman"/>
          <w:b/>
          <w:caps/>
        </w:rPr>
      </w:pPr>
      <w:r w:rsidRPr="00FF2BB3">
        <w:rPr>
          <w:rFonts w:ascii="Times New Roman" w:hAnsi="Times New Roman" w:cs="Times New Roman"/>
          <w:b/>
          <w:caps/>
        </w:rPr>
        <w:t>4.</w:t>
      </w:r>
      <w:r w:rsidRPr="00FF2BB3">
        <w:rPr>
          <w:rFonts w:ascii="Times New Roman" w:hAnsi="Times New Roman" w:cs="Times New Roman"/>
          <w:b/>
          <w:caps/>
        </w:rPr>
        <w:tab/>
      </w:r>
      <w:r w:rsidRPr="00FF2BB3">
        <w:rPr>
          <w:rFonts w:ascii="Times New Roman" w:hAnsi="Times New Roman" w:cs="Times New Roman"/>
          <w:b/>
        </w:rPr>
        <w:t>Galimas</w:t>
      </w:r>
      <w:r w:rsidRPr="00FF2BB3">
        <w:rPr>
          <w:rFonts w:ascii="Times New Roman" w:hAnsi="Times New Roman" w:cs="Times New Roman"/>
          <w:b/>
          <w:caps/>
        </w:rPr>
        <w:t xml:space="preserve"> </w:t>
      </w:r>
      <w:r w:rsidRPr="00FF2BB3">
        <w:rPr>
          <w:rFonts w:ascii="Times New Roman" w:hAnsi="Times New Roman" w:cs="Times New Roman"/>
          <w:b/>
        </w:rPr>
        <w:t>šalutinis poveikis</w:t>
      </w:r>
    </w:p>
    <w:p w:rsidR="00FF2BB3" w:rsidRPr="00FF2BB3" w:rsidRDefault="00FF2BB3" w:rsidP="00FF2BB3">
      <w:pPr>
        <w:spacing w:after="0" w:line="240" w:lineRule="auto"/>
        <w:ind w:left="567" w:hanging="567"/>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bCs/>
        </w:rPr>
        <w:t>Šis vaistas,</w:t>
      </w:r>
      <w:r w:rsidRPr="00FF2BB3">
        <w:rPr>
          <w:rFonts w:ascii="Times New Roman" w:hAnsi="Times New Roman" w:cs="Times New Roman"/>
        </w:rPr>
        <w:t xml:space="preserve"> kaip ir visi kiti, gali sukelti šalutinį poveikį, nors jis pasireiškia ne visiems žmonėms.</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b/>
        </w:rPr>
        <w:t>Dažnas šalutinis poveikis</w:t>
      </w:r>
      <w:r w:rsidRPr="00FF2BB3">
        <w:rPr>
          <w:rFonts w:ascii="Times New Roman" w:hAnsi="Times New Roman" w:cs="Times New Roman"/>
        </w:rPr>
        <w:t xml:space="preserve"> (pasireiškia daugiau kaip 1 pacientui iš 100, bet mažiau kaip 1 iš 10) yra viduriavimas, dispepsija (sutrikęs virškinimas), pykinimas, vėmimas ir karščiavimas.</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b/>
        </w:rPr>
        <w:t>Retas šalutinis poveikis</w:t>
      </w:r>
      <w:r w:rsidRPr="00FF2BB3">
        <w:rPr>
          <w:rFonts w:ascii="Times New Roman" w:hAnsi="Times New Roman" w:cs="Times New Roman"/>
        </w:rPr>
        <w:t xml:space="preserve"> (pasireiškia daugiau kaip 1 pacientui iš 10000, bet mažiau kaip 1 iš 1000) yra dilgėlinė, išbėrimas, niežulys ir makšties infekcija.</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b/>
        </w:rPr>
        <w:t>Kitas nežinomo dažnio šalutinis poveikis</w:t>
      </w:r>
      <w:r w:rsidRPr="00FF2BB3">
        <w:rPr>
          <w:rFonts w:ascii="Times New Roman" w:hAnsi="Times New Roman" w:cs="Times New Roman"/>
        </w:rPr>
        <w:t xml:space="preserve"> yra kandidozė (lytinių organų niežulys arba pienligė), alergija (anafilaksinė reakcija, angioneurozinis patinimas, padidėjęs jautrumas, seruminė liga), odos sutrikimai (Stivenso-Džonsono (</w:t>
      </w:r>
      <w:r w:rsidRPr="00FF2BB3">
        <w:rPr>
          <w:rFonts w:ascii="Times New Roman" w:hAnsi="Times New Roman" w:cs="Times New Roman"/>
          <w:i/>
        </w:rPr>
        <w:t>Stevens-Johnson</w:t>
      </w:r>
      <w:r w:rsidRPr="00FF2BB3">
        <w:rPr>
          <w:rFonts w:ascii="Times New Roman" w:hAnsi="Times New Roman" w:cs="Times New Roman"/>
        </w:rPr>
        <w:t>) sindromas, daugiaformė raudonė (eritema), toksinė epidermio nekrozė - būklė panaši į odos nudegimą), sąnarių skausmas (artralgija), tam tikros rūšies viduriavimas (pseudomembraninis kolitas), kepenų sutrikimai (kepenų nepakankamumas, tulžies sąstovis, sutrikusi kepenų funkcija, padidėjęs transaminazių aktyvumas), kraujo sutrikimai (agranulocitozė, neutropenija, trombocitopenija).</w:t>
      </w:r>
    </w:p>
    <w:p w:rsidR="00FF2BB3" w:rsidRPr="00FF2BB3" w:rsidRDefault="00FF2BB3" w:rsidP="00FF2BB3">
      <w:pPr>
        <w:spacing w:after="0" w:line="240" w:lineRule="auto"/>
        <w:ind w:left="567" w:hanging="567"/>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b/>
        </w:rPr>
      </w:pPr>
      <w:r w:rsidRPr="00FF2BB3">
        <w:rPr>
          <w:rFonts w:ascii="Times New Roman" w:hAnsi="Times New Roman" w:cs="Times New Roman"/>
          <w:b/>
        </w:rPr>
        <w:t>Pranešimas apie šalutinį poveikį</w:t>
      </w:r>
    </w:p>
    <w:p w:rsidR="00FF2BB3" w:rsidRPr="00FF2BB3" w:rsidRDefault="00FF2BB3" w:rsidP="00FF2BB3">
      <w:pPr>
        <w:numPr>
          <w:ilvl w:val="12"/>
          <w:numId w:val="0"/>
        </w:numPr>
        <w:spacing w:after="0" w:line="240" w:lineRule="auto"/>
        <w:ind w:right="-2"/>
        <w:rPr>
          <w:rFonts w:ascii="Times New Roman" w:hAnsi="Times New Roman" w:cs="Times New Roman"/>
        </w:rPr>
      </w:pPr>
      <w:r w:rsidRPr="00FF2BB3">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w:t>
      </w:r>
      <w:r w:rsidRPr="00FF2BB3">
        <w:rPr>
          <w:rFonts w:ascii="Times New Roman" w:hAnsi="Times New Roman" w:cs="Times New Roman"/>
          <w:lang w:eastAsia="zh-CN"/>
        </w:rPr>
        <w:t xml:space="preserve">8 800 73568 arba </w:t>
      </w:r>
      <w:r w:rsidRPr="00FF2BB3">
        <w:rPr>
          <w:rFonts w:ascii="Times New Roman" w:hAnsi="Times New Roman" w:cs="Times New Roman"/>
        </w:rPr>
        <w:t xml:space="preserve">užpildyti interneto svetainėje </w:t>
      </w:r>
      <w:hyperlink r:id="rId8" w:history="1">
        <w:r w:rsidRPr="00FF2BB3">
          <w:rPr>
            <w:rStyle w:val="Hipersaitas"/>
          </w:rPr>
          <w:t>www.vvkt.lt</w:t>
        </w:r>
      </w:hyperlink>
      <w:r w:rsidRPr="00FF2BB3">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w:t>
      </w:r>
      <w:r w:rsidRPr="00FF2BB3">
        <w:rPr>
          <w:rFonts w:ascii="Times New Roman" w:hAnsi="Times New Roman" w:cs="Times New Roman"/>
          <w:lang w:eastAsia="zh-CN"/>
        </w:rPr>
        <w:t xml:space="preserve"> </w:t>
      </w:r>
      <w:r w:rsidRPr="00FF2BB3">
        <w:rPr>
          <w:rFonts w:ascii="Times New Roman" w:hAnsi="Times New Roman" w:cs="Times New Roman"/>
        </w:rPr>
        <w:t xml:space="preserve">fakso numeriu 8 800 20131, el. paštu </w:t>
      </w:r>
      <w:hyperlink r:id="rId9" w:history="1">
        <w:r w:rsidRPr="00FF2BB3">
          <w:rPr>
            <w:rStyle w:val="Hipersaitas"/>
          </w:rPr>
          <w:t>NepageidaujamaR@vvkt.lt, taip</w:t>
        </w:r>
      </w:hyperlink>
      <w:r w:rsidRPr="00FF2BB3">
        <w:rPr>
          <w:rFonts w:ascii="Times New Roman" w:hAnsi="Times New Roman" w:cs="Times New Roman"/>
        </w:rPr>
        <w:t xml:space="preserve"> pat per Valstybinei vaistų kontrolės tarnybai prie Lietuvos Respublikos sveikatos apsaugos ministerijos interneto svetainę (adresu http://www.vvkt.lt). </w:t>
      </w:r>
      <w:r w:rsidRPr="00FF2BB3">
        <w:rPr>
          <w:rFonts w:ascii="Times New Roman" w:hAnsi="Times New Roman" w:cs="Times New Roman"/>
        </w:rPr>
        <w:lastRenderedPageBreak/>
        <w:t>Pranešdami apie šalutinį poveikį galite mums padėti gauti daugiau informacijos apie šio vaisto saugumą.</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left="567" w:right="-2" w:hanging="567"/>
        <w:rPr>
          <w:rFonts w:ascii="Times New Roman" w:hAnsi="Times New Roman" w:cs="Times New Roman"/>
        </w:rPr>
      </w:pPr>
      <w:r w:rsidRPr="00FF2BB3">
        <w:rPr>
          <w:rFonts w:ascii="Times New Roman" w:hAnsi="Times New Roman" w:cs="Times New Roman"/>
          <w:b/>
        </w:rPr>
        <w:t>5.</w:t>
      </w:r>
      <w:r w:rsidRPr="00FF2BB3">
        <w:rPr>
          <w:rFonts w:ascii="Times New Roman" w:hAnsi="Times New Roman" w:cs="Times New Roman"/>
          <w:b/>
        </w:rPr>
        <w:tab/>
        <w:t>Kaip laikyti Duracef</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outlineLvl w:val="0"/>
        <w:rPr>
          <w:rFonts w:ascii="Times New Roman" w:hAnsi="Times New Roman" w:cs="Times New Roman"/>
        </w:rPr>
      </w:pPr>
      <w:r w:rsidRPr="00FF2BB3">
        <w:rPr>
          <w:rFonts w:ascii="Times New Roman" w:hAnsi="Times New Roman" w:cs="Times New Roman"/>
        </w:rPr>
        <w:t>Šį vaistą laikykite vaikams nepastebimoje ir nepasiekiamoje vietoje.</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Laikyti ne aukštesnėje kaip 25 °C temperatūroje.</w:t>
      </w:r>
    </w:p>
    <w:p w:rsidR="00FF2BB3" w:rsidRPr="00FF2BB3" w:rsidRDefault="00FF2BB3" w:rsidP="00FF2BB3">
      <w:pPr>
        <w:spacing w:after="0" w:line="240" w:lineRule="auto"/>
        <w:rPr>
          <w:rFonts w:ascii="Times New Roman" w:hAnsi="Times New Roman" w:cs="Times New Roman"/>
          <w:u w:val="single"/>
        </w:rPr>
      </w:pPr>
    </w:p>
    <w:p w:rsidR="00FF2BB3" w:rsidRPr="00FF2BB3" w:rsidRDefault="00FF2BB3" w:rsidP="00FF2BB3">
      <w:pPr>
        <w:spacing w:after="0" w:line="240" w:lineRule="auto"/>
        <w:rPr>
          <w:rFonts w:ascii="Times New Roman" w:hAnsi="Times New Roman" w:cs="Times New Roman"/>
          <w:highlight w:val="lightGray"/>
          <w:u w:val="single"/>
        </w:rPr>
      </w:pPr>
      <w:r w:rsidRPr="00FF2BB3">
        <w:rPr>
          <w:rFonts w:ascii="Times New Roman" w:hAnsi="Times New Roman" w:cs="Times New Roman"/>
          <w:highlight w:val="lightGray"/>
        </w:rPr>
        <w:t xml:space="preserve">Paruošta geriamoji suspensija, laikoma ne aukštesnėje kaip 25 °C temperatūroje, tinka vartoti 7 paras, o laikoma šaldytuve (2 </w:t>
      </w:r>
      <w:r w:rsidRPr="00FF2BB3">
        <w:rPr>
          <w:rFonts w:ascii="Times New Roman" w:hAnsi="Times New Roman" w:cs="Times New Roman"/>
          <w:highlight w:val="lightGray"/>
        </w:rPr>
        <w:sym w:font="Symbol" w:char="F0B0"/>
      </w:r>
      <w:r w:rsidRPr="00FF2BB3">
        <w:rPr>
          <w:rFonts w:ascii="Times New Roman" w:hAnsi="Times New Roman" w:cs="Times New Roman"/>
          <w:highlight w:val="lightGray"/>
        </w:rPr>
        <w:t>C </w:t>
      </w:r>
      <w:r w:rsidRPr="00FF2BB3">
        <w:rPr>
          <w:rFonts w:ascii="Times New Roman" w:hAnsi="Times New Roman" w:cs="Times New Roman"/>
          <w:highlight w:val="lightGray"/>
        </w:rPr>
        <w:noBreakHyphen/>
        <w:t xml:space="preserve"> 8 </w:t>
      </w:r>
      <w:r w:rsidRPr="00FF2BB3">
        <w:rPr>
          <w:rFonts w:ascii="Times New Roman" w:hAnsi="Times New Roman" w:cs="Times New Roman"/>
          <w:highlight w:val="lightGray"/>
        </w:rPr>
        <w:sym w:font="Symbol" w:char="F0B0"/>
      </w:r>
      <w:r w:rsidRPr="00FF2BB3">
        <w:rPr>
          <w:rFonts w:ascii="Times New Roman" w:hAnsi="Times New Roman" w:cs="Times New Roman"/>
          <w:highlight w:val="lightGray"/>
        </w:rPr>
        <w:t>C) – 14 parų. Buteliuką laikyti sandarų.</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outlineLvl w:val="0"/>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iCs/>
        </w:rPr>
        <w:t>Ant dėžutės, lizdinės plokštelės</w:t>
      </w:r>
      <w:r w:rsidRPr="00FF2BB3">
        <w:rPr>
          <w:rFonts w:ascii="Times New Roman" w:hAnsi="Times New Roman" w:cs="Times New Roman"/>
          <w:iCs/>
          <w:highlight w:val="lightGray"/>
        </w:rPr>
        <w:t>, buteliuko ar dvisluoksnės juostelės</w:t>
      </w:r>
      <w:r w:rsidRPr="00FF2BB3">
        <w:rPr>
          <w:rFonts w:ascii="Times New Roman" w:hAnsi="Times New Roman" w:cs="Times New Roman"/>
          <w:iCs/>
        </w:rPr>
        <w:t xml:space="preserve"> po</w:t>
      </w:r>
      <w:r w:rsidRPr="00FF2BB3">
        <w:rPr>
          <w:rFonts w:ascii="Times New Roman" w:hAnsi="Times New Roman" w:cs="Times New Roman"/>
        </w:rPr>
        <w:t xml:space="preserve"> „EXP“</w:t>
      </w:r>
      <w:r w:rsidRPr="00FF2BB3">
        <w:rPr>
          <w:rFonts w:ascii="Times New Roman" w:hAnsi="Times New Roman" w:cs="Times New Roman"/>
          <w:iCs/>
        </w:rPr>
        <w:t xml:space="preserve"> nurodytam tinkamumo laikui pasibaigus, šio vaisto vartoti negalima. </w:t>
      </w:r>
      <w:r w:rsidRPr="00FF2BB3">
        <w:rPr>
          <w:rFonts w:ascii="Times New Roman" w:hAnsi="Times New Roman" w:cs="Times New Roman"/>
        </w:rPr>
        <w:t>Vaistas tinkamas vartoti iki paskutinės nurodyto mėnesio dienos.</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rPr>
          <w:rFonts w:ascii="Times New Roman" w:hAnsi="Times New Roman" w:cs="Times New Roman"/>
        </w:rPr>
      </w:pPr>
      <w:r w:rsidRPr="00FF2BB3">
        <w:rPr>
          <w:rFonts w:ascii="Times New Roman" w:hAnsi="Times New Roman" w:cs="Times New Roman"/>
        </w:rPr>
        <w:t>Vaistų negalima išmesti į kanalizaciją arba su buitinėmis</w:t>
      </w:r>
      <w:r w:rsidRPr="00FF2BB3">
        <w:rPr>
          <w:rFonts w:ascii="Times New Roman" w:hAnsi="Times New Roman" w:cs="Times New Roman"/>
          <w:color w:val="993366"/>
        </w:rPr>
        <w:t xml:space="preserve"> </w:t>
      </w:r>
      <w:r w:rsidRPr="00FF2BB3">
        <w:rPr>
          <w:rFonts w:ascii="Times New Roman" w:hAnsi="Times New Roman" w:cs="Times New Roman"/>
        </w:rPr>
        <w:t>atliekomis. Kaip išmesti nereikalingus vaistus, klauskite vaistininko. Šios priemonės padės apsaugoti aplinką.</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left="567" w:right="-2" w:hanging="567"/>
        <w:rPr>
          <w:rFonts w:ascii="Times New Roman" w:hAnsi="Times New Roman" w:cs="Times New Roman"/>
          <w:b/>
        </w:rPr>
      </w:pPr>
      <w:r w:rsidRPr="00FF2BB3">
        <w:rPr>
          <w:rFonts w:ascii="Times New Roman" w:hAnsi="Times New Roman" w:cs="Times New Roman"/>
          <w:b/>
        </w:rPr>
        <w:t>6.</w:t>
      </w:r>
      <w:r w:rsidRPr="00FF2BB3">
        <w:rPr>
          <w:rFonts w:ascii="Times New Roman" w:hAnsi="Times New Roman" w:cs="Times New Roman"/>
          <w:b/>
        </w:rPr>
        <w:tab/>
        <w:t>Pakuotės turinys ir kita informacija</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outlineLvl w:val="0"/>
        <w:rPr>
          <w:rFonts w:ascii="Times New Roman" w:hAnsi="Times New Roman" w:cs="Times New Roman"/>
          <w:b/>
          <w:bCs/>
        </w:rPr>
      </w:pPr>
      <w:r w:rsidRPr="00FF2BB3">
        <w:rPr>
          <w:rFonts w:ascii="Times New Roman" w:hAnsi="Times New Roman" w:cs="Times New Roman"/>
          <w:b/>
          <w:bCs/>
        </w:rPr>
        <w:t>Duracef sudėtis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w:t>
      </w:r>
      <w:r w:rsidRPr="00FF2BB3">
        <w:rPr>
          <w:rFonts w:ascii="Times New Roman" w:hAnsi="Times New Roman" w:cs="Times New Roman"/>
        </w:rPr>
        <w:tab/>
        <w:t>Veiklioji medžiaga yra cefadroksilis (monohidrato pavidalu).</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tabs>
          <w:tab w:val="left" w:pos="720"/>
        </w:tabs>
        <w:autoSpaceDE w:val="0"/>
        <w:autoSpaceDN w:val="0"/>
        <w:adjustRightInd w:val="0"/>
        <w:spacing w:after="0" w:line="240" w:lineRule="auto"/>
        <w:rPr>
          <w:rFonts w:ascii="Times New Roman" w:hAnsi="Times New Roman" w:cs="Times New Roman"/>
          <w:bCs/>
        </w:rPr>
      </w:pPr>
      <w:r w:rsidRPr="00FF2BB3">
        <w:rPr>
          <w:rFonts w:ascii="Times New Roman" w:hAnsi="Times New Roman" w:cs="Times New Roman"/>
          <w:bCs/>
          <w:u w:val="single"/>
        </w:rPr>
        <w:t xml:space="preserve">250 mg/ 5ml milteliai geriamajai suspensijai. </w:t>
      </w:r>
      <w:r w:rsidRPr="00FF2BB3">
        <w:rPr>
          <w:rFonts w:ascii="Times New Roman" w:hAnsi="Times New Roman" w:cs="Times New Roman"/>
          <w:bCs/>
        </w:rPr>
        <w:t>5 ml paruoštos geriamosios suspensijos (viename matavimo šaukšte) yra 250 mg cefadroksilio.</w:t>
      </w:r>
    </w:p>
    <w:p w:rsidR="00FF2BB3" w:rsidRPr="00FF2BB3" w:rsidRDefault="00FF2BB3" w:rsidP="00FF2BB3">
      <w:pPr>
        <w:tabs>
          <w:tab w:val="left" w:pos="720"/>
        </w:tabs>
        <w:autoSpaceDE w:val="0"/>
        <w:autoSpaceDN w:val="0"/>
        <w:adjustRightInd w:val="0"/>
        <w:spacing w:after="0" w:line="240" w:lineRule="auto"/>
        <w:rPr>
          <w:rFonts w:ascii="Times New Roman" w:hAnsi="Times New Roman" w:cs="Times New Roman"/>
          <w:bCs/>
        </w:rPr>
      </w:pPr>
    </w:p>
    <w:p w:rsidR="00FF2BB3" w:rsidRPr="00FF2BB3" w:rsidRDefault="00FF2BB3" w:rsidP="00FF2BB3">
      <w:pPr>
        <w:spacing w:after="0" w:line="240" w:lineRule="auto"/>
        <w:rPr>
          <w:rFonts w:ascii="Times New Roman" w:hAnsi="Times New Roman" w:cs="Times New Roman"/>
          <w:highlight w:val="lightGray"/>
        </w:rPr>
      </w:pPr>
      <w:r w:rsidRPr="00FF2BB3">
        <w:rPr>
          <w:rFonts w:ascii="Times New Roman" w:hAnsi="Times New Roman" w:cs="Times New Roman"/>
          <w:highlight w:val="lightGray"/>
          <w:u w:val="single"/>
        </w:rPr>
        <w:t xml:space="preserve">500 mg kietosios kapsulės. </w:t>
      </w:r>
      <w:r w:rsidRPr="00FF2BB3">
        <w:rPr>
          <w:rFonts w:ascii="Times New Roman" w:hAnsi="Times New Roman" w:cs="Times New Roman"/>
          <w:highlight w:val="lightGray"/>
        </w:rPr>
        <w:t>Vienoje kapsulėje yra 500 mg cefadroksilio.</w:t>
      </w:r>
    </w:p>
    <w:p w:rsidR="00FF2BB3" w:rsidRPr="00FF2BB3" w:rsidRDefault="00FF2BB3" w:rsidP="00FF2BB3">
      <w:pPr>
        <w:spacing w:after="0" w:line="240" w:lineRule="auto"/>
        <w:rPr>
          <w:rFonts w:ascii="Times New Roman" w:hAnsi="Times New Roman" w:cs="Times New Roman"/>
          <w:highlight w:val="lightGray"/>
        </w:rPr>
      </w:pPr>
    </w:p>
    <w:p w:rsidR="00FF2BB3" w:rsidRPr="00FF2BB3" w:rsidRDefault="00FF2BB3" w:rsidP="00FF2BB3">
      <w:pPr>
        <w:numPr>
          <w:ilvl w:val="12"/>
          <w:numId w:val="0"/>
        </w:numPr>
        <w:spacing w:after="0" w:line="240" w:lineRule="auto"/>
        <w:ind w:right="-2"/>
        <w:rPr>
          <w:rFonts w:ascii="Times New Roman" w:hAnsi="Times New Roman" w:cs="Times New Roman"/>
        </w:rPr>
      </w:pPr>
      <w:r w:rsidRPr="00FF2BB3">
        <w:rPr>
          <w:rFonts w:ascii="Times New Roman" w:hAnsi="Times New Roman" w:cs="Times New Roman"/>
          <w:highlight w:val="lightGray"/>
          <w:u w:val="single"/>
        </w:rPr>
        <w:t>1 g disperguojamosios tabletės</w:t>
      </w:r>
      <w:r w:rsidRPr="00FF2BB3">
        <w:rPr>
          <w:rFonts w:ascii="Times New Roman" w:hAnsi="Times New Roman" w:cs="Times New Roman"/>
          <w:highlight w:val="lightGray"/>
        </w:rPr>
        <w:t>. Vienoje</w:t>
      </w:r>
      <w:r w:rsidRPr="00FF2BB3">
        <w:rPr>
          <w:rFonts w:ascii="Times New Roman" w:hAnsi="Times New Roman" w:cs="Times New Roman"/>
          <w:b/>
          <w:highlight w:val="lightGray"/>
        </w:rPr>
        <w:t xml:space="preserve"> </w:t>
      </w:r>
      <w:r w:rsidRPr="00FF2BB3">
        <w:rPr>
          <w:rFonts w:ascii="Times New Roman" w:hAnsi="Times New Roman" w:cs="Times New Roman"/>
          <w:highlight w:val="lightGray"/>
        </w:rPr>
        <w:t>disperguojamojoje</w:t>
      </w:r>
      <w:r w:rsidRPr="00FF2BB3">
        <w:rPr>
          <w:rFonts w:ascii="Times New Roman" w:hAnsi="Times New Roman" w:cs="Times New Roman"/>
          <w:b/>
          <w:highlight w:val="lightGray"/>
        </w:rPr>
        <w:t xml:space="preserve"> </w:t>
      </w:r>
      <w:r w:rsidRPr="00FF2BB3">
        <w:rPr>
          <w:rFonts w:ascii="Times New Roman" w:hAnsi="Times New Roman" w:cs="Times New Roman"/>
          <w:highlight w:val="lightGray"/>
        </w:rPr>
        <w:t>tabletėje yra 1 g cefadroksilio.</w:t>
      </w:r>
    </w:p>
    <w:p w:rsidR="00FF2BB3" w:rsidRPr="00FF2BB3" w:rsidRDefault="00FF2BB3" w:rsidP="00FF2BB3">
      <w:pPr>
        <w:tabs>
          <w:tab w:val="left" w:pos="720"/>
        </w:tabs>
        <w:autoSpaceDE w:val="0"/>
        <w:autoSpaceDN w:val="0"/>
        <w:adjustRightInd w:val="0"/>
        <w:spacing w:after="0" w:line="240" w:lineRule="auto"/>
        <w:rPr>
          <w:rFonts w:ascii="Times New Roman" w:hAnsi="Times New Roman" w:cs="Times New Roman"/>
          <w:bCs/>
        </w:rPr>
      </w:pP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w:t>
      </w:r>
      <w:r w:rsidRPr="00FF2BB3">
        <w:rPr>
          <w:rFonts w:ascii="Times New Roman" w:hAnsi="Times New Roman" w:cs="Times New Roman"/>
        </w:rPr>
        <w:tab/>
        <w:t>Pagalbinės medžiagos yra:</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u w:val="single"/>
        </w:rPr>
        <w:t>Milteliai geriamajai suspensijai.</w:t>
      </w:r>
      <w:r w:rsidRPr="00FF2BB3">
        <w:rPr>
          <w:rFonts w:ascii="Times New Roman" w:hAnsi="Times New Roman" w:cs="Times New Roman"/>
          <w:b/>
        </w:rPr>
        <w:t xml:space="preserve"> </w:t>
      </w:r>
      <w:r w:rsidRPr="00FF2BB3">
        <w:rPr>
          <w:rFonts w:ascii="Times New Roman" w:hAnsi="Times New Roman" w:cs="Times New Roman"/>
        </w:rPr>
        <w:t xml:space="preserve">Natrio benzoatas (E211), ksantano lipai, </w:t>
      </w:r>
      <w:r w:rsidRPr="00FF2BB3">
        <w:rPr>
          <w:rFonts w:ascii="Times New Roman" w:hAnsi="Times New Roman" w:cs="Times New Roman"/>
          <w:i/>
        </w:rPr>
        <w:t>Tween</w:t>
      </w:r>
      <w:r w:rsidRPr="00FF2BB3">
        <w:rPr>
          <w:rFonts w:ascii="Times New Roman" w:hAnsi="Times New Roman" w:cs="Times New Roman"/>
        </w:rPr>
        <w:t xml:space="preserve"> 40 (polioksietileno sorbitano monopalmitatas), aviečių skonio medžiaga, citrinų skonio medžiaga, braškių skonio medžiaga, </w:t>
      </w:r>
      <w:r w:rsidRPr="00FF2BB3">
        <w:rPr>
          <w:rFonts w:ascii="Times New Roman" w:hAnsi="Times New Roman" w:cs="Times New Roman"/>
          <w:i/>
        </w:rPr>
        <w:t>Refranchissment</w:t>
      </w:r>
      <w:r w:rsidRPr="00FF2BB3">
        <w:rPr>
          <w:rFonts w:ascii="Times New Roman" w:hAnsi="Times New Roman" w:cs="Times New Roman"/>
        </w:rPr>
        <w:t xml:space="preserve"> skonio medžiaga, titano dioksidas (E171), sacharozė.</w:t>
      </w:r>
    </w:p>
    <w:p w:rsidR="00FF2BB3" w:rsidRPr="00FF2BB3" w:rsidRDefault="00FF2BB3" w:rsidP="00FF2BB3">
      <w:pPr>
        <w:spacing w:after="0" w:line="240" w:lineRule="auto"/>
        <w:ind w:right="-2"/>
        <w:rPr>
          <w:rFonts w:ascii="Times New Roman" w:hAnsi="Times New Roman" w:cs="Times New Roman"/>
          <w:u w:val="single"/>
        </w:rPr>
      </w:pPr>
    </w:p>
    <w:p w:rsidR="00FF2BB3" w:rsidRPr="00FF2BB3" w:rsidRDefault="00FF2BB3" w:rsidP="00FF2BB3">
      <w:pPr>
        <w:spacing w:after="0" w:line="240" w:lineRule="auto"/>
        <w:ind w:right="-2"/>
        <w:rPr>
          <w:rFonts w:ascii="Times New Roman" w:hAnsi="Times New Roman" w:cs="Times New Roman"/>
          <w:b/>
          <w:highlight w:val="lightGray"/>
        </w:rPr>
      </w:pPr>
      <w:r w:rsidRPr="00FF2BB3">
        <w:rPr>
          <w:rFonts w:ascii="Times New Roman" w:hAnsi="Times New Roman" w:cs="Times New Roman"/>
          <w:highlight w:val="lightGray"/>
          <w:u w:val="single"/>
        </w:rPr>
        <w:t>Kietosios kapsulės</w:t>
      </w:r>
      <w:r w:rsidRPr="00FF2BB3">
        <w:rPr>
          <w:rFonts w:ascii="Times New Roman" w:hAnsi="Times New Roman" w:cs="Times New Roman"/>
          <w:highlight w:val="lightGray"/>
        </w:rPr>
        <w:t>.</w:t>
      </w:r>
      <w:r w:rsidRPr="00FF2BB3">
        <w:rPr>
          <w:rFonts w:ascii="Times New Roman" w:hAnsi="Times New Roman" w:cs="Times New Roman"/>
          <w:b/>
          <w:highlight w:val="lightGray"/>
        </w:rPr>
        <w:t xml:space="preserve"> </w:t>
      </w:r>
      <w:r w:rsidRPr="00FF2BB3">
        <w:rPr>
          <w:rFonts w:ascii="Times New Roman" w:hAnsi="Times New Roman" w:cs="Times New Roman"/>
          <w:highlight w:val="lightGray"/>
        </w:rPr>
        <w:t>Kapsulės turinyje yra magnio stearato, bevandenio koloidinio silicio dioksido, laktozė monohidrato. Kapsulės apvalkale yra želatinos, titano dioksido (E171). Rašalo sudėtyje yra šelako, geležies juodojo oksido E172, propilenglikolio E1520, amonio hidroksido E527.</w:t>
      </w:r>
    </w:p>
    <w:p w:rsidR="00FF2BB3" w:rsidRPr="00FF2BB3" w:rsidRDefault="00FF2BB3" w:rsidP="00FF2BB3">
      <w:pPr>
        <w:tabs>
          <w:tab w:val="left" w:pos="720"/>
        </w:tabs>
        <w:spacing w:after="0" w:line="240" w:lineRule="auto"/>
        <w:ind w:right="-2"/>
        <w:rPr>
          <w:rFonts w:ascii="Times New Roman" w:hAnsi="Times New Roman" w:cs="Times New Roman"/>
          <w:highlight w:val="lightGray"/>
          <w:u w:val="single"/>
        </w:rPr>
      </w:pPr>
    </w:p>
    <w:p w:rsidR="00FF2BB3" w:rsidRPr="00FF2BB3" w:rsidRDefault="00FF2BB3" w:rsidP="00FF2BB3">
      <w:pPr>
        <w:tabs>
          <w:tab w:val="left" w:pos="720"/>
        </w:tabs>
        <w:spacing w:after="0" w:line="240" w:lineRule="auto"/>
        <w:ind w:right="-2"/>
        <w:rPr>
          <w:rFonts w:ascii="Times New Roman" w:hAnsi="Times New Roman" w:cs="Times New Roman"/>
        </w:rPr>
      </w:pPr>
      <w:r w:rsidRPr="00FF2BB3">
        <w:rPr>
          <w:rFonts w:ascii="Times New Roman" w:hAnsi="Times New Roman" w:cs="Times New Roman"/>
          <w:highlight w:val="lightGray"/>
          <w:u w:val="single"/>
        </w:rPr>
        <w:t>Disperguojamosios tabletės.</w:t>
      </w:r>
      <w:r w:rsidRPr="00FF2BB3">
        <w:rPr>
          <w:rFonts w:ascii="Times New Roman" w:hAnsi="Times New Roman" w:cs="Times New Roman"/>
          <w:highlight w:val="lightGray"/>
        </w:rPr>
        <w:t xml:space="preserve"> Mikrokristalinė celiuliozė, magnio stearatas, krospovidonas, amonio glicirizinatas, aviečių skonio medžiaga, citrinų skonio medžiaga, braškių skonio medžiaga, sacharino natrio druska, natrio gliukonatas, gliukono delta laktonas, guaro lipai.</w:t>
      </w:r>
    </w:p>
    <w:p w:rsidR="00FF2BB3" w:rsidRPr="00FF2BB3" w:rsidRDefault="00FF2BB3" w:rsidP="00FF2BB3">
      <w:pPr>
        <w:spacing w:after="0" w:line="240" w:lineRule="auto"/>
        <w:ind w:right="-2"/>
        <w:rPr>
          <w:rFonts w:ascii="Times New Roman" w:hAnsi="Times New Roman" w:cs="Times New Roman"/>
        </w:rPr>
      </w:pPr>
    </w:p>
    <w:p w:rsidR="00FF2BB3" w:rsidRPr="00FF2BB3" w:rsidRDefault="00FF2BB3" w:rsidP="00FF2BB3">
      <w:pPr>
        <w:numPr>
          <w:ilvl w:val="12"/>
          <w:numId w:val="0"/>
        </w:numPr>
        <w:spacing w:after="0" w:line="240" w:lineRule="auto"/>
        <w:ind w:right="-2"/>
        <w:outlineLvl w:val="0"/>
        <w:rPr>
          <w:rFonts w:ascii="Times New Roman" w:hAnsi="Times New Roman" w:cs="Times New Roman"/>
          <w:b/>
          <w:bCs/>
        </w:rPr>
      </w:pPr>
      <w:r w:rsidRPr="00FF2BB3">
        <w:rPr>
          <w:rFonts w:ascii="Times New Roman" w:hAnsi="Times New Roman" w:cs="Times New Roman"/>
          <w:b/>
          <w:bCs/>
        </w:rPr>
        <w:t>Duracef išvaizda ir kiekis pakuotėje</w:t>
      </w:r>
    </w:p>
    <w:p w:rsidR="00FF2BB3" w:rsidRPr="00FF2BB3" w:rsidRDefault="00FF2BB3" w:rsidP="00FF2BB3">
      <w:pPr>
        <w:spacing w:after="0" w:line="240" w:lineRule="auto"/>
        <w:outlineLvl w:val="0"/>
        <w:rPr>
          <w:rFonts w:ascii="Times New Roman" w:hAnsi="Times New Roman" w:cs="Times New Roman"/>
          <w:u w:val="single"/>
        </w:rPr>
      </w:pPr>
      <w:r w:rsidRPr="00FF2BB3">
        <w:rPr>
          <w:rFonts w:ascii="Times New Roman" w:hAnsi="Times New Roman" w:cs="Times New Roman"/>
          <w:bCs/>
          <w:u w:val="single"/>
        </w:rPr>
        <w:t>Duracef</w:t>
      </w:r>
      <w:r w:rsidRPr="00FF2BB3">
        <w:rPr>
          <w:rFonts w:ascii="Times New Roman" w:hAnsi="Times New Roman" w:cs="Times New Roman"/>
          <w:b/>
          <w:bCs/>
          <w:u w:val="single"/>
        </w:rPr>
        <w:t xml:space="preserve"> </w:t>
      </w:r>
      <w:r w:rsidRPr="00FF2BB3">
        <w:rPr>
          <w:rFonts w:ascii="Times New Roman" w:hAnsi="Times New Roman" w:cs="Times New Roman"/>
          <w:u w:val="single"/>
        </w:rPr>
        <w:t>250 mg/5 ml milteliai geriamajai suspensijai</w:t>
      </w:r>
      <w:r w:rsidRPr="00FF2BB3">
        <w:rPr>
          <w:rFonts w:ascii="Times New Roman" w:hAnsi="Times New Roman" w:cs="Times New Roman"/>
        </w:rPr>
        <w:t xml:space="preserve"> yra baltos arba gelsvos spalvos, būdingo vaisių kvapo.</w:t>
      </w:r>
    </w:p>
    <w:p w:rsidR="00FF2BB3" w:rsidRPr="00FF2BB3" w:rsidRDefault="00FF2BB3" w:rsidP="00FF2BB3">
      <w:pPr>
        <w:spacing w:after="0" w:line="240" w:lineRule="auto"/>
        <w:outlineLvl w:val="0"/>
        <w:rPr>
          <w:rFonts w:ascii="Times New Roman" w:hAnsi="Times New Roman" w:cs="Times New Roman"/>
        </w:rPr>
      </w:pPr>
      <w:r w:rsidRPr="00FF2BB3">
        <w:rPr>
          <w:rFonts w:ascii="Times New Roman" w:hAnsi="Times New Roman" w:cs="Times New Roman"/>
        </w:rPr>
        <w:t>Dėžutėje yra vienas 60 ml arba 100 ml DTPE (plastikinis) buteliukas ir matavimo šaukštas.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Paruošta vartoti geriamoji suspensija yra baltos arba gelsvos spalvos, vaisių kvapo.</w:t>
      </w:r>
    </w:p>
    <w:p w:rsidR="00FF2BB3" w:rsidRPr="00FF2BB3" w:rsidRDefault="00FF2BB3" w:rsidP="00FF2BB3">
      <w:pPr>
        <w:spacing w:after="0" w:line="240" w:lineRule="auto"/>
        <w:rPr>
          <w:rFonts w:ascii="Times New Roman" w:hAnsi="Times New Roman" w:cs="Times New Roman"/>
          <w:bCs/>
        </w:rPr>
      </w:pPr>
    </w:p>
    <w:p w:rsidR="00FF2BB3" w:rsidRPr="00FF2BB3" w:rsidRDefault="00FF2BB3" w:rsidP="00FF2BB3">
      <w:pPr>
        <w:spacing w:after="0" w:line="240" w:lineRule="auto"/>
        <w:rPr>
          <w:rFonts w:ascii="Times New Roman" w:hAnsi="Times New Roman" w:cs="Times New Roman"/>
          <w:highlight w:val="lightGray"/>
        </w:rPr>
      </w:pPr>
      <w:r w:rsidRPr="00FF2BB3">
        <w:rPr>
          <w:rFonts w:ascii="Times New Roman" w:hAnsi="Times New Roman" w:cs="Times New Roman"/>
          <w:highlight w:val="lightGray"/>
          <w:u w:val="single"/>
        </w:rPr>
        <w:t>Duracef 500 mg kietosios kapsulės</w:t>
      </w:r>
      <w:r w:rsidRPr="00FF2BB3">
        <w:rPr>
          <w:rFonts w:ascii="Times New Roman" w:hAnsi="Times New Roman" w:cs="Times New Roman"/>
          <w:highlight w:val="lightGray"/>
        </w:rPr>
        <w:t xml:space="preserve"> yra matinės, baltos spalvos, su juodu užrašu „7244“.</w:t>
      </w:r>
    </w:p>
    <w:p w:rsidR="00FF2BB3" w:rsidRPr="00FF2BB3" w:rsidRDefault="00FF2BB3" w:rsidP="00FF2BB3">
      <w:pPr>
        <w:spacing w:after="0" w:line="240" w:lineRule="auto"/>
        <w:rPr>
          <w:rFonts w:ascii="Times New Roman" w:hAnsi="Times New Roman" w:cs="Times New Roman"/>
          <w:highlight w:val="lightGray"/>
        </w:rPr>
      </w:pPr>
      <w:r w:rsidRPr="00FF2BB3">
        <w:rPr>
          <w:rFonts w:ascii="Times New Roman" w:hAnsi="Times New Roman" w:cs="Times New Roman"/>
          <w:highlight w:val="lightGray"/>
        </w:rPr>
        <w:t>Dėžutėje yra 12 kapsulių lizdinėse plokštelėse.</w:t>
      </w:r>
    </w:p>
    <w:p w:rsidR="00FF2BB3" w:rsidRPr="00FF2BB3" w:rsidRDefault="00FF2BB3" w:rsidP="00FF2BB3">
      <w:pPr>
        <w:spacing w:after="0" w:line="240" w:lineRule="auto"/>
        <w:rPr>
          <w:rFonts w:ascii="Times New Roman" w:hAnsi="Times New Roman" w:cs="Times New Roman"/>
          <w:bCs/>
          <w:highlight w:val="lightGray"/>
        </w:rPr>
      </w:pPr>
    </w:p>
    <w:p w:rsidR="00FF2BB3" w:rsidRPr="00FF2BB3" w:rsidRDefault="00FF2BB3" w:rsidP="00FF2BB3">
      <w:pPr>
        <w:spacing w:after="0" w:line="240" w:lineRule="auto"/>
        <w:rPr>
          <w:rFonts w:ascii="Times New Roman" w:hAnsi="Times New Roman" w:cs="Times New Roman"/>
          <w:highlight w:val="lightGray"/>
        </w:rPr>
      </w:pPr>
      <w:r w:rsidRPr="00FF2BB3">
        <w:rPr>
          <w:rFonts w:ascii="Times New Roman" w:hAnsi="Times New Roman" w:cs="Times New Roman"/>
          <w:bCs/>
          <w:highlight w:val="lightGray"/>
          <w:u w:val="single"/>
        </w:rPr>
        <w:t>Duracef</w:t>
      </w:r>
      <w:r w:rsidRPr="00FF2BB3">
        <w:rPr>
          <w:rFonts w:ascii="Times New Roman" w:hAnsi="Times New Roman" w:cs="Times New Roman"/>
          <w:b/>
          <w:bCs/>
          <w:highlight w:val="lightGray"/>
          <w:u w:val="single"/>
        </w:rPr>
        <w:t xml:space="preserve"> </w:t>
      </w:r>
      <w:r w:rsidRPr="00FF2BB3">
        <w:rPr>
          <w:rFonts w:ascii="Times New Roman" w:hAnsi="Times New Roman" w:cs="Times New Roman"/>
          <w:highlight w:val="lightGray"/>
          <w:u w:val="single"/>
        </w:rPr>
        <w:t>1 g disperguojamosios tabletės</w:t>
      </w:r>
      <w:r w:rsidRPr="00FF2BB3">
        <w:rPr>
          <w:rFonts w:ascii="Times New Roman" w:hAnsi="Times New Roman" w:cs="Times New Roman"/>
          <w:highlight w:val="lightGray"/>
        </w:rPr>
        <w:t xml:space="preserve"> yra baltos ar gelsvai balkšvos spalvos, apvalios formos, su vagele. Vagelė nėra skirta tabletei perlaužti.</w:t>
      </w:r>
    </w:p>
    <w:p w:rsidR="00FF2BB3" w:rsidRPr="00FF2BB3" w:rsidRDefault="00FF2BB3" w:rsidP="00FF2BB3">
      <w:pPr>
        <w:spacing w:after="0" w:line="240" w:lineRule="auto"/>
        <w:rPr>
          <w:rFonts w:ascii="Times New Roman" w:hAnsi="Times New Roman" w:cs="Times New Roman"/>
          <w:bCs/>
        </w:rPr>
      </w:pPr>
      <w:r w:rsidRPr="00FF2BB3">
        <w:rPr>
          <w:rFonts w:ascii="Times New Roman" w:hAnsi="Times New Roman" w:cs="Times New Roman"/>
          <w:highlight w:val="lightGray"/>
        </w:rPr>
        <w:lastRenderedPageBreak/>
        <w:t>Dėžutėje yra 10 disperguojamųjų tablečių dvisluoksnėse juostelėse.</w:t>
      </w:r>
    </w:p>
    <w:p w:rsidR="00FF2BB3" w:rsidRPr="00FF2BB3" w:rsidRDefault="00FF2BB3" w:rsidP="00FF2BB3">
      <w:pPr>
        <w:spacing w:after="0" w:line="240" w:lineRule="auto"/>
        <w:outlineLvl w:val="0"/>
        <w:rPr>
          <w:rFonts w:ascii="Times New Roman" w:hAnsi="Times New Roman" w:cs="Times New Roman"/>
          <w:b/>
        </w:rPr>
      </w:pPr>
    </w:p>
    <w:p w:rsidR="00FF2BB3" w:rsidRPr="00FF2BB3" w:rsidRDefault="00FF2BB3" w:rsidP="00FF2BB3">
      <w:pPr>
        <w:spacing w:after="0" w:line="240" w:lineRule="auto"/>
        <w:outlineLvl w:val="0"/>
        <w:rPr>
          <w:rFonts w:ascii="Times New Roman" w:hAnsi="Times New Roman" w:cs="Times New Roman"/>
        </w:rPr>
      </w:pPr>
      <w:r w:rsidRPr="00FF2BB3">
        <w:rPr>
          <w:rFonts w:ascii="Times New Roman" w:hAnsi="Times New Roman" w:cs="Times New Roman"/>
        </w:rPr>
        <w:t>Gali būti tiekiamos ne visų dydžių pakuotės.</w:t>
      </w:r>
    </w:p>
    <w:p w:rsidR="00FF2BB3" w:rsidRPr="00FF2BB3" w:rsidRDefault="00FF2BB3" w:rsidP="00FF2BB3">
      <w:pPr>
        <w:spacing w:after="0" w:line="240" w:lineRule="auto"/>
        <w:outlineLvl w:val="0"/>
        <w:rPr>
          <w:rFonts w:ascii="Times New Roman" w:hAnsi="Times New Roman" w:cs="Times New Roman"/>
          <w:b/>
        </w:rPr>
      </w:pPr>
    </w:p>
    <w:p w:rsidR="00FF2BB3" w:rsidRPr="00FF2BB3" w:rsidRDefault="00FF2BB3" w:rsidP="00FF2BB3">
      <w:pPr>
        <w:spacing w:after="0" w:line="240" w:lineRule="auto"/>
        <w:outlineLvl w:val="0"/>
        <w:rPr>
          <w:rFonts w:ascii="Times New Roman" w:hAnsi="Times New Roman" w:cs="Times New Roman"/>
          <w:b/>
          <w:bCs/>
        </w:rPr>
      </w:pPr>
      <w:r w:rsidRPr="00FF2BB3">
        <w:rPr>
          <w:rFonts w:ascii="Times New Roman" w:hAnsi="Times New Roman" w:cs="Times New Roman"/>
          <w:b/>
        </w:rPr>
        <w:t>Registruotojas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Bausch Health Ireland Limited</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3013 Lake Drive</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Citywest Business Campus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Dublin 24, D24PPT3</w:t>
      </w:r>
    </w:p>
    <w:p w:rsidR="00FF2BB3" w:rsidRPr="00FF2BB3" w:rsidRDefault="00FF2BB3" w:rsidP="00FF2BB3">
      <w:pPr>
        <w:numPr>
          <w:ilvl w:val="12"/>
          <w:numId w:val="0"/>
        </w:numPr>
        <w:spacing w:after="0" w:line="240" w:lineRule="auto"/>
        <w:ind w:right="-2"/>
        <w:rPr>
          <w:rFonts w:ascii="Times New Roman" w:eastAsia="Arial Unicode MS" w:hAnsi="Times New Roman" w:cs="Times New Roman"/>
        </w:rPr>
      </w:pPr>
      <w:r w:rsidRPr="00FF2BB3">
        <w:rPr>
          <w:rFonts w:ascii="Times New Roman" w:hAnsi="Times New Roman" w:cs="Times New Roman"/>
        </w:rPr>
        <w:t>Airija</w:t>
      </w:r>
    </w:p>
    <w:p w:rsidR="00FF2BB3" w:rsidRPr="00FF2BB3" w:rsidRDefault="00FF2BB3" w:rsidP="00FF2BB3">
      <w:pPr>
        <w:numPr>
          <w:ilvl w:val="12"/>
          <w:numId w:val="0"/>
        </w:numPr>
        <w:spacing w:after="0" w:line="240" w:lineRule="auto"/>
        <w:ind w:right="-2"/>
        <w:rPr>
          <w:rFonts w:ascii="Times New Roman" w:hAnsi="Times New Roman" w:cs="Times New Roman"/>
          <w:b/>
          <w:bCs/>
        </w:rPr>
      </w:pPr>
    </w:p>
    <w:p w:rsidR="00FF2BB3" w:rsidRPr="00FF2BB3" w:rsidRDefault="00FF2BB3" w:rsidP="00FF2BB3">
      <w:pPr>
        <w:numPr>
          <w:ilvl w:val="12"/>
          <w:numId w:val="0"/>
        </w:numPr>
        <w:spacing w:after="0" w:line="240" w:lineRule="auto"/>
        <w:ind w:right="-2"/>
        <w:outlineLvl w:val="0"/>
        <w:rPr>
          <w:rFonts w:ascii="Times New Roman" w:hAnsi="Times New Roman" w:cs="Times New Roman"/>
          <w:b/>
          <w:bCs/>
        </w:rPr>
      </w:pPr>
      <w:r w:rsidRPr="00FF2BB3">
        <w:rPr>
          <w:rFonts w:ascii="Times New Roman" w:hAnsi="Times New Roman" w:cs="Times New Roman"/>
          <w:b/>
          <w:bCs/>
        </w:rPr>
        <w:t>Gamintojas</w:t>
      </w:r>
    </w:p>
    <w:p w:rsidR="00FF2BB3" w:rsidRPr="00FF2BB3" w:rsidRDefault="00FF2BB3" w:rsidP="00FF2BB3">
      <w:pPr>
        <w:spacing w:after="0"/>
        <w:rPr>
          <w:rFonts w:ascii="Times New Roman" w:hAnsi="Times New Roman" w:cs="Times New Roman"/>
        </w:rPr>
      </w:pPr>
      <w:r w:rsidRPr="00FF2BB3">
        <w:rPr>
          <w:rFonts w:ascii="Times New Roman" w:hAnsi="Times New Roman" w:cs="Times New Roman"/>
        </w:rPr>
        <w:t>PenCef Pharma GmbH</w:t>
      </w:r>
    </w:p>
    <w:p w:rsidR="00FF2BB3" w:rsidRPr="00FF2BB3" w:rsidRDefault="00FF2BB3" w:rsidP="00FF2BB3">
      <w:pPr>
        <w:spacing w:after="0"/>
        <w:rPr>
          <w:rFonts w:ascii="Times New Roman" w:hAnsi="Times New Roman" w:cs="Times New Roman"/>
        </w:rPr>
      </w:pPr>
      <w:r w:rsidRPr="00FF2BB3">
        <w:rPr>
          <w:rFonts w:ascii="Times New Roman" w:hAnsi="Times New Roman" w:cs="Times New Roman"/>
        </w:rPr>
        <w:t>Schützenanger 9</w:t>
      </w:r>
    </w:p>
    <w:p w:rsidR="00FF2BB3" w:rsidRPr="00FF2BB3" w:rsidRDefault="00FF2BB3" w:rsidP="00FF2BB3">
      <w:pPr>
        <w:spacing w:after="0"/>
        <w:rPr>
          <w:rFonts w:ascii="Times New Roman" w:hAnsi="Times New Roman" w:cs="Times New Roman"/>
        </w:rPr>
      </w:pPr>
      <w:r w:rsidRPr="00FF2BB3">
        <w:rPr>
          <w:rFonts w:ascii="Times New Roman" w:hAnsi="Times New Roman" w:cs="Times New Roman"/>
        </w:rPr>
        <w:t>37081 Göttingen</w:t>
      </w:r>
    </w:p>
    <w:p w:rsidR="00FF2BB3" w:rsidRPr="00FF2BB3" w:rsidRDefault="00FF2BB3" w:rsidP="00FF2BB3">
      <w:pPr>
        <w:spacing w:after="0"/>
        <w:rPr>
          <w:rFonts w:ascii="Times New Roman" w:hAnsi="Times New Roman" w:cs="Times New Roman"/>
        </w:rPr>
      </w:pPr>
      <w:r w:rsidRPr="00FF2BB3">
        <w:rPr>
          <w:rFonts w:ascii="Times New Roman" w:hAnsi="Times New Roman" w:cs="Times New Roman"/>
        </w:rPr>
        <w:t>Lower Saxony</w:t>
      </w:r>
    </w:p>
    <w:p w:rsidR="00FF2BB3" w:rsidRPr="00FF2BB3" w:rsidRDefault="00FF2BB3" w:rsidP="00FF2BB3">
      <w:pPr>
        <w:numPr>
          <w:ilvl w:val="12"/>
          <w:numId w:val="0"/>
        </w:numPr>
        <w:spacing w:after="0"/>
        <w:ind w:right="-2"/>
        <w:rPr>
          <w:rFonts w:ascii="Times New Roman" w:hAnsi="Times New Roman" w:cs="Times New Roman"/>
        </w:rPr>
      </w:pPr>
      <w:r w:rsidRPr="00FF2BB3">
        <w:rPr>
          <w:rFonts w:ascii="Times New Roman" w:hAnsi="Times New Roman" w:cs="Times New Roman"/>
        </w:rPr>
        <w:t>Vokietija</w:t>
      </w:r>
    </w:p>
    <w:p w:rsidR="00FF2BB3" w:rsidRPr="00FF2BB3" w:rsidRDefault="00FF2BB3" w:rsidP="00FF2BB3">
      <w:pPr>
        <w:numPr>
          <w:ilvl w:val="12"/>
          <w:numId w:val="0"/>
        </w:numPr>
        <w:spacing w:after="0" w:line="240" w:lineRule="auto"/>
        <w:ind w:right="-2"/>
        <w:rPr>
          <w:rFonts w:ascii="Times New Roman" w:hAnsi="Times New Roman" w:cs="Times New Roman"/>
        </w:rPr>
      </w:pPr>
    </w:p>
    <w:p w:rsidR="00FF2BB3" w:rsidRPr="00FF2BB3" w:rsidRDefault="00FF2BB3" w:rsidP="00FF2BB3">
      <w:pPr>
        <w:spacing w:after="0" w:line="240" w:lineRule="auto"/>
        <w:outlineLvl w:val="0"/>
        <w:rPr>
          <w:rFonts w:ascii="Times New Roman" w:hAnsi="Times New Roman" w:cs="Times New Roman"/>
        </w:rPr>
      </w:pPr>
      <w:r w:rsidRPr="00FF2BB3">
        <w:rPr>
          <w:rFonts w:ascii="Times New Roman" w:hAnsi="Times New Roman" w:cs="Times New Roman"/>
        </w:rPr>
        <w:t>Jeigu apie šį vaistą norite sužinoti daugiau, kreipkitės į vietinį registruotojo atstovą.</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outlineLvl w:val="0"/>
        <w:rPr>
          <w:rFonts w:ascii="Times New Roman" w:hAnsi="Times New Roman" w:cs="Times New Roman"/>
        </w:rPr>
      </w:pPr>
      <w:r w:rsidRPr="00FF2BB3">
        <w:rPr>
          <w:rFonts w:ascii="Times New Roman" w:hAnsi="Times New Roman" w:cs="Times New Roman"/>
        </w:rPr>
        <w:t>UAB "PharmaSwiss"</w:t>
      </w:r>
    </w:p>
    <w:p w:rsidR="00FF2BB3" w:rsidRPr="00FF2BB3" w:rsidRDefault="00FF2BB3" w:rsidP="00FF2BB3">
      <w:pPr>
        <w:spacing w:after="0" w:line="240" w:lineRule="auto"/>
        <w:rPr>
          <w:rFonts w:ascii="Times New Roman" w:hAnsi="Times New Roman" w:cs="Times New Roman"/>
        </w:rPr>
      </w:pPr>
      <w:r w:rsidRPr="00FF2BB3">
        <w:rPr>
          <w:rFonts w:ascii="Times New Roman" w:hAnsi="Times New Roman" w:cs="Times New Roman"/>
        </w:rPr>
        <w:t>Tel.: +370 5 2790 762</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b/>
        </w:rPr>
      </w:pPr>
      <w:r w:rsidRPr="00FF2BB3">
        <w:rPr>
          <w:rFonts w:ascii="Times New Roman" w:hAnsi="Times New Roman" w:cs="Times New Roman"/>
          <w:b/>
          <w:bCs/>
        </w:rPr>
        <w:t>Šis pakuotės lapelis</w:t>
      </w:r>
      <w:r w:rsidRPr="00FF2BB3">
        <w:rPr>
          <w:rFonts w:ascii="Times New Roman" w:hAnsi="Times New Roman" w:cs="Times New Roman"/>
          <w:b/>
        </w:rPr>
        <w:t xml:space="preserve"> paskutinį kartą peržiūrėtas 2021-03-12.</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numPr>
          <w:ilvl w:val="12"/>
          <w:numId w:val="0"/>
        </w:numPr>
        <w:spacing w:after="0" w:line="240" w:lineRule="auto"/>
        <w:ind w:right="-2"/>
        <w:outlineLvl w:val="0"/>
        <w:rPr>
          <w:rFonts w:ascii="Times New Roman" w:hAnsi="Times New Roman" w:cs="Times New Roman"/>
        </w:rPr>
      </w:pPr>
      <w:r w:rsidRPr="00FF2BB3">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Pr="00FF2BB3">
          <w:rPr>
            <w:rStyle w:val="Hipersaitas"/>
          </w:rPr>
          <w:t>http://www.vvkt.lt/</w:t>
        </w:r>
      </w:hyperlink>
      <w:r w:rsidRPr="00FF2BB3">
        <w:rPr>
          <w:rFonts w:ascii="Times New Roman" w:hAnsi="Times New Roman" w:cs="Times New Roman"/>
        </w:rPr>
        <w:t>.</w:t>
      </w:r>
    </w:p>
    <w:p w:rsidR="00FF2BB3" w:rsidRPr="00FF2BB3" w:rsidRDefault="00FF2BB3" w:rsidP="00FF2BB3">
      <w:pPr>
        <w:spacing w:after="0" w:line="240" w:lineRule="auto"/>
        <w:rPr>
          <w:rFonts w:ascii="Times New Roman" w:hAnsi="Times New Roman" w:cs="Times New Roman"/>
        </w:rPr>
      </w:pPr>
    </w:p>
    <w:p w:rsidR="00FF2BB3" w:rsidRPr="00FF2BB3" w:rsidRDefault="00FF2BB3" w:rsidP="00FF2BB3">
      <w:pPr>
        <w:spacing w:after="0" w:line="240" w:lineRule="auto"/>
        <w:rPr>
          <w:rFonts w:ascii="Times New Roman" w:hAnsi="Times New Roman" w:cs="Times New Roman"/>
        </w:rPr>
      </w:pPr>
      <w:bookmarkStart w:id="4" w:name="_GoBack"/>
      <w:bookmarkEnd w:id="4"/>
    </w:p>
    <w:p w:rsidR="004C32FE" w:rsidRPr="00FF2BB3" w:rsidRDefault="004C32FE" w:rsidP="00FF2BB3">
      <w:pPr>
        <w:tabs>
          <w:tab w:val="left" w:pos="567"/>
        </w:tabs>
        <w:spacing w:after="0" w:line="240" w:lineRule="auto"/>
        <w:jc w:val="center"/>
        <w:outlineLvl w:val="0"/>
        <w:rPr>
          <w:rFonts w:ascii="Times New Roman" w:eastAsia="Calibri" w:hAnsi="Times New Roman" w:cs="Times New Roman"/>
        </w:rPr>
      </w:pPr>
    </w:p>
    <w:p w:rsidR="003C38F2" w:rsidRPr="00FF2BB3" w:rsidRDefault="003C38F2" w:rsidP="00FF2BB3">
      <w:pPr>
        <w:tabs>
          <w:tab w:val="left" w:pos="567"/>
        </w:tabs>
        <w:spacing w:after="0" w:line="240" w:lineRule="auto"/>
        <w:jc w:val="center"/>
        <w:outlineLvl w:val="0"/>
        <w:rPr>
          <w:rFonts w:ascii="Times New Roman" w:eastAsia="Calibri" w:hAnsi="Times New Roman" w:cs="Times New Roman"/>
        </w:rPr>
      </w:pPr>
    </w:p>
    <w:p w:rsidR="003F63CE" w:rsidRPr="00FF2BB3" w:rsidRDefault="003F63CE" w:rsidP="00FF2BB3">
      <w:pPr>
        <w:tabs>
          <w:tab w:val="left" w:pos="567"/>
        </w:tabs>
        <w:spacing w:after="0" w:line="240" w:lineRule="auto"/>
        <w:jc w:val="center"/>
        <w:outlineLvl w:val="0"/>
        <w:rPr>
          <w:rFonts w:ascii="Times New Roman" w:hAnsi="Times New Roman" w:cs="Times New Roman"/>
        </w:rPr>
      </w:pPr>
    </w:p>
    <w:p w:rsidR="009112D1" w:rsidRPr="00FF2BB3" w:rsidRDefault="009112D1" w:rsidP="00FF2BB3">
      <w:pPr>
        <w:spacing w:after="0" w:line="240" w:lineRule="auto"/>
        <w:jc w:val="center"/>
        <w:outlineLvl w:val="0"/>
        <w:rPr>
          <w:rFonts w:ascii="Times New Roman" w:eastAsia="Calibri" w:hAnsi="Times New Roman" w:cs="Times New Roman"/>
          <w:noProof w:val="0"/>
        </w:rPr>
      </w:pPr>
    </w:p>
    <w:p w:rsidR="009112D1" w:rsidRPr="00FF2BB3" w:rsidRDefault="009112D1" w:rsidP="00FF2BB3">
      <w:pPr>
        <w:tabs>
          <w:tab w:val="left" w:pos="567"/>
        </w:tabs>
        <w:spacing w:after="0" w:line="240" w:lineRule="auto"/>
        <w:rPr>
          <w:rFonts w:ascii="Times New Roman" w:eastAsia="Calibri" w:hAnsi="Times New Roman" w:cs="Times New Roman"/>
          <w:noProof w:val="0"/>
        </w:rPr>
      </w:pPr>
    </w:p>
    <w:p w:rsidR="009112D1" w:rsidRPr="00FF2BB3" w:rsidRDefault="009112D1" w:rsidP="00FF2BB3">
      <w:pPr>
        <w:tabs>
          <w:tab w:val="left" w:pos="567"/>
        </w:tabs>
        <w:spacing w:after="0" w:line="240" w:lineRule="auto"/>
        <w:rPr>
          <w:rFonts w:ascii="Times New Roman" w:eastAsia="Calibri" w:hAnsi="Times New Roman" w:cs="Times New Roman"/>
          <w:noProof w:val="0"/>
        </w:rPr>
      </w:pPr>
    </w:p>
    <w:p w:rsidR="009112D1" w:rsidRPr="00FF2BB3" w:rsidRDefault="009112D1" w:rsidP="00FF2BB3">
      <w:pPr>
        <w:tabs>
          <w:tab w:val="left" w:pos="567"/>
        </w:tabs>
        <w:spacing w:after="0" w:line="240" w:lineRule="auto"/>
        <w:rPr>
          <w:rFonts w:ascii="Times New Roman" w:eastAsia="Calibri" w:hAnsi="Times New Roman" w:cs="Times New Roman"/>
          <w:noProof w:val="0"/>
        </w:rPr>
      </w:pPr>
    </w:p>
    <w:p w:rsidR="009112D1" w:rsidRPr="00FF2BB3" w:rsidRDefault="009112D1" w:rsidP="00FF2BB3">
      <w:pPr>
        <w:tabs>
          <w:tab w:val="left" w:pos="567"/>
        </w:tabs>
        <w:spacing w:after="0" w:line="260" w:lineRule="exact"/>
        <w:jc w:val="center"/>
        <w:outlineLvl w:val="0"/>
        <w:rPr>
          <w:rFonts w:ascii="Times New Roman" w:eastAsia="Calibri" w:hAnsi="Times New Roman" w:cs="Times New Roman"/>
          <w:noProof w:val="0"/>
        </w:rPr>
      </w:pPr>
    </w:p>
    <w:p w:rsidR="009112D1" w:rsidRPr="00FF2BB3" w:rsidRDefault="009112D1" w:rsidP="00FF2BB3">
      <w:pPr>
        <w:tabs>
          <w:tab w:val="left" w:pos="567"/>
        </w:tabs>
        <w:spacing w:after="0" w:line="260" w:lineRule="exact"/>
        <w:rPr>
          <w:rFonts w:ascii="Times New Roman" w:eastAsia="Calibri" w:hAnsi="Times New Roman" w:cs="Times New Roman"/>
          <w:noProof w:val="0"/>
        </w:rPr>
      </w:pPr>
    </w:p>
    <w:p w:rsidR="009112D1" w:rsidRPr="00FF2BB3" w:rsidRDefault="009112D1" w:rsidP="00FF2BB3">
      <w:pPr>
        <w:tabs>
          <w:tab w:val="left" w:pos="567"/>
        </w:tabs>
        <w:spacing w:after="0" w:line="260" w:lineRule="exact"/>
        <w:rPr>
          <w:rFonts w:ascii="Times New Roman" w:eastAsia="Calibri" w:hAnsi="Times New Roman" w:cs="Times New Roman"/>
          <w:noProof w:val="0"/>
          <w:lang w:val="en-GB"/>
        </w:rPr>
      </w:pPr>
    </w:p>
    <w:p w:rsidR="00544645" w:rsidRPr="00FF2BB3" w:rsidRDefault="009112D1" w:rsidP="00FF2BB3">
      <w:pPr>
        <w:spacing w:after="0" w:line="240" w:lineRule="auto"/>
        <w:jc w:val="center"/>
        <w:outlineLvl w:val="0"/>
        <w:rPr>
          <w:rFonts w:ascii="Times New Roman" w:hAnsi="Times New Roman" w:cs="Times New Roman"/>
        </w:rPr>
      </w:pPr>
      <w:r w:rsidRPr="00FF2BB3">
        <w:rPr>
          <w:rFonts w:ascii="Times New Roman" w:hAnsi="Times New Roman" w:cs="Times New Roman"/>
        </w:rPr>
        <w:t xml:space="preserve"> </w:t>
      </w:r>
    </w:p>
    <w:p w:rsidR="00AA1D8D" w:rsidRPr="00FF2BB3" w:rsidRDefault="00AA1D8D" w:rsidP="00FF2BB3">
      <w:pPr>
        <w:spacing w:after="0"/>
        <w:rPr>
          <w:rFonts w:ascii="Times New Roman" w:hAnsi="Times New Roman" w:cs="Times New Roman"/>
        </w:rPr>
      </w:pPr>
    </w:p>
    <w:sectPr w:rsidR="00AA1D8D" w:rsidRPr="00FF2BB3" w:rsidSect="003F63C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420EA0"/>
    <w:lvl w:ilvl="0">
      <w:numFmt w:val="decimal"/>
      <w:pStyle w:val="PI-2EMEASMCA"/>
      <w:lvlText w:val="*"/>
      <w:lvlJc w:val="left"/>
      <w:pPr>
        <w:ind w:left="0" w:firstLine="0"/>
      </w:pPr>
      <w:rPr>
        <w:rFonts w:cs="Times New Roman"/>
      </w:rPr>
    </w:lvl>
  </w:abstractNum>
  <w:abstractNum w:abstractNumId="1" w15:restartNumberingAfterBreak="0">
    <w:nsid w:val="42091A3D"/>
    <w:multiLevelType w:val="hybridMultilevel"/>
    <w:tmpl w:val="913C3C8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20A6C"/>
    <w:multiLevelType w:val="hybridMultilevel"/>
    <w:tmpl w:val="6ED67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91422C"/>
    <w:multiLevelType w:val="hybridMultilevel"/>
    <w:tmpl w:val="A90EF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3F6126"/>
    <w:multiLevelType w:val="hybridMultilevel"/>
    <w:tmpl w:val="855A5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numFmt w:val="bullet"/>
        <w:pStyle w:val="PI-2EMEASMCA"/>
        <w:lvlText w:val="-"/>
        <w:legacy w:legacy="1" w:legacySpace="0" w:legacyIndent="360"/>
        <w:lvlJc w:val="left"/>
        <w:pPr>
          <w:ind w:left="360" w:hanging="360"/>
        </w:pPr>
        <w:rPr>
          <w:rFonts w:cs="Times New Roman"/>
        </w:rPr>
      </w:lvl>
    </w:lvlOverride>
  </w:num>
  <w:num w:numId="3">
    <w:abstractNumId w:val="5"/>
  </w:num>
  <w:num w:numId="4">
    <w:abstractNumId w:val="5"/>
  </w:num>
  <w:num w:numId="5">
    <w:abstractNumId w:val="4"/>
  </w:num>
  <w:num w:numId="6">
    <w:abstractNumId w:val="4"/>
  </w:num>
  <w:num w:numId="7">
    <w:abstractNumId w:val="2"/>
  </w:num>
  <w:num w:numId="8">
    <w:abstractNumId w:val="2"/>
  </w:num>
  <w:num w:numId="9">
    <w:abstractNumId w:val="3"/>
  </w:num>
  <w:num w:numId="10">
    <w:abstractNumId w:val="3"/>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45"/>
    <w:rsid w:val="002311FB"/>
    <w:rsid w:val="003C38F2"/>
    <w:rsid w:val="003F63CE"/>
    <w:rsid w:val="00466DE8"/>
    <w:rsid w:val="004C32FE"/>
    <w:rsid w:val="00544645"/>
    <w:rsid w:val="007D2E28"/>
    <w:rsid w:val="007D3097"/>
    <w:rsid w:val="009112D1"/>
    <w:rsid w:val="00A07554"/>
    <w:rsid w:val="00A44EB8"/>
    <w:rsid w:val="00AA1D8D"/>
    <w:rsid w:val="00AD1EA2"/>
    <w:rsid w:val="00FF2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65B20-5BDF-48F9-A412-F0C78851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4645"/>
    <w:pPr>
      <w:spacing w:after="200" w:line="276" w:lineRule="auto"/>
    </w:pPr>
    <w:rPr>
      <w:noProof/>
    </w:rPr>
  </w:style>
  <w:style w:type="paragraph" w:styleId="Antrat1">
    <w:name w:val="heading 1"/>
    <w:basedOn w:val="prastasis"/>
    <w:next w:val="prastasis"/>
    <w:link w:val="Antrat1Diagrama"/>
    <w:uiPriority w:val="9"/>
    <w:qFormat/>
    <w:rsid w:val="00544645"/>
    <w:pPr>
      <w:keepNext/>
      <w:keepLines/>
      <w:spacing w:before="480" w:after="0" w:line="240" w:lineRule="auto"/>
      <w:outlineLvl w:val="0"/>
    </w:pPr>
    <w:rPr>
      <w:rFonts w:asciiTheme="majorHAnsi" w:eastAsiaTheme="majorEastAsia" w:hAnsiTheme="majorHAnsi" w:cstheme="majorBidi"/>
      <w:b/>
      <w:bCs/>
      <w:noProof w:val="0"/>
      <w:color w:val="2E74B5" w:themeColor="accent1" w:themeShade="BF"/>
      <w:sz w:val="28"/>
      <w:szCs w:val="28"/>
    </w:rPr>
  </w:style>
  <w:style w:type="paragraph" w:styleId="Antrat3">
    <w:name w:val="heading 3"/>
    <w:basedOn w:val="prastasis"/>
    <w:next w:val="prastasis"/>
    <w:link w:val="Antrat3Diagrama"/>
    <w:uiPriority w:val="9"/>
    <w:semiHidden/>
    <w:unhideWhenUsed/>
    <w:qFormat/>
    <w:rsid w:val="00544645"/>
    <w:pPr>
      <w:keepNext/>
      <w:keepLines/>
      <w:spacing w:before="200" w:after="0" w:line="240" w:lineRule="auto"/>
      <w:outlineLvl w:val="2"/>
    </w:pPr>
    <w:rPr>
      <w:rFonts w:asciiTheme="majorHAnsi" w:eastAsiaTheme="majorEastAsia" w:hAnsiTheme="majorHAnsi" w:cstheme="majorBidi"/>
      <w:b/>
      <w:bCs/>
      <w:noProof w:val="0"/>
      <w:color w:val="5B9BD5" w:themeColor="accent1"/>
      <w:sz w:val="24"/>
      <w:szCs w:val="24"/>
    </w:rPr>
  </w:style>
  <w:style w:type="paragraph" w:styleId="Antrat8">
    <w:name w:val="heading 8"/>
    <w:basedOn w:val="prastasis"/>
    <w:next w:val="prastasis"/>
    <w:link w:val="Antrat8Diagrama"/>
    <w:semiHidden/>
    <w:unhideWhenUsed/>
    <w:qFormat/>
    <w:rsid w:val="00544645"/>
    <w:pPr>
      <w:keepNext/>
      <w:tabs>
        <w:tab w:val="left" w:pos="567"/>
      </w:tabs>
      <w:spacing w:after="0" w:line="260" w:lineRule="exact"/>
      <w:ind w:left="567" w:hanging="567"/>
      <w:jc w:val="both"/>
      <w:outlineLvl w:val="7"/>
    </w:pPr>
    <w:rPr>
      <w:rFonts w:ascii="Times New Roman" w:eastAsia="Calibri" w:hAnsi="Times New Roman" w:cs="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645"/>
    <w:rPr>
      <w:rFonts w:asciiTheme="majorHAnsi" w:eastAsiaTheme="majorEastAsia" w:hAnsiTheme="majorHAnsi" w:cstheme="majorBidi"/>
      <w:b/>
      <w:bCs/>
      <w:color w:val="2E74B5" w:themeColor="accent1" w:themeShade="BF"/>
      <w:sz w:val="28"/>
      <w:szCs w:val="28"/>
    </w:rPr>
  </w:style>
  <w:style w:type="character" w:customStyle="1" w:styleId="Antrat3Diagrama">
    <w:name w:val="Antraštė 3 Diagrama"/>
    <w:basedOn w:val="Numatytasispastraiposriftas"/>
    <w:link w:val="Antrat3"/>
    <w:uiPriority w:val="9"/>
    <w:semiHidden/>
    <w:rsid w:val="00544645"/>
    <w:rPr>
      <w:rFonts w:asciiTheme="majorHAnsi" w:eastAsiaTheme="majorEastAsia" w:hAnsiTheme="majorHAnsi" w:cstheme="majorBidi"/>
      <w:b/>
      <w:bCs/>
      <w:color w:val="5B9BD5" w:themeColor="accent1"/>
      <w:sz w:val="24"/>
      <w:szCs w:val="24"/>
    </w:rPr>
  </w:style>
  <w:style w:type="character" w:customStyle="1" w:styleId="Antrat8Diagrama">
    <w:name w:val="Antraštė 8 Diagrama"/>
    <w:basedOn w:val="Numatytasispastraiposriftas"/>
    <w:link w:val="Antrat8"/>
    <w:semiHidden/>
    <w:rsid w:val="00544645"/>
    <w:rPr>
      <w:rFonts w:ascii="Times New Roman" w:eastAsia="Calibri" w:hAnsi="Times New Roman" w:cs="Times New Roman"/>
      <w:b/>
      <w:i/>
      <w:szCs w:val="20"/>
      <w:lang w:val="en-GB"/>
    </w:rPr>
  </w:style>
  <w:style w:type="character" w:styleId="Hipersaitas">
    <w:name w:val="Hyperlink"/>
    <w:basedOn w:val="Numatytasispastraiposriftas"/>
    <w:semiHidden/>
    <w:unhideWhenUsed/>
    <w:rsid w:val="0054464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544645"/>
    <w:rPr>
      <w:color w:val="954F72" w:themeColor="followedHyperlink"/>
      <w:u w:val="single"/>
    </w:rPr>
  </w:style>
  <w:style w:type="character" w:styleId="Grietas">
    <w:name w:val="Strong"/>
    <w:basedOn w:val="Numatytasispastraiposriftas"/>
    <w:qFormat/>
    <w:rsid w:val="00544645"/>
    <w:rPr>
      <w:rFonts w:ascii="Times New Roman" w:hAnsi="Times New Roman" w:cs="Times New Roman" w:hint="default"/>
      <w:b/>
      <w:bCs/>
    </w:rPr>
  </w:style>
  <w:style w:type="paragraph" w:customStyle="1" w:styleId="msonormal0">
    <w:name w:val="msonormal"/>
    <w:basedOn w:val="prastasis"/>
    <w:rsid w:val="00544645"/>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Komentarotekstas">
    <w:name w:val="annotation text"/>
    <w:basedOn w:val="prastasis"/>
    <w:link w:val="KomentarotekstasDiagrama"/>
    <w:uiPriority w:val="99"/>
    <w:semiHidden/>
    <w:unhideWhenUsed/>
    <w:rsid w:val="00544645"/>
    <w:pPr>
      <w:spacing w:after="0" w:line="240" w:lineRule="auto"/>
    </w:pPr>
    <w:rPr>
      <w:rFonts w:ascii="Times New Roman" w:eastAsia="Calibri" w:hAnsi="Times New Roman" w:cs="Times New Roman"/>
      <w:noProof w:val="0"/>
      <w:sz w:val="20"/>
      <w:szCs w:val="20"/>
    </w:rPr>
  </w:style>
  <w:style w:type="character" w:customStyle="1" w:styleId="KomentarotekstasDiagrama">
    <w:name w:val="Komentaro tekstas Diagrama"/>
    <w:basedOn w:val="Numatytasispastraiposriftas"/>
    <w:link w:val="Komentarotekstas"/>
    <w:uiPriority w:val="99"/>
    <w:semiHidden/>
    <w:rsid w:val="00544645"/>
    <w:rPr>
      <w:rFonts w:ascii="Times New Roman" w:eastAsia="Calibri" w:hAnsi="Times New Roman" w:cs="Times New Roman"/>
      <w:sz w:val="20"/>
      <w:szCs w:val="20"/>
    </w:rPr>
  </w:style>
  <w:style w:type="paragraph" w:styleId="Porat">
    <w:name w:val="footer"/>
    <w:basedOn w:val="prastasis"/>
    <w:link w:val="PoratDiagrama"/>
    <w:semiHidden/>
    <w:unhideWhenUsed/>
    <w:rsid w:val="00544645"/>
    <w:pPr>
      <w:tabs>
        <w:tab w:val="left" w:pos="567"/>
        <w:tab w:val="center" w:pos="4536"/>
        <w:tab w:val="center" w:pos="8930"/>
      </w:tabs>
      <w:spacing w:after="0" w:line="240" w:lineRule="auto"/>
    </w:pPr>
    <w:rPr>
      <w:rFonts w:ascii="Helvetica" w:eastAsia="Calibri" w:hAnsi="Helvetica" w:cs="Times New Roman"/>
      <w:noProof w:val="0"/>
      <w:sz w:val="16"/>
      <w:szCs w:val="20"/>
      <w:lang w:val="en-GB"/>
    </w:rPr>
  </w:style>
  <w:style w:type="character" w:customStyle="1" w:styleId="PoratDiagrama">
    <w:name w:val="Poraštė Diagrama"/>
    <w:basedOn w:val="Numatytasispastraiposriftas"/>
    <w:link w:val="Porat"/>
    <w:semiHidden/>
    <w:rsid w:val="00544645"/>
    <w:rPr>
      <w:rFonts w:ascii="Helvetica" w:eastAsia="Calibri" w:hAnsi="Helvetica" w:cs="Times New Roman"/>
      <w:sz w:val="16"/>
      <w:szCs w:val="20"/>
      <w:lang w:val="en-GB"/>
    </w:rPr>
  </w:style>
  <w:style w:type="paragraph" w:styleId="Pagrindinistekstas">
    <w:name w:val="Body Text"/>
    <w:basedOn w:val="prastasis"/>
    <w:link w:val="PagrindinistekstasDiagrama"/>
    <w:semiHidden/>
    <w:unhideWhenUsed/>
    <w:rsid w:val="00544645"/>
    <w:pPr>
      <w:spacing w:after="0" w:line="240" w:lineRule="auto"/>
    </w:pPr>
    <w:rPr>
      <w:rFonts w:ascii="Times New Roman" w:eastAsia="Calibri"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semiHidden/>
    <w:rsid w:val="00544645"/>
    <w:rPr>
      <w:rFonts w:ascii="Times New Roman" w:eastAsia="Calibri" w:hAnsi="Times New Roman" w:cs="Times New Roman"/>
      <w:i/>
      <w:color w:val="008000"/>
      <w:szCs w:val="20"/>
      <w:lang w:val="en-GB"/>
    </w:rPr>
  </w:style>
  <w:style w:type="paragraph" w:styleId="Pagrindinistekstas2">
    <w:name w:val="Body Text 2"/>
    <w:basedOn w:val="prastasis"/>
    <w:link w:val="Pagrindinistekstas2Diagrama"/>
    <w:semiHidden/>
    <w:unhideWhenUsed/>
    <w:rsid w:val="0054464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Calibri" w:hAnsi="Times New Roman" w:cs="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semiHidden/>
    <w:rsid w:val="00544645"/>
    <w:rPr>
      <w:rFonts w:ascii="Times New Roman" w:eastAsia="Calibri" w:hAnsi="Times New Roman" w:cs="Times New Roman"/>
      <w:b/>
      <w:bCs/>
      <w:color w:val="0000FF"/>
      <w:u w:val="single"/>
      <w:lang w:val="en-GB"/>
    </w:rPr>
  </w:style>
  <w:style w:type="paragraph" w:styleId="Komentarotema">
    <w:name w:val="annotation subject"/>
    <w:basedOn w:val="Komentarotekstas"/>
    <w:next w:val="Komentarotekstas"/>
    <w:link w:val="KomentarotemaDiagrama"/>
    <w:uiPriority w:val="99"/>
    <w:semiHidden/>
    <w:unhideWhenUsed/>
    <w:rsid w:val="00544645"/>
    <w:rPr>
      <w:b/>
      <w:bCs/>
    </w:rPr>
  </w:style>
  <w:style w:type="character" w:customStyle="1" w:styleId="KomentarotemaDiagrama">
    <w:name w:val="Komentaro tema Diagrama"/>
    <w:basedOn w:val="KomentarotekstasDiagrama"/>
    <w:link w:val="Komentarotema"/>
    <w:uiPriority w:val="99"/>
    <w:semiHidden/>
    <w:rsid w:val="00544645"/>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544645"/>
    <w:pPr>
      <w:spacing w:after="0" w:line="240" w:lineRule="auto"/>
    </w:pPr>
    <w:rPr>
      <w:rFonts w:ascii="Tahoma" w:eastAsia="Calibri" w:hAnsi="Tahoma" w:cs="Tahoma"/>
      <w:noProof w:val="0"/>
      <w:sz w:val="16"/>
      <w:szCs w:val="16"/>
    </w:rPr>
  </w:style>
  <w:style w:type="character" w:customStyle="1" w:styleId="DebesliotekstasDiagrama">
    <w:name w:val="Debesėlio tekstas Diagrama"/>
    <w:basedOn w:val="Numatytasispastraiposriftas"/>
    <w:link w:val="Debesliotekstas"/>
    <w:uiPriority w:val="99"/>
    <w:semiHidden/>
    <w:rsid w:val="00544645"/>
    <w:rPr>
      <w:rFonts w:ascii="Tahoma" w:eastAsia="Calibri" w:hAnsi="Tahoma" w:cs="Tahoma"/>
      <w:sz w:val="16"/>
      <w:szCs w:val="16"/>
    </w:rPr>
  </w:style>
  <w:style w:type="paragraph" w:styleId="Betarp">
    <w:name w:val="No Spacing"/>
    <w:uiPriority w:val="1"/>
    <w:qFormat/>
    <w:rsid w:val="00544645"/>
    <w:pPr>
      <w:spacing w:after="0" w:line="240" w:lineRule="auto"/>
    </w:pPr>
    <w:rPr>
      <w:rFonts w:ascii="Calibri" w:eastAsia="Calibri" w:hAnsi="Calibri" w:cs="Calibri"/>
      <w:lang w:val="en-US"/>
    </w:rPr>
  </w:style>
  <w:style w:type="paragraph" w:customStyle="1" w:styleId="BTEMEASMCA">
    <w:name w:val="BT EMEA_SMCA"/>
    <w:basedOn w:val="prastasis"/>
    <w:autoRedefine/>
    <w:rsid w:val="00544645"/>
    <w:pPr>
      <w:spacing w:after="0" w:line="240" w:lineRule="auto"/>
    </w:pPr>
    <w:rPr>
      <w:rFonts w:ascii="Times New Roman" w:eastAsia="Calibri" w:hAnsi="Times New Roman" w:cs="Times New Roman"/>
      <w:noProof w:val="0"/>
    </w:rPr>
  </w:style>
  <w:style w:type="paragraph" w:customStyle="1" w:styleId="TTEMEASMCA">
    <w:name w:val="TT EMEA_SMCA"/>
    <w:basedOn w:val="Antrat1"/>
    <w:autoRedefine/>
    <w:rsid w:val="00544645"/>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val="en-US"/>
    </w:rPr>
  </w:style>
  <w:style w:type="paragraph" w:customStyle="1" w:styleId="BTAnIIEMEASMCA">
    <w:name w:val="BT(AnII) EMEA_SMCA"/>
    <w:basedOn w:val="Debesliotekstas"/>
    <w:autoRedefine/>
    <w:rsid w:val="00544645"/>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rsid w:val="00544645"/>
    <w:pPr>
      <w:numPr>
        <w:numId w:val="1"/>
      </w:num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bEMEASMCA">
    <w:name w:val="BT(b) EMEA_SMCA"/>
    <w:basedOn w:val="BTEMEASMCA"/>
    <w:autoRedefine/>
    <w:rsid w:val="00544645"/>
    <w:rPr>
      <w:b/>
    </w:rPr>
  </w:style>
  <w:style w:type="character" w:customStyle="1" w:styleId="EMEABodyTextChar">
    <w:name w:val="EMEA Body Text Char"/>
    <w:basedOn w:val="Numatytasispastraiposriftas"/>
    <w:link w:val="EMEABodyText"/>
    <w:uiPriority w:val="99"/>
    <w:locked/>
    <w:rsid w:val="00544645"/>
    <w:rPr>
      <w:rFonts w:ascii="Times New Roman" w:eastAsia="Calibri" w:hAnsi="Times New Roman" w:cs="Times New Roman"/>
      <w:szCs w:val="20"/>
      <w:lang w:val="en-GB"/>
    </w:rPr>
  </w:style>
  <w:style w:type="paragraph" w:customStyle="1" w:styleId="EMEABodyText">
    <w:name w:val="EMEA Body Text"/>
    <w:basedOn w:val="prastasis"/>
    <w:link w:val="EMEABodyTextChar"/>
    <w:uiPriority w:val="99"/>
    <w:rsid w:val="00544645"/>
    <w:pPr>
      <w:spacing w:after="0" w:line="240" w:lineRule="auto"/>
    </w:pPr>
    <w:rPr>
      <w:rFonts w:ascii="Times New Roman" w:eastAsia="Calibri" w:hAnsi="Times New Roman" w:cs="Times New Roman"/>
      <w:noProof w:val="0"/>
      <w:szCs w:val="20"/>
      <w:lang w:val="en-GB"/>
    </w:rPr>
  </w:style>
  <w:style w:type="character" w:customStyle="1" w:styleId="EMEAHeading2Char">
    <w:name w:val="EMEA Heading 2 Char"/>
    <w:basedOn w:val="EMEABodyTextChar"/>
    <w:link w:val="EMEAHeading2"/>
    <w:locked/>
    <w:rsid w:val="00544645"/>
    <w:rPr>
      <w:rFonts w:ascii="Times New Roman" w:eastAsia="Calibri" w:hAnsi="Times New Roman" w:cs="Times New Roman"/>
      <w:b/>
      <w:szCs w:val="20"/>
      <w:lang w:val="en-GB"/>
    </w:rPr>
  </w:style>
  <w:style w:type="paragraph" w:customStyle="1" w:styleId="EMEAHeading2">
    <w:name w:val="EMEA Heading 2"/>
    <w:basedOn w:val="EMEABodyText"/>
    <w:next w:val="EMEABodyText"/>
    <w:link w:val="EMEAHeading2Char"/>
    <w:rsid w:val="00544645"/>
    <w:pPr>
      <w:keepNext/>
      <w:keepLines/>
      <w:ind w:left="567" w:hanging="567"/>
      <w:outlineLvl w:val="1"/>
    </w:pPr>
    <w:rPr>
      <w:b/>
    </w:rPr>
  </w:style>
  <w:style w:type="character" w:styleId="Komentaronuoroda">
    <w:name w:val="annotation reference"/>
    <w:basedOn w:val="Numatytasispastraiposriftas"/>
    <w:uiPriority w:val="99"/>
    <w:semiHidden/>
    <w:unhideWhenUsed/>
    <w:rsid w:val="00544645"/>
    <w:rPr>
      <w:sz w:val="16"/>
      <w:szCs w:val="16"/>
    </w:rPr>
  </w:style>
  <w:style w:type="character" w:styleId="Puslapionumeris">
    <w:name w:val="page number"/>
    <w:basedOn w:val="Numatytasispastraiposriftas"/>
    <w:semiHidden/>
    <w:unhideWhenUsed/>
    <w:rsid w:val="00544645"/>
    <w:rPr>
      <w:rFonts w:ascii="Times New Roman" w:hAnsi="Times New Roman" w:cs="Times New Roman" w:hint="default"/>
    </w:rPr>
  </w:style>
  <w:style w:type="character" w:customStyle="1" w:styleId="EMEASuperscript">
    <w:name w:val="EMEA Superscript"/>
    <w:rsid w:val="00544645"/>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4252">
      <w:bodyDiv w:val="1"/>
      <w:marLeft w:val="0"/>
      <w:marRight w:val="0"/>
      <w:marTop w:val="0"/>
      <w:marBottom w:val="0"/>
      <w:divBdr>
        <w:top w:val="none" w:sz="0" w:space="0" w:color="auto"/>
        <w:left w:val="none" w:sz="0" w:space="0" w:color="auto"/>
        <w:bottom w:val="none" w:sz="0" w:space="0" w:color="auto"/>
        <w:right w:val="none" w:sz="0" w:space="0" w:color="auto"/>
      </w:divBdr>
    </w:div>
    <w:div w:id="1350370998">
      <w:bodyDiv w:val="1"/>
      <w:marLeft w:val="0"/>
      <w:marRight w:val="0"/>
      <w:marTop w:val="0"/>
      <w:marBottom w:val="0"/>
      <w:divBdr>
        <w:top w:val="none" w:sz="0" w:space="0" w:color="auto"/>
        <w:left w:val="none" w:sz="0" w:space="0" w:color="auto"/>
        <w:bottom w:val="none" w:sz="0" w:space="0" w:color="auto"/>
        <w:right w:val="none" w:sz="0" w:space="0" w:color="auto"/>
      </w:divBdr>
    </w:div>
    <w:div w:id="19781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20tai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20286</Words>
  <Characters>11564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Albina Burkauskaitė</cp:lastModifiedBy>
  <cp:revision>3</cp:revision>
  <dcterms:created xsi:type="dcterms:W3CDTF">2021-03-15T12:33:00Z</dcterms:created>
  <dcterms:modified xsi:type="dcterms:W3CDTF">2021-03-15T12:35:00Z</dcterms:modified>
</cp:coreProperties>
</file>