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76480" w14:textId="77777777" w:rsidR="00290E64" w:rsidRDefault="00290E64" w:rsidP="00290E64">
      <w:pPr>
        <w:tabs>
          <w:tab w:val="clear" w:pos="567"/>
          <w:tab w:val="left" w:pos="720"/>
        </w:tabs>
        <w:spacing w:line="240" w:lineRule="auto"/>
        <w:jc w:val="center"/>
        <w:rPr>
          <w:szCs w:val="22"/>
          <w:lang w:val="lt-LT"/>
        </w:rPr>
      </w:pPr>
    </w:p>
    <w:p w14:paraId="7F573719" w14:textId="77777777" w:rsidR="00290E64" w:rsidRDefault="00290E64" w:rsidP="00290E64">
      <w:pPr>
        <w:tabs>
          <w:tab w:val="clear" w:pos="567"/>
          <w:tab w:val="left" w:pos="720"/>
        </w:tabs>
        <w:spacing w:line="240" w:lineRule="auto"/>
        <w:jc w:val="center"/>
        <w:rPr>
          <w:szCs w:val="22"/>
          <w:lang w:val="lt-LT"/>
        </w:rPr>
      </w:pPr>
    </w:p>
    <w:p w14:paraId="4FE9A78E" w14:textId="77777777" w:rsidR="00290E64" w:rsidRDefault="00290E64" w:rsidP="00290E64">
      <w:pPr>
        <w:tabs>
          <w:tab w:val="clear" w:pos="567"/>
          <w:tab w:val="left" w:pos="720"/>
        </w:tabs>
        <w:spacing w:line="240" w:lineRule="auto"/>
        <w:jc w:val="center"/>
        <w:rPr>
          <w:szCs w:val="22"/>
          <w:lang w:val="lt-LT"/>
        </w:rPr>
      </w:pPr>
    </w:p>
    <w:p w14:paraId="51CDC023" w14:textId="77777777" w:rsidR="00290E64" w:rsidRDefault="00290E64" w:rsidP="00290E64">
      <w:pPr>
        <w:tabs>
          <w:tab w:val="clear" w:pos="567"/>
          <w:tab w:val="left" w:pos="720"/>
        </w:tabs>
        <w:spacing w:line="240" w:lineRule="auto"/>
        <w:jc w:val="center"/>
        <w:rPr>
          <w:szCs w:val="22"/>
          <w:lang w:val="lt-LT"/>
        </w:rPr>
      </w:pPr>
    </w:p>
    <w:p w14:paraId="5D50D87A" w14:textId="77777777" w:rsidR="00290E64" w:rsidRDefault="00290E64" w:rsidP="00290E64">
      <w:pPr>
        <w:tabs>
          <w:tab w:val="clear" w:pos="567"/>
          <w:tab w:val="left" w:pos="720"/>
        </w:tabs>
        <w:spacing w:line="240" w:lineRule="auto"/>
        <w:jc w:val="center"/>
        <w:rPr>
          <w:szCs w:val="22"/>
          <w:lang w:val="lt-LT"/>
        </w:rPr>
      </w:pPr>
    </w:p>
    <w:p w14:paraId="018DB164" w14:textId="77777777" w:rsidR="00290E64" w:rsidRDefault="00290E64" w:rsidP="00290E64">
      <w:pPr>
        <w:tabs>
          <w:tab w:val="clear" w:pos="567"/>
          <w:tab w:val="left" w:pos="720"/>
        </w:tabs>
        <w:spacing w:line="240" w:lineRule="auto"/>
        <w:jc w:val="center"/>
        <w:rPr>
          <w:szCs w:val="22"/>
          <w:lang w:val="lt-LT"/>
        </w:rPr>
      </w:pPr>
    </w:p>
    <w:p w14:paraId="33DB007A" w14:textId="77777777" w:rsidR="00290E64" w:rsidRDefault="00290E64" w:rsidP="00290E64">
      <w:pPr>
        <w:tabs>
          <w:tab w:val="clear" w:pos="567"/>
          <w:tab w:val="left" w:pos="720"/>
        </w:tabs>
        <w:spacing w:line="240" w:lineRule="auto"/>
        <w:jc w:val="center"/>
        <w:rPr>
          <w:szCs w:val="22"/>
          <w:lang w:val="lt-LT"/>
        </w:rPr>
      </w:pPr>
    </w:p>
    <w:p w14:paraId="73AE162B" w14:textId="77777777" w:rsidR="00290E64" w:rsidRDefault="00290E64" w:rsidP="00290E64">
      <w:pPr>
        <w:tabs>
          <w:tab w:val="clear" w:pos="567"/>
          <w:tab w:val="left" w:pos="720"/>
        </w:tabs>
        <w:spacing w:line="240" w:lineRule="auto"/>
        <w:jc w:val="center"/>
        <w:rPr>
          <w:szCs w:val="22"/>
          <w:lang w:val="lt-LT"/>
        </w:rPr>
      </w:pPr>
    </w:p>
    <w:p w14:paraId="789570C2" w14:textId="77777777" w:rsidR="00290E64" w:rsidRDefault="00290E64" w:rsidP="00290E64">
      <w:pPr>
        <w:tabs>
          <w:tab w:val="clear" w:pos="567"/>
          <w:tab w:val="left" w:pos="720"/>
        </w:tabs>
        <w:spacing w:line="240" w:lineRule="auto"/>
        <w:jc w:val="center"/>
        <w:rPr>
          <w:szCs w:val="22"/>
          <w:lang w:val="lt-LT"/>
        </w:rPr>
      </w:pPr>
    </w:p>
    <w:p w14:paraId="1813B1BF" w14:textId="77777777" w:rsidR="00290E64" w:rsidRDefault="00290E64" w:rsidP="00290E64">
      <w:pPr>
        <w:tabs>
          <w:tab w:val="clear" w:pos="567"/>
          <w:tab w:val="left" w:pos="720"/>
        </w:tabs>
        <w:spacing w:line="240" w:lineRule="auto"/>
        <w:jc w:val="center"/>
        <w:rPr>
          <w:szCs w:val="22"/>
          <w:lang w:val="lt-LT"/>
        </w:rPr>
      </w:pPr>
    </w:p>
    <w:p w14:paraId="4696BC2F" w14:textId="77777777" w:rsidR="00290E64" w:rsidRDefault="00290E64" w:rsidP="00290E64">
      <w:pPr>
        <w:tabs>
          <w:tab w:val="clear" w:pos="567"/>
          <w:tab w:val="left" w:pos="720"/>
        </w:tabs>
        <w:spacing w:line="240" w:lineRule="auto"/>
        <w:jc w:val="center"/>
        <w:rPr>
          <w:szCs w:val="22"/>
          <w:lang w:val="lt-LT"/>
        </w:rPr>
      </w:pPr>
    </w:p>
    <w:p w14:paraId="1FBE4213" w14:textId="77777777" w:rsidR="00290E64" w:rsidRDefault="00290E64" w:rsidP="00290E64">
      <w:pPr>
        <w:tabs>
          <w:tab w:val="clear" w:pos="567"/>
          <w:tab w:val="left" w:pos="720"/>
        </w:tabs>
        <w:spacing w:line="240" w:lineRule="auto"/>
        <w:jc w:val="center"/>
        <w:rPr>
          <w:szCs w:val="22"/>
          <w:lang w:val="lt-LT"/>
        </w:rPr>
      </w:pPr>
    </w:p>
    <w:p w14:paraId="60F99510" w14:textId="77777777" w:rsidR="00290E64" w:rsidRDefault="00290E64" w:rsidP="00290E64">
      <w:pPr>
        <w:tabs>
          <w:tab w:val="clear" w:pos="567"/>
          <w:tab w:val="left" w:pos="720"/>
        </w:tabs>
        <w:spacing w:line="240" w:lineRule="auto"/>
        <w:jc w:val="center"/>
        <w:rPr>
          <w:szCs w:val="22"/>
          <w:lang w:val="lt-LT"/>
        </w:rPr>
      </w:pPr>
    </w:p>
    <w:p w14:paraId="61D86F8F" w14:textId="77777777" w:rsidR="00290E64" w:rsidRDefault="00290E64" w:rsidP="00290E64">
      <w:pPr>
        <w:tabs>
          <w:tab w:val="clear" w:pos="567"/>
          <w:tab w:val="left" w:pos="720"/>
        </w:tabs>
        <w:spacing w:line="240" w:lineRule="auto"/>
        <w:jc w:val="center"/>
        <w:rPr>
          <w:szCs w:val="22"/>
          <w:lang w:val="lt-LT"/>
        </w:rPr>
      </w:pPr>
    </w:p>
    <w:p w14:paraId="473CBE9B" w14:textId="77777777" w:rsidR="00290E64" w:rsidRDefault="00290E64" w:rsidP="00290E64">
      <w:pPr>
        <w:tabs>
          <w:tab w:val="clear" w:pos="567"/>
          <w:tab w:val="left" w:pos="720"/>
        </w:tabs>
        <w:spacing w:line="240" w:lineRule="auto"/>
        <w:jc w:val="center"/>
        <w:rPr>
          <w:szCs w:val="22"/>
          <w:lang w:val="lt-LT"/>
        </w:rPr>
      </w:pPr>
    </w:p>
    <w:p w14:paraId="00690B3E" w14:textId="77777777" w:rsidR="00290E64" w:rsidRDefault="00290E64" w:rsidP="00290E64">
      <w:pPr>
        <w:tabs>
          <w:tab w:val="clear" w:pos="567"/>
          <w:tab w:val="left" w:pos="720"/>
        </w:tabs>
        <w:spacing w:line="240" w:lineRule="auto"/>
        <w:jc w:val="center"/>
        <w:rPr>
          <w:szCs w:val="22"/>
          <w:lang w:val="lt-LT"/>
        </w:rPr>
      </w:pPr>
    </w:p>
    <w:p w14:paraId="58E0EF36" w14:textId="77777777" w:rsidR="00290E64" w:rsidRDefault="00290E64" w:rsidP="00290E64">
      <w:pPr>
        <w:tabs>
          <w:tab w:val="clear" w:pos="567"/>
          <w:tab w:val="left" w:pos="720"/>
        </w:tabs>
        <w:spacing w:line="240" w:lineRule="auto"/>
        <w:jc w:val="center"/>
        <w:rPr>
          <w:szCs w:val="22"/>
          <w:lang w:val="lt-LT"/>
        </w:rPr>
      </w:pPr>
    </w:p>
    <w:p w14:paraId="4845D278" w14:textId="77777777" w:rsidR="00290E64" w:rsidRDefault="00290E64" w:rsidP="00290E64">
      <w:pPr>
        <w:tabs>
          <w:tab w:val="clear" w:pos="567"/>
          <w:tab w:val="left" w:pos="720"/>
        </w:tabs>
        <w:spacing w:line="240" w:lineRule="auto"/>
        <w:jc w:val="center"/>
        <w:rPr>
          <w:szCs w:val="22"/>
          <w:lang w:val="lt-LT"/>
        </w:rPr>
      </w:pPr>
    </w:p>
    <w:p w14:paraId="39A82461" w14:textId="77777777" w:rsidR="00290E64" w:rsidRDefault="00290E64" w:rsidP="00290E64">
      <w:pPr>
        <w:tabs>
          <w:tab w:val="clear" w:pos="567"/>
          <w:tab w:val="left" w:pos="720"/>
        </w:tabs>
        <w:spacing w:line="240" w:lineRule="auto"/>
        <w:jc w:val="center"/>
        <w:rPr>
          <w:szCs w:val="22"/>
          <w:lang w:val="lt-LT"/>
        </w:rPr>
      </w:pPr>
    </w:p>
    <w:p w14:paraId="02886E77" w14:textId="77777777" w:rsidR="00290E64" w:rsidRDefault="00290E64" w:rsidP="00290E64">
      <w:pPr>
        <w:tabs>
          <w:tab w:val="clear" w:pos="567"/>
          <w:tab w:val="left" w:pos="720"/>
        </w:tabs>
        <w:spacing w:line="240" w:lineRule="auto"/>
        <w:jc w:val="center"/>
        <w:rPr>
          <w:szCs w:val="22"/>
          <w:lang w:val="lt-LT"/>
        </w:rPr>
      </w:pPr>
    </w:p>
    <w:p w14:paraId="47027ACF" w14:textId="77777777" w:rsidR="00290E64" w:rsidRDefault="00290E64" w:rsidP="00290E64">
      <w:pPr>
        <w:tabs>
          <w:tab w:val="left" w:pos="-1440"/>
          <w:tab w:val="left" w:pos="-720"/>
        </w:tabs>
        <w:spacing w:line="240" w:lineRule="auto"/>
        <w:jc w:val="center"/>
        <w:rPr>
          <w:b/>
          <w:szCs w:val="22"/>
          <w:lang w:val="lt-LT"/>
        </w:rPr>
      </w:pPr>
    </w:p>
    <w:p w14:paraId="452E3E27" w14:textId="77777777" w:rsidR="00290E64" w:rsidRDefault="00290E64" w:rsidP="00290E64">
      <w:pPr>
        <w:tabs>
          <w:tab w:val="left" w:pos="-1440"/>
          <w:tab w:val="left" w:pos="-720"/>
        </w:tabs>
        <w:spacing w:line="240" w:lineRule="auto"/>
        <w:jc w:val="center"/>
        <w:rPr>
          <w:b/>
          <w:szCs w:val="22"/>
          <w:lang w:val="lt-LT"/>
        </w:rPr>
      </w:pPr>
    </w:p>
    <w:p w14:paraId="1A133EAE" w14:textId="77777777" w:rsidR="00290E64" w:rsidRDefault="00290E64" w:rsidP="00290E64">
      <w:pPr>
        <w:tabs>
          <w:tab w:val="left" w:pos="-1440"/>
          <w:tab w:val="left" w:pos="-720"/>
        </w:tabs>
        <w:spacing w:line="240" w:lineRule="auto"/>
        <w:jc w:val="center"/>
        <w:rPr>
          <w:b/>
          <w:szCs w:val="22"/>
          <w:lang w:val="lt-LT"/>
        </w:rPr>
      </w:pPr>
    </w:p>
    <w:p w14:paraId="6F584AE3" w14:textId="77777777" w:rsidR="00290E64" w:rsidRDefault="00290E64" w:rsidP="00290E64">
      <w:pPr>
        <w:spacing w:line="240" w:lineRule="auto"/>
        <w:ind w:left="567" w:hanging="567"/>
        <w:jc w:val="center"/>
        <w:outlineLvl w:val="0"/>
        <w:rPr>
          <w:szCs w:val="22"/>
          <w:lang w:val="lt-LT"/>
        </w:rPr>
      </w:pPr>
      <w:r>
        <w:rPr>
          <w:b/>
          <w:szCs w:val="22"/>
          <w:lang w:val="lt-LT"/>
        </w:rPr>
        <w:t>I PRIEDAS</w:t>
      </w:r>
      <w:bookmarkStart w:id="0" w:name="_GoBack"/>
      <w:bookmarkEnd w:id="0"/>
    </w:p>
    <w:p w14:paraId="293DD0B7" w14:textId="77777777" w:rsidR="00290E64" w:rsidRDefault="00290E64" w:rsidP="00290E64">
      <w:pPr>
        <w:spacing w:line="240" w:lineRule="auto"/>
        <w:ind w:left="567" w:hanging="567"/>
        <w:jc w:val="center"/>
        <w:rPr>
          <w:b/>
          <w:szCs w:val="22"/>
          <w:lang w:val="lt-LT"/>
        </w:rPr>
      </w:pPr>
    </w:p>
    <w:p w14:paraId="437CC5D6" w14:textId="77777777" w:rsidR="00290E64" w:rsidRDefault="00290E64" w:rsidP="00290E64">
      <w:pPr>
        <w:spacing w:line="240" w:lineRule="auto"/>
        <w:ind w:left="567" w:hanging="567"/>
        <w:jc w:val="center"/>
        <w:outlineLvl w:val="0"/>
        <w:rPr>
          <w:b/>
          <w:szCs w:val="22"/>
          <w:lang w:val="lt-LT"/>
        </w:rPr>
      </w:pPr>
      <w:r>
        <w:rPr>
          <w:b/>
          <w:szCs w:val="22"/>
          <w:lang w:val="lt-LT"/>
        </w:rPr>
        <w:t>PREPARATO CHARAKTERISTIKŲ SANTRAUKA</w:t>
      </w:r>
    </w:p>
    <w:p w14:paraId="24BE75EA" w14:textId="77777777" w:rsidR="00290E64" w:rsidRDefault="00290E64" w:rsidP="00290E64">
      <w:pPr>
        <w:tabs>
          <w:tab w:val="left" w:pos="-1440"/>
          <w:tab w:val="left" w:pos="-720"/>
        </w:tabs>
        <w:spacing w:line="240" w:lineRule="auto"/>
        <w:jc w:val="center"/>
        <w:rPr>
          <w:szCs w:val="22"/>
          <w:lang w:val="lt-LT"/>
        </w:rPr>
      </w:pPr>
    </w:p>
    <w:p w14:paraId="39BE5D50" w14:textId="77777777" w:rsidR="00290E64" w:rsidRDefault="00290E64" w:rsidP="00290E64">
      <w:pPr>
        <w:spacing w:line="240" w:lineRule="auto"/>
        <w:rPr>
          <w:b/>
          <w:bCs/>
          <w:szCs w:val="22"/>
          <w:lang w:val="lt-LT"/>
        </w:rPr>
      </w:pPr>
      <w:r>
        <w:rPr>
          <w:bCs/>
          <w:iCs/>
          <w:szCs w:val="22"/>
          <w:lang w:val="lt-LT"/>
        </w:rPr>
        <w:br w:type="page"/>
      </w:r>
      <w:r>
        <w:rPr>
          <w:b/>
          <w:bCs/>
          <w:szCs w:val="22"/>
          <w:lang w:val="lt-LT"/>
        </w:rPr>
        <w:lastRenderedPageBreak/>
        <w:t>1.</w:t>
      </w:r>
      <w:r>
        <w:rPr>
          <w:b/>
          <w:bCs/>
          <w:szCs w:val="22"/>
          <w:lang w:val="lt-LT"/>
        </w:rPr>
        <w:tab/>
        <w:t>VAISTINIO PREPARATO PAVADINIMAS</w:t>
      </w:r>
    </w:p>
    <w:p w14:paraId="570E8E98" w14:textId="77777777" w:rsidR="00290E64" w:rsidRDefault="00290E64" w:rsidP="00290E64">
      <w:pPr>
        <w:spacing w:line="240" w:lineRule="auto"/>
        <w:rPr>
          <w:bCs/>
          <w:szCs w:val="22"/>
          <w:lang w:val="lt-LT"/>
        </w:rPr>
      </w:pPr>
    </w:p>
    <w:p w14:paraId="64813076" w14:textId="77777777" w:rsidR="00290E64" w:rsidRDefault="00290E64" w:rsidP="00290E64">
      <w:pPr>
        <w:spacing w:line="240" w:lineRule="auto"/>
        <w:rPr>
          <w:bCs/>
          <w:szCs w:val="22"/>
          <w:lang w:val="lt-LT"/>
        </w:rPr>
      </w:pPr>
      <w:bookmarkStart w:id="1" w:name="OLE_LINK1"/>
      <w:bookmarkStart w:id="2" w:name="OLE_LINK2"/>
      <w:r>
        <w:rPr>
          <w:bCs/>
          <w:szCs w:val="22"/>
          <w:lang w:val="lt-LT"/>
        </w:rPr>
        <w:t>Duracef 1 g disperguojamosios tabletės</w:t>
      </w:r>
    </w:p>
    <w:bookmarkEnd w:id="1"/>
    <w:bookmarkEnd w:id="2"/>
    <w:p w14:paraId="4B2D1780" w14:textId="77777777" w:rsidR="00290E64" w:rsidRDefault="00290E64" w:rsidP="00290E64">
      <w:pPr>
        <w:spacing w:line="240" w:lineRule="auto"/>
        <w:rPr>
          <w:b/>
          <w:szCs w:val="22"/>
          <w:lang w:val="lt-LT"/>
        </w:rPr>
      </w:pPr>
    </w:p>
    <w:p w14:paraId="1BEB7446" w14:textId="77777777" w:rsidR="00290E64" w:rsidRDefault="00290E64" w:rsidP="00290E64">
      <w:pPr>
        <w:spacing w:line="240" w:lineRule="auto"/>
        <w:rPr>
          <w:b/>
          <w:szCs w:val="22"/>
          <w:lang w:val="lt-LT"/>
        </w:rPr>
      </w:pPr>
    </w:p>
    <w:p w14:paraId="32D8750D" w14:textId="77777777" w:rsidR="00290E64" w:rsidRDefault="00290E64" w:rsidP="00290E64">
      <w:pPr>
        <w:spacing w:line="240" w:lineRule="auto"/>
        <w:outlineLvl w:val="0"/>
        <w:rPr>
          <w:b/>
          <w:szCs w:val="22"/>
          <w:lang w:val="lt-LT"/>
        </w:rPr>
      </w:pPr>
      <w:r>
        <w:rPr>
          <w:b/>
          <w:szCs w:val="22"/>
          <w:lang w:val="lt-LT"/>
        </w:rPr>
        <w:t>2.</w:t>
      </w:r>
      <w:r>
        <w:rPr>
          <w:b/>
          <w:szCs w:val="22"/>
          <w:lang w:val="lt-LT"/>
        </w:rPr>
        <w:tab/>
        <w:t>KOKYBINĖ IR KIEKYBINĖ SUDĖTIS</w:t>
      </w:r>
    </w:p>
    <w:p w14:paraId="350F4279" w14:textId="77777777" w:rsidR="00290E64" w:rsidRDefault="00290E64" w:rsidP="00290E64">
      <w:pPr>
        <w:spacing w:line="240" w:lineRule="auto"/>
        <w:rPr>
          <w:szCs w:val="22"/>
          <w:u w:val="single"/>
          <w:lang w:val="lt-LT"/>
        </w:rPr>
      </w:pPr>
    </w:p>
    <w:p w14:paraId="2575F220" w14:textId="77777777" w:rsidR="00290E64" w:rsidRDefault="00290E64" w:rsidP="00290E64">
      <w:pPr>
        <w:spacing w:line="240" w:lineRule="auto"/>
        <w:rPr>
          <w:szCs w:val="22"/>
          <w:lang w:val="lt-LT"/>
        </w:rPr>
      </w:pPr>
      <w:r>
        <w:rPr>
          <w:szCs w:val="22"/>
          <w:lang w:val="lt-LT"/>
        </w:rPr>
        <w:t>Vienoje disperguojamoje tabletėje yra 1 g cefadroksilio (monohidrato pavidalu).</w:t>
      </w:r>
    </w:p>
    <w:p w14:paraId="38D68B1E" w14:textId="77777777" w:rsidR="00290E64" w:rsidRDefault="00290E64" w:rsidP="00290E64">
      <w:pPr>
        <w:spacing w:line="240" w:lineRule="auto"/>
        <w:rPr>
          <w:szCs w:val="22"/>
          <w:lang w:val="lt-LT"/>
        </w:rPr>
      </w:pPr>
    </w:p>
    <w:p w14:paraId="19A3E168" w14:textId="77777777" w:rsidR="00290E64" w:rsidRDefault="00290E64" w:rsidP="00290E64">
      <w:pPr>
        <w:spacing w:line="240" w:lineRule="auto"/>
        <w:outlineLvl w:val="0"/>
        <w:rPr>
          <w:szCs w:val="22"/>
          <w:lang w:val="lt-LT"/>
        </w:rPr>
      </w:pPr>
      <w:r>
        <w:rPr>
          <w:szCs w:val="22"/>
          <w:lang w:val="lt-LT"/>
        </w:rPr>
        <w:t>Visos pagalbinės  medžiagos išvardytos 6.1 skyriuje.</w:t>
      </w:r>
    </w:p>
    <w:p w14:paraId="3F0B0EA6" w14:textId="77777777" w:rsidR="00290E64" w:rsidRDefault="00290E64" w:rsidP="00290E64">
      <w:pPr>
        <w:spacing w:line="240" w:lineRule="auto"/>
        <w:rPr>
          <w:b/>
          <w:szCs w:val="22"/>
          <w:lang w:val="lt-LT"/>
        </w:rPr>
      </w:pPr>
    </w:p>
    <w:p w14:paraId="263DD52A" w14:textId="77777777" w:rsidR="00290E64" w:rsidRDefault="00290E64" w:rsidP="00290E64">
      <w:pPr>
        <w:spacing w:line="240" w:lineRule="auto"/>
        <w:rPr>
          <w:b/>
          <w:szCs w:val="22"/>
          <w:lang w:val="lt-LT"/>
        </w:rPr>
      </w:pPr>
    </w:p>
    <w:p w14:paraId="2D278473" w14:textId="77777777" w:rsidR="00290E64" w:rsidRDefault="00290E64" w:rsidP="00290E64">
      <w:pPr>
        <w:spacing w:line="240" w:lineRule="auto"/>
        <w:outlineLvl w:val="0"/>
        <w:rPr>
          <w:b/>
          <w:szCs w:val="22"/>
          <w:lang w:val="lt-LT"/>
        </w:rPr>
      </w:pPr>
      <w:r>
        <w:rPr>
          <w:b/>
          <w:szCs w:val="22"/>
          <w:lang w:val="lt-LT"/>
        </w:rPr>
        <w:t>3.</w:t>
      </w:r>
      <w:r>
        <w:rPr>
          <w:b/>
          <w:szCs w:val="22"/>
          <w:lang w:val="lt-LT"/>
        </w:rPr>
        <w:tab/>
        <w:t>FARMACINĖ FORMA</w:t>
      </w:r>
    </w:p>
    <w:p w14:paraId="60110199" w14:textId="77777777" w:rsidR="00290E64" w:rsidRDefault="00290E64" w:rsidP="00290E64">
      <w:pPr>
        <w:spacing w:line="240" w:lineRule="auto"/>
        <w:rPr>
          <w:szCs w:val="22"/>
          <w:lang w:val="lt-LT"/>
        </w:rPr>
      </w:pPr>
    </w:p>
    <w:p w14:paraId="077731E9" w14:textId="77777777" w:rsidR="00290E64" w:rsidRDefault="00290E64" w:rsidP="00290E64">
      <w:pPr>
        <w:spacing w:line="240" w:lineRule="auto"/>
        <w:rPr>
          <w:szCs w:val="22"/>
          <w:lang w:val="lt-LT"/>
        </w:rPr>
      </w:pPr>
      <w:r>
        <w:rPr>
          <w:szCs w:val="22"/>
          <w:lang w:val="lt-LT"/>
        </w:rPr>
        <w:t>Disperguojamoji tabletė.</w:t>
      </w:r>
    </w:p>
    <w:p w14:paraId="02C27DA2" w14:textId="77777777" w:rsidR="00290E64" w:rsidRDefault="00290E64" w:rsidP="00290E64">
      <w:pPr>
        <w:spacing w:line="240" w:lineRule="auto"/>
        <w:outlineLvl w:val="0"/>
        <w:rPr>
          <w:szCs w:val="22"/>
          <w:lang w:val="lt-LT"/>
        </w:rPr>
      </w:pPr>
      <w:r>
        <w:rPr>
          <w:szCs w:val="22"/>
          <w:lang w:val="lt-LT"/>
        </w:rPr>
        <w:t>Disperguojamosios tabletės yra baltos arba gelsvai balkšvos spalvos, apvalios, su vagele.</w:t>
      </w:r>
    </w:p>
    <w:p w14:paraId="7A5A55FD" w14:textId="77777777" w:rsidR="00290E64" w:rsidRDefault="00290E64" w:rsidP="00290E64">
      <w:pPr>
        <w:spacing w:line="240" w:lineRule="auto"/>
        <w:outlineLvl w:val="0"/>
        <w:rPr>
          <w:szCs w:val="22"/>
          <w:lang w:val="lt-LT"/>
        </w:rPr>
      </w:pPr>
      <w:r>
        <w:rPr>
          <w:szCs w:val="22"/>
          <w:lang w:val="lt-LT"/>
        </w:rPr>
        <w:t>Vagelė nėra skirta tabletei perlaužti.</w:t>
      </w:r>
    </w:p>
    <w:p w14:paraId="76A1B635" w14:textId="77777777" w:rsidR="00290E64" w:rsidRDefault="00290E64" w:rsidP="00290E64">
      <w:pPr>
        <w:spacing w:line="240" w:lineRule="auto"/>
        <w:rPr>
          <w:b/>
          <w:szCs w:val="22"/>
          <w:lang w:val="lt-LT"/>
        </w:rPr>
      </w:pPr>
    </w:p>
    <w:p w14:paraId="34D8045E" w14:textId="77777777" w:rsidR="00290E64" w:rsidRDefault="00290E64" w:rsidP="00290E64">
      <w:pPr>
        <w:spacing w:line="240" w:lineRule="auto"/>
        <w:rPr>
          <w:b/>
          <w:szCs w:val="22"/>
          <w:lang w:val="lt-LT"/>
        </w:rPr>
      </w:pPr>
    </w:p>
    <w:p w14:paraId="5E2C6064" w14:textId="77777777" w:rsidR="00290E64" w:rsidRDefault="00290E64" w:rsidP="00290E64">
      <w:pPr>
        <w:spacing w:line="240" w:lineRule="auto"/>
        <w:outlineLvl w:val="0"/>
        <w:rPr>
          <w:b/>
          <w:szCs w:val="22"/>
          <w:lang w:val="lt-LT"/>
        </w:rPr>
      </w:pPr>
      <w:r>
        <w:rPr>
          <w:b/>
          <w:szCs w:val="22"/>
          <w:lang w:val="lt-LT"/>
        </w:rPr>
        <w:t>4.</w:t>
      </w:r>
      <w:r>
        <w:rPr>
          <w:b/>
          <w:szCs w:val="22"/>
          <w:lang w:val="lt-LT"/>
        </w:rPr>
        <w:tab/>
        <w:t>KLINIKINĖ INFORMACIJA</w:t>
      </w:r>
    </w:p>
    <w:p w14:paraId="677AB8CA" w14:textId="77777777" w:rsidR="00290E64" w:rsidRDefault="00290E64" w:rsidP="00290E64">
      <w:pPr>
        <w:spacing w:line="240" w:lineRule="auto"/>
        <w:rPr>
          <w:b/>
          <w:szCs w:val="22"/>
          <w:lang w:val="lt-LT"/>
        </w:rPr>
      </w:pPr>
    </w:p>
    <w:p w14:paraId="6A0FFCC4" w14:textId="77777777" w:rsidR="00290E64" w:rsidRDefault="00290E64" w:rsidP="00290E64">
      <w:pPr>
        <w:spacing w:line="240" w:lineRule="auto"/>
        <w:outlineLvl w:val="0"/>
        <w:rPr>
          <w:b/>
          <w:szCs w:val="22"/>
          <w:lang w:val="lt-LT"/>
        </w:rPr>
      </w:pPr>
      <w:r>
        <w:rPr>
          <w:b/>
          <w:szCs w:val="22"/>
          <w:lang w:val="lt-LT"/>
        </w:rPr>
        <w:t>4.1</w:t>
      </w:r>
      <w:r>
        <w:rPr>
          <w:b/>
          <w:szCs w:val="22"/>
          <w:lang w:val="lt-LT"/>
        </w:rPr>
        <w:tab/>
        <w:t>Terapinės indikacijos</w:t>
      </w:r>
    </w:p>
    <w:p w14:paraId="0260CDD0" w14:textId="77777777" w:rsidR="00290E64" w:rsidRDefault="00290E64" w:rsidP="00290E64">
      <w:pPr>
        <w:spacing w:line="240" w:lineRule="auto"/>
        <w:rPr>
          <w:szCs w:val="22"/>
          <w:lang w:val="lt-LT"/>
        </w:rPr>
      </w:pPr>
    </w:p>
    <w:p w14:paraId="56C45989" w14:textId="77777777" w:rsidR="00290E64" w:rsidRDefault="00290E64" w:rsidP="00290E64">
      <w:pPr>
        <w:spacing w:line="240" w:lineRule="auto"/>
        <w:rPr>
          <w:szCs w:val="22"/>
          <w:lang w:val="lt-LT"/>
        </w:rPr>
      </w:pPr>
      <w:r>
        <w:rPr>
          <w:szCs w:val="22"/>
          <w:lang w:val="lt-LT"/>
        </w:rPr>
        <w:t>Cefadroksiliui jautrių mikroorganizmų sukeltų infekcinių ligų gydymas:</w:t>
      </w:r>
    </w:p>
    <w:p w14:paraId="45ABC6B8" w14:textId="77777777" w:rsidR="00290E64" w:rsidRDefault="00290E64" w:rsidP="00290E64">
      <w:pPr>
        <w:numPr>
          <w:ilvl w:val="0"/>
          <w:numId w:val="1"/>
        </w:numPr>
        <w:tabs>
          <w:tab w:val="clear" w:pos="567"/>
          <w:tab w:val="left" w:pos="426"/>
        </w:tabs>
        <w:spacing w:line="240" w:lineRule="auto"/>
        <w:rPr>
          <w:szCs w:val="22"/>
          <w:lang w:val="lt-LT"/>
        </w:rPr>
      </w:pPr>
      <w:r>
        <w:rPr>
          <w:szCs w:val="22"/>
          <w:lang w:val="lt-LT"/>
        </w:rPr>
        <w:t>kvėpavimo takų (tonzilito ir faringito);</w:t>
      </w:r>
    </w:p>
    <w:p w14:paraId="69F36B8A" w14:textId="77777777" w:rsidR="00290E64" w:rsidRDefault="00290E64" w:rsidP="00290E64">
      <w:pPr>
        <w:numPr>
          <w:ilvl w:val="0"/>
          <w:numId w:val="1"/>
        </w:numPr>
        <w:spacing w:line="240" w:lineRule="auto"/>
        <w:rPr>
          <w:szCs w:val="22"/>
          <w:lang w:val="lt-LT"/>
        </w:rPr>
      </w:pPr>
      <w:r>
        <w:rPr>
          <w:szCs w:val="22"/>
          <w:lang w:val="lt-LT"/>
        </w:rPr>
        <w:t xml:space="preserve">  odos ir minkštųjų audinių (piodermijos, impetigos, absceso, furunkulo);</w:t>
      </w:r>
    </w:p>
    <w:p w14:paraId="3A718026" w14:textId="77777777" w:rsidR="00290E64" w:rsidRDefault="00290E64" w:rsidP="00290E64">
      <w:pPr>
        <w:numPr>
          <w:ilvl w:val="0"/>
          <w:numId w:val="1"/>
        </w:numPr>
        <w:tabs>
          <w:tab w:val="clear" w:pos="567"/>
          <w:tab w:val="left" w:pos="426"/>
        </w:tabs>
        <w:spacing w:line="240" w:lineRule="auto"/>
        <w:rPr>
          <w:szCs w:val="22"/>
          <w:lang w:val="lt-LT"/>
        </w:rPr>
      </w:pPr>
      <w:r>
        <w:rPr>
          <w:szCs w:val="22"/>
          <w:lang w:val="lt-LT"/>
        </w:rPr>
        <w:t>šlapimo takų (cistito, pielonefrito).</w:t>
      </w:r>
    </w:p>
    <w:p w14:paraId="2F4E04AD" w14:textId="77777777" w:rsidR="00290E64" w:rsidRDefault="00290E64" w:rsidP="00290E64">
      <w:pPr>
        <w:spacing w:line="240" w:lineRule="auto"/>
        <w:rPr>
          <w:szCs w:val="22"/>
          <w:lang w:val="lt-LT"/>
        </w:rPr>
      </w:pPr>
    </w:p>
    <w:p w14:paraId="5F1636A4" w14:textId="77777777" w:rsidR="00290E64" w:rsidRDefault="00290E64" w:rsidP="00290E64">
      <w:pPr>
        <w:spacing w:line="240" w:lineRule="auto"/>
        <w:rPr>
          <w:szCs w:val="22"/>
          <w:lang w:val="lt-LT"/>
        </w:rPr>
      </w:pPr>
      <w:r>
        <w:rPr>
          <w:szCs w:val="22"/>
          <w:lang w:val="lt-LT"/>
        </w:rPr>
        <w:t>Reikia atsižvelgti į oficialias vietines tinkamo antimikrobinių vaistinių preparatų vartojimo rekomendacijas.</w:t>
      </w:r>
    </w:p>
    <w:p w14:paraId="723B0A97" w14:textId="77777777" w:rsidR="00290E64" w:rsidRDefault="00290E64" w:rsidP="00290E64">
      <w:pPr>
        <w:spacing w:line="240" w:lineRule="auto"/>
        <w:rPr>
          <w:b/>
          <w:szCs w:val="22"/>
          <w:lang w:val="lt-LT"/>
        </w:rPr>
      </w:pPr>
    </w:p>
    <w:p w14:paraId="5E123AF7" w14:textId="77777777" w:rsidR="00290E64" w:rsidRDefault="00290E64" w:rsidP="00290E64">
      <w:pPr>
        <w:spacing w:line="240" w:lineRule="auto"/>
        <w:outlineLvl w:val="0"/>
        <w:rPr>
          <w:b/>
          <w:szCs w:val="22"/>
          <w:lang w:val="lt-LT"/>
        </w:rPr>
      </w:pPr>
      <w:r>
        <w:rPr>
          <w:b/>
          <w:szCs w:val="22"/>
          <w:lang w:val="lt-LT"/>
        </w:rPr>
        <w:t>4.2</w:t>
      </w:r>
      <w:r>
        <w:rPr>
          <w:b/>
          <w:szCs w:val="22"/>
          <w:lang w:val="lt-LT"/>
        </w:rPr>
        <w:tab/>
        <w:t>Dozavimas ir vartojimo metodas</w:t>
      </w:r>
    </w:p>
    <w:p w14:paraId="7C6CF629" w14:textId="77777777" w:rsidR="00290E64" w:rsidRDefault="00290E64" w:rsidP="00290E64">
      <w:pPr>
        <w:spacing w:line="240" w:lineRule="auto"/>
        <w:rPr>
          <w:szCs w:val="22"/>
          <w:lang w:val="lt-LT"/>
        </w:rPr>
      </w:pPr>
    </w:p>
    <w:p w14:paraId="7B2C7A54" w14:textId="77777777" w:rsidR="00290E64" w:rsidRDefault="00290E64" w:rsidP="00290E64">
      <w:pPr>
        <w:spacing w:line="240" w:lineRule="auto"/>
        <w:rPr>
          <w:bCs/>
          <w:szCs w:val="22"/>
          <w:u w:val="single"/>
          <w:lang w:val="lt-LT"/>
        </w:rPr>
      </w:pPr>
      <w:r>
        <w:rPr>
          <w:bCs/>
          <w:szCs w:val="22"/>
          <w:u w:val="single"/>
          <w:lang w:val="lt-LT"/>
        </w:rPr>
        <w:t>Dozavimas</w:t>
      </w:r>
    </w:p>
    <w:p w14:paraId="745DD708" w14:textId="77777777" w:rsidR="00290E64" w:rsidRDefault="00290E64" w:rsidP="00290E64">
      <w:pPr>
        <w:spacing w:line="240" w:lineRule="auto"/>
        <w:rPr>
          <w:szCs w:val="22"/>
          <w:lang w:val="lt-LT"/>
        </w:rPr>
      </w:pPr>
      <w:r>
        <w:rPr>
          <w:szCs w:val="22"/>
          <w:lang w:val="lt-LT"/>
        </w:rPr>
        <w:t>Cefadroksilis yra atsparus rūgšties poveikiui. Jį galima gerti neatsižvelgiant į maitinimąsi. Šio vaistinio preparato vartojimas valgio metu gali padėti sumažinti galimus virškinimo trakto sutrikimus, kurių kartais pasireiškia vartojant geriamuosius cefalosporinus.</w:t>
      </w:r>
    </w:p>
    <w:p w14:paraId="4F0F4B1C" w14:textId="77777777" w:rsidR="00290E64" w:rsidRDefault="00290E64" w:rsidP="00290E64">
      <w:pPr>
        <w:spacing w:line="240" w:lineRule="auto"/>
        <w:rPr>
          <w:szCs w:val="22"/>
          <w:lang w:val="lt-LT"/>
        </w:rPr>
      </w:pPr>
    </w:p>
    <w:p w14:paraId="18C15F18" w14:textId="77777777" w:rsidR="00290E64" w:rsidRDefault="00290E64" w:rsidP="00290E64">
      <w:pPr>
        <w:spacing w:line="240" w:lineRule="auto"/>
        <w:rPr>
          <w:szCs w:val="22"/>
          <w:lang w:val="lt-LT"/>
        </w:rPr>
      </w:pPr>
      <w:r>
        <w:rPr>
          <w:szCs w:val="22"/>
          <w:lang w:val="lt-LT"/>
        </w:rPr>
        <w:t>Kai išnyksta infekcinės ligos simptomai arba pacientas nuo jos kliniškai pasveiksta, šį vaistinį preparatą reikia vartoti dar bent 48 - 72 val. Gydant β hemolizinių streptokokų sukeltas infekcines ligas, Duracef reikia vartoti bent 10 parų.</w:t>
      </w:r>
    </w:p>
    <w:p w14:paraId="4D69E11A" w14:textId="77777777" w:rsidR="00290E64" w:rsidRDefault="00290E64" w:rsidP="00290E64">
      <w:pPr>
        <w:spacing w:line="240" w:lineRule="auto"/>
        <w:rPr>
          <w:szCs w:val="22"/>
          <w:lang w:val="lt-LT"/>
        </w:rPr>
      </w:pPr>
    </w:p>
    <w:p w14:paraId="71ED83ED" w14:textId="77777777" w:rsidR="00290E64" w:rsidRDefault="00290E64" w:rsidP="00290E64">
      <w:pPr>
        <w:spacing w:line="240" w:lineRule="auto"/>
        <w:rPr>
          <w:szCs w:val="22"/>
          <w:lang w:val="lt-LT"/>
        </w:rPr>
      </w:pPr>
      <w:r>
        <w:rPr>
          <w:szCs w:val="22"/>
          <w:lang w:val="lt-LT"/>
        </w:rPr>
        <w:t>Prireikus atliekamas sukėlėjo jautrumo cefadroksiliui tyrimas.</w:t>
      </w:r>
    </w:p>
    <w:p w14:paraId="3FEB0100" w14:textId="77777777" w:rsidR="00290E64" w:rsidRDefault="00290E64" w:rsidP="00290E64">
      <w:pPr>
        <w:spacing w:line="240" w:lineRule="auto"/>
        <w:rPr>
          <w:szCs w:val="22"/>
          <w:lang w:val="lt-LT"/>
        </w:rPr>
      </w:pPr>
    </w:p>
    <w:p w14:paraId="3592380A" w14:textId="77777777" w:rsidR="00290E64" w:rsidRDefault="00290E64" w:rsidP="00290E64">
      <w:pPr>
        <w:spacing w:line="240" w:lineRule="auto"/>
        <w:outlineLvl w:val="0"/>
        <w:rPr>
          <w:b/>
          <w:szCs w:val="22"/>
          <w:lang w:val="lt-LT"/>
        </w:rPr>
      </w:pPr>
      <w:r>
        <w:rPr>
          <w:i/>
          <w:szCs w:val="22"/>
          <w:u w:val="single"/>
          <w:lang w:val="lt-LT"/>
        </w:rPr>
        <w:t>Suaugusiesiems ir daugiau kaip 40 kg sveriantiems vaikams</w:t>
      </w:r>
    </w:p>
    <w:p w14:paraId="457CA5B5" w14:textId="77777777" w:rsidR="00290E64" w:rsidRDefault="00290E64" w:rsidP="00290E64">
      <w:pPr>
        <w:spacing w:line="240" w:lineRule="auto"/>
        <w:rPr>
          <w:szCs w:val="22"/>
          <w:lang w:val="lt-LT"/>
        </w:rPr>
      </w:pPr>
    </w:p>
    <w:p w14:paraId="59EDF4EF" w14:textId="77777777" w:rsidR="00290E64" w:rsidRDefault="00290E64" w:rsidP="00290E64">
      <w:pPr>
        <w:spacing w:line="240" w:lineRule="auto"/>
        <w:rPr>
          <w:szCs w:val="22"/>
          <w:u w:val="single"/>
          <w:lang w:val="lt-LT"/>
        </w:rPr>
      </w:pPr>
      <w:r>
        <w:rPr>
          <w:szCs w:val="22"/>
          <w:u w:val="single"/>
          <w:lang w:val="lt-LT"/>
        </w:rPr>
        <w:t>Faringitas ir tonzilitas</w:t>
      </w:r>
    </w:p>
    <w:p w14:paraId="18DA490C" w14:textId="77777777" w:rsidR="00290E64" w:rsidRDefault="00290E64" w:rsidP="00290E64">
      <w:pPr>
        <w:spacing w:line="240" w:lineRule="auto"/>
        <w:rPr>
          <w:szCs w:val="22"/>
          <w:lang w:val="lt-LT"/>
        </w:rPr>
      </w:pPr>
      <w:r>
        <w:rPr>
          <w:szCs w:val="22"/>
          <w:lang w:val="lt-LT"/>
        </w:rPr>
        <w:t>Įprasta dozė A grupės β hemolizinių streptokokų sukeltam faringitui ir tonzilitui gydyti yra 1 g per parą. Ji išgeriama iš karto. Vaistinis preparatas vartojamas 10 parų.</w:t>
      </w:r>
    </w:p>
    <w:p w14:paraId="09310B22" w14:textId="77777777" w:rsidR="00290E64" w:rsidRDefault="00290E64" w:rsidP="00290E64">
      <w:pPr>
        <w:spacing w:line="240" w:lineRule="auto"/>
        <w:rPr>
          <w:szCs w:val="22"/>
          <w:lang w:val="lt-LT"/>
        </w:rPr>
      </w:pPr>
    </w:p>
    <w:p w14:paraId="3984CC8D" w14:textId="77777777" w:rsidR="00290E64" w:rsidRDefault="00290E64" w:rsidP="00290E64">
      <w:pPr>
        <w:spacing w:line="240" w:lineRule="auto"/>
        <w:rPr>
          <w:szCs w:val="22"/>
          <w:u w:val="single"/>
          <w:lang w:val="lt-LT"/>
        </w:rPr>
      </w:pPr>
      <w:r>
        <w:rPr>
          <w:szCs w:val="22"/>
          <w:u w:val="single"/>
          <w:lang w:val="lt-LT"/>
        </w:rPr>
        <w:t>Odos ir minkštųjų audinių infekcinės ligos</w:t>
      </w:r>
    </w:p>
    <w:p w14:paraId="36A815B7" w14:textId="77777777" w:rsidR="00290E64" w:rsidRDefault="00290E64" w:rsidP="00290E64">
      <w:pPr>
        <w:spacing w:line="240" w:lineRule="auto"/>
        <w:rPr>
          <w:szCs w:val="22"/>
          <w:lang w:val="lt-LT"/>
        </w:rPr>
      </w:pPr>
      <w:r>
        <w:rPr>
          <w:szCs w:val="22"/>
          <w:lang w:val="lt-LT"/>
        </w:rPr>
        <w:t>Įprasta dozė yra 1 g per parą. Ji išgeriama iš karto.</w:t>
      </w:r>
    </w:p>
    <w:p w14:paraId="6955D4CF" w14:textId="77777777" w:rsidR="00290E64" w:rsidRDefault="00290E64" w:rsidP="00290E64">
      <w:pPr>
        <w:spacing w:line="240" w:lineRule="auto"/>
        <w:rPr>
          <w:szCs w:val="22"/>
          <w:lang w:val="lt-LT"/>
        </w:rPr>
      </w:pPr>
    </w:p>
    <w:p w14:paraId="1CD20668" w14:textId="77777777" w:rsidR="00290E64" w:rsidRDefault="00290E64" w:rsidP="00290E64">
      <w:pPr>
        <w:spacing w:line="240" w:lineRule="auto"/>
        <w:rPr>
          <w:szCs w:val="22"/>
          <w:u w:val="single"/>
          <w:lang w:val="lt-LT"/>
        </w:rPr>
      </w:pPr>
      <w:r>
        <w:rPr>
          <w:szCs w:val="22"/>
          <w:u w:val="single"/>
          <w:lang w:val="lt-LT"/>
        </w:rPr>
        <w:t>Šlapimo takų infekcinės ligos</w:t>
      </w:r>
    </w:p>
    <w:p w14:paraId="404C8B43" w14:textId="77777777" w:rsidR="00290E64" w:rsidRDefault="00290E64" w:rsidP="00290E64">
      <w:pPr>
        <w:spacing w:line="240" w:lineRule="auto"/>
        <w:rPr>
          <w:szCs w:val="22"/>
          <w:lang w:val="lt-LT"/>
        </w:rPr>
      </w:pPr>
      <w:r>
        <w:rPr>
          <w:szCs w:val="22"/>
          <w:lang w:val="lt-LT"/>
        </w:rPr>
        <w:t>Įprasta dozė yra 2 g per parą. Ji padalijama į 2 lygias vienkartines. Įprasta dozė nekomplikuotoms apatinių šlapimo takų infekcinėms ligoms (t.y. cistitui) gydyti yra 1 g arba 2 g per parą. Ji išgeriama iš karto arba padalijama į 2 lygias vienkartines.</w:t>
      </w:r>
    </w:p>
    <w:p w14:paraId="53876E1E" w14:textId="77777777" w:rsidR="00290E64" w:rsidRDefault="00290E64" w:rsidP="00290E64">
      <w:pPr>
        <w:spacing w:line="240" w:lineRule="auto"/>
        <w:rPr>
          <w:szCs w:val="22"/>
          <w:lang w:val="lt-LT"/>
        </w:rPr>
      </w:pPr>
    </w:p>
    <w:p w14:paraId="0D985A81" w14:textId="77777777" w:rsidR="00290E64" w:rsidRDefault="00290E64" w:rsidP="00290E64">
      <w:pPr>
        <w:spacing w:line="240" w:lineRule="auto"/>
        <w:rPr>
          <w:i/>
          <w:szCs w:val="22"/>
          <w:u w:val="single"/>
          <w:lang w:val="lt-LT"/>
        </w:rPr>
      </w:pPr>
      <w:r>
        <w:rPr>
          <w:i/>
          <w:szCs w:val="22"/>
          <w:u w:val="single"/>
          <w:lang w:val="lt-LT"/>
        </w:rPr>
        <w:t>Mažiau kaip 40 kg sveriantiems vaikams</w:t>
      </w:r>
    </w:p>
    <w:p w14:paraId="28D4C608" w14:textId="77777777" w:rsidR="00290E64" w:rsidRDefault="00290E64" w:rsidP="00290E64">
      <w:pPr>
        <w:spacing w:line="240" w:lineRule="auto"/>
        <w:rPr>
          <w:szCs w:val="22"/>
          <w:lang w:val="lt-LT"/>
        </w:rPr>
      </w:pPr>
      <w:r>
        <w:rPr>
          <w:szCs w:val="22"/>
          <w:lang w:val="lt-LT"/>
        </w:rPr>
        <w:t xml:space="preserve">Rekomenduojama įprasta paros dozė </w:t>
      </w:r>
      <w:r>
        <w:rPr>
          <w:szCs w:val="22"/>
          <w:lang w:val="lt-LT"/>
        </w:rPr>
        <w:sym w:font="Symbol" w:char="F02D"/>
      </w:r>
      <w:r>
        <w:rPr>
          <w:szCs w:val="22"/>
          <w:lang w:val="lt-LT"/>
        </w:rPr>
        <w:t xml:space="preserve"> 25 – 50 mg/kg. Ji lygiomis dalimis išgeriama per du kartus (kas 12 val.). Prireikus mažesnės kaip 1 g vienkartinės dozės reikia rinktis kitos farmacinės formos Duracef. Gydant faringitą, tonzilitą ar impetigą, visą rekomenduojamą paros dozę galima išgerti vienu kartu.</w:t>
      </w:r>
    </w:p>
    <w:p w14:paraId="05BDD91B" w14:textId="77777777" w:rsidR="00290E64" w:rsidRDefault="00290E64" w:rsidP="00290E64">
      <w:pPr>
        <w:spacing w:line="240" w:lineRule="auto"/>
        <w:rPr>
          <w:szCs w:val="22"/>
          <w:lang w:val="lt-LT"/>
        </w:rPr>
      </w:pPr>
    </w:p>
    <w:p w14:paraId="5F3E9D20" w14:textId="77777777" w:rsidR="00290E64" w:rsidRDefault="00290E64" w:rsidP="00290E64">
      <w:pPr>
        <w:spacing w:line="240" w:lineRule="auto"/>
        <w:outlineLvl w:val="0"/>
        <w:rPr>
          <w:i/>
          <w:szCs w:val="22"/>
          <w:u w:val="single"/>
          <w:lang w:val="lt-LT"/>
        </w:rPr>
      </w:pPr>
      <w:r>
        <w:rPr>
          <w:i/>
          <w:szCs w:val="22"/>
          <w:u w:val="single"/>
          <w:lang w:val="lt-LT"/>
        </w:rPr>
        <w:t>Pacientams, kurių inkstų funkcija sutrikusi</w:t>
      </w:r>
    </w:p>
    <w:p w14:paraId="001EB6EF" w14:textId="77777777" w:rsidR="00290E64" w:rsidRDefault="00290E64" w:rsidP="00290E64">
      <w:pPr>
        <w:spacing w:line="240" w:lineRule="auto"/>
        <w:rPr>
          <w:szCs w:val="22"/>
          <w:lang w:val="lt-LT"/>
        </w:rPr>
      </w:pPr>
      <w:r>
        <w:rPr>
          <w:szCs w:val="22"/>
          <w:lang w:val="lt-LT"/>
        </w:rPr>
        <w:t xml:space="preserve">Kad vaistinis preparatas nesikauptų organizme, cefadroksilio dozavimą reikia koreguoti pagal kreatinino klirensą. Suaugusiesiems pradinė Duracef dozė yra 1 g, o palaikomoji – 500 mg. Palaikomosios dozės vartojimo intervalas parenkamas atsižvelgiant į kreatinino klirensą kaip nurodyta žemiau. </w:t>
      </w:r>
    </w:p>
    <w:p w14:paraId="355CAE4A" w14:textId="77777777" w:rsidR="00290E64" w:rsidRDefault="00290E64" w:rsidP="00290E64">
      <w:pPr>
        <w:spacing w:line="240" w:lineRule="auto"/>
        <w:rPr>
          <w:szCs w:val="22"/>
          <w:lang w:val="lt-LT"/>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219"/>
        <w:gridCol w:w="3800"/>
      </w:tblGrid>
      <w:tr w:rsidR="00290E64" w14:paraId="331996B8" w14:textId="77777777" w:rsidTr="00290E64">
        <w:trPr>
          <w:jc w:val="center"/>
        </w:trPr>
        <w:tc>
          <w:tcPr>
            <w:tcW w:w="5219" w:type="dxa"/>
            <w:tcBorders>
              <w:top w:val="single" w:sz="6" w:space="0" w:color="auto"/>
              <w:left w:val="single" w:sz="6" w:space="0" w:color="auto"/>
              <w:bottom w:val="single" w:sz="6" w:space="0" w:color="auto"/>
              <w:right w:val="single" w:sz="6" w:space="0" w:color="auto"/>
            </w:tcBorders>
            <w:hideMark/>
          </w:tcPr>
          <w:p w14:paraId="3F9720F4" w14:textId="77777777" w:rsidR="00290E64" w:rsidRDefault="00290E64">
            <w:pPr>
              <w:spacing w:line="240" w:lineRule="auto"/>
              <w:rPr>
                <w:szCs w:val="22"/>
                <w:lang w:val="lt-LT"/>
              </w:rPr>
            </w:pPr>
            <w:r>
              <w:rPr>
                <w:szCs w:val="22"/>
                <w:lang w:val="lt-LT"/>
              </w:rPr>
              <w:t>Kreatinino klirensas (ml/min/1,73 m</w:t>
            </w:r>
            <w:r>
              <w:rPr>
                <w:szCs w:val="22"/>
                <w:vertAlign w:val="superscript"/>
                <w:lang w:val="lt-LT"/>
              </w:rPr>
              <w:t>2</w:t>
            </w:r>
            <w:r>
              <w:rPr>
                <w:szCs w:val="22"/>
                <w:lang w:val="lt-LT"/>
              </w:rPr>
              <w:t>)</w:t>
            </w:r>
          </w:p>
        </w:tc>
        <w:tc>
          <w:tcPr>
            <w:tcW w:w="3800" w:type="dxa"/>
            <w:tcBorders>
              <w:top w:val="single" w:sz="6" w:space="0" w:color="auto"/>
              <w:left w:val="single" w:sz="6" w:space="0" w:color="auto"/>
              <w:bottom w:val="single" w:sz="6" w:space="0" w:color="auto"/>
              <w:right w:val="single" w:sz="6" w:space="0" w:color="auto"/>
            </w:tcBorders>
            <w:hideMark/>
          </w:tcPr>
          <w:p w14:paraId="23D8113A" w14:textId="77777777" w:rsidR="00290E64" w:rsidRDefault="00290E64">
            <w:pPr>
              <w:spacing w:line="240" w:lineRule="auto"/>
              <w:rPr>
                <w:szCs w:val="22"/>
                <w:lang w:val="lt-LT"/>
              </w:rPr>
            </w:pPr>
            <w:r>
              <w:rPr>
                <w:szCs w:val="22"/>
                <w:lang w:val="lt-LT"/>
              </w:rPr>
              <w:t>Vartojimo intervalas</w:t>
            </w:r>
          </w:p>
        </w:tc>
      </w:tr>
      <w:tr w:rsidR="00290E64" w14:paraId="3958117A" w14:textId="77777777" w:rsidTr="00290E64">
        <w:trPr>
          <w:jc w:val="center"/>
        </w:trPr>
        <w:tc>
          <w:tcPr>
            <w:tcW w:w="5219" w:type="dxa"/>
            <w:tcBorders>
              <w:top w:val="single" w:sz="6" w:space="0" w:color="auto"/>
              <w:left w:val="single" w:sz="6" w:space="0" w:color="auto"/>
              <w:bottom w:val="single" w:sz="6" w:space="0" w:color="auto"/>
              <w:right w:val="single" w:sz="6" w:space="0" w:color="auto"/>
            </w:tcBorders>
            <w:hideMark/>
          </w:tcPr>
          <w:p w14:paraId="77B7D09B" w14:textId="77777777" w:rsidR="00290E64" w:rsidRDefault="00290E64">
            <w:pPr>
              <w:spacing w:line="240" w:lineRule="auto"/>
              <w:rPr>
                <w:szCs w:val="22"/>
                <w:lang w:val="lt-LT"/>
              </w:rPr>
            </w:pPr>
            <w:r>
              <w:rPr>
                <w:szCs w:val="22"/>
                <w:lang w:val="lt-LT"/>
              </w:rPr>
              <w:t>0 - 10</w:t>
            </w:r>
          </w:p>
        </w:tc>
        <w:tc>
          <w:tcPr>
            <w:tcW w:w="3800" w:type="dxa"/>
            <w:tcBorders>
              <w:top w:val="single" w:sz="6" w:space="0" w:color="auto"/>
              <w:left w:val="single" w:sz="6" w:space="0" w:color="auto"/>
              <w:bottom w:val="single" w:sz="6" w:space="0" w:color="auto"/>
              <w:right w:val="single" w:sz="6" w:space="0" w:color="auto"/>
            </w:tcBorders>
            <w:hideMark/>
          </w:tcPr>
          <w:p w14:paraId="61CABA40" w14:textId="77777777" w:rsidR="00290E64" w:rsidRDefault="00290E64">
            <w:pPr>
              <w:spacing w:line="240" w:lineRule="auto"/>
              <w:rPr>
                <w:szCs w:val="22"/>
                <w:lang w:val="lt-LT"/>
              </w:rPr>
            </w:pPr>
            <w:r>
              <w:rPr>
                <w:szCs w:val="22"/>
                <w:lang w:val="lt-LT"/>
              </w:rPr>
              <w:t>36 val.</w:t>
            </w:r>
          </w:p>
        </w:tc>
      </w:tr>
      <w:tr w:rsidR="00290E64" w14:paraId="508069FB" w14:textId="77777777" w:rsidTr="00290E64">
        <w:trPr>
          <w:jc w:val="center"/>
        </w:trPr>
        <w:tc>
          <w:tcPr>
            <w:tcW w:w="5219" w:type="dxa"/>
            <w:tcBorders>
              <w:top w:val="single" w:sz="6" w:space="0" w:color="auto"/>
              <w:left w:val="single" w:sz="6" w:space="0" w:color="auto"/>
              <w:bottom w:val="single" w:sz="6" w:space="0" w:color="auto"/>
              <w:right w:val="single" w:sz="6" w:space="0" w:color="auto"/>
            </w:tcBorders>
            <w:hideMark/>
          </w:tcPr>
          <w:p w14:paraId="02A34233" w14:textId="77777777" w:rsidR="00290E64" w:rsidRDefault="00290E64">
            <w:pPr>
              <w:spacing w:line="240" w:lineRule="auto"/>
              <w:rPr>
                <w:szCs w:val="22"/>
                <w:lang w:val="lt-LT"/>
              </w:rPr>
            </w:pPr>
            <w:r>
              <w:rPr>
                <w:szCs w:val="22"/>
                <w:lang w:val="lt-LT"/>
              </w:rPr>
              <w:t>10 - 25</w:t>
            </w:r>
          </w:p>
        </w:tc>
        <w:tc>
          <w:tcPr>
            <w:tcW w:w="3800" w:type="dxa"/>
            <w:tcBorders>
              <w:top w:val="single" w:sz="6" w:space="0" w:color="auto"/>
              <w:left w:val="single" w:sz="6" w:space="0" w:color="auto"/>
              <w:bottom w:val="single" w:sz="6" w:space="0" w:color="auto"/>
              <w:right w:val="single" w:sz="6" w:space="0" w:color="auto"/>
            </w:tcBorders>
            <w:hideMark/>
          </w:tcPr>
          <w:p w14:paraId="4C2F5FF0" w14:textId="77777777" w:rsidR="00290E64" w:rsidRDefault="00290E64">
            <w:pPr>
              <w:spacing w:line="240" w:lineRule="auto"/>
              <w:rPr>
                <w:szCs w:val="22"/>
                <w:lang w:val="lt-LT"/>
              </w:rPr>
            </w:pPr>
            <w:r>
              <w:rPr>
                <w:szCs w:val="22"/>
                <w:lang w:val="lt-LT"/>
              </w:rPr>
              <w:t>24 val.</w:t>
            </w:r>
          </w:p>
        </w:tc>
      </w:tr>
      <w:tr w:rsidR="00290E64" w14:paraId="44E21F95" w14:textId="77777777" w:rsidTr="00290E64">
        <w:trPr>
          <w:jc w:val="center"/>
        </w:trPr>
        <w:tc>
          <w:tcPr>
            <w:tcW w:w="5219" w:type="dxa"/>
            <w:tcBorders>
              <w:top w:val="single" w:sz="6" w:space="0" w:color="auto"/>
              <w:left w:val="single" w:sz="6" w:space="0" w:color="auto"/>
              <w:bottom w:val="single" w:sz="6" w:space="0" w:color="auto"/>
              <w:right w:val="single" w:sz="6" w:space="0" w:color="auto"/>
            </w:tcBorders>
            <w:hideMark/>
          </w:tcPr>
          <w:p w14:paraId="696EB353" w14:textId="77777777" w:rsidR="00290E64" w:rsidRDefault="00290E64">
            <w:pPr>
              <w:spacing w:line="240" w:lineRule="auto"/>
              <w:rPr>
                <w:szCs w:val="22"/>
                <w:lang w:val="lt-LT"/>
              </w:rPr>
            </w:pPr>
            <w:r>
              <w:rPr>
                <w:szCs w:val="22"/>
                <w:lang w:val="lt-LT"/>
              </w:rPr>
              <w:t>25 - 50</w:t>
            </w:r>
          </w:p>
        </w:tc>
        <w:tc>
          <w:tcPr>
            <w:tcW w:w="3800" w:type="dxa"/>
            <w:tcBorders>
              <w:top w:val="single" w:sz="6" w:space="0" w:color="auto"/>
              <w:left w:val="single" w:sz="6" w:space="0" w:color="auto"/>
              <w:bottom w:val="single" w:sz="6" w:space="0" w:color="auto"/>
              <w:right w:val="single" w:sz="6" w:space="0" w:color="auto"/>
            </w:tcBorders>
            <w:hideMark/>
          </w:tcPr>
          <w:p w14:paraId="56E25BA1" w14:textId="77777777" w:rsidR="00290E64" w:rsidRDefault="00290E64">
            <w:pPr>
              <w:spacing w:line="240" w:lineRule="auto"/>
              <w:rPr>
                <w:szCs w:val="22"/>
                <w:lang w:val="lt-LT"/>
              </w:rPr>
            </w:pPr>
            <w:r>
              <w:rPr>
                <w:szCs w:val="22"/>
                <w:lang w:val="lt-LT"/>
              </w:rPr>
              <w:t>12 val.</w:t>
            </w:r>
          </w:p>
        </w:tc>
      </w:tr>
    </w:tbl>
    <w:p w14:paraId="31E266C7" w14:textId="77777777" w:rsidR="00290E64" w:rsidRDefault="00290E64" w:rsidP="00290E64">
      <w:pPr>
        <w:spacing w:line="240" w:lineRule="auto"/>
        <w:rPr>
          <w:szCs w:val="22"/>
          <w:lang w:val="lt-LT"/>
        </w:rPr>
      </w:pPr>
    </w:p>
    <w:p w14:paraId="558DBD5A" w14:textId="77777777" w:rsidR="00290E64" w:rsidRDefault="00290E64" w:rsidP="00290E64">
      <w:pPr>
        <w:spacing w:line="240" w:lineRule="auto"/>
        <w:rPr>
          <w:szCs w:val="22"/>
          <w:lang w:val="lt-LT"/>
        </w:rPr>
      </w:pPr>
      <w:r>
        <w:rPr>
          <w:szCs w:val="22"/>
          <w:lang w:val="lt-LT"/>
        </w:rPr>
        <w:t>Pacientams, kurių kreatinino klirensas didesnis nei 50 ml/min./1,73 m</w:t>
      </w:r>
      <w:r>
        <w:rPr>
          <w:szCs w:val="22"/>
          <w:vertAlign w:val="superscript"/>
          <w:lang w:val="lt-LT"/>
        </w:rPr>
        <w:t>2</w:t>
      </w:r>
      <w:r>
        <w:rPr>
          <w:szCs w:val="22"/>
          <w:lang w:val="lt-LT"/>
        </w:rPr>
        <w:t>, šis vaistinis preparatas dozuojamas taip pat kaip tiems, kurių inkstų funkcija normali.</w:t>
      </w:r>
    </w:p>
    <w:p w14:paraId="39A61677" w14:textId="77777777" w:rsidR="00290E64" w:rsidRDefault="00290E64" w:rsidP="00290E64">
      <w:pPr>
        <w:spacing w:line="240" w:lineRule="auto"/>
        <w:rPr>
          <w:szCs w:val="22"/>
          <w:lang w:val="lt-LT"/>
        </w:rPr>
      </w:pPr>
    </w:p>
    <w:p w14:paraId="33B894DE" w14:textId="77777777" w:rsidR="00290E64" w:rsidRDefault="00290E64" w:rsidP="00290E64">
      <w:pPr>
        <w:spacing w:line="240" w:lineRule="auto"/>
        <w:rPr>
          <w:szCs w:val="22"/>
          <w:lang w:val="lt-LT"/>
        </w:rPr>
      </w:pPr>
      <w:r>
        <w:rPr>
          <w:szCs w:val="22"/>
          <w:lang w:val="lt-LT"/>
        </w:rPr>
        <w:t xml:space="preserve">Tyrimais su 5 ligoniais, kuriems buvo anurija, nustatyta, jog išgėrus 1 g </w:t>
      </w:r>
      <w:r>
        <w:rPr>
          <w:bCs/>
          <w:szCs w:val="22"/>
          <w:lang w:val="lt-LT"/>
        </w:rPr>
        <w:t>Duracef</w:t>
      </w:r>
      <w:r>
        <w:rPr>
          <w:szCs w:val="22"/>
          <w:lang w:val="lt-LT"/>
        </w:rPr>
        <w:t>, per 6 - 8 hemodializės valandas iš organizmo pašalinama maždaug 63</w:t>
      </w:r>
      <w:r>
        <w:rPr>
          <w:szCs w:val="22"/>
          <w:lang w:val="lt-LT"/>
        </w:rPr>
        <w:sym w:font="Symbol" w:char="F025"/>
      </w:r>
      <w:r>
        <w:rPr>
          <w:szCs w:val="22"/>
          <w:lang w:val="lt-LT"/>
        </w:rPr>
        <w:t xml:space="preserve"> vaistinio preparato.</w:t>
      </w:r>
    </w:p>
    <w:p w14:paraId="4B33E6FC" w14:textId="77777777" w:rsidR="00290E64" w:rsidRDefault="00290E64" w:rsidP="00290E64">
      <w:pPr>
        <w:spacing w:line="240" w:lineRule="auto"/>
        <w:rPr>
          <w:szCs w:val="22"/>
          <w:lang w:val="lt-LT"/>
        </w:rPr>
      </w:pPr>
    </w:p>
    <w:p w14:paraId="21311F53" w14:textId="77777777" w:rsidR="00290E64" w:rsidRDefault="00290E64" w:rsidP="00290E64">
      <w:pPr>
        <w:spacing w:line="240" w:lineRule="auto"/>
        <w:rPr>
          <w:i/>
          <w:szCs w:val="22"/>
          <w:u w:val="single"/>
          <w:lang w:val="lt-LT"/>
        </w:rPr>
      </w:pPr>
      <w:r>
        <w:rPr>
          <w:i/>
          <w:szCs w:val="22"/>
          <w:u w:val="single"/>
          <w:lang w:val="lt-LT"/>
        </w:rPr>
        <w:t>Senyviems pacientams</w:t>
      </w:r>
    </w:p>
    <w:p w14:paraId="748B7B75" w14:textId="77777777" w:rsidR="00290E64" w:rsidRDefault="00290E64" w:rsidP="00290E64">
      <w:pPr>
        <w:spacing w:line="240" w:lineRule="auto"/>
        <w:rPr>
          <w:szCs w:val="22"/>
          <w:lang w:val="lt-LT"/>
        </w:rPr>
      </w:pPr>
      <w:r>
        <w:rPr>
          <w:szCs w:val="22"/>
          <w:lang w:val="lt-LT"/>
        </w:rPr>
        <w:t>Specifinių dozavimo rekomendacijų ar atsargumo priemonių senyviems pacientams nereikia, tik reikia stebėti pacientus, kurių inkstų funkcija sutrikusi.</w:t>
      </w:r>
    </w:p>
    <w:p w14:paraId="260C1C36" w14:textId="77777777" w:rsidR="00290E64" w:rsidRDefault="00290E64" w:rsidP="00290E64">
      <w:pPr>
        <w:spacing w:line="240" w:lineRule="auto"/>
        <w:rPr>
          <w:szCs w:val="22"/>
          <w:lang w:val="lt-LT"/>
        </w:rPr>
      </w:pPr>
    </w:p>
    <w:p w14:paraId="39A2FBE4" w14:textId="77777777" w:rsidR="00290E64" w:rsidRDefault="00290E64" w:rsidP="00290E64">
      <w:pPr>
        <w:spacing w:line="240" w:lineRule="auto"/>
        <w:rPr>
          <w:i/>
          <w:szCs w:val="22"/>
          <w:u w:val="single"/>
          <w:lang w:val="lt-LT"/>
        </w:rPr>
      </w:pPr>
      <w:r>
        <w:rPr>
          <w:i/>
          <w:szCs w:val="22"/>
          <w:u w:val="single"/>
          <w:lang w:val="lt-LT"/>
        </w:rPr>
        <w:t>Pacientams, kurių kepenų funkcija sutrikusi</w:t>
      </w:r>
    </w:p>
    <w:p w14:paraId="3CA61D1D" w14:textId="77777777" w:rsidR="00290E64" w:rsidRDefault="00290E64" w:rsidP="00290E64">
      <w:pPr>
        <w:spacing w:line="240" w:lineRule="auto"/>
        <w:rPr>
          <w:szCs w:val="22"/>
          <w:lang w:val="lt-LT"/>
        </w:rPr>
      </w:pPr>
      <w:r>
        <w:rPr>
          <w:szCs w:val="22"/>
          <w:lang w:val="lt-LT"/>
        </w:rPr>
        <w:t>Dozės koreguoti nereikia.</w:t>
      </w:r>
    </w:p>
    <w:p w14:paraId="4BB7BFB8" w14:textId="77777777" w:rsidR="00290E64" w:rsidRDefault="00290E64" w:rsidP="00290E64">
      <w:pPr>
        <w:spacing w:line="240" w:lineRule="auto"/>
        <w:rPr>
          <w:szCs w:val="22"/>
          <w:lang w:val="lt-LT"/>
        </w:rPr>
      </w:pPr>
    </w:p>
    <w:p w14:paraId="6342DC0B" w14:textId="77777777" w:rsidR="00290E64" w:rsidRDefault="00290E64" w:rsidP="00290E64">
      <w:pPr>
        <w:spacing w:line="240" w:lineRule="auto"/>
        <w:rPr>
          <w:szCs w:val="22"/>
          <w:u w:val="single"/>
          <w:lang w:val="lt-LT"/>
        </w:rPr>
      </w:pPr>
      <w:r>
        <w:rPr>
          <w:szCs w:val="22"/>
          <w:u w:val="single"/>
          <w:lang w:val="lt-LT"/>
        </w:rPr>
        <w:t>Vartojimo metodas</w:t>
      </w:r>
    </w:p>
    <w:p w14:paraId="170088E9" w14:textId="77777777" w:rsidR="00290E64" w:rsidRDefault="00290E64" w:rsidP="00290E64">
      <w:pPr>
        <w:spacing w:line="240" w:lineRule="auto"/>
        <w:rPr>
          <w:szCs w:val="22"/>
          <w:lang w:val="lt-LT"/>
        </w:rPr>
      </w:pPr>
      <w:r>
        <w:rPr>
          <w:szCs w:val="22"/>
          <w:lang w:val="lt-LT"/>
        </w:rPr>
        <w:t>Nuplėšę foliją, įmeskite disperguojamąją tabletę į 120 ml vandens. Palaukite 30 - 60 sekundžių, kol disperguojamoji tabletė suirs. Po to visa gauta dispersija gerai sumaišoma ir išgeriama. Disperguojamosios tabletės ruošiamos prieš pat vartojimą.</w:t>
      </w:r>
    </w:p>
    <w:p w14:paraId="0A91103D" w14:textId="77777777" w:rsidR="00290E64" w:rsidRDefault="00290E64" w:rsidP="00290E64">
      <w:pPr>
        <w:spacing w:line="240" w:lineRule="auto"/>
        <w:rPr>
          <w:b/>
          <w:szCs w:val="22"/>
          <w:lang w:val="lt-LT"/>
        </w:rPr>
      </w:pPr>
    </w:p>
    <w:p w14:paraId="7A28B379" w14:textId="77777777" w:rsidR="00290E64" w:rsidRDefault="00290E64" w:rsidP="00290E64">
      <w:pPr>
        <w:spacing w:line="240" w:lineRule="auto"/>
        <w:outlineLvl w:val="0"/>
        <w:rPr>
          <w:b/>
          <w:szCs w:val="22"/>
          <w:lang w:val="lt-LT"/>
        </w:rPr>
      </w:pPr>
      <w:r>
        <w:rPr>
          <w:b/>
          <w:szCs w:val="22"/>
          <w:lang w:val="lt-LT"/>
        </w:rPr>
        <w:t>4.3</w:t>
      </w:r>
      <w:r>
        <w:rPr>
          <w:b/>
          <w:szCs w:val="22"/>
          <w:lang w:val="lt-LT"/>
        </w:rPr>
        <w:tab/>
        <w:t>Kontraindikacijos</w:t>
      </w:r>
    </w:p>
    <w:p w14:paraId="067A1575" w14:textId="77777777" w:rsidR="00290E64" w:rsidRDefault="00290E64" w:rsidP="00290E64">
      <w:pPr>
        <w:spacing w:line="240" w:lineRule="auto"/>
        <w:rPr>
          <w:szCs w:val="22"/>
          <w:lang w:val="lt-LT"/>
        </w:rPr>
      </w:pPr>
    </w:p>
    <w:p w14:paraId="1495DD95" w14:textId="77777777" w:rsidR="00290E64" w:rsidRDefault="00290E64" w:rsidP="00290E64">
      <w:pPr>
        <w:numPr>
          <w:ilvl w:val="0"/>
          <w:numId w:val="2"/>
        </w:numPr>
        <w:tabs>
          <w:tab w:val="clear" w:pos="567"/>
          <w:tab w:val="left" w:pos="426"/>
        </w:tabs>
        <w:spacing w:line="240" w:lineRule="auto"/>
        <w:rPr>
          <w:szCs w:val="22"/>
          <w:lang w:val="lt-LT"/>
        </w:rPr>
      </w:pPr>
      <w:r>
        <w:rPr>
          <w:szCs w:val="22"/>
          <w:lang w:val="lt-LT"/>
        </w:rPr>
        <w:t>Padidėjęs jautrumas veikliajai arba bet kuriai pagalbinei medžiagai.</w:t>
      </w:r>
    </w:p>
    <w:p w14:paraId="546259D2" w14:textId="77777777" w:rsidR="00290E64" w:rsidRDefault="00290E64" w:rsidP="00290E64">
      <w:pPr>
        <w:numPr>
          <w:ilvl w:val="0"/>
          <w:numId w:val="2"/>
        </w:numPr>
        <w:spacing w:line="240" w:lineRule="auto"/>
        <w:outlineLvl w:val="0"/>
        <w:rPr>
          <w:szCs w:val="22"/>
          <w:lang w:val="lt-LT"/>
        </w:rPr>
      </w:pPr>
      <w:r>
        <w:rPr>
          <w:szCs w:val="22"/>
          <w:lang w:val="lt-LT"/>
        </w:rPr>
        <w:t xml:space="preserve">  Alergija cefalosporinų grupės antibiotikams.</w:t>
      </w:r>
    </w:p>
    <w:p w14:paraId="5C1CAC12" w14:textId="77777777" w:rsidR="00290E64" w:rsidRDefault="00290E64" w:rsidP="00290E64">
      <w:pPr>
        <w:spacing w:line="240" w:lineRule="auto"/>
        <w:rPr>
          <w:b/>
          <w:szCs w:val="22"/>
          <w:lang w:val="lt-LT"/>
        </w:rPr>
      </w:pPr>
    </w:p>
    <w:p w14:paraId="53022620" w14:textId="77777777" w:rsidR="00290E64" w:rsidRDefault="00290E64" w:rsidP="00290E64">
      <w:pPr>
        <w:spacing w:line="240" w:lineRule="auto"/>
        <w:outlineLvl w:val="0"/>
        <w:rPr>
          <w:b/>
          <w:szCs w:val="22"/>
          <w:lang w:val="lt-LT"/>
        </w:rPr>
      </w:pPr>
      <w:r>
        <w:rPr>
          <w:b/>
          <w:szCs w:val="22"/>
          <w:lang w:val="lt-LT"/>
        </w:rPr>
        <w:t>4.4</w:t>
      </w:r>
      <w:r>
        <w:rPr>
          <w:b/>
          <w:szCs w:val="22"/>
          <w:lang w:val="lt-LT"/>
        </w:rPr>
        <w:tab/>
        <w:t>Specialūs įspėjimai ir atsargumo priemonės</w:t>
      </w:r>
    </w:p>
    <w:p w14:paraId="147D6F92" w14:textId="77777777" w:rsidR="00290E64" w:rsidRDefault="00290E64" w:rsidP="00290E64">
      <w:pPr>
        <w:spacing w:line="240" w:lineRule="auto"/>
        <w:rPr>
          <w:szCs w:val="22"/>
          <w:lang w:val="lt-LT"/>
        </w:rPr>
      </w:pPr>
    </w:p>
    <w:p w14:paraId="2B2DF4A1" w14:textId="77777777" w:rsidR="00290E64" w:rsidRDefault="00290E64" w:rsidP="00290E64">
      <w:pPr>
        <w:spacing w:line="240" w:lineRule="auto"/>
        <w:rPr>
          <w:szCs w:val="22"/>
          <w:lang w:val="lt-LT"/>
        </w:rPr>
      </w:pPr>
      <w:r>
        <w:rPr>
          <w:szCs w:val="22"/>
          <w:lang w:val="lt-LT"/>
        </w:rPr>
        <w:t xml:space="preserve">Prieš skiriant </w:t>
      </w:r>
      <w:r>
        <w:rPr>
          <w:bCs/>
          <w:szCs w:val="22"/>
          <w:lang w:val="lt-LT"/>
        </w:rPr>
        <w:t xml:space="preserve">Duracef </w:t>
      </w:r>
      <w:r>
        <w:rPr>
          <w:szCs w:val="22"/>
          <w:lang w:val="lt-LT"/>
        </w:rPr>
        <w:t xml:space="preserve">būtina tiksliai išsiaiškinti, ar nebuvo pasireiškusi padidėjusio jautrumo reakcija cefadroksiliui, kitokiems cefalosporinams, penicilinams ar kitiems vaistams. Penicilinams alergiškus žmones </w:t>
      </w:r>
      <w:r>
        <w:rPr>
          <w:bCs/>
          <w:szCs w:val="22"/>
          <w:lang w:val="lt-LT"/>
        </w:rPr>
        <w:t xml:space="preserve">Duracef </w:t>
      </w:r>
      <w:r>
        <w:rPr>
          <w:szCs w:val="22"/>
          <w:lang w:val="lt-LT"/>
        </w:rPr>
        <w:t>reikia gydyti atsargiai, kadangi β  laktaminiams antibiotikams galima kryžminė alergija. Ji gali pasireikšti net 10 </w:t>
      </w:r>
      <w:r>
        <w:rPr>
          <w:szCs w:val="22"/>
          <w:lang w:val="lt-LT"/>
        </w:rPr>
        <w:sym w:font="Symbol" w:char="F025"/>
      </w:r>
      <w:r>
        <w:rPr>
          <w:szCs w:val="22"/>
          <w:lang w:val="lt-LT"/>
        </w:rPr>
        <w:t xml:space="preserve"> penicilinams alergiškų žmonių. Jei </w:t>
      </w:r>
      <w:r>
        <w:rPr>
          <w:bCs/>
          <w:szCs w:val="22"/>
          <w:lang w:val="lt-LT"/>
        </w:rPr>
        <w:t xml:space="preserve">Duracef </w:t>
      </w:r>
      <w:r>
        <w:rPr>
          <w:szCs w:val="22"/>
          <w:lang w:val="lt-LT"/>
        </w:rPr>
        <w:t>sukelia alerginę reakciją, jo vartojimą būtina nutraukti. Prasidėjus sunkiai ūminei padidėjusio jautrumo reakcijai, gali prireikti skubios medicinos pagalbos priemonių.</w:t>
      </w:r>
    </w:p>
    <w:p w14:paraId="1D0E8DFF" w14:textId="77777777" w:rsidR="00290E64" w:rsidRDefault="00290E64" w:rsidP="00290E64">
      <w:pPr>
        <w:spacing w:line="240" w:lineRule="auto"/>
        <w:rPr>
          <w:szCs w:val="22"/>
          <w:lang w:val="lt-LT"/>
        </w:rPr>
      </w:pPr>
    </w:p>
    <w:p w14:paraId="526A2A61" w14:textId="77777777" w:rsidR="00290E64" w:rsidRDefault="00290E64" w:rsidP="00290E64">
      <w:pPr>
        <w:rPr>
          <w:szCs w:val="22"/>
          <w:lang w:val="lt-LT"/>
        </w:rPr>
      </w:pPr>
      <w:r>
        <w:rPr>
          <w:szCs w:val="22"/>
          <w:lang w:val="lt-LT"/>
        </w:rPr>
        <w:t xml:space="preserve">Vartojant beveik visus antibakterinius vaistinius preparatus, įskaitant Duracef, yra buvę su </w:t>
      </w:r>
      <w:r>
        <w:rPr>
          <w:i/>
          <w:szCs w:val="22"/>
          <w:lang w:val="lt-LT"/>
        </w:rPr>
        <w:t xml:space="preserve">Clostridium difficile </w:t>
      </w:r>
      <w:r>
        <w:rPr>
          <w:szCs w:val="22"/>
          <w:lang w:val="lt-LT"/>
        </w:rPr>
        <w:t xml:space="preserve">susijusio viduriavimo atvejų. Šis sutrikimas gali būti įvairaus sunkumo – nuo lengvo viduriavimo iki mirtino kolito. Jei pacientas, vartojantis arba neseniai vartojęs antibiotikų, pradeda viduriuoti, niekada negalima užmiršti su </w:t>
      </w:r>
      <w:r>
        <w:rPr>
          <w:i/>
          <w:szCs w:val="22"/>
          <w:lang w:val="lt-LT"/>
        </w:rPr>
        <w:t>Clostridium difficile</w:t>
      </w:r>
      <w:r>
        <w:rPr>
          <w:szCs w:val="22"/>
          <w:lang w:val="lt-LT"/>
        </w:rPr>
        <w:t xml:space="preserve"> susijusio viduriavimo galimybės. Būtina kruopščiai surinkti anamnezę, kadangi su </w:t>
      </w:r>
      <w:r>
        <w:rPr>
          <w:i/>
          <w:szCs w:val="22"/>
          <w:lang w:val="lt-LT"/>
        </w:rPr>
        <w:t>Clostridium difficile</w:t>
      </w:r>
      <w:r>
        <w:rPr>
          <w:szCs w:val="22"/>
          <w:lang w:val="lt-LT"/>
        </w:rPr>
        <w:t xml:space="preserve"> susijusio viduriavimo atvejų yra pasireiškę net po 2 mėnesių po antibakterinių vaistinių preparatų vartojimo. Įtarus ar diagnozavus su </w:t>
      </w:r>
      <w:r>
        <w:rPr>
          <w:i/>
          <w:szCs w:val="22"/>
          <w:lang w:val="lt-LT"/>
        </w:rPr>
        <w:lastRenderedPageBreak/>
        <w:t>Clostridium difficile</w:t>
      </w:r>
      <w:r>
        <w:rPr>
          <w:szCs w:val="22"/>
          <w:lang w:val="lt-LT"/>
        </w:rPr>
        <w:t xml:space="preserve"> susijusį viduriavimą, </w:t>
      </w:r>
      <w:r>
        <w:rPr>
          <w:i/>
          <w:szCs w:val="22"/>
          <w:lang w:val="lt-LT"/>
        </w:rPr>
        <w:t>Clostridium difficile</w:t>
      </w:r>
      <w:r>
        <w:rPr>
          <w:szCs w:val="22"/>
          <w:lang w:val="lt-LT"/>
        </w:rPr>
        <w:t xml:space="preserve"> infekcijai gydyti </w:t>
      </w:r>
      <w:r>
        <w:rPr>
          <w:szCs w:val="22"/>
          <w:u w:val="single"/>
          <w:lang w:val="lt-LT"/>
        </w:rPr>
        <w:t>ne</w:t>
      </w:r>
      <w:r>
        <w:rPr>
          <w:szCs w:val="22"/>
          <w:lang w:val="lt-LT"/>
        </w:rPr>
        <w:t>skirtų antibiotikų vartojimą gali tekti nutraukti.</w:t>
      </w:r>
    </w:p>
    <w:p w14:paraId="4DE8B4A9" w14:textId="77777777" w:rsidR="00290E64" w:rsidRDefault="00290E64" w:rsidP="00290E64">
      <w:pPr>
        <w:spacing w:line="240" w:lineRule="auto"/>
        <w:rPr>
          <w:szCs w:val="22"/>
          <w:lang w:val="lt-LT"/>
        </w:rPr>
      </w:pPr>
    </w:p>
    <w:p w14:paraId="7367A709" w14:textId="77777777" w:rsidR="00290E64" w:rsidRDefault="00290E64" w:rsidP="00290E64">
      <w:pPr>
        <w:spacing w:line="240" w:lineRule="auto"/>
        <w:rPr>
          <w:szCs w:val="22"/>
          <w:lang w:val="lt-LT"/>
        </w:rPr>
      </w:pPr>
      <w:r>
        <w:rPr>
          <w:bCs/>
          <w:szCs w:val="22"/>
          <w:lang w:val="lt-LT"/>
        </w:rPr>
        <w:t xml:space="preserve">Duracef </w:t>
      </w:r>
      <w:r>
        <w:rPr>
          <w:szCs w:val="22"/>
          <w:lang w:val="lt-LT"/>
        </w:rPr>
        <w:t>vartojant ilgai, gali atsirasti ir daugėti atsparių mikroorganizmų. Taip gydant, pacientą būtina atidžiai prižiūrėti. Pasireiškus superinfekcijai, reikia imtis tinkamų gydymo priemonių.</w:t>
      </w:r>
    </w:p>
    <w:p w14:paraId="6A7FF6D5" w14:textId="77777777" w:rsidR="00290E64" w:rsidRDefault="00290E64" w:rsidP="00290E64">
      <w:pPr>
        <w:spacing w:line="240" w:lineRule="auto"/>
        <w:rPr>
          <w:szCs w:val="22"/>
          <w:lang w:val="lt-LT"/>
        </w:rPr>
      </w:pPr>
    </w:p>
    <w:p w14:paraId="4A2D3F3E" w14:textId="77777777" w:rsidR="00290E64" w:rsidRDefault="00290E64" w:rsidP="00290E64">
      <w:pPr>
        <w:spacing w:line="240" w:lineRule="auto"/>
        <w:outlineLvl w:val="0"/>
        <w:rPr>
          <w:szCs w:val="22"/>
          <w:lang w:val="lt-LT"/>
        </w:rPr>
      </w:pPr>
      <w:r>
        <w:rPr>
          <w:szCs w:val="22"/>
          <w:lang w:val="lt-LT"/>
        </w:rPr>
        <w:t xml:space="preserve">Žmones, sirgusius virškinimo trakto ligomis, ypač kolitu, </w:t>
      </w:r>
      <w:r>
        <w:rPr>
          <w:bCs/>
          <w:szCs w:val="22"/>
          <w:lang w:val="lt-LT"/>
        </w:rPr>
        <w:t xml:space="preserve">Duracef </w:t>
      </w:r>
      <w:r>
        <w:rPr>
          <w:szCs w:val="22"/>
          <w:lang w:val="lt-LT"/>
        </w:rPr>
        <w:t>reikia gydyti atsargiai.</w:t>
      </w:r>
    </w:p>
    <w:p w14:paraId="44DFFCA6" w14:textId="77777777" w:rsidR="00290E64" w:rsidRDefault="00290E64" w:rsidP="00290E64">
      <w:pPr>
        <w:spacing w:line="240" w:lineRule="auto"/>
        <w:rPr>
          <w:szCs w:val="22"/>
          <w:lang w:val="lt-LT"/>
        </w:rPr>
      </w:pPr>
    </w:p>
    <w:p w14:paraId="5FEC3EF3" w14:textId="77777777" w:rsidR="00290E64" w:rsidRDefault="00290E64" w:rsidP="00290E64">
      <w:pPr>
        <w:spacing w:line="240" w:lineRule="auto"/>
        <w:rPr>
          <w:szCs w:val="22"/>
          <w:lang w:val="lt-LT"/>
        </w:rPr>
      </w:pPr>
      <w:r>
        <w:rPr>
          <w:szCs w:val="22"/>
          <w:lang w:val="lt-LT"/>
        </w:rPr>
        <w:t>Jeigu yra inkstų funkcijos sutrikimas, Duracef reikia gydyti atsargiai (žr. 4.2 skyrių). Pacientus, kuriems nustatytas inkstų nepakankamumas (arba įtariama, kad jis yra), reikia atidžiai prižiūrėti, prieš gydymą ir jo metu būtina atlikti reikiamus laboratorinius tyrimus.</w:t>
      </w:r>
    </w:p>
    <w:p w14:paraId="0537D788" w14:textId="77777777" w:rsidR="00290E64" w:rsidRDefault="00290E64" w:rsidP="00290E64">
      <w:pPr>
        <w:spacing w:line="240" w:lineRule="auto"/>
        <w:rPr>
          <w:szCs w:val="22"/>
          <w:lang w:val="lt-LT"/>
        </w:rPr>
      </w:pPr>
    </w:p>
    <w:p w14:paraId="4A543B6C" w14:textId="31684919" w:rsidR="00290E64" w:rsidRDefault="00290E64" w:rsidP="00290E64">
      <w:pPr>
        <w:spacing w:line="240" w:lineRule="auto"/>
        <w:rPr>
          <w:szCs w:val="22"/>
          <w:lang w:val="lt-LT"/>
        </w:rPr>
      </w:pPr>
      <w:r>
        <w:rPr>
          <w:szCs w:val="22"/>
          <w:lang w:val="lt-LT"/>
        </w:rPr>
        <w:t>Vartojant cefalosporinų, gali tapti teigiama tiesioginė Kumbso reakcija. Atliekant kraujo tyrimus, donoro ir recipiento kraujo grupių atitikimo testą naudojant antiglobulinus ar Kumbso reakcijos testą naujagimiams, kurių motinos prieš gimdymą vartojo cefalosporinų, reikia nepamiršti, kad Kumbso reakcija gali būti teigiama dėl šių vaistinių preparatų vartojimo.</w:t>
      </w:r>
    </w:p>
    <w:p w14:paraId="08C91768" w14:textId="2593A3A9" w:rsidR="00AD0D2E" w:rsidRDefault="00AD0D2E" w:rsidP="00290E64">
      <w:pPr>
        <w:spacing w:line="240" w:lineRule="auto"/>
        <w:rPr>
          <w:szCs w:val="22"/>
          <w:lang w:val="lt-LT"/>
        </w:rPr>
      </w:pPr>
    </w:p>
    <w:p w14:paraId="3C0FEF92" w14:textId="77777777" w:rsidR="00AD0D2E" w:rsidRPr="00AD0D2E" w:rsidRDefault="00AD0D2E" w:rsidP="00AD0D2E">
      <w:pPr>
        <w:spacing w:line="240" w:lineRule="auto"/>
        <w:rPr>
          <w:b/>
          <w:bCs/>
          <w:szCs w:val="22"/>
          <w:lang w:val="lt-LT"/>
        </w:rPr>
      </w:pPr>
      <w:r w:rsidRPr="00AD0D2E">
        <w:rPr>
          <w:b/>
          <w:bCs/>
          <w:szCs w:val="22"/>
          <w:lang w:val="lt-LT"/>
        </w:rPr>
        <w:t xml:space="preserve">Natris </w:t>
      </w:r>
    </w:p>
    <w:p w14:paraId="2BFA4AAF" w14:textId="346A19DB" w:rsidR="00AD0D2E" w:rsidRDefault="00AD0D2E" w:rsidP="00AD0D2E">
      <w:pPr>
        <w:spacing w:line="240" w:lineRule="auto"/>
        <w:rPr>
          <w:szCs w:val="22"/>
          <w:lang w:val="lt-LT"/>
        </w:rPr>
      </w:pPr>
      <w:r>
        <w:rPr>
          <w:szCs w:val="22"/>
          <w:lang w:val="lt-LT"/>
        </w:rPr>
        <w:t>Vienoje</w:t>
      </w:r>
      <w:r w:rsidRPr="00AD0D2E">
        <w:rPr>
          <w:szCs w:val="22"/>
          <w:lang w:val="lt-LT"/>
        </w:rPr>
        <w:t xml:space="preserve"> šio vaistinio preparato </w:t>
      </w:r>
      <w:r>
        <w:rPr>
          <w:szCs w:val="22"/>
          <w:lang w:val="lt-LT"/>
        </w:rPr>
        <w:t xml:space="preserve">tabletėje </w:t>
      </w:r>
      <w:r w:rsidRPr="00AD0D2E">
        <w:rPr>
          <w:szCs w:val="22"/>
          <w:lang w:val="lt-LT"/>
        </w:rPr>
        <w:t>yra mažiau kaip 1 mmol natrio (</w:t>
      </w:r>
      <w:r>
        <w:rPr>
          <w:szCs w:val="22"/>
          <w:lang w:val="lt-LT"/>
        </w:rPr>
        <w:t>3</w:t>
      </w:r>
      <w:r w:rsidRPr="00AD0D2E">
        <w:rPr>
          <w:szCs w:val="22"/>
          <w:lang w:val="lt-LT"/>
        </w:rPr>
        <w:t>,</w:t>
      </w:r>
      <w:r>
        <w:rPr>
          <w:szCs w:val="22"/>
          <w:lang w:val="lt-LT"/>
        </w:rPr>
        <w:t>03</w:t>
      </w:r>
      <w:r w:rsidRPr="00AD0D2E">
        <w:rPr>
          <w:szCs w:val="22"/>
          <w:lang w:val="lt-LT"/>
        </w:rPr>
        <w:t> mg), t.y., jis beveik neturi reikšmės.</w:t>
      </w:r>
    </w:p>
    <w:p w14:paraId="1C786EDC" w14:textId="77777777" w:rsidR="00290E64" w:rsidRDefault="00290E64" w:rsidP="00290E64">
      <w:pPr>
        <w:spacing w:line="240" w:lineRule="auto"/>
        <w:rPr>
          <w:szCs w:val="22"/>
          <w:lang w:val="lt-LT"/>
        </w:rPr>
      </w:pPr>
    </w:p>
    <w:p w14:paraId="5341B27B" w14:textId="77777777" w:rsidR="00290E64" w:rsidRDefault="00290E64" w:rsidP="00290E64">
      <w:pPr>
        <w:spacing w:line="240" w:lineRule="auto"/>
        <w:outlineLvl w:val="0"/>
        <w:rPr>
          <w:b/>
          <w:szCs w:val="22"/>
          <w:lang w:val="lt-LT"/>
        </w:rPr>
      </w:pPr>
      <w:r>
        <w:rPr>
          <w:b/>
          <w:szCs w:val="22"/>
          <w:lang w:val="lt-LT"/>
        </w:rPr>
        <w:t>4.5</w:t>
      </w:r>
      <w:r>
        <w:rPr>
          <w:b/>
          <w:szCs w:val="22"/>
          <w:lang w:val="lt-LT"/>
        </w:rPr>
        <w:tab/>
        <w:t>Sąveika su kitais vaistiniais preparatais ir kitokia sąveika</w:t>
      </w:r>
    </w:p>
    <w:p w14:paraId="1A68FA3E" w14:textId="77777777" w:rsidR="00290E64" w:rsidRDefault="00290E64" w:rsidP="00290E64">
      <w:pPr>
        <w:spacing w:line="240" w:lineRule="auto"/>
        <w:rPr>
          <w:szCs w:val="22"/>
          <w:lang w:val="lt-LT"/>
        </w:rPr>
      </w:pPr>
    </w:p>
    <w:p w14:paraId="4854E308" w14:textId="77777777" w:rsidR="00290E64" w:rsidRDefault="00290E64" w:rsidP="00290E64">
      <w:pPr>
        <w:spacing w:line="240" w:lineRule="auto"/>
        <w:rPr>
          <w:szCs w:val="22"/>
          <w:lang w:val="lt-LT"/>
        </w:rPr>
      </w:pPr>
      <w:r>
        <w:rPr>
          <w:szCs w:val="22"/>
          <w:lang w:val="lt-LT"/>
        </w:rPr>
        <w:t>Sąveikos tyrimų neatlikta.</w:t>
      </w:r>
    </w:p>
    <w:p w14:paraId="7B9680D2" w14:textId="77777777" w:rsidR="00290E64" w:rsidRDefault="00290E64" w:rsidP="00290E64">
      <w:pPr>
        <w:spacing w:line="240" w:lineRule="auto"/>
        <w:rPr>
          <w:szCs w:val="22"/>
          <w:lang w:val="lt-LT"/>
        </w:rPr>
      </w:pPr>
    </w:p>
    <w:p w14:paraId="57D8ED1A" w14:textId="77777777" w:rsidR="00290E64" w:rsidRDefault="00290E64" w:rsidP="00290E64">
      <w:pPr>
        <w:spacing w:line="240" w:lineRule="auto"/>
        <w:rPr>
          <w:szCs w:val="22"/>
          <w:lang w:val="lt-LT"/>
        </w:rPr>
      </w:pPr>
      <w:r>
        <w:rPr>
          <w:szCs w:val="22"/>
          <w:lang w:val="lt-LT"/>
        </w:rPr>
        <w:t>Cefalosporinai gali sustiprinti krešėjimą slopinantį antikoaguliantų poveikį. Tuo pat metu vartojamas probenecidas slopina cefadroksilio eliminaciją per inkstus, todėl kartu su probenecidu vartojamo cefadroksilio koncentracija plazmoje gali padidėti. Cefadroksilis gali susilpninti geriamųjų kontraceptikų kontraceptinį poveikį. Cefadroksilio negalima vartoti kartu su bakteriostatinio poveikio vaistiniais preparatais (pvz., tetraciklinu, eritromicinu, sulfonamidais), kadangi jų poveikis gali būti antagonistinis. Cefadroksilio negalima vartoti kartu su aminoglikozidų grupės antibiotikais, vankomicinu ar didelėmis kilpinių diuretikų dozėmis, kadangi šie vaistiniai preparatai gali stiprinti vienas kito nefrotoksinį poveikį. Dėl pasireiškusio viduriavimo gali sutrikti kitų vaistinių preparatų rezorbcija ir dėl to sumažėti jų veiksmingumas.</w:t>
      </w:r>
    </w:p>
    <w:p w14:paraId="380CDF2E" w14:textId="77777777" w:rsidR="00290E64" w:rsidRDefault="00290E64" w:rsidP="00290E64">
      <w:pPr>
        <w:spacing w:line="240" w:lineRule="auto"/>
        <w:rPr>
          <w:b/>
          <w:szCs w:val="22"/>
          <w:lang w:val="lt-LT"/>
        </w:rPr>
      </w:pPr>
    </w:p>
    <w:p w14:paraId="60DAAE4B" w14:textId="77777777" w:rsidR="00290E64" w:rsidRDefault="00290E64" w:rsidP="00290E64">
      <w:pPr>
        <w:spacing w:line="240" w:lineRule="auto"/>
        <w:outlineLvl w:val="0"/>
        <w:rPr>
          <w:b/>
          <w:szCs w:val="22"/>
          <w:lang w:val="lt-LT"/>
        </w:rPr>
      </w:pPr>
      <w:r>
        <w:rPr>
          <w:b/>
          <w:szCs w:val="22"/>
          <w:lang w:val="lt-LT"/>
        </w:rPr>
        <w:t>4.6</w:t>
      </w:r>
      <w:r>
        <w:rPr>
          <w:b/>
          <w:szCs w:val="22"/>
          <w:lang w:val="lt-LT"/>
        </w:rPr>
        <w:tab/>
        <w:t>Vaisingumas, nėštumo ir žindymo laikotarpis</w:t>
      </w:r>
    </w:p>
    <w:p w14:paraId="405D5122" w14:textId="77777777" w:rsidR="00290E64" w:rsidRDefault="00290E64" w:rsidP="00290E64">
      <w:pPr>
        <w:spacing w:line="240" w:lineRule="auto"/>
        <w:rPr>
          <w:szCs w:val="22"/>
          <w:lang w:val="lt-LT"/>
        </w:rPr>
      </w:pPr>
    </w:p>
    <w:p w14:paraId="56FE4FAE" w14:textId="77777777" w:rsidR="00290E64" w:rsidRDefault="00290E64" w:rsidP="00290E64">
      <w:pPr>
        <w:spacing w:line="240" w:lineRule="auto"/>
        <w:rPr>
          <w:szCs w:val="22"/>
          <w:lang w:val="lt-LT"/>
        </w:rPr>
      </w:pPr>
      <w:r>
        <w:rPr>
          <w:szCs w:val="22"/>
          <w:lang w:val="lt-LT"/>
        </w:rPr>
        <w:t>Tyrimų metu pelių ir žiurkių, vartojusių cefadroksilio dozę, kuri yra 11 kartų didesnė už dozę, rekomenduojamą žmogui, vaisingumas nesutriko, žalingo poveikio jų vaisiui nepasireiškė. Tinkamų ir gerai kontroliuojamų tyrimų su nėščiomis moterimis neatlikta. Kadangi remiantis tyrimų su gyvūnais rezultatais ne visada galima numatyti, koks poveikis gali pasireikšti žmogui, nėščias moteris šiuo vaistiniu preparatu galima gydyti tik neabejotai būtinais atvejais.</w:t>
      </w:r>
    </w:p>
    <w:p w14:paraId="7543A73D" w14:textId="77777777" w:rsidR="00290E64" w:rsidRDefault="00290E64" w:rsidP="00290E64">
      <w:pPr>
        <w:spacing w:line="240" w:lineRule="auto"/>
        <w:rPr>
          <w:szCs w:val="22"/>
          <w:lang w:val="lt-LT"/>
        </w:rPr>
      </w:pPr>
    </w:p>
    <w:p w14:paraId="3F73D7FB" w14:textId="77777777" w:rsidR="00290E64" w:rsidRDefault="00290E64" w:rsidP="00290E64">
      <w:pPr>
        <w:spacing w:line="240" w:lineRule="auto"/>
        <w:outlineLvl w:val="0"/>
        <w:rPr>
          <w:szCs w:val="22"/>
          <w:lang w:val="lt-LT"/>
        </w:rPr>
      </w:pPr>
      <w:r>
        <w:rPr>
          <w:szCs w:val="22"/>
          <w:lang w:val="lt-LT"/>
        </w:rPr>
        <w:t xml:space="preserve">Į motinos pieną cefadroksilio patenka, todėl žindyves </w:t>
      </w:r>
      <w:r>
        <w:rPr>
          <w:bCs/>
          <w:szCs w:val="22"/>
          <w:lang w:val="lt-LT"/>
        </w:rPr>
        <w:t xml:space="preserve">Duracef </w:t>
      </w:r>
      <w:r>
        <w:rPr>
          <w:szCs w:val="22"/>
          <w:lang w:val="lt-LT"/>
        </w:rPr>
        <w:t>reikia gydyti atsargiai.</w:t>
      </w:r>
    </w:p>
    <w:p w14:paraId="5A3185BC" w14:textId="77777777" w:rsidR="00290E64" w:rsidRDefault="00290E64" w:rsidP="00290E64">
      <w:pPr>
        <w:spacing w:line="240" w:lineRule="auto"/>
        <w:rPr>
          <w:b/>
          <w:szCs w:val="22"/>
          <w:lang w:val="lt-LT"/>
        </w:rPr>
      </w:pPr>
    </w:p>
    <w:p w14:paraId="38E45710" w14:textId="77777777" w:rsidR="00290E64" w:rsidRDefault="00290E64" w:rsidP="00290E64">
      <w:pPr>
        <w:spacing w:line="240" w:lineRule="auto"/>
        <w:outlineLvl w:val="0"/>
        <w:rPr>
          <w:b/>
          <w:szCs w:val="22"/>
          <w:lang w:val="lt-LT"/>
        </w:rPr>
      </w:pPr>
      <w:r>
        <w:rPr>
          <w:b/>
          <w:szCs w:val="22"/>
          <w:lang w:val="lt-LT"/>
        </w:rPr>
        <w:t>4.7</w:t>
      </w:r>
      <w:r>
        <w:rPr>
          <w:b/>
          <w:szCs w:val="22"/>
          <w:lang w:val="lt-LT"/>
        </w:rPr>
        <w:tab/>
        <w:t>Poveikis gebėjimui vairuoti ir valdyti mechanizmus</w:t>
      </w:r>
    </w:p>
    <w:p w14:paraId="2AECCB85" w14:textId="77777777" w:rsidR="00290E64" w:rsidRDefault="00290E64" w:rsidP="00290E64">
      <w:pPr>
        <w:spacing w:line="240" w:lineRule="auto"/>
        <w:rPr>
          <w:szCs w:val="22"/>
          <w:lang w:val="lt-LT"/>
        </w:rPr>
      </w:pPr>
    </w:p>
    <w:p w14:paraId="59486476" w14:textId="77777777" w:rsidR="00290E64" w:rsidRDefault="00290E64" w:rsidP="00290E64">
      <w:pPr>
        <w:spacing w:line="240" w:lineRule="auto"/>
        <w:rPr>
          <w:szCs w:val="22"/>
          <w:lang w:val="lt-LT"/>
        </w:rPr>
      </w:pPr>
      <w:r>
        <w:rPr>
          <w:szCs w:val="22"/>
          <w:lang w:val="lt-LT"/>
        </w:rPr>
        <w:t>Poveikio gebėjimui vairuoti ir valdyti mechanizmus tyrimų neatlikta.</w:t>
      </w:r>
    </w:p>
    <w:p w14:paraId="4942F715" w14:textId="77777777" w:rsidR="00290E64" w:rsidRDefault="00290E64" w:rsidP="00290E64">
      <w:pPr>
        <w:spacing w:line="240" w:lineRule="auto"/>
        <w:rPr>
          <w:szCs w:val="22"/>
          <w:lang w:val="lt-LT"/>
        </w:rPr>
      </w:pPr>
    </w:p>
    <w:p w14:paraId="290DAFE8" w14:textId="77777777" w:rsidR="00290E64" w:rsidRDefault="00290E64" w:rsidP="00290E64">
      <w:pPr>
        <w:spacing w:line="240" w:lineRule="auto"/>
        <w:outlineLvl w:val="0"/>
        <w:rPr>
          <w:b/>
          <w:szCs w:val="22"/>
          <w:lang w:val="lt-LT"/>
        </w:rPr>
      </w:pPr>
      <w:r>
        <w:rPr>
          <w:b/>
          <w:szCs w:val="22"/>
          <w:lang w:val="lt-LT"/>
        </w:rPr>
        <w:t>4.8</w:t>
      </w:r>
      <w:r>
        <w:rPr>
          <w:b/>
          <w:szCs w:val="22"/>
          <w:lang w:val="lt-LT"/>
        </w:rPr>
        <w:tab/>
        <w:t>Nepageidaujamas poveikis</w:t>
      </w:r>
    </w:p>
    <w:p w14:paraId="0D221181" w14:textId="77777777" w:rsidR="00290E64" w:rsidRDefault="00290E64" w:rsidP="00290E64">
      <w:pPr>
        <w:spacing w:line="240" w:lineRule="auto"/>
        <w:rPr>
          <w:szCs w:val="22"/>
          <w:lang w:val="lt-LT"/>
        </w:rPr>
      </w:pPr>
    </w:p>
    <w:p w14:paraId="6F063A82" w14:textId="77777777" w:rsidR="00290E64" w:rsidRDefault="00290E64" w:rsidP="00290E64">
      <w:pPr>
        <w:spacing w:line="240" w:lineRule="auto"/>
        <w:rPr>
          <w:szCs w:val="22"/>
          <w:lang w:val="lt-LT"/>
        </w:rPr>
      </w:pPr>
      <w:r>
        <w:rPr>
          <w:szCs w:val="22"/>
          <w:lang w:val="lt-LT"/>
        </w:rPr>
        <w:t>Vartojant cefadroksilį stebėti panašūs nepageidaujami reiškiniai kaip ir vartojant kitus cefalosporinus.</w:t>
      </w:r>
    </w:p>
    <w:p w14:paraId="5CFF735A" w14:textId="77777777" w:rsidR="00290E64" w:rsidRDefault="00290E64" w:rsidP="00290E64">
      <w:pPr>
        <w:spacing w:line="240" w:lineRule="auto"/>
        <w:rPr>
          <w:szCs w:val="22"/>
          <w:lang w:val="lt-LT"/>
        </w:rPr>
      </w:pPr>
    </w:p>
    <w:p w14:paraId="4EF933B6" w14:textId="77777777" w:rsidR="00290E64" w:rsidRDefault="00290E64" w:rsidP="00290E64">
      <w:pPr>
        <w:spacing w:line="240" w:lineRule="auto"/>
        <w:rPr>
          <w:szCs w:val="22"/>
          <w:lang w:val="lt-LT"/>
        </w:rPr>
      </w:pPr>
      <w:r>
        <w:rPr>
          <w:szCs w:val="22"/>
          <w:lang w:val="lt-LT"/>
        </w:rPr>
        <w:t>Žemiau pateikiamoje lentelėje nepageidaujami reiškiniai sugrupuoti pagal organų sistemų klases (naudojami terminai pagal MedDra) ir dažnį. Nepageidaujamo poveikio dažnis apibūdinamas taip: labai dažnas (</w:t>
      </w:r>
      <w:r>
        <w:rPr>
          <w:szCs w:val="22"/>
          <w:lang w:val="lt-LT"/>
        </w:rPr>
        <w:sym w:font="Symbol" w:char="F0B3"/>
      </w:r>
      <w:r>
        <w:rPr>
          <w:szCs w:val="22"/>
          <w:lang w:val="lt-LT"/>
        </w:rPr>
        <w:t xml:space="preserve"> 1/10), dažnas (nuo </w:t>
      </w:r>
      <w:r>
        <w:rPr>
          <w:szCs w:val="22"/>
          <w:lang w:val="lt-LT"/>
        </w:rPr>
        <w:sym w:font="Symbol" w:char="F0B3"/>
      </w:r>
      <w:r>
        <w:rPr>
          <w:szCs w:val="22"/>
          <w:lang w:val="lt-LT"/>
        </w:rPr>
        <w:t xml:space="preserve"> 1/100 iki &lt; 1/10), nedažnas (nuo </w:t>
      </w:r>
      <w:r>
        <w:rPr>
          <w:szCs w:val="22"/>
          <w:lang w:val="lt-LT"/>
        </w:rPr>
        <w:sym w:font="Symbol" w:char="F0B3"/>
      </w:r>
      <w:r>
        <w:rPr>
          <w:szCs w:val="22"/>
          <w:lang w:val="lt-LT"/>
        </w:rPr>
        <w:t xml:space="preserve"> 1/1 000 iki &lt; 1/100), retas (nuo </w:t>
      </w:r>
      <w:r>
        <w:rPr>
          <w:szCs w:val="22"/>
          <w:lang w:val="lt-LT"/>
        </w:rPr>
        <w:sym w:font="Symbol" w:char="F0B3"/>
      </w:r>
      <w:r>
        <w:rPr>
          <w:szCs w:val="22"/>
          <w:lang w:val="lt-LT"/>
        </w:rPr>
        <w:t xml:space="preserve"> 1/10 000 iki &lt; 1/1000), labai retas (&lt; 1/10 000) ir nežinomas (negali būti apskaičiuotas pagal </w:t>
      </w:r>
      <w:r>
        <w:rPr>
          <w:szCs w:val="22"/>
          <w:lang w:val="lt-LT"/>
        </w:rPr>
        <w:lastRenderedPageBreak/>
        <w:t>turimus duomenis). Kiekvienoje dažnio grupėje nepageidaujamas</w:t>
      </w:r>
      <w:r>
        <w:rPr>
          <w:b/>
          <w:iCs/>
          <w:szCs w:val="22"/>
          <w:lang w:val="lt-LT"/>
        </w:rPr>
        <w:t xml:space="preserve"> </w:t>
      </w:r>
      <w:r>
        <w:rPr>
          <w:iCs/>
          <w:szCs w:val="22"/>
          <w:lang w:val="lt-LT"/>
        </w:rPr>
        <w:t>poveikis</w:t>
      </w:r>
      <w:r>
        <w:rPr>
          <w:szCs w:val="22"/>
          <w:lang w:val="lt-LT"/>
        </w:rPr>
        <w:t xml:space="preserve"> pateikiamas mažėjančio sunkumo tvarka.</w:t>
      </w:r>
    </w:p>
    <w:p w14:paraId="4941BC29" w14:textId="77777777" w:rsidR="00290E64" w:rsidRDefault="00290E64" w:rsidP="00290E64">
      <w:pPr>
        <w:spacing w:line="240" w:lineRule="auto"/>
        <w:rPr>
          <w:szCs w:val="22"/>
          <w:lang w:val="lt-LT"/>
        </w:rPr>
      </w:pPr>
    </w:p>
    <w:tbl>
      <w:tblPr>
        <w:tblW w:w="9593" w:type="dxa"/>
        <w:tblLook w:val="00A0" w:firstRow="1" w:lastRow="0" w:firstColumn="1" w:lastColumn="0" w:noHBand="0" w:noVBand="0"/>
      </w:tblPr>
      <w:tblGrid>
        <w:gridCol w:w="3794"/>
        <w:gridCol w:w="1276"/>
        <w:gridCol w:w="4523"/>
      </w:tblGrid>
      <w:tr w:rsidR="00290E64" w14:paraId="7E084524" w14:textId="77777777" w:rsidTr="00290E64">
        <w:tc>
          <w:tcPr>
            <w:tcW w:w="3794" w:type="dxa"/>
            <w:tcBorders>
              <w:top w:val="single" w:sz="6" w:space="0" w:color="000000"/>
              <w:left w:val="single" w:sz="6" w:space="0" w:color="000000"/>
              <w:bottom w:val="single" w:sz="6" w:space="0" w:color="000000"/>
              <w:right w:val="single" w:sz="4" w:space="0" w:color="auto"/>
            </w:tcBorders>
            <w:hideMark/>
          </w:tcPr>
          <w:p w14:paraId="79DC5213" w14:textId="77777777" w:rsidR="00290E64" w:rsidRDefault="00290E64">
            <w:pPr>
              <w:spacing w:line="240" w:lineRule="auto"/>
              <w:rPr>
                <w:b/>
                <w:szCs w:val="22"/>
                <w:lang w:val="lt-LT"/>
              </w:rPr>
            </w:pPr>
            <w:r>
              <w:rPr>
                <w:b/>
                <w:szCs w:val="22"/>
                <w:lang w:val="lt-LT"/>
              </w:rPr>
              <w:t>Organų sistemų klasė</w:t>
            </w:r>
            <w:r>
              <w:rPr>
                <w:b/>
                <w:szCs w:val="22"/>
                <w:lang w:val="lt-LT"/>
              </w:rPr>
              <w:br/>
              <w:t xml:space="preserve">(pagal MedDRA) </w:t>
            </w:r>
          </w:p>
        </w:tc>
        <w:tc>
          <w:tcPr>
            <w:tcW w:w="1276" w:type="dxa"/>
            <w:tcBorders>
              <w:top w:val="single" w:sz="4" w:space="0" w:color="auto"/>
              <w:left w:val="single" w:sz="4" w:space="0" w:color="auto"/>
              <w:bottom w:val="single" w:sz="4" w:space="0" w:color="auto"/>
              <w:right w:val="single" w:sz="4" w:space="0" w:color="auto"/>
            </w:tcBorders>
            <w:hideMark/>
          </w:tcPr>
          <w:p w14:paraId="1445934C" w14:textId="77777777" w:rsidR="00290E64" w:rsidRDefault="00290E64">
            <w:pPr>
              <w:spacing w:line="240" w:lineRule="auto"/>
              <w:rPr>
                <w:b/>
                <w:szCs w:val="22"/>
                <w:lang w:val="lt-LT"/>
              </w:rPr>
            </w:pPr>
            <w:r>
              <w:rPr>
                <w:b/>
                <w:szCs w:val="22"/>
                <w:lang w:val="lt-LT"/>
              </w:rPr>
              <w:t>Dažnis</w:t>
            </w:r>
          </w:p>
        </w:tc>
        <w:tc>
          <w:tcPr>
            <w:tcW w:w="4523" w:type="dxa"/>
            <w:tcBorders>
              <w:top w:val="single" w:sz="4" w:space="0" w:color="auto"/>
              <w:left w:val="single" w:sz="4" w:space="0" w:color="auto"/>
              <w:bottom w:val="single" w:sz="4" w:space="0" w:color="auto"/>
              <w:right w:val="single" w:sz="4" w:space="0" w:color="auto"/>
            </w:tcBorders>
            <w:hideMark/>
          </w:tcPr>
          <w:p w14:paraId="4C308FC5" w14:textId="77777777" w:rsidR="00290E64" w:rsidRDefault="00290E64">
            <w:pPr>
              <w:spacing w:line="240" w:lineRule="auto"/>
              <w:rPr>
                <w:b/>
                <w:szCs w:val="22"/>
                <w:lang w:val="lt-LT"/>
              </w:rPr>
            </w:pPr>
            <w:r>
              <w:rPr>
                <w:b/>
                <w:szCs w:val="22"/>
                <w:lang w:val="lt-LT"/>
              </w:rPr>
              <w:t xml:space="preserve">MedDRA terminas </w:t>
            </w:r>
          </w:p>
        </w:tc>
      </w:tr>
      <w:tr w:rsidR="00290E64" w14:paraId="7858EF2E" w14:textId="77777777" w:rsidTr="00290E64">
        <w:tc>
          <w:tcPr>
            <w:tcW w:w="3794" w:type="dxa"/>
            <w:vMerge w:val="restart"/>
            <w:tcBorders>
              <w:top w:val="single" w:sz="6" w:space="0" w:color="000000"/>
              <w:left w:val="single" w:sz="6" w:space="0" w:color="000000"/>
              <w:bottom w:val="nil"/>
              <w:right w:val="single" w:sz="4" w:space="0" w:color="auto"/>
            </w:tcBorders>
            <w:hideMark/>
          </w:tcPr>
          <w:p w14:paraId="1E516859" w14:textId="77777777" w:rsidR="00290E64" w:rsidRDefault="00290E64">
            <w:pPr>
              <w:spacing w:line="240" w:lineRule="auto"/>
              <w:rPr>
                <w:szCs w:val="22"/>
                <w:lang w:val="lt-LT"/>
              </w:rPr>
            </w:pPr>
            <w:r>
              <w:rPr>
                <w:szCs w:val="22"/>
                <w:lang w:val="lt-LT"/>
              </w:rPr>
              <w:t xml:space="preserve">Infekcijos ir infestacijos </w:t>
            </w:r>
          </w:p>
        </w:tc>
        <w:tc>
          <w:tcPr>
            <w:tcW w:w="1276" w:type="dxa"/>
            <w:tcBorders>
              <w:top w:val="single" w:sz="4" w:space="0" w:color="auto"/>
              <w:left w:val="single" w:sz="4" w:space="0" w:color="auto"/>
              <w:bottom w:val="single" w:sz="4" w:space="0" w:color="auto"/>
              <w:right w:val="single" w:sz="4" w:space="0" w:color="auto"/>
            </w:tcBorders>
            <w:hideMark/>
          </w:tcPr>
          <w:p w14:paraId="341CD1F5" w14:textId="77777777" w:rsidR="00290E64" w:rsidRDefault="00290E64">
            <w:pPr>
              <w:spacing w:line="240" w:lineRule="auto"/>
              <w:rPr>
                <w:szCs w:val="22"/>
                <w:lang w:val="lt-LT"/>
              </w:rPr>
            </w:pPr>
            <w:r>
              <w:rPr>
                <w:szCs w:val="22"/>
                <w:lang w:val="lt-LT"/>
              </w:rPr>
              <w:t>retas</w:t>
            </w:r>
          </w:p>
        </w:tc>
        <w:tc>
          <w:tcPr>
            <w:tcW w:w="4523" w:type="dxa"/>
            <w:tcBorders>
              <w:top w:val="single" w:sz="4" w:space="0" w:color="auto"/>
              <w:left w:val="single" w:sz="4" w:space="0" w:color="auto"/>
              <w:bottom w:val="single" w:sz="4" w:space="0" w:color="auto"/>
              <w:right w:val="single" w:sz="4" w:space="0" w:color="auto"/>
            </w:tcBorders>
            <w:hideMark/>
          </w:tcPr>
          <w:p w14:paraId="50AF839D" w14:textId="77777777" w:rsidR="00290E64" w:rsidRDefault="00290E64">
            <w:pPr>
              <w:spacing w:line="240" w:lineRule="auto"/>
              <w:rPr>
                <w:szCs w:val="22"/>
                <w:lang w:val="lt-LT"/>
              </w:rPr>
            </w:pPr>
            <w:r>
              <w:rPr>
                <w:szCs w:val="22"/>
                <w:lang w:val="lt-LT"/>
              </w:rPr>
              <w:t xml:space="preserve">makšties infekcija </w:t>
            </w:r>
          </w:p>
        </w:tc>
      </w:tr>
      <w:tr w:rsidR="00290E64" w14:paraId="745D098C" w14:textId="77777777" w:rsidTr="00290E64">
        <w:tc>
          <w:tcPr>
            <w:tcW w:w="0" w:type="auto"/>
            <w:vMerge/>
            <w:tcBorders>
              <w:top w:val="single" w:sz="6" w:space="0" w:color="000000"/>
              <w:left w:val="single" w:sz="6" w:space="0" w:color="000000"/>
              <w:bottom w:val="nil"/>
              <w:right w:val="single" w:sz="4" w:space="0" w:color="auto"/>
            </w:tcBorders>
            <w:vAlign w:val="center"/>
            <w:hideMark/>
          </w:tcPr>
          <w:p w14:paraId="06DCAD0D" w14:textId="77777777" w:rsidR="00290E64" w:rsidRDefault="00290E64">
            <w:pPr>
              <w:tabs>
                <w:tab w:val="clear" w:pos="567"/>
              </w:tabs>
              <w:spacing w:line="276" w:lineRule="auto"/>
              <w:rPr>
                <w:szCs w:val="22"/>
                <w:lang w:val="lt-LT"/>
              </w:rPr>
            </w:pPr>
          </w:p>
        </w:tc>
        <w:tc>
          <w:tcPr>
            <w:tcW w:w="1276" w:type="dxa"/>
            <w:tcBorders>
              <w:top w:val="single" w:sz="4" w:space="0" w:color="auto"/>
              <w:left w:val="single" w:sz="4" w:space="0" w:color="auto"/>
              <w:bottom w:val="single" w:sz="4" w:space="0" w:color="auto"/>
              <w:right w:val="single" w:sz="4" w:space="0" w:color="auto"/>
            </w:tcBorders>
            <w:hideMark/>
          </w:tcPr>
          <w:p w14:paraId="5AE79095" w14:textId="77777777" w:rsidR="00290E64" w:rsidRDefault="00290E64">
            <w:pPr>
              <w:spacing w:line="240" w:lineRule="auto"/>
              <w:rPr>
                <w:szCs w:val="22"/>
                <w:lang w:val="lt-LT"/>
              </w:rPr>
            </w:pPr>
            <w:r>
              <w:rPr>
                <w:szCs w:val="22"/>
                <w:lang w:val="lt-LT"/>
              </w:rPr>
              <w:t>nežinomas</w:t>
            </w:r>
          </w:p>
        </w:tc>
        <w:tc>
          <w:tcPr>
            <w:tcW w:w="4523" w:type="dxa"/>
            <w:tcBorders>
              <w:top w:val="single" w:sz="4" w:space="0" w:color="auto"/>
              <w:left w:val="single" w:sz="4" w:space="0" w:color="auto"/>
              <w:bottom w:val="single" w:sz="4" w:space="0" w:color="auto"/>
              <w:right w:val="single" w:sz="4" w:space="0" w:color="auto"/>
            </w:tcBorders>
            <w:hideMark/>
          </w:tcPr>
          <w:p w14:paraId="00A27B33" w14:textId="77777777" w:rsidR="00290E64" w:rsidRDefault="00290E64">
            <w:pPr>
              <w:spacing w:line="240" w:lineRule="auto"/>
              <w:rPr>
                <w:szCs w:val="22"/>
                <w:lang w:val="lt-LT"/>
              </w:rPr>
            </w:pPr>
            <w:r>
              <w:rPr>
                <w:szCs w:val="22"/>
                <w:lang w:val="lt-LT"/>
              </w:rPr>
              <w:t>lytinių organų kandidozė</w:t>
            </w:r>
          </w:p>
        </w:tc>
      </w:tr>
      <w:tr w:rsidR="00290E64" w14:paraId="3E70BB39" w14:textId="77777777" w:rsidTr="00290E64">
        <w:tc>
          <w:tcPr>
            <w:tcW w:w="3794" w:type="dxa"/>
            <w:tcBorders>
              <w:top w:val="single" w:sz="6" w:space="0" w:color="000000"/>
              <w:left w:val="single" w:sz="6" w:space="0" w:color="000000"/>
              <w:bottom w:val="nil"/>
              <w:right w:val="single" w:sz="4" w:space="0" w:color="auto"/>
            </w:tcBorders>
            <w:hideMark/>
          </w:tcPr>
          <w:p w14:paraId="30443EA4" w14:textId="77777777" w:rsidR="00290E64" w:rsidRDefault="00290E64">
            <w:pPr>
              <w:spacing w:line="240" w:lineRule="auto"/>
              <w:rPr>
                <w:szCs w:val="22"/>
                <w:lang w:val="lt-LT"/>
              </w:rPr>
            </w:pPr>
            <w:r>
              <w:rPr>
                <w:szCs w:val="22"/>
                <w:lang w:val="lt-LT"/>
              </w:rPr>
              <w:t>Kraujo ir limfinės sistemos sutrikimai</w:t>
            </w:r>
          </w:p>
        </w:tc>
        <w:tc>
          <w:tcPr>
            <w:tcW w:w="1276" w:type="dxa"/>
            <w:tcBorders>
              <w:top w:val="single" w:sz="4" w:space="0" w:color="auto"/>
              <w:left w:val="single" w:sz="4" w:space="0" w:color="auto"/>
              <w:bottom w:val="single" w:sz="4" w:space="0" w:color="auto"/>
              <w:right w:val="single" w:sz="4" w:space="0" w:color="auto"/>
            </w:tcBorders>
            <w:hideMark/>
          </w:tcPr>
          <w:p w14:paraId="4523E57B" w14:textId="77777777" w:rsidR="00290E64" w:rsidRDefault="00290E64">
            <w:pPr>
              <w:spacing w:line="240" w:lineRule="auto"/>
              <w:rPr>
                <w:szCs w:val="22"/>
                <w:lang w:val="lt-LT"/>
              </w:rPr>
            </w:pPr>
            <w:r>
              <w:rPr>
                <w:szCs w:val="22"/>
                <w:lang w:val="lt-LT"/>
              </w:rPr>
              <w:t xml:space="preserve">nežinomas </w:t>
            </w:r>
          </w:p>
        </w:tc>
        <w:tc>
          <w:tcPr>
            <w:tcW w:w="4523" w:type="dxa"/>
            <w:tcBorders>
              <w:top w:val="single" w:sz="4" w:space="0" w:color="auto"/>
              <w:left w:val="single" w:sz="4" w:space="0" w:color="auto"/>
              <w:bottom w:val="single" w:sz="4" w:space="0" w:color="auto"/>
              <w:right w:val="single" w:sz="4" w:space="0" w:color="auto"/>
            </w:tcBorders>
            <w:vAlign w:val="bottom"/>
            <w:hideMark/>
          </w:tcPr>
          <w:p w14:paraId="0D27799A" w14:textId="77777777" w:rsidR="00290E64" w:rsidRDefault="00290E64">
            <w:pPr>
              <w:spacing w:line="240" w:lineRule="auto"/>
              <w:rPr>
                <w:szCs w:val="22"/>
                <w:lang w:val="lt-LT"/>
              </w:rPr>
            </w:pPr>
            <w:r>
              <w:rPr>
                <w:szCs w:val="22"/>
                <w:lang w:val="lt-LT"/>
              </w:rPr>
              <w:t>agranulocitozė, neutropenija, trombocitopenija</w:t>
            </w:r>
          </w:p>
        </w:tc>
      </w:tr>
      <w:tr w:rsidR="00290E64" w14:paraId="6FA020F7" w14:textId="77777777" w:rsidTr="00290E64">
        <w:tc>
          <w:tcPr>
            <w:tcW w:w="3794" w:type="dxa"/>
            <w:tcBorders>
              <w:top w:val="single" w:sz="6" w:space="0" w:color="000000"/>
              <w:left w:val="single" w:sz="6" w:space="0" w:color="000000"/>
              <w:bottom w:val="nil"/>
              <w:right w:val="single" w:sz="4" w:space="0" w:color="auto"/>
            </w:tcBorders>
            <w:hideMark/>
          </w:tcPr>
          <w:p w14:paraId="05CB4EFB" w14:textId="77777777" w:rsidR="00290E64" w:rsidRDefault="00290E64">
            <w:pPr>
              <w:spacing w:line="240" w:lineRule="auto"/>
              <w:rPr>
                <w:szCs w:val="22"/>
                <w:lang w:val="lt-LT"/>
              </w:rPr>
            </w:pPr>
            <w:r>
              <w:rPr>
                <w:szCs w:val="22"/>
                <w:lang w:val="lt-LT"/>
              </w:rPr>
              <w:t>Imuninės sistemos sutrikimai</w:t>
            </w:r>
          </w:p>
        </w:tc>
        <w:tc>
          <w:tcPr>
            <w:tcW w:w="1276" w:type="dxa"/>
            <w:tcBorders>
              <w:top w:val="single" w:sz="4" w:space="0" w:color="auto"/>
              <w:left w:val="single" w:sz="4" w:space="0" w:color="auto"/>
              <w:bottom w:val="single" w:sz="4" w:space="0" w:color="auto"/>
              <w:right w:val="single" w:sz="4" w:space="0" w:color="auto"/>
            </w:tcBorders>
            <w:hideMark/>
          </w:tcPr>
          <w:p w14:paraId="63A19B6B" w14:textId="77777777" w:rsidR="00290E64" w:rsidRDefault="00290E64">
            <w:pPr>
              <w:spacing w:line="240" w:lineRule="auto"/>
              <w:rPr>
                <w:szCs w:val="22"/>
                <w:lang w:val="lt-LT"/>
              </w:rPr>
            </w:pPr>
            <w:r>
              <w:rPr>
                <w:szCs w:val="22"/>
                <w:lang w:val="lt-LT"/>
              </w:rPr>
              <w:t>nežinomas</w:t>
            </w:r>
          </w:p>
        </w:tc>
        <w:tc>
          <w:tcPr>
            <w:tcW w:w="4523" w:type="dxa"/>
            <w:tcBorders>
              <w:top w:val="single" w:sz="4" w:space="0" w:color="auto"/>
              <w:left w:val="single" w:sz="4" w:space="0" w:color="auto"/>
              <w:bottom w:val="single" w:sz="4" w:space="0" w:color="auto"/>
              <w:right w:val="single" w:sz="4" w:space="0" w:color="auto"/>
            </w:tcBorders>
            <w:hideMark/>
          </w:tcPr>
          <w:p w14:paraId="49D44677" w14:textId="77777777" w:rsidR="00290E64" w:rsidRDefault="00290E64">
            <w:pPr>
              <w:spacing w:line="240" w:lineRule="auto"/>
              <w:rPr>
                <w:szCs w:val="22"/>
                <w:lang w:val="lt-LT"/>
              </w:rPr>
            </w:pPr>
            <w:r>
              <w:rPr>
                <w:szCs w:val="22"/>
                <w:lang w:val="lt-LT"/>
              </w:rPr>
              <w:t>anafilaksinė reakcija, angioneurozinė edema, padidėjęs jautrumas, seruminė liga</w:t>
            </w:r>
          </w:p>
        </w:tc>
      </w:tr>
      <w:tr w:rsidR="00290E64" w14:paraId="3E39BB3C" w14:textId="77777777" w:rsidTr="00290E64">
        <w:tc>
          <w:tcPr>
            <w:tcW w:w="3794" w:type="dxa"/>
            <w:vMerge w:val="restart"/>
            <w:tcBorders>
              <w:top w:val="single" w:sz="6" w:space="0" w:color="000000"/>
              <w:left w:val="single" w:sz="6" w:space="0" w:color="000000"/>
              <w:bottom w:val="single" w:sz="6" w:space="0" w:color="000000"/>
              <w:right w:val="single" w:sz="4" w:space="0" w:color="auto"/>
            </w:tcBorders>
            <w:hideMark/>
          </w:tcPr>
          <w:p w14:paraId="6D1D867C" w14:textId="77777777" w:rsidR="00290E64" w:rsidRDefault="00290E64">
            <w:pPr>
              <w:spacing w:line="240" w:lineRule="auto"/>
              <w:rPr>
                <w:szCs w:val="22"/>
                <w:lang w:val="lt-LT"/>
              </w:rPr>
            </w:pPr>
            <w:r>
              <w:rPr>
                <w:szCs w:val="22"/>
                <w:lang w:val="lt-LT"/>
              </w:rPr>
              <w:t>Virškinimo trakto sutrikimai</w:t>
            </w:r>
          </w:p>
        </w:tc>
        <w:tc>
          <w:tcPr>
            <w:tcW w:w="1276" w:type="dxa"/>
            <w:tcBorders>
              <w:top w:val="single" w:sz="4" w:space="0" w:color="auto"/>
              <w:left w:val="single" w:sz="4" w:space="0" w:color="auto"/>
              <w:bottom w:val="single" w:sz="4" w:space="0" w:color="auto"/>
              <w:right w:val="single" w:sz="4" w:space="0" w:color="auto"/>
            </w:tcBorders>
            <w:hideMark/>
          </w:tcPr>
          <w:p w14:paraId="20BD2C79" w14:textId="77777777" w:rsidR="00290E64" w:rsidRDefault="00290E64">
            <w:pPr>
              <w:spacing w:line="240" w:lineRule="auto"/>
              <w:rPr>
                <w:szCs w:val="22"/>
                <w:lang w:val="lt-LT"/>
              </w:rPr>
            </w:pPr>
            <w:r>
              <w:rPr>
                <w:szCs w:val="22"/>
                <w:lang w:val="lt-LT"/>
              </w:rPr>
              <w:t>dažnas</w:t>
            </w:r>
          </w:p>
        </w:tc>
        <w:tc>
          <w:tcPr>
            <w:tcW w:w="4523" w:type="dxa"/>
            <w:tcBorders>
              <w:top w:val="single" w:sz="4" w:space="0" w:color="auto"/>
              <w:left w:val="single" w:sz="4" w:space="0" w:color="auto"/>
              <w:bottom w:val="single" w:sz="4" w:space="0" w:color="auto"/>
              <w:right w:val="single" w:sz="4" w:space="0" w:color="auto"/>
            </w:tcBorders>
            <w:vAlign w:val="bottom"/>
            <w:hideMark/>
          </w:tcPr>
          <w:p w14:paraId="145FE751" w14:textId="77777777" w:rsidR="00290E64" w:rsidRDefault="00290E64">
            <w:pPr>
              <w:spacing w:line="240" w:lineRule="auto"/>
              <w:rPr>
                <w:szCs w:val="22"/>
                <w:lang w:val="lt-LT"/>
              </w:rPr>
            </w:pPr>
            <w:r>
              <w:rPr>
                <w:szCs w:val="22"/>
                <w:lang w:val="lt-LT"/>
              </w:rPr>
              <w:t xml:space="preserve">viduriavimas, dispepsija, pykinimas, vėmimas </w:t>
            </w:r>
          </w:p>
        </w:tc>
      </w:tr>
      <w:tr w:rsidR="00290E64" w14:paraId="34F4AD73" w14:textId="77777777" w:rsidTr="00290E64">
        <w:tc>
          <w:tcPr>
            <w:tcW w:w="0" w:type="auto"/>
            <w:vMerge/>
            <w:tcBorders>
              <w:top w:val="single" w:sz="6" w:space="0" w:color="000000"/>
              <w:left w:val="single" w:sz="6" w:space="0" w:color="000000"/>
              <w:bottom w:val="single" w:sz="6" w:space="0" w:color="000000"/>
              <w:right w:val="single" w:sz="4" w:space="0" w:color="auto"/>
            </w:tcBorders>
            <w:vAlign w:val="center"/>
            <w:hideMark/>
          </w:tcPr>
          <w:p w14:paraId="47D0B81A" w14:textId="77777777" w:rsidR="00290E64" w:rsidRDefault="00290E64">
            <w:pPr>
              <w:tabs>
                <w:tab w:val="clear" w:pos="567"/>
              </w:tabs>
              <w:spacing w:line="276" w:lineRule="auto"/>
              <w:rPr>
                <w:szCs w:val="22"/>
                <w:lang w:val="lt-LT"/>
              </w:rPr>
            </w:pPr>
          </w:p>
        </w:tc>
        <w:tc>
          <w:tcPr>
            <w:tcW w:w="1276" w:type="dxa"/>
            <w:tcBorders>
              <w:top w:val="single" w:sz="4" w:space="0" w:color="auto"/>
              <w:left w:val="single" w:sz="4" w:space="0" w:color="auto"/>
              <w:bottom w:val="single" w:sz="4" w:space="0" w:color="auto"/>
              <w:right w:val="single" w:sz="4" w:space="0" w:color="auto"/>
            </w:tcBorders>
            <w:hideMark/>
          </w:tcPr>
          <w:p w14:paraId="2D3385FA" w14:textId="77777777" w:rsidR="00290E64" w:rsidRDefault="00290E64">
            <w:pPr>
              <w:spacing w:line="240" w:lineRule="auto"/>
              <w:rPr>
                <w:szCs w:val="22"/>
                <w:lang w:val="lt-LT"/>
              </w:rPr>
            </w:pPr>
            <w:r>
              <w:rPr>
                <w:szCs w:val="22"/>
                <w:lang w:val="lt-LT"/>
              </w:rPr>
              <w:t>nežinomas</w:t>
            </w:r>
          </w:p>
        </w:tc>
        <w:tc>
          <w:tcPr>
            <w:tcW w:w="4523" w:type="dxa"/>
            <w:tcBorders>
              <w:top w:val="single" w:sz="4" w:space="0" w:color="auto"/>
              <w:left w:val="single" w:sz="4" w:space="0" w:color="auto"/>
              <w:bottom w:val="single" w:sz="4" w:space="0" w:color="auto"/>
              <w:right w:val="single" w:sz="4" w:space="0" w:color="auto"/>
            </w:tcBorders>
            <w:hideMark/>
          </w:tcPr>
          <w:p w14:paraId="2CA79B11" w14:textId="77777777" w:rsidR="00290E64" w:rsidRDefault="00290E64">
            <w:pPr>
              <w:spacing w:line="240" w:lineRule="auto"/>
              <w:rPr>
                <w:szCs w:val="22"/>
                <w:lang w:val="lt-LT"/>
              </w:rPr>
            </w:pPr>
            <w:r>
              <w:rPr>
                <w:szCs w:val="22"/>
                <w:lang w:val="lt-LT"/>
              </w:rPr>
              <w:t>pseudomembraninis kolitas</w:t>
            </w:r>
          </w:p>
        </w:tc>
      </w:tr>
      <w:tr w:rsidR="00290E64" w14:paraId="35FBBAB2" w14:textId="77777777" w:rsidTr="00290E64">
        <w:tc>
          <w:tcPr>
            <w:tcW w:w="3794" w:type="dxa"/>
            <w:tcBorders>
              <w:top w:val="single" w:sz="6" w:space="0" w:color="000000"/>
              <w:left w:val="single" w:sz="6" w:space="0" w:color="000000"/>
              <w:bottom w:val="nil"/>
              <w:right w:val="single" w:sz="4" w:space="0" w:color="auto"/>
            </w:tcBorders>
            <w:hideMark/>
          </w:tcPr>
          <w:p w14:paraId="29AED930" w14:textId="77777777" w:rsidR="00290E64" w:rsidRDefault="00290E64">
            <w:pPr>
              <w:spacing w:line="240" w:lineRule="auto"/>
              <w:rPr>
                <w:szCs w:val="22"/>
                <w:lang w:val="lt-LT"/>
              </w:rPr>
            </w:pPr>
            <w:r>
              <w:rPr>
                <w:szCs w:val="22"/>
                <w:lang w:val="lt-LT"/>
              </w:rPr>
              <w:t>Kepenų ir tulžies sistemos sutrikimai</w:t>
            </w:r>
          </w:p>
        </w:tc>
        <w:tc>
          <w:tcPr>
            <w:tcW w:w="1276" w:type="dxa"/>
            <w:tcBorders>
              <w:top w:val="single" w:sz="4" w:space="0" w:color="auto"/>
              <w:left w:val="single" w:sz="4" w:space="0" w:color="auto"/>
              <w:bottom w:val="single" w:sz="4" w:space="0" w:color="auto"/>
              <w:right w:val="single" w:sz="4" w:space="0" w:color="auto"/>
            </w:tcBorders>
            <w:hideMark/>
          </w:tcPr>
          <w:p w14:paraId="33CEDA0F" w14:textId="77777777" w:rsidR="00290E64" w:rsidRDefault="00290E64">
            <w:pPr>
              <w:spacing w:line="240" w:lineRule="auto"/>
              <w:rPr>
                <w:szCs w:val="22"/>
                <w:lang w:val="lt-LT"/>
              </w:rPr>
            </w:pPr>
            <w:r>
              <w:rPr>
                <w:szCs w:val="22"/>
                <w:lang w:val="lt-LT"/>
              </w:rPr>
              <w:t xml:space="preserve">nežinomas </w:t>
            </w:r>
          </w:p>
        </w:tc>
        <w:tc>
          <w:tcPr>
            <w:tcW w:w="4523" w:type="dxa"/>
            <w:tcBorders>
              <w:top w:val="single" w:sz="4" w:space="0" w:color="auto"/>
              <w:left w:val="single" w:sz="4" w:space="0" w:color="auto"/>
              <w:bottom w:val="single" w:sz="4" w:space="0" w:color="auto"/>
              <w:right w:val="single" w:sz="4" w:space="0" w:color="auto"/>
            </w:tcBorders>
            <w:vAlign w:val="bottom"/>
            <w:hideMark/>
          </w:tcPr>
          <w:p w14:paraId="21904033" w14:textId="77777777" w:rsidR="00290E64" w:rsidRDefault="00290E64">
            <w:pPr>
              <w:spacing w:line="240" w:lineRule="auto"/>
              <w:rPr>
                <w:szCs w:val="22"/>
                <w:lang w:val="lt-LT"/>
              </w:rPr>
            </w:pPr>
            <w:r>
              <w:rPr>
                <w:szCs w:val="22"/>
                <w:lang w:val="lt-LT"/>
              </w:rPr>
              <w:t>kepenų nepakankamumas, tulžies stazė, sutrikusi kepenų funkcija</w:t>
            </w:r>
          </w:p>
        </w:tc>
      </w:tr>
      <w:tr w:rsidR="00290E64" w14:paraId="0269525D" w14:textId="77777777" w:rsidTr="00290E64">
        <w:tc>
          <w:tcPr>
            <w:tcW w:w="3794" w:type="dxa"/>
            <w:vMerge w:val="restart"/>
            <w:tcBorders>
              <w:top w:val="single" w:sz="6" w:space="0" w:color="000000"/>
              <w:left w:val="single" w:sz="6" w:space="0" w:color="000000"/>
              <w:bottom w:val="single" w:sz="4" w:space="0" w:color="auto"/>
              <w:right w:val="single" w:sz="4" w:space="0" w:color="auto"/>
            </w:tcBorders>
            <w:hideMark/>
          </w:tcPr>
          <w:p w14:paraId="15361429" w14:textId="77777777" w:rsidR="00290E64" w:rsidRDefault="00290E64">
            <w:pPr>
              <w:spacing w:line="240" w:lineRule="auto"/>
              <w:rPr>
                <w:szCs w:val="22"/>
                <w:lang w:val="lt-LT"/>
              </w:rPr>
            </w:pPr>
            <w:r>
              <w:rPr>
                <w:szCs w:val="22"/>
                <w:lang w:val="lt-LT"/>
              </w:rPr>
              <w:t>Odos ir poodinio audinio sutrikimai</w:t>
            </w:r>
          </w:p>
        </w:tc>
        <w:tc>
          <w:tcPr>
            <w:tcW w:w="1276" w:type="dxa"/>
            <w:tcBorders>
              <w:top w:val="single" w:sz="4" w:space="0" w:color="auto"/>
              <w:left w:val="single" w:sz="4" w:space="0" w:color="auto"/>
              <w:bottom w:val="single" w:sz="4" w:space="0" w:color="auto"/>
              <w:right w:val="single" w:sz="4" w:space="0" w:color="auto"/>
            </w:tcBorders>
            <w:hideMark/>
          </w:tcPr>
          <w:p w14:paraId="56B02609" w14:textId="77777777" w:rsidR="00290E64" w:rsidRDefault="00290E64">
            <w:pPr>
              <w:spacing w:line="240" w:lineRule="auto"/>
              <w:rPr>
                <w:szCs w:val="22"/>
                <w:lang w:val="lt-LT"/>
              </w:rPr>
            </w:pPr>
            <w:r>
              <w:rPr>
                <w:szCs w:val="22"/>
                <w:lang w:val="lt-LT"/>
              </w:rPr>
              <w:t>retas</w:t>
            </w:r>
          </w:p>
        </w:tc>
        <w:tc>
          <w:tcPr>
            <w:tcW w:w="4523" w:type="dxa"/>
            <w:tcBorders>
              <w:top w:val="single" w:sz="4" w:space="0" w:color="auto"/>
              <w:left w:val="single" w:sz="4" w:space="0" w:color="auto"/>
              <w:bottom w:val="single" w:sz="4" w:space="0" w:color="auto"/>
              <w:right w:val="single" w:sz="4" w:space="0" w:color="auto"/>
            </w:tcBorders>
            <w:hideMark/>
          </w:tcPr>
          <w:p w14:paraId="3EB00980" w14:textId="77777777" w:rsidR="00290E64" w:rsidRDefault="00290E64">
            <w:pPr>
              <w:spacing w:line="240" w:lineRule="auto"/>
              <w:rPr>
                <w:szCs w:val="22"/>
                <w:lang w:val="lt-LT"/>
              </w:rPr>
            </w:pPr>
            <w:r>
              <w:rPr>
                <w:szCs w:val="22"/>
                <w:lang w:val="lt-LT"/>
              </w:rPr>
              <w:t>dilgėlinė, išbėrimas, niežulys</w:t>
            </w:r>
          </w:p>
        </w:tc>
      </w:tr>
      <w:tr w:rsidR="00290E64" w14:paraId="345549BF" w14:textId="77777777" w:rsidTr="00290E64">
        <w:tc>
          <w:tcPr>
            <w:tcW w:w="0" w:type="auto"/>
            <w:vMerge/>
            <w:tcBorders>
              <w:top w:val="single" w:sz="6" w:space="0" w:color="000000"/>
              <w:left w:val="single" w:sz="6" w:space="0" w:color="000000"/>
              <w:bottom w:val="single" w:sz="4" w:space="0" w:color="auto"/>
              <w:right w:val="single" w:sz="4" w:space="0" w:color="auto"/>
            </w:tcBorders>
            <w:vAlign w:val="center"/>
            <w:hideMark/>
          </w:tcPr>
          <w:p w14:paraId="1D896B9D" w14:textId="77777777" w:rsidR="00290E64" w:rsidRDefault="00290E64">
            <w:pPr>
              <w:tabs>
                <w:tab w:val="clear" w:pos="567"/>
              </w:tabs>
              <w:spacing w:line="276" w:lineRule="auto"/>
              <w:rPr>
                <w:szCs w:val="22"/>
                <w:lang w:val="lt-LT"/>
              </w:rPr>
            </w:pPr>
          </w:p>
        </w:tc>
        <w:tc>
          <w:tcPr>
            <w:tcW w:w="1276" w:type="dxa"/>
            <w:tcBorders>
              <w:top w:val="single" w:sz="4" w:space="0" w:color="auto"/>
              <w:left w:val="single" w:sz="4" w:space="0" w:color="auto"/>
              <w:bottom w:val="single" w:sz="4" w:space="0" w:color="auto"/>
              <w:right w:val="single" w:sz="4" w:space="0" w:color="auto"/>
            </w:tcBorders>
            <w:hideMark/>
          </w:tcPr>
          <w:p w14:paraId="3BF237DC" w14:textId="77777777" w:rsidR="00290E64" w:rsidRDefault="00290E64">
            <w:pPr>
              <w:spacing w:line="240" w:lineRule="auto"/>
              <w:rPr>
                <w:szCs w:val="22"/>
                <w:lang w:val="lt-LT"/>
              </w:rPr>
            </w:pPr>
            <w:r>
              <w:rPr>
                <w:szCs w:val="22"/>
                <w:lang w:val="lt-LT"/>
              </w:rPr>
              <w:t>nežinomas</w:t>
            </w:r>
          </w:p>
        </w:tc>
        <w:tc>
          <w:tcPr>
            <w:tcW w:w="4523" w:type="dxa"/>
            <w:tcBorders>
              <w:top w:val="single" w:sz="4" w:space="0" w:color="auto"/>
              <w:left w:val="single" w:sz="4" w:space="0" w:color="auto"/>
              <w:bottom w:val="single" w:sz="4" w:space="0" w:color="auto"/>
              <w:right w:val="single" w:sz="4" w:space="0" w:color="auto"/>
            </w:tcBorders>
            <w:vAlign w:val="bottom"/>
            <w:hideMark/>
          </w:tcPr>
          <w:p w14:paraId="5655CAE3" w14:textId="77777777" w:rsidR="00290E64" w:rsidRDefault="00290E64">
            <w:pPr>
              <w:spacing w:line="240" w:lineRule="auto"/>
              <w:rPr>
                <w:szCs w:val="22"/>
                <w:lang w:val="lt-LT"/>
              </w:rPr>
            </w:pPr>
            <w:r>
              <w:rPr>
                <w:szCs w:val="22"/>
                <w:lang w:val="lt-LT"/>
              </w:rPr>
              <w:t>Stevens-Johnson sindromas, daugiaformė eritema, toksinė epidermio nekrozė</w:t>
            </w:r>
          </w:p>
        </w:tc>
      </w:tr>
      <w:tr w:rsidR="00290E64" w14:paraId="6AB730DE" w14:textId="77777777" w:rsidTr="00290E64">
        <w:tc>
          <w:tcPr>
            <w:tcW w:w="3794" w:type="dxa"/>
            <w:tcBorders>
              <w:top w:val="single" w:sz="4" w:space="0" w:color="auto"/>
              <w:left w:val="single" w:sz="4" w:space="0" w:color="auto"/>
              <w:bottom w:val="single" w:sz="4" w:space="0" w:color="auto"/>
              <w:right w:val="single" w:sz="4" w:space="0" w:color="auto"/>
            </w:tcBorders>
            <w:vAlign w:val="bottom"/>
            <w:hideMark/>
          </w:tcPr>
          <w:p w14:paraId="46FAF1B6" w14:textId="77777777" w:rsidR="00290E64" w:rsidRDefault="00290E64">
            <w:pPr>
              <w:spacing w:line="240" w:lineRule="auto"/>
              <w:rPr>
                <w:szCs w:val="22"/>
                <w:lang w:val="lt-LT"/>
              </w:rPr>
            </w:pPr>
            <w:r>
              <w:rPr>
                <w:szCs w:val="22"/>
                <w:lang w:val="lt-LT"/>
              </w:rPr>
              <w:t>Raumenų, kaulų ir jungiamojo audinio sutrikimai</w:t>
            </w:r>
          </w:p>
        </w:tc>
        <w:tc>
          <w:tcPr>
            <w:tcW w:w="1276" w:type="dxa"/>
            <w:tcBorders>
              <w:top w:val="single" w:sz="4" w:space="0" w:color="auto"/>
              <w:left w:val="single" w:sz="4" w:space="0" w:color="auto"/>
              <w:bottom w:val="single" w:sz="4" w:space="0" w:color="auto"/>
              <w:right w:val="single" w:sz="4" w:space="0" w:color="auto"/>
            </w:tcBorders>
            <w:hideMark/>
          </w:tcPr>
          <w:p w14:paraId="2417BE57" w14:textId="77777777" w:rsidR="00290E64" w:rsidRDefault="00290E64">
            <w:pPr>
              <w:spacing w:line="240" w:lineRule="auto"/>
              <w:rPr>
                <w:szCs w:val="22"/>
                <w:lang w:val="lt-LT"/>
              </w:rPr>
            </w:pPr>
            <w:r>
              <w:rPr>
                <w:szCs w:val="22"/>
                <w:lang w:val="lt-LT"/>
              </w:rPr>
              <w:t>nežinomas</w:t>
            </w:r>
          </w:p>
        </w:tc>
        <w:tc>
          <w:tcPr>
            <w:tcW w:w="4523" w:type="dxa"/>
            <w:tcBorders>
              <w:top w:val="single" w:sz="4" w:space="0" w:color="auto"/>
              <w:left w:val="single" w:sz="4" w:space="0" w:color="auto"/>
              <w:bottom w:val="single" w:sz="4" w:space="0" w:color="auto"/>
              <w:right w:val="single" w:sz="4" w:space="0" w:color="auto"/>
            </w:tcBorders>
            <w:hideMark/>
          </w:tcPr>
          <w:p w14:paraId="3DEDE6AC" w14:textId="77777777" w:rsidR="00290E64" w:rsidRDefault="00290E64">
            <w:pPr>
              <w:spacing w:line="240" w:lineRule="auto"/>
              <w:rPr>
                <w:szCs w:val="22"/>
                <w:lang w:val="lt-LT"/>
              </w:rPr>
            </w:pPr>
            <w:r>
              <w:rPr>
                <w:szCs w:val="22"/>
                <w:lang w:val="lt-LT"/>
              </w:rPr>
              <w:t>sąnarių skausmas</w:t>
            </w:r>
          </w:p>
        </w:tc>
      </w:tr>
      <w:tr w:rsidR="00290E64" w14:paraId="10C12002" w14:textId="77777777" w:rsidTr="00290E64">
        <w:tc>
          <w:tcPr>
            <w:tcW w:w="3794" w:type="dxa"/>
            <w:tcBorders>
              <w:top w:val="single" w:sz="4" w:space="0" w:color="auto"/>
              <w:left w:val="single" w:sz="4" w:space="0" w:color="auto"/>
              <w:bottom w:val="single" w:sz="4" w:space="0" w:color="auto"/>
              <w:right w:val="single" w:sz="4" w:space="0" w:color="auto"/>
            </w:tcBorders>
            <w:vAlign w:val="bottom"/>
            <w:hideMark/>
          </w:tcPr>
          <w:p w14:paraId="10DAB36E" w14:textId="77777777" w:rsidR="00290E64" w:rsidRDefault="00290E64">
            <w:pPr>
              <w:spacing w:line="240" w:lineRule="auto"/>
              <w:rPr>
                <w:szCs w:val="22"/>
                <w:lang w:val="lt-LT"/>
              </w:rPr>
            </w:pPr>
            <w:r>
              <w:rPr>
                <w:szCs w:val="22"/>
                <w:lang w:val="lt-LT"/>
              </w:rPr>
              <w:t>Lytinės sistemos ir krūties sutrikimai</w:t>
            </w:r>
          </w:p>
        </w:tc>
        <w:tc>
          <w:tcPr>
            <w:tcW w:w="1276" w:type="dxa"/>
            <w:tcBorders>
              <w:top w:val="single" w:sz="4" w:space="0" w:color="auto"/>
              <w:left w:val="single" w:sz="4" w:space="0" w:color="auto"/>
              <w:bottom w:val="single" w:sz="4" w:space="0" w:color="auto"/>
              <w:right w:val="single" w:sz="4" w:space="0" w:color="auto"/>
            </w:tcBorders>
            <w:hideMark/>
          </w:tcPr>
          <w:p w14:paraId="31224353" w14:textId="77777777" w:rsidR="00290E64" w:rsidRDefault="00290E64">
            <w:pPr>
              <w:spacing w:line="240" w:lineRule="auto"/>
              <w:rPr>
                <w:szCs w:val="22"/>
                <w:lang w:val="lt-LT"/>
              </w:rPr>
            </w:pPr>
            <w:r>
              <w:rPr>
                <w:szCs w:val="22"/>
                <w:lang w:val="lt-LT"/>
              </w:rPr>
              <w:t>nežinomas</w:t>
            </w:r>
          </w:p>
        </w:tc>
        <w:tc>
          <w:tcPr>
            <w:tcW w:w="4523" w:type="dxa"/>
            <w:tcBorders>
              <w:top w:val="single" w:sz="4" w:space="0" w:color="auto"/>
              <w:left w:val="single" w:sz="4" w:space="0" w:color="auto"/>
              <w:bottom w:val="single" w:sz="4" w:space="0" w:color="auto"/>
              <w:right w:val="single" w:sz="4" w:space="0" w:color="auto"/>
            </w:tcBorders>
            <w:hideMark/>
          </w:tcPr>
          <w:p w14:paraId="0A7DA21E" w14:textId="77777777" w:rsidR="00290E64" w:rsidRDefault="00290E64">
            <w:pPr>
              <w:spacing w:line="240" w:lineRule="auto"/>
              <w:rPr>
                <w:szCs w:val="22"/>
                <w:lang w:val="lt-LT"/>
              </w:rPr>
            </w:pPr>
            <w:r>
              <w:rPr>
                <w:szCs w:val="22"/>
                <w:lang w:val="lt-LT"/>
              </w:rPr>
              <w:t>lytinių organų niežulys</w:t>
            </w:r>
          </w:p>
        </w:tc>
      </w:tr>
      <w:tr w:rsidR="00290E64" w14:paraId="7E8673E5" w14:textId="77777777" w:rsidTr="00290E64">
        <w:tc>
          <w:tcPr>
            <w:tcW w:w="3794" w:type="dxa"/>
            <w:tcBorders>
              <w:top w:val="single" w:sz="4" w:space="0" w:color="auto"/>
              <w:left w:val="single" w:sz="4" w:space="0" w:color="auto"/>
              <w:bottom w:val="single" w:sz="4" w:space="0" w:color="auto"/>
              <w:right w:val="single" w:sz="4" w:space="0" w:color="auto"/>
            </w:tcBorders>
            <w:hideMark/>
          </w:tcPr>
          <w:p w14:paraId="5BF5AEA9" w14:textId="77777777" w:rsidR="00290E64" w:rsidRDefault="00290E64">
            <w:pPr>
              <w:spacing w:line="240" w:lineRule="auto"/>
              <w:rPr>
                <w:szCs w:val="22"/>
                <w:lang w:val="lt-LT"/>
              </w:rPr>
            </w:pPr>
            <w:r>
              <w:rPr>
                <w:szCs w:val="22"/>
                <w:lang w:val="lt-LT"/>
              </w:rPr>
              <w:t>Bendri sutrikimai ir vartojimo vietos pažeidimai</w:t>
            </w:r>
          </w:p>
        </w:tc>
        <w:tc>
          <w:tcPr>
            <w:tcW w:w="1276" w:type="dxa"/>
            <w:tcBorders>
              <w:top w:val="single" w:sz="4" w:space="0" w:color="auto"/>
              <w:left w:val="single" w:sz="4" w:space="0" w:color="auto"/>
              <w:bottom w:val="single" w:sz="4" w:space="0" w:color="auto"/>
              <w:right w:val="single" w:sz="4" w:space="0" w:color="auto"/>
            </w:tcBorders>
            <w:hideMark/>
          </w:tcPr>
          <w:p w14:paraId="7B3A8399" w14:textId="77777777" w:rsidR="00290E64" w:rsidRDefault="00290E64">
            <w:pPr>
              <w:spacing w:line="240" w:lineRule="auto"/>
              <w:rPr>
                <w:szCs w:val="22"/>
                <w:lang w:val="lt-LT"/>
              </w:rPr>
            </w:pPr>
            <w:r>
              <w:rPr>
                <w:szCs w:val="22"/>
                <w:lang w:val="lt-LT"/>
              </w:rPr>
              <w:t>dažnas</w:t>
            </w:r>
          </w:p>
        </w:tc>
        <w:tc>
          <w:tcPr>
            <w:tcW w:w="4523" w:type="dxa"/>
            <w:tcBorders>
              <w:top w:val="single" w:sz="4" w:space="0" w:color="auto"/>
              <w:left w:val="single" w:sz="4" w:space="0" w:color="auto"/>
              <w:bottom w:val="single" w:sz="4" w:space="0" w:color="auto"/>
              <w:right w:val="single" w:sz="4" w:space="0" w:color="auto"/>
            </w:tcBorders>
            <w:hideMark/>
          </w:tcPr>
          <w:p w14:paraId="0ED78E9A" w14:textId="77777777" w:rsidR="00290E64" w:rsidRDefault="00290E64">
            <w:pPr>
              <w:spacing w:line="240" w:lineRule="auto"/>
              <w:rPr>
                <w:szCs w:val="22"/>
                <w:lang w:val="lt-LT"/>
              </w:rPr>
            </w:pPr>
            <w:r>
              <w:rPr>
                <w:szCs w:val="22"/>
                <w:lang w:val="lt-LT"/>
              </w:rPr>
              <w:t>karščiavimas</w:t>
            </w:r>
          </w:p>
        </w:tc>
      </w:tr>
      <w:tr w:rsidR="00290E64" w14:paraId="20263E5A" w14:textId="77777777" w:rsidTr="00290E64">
        <w:tc>
          <w:tcPr>
            <w:tcW w:w="3794" w:type="dxa"/>
            <w:tcBorders>
              <w:top w:val="single" w:sz="4" w:space="0" w:color="auto"/>
              <w:left w:val="single" w:sz="4" w:space="0" w:color="auto"/>
              <w:bottom w:val="single" w:sz="4" w:space="0" w:color="auto"/>
              <w:right w:val="single" w:sz="4" w:space="0" w:color="auto"/>
            </w:tcBorders>
            <w:hideMark/>
          </w:tcPr>
          <w:p w14:paraId="0719231D" w14:textId="77777777" w:rsidR="00290E64" w:rsidRDefault="00290E64">
            <w:pPr>
              <w:spacing w:line="240" w:lineRule="auto"/>
              <w:rPr>
                <w:szCs w:val="22"/>
                <w:lang w:val="lt-LT"/>
              </w:rPr>
            </w:pPr>
            <w:r>
              <w:rPr>
                <w:szCs w:val="22"/>
                <w:lang w:val="lt-LT"/>
              </w:rPr>
              <w:t>Tyrimai</w:t>
            </w:r>
          </w:p>
        </w:tc>
        <w:tc>
          <w:tcPr>
            <w:tcW w:w="1276" w:type="dxa"/>
            <w:tcBorders>
              <w:top w:val="single" w:sz="4" w:space="0" w:color="auto"/>
              <w:left w:val="single" w:sz="4" w:space="0" w:color="auto"/>
              <w:bottom w:val="single" w:sz="4" w:space="0" w:color="auto"/>
              <w:right w:val="single" w:sz="4" w:space="0" w:color="auto"/>
            </w:tcBorders>
            <w:hideMark/>
          </w:tcPr>
          <w:p w14:paraId="6A64BA04" w14:textId="77777777" w:rsidR="00290E64" w:rsidRDefault="00290E64">
            <w:pPr>
              <w:spacing w:line="240" w:lineRule="auto"/>
              <w:rPr>
                <w:szCs w:val="22"/>
                <w:lang w:val="lt-LT"/>
              </w:rPr>
            </w:pPr>
            <w:r>
              <w:rPr>
                <w:szCs w:val="22"/>
                <w:lang w:val="lt-LT"/>
              </w:rPr>
              <w:t>nežinomas</w:t>
            </w:r>
          </w:p>
        </w:tc>
        <w:tc>
          <w:tcPr>
            <w:tcW w:w="4523" w:type="dxa"/>
            <w:tcBorders>
              <w:top w:val="single" w:sz="4" w:space="0" w:color="auto"/>
              <w:left w:val="single" w:sz="4" w:space="0" w:color="auto"/>
              <w:bottom w:val="single" w:sz="4" w:space="0" w:color="auto"/>
              <w:right w:val="single" w:sz="4" w:space="0" w:color="auto"/>
            </w:tcBorders>
            <w:hideMark/>
          </w:tcPr>
          <w:p w14:paraId="35412B48" w14:textId="77777777" w:rsidR="00290E64" w:rsidRDefault="00290E64">
            <w:pPr>
              <w:spacing w:line="240" w:lineRule="auto"/>
              <w:rPr>
                <w:szCs w:val="22"/>
                <w:lang w:val="lt-LT"/>
              </w:rPr>
            </w:pPr>
            <w:r>
              <w:rPr>
                <w:szCs w:val="22"/>
                <w:lang w:val="lt-LT"/>
              </w:rPr>
              <w:t>padidėjusi transaminazių koncentracija</w:t>
            </w:r>
          </w:p>
        </w:tc>
      </w:tr>
    </w:tbl>
    <w:p w14:paraId="7632CA53" w14:textId="77777777" w:rsidR="00290E64" w:rsidRDefault="00290E64" w:rsidP="00290E64">
      <w:pPr>
        <w:spacing w:line="240" w:lineRule="auto"/>
        <w:rPr>
          <w:b/>
          <w:szCs w:val="22"/>
          <w:lang w:val="lt-LT"/>
        </w:rPr>
      </w:pPr>
    </w:p>
    <w:p w14:paraId="1588C4DF" w14:textId="77777777" w:rsidR="00290E64" w:rsidRDefault="00290E64" w:rsidP="00290E64">
      <w:pPr>
        <w:autoSpaceDE w:val="0"/>
        <w:autoSpaceDN w:val="0"/>
        <w:adjustRightInd w:val="0"/>
        <w:rPr>
          <w:szCs w:val="22"/>
          <w:u w:val="single"/>
          <w:lang w:val="lt-LT"/>
        </w:rPr>
      </w:pPr>
      <w:r>
        <w:rPr>
          <w:noProof/>
          <w:szCs w:val="22"/>
          <w:u w:val="single"/>
          <w:lang w:val="lt-LT"/>
        </w:rPr>
        <w:t>Pranešimas apie įtariamas nepageidaujamas reakcijas</w:t>
      </w:r>
    </w:p>
    <w:p w14:paraId="3AF55616" w14:textId="77777777" w:rsidR="00290E64" w:rsidRDefault="00290E64" w:rsidP="00290E64">
      <w:pPr>
        <w:autoSpaceDE w:val="0"/>
        <w:autoSpaceDN w:val="0"/>
        <w:adjustRightInd w:val="0"/>
        <w:rPr>
          <w:noProof/>
          <w:szCs w:val="24"/>
          <w:lang w:val="lt-LT"/>
        </w:rPr>
      </w:pPr>
      <w:r>
        <w:rPr>
          <w:noProof/>
          <w:szCs w:val="24"/>
          <w:lang w:val="lt-LT"/>
        </w:rPr>
        <w:t>Svarbu pranešti apie įtariamas nepageidaujamas reakcijas, pastebėtas po vaistinio preparato registracijos, nes tai leidžia nuolat stebėti vaistinio preparato naudos ir rizikos santykį.</w:t>
      </w:r>
      <w:r>
        <w:rPr>
          <w:szCs w:val="24"/>
          <w:lang w:val="lt-LT"/>
        </w:rPr>
        <w:t xml:space="preserve"> </w:t>
      </w:r>
      <w:r>
        <w:rPr>
          <w:noProof/>
          <w:szCs w:val="24"/>
          <w:lang w:val="lt-LT"/>
        </w:rPr>
        <w:t>Sveikatos priežiūros specialistai turi pranešti apie bet kokias įtariamas nepageidaujamas reakcijas, užpildę interneto svetainėje http://</w:t>
      </w:r>
      <w:hyperlink r:id="rId5" w:history="1">
        <w:r>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eastAsia="SimSun"/>
            <w:noProof/>
            <w:szCs w:val="24"/>
            <w:lang w:val="lt-LT"/>
          </w:rPr>
          <w:t>NepageidaujamaR@vvkt.lt</w:t>
        </w:r>
      </w:hyperlink>
      <w:r>
        <w:rPr>
          <w:noProof/>
          <w:szCs w:val="24"/>
          <w:lang w:val="lt-LT"/>
        </w:rPr>
        <w:t>), per interneto svetainę (adresu http://www.vvkt.lt).</w:t>
      </w:r>
    </w:p>
    <w:p w14:paraId="70F450DF" w14:textId="77777777" w:rsidR="00290E64" w:rsidRDefault="00290E64" w:rsidP="00290E64">
      <w:pPr>
        <w:spacing w:line="240" w:lineRule="auto"/>
        <w:rPr>
          <w:b/>
          <w:szCs w:val="22"/>
          <w:lang w:val="lt-LT"/>
        </w:rPr>
      </w:pPr>
    </w:p>
    <w:p w14:paraId="67CF74C5" w14:textId="77777777" w:rsidR="00290E64" w:rsidRDefault="00290E64" w:rsidP="00290E64">
      <w:pPr>
        <w:spacing w:line="240" w:lineRule="auto"/>
        <w:outlineLvl w:val="0"/>
        <w:rPr>
          <w:b/>
          <w:szCs w:val="22"/>
          <w:lang w:val="lt-LT"/>
        </w:rPr>
      </w:pPr>
      <w:r>
        <w:rPr>
          <w:b/>
          <w:szCs w:val="22"/>
          <w:lang w:val="lt-LT"/>
        </w:rPr>
        <w:t>4.9</w:t>
      </w:r>
      <w:r>
        <w:rPr>
          <w:b/>
          <w:szCs w:val="22"/>
          <w:lang w:val="lt-LT"/>
        </w:rPr>
        <w:tab/>
        <w:t>Perdozavimas</w:t>
      </w:r>
    </w:p>
    <w:p w14:paraId="1CBF89DA" w14:textId="77777777" w:rsidR="00290E64" w:rsidRDefault="00290E64" w:rsidP="00290E64">
      <w:pPr>
        <w:spacing w:line="240" w:lineRule="auto"/>
        <w:rPr>
          <w:szCs w:val="22"/>
          <w:lang w:val="lt-LT"/>
        </w:rPr>
      </w:pPr>
    </w:p>
    <w:p w14:paraId="7B183354" w14:textId="77777777" w:rsidR="00290E64" w:rsidRDefault="00290E64" w:rsidP="00290E64">
      <w:pPr>
        <w:spacing w:line="240" w:lineRule="auto"/>
        <w:rPr>
          <w:szCs w:val="22"/>
          <w:lang w:val="lt-LT"/>
        </w:rPr>
      </w:pPr>
      <w:r>
        <w:rPr>
          <w:szCs w:val="22"/>
          <w:lang w:val="lt-LT"/>
        </w:rPr>
        <w:t>Jaunesnių nei 6 metų vaikų, išgėrusių ne didesnę kaip 250 mg/kg kūno svorio penicilino ar cefalosporino dozę, gydymo rezultatai rodo, jog mažesnės negu 250 mg/kg kūno svorio cefalosporinų dozės (ji yra 5 - 10 kartų didesnė už dozę, rekomenduojamą vartoti žmogui) pavartojimas su sunkiomis pasekmėmis nebūna susijęs. Kitokio gydymo, išskyrus sekimą ir bendrąsias palaikomąsias priemones, nereikėjo. Daugumai vaikų per 72 valandų stebėjimo periodą simptomų neatsirado. Kai kuriems vaikams sutriko virškinimas, prasidėjo bėrimas. Didesnę nei 250 mg/kg dozę išgėrusiam pacientui reikia šalinti vaistą iš skrandžio (sukelti vėmimą arba plauti skrandį).</w:t>
      </w:r>
    </w:p>
    <w:p w14:paraId="6A761420" w14:textId="77777777" w:rsidR="00290E64" w:rsidRDefault="00290E64" w:rsidP="00290E64">
      <w:pPr>
        <w:spacing w:line="240" w:lineRule="auto"/>
        <w:rPr>
          <w:szCs w:val="22"/>
          <w:lang w:val="lt-LT"/>
        </w:rPr>
      </w:pPr>
    </w:p>
    <w:p w14:paraId="4EEEFE25" w14:textId="77777777" w:rsidR="00290E64" w:rsidRDefault="00290E64" w:rsidP="00290E64">
      <w:pPr>
        <w:spacing w:line="240" w:lineRule="auto"/>
        <w:rPr>
          <w:szCs w:val="22"/>
          <w:lang w:val="lt-LT"/>
        </w:rPr>
      </w:pPr>
      <w:r>
        <w:rPr>
          <w:szCs w:val="22"/>
          <w:lang w:val="lt-LT"/>
        </w:rPr>
        <w:t>Informacija apie vaistinio preparato šalinimą iš organizmo hemodializės būdu pateikiama 4.2 skyriuje.</w:t>
      </w:r>
    </w:p>
    <w:p w14:paraId="4198A835" w14:textId="77777777" w:rsidR="00290E64" w:rsidRDefault="00290E64" w:rsidP="00290E64">
      <w:pPr>
        <w:spacing w:line="240" w:lineRule="auto"/>
        <w:rPr>
          <w:b/>
          <w:szCs w:val="22"/>
          <w:lang w:val="lt-LT"/>
        </w:rPr>
      </w:pPr>
    </w:p>
    <w:p w14:paraId="1879E022" w14:textId="77777777" w:rsidR="00290E64" w:rsidRDefault="00290E64" w:rsidP="00290E64">
      <w:pPr>
        <w:spacing w:line="240" w:lineRule="auto"/>
        <w:rPr>
          <w:b/>
          <w:szCs w:val="22"/>
          <w:lang w:val="lt-LT"/>
        </w:rPr>
      </w:pPr>
    </w:p>
    <w:p w14:paraId="16983AE4" w14:textId="77777777" w:rsidR="00290E64" w:rsidRDefault="00290E64" w:rsidP="00290E64">
      <w:pPr>
        <w:spacing w:line="240" w:lineRule="auto"/>
        <w:outlineLvl w:val="0"/>
        <w:rPr>
          <w:b/>
          <w:szCs w:val="22"/>
          <w:lang w:val="lt-LT"/>
        </w:rPr>
      </w:pPr>
      <w:r>
        <w:rPr>
          <w:b/>
          <w:szCs w:val="22"/>
          <w:lang w:val="lt-LT"/>
        </w:rPr>
        <w:t>5.</w:t>
      </w:r>
      <w:r>
        <w:rPr>
          <w:b/>
          <w:szCs w:val="22"/>
          <w:lang w:val="lt-LT"/>
        </w:rPr>
        <w:tab/>
        <w:t>FARMAKOLOGINĖS SAVYBĖS</w:t>
      </w:r>
    </w:p>
    <w:p w14:paraId="6917FBB1" w14:textId="77777777" w:rsidR="00290E64" w:rsidRDefault="00290E64" w:rsidP="00290E64">
      <w:pPr>
        <w:spacing w:line="240" w:lineRule="auto"/>
        <w:rPr>
          <w:b/>
          <w:szCs w:val="22"/>
          <w:lang w:val="lt-LT"/>
        </w:rPr>
      </w:pPr>
    </w:p>
    <w:p w14:paraId="581F9E59" w14:textId="77777777" w:rsidR="00290E64" w:rsidRDefault="00290E64" w:rsidP="00290E64">
      <w:pPr>
        <w:spacing w:line="240" w:lineRule="auto"/>
        <w:outlineLvl w:val="0"/>
        <w:rPr>
          <w:b/>
          <w:szCs w:val="22"/>
          <w:lang w:val="lt-LT"/>
        </w:rPr>
      </w:pPr>
      <w:r>
        <w:rPr>
          <w:b/>
          <w:szCs w:val="22"/>
          <w:lang w:val="lt-LT"/>
        </w:rPr>
        <w:t>5.1</w:t>
      </w:r>
      <w:r>
        <w:rPr>
          <w:b/>
          <w:szCs w:val="22"/>
          <w:lang w:val="lt-LT"/>
        </w:rPr>
        <w:tab/>
        <w:t>Farmakodinaminės savybės</w:t>
      </w:r>
    </w:p>
    <w:p w14:paraId="500AAF7F" w14:textId="77777777" w:rsidR="00290E64" w:rsidRDefault="00290E64" w:rsidP="00290E64">
      <w:pPr>
        <w:spacing w:line="240" w:lineRule="auto"/>
        <w:rPr>
          <w:iCs/>
          <w:szCs w:val="22"/>
          <w:lang w:val="lt-LT"/>
        </w:rPr>
      </w:pPr>
    </w:p>
    <w:p w14:paraId="44FB7BF2" w14:textId="77777777" w:rsidR="00290E64" w:rsidRDefault="00290E64" w:rsidP="00290E64">
      <w:pPr>
        <w:spacing w:line="240" w:lineRule="auto"/>
        <w:outlineLvl w:val="0"/>
        <w:rPr>
          <w:iCs/>
          <w:szCs w:val="22"/>
          <w:lang w:val="lt-LT"/>
        </w:rPr>
      </w:pPr>
      <w:r>
        <w:rPr>
          <w:iCs/>
          <w:szCs w:val="22"/>
          <w:lang w:val="lt-LT"/>
        </w:rPr>
        <w:t xml:space="preserve">Farmakoterapinė grupė </w:t>
      </w:r>
      <w:r>
        <w:rPr>
          <w:szCs w:val="22"/>
          <w:lang w:val="lt-LT"/>
        </w:rPr>
        <w:t>– pirmosios kartos cefalosporinai</w:t>
      </w:r>
      <w:r>
        <w:rPr>
          <w:iCs/>
          <w:szCs w:val="22"/>
          <w:lang w:val="lt-LT"/>
        </w:rPr>
        <w:t>, ATC kodas - J01DB05</w:t>
      </w:r>
    </w:p>
    <w:p w14:paraId="7ECEC076" w14:textId="77777777" w:rsidR="00290E64" w:rsidRDefault="00290E64" w:rsidP="00290E64">
      <w:pPr>
        <w:spacing w:line="240" w:lineRule="auto"/>
        <w:rPr>
          <w:szCs w:val="22"/>
          <w:lang w:val="lt-LT"/>
        </w:rPr>
      </w:pPr>
    </w:p>
    <w:p w14:paraId="5CBA6EFE" w14:textId="77777777" w:rsidR="00290E64" w:rsidRDefault="00290E64" w:rsidP="00290E64">
      <w:pPr>
        <w:spacing w:line="240" w:lineRule="auto"/>
        <w:rPr>
          <w:i/>
          <w:szCs w:val="22"/>
          <w:u w:val="single"/>
          <w:lang w:val="lt-LT"/>
        </w:rPr>
      </w:pPr>
      <w:r>
        <w:rPr>
          <w:i/>
          <w:szCs w:val="22"/>
          <w:u w:val="single"/>
          <w:lang w:val="lt-LT"/>
        </w:rPr>
        <w:t>Veikimo mechanizmas</w:t>
      </w:r>
    </w:p>
    <w:p w14:paraId="7740F77D" w14:textId="77777777" w:rsidR="00290E64" w:rsidRDefault="00290E64" w:rsidP="00290E64">
      <w:pPr>
        <w:spacing w:line="240" w:lineRule="auto"/>
        <w:rPr>
          <w:szCs w:val="22"/>
          <w:lang w:val="lt-LT"/>
        </w:rPr>
      </w:pPr>
      <w:r>
        <w:rPr>
          <w:szCs w:val="22"/>
          <w:lang w:val="lt-LT"/>
        </w:rPr>
        <w:t xml:space="preserve">Cefadroksilis yra pusiau sintetinis geriamasis cefalosporino darinys. Tyrimų </w:t>
      </w:r>
      <w:r>
        <w:rPr>
          <w:i/>
          <w:szCs w:val="22"/>
          <w:lang w:val="lt-LT"/>
        </w:rPr>
        <w:t xml:space="preserve">in vitro </w:t>
      </w:r>
      <w:r>
        <w:rPr>
          <w:szCs w:val="22"/>
          <w:lang w:val="lt-LT"/>
        </w:rPr>
        <w:t xml:space="preserve">duomenimis, cefalosporinai sukelia baktericidinį poveikį, prisijungę prie penicilinus prijungiančių baltymų ir </w:t>
      </w:r>
      <w:r>
        <w:rPr>
          <w:szCs w:val="22"/>
          <w:lang w:val="lt-LT"/>
        </w:rPr>
        <w:lastRenderedPageBreak/>
        <w:t>slopindami aktyviai besidalijančių bakterijų ląstelių sienelių sintezę. Dėl to susidariusių ląstelių sienelės turi defektų ir būna neatsparios osmosiniam poveikiui.</w:t>
      </w:r>
    </w:p>
    <w:p w14:paraId="126361DC" w14:textId="77777777" w:rsidR="00290E64" w:rsidRDefault="00290E64" w:rsidP="00290E64">
      <w:pPr>
        <w:spacing w:line="240" w:lineRule="auto"/>
        <w:rPr>
          <w:szCs w:val="22"/>
          <w:lang w:val="lt-LT"/>
        </w:rPr>
      </w:pPr>
    </w:p>
    <w:p w14:paraId="09ADFAAF" w14:textId="77777777" w:rsidR="00290E64" w:rsidRDefault="00290E64" w:rsidP="00290E64">
      <w:pPr>
        <w:spacing w:line="240" w:lineRule="auto"/>
        <w:rPr>
          <w:i/>
          <w:szCs w:val="22"/>
          <w:u w:val="single"/>
          <w:lang w:val="lt-LT"/>
        </w:rPr>
      </w:pPr>
      <w:r>
        <w:rPr>
          <w:i/>
          <w:szCs w:val="22"/>
          <w:u w:val="single"/>
          <w:lang w:val="lt-LT"/>
        </w:rPr>
        <w:t>Farmakokinetikos ir farmakodinamikos santykis</w:t>
      </w:r>
    </w:p>
    <w:p w14:paraId="7276C32B" w14:textId="77777777" w:rsidR="00290E64" w:rsidRDefault="00290E64" w:rsidP="00290E64">
      <w:pPr>
        <w:spacing w:line="240" w:lineRule="auto"/>
        <w:rPr>
          <w:szCs w:val="22"/>
          <w:lang w:val="lt-LT"/>
        </w:rPr>
      </w:pPr>
      <w:r>
        <w:rPr>
          <w:szCs w:val="22"/>
          <w:lang w:val="lt-LT"/>
        </w:rPr>
        <w:t>Cefadroksilis sukelia nuo laiko priklausomą baktericidinį poveikį.</w:t>
      </w:r>
    </w:p>
    <w:p w14:paraId="512A4048" w14:textId="77777777" w:rsidR="00290E64" w:rsidRDefault="00290E64" w:rsidP="00290E64">
      <w:pPr>
        <w:spacing w:line="240" w:lineRule="auto"/>
        <w:rPr>
          <w:szCs w:val="22"/>
          <w:lang w:val="lt-LT"/>
        </w:rPr>
      </w:pPr>
    </w:p>
    <w:p w14:paraId="5CF0E724" w14:textId="77777777" w:rsidR="00290E64" w:rsidRDefault="00290E64" w:rsidP="00290E64">
      <w:pPr>
        <w:spacing w:line="240" w:lineRule="auto"/>
        <w:rPr>
          <w:i/>
          <w:szCs w:val="22"/>
          <w:u w:val="single"/>
          <w:lang w:val="lt-LT"/>
        </w:rPr>
      </w:pPr>
      <w:r>
        <w:rPr>
          <w:i/>
          <w:szCs w:val="22"/>
          <w:u w:val="single"/>
          <w:lang w:val="lt-LT"/>
        </w:rPr>
        <w:t>Atsparumo mechanizmai</w:t>
      </w:r>
    </w:p>
    <w:p w14:paraId="20E039E1" w14:textId="77777777" w:rsidR="00290E64" w:rsidRDefault="00290E64" w:rsidP="00290E64">
      <w:pPr>
        <w:spacing w:line="240" w:lineRule="auto"/>
        <w:rPr>
          <w:szCs w:val="22"/>
          <w:lang w:val="lt-LT"/>
        </w:rPr>
      </w:pPr>
      <w:r>
        <w:rPr>
          <w:szCs w:val="22"/>
          <w:lang w:val="lt-LT"/>
        </w:rPr>
        <w:t>Cefadroksilio veiksmingumą lemia tai, kaip jis geba nepakitęs pasiekti penicilinus prijungiantį baltymą ir prie jo prisijungti. Atsparumą β laktaminiams antibiotikams gali sukelti β laktaminio žiedo fermentinė hidrolizė (jei bakterijos gamina β laktamazę). β laktamazės genus bakterijos chromosoma gali turėti nuo jos susidarymo arba jie gali būti įgyti (perduoti per plazmides). Pastarąjį procesą gali skatinti β laktaminiai antibiotikai. Kitas atsparumo β laktaminiams antibiotikams mechanizmas yra susijęs su penicilinus prijungiančių baltymų pokyčiais, dėl kurių sumažėja jų afinitetas β laktaminiams antibiotikams ir gebėjimas juos prijungti. Dėl šios priežasties ląstelės sienelės sintezę β laktaminiai antibiotikai trikdo silpniau.</w:t>
      </w:r>
    </w:p>
    <w:p w14:paraId="5519327F" w14:textId="77777777" w:rsidR="00290E64" w:rsidRDefault="00290E64" w:rsidP="00290E64">
      <w:pPr>
        <w:spacing w:line="240" w:lineRule="auto"/>
        <w:rPr>
          <w:szCs w:val="22"/>
          <w:lang w:val="lt-LT"/>
        </w:rPr>
      </w:pPr>
    </w:p>
    <w:p w14:paraId="42B31019" w14:textId="77777777" w:rsidR="00290E64" w:rsidRDefault="00290E64" w:rsidP="00290E64">
      <w:pPr>
        <w:spacing w:line="240" w:lineRule="auto"/>
        <w:rPr>
          <w:i/>
          <w:szCs w:val="22"/>
          <w:u w:val="single"/>
          <w:lang w:val="lt-LT"/>
        </w:rPr>
      </w:pPr>
      <w:r>
        <w:rPr>
          <w:i/>
          <w:szCs w:val="22"/>
          <w:u w:val="single"/>
          <w:lang w:val="lt-LT"/>
        </w:rPr>
        <w:t>Jautrumas</w:t>
      </w:r>
    </w:p>
    <w:p w14:paraId="6A7D6061" w14:textId="77777777" w:rsidR="00290E64" w:rsidRDefault="00290E64" w:rsidP="00290E64">
      <w:pPr>
        <w:spacing w:line="240" w:lineRule="auto"/>
        <w:rPr>
          <w:szCs w:val="22"/>
          <w:lang w:val="lt-LT"/>
        </w:rPr>
      </w:pPr>
      <w:r>
        <w:rPr>
          <w:szCs w:val="22"/>
          <w:lang w:val="lt-LT"/>
        </w:rPr>
        <w:t>Europos jautrumo antimikrobiniams vaistams tyrimų komitetas (EUCAST) prie Europos klinikinės mikrobiologijos ir infekcinių ligų sąjungos (ESCMID) harmonizuotų jautrumo cefadroksiliui ribų nėra nustatę.</w:t>
      </w:r>
    </w:p>
    <w:p w14:paraId="66E74626" w14:textId="77777777" w:rsidR="00290E64" w:rsidRDefault="00290E64" w:rsidP="00290E64">
      <w:pPr>
        <w:spacing w:line="240" w:lineRule="auto"/>
        <w:rPr>
          <w:szCs w:val="22"/>
          <w:lang w:val="lt-LT"/>
        </w:rPr>
      </w:pPr>
    </w:p>
    <w:p w14:paraId="517B02A2" w14:textId="77777777" w:rsidR="00290E64" w:rsidRDefault="00290E64" w:rsidP="00290E64">
      <w:pPr>
        <w:spacing w:line="240" w:lineRule="auto"/>
        <w:rPr>
          <w:szCs w:val="22"/>
          <w:lang w:val="lt-LT"/>
        </w:rPr>
      </w:pPr>
      <w:r>
        <w:rPr>
          <w:szCs w:val="22"/>
          <w:lang w:val="lt-LT"/>
        </w:rPr>
        <w:t>Konkrečių bakterijų rūšių įgyto atsparumo paplitimas gali būti skirtingas įvairiose geografinėse vietovėse ir įvairiu laiku, todėl apie jį pageidautina turėti vietinę informaciją, ypač kai gydomos sunkios infekcinės ligos. Prireikus, jeigu vietinis atsparumo paplitimas yra toks, kad vaisto naudingumas bent kai kurioms infekcinėms ligoms gydyti yra abejotinas, būtina konsultuotis su ekspertu.</w:t>
      </w:r>
    </w:p>
    <w:p w14:paraId="7720F117" w14:textId="77777777" w:rsidR="00290E64" w:rsidRDefault="00290E64" w:rsidP="00290E64">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6602"/>
      </w:tblGrid>
      <w:tr w:rsidR="00290E64" w14:paraId="718A7914" w14:textId="77777777" w:rsidTr="00290E64">
        <w:tc>
          <w:tcPr>
            <w:tcW w:w="0" w:type="auto"/>
            <w:tcBorders>
              <w:top w:val="single" w:sz="4" w:space="0" w:color="auto"/>
              <w:left w:val="single" w:sz="4" w:space="0" w:color="auto"/>
              <w:bottom w:val="single" w:sz="4" w:space="0" w:color="auto"/>
              <w:right w:val="single" w:sz="4" w:space="0" w:color="auto"/>
            </w:tcBorders>
            <w:hideMark/>
          </w:tcPr>
          <w:p w14:paraId="45CE034E" w14:textId="77777777" w:rsidR="00290E64" w:rsidRDefault="00290E64">
            <w:pPr>
              <w:pStyle w:val="EMEABodyText"/>
              <w:spacing w:line="276" w:lineRule="auto"/>
              <w:rPr>
                <w:lang w:val="lt-LT"/>
              </w:rPr>
            </w:pPr>
            <w:r>
              <w:rPr>
                <w:lang w:val="lt-LT"/>
              </w:rPr>
              <w:t>Jautrūs</w:t>
            </w:r>
          </w:p>
        </w:tc>
        <w:tc>
          <w:tcPr>
            <w:tcW w:w="0" w:type="auto"/>
            <w:tcBorders>
              <w:top w:val="single" w:sz="4" w:space="0" w:color="auto"/>
              <w:left w:val="single" w:sz="4" w:space="0" w:color="auto"/>
              <w:bottom w:val="single" w:sz="4" w:space="0" w:color="auto"/>
              <w:right w:val="single" w:sz="4" w:space="0" w:color="auto"/>
            </w:tcBorders>
            <w:hideMark/>
          </w:tcPr>
          <w:p w14:paraId="0B619C3C" w14:textId="77777777" w:rsidR="00290E64" w:rsidRDefault="00290E64">
            <w:pPr>
              <w:pStyle w:val="EMEABodyText"/>
              <w:spacing w:line="276" w:lineRule="auto"/>
              <w:rPr>
                <w:lang w:val="lt-LT"/>
              </w:rPr>
            </w:pPr>
            <w:r>
              <w:rPr>
                <w:lang w:val="lt-LT"/>
              </w:rPr>
              <w:t>β</w:t>
            </w:r>
            <w:r>
              <w:rPr>
                <w:lang w:val="lt-LT"/>
              </w:rPr>
              <w:noBreakHyphen/>
              <w:t>hemoliziniai streptokokai (A, B, C ir G grupių)</w:t>
            </w:r>
          </w:p>
          <w:p w14:paraId="3AB3558E" w14:textId="77777777" w:rsidR="00290E64" w:rsidRDefault="00290E64">
            <w:pPr>
              <w:pStyle w:val="EMEABodyText"/>
              <w:spacing w:line="276" w:lineRule="auto"/>
              <w:rPr>
                <w:i/>
                <w:lang w:val="lt-LT"/>
              </w:rPr>
            </w:pPr>
            <w:r>
              <w:rPr>
                <w:i/>
                <w:lang w:val="lt-LT"/>
              </w:rPr>
              <w:t xml:space="preserve">Staphylococcus aureus </w:t>
            </w:r>
            <w:r>
              <w:rPr>
                <w:rStyle w:val="EMEASuperscript"/>
                <w:i/>
                <w:lang w:val="lt-LT"/>
              </w:rPr>
              <w:t>1</w:t>
            </w:r>
          </w:p>
          <w:p w14:paraId="0CE6056D" w14:textId="77777777" w:rsidR="00290E64" w:rsidRDefault="00290E64">
            <w:pPr>
              <w:pStyle w:val="EMEABodyText"/>
              <w:spacing w:line="276" w:lineRule="auto"/>
              <w:rPr>
                <w:i/>
                <w:lang w:val="lt-LT"/>
              </w:rPr>
            </w:pPr>
            <w:r>
              <w:rPr>
                <w:lang w:val="lt-LT"/>
              </w:rPr>
              <w:t xml:space="preserve">Kiti stafilokokai, įskaitant </w:t>
            </w:r>
            <w:r>
              <w:rPr>
                <w:i/>
                <w:lang w:val="lt-LT"/>
              </w:rPr>
              <w:t xml:space="preserve">S. saprophyticus </w:t>
            </w:r>
            <w:r>
              <w:rPr>
                <w:rStyle w:val="EMEASuperscript"/>
                <w:i/>
                <w:lang w:val="lt-LT"/>
              </w:rPr>
              <w:t>1</w:t>
            </w:r>
          </w:p>
          <w:p w14:paraId="6F6ADC18" w14:textId="77777777" w:rsidR="00290E64" w:rsidRDefault="00290E64">
            <w:pPr>
              <w:pStyle w:val="EMEABodyText"/>
              <w:spacing w:line="276" w:lineRule="auto"/>
              <w:rPr>
                <w:i/>
                <w:lang w:val="lt-LT"/>
              </w:rPr>
            </w:pPr>
            <w:r>
              <w:rPr>
                <w:i/>
                <w:lang w:val="lt-LT"/>
              </w:rPr>
              <w:t>Streptococcus pneumoniae</w:t>
            </w:r>
          </w:p>
        </w:tc>
      </w:tr>
      <w:tr w:rsidR="00290E64" w14:paraId="452E452A" w14:textId="77777777" w:rsidTr="00290E64">
        <w:tc>
          <w:tcPr>
            <w:tcW w:w="0" w:type="auto"/>
            <w:tcBorders>
              <w:top w:val="single" w:sz="4" w:space="0" w:color="auto"/>
              <w:left w:val="single" w:sz="4" w:space="0" w:color="auto"/>
              <w:bottom w:val="single" w:sz="4" w:space="0" w:color="auto"/>
              <w:right w:val="single" w:sz="4" w:space="0" w:color="auto"/>
            </w:tcBorders>
            <w:hideMark/>
          </w:tcPr>
          <w:p w14:paraId="6853F7EA" w14:textId="77777777" w:rsidR="00290E64" w:rsidRDefault="00290E64">
            <w:pPr>
              <w:pStyle w:val="EMEABodyText"/>
              <w:spacing w:line="276" w:lineRule="auto"/>
              <w:rPr>
                <w:lang w:val="lt-LT"/>
              </w:rPr>
            </w:pPr>
            <w:r>
              <w:rPr>
                <w:lang w:val="lt-LT"/>
              </w:rPr>
              <w:t>Vidutinio jautrumo</w:t>
            </w:r>
          </w:p>
        </w:tc>
        <w:tc>
          <w:tcPr>
            <w:tcW w:w="0" w:type="auto"/>
            <w:tcBorders>
              <w:top w:val="single" w:sz="4" w:space="0" w:color="auto"/>
              <w:left w:val="single" w:sz="4" w:space="0" w:color="auto"/>
              <w:bottom w:val="single" w:sz="4" w:space="0" w:color="auto"/>
              <w:right w:val="single" w:sz="4" w:space="0" w:color="auto"/>
            </w:tcBorders>
            <w:hideMark/>
          </w:tcPr>
          <w:p w14:paraId="785AAB63" w14:textId="77777777" w:rsidR="00290E64" w:rsidRDefault="00290E64">
            <w:pPr>
              <w:pStyle w:val="EMEABodyText"/>
              <w:spacing w:line="276" w:lineRule="auto"/>
              <w:rPr>
                <w:i/>
                <w:lang w:val="lt-LT"/>
              </w:rPr>
            </w:pPr>
            <w:r>
              <w:rPr>
                <w:i/>
                <w:lang w:val="lt-LT"/>
              </w:rPr>
              <w:t xml:space="preserve">Escherichia coli </w:t>
            </w:r>
            <w:r>
              <w:rPr>
                <w:rStyle w:val="EMEASuperscript"/>
                <w:i/>
                <w:lang w:val="lt-LT"/>
              </w:rPr>
              <w:t>2</w:t>
            </w:r>
          </w:p>
          <w:p w14:paraId="496DFDEF" w14:textId="77777777" w:rsidR="00290E64" w:rsidRDefault="00290E64">
            <w:pPr>
              <w:pStyle w:val="EMEABodyText"/>
              <w:spacing w:line="276" w:lineRule="auto"/>
              <w:rPr>
                <w:i/>
                <w:lang w:val="lt-LT"/>
              </w:rPr>
            </w:pPr>
            <w:r>
              <w:rPr>
                <w:i/>
                <w:lang w:val="lt-LT"/>
              </w:rPr>
              <w:t>Klebsiella</w:t>
            </w:r>
            <w:r>
              <w:rPr>
                <w:lang w:val="lt-LT"/>
              </w:rPr>
              <w:t xml:space="preserve"> rūšys </w:t>
            </w:r>
            <w:r>
              <w:rPr>
                <w:rStyle w:val="EMEASuperscript"/>
                <w:i/>
                <w:lang w:val="lt-LT"/>
              </w:rPr>
              <w:t>2</w:t>
            </w:r>
          </w:p>
          <w:p w14:paraId="1BB3952A" w14:textId="77777777" w:rsidR="00290E64" w:rsidRDefault="00290E64">
            <w:pPr>
              <w:pStyle w:val="EMEABodyText"/>
              <w:spacing w:line="276" w:lineRule="auto"/>
              <w:rPr>
                <w:i/>
                <w:lang w:val="lt-LT"/>
              </w:rPr>
            </w:pPr>
            <w:r>
              <w:rPr>
                <w:i/>
                <w:lang w:val="lt-LT"/>
              </w:rPr>
              <w:t xml:space="preserve">Proteus mirabilis </w:t>
            </w:r>
            <w:r>
              <w:rPr>
                <w:rStyle w:val="EMEASuperscript"/>
                <w:i/>
                <w:lang w:val="lt-LT"/>
              </w:rPr>
              <w:t>2</w:t>
            </w:r>
          </w:p>
          <w:p w14:paraId="536E2FD8" w14:textId="77777777" w:rsidR="00290E64" w:rsidRDefault="00290E64">
            <w:pPr>
              <w:pStyle w:val="EMEABodyText"/>
              <w:spacing w:line="276" w:lineRule="auto"/>
              <w:rPr>
                <w:i/>
                <w:lang w:val="lt-LT"/>
              </w:rPr>
            </w:pPr>
            <w:r>
              <w:rPr>
                <w:i/>
                <w:lang w:val="lt-LT"/>
              </w:rPr>
              <w:t xml:space="preserve">Moraxella catarrhalis </w:t>
            </w:r>
            <w:r>
              <w:rPr>
                <w:rStyle w:val="EMEASuperscript"/>
                <w:i/>
                <w:lang w:val="lt-LT"/>
              </w:rPr>
              <w:t>3</w:t>
            </w:r>
          </w:p>
        </w:tc>
      </w:tr>
      <w:tr w:rsidR="00290E64" w14:paraId="28A6CDFE" w14:textId="77777777" w:rsidTr="00290E64">
        <w:tc>
          <w:tcPr>
            <w:tcW w:w="0" w:type="auto"/>
            <w:tcBorders>
              <w:top w:val="single" w:sz="4" w:space="0" w:color="auto"/>
              <w:left w:val="single" w:sz="4" w:space="0" w:color="auto"/>
              <w:bottom w:val="single" w:sz="4" w:space="0" w:color="auto"/>
              <w:right w:val="single" w:sz="4" w:space="0" w:color="auto"/>
            </w:tcBorders>
            <w:hideMark/>
          </w:tcPr>
          <w:p w14:paraId="1B2031FA" w14:textId="77777777" w:rsidR="00290E64" w:rsidRDefault="00290E64">
            <w:pPr>
              <w:pStyle w:val="EMEABodyText"/>
              <w:spacing w:line="276" w:lineRule="auto"/>
              <w:rPr>
                <w:lang w:val="lt-LT"/>
              </w:rPr>
            </w:pPr>
            <w:r>
              <w:rPr>
                <w:lang w:val="lt-LT"/>
              </w:rPr>
              <w:t>Atsparūs</w:t>
            </w:r>
          </w:p>
        </w:tc>
        <w:tc>
          <w:tcPr>
            <w:tcW w:w="0" w:type="auto"/>
            <w:tcBorders>
              <w:top w:val="single" w:sz="4" w:space="0" w:color="auto"/>
              <w:left w:val="single" w:sz="4" w:space="0" w:color="auto"/>
              <w:bottom w:val="single" w:sz="4" w:space="0" w:color="auto"/>
              <w:right w:val="single" w:sz="4" w:space="0" w:color="auto"/>
            </w:tcBorders>
            <w:hideMark/>
          </w:tcPr>
          <w:p w14:paraId="3D2A15DE" w14:textId="77777777" w:rsidR="00290E64" w:rsidRDefault="00290E64">
            <w:pPr>
              <w:pStyle w:val="EMEABodyText"/>
              <w:spacing w:line="276" w:lineRule="auto"/>
              <w:rPr>
                <w:i/>
                <w:lang w:val="lt-LT"/>
              </w:rPr>
            </w:pPr>
            <w:r>
              <w:rPr>
                <w:i/>
                <w:lang w:val="lt-LT"/>
              </w:rPr>
              <w:t xml:space="preserve">Citrobacter </w:t>
            </w:r>
            <w:r>
              <w:rPr>
                <w:lang w:val="lt-LT"/>
              </w:rPr>
              <w:t>rūšys</w:t>
            </w:r>
            <w:r>
              <w:rPr>
                <w:i/>
                <w:lang w:val="lt-LT"/>
              </w:rPr>
              <w:t xml:space="preserve">, Enterobacter </w:t>
            </w:r>
            <w:r>
              <w:rPr>
                <w:lang w:val="lt-LT"/>
              </w:rPr>
              <w:t>rūšys</w:t>
            </w:r>
            <w:r>
              <w:rPr>
                <w:i/>
                <w:lang w:val="lt-LT"/>
              </w:rPr>
              <w:t xml:space="preserve">, Proteus </w:t>
            </w:r>
            <w:r>
              <w:rPr>
                <w:lang w:val="lt-LT"/>
              </w:rPr>
              <w:t>rūšys (indolui teigiamos)</w:t>
            </w:r>
          </w:p>
          <w:p w14:paraId="1295BB85" w14:textId="77777777" w:rsidR="00290E64" w:rsidRDefault="00290E64">
            <w:pPr>
              <w:pStyle w:val="EMEABodyText"/>
              <w:spacing w:line="276" w:lineRule="auto"/>
              <w:rPr>
                <w:i/>
                <w:lang w:val="lt-LT"/>
              </w:rPr>
            </w:pPr>
            <w:r>
              <w:rPr>
                <w:i/>
                <w:lang w:val="lt-LT"/>
              </w:rPr>
              <w:t xml:space="preserve">Serratia </w:t>
            </w:r>
            <w:r>
              <w:rPr>
                <w:lang w:val="lt-LT"/>
              </w:rPr>
              <w:t>rūšys</w:t>
            </w:r>
          </w:p>
          <w:p w14:paraId="154796F0" w14:textId="77777777" w:rsidR="00290E64" w:rsidRDefault="00290E64">
            <w:pPr>
              <w:pStyle w:val="EMEABodyText"/>
              <w:spacing w:line="276" w:lineRule="auto"/>
              <w:rPr>
                <w:i/>
                <w:lang w:val="lt-LT"/>
              </w:rPr>
            </w:pPr>
            <w:r>
              <w:rPr>
                <w:i/>
                <w:lang w:val="lt-LT"/>
              </w:rPr>
              <w:t>Morganella morganii</w:t>
            </w:r>
          </w:p>
          <w:p w14:paraId="767642CF" w14:textId="77777777" w:rsidR="00290E64" w:rsidRDefault="00290E64">
            <w:pPr>
              <w:pStyle w:val="EMEABodyText"/>
              <w:spacing w:line="276" w:lineRule="auto"/>
              <w:rPr>
                <w:i/>
                <w:lang w:val="lt-LT"/>
              </w:rPr>
            </w:pPr>
            <w:r>
              <w:rPr>
                <w:i/>
                <w:lang w:val="lt-LT"/>
              </w:rPr>
              <w:t>Campylobacter</w:t>
            </w:r>
          </w:p>
          <w:p w14:paraId="31EE064C" w14:textId="77777777" w:rsidR="00290E64" w:rsidRDefault="00290E64">
            <w:pPr>
              <w:pStyle w:val="EMEABodyText"/>
              <w:spacing w:line="276" w:lineRule="auto"/>
              <w:rPr>
                <w:i/>
                <w:lang w:val="lt-LT"/>
              </w:rPr>
            </w:pPr>
            <w:r>
              <w:rPr>
                <w:i/>
                <w:lang w:val="lt-LT"/>
              </w:rPr>
              <w:t>Haemophilus influenzae</w:t>
            </w:r>
          </w:p>
          <w:p w14:paraId="13745845" w14:textId="77777777" w:rsidR="00290E64" w:rsidRDefault="00290E64">
            <w:pPr>
              <w:pStyle w:val="EMEABodyText"/>
              <w:spacing w:line="276" w:lineRule="auto"/>
              <w:rPr>
                <w:i/>
                <w:lang w:val="lt-LT"/>
              </w:rPr>
            </w:pPr>
            <w:r>
              <w:rPr>
                <w:i/>
                <w:lang w:val="lt-LT"/>
              </w:rPr>
              <w:t xml:space="preserve">Pseudomonas </w:t>
            </w:r>
            <w:r>
              <w:rPr>
                <w:lang w:val="lt-LT"/>
              </w:rPr>
              <w:t>rūšys</w:t>
            </w:r>
            <w:r>
              <w:rPr>
                <w:i/>
                <w:lang w:val="lt-LT"/>
              </w:rPr>
              <w:t>, Clostridium difficile</w:t>
            </w:r>
          </w:p>
          <w:p w14:paraId="716B0D8E" w14:textId="77777777" w:rsidR="00290E64" w:rsidRDefault="00290E64">
            <w:pPr>
              <w:pStyle w:val="EMEABodyText"/>
              <w:spacing w:line="276" w:lineRule="auto"/>
              <w:rPr>
                <w:i/>
                <w:lang w:val="lt-LT"/>
              </w:rPr>
            </w:pPr>
            <w:r>
              <w:rPr>
                <w:i/>
                <w:lang w:val="lt-LT"/>
              </w:rPr>
              <w:t xml:space="preserve">Listeria monocytogenes, Legionella, Chlamydia </w:t>
            </w:r>
            <w:r>
              <w:rPr>
                <w:lang w:val="lt-LT"/>
              </w:rPr>
              <w:t>ir</w:t>
            </w:r>
            <w:r>
              <w:rPr>
                <w:i/>
                <w:lang w:val="lt-LT"/>
              </w:rPr>
              <w:t xml:space="preserve"> Mycoplasma </w:t>
            </w:r>
            <w:r>
              <w:rPr>
                <w:lang w:val="lt-LT"/>
              </w:rPr>
              <w:t>rūšys</w:t>
            </w:r>
          </w:p>
          <w:p w14:paraId="32F3ED28" w14:textId="77777777" w:rsidR="00290E64" w:rsidRDefault="00290E64">
            <w:pPr>
              <w:pStyle w:val="EMEABodyText"/>
              <w:spacing w:line="276" w:lineRule="auto"/>
              <w:rPr>
                <w:lang w:val="lt-LT"/>
              </w:rPr>
            </w:pPr>
            <w:r>
              <w:rPr>
                <w:lang w:val="lt-LT"/>
              </w:rPr>
              <w:t>Enterokokai</w:t>
            </w:r>
          </w:p>
          <w:p w14:paraId="52DDF903" w14:textId="77777777" w:rsidR="00290E64" w:rsidRDefault="00290E64">
            <w:pPr>
              <w:pStyle w:val="EMEABodyText"/>
              <w:spacing w:line="276" w:lineRule="auto"/>
              <w:rPr>
                <w:i/>
                <w:highlight w:val="yellow"/>
                <w:lang w:val="lt-LT"/>
              </w:rPr>
            </w:pPr>
            <w:r>
              <w:rPr>
                <w:i/>
                <w:lang w:val="lt-LT"/>
              </w:rPr>
              <w:t xml:space="preserve">Bacteroides </w:t>
            </w:r>
            <w:r>
              <w:rPr>
                <w:lang w:val="lt-LT"/>
              </w:rPr>
              <w:t>rūšys</w:t>
            </w:r>
          </w:p>
        </w:tc>
      </w:tr>
    </w:tbl>
    <w:p w14:paraId="22396450" w14:textId="77777777" w:rsidR="00290E64" w:rsidRDefault="00290E64" w:rsidP="00290E64">
      <w:pPr>
        <w:pStyle w:val="EMEABodyText"/>
        <w:rPr>
          <w:lang w:val="lt-LT"/>
        </w:rPr>
      </w:pPr>
      <w:r>
        <w:rPr>
          <w:rStyle w:val="EMEASuperscript"/>
          <w:lang w:val="lt-LT"/>
        </w:rPr>
        <w:t>1</w:t>
      </w:r>
      <w:r>
        <w:rPr>
          <w:lang w:val="lt-LT"/>
        </w:rPr>
        <w:t xml:space="preserve"> </w:t>
      </w:r>
      <w:r>
        <w:rPr>
          <w:i/>
          <w:iCs/>
          <w:lang w:val="lt-LT"/>
        </w:rPr>
        <w:t>S. aureus</w:t>
      </w:r>
      <w:r>
        <w:rPr>
          <w:lang w:val="lt-LT"/>
        </w:rPr>
        <w:t xml:space="preserve"> ir kiti stafilokokai, įskaitant koaguliazei teigiamus, koaguliazei neigiamus ir penicilinazę gaminančius štamus.</w:t>
      </w:r>
    </w:p>
    <w:p w14:paraId="0ECA1F24" w14:textId="77777777" w:rsidR="00290E64" w:rsidRDefault="00290E64" w:rsidP="00290E64">
      <w:pPr>
        <w:pStyle w:val="EMEABodyText"/>
        <w:rPr>
          <w:lang w:val="lt-LT"/>
        </w:rPr>
      </w:pPr>
      <w:r>
        <w:rPr>
          <w:rStyle w:val="EMEASuperscript"/>
          <w:lang w:val="lt-LT"/>
        </w:rPr>
        <w:t>2</w:t>
      </w:r>
      <w:r>
        <w:rPr>
          <w:lang w:val="lt-LT"/>
        </w:rPr>
        <w:t xml:space="preserve"> </w:t>
      </w:r>
      <w:r>
        <w:rPr>
          <w:i/>
          <w:iCs/>
          <w:lang w:val="lt-LT"/>
        </w:rPr>
        <w:t>E. Coli,</w:t>
      </w:r>
      <w:r>
        <w:rPr>
          <w:lang w:val="lt-LT"/>
        </w:rPr>
        <w:t xml:space="preserve"> </w:t>
      </w:r>
      <w:r>
        <w:rPr>
          <w:i/>
          <w:iCs/>
          <w:lang w:val="lt-LT"/>
        </w:rPr>
        <w:t xml:space="preserve">Klebsiella </w:t>
      </w:r>
      <w:r>
        <w:rPr>
          <w:lang w:val="lt-LT"/>
        </w:rPr>
        <w:t>rūšys ir</w:t>
      </w:r>
      <w:r>
        <w:rPr>
          <w:i/>
          <w:lang w:val="lt-LT"/>
        </w:rPr>
        <w:t xml:space="preserve"> </w:t>
      </w:r>
      <w:r>
        <w:rPr>
          <w:i/>
          <w:iCs/>
          <w:lang w:val="lt-LT"/>
        </w:rPr>
        <w:t>P. mirabilis</w:t>
      </w:r>
      <w:r>
        <w:rPr>
          <w:lang w:val="lt-LT"/>
        </w:rPr>
        <w:t xml:space="preserve"> laikomi jautriais sergant apatinių šlapimo takų infekcinėmis ligomis.</w:t>
      </w:r>
    </w:p>
    <w:p w14:paraId="7B1965E4" w14:textId="77777777" w:rsidR="00290E64" w:rsidRDefault="00290E64" w:rsidP="00290E64">
      <w:pPr>
        <w:pStyle w:val="EMEABodyText"/>
        <w:rPr>
          <w:lang w:val="lt-LT"/>
        </w:rPr>
      </w:pPr>
      <w:r>
        <w:rPr>
          <w:rStyle w:val="EMEASuperscript"/>
          <w:lang w:val="lt-LT"/>
        </w:rPr>
        <w:t>3</w:t>
      </w:r>
      <w:r>
        <w:rPr>
          <w:lang w:val="lt-LT"/>
        </w:rPr>
        <w:t xml:space="preserve"> Dažnai pasitaiko β laktamazę gaminančių </w:t>
      </w:r>
      <w:r>
        <w:rPr>
          <w:i/>
          <w:iCs/>
          <w:lang w:val="lt-LT"/>
        </w:rPr>
        <w:t>M. catarrhalis</w:t>
      </w:r>
      <w:r>
        <w:rPr>
          <w:lang w:val="lt-LT"/>
        </w:rPr>
        <w:t xml:space="preserve"> štamų.</w:t>
      </w:r>
    </w:p>
    <w:p w14:paraId="1866D66A" w14:textId="77777777" w:rsidR="00290E64" w:rsidRDefault="00290E64" w:rsidP="00290E64">
      <w:pPr>
        <w:pStyle w:val="EMEABodyText"/>
        <w:rPr>
          <w:lang w:val="lt-LT"/>
        </w:rPr>
      </w:pPr>
    </w:p>
    <w:p w14:paraId="3C3C5A47" w14:textId="77777777" w:rsidR="00290E64" w:rsidRDefault="00290E64" w:rsidP="00290E64">
      <w:pPr>
        <w:pStyle w:val="EMEABodyText"/>
        <w:rPr>
          <w:lang w:val="lt-LT"/>
        </w:rPr>
      </w:pPr>
      <w:r>
        <w:rPr>
          <w:lang w:val="lt-LT"/>
        </w:rPr>
        <w:t xml:space="preserve">Galimas kryžminis atsparumas β laktaminiams antibiotikams (penicilinams ir cefalosporinams). Penicilinams atsparūs pneumokokai ir meticilinui atsparūs </w:t>
      </w:r>
      <w:r>
        <w:rPr>
          <w:i/>
          <w:lang w:val="lt-LT"/>
        </w:rPr>
        <w:t>Staphylococcus aureus</w:t>
      </w:r>
      <w:r>
        <w:rPr>
          <w:lang w:val="lt-LT"/>
        </w:rPr>
        <w:t xml:space="preserve"> būna atsparūs ir cefadroksiliui. Dėl su plazmidėmis susijusios β laktamazės gamybos gali būti atsparūs izoliuoti </w:t>
      </w:r>
      <w:r>
        <w:rPr>
          <w:i/>
          <w:iCs/>
          <w:lang w:val="lt-LT"/>
        </w:rPr>
        <w:t>E. coli</w:t>
      </w:r>
      <w:r>
        <w:rPr>
          <w:lang w:val="lt-LT"/>
        </w:rPr>
        <w:t xml:space="preserve">, </w:t>
      </w:r>
      <w:r>
        <w:rPr>
          <w:i/>
          <w:iCs/>
          <w:lang w:val="lt-LT"/>
        </w:rPr>
        <w:lastRenderedPageBreak/>
        <w:t xml:space="preserve">Klebsiella </w:t>
      </w:r>
      <w:r>
        <w:rPr>
          <w:iCs/>
          <w:lang w:val="lt-LT"/>
        </w:rPr>
        <w:t>rūšių</w:t>
      </w:r>
      <w:r>
        <w:rPr>
          <w:lang w:val="lt-LT"/>
        </w:rPr>
        <w:t xml:space="preserve"> ir </w:t>
      </w:r>
      <w:r>
        <w:rPr>
          <w:i/>
          <w:iCs/>
          <w:lang w:val="lt-LT"/>
        </w:rPr>
        <w:t>P. mirabilis</w:t>
      </w:r>
      <w:r>
        <w:rPr>
          <w:iCs/>
          <w:lang w:val="lt-LT"/>
        </w:rPr>
        <w:t xml:space="preserve"> štamai</w:t>
      </w:r>
      <w:r>
        <w:rPr>
          <w:lang w:val="lt-LT"/>
        </w:rPr>
        <w:t xml:space="preserve">. Gydymo metu gali išsivystyti </w:t>
      </w:r>
      <w:r>
        <w:rPr>
          <w:i/>
          <w:iCs/>
          <w:lang w:val="lt-LT"/>
        </w:rPr>
        <w:t>Enterobacter</w:t>
      </w:r>
      <w:r>
        <w:rPr>
          <w:lang w:val="lt-LT"/>
        </w:rPr>
        <w:t xml:space="preserve">, </w:t>
      </w:r>
      <w:r>
        <w:rPr>
          <w:i/>
          <w:iCs/>
          <w:lang w:val="lt-LT"/>
        </w:rPr>
        <w:t>Citrobacter</w:t>
      </w:r>
      <w:r>
        <w:rPr>
          <w:lang w:val="lt-LT"/>
        </w:rPr>
        <w:t xml:space="preserve">, </w:t>
      </w:r>
      <w:r>
        <w:rPr>
          <w:i/>
          <w:iCs/>
          <w:lang w:val="lt-LT"/>
        </w:rPr>
        <w:t>Morganella</w:t>
      </w:r>
      <w:r>
        <w:rPr>
          <w:lang w:val="lt-LT"/>
        </w:rPr>
        <w:t xml:space="preserve"> ir </w:t>
      </w:r>
      <w:r>
        <w:rPr>
          <w:i/>
          <w:iCs/>
          <w:lang w:val="lt-LT"/>
        </w:rPr>
        <w:t>Serratia</w:t>
      </w:r>
      <w:r>
        <w:rPr>
          <w:lang w:val="lt-LT"/>
        </w:rPr>
        <w:t xml:space="preserve"> rūšių atsparumas.</w:t>
      </w:r>
    </w:p>
    <w:p w14:paraId="7260315A" w14:textId="77777777" w:rsidR="00290E64" w:rsidRDefault="00290E64" w:rsidP="00290E64">
      <w:pPr>
        <w:spacing w:line="240" w:lineRule="auto"/>
        <w:rPr>
          <w:b/>
          <w:szCs w:val="22"/>
          <w:lang w:val="lt-LT"/>
        </w:rPr>
      </w:pPr>
    </w:p>
    <w:p w14:paraId="6F52488C" w14:textId="77777777" w:rsidR="00290E64" w:rsidRDefault="00290E64" w:rsidP="00290E64">
      <w:pPr>
        <w:spacing w:line="240" w:lineRule="auto"/>
        <w:outlineLvl w:val="0"/>
        <w:rPr>
          <w:b/>
          <w:szCs w:val="22"/>
          <w:lang w:val="lt-LT"/>
        </w:rPr>
      </w:pPr>
      <w:r>
        <w:rPr>
          <w:b/>
          <w:szCs w:val="22"/>
          <w:lang w:val="lt-LT"/>
        </w:rPr>
        <w:t>5.2</w:t>
      </w:r>
      <w:r>
        <w:rPr>
          <w:b/>
          <w:szCs w:val="22"/>
          <w:lang w:val="lt-LT"/>
        </w:rPr>
        <w:tab/>
        <w:t>Farmakokinetinės savybės</w:t>
      </w:r>
    </w:p>
    <w:p w14:paraId="42B610A1" w14:textId="77777777" w:rsidR="00290E64" w:rsidRDefault="00290E64" w:rsidP="00290E64">
      <w:pPr>
        <w:spacing w:line="240" w:lineRule="auto"/>
        <w:rPr>
          <w:szCs w:val="22"/>
          <w:lang w:val="lt-LT"/>
        </w:rPr>
      </w:pPr>
    </w:p>
    <w:p w14:paraId="5DA8CE5F" w14:textId="77777777" w:rsidR="00290E64" w:rsidRDefault="00290E64" w:rsidP="00290E64">
      <w:pPr>
        <w:spacing w:line="240" w:lineRule="auto"/>
        <w:rPr>
          <w:i/>
          <w:szCs w:val="22"/>
          <w:u w:val="single"/>
          <w:lang w:val="lt-LT"/>
        </w:rPr>
      </w:pPr>
      <w:r>
        <w:rPr>
          <w:i/>
          <w:szCs w:val="22"/>
          <w:u w:val="single"/>
          <w:lang w:val="lt-LT"/>
        </w:rPr>
        <w:t>Absorbcija</w:t>
      </w:r>
    </w:p>
    <w:p w14:paraId="30020335" w14:textId="77777777" w:rsidR="00290E64" w:rsidRDefault="00290E64" w:rsidP="00290E64">
      <w:pPr>
        <w:spacing w:line="240" w:lineRule="auto"/>
        <w:rPr>
          <w:szCs w:val="22"/>
          <w:lang w:val="lt-LT"/>
        </w:rPr>
      </w:pPr>
      <w:r>
        <w:rPr>
          <w:szCs w:val="22"/>
          <w:lang w:val="lt-LT"/>
        </w:rPr>
        <w:t>Išgertas cefadroksilis rezorbuojamas greitai. Rezorbcijos ypatybės nevalgius ir po valgio nesiskiria.</w:t>
      </w:r>
    </w:p>
    <w:p w14:paraId="5841C2EC" w14:textId="77777777" w:rsidR="00290E64" w:rsidRDefault="00290E64" w:rsidP="00290E64">
      <w:pPr>
        <w:spacing w:line="240" w:lineRule="auto"/>
        <w:rPr>
          <w:szCs w:val="22"/>
          <w:lang w:val="lt-LT"/>
        </w:rPr>
      </w:pPr>
    </w:p>
    <w:p w14:paraId="6DDFBA30" w14:textId="77777777" w:rsidR="00290E64" w:rsidRDefault="00290E64" w:rsidP="00290E64">
      <w:pPr>
        <w:spacing w:line="240" w:lineRule="auto"/>
        <w:rPr>
          <w:i/>
          <w:szCs w:val="22"/>
          <w:u w:val="single"/>
          <w:lang w:val="lt-LT"/>
        </w:rPr>
      </w:pPr>
      <w:r>
        <w:rPr>
          <w:i/>
          <w:szCs w:val="22"/>
          <w:u w:val="single"/>
          <w:lang w:val="lt-LT"/>
        </w:rPr>
        <w:t>Pasiskirstymas</w:t>
      </w:r>
    </w:p>
    <w:p w14:paraId="3AF6B734" w14:textId="77777777" w:rsidR="00290E64" w:rsidRDefault="00290E64" w:rsidP="00290E64">
      <w:pPr>
        <w:spacing w:line="240" w:lineRule="auto"/>
        <w:rPr>
          <w:szCs w:val="22"/>
          <w:lang w:val="lt-LT"/>
        </w:rPr>
      </w:pPr>
      <w:r>
        <w:rPr>
          <w:szCs w:val="22"/>
          <w:lang w:val="lt-LT"/>
        </w:rPr>
        <w:t>Išgėrus vieną 500 mg arba 1 g dozę, vidutinė didžiausia koncentracija serume buvo atitinkamai maždaug 16 mikrogramų/ml ir 28 mikrogramai/ml. Išmatuojama koncentracija serume išliko 12 valandų po vaisto vartojimo. Maždaug 20 % vaisto būna prisijungusio prie plazmos baltymų. Cefadroksilis plačiai pasiskirsto organizmo audiniuose ir skysčiuose, praeina per placentos barjerą ir patenka į motinos pieną.</w:t>
      </w:r>
    </w:p>
    <w:p w14:paraId="25DF11CB" w14:textId="77777777" w:rsidR="00290E64" w:rsidRDefault="00290E64" w:rsidP="00290E64">
      <w:pPr>
        <w:spacing w:line="240" w:lineRule="auto"/>
        <w:rPr>
          <w:szCs w:val="22"/>
          <w:lang w:val="lt-LT"/>
        </w:rPr>
      </w:pPr>
    </w:p>
    <w:p w14:paraId="79BA72A8" w14:textId="77777777" w:rsidR="00290E64" w:rsidRDefault="00290E64" w:rsidP="00290E64">
      <w:pPr>
        <w:spacing w:line="240" w:lineRule="auto"/>
        <w:rPr>
          <w:i/>
          <w:szCs w:val="22"/>
          <w:u w:val="single"/>
          <w:lang w:val="lt-LT"/>
        </w:rPr>
      </w:pPr>
      <w:r>
        <w:rPr>
          <w:i/>
          <w:szCs w:val="22"/>
          <w:u w:val="single"/>
          <w:lang w:val="lt-LT"/>
        </w:rPr>
        <w:t>Biotransformacija</w:t>
      </w:r>
    </w:p>
    <w:p w14:paraId="00CD960A" w14:textId="77777777" w:rsidR="00290E64" w:rsidRDefault="00290E64" w:rsidP="00290E64">
      <w:pPr>
        <w:pStyle w:val="EMEABodyText"/>
        <w:rPr>
          <w:lang w:val="lt-LT"/>
        </w:rPr>
      </w:pPr>
      <w:r>
        <w:rPr>
          <w:lang w:val="lt-LT"/>
        </w:rPr>
        <w:t>Daugiausia cefadroksilio eliminuojama nepakitusio, jo metabolizmas žmogaus organizme nereikšmingas.</w:t>
      </w:r>
    </w:p>
    <w:p w14:paraId="6A01AC9C" w14:textId="77777777" w:rsidR="00290E64" w:rsidRDefault="00290E64" w:rsidP="00290E64">
      <w:pPr>
        <w:pStyle w:val="EMEABodyText"/>
        <w:rPr>
          <w:lang w:val="lt-LT"/>
        </w:rPr>
      </w:pPr>
    </w:p>
    <w:p w14:paraId="5D47D89A" w14:textId="77777777" w:rsidR="00290E64" w:rsidRDefault="00290E64" w:rsidP="00290E64">
      <w:pPr>
        <w:spacing w:line="240" w:lineRule="auto"/>
        <w:rPr>
          <w:i/>
          <w:szCs w:val="22"/>
          <w:u w:val="single"/>
          <w:lang w:val="lt-LT"/>
        </w:rPr>
      </w:pPr>
      <w:r>
        <w:rPr>
          <w:i/>
          <w:szCs w:val="22"/>
          <w:u w:val="single"/>
          <w:lang w:val="lt-LT"/>
        </w:rPr>
        <w:t>Eliminacija</w:t>
      </w:r>
    </w:p>
    <w:p w14:paraId="284D81E2" w14:textId="77777777" w:rsidR="00290E64" w:rsidRDefault="00290E64" w:rsidP="00290E64">
      <w:pPr>
        <w:spacing w:line="240" w:lineRule="auto"/>
        <w:rPr>
          <w:szCs w:val="22"/>
          <w:lang w:val="lt-LT"/>
        </w:rPr>
      </w:pPr>
      <w:r>
        <w:rPr>
          <w:szCs w:val="22"/>
          <w:lang w:val="lt-LT"/>
        </w:rPr>
        <w:t>Daugiau kaip 90 </w:t>
      </w:r>
      <w:r>
        <w:rPr>
          <w:szCs w:val="22"/>
          <w:lang w:val="lt-LT"/>
        </w:rPr>
        <w:sym w:font="Symbol" w:char="F025"/>
      </w:r>
      <w:r>
        <w:rPr>
          <w:szCs w:val="22"/>
          <w:lang w:val="lt-LT"/>
        </w:rPr>
        <w:t xml:space="preserve"> vaisto išskiriama nepakitusio su šlapimu per 24 valandas. Pusinės eliminacijos laikas yra apie 2 val. Išgėrus vieną 500 mg dozę, didžiausia koncentracija šlapime būna maždaug 1800 mikrogramų/ml. Didinant dozę, dažniausiai proporcingai didėja ir cefadroksilio koncentracija šlapime. Išgėrus 1 g dozę, šio antibiotiko koncentracija šlapime gerokai viršija jam jautrių šlapimo takų infekcijų sukėlėjų MSK 20 - 22 valandas.</w:t>
      </w:r>
    </w:p>
    <w:p w14:paraId="407C9132" w14:textId="77777777" w:rsidR="00290E64" w:rsidRDefault="00290E64" w:rsidP="00290E64">
      <w:pPr>
        <w:spacing w:line="240" w:lineRule="auto"/>
        <w:rPr>
          <w:b/>
          <w:szCs w:val="22"/>
          <w:lang w:val="lt-LT"/>
        </w:rPr>
      </w:pPr>
    </w:p>
    <w:p w14:paraId="05DAF9B1" w14:textId="77777777" w:rsidR="00290E64" w:rsidRDefault="00290E64" w:rsidP="00290E64">
      <w:pPr>
        <w:spacing w:line="240" w:lineRule="auto"/>
        <w:outlineLvl w:val="0"/>
        <w:rPr>
          <w:b/>
          <w:szCs w:val="22"/>
          <w:lang w:val="lt-LT"/>
        </w:rPr>
      </w:pPr>
      <w:r>
        <w:rPr>
          <w:b/>
          <w:szCs w:val="22"/>
          <w:lang w:val="lt-LT"/>
        </w:rPr>
        <w:t>5.3</w:t>
      </w:r>
      <w:r>
        <w:rPr>
          <w:b/>
          <w:szCs w:val="22"/>
          <w:lang w:val="lt-LT"/>
        </w:rPr>
        <w:tab/>
        <w:t>Ikiklinikinių saugumo tyrimų duomenys</w:t>
      </w:r>
    </w:p>
    <w:p w14:paraId="3CA9BC90" w14:textId="77777777" w:rsidR="00290E64" w:rsidRDefault="00290E64" w:rsidP="00290E64">
      <w:pPr>
        <w:spacing w:line="240" w:lineRule="auto"/>
        <w:rPr>
          <w:i/>
          <w:szCs w:val="22"/>
          <w:lang w:val="lt-LT"/>
        </w:rPr>
      </w:pPr>
    </w:p>
    <w:p w14:paraId="56B3C22B" w14:textId="77777777" w:rsidR="00290E64" w:rsidRDefault="00290E64" w:rsidP="00290E64">
      <w:pPr>
        <w:spacing w:line="240" w:lineRule="auto"/>
        <w:rPr>
          <w:szCs w:val="22"/>
          <w:lang w:val="lt-LT"/>
        </w:rPr>
      </w:pPr>
      <w:r>
        <w:rPr>
          <w:szCs w:val="22"/>
          <w:lang w:val="lt-LT"/>
        </w:rPr>
        <w:t>Ilgalaikiais tyrimais kancerogeninis poveikis nenustatinėtas. Genotoksinis poveikis netirtas.</w:t>
      </w:r>
    </w:p>
    <w:p w14:paraId="492CCE00" w14:textId="77777777" w:rsidR="00290E64" w:rsidRDefault="00290E64" w:rsidP="00290E64">
      <w:pPr>
        <w:spacing w:line="240" w:lineRule="auto"/>
        <w:rPr>
          <w:szCs w:val="22"/>
          <w:lang w:val="lt-LT"/>
        </w:rPr>
      </w:pPr>
      <w:r>
        <w:rPr>
          <w:szCs w:val="22"/>
          <w:lang w:val="lt-LT"/>
        </w:rPr>
        <w:t>Naujų aktualių ikiklinikinių tyrimų duomenų nėra.</w:t>
      </w:r>
    </w:p>
    <w:p w14:paraId="56E7C2CB" w14:textId="77777777" w:rsidR="00290E64" w:rsidRDefault="00290E64" w:rsidP="00290E64">
      <w:pPr>
        <w:spacing w:line="240" w:lineRule="auto"/>
        <w:rPr>
          <w:b/>
          <w:szCs w:val="22"/>
          <w:lang w:val="lt-LT"/>
        </w:rPr>
      </w:pPr>
    </w:p>
    <w:p w14:paraId="1428DC10" w14:textId="77777777" w:rsidR="00290E64" w:rsidRDefault="00290E64" w:rsidP="00290E64">
      <w:pPr>
        <w:spacing w:line="240" w:lineRule="auto"/>
        <w:rPr>
          <w:b/>
          <w:szCs w:val="22"/>
          <w:lang w:val="lt-LT"/>
        </w:rPr>
      </w:pPr>
    </w:p>
    <w:p w14:paraId="7E8EFE04" w14:textId="77777777" w:rsidR="00290E64" w:rsidRDefault="00290E64" w:rsidP="00290E64">
      <w:pPr>
        <w:spacing w:line="240" w:lineRule="auto"/>
        <w:outlineLvl w:val="0"/>
        <w:rPr>
          <w:b/>
          <w:szCs w:val="22"/>
          <w:lang w:val="lt-LT"/>
        </w:rPr>
      </w:pPr>
      <w:r>
        <w:rPr>
          <w:b/>
          <w:szCs w:val="22"/>
          <w:lang w:val="lt-LT"/>
        </w:rPr>
        <w:t>6.</w:t>
      </w:r>
      <w:r>
        <w:rPr>
          <w:b/>
          <w:szCs w:val="22"/>
          <w:lang w:val="lt-LT"/>
        </w:rPr>
        <w:tab/>
        <w:t>FARMACINĖ INFORMACIJA</w:t>
      </w:r>
    </w:p>
    <w:p w14:paraId="4EB3E619" w14:textId="77777777" w:rsidR="00290E64" w:rsidRDefault="00290E64" w:rsidP="00290E64">
      <w:pPr>
        <w:spacing w:line="240" w:lineRule="auto"/>
        <w:rPr>
          <w:b/>
          <w:szCs w:val="22"/>
          <w:lang w:val="lt-LT"/>
        </w:rPr>
      </w:pPr>
    </w:p>
    <w:p w14:paraId="668F36A7" w14:textId="77777777" w:rsidR="00290E64" w:rsidRDefault="00290E64" w:rsidP="00290E64">
      <w:pPr>
        <w:spacing w:line="240" w:lineRule="auto"/>
        <w:outlineLvl w:val="0"/>
        <w:rPr>
          <w:b/>
          <w:szCs w:val="22"/>
          <w:lang w:val="lt-LT"/>
        </w:rPr>
      </w:pPr>
      <w:r>
        <w:rPr>
          <w:b/>
          <w:szCs w:val="22"/>
          <w:lang w:val="lt-LT"/>
        </w:rPr>
        <w:t>6.1</w:t>
      </w:r>
      <w:r>
        <w:rPr>
          <w:b/>
          <w:szCs w:val="22"/>
          <w:lang w:val="lt-LT"/>
        </w:rPr>
        <w:tab/>
        <w:t>Pagalbinių medžiagų sąrašas</w:t>
      </w:r>
    </w:p>
    <w:p w14:paraId="1F30A240" w14:textId="77777777" w:rsidR="00290E64" w:rsidRDefault="00290E64" w:rsidP="00290E64">
      <w:pPr>
        <w:spacing w:line="240" w:lineRule="auto"/>
        <w:rPr>
          <w:szCs w:val="22"/>
          <w:lang w:val="lt-LT"/>
        </w:rPr>
      </w:pPr>
    </w:p>
    <w:p w14:paraId="27CD3536" w14:textId="77777777" w:rsidR="00290E64" w:rsidRDefault="00290E64" w:rsidP="00290E64">
      <w:pPr>
        <w:spacing w:line="240" w:lineRule="auto"/>
        <w:outlineLvl w:val="0"/>
        <w:rPr>
          <w:szCs w:val="22"/>
          <w:lang w:val="lt-LT"/>
        </w:rPr>
      </w:pPr>
      <w:r>
        <w:rPr>
          <w:szCs w:val="22"/>
          <w:lang w:val="lt-LT"/>
        </w:rPr>
        <w:t>Mikrokristalinė celiuliozė</w:t>
      </w:r>
    </w:p>
    <w:p w14:paraId="067F28CB" w14:textId="77777777" w:rsidR="00290E64" w:rsidRDefault="00290E64" w:rsidP="00290E64">
      <w:pPr>
        <w:spacing w:line="240" w:lineRule="auto"/>
        <w:rPr>
          <w:szCs w:val="22"/>
          <w:lang w:val="lt-LT"/>
        </w:rPr>
      </w:pPr>
      <w:r>
        <w:rPr>
          <w:szCs w:val="22"/>
          <w:lang w:val="lt-LT"/>
        </w:rPr>
        <w:t>Amonio glicirizinatas</w:t>
      </w:r>
    </w:p>
    <w:p w14:paraId="574CB4DC" w14:textId="77777777" w:rsidR="00290E64" w:rsidRDefault="00290E64" w:rsidP="00290E64">
      <w:pPr>
        <w:spacing w:line="240" w:lineRule="auto"/>
        <w:rPr>
          <w:szCs w:val="22"/>
          <w:lang w:val="lt-LT"/>
        </w:rPr>
      </w:pPr>
      <w:r>
        <w:rPr>
          <w:szCs w:val="22"/>
          <w:lang w:val="lt-LT"/>
        </w:rPr>
        <w:t>Aviečių skonio medžiaga</w:t>
      </w:r>
    </w:p>
    <w:p w14:paraId="34C32FD8" w14:textId="77777777" w:rsidR="00290E64" w:rsidRDefault="00290E64" w:rsidP="00290E64">
      <w:pPr>
        <w:spacing w:line="240" w:lineRule="auto"/>
        <w:rPr>
          <w:szCs w:val="22"/>
          <w:lang w:val="lt-LT"/>
        </w:rPr>
      </w:pPr>
      <w:r>
        <w:rPr>
          <w:szCs w:val="22"/>
          <w:lang w:val="lt-LT"/>
        </w:rPr>
        <w:t>Braškių skonio medžiaga</w:t>
      </w:r>
    </w:p>
    <w:p w14:paraId="3F0F35BB" w14:textId="77777777" w:rsidR="00290E64" w:rsidRDefault="00290E64" w:rsidP="00290E64">
      <w:pPr>
        <w:spacing w:line="240" w:lineRule="auto"/>
        <w:rPr>
          <w:szCs w:val="22"/>
          <w:lang w:val="lt-LT"/>
        </w:rPr>
      </w:pPr>
      <w:r>
        <w:rPr>
          <w:szCs w:val="22"/>
          <w:lang w:val="lt-LT"/>
        </w:rPr>
        <w:t>Citrinų skonio medžiaga</w:t>
      </w:r>
    </w:p>
    <w:p w14:paraId="458D0C9E" w14:textId="77777777" w:rsidR="00290E64" w:rsidRDefault="00290E64" w:rsidP="00290E64">
      <w:pPr>
        <w:spacing w:line="240" w:lineRule="auto"/>
        <w:rPr>
          <w:szCs w:val="22"/>
          <w:lang w:val="lt-LT"/>
        </w:rPr>
      </w:pPr>
      <w:r>
        <w:rPr>
          <w:szCs w:val="22"/>
          <w:lang w:val="lt-LT"/>
        </w:rPr>
        <w:t>Guaro lipai</w:t>
      </w:r>
    </w:p>
    <w:p w14:paraId="4F29E064" w14:textId="77777777" w:rsidR="00290E64" w:rsidRDefault="00290E64" w:rsidP="00290E64">
      <w:pPr>
        <w:spacing w:line="240" w:lineRule="auto"/>
        <w:rPr>
          <w:szCs w:val="22"/>
          <w:lang w:val="lt-LT"/>
        </w:rPr>
      </w:pPr>
      <w:r>
        <w:rPr>
          <w:szCs w:val="22"/>
          <w:lang w:val="lt-LT"/>
        </w:rPr>
        <w:t>Krospovidonas</w:t>
      </w:r>
    </w:p>
    <w:p w14:paraId="149231C0" w14:textId="77777777" w:rsidR="00290E64" w:rsidRDefault="00290E64" w:rsidP="00290E64">
      <w:pPr>
        <w:spacing w:line="240" w:lineRule="auto"/>
        <w:rPr>
          <w:szCs w:val="22"/>
          <w:lang w:val="lt-LT"/>
        </w:rPr>
      </w:pPr>
      <w:r>
        <w:rPr>
          <w:szCs w:val="22"/>
          <w:lang w:val="lt-LT"/>
        </w:rPr>
        <w:t>Sacharino natrio druska</w:t>
      </w:r>
    </w:p>
    <w:p w14:paraId="478B48EC" w14:textId="77777777" w:rsidR="00290E64" w:rsidRDefault="00290E64" w:rsidP="00290E64">
      <w:pPr>
        <w:spacing w:line="240" w:lineRule="auto"/>
        <w:rPr>
          <w:szCs w:val="22"/>
          <w:lang w:val="lt-LT"/>
        </w:rPr>
      </w:pPr>
      <w:r>
        <w:rPr>
          <w:szCs w:val="22"/>
          <w:lang w:val="lt-LT"/>
        </w:rPr>
        <w:t>Natrio gliukonatas</w:t>
      </w:r>
    </w:p>
    <w:p w14:paraId="45796C16" w14:textId="77777777" w:rsidR="00290E64" w:rsidRDefault="00290E64" w:rsidP="00290E64">
      <w:pPr>
        <w:spacing w:line="240" w:lineRule="auto"/>
        <w:rPr>
          <w:szCs w:val="22"/>
          <w:lang w:val="lt-LT"/>
        </w:rPr>
      </w:pPr>
      <w:r>
        <w:rPr>
          <w:szCs w:val="22"/>
          <w:lang w:val="lt-LT"/>
        </w:rPr>
        <w:t>Gliukono delta laktonas</w:t>
      </w:r>
    </w:p>
    <w:p w14:paraId="5E34667A" w14:textId="77777777" w:rsidR="00290E64" w:rsidRDefault="00290E64" w:rsidP="00290E64">
      <w:pPr>
        <w:spacing w:line="240" w:lineRule="auto"/>
        <w:rPr>
          <w:szCs w:val="22"/>
          <w:lang w:val="lt-LT"/>
        </w:rPr>
      </w:pPr>
      <w:r>
        <w:rPr>
          <w:szCs w:val="22"/>
          <w:lang w:val="lt-LT"/>
        </w:rPr>
        <w:t>Magnio stearatas</w:t>
      </w:r>
    </w:p>
    <w:p w14:paraId="1B4C3209" w14:textId="77777777" w:rsidR="00290E64" w:rsidRDefault="00290E64" w:rsidP="00290E64">
      <w:pPr>
        <w:spacing w:line="240" w:lineRule="auto"/>
        <w:rPr>
          <w:bCs/>
          <w:szCs w:val="22"/>
          <w:u w:val="single"/>
          <w:lang w:val="lt-LT"/>
        </w:rPr>
      </w:pPr>
    </w:p>
    <w:p w14:paraId="55284355" w14:textId="77777777" w:rsidR="00290E64" w:rsidRDefault="00290E64" w:rsidP="00290E64">
      <w:pPr>
        <w:spacing w:line="240" w:lineRule="auto"/>
        <w:outlineLvl w:val="0"/>
        <w:rPr>
          <w:b/>
          <w:szCs w:val="22"/>
          <w:lang w:val="lt-LT"/>
        </w:rPr>
      </w:pPr>
      <w:r>
        <w:rPr>
          <w:b/>
          <w:szCs w:val="22"/>
          <w:lang w:val="lt-LT"/>
        </w:rPr>
        <w:t>6.2</w:t>
      </w:r>
      <w:r>
        <w:rPr>
          <w:b/>
          <w:szCs w:val="22"/>
          <w:lang w:val="lt-LT"/>
        </w:rPr>
        <w:tab/>
        <w:t>Nesuderinamumas</w:t>
      </w:r>
    </w:p>
    <w:p w14:paraId="04ABF956" w14:textId="77777777" w:rsidR="00290E64" w:rsidRDefault="00290E64" w:rsidP="00290E64">
      <w:pPr>
        <w:spacing w:line="240" w:lineRule="auto"/>
        <w:rPr>
          <w:szCs w:val="22"/>
          <w:lang w:val="lt-LT"/>
        </w:rPr>
      </w:pPr>
    </w:p>
    <w:p w14:paraId="54890978" w14:textId="77777777" w:rsidR="00290E64" w:rsidRDefault="00290E64" w:rsidP="00290E64">
      <w:pPr>
        <w:spacing w:line="240" w:lineRule="auto"/>
        <w:rPr>
          <w:b/>
          <w:szCs w:val="22"/>
          <w:lang w:val="lt-LT"/>
        </w:rPr>
      </w:pPr>
      <w:r>
        <w:rPr>
          <w:szCs w:val="22"/>
          <w:lang w:val="lt-LT"/>
        </w:rPr>
        <w:t>Duomenys nebūtini.</w:t>
      </w:r>
    </w:p>
    <w:p w14:paraId="283D2766" w14:textId="77777777" w:rsidR="00290E64" w:rsidRDefault="00290E64" w:rsidP="00290E64">
      <w:pPr>
        <w:spacing w:line="240" w:lineRule="auto"/>
        <w:rPr>
          <w:b/>
          <w:szCs w:val="22"/>
          <w:lang w:val="lt-LT"/>
        </w:rPr>
      </w:pPr>
    </w:p>
    <w:p w14:paraId="4D1D2F9F" w14:textId="77777777" w:rsidR="00290E64" w:rsidRDefault="00290E64" w:rsidP="00290E64">
      <w:pPr>
        <w:spacing w:line="240" w:lineRule="auto"/>
        <w:outlineLvl w:val="0"/>
        <w:rPr>
          <w:b/>
          <w:szCs w:val="22"/>
          <w:lang w:val="lt-LT"/>
        </w:rPr>
      </w:pPr>
      <w:r>
        <w:rPr>
          <w:b/>
          <w:szCs w:val="22"/>
          <w:lang w:val="lt-LT"/>
        </w:rPr>
        <w:t>6.3</w:t>
      </w:r>
      <w:r>
        <w:rPr>
          <w:b/>
          <w:szCs w:val="22"/>
          <w:lang w:val="lt-LT"/>
        </w:rPr>
        <w:tab/>
        <w:t>Tinkamumo laikas</w:t>
      </w:r>
    </w:p>
    <w:p w14:paraId="73B8D01C" w14:textId="77777777" w:rsidR="00290E64" w:rsidRDefault="00290E64" w:rsidP="00290E64">
      <w:pPr>
        <w:spacing w:line="240" w:lineRule="auto"/>
        <w:rPr>
          <w:szCs w:val="22"/>
          <w:lang w:val="lt-LT"/>
        </w:rPr>
      </w:pPr>
    </w:p>
    <w:p w14:paraId="1414AADA" w14:textId="77777777" w:rsidR="00290E64" w:rsidRDefault="00290E64" w:rsidP="00290E64">
      <w:pPr>
        <w:spacing w:line="240" w:lineRule="auto"/>
        <w:rPr>
          <w:szCs w:val="22"/>
          <w:lang w:val="lt-LT"/>
        </w:rPr>
      </w:pPr>
      <w:r>
        <w:rPr>
          <w:szCs w:val="22"/>
          <w:lang w:val="lt-LT"/>
        </w:rPr>
        <w:t>2 metai.</w:t>
      </w:r>
    </w:p>
    <w:p w14:paraId="77EB173A" w14:textId="77777777" w:rsidR="00290E64" w:rsidRDefault="00290E64" w:rsidP="00290E64">
      <w:pPr>
        <w:spacing w:line="240" w:lineRule="auto"/>
        <w:rPr>
          <w:bCs/>
          <w:szCs w:val="22"/>
          <w:u w:val="single"/>
          <w:lang w:val="lt-LT"/>
        </w:rPr>
      </w:pPr>
    </w:p>
    <w:p w14:paraId="10E70874" w14:textId="77777777" w:rsidR="00290E64" w:rsidRDefault="00290E64" w:rsidP="00290E64">
      <w:pPr>
        <w:spacing w:line="240" w:lineRule="auto"/>
        <w:outlineLvl w:val="0"/>
        <w:rPr>
          <w:b/>
          <w:szCs w:val="22"/>
          <w:lang w:val="lt-LT"/>
        </w:rPr>
      </w:pPr>
      <w:r>
        <w:rPr>
          <w:b/>
          <w:szCs w:val="22"/>
          <w:lang w:val="lt-LT"/>
        </w:rPr>
        <w:t>6.4</w:t>
      </w:r>
      <w:r>
        <w:rPr>
          <w:b/>
          <w:szCs w:val="22"/>
          <w:lang w:val="lt-LT"/>
        </w:rPr>
        <w:tab/>
        <w:t>Specialios laikymo sąlygos</w:t>
      </w:r>
    </w:p>
    <w:p w14:paraId="0A3C11B3" w14:textId="77777777" w:rsidR="00290E64" w:rsidRDefault="00290E64" w:rsidP="00290E64">
      <w:pPr>
        <w:spacing w:line="240" w:lineRule="auto"/>
        <w:rPr>
          <w:szCs w:val="22"/>
          <w:lang w:val="lt-LT"/>
        </w:rPr>
      </w:pPr>
    </w:p>
    <w:p w14:paraId="3D7FC569" w14:textId="77777777" w:rsidR="00290E64" w:rsidRDefault="00290E64" w:rsidP="00290E64">
      <w:pPr>
        <w:spacing w:line="240" w:lineRule="auto"/>
        <w:outlineLvl w:val="0"/>
        <w:rPr>
          <w:szCs w:val="22"/>
          <w:u w:val="single"/>
          <w:lang w:val="lt-LT"/>
        </w:rPr>
      </w:pPr>
      <w:r>
        <w:rPr>
          <w:szCs w:val="22"/>
          <w:lang w:val="lt-LT"/>
        </w:rPr>
        <w:t xml:space="preserve">Laikyti ne aukštesnėje kaip 25 </w:t>
      </w:r>
      <w:r>
        <w:rPr>
          <w:szCs w:val="22"/>
          <w:lang w:val="lt-LT"/>
        </w:rPr>
        <w:sym w:font="Symbol" w:char="F0B0"/>
      </w:r>
      <w:r>
        <w:rPr>
          <w:szCs w:val="22"/>
          <w:lang w:val="lt-LT"/>
        </w:rPr>
        <w:t>C temperatūroje.</w:t>
      </w:r>
    </w:p>
    <w:p w14:paraId="69C52EA0" w14:textId="77777777" w:rsidR="00290E64" w:rsidRDefault="00290E64" w:rsidP="00290E64">
      <w:pPr>
        <w:spacing w:line="240" w:lineRule="auto"/>
        <w:rPr>
          <w:szCs w:val="22"/>
          <w:u w:val="single"/>
          <w:lang w:val="lt-LT"/>
        </w:rPr>
      </w:pPr>
    </w:p>
    <w:p w14:paraId="4C9A9607" w14:textId="77777777" w:rsidR="00290E64" w:rsidRDefault="00290E64" w:rsidP="00290E64">
      <w:pPr>
        <w:spacing w:line="240" w:lineRule="auto"/>
        <w:outlineLvl w:val="0"/>
        <w:rPr>
          <w:b/>
          <w:szCs w:val="22"/>
          <w:lang w:val="lt-LT"/>
        </w:rPr>
      </w:pPr>
      <w:r>
        <w:rPr>
          <w:b/>
          <w:szCs w:val="22"/>
          <w:lang w:val="lt-LT"/>
        </w:rPr>
        <w:t>6.5</w:t>
      </w:r>
      <w:r>
        <w:rPr>
          <w:b/>
          <w:szCs w:val="22"/>
          <w:lang w:val="lt-LT"/>
        </w:rPr>
        <w:tab/>
        <w:t>Talpyklės pobūdis ir jos turinys</w:t>
      </w:r>
    </w:p>
    <w:p w14:paraId="617A6594" w14:textId="77777777" w:rsidR="00290E64" w:rsidRDefault="00290E64" w:rsidP="00290E64">
      <w:pPr>
        <w:spacing w:line="240" w:lineRule="auto"/>
        <w:rPr>
          <w:b/>
          <w:szCs w:val="22"/>
          <w:lang w:val="lt-LT"/>
        </w:rPr>
      </w:pPr>
    </w:p>
    <w:p w14:paraId="2F97D335" w14:textId="77777777" w:rsidR="00290E64" w:rsidRDefault="00290E64" w:rsidP="00290E64">
      <w:pPr>
        <w:spacing w:line="240" w:lineRule="auto"/>
        <w:outlineLvl w:val="0"/>
        <w:rPr>
          <w:szCs w:val="22"/>
          <w:lang w:val="lt-LT"/>
        </w:rPr>
      </w:pPr>
      <w:r>
        <w:rPr>
          <w:szCs w:val="22"/>
          <w:lang w:val="lt-LT"/>
        </w:rPr>
        <w:t>Dėžutėje yra 10 disperguojamųjų tablečių aliumininėse dvisluoksnėse juostelėse.</w:t>
      </w:r>
    </w:p>
    <w:p w14:paraId="6E8E5611" w14:textId="77777777" w:rsidR="00290E64" w:rsidRDefault="00290E64" w:rsidP="00290E64">
      <w:pPr>
        <w:spacing w:line="240" w:lineRule="auto"/>
        <w:rPr>
          <w:bCs/>
          <w:szCs w:val="22"/>
          <w:u w:val="single"/>
          <w:lang w:val="lt-LT"/>
        </w:rPr>
      </w:pPr>
    </w:p>
    <w:p w14:paraId="6588C4C2" w14:textId="77777777" w:rsidR="00290E64" w:rsidRDefault="00290E64" w:rsidP="00290E64">
      <w:pPr>
        <w:spacing w:line="240" w:lineRule="auto"/>
        <w:outlineLvl w:val="0"/>
        <w:rPr>
          <w:b/>
          <w:szCs w:val="22"/>
          <w:lang w:val="lt-LT"/>
        </w:rPr>
      </w:pPr>
      <w:r>
        <w:rPr>
          <w:b/>
          <w:szCs w:val="22"/>
          <w:lang w:val="lt-LT"/>
        </w:rPr>
        <w:t>6.6</w:t>
      </w:r>
      <w:r>
        <w:rPr>
          <w:b/>
          <w:szCs w:val="22"/>
          <w:lang w:val="lt-LT"/>
        </w:rPr>
        <w:tab/>
        <w:t xml:space="preserve">Specialūs reikalavimai atliekoms tvarkyti </w:t>
      </w:r>
    </w:p>
    <w:p w14:paraId="4AF1269C" w14:textId="77777777" w:rsidR="00290E64" w:rsidRDefault="00290E64" w:rsidP="00290E64">
      <w:pPr>
        <w:spacing w:line="240" w:lineRule="auto"/>
        <w:rPr>
          <w:szCs w:val="22"/>
          <w:lang w:val="lt-LT"/>
        </w:rPr>
      </w:pPr>
    </w:p>
    <w:p w14:paraId="20630A3D" w14:textId="77777777" w:rsidR="00290E64" w:rsidRDefault="00290E64" w:rsidP="00290E64">
      <w:pPr>
        <w:spacing w:line="240" w:lineRule="auto"/>
        <w:rPr>
          <w:szCs w:val="22"/>
          <w:lang w:val="lt-LT"/>
        </w:rPr>
      </w:pPr>
      <w:r>
        <w:rPr>
          <w:szCs w:val="22"/>
          <w:lang w:val="lt-LT"/>
        </w:rPr>
        <w:t>Nesuvartotą vaistinį preparatą ar atliekas reikia tvarkyti laikantis vietinių reikalavimų.</w:t>
      </w:r>
    </w:p>
    <w:p w14:paraId="128C784A" w14:textId="77777777" w:rsidR="00290E64" w:rsidRDefault="00290E64" w:rsidP="00290E64">
      <w:pPr>
        <w:spacing w:line="240" w:lineRule="auto"/>
        <w:rPr>
          <w:b/>
          <w:szCs w:val="22"/>
          <w:lang w:val="lt-LT"/>
        </w:rPr>
      </w:pPr>
    </w:p>
    <w:p w14:paraId="31EF7637" w14:textId="77777777" w:rsidR="00290E64" w:rsidRDefault="00290E64" w:rsidP="00290E64">
      <w:pPr>
        <w:spacing w:line="240" w:lineRule="auto"/>
        <w:rPr>
          <w:b/>
          <w:szCs w:val="22"/>
          <w:lang w:val="lt-LT"/>
        </w:rPr>
      </w:pPr>
    </w:p>
    <w:p w14:paraId="4A96F2D2" w14:textId="77777777" w:rsidR="00290E64" w:rsidRDefault="00290E64" w:rsidP="00290E64">
      <w:pPr>
        <w:spacing w:line="240" w:lineRule="auto"/>
        <w:outlineLvl w:val="0"/>
        <w:rPr>
          <w:b/>
          <w:szCs w:val="22"/>
          <w:lang w:val="lt-LT"/>
        </w:rPr>
      </w:pPr>
      <w:r>
        <w:rPr>
          <w:b/>
          <w:szCs w:val="22"/>
          <w:lang w:val="lt-LT"/>
        </w:rPr>
        <w:t>7.</w:t>
      </w:r>
      <w:r>
        <w:rPr>
          <w:b/>
          <w:szCs w:val="22"/>
          <w:lang w:val="lt-LT"/>
        </w:rPr>
        <w:tab/>
        <w:t>REGISTRUOTOJAS</w:t>
      </w:r>
    </w:p>
    <w:p w14:paraId="1BEE5023" w14:textId="77777777" w:rsidR="00290E64" w:rsidRDefault="00290E64" w:rsidP="00290E64">
      <w:pPr>
        <w:spacing w:line="240" w:lineRule="auto"/>
        <w:rPr>
          <w:szCs w:val="22"/>
          <w:lang w:val="lt-LT"/>
        </w:rPr>
      </w:pPr>
    </w:p>
    <w:p w14:paraId="4492239B" w14:textId="77777777" w:rsidR="00AD0D2E" w:rsidRPr="00AD0D2E" w:rsidRDefault="00AD0D2E" w:rsidP="00AD0D2E">
      <w:pPr>
        <w:spacing w:line="240" w:lineRule="auto"/>
        <w:rPr>
          <w:szCs w:val="22"/>
          <w:lang w:val="lt-LT"/>
        </w:rPr>
      </w:pPr>
      <w:r w:rsidRPr="00AD0D2E">
        <w:rPr>
          <w:szCs w:val="22"/>
          <w:lang w:val="lt-LT"/>
        </w:rPr>
        <w:t>Bausch Health Ireland Limited</w:t>
      </w:r>
    </w:p>
    <w:p w14:paraId="356CC4B4" w14:textId="77777777" w:rsidR="00AD0D2E" w:rsidRPr="00AD0D2E" w:rsidRDefault="00AD0D2E" w:rsidP="00AD0D2E">
      <w:pPr>
        <w:spacing w:line="240" w:lineRule="auto"/>
        <w:rPr>
          <w:szCs w:val="22"/>
          <w:lang w:val="lt-LT"/>
        </w:rPr>
      </w:pPr>
      <w:r w:rsidRPr="00AD0D2E">
        <w:rPr>
          <w:szCs w:val="22"/>
          <w:lang w:val="lt-LT"/>
        </w:rPr>
        <w:t>3013 Lake Drive</w:t>
      </w:r>
    </w:p>
    <w:p w14:paraId="28C30D9A" w14:textId="77777777" w:rsidR="00AD0D2E" w:rsidRPr="00AD0D2E" w:rsidRDefault="00AD0D2E" w:rsidP="00AD0D2E">
      <w:pPr>
        <w:spacing w:line="240" w:lineRule="auto"/>
        <w:rPr>
          <w:szCs w:val="22"/>
          <w:lang w:val="lt-LT"/>
        </w:rPr>
      </w:pPr>
      <w:r w:rsidRPr="00AD0D2E">
        <w:rPr>
          <w:szCs w:val="22"/>
          <w:lang w:val="lt-LT"/>
        </w:rPr>
        <w:t>Citywest Business Campus</w:t>
      </w:r>
    </w:p>
    <w:p w14:paraId="5DED891C" w14:textId="77777777" w:rsidR="00AD0D2E" w:rsidRPr="00AD0D2E" w:rsidRDefault="00AD0D2E" w:rsidP="00AD0D2E">
      <w:pPr>
        <w:spacing w:line="240" w:lineRule="auto"/>
        <w:rPr>
          <w:szCs w:val="22"/>
          <w:lang w:val="lt-LT"/>
        </w:rPr>
      </w:pPr>
      <w:r w:rsidRPr="00AD0D2E">
        <w:rPr>
          <w:szCs w:val="22"/>
          <w:lang w:val="lt-LT"/>
        </w:rPr>
        <w:t>Dublin 24, D24PPT3</w:t>
      </w:r>
    </w:p>
    <w:p w14:paraId="5E654C29" w14:textId="475FA4A8" w:rsidR="00290E64" w:rsidRDefault="00AD0D2E" w:rsidP="00290E64">
      <w:pPr>
        <w:spacing w:line="240" w:lineRule="auto"/>
        <w:rPr>
          <w:szCs w:val="22"/>
          <w:lang w:val="lt-LT"/>
        </w:rPr>
      </w:pPr>
      <w:r w:rsidRPr="00C225D8">
        <w:rPr>
          <w:szCs w:val="22"/>
          <w:lang w:val="lt-LT"/>
        </w:rPr>
        <w:t>Airija</w:t>
      </w:r>
    </w:p>
    <w:p w14:paraId="6F27A393" w14:textId="77777777" w:rsidR="00290E64" w:rsidRDefault="00290E64" w:rsidP="00290E64">
      <w:pPr>
        <w:spacing w:line="240" w:lineRule="auto"/>
        <w:rPr>
          <w:szCs w:val="22"/>
          <w:lang w:val="lt-LT"/>
        </w:rPr>
      </w:pPr>
    </w:p>
    <w:p w14:paraId="5EBB20B5" w14:textId="77777777" w:rsidR="00290E64" w:rsidRDefault="00290E64" w:rsidP="00290E64">
      <w:pPr>
        <w:spacing w:line="240" w:lineRule="auto"/>
        <w:outlineLvl w:val="0"/>
        <w:rPr>
          <w:b/>
          <w:szCs w:val="22"/>
          <w:lang w:val="lt-LT"/>
        </w:rPr>
      </w:pPr>
      <w:r>
        <w:rPr>
          <w:b/>
          <w:szCs w:val="22"/>
          <w:lang w:val="lt-LT"/>
        </w:rPr>
        <w:t>8.</w:t>
      </w:r>
      <w:r>
        <w:rPr>
          <w:b/>
          <w:szCs w:val="22"/>
          <w:lang w:val="lt-LT"/>
        </w:rPr>
        <w:tab/>
        <w:t>REGISTRACIJOS PAŽYMĖJIMO NUMERIS (-IAI)</w:t>
      </w:r>
    </w:p>
    <w:p w14:paraId="4BE2A595" w14:textId="77777777" w:rsidR="00290E64" w:rsidRDefault="00290E64" w:rsidP="00290E64">
      <w:pPr>
        <w:spacing w:line="240" w:lineRule="auto"/>
        <w:rPr>
          <w:bCs/>
          <w:szCs w:val="22"/>
          <w:lang w:val="lt-LT"/>
        </w:rPr>
      </w:pPr>
    </w:p>
    <w:p w14:paraId="50F71933" w14:textId="77777777" w:rsidR="00290E64" w:rsidRDefault="00290E64" w:rsidP="00290E64">
      <w:pPr>
        <w:tabs>
          <w:tab w:val="clear" w:pos="567"/>
          <w:tab w:val="left" w:pos="1296"/>
        </w:tabs>
        <w:spacing w:line="240" w:lineRule="auto"/>
        <w:outlineLvl w:val="0"/>
        <w:rPr>
          <w:bCs/>
          <w:szCs w:val="22"/>
          <w:lang w:val="lt-LT"/>
        </w:rPr>
      </w:pPr>
      <w:r>
        <w:rPr>
          <w:bCs/>
          <w:szCs w:val="22"/>
          <w:lang w:val="lt-LT"/>
        </w:rPr>
        <w:t>LT/1/97/1240/003</w:t>
      </w:r>
    </w:p>
    <w:p w14:paraId="328E8BBA" w14:textId="77777777" w:rsidR="00290E64" w:rsidRDefault="00290E64" w:rsidP="00290E64">
      <w:pPr>
        <w:spacing w:line="240" w:lineRule="auto"/>
        <w:rPr>
          <w:bCs/>
          <w:szCs w:val="22"/>
          <w:u w:val="single"/>
          <w:lang w:val="lt-LT"/>
        </w:rPr>
      </w:pPr>
    </w:p>
    <w:p w14:paraId="21931C04" w14:textId="77777777" w:rsidR="00290E64" w:rsidRDefault="00290E64" w:rsidP="00290E64">
      <w:pPr>
        <w:spacing w:line="240" w:lineRule="auto"/>
        <w:rPr>
          <w:bCs/>
          <w:szCs w:val="22"/>
          <w:u w:val="single"/>
          <w:lang w:val="lt-LT"/>
        </w:rPr>
      </w:pPr>
    </w:p>
    <w:p w14:paraId="23A676D5" w14:textId="77777777" w:rsidR="00290E64" w:rsidRDefault="00290E64" w:rsidP="00290E64">
      <w:pPr>
        <w:spacing w:line="240" w:lineRule="auto"/>
        <w:outlineLvl w:val="0"/>
        <w:rPr>
          <w:b/>
          <w:szCs w:val="22"/>
          <w:lang w:val="lt-LT"/>
        </w:rPr>
      </w:pPr>
      <w:r>
        <w:rPr>
          <w:b/>
          <w:szCs w:val="22"/>
          <w:lang w:val="lt-LT"/>
        </w:rPr>
        <w:t>9.</w:t>
      </w:r>
      <w:r>
        <w:rPr>
          <w:b/>
          <w:szCs w:val="22"/>
          <w:lang w:val="lt-LT"/>
        </w:rPr>
        <w:tab/>
        <w:t>REGISTRAVIMO / PERREGISTRAVIMO DATA</w:t>
      </w:r>
    </w:p>
    <w:p w14:paraId="442997C1" w14:textId="77777777" w:rsidR="00290E64" w:rsidRDefault="00290E64" w:rsidP="00290E64">
      <w:pPr>
        <w:spacing w:line="240" w:lineRule="auto"/>
        <w:rPr>
          <w:bCs/>
          <w:szCs w:val="22"/>
          <w:lang w:val="lt-LT"/>
        </w:rPr>
      </w:pPr>
    </w:p>
    <w:p w14:paraId="0AAFA0CE" w14:textId="77777777" w:rsidR="00290E64" w:rsidRDefault="00290E64" w:rsidP="00290E64">
      <w:pPr>
        <w:rPr>
          <w:bCs/>
          <w:szCs w:val="22"/>
          <w:lang w:val="lt-LT"/>
        </w:rPr>
      </w:pPr>
      <w:r>
        <w:rPr>
          <w:noProof/>
          <w:szCs w:val="22"/>
          <w:lang w:val="lt-LT"/>
        </w:rPr>
        <w:t>Registravimo data 1997 m. kovo  12 d.</w:t>
      </w:r>
    </w:p>
    <w:p w14:paraId="0EB8C293" w14:textId="77777777" w:rsidR="00290E64" w:rsidRDefault="00290E64" w:rsidP="00290E64">
      <w:pPr>
        <w:spacing w:line="240" w:lineRule="auto"/>
        <w:rPr>
          <w:noProof/>
          <w:szCs w:val="22"/>
          <w:lang w:val="lt-LT"/>
        </w:rPr>
      </w:pPr>
      <w:r>
        <w:rPr>
          <w:noProof/>
          <w:szCs w:val="22"/>
          <w:lang w:val="lt-LT"/>
        </w:rPr>
        <w:t>Paskutinio perregistravimo data 2008 m. liepos  31 d.</w:t>
      </w:r>
    </w:p>
    <w:p w14:paraId="610D3CAB" w14:textId="77777777" w:rsidR="00290E64" w:rsidRDefault="00290E64" w:rsidP="00290E64">
      <w:pPr>
        <w:spacing w:line="240" w:lineRule="auto"/>
        <w:rPr>
          <w:bCs/>
          <w:szCs w:val="22"/>
          <w:lang w:val="lt-LT"/>
        </w:rPr>
      </w:pPr>
    </w:p>
    <w:p w14:paraId="53DD5FF6" w14:textId="77777777" w:rsidR="00290E64" w:rsidRDefault="00290E64" w:rsidP="00290E64">
      <w:pPr>
        <w:spacing w:line="240" w:lineRule="auto"/>
        <w:rPr>
          <w:b/>
          <w:szCs w:val="22"/>
          <w:lang w:val="lt-LT"/>
        </w:rPr>
      </w:pPr>
    </w:p>
    <w:p w14:paraId="6EB73329" w14:textId="77777777" w:rsidR="00290E64" w:rsidRDefault="00290E64" w:rsidP="00290E64">
      <w:pPr>
        <w:spacing w:line="240" w:lineRule="auto"/>
        <w:outlineLvl w:val="0"/>
        <w:rPr>
          <w:b/>
          <w:szCs w:val="22"/>
          <w:lang w:val="lt-LT"/>
        </w:rPr>
      </w:pPr>
      <w:r>
        <w:rPr>
          <w:b/>
          <w:szCs w:val="22"/>
          <w:lang w:val="lt-LT"/>
        </w:rPr>
        <w:t>10.</w:t>
      </w:r>
      <w:r>
        <w:rPr>
          <w:b/>
          <w:szCs w:val="22"/>
          <w:lang w:val="lt-LT"/>
        </w:rPr>
        <w:tab/>
        <w:t>TEKSTO PERŽIŪROS DATA</w:t>
      </w:r>
    </w:p>
    <w:p w14:paraId="0532A116" w14:textId="77777777" w:rsidR="00290E64" w:rsidRDefault="00290E64" w:rsidP="00290E64">
      <w:pPr>
        <w:spacing w:line="240" w:lineRule="auto"/>
        <w:rPr>
          <w:noProof/>
          <w:szCs w:val="22"/>
          <w:lang w:val="lt-LT"/>
        </w:rPr>
      </w:pPr>
    </w:p>
    <w:p w14:paraId="025A7FC5" w14:textId="33138E38" w:rsidR="00290E64" w:rsidRPr="007E1EEC" w:rsidRDefault="007E1EEC" w:rsidP="00290E64">
      <w:pPr>
        <w:spacing w:line="240" w:lineRule="auto"/>
        <w:rPr>
          <w:lang w:val="lt-LT"/>
        </w:rPr>
      </w:pPr>
      <w:r>
        <w:rPr>
          <w:szCs w:val="22"/>
          <w:lang w:val="en-US"/>
        </w:rPr>
        <w:t>2021 m. kovo 12 d.</w:t>
      </w:r>
    </w:p>
    <w:p w14:paraId="64E45393" w14:textId="77777777" w:rsidR="00290E64" w:rsidRDefault="00290E64" w:rsidP="00290E64">
      <w:pPr>
        <w:spacing w:line="240" w:lineRule="auto"/>
        <w:rPr>
          <w:szCs w:val="22"/>
          <w:lang w:val="lt-LT"/>
        </w:rPr>
      </w:pPr>
    </w:p>
    <w:p w14:paraId="26671249" w14:textId="77777777" w:rsidR="00290E64" w:rsidRDefault="00290E64" w:rsidP="00290E64">
      <w:pPr>
        <w:pStyle w:val="BTEMEASMCA"/>
        <w:rPr>
          <w:color w:val="0000FF"/>
        </w:rPr>
      </w:pPr>
      <w:r>
        <w:rPr>
          <w:noProof/>
        </w:rPr>
        <w:t>Išsami informacija apie šį vaistinį preparatą</w:t>
      </w:r>
      <w:r>
        <w:t xml:space="preserve"> pateikiama Valstybinės vaistų kontrolės tarnybos prie Lietuvos Respublikos sveikatos apsaugos ministerijos </w:t>
      </w:r>
      <w:r>
        <w:rPr>
          <w:noProof/>
        </w:rPr>
        <w:t>tinklalapyje</w:t>
      </w:r>
      <w:r>
        <w:rPr>
          <w:i/>
          <w:noProof/>
        </w:rPr>
        <w:t xml:space="preserve"> </w:t>
      </w:r>
      <w:hyperlink r:id="rId7" w:history="1">
        <w:r>
          <w:rPr>
            <w:rStyle w:val="Hipersaitas"/>
          </w:rPr>
          <w:t>http://www.vvkt.lt/</w:t>
        </w:r>
      </w:hyperlink>
    </w:p>
    <w:p w14:paraId="5B3549DE" w14:textId="77777777" w:rsidR="00290E64" w:rsidRDefault="00290E64" w:rsidP="00290E64">
      <w:pPr>
        <w:spacing w:line="240" w:lineRule="auto"/>
        <w:rPr>
          <w:color w:val="0000FF"/>
          <w:szCs w:val="22"/>
          <w:lang w:val="lt-LT"/>
        </w:rPr>
      </w:pPr>
    </w:p>
    <w:p w14:paraId="265FB134" w14:textId="77777777" w:rsidR="00290E64" w:rsidRDefault="00290E64" w:rsidP="00290E64">
      <w:pPr>
        <w:spacing w:line="240" w:lineRule="auto"/>
        <w:rPr>
          <w:b/>
          <w:szCs w:val="22"/>
          <w:lang w:val="lt-LT"/>
        </w:rPr>
      </w:pPr>
    </w:p>
    <w:p w14:paraId="401DCC6A" w14:textId="77777777" w:rsidR="00290E64" w:rsidRDefault="00290E64" w:rsidP="00290E64">
      <w:pPr>
        <w:pStyle w:val="BTEMEASMCA"/>
      </w:pPr>
      <w:r>
        <w:br w:type="page"/>
      </w:r>
    </w:p>
    <w:p w14:paraId="5237E502" w14:textId="77777777" w:rsidR="00290E64" w:rsidRDefault="00290E64" w:rsidP="00290E64">
      <w:pPr>
        <w:pStyle w:val="BTEMEASMCA"/>
      </w:pPr>
    </w:p>
    <w:p w14:paraId="45596A26" w14:textId="77777777" w:rsidR="00290E64" w:rsidRDefault="00290E64" w:rsidP="00290E64">
      <w:pPr>
        <w:pStyle w:val="BTEMEASMCA"/>
      </w:pPr>
    </w:p>
    <w:p w14:paraId="124A0747" w14:textId="77777777" w:rsidR="00290E64" w:rsidRDefault="00290E64" w:rsidP="00290E64">
      <w:pPr>
        <w:pStyle w:val="BTEMEASMCA"/>
      </w:pPr>
    </w:p>
    <w:p w14:paraId="3D05EF9B" w14:textId="77777777" w:rsidR="00290E64" w:rsidRDefault="00290E64" w:rsidP="00290E64">
      <w:pPr>
        <w:pStyle w:val="BTEMEASMCA"/>
      </w:pPr>
    </w:p>
    <w:p w14:paraId="27C5EBB8" w14:textId="77777777" w:rsidR="00290E64" w:rsidRDefault="00290E64" w:rsidP="00290E64">
      <w:pPr>
        <w:pStyle w:val="BTEMEASMCA"/>
      </w:pPr>
    </w:p>
    <w:p w14:paraId="6EF0C696" w14:textId="77777777" w:rsidR="00290E64" w:rsidRDefault="00290E64" w:rsidP="00290E64">
      <w:pPr>
        <w:pStyle w:val="BTEMEASMCA"/>
      </w:pPr>
    </w:p>
    <w:p w14:paraId="25FF530B" w14:textId="77777777" w:rsidR="00290E64" w:rsidRDefault="00290E64" w:rsidP="00290E64">
      <w:pPr>
        <w:pStyle w:val="BTEMEASMCA"/>
      </w:pPr>
    </w:p>
    <w:p w14:paraId="4F218BDC" w14:textId="77777777" w:rsidR="00290E64" w:rsidRDefault="00290E64" w:rsidP="00290E64">
      <w:pPr>
        <w:pStyle w:val="BTEMEASMCA"/>
      </w:pPr>
    </w:p>
    <w:p w14:paraId="54FF5FF8" w14:textId="77777777" w:rsidR="00290E64" w:rsidRDefault="00290E64" w:rsidP="00290E64">
      <w:pPr>
        <w:pStyle w:val="BTEMEASMCA"/>
      </w:pPr>
    </w:p>
    <w:p w14:paraId="6411A042" w14:textId="77777777" w:rsidR="00290E64" w:rsidRDefault="00290E64" w:rsidP="00290E64">
      <w:pPr>
        <w:pStyle w:val="BTEMEASMCA"/>
      </w:pPr>
    </w:p>
    <w:p w14:paraId="133DE4C9" w14:textId="77777777" w:rsidR="00290E64" w:rsidRDefault="00290E64" w:rsidP="00290E64">
      <w:pPr>
        <w:pStyle w:val="BTEMEASMCA"/>
      </w:pPr>
    </w:p>
    <w:p w14:paraId="487EC092" w14:textId="77777777" w:rsidR="00290E64" w:rsidRDefault="00290E64" w:rsidP="00290E64">
      <w:pPr>
        <w:pStyle w:val="BTEMEASMCA"/>
      </w:pPr>
    </w:p>
    <w:p w14:paraId="41AE7ACE" w14:textId="77777777" w:rsidR="00290E64" w:rsidRDefault="00290E64" w:rsidP="00290E64">
      <w:pPr>
        <w:pStyle w:val="BTEMEASMCA"/>
      </w:pPr>
    </w:p>
    <w:p w14:paraId="5DA9FB8A" w14:textId="77777777" w:rsidR="00290E64" w:rsidRDefault="00290E64" w:rsidP="00290E64">
      <w:pPr>
        <w:pStyle w:val="BTEMEASMCA"/>
      </w:pPr>
    </w:p>
    <w:p w14:paraId="5D23BAA4" w14:textId="77777777" w:rsidR="00290E64" w:rsidRDefault="00290E64" w:rsidP="00290E64">
      <w:pPr>
        <w:pStyle w:val="BTEMEASMCA"/>
      </w:pPr>
    </w:p>
    <w:p w14:paraId="3EBC19CB" w14:textId="77777777" w:rsidR="00290E64" w:rsidRDefault="00290E64" w:rsidP="00290E64">
      <w:pPr>
        <w:pStyle w:val="BTEMEASMCA"/>
      </w:pPr>
    </w:p>
    <w:p w14:paraId="51365005" w14:textId="77777777" w:rsidR="00290E64" w:rsidRDefault="00290E64" w:rsidP="00290E64">
      <w:pPr>
        <w:pStyle w:val="BTEMEASMCA"/>
      </w:pPr>
    </w:p>
    <w:p w14:paraId="2BA8B067" w14:textId="77777777" w:rsidR="00290E64" w:rsidRDefault="00290E64" w:rsidP="00290E64">
      <w:pPr>
        <w:pStyle w:val="BTEMEASMCA"/>
      </w:pPr>
    </w:p>
    <w:p w14:paraId="01841811" w14:textId="77777777" w:rsidR="00290E64" w:rsidRDefault="00290E64" w:rsidP="00290E64">
      <w:pPr>
        <w:pStyle w:val="BTEMEASMCA"/>
      </w:pPr>
    </w:p>
    <w:p w14:paraId="439C03F1" w14:textId="77777777" w:rsidR="00290E64" w:rsidRDefault="00290E64" w:rsidP="00290E64">
      <w:pPr>
        <w:pStyle w:val="BTEMEASMCA"/>
      </w:pPr>
    </w:p>
    <w:p w14:paraId="534FFE21" w14:textId="77777777" w:rsidR="00290E64" w:rsidRDefault="00290E64" w:rsidP="00290E64">
      <w:pPr>
        <w:pStyle w:val="BTEMEASMCA"/>
      </w:pPr>
    </w:p>
    <w:p w14:paraId="3ED52B87" w14:textId="77777777" w:rsidR="00290E64" w:rsidRDefault="00290E64" w:rsidP="00290E64">
      <w:pPr>
        <w:pStyle w:val="BTEMEASMCA"/>
      </w:pPr>
    </w:p>
    <w:p w14:paraId="12F3B755" w14:textId="77777777" w:rsidR="00290E64" w:rsidRDefault="00290E64" w:rsidP="00290E64">
      <w:pPr>
        <w:pStyle w:val="TTEMEASMCA"/>
        <w:rPr>
          <w:lang w:val="lt-LT"/>
        </w:rPr>
      </w:pPr>
      <w:bookmarkStart w:id="3" w:name="_Toc129243128"/>
      <w:bookmarkStart w:id="4" w:name="_Toc129243253"/>
    </w:p>
    <w:p w14:paraId="2ACCF0D3" w14:textId="77777777" w:rsidR="00290E64" w:rsidRDefault="00290E64" w:rsidP="00290E64">
      <w:pPr>
        <w:pStyle w:val="TTEMEASMCA"/>
        <w:rPr>
          <w:lang w:val="lt-LT"/>
        </w:rPr>
      </w:pPr>
      <w:r>
        <w:rPr>
          <w:lang w:val="lt-LT"/>
        </w:rPr>
        <w:t>II PRIEDAS</w:t>
      </w:r>
      <w:bookmarkEnd w:id="3"/>
      <w:bookmarkEnd w:id="4"/>
    </w:p>
    <w:p w14:paraId="133FAA4B" w14:textId="77777777" w:rsidR="00290E64" w:rsidRDefault="00290E64" w:rsidP="00290E64">
      <w:pPr>
        <w:pStyle w:val="TTEMEASMCA"/>
        <w:rPr>
          <w:lang w:val="lt-LT"/>
        </w:rPr>
      </w:pPr>
    </w:p>
    <w:p w14:paraId="0C74B858" w14:textId="77777777" w:rsidR="00290E64" w:rsidRDefault="00290E64" w:rsidP="00290E64">
      <w:pPr>
        <w:pStyle w:val="TTEMEASMCA"/>
        <w:rPr>
          <w:lang w:val="lt-LT"/>
        </w:rPr>
      </w:pPr>
      <w:r>
        <w:rPr>
          <w:lang w:val="lt-LT"/>
        </w:rPr>
        <w:t>REGISTRACIJOS SĄLYGOS</w:t>
      </w:r>
    </w:p>
    <w:p w14:paraId="74D0CB2D" w14:textId="77777777" w:rsidR="00290E64" w:rsidRDefault="00290E64" w:rsidP="00290E64">
      <w:pPr>
        <w:pStyle w:val="BTEMEASMCA"/>
      </w:pPr>
    </w:p>
    <w:p w14:paraId="090F7AEE" w14:textId="77777777" w:rsidR="00290E64" w:rsidRDefault="00290E64" w:rsidP="00290E64">
      <w:pPr>
        <w:pStyle w:val="BTAnIIEMEASMCA"/>
        <w:rPr>
          <w:rFonts w:cs="Times New Roman"/>
          <w:highlight w:val="yellow"/>
          <w:lang w:val="lt-LT"/>
        </w:rPr>
      </w:pPr>
      <w:r>
        <w:rPr>
          <w:rFonts w:cs="Times New Roman"/>
          <w:lang w:val="lt-LT"/>
        </w:rPr>
        <w:t>A.</w:t>
      </w:r>
      <w:r>
        <w:rPr>
          <w:rFonts w:cs="Times New Roman"/>
          <w:lang w:val="lt-LT"/>
        </w:rPr>
        <w:tab/>
        <w:t>GAMINTOJAS (-AI), ATSAKINGAS (-I) UŽ SERIJŲ IŠLEIDIMĄ</w:t>
      </w:r>
    </w:p>
    <w:p w14:paraId="31EBC06C" w14:textId="77777777" w:rsidR="00290E64" w:rsidRDefault="00290E64" w:rsidP="00290E64">
      <w:pPr>
        <w:pStyle w:val="BTEMEASMCA"/>
        <w:rPr>
          <w:highlight w:val="yellow"/>
        </w:rPr>
      </w:pPr>
    </w:p>
    <w:p w14:paraId="3C41BF68" w14:textId="77777777" w:rsidR="00290E64" w:rsidRDefault="00290E64" w:rsidP="00290E64">
      <w:pPr>
        <w:pStyle w:val="BTAnIIEMEASMCA"/>
        <w:rPr>
          <w:rFonts w:cs="Times New Roman"/>
          <w:lang w:val="lt-LT"/>
        </w:rPr>
      </w:pPr>
      <w:r>
        <w:rPr>
          <w:rFonts w:cs="Times New Roman"/>
          <w:lang w:val="lt-LT"/>
        </w:rPr>
        <w:t>B.</w:t>
      </w:r>
      <w:r>
        <w:rPr>
          <w:rFonts w:cs="Times New Roman"/>
          <w:lang w:val="lt-LT"/>
        </w:rPr>
        <w:tab/>
        <w:t>TIEKIMO IR VARTOJIMO SĄLYGOS AR APRIBOJIMAI</w:t>
      </w:r>
    </w:p>
    <w:p w14:paraId="4158E042" w14:textId="77777777" w:rsidR="00290E64" w:rsidRDefault="00290E64" w:rsidP="00290E64">
      <w:pPr>
        <w:pStyle w:val="BTEMEASMCA"/>
        <w:rPr>
          <w:highlight w:val="yellow"/>
        </w:rPr>
      </w:pPr>
    </w:p>
    <w:p w14:paraId="09A017E6" w14:textId="77777777" w:rsidR="00290E64" w:rsidRDefault="00290E64" w:rsidP="00290E64">
      <w:pPr>
        <w:pStyle w:val="BTAnIIEMEASMCA"/>
        <w:rPr>
          <w:rFonts w:cs="Times New Roman"/>
          <w:lang w:val="lt-LT"/>
        </w:rPr>
      </w:pPr>
    </w:p>
    <w:p w14:paraId="5DC196D0" w14:textId="77777777" w:rsidR="00290E64" w:rsidRDefault="00290E64" w:rsidP="00290E64">
      <w:pPr>
        <w:spacing w:line="240" w:lineRule="auto"/>
        <w:ind w:left="1701" w:right="1558" w:hanging="850"/>
        <w:rPr>
          <w:b/>
          <w:szCs w:val="22"/>
          <w:lang w:val="lt-LT"/>
        </w:rPr>
      </w:pPr>
    </w:p>
    <w:p w14:paraId="66C3959B" w14:textId="77777777" w:rsidR="00290E64" w:rsidRDefault="00290E64" w:rsidP="00290E64">
      <w:pPr>
        <w:spacing w:line="240" w:lineRule="auto"/>
        <w:ind w:left="567" w:hanging="567"/>
        <w:rPr>
          <w:szCs w:val="22"/>
          <w:lang w:val="lt-LT"/>
        </w:rPr>
      </w:pPr>
      <w:r>
        <w:rPr>
          <w:szCs w:val="22"/>
          <w:lang w:val="lt-LT"/>
        </w:rPr>
        <w:br w:type="page"/>
      </w:r>
      <w:r>
        <w:rPr>
          <w:b/>
          <w:szCs w:val="22"/>
          <w:lang w:val="lt-LT"/>
        </w:rPr>
        <w:lastRenderedPageBreak/>
        <w:t>A.</w:t>
      </w:r>
      <w:r>
        <w:rPr>
          <w:b/>
          <w:szCs w:val="22"/>
          <w:lang w:val="lt-LT"/>
        </w:rPr>
        <w:tab/>
        <w:t>GAMINTOJAS (-AI), ATSAKINGAS (-I) UŽ SERIJŲ IŠLEIDIMĄ</w:t>
      </w:r>
    </w:p>
    <w:p w14:paraId="784F58A9" w14:textId="77777777" w:rsidR="00290E64" w:rsidRDefault="00290E64" w:rsidP="00290E64">
      <w:pPr>
        <w:spacing w:line="240" w:lineRule="auto"/>
        <w:ind w:left="567" w:hanging="567"/>
        <w:rPr>
          <w:szCs w:val="22"/>
          <w:highlight w:val="yellow"/>
          <w:lang w:val="lt-LT"/>
        </w:rPr>
      </w:pPr>
    </w:p>
    <w:p w14:paraId="1709472E" w14:textId="77777777" w:rsidR="00290E64" w:rsidRDefault="00290E64" w:rsidP="00290E64">
      <w:pPr>
        <w:spacing w:line="240" w:lineRule="auto"/>
        <w:jc w:val="both"/>
        <w:outlineLvl w:val="0"/>
        <w:rPr>
          <w:szCs w:val="22"/>
          <w:lang w:val="lt-LT"/>
        </w:rPr>
      </w:pPr>
      <w:r>
        <w:rPr>
          <w:szCs w:val="22"/>
          <w:u w:val="single"/>
          <w:lang w:val="lt-LT"/>
        </w:rPr>
        <w:t>Gamintojo (-ų), atsakingo (-ų) už serijų išleidimą, pavadinimas (-ai) ir adresas (-ai)</w:t>
      </w:r>
    </w:p>
    <w:p w14:paraId="59FC65E2" w14:textId="77777777" w:rsidR="00290E64" w:rsidRDefault="00290E64" w:rsidP="00290E64">
      <w:pPr>
        <w:spacing w:line="240" w:lineRule="auto"/>
        <w:rPr>
          <w:szCs w:val="22"/>
          <w:highlight w:val="yellow"/>
          <w:lang w:val="lt-LT"/>
        </w:rPr>
      </w:pPr>
    </w:p>
    <w:p w14:paraId="42DD7574" w14:textId="77777777" w:rsidR="00290E64" w:rsidRDefault="00290E64" w:rsidP="00290E64">
      <w:pPr>
        <w:rPr>
          <w:lang w:val="lt-LT"/>
        </w:rPr>
      </w:pPr>
      <w:r>
        <w:rPr>
          <w:lang w:val="lt-LT"/>
        </w:rPr>
        <w:t>PenCef Pharma GmbH</w:t>
      </w:r>
    </w:p>
    <w:p w14:paraId="44EFC1A0" w14:textId="77777777" w:rsidR="00290E64" w:rsidRDefault="00290E64" w:rsidP="00290E64">
      <w:pPr>
        <w:rPr>
          <w:lang w:val="lt-LT"/>
        </w:rPr>
      </w:pPr>
      <w:r>
        <w:rPr>
          <w:lang w:val="lt-LT"/>
        </w:rPr>
        <w:t>Schützenanger 9</w:t>
      </w:r>
    </w:p>
    <w:p w14:paraId="3CE3F2D6" w14:textId="77777777" w:rsidR="00290E64" w:rsidRDefault="00290E64" w:rsidP="00290E64">
      <w:pPr>
        <w:rPr>
          <w:lang w:val="lt-LT"/>
        </w:rPr>
      </w:pPr>
      <w:r>
        <w:rPr>
          <w:lang w:val="lt-LT"/>
        </w:rPr>
        <w:t>37081 Göttingen</w:t>
      </w:r>
    </w:p>
    <w:p w14:paraId="0FE7E22C" w14:textId="77777777" w:rsidR="00290E64" w:rsidRDefault="00290E64" w:rsidP="00290E64">
      <w:pPr>
        <w:rPr>
          <w:lang w:val="lt-LT"/>
        </w:rPr>
      </w:pPr>
      <w:r>
        <w:rPr>
          <w:lang w:val="lt-LT"/>
        </w:rPr>
        <w:t>Lower Saxony</w:t>
      </w:r>
    </w:p>
    <w:p w14:paraId="4DDC7113" w14:textId="77777777" w:rsidR="00290E64" w:rsidRDefault="00290E64" w:rsidP="00290E64">
      <w:pPr>
        <w:rPr>
          <w:szCs w:val="22"/>
          <w:lang w:val="lt-LT"/>
        </w:rPr>
      </w:pPr>
      <w:r>
        <w:rPr>
          <w:lang w:val="lt-LT"/>
        </w:rPr>
        <w:t>Vokietija</w:t>
      </w:r>
      <w:r>
        <w:rPr>
          <w:szCs w:val="22"/>
          <w:lang w:val="lt-LT"/>
        </w:rPr>
        <w:t xml:space="preserve"> </w:t>
      </w:r>
    </w:p>
    <w:p w14:paraId="1CEABD7F" w14:textId="77777777" w:rsidR="00290E64" w:rsidRDefault="00290E64" w:rsidP="00290E64">
      <w:pPr>
        <w:spacing w:line="240" w:lineRule="auto"/>
        <w:rPr>
          <w:szCs w:val="22"/>
          <w:highlight w:val="yellow"/>
          <w:lang w:val="lt-LT"/>
        </w:rPr>
      </w:pPr>
    </w:p>
    <w:p w14:paraId="74747192" w14:textId="77777777" w:rsidR="00290E64" w:rsidRDefault="00290E64" w:rsidP="00290E64">
      <w:pPr>
        <w:spacing w:line="240" w:lineRule="auto"/>
        <w:rPr>
          <w:szCs w:val="22"/>
          <w:highlight w:val="yellow"/>
          <w:lang w:val="lt-LT"/>
        </w:rPr>
      </w:pPr>
    </w:p>
    <w:p w14:paraId="3235F656" w14:textId="77777777" w:rsidR="00290E64" w:rsidRDefault="00290E64" w:rsidP="00290E64">
      <w:pPr>
        <w:spacing w:line="240" w:lineRule="auto"/>
        <w:ind w:left="567" w:hanging="567"/>
        <w:rPr>
          <w:b/>
          <w:szCs w:val="22"/>
          <w:lang w:val="lt-LT"/>
        </w:rPr>
      </w:pPr>
      <w:r>
        <w:rPr>
          <w:b/>
          <w:szCs w:val="22"/>
          <w:lang w:val="lt-LT"/>
        </w:rPr>
        <w:t>B.</w:t>
      </w:r>
      <w:r>
        <w:rPr>
          <w:b/>
          <w:szCs w:val="22"/>
          <w:lang w:val="lt-LT"/>
        </w:rPr>
        <w:tab/>
        <w:t>TIEKIMO IR VARTOJIMO SĄLYGOS AR APRIBOJIMAI</w:t>
      </w:r>
    </w:p>
    <w:p w14:paraId="5B38044D" w14:textId="77777777" w:rsidR="00290E64" w:rsidRDefault="00290E64" w:rsidP="00290E64">
      <w:pPr>
        <w:spacing w:line="240" w:lineRule="auto"/>
        <w:rPr>
          <w:szCs w:val="22"/>
          <w:lang w:val="lt-LT"/>
        </w:rPr>
      </w:pPr>
    </w:p>
    <w:p w14:paraId="0F09ED9E" w14:textId="77777777" w:rsidR="00290E64" w:rsidRDefault="00290E64" w:rsidP="00290E64">
      <w:pPr>
        <w:numPr>
          <w:ilvl w:val="12"/>
          <w:numId w:val="0"/>
        </w:numPr>
        <w:spacing w:line="240" w:lineRule="auto"/>
        <w:outlineLvl w:val="0"/>
        <w:rPr>
          <w:szCs w:val="22"/>
          <w:lang w:val="lt-LT"/>
        </w:rPr>
      </w:pPr>
      <w:r>
        <w:rPr>
          <w:szCs w:val="22"/>
          <w:lang w:val="lt-LT"/>
        </w:rPr>
        <w:t>Receptinis vaistinis preparatas.</w:t>
      </w:r>
    </w:p>
    <w:p w14:paraId="0AED929B" w14:textId="77777777" w:rsidR="00290E64" w:rsidRDefault="00290E64" w:rsidP="00290E64">
      <w:pPr>
        <w:numPr>
          <w:ilvl w:val="12"/>
          <w:numId w:val="0"/>
        </w:numPr>
        <w:spacing w:line="240" w:lineRule="auto"/>
        <w:rPr>
          <w:szCs w:val="22"/>
          <w:highlight w:val="yellow"/>
          <w:lang w:val="lt-LT"/>
        </w:rPr>
      </w:pPr>
    </w:p>
    <w:p w14:paraId="571DED5E" w14:textId="77777777" w:rsidR="00290E64" w:rsidRDefault="00290E64" w:rsidP="00290E64">
      <w:pPr>
        <w:spacing w:line="240" w:lineRule="auto"/>
        <w:ind w:right="-1"/>
        <w:rPr>
          <w:szCs w:val="22"/>
          <w:highlight w:val="yellow"/>
          <w:lang w:val="lt-LT"/>
        </w:rPr>
      </w:pPr>
    </w:p>
    <w:p w14:paraId="32281DAB" w14:textId="77777777" w:rsidR="00290E64" w:rsidRDefault="00290E64" w:rsidP="00290E64">
      <w:pPr>
        <w:spacing w:line="240" w:lineRule="auto"/>
        <w:ind w:right="-1"/>
        <w:rPr>
          <w:szCs w:val="22"/>
          <w:highlight w:val="yellow"/>
          <w:lang w:val="lt-LT"/>
        </w:rPr>
      </w:pPr>
    </w:p>
    <w:p w14:paraId="4806FFE3" w14:textId="77777777" w:rsidR="00290E64" w:rsidRDefault="00290E64" w:rsidP="00290E64">
      <w:pPr>
        <w:spacing w:line="240" w:lineRule="auto"/>
        <w:ind w:right="-1"/>
        <w:rPr>
          <w:szCs w:val="22"/>
          <w:highlight w:val="yellow"/>
          <w:lang w:val="lt-LT"/>
        </w:rPr>
      </w:pPr>
    </w:p>
    <w:p w14:paraId="4F938E57" w14:textId="77777777" w:rsidR="00290E64" w:rsidRDefault="00290E64" w:rsidP="00290E64">
      <w:pPr>
        <w:spacing w:line="240" w:lineRule="auto"/>
        <w:ind w:right="-1"/>
        <w:rPr>
          <w:szCs w:val="22"/>
          <w:highlight w:val="yellow"/>
          <w:lang w:val="lt-LT"/>
        </w:rPr>
      </w:pPr>
    </w:p>
    <w:p w14:paraId="6AC88881" w14:textId="77777777" w:rsidR="00290E64" w:rsidRDefault="00290E64" w:rsidP="00290E64">
      <w:pPr>
        <w:spacing w:line="240" w:lineRule="auto"/>
        <w:ind w:right="-1"/>
        <w:rPr>
          <w:szCs w:val="22"/>
          <w:highlight w:val="yellow"/>
          <w:lang w:val="lt-LT"/>
        </w:rPr>
      </w:pPr>
    </w:p>
    <w:p w14:paraId="2A29A218" w14:textId="77777777" w:rsidR="00290E64" w:rsidRDefault="00290E64" w:rsidP="00290E64">
      <w:pPr>
        <w:spacing w:line="240" w:lineRule="auto"/>
        <w:ind w:right="-1"/>
        <w:rPr>
          <w:szCs w:val="22"/>
          <w:lang w:val="lt-LT"/>
        </w:rPr>
      </w:pPr>
    </w:p>
    <w:p w14:paraId="1A3C357C" w14:textId="77777777" w:rsidR="00290E64" w:rsidRDefault="00290E64" w:rsidP="00290E64">
      <w:pPr>
        <w:tabs>
          <w:tab w:val="clear" w:pos="567"/>
          <w:tab w:val="left" w:pos="720"/>
        </w:tabs>
        <w:spacing w:line="240" w:lineRule="auto"/>
        <w:ind w:right="566"/>
        <w:rPr>
          <w:szCs w:val="22"/>
          <w:lang w:val="lt-LT"/>
        </w:rPr>
      </w:pPr>
      <w:r>
        <w:rPr>
          <w:b/>
          <w:szCs w:val="22"/>
          <w:lang w:val="lt-LT"/>
        </w:rPr>
        <w:br w:type="page"/>
      </w:r>
    </w:p>
    <w:p w14:paraId="12DC8375" w14:textId="77777777" w:rsidR="00290E64" w:rsidRDefault="00290E64" w:rsidP="00290E64">
      <w:pPr>
        <w:tabs>
          <w:tab w:val="clear" w:pos="567"/>
          <w:tab w:val="left" w:pos="720"/>
        </w:tabs>
        <w:spacing w:line="240" w:lineRule="auto"/>
        <w:rPr>
          <w:szCs w:val="22"/>
          <w:lang w:val="lt-LT"/>
        </w:rPr>
      </w:pPr>
    </w:p>
    <w:p w14:paraId="30ABD5D4" w14:textId="77777777" w:rsidR="00290E64" w:rsidRDefault="00290E64" w:rsidP="00290E64">
      <w:pPr>
        <w:tabs>
          <w:tab w:val="clear" w:pos="567"/>
          <w:tab w:val="left" w:pos="720"/>
        </w:tabs>
        <w:spacing w:line="240" w:lineRule="auto"/>
        <w:rPr>
          <w:szCs w:val="22"/>
          <w:lang w:val="lt-LT"/>
        </w:rPr>
      </w:pPr>
    </w:p>
    <w:p w14:paraId="4B36F3F1" w14:textId="77777777" w:rsidR="00290E64" w:rsidRDefault="00290E64" w:rsidP="00290E64">
      <w:pPr>
        <w:tabs>
          <w:tab w:val="clear" w:pos="567"/>
          <w:tab w:val="left" w:pos="720"/>
        </w:tabs>
        <w:spacing w:line="240" w:lineRule="auto"/>
        <w:rPr>
          <w:szCs w:val="22"/>
          <w:lang w:val="lt-LT"/>
        </w:rPr>
      </w:pPr>
    </w:p>
    <w:p w14:paraId="16393ACC" w14:textId="77777777" w:rsidR="00290E64" w:rsidRDefault="00290E64" w:rsidP="00290E64">
      <w:pPr>
        <w:tabs>
          <w:tab w:val="clear" w:pos="567"/>
          <w:tab w:val="left" w:pos="720"/>
        </w:tabs>
        <w:spacing w:line="240" w:lineRule="auto"/>
        <w:rPr>
          <w:szCs w:val="22"/>
          <w:lang w:val="lt-LT"/>
        </w:rPr>
      </w:pPr>
    </w:p>
    <w:p w14:paraId="2C915A36" w14:textId="77777777" w:rsidR="00290E64" w:rsidRDefault="00290E64" w:rsidP="00290E64">
      <w:pPr>
        <w:tabs>
          <w:tab w:val="clear" w:pos="567"/>
          <w:tab w:val="left" w:pos="720"/>
        </w:tabs>
        <w:spacing w:line="240" w:lineRule="auto"/>
        <w:rPr>
          <w:szCs w:val="22"/>
          <w:lang w:val="lt-LT"/>
        </w:rPr>
      </w:pPr>
    </w:p>
    <w:p w14:paraId="5F3E82A3" w14:textId="77777777" w:rsidR="00290E64" w:rsidRDefault="00290E64" w:rsidP="00290E64">
      <w:pPr>
        <w:tabs>
          <w:tab w:val="clear" w:pos="567"/>
          <w:tab w:val="left" w:pos="720"/>
        </w:tabs>
        <w:spacing w:line="240" w:lineRule="auto"/>
        <w:rPr>
          <w:szCs w:val="22"/>
          <w:lang w:val="lt-LT"/>
        </w:rPr>
      </w:pPr>
    </w:p>
    <w:p w14:paraId="7C2689D1" w14:textId="77777777" w:rsidR="00290E64" w:rsidRDefault="00290E64" w:rsidP="00290E64">
      <w:pPr>
        <w:tabs>
          <w:tab w:val="clear" w:pos="567"/>
          <w:tab w:val="left" w:pos="720"/>
        </w:tabs>
        <w:spacing w:line="240" w:lineRule="auto"/>
        <w:rPr>
          <w:szCs w:val="22"/>
          <w:lang w:val="lt-LT"/>
        </w:rPr>
      </w:pPr>
    </w:p>
    <w:p w14:paraId="6D8218A0" w14:textId="77777777" w:rsidR="00290E64" w:rsidRDefault="00290E64" w:rsidP="00290E64">
      <w:pPr>
        <w:tabs>
          <w:tab w:val="clear" w:pos="567"/>
          <w:tab w:val="left" w:pos="720"/>
        </w:tabs>
        <w:spacing w:line="240" w:lineRule="auto"/>
        <w:rPr>
          <w:szCs w:val="22"/>
          <w:lang w:val="lt-LT"/>
        </w:rPr>
      </w:pPr>
    </w:p>
    <w:p w14:paraId="32F79C26" w14:textId="77777777" w:rsidR="00290E64" w:rsidRDefault="00290E64" w:rsidP="00290E64">
      <w:pPr>
        <w:tabs>
          <w:tab w:val="clear" w:pos="567"/>
          <w:tab w:val="left" w:pos="720"/>
        </w:tabs>
        <w:spacing w:line="240" w:lineRule="auto"/>
        <w:rPr>
          <w:szCs w:val="22"/>
          <w:lang w:val="lt-LT"/>
        </w:rPr>
      </w:pPr>
    </w:p>
    <w:p w14:paraId="602E388B" w14:textId="77777777" w:rsidR="00290E64" w:rsidRDefault="00290E64" w:rsidP="00290E64">
      <w:pPr>
        <w:tabs>
          <w:tab w:val="clear" w:pos="567"/>
          <w:tab w:val="left" w:pos="720"/>
        </w:tabs>
        <w:spacing w:line="240" w:lineRule="auto"/>
        <w:rPr>
          <w:szCs w:val="22"/>
          <w:lang w:val="lt-LT"/>
        </w:rPr>
      </w:pPr>
    </w:p>
    <w:p w14:paraId="683C050F" w14:textId="77777777" w:rsidR="00290E64" w:rsidRDefault="00290E64" w:rsidP="00290E64">
      <w:pPr>
        <w:tabs>
          <w:tab w:val="clear" w:pos="567"/>
          <w:tab w:val="left" w:pos="720"/>
        </w:tabs>
        <w:spacing w:line="240" w:lineRule="auto"/>
        <w:rPr>
          <w:szCs w:val="22"/>
          <w:lang w:val="lt-LT"/>
        </w:rPr>
      </w:pPr>
    </w:p>
    <w:p w14:paraId="619B051C" w14:textId="77777777" w:rsidR="00290E64" w:rsidRDefault="00290E64" w:rsidP="00290E64">
      <w:pPr>
        <w:tabs>
          <w:tab w:val="clear" w:pos="567"/>
          <w:tab w:val="left" w:pos="720"/>
        </w:tabs>
        <w:spacing w:line="240" w:lineRule="auto"/>
        <w:rPr>
          <w:szCs w:val="22"/>
          <w:lang w:val="lt-LT"/>
        </w:rPr>
      </w:pPr>
    </w:p>
    <w:p w14:paraId="131FFC42" w14:textId="77777777" w:rsidR="00290E64" w:rsidRDefault="00290E64" w:rsidP="00290E64">
      <w:pPr>
        <w:tabs>
          <w:tab w:val="clear" w:pos="567"/>
          <w:tab w:val="left" w:pos="720"/>
        </w:tabs>
        <w:spacing w:line="240" w:lineRule="auto"/>
        <w:rPr>
          <w:szCs w:val="22"/>
          <w:lang w:val="lt-LT"/>
        </w:rPr>
      </w:pPr>
    </w:p>
    <w:p w14:paraId="4D1D37D5" w14:textId="77777777" w:rsidR="00290E64" w:rsidRDefault="00290E64" w:rsidP="00290E64">
      <w:pPr>
        <w:tabs>
          <w:tab w:val="clear" w:pos="567"/>
          <w:tab w:val="left" w:pos="720"/>
        </w:tabs>
        <w:spacing w:line="240" w:lineRule="auto"/>
        <w:rPr>
          <w:szCs w:val="22"/>
          <w:lang w:val="lt-LT"/>
        </w:rPr>
      </w:pPr>
    </w:p>
    <w:p w14:paraId="74F3C7A2" w14:textId="77777777" w:rsidR="00290E64" w:rsidRDefault="00290E64" w:rsidP="00290E64">
      <w:pPr>
        <w:tabs>
          <w:tab w:val="clear" w:pos="567"/>
          <w:tab w:val="left" w:pos="720"/>
        </w:tabs>
        <w:spacing w:line="240" w:lineRule="auto"/>
        <w:rPr>
          <w:szCs w:val="22"/>
          <w:lang w:val="lt-LT"/>
        </w:rPr>
      </w:pPr>
    </w:p>
    <w:p w14:paraId="473E8936" w14:textId="77777777" w:rsidR="00290E64" w:rsidRDefault="00290E64" w:rsidP="00290E64">
      <w:pPr>
        <w:tabs>
          <w:tab w:val="clear" w:pos="567"/>
          <w:tab w:val="left" w:pos="720"/>
        </w:tabs>
        <w:spacing w:line="240" w:lineRule="auto"/>
        <w:rPr>
          <w:szCs w:val="22"/>
          <w:lang w:val="lt-LT"/>
        </w:rPr>
      </w:pPr>
    </w:p>
    <w:p w14:paraId="4522C418" w14:textId="77777777" w:rsidR="00290E64" w:rsidRDefault="00290E64" w:rsidP="00290E64">
      <w:pPr>
        <w:tabs>
          <w:tab w:val="clear" w:pos="567"/>
          <w:tab w:val="left" w:pos="720"/>
        </w:tabs>
        <w:spacing w:line="240" w:lineRule="auto"/>
        <w:rPr>
          <w:szCs w:val="22"/>
          <w:lang w:val="lt-LT"/>
        </w:rPr>
      </w:pPr>
    </w:p>
    <w:p w14:paraId="61C9A0A3" w14:textId="77777777" w:rsidR="00290E64" w:rsidRDefault="00290E64" w:rsidP="00290E64">
      <w:pPr>
        <w:tabs>
          <w:tab w:val="clear" w:pos="567"/>
          <w:tab w:val="left" w:pos="720"/>
        </w:tabs>
        <w:spacing w:line="240" w:lineRule="auto"/>
        <w:rPr>
          <w:szCs w:val="22"/>
          <w:lang w:val="lt-LT"/>
        </w:rPr>
      </w:pPr>
    </w:p>
    <w:p w14:paraId="0F2477D7" w14:textId="77777777" w:rsidR="00290E64" w:rsidRDefault="00290E64" w:rsidP="00290E64">
      <w:pPr>
        <w:tabs>
          <w:tab w:val="clear" w:pos="567"/>
          <w:tab w:val="left" w:pos="720"/>
        </w:tabs>
        <w:spacing w:line="240" w:lineRule="auto"/>
        <w:rPr>
          <w:szCs w:val="22"/>
          <w:lang w:val="lt-LT"/>
        </w:rPr>
      </w:pPr>
    </w:p>
    <w:p w14:paraId="051638CB" w14:textId="77777777" w:rsidR="00290E64" w:rsidRDefault="00290E64" w:rsidP="00290E64">
      <w:pPr>
        <w:tabs>
          <w:tab w:val="clear" w:pos="567"/>
          <w:tab w:val="left" w:pos="720"/>
        </w:tabs>
        <w:spacing w:line="240" w:lineRule="auto"/>
        <w:rPr>
          <w:szCs w:val="22"/>
          <w:lang w:val="lt-LT"/>
        </w:rPr>
      </w:pPr>
    </w:p>
    <w:p w14:paraId="408D7460" w14:textId="77777777" w:rsidR="00290E64" w:rsidRDefault="00290E64" w:rsidP="00290E64">
      <w:pPr>
        <w:tabs>
          <w:tab w:val="clear" w:pos="567"/>
          <w:tab w:val="left" w:pos="720"/>
        </w:tabs>
        <w:spacing w:line="240" w:lineRule="auto"/>
        <w:rPr>
          <w:szCs w:val="22"/>
          <w:lang w:val="lt-LT"/>
        </w:rPr>
      </w:pPr>
    </w:p>
    <w:p w14:paraId="0DB65C4C" w14:textId="77777777" w:rsidR="00290E64" w:rsidRDefault="00290E64" w:rsidP="00290E64">
      <w:pPr>
        <w:tabs>
          <w:tab w:val="clear" w:pos="567"/>
          <w:tab w:val="left" w:pos="720"/>
        </w:tabs>
        <w:spacing w:line="240" w:lineRule="auto"/>
        <w:rPr>
          <w:szCs w:val="22"/>
          <w:lang w:val="lt-LT"/>
        </w:rPr>
      </w:pPr>
    </w:p>
    <w:p w14:paraId="27FF85C9" w14:textId="77777777" w:rsidR="00290E64" w:rsidRDefault="00290E64" w:rsidP="00290E64">
      <w:pPr>
        <w:tabs>
          <w:tab w:val="clear" w:pos="567"/>
          <w:tab w:val="left" w:pos="720"/>
        </w:tabs>
        <w:spacing w:line="240" w:lineRule="auto"/>
        <w:jc w:val="center"/>
        <w:outlineLvl w:val="0"/>
        <w:rPr>
          <w:b/>
          <w:szCs w:val="22"/>
          <w:lang w:val="lt-LT"/>
        </w:rPr>
      </w:pPr>
    </w:p>
    <w:p w14:paraId="10BC3003" w14:textId="77777777" w:rsidR="00290E64" w:rsidRDefault="00290E64" w:rsidP="00290E64">
      <w:pPr>
        <w:tabs>
          <w:tab w:val="clear" w:pos="567"/>
          <w:tab w:val="left" w:pos="720"/>
        </w:tabs>
        <w:spacing w:line="240" w:lineRule="auto"/>
        <w:jc w:val="center"/>
        <w:outlineLvl w:val="0"/>
        <w:rPr>
          <w:b/>
          <w:szCs w:val="22"/>
          <w:lang w:val="lt-LT"/>
        </w:rPr>
      </w:pPr>
      <w:r>
        <w:rPr>
          <w:b/>
          <w:szCs w:val="22"/>
          <w:lang w:val="lt-LT"/>
        </w:rPr>
        <w:t>III PRIEDAS</w:t>
      </w:r>
    </w:p>
    <w:p w14:paraId="1E8A9B37" w14:textId="77777777" w:rsidR="00290E64" w:rsidRDefault="00290E64" w:rsidP="00290E64">
      <w:pPr>
        <w:tabs>
          <w:tab w:val="clear" w:pos="567"/>
          <w:tab w:val="left" w:pos="720"/>
        </w:tabs>
        <w:spacing w:line="240" w:lineRule="auto"/>
        <w:jc w:val="center"/>
        <w:rPr>
          <w:b/>
          <w:szCs w:val="22"/>
          <w:lang w:val="lt-LT"/>
        </w:rPr>
      </w:pPr>
    </w:p>
    <w:p w14:paraId="46714254" w14:textId="77777777" w:rsidR="00290E64" w:rsidRDefault="00290E64" w:rsidP="00290E64">
      <w:pPr>
        <w:tabs>
          <w:tab w:val="clear" w:pos="567"/>
          <w:tab w:val="left" w:pos="720"/>
        </w:tabs>
        <w:spacing w:line="240" w:lineRule="auto"/>
        <w:jc w:val="center"/>
        <w:outlineLvl w:val="0"/>
        <w:rPr>
          <w:b/>
          <w:szCs w:val="22"/>
          <w:lang w:val="lt-LT"/>
        </w:rPr>
      </w:pPr>
      <w:r>
        <w:rPr>
          <w:b/>
          <w:szCs w:val="22"/>
          <w:lang w:val="lt-LT"/>
        </w:rPr>
        <w:t>ŽENKLINIMAS IR PAKUOTĖS LAPELIS</w:t>
      </w:r>
    </w:p>
    <w:p w14:paraId="020A76F2" w14:textId="77777777" w:rsidR="00290E64" w:rsidRDefault="00290E64" w:rsidP="00290E64">
      <w:pPr>
        <w:tabs>
          <w:tab w:val="clear" w:pos="567"/>
          <w:tab w:val="left" w:pos="720"/>
        </w:tabs>
        <w:spacing w:line="240" w:lineRule="auto"/>
        <w:rPr>
          <w:szCs w:val="22"/>
          <w:lang w:val="lt-LT"/>
        </w:rPr>
      </w:pPr>
      <w:r>
        <w:rPr>
          <w:szCs w:val="22"/>
          <w:lang w:val="lt-LT"/>
        </w:rPr>
        <w:br w:type="page"/>
      </w:r>
    </w:p>
    <w:p w14:paraId="6681E100" w14:textId="77777777" w:rsidR="00290E64" w:rsidRDefault="00290E64" w:rsidP="00290E64">
      <w:pPr>
        <w:tabs>
          <w:tab w:val="clear" w:pos="567"/>
          <w:tab w:val="left" w:pos="720"/>
        </w:tabs>
        <w:spacing w:line="240" w:lineRule="auto"/>
        <w:rPr>
          <w:szCs w:val="22"/>
          <w:lang w:val="lt-LT"/>
        </w:rPr>
      </w:pPr>
    </w:p>
    <w:p w14:paraId="1FA1BAF6" w14:textId="77777777" w:rsidR="00290E64" w:rsidRDefault="00290E64" w:rsidP="00290E64">
      <w:pPr>
        <w:tabs>
          <w:tab w:val="clear" w:pos="567"/>
          <w:tab w:val="left" w:pos="720"/>
        </w:tabs>
        <w:spacing w:line="240" w:lineRule="auto"/>
        <w:rPr>
          <w:szCs w:val="22"/>
          <w:lang w:val="lt-LT"/>
        </w:rPr>
      </w:pPr>
    </w:p>
    <w:p w14:paraId="1A8E2073" w14:textId="77777777" w:rsidR="00290E64" w:rsidRDefault="00290E64" w:rsidP="00290E64">
      <w:pPr>
        <w:tabs>
          <w:tab w:val="clear" w:pos="567"/>
          <w:tab w:val="left" w:pos="720"/>
        </w:tabs>
        <w:spacing w:line="240" w:lineRule="auto"/>
        <w:rPr>
          <w:szCs w:val="22"/>
          <w:lang w:val="lt-LT"/>
        </w:rPr>
      </w:pPr>
    </w:p>
    <w:p w14:paraId="597F8E47" w14:textId="77777777" w:rsidR="00290E64" w:rsidRDefault="00290E64" w:rsidP="00290E64">
      <w:pPr>
        <w:tabs>
          <w:tab w:val="clear" w:pos="567"/>
          <w:tab w:val="left" w:pos="720"/>
        </w:tabs>
        <w:spacing w:line="240" w:lineRule="auto"/>
        <w:rPr>
          <w:szCs w:val="22"/>
          <w:lang w:val="lt-LT"/>
        </w:rPr>
      </w:pPr>
    </w:p>
    <w:p w14:paraId="0D8223F8" w14:textId="77777777" w:rsidR="00290E64" w:rsidRDefault="00290E64" w:rsidP="00290E64">
      <w:pPr>
        <w:tabs>
          <w:tab w:val="clear" w:pos="567"/>
          <w:tab w:val="left" w:pos="720"/>
        </w:tabs>
        <w:spacing w:line="240" w:lineRule="auto"/>
        <w:rPr>
          <w:szCs w:val="22"/>
          <w:lang w:val="lt-LT"/>
        </w:rPr>
      </w:pPr>
    </w:p>
    <w:p w14:paraId="54AAA354" w14:textId="77777777" w:rsidR="00290E64" w:rsidRDefault="00290E64" w:rsidP="00290E64">
      <w:pPr>
        <w:tabs>
          <w:tab w:val="clear" w:pos="567"/>
          <w:tab w:val="left" w:pos="720"/>
        </w:tabs>
        <w:spacing w:line="240" w:lineRule="auto"/>
        <w:rPr>
          <w:szCs w:val="22"/>
          <w:lang w:val="lt-LT"/>
        </w:rPr>
      </w:pPr>
    </w:p>
    <w:p w14:paraId="3148BD3C" w14:textId="77777777" w:rsidR="00290E64" w:rsidRDefault="00290E64" w:rsidP="00290E64">
      <w:pPr>
        <w:tabs>
          <w:tab w:val="clear" w:pos="567"/>
          <w:tab w:val="left" w:pos="720"/>
        </w:tabs>
        <w:spacing w:line="240" w:lineRule="auto"/>
        <w:rPr>
          <w:szCs w:val="22"/>
          <w:lang w:val="lt-LT"/>
        </w:rPr>
      </w:pPr>
    </w:p>
    <w:p w14:paraId="4E9079F7" w14:textId="77777777" w:rsidR="00290E64" w:rsidRDefault="00290E64" w:rsidP="00290E64">
      <w:pPr>
        <w:tabs>
          <w:tab w:val="clear" w:pos="567"/>
          <w:tab w:val="left" w:pos="720"/>
        </w:tabs>
        <w:spacing w:line="240" w:lineRule="auto"/>
        <w:rPr>
          <w:szCs w:val="22"/>
          <w:lang w:val="lt-LT"/>
        </w:rPr>
      </w:pPr>
    </w:p>
    <w:p w14:paraId="17A3EA66" w14:textId="77777777" w:rsidR="00290E64" w:rsidRDefault="00290E64" w:rsidP="00290E64">
      <w:pPr>
        <w:tabs>
          <w:tab w:val="clear" w:pos="567"/>
          <w:tab w:val="left" w:pos="720"/>
        </w:tabs>
        <w:spacing w:line="240" w:lineRule="auto"/>
        <w:rPr>
          <w:szCs w:val="22"/>
          <w:lang w:val="lt-LT"/>
        </w:rPr>
      </w:pPr>
    </w:p>
    <w:p w14:paraId="06641397" w14:textId="77777777" w:rsidR="00290E64" w:rsidRDefault="00290E64" w:rsidP="00290E64">
      <w:pPr>
        <w:tabs>
          <w:tab w:val="clear" w:pos="567"/>
          <w:tab w:val="left" w:pos="720"/>
        </w:tabs>
        <w:spacing w:line="240" w:lineRule="auto"/>
        <w:rPr>
          <w:szCs w:val="22"/>
          <w:lang w:val="lt-LT"/>
        </w:rPr>
      </w:pPr>
    </w:p>
    <w:p w14:paraId="485034BD" w14:textId="77777777" w:rsidR="00290E64" w:rsidRDefault="00290E64" w:rsidP="00290E64">
      <w:pPr>
        <w:tabs>
          <w:tab w:val="clear" w:pos="567"/>
          <w:tab w:val="left" w:pos="720"/>
        </w:tabs>
        <w:spacing w:line="240" w:lineRule="auto"/>
        <w:rPr>
          <w:szCs w:val="22"/>
          <w:lang w:val="lt-LT"/>
        </w:rPr>
      </w:pPr>
    </w:p>
    <w:p w14:paraId="480408EE" w14:textId="77777777" w:rsidR="00290E64" w:rsidRDefault="00290E64" w:rsidP="00290E64">
      <w:pPr>
        <w:tabs>
          <w:tab w:val="clear" w:pos="567"/>
          <w:tab w:val="left" w:pos="720"/>
        </w:tabs>
        <w:spacing w:line="240" w:lineRule="auto"/>
        <w:rPr>
          <w:szCs w:val="22"/>
          <w:lang w:val="lt-LT"/>
        </w:rPr>
      </w:pPr>
    </w:p>
    <w:p w14:paraId="5DD77D3B" w14:textId="77777777" w:rsidR="00290E64" w:rsidRDefault="00290E64" w:rsidP="00290E64">
      <w:pPr>
        <w:tabs>
          <w:tab w:val="clear" w:pos="567"/>
          <w:tab w:val="left" w:pos="720"/>
        </w:tabs>
        <w:spacing w:line="240" w:lineRule="auto"/>
        <w:rPr>
          <w:szCs w:val="22"/>
          <w:lang w:val="lt-LT"/>
        </w:rPr>
      </w:pPr>
    </w:p>
    <w:p w14:paraId="2EEC3A6B" w14:textId="77777777" w:rsidR="00290E64" w:rsidRDefault="00290E64" w:rsidP="00290E64">
      <w:pPr>
        <w:tabs>
          <w:tab w:val="clear" w:pos="567"/>
          <w:tab w:val="left" w:pos="720"/>
        </w:tabs>
        <w:spacing w:line="240" w:lineRule="auto"/>
        <w:rPr>
          <w:szCs w:val="22"/>
          <w:lang w:val="lt-LT"/>
        </w:rPr>
      </w:pPr>
    </w:p>
    <w:p w14:paraId="3789E99F" w14:textId="77777777" w:rsidR="00290E64" w:rsidRDefault="00290E64" w:rsidP="00290E64">
      <w:pPr>
        <w:tabs>
          <w:tab w:val="clear" w:pos="567"/>
          <w:tab w:val="left" w:pos="720"/>
        </w:tabs>
        <w:spacing w:line="240" w:lineRule="auto"/>
        <w:rPr>
          <w:szCs w:val="22"/>
          <w:lang w:val="lt-LT"/>
        </w:rPr>
      </w:pPr>
    </w:p>
    <w:p w14:paraId="40D44EEE" w14:textId="77777777" w:rsidR="00290E64" w:rsidRDefault="00290E64" w:rsidP="00290E64">
      <w:pPr>
        <w:tabs>
          <w:tab w:val="clear" w:pos="567"/>
          <w:tab w:val="left" w:pos="720"/>
        </w:tabs>
        <w:spacing w:line="240" w:lineRule="auto"/>
        <w:rPr>
          <w:szCs w:val="22"/>
          <w:lang w:val="lt-LT"/>
        </w:rPr>
      </w:pPr>
    </w:p>
    <w:p w14:paraId="2BE4D5F5" w14:textId="77777777" w:rsidR="00290E64" w:rsidRDefault="00290E64" w:rsidP="00290E64">
      <w:pPr>
        <w:tabs>
          <w:tab w:val="clear" w:pos="567"/>
          <w:tab w:val="left" w:pos="720"/>
        </w:tabs>
        <w:spacing w:line="240" w:lineRule="auto"/>
        <w:rPr>
          <w:szCs w:val="22"/>
          <w:lang w:val="lt-LT"/>
        </w:rPr>
      </w:pPr>
    </w:p>
    <w:p w14:paraId="04F0D526" w14:textId="77777777" w:rsidR="00290E64" w:rsidRDefault="00290E64" w:rsidP="00290E64">
      <w:pPr>
        <w:tabs>
          <w:tab w:val="clear" w:pos="567"/>
          <w:tab w:val="left" w:pos="720"/>
        </w:tabs>
        <w:spacing w:line="240" w:lineRule="auto"/>
        <w:rPr>
          <w:szCs w:val="22"/>
          <w:lang w:val="lt-LT"/>
        </w:rPr>
      </w:pPr>
    </w:p>
    <w:p w14:paraId="262DCEAD" w14:textId="77777777" w:rsidR="00290E64" w:rsidRDefault="00290E64" w:rsidP="00290E64">
      <w:pPr>
        <w:tabs>
          <w:tab w:val="clear" w:pos="567"/>
          <w:tab w:val="left" w:pos="720"/>
        </w:tabs>
        <w:spacing w:line="240" w:lineRule="auto"/>
        <w:rPr>
          <w:szCs w:val="22"/>
          <w:lang w:val="lt-LT"/>
        </w:rPr>
      </w:pPr>
    </w:p>
    <w:p w14:paraId="465E7B58" w14:textId="77777777" w:rsidR="00290E64" w:rsidRDefault="00290E64" w:rsidP="00290E64">
      <w:pPr>
        <w:tabs>
          <w:tab w:val="clear" w:pos="567"/>
          <w:tab w:val="left" w:pos="720"/>
        </w:tabs>
        <w:spacing w:line="240" w:lineRule="auto"/>
        <w:rPr>
          <w:szCs w:val="22"/>
          <w:lang w:val="lt-LT"/>
        </w:rPr>
      </w:pPr>
    </w:p>
    <w:p w14:paraId="31AEB729" w14:textId="77777777" w:rsidR="00290E64" w:rsidRDefault="00290E64" w:rsidP="00290E64">
      <w:pPr>
        <w:tabs>
          <w:tab w:val="clear" w:pos="567"/>
          <w:tab w:val="left" w:pos="720"/>
        </w:tabs>
        <w:spacing w:line="240" w:lineRule="auto"/>
        <w:rPr>
          <w:szCs w:val="22"/>
          <w:lang w:val="lt-LT"/>
        </w:rPr>
      </w:pPr>
    </w:p>
    <w:p w14:paraId="16B571B8" w14:textId="77777777" w:rsidR="00290E64" w:rsidRDefault="00290E64" w:rsidP="00290E64">
      <w:pPr>
        <w:tabs>
          <w:tab w:val="clear" w:pos="567"/>
          <w:tab w:val="left" w:pos="720"/>
        </w:tabs>
        <w:spacing w:line="240" w:lineRule="auto"/>
        <w:rPr>
          <w:szCs w:val="22"/>
          <w:lang w:val="lt-LT"/>
        </w:rPr>
      </w:pPr>
    </w:p>
    <w:p w14:paraId="49D860CE" w14:textId="77777777" w:rsidR="00290E64" w:rsidRDefault="00290E64" w:rsidP="00290E64">
      <w:pPr>
        <w:tabs>
          <w:tab w:val="clear" w:pos="567"/>
          <w:tab w:val="left" w:pos="720"/>
        </w:tabs>
        <w:spacing w:line="240" w:lineRule="auto"/>
        <w:jc w:val="center"/>
        <w:outlineLvl w:val="0"/>
        <w:rPr>
          <w:b/>
          <w:szCs w:val="22"/>
          <w:lang w:val="lt-LT"/>
        </w:rPr>
      </w:pPr>
    </w:p>
    <w:p w14:paraId="0D06AB30" w14:textId="77777777" w:rsidR="00290E64" w:rsidRDefault="00290E64" w:rsidP="00290E64">
      <w:pPr>
        <w:tabs>
          <w:tab w:val="clear" w:pos="567"/>
          <w:tab w:val="left" w:pos="720"/>
        </w:tabs>
        <w:spacing w:line="240" w:lineRule="auto"/>
        <w:jc w:val="center"/>
        <w:outlineLvl w:val="0"/>
        <w:rPr>
          <w:szCs w:val="22"/>
          <w:lang w:val="lt-LT"/>
        </w:rPr>
      </w:pPr>
      <w:r>
        <w:rPr>
          <w:b/>
          <w:szCs w:val="22"/>
          <w:lang w:val="lt-LT"/>
        </w:rPr>
        <w:t>A. ŽENKLINIMAS</w:t>
      </w:r>
    </w:p>
    <w:p w14:paraId="53E1F693"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lt-LT"/>
        </w:rPr>
      </w:pPr>
      <w:r>
        <w:rPr>
          <w:szCs w:val="22"/>
          <w:lang w:val="lt-LT"/>
        </w:rPr>
        <w:br w:type="page"/>
      </w:r>
      <w:r>
        <w:rPr>
          <w:b/>
          <w:szCs w:val="22"/>
          <w:lang w:val="lt-LT"/>
        </w:rPr>
        <w:lastRenderedPageBreak/>
        <w:t>INFORMACIJA ANT IŠORINĖS PAKUOTĖS</w:t>
      </w:r>
    </w:p>
    <w:p w14:paraId="1EBD50B4"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Cs/>
          <w:szCs w:val="22"/>
          <w:lang w:val="lt-LT"/>
        </w:rPr>
      </w:pPr>
    </w:p>
    <w:p w14:paraId="5FCDC110"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Cs/>
          <w:szCs w:val="22"/>
          <w:lang w:val="lt-LT"/>
        </w:rPr>
      </w:pPr>
      <w:r>
        <w:rPr>
          <w:b/>
          <w:szCs w:val="22"/>
          <w:lang w:val="lt-LT"/>
        </w:rPr>
        <w:t>KARTONO DĖŽUTĖ</w:t>
      </w:r>
    </w:p>
    <w:p w14:paraId="73745B13" w14:textId="77777777" w:rsidR="00290E64" w:rsidRDefault="00290E64" w:rsidP="00290E64">
      <w:pPr>
        <w:tabs>
          <w:tab w:val="clear" w:pos="567"/>
          <w:tab w:val="left" w:pos="720"/>
        </w:tabs>
        <w:spacing w:line="240" w:lineRule="auto"/>
        <w:rPr>
          <w:szCs w:val="22"/>
          <w:lang w:val="lt-LT"/>
        </w:rPr>
      </w:pPr>
    </w:p>
    <w:p w14:paraId="51D6E70E" w14:textId="77777777" w:rsidR="00290E64" w:rsidRDefault="00290E64" w:rsidP="00290E64">
      <w:pPr>
        <w:tabs>
          <w:tab w:val="clear" w:pos="567"/>
          <w:tab w:val="left" w:pos="720"/>
        </w:tabs>
        <w:spacing w:line="240" w:lineRule="auto"/>
        <w:rPr>
          <w:szCs w:val="22"/>
          <w:lang w:val="lt-LT"/>
        </w:rPr>
      </w:pPr>
    </w:p>
    <w:p w14:paraId="3C6AE75E"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Pr>
          <w:b/>
          <w:szCs w:val="22"/>
          <w:lang w:val="lt-LT"/>
        </w:rPr>
        <w:t>1.</w:t>
      </w:r>
      <w:r>
        <w:rPr>
          <w:b/>
          <w:szCs w:val="22"/>
          <w:lang w:val="lt-LT"/>
        </w:rPr>
        <w:tab/>
        <w:t>VAISTINIO PREPARATO PAVADINIMAS</w:t>
      </w:r>
    </w:p>
    <w:p w14:paraId="6C3ACE79" w14:textId="77777777" w:rsidR="00290E64" w:rsidRDefault="00290E64" w:rsidP="00290E64">
      <w:pPr>
        <w:tabs>
          <w:tab w:val="clear" w:pos="567"/>
          <w:tab w:val="left" w:pos="720"/>
        </w:tabs>
        <w:spacing w:line="240" w:lineRule="auto"/>
        <w:rPr>
          <w:szCs w:val="22"/>
          <w:lang w:val="lt-LT"/>
        </w:rPr>
      </w:pPr>
    </w:p>
    <w:p w14:paraId="270FE32E" w14:textId="77777777" w:rsidR="00290E64" w:rsidRDefault="00290E64" w:rsidP="00290E64">
      <w:pPr>
        <w:tabs>
          <w:tab w:val="clear" w:pos="567"/>
          <w:tab w:val="left" w:pos="720"/>
        </w:tabs>
        <w:spacing w:line="240" w:lineRule="auto"/>
        <w:outlineLvl w:val="0"/>
        <w:rPr>
          <w:szCs w:val="22"/>
          <w:lang w:val="lt-LT"/>
        </w:rPr>
      </w:pPr>
      <w:r>
        <w:rPr>
          <w:szCs w:val="22"/>
          <w:lang w:val="lt-LT"/>
        </w:rPr>
        <w:t>Duracef 1 g disperguojamosios tabletės</w:t>
      </w:r>
    </w:p>
    <w:p w14:paraId="278B32DB" w14:textId="77777777" w:rsidR="00290E64" w:rsidRDefault="00290E64" w:rsidP="00290E64">
      <w:pPr>
        <w:tabs>
          <w:tab w:val="clear" w:pos="567"/>
          <w:tab w:val="left" w:pos="720"/>
        </w:tabs>
        <w:spacing w:line="240" w:lineRule="auto"/>
        <w:outlineLvl w:val="0"/>
        <w:rPr>
          <w:szCs w:val="22"/>
          <w:lang w:val="lt-LT"/>
        </w:rPr>
      </w:pPr>
      <w:r>
        <w:rPr>
          <w:szCs w:val="22"/>
          <w:lang w:val="lt-LT"/>
        </w:rPr>
        <w:t>Cefadroxilum</w:t>
      </w:r>
    </w:p>
    <w:p w14:paraId="222AB88D" w14:textId="77777777" w:rsidR="00290E64" w:rsidRDefault="00290E64" w:rsidP="00290E64">
      <w:pPr>
        <w:tabs>
          <w:tab w:val="clear" w:pos="567"/>
          <w:tab w:val="left" w:pos="720"/>
        </w:tabs>
        <w:spacing w:line="240" w:lineRule="auto"/>
        <w:outlineLvl w:val="0"/>
        <w:rPr>
          <w:szCs w:val="22"/>
          <w:lang w:val="lt-LT"/>
        </w:rPr>
      </w:pPr>
    </w:p>
    <w:p w14:paraId="5BF6CD84" w14:textId="77777777" w:rsidR="00290E64" w:rsidRDefault="00290E64" w:rsidP="00290E64">
      <w:pPr>
        <w:tabs>
          <w:tab w:val="clear" w:pos="567"/>
          <w:tab w:val="left" w:pos="720"/>
        </w:tabs>
        <w:spacing w:line="240" w:lineRule="auto"/>
        <w:rPr>
          <w:szCs w:val="22"/>
          <w:lang w:val="lt-LT"/>
        </w:rPr>
      </w:pPr>
    </w:p>
    <w:p w14:paraId="2637280E"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lt-LT"/>
        </w:rPr>
      </w:pPr>
      <w:r>
        <w:rPr>
          <w:b/>
          <w:szCs w:val="22"/>
          <w:lang w:val="lt-LT"/>
        </w:rPr>
        <w:t>2.</w:t>
      </w:r>
      <w:r>
        <w:rPr>
          <w:b/>
          <w:szCs w:val="22"/>
          <w:lang w:val="lt-LT"/>
        </w:rPr>
        <w:tab/>
        <w:t>VEIKLIOJI (-IOS) MEDŽIAGA (-OS) IR JOS (-Ų) KIEKIS (-IAI)</w:t>
      </w:r>
    </w:p>
    <w:p w14:paraId="2D087887" w14:textId="77777777" w:rsidR="00290E64" w:rsidRDefault="00290E64" w:rsidP="00290E64">
      <w:pPr>
        <w:tabs>
          <w:tab w:val="clear" w:pos="567"/>
          <w:tab w:val="left" w:pos="720"/>
        </w:tabs>
        <w:spacing w:line="240" w:lineRule="auto"/>
        <w:rPr>
          <w:szCs w:val="22"/>
          <w:lang w:val="lt-LT"/>
        </w:rPr>
      </w:pPr>
    </w:p>
    <w:p w14:paraId="3904ABE9" w14:textId="77777777" w:rsidR="00290E64" w:rsidRDefault="00290E64" w:rsidP="00290E64">
      <w:pPr>
        <w:tabs>
          <w:tab w:val="clear" w:pos="567"/>
          <w:tab w:val="left" w:pos="720"/>
        </w:tabs>
        <w:spacing w:line="240" w:lineRule="auto"/>
        <w:rPr>
          <w:szCs w:val="22"/>
          <w:lang w:val="lt-LT"/>
        </w:rPr>
      </w:pPr>
      <w:r>
        <w:rPr>
          <w:szCs w:val="22"/>
          <w:lang w:val="lt-LT"/>
        </w:rPr>
        <w:t>Vienoje disperguojamojoje tabletėje yra 1 g cefadroksilio (monohidrato pavidalu).</w:t>
      </w:r>
    </w:p>
    <w:p w14:paraId="0343CD75" w14:textId="77777777" w:rsidR="00290E64" w:rsidRDefault="00290E64" w:rsidP="00290E64">
      <w:pPr>
        <w:tabs>
          <w:tab w:val="clear" w:pos="567"/>
          <w:tab w:val="left" w:pos="720"/>
        </w:tabs>
        <w:spacing w:line="240" w:lineRule="auto"/>
        <w:rPr>
          <w:szCs w:val="22"/>
          <w:lang w:val="lt-LT"/>
        </w:rPr>
      </w:pPr>
    </w:p>
    <w:p w14:paraId="5B2DC3BD" w14:textId="77777777" w:rsidR="00290E64" w:rsidRDefault="00290E64" w:rsidP="00290E64">
      <w:pPr>
        <w:tabs>
          <w:tab w:val="clear" w:pos="567"/>
          <w:tab w:val="left" w:pos="720"/>
        </w:tabs>
        <w:spacing w:line="240" w:lineRule="auto"/>
        <w:rPr>
          <w:szCs w:val="22"/>
          <w:lang w:val="lt-LT"/>
        </w:rPr>
      </w:pPr>
    </w:p>
    <w:p w14:paraId="05BB1962"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Pr>
          <w:b/>
          <w:szCs w:val="22"/>
          <w:lang w:val="lt-LT"/>
        </w:rPr>
        <w:t>3.</w:t>
      </w:r>
      <w:r>
        <w:rPr>
          <w:b/>
          <w:szCs w:val="22"/>
          <w:lang w:val="lt-LT"/>
        </w:rPr>
        <w:tab/>
        <w:t>PAGALBINIŲ MEDŽIAGŲ SĄRAŠAS</w:t>
      </w:r>
    </w:p>
    <w:p w14:paraId="75C98869" w14:textId="77777777" w:rsidR="00290E64" w:rsidRDefault="00290E64" w:rsidP="00290E64">
      <w:pPr>
        <w:tabs>
          <w:tab w:val="clear" w:pos="567"/>
          <w:tab w:val="left" w:pos="720"/>
        </w:tabs>
        <w:spacing w:line="240" w:lineRule="auto"/>
        <w:rPr>
          <w:szCs w:val="22"/>
          <w:lang w:val="lt-LT"/>
        </w:rPr>
      </w:pPr>
    </w:p>
    <w:p w14:paraId="4F830CBE" w14:textId="77777777" w:rsidR="00290E64" w:rsidRDefault="00290E64" w:rsidP="00290E64">
      <w:pPr>
        <w:tabs>
          <w:tab w:val="clear" w:pos="567"/>
          <w:tab w:val="left" w:pos="720"/>
        </w:tabs>
        <w:spacing w:line="240" w:lineRule="auto"/>
        <w:rPr>
          <w:szCs w:val="22"/>
          <w:lang w:val="lt-LT"/>
        </w:rPr>
      </w:pPr>
    </w:p>
    <w:p w14:paraId="718CC4BD"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Pr>
          <w:b/>
          <w:szCs w:val="22"/>
          <w:lang w:val="lt-LT"/>
        </w:rPr>
        <w:t>4.</w:t>
      </w:r>
      <w:r>
        <w:rPr>
          <w:b/>
          <w:szCs w:val="22"/>
          <w:lang w:val="lt-LT"/>
        </w:rPr>
        <w:tab/>
        <w:t>FARMACINĖ</w:t>
      </w:r>
      <w:r>
        <w:rPr>
          <w:szCs w:val="22"/>
          <w:lang w:val="lt-LT"/>
        </w:rPr>
        <w:t xml:space="preserve"> </w:t>
      </w:r>
      <w:r>
        <w:rPr>
          <w:b/>
          <w:szCs w:val="22"/>
          <w:lang w:val="lt-LT"/>
        </w:rPr>
        <w:t>FORMA IR KIEKIS PAKUOTĖJE</w:t>
      </w:r>
    </w:p>
    <w:p w14:paraId="40648032" w14:textId="77777777" w:rsidR="00290E64" w:rsidRDefault="00290E64" w:rsidP="00290E64">
      <w:pPr>
        <w:tabs>
          <w:tab w:val="clear" w:pos="567"/>
          <w:tab w:val="left" w:pos="720"/>
        </w:tabs>
        <w:spacing w:line="240" w:lineRule="auto"/>
        <w:rPr>
          <w:szCs w:val="22"/>
          <w:lang w:val="lt-LT"/>
        </w:rPr>
      </w:pPr>
    </w:p>
    <w:p w14:paraId="6A96C99D" w14:textId="77777777" w:rsidR="00290E64" w:rsidRDefault="00290E64" w:rsidP="00290E64">
      <w:pPr>
        <w:tabs>
          <w:tab w:val="clear" w:pos="567"/>
          <w:tab w:val="left" w:pos="720"/>
        </w:tabs>
        <w:spacing w:line="240" w:lineRule="auto"/>
        <w:rPr>
          <w:szCs w:val="22"/>
          <w:lang w:val="lt-LT"/>
        </w:rPr>
      </w:pPr>
      <w:r>
        <w:rPr>
          <w:szCs w:val="22"/>
          <w:lang w:val="lt-LT"/>
        </w:rPr>
        <w:t xml:space="preserve">10 </w:t>
      </w:r>
      <w:r>
        <w:rPr>
          <w:szCs w:val="22"/>
          <w:highlight w:val="lightGray"/>
          <w:lang w:val="lt-LT"/>
        </w:rPr>
        <w:t>disperguojamųjų</w:t>
      </w:r>
      <w:r>
        <w:rPr>
          <w:szCs w:val="22"/>
          <w:lang w:val="lt-LT"/>
        </w:rPr>
        <w:t xml:space="preserve"> tablečių</w:t>
      </w:r>
    </w:p>
    <w:p w14:paraId="35C188DE" w14:textId="77777777" w:rsidR="00290E64" w:rsidRDefault="00290E64" w:rsidP="00290E64">
      <w:pPr>
        <w:tabs>
          <w:tab w:val="clear" w:pos="567"/>
          <w:tab w:val="left" w:pos="720"/>
        </w:tabs>
        <w:spacing w:line="240" w:lineRule="auto"/>
        <w:rPr>
          <w:szCs w:val="22"/>
          <w:lang w:val="lt-LT"/>
        </w:rPr>
      </w:pPr>
    </w:p>
    <w:p w14:paraId="5CAC77A6" w14:textId="77777777" w:rsidR="00290E64" w:rsidRDefault="00290E64" w:rsidP="00290E64">
      <w:pPr>
        <w:tabs>
          <w:tab w:val="clear" w:pos="567"/>
          <w:tab w:val="left" w:pos="720"/>
        </w:tabs>
        <w:spacing w:line="240" w:lineRule="auto"/>
        <w:rPr>
          <w:szCs w:val="22"/>
          <w:lang w:val="lt-LT"/>
        </w:rPr>
      </w:pPr>
    </w:p>
    <w:p w14:paraId="5F7714B0"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Pr>
          <w:b/>
          <w:szCs w:val="22"/>
          <w:lang w:val="lt-LT"/>
        </w:rPr>
        <w:t>5.</w:t>
      </w:r>
      <w:r>
        <w:rPr>
          <w:b/>
          <w:szCs w:val="22"/>
          <w:lang w:val="lt-LT"/>
        </w:rPr>
        <w:tab/>
        <w:t>VARTOJIMO METODAS IR BŪDAS (-AI)</w:t>
      </w:r>
    </w:p>
    <w:p w14:paraId="766187AA" w14:textId="77777777" w:rsidR="00290E64" w:rsidRDefault="00290E64" w:rsidP="00290E64">
      <w:pPr>
        <w:tabs>
          <w:tab w:val="clear" w:pos="567"/>
          <w:tab w:val="left" w:pos="720"/>
        </w:tabs>
        <w:spacing w:line="240" w:lineRule="auto"/>
        <w:rPr>
          <w:i/>
          <w:szCs w:val="22"/>
          <w:lang w:val="lt-LT"/>
        </w:rPr>
      </w:pPr>
    </w:p>
    <w:p w14:paraId="169E7BE6" w14:textId="77777777" w:rsidR="00290E64" w:rsidRDefault="00290E64" w:rsidP="00290E64">
      <w:pPr>
        <w:tabs>
          <w:tab w:val="clear" w:pos="567"/>
          <w:tab w:val="left" w:pos="720"/>
        </w:tabs>
        <w:spacing w:line="240" w:lineRule="auto"/>
        <w:rPr>
          <w:szCs w:val="22"/>
          <w:lang w:val="lt-LT"/>
        </w:rPr>
      </w:pPr>
      <w:r>
        <w:rPr>
          <w:szCs w:val="22"/>
          <w:lang w:val="lt-LT"/>
        </w:rPr>
        <w:t>Vartoti per burną.</w:t>
      </w:r>
    </w:p>
    <w:p w14:paraId="5903D2D6" w14:textId="77777777" w:rsidR="00290E64" w:rsidRDefault="00290E64" w:rsidP="00290E64">
      <w:pPr>
        <w:tabs>
          <w:tab w:val="clear" w:pos="567"/>
          <w:tab w:val="left" w:pos="720"/>
        </w:tabs>
        <w:spacing w:line="240" w:lineRule="auto"/>
        <w:rPr>
          <w:szCs w:val="22"/>
          <w:lang w:val="lt-LT"/>
        </w:rPr>
      </w:pPr>
      <w:r>
        <w:rPr>
          <w:szCs w:val="22"/>
          <w:lang w:val="lt-LT"/>
        </w:rPr>
        <w:t>Prieš vartojimą perskaitykite pakuotės lapelį.</w:t>
      </w:r>
    </w:p>
    <w:p w14:paraId="02BC42FF" w14:textId="77777777" w:rsidR="00290E64" w:rsidRDefault="00290E64" w:rsidP="00290E64">
      <w:pPr>
        <w:tabs>
          <w:tab w:val="clear" w:pos="567"/>
          <w:tab w:val="left" w:pos="720"/>
        </w:tabs>
        <w:spacing w:line="240" w:lineRule="auto"/>
        <w:rPr>
          <w:szCs w:val="22"/>
          <w:lang w:val="lt-LT"/>
        </w:rPr>
      </w:pPr>
    </w:p>
    <w:p w14:paraId="0B62EFA8" w14:textId="77777777" w:rsidR="00290E64" w:rsidRDefault="00290E64" w:rsidP="00290E64">
      <w:pPr>
        <w:tabs>
          <w:tab w:val="clear" w:pos="567"/>
          <w:tab w:val="left" w:pos="720"/>
        </w:tabs>
        <w:spacing w:line="240" w:lineRule="auto"/>
        <w:rPr>
          <w:szCs w:val="22"/>
          <w:lang w:val="lt-LT"/>
        </w:rPr>
      </w:pPr>
    </w:p>
    <w:p w14:paraId="6D90AA4A" w14:textId="77777777" w:rsidR="00290E64" w:rsidRDefault="00290E64" w:rsidP="00290E64">
      <w:pPr>
        <w:pBdr>
          <w:top w:val="single" w:sz="4" w:space="0"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Pr>
          <w:b/>
          <w:szCs w:val="22"/>
          <w:lang w:val="lt-LT"/>
        </w:rPr>
        <w:t>6.</w:t>
      </w:r>
      <w:r>
        <w:rPr>
          <w:b/>
          <w:szCs w:val="22"/>
          <w:lang w:val="lt-LT"/>
        </w:rPr>
        <w:tab/>
      </w:r>
      <w:r>
        <w:rPr>
          <w:b/>
          <w:bCs/>
          <w:szCs w:val="22"/>
          <w:lang w:val="lt-LT"/>
        </w:rPr>
        <w:t>SPECIALUS ĮSPĖJIMAS, KAD VAISTINĮ PREPARATĄ BŪTINA LAIKYTI VAIKAMS NEPASTEBIMOJE IR NEPASIEKIAMOJE VIETOJE</w:t>
      </w:r>
    </w:p>
    <w:p w14:paraId="61E1DACC" w14:textId="77777777" w:rsidR="00290E64" w:rsidRDefault="00290E64" w:rsidP="00290E64">
      <w:pPr>
        <w:tabs>
          <w:tab w:val="clear" w:pos="567"/>
          <w:tab w:val="left" w:pos="720"/>
        </w:tabs>
        <w:spacing w:line="240" w:lineRule="auto"/>
        <w:rPr>
          <w:szCs w:val="22"/>
          <w:lang w:val="lt-LT"/>
        </w:rPr>
      </w:pPr>
    </w:p>
    <w:p w14:paraId="3093B3D4" w14:textId="77777777" w:rsidR="00290E64" w:rsidRDefault="00290E64" w:rsidP="00290E64">
      <w:pPr>
        <w:pStyle w:val="Pagrindinistekstas"/>
        <w:outlineLvl w:val="0"/>
        <w:rPr>
          <w:i w:val="0"/>
          <w:iCs/>
          <w:color w:val="auto"/>
          <w:szCs w:val="22"/>
          <w:lang w:val="lt-LT"/>
        </w:rPr>
      </w:pPr>
      <w:r>
        <w:rPr>
          <w:i w:val="0"/>
          <w:iCs/>
          <w:color w:val="auto"/>
          <w:szCs w:val="22"/>
          <w:lang w:val="lt-LT"/>
        </w:rPr>
        <w:t>Laikyti vaikams nepastebimoje ir nepasiekiamoje vietoje.</w:t>
      </w:r>
    </w:p>
    <w:p w14:paraId="2D669F30" w14:textId="77777777" w:rsidR="00290E64" w:rsidRDefault="00290E64" w:rsidP="00290E64">
      <w:pPr>
        <w:pStyle w:val="Pagrindinistekstas"/>
        <w:outlineLvl w:val="0"/>
        <w:rPr>
          <w:i w:val="0"/>
          <w:iCs/>
          <w:color w:val="auto"/>
          <w:szCs w:val="22"/>
          <w:lang w:val="lt-LT"/>
        </w:rPr>
      </w:pPr>
    </w:p>
    <w:p w14:paraId="54F5BFBD" w14:textId="77777777" w:rsidR="00290E64" w:rsidRDefault="00290E64" w:rsidP="00290E64">
      <w:pPr>
        <w:tabs>
          <w:tab w:val="clear" w:pos="567"/>
          <w:tab w:val="left" w:pos="720"/>
        </w:tabs>
        <w:spacing w:line="240" w:lineRule="auto"/>
        <w:rPr>
          <w:szCs w:val="22"/>
          <w:lang w:val="lt-LT"/>
        </w:rPr>
      </w:pPr>
    </w:p>
    <w:p w14:paraId="72C9A48D"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highlight w:val="lightGray"/>
          <w:lang w:val="lt-LT"/>
        </w:rPr>
      </w:pPr>
      <w:r>
        <w:rPr>
          <w:b/>
          <w:szCs w:val="22"/>
          <w:lang w:val="lt-LT"/>
        </w:rPr>
        <w:t>7.</w:t>
      </w:r>
      <w:r>
        <w:rPr>
          <w:b/>
          <w:szCs w:val="22"/>
          <w:lang w:val="lt-LT"/>
        </w:rPr>
        <w:tab/>
        <w:t xml:space="preserve">KITAS (-I) SPECIALUS (-ŪS) ĮSPĖJIMAS (-AI) </w:t>
      </w:r>
      <w:r>
        <w:rPr>
          <w:b/>
          <w:bCs/>
          <w:szCs w:val="22"/>
          <w:lang w:val="lt-LT"/>
        </w:rPr>
        <w:t>(JEI REIKIA)</w:t>
      </w:r>
    </w:p>
    <w:p w14:paraId="3CBAAED5" w14:textId="77777777" w:rsidR="00290E64" w:rsidRDefault="00290E64" w:rsidP="00290E64">
      <w:pPr>
        <w:tabs>
          <w:tab w:val="clear" w:pos="567"/>
          <w:tab w:val="left" w:pos="720"/>
        </w:tabs>
        <w:spacing w:line="240" w:lineRule="auto"/>
        <w:rPr>
          <w:szCs w:val="22"/>
          <w:lang w:val="lt-LT"/>
        </w:rPr>
      </w:pPr>
    </w:p>
    <w:p w14:paraId="60D1F3B9" w14:textId="77777777" w:rsidR="00290E64" w:rsidRDefault="00290E64" w:rsidP="00290E64">
      <w:pPr>
        <w:tabs>
          <w:tab w:val="clear" w:pos="567"/>
          <w:tab w:val="left" w:pos="720"/>
        </w:tabs>
        <w:spacing w:line="240" w:lineRule="auto"/>
        <w:rPr>
          <w:szCs w:val="22"/>
          <w:lang w:val="lt-LT"/>
        </w:rPr>
      </w:pPr>
    </w:p>
    <w:p w14:paraId="717FF1F2"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Pr>
          <w:b/>
          <w:szCs w:val="22"/>
          <w:lang w:val="lt-LT"/>
        </w:rPr>
        <w:t>8.</w:t>
      </w:r>
      <w:r>
        <w:rPr>
          <w:b/>
          <w:szCs w:val="22"/>
          <w:lang w:val="lt-LT"/>
        </w:rPr>
        <w:tab/>
      </w:r>
      <w:r>
        <w:rPr>
          <w:b/>
          <w:bCs/>
          <w:szCs w:val="22"/>
          <w:lang w:val="lt-LT"/>
        </w:rPr>
        <w:t>TINKAMUMO LAIKAS</w:t>
      </w:r>
    </w:p>
    <w:p w14:paraId="5471C6C6" w14:textId="77777777" w:rsidR="00290E64" w:rsidRDefault="00290E64" w:rsidP="00290E64">
      <w:pPr>
        <w:tabs>
          <w:tab w:val="clear" w:pos="567"/>
          <w:tab w:val="left" w:pos="720"/>
        </w:tabs>
        <w:spacing w:line="240" w:lineRule="auto"/>
        <w:rPr>
          <w:szCs w:val="22"/>
          <w:lang w:val="lt-LT"/>
        </w:rPr>
      </w:pPr>
    </w:p>
    <w:p w14:paraId="2BE38F7E" w14:textId="77777777" w:rsidR="00290E64" w:rsidRDefault="00290E64" w:rsidP="00290E64">
      <w:pPr>
        <w:tabs>
          <w:tab w:val="clear" w:pos="567"/>
          <w:tab w:val="left" w:pos="720"/>
        </w:tabs>
        <w:spacing w:line="240" w:lineRule="auto"/>
        <w:outlineLvl w:val="0"/>
        <w:rPr>
          <w:szCs w:val="22"/>
          <w:lang w:val="lt-LT"/>
        </w:rPr>
      </w:pPr>
      <w:r>
        <w:rPr>
          <w:szCs w:val="22"/>
          <w:lang w:val="lt-LT"/>
        </w:rPr>
        <w:t xml:space="preserve">EXP </w:t>
      </w:r>
      <w:r>
        <w:rPr>
          <w:rFonts w:ascii="Calibri" w:hAnsi="Calibri"/>
          <w:szCs w:val="22"/>
          <w:lang w:val="lt-LT"/>
        </w:rPr>
        <w:t>{</w:t>
      </w:r>
      <w:r>
        <w:rPr>
          <w:szCs w:val="22"/>
          <w:lang w:val="lt-LT"/>
        </w:rPr>
        <w:t>mm/MMMM</w:t>
      </w:r>
      <w:r>
        <w:rPr>
          <w:rFonts w:ascii="Calibri" w:hAnsi="Calibri"/>
          <w:szCs w:val="22"/>
          <w:lang w:val="lt-LT"/>
        </w:rPr>
        <w:t>}</w:t>
      </w:r>
    </w:p>
    <w:p w14:paraId="5404AE63" w14:textId="77777777" w:rsidR="00290E64" w:rsidRDefault="00290E64" w:rsidP="00290E64">
      <w:pPr>
        <w:tabs>
          <w:tab w:val="clear" w:pos="567"/>
          <w:tab w:val="left" w:pos="720"/>
        </w:tabs>
        <w:spacing w:line="240" w:lineRule="auto"/>
        <w:outlineLvl w:val="0"/>
        <w:rPr>
          <w:szCs w:val="22"/>
          <w:lang w:val="lt-LT"/>
        </w:rPr>
      </w:pPr>
    </w:p>
    <w:p w14:paraId="52A2EF18" w14:textId="77777777" w:rsidR="00290E64" w:rsidRDefault="00290E64" w:rsidP="00290E64">
      <w:pPr>
        <w:tabs>
          <w:tab w:val="clear" w:pos="567"/>
          <w:tab w:val="left" w:pos="720"/>
        </w:tabs>
        <w:spacing w:line="240" w:lineRule="auto"/>
        <w:rPr>
          <w:szCs w:val="22"/>
          <w:lang w:val="lt-LT"/>
        </w:rPr>
      </w:pPr>
    </w:p>
    <w:p w14:paraId="4FBB5179"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Pr>
          <w:b/>
          <w:szCs w:val="22"/>
          <w:lang w:val="lt-LT"/>
        </w:rPr>
        <w:t>9.</w:t>
      </w:r>
      <w:r>
        <w:rPr>
          <w:b/>
          <w:szCs w:val="22"/>
          <w:lang w:val="lt-LT"/>
        </w:rPr>
        <w:tab/>
      </w:r>
      <w:r>
        <w:rPr>
          <w:b/>
          <w:caps/>
          <w:szCs w:val="22"/>
          <w:lang w:val="lt-LT"/>
        </w:rPr>
        <w:t>SPECIALIOS laikymo sąlygos</w:t>
      </w:r>
    </w:p>
    <w:p w14:paraId="60315C0E" w14:textId="77777777" w:rsidR="00290E64" w:rsidRDefault="00290E64" w:rsidP="00290E64">
      <w:pPr>
        <w:tabs>
          <w:tab w:val="clear" w:pos="567"/>
          <w:tab w:val="left" w:pos="720"/>
        </w:tabs>
        <w:spacing w:line="240" w:lineRule="auto"/>
        <w:rPr>
          <w:szCs w:val="22"/>
          <w:lang w:val="lt-LT"/>
        </w:rPr>
      </w:pPr>
    </w:p>
    <w:p w14:paraId="60A581C4" w14:textId="77777777" w:rsidR="00290E64" w:rsidRDefault="00290E64" w:rsidP="00290E64">
      <w:pPr>
        <w:tabs>
          <w:tab w:val="clear" w:pos="567"/>
          <w:tab w:val="left" w:pos="720"/>
        </w:tabs>
        <w:spacing w:line="240" w:lineRule="auto"/>
        <w:outlineLvl w:val="0"/>
        <w:rPr>
          <w:szCs w:val="22"/>
          <w:lang w:val="lt-LT"/>
        </w:rPr>
      </w:pPr>
      <w:r>
        <w:rPr>
          <w:szCs w:val="22"/>
          <w:lang w:val="lt-LT"/>
        </w:rPr>
        <w:t>Laikyti ne aukštesnėje kaip 25 °C temperatūroje.</w:t>
      </w:r>
    </w:p>
    <w:p w14:paraId="48701FA2" w14:textId="77777777" w:rsidR="00290E64" w:rsidRDefault="00290E64" w:rsidP="00290E64">
      <w:pPr>
        <w:tabs>
          <w:tab w:val="clear" w:pos="567"/>
          <w:tab w:val="left" w:pos="720"/>
        </w:tabs>
        <w:spacing w:line="240" w:lineRule="auto"/>
        <w:outlineLvl w:val="0"/>
        <w:rPr>
          <w:szCs w:val="22"/>
          <w:lang w:val="lt-LT"/>
        </w:rPr>
      </w:pPr>
    </w:p>
    <w:p w14:paraId="107A651E" w14:textId="77777777" w:rsidR="00290E64" w:rsidRDefault="00290E64" w:rsidP="00290E64">
      <w:pPr>
        <w:tabs>
          <w:tab w:val="clear" w:pos="567"/>
          <w:tab w:val="left" w:pos="720"/>
        </w:tabs>
        <w:spacing w:line="240" w:lineRule="auto"/>
        <w:rPr>
          <w:szCs w:val="22"/>
          <w:lang w:val="lt-LT"/>
        </w:rPr>
      </w:pPr>
    </w:p>
    <w:p w14:paraId="4285EC84"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lt-LT"/>
        </w:rPr>
      </w:pPr>
      <w:r>
        <w:rPr>
          <w:b/>
          <w:szCs w:val="22"/>
          <w:lang w:val="lt-LT"/>
        </w:rPr>
        <w:t>10.</w:t>
      </w:r>
      <w:r>
        <w:rPr>
          <w:b/>
          <w:szCs w:val="22"/>
          <w:lang w:val="lt-LT"/>
        </w:rPr>
        <w:tab/>
      </w:r>
      <w:r>
        <w:rPr>
          <w:b/>
          <w:caps/>
          <w:szCs w:val="22"/>
          <w:lang w:val="lt-LT"/>
        </w:rPr>
        <w:t>specialios atsargumo priemonės</w:t>
      </w:r>
      <w:r>
        <w:rPr>
          <w:b/>
          <w:bCs/>
          <w:szCs w:val="22"/>
          <w:lang w:val="lt-LT"/>
        </w:rPr>
        <w:t xml:space="preserve">, </w:t>
      </w:r>
      <w:r>
        <w:rPr>
          <w:b/>
          <w:szCs w:val="22"/>
          <w:lang w:val="lt-LT"/>
        </w:rPr>
        <w:t xml:space="preserve">DĖL NESUVARTOTO </w:t>
      </w:r>
      <w:r>
        <w:rPr>
          <w:b/>
          <w:bCs/>
          <w:szCs w:val="22"/>
          <w:lang w:val="lt-LT"/>
        </w:rPr>
        <w:t>VAISTINIO</w:t>
      </w:r>
      <w:r>
        <w:rPr>
          <w:bCs/>
          <w:szCs w:val="22"/>
          <w:lang w:val="lt-LT"/>
        </w:rPr>
        <w:t xml:space="preserve"> </w:t>
      </w:r>
      <w:r>
        <w:rPr>
          <w:b/>
          <w:bCs/>
          <w:szCs w:val="22"/>
          <w:lang w:val="lt-LT"/>
        </w:rPr>
        <w:t xml:space="preserve">PREPARATO AR JO ATLIEKŲ </w:t>
      </w:r>
      <w:r>
        <w:rPr>
          <w:b/>
          <w:szCs w:val="22"/>
          <w:lang w:val="lt-LT"/>
        </w:rPr>
        <w:t>TVARKYMO</w:t>
      </w:r>
      <w:r>
        <w:rPr>
          <w:b/>
          <w:caps/>
          <w:szCs w:val="22"/>
          <w:lang w:val="lt-LT"/>
        </w:rPr>
        <w:t xml:space="preserve"> (jei reikia)</w:t>
      </w:r>
    </w:p>
    <w:p w14:paraId="26CF5BC5" w14:textId="77777777" w:rsidR="00290E64" w:rsidRDefault="00290E64" w:rsidP="00290E64">
      <w:pPr>
        <w:tabs>
          <w:tab w:val="clear" w:pos="567"/>
          <w:tab w:val="left" w:pos="720"/>
        </w:tabs>
        <w:spacing w:line="240" w:lineRule="auto"/>
        <w:rPr>
          <w:szCs w:val="22"/>
          <w:lang w:val="lt-LT"/>
        </w:rPr>
      </w:pPr>
    </w:p>
    <w:p w14:paraId="7C0069E8" w14:textId="77777777" w:rsidR="00290E64" w:rsidRDefault="00290E64" w:rsidP="00290E64">
      <w:pPr>
        <w:tabs>
          <w:tab w:val="clear" w:pos="567"/>
          <w:tab w:val="left" w:pos="720"/>
        </w:tabs>
        <w:spacing w:line="240" w:lineRule="auto"/>
        <w:rPr>
          <w:szCs w:val="22"/>
          <w:lang w:val="lt-LT"/>
        </w:rPr>
      </w:pPr>
    </w:p>
    <w:p w14:paraId="36EBE537"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lt-LT"/>
        </w:rPr>
      </w:pPr>
      <w:r>
        <w:rPr>
          <w:b/>
          <w:szCs w:val="22"/>
          <w:lang w:val="lt-LT"/>
        </w:rPr>
        <w:t>11.</w:t>
      </w:r>
      <w:r>
        <w:rPr>
          <w:b/>
          <w:szCs w:val="22"/>
          <w:lang w:val="lt-LT"/>
        </w:rPr>
        <w:tab/>
      </w:r>
      <w:r>
        <w:rPr>
          <w:b/>
          <w:caps/>
          <w:szCs w:val="22"/>
          <w:lang w:val="lt-LT"/>
        </w:rPr>
        <w:t>REGISTRUOTOJO pavadinimas ir adresas</w:t>
      </w:r>
    </w:p>
    <w:p w14:paraId="12C5333E" w14:textId="77777777" w:rsidR="00290E64" w:rsidRDefault="00290E64" w:rsidP="00290E64">
      <w:pPr>
        <w:tabs>
          <w:tab w:val="clear" w:pos="567"/>
          <w:tab w:val="left" w:pos="720"/>
        </w:tabs>
        <w:spacing w:line="240" w:lineRule="auto"/>
        <w:rPr>
          <w:szCs w:val="22"/>
          <w:lang w:val="lt-LT"/>
        </w:rPr>
      </w:pPr>
    </w:p>
    <w:p w14:paraId="3F1E21BD" w14:textId="77777777" w:rsidR="002A64C7" w:rsidRPr="002A64C7" w:rsidRDefault="002A64C7" w:rsidP="002A64C7">
      <w:pPr>
        <w:spacing w:line="240" w:lineRule="auto"/>
        <w:rPr>
          <w:szCs w:val="22"/>
          <w:lang w:val="lt-LT"/>
        </w:rPr>
      </w:pPr>
      <w:r w:rsidRPr="002A64C7">
        <w:rPr>
          <w:szCs w:val="22"/>
          <w:lang w:val="lt-LT"/>
        </w:rPr>
        <w:t>Bausch Health Ireland Limited</w:t>
      </w:r>
    </w:p>
    <w:p w14:paraId="02012648" w14:textId="77777777" w:rsidR="002A64C7" w:rsidRPr="002A64C7" w:rsidRDefault="002A64C7" w:rsidP="002A64C7">
      <w:pPr>
        <w:spacing w:line="240" w:lineRule="auto"/>
        <w:rPr>
          <w:szCs w:val="22"/>
          <w:lang w:val="lt-LT"/>
        </w:rPr>
      </w:pPr>
      <w:r w:rsidRPr="002A64C7">
        <w:rPr>
          <w:szCs w:val="22"/>
          <w:lang w:val="lt-LT"/>
        </w:rPr>
        <w:t>3013 Lake Drive</w:t>
      </w:r>
    </w:p>
    <w:p w14:paraId="01264ABD" w14:textId="77777777" w:rsidR="002A64C7" w:rsidRPr="002A64C7" w:rsidRDefault="002A64C7" w:rsidP="002A64C7">
      <w:pPr>
        <w:spacing w:line="240" w:lineRule="auto"/>
        <w:rPr>
          <w:szCs w:val="22"/>
          <w:lang w:val="lt-LT"/>
        </w:rPr>
      </w:pPr>
      <w:r w:rsidRPr="002A64C7">
        <w:rPr>
          <w:szCs w:val="22"/>
          <w:lang w:val="lt-LT"/>
        </w:rPr>
        <w:t>Citywest Business Campus</w:t>
      </w:r>
    </w:p>
    <w:p w14:paraId="350DD914" w14:textId="77777777" w:rsidR="002A64C7" w:rsidRPr="002A64C7" w:rsidRDefault="002A64C7" w:rsidP="002A64C7">
      <w:pPr>
        <w:spacing w:line="240" w:lineRule="auto"/>
        <w:rPr>
          <w:szCs w:val="22"/>
          <w:lang w:val="lt-LT"/>
        </w:rPr>
      </w:pPr>
      <w:r w:rsidRPr="002A64C7">
        <w:rPr>
          <w:szCs w:val="22"/>
          <w:lang w:val="lt-LT"/>
        </w:rPr>
        <w:t>Dublin 24, D24PPT3</w:t>
      </w:r>
    </w:p>
    <w:p w14:paraId="11FEF5E0" w14:textId="430B84D2" w:rsidR="00290E64" w:rsidRPr="007E1EEC" w:rsidRDefault="002A64C7" w:rsidP="00290E64">
      <w:pPr>
        <w:spacing w:line="240" w:lineRule="auto"/>
        <w:rPr>
          <w:lang w:val="lt-LT"/>
        </w:rPr>
      </w:pPr>
      <w:r w:rsidRPr="00C225D8">
        <w:rPr>
          <w:szCs w:val="22"/>
          <w:lang w:val="lt-LT"/>
        </w:rPr>
        <w:t>Airija</w:t>
      </w:r>
    </w:p>
    <w:p w14:paraId="7D2B526F" w14:textId="77777777" w:rsidR="00290E64" w:rsidRPr="007E1EEC" w:rsidRDefault="00290E64" w:rsidP="007E1EEC">
      <w:pPr>
        <w:spacing w:line="240" w:lineRule="auto"/>
        <w:rPr>
          <w:b/>
          <w:lang w:val="lt-LT"/>
        </w:rPr>
      </w:pPr>
    </w:p>
    <w:p w14:paraId="02067825" w14:textId="77777777" w:rsidR="00290E64" w:rsidRDefault="00290E64" w:rsidP="00290E64">
      <w:pPr>
        <w:tabs>
          <w:tab w:val="clear" w:pos="567"/>
          <w:tab w:val="left" w:pos="720"/>
        </w:tabs>
        <w:spacing w:line="240" w:lineRule="auto"/>
        <w:rPr>
          <w:szCs w:val="22"/>
          <w:lang w:val="lt-LT"/>
        </w:rPr>
      </w:pPr>
    </w:p>
    <w:p w14:paraId="4D3BD4D2"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Pr>
          <w:b/>
          <w:szCs w:val="22"/>
          <w:lang w:val="lt-LT"/>
        </w:rPr>
        <w:t>12.</w:t>
      </w:r>
      <w:r>
        <w:rPr>
          <w:b/>
          <w:szCs w:val="22"/>
          <w:lang w:val="lt-LT"/>
        </w:rPr>
        <w:tab/>
        <w:t xml:space="preserve">REGISTRACIJOS PAŽYMĖJIMO </w:t>
      </w:r>
      <w:r>
        <w:rPr>
          <w:b/>
          <w:caps/>
          <w:szCs w:val="22"/>
          <w:lang w:val="lt-LT"/>
        </w:rPr>
        <w:t>numeris (-IAI)</w:t>
      </w:r>
    </w:p>
    <w:p w14:paraId="0B604AAC" w14:textId="77777777" w:rsidR="00290E64" w:rsidRDefault="00290E64" w:rsidP="00290E64">
      <w:pPr>
        <w:tabs>
          <w:tab w:val="clear" w:pos="567"/>
          <w:tab w:val="left" w:pos="720"/>
        </w:tabs>
        <w:spacing w:line="240" w:lineRule="auto"/>
        <w:rPr>
          <w:szCs w:val="22"/>
          <w:lang w:val="lt-LT"/>
        </w:rPr>
      </w:pPr>
    </w:p>
    <w:p w14:paraId="081D4C74" w14:textId="77777777" w:rsidR="00290E64" w:rsidRDefault="00290E64" w:rsidP="00290E64">
      <w:pPr>
        <w:tabs>
          <w:tab w:val="clear" w:pos="567"/>
          <w:tab w:val="left" w:pos="1296"/>
        </w:tabs>
        <w:spacing w:line="240" w:lineRule="auto"/>
        <w:outlineLvl w:val="0"/>
        <w:rPr>
          <w:bCs/>
          <w:szCs w:val="22"/>
          <w:lang w:val="lt-LT"/>
        </w:rPr>
      </w:pPr>
      <w:r>
        <w:rPr>
          <w:bCs/>
          <w:szCs w:val="22"/>
          <w:lang w:val="lt-LT"/>
        </w:rPr>
        <w:t>LT/1/97/1240/003</w:t>
      </w:r>
    </w:p>
    <w:p w14:paraId="670AB8CF" w14:textId="77777777" w:rsidR="00290E64" w:rsidRDefault="00290E64" w:rsidP="00290E64">
      <w:pPr>
        <w:tabs>
          <w:tab w:val="clear" w:pos="567"/>
          <w:tab w:val="left" w:pos="720"/>
        </w:tabs>
        <w:spacing w:line="240" w:lineRule="auto"/>
        <w:outlineLvl w:val="0"/>
        <w:rPr>
          <w:szCs w:val="22"/>
          <w:lang w:val="lt-LT"/>
        </w:rPr>
      </w:pPr>
    </w:p>
    <w:p w14:paraId="2160BFA8" w14:textId="77777777" w:rsidR="00290E64" w:rsidRDefault="00290E64" w:rsidP="00290E64">
      <w:pPr>
        <w:tabs>
          <w:tab w:val="clear" w:pos="567"/>
          <w:tab w:val="left" w:pos="720"/>
        </w:tabs>
        <w:spacing w:line="240" w:lineRule="auto"/>
        <w:rPr>
          <w:szCs w:val="22"/>
          <w:lang w:val="lt-LT"/>
        </w:rPr>
      </w:pPr>
    </w:p>
    <w:p w14:paraId="17A55D6F"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Pr>
          <w:b/>
          <w:szCs w:val="22"/>
          <w:lang w:val="lt-LT"/>
        </w:rPr>
        <w:t>13.</w:t>
      </w:r>
      <w:r>
        <w:rPr>
          <w:b/>
          <w:szCs w:val="22"/>
          <w:lang w:val="lt-LT"/>
        </w:rPr>
        <w:tab/>
        <w:t>SERIJOS NUMERIS</w:t>
      </w:r>
    </w:p>
    <w:p w14:paraId="3DFE3727" w14:textId="77777777" w:rsidR="00290E64" w:rsidRDefault="00290E64" w:rsidP="00290E64">
      <w:pPr>
        <w:tabs>
          <w:tab w:val="clear" w:pos="567"/>
          <w:tab w:val="left" w:pos="720"/>
        </w:tabs>
        <w:spacing w:line="240" w:lineRule="auto"/>
        <w:rPr>
          <w:szCs w:val="22"/>
          <w:lang w:val="lt-LT"/>
        </w:rPr>
      </w:pPr>
    </w:p>
    <w:p w14:paraId="5C96A61D" w14:textId="77777777" w:rsidR="00290E64" w:rsidRDefault="00290E64" w:rsidP="00290E64">
      <w:pPr>
        <w:tabs>
          <w:tab w:val="clear" w:pos="567"/>
          <w:tab w:val="left" w:pos="720"/>
        </w:tabs>
        <w:spacing w:line="240" w:lineRule="auto"/>
        <w:outlineLvl w:val="0"/>
        <w:rPr>
          <w:szCs w:val="22"/>
          <w:lang w:val="lt-LT"/>
        </w:rPr>
      </w:pPr>
      <w:r>
        <w:rPr>
          <w:szCs w:val="22"/>
          <w:lang w:val="lt-LT"/>
        </w:rPr>
        <w:t>Lot</w:t>
      </w:r>
    </w:p>
    <w:p w14:paraId="1A6F834D" w14:textId="77777777" w:rsidR="00290E64" w:rsidRDefault="00290E64" w:rsidP="00290E64">
      <w:pPr>
        <w:tabs>
          <w:tab w:val="clear" w:pos="567"/>
          <w:tab w:val="left" w:pos="720"/>
        </w:tabs>
        <w:spacing w:line="240" w:lineRule="auto"/>
        <w:outlineLvl w:val="0"/>
        <w:rPr>
          <w:szCs w:val="22"/>
          <w:lang w:val="lt-LT"/>
        </w:rPr>
      </w:pPr>
    </w:p>
    <w:p w14:paraId="430CCF81" w14:textId="77777777" w:rsidR="00290E64" w:rsidRDefault="00290E64" w:rsidP="00290E64">
      <w:pPr>
        <w:tabs>
          <w:tab w:val="clear" w:pos="567"/>
          <w:tab w:val="left" w:pos="720"/>
        </w:tabs>
        <w:spacing w:line="240" w:lineRule="auto"/>
        <w:rPr>
          <w:szCs w:val="22"/>
          <w:lang w:val="lt-LT"/>
        </w:rPr>
      </w:pPr>
    </w:p>
    <w:p w14:paraId="5D8159FC"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Pr>
          <w:b/>
          <w:szCs w:val="22"/>
          <w:lang w:val="lt-LT"/>
        </w:rPr>
        <w:t>14.</w:t>
      </w:r>
      <w:r>
        <w:rPr>
          <w:b/>
          <w:szCs w:val="22"/>
          <w:lang w:val="lt-LT"/>
        </w:rPr>
        <w:tab/>
        <w:t xml:space="preserve">PARDAVIMO (IŠDAVIMO) </w:t>
      </w:r>
      <w:r>
        <w:rPr>
          <w:b/>
          <w:caps/>
          <w:szCs w:val="22"/>
          <w:lang w:val="lt-LT"/>
        </w:rPr>
        <w:t>tvarka</w:t>
      </w:r>
    </w:p>
    <w:p w14:paraId="4665F562" w14:textId="77777777" w:rsidR="00290E64" w:rsidRDefault="00290E64" w:rsidP="00290E64">
      <w:pPr>
        <w:tabs>
          <w:tab w:val="clear" w:pos="567"/>
          <w:tab w:val="left" w:pos="720"/>
        </w:tabs>
        <w:spacing w:line="240" w:lineRule="auto"/>
        <w:rPr>
          <w:szCs w:val="22"/>
          <w:lang w:val="lt-LT"/>
        </w:rPr>
      </w:pPr>
    </w:p>
    <w:p w14:paraId="50838C77" w14:textId="77777777" w:rsidR="00290E64" w:rsidRDefault="00290E64" w:rsidP="00290E64">
      <w:pPr>
        <w:spacing w:line="240" w:lineRule="auto"/>
        <w:ind w:left="567" w:hanging="567"/>
        <w:outlineLvl w:val="0"/>
        <w:rPr>
          <w:szCs w:val="22"/>
          <w:lang w:val="lt-LT"/>
        </w:rPr>
      </w:pPr>
      <w:r>
        <w:rPr>
          <w:szCs w:val="22"/>
          <w:lang w:val="lt-LT"/>
        </w:rPr>
        <w:t>Receptinis vaistas</w:t>
      </w:r>
    </w:p>
    <w:p w14:paraId="61B07F3B" w14:textId="77777777" w:rsidR="00290E64" w:rsidRDefault="00290E64" w:rsidP="00290E64">
      <w:pPr>
        <w:spacing w:line="240" w:lineRule="auto"/>
        <w:ind w:left="567" w:hanging="567"/>
        <w:outlineLvl w:val="0"/>
        <w:rPr>
          <w:szCs w:val="22"/>
          <w:lang w:val="lt-LT"/>
        </w:rPr>
      </w:pPr>
    </w:p>
    <w:p w14:paraId="4B0DD7A5" w14:textId="77777777" w:rsidR="00290E64" w:rsidRDefault="00290E64" w:rsidP="00290E64">
      <w:pPr>
        <w:spacing w:line="240" w:lineRule="auto"/>
        <w:ind w:left="567" w:hanging="567"/>
        <w:rPr>
          <w:szCs w:val="22"/>
          <w:lang w:val="lt-LT"/>
        </w:rPr>
      </w:pPr>
    </w:p>
    <w:p w14:paraId="6D16AD48"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Pr>
          <w:b/>
          <w:szCs w:val="22"/>
          <w:lang w:val="lt-LT"/>
        </w:rPr>
        <w:t>15.</w:t>
      </w:r>
      <w:r>
        <w:rPr>
          <w:b/>
          <w:szCs w:val="22"/>
          <w:lang w:val="lt-LT"/>
        </w:rPr>
        <w:tab/>
      </w:r>
      <w:r>
        <w:rPr>
          <w:b/>
          <w:caps/>
          <w:szCs w:val="22"/>
          <w:lang w:val="lt-LT"/>
        </w:rPr>
        <w:t>vartojimo instrukcijA</w:t>
      </w:r>
    </w:p>
    <w:p w14:paraId="1A0282EB" w14:textId="77777777" w:rsidR="00290E64" w:rsidRDefault="00290E64" w:rsidP="00290E64">
      <w:pPr>
        <w:tabs>
          <w:tab w:val="clear" w:pos="567"/>
          <w:tab w:val="left" w:pos="720"/>
        </w:tabs>
        <w:spacing w:line="240" w:lineRule="auto"/>
        <w:rPr>
          <w:szCs w:val="22"/>
          <w:lang w:val="lt-LT"/>
        </w:rPr>
      </w:pPr>
    </w:p>
    <w:p w14:paraId="6D652A3D" w14:textId="77777777" w:rsidR="00290E64" w:rsidRDefault="00290E64" w:rsidP="00290E64">
      <w:pPr>
        <w:tabs>
          <w:tab w:val="clear" w:pos="567"/>
          <w:tab w:val="left" w:pos="720"/>
        </w:tabs>
        <w:spacing w:line="240" w:lineRule="auto"/>
        <w:rPr>
          <w:szCs w:val="22"/>
          <w:lang w:val="lt-LT"/>
        </w:rPr>
      </w:pPr>
      <w:r>
        <w:rPr>
          <w:noProof/>
          <w:szCs w:val="22"/>
          <w:highlight w:val="lightGray"/>
          <w:lang w:val="lt-LT"/>
        </w:rPr>
        <w:t>Tabletę ištirpinti prieš pat vartojimą 120 ml vandens</w:t>
      </w:r>
      <w:r>
        <w:rPr>
          <w:szCs w:val="22"/>
          <w:highlight w:val="lightGray"/>
          <w:lang w:val="lt-LT"/>
        </w:rPr>
        <w:t>.</w:t>
      </w:r>
    </w:p>
    <w:p w14:paraId="5D126131" w14:textId="77777777" w:rsidR="00290E64" w:rsidRDefault="00290E64" w:rsidP="00290E64">
      <w:pPr>
        <w:tabs>
          <w:tab w:val="clear" w:pos="567"/>
          <w:tab w:val="left" w:pos="720"/>
        </w:tabs>
        <w:spacing w:line="240" w:lineRule="auto"/>
        <w:rPr>
          <w:szCs w:val="22"/>
          <w:lang w:val="lt-LT"/>
        </w:rPr>
      </w:pPr>
    </w:p>
    <w:p w14:paraId="25277888" w14:textId="77777777" w:rsidR="00290E64" w:rsidRDefault="00290E64" w:rsidP="00290E64">
      <w:pPr>
        <w:tabs>
          <w:tab w:val="clear" w:pos="567"/>
          <w:tab w:val="left" w:pos="720"/>
        </w:tabs>
        <w:spacing w:line="240" w:lineRule="auto"/>
        <w:rPr>
          <w:szCs w:val="22"/>
          <w:lang w:val="lt-LT"/>
        </w:rPr>
      </w:pPr>
    </w:p>
    <w:p w14:paraId="7647CA2D" w14:textId="77777777" w:rsidR="00290E64" w:rsidRDefault="00290E64" w:rsidP="00290E64">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Pr>
          <w:b/>
          <w:szCs w:val="22"/>
          <w:lang w:val="lt-LT"/>
        </w:rPr>
        <w:t>16.</w:t>
      </w:r>
      <w:r>
        <w:rPr>
          <w:b/>
          <w:szCs w:val="22"/>
          <w:lang w:val="lt-LT"/>
        </w:rPr>
        <w:tab/>
        <w:t>INFORMACIJA BRAILIO RAŠTU</w:t>
      </w:r>
    </w:p>
    <w:p w14:paraId="3B241935" w14:textId="77777777" w:rsidR="00290E64" w:rsidRDefault="00290E64" w:rsidP="00290E64">
      <w:pPr>
        <w:spacing w:line="240" w:lineRule="auto"/>
        <w:rPr>
          <w:b/>
          <w:szCs w:val="22"/>
          <w:lang w:val="lt-LT"/>
        </w:rPr>
      </w:pPr>
    </w:p>
    <w:p w14:paraId="72E7DFA4" w14:textId="77777777" w:rsidR="00290E64" w:rsidRDefault="00290E64" w:rsidP="00290E64">
      <w:pPr>
        <w:pStyle w:val="EMEABodyText"/>
        <w:rPr>
          <w:lang w:val="lt-LT"/>
        </w:rPr>
      </w:pPr>
      <w:r>
        <w:rPr>
          <w:lang w:val="lt-LT"/>
        </w:rPr>
        <w:t>duracef 1 g</w:t>
      </w:r>
    </w:p>
    <w:p w14:paraId="447B8B2B" w14:textId="77777777" w:rsidR="00290E64" w:rsidRDefault="00290E64" w:rsidP="00290E64">
      <w:pPr>
        <w:pStyle w:val="EMEABodyText"/>
        <w:rPr>
          <w:lang w:val="lt-LT"/>
        </w:rPr>
      </w:pPr>
    </w:p>
    <w:p w14:paraId="5296BC5F" w14:textId="77777777" w:rsidR="00290E64" w:rsidRDefault="00290E64" w:rsidP="00290E64">
      <w:pPr>
        <w:pStyle w:val="EMEABodyText"/>
        <w:rPr>
          <w:lang w:val="lt-LT"/>
        </w:rPr>
      </w:pPr>
    </w:p>
    <w:p w14:paraId="7BC57AD9" w14:textId="77777777" w:rsidR="00290E64" w:rsidRDefault="00290E64" w:rsidP="00290E64">
      <w:pPr>
        <w:pBdr>
          <w:top w:val="single" w:sz="4" w:space="1" w:color="auto"/>
          <w:left w:val="single" w:sz="4" w:space="4" w:color="auto"/>
          <w:bottom w:val="single" w:sz="4" w:space="1" w:color="auto"/>
          <w:right w:val="single" w:sz="4" w:space="4" w:color="auto"/>
        </w:pBdr>
        <w:tabs>
          <w:tab w:val="left" w:pos="540"/>
        </w:tabs>
        <w:spacing w:line="240" w:lineRule="auto"/>
        <w:outlineLvl w:val="0"/>
        <w:rPr>
          <w:rFonts w:eastAsia="Times New Roman"/>
          <w:b/>
          <w:szCs w:val="22"/>
          <w:lang w:val="lt-LT"/>
        </w:rPr>
      </w:pPr>
      <w:r>
        <w:rPr>
          <w:rFonts w:eastAsia="Times New Roman"/>
          <w:b/>
          <w:szCs w:val="22"/>
          <w:lang w:val="lt-LT"/>
        </w:rPr>
        <w:t>17.</w:t>
      </w:r>
      <w:r>
        <w:rPr>
          <w:rFonts w:eastAsia="Times New Roman"/>
          <w:b/>
          <w:szCs w:val="22"/>
          <w:lang w:val="lt-LT"/>
        </w:rPr>
        <w:tab/>
        <w:t>UNIKALUS IDENTIFIKATORIUS – 2D BRŪKŠNINIS KODAS</w:t>
      </w:r>
    </w:p>
    <w:p w14:paraId="6206DE13" w14:textId="77777777" w:rsidR="00290E64" w:rsidRDefault="00290E64" w:rsidP="00290E64">
      <w:pPr>
        <w:tabs>
          <w:tab w:val="clear" w:pos="567"/>
          <w:tab w:val="left" w:pos="1296"/>
        </w:tabs>
        <w:spacing w:line="276" w:lineRule="auto"/>
        <w:rPr>
          <w:rFonts w:eastAsiaTheme="minorHAnsi"/>
          <w:noProof/>
          <w:lang w:val="lt-LT"/>
        </w:rPr>
      </w:pPr>
    </w:p>
    <w:p w14:paraId="3C8279DC" w14:textId="77777777" w:rsidR="00290E64" w:rsidRDefault="00290E64" w:rsidP="00290E64">
      <w:pPr>
        <w:tabs>
          <w:tab w:val="clear" w:pos="567"/>
          <w:tab w:val="left" w:pos="1296"/>
        </w:tabs>
        <w:spacing w:line="276" w:lineRule="auto"/>
        <w:rPr>
          <w:rFonts w:eastAsiaTheme="minorHAnsi"/>
          <w:noProof/>
          <w:szCs w:val="22"/>
          <w:shd w:val="clear" w:color="auto" w:fill="CCCCCC"/>
          <w:lang w:val="lt-LT"/>
        </w:rPr>
      </w:pPr>
      <w:r>
        <w:rPr>
          <w:rFonts w:eastAsiaTheme="minorHAnsi"/>
          <w:noProof/>
          <w:szCs w:val="22"/>
          <w:highlight w:val="lightGray"/>
          <w:lang w:val="lt-LT"/>
        </w:rPr>
        <w:t>2D brūkšninis kodas su nurodytu unikaliu identifikatoriumi.</w:t>
      </w:r>
    </w:p>
    <w:p w14:paraId="7489C988" w14:textId="77777777" w:rsidR="00290E64" w:rsidRDefault="00290E64" w:rsidP="00290E64">
      <w:pPr>
        <w:tabs>
          <w:tab w:val="clear" w:pos="567"/>
          <w:tab w:val="left" w:pos="1296"/>
        </w:tabs>
        <w:spacing w:line="276" w:lineRule="auto"/>
        <w:rPr>
          <w:rFonts w:eastAsiaTheme="minorHAnsi"/>
          <w:noProof/>
          <w:lang w:val="lt-LT"/>
        </w:rPr>
      </w:pPr>
    </w:p>
    <w:p w14:paraId="650553BA" w14:textId="77777777" w:rsidR="00290E64" w:rsidRDefault="00290E64" w:rsidP="00290E64">
      <w:pPr>
        <w:tabs>
          <w:tab w:val="clear" w:pos="567"/>
          <w:tab w:val="left" w:pos="1296"/>
        </w:tabs>
        <w:spacing w:line="276" w:lineRule="auto"/>
        <w:rPr>
          <w:rFonts w:eastAsiaTheme="minorHAnsi"/>
          <w:noProof/>
          <w:szCs w:val="22"/>
          <w:lang w:val="lt-LT"/>
        </w:rPr>
      </w:pPr>
    </w:p>
    <w:p w14:paraId="1869E103" w14:textId="77777777" w:rsidR="00290E64" w:rsidRDefault="00290E64" w:rsidP="00290E64">
      <w:pPr>
        <w:pBdr>
          <w:top w:val="single" w:sz="4" w:space="1" w:color="auto"/>
          <w:left w:val="single" w:sz="4" w:space="4" w:color="auto"/>
          <w:bottom w:val="single" w:sz="4" w:space="1" w:color="auto"/>
          <w:right w:val="single" w:sz="4" w:space="4" w:color="auto"/>
        </w:pBdr>
        <w:tabs>
          <w:tab w:val="left" w:pos="540"/>
        </w:tabs>
        <w:spacing w:line="240" w:lineRule="auto"/>
        <w:outlineLvl w:val="0"/>
        <w:rPr>
          <w:rFonts w:eastAsia="Times New Roman"/>
          <w:b/>
          <w:szCs w:val="22"/>
          <w:lang w:val="lt-LT"/>
        </w:rPr>
      </w:pPr>
      <w:r>
        <w:rPr>
          <w:rFonts w:eastAsia="Times New Roman"/>
          <w:b/>
          <w:szCs w:val="22"/>
          <w:lang w:val="lt-LT"/>
        </w:rPr>
        <w:t>18.</w:t>
      </w:r>
      <w:r>
        <w:rPr>
          <w:rFonts w:eastAsia="Times New Roman"/>
          <w:b/>
          <w:szCs w:val="22"/>
          <w:lang w:val="lt-LT"/>
        </w:rPr>
        <w:tab/>
        <w:t>UNIKALUS IDENTIFIKATORIUS – ŽMONĖMS SUPRANTAMI DUOMENYS</w:t>
      </w:r>
    </w:p>
    <w:p w14:paraId="30E9ECC8" w14:textId="77777777" w:rsidR="00290E64" w:rsidRDefault="00290E64" w:rsidP="00290E64">
      <w:pPr>
        <w:tabs>
          <w:tab w:val="clear" w:pos="567"/>
          <w:tab w:val="left" w:pos="1296"/>
        </w:tabs>
        <w:spacing w:line="276" w:lineRule="auto"/>
        <w:rPr>
          <w:rFonts w:eastAsiaTheme="minorHAnsi"/>
          <w:noProof/>
          <w:szCs w:val="22"/>
          <w:lang w:val="lt-LT"/>
        </w:rPr>
      </w:pPr>
    </w:p>
    <w:p w14:paraId="192D9371" w14:textId="77777777" w:rsidR="00290E64" w:rsidRDefault="00290E64" w:rsidP="00290E64">
      <w:pPr>
        <w:tabs>
          <w:tab w:val="clear" w:pos="567"/>
          <w:tab w:val="left" w:pos="1296"/>
        </w:tabs>
        <w:spacing w:line="276" w:lineRule="auto"/>
        <w:rPr>
          <w:rFonts w:eastAsiaTheme="minorHAnsi"/>
          <w:color w:val="008000"/>
          <w:szCs w:val="22"/>
          <w:lang w:val="lt-LT"/>
        </w:rPr>
      </w:pPr>
      <w:r>
        <w:rPr>
          <w:rFonts w:eastAsiaTheme="minorHAnsi"/>
          <w:szCs w:val="22"/>
          <w:lang w:val="lt-LT"/>
        </w:rPr>
        <w:t>PC: {numeris}</w:t>
      </w:r>
    </w:p>
    <w:p w14:paraId="047E2747" w14:textId="77777777" w:rsidR="00290E64" w:rsidRDefault="00290E64" w:rsidP="00290E64">
      <w:pPr>
        <w:tabs>
          <w:tab w:val="clear" w:pos="567"/>
          <w:tab w:val="left" w:pos="1296"/>
        </w:tabs>
        <w:spacing w:line="276" w:lineRule="auto"/>
        <w:rPr>
          <w:rFonts w:eastAsiaTheme="minorHAnsi"/>
          <w:szCs w:val="22"/>
          <w:lang w:val="lt-LT"/>
        </w:rPr>
      </w:pPr>
      <w:r>
        <w:rPr>
          <w:rFonts w:eastAsiaTheme="minorHAnsi"/>
          <w:szCs w:val="22"/>
          <w:lang w:val="lt-LT"/>
        </w:rPr>
        <w:t>SN: {numeris}</w:t>
      </w:r>
    </w:p>
    <w:p w14:paraId="76B57E5F" w14:textId="77777777" w:rsidR="00290E64" w:rsidRDefault="00290E64" w:rsidP="00290E64">
      <w:pPr>
        <w:tabs>
          <w:tab w:val="clear" w:pos="567"/>
          <w:tab w:val="left" w:pos="1296"/>
        </w:tabs>
        <w:spacing w:line="276" w:lineRule="auto"/>
        <w:rPr>
          <w:rFonts w:eastAsiaTheme="minorHAnsi"/>
          <w:szCs w:val="22"/>
          <w:lang w:val="lt-LT"/>
        </w:rPr>
      </w:pPr>
      <w:r>
        <w:rPr>
          <w:rFonts w:eastAsiaTheme="minorHAnsi"/>
          <w:szCs w:val="22"/>
          <w:highlight w:val="lightGray"/>
          <w:lang w:val="lt-LT"/>
        </w:rPr>
        <w:t>NN: {numeris}</w:t>
      </w:r>
    </w:p>
    <w:p w14:paraId="2BBDE977" w14:textId="77777777" w:rsidR="00290E64" w:rsidRDefault="00290E64" w:rsidP="00290E64">
      <w:pPr>
        <w:tabs>
          <w:tab w:val="clear" w:pos="567"/>
          <w:tab w:val="left" w:pos="1296"/>
        </w:tabs>
        <w:spacing w:line="276" w:lineRule="auto"/>
        <w:rPr>
          <w:rFonts w:eastAsiaTheme="minorHAnsi"/>
          <w:noProof/>
          <w:vanish/>
          <w:szCs w:val="22"/>
          <w:lang w:val="lt-LT"/>
        </w:rPr>
      </w:pPr>
    </w:p>
    <w:p w14:paraId="2FB243E3" w14:textId="77777777" w:rsidR="00290E64" w:rsidRDefault="00290E64" w:rsidP="00290E64">
      <w:pPr>
        <w:tabs>
          <w:tab w:val="clear" w:pos="567"/>
          <w:tab w:val="left" w:pos="1296"/>
        </w:tabs>
        <w:spacing w:line="276" w:lineRule="auto"/>
        <w:rPr>
          <w:rFonts w:asciiTheme="minorHAnsi" w:eastAsiaTheme="minorHAnsi" w:hAnsiTheme="minorHAnsi" w:cstheme="minorBidi"/>
          <w:noProof/>
          <w:vanish/>
          <w:szCs w:val="22"/>
          <w:lang w:val="lt-LT"/>
        </w:rPr>
      </w:pPr>
    </w:p>
    <w:p w14:paraId="64E32425" w14:textId="77777777" w:rsidR="00290E64" w:rsidRDefault="00290E64" w:rsidP="00290E64">
      <w:pPr>
        <w:pStyle w:val="EMEABodyText"/>
        <w:rPr>
          <w:lang w:val="lt-LT"/>
        </w:rPr>
      </w:pPr>
    </w:p>
    <w:p w14:paraId="78EE809F" w14:textId="77777777" w:rsidR="00290E64" w:rsidRDefault="00290E64" w:rsidP="00290E64">
      <w:pPr>
        <w:pStyle w:val="EMEABodyText"/>
        <w:rPr>
          <w:lang w:val="lt-LT"/>
        </w:rPr>
      </w:pPr>
    </w:p>
    <w:p w14:paraId="70C94427" w14:textId="77777777" w:rsidR="00290E64" w:rsidRDefault="00290E64" w:rsidP="00290E64">
      <w:pPr>
        <w:pStyle w:val="EMEABodyText"/>
        <w:rPr>
          <w:lang w:val="lt-LT"/>
        </w:rPr>
      </w:pPr>
    </w:p>
    <w:p w14:paraId="744877B0" w14:textId="77777777" w:rsidR="00290E64" w:rsidRDefault="00290E64" w:rsidP="00290E64">
      <w:pPr>
        <w:pStyle w:val="EMEABodyText"/>
        <w:rPr>
          <w:lang w:val="lt-LT"/>
        </w:rPr>
      </w:pPr>
    </w:p>
    <w:p w14:paraId="1B248DF4" w14:textId="77777777" w:rsidR="00290E64" w:rsidRDefault="00290E64" w:rsidP="00290E64">
      <w:pPr>
        <w:pStyle w:val="EMEABodyText"/>
        <w:rPr>
          <w:lang w:val="lt-LT"/>
        </w:rPr>
      </w:pPr>
    </w:p>
    <w:p w14:paraId="64669C96" w14:textId="77777777" w:rsidR="00290E64" w:rsidRDefault="00290E64" w:rsidP="00290E64">
      <w:pPr>
        <w:pStyle w:val="EMEABodyText"/>
        <w:rPr>
          <w:lang w:val="lt-LT"/>
        </w:rPr>
      </w:pPr>
    </w:p>
    <w:p w14:paraId="4F920341" w14:textId="77777777" w:rsidR="00290E64" w:rsidRDefault="00290E64" w:rsidP="00290E64">
      <w:pPr>
        <w:pStyle w:val="EMEABodyText"/>
        <w:rPr>
          <w:lang w:val="lt-LT"/>
        </w:rPr>
      </w:pPr>
    </w:p>
    <w:p w14:paraId="2F93A982" w14:textId="77777777" w:rsidR="00290E64" w:rsidRDefault="00290E64" w:rsidP="00290E64">
      <w:pPr>
        <w:pStyle w:val="EMEABodyText"/>
        <w:rPr>
          <w:lang w:val="lt-LT"/>
        </w:rPr>
      </w:pPr>
    </w:p>
    <w:p w14:paraId="4EDAB259" w14:textId="77777777" w:rsidR="00290E64" w:rsidRDefault="00290E64" w:rsidP="00290E64">
      <w:pPr>
        <w:pStyle w:val="EMEABodyText"/>
        <w:rPr>
          <w:lang w:val="lt-LT"/>
        </w:rPr>
      </w:pPr>
    </w:p>
    <w:p w14:paraId="36F8DD2B" w14:textId="77777777" w:rsidR="00290E64" w:rsidRDefault="00290E64" w:rsidP="00290E64">
      <w:pPr>
        <w:pStyle w:val="EMEABodyText"/>
        <w:rPr>
          <w:lang w:val="lt-LT"/>
        </w:rPr>
      </w:pPr>
    </w:p>
    <w:p w14:paraId="0449967D" w14:textId="77777777" w:rsidR="00290E64" w:rsidRDefault="00290E64" w:rsidP="00290E64">
      <w:pPr>
        <w:pStyle w:val="EMEABodyText"/>
        <w:rPr>
          <w:lang w:val="lt-LT"/>
        </w:rPr>
      </w:pPr>
    </w:p>
    <w:p w14:paraId="161EE10D" w14:textId="77777777" w:rsidR="00290E64" w:rsidRDefault="00290E64" w:rsidP="00290E64">
      <w:pPr>
        <w:pStyle w:val="EMEABodyText"/>
        <w:rPr>
          <w:lang w:val="lt-LT"/>
        </w:rPr>
      </w:pPr>
    </w:p>
    <w:p w14:paraId="39AC6692" w14:textId="77777777" w:rsidR="00290E64" w:rsidRDefault="00290E64" w:rsidP="00290E64">
      <w:pPr>
        <w:tabs>
          <w:tab w:val="clear" w:pos="567"/>
          <w:tab w:val="left" w:pos="720"/>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290E64" w14:paraId="0420ABF1" w14:textId="77777777" w:rsidTr="00290E64">
        <w:trPr>
          <w:trHeight w:val="785"/>
        </w:trPr>
        <w:tc>
          <w:tcPr>
            <w:tcW w:w="9287" w:type="dxa"/>
            <w:tcBorders>
              <w:top w:val="single" w:sz="4" w:space="0" w:color="auto"/>
              <w:left w:val="single" w:sz="4" w:space="0" w:color="auto"/>
              <w:bottom w:val="single" w:sz="4" w:space="0" w:color="auto"/>
              <w:right w:val="single" w:sz="4" w:space="0" w:color="auto"/>
            </w:tcBorders>
          </w:tcPr>
          <w:p w14:paraId="25E7C762" w14:textId="77777777" w:rsidR="00290E64" w:rsidRDefault="00290E64">
            <w:pPr>
              <w:spacing w:line="240" w:lineRule="auto"/>
              <w:rPr>
                <w:b/>
                <w:szCs w:val="22"/>
                <w:lang w:val="lt-LT"/>
              </w:rPr>
            </w:pPr>
            <w:r>
              <w:rPr>
                <w:b/>
                <w:szCs w:val="22"/>
                <w:lang w:val="lt-LT"/>
              </w:rPr>
              <w:t xml:space="preserve">MINIMALI </w:t>
            </w:r>
            <w:r>
              <w:rPr>
                <w:b/>
                <w:caps/>
                <w:szCs w:val="22"/>
                <w:lang w:val="lt-LT"/>
              </w:rPr>
              <w:t xml:space="preserve">informacija ant </w:t>
            </w:r>
            <w:r>
              <w:rPr>
                <w:b/>
                <w:szCs w:val="22"/>
                <w:lang w:val="lt-LT"/>
              </w:rPr>
              <w:t>LIZDINIŲ PLOKŠTELIŲ ARBA DVISLUOKSNIŲ JUOSTELIŲ</w:t>
            </w:r>
          </w:p>
          <w:p w14:paraId="47D8B3FF" w14:textId="77777777" w:rsidR="00290E64" w:rsidRDefault="00290E64">
            <w:pPr>
              <w:spacing w:line="240" w:lineRule="auto"/>
              <w:rPr>
                <w:b/>
                <w:szCs w:val="22"/>
                <w:lang w:val="lt-LT"/>
              </w:rPr>
            </w:pPr>
          </w:p>
          <w:p w14:paraId="5F7E1CB8" w14:textId="77777777" w:rsidR="00290E64" w:rsidRDefault="00290E64">
            <w:pPr>
              <w:spacing w:line="240" w:lineRule="auto"/>
              <w:rPr>
                <w:b/>
                <w:szCs w:val="22"/>
                <w:lang w:val="lt-LT"/>
              </w:rPr>
            </w:pPr>
            <w:r>
              <w:rPr>
                <w:b/>
                <w:szCs w:val="22"/>
                <w:lang w:val="lt-LT"/>
              </w:rPr>
              <w:t>DVISLUOKSNĖ JUOSTELĖ</w:t>
            </w:r>
          </w:p>
        </w:tc>
      </w:tr>
    </w:tbl>
    <w:p w14:paraId="74710202" w14:textId="77777777" w:rsidR="00290E64" w:rsidRDefault="00290E64" w:rsidP="00290E64">
      <w:pPr>
        <w:tabs>
          <w:tab w:val="clear" w:pos="567"/>
          <w:tab w:val="left" w:pos="720"/>
        </w:tabs>
        <w:spacing w:line="240" w:lineRule="auto"/>
        <w:rPr>
          <w:b/>
          <w:szCs w:val="22"/>
          <w:lang w:val="lt-LT"/>
        </w:rPr>
      </w:pPr>
    </w:p>
    <w:p w14:paraId="2E66EF2E" w14:textId="77777777" w:rsidR="00290E64" w:rsidRDefault="00290E64" w:rsidP="00290E64">
      <w:pPr>
        <w:tabs>
          <w:tab w:val="clear" w:pos="567"/>
          <w:tab w:val="left" w:pos="720"/>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290E64" w14:paraId="193D5425" w14:textId="77777777" w:rsidTr="00290E64">
        <w:tc>
          <w:tcPr>
            <w:tcW w:w="9287" w:type="dxa"/>
            <w:tcBorders>
              <w:top w:val="single" w:sz="4" w:space="0" w:color="auto"/>
              <w:left w:val="single" w:sz="4" w:space="0" w:color="auto"/>
              <w:bottom w:val="single" w:sz="4" w:space="0" w:color="auto"/>
              <w:right w:val="single" w:sz="4" w:space="0" w:color="auto"/>
            </w:tcBorders>
            <w:hideMark/>
          </w:tcPr>
          <w:p w14:paraId="3DF27348" w14:textId="77777777" w:rsidR="00290E64" w:rsidRDefault="00290E64">
            <w:pPr>
              <w:tabs>
                <w:tab w:val="left" w:pos="142"/>
              </w:tabs>
              <w:spacing w:line="240" w:lineRule="auto"/>
              <w:ind w:left="567" w:hanging="567"/>
              <w:rPr>
                <w:b/>
                <w:szCs w:val="22"/>
                <w:lang w:val="lt-LT"/>
              </w:rPr>
            </w:pPr>
            <w:r>
              <w:rPr>
                <w:b/>
                <w:szCs w:val="22"/>
                <w:lang w:val="lt-LT"/>
              </w:rPr>
              <w:t>1.</w:t>
            </w:r>
            <w:r>
              <w:rPr>
                <w:b/>
                <w:szCs w:val="22"/>
                <w:lang w:val="lt-LT"/>
              </w:rPr>
              <w:tab/>
            </w:r>
            <w:r>
              <w:rPr>
                <w:b/>
                <w:caps/>
                <w:szCs w:val="22"/>
                <w:lang w:val="lt-LT"/>
              </w:rPr>
              <w:t>Vaistinio preparato pavadinimas</w:t>
            </w:r>
          </w:p>
        </w:tc>
      </w:tr>
    </w:tbl>
    <w:p w14:paraId="60D1D1C0" w14:textId="77777777" w:rsidR="00290E64" w:rsidRDefault="00290E64" w:rsidP="00290E64">
      <w:pPr>
        <w:tabs>
          <w:tab w:val="clear" w:pos="567"/>
          <w:tab w:val="left" w:pos="720"/>
        </w:tabs>
        <w:spacing w:line="240" w:lineRule="auto"/>
        <w:ind w:left="567" w:hanging="567"/>
        <w:rPr>
          <w:szCs w:val="22"/>
          <w:lang w:val="lt-LT"/>
        </w:rPr>
      </w:pPr>
    </w:p>
    <w:p w14:paraId="6C68A96F" w14:textId="77777777" w:rsidR="00290E64" w:rsidRDefault="00290E64" w:rsidP="00290E64">
      <w:pPr>
        <w:tabs>
          <w:tab w:val="clear" w:pos="567"/>
          <w:tab w:val="left" w:pos="720"/>
        </w:tabs>
        <w:spacing w:line="240" w:lineRule="auto"/>
        <w:outlineLvl w:val="0"/>
        <w:rPr>
          <w:szCs w:val="22"/>
          <w:lang w:val="lt-LT"/>
        </w:rPr>
      </w:pPr>
      <w:r>
        <w:rPr>
          <w:szCs w:val="22"/>
          <w:lang w:val="lt-LT"/>
        </w:rPr>
        <w:t>Duracef 1 g disperguojamosios tabletės</w:t>
      </w:r>
    </w:p>
    <w:p w14:paraId="0638FCBE" w14:textId="77777777" w:rsidR="00290E64" w:rsidRDefault="00290E64" w:rsidP="00290E64">
      <w:pPr>
        <w:tabs>
          <w:tab w:val="clear" w:pos="567"/>
          <w:tab w:val="left" w:pos="720"/>
        </w:tabs>
        <w:spacing w:line="240" w:lineRule="auto"/>
        <w:rPr>
          <w:szCs w:val="22"/>
          <w:lang w:val="lt-LT"/>
        </w:rPr>
      </w:pPr>
      <w:r>
        <w:rPr>
          <w:szCs w:val="22"/>
          <w:lang w:val="lt-LT"/>
        </w:rPr>
        <w:t>Cefadroxilum</w:t>
      </w:r>
    </w:p>
    <w:p w14:paraId="5344AA69" w14:textId="77777777" w:rsidR="00290E64" w:rsidRDefault="00290E64" w:rsidP="00290E64">
      <w:pPr>
        <w:tabs>
          <w:tab w:val="clear" w:pos="567"/>
          <w:tab w:val="left" w:pos="720"/>
        </w:tabs>
        <w:spacing w:line="240" w:lineRule="auto"/>
        <w:rPr>
          <w:szCs w:val="22"/>
          <w:lang w:val="lt-LT"/>
        </w:rPr>
      </w:pPr>
    </w:p>
    <w:p w14:paraId="0C4A707D" w14:textId="77777777" w:rsidR="00290E64" w:rsidRDefault="00290E64" w:rsidP="00290E64">
      <w:pPr>
        <w:tabs>
          <w:tab w:val="clear" w:pos="567"/>
          <w:tab w:val="left" w:pos="720"/>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290E64" w14:paraId="4C1DEFFB" w14:textId="77777777" w:rsidTr="00290E64">
        <w:tc>
          <w:tcPr>
            <w:tcW w:w="9287" w:type="dxa"/>
            <w:tcBorders>
              <w:top w:val="single" w:sz="4" w:space="0" w:color="auto"/>
              <w:left w:val="single" w:sz="4" w:space="0" w:color="auto"/>
              <w:bottom w:val="single" w:sz="4" w:space="0" w:color="auto"/>
              <w:right w:val="single" w:sz="4" w:space="0" w:color="auto"/>
            </w:tcBorders>
            <w:hideMark/>
          </w:tcPr>
          <w:p w14:paraId="1ECA25EE" w14:textId="77777777" w:rsidR="00290E64" w:rsidRDefault="00290E64">
            <w:pPr>
              <w:tabs>
                <w:tab w:val="left" w:pos="142"/>
              </w:tabs>
              <w:spacing w:line="240" w:lineRule="auto"/>
              <w:ind w:left="567" w:hanging="567"/>
              <w:rPr>
                <w:b/>
                <w:szCs w:val="22"/>
                <w:lang w:val="lt-LT"/>
              </w:rPr>
            </w:pPr>
            <w:r>
              <w:rPr>
                <w:b/>
                <w:szCs w:val="22"/>
                <w:lang w:val="lt-LT"/>
              </w:rPr>
              <w:t>2.</w:t>
            </w:r>
            <w:r>
              <w:rPr>
                <w:b/>
                <w:szCs w:val="22"/>
                <w:lang w:val="lt-LT"/>
              </w:rPr>
              <w:tab/>
            </w:r>
            <w:r>
              <w:rPr>
                <w:b/>
                <w:caps/>
                <w:szCs w:val="22"/>
                <w:lang w:val="lt-LT"/>
              </w:rPr>
              <w:t>rEGISTRUOTOJO pavadinimas</w:t>
            </w:r>
          </w:p>
        </w:tc>
      </w:tr>
    </w:tbl>
    <w:p w14:paraId="338C45D4" w14:textId="77777777" w:rsidR="00290E64" w:rsidRDefault="00290E64" w:rsidP="00290E64">
      <w:pPr>
        <w:tabs>
          <w:tab w:val="clear" w:pos="567"/>
          <w:tab w:val="left" w:pos="720"/>
        </w:tabs>
        <w:spacing w:line="240" w:lineRule="auto"/>
        <w:rPr>
          <w:b/>
          <w:szCs w:val="22"/>
          <w:lang w:val="lt-LT"/>
        </w:rPr>
      </w:pPr>
    </w:p>
    <w:p w14:paraId="275FA118" w14:textId="2C804C90" w:rsidR="00290E64" w:rsidRPr="007E1EEC" w:rsidRDefault="002A64C7" w:rsidP="007E1EEC">
      <w:pPr>
        <w:pStyle w:val="Betarp"/>
        <w:rPr>
          <w:lang w:val="lt-LT"/>
        </w:rPr>
      </w:pPr>
      <w:r w:rsidRPr="007E1EEC">
        <w:rPr>
          <w:rFonts w:ascii="Times New Roman" w:hAnsi="Times New Roman"/>
          <w:lang w:val="lt-LT"/>
        </w:rPr>
        <w:t xml:space="preserve">Bausch Health </w:t>
      </w:r>
      <w:r w:rsidRPr="007E1EEC">
        <w:rPr>
          <w:rFonts w:ascii="Times New Roman" w:hAnsi="Times New Roman"/>
          <w:highlight w:val="lightGray"/>
          <w:lang w:val="lt-LT"/>
        </w:rPr>
        <w:t>Ireland Limited</w:t>
      </w:r>
    </w:p>
    <w:p w14:paraId="1AB3EFB6" w14:textId="77777777" w:rsidR="00290E64" w:rsidRDefault="00290E64" w:rsidP="00290E64">
      <w:pPr>
        <w:tabs>
          <w:tab w:val="clear" w:pos="567"/>
          <w:tab w:val="left" w:pos="720"/>
        </w:tabs>
        <w:spacing w:line="240" w:lineRule="auto"/>
        <w:rPr>
          <w:b/>
          <w:szCs w:val="22"/>
          <w:lang w:val="lt-LT"/>
        </w:rPr>
      </w:pPr>
    </w:p>
    <w:p w14:paraId="03FFD25E" w14:textId="77777777" w:rsidR="00290E64" w:rsidRDefault="00290E64" w:rsidP="00290E64">
      <w:pPr>
        <w:tabs>
          <w:tab w:val="clear" w:pos="567"/>
          <w:tab w:val="left" w:pos="720"/>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290E64" w14:paraId="1C4E41CD" w14:textId="77777777" w:rsidTr="00290E64">
        <w:tc>
          <w:tcPr>
            <w:tcW w:w="9287" w:type="dxa"/>
            <w:tcBorders>
              <w:top w:val="single" w:sz="4" w:space="0" w:color="auto"/>
              <w:left w:val="single" w:sz="4" w:space="0" w:color="auto"/>
              <w:bottom w:val="single" w:sz="4" w:space="0" w:color="auto"/>
              <w:right w:val="single" w:sz="4" w:space="0" w:color="auto"/>
            </w:tcBorders>
            <w:hideMark/>
          </w:tcPr>
          <w:p w14:paraId="08360AF0" w14:textId="77777777" w:rsidR="00290E64" w:rsidRDefault="00290E64">
            <w:pPr>
              <w:tabs>
                <w:tab w:val="left" w:pos="142"/>
              </w:tabs>
              <w:spacing w:line="240" w:lineRule="auto"/>
              <w:ind w:left="567" w:hanging="567"/>
              <w:rPr>
                <w:b/>
                <w:szCs w:val="22"/>
                <w:lang w:val="lt-LT"/>
              </w:rPr>
            </w:pPr>
            <w:r>
              <w:rPr>
                <w:b/>
                <w:szCs w:val="22"/>
                <w:lang w:val="lt-LT"/>
              </w:rPr>
              <w:t>3.</w:t>
            </w:r>
            <w:r>
              <w:rPr>
                <w:b/>
                <w:szCs w:val="22"/>
                <w:lang w:val="lt-LT"/>
              </w:rPr>
              <w:tab/>
            </w:r>
            <w:r>
              <w:rPr>
                <w:b/>
                <w:caps/>
                <w:szCs w:val="22"/>
                <w:lang w:val="lt-LT"/>
              </w:rPr>
              <w:t>tinkamumo laikas</w:t>
            </w:r>
          </w:p>
        </w:tc>
      </w:tr>
    </w:tbl>
    <w:p w14:paraId="013F1A30" w14:textId="77777777" w:rsidR="00290E64" w:rsidRDefault="00290E64" w:rsidP="00290E64">
      <w:pPr>
        <w:tabs>
          <w:tab w:val="clear" w:pos="567"/>
          <w:tab w:val="left" w:pos="720"/>
        </w:tabs>
        <w:spacing w:line="240" w:lineRule="auto"/>
        <w:rPr>
          <w:b/>
          <w:szCs w:val="22"/>
          <w:lang w:val="lt-LT"/>
        </w:rPr>
      </w:pPr>
    </w:p>
    <w:p w14:paraId="6CDC4634" w14:textId="77777777" w:rsidR="00290E64" w:rsidRDefault="00290E64" w:rsidP="00290E64">
      <w:pPr>
        <w:tabs>
          <w:tab w:val="clear" w:pos="567"/>
          <w:tab w:val="left" w:pos="720"/>
        </w:tabs>
        <w:spacing w:line="240" w:lineRule="auto"/>
        <w:outlineLvl w:val="0"/>
        <w:rPr>
          <w:szCs w:val="22"/>
          <w:lang w:val="lt-LT"/>
        </w:rPr>
      </w:pPr>
      <w:r>
        <w:rPr>
          <w:szCs w:val="22"/>
          <w:lang w:val="lt-LT"/>
        </w:rPr>
        <w:t xml:space="preserve">EXP </w:t>
      </w:r>
      <w:r>
        <w:rPr>
          <w:rFonts w:ascii="Calibri" w:hAnsi="Calibri"/>
          <w:szCs w:val="22"/>
          <w:lang w:val="lt-LT"/>
        </w:rPr>
        <w:t>{</w:t>
      </w:r>
      <w:r>
        <w:rPr>
          <w:szCs w:val="22"/>
          <w:lang w:val="lt-LT"/>
        </w:rPr>
        <w:t>mm/MMMM</w:t>
      </w:r>
      <w:r>
        <w:rPr>
          <w:rFonts w:ascii="Calibri" w:hAnsi="Calibri"/>
          <w:szCs w:val="22"/>
          <w:lang w:val="lt-LT"/>
        </w:rPr>
        <w:t>}</w:t>
      </w:r>
    </w:p>
    <w:p w14:paraId="597E1D85" w14:textId="77777777" w:rsidR="00290E64" w:rsidRDefault="00290E64" w:rsidP="00290E64">
      <w:pPr>
        <w:tabs>
          <w:tab w:val="clear" w:pos="567"/>
          <w:tab w:val="left" w:pos="720"/>
        </w:tabs>
        <w:spacing w:line="240" w:lineRule="auto"/>
        <w:rPr>
          <w:szCs w:val="22"/>
          <w:lang w:val="lt-LT"/>
        </w:rPr>
      </w:pPr>
    </w:p>
    <w:p w14:paraId="563F5A98" w14:textId="77777777" w:rsidR="00290E64" w:rsidRDefault="00290E64" w:rsidP="00290E64">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290E64" w14:paraId="67F5EB80" w14:textId="77777777" w:rsidTr="00290E64">
        <w:tc>
          <w:tcPr>
            <w:tcW w:w="9287" w:type="dxa"/>
            <w:tcBorders>
              <w:top w:val="single" w:sz="4" w:space="0" w:color="auto"/>
              <w:left w:val="single" w:sz="4" w:space="0" w:color="auto"/>
              <w:bottom w:val="single" w:sz="4" w:space="0" w:color="auto"/>
              <w:right w:val="single" w:sz="4" w:space="0" w:color="auto"/>
            </w:tcBorders>
            <w:hideMark/>
          </w:tcPr>
          <w:p w14:paraId="57836CE8" w14:textId="77777777" w:rsidR="00290E64" w:rsidRDefault="00290E64">
            <w:pPr>
              <w:tabs>
                <w:tab w:val="left" w:pos="142"/>
              </w:tabs>
              <w:spacing w:line="240" w:lineRule="auto"/>
              <w:ind w:left="567" w:hanging="567"/>
              <w:rPr>
                <w:b/>
                <w:szCs w:val="22"/>
                <w:lang w:val="lt-LT"/>
              </w:rPr>
            </w:pPr>
            <w:r>
              <w:rPr>
                <w:b/>
                <w:szCs w:val="22"/>
                <w:lang w:val="lt-LT"/>
              </w:rPr>
              <w:t>4.</w:t>
            </w:r>
            <w:r>
              <w:rPr>
                <w:b/>
                <w:szCs w:val="22"/>
                <w:lang w:val="lt-LT"/>
              </w:rPr>
              <w:tab/>
            </w:r>
            <w:r>
              <w:rPr>
                <w:b/>
                <w:caps/>
                <w:szCs w:val="22"/>
                <w:lang w:val="lt-LT"/>
              </w:rPr>
              <w:t>serijos numeris</w:t>
            </w:r>
          </w:p>
        </w:tc>
      </w:tr>
    </w:tbl>
    <w:p w14:paraId="60588AEE" w14:textId="77777777" w:rsidR="00290E64" w:rsidRDefault="00290E64" w:rsidP="00290E64">
      <w:pPr>
        <w:tabs>
          <w:tab w:val="clear" w:pos="567"/>
          <w:tab w:val="left" w:pos="720"/>
        </w:tabs>
        <w:spacing w:line="240" w:lineRule="auto"/>
        <w:ind w:right="113"/>
        <w:rPr>
          <w:szCs w:val="22"/>
          <w:lang w:val="lt-LT"/>
        </w:rPr>
      </w:pPr>
    </w:p>
    <w:p w14:paraId="3FD6A8D9" w14:textId="77777777" w:rsidR="00290E64" w:rsidRDefault="00290E64" w:rsidP="00290E64">
      <w:pPr>
        <w:tabs>
          <w:tab w:val="clear" w:pos="567"/>
          <w:tab w:val="left" w:pos="720"/>
        </w:tabs>
        <w:spacing w:line="240" w:lineRule="auto"/>
        <w:ind w:right="113"/>
        <w:outlineLvl w:val="0"/>
        <w:rPr>
          <w:szCs w:val="22"/>
          <w:lang w:val="lt-LT"/>
        </w:rPr>
      </w:pPr>
      <w:r>
        <w:rPr>
          <w:szCs w:val="22"/>
          <w:lang w:val="lt-LT"/>
        </w:rPr>
        <w:t>Lot</w:t>
      </w:r>
    </w:p>
    <w:p w14:paraId="29186540" w14:textId="77777777" w:rsidR="00290E64" w:rsidRDefault="00290E64" w:rsidP="00290E64">
      <w:pPr>
        <w:tabs>
          <w:tab w:val="clear" w:pos="567"/>
          <w:tab w:val="left" w:pos="720"/>
        </w:tabs>
        <w:spacing w:line="240" w:lineRule="auto"/>
        <w:ind w:right="113"/>
        <w:outlineLvl w:val="0"/>
        <w:rPr>
          <w:szCs w:val="22"/>
          <w:lang w:val="lt-LT"/>
        </w:rPr>
      </w:pPr>
    </w:p>
    <w:p w14:paraId="27F1089D" w14:textId="77777777" w:rsidR="00290E64" w:rsidRDefault="00290E64" w:rsidP="00290E64">
      <w:pPr>
        <w:tabs>
          <w:tab w:val="clear" w:pos="567"/>
          <w:tab w:val="left" w:pos="720"/>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290E64" w14:paraId="24F7A91C" w14:textId="77777777" w:rsidTr="00290E64">
        <w:tc>
          <w:tcPr>
            <w:tcW w:w="9287" w:type="dxa"/>
            <w:tcBorders>
              <w:top w:val="single" w:sz="4" w:space="0" w:color="auto"/>
              <w:left w:val="single" w:sz="4" w:space="0" w:color="auto"/>
              <w:bottom w:val="single" w:sz="4" w:space="0" w:color="auto"/>
              <w:right w:val="single" w:sz="4" w:space="0" w:color="auto"/>
            </w:tcBorders>
            <w:hideMark/>
          </w:tcPr>
          <w:p w14:paraId="64E449FF" w14:textId="77777777" w:rsidR="00290E64" w:rsidRDefault="00290E64">
            <w:pPr>
              <w:tabs>
                <w:tab w:val="left" w:pos="142"/>
              </w:tabs>
              <w:spacing w:line="240" w:lineRule="auto"/>
              <w:ind w:left="567" w:hanging="567"/>
              <w:rPr>
                <w:b/>
                <w:szCs w:val="22"/>
                <w:lang w:val="lt-LT"/>
              </w:rPr>
            </w:pPr>
            <w:r>
              <w:rPr>
                <w:b/>
                <w:szCs w:val="22"/>
                <w:lang w:val="lt-LT"/>
              </w:rPr>
              <w:t>5.</w:t>
            </w:r>
            <w:r>
              <w:rPr>
                <w:b/>
                <w:szCs w:val="22"/>
                <w:lang w:val="lt-LT"/>
              </w:rPr>
              <w:tab/>
              <w:t>KITA</w:t>
            </w:r>
          </w:p>
        </w:tc>
      </w:tr>
    </w:tbl>
    <w:p w14:paraId="4C1F591C" w14:textId="77777777" w:rsidR="00290E64" w:rsidRDefault="00290E64" w:rsidP="00290E64">
      <w:pPr>
        <w:tabs>
          <w:tab w:val="clear" w:pos="567"/>
          <w:tab w:val="left" w:pos="720"/>
        </w:tabs>
        <w:spacing w:line="240" w:lineRule="auto"/>
        <w:ind w:right="113"/>
        <w:rPr>
          <w:szCs w:val="22"/>
          <w:lang w:val="lt-LT"/>
        </w:rPr>
      </w:pPr>
    </w:p>
    <w:p w14:paraId="69AA5B04" w14:textId="77777777" w:rsidR="00290E64" w:rsidRDefault="00290E64" w:rsidP="00290E64">
      <w:pPr>
        <w:tabs>
          <w:tab w:val="clear" w:pos="567"/>
          <w:tab w:val="left" w:pos="720"/>
        </w:tabs>
        <w:spacing w:line="240" w:lineRule="auto"/>
        <w:jc w:val="center"/>
        <w:rPr>
          <w:szCs w:val="22"/>
          <w:lang w:val="lt-LT"/>
        </w:rPr>
      </w:pPr>
    </w:p>
    <w:p w14:paraId="47728C1C" w14:textId="77777777" w:rsidR="00290E64" w:rsidRDefault="00290E64" w:rsidP="00290E64">
      <w:pPr>
        <w:tabs>
          <w:tab w:val="clear" w:pos="567"/>
          <w:tab w:val="left" w:pos="720"/>
        </w:tabs>
        <w:spacing w:line="240" w:lineRule="auto"/>
        <w:jc w:val="center"/>
        <w:rPr>
          <w:szCs w:val="22"/>
          <w:lang w:val="lt-LT"/>
        </w:rPr>
      </w:pPr>
      <w:r>
        <w:rPr>
          <w:szCs w:val="22"/>
          <w:lang w:val="lt-LT"/>
        </w:rPr>
        <w:br w:type="page"/>
      </w:r>
    </w:p>
    <w:p w14:paraId="1075D7FB" w14:textId="77777777" w:rsidR="00290E64" w:rsidRDefault="00290E64" w:rsidP="00290E64">
      <w:pPr>
        <w:tabs>
          <w:tab w:val="clear" w:pos="567"/>
          <w:tab w:val="left" w:pos="720"/>
        </w:tabs>
        <w:spacing w:line="240" w:lineRule="auto"/>
        <w:jc w:val="center"/>
        <w:rPr>
          <w:szCs w:val="22"/>
          <w:lang w:val="lt-LT"/>
        </w:rPr>
      </w:pPr>
    </w:p>
    <w:p w14:paraId="13EB6871" w14:textId="77777777" w:rsidR="00290E64" w:rsidRDefault="00290E64" w:rsidP="00290E64">
      <w:pPr>
        <w:tabs>
          <w:tab w:val="clear" w:pos="567"/>
          <w:tab w:val="left" w:pos="720"/>
        </w:tabs>
        <w:spacing w:line="240" w:lineRule="auto"/>
        <w:jc w:val="center"/>
        <w:rPr>
          <w:szCs w:val="22"/>
          <w:lang w:val="lt-LT"/>
        </w:rPr>
      </w:pPr>
    </w:p>
    <w:p w14:paraId="491269A1" w14:textId="77777777" w:rsidR="00290E64" w:rsidRDefault="00290E64" w:rsidP="00290E64">
      <w:pPr>
        <w:tabs>
          <w:tab w:val="clear" w:pos="567"/>
          <w:tab w:val="left" w:pos="720"/>
        </w:tabs>
        <w:spacing w:line="240" w:lineRule="auto"/>
        <w:jc w:val="center"/>
        <w:rPr>
          <w:szCs w:val="22"/>
          <w:lang w:val="lt-LT"/>
        </w:rPr>
      </w:pPr>
    </w:p>
    <w:p w14:paraId="626B1044" w14:textId="77777777" w:rsidR="00290E64" w:rsidRDefault="00290E64" w:rsidP="00290E64">
      <w:pPr>
        <w:tabs>
          <w:tab w:val="clear" w:pos="567"/>
          <w:tab w:val="left" w:pos="720"/>
        </w:tabs>
        <w:spacing w:line="240" w:lineRule="auto"/>
        <w:jc w:val="center"/>
        <w:rPr>
          <w:szCs w:val="22"/>
          <w:lang w:val="lt-LT"/>
        </w:rPr>
      </w:pPr>
    </w:p>
    <w:p w14:paraId="405BE52F" w14:textId="77777777" w:rsidR="00290E64" w:rsidRDefault="00290E64" w:rsidP="00290E64">
      <w:pPr>
        <w:tabs>
          <w:tab w:val="clear" w:pos="567"/>
          <w:tab w:val="left" w:pos="720"/>
        </w:tabs>
        <w:spacing w:line="240" w:lineRule="auto"/>
        <w:jc w:val="center"/>
        <w:rPr>
          <w:szCs w:val="22"/>
          <w:lang w:val="lt-LT"/>
        </w:rPr>
      </w:pPr>
    </w:p>
    <w:p w14:paraId="207405CE" w14:textId="77777777" w:rsidR="00290E64" w:rsidRDefault="00290E64" w:rsidP="00290E64">
      <w:pPr>
        <w:tabs>
          <w:tab w:val="clear" w:pos="567"/>
          <w:tab w:val="left" w:pos="720"/>
        </w:tabs>
        <w:spacing w:line="240" w:lineRule="auto"/>
        <w:jc w:val="center"/>
        <w:rPr>
          <w:szCs w:val="22"/>
          <w:lang w:val="lt-LT"/>
        </w:rPr>
      </w:pPr>
    </w:p>
    <w:p w14:paraId="1E0F7F7D" w14:textId="77777777" w:rsidR="00290E64" w:rsidRDefault="00290E64" w:rsidP="00290E64">
      <w:pPr>
        <w:tabs>
          <w:tab w:val="clear" w:pos="567"/>
          <w:tab w:val="left" w:pos="720"/>
        </w:tabs>
        <w:spacing w:line="240" w:lineRule="auto"/>
        <w:jc w:val="center"/>
        <w:rPr>
          <w:szCs w:val="22"/>
          <w:lang w:val="lt-LT"/>
        </w:rPr>
      </w:pPr>
    </w:p>
    <w:p w14:paraId="539A951B" w14:textId="77777777" w:rsidR="00290E64" w:rsidRDefault="00290E64" w:rsidP="00290E64">
      <w:pPr>
        <w:tabs>
          <w:tab w:val="clear" w:pos="567"/>
          <w:tab w:val="left" w:pos="720"/>
        </w:tabs>
        <w:spacing w:line="240" w:lineRule="auto"/>
        <w:jc w:val="center"/>
        <w:rPr>
          <w:szCs w:val="22"/>
          <w:lang w:val="lt-LT"/>
        </w:rPr>
      </w:pPr>
    </w:p>
    <w:p w14:paraId="6C571D93" w14:textId="77777777" w:rsidR="00290E64" w:rsidRDefault="00290E64" w:rsidP="00290E64">
      <w:pPr>
        <w:tabs>
          <w:tab w:val="clear" w:pos="567"/>
          <w:tab w:val="left" w:pos="720"/>
        </w:tabs>
        <w:spacing w:line="240" w:lineRule="auto"/>
        <w:jc w:val="center"/>
        <w:rPr>
          <w:szCs w:val="22"/>
          <w:lang w:val="lt-LT"/>
        </w:rPr>
      </w:pPr>
    </w:p>
    <w:p w14:paraId="65167867" w14:textId="77777777" w:rsidR="00290E64" w:rsidRDefault="00290E64" w:rsidP="00290E64">
      <w:pPr>
        <w:tabs>
          <w:tab w:val="clear" w:pos="567"/>
          <w:tab w:val="left" w:pos="720"/>
        </w:tabs>
        <w:spacing w:line="240" w:lineRule="auto"/>
        <w:jc w:val="center"/>
        <w:rPr>
          <w:szCs w:val="22"/>
          <w:lang w:val="lt-LT"/>
        </w:rPr>
      </w:pPr>
    </w:p>
    <w:p w14:paraId="2A15E5C1" w14:textId="77777777" w:rsidR="00290E64" w:rsidRDefault="00290E64" w:rsidP="00290E64">
      <w:pPr>
        <w:tabs>
          <w:tab w:val="clear" w:pos="567"/>
          <w:tab w:val="left" w:pos="720"/>
        </w:tabs>
        <w:spacing w:line="240" w:lineRule="auto"/>
        <w:jc w:val="center"/>
        <w:rPr>
          <w:szCs w:val="22"/>
          <w:lang w:val="lt-LT"/>
        </w:rPr>
      </w:pPr>
    </w:p>
    <w:p w14:paraId="251BEAE4" w14:textId="77777777" w:rsidR="00290E64" w:rsidRDefault="00290E64" w:rsidP="00290E64">
      <w:pPr>
        <w:tabs>
          <w:tab w:val="clear" w:pos="567"/>
          <w:tab w:val="left" w:pos="720"/>
        </w:tabs>
        <w:spacing w:line="240" w:lineRule="auto"/>
        <w:jc w:val="center"/>
        <w:rPr>
          <w:szCs w:val="22"/>
          <w:lang w:val="lt-LT"/>
        </w:rPr>
      </w:pPr>
    </w:p>
    <w:p w14:paraId="3B0EF522" w14:textId="77777777" w:rsidR="00290E64" w:rsidRDefault="00290E64" w:rsidP="00290E64">
      <w:pPr>
        <w:tabs>
          <w:tab w:val="clear" w:pos="567"/>
          <w:tab w:val="left" w:pos="720"/>
        </w:tabs>
        <w:spacing w:line="240" w:lineRule="auto"/>
        <w:jc w:val="center"/>
        <w:rPr>
          <w:szCs w:val="22"/>
          <w:lang w:val="lt-LT"/>
        </w:rPr>
      </w:pPr>
    </w:p>
    <w:p w14:paraId="47DEFE0E" w14:textId="77777777" w:rsidR="00290E64" w:rsidRDefault="00290E64" w:rsidP="00290E64">
      <w:pPr>
        <w:tabs>
          <w:tab w:val="clear" w:pos="567"/>
          <w:tab w:val="left" w:pos="720"/>
        </w:tabs>
        <w:spacing w:line="240" w:lineRule="auto"/>
        <w:jc w:val="center"/>
        <w:rPr>
          <w:szCs w:val="22"/>
          <w:lang w:val="lt-LT"/>
        </w:rPr>
      </w:pPr>
    </w:p>
    <w:p w14:paraId="50C53DB8" w14:textId="77777777" w:rsidR="00290E64" w:rsidRDefault="00290E64" w:rsidP="00290E64">
      <w:pPr>
        <w:tabs>
          <w:tab w:val="clear" w:pos="567"/>
          <w:tab w:val="left" w:pos="720"/>
        </w:tabs>
        <w:spacing w:line="240" w:lineRule="auto"/>
        <w:jc w:val="center"/>
        <w:rPr>
          <w:szCs w:val="22"/>
          <w:lang w:val="lt-LT"/>
        </w:rPr>
      </w:pPr>
    </w:p>
    <w:p w14:paraId="39DDA57E" w14:textId="77777777" w:rsidR="00290E64" w:rsidRDefault="00290E64" w:rsidP="00290E64">
      <w:pPr>
        <w:tabs>
          <w:tab w:val="clear" w:pos="567"/>
          <w:tab w:val="left" w:pos="720"/>
        </w:tabs>
        <w:spacing w:line="240" w:lineRule="auto"/>
        <w:jc w:val="center"/>
        <w:rPr>
          <w:szCs w:val="22"/>
          <w:lang w:val="lt-LT"/>
        </w:rPr>
      </w:pPr>
    </w:p>
    <w:p w14:paraId="0722B0F6" w14:textId="77777777" w:rsidR="00290E64" w:rsidRDefault="00290E64" w:rsidP="00290E64">
      <w:pPr>
        <w:tabs>
          <w:tab w:val="clear" w:pos="567"/>
          <w:tab w:val="left" w:pos="720"/>
        </w:tabs>
        <w:spacing w:line="240" w:lineRule="auto"/>
        <w:jc w:val="center"/>
        <w:rPr>
          <w:szCs w:val="22"/>
          <w:lang w:val="lt-LT"/>
        </w:rPr>
      </w:pPr>
    </w:p>
    <w:p w14:paraId="58EB8D34" w14:textId="77777777" w:rsidR="00290E64" w:rsidRDefault="00290E64" w:rsidP="00290E64">
      <w:pPr>
        <w:tabs>
          <w:tab w:val="clear" w:pos="567"/>
          <w:tab w:val="left" w:pos="720"/>
        </w:tabs>
        <w:spacing w:line="240" w:lineRule="auto"/>
        <w:jc w:val="center"/>
        <w:rPr>
          <w:szCs w:val="22"/>
          <w:lang w:val="lt-LT"/>
        </w:rPr>
      </w:pPr>
    </w:p>
    <w:p w14:paraId="5F94FACD" w14:textId="77777777" w:rsidR="00290E64" w:rsidRDefault="00290E64" w:rsidP="00290E64">
      <w:pPr>
        <w:tabs>
          <w:tab w:val="clear" w:pos="567"/>
          <w:tab w:val="left" w:pos="720"/>
        </w:tabs>
        <w:spacing w:line="240" w:lineRule="auto"/>
        <w:jc w:val="center"/>
        <w:rPr>
          <w:szCs w:val="22"/>
          <w:lang w:val="lt-LT"/>
        </w:rPr>
      </w:pPr>
    </w:p>
    <w:p w14:paraId="71666E6D" w14:textId="77777777" w:rsidR="00290E64" w:rsidRDefault="00290E64" w:rsidP="00290E64">
      <w:pPr>
        <w:tabs>
          <w:tab w:val="clear" w:pos="567"/>
          <w:tab w:val="left" w:pos="720"/>
        </w:tabs>
        <w:spacing w:line="240" w:lineRule="auto"/>
        <w:jc w:val="center"/>
        <w:rPr>
          <w:szCs w:val="22"/>
          <w:lang w:val="lt-LT"/>
        </w:rPr>
      </w:pPr>
    </w:p>
    <w:p w14:paraId="01A73148" w14:textId="77777777" w:rsidR="00290E64" w:rsidRDefault="00290E64" w:rsidP="00290E64">
      <w:pPr>
        <w:tabs>
          <w:tab w:val="clear" w:pos="567"/>
          <w:tab w:val="left" w:pos="720"/>
        </w:tabs>
        <w:spacing w:line="240" w:lineRule="auto"/>
        <w:jc w:val="center"/>
        <w:outlineLvl w:val="0"/>
        <w:rPr>
          <w:b/>
          <w:szCs w:val="22"/>
          <w:lang w:val="lt-LT"/>
        </w:rPr>
      </w:pPr>
    </w:p>
    <w:p w14:paraId="061A3701" w14:textId="77777777" w:rsidR="00290E64" w:rsidRDefault="00290E64" w:rsidP="00290E64">
      <w:pPr>
        <w:tabs>
          <w:tab w:val="clear" w:pos="567"/>
          <w:tab w:val="left" w:pos="720"/>
        </w:tabs>
        <w:spacing w:line="240" w:lineRule="auto"/>
        <w:jc w:val="center"/>
        <w:outlineLvl w:val="0"/>
        <w:rPr>
          <w:b/>
          <w:szCs w:val="22"/>
          <w:lang w:val="lt-LT"/>
        </w:rPr>
      </w:pPr>
    </w:p>
    <w:p w14:paraId="36BCDC69" w14:textId="77777777" w:rsidR="00290E64" w:rsidRDefault="00290E64" w:rsidP="00290E64">
      <w:pPr>
        <w:tabs>
          <w:tab w:val="clear" w:pos="567"/>
          <w:tab w:val="left" w:pos="720"/>
        </w:tabs>
        <w:spacing w:line="240" w:lineRule="auto"/>
        <w:jc w:val="center"/>
        <w:outlineLvl w:val="0"/>
        <w:rPr>
          <w:b/>
          <w:szCs w:val="22"/>
          <w:lang w:val="lt-LT"/>
        </w:rPr>
      </w:pPr>
    </w:p>
    <w:p w14:paraId="06606C37" w14:textId="77777777" w:rsidR="00290E64" w:rsidRDefault="00290E64" w:rsidP="00290E64">
      <w:pPr>
        <w:tabs>
          <w:tab w:val="clear" w:pos="567"/>
          <w:tab w:val="left" w:pos="720"/>
        </w:tabs>
        <w:spacing w:line="240" w:lineRule="auto"/>
        <w:jc w:val="center"/>
        <w:outlineLvl w:val="0"/>
        <w:rPr>
          <w:szCs w:val="22"/>
          <w:lang w:val="lt-LT"/>
        </w:rPr>
      </w:pPr>
      <w:r>
        <w:rPr>
          <w:b/>
          <w:szCs w:val="22"/>
          <w:lang w:val="lt-LT"/>
        </w:rPr>
        <w:t>B. PAKUOTĖS LAPELIS</w:t>
      </w:r>
    </w:p>
    <w:p w14:paraId="3C2439D2" w14:textId="77777777" w:rsidR="00290E64" w:rsidRDefault="00290E64" w:rsidP="00290E64">
      <w:pPr>
        <w:tabs>
          <w:tab w:val="clear" w:pos="567"/>
          <w:tab w:val="left" w:pos="720"/>
        </w:tabs>
        <w:spacing w:line="240" w:lineRule="auto"/>
        <w:jc w:val="center"/>
        <w:rPr>
          <w:szCs w:val="22"/>
          <w:lang w:val="lt-LT"/>
        </w:rPr>
      </w:pPr>
    </w:p>
    <w:p w14:paraId="54CAFDD6" w14:textId="77777777" w:rsidR="00290E64" w:rsidRDefault="00290E64" w:rsidP="00290E64">
      <w:pPr>
        <w:spacing w:line="240" w:lineRule="auto"/>
        <w:jc w:val="center"/>
        <w:outlineLvl w:val="0"/>
        <w:rPr>
          <w:b/>
        </w:rPr>
      </w:pPr>
      <w:r>
        <w:rPr>
          <w:b/>
          <w:szCs w:val="22"/>
          <w:lang w:val="lt-LT"/>
        </w:rPr>
        <w:br w:type="page"/>
      </w:r>
      <w:r>
        <w:rPr>
          <w:b/>
        </w:rPr>
        <w:lastRenderedPageBreak/>
        <w:t>Pakuotės lapelis: informacija vartotojui</w:t>
      </w:r>
    </w:p>
    <w:p w14:paraId="0A78DEB3" w14:textId="77777777" w:rsidR="00290E64" w:rsidRDefault="00290E64" w:rsidP="00290E64">
      <w:pPr>
        <w:spacing w:line="240" w:lineRule="auto"/>
        <w:jc w:val="center"/>
        <w:outlineLvl w:val="0"/>
        <w:rPr>
          <w:b/>
        </w:rPr>
      </w:pPr>
    </w:p>
    <w:p w14:paraId="5A043857" w14:textId="77777777" w:rsidR="00290E64" w:rsidRDefault="00290E64" w:rsidP="00290E64">
      <w:pPr>
        <w:tabs>
          <w:tab w:val="left" w:pos="0"/>
        </w:tabs>
        <w:spacing w:line="240" w:lineRule="auto"/>
        <w:jc w:val="center"/>
        <w:outlineLvl w:val="0"/>
        <w:rPr>
          <w:b/>
          <w:bCs/>
        </w:rPr>
      </w:pPr>
      <w:r>
        <w:rPr>
          <w:b/>
          <w:bCs/>
        </w:rPr>
        <w:t>Duracef 250 mg/5 ml milteliai geriamajai suspensijai</w:t>
      </w:r>
    </w:p>
    <w:p w14:paraId="6EF24E19" w14:textId="77777777" w:rsidR="00290E64" w:rsidRDefault="00290E64" w:rsidP="00290E64">
      <w:pPr>
        <w:tabs>
          <w:tab w:val="left" w:pos="0"/>
        </w:tabs>
        <w:spacing w:line="240" w:lineRule="auto"/>
        <w:jc w:val="center"/>
        <w:outlineLvl w:val="0"/>
        <w:rPr>
          <w:b/>
          <w:bCs/>
          <w:highlight w:val="lightGray"/>
        </w:rPr>
      </w:pPr>
      <w:r>
        <w:rPr>
          <w:b/>
          <w:bCs/>
          <w:highlight w:val="lightGray"/>
        </w:rPr>
        <w:t>Duracef 500 mg kietosios kapsulės</w:t>
      </w:r>
    </w:p>
    <w:p w14:paraId="60AB15E2" w14:textId="77777777" w:rsidR="00290E64" w:rsidRDefault="00290E64" w:rsidP="00290E64">
      <w:pPr>
        <w:tabs>
          <w:tab w:val="left" w:pos="0"/>
        </w:tabs>
        <w:spacing w:line="240" w:lineRule="auto"/>
        <w:jc w:val="center"/>
        <w:outlineLvl w:val="0"/>
        <w:rPr>
          <w:bCs/>
        </w:rPr>
      </w:pPr>
      <w:r>
        <w:rPr>
          <w:b/>
          <w:bCs/>
          <w:highlight w:val="lightGray"/>
        </w:rPr>
        <w:t>Duracef 1 g disperguojamosios tabletės</w:t>
      </w:r>
    </w:p>
    <w:p w14:paraId="1E73623C" w14:textId="77777777" w:rsidR="00290E64" w:rsidRDefault="00290E64" w:rsidP="00290E64">
      <w:pPr>
        <w:numPr>
          <w:ilvl w:val="12"/>
          <w:numId w:val="0"/>
        </w:numPr>
        <w:spacing w:line="240" w:lineRule="auto"/>
        <w:jc w:val="center"/>
        <w:outlineLvl w:val="0"/>
        <w:rPr>
          <w:bCs/>
        </w:rPr>
      </w:pPr>
      <w:r>
        <w:rPr>
          <w:bCs/>
        </w:rPr>
        <w:t>Cefadroksilis</w:t>
      </w:r>
    </w:p>
    <w:p w14:paraId="4B8C5730" w14:textId="77777777" w:rsidR="00290E64" w:rsidRDefault="00290E64" w:rsidP="00290E64">
      <w:pPr>
        <w:spacing w:line="240" w:lineRule="auto"/>
        <w:jc w:val="center"/>
      </w:pPr>
    </w:p>
    <w:p w14:paraId="61F99989" w14:textId="77777777" w:rsidR="00290E64" w:rsidRDefault="00290E64" w:rsidP="00290E64">
      <w:pPr>
        <w:spacing w:line="240" w:lineRule="auto"/>
        <w:ind w:left="567" w:hanging="567"/>
        <w:outlineLvl w:val="0"/>
        <w:rPr>
          <w:b/>
        </w:rPr>
      </w:pPr>
      <w:r>
        <w:rPr>
          <w:b/>
        </w:rPr>
        <w:t>Atidžiai perskaitykite visą šį lapelį, prieš pradėdami vartoti vaistą, nes jame pateikiama Jums svarbi informacija.</w:t>
      </w:r>
    </w:p>
    <w:p w14:paraId="3F841973" w14:textId="77777777" w:rsidR="00290E64" w:rsidRDefault="00290E64" w:rsidP="00290E64">
      <w:pPr>
        <w:spacing w:line="240" w:lineRule="auto"/>
        <w:ind w:left="567" w:hanging="567"/>
      </w:pPr>
      <w:r>
        <w:t>-</w:t>
      </w:r>
      <w:r>
        <w:tab/>
        <w:t>Neišmeskite šio lapelio, nes vėl gali prireikti jį perskaityti.</w:t>
      </w:r>
    </w:p>
    <w:p w14:paraId="49D13435" w14:textId="77777777" w:rsidR="00290E64" w:rsidRDefault="00290E64" w:rsidP="00290E64">
      <w:pPr>
        <w:spacing w:line="240" w:lineRule="auto"/>
        <w:ind w:left="567" w:hanging="567"/>
      </w:pPr>
      <w:r>
        <w:t>-</w:t>
      </w:r>
      <w:r>
        <w:tab/>
        <w:t>Jeigu kiltų daugiau klausimų, kreipkitės į gydytoją arba vaistininką.</w:t>
      </w:r>
    </w:p>
    <w:p w14:paraId="79CCB083" w14:textId="77777777" w:rsidR="00290E64" w:rsidRDefault="00290E64" w:rsidP="00290E64">
      <w:pPr>
        <w:numPr>
          <w:ilvl w:val="0"/>
          <w:numId w:val="7"/>
        </w:numPr>
        <w:spacing w:line="240" w:lineRule="auto"/>
        <w:ind w:left="567" w:hanging="567"/>
      </w:pPr>
      <w:r>
        <w:t xml:space="preserve">Šis vaistas skirtas tik Jums, todėl kitiems žmonėms </w:t>
      </w:r>
      <w:proofErr w:type="gramStart"/>
      <w:r>
        <w:t>jo</w:t>
      </w:r>
      <w:proofErr w:type="gramEnd"/>
      <w:r>
        <w:t xml:space="preserve"> duoti negalima. Vaistas gali jiems pakenkti (net tiems, kurių ligos simptomai yra tokie patys kaip Jūsų).</w:t>
      </w:r>
    </w:p>
    <w:p w14:paraId="3C9C9AEF" w14:textId="77777777" w:rsidR="00290E64" w:rsidRDefault="00290E64" w:rsidP="00290E64">
      <w:pPr>
        <w:spacing w:line="240" w:lineRule="auto"/>
        <w:ind w:left="567" w:hanging="567"/>
      </w:pPr>
      <w:r>
        <w:t>-</w:t>
      </w:r>
      <w:r>
        <w:tab/>
        <w:t>Jeigu pasireiškė šalutinis poveikis (net jeigu jis šiame lapelyje nenurodytas), kreipkitės į gydytoją arba vaistininką. Žr. 4 skyrių.</w:t>
      </w:r>
    </w:p>
    <w:p w14:paraId="5EF09AB7" w14:textId="77777777" w:rsidR="00290E64" w:rsidRDefault="00290E64" w:rsidP="00290E64">
      <w:pPr>
        <w:numPr>
          <w:ilvl w:val="12"/>
          <w:numId w:val="0"/>
        </w:numPr>
        <w:spacing w:line="240" w:lineRule="auto"/>
        <w:ind w:right="-2"/>
        <w:outlineLvl w:val="0"/>
        <w:rPr>
          <w:b/>
        </w:rPr>
      </w:pPr>
    </w:p>
    <w:p w14:paraId="4F6C3ACB" w14:textId="77777777" w:rsidR="00290E64" w:rsidRDefault="00290E64" w:rsidP="00290E64">
      <w:pPr>
        <w:spacing w:line="240" w:lineRule="auto"/>
        <w:ind w:left="567" w:hanging="567"/>
        <w:outlineLvl w:val="0"/>
        <w:rPr>
          <w:b/>
        </w:rPr>
      </w:pPr>
      <w:r>
        <w:rPr>
          <w:b/>
        </w:rPr>
        <w:t>Apie ką rašoma šiame lapelyje?</w:t>
      </w:r>
    </w:p>
    <w:p w14:paraId="06184F32" w14:textId="77777777" w:rsidR="00290E64" w:rsidRDefault="00290E64" w:rsidP="00290E64">
      <w:pPr>
        <w:spacing w:line="240" w:lineRule="auto"/>
        <w:ind w:left="567" w:hanging="567"/>
        <w:outlineLvl w:val="0"/>
        <w:rPr>
          <w:b/>
        </w:rPr>
      </w:pPr>
    </w:p>
    <w:p w14:paraId="6DA2F5A5" w14:textId="77777777" w:rsidR="00290E64" w:rsidRDefault="00290E64" w:rsidP="00290E64">
      <w:pPr>
        <w:spacing w:line="240" w:lineRule="auto"/>
        <w:ind w:left="567" w:hanging="567"/>
      </w:pPr>
      <w:r>
        <w:t>1.</w:t>
      </w:r>
      <w:r>
        <w:tab/>
        <w:t xml:space="preserve">Kas yra </w:t>
      </w:r>
      <w:r>
        <w:rPr>
          <w:bCs/>
        </w:rPr>
        <w:t>Duracef</w:t>
      </w:r>
      <w:r>
        <w:rPr>
          <w:b/>
          <w:bCs/>
        </w:rPr>
        <w:t xml:space="preserve"> </w:t>
      </w:r>
      <w:r>
        <w:rPr>
          <w:bCs/>
        </w:rPr>
        <w:t>i</w:t>
      </w:r>
      <w:r>
        <w:t>r kam jis vartojamas</w:t>
      </w:r>
    </w:p>
    <w:p w14:paraId="1FB6BBE5" w14:textId="77777777" w:rsidR="00290E64" w:rsidRDefault="00290E64" w:rsidP="00290E64">
      <w:pPr>
        <w:spacing w:line="240" w:lineRule="auto"/>
        <w:ind w:left="567" w:hanging="567"/>
      </w:pPr>
      <w:r>
        <w:t>2.</w:t>
      </w:r>
      <w:r>
        <w:tab/>
        <w:t xml:space="preserve">Kas žinotina prieš vartojant </w:t>
      </w:r>
      <w:r>
        <w:rPr>
          <w:bCs/>
        </w:rPr>
        <w:t>Duracef</w:t>
      </w:r>
    </w:p>
    <w:p w14:paraId="40530AE5" w14:textId="77777777" w:rsidR="00290E64" w:rsidRDefault="00290E64" w:rsidP="00290E64">
      <w:pPr>
        <w:spacing w:line="240" w:lineRule="auto"/>
        <w:ind w:left="567" w:hanging="567"/>
      </w:pPr>
      <w:r>
        <w:t>3.</w:t>
      </w:r>
      <w:r>
        <w:tab/>
        <w:t xml:space="preserve">Kaip vartoti </w:t>
      </w:r>
      <w:r>
        <w:rPr>
          <w:bCs/>
        </w:rPr>
        <w:t>Duracef</w:t>
      </w:r>
    </w:p>
    <w:p w14:paraId="4CD5D0B4" w14:textId="77777777" w:rsidR="00290E64" w:rsidRDefault="00290E64" w:rsidP="00290E64">
      <w:pPr>
        <w:spacing w:line="240" w:lineRule="auto"/>
        <w:ind w:left="567" w:hanging="567"/>
      </w:pPr>
      <w:r>
        <w:t>4.</w:t>
      </w:r>
      <w:r>
        <w:tab/>
        <w:t>Galimas šalutinis poveikis</w:t>
      </w:r>
    </w:p>
    <w:p w14:paraId="41B4573E" w14:textId="77777777" w:rsidR="00290E64" w:rsidRDefault="00290E64" w:rsidP="00290E64">
      <w:pPr>
        <w:spacing w:line="240" w:lineRule="auto"/>
        <w:ind w:left="567" w:hanging="567"/>
      </w:pPr>
      <w:r>
        <w:t>5.</w:t>
      </w:r>
      <w:r>
        <w:tab/>
        <w:t xml:space="preserve">Kaip laikyti </w:t>
      </w:r>
      <w:r>
        <w:rPr>
          <w:bCs/>
        </w:rPr>
        <w:t>Duracef</w:t>
      </w:r>
    </w:p>
    <w:p w14:paraId="3E83B4CC" w14:textId="77777777" w:rsidR="00290E64" w:rsidRDefault="00290E64" w:rsidP="00290E64">
      <w:pPr>
        <w:spacing w:line="240" w:lineRule="auto"/>
        <w:ind w:left="567" w:hanging="567"/>
      </w:pPr>
      <w:r>
        <w:t>6.</w:t>
      </w:r>
      <w:r>
        <w:tab/>
        <w:t>Pakuotės turinys ir kita informacija</w:t>
      </w:r>
    </w:p>
    <w:p w14:paraId="5DBBD6B1" w14:textId="77777777" w:rsidR="00290E64" w:rsidRDefault="00290E64" w:rsidP="00290E64">
      <w:pPr>
        <w:numPr>
          <w:ilvl w:val="12"/>
          <w:numId w:val="0"/>
        </w:numPr>
        <w:spacing w:line="240" w:lineRule="auto"/>
      </w:pPr>
    </w:p>
    <w:p w14:paraId="0A282350" w14:textId="77777777" w:rsidR="00290E64" w:rsidRDefault="00290E64" w:rsidP="00290E64">
      <w:pPr>
        <w:numPr>
          <w:ilvl w:val="12"/>
          <w:numId w:val="0"/>
        </w:numPr>
        <w:spacing w:line="240" w:lineRule="auto"/>
      </w:pPr>
    </w:p>
    <w:p w14:paraId="40DF73D4" w14:textId="77777777" w:rsidR="00290E64" w:rsidRDefault="00290E64" w:rsidP="00290E64">
      <w:pPr>
        <w:numPr>
          <w:ilvl w:val="12"/>
          <w:numId w:val="0"/>
        </w:numPr>
        <w:spacing w:line="240" w:lineRule="auto"/>
        <w:ind w:left="567" w:hanging="567"/>
        <w:outlineLvl w:val="0"/>
        <w:rPr>
          <w:b/>
          <w:caps/>
        </w:rPr>
      </w:pPr>
      <w:r>
        <w:rPr>
          <w:b/>
        </w:rPr>
        <w:t>1.</w:t>
      </w:r>
      <w:r>
        <w:rPr>
          <w:b/>
        </w:rPr>
        <w:tab/>
        <w:t>Kas yra Duracef ir kam jis vartojamas</w:t>
      </w:r>
    </w:p>
    <w:p w14:paraId="576B5598" w14:textId="77777777" w:rsidR="00290E64" w:rsidRDefault="00290E64" w:rsidP="00290E64">
      <w:pPr>
        <w:spacing w:line="240" w:lineRule="auto"/>
        <w:ind w:left="567" w:hanging="567"/>
      </w:pPr>
    </w:p>
    <w:p w14:paraId="4BBF904B" w14:textId="77777777" w:rsidR="00290E64" w:rsidRDefault="00290E64" w:rsidP="00290E64">
      <w:pPr>
        <w:spacing w:line="240" w:lineRule="auto"/>
        <w:rPr>
          <w:bCs/>
        </w:rPr>
      </w:pPr>
      <w:r>
        <w:t>Duracef</w:t>
      </w:r>
      <w:r>
        <w:rPr>
          <w:color w:val="0000FF"/>
        </w:rPr>
        <w:t xml:space="preserve"> </w:t>
      </w:r>
      <w:r>
        <w:rPr>
          <w:bCs/>
        </w:rPr>
        <w:t>yra cefalosporinų grupės antibiotikas. Cefalosporinai pažeidžia bakterijų ląstelių membranas ir tokiu būdu suardo augančias bakterijas. Prieš skirdamas Duracef, gydytojas gali ištirti bakterijų jautrumą šiam vaistui.</w:t>
      </w:r>
    </w:p>
    <w:p w14:paraId="0F0F728D" w14:textId="77777777" w:rsidR="00290E64" w:rsidRDefault="00290E64" w:rsidP="00290E64">
      <w:pPr>
        <w:spacing w:line="240" w:lineRule="auto"/>
        <w:rPr>
          <w:iCs/>
        </w:rPr>
      </w:pPr>
    </w:p>
    <w:p w14:paraId="5EAA54E0" w14:textId="77777777" w:rsidR="00290E64" w:rsidRDefault="00290E64" w:rsidP="00290E64">
      <w:pPr>
        <w:spacing w:line="240" w:lineRule="auto"/>
        <w:rPr>
          <w:i/>
        </w:rPr>
      </w:pPr>
      <w:r>
        <w:t>Duracef vartojamas šioms jam jautrių bakterijų sukeltoms infekcinėms ligoms gydyti:</w:t>
      </w:r>
    </w:p>
    <w:p w14:paraId="4787046B" w14:textId="77777777" w:rsidR="00290E64" w:rsidRDefault="00290E64" w:rsidP="00290E64">
      <w:pPr>
        <w:numPr>
          <w:ilvl w:val="0"/>
          <w:numId w:val="9"/>
        </w:numPr>
        <w:tabs>
          <w:tab w:val="left" w:pos="426"/>
        </w:tabs>
        <w:spacing w:line="240" w:lineRule="auto"/>
        <w:ind w:left="993" w:hanging="567"/>
      </w:pPr>
      <w:r>
        <w:t>kvėpavimo takų (tonzilių ir gerklės uždegimui);</w:t>
      </w:r>
    </w:p>
    <w:p w14:paraId="21C15E0E" w14:textId="77777777" w:rsidR="00290E64" w:rsidRDefault="00290E64" w:rsidP="00290E64">
      <w:pPr>
        <w:numPr>
          <w:ilvl w:val="0"/>
          <w:numId w:val="9"/>
        </w:numPr>
        <w:tabs>
          <w:tab w:val="left" w:pos="426"/>
        </w:tabs>
        <w:spacing w:line="240" w:lineRule="auto"/>
        <w:ind w:left="993" w:hanging="567"/>
      </w:pPr>
      <w:r>
        <w:t>odos ir minkštųjų audinių pūlinėms ligoms (jos vadinamos piodermija, impetiga, pūliniu, šunvote);</w:t>
      </w:r>
    </w:p>
    <w:p w14:paraId="1242091E" w14:textId="77777777" w:rsidR="00290E64" w:rsidRDefault="00290E64" w:rsidP="00290E64">
      <w:pPr>
        <w:numPr>
          <w:ilvl w:val="0"/>
          <w:numId w:val="9"/>
        </w:numPr>
        <w:tabs>
          <w:tab w:val="left" w:pos="426"/>
        </w:tabs>
        <w:spacing w:line="240" w:lineRule="auto"/>
        <w:ind w:left="993" w:hanging="567"/>
      </w:pPr>
      <w:proofErr w:type="gramStart"/>
      <w:r>
        <w:t>šlapimo</w:t>
      </w:r>
      <w:proofErr w:type="gramEnd"/>
      <w:r>
        <w:t xml:space="preserve"> takų (šlapimo pūslės uždegimui, inkstų geldelių uždegimui).</w:t>
      </w:r>
    </w:p>
    <w:p w14:paraId="0A648910" w14:textId="77777777" w:rsidR="00290E64" w:rsidRDefault="00290E64" w:rsidP="00290E64">
      <w:pPr>
        <w:spacing w:line="240" w:lineRule="auto"/>
        <w:jc w:val="both"/>
        <w:rPr>
          <w:iCs/>
        </w:rPr>
      </w:pPr>
    </w:p>
    <w:p w14:paraId="4DEAD107" w14:textId="77777777" w:rsidR="00290E64" w:rsidRDefault="00290E64" w:rsidP="00290E64">
      <w:pPr>
        <w:numPr>
          <w:ilvl w:val="12"/>
          <w:numId w:val="0"/>
        </w:numPr>
        <w:spacing w:line="240" w:lineRule="auto"/>
      </w:pPr>
    </w:p>
    <w:p w14:paraId="4461C572" w14:textId="77777777" w:rsidR="00290E64" w:rsidRDefault="00290E64" w:rsidP="00290E64">
      <w:pPr>
        <w:numPr>
          <w:ilvl w:val="12"/>
          <w:numId w:val="0"/>
        </w:numPr>
        <w:spacing w:line="240" w:lineRule="auto"/>
        <w:ind w:left="567" w:hanging="567"/>
        <w:outlineLvl w:val="0"/>
        <w:rPr>
          <w:b/>
          <w:caps/>
        </w:rPr>
      </w:pPr>
      <w:r>
        <w:rPr>
          <w:b/>
        </w:rPr>
        <w:t>2.</w:t>
      </w:r>
      <w:r>
        <w:rPr>
          <w:b/>
        </w:rPr>
        <w:tab/>
        <w:t>Kas žinotina prieš vartojant Duracef</w:t>
      </w:r>
    </w:p>
    <w:p w14:paraId="75E08053" w14:textId="77777777" w:rsidR="00290E64" w:rsidRDefault="00290E64" w:rsidP="00290E64">
      <w:pPr>
        <w:spacing w:line="240" w:lineRule="auto"/>
        <w:ind w:left="567" w:hanging="567"/>
      </w:pPr>
    </w:p>
    <w:p w14:paraId="40A7EF28" w14:textId="77777777" w:rsidR="00290E64" w:rsidRDefault="00290E64" w:rsidP="00290E64">
      <w:pPr>
        <w:spacing w:line="240" w:lineRule="auto"/>
        <w:ind w:left="567" w:hanging="567"/>
        <w:outlineLvl w:val="0"/>
        <w:rPr>
          <w:b/>
          <w:caps/>
        </w:rPr>
      </w:pPr>
      <w:r>
        <w:rPr>
          <w:b/>
          <w:bCs/>
        </w:rPr>
        <w:t>Duracef vartoti negalima:</w:t>
      </w:r>
    </w:p>
    <w:p w14:paraId="058EA6E1" w14:textId="77777777" w:rsidR="00290E64" w:rsidRDefault="00290E64" w:rsidP="00290E64">
      <w:pPr>
        <w:numPr>
          <w:ilvl w:val="0"/>
          <w:numId w:val="11"/>
        </w:numPr>
        <w:autoSpaceDE w:val="0"/>
        <w:autoSpaceDN w:val="0"/>
        <w:adjustRightInd w:val="0"/>
        <w:spacing w:line="240" w:lineRule="auto"/>
        <w:ind w:left="567" w:hanging="425"/>
        <w:rPr>
          <w:bCs/>
        </w:rPr>
      </w:pPr>
      <w:r>
        <w:rPr>
          <w:bCs/>
        </w:rPr>
        <w:t xml:space="preserve">jeigu yra alergija cefadroksiliui arba bet kuriai pagalbinei </w:t>
      </w:r>
      <w:r>
        <w:t xml:space="preserve">šio vaisto </w:t>
      </w:r>
      <w:r>
        <w:rPr>
          <w:bCs/>
        </w:rPr>
        <w:t>medžiagai (jos išvardytos 6 skyriuje);</w:t>
      </w:r>
    </w:p>
    <w:p w14:paraId="4CA4B4F1" w14:textId="77777777" w:rsidR="00290E64" w:rsidRDefault="00290E64" w:rsidP="00290E64">
      <w:pPr>
        <w:numPr>
          <w:ilvl w:val="0"/>
          <w:numId w:val="11"/>
        </w:numPr>
        <w:spacing w:line="240" w:lineRule="auto"/>
        <w:ind w:left="567" w:hanging="425"/>
      </w:pPr>
      <w:proofErr w:type="gramStart"/>
      <w:r>
        <w:t>jeigu</w:t>
      </w:r>
      <w:proofErr w:type="gramEnd"/>
      <w:r>
        <w:t xml:space="preserve"> yra alergija bet kuriam kitam cefalosporinų grupės antibiotikui.</w:t>
      </w:r>
    </w:p>
    <w:p w14:paraId="65BE6C06" w14:textId="77777777" w:rsidR="00290E64" w:rsidRDefault="00290E64" w:rsidP="00290E64">
      <w:pPr>
        <w:spacing w:line="240" w:lineRule="auto"/>
        <w:ind w:left="567" w:hanging="567"/>
        <w:rPr>
          <w:b/>
        </w:rPr>
      </w:pPr>
    </w:p>
    <w:p w14:paraId="5543004A" w14:textId="77777777" w:rsidR="00290E64" w:rsidRDefault="00290E64" w:rsidP="00290E64">
      <w:pPr>
        <w:spacing w:line="240" w:lineRule="auto"/>
        <w:ind w:left="567" w:hanging="567"/>
        <w:outlineLvl w:val="0"/>
        <w:rPr>
          <w:b/>
        </w:rPr>
      </w:pPr>
      <w:r>
        <w:rPr>
          <w:b/>
        </w:rPr>
        <w:t>Įspėjimai ir atsargumo priemonės</w:t>
      </w:r>
    </w:p>
    <w:p w14:paraId="066EF61F" w14:textId="77777777" w:rsidR="00290E64" w:rsidRDefault="00290E64" w:rsidP="00290E64">
      <w:pPr>
        <w:spacing w:line="240" w:lineRule="auto"/>
        <w:ind w:left="567" w:hanging="567"/>
        <w:outlineLvl w:val="0"/>
        <w:rPr>
          <w:b/>
        </w:rPr>
      </w:pPr>
      <w:r>
        <w:t>Pasitarkite su gydytoju arba vaistininku, prieš pradėdami vartoti Duracef:</w:t>
      </w:r>
      <w:r>
        <w:rPr>
          <w:b/>
        </w:rPr>
        <w:t xml:space="preserve"> </w:t>
      </w:r>
    </w:p>
    <w:p w14:paraId="69E4B191" w14:textId="77777777" w:rsidR="00290E64" w:rsidRDefault="00290E64" w:rsidP="00290E64">
      <w:pPr>
        <w:numPr>
          <w:ilvl w:val="0"/>
          <w:numId w:val="11"/>
        </w:numPr>
        <w:autoSpaceDE w:val="0"/>
        <w:autoSpaceDN w:val="0"/>
        <w:adjustRightInd w:val="0"/>
        <w:spacing w:line="240" w:lineRule="auto"/>
        <w:ind w:left="567" w:hanging="425"/>
        <w:rPr>
          <w:bCs/>
        </w:rPr>
      </w:pPr>
      <w:r>
        <w:rPr>
          <w:bCs/>
        </w:rPr>
        <w:t>jeigu buvo pasireiškusi alerginė (padidėjusio jautrumo) reakcija kuriam nors penicilinų grupės antibiotikui;</w:t>
      </w:r>
    </w:p>
    <w:p w14:paraId="057CEB42" w14:textId="77777777" w:rsidR="00290E64" w:rsidRDefault="00290E64" w:rsidP="00290E64">
      <w:pPr>
        <w:numPr>
          <w:ilvl w:val="0"/>
          <w:numId w:val="11"/>
        </w:numPr>
        <w:autoSpaceDE w:val="0"/>
        <w:autoSpaceDN w:val="0"/>
        <w:adjustRightInd w:val="0"/>
        <w:spacing w:line="240" w:lineRule="auto"/>
        <w:ind w:left="567" w:hanging="425"/>
        <w:rPr>
          <w:bCs/>
        </w:rPr>
      </w:pPr>
      <w:r>
        <w:rPr>
          <w:bCs/>
        </w:rPr>
        <w:t>jeigu sutrikusi inkstų funkcija (tuomet gydytojas skirs šio vaisto ilgesniais intervalais);</w:t>
      </w:r>
    </w:p>
    <w:p w14:paraId="245A05D1" w14:textId="77777777" w:rsidR="00290E64" w:rsidRDefault="00290E64" w:rsidP="00290E64">
      <w:pPr>
        <w:numPr>
          <w:ilvl w:val="0"/>
          <w:numId w:val="13"/>
        </w:numPr>
        <w:spacing w:line="240" w:lineRule="auto"/>
        <w:ind w:left="567" w:hanging="425"/>
      </w:pPr>
      <w:proofErr w:type="gramStart"/>
      <w:r>
        <w:t>jeigu</w:t>
      </w:r>
      <w:proofErr w:type="gramEnd"/>
      <w:r>
        <w:t xml:space="preserve"> vartojant šį vaistą</w:t>
      </w:r>
      <w:r>
        <w:rPr>
          <w:b/>
        </w:rPr>
        <w:t xml:space="preserve"> </w:t>
      </w:r>
      <w:r>
        <w:t>arba</w:t>
      </w:r>
      <w:r>
        <w:rPr>
          <w:b/>
        </w:rPr>
        <w:t xml:space="preserve"> </w:t>
      </w:r>
      <w:r>
        <w:t>vėliau prasideda viduriavimas, arba</w:t>
      </w:r>
      <w:r>
        <w:rPr>
          <w:b/>
        </w:rPr>
        <w:t xml:space="preserve"> </w:t>
      </w:r>
      <w:r>
        <w:t>jeigu anksčiau</w:t>
      </w:r>
      <w:r>
        <w:rPr>
          <w:b/>
        </w:rPr>
        <w:t xml:space="preserve"> </w:t>
      </w:r>
      <w:r>
        <w:t>sirgote storosios žarnos uždegimu.</w:t>
      </w:r>
    </w:p>
    <w:p w14:paraId="2C9DD74D" w14:textId="77777777" w:rsidR="00290E64" w:rsidRDefault="00290E64" w:rsidP="00290E64">
      <w:pPr>
        <w:spacing w:line="240" w:lineRule="auto"/>
      </w:pPr>
    </w:p>
    <w:p w14:paraId="3E597D8A" w14:textId="77777777" w:rsidR="00290E64" w:rsidRDefault="00290E64" w:rsidP="00290E64">
      <w:pPr>
        <w:spacing w:line="240" w:lineRule="auto"/>
        <w:ind w:left="567" w:hanging="567"/>
        <w:outlineLvl w:val="0"/>
        <w:rPr>
          <w:b/>
        </w:rPr>
      </w:pPr>
      <w:r>
        <w:rPr>
          <w:b/>
        </w:rPr>
        <w:t>Kiti vaistai ir Duracef</w:t>
      </w:r>
    </w:p>
    <w:p w14:paraId="0A31E570" w14:textId="77777777" w:rsidR="00290E64" w:rsidRDefault="00290E64" w:rsidP="00290E64">
      <w:pPr>
        <w:spacing w:line="240" w:lineRule="auto"/>
      </w:pPr>
      <w:r>
        <w:t xml:space="preserve">Cefalosporinų grupės antibiotikai gali sumažinti geriamųjų kontraceptikų veiksmingumą ir sustiprinti geriamųjų krešėjimą slopinančių vaistų poveikį. Pasakykite gydytojui, jei vartojate probenecidą (nuo </w:t>
      </w:r>
      <w:r>
        <w:lastRenderedPageBreak/>
        <w:t>podagros). Jeigu vartojate arba neseniai vartojote kitų vaistų, įskaitant įsigytus be recepto, pasakykite gydytojui.</w:t>
      </w:r>
    </w:p>
    <w:p w14:paraId="373BA60C" w14:textId="77777777" w:rsidR="00290E64" w:rsidRDefault="00290E64" w:rsidP="00290E64">
      <w:pPr>
        <w:spacing w:line="240" w:lineRule="auto"/>
      </w:pPr>
    </w:p>
    <w:p w14:paraId="065DE238" w14:textId="77777777" w:rsidR="00290E64" w:rsidRDefault="00290E64" w:rsidP="00290E64">
      <w:pPr>
        <w:spacing w:line="240" w:lineRule="auto"/>
        <w:ind w:left="567" w:hanging="567"/>
        <w:outlineLvl w:val="0"/>
        <w:rPr>
          <w:b/>
        </w:rPr>
      </w:pPr>
      <w:r>
        <w:rPr>
          <w:b/>
          <w:bCs/>
        </w:rPr>
        <w:t xml:space="preserve">Duracef </w:t>
      </w:r>
      <w:r>
        <w:rPr>
          <w:b/>
        </w:rPr>
        <w:t>vartojimas su maistu ir gėrimais</w:t>
      </w:r>
    </w:p>
    <w:p w14:paraId="5ABC393C" w14:textId="77777777" w:rsidR="00290E64" w:rsidRDefault="00290E64" w:rsidP="00290E64">
      <w:pPr>
        <w:spacing w:line="240" w:lineRule="auto"/>
      </w:pPr>
      <w:r>
        <w:rPr>
          <w:bCs/>
        </w:rPr>
        <w:t>Duracef</w:t>
      </w:r>
      <w:r>
        <w:rPr>
          <w:b/>
          <w:bCs/>
        </w:rPr>
        <w:t xml:space="preserve"> </w:t>
      </w:r>
      <w:r>
        <w:t>galima vartoti valgant arba kitu laiku.</w:t>
      </w:r>
    </w:p>
    <w:p w14:paraId="01ECAA29" w14:textId="77777777" w:rsidR="00290E64" w:rsidRDefault="00290E64" w:rsidP="00290E64">
      <w:pPr>
        <w:numPr>
          <w:ilvl w:val="12"/>
          <w:numId w:val="0"/>
        </w:numPr>
        <w:tabs>
          <w:tab w:val="left" w:pos="1290"/>
        </w:tabs>
        <w:spacing w:line="240" w:lineRule="auto"/>
        <w:ind w:right="-2"/>
      </w:pPr>
    </w:p>
    <w:p w14:paraId="6F48A7EE" w14:textId="77777777" w:rsidR="00290E64" w:rsidRDefault="00290E64" w:rsidP="00290E64">
      <w:pPr>
        <w:spacing w:line="240" w:lineRule="auto"/>
        <w:ind w:left="567" w:hanging="567"/>
        <w:outlineLvl w:val="0"/>
        <w:rPr>
          <w:b/>
        </w:rPr>
      </w:pPr>
      <w:r>
        <w:rPr>
          <w:b/>
        </w:rPr>
        <w:t>Nėštumas ir žindymo laikotarpis</w:t>
      </w:r>
    </w:p>
    <w:p w14:paraId="515F48C7" w14:textId="77777777" w:rsidR="00290E64" w:rsidRDefault="00290E64" w:rsidP="00290E64">
      <w:pPr>
        <w:tabs>
          <w:tab w:val="left" w:pos="0"/>
        </w:tabs>
        <w:spacing w:line="240" w:lineRule="auto"/>
      </w:pPr>
      <w:r>
        <w:t xml:space="preserve">Prieš vartojant bet kokį vaistą, būtina pasitarti su gydytoju. Nedidelė Duracef dozės </w:t>
      </w:r>
      <w:proofErr w:type="gramStart"/>
      <w:r>
        <w:t>dalis</w:t>
      </w:r>
      <w:proofErr w:type="gramEnd"/>
      <w:r>
        <w:t xml:space="preserve"> patenka į motinos pieną. Jeigu moteris nori toliau žindyti kūdikį pradėjusi vartoti šį vaistą, ji turi pasikonsultuoti su gydytoju.</w:t>
      </w:r>
    </w:p>
    <w:p w14:paraId="4F77D9AD" w14:textId="77777777" w:rsidR="00290E64" w:rsidRDefault="00290E64" w:rsidP="00290E64">
      <w:pPr>
        <w:spacing w:line="240" w:lineRule="auto"/>
        <w:ind w:left="567" w:hanging="567"/>
      </w:pPr>
    </w:p>
    <w:p w14:paraId="43E6A474" w14:textId="77777777" w:rsidR="00290E64" w:rsidRDefault="00290E64" w:rsidP="00290E64">
      <w:pPr>
        <w:spacing w:line="240" w:lineRule="auto"/>
        <w:ind w:left="567" w:hanging="567"/>
        <w:outlineLvl w:val="0"/>
        <w:rPr>
          <w:b/>
        </w:rPr>
      </w:pPr>
      <w:r>
        <w:rPr>
          <w:b/>
        </w:rPr>
        <w:t>Vairavimas ir mechanizmų valdymas</w:t>
      </w:r>
    </w:p>
    <w:p w14:paraId="023FD17B" w14:textId="77777777" w:rsidR="00290E64" w:rsidRDefault="00290E64" w:rsidP="00290E64">
      <w:pPr>
        <w:spacing w:line="240" w:lineRule="auto"/>
      </w:pPr>
      <w:r>
        <w:t xml:space="preserve">Jeigu pajustumėte, kad pablogėjęs gebėjimas vairuoti arba valdyti mechanizmus, </w:t>
      </w:r>
      <w:proofErr w:type="gramStart"/>
      <w:r>
        <w:t>tai</w:t>
      </w:r>
      <w:proofErr w:type="gramEnd"/>
      <w:r>
        <w:t xml:space="preserve"> šių darbų nedirbkite.</w:t>
      </w:r>
    </w:p>
    <w:p w14:paraId="65541F44" w14:textId="77777777" w:rsidR="00290E64" w:rsidRDefault="00290E64" w:rsidP="00290E64">
      <w:pPr>
        <w:spacing w:line="240" w:lineRule="auto"/>
      </w:pPr>
    </w:p>
    <w:p w14:paraId="67406DC3" w14:textId="3C788D99" w:rsidR="00290E64" w:rsidRDefault="00290E64" w:rsidP="00290E64">
      <w:pPr>
        <w:tabs>
          <w:tab w:val="left" w:pos="0"/>
        </w:tabs>
        <w:spacing w:line="240" w:lineRule="auto"/>
        <w:outlineLvl w:val="0"/>
        <w:rPr>
          <w:highlight w:val="lightGray"/>
        </w:rPr>
      </w:pPr>
      <w:r>
        <w:rPr>
          <w:b/>
          <w:highlight w:val="lightGray"/>
          <w:u w:val="single"/>
        </w:rPr>
        <w:t>Duracef miltelių geriamajai suspensijai</w:t>
      </w:r>
      <w:r>
        <w:rPr>
          <w:b/>
          <w:highlight w:val="lightGray"/>
        </w:rPr>
        <w:t xml:space="preserve"> sudėtyje yra</w:t>
      </w:r>
      <w:r w:rsidR="002A64C7">
        <w:rPr>
          <w:b/>
          <w:highlight w:val="lightGray"/>
        </w:rPr>
        <w:t xml:space="preserve"> natrio,</w:t>
      </w:r>
      <w:r>
        <w:rPr>
          <w:b/>
          <w:highlight w:val="lightGray"/>
        </w:rPr>
        <w:t xml:space="preserve"> natrio benzoato ir sacharozės</w:t>
      </w:r>
      <w:r>
        <w:rPr>
          <w:highlight w:val="lightGray"/>
        </w:rPr>
        <w:t xml:space="preserve"> </w:t>
      </w:r>
    </w:p>
    <w:p w14:paraId="2DBFBE90" w14:textId="77777777" w:rsidR="00290E64" w:rsidRDefault="00290E64" w:rsidP="00290E64">
      <w:pPr>
        <w:tabs>
          <w:tab w:val="left" w:pos="0"/>
        </w:tabs>
        <w:spacing w:line="240" w:lineRule="auto"/>
        <w:outlineLvl w:val="0"/>
        <w:rPr>
          <w:bCs/>
        </w:rPr>
      </w:pPr>
      <w:r>
        <w:rPr>
          <w:i/>
          <w:highlight w:val="lightGray"/>
        </w:rPr>
        <w:t>Sacharozė.</w:t>
      </w:r>
      <w:r>
        <w:rPr>
          <w:highlight w:val="lightGray"/>
        </w:rPr>
        <w:t xml:space="preserve"> Viename mililitre paruoštos vartoti geriamosios suspensijos yra 515 mg sacharozės. Į </w:t>
      </w:r>
      <w:proofErr w:type="gramStart"/>
      <w:r>
        <w:rPr>
          <w:highlight w:val="lightGray"/>
        </w:rPr>
        <w:t>tai</w:t>
      </w:r>
      <w:proofErr w:type="gramEnd"/>
      <w:r>
        <w:rPr>
          <w:highlight w:val="lightGray"/>
        </w:rPr>
        <w:t xml:space="preserve"> būtina atsižvelgti, jeigu sergate cukriniu diabetu. Jeigu gydytojas Jums yra sakęs, kad netoleruojate kokių nors angliavandenių, kreipkitės į jį prieš pradėdami vartoti </w:t>
      </w:r>
      <w:r>
        <w:rPr>
          <w:bCs/>
          <w:highlight w:val="lightGray"/>
        </w:rPr>
        <w:t>šį vaistą.</w:t>
      </w:r>
    </w:p>
    <w:p w14:paraId="2FFE634B" w14:textId="77DCF1E2" w:rsidR="00290E64" w:rsidRDefault="00290E64" w:rsidP="00290E64">
      <w:pPr>
        <w:tabs>
          <w:tab w:val="left" w:pos="0"/>
        </w:tabs>
        <w:outlineLvl w:val="0"/>
      </w:pPr>
      <w:r>
        <w:rPr>
          <w:bCs/>
          <w:i/>
          <w:highlight w:val="lightGray"/>
        </w:rPr>
        <w:t>Natrio benzoatas</w:t>
      </w:r>
      <w:r>
        <w:rPr>
          <w:bCs/>
          <w:highlight w:val="lightGray"/>
        </w:rPr>
        <w:t xml:space="preserve">. </w:t>
      </w:r>
      <w:r>
        <w:rPr>
          <w:highlight w:val="lightGray"/>
        </w:rPr>
        <w:t>Penkiuose mililitruose paruoštos vartoti geriamosios suspensijos yra 4,5 mg natrio benzoato, tai atitinka 0,9 mg/ml. Natrio benzoatas naujagimiams (iki 4 savaičių amžiaus) gali sunkinti geltą (odos ir akių pageltimą).</w:t>
      </w:r>
    </w:p>
    <w:p w14:paraId="723859FE" w14:textId="67773EE6" w:rsidR="002A64C7" w:rsidRDefault="002A64C7" w:rsidP="00290E64">
      <w:pPr>
        <w:tabs>
          <w:tab w:val="left" w:pos="0"/>
        </w:tabs>
        <w:outlineLvl w:val="0"/>
        <w:rPr>
          <w:bCs/>
        </w:rPr>
      </w:pPr>
      <w:r w:rsidRPr="00092237">
        <w:rPr>
          <w:i/>
          <w:iCs/>
          <w:highlight w:val="lightGray"/>
        </w:rPr>
        <w:t>Natris.</w:t>
      </w:r>
      <w:r w:rsidRPr="00092237">
        <w:rPr>
          <w:b/>
          <w:bCs/>
          <w:highlight w:val="lightGray"/>
        </w:rPr>
        <w:t xml:space="preserve"> </w:t>
      </w:r>
      <w:r>
        <w:rPr>
          <w:highlight w:val="lightGray"/>
        </w:rPr>
        <w:t>Penkiuose</w:t>
      </w:r>
      <w:r w:rsidRPr="00092237">
        <w:rPr>
          <w:highlight w:val="lightGray"/>
        </w:rPr>
        <w:t xml:space="preserve"> šio vaisto </w:t>
      </w:r>
      <w:r>
        <w:rPr>
          <w:highlight w:val="lightGray"/>
        </w:rPr>
        <w:t xml:space="preserve">mililitruose </w:t>
      </w:r>
      <w:r w:rsidRPr="00092237">
        <w:rPr>
          <w:highlight w:val="lightGray"/>
        </w:rPr>
        <w:t>yra mažiau kaip 1 mmol natrio (0</w:t>
      </w:r>
      <w:proofErr w:type="gramStart"/>
      <w:r w:rsidRPr="00092237">
        <w:rPr>
          <w:highlight w:val="lightGray"/>
        </w:rPr>
        <w:t>,72</w:t>
      </w:r>
      <w:proofErr w:type="gramEnd"/>
      <w:r w:rsidRPr="00092237">
        <w:rPr>
          <w:highlight w:val="lightGray"/>
        </w:rPr>
        <w:t> mg), t.y., jis beveik neturi reikšmės.</w:t>
      </w:r>
    </w:p>
    <w:p w14:paraId="4D340AF0" w14:textId="77777777" w:rsidR="00290E64" w:rsidRDefault="00290E64" w:rsidP="00290E64">
      <w:pPr>
        <w:tabs>
          <w:tab w:val="left" w:pos="0"/>
        </w:tabs>
        <w:spacing w:line="240" w:lineRule="auto"/>
        <w:outlineLvl w:val="0"/>
      </w:pPr>
    </w:p>
    <w:p w14:paraId="60947918" w14:textId="7D0CF77F" w:rsidR="00290E64" w:rsidRDefault="00290E64" w:rsidP="00290E64">
      <w:pPr>
        <w:numPr>
          <w:ilvl w:val="12"/>
          <w:numId w:val="0"/>
        </w:numPr>
        <w:spacing w:line="240" w:lineRule="auto"/>
        <w:rPr>
          <w:bCs/>
        </w:rPr>
      </w:pPr>
      <w:r>
        <w:rPr>
          <w:b/>
          <w:highlight w:val="lightGray"/>
          <w:u w:val="single"/>
        </w:rPr>
        <w:t>Duracef kietųjų kapsulių</w:t>
      </w:r>
      <w:r>
        <w:rPr>
          <w:b/>
          <w:highlight w:val="lightGray"/>
        </w:rPr>
        <w:t xml:space="preserve"> sudėtyje yra laktozės</w:t>
      </w:r>
      <w:r>
        <w:rPr>
          <w:highlight w:val="lightGray"/>
        </w:rPr>
        <w:t xml:space="preserve">. Jeigu gydytojas Jums yra sakęs, kad netoleruojate kokių nors angliavandenių, kreipkitės į jį prieš pradėdami vartoti </w:t>
      </w:r>
      <w:r>
        <w:rPr>
          <w:bCs/>
          <w:highlight w:val="lightGray"/>
        </w:rPr>
        <w:t>šį vaistą.</w:t>
      </w:r>
    </w:p>
    <w:p w14:paraId="757FAE48" w14:textId="3E4DF6C5" w:rsidR="002A64C7" w:rsidRDefault="002A64C7" w:rsidP="00290E64">
      <w:pPr>
        <w:numPr>
          <w:ilvl w:val="12"/>
          <w:numId w:val="0"/>
        </w:numPr>
        <w:spacing w:line="240" w:lineRule="auto"/>
        <w:rPr>
          <w:bCs/>
        </w:rPr>
      </w:pPr>
    </w:p>
    <w:p w14:paraId="5000ABB9" w14:textId="2FB179E5" w:rsidR="002A64C7" w:rsidRPr="00C225D8" w:rsidRDefault="002A64C7" w:rsidP="00290E64">
      <w:pPr>
        <w:numPr>
          <w:ilvl w:val="12"/>
          <w:numId w:val="0"/>
        </w:numPr>
        <w:spacing w:line="240" w:lineRule="auto"/>
        <w:rPr>
          <w:b/>
          <w:highlight w:val="lightGray"/>
        </w:rPr>
      </w:pPr>
      <w:r w:rsidRPr="00C225D8">
        <w:rPr>
          <w:b/>
          <w:highlight w:val="lightGray"/>
        </w:rPr>
        <w:t>Duracef disperguojamųjų tablečių sudėtyje yra natrio</w:t>
      </w:r>
    </w:p>
    <w:p w14:paraId="51449403" w14:textId="03E4D3A0" w:rsidR="002A64C7" w:rsidRPr="00C225D8" w:rsidRDefault="002A64C7" w:rsidP="00290E64">
      <w:pPr>
        <w:numPr>
          <w:ilvl w:val="12"/>
          <w:numId w:val="0"/>
        </w:numPr>
        <w:spacing w:line="240" w:lineRule="auto"/>
        <w:rPr>
          <w:b/>
        </w:rPr>
      </w:pPr>
      <w:r w:rsidRPr="00C225D8">
        <w:rPr>
          <w:szCs w:val="22"/>
          <w:highlight w:val="lightGray"/>
          <w:lang w:val="lt-LT"/>
        </w:rPr>
        <w:t>Vienoje šio vaisto tabletėje yra mažiau kaip 1 mmol natrio (3,03 mg), t.y., jis beveik neturi reikšmės.</w:t>
      </w:r>
    </w:p>
    <w:p w14:paraId="3AF67ABD" w14:textId="77777777" w:rsidR="00290E64" w:rsidRDefault="00290E64" w:rsidP="00290E64">
      <w:pPr>
        <w:numPr>
          <w:ilvl w:val="12"/>
          <w:numId w:val="0"/>
        </w:numPr>
        <w:spacing w:line="240" w:lineRule="auto"/>
        <w:ind w:right="-2"/>
      </w:pPr>
    </w:p>
    <w:p w14:paraId="1CCF8984" w14:textId="77777777" w:rsidR="00290E64" w:rsidRDefault="00290E64" w:rsidP="00290E64">
      <w:pPr>
        <w:numPr>
          <w:ilvl w:val="12"/>
          <w:numId w:val="0"/>
        </w:numPr>
        <w:spacing w:line="240" w:lineRule="auto"/>
        <w:ind w:right="-2"/>
      </w:pPr>
    </w:p>
    <w:p w14:paraId="60DB5329" w14:textId="77777777" w:rsidR="00290E64" w:rsidRDefault="00290E64" w:rsidP="00290E64">
      <w:pPr>
        <w:numPr>
          <w:ilvl w:val="12"/>
          <w:numId w:val="0"/>
        </w:numPr>
        <w:spacing w:line="240" w:lineRule="auto"/>
        <w:ind w:left="567" w:hanging="567"/>
        <w:outlineLvl w:val="0"/>
        <w:rPr>
          <w:b/>
          <w:caps/>
        </w:rPr>
      </w:pPr>
      <w:r>
        <w:rPr>
          <w:b/>
        </w:rPr>
        <w:t>3.</w:t>
      </w:r>
      <w:r>
        <w:rPr>
          <w:b/>
        </w:rPr>
        <w:tab/>
        <w:t>Kaip vartoti Duracef</w:t>
      </w:r>
    </w:p>
    <w:p w14:paraId="59122D4D" w14:textId="77777777" w:rsidR="00290E64" w:rsidRDefault="00290E64" w:rsidP="00290E64">
      <w:pPr>
        <w:spacing w:line="240" w:lineRule="auto"/>
        <w:ind w:left="567" w:hanging="567"/>
      </w:pPr>
    </w:p>
    <w:p w14:paraId="2960C1E9" w14:textId="77777777" w:rsidR="00290E64" w:rsidRDefault="00290E64" w:rsidP="00290E64">
      <w:pPr>
        <w:spacing w:line="240" w:lineRule="auto"/>
      </w:pPr>
      <w:r>
        <w:rPr>
          <w:bCs/>
        </w:rPr>
        <w:t>V</w:t>
      </w:r>
      <w:r>
        <w:t>isada vartokite šį vaistą tiksliai kaip nurodė gydytojas. Jeigu abejojate, kreipkitės į gydytoją arba vaistininką.</w:t>
      </w:r>
    </w:p>
    <w:p w14:paraId="7FFBC070" w14:textId="77777777" w:rsidR="00290E64" w:rsidRDefault="00290E64" w:rsidP="00290E64">
      <w:pPr>
        <w:spacing w:line="240" w:lineRule="auto"/>
      </w:pPr>
    </w:p>
    <w:p w14:paraId="78127CC0" w14:textId="77777777" w:rsidR="00290E64" w:rsidRDefault="00290E64" w:rsidP="00290E64">
      <w:pPr>
        <w:spacing w:line="240" w:lineRule="auto"/>
        <w:rPr>
          <w:b/>
        </w:rPr>
      </w:pPr>
      <w:r>
        <w:rPr>
          <w:b/>
        </w:rPr>
        <w:t>Suaugusiesiems ir daugiau kaip 40 kg sveriantiems vaikams</w:t>
      </w:r>
    </w:p>
    <w:p w14:paraId="7848B986" w14:textId="77777777" w:rsidR="00290E64" w:rsidRDefault="00290E64" w:rsidP="00290E64">
      <w:pPr>
        <w:spacing w:line="240" w:lineRule="auto"/>
      </w:pPr>
    </w:p>
    <w:p w14:paraId="1902398D" w14:textId="77777777" w:rsidR="00290E64" w:rsidRDefault="00290E64" w:rsidP="00290E64">
      <w:pPr>
        <w:spacing w:line="240" w:lineRule="auto"/>
        <w:rPr>
          <w:u w:val="single"/>
        </w:rPr>
      </w:pPr>
      <w:r>
        <w:rPr>
          <w:u w:val="single"/>
        </w:rPr>
        <w:t>Tonzilių ir gerklės uždegimas</w:t>
      </w:r>
    </w:p>
    <w:p w14:paraId="0566910C" w14:textId="77777777" w:rsidR="00290E64" w:rsidRDefault="00290E64" w:rsidP="00290E64">
      <w:pPr>
        <w:spacing w:line="240" w:lineRule="auto"/>
      </w:pPr>
      <w:r>
        <w:t>Įprasta dozė yra 1 g per parą. Ji išgeriama iš karto arba padalijama į 2 lygias vienkartines. Vaistas vartojamas 10 parų.</w:t>
      </w:r>
    </w:p>
    <w:p w14:paraId="4AD71D06" w14:textId="77777777" w:rsidR="00290E64" w:rsidRDefault="00290E64" w:rsidP="00290E64">
      <w:pPr>
        <w:spacing w:line="240" w:lineRule="auto"/>
      </w:pPr>
    </w:p>
    <w:p w14:paraId="39815AB4" w14:textId="77777777" w:rsidR="00290E64" w:rsidRDefault="00290E64" w:rsidP="00290E64">
      <w:pPr>
        <w:spacing w:line="240" w:lineRule="auto"/>
        <w:rPr>
          <w:u w:val="single"/>
        </w:rPr>
      </w:pPr>
      <w:r>
        <w:rPr>
          <w:u w:val="single"/>
        </w:rPr>
        <w:t>Odos ir minkštųjų audinių infekcinės ligos</w:t>
      </w:r>
    </w:p>
    <w:p w14:paraId="328177F8" w14:textId="77777777" w:rsidR="00290E64" w:rsidRDefault="00290E64" w:rsidP="00290E64">
      <w:pPr>
        <w:spacing w:line="240" w:lineRule="auto"/>
      </w:pPr>
      <w:r>
        <w:t>Įprasta dozė yra 1 g per parą. Ji išgeriama iš karto arba padalijama į 2 lygias vienkartines.</w:t>
      </w:r>
    </w:p>
    <w:p w14:paraId="2BE430FF" w14:textId="77777777" w:rsidR="00290E64" w:rsidRDefault="00290E64" w:rsidP="00290E64">
      <w:pPr>
        <w:spacing w:line="240" w:lineRule="auto"/>
      </w:pPr>
    </w:p>
    <w:p w14:paraId="6C38808C" w14:textId="77777777" w:rsidR="00290E64" w:rsidRDefault="00290E64" w:rsidP="00290E64">
      <w:pPr>
        <w:spacing w:line="240" w:lineRule="auto"/>
        <w:rPr>
          <w:u w:val="single"/>
        </w:rPr>
      </w:pPr>
      <w:r>
        <w:rPr>
          <w:u w:val="single"/>
        </w:rPr>
        <w:t>Šlapimo takų infekcinės ligos</w:t>
      </w:r>
    </w:p>
    <w:p w14:paraId="4EA879DD" w14:textId="77777777" w:rsidR="00290E64" w:rsidRDefault="00290E64" w:rsidP="00290E64">
      <w:pPr>
        <w:spacing w:line="240" w:lineRule="auto"/>
      </w:pPr>
      <w:r>
        <w:t>Įprasta dozė yra 2 g per parą. Ji padalijama į 2 lygias vienkartines. Įprasta dozė nekomplikuotoms apatinių šlapimo takų infekcinėms ligoms (t.y. šlapimo pūslės uždegimui) gydyti yra 1 g arba 2 g per parą. Ji išgeriama iš karto arba padalijama į 2 lygias vienkartines.</w:t>
      </w:r>
    </w:p>
    <w:p w14:paraId="3057E8A1" w14:textId="77777777" w:rsidR="00290E64" w:rsidRDefault="00290E64" w:rsidP="00290E64">
      <w:pPr>
        <w:spacing w:line="240" w:lineRule="auto"/>
      </w:pPr>
    </w:p>
    <w:p w14:paraId="37843E0F" w14:textId="77777777" w:rsidR="00290E64" w:rsidRDefault="00290E64" w:rsidP="00290E64">
      <w:pPr>
        <w:spacing w:line="240" w:lineRule="auto"/>
        <w:rPr>
          <w:b/>
        </w:rPr>
      </w:pPr>
      <w:r>
        <w:rPr>
          <w:b/>
        </w:rPr>
        <w:t>Mažiau kaip 40 kg sveriantiems vaikams</w:t>
      </w:r>
    </w:p>
    <w:p w14:paraId="674D898F" w14:textId="77777777" w:rsidR="00290E64" w:rsidRDefault="00290E64" w:rsidP="00290E64">
      <w:pPr>
        <w:spacing w:line="240" w:lineRule="auto"/>
      </w:pPr>
      <w:r>
        <w:t xml:space="preserve">Rekomenduojama įprasta </w:t>
      </w:r>
      <w:proofErr w:type="gramStart"/>
      <w:r>
        <w:t>paros</w:t>
      </w:r>
      <w:proofErr w:type="gramEnd"/>
      <w:r>
        <w:t xml:space="preserve"> dozė </w:t>
      </w:r>
      <w:r>
        <w:sym w:font="Symbol" w:char="F02D"/>
      </w:r>
      <w:r>
        <w:t xml:space="preserve"> 25 – 50 mg/kg kūno svorio. Ji lygiomis dalimis išgeriama per du kartus (kas 12 </w:t>
      </w:r>
      <w:proofErr w:type="gramStart"/>
      <w:r>
        <w:t>val</w:t>
      </w:r>
      <w:proofErr w:type="gramEnd"/>
      <w:r>
        <w:t xml:space="preserve">.). Gydant tonzilių ar gerklės uždegimą arba impetigą (pūlinėlinę), visą rekomenduojamą </w:t>
      </w:r>
      <w:proofErr w:type="gramStart"/>
      <w:r>
        <w:t>paros</w:t>
      </w:r>
      <w:proofErr w:type="gramEnd"/>
      <w:r>
        <w:t xml:space="preserve"> dozę galima išgerti vienu kartu. Vaikams negalima vartoti didesnės </w:t>
      </w:r>
      <w:proofErr w:type="gramStart"/>
      <w:r>
        <w:t>paros</w:t>
      </w:r>
      <w:proofErr w:type="gramEnd"/>
      <w:r>
        <w:t xml:space="preserve"> dozės už didžiausią nurodytą suaugusiesiems.</w:t>
      </w:r>
    </w:p>
    <w:p w14:paraId="24A31110" w14:textId="77777777" w:rsidR="00290E64" w:rsidRDefault="00290E64" w:rsidP="00290E64">
      <w:pPr>
        <w:spacing w:line="240" w:lineRule="auto"/>
      </w:pPr>
    </w:p>
    <w:p w14:paraId="1ED24BAF" w14:textId="77777777" w:rsidR="00290E64" w:rsidRDefault="00290E64" w:rsidP="00290E64">
      <w:pPr>
        <w:spacing w:line="240" w:lineRule="auto"/>
        <w:outlineLvl w:val="0"/>
        <w:rPr>
          <w:i/>
        </w:rPr>
      </w:pPr>
      <w:r>
        <w:rPr>
          <w:i/>
        </w:rPr>
        <w:lastRenderedPageBreak/>
        <w:t>Pacientams, kurių inkstų funkcija sutrikusi</w:t>
      </w:r>
    </w:p>
    <w:p w14:paraId="04AE4D3F" w14:textId="77777777" w:rsidR="00290E64" w:rsidRDefault="00290E64" w:rsidP="00290E64">
      <w:pPr>
        <w:spacing w:line="240" w:lineRule="auto"/>
      </w:pPr>
      <w:r>
        <w:t xml:space="preserve">Jeigu sutrikusi Jūsų inkstų funkcija (kreatinino klirensas </w:t>
      </w:r>
      <w:r>
        <w:rPr>
          <w:u w:val="single"/>
        </w:rPr>
        <w:t>&lt;</w:t>
      </w:r>
      <w:r>
        <w:t> 50 ml/min), šio vaisto dozę gydytojas pakoreguos (po pirmosios dozės, kuri bus tokia kaip įprasta, vėliau šį vaistą vartosite ilgesniais laiko tarpais).</w:t>
      </w:r>
    </w:p>
    <w:p w14:paraId="2DD6271B" w14:textId="77777777" w:rsidR="00290E64" w:rsidRDefault="00290E64" w:rsidP="00290E64">
      <w:pPr>
        <w:keepNext/>
        <w:spacing w:line="240" w:lineRule="auto"/>
        <w:ind w:left="567" w:hanging="567"/>
        <w:jc w:val="both"/>
        <w:outlineLvl w:val="7"/>
        <w:rPr>
          <w:b/>
          <w:bCs/>
        </w:rPr>
      </w:pPr>
    </w:p>
    <w:p w14:paraId="0BA6F9A6" w14:textId="77777777" w:rsidR="00290E64" w:rsidRDefault="00290E64" w:rsidP="00290E64">
      <w:pPr>
        <w:keepNext/>
        <w:spacing w:line="240" w:lineRule="auto"/>
        <w:ind w:left="567" w:hanging="567"/>
        <w:jc w:val="both"/>
        <w:outlineLvl w:val="7"/>
        <w:rPr>
          <w:bCs/>
          <w:i/>
          <w:highlight w:val="lightGray"/>
        </w:rPr>
      </w:pPr>
      <w:r>
        <w:rPr>
          <w:i/>
          <w:highlight w:val="lightGray"/>
        </w:rPr>
        <w:t>Miltelių geriamajai suspensijai ruošimas vartojimui</w:t>
      </w:r>
    </w:p>
    <w:p w14:paraId="1FC409AF" w14:textId="5105F086" w:rsidR="00290E64" w:rsidRDefault="00290E64" w:rsidP="00290E64">
      <w:pPr>
        <w:spacing w:line="240" w:lineRule="auto"/>
      </w:pPr>
      <w:r>
        <w:rPr>
          <w:highlight w:val="lightGray"/>
        </w:rPr>
        <w:t xml:space="preserve">Pakratykite buteliuką, kad milteliai pasidarytų birūs. Įpilkite maždaug pusę geriamosios suspensijos ruošimui reikalingo vandens. Atsargiai pakratykite buteliuką, kol susidarys homogeninė geriamoji suspensija. Įpilkite vandens iki ant buteliuko </w:t>
      </w:r>
      <w:r w:rsidR="002A64C7" w:rsidRPr="00C225D8">
        <w:rPr>
          <w:highlight w:val="lightGray"/>
        </w:rPr>
        <w:t>etiketės esančios žymos</w:t>
      </w:r>
      <w:r w:rsidRPr="00C225D8">
        <w:rPr>
          <w:highlight w:val="lightGray"/>
        </w:rPr>
        <w:t xml:space="preserve">. </w:t>
      </w:r>
      <w:r>
        <w:rPr>
          <w:highlight w:val="lightGray"/>
        </w:rPr>
        <w:t>5 ml taip paruoštos geriamosios suspensijos yra 250 mg cefadroksilio. Buteliuką laikykite sandarų. Prieš vartojimą suplakite.</w:t>
      </w:r>
    </w:p>
    <w:p w14:paraId="3EB430C7" w14:textId="77777777" w:rsidR="00290E64" w:rsidRDefault="00290E64" w:rsidP="00290E64">
      <w:pPr>
        <w:spacing w:line="240" w:lineRule="auto"/>
        <w:jc w:val="both"/>
      </w:pPr>
      <w:r>
        <w:rPr>
          <w:highlight w:val="lightGray"/>
        </w:rPr>
        <w:t>Geriamosios suspensijos dozavimui pakuotėje yra matavimo šaukštas</w:t>
      </w:r>
      <w:r>
        <w:t>.</w:t>
      </w:r>
    </w:p>
    <w:p w14:paraId="21C01098" w14:textId="77777777" w:rsidR="00290E64" w:rsidRDefault="00290E64" w:rsidP="00290E64">
      <w:pPr>
        <w:spacing w:line="240" w:lineRule="auto"/>
        <w:jc w:val="both"/>
        <w:rPr>
          <w:i/>
          <w:iCs/>
          <w:u w:val="single"/>
        </w:rPr>
      </w:pPr>
    </w:p>
    <w:p w14:paraId="604969F0" w14:textId="77777777" w:rsidR="00290E64" w:rsidRDefault="00290E64" w:rsidP="00290E64">
      <w:pPr>
        <w:spacing w:line="240" w:lineRule="auto"/>
        <w:jc w:val="both"/>
        <w:outlineLvl w:val="0"/>
        <w:rPr>
          <w:highlight w:val="lightGray"/>
        </w:rPr>
      </w:pPr>
      <w:r>
        <w:rPr>
          <w:i/>
          <w:iCs/>
          <w:highlight w:val="lightGray"/>
        </w:rPr>
        <w:t xml:space="preserve">Disperguojamųjų tablečių </w:t>
      </w:r>
      <w:r>
        <w:rPr>
          <w:i/>
          <w:highlight w:val="lightGray"/>
        </w:rPr>
        <w:t>ruošimas vartojimui</w:t>
      </w:r>
    </w:p>
    <w:p w14:paraId="7B720A67" w14:textId="77777777" w:rsidR="00290E64" w:rsidRDefault="00290E64" w:rsidP="00290E64">
      <w:pPr>
        <w:spacing w:line="240" w:lineRule="auto"/>
      </w:pPr>
      <w:r>
        <w:rPr>
          <w:highlight w:val="lightGray"/>
        </w:rPr>
        <w:t>Nuplėšę foliją, įmeskite disperguojamąją tabletę į 120 ml vandens. Palaukite 30 - 60 sekundžių, kol disperguojamoji tabletė suirs. Po to visa gauta dispersija gerai sumaišoma ir išgeriama. Disperguojamosios tabletės ruošiamos prieš pat vartojimą.</w:t>
      </w:r>
    </w:p>
    <w:p w14:paraId="61061909" w14:textId="77777777" w:rsidR="00290E64" w:rsidRDefault="00290E64" w:rsidP="00290E64">
      <w:pPr>
        <w:spacing w:line="240" w:lineRule="auto"/>
        <w:jc w:val="both"/>
        <w:rPr>
          <w:i/>
          <w:iCs/>
          <w:u w:val="single"/>
        </w:rPr>
      </w:pPr>
    </w:p>
    <w:p w14:paraId="41FB65C8" w14:textId="77777777" w:rsidR="00290E64" w:rsidRDefault="00290E64" w:rsidP="00290E64">
      <w:pPr>
        <w:spacing w:line="240" w:lineRule="auto"/>
        <w:ind w:left="567" w:hanging="567"/>
        <w:outlineLvl w:val="0"/>
        <w:rPr>
          <w:b/>
        </w:rPr>
      </w:pPr>
      <w:r>
        <w:rPr>
          <w:b/>
        </w:rPr>
        <w:t xml:space="preserve">Ką daryti pavartojus per didelę </w:t>
      </w:r>
      <w:r>
        <w:rPr>
          <w:b/>
          <w:bCs/>
        </w:rPr>
        <w:t xml:space="preserve">Duracef </w:t>
      </w:r>
      <w:r>
        <w:rPr>
          <w:b/>
        </w:rPr>
        <w:t>dozę?</w:t>
      </w:r>
    </w:p>
    <w:p w14:paraId="647C78A1" w14:textId="77777777" w:rsidR="00290E64" w:rsidRDefault="00290E64" w:rsidP="00290E64">
      <w:pPr>
        <w:spacing w:line="240" w:lineRule="auto"/>
      </w:pPr>
      <w:r>
        <w:t xml:space="preserve">Gali sutrikti virškinimas, išberti odą. Jeigu įtariate, kad išgėrėte per didelę vaisto dozę arba manote, kad </w:t>
      </w:r>
      <w:proofErr w:type="gramStart"/>
      <w:r>
        <w:t>jo</w:t>
      </w:r>
      <w:proofErr w:type="gramEnd"/>
      <w:r>
        <w:t xml:space="preserve"> nurijo vaikas, nedelsdami kvieskite gydytoją.</w:t>
      </w:r>
    </w:p>
    <w:p w14:paraId="162CA390" w14:textId="77777777" w:rsidR="00290E64" w:rsidRDefault="00290E64" w:rsidP="00290E64">
      <w:pPr>
        <w:spacing w:line="240" w:lineRule="auto"/>
        <w:ind w:left="567" w:hanging="567"/>
        <w:rPr>
          <w:b/>
        </w:rPr>
      </w:pPr>
    </w:p>
    <w:p w14:paraId="498B9471" w14:textId="77777777" w:rsidR="00290E64" w:rsidRDefault="00290E64" w:rsidP="00290E64">
      <w:pPr>
        <w:spacing w:line="240" w:lineRule="auto"/>
        <w:ind w:left="567" w:hanging="567"/>
        <w:outlineLvl w:val="0"/>
        <w:rPr>
          <w:b/>
        </w:rPr>
      </w:pPr>
      <w:r>
        <w:rPr>
          <w:b/>
        </w:rPr>
        <w:t xml:space="preserve">Pamiršus pavartoti </w:t>
      </w:r>
      <w:r>
        <w:rPr>
          <w:b/>
          <w:bCs/>
        </w:rPr>
        <w:t>Duracef</w:t>
      </w:r>
    </w:p>
    <w:p w14:paraId="0ACA97AF" w14:textId="77777777" w:rsidR="00290E64" w:rsidRDefault="00290E64" w:rsidP="00290E64">
      <w:pPr>
        <w:spacing w:line="240" w:lineRule="auto"/>
        <w:ind w:left="567" w:hanging="567"/>
      </w:pPr>
      <w:r>
        <w:t>Negalima vartoti dvigubos dozės norint kompensuoti praleistą dozę.</w:t>
      </w:r>
    </w:p>
    <w:p w14:paraId="1929C5E1" w14:textId="77777777" w:rsidR="00290E64" w:rsidRDefault="00290E64" w:rsidP="00290E64">
      <w:pPr>
        <w:spacing w:line="240" w:lineRule="auto"/>
      </w:pPr>
      <w:r>
        <w:t xml:space="preserve">Jeigu iki kitos dozės vartojimo laiko liko bent </w:t>
      </w:r>
      <w:r>
        <w:rPr>
          <w:caps/>
        </w:rPr>
        <w:t>4</w:t>
      </w:r>
      <w:r>
        <w:t xml:space="preserve"> valandos, prisiminę reikiamą dozę išgerkite tuojau pat. Jeigu kitą dozę reikės vartoti greičiau kaip po 4 valandų, </w:t>
      </w:r>
      <w:proofErr w:type="gramStart"/>
      <w:r>
        <w:t>tai</w:t>
      </w:r>
      <w:proofErr w:type="gramEnd"/>
      <w:r>
        <w:t xml:space="preserve"> užmirštąją praleiskite, o kitą gerkite įprastu laiku.</w:t>
      </w:r>
    </w:p>
    <w:p w14:paraId="72991024" w14:textId="77777777" w:rsidR="00290E64" w:rsidRDefault="00290E64" w:rsidP="00290E64">
      <w:pPr>
        <w:spacing w:line="240" w:lineRule="auto"/>
      </w:pPr>
    </w:p>
    <w:p w14:paraId="750D3940" w14:textId="77777777" w:rsidR="00290E64" w:rsidRDefault="00290E64" w:rsidP="00290E64">
      <w:pPr>
        <w:spacing w:line="240" w:lineRule="auto"/>
      </w:pPr>
    </w:p>
    <w:p w14:paraId="175A35FA" w14:textId="77777777" w:rsidR="00290E64" w:rsidRDefault="00290E64" w:rsidP="00290E64">
      <w:pPr>
        <w:numPr>
          <w:ilvl w:val="12"/>
          <w:numId w:val="0"/>
        </w:numPr>
        <w:spacing w:line="240" w:lineRule="auto"/>
        <w:ind w:left="567" w:hanging="567"/>
        <w:outlineLvl w:val="0"/>
        <w:rPr>
          <w:b/>
          <w:caps/>
        </w:rPr>
      </w:pPr>
      <w:r>
        <w:rPr>
          <w:b/>
          <w:caps/>
        </w:rPr>
        <w:t>4.</w:t>
      </w:r>
      <w:r>
        <w:rPr>
          <w:b/>
          <w:caps/>
        </w:rPr>
        <w:tab/>
      </w:r>
      <w:r>
        <w:rPr>
          <w:b/>
        </w:rPr>
        <w:t>Galimas</w:t>
      </w:r>
      <w:r>
        <w:rPr>
          <w:b/>
          <w:caps/>
        </w:rPr>
        <w:t xml:space="preserve"> </w:t>
      </w:r>
      <w:r>
        <w:rPr>
          <w:b/>
        </w:rPr>
        <w:t>šalutinis poveikis</w:t>
      </w:r>
    </w:p>
    <w:p w14:paraId="7AD576AF" w14:textId="77777777" w:rsidR="00290E64" w:rsidRDefault="00290E64" w:rsidP="00290E64">
      <w:pPr>
        <w:spacing w:line="240" w:lineRule="auto"/>
        <w:ind w:left="567" w:hanging="567"/>
      </w:pPr>
    </w:p>
    <w:p w14:paraId="6A37009F" w14:textId="77777777" w:rsidR="00290E64" w:rsidRDefault="00290E64" w:rsidP="00290E64">
      <w:pPr>
        <w:spacing w:line="240" w:lineRule="auto"/>
      </w:pPr>
      <w:r>
        <w:rPr>
          <w:bCs/>
        </w:rPr>
        <w:t>Šis vaistas,</w:t>
      </w:r>
      <w:r>
        <w:t xml:space="preserve"> kaip ir visi kiti, gali sukelti šalutinį poveikį, nors jis pasireiškia ne visiems žmonėms.</w:t>
      </w:r>
    </w:p>
    <w:p w14:paraId="5B1FC713" w14:textId="77777777" w:rsidR="00290E64" w:rsidRDefault="00290E64" w:rsidP="00290E64">
      <w:pPr>
        <w:spacing w:line="240" w:lineRule="auto"/>
      </w:pPr>
    </w:p>
    <w:p w14:paraId="6D2512A5" w14:textId="77777777" w:rsidR="00290E64" w:rsidRDefault="00290E64" w:rsidP="00290E64">
      <w:pPr>
        <w:spacing w:line="240" w:lineRule="auto"/>
      </w:pPr>
      <w:r>
        <w:rPr>
          <w:b/>
        </w:rPr>
        <w:t>Dažnas šalutinis poveikis</w:t>
      </w:r>
      <w:r>
        <w:t xml:space="preserve"> (pasireiškia daugiau kaip 1 pacientui iš 100, bet mažiau kaip 1 iš 10) yra viduriavimas, dispepsija (sutrikęs virškinimas), pykinimas, vėmimas ir karščiavimas.</w:t>
      </w:r>
    </w:p>
    <w:p w14:paraId="42492F9D" w14:textId="77777777" w:rsidR="00290E64" w:rsidRDefault="00290E64" w:rsidP="00290E64">
      <w:pPr>
        <w:spacing w:line="240" w:lineRule="auto"/>
      </w:pPr>
    </w:p>
    <w:p w14:paraId="0CB474A0" w14:textId="77777777" w:rsidR="00290E64" w:rsidRDefault="00290E64" w:rsidP="00290E64">
      <w:pPr>
        <w:spacing w:line="240" w:lineRule="auto"/>
      </w:pPr>
      <w:r>
        <w:rPr>
          <w:b/>
        </w:rPr>
        <w:t>Retas šalutinis poveikis</w:t>
      </w:r>
      <w:r>
        <w:t xml:space="preserve"> (pasireiškia daugiau kaip 1 pacientui iš 10000, bet mažiau kaip 1 iš 1000) yra dilgėlinė, išbėrimas, niežulys ir makšties infekcija.</w:t>
      </w:r>
    </w:p>
    <w:p w14:paraId="01EAE8C2" w14:textId="77777777" w:rsidR="00290E64" w:rsidRDefault="00290E64" w:rsidP="00290E64">
      <w:pPr>
        <w:spacing w:line="240" w:lineRule="auto"/>
      </w:pPr>
    </w:p>
    <w:p w14:paraId="2BF00AA8" w14:textId="77777777" w:rsidR="00290E64" w:rsidRDefault="00290E64" w:rsidP="00290E64">
      <w:pPr>
        <w:spacing w:line="240" w:lineRule="auto"/>
      </w:pPr>
      <w:r>
        <w:rPr>
          <w:b/>
        </w:rPr>
        <w:t>Kitas nežinomo dažnio šalutinis poveikis</w:t>
      </w:r>
      <w:r>
        <w:t xml:space="preserve"> yra kandidozė (lytinių organų niežulys arba pienligė), alergija (anafilaksinė reakcija, angioneurozinis patinimas, padidėjęs jautrumas, seruminė liga), odos sutrikimai (Stivenso-Džonsono (</w:t>
      </w:r>
      <w:r>
        <w:rPr>
          <w:i/>
        </w:rPr>
        <w:t>Stevens-Johnson</w:t>
      </w:r>
      <w:r>
        <w:t>) sindromas, daugiaformė raudonė (eritema), toksinė epidermio nekrozė - būklė panaši į odos nudegimą), sąnarių skausmas (artralgija), tam tikros rūšies viduriavimas (pseudomembraninis kolitas), kepenų sutrikimai (kepenų nepakankamumas, tulžies sąstovis, sutrikusi kepenų funkcija, padidėjęs transaminazių aktyvumas), kraujo sutrikimai (agranulocitozė, neutropenija, trombocitopenija).</w:t>
      </w:r>
    </w:p>
    <w:p w14:paraId="32D5A102" w14:textId="77777777" w:rsidR="00290E64" w:rsidRDefault="00290E64" w:rsidP="00290E64">
      <w:pPr>
        <w:spacing w:line="240" w:lineRule="auto"/>
        <w:ind w:left="567" w:hanging="567"/>
      </w:pPr>
    </w:p>
    <w:p w14:paraId="488E8944" w14:textId="77777777" w:rsidR="00290E64" w:rsidRDefault="00290E64" w:rsidP="00290E64">
      <w:pPr>
        <w:spacing w:line="240" w:lineRule="auto"/>
        <w:rPr>
          <w:b/>
        </w:rPr>
      </w:pPr>
      <w:r>
        <w:rPr>
          <w:b/>
        </w:rPr>
        <w:t>Pranešimas apie šalutinį poveikį</w:t>
      </w:r>
    </w:p>
    <w:p w14:paraId="1F34D0BE" w14:textId="77777777" w:rsidR="00290E64" w:rsidRDefault="00290E64" w:rsidP="00290E64">
      <w:pPr>
        <w:numPr>
          <w:ilvl w:val="12"/>
          <w:numId w:val="0"/>
        </w:numPr>
        <w:spacing w:line="240" w:lineRule="auto"/>
        <w:ind w:right="-2"/>
      </w:pPr>
      <w: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w:t>
      </w:r>
      <w:r>
        <w:rPr>
          <w:lang w:eastAsia="zh-CN"/>
        </w:rPr>
        <w:t xml:space="preserve">8 800 73568 arba </w:t>
      </w:r>
      <w:r>
        <w:t xml:space="preserve">užpildyti interneto svetainėje </w:t>
      </w:r>
      <w:hyperlink r:id="rId8" w:history="1">
        <w:r w:rsidRPr="007E1EEC">
          <w:rPr>
            <w:rStyle w:val="Hipersaitas"/>
          </w:rPr>
          <w:t>www.vvkt.lt</w:t>
        </w:r>
      </w:hyperlink>
      <w:r>
        <w:t xml:space="preserve"> esančią formą ir pateikti ją Valstybinei vaistų kontrolės tarnybai prie Lietuvos Respublikos sveikatos apsaugos ministerijos vienu iš šių būdų: raštu (adresu Žirmūnų g. 139A, LT-09120 Vilnius), nemokamu</w:t>
      </w:r>
      <w:r>
        <w:rPr>
          <w:lang w:eastAsia="zh-CN"/>
        </w:rPr>
        <w:t xml:space="preserve"> </w:t>
      </w:r>
      <w:r>
        <w:t xml:space="preserve">fakso numeriu 8 800 20131, el. paštu </w:t>
      </w:r>
      <w:hyperlink r:id="rId9" w:history="1">
        <w:r w:rsidRPr="007E1EEC">
          <w:rPr>
            <w:rStyle w:val="Hipersaitas"/>
          </w:rPr>
          <w:t>NepageidaujamaR@vvkt.lt, taip</w:t>
        </w:r>
      </w:hyperlink>
      <w:r>
        <w:t xml:space="preserve"> pat per Valstybinei vaistų kontrolės tarnybai prie Lietuvos Respublikos sveikatos apsaugos ministerijos interneto svetainę (adresu http://www.vvkt.lt). Pranešdami apie šalutinį poveikį galite mums padėti gauti daugiau informacijos apie šio vaisto saugumą.</w:t>
      </w:r>
    </w:p>
    <w:p w14:paraId="4838D719" w14:textId="77777777" w:rsidR="00290E64" w:rsidRDefault="00290E64" w:rsidP="00290E64">
      <w:pPr>
        <w:numPr>
          <w:ilvl w:val="12"/>
          <w:numId w:val="0"/>
        </w:numPr>
        <w:spacing w:line="240" w:lineRule="auto"/>
        <w:ind w:right="-2"/>
      </w:pPr>
    </w:p>
    <w:p w14:paraId="47A0BE43" w14:textId="77777777" w:rsidR="00290E64" w:rsidRDefault="00290E64" w:rsidP="00290E64">
      <w:pPr>
        <w:numPr>
          <w:ilvl w:val="12"/>
          <w:numId w:val="0"/>
        </w:numPr>
        <w:spacing w:line="240" w:lineRule="auto"/>
        <w:ind w:right="-2"/>
      </w:pPr>
    </w:p>
    <w:p w14:paraId="7CAFE48E" w14:textId="77777777" w:rsidR="00290E64" w:rsidRDefault="00290E64" w:rsidP="00290E64">
      <w:pPr>
        <w:numPr>
          <w:ilvl w:val="12"/>
          <w:numId w:val="0"/>
        </w:numPr>
        <w:spacing w:line="240" w:lineRule="auto"/>
        <w:ind w:left="567" w:right="-2" w:hanging="567"/>
      </w:pPr>
      <w:r>
        <w:rPr>
          <w:b/>
        </w:rPr>
        <w:t>5.</w:t>
      </w:r>
      <w:r>
        <w:rPr>
          <w:b/>
        </w:rPr>
        <w:tab/>
        <w:t>Kaip laikyti Duracef</w:t>
      </w:r>
    </w:p>
    <w:p w14:paraId="02E02216" w14:textId="77777777" w:rsidR="00290E64" w:rsidRDefault="00290E64" w:rsidP="00290E64">
      <w:pPr>
        <w:numPr>
          <w:ilvl w:val="12"/>
          <w:numId w:val="0"/>
        </w:numPr>
        <w:spacing w:line="240" w:lineRule="auto"/>
        <w:ind w:right="-2"/>
      </w:pPr>
    </w:p>
    <w:p w14:paraId="6B885B44" w14:textId="77777777" w:rsidR="00290E64" w:rsidRDefault="00290E64" w:rsidP="00290E64">
      <w:pPr>
        <w:numPr>
          <w:ilvl w:val="12"/>
          <w:numId w:val="0"/>
        </w:numPr>
        <w:spacing w:line="240" w:lineRule="auto"/>
        <w:ind w:right="-2"/>
        <w:outlineLvl w:val="0"/>
      </w:pPr>
      <w:r>
        <w:t>Šį vaistą laikykite vaikams nepastebimoje ir nepasiekiamoje vietoje.</w:t>
      </w:r>
    </w:p>
    <w:p w14:paraId="69221F29" w14:textId="77777777" w:rsidR="00290E64" w:rsidRDefault="00290E64" w:rsidP="00290E64">
      <w:pPr>
        <w:spacing w:line="240" w:lineRule="auto"/>
      </w:pPr>
      <w:r>
        <w:t>Laikyti ne aukštesnėje kaip 25 °C temperatūroje.</w:t>
      </w:r>
    </w:p>
    <w:p w14:paraId="5D12688C" w14:textId="77777777" w:rsidR="00290E64" w:rsidRDefault="00290E64" w:rsidP="00290E64">
      <w:pPr>
        <w:spacing w:line="240" w:lineRule="auto"/>
        <w:rPr>
          <w:u w:val="single"/>
        </w:rPr>
      </w:pPr>
    </w:p>
    <w:p w14:paraId="264197FB" w14:textId="77777777" w:rsidR="00290E64" w:rsidRDefault="00290E64" w:rsidP="00290E64">
      <w:pPr>
        <w:spacing w:line="240" w:lineRule="auto"/>
        <w:rPr>
          <w:highlight w:val="lightGray"/>
          <w:u w:val="single"/>
        </w:rPr>
      </w:pPr>
      <w:r>
        <w:rPr>
          <w:highlight w:val="lightGray"/>
        </w:rPr>
        <w:t xml:space="preserve">Paruošta geriamoji suspensija, laikoma ne aukštesnėje kaip 25 °C temperatūroje, tinka vartoti 7 paras, o laikoma šaldytuve (2 </w:t>
      </w:r>
      <w:r>
        <w:rPr>
          <w:highlight w:val="lightGray"/>
        </w:rPr>
        <w:sym w:font="Symbol" w:char="F0B0"/>
      </w:r>
      <w:r>
        <w:rPr>
          <w:highlight w:val="lightGray"/>
        </w:rPr>
        <w:t>C </w:t>
      </w:r>
      <w:r>
        <w:rPr>
          <w:highlight w:val="lightGray"/>
        </w:rPr>
        <w:noBreakHyphen/>
        <w:t xml:space="preserve"> 8 </w:t>
      </w:r>
      <w:r>
        <w:rPr>
          <w:highlight w:val="lightGray"/>
        </w:rPr>
        <w:sym w:font="Symbol" w:char="F0B0"/>
      </w:r>
      <w:r>
        <w:rPr>
          <w:highlight w:val="lightGray"/>
        </w:rPr>
        <w:t>C) – 14 parų. Buteliuką laikyti sandarų.</w:t>
      </w:r>
    </w:p>
    <w:p w14:paraId="3D7038D9" w14:textId="77777777" w:rsidR="00290E64" w:rsidRDefault="00290E64" w:rsidP="00290E64">
      <w:pPr>
        <w:numPr>
          <w:ilvl w:val="12"/>
          <w:numId w:val="0"/>
        </w:numPr>
        <w:spacing w:line="240" w:lineRule="auto"/>
        <w:ind w:right="-2"/>
      </w:pPr>
    </w:p>
    <w:p w14:paraId="1541AD4F" w14:textId="77777777" w:rsidR="00290E64" w:rsidRDefault="00290E64" w:rsidP="00290E64">
      <w:pPr>
        <w:numPr>
          <w:ilvl w:val="12"/>
          <w:numId w:val="0"/>
        </w:numPr>
        <w:spacing w:line="240" w:lineRule="auto"/>
        <w:ind w:right="-2"/>
        <w:outlineLvl w:val="0"/>
      </w:pPr>
    </w:p>
    <w:p w14:paraId="13A26653" w14:textId="77777777" w:rsidR="00290E64" w:rsidRDefault="00290E64" w:rsidP="00290E64">
      <w:pPr>
        <w:spacing w:line="240" w:lineRule="auto"/>
      </w:pPr>
      <w:r>
        <w:rPr>
          <w:iCs/>
        </w:rPr>
        <w:t>Ant dėžutės, lizdinės plokštelės</w:t>
      </w:r>
      <w:r>
        <w:rPr>
          <w:iCs/>
          <w:highlight w:val="lightGray"/>
        </w:rPr>
        <w:t>, buteliuko ar dvisluoksnės juostelės</w:t>
      </w:r>
      <w:r>
        <w:rPr>
          <w:iCs/>
        </w:rPr>
        <w:t xml:space="preserve"> po</w:t>
      </w:r>
      <w:r>
        <w:t xml:space="preserve"> „EXP</w:t>
      </w:r>
      <w:proofErr w:type="gramStart"/>
      <w:r>
        <w:t>“</w:t>
      </w:r>
      <w:r>
        <w:rPr>
          <w:iCs/>
        </w:rPr>
        <w:t xml:space="preserve"> nurodytam</w:t>
      </w:r>
      <w:proofErr w:type="gramEnd"/>
      <w:r>
        <w:rPr>
          <w:iCs/>
        </w:rPr>
        <w:t xml:space="preserve"> tinkamumo laikui pasibaigus, šio vaisto vartoti negalima. </w:t>
      </w:r>
      <w:r>
        <w:t>Vaistas tinkamas vartoti iki paskutinės nurodyto mėnesio dienos.</w:t>
      </w:r>
    </w:p>
    <w:p w14:paraId="583C4196" w14:textId="77777777" w:rsidR="00290E64" w:rsidRDefault="00290E64" w:rsidP="00290E64">
      <w:pPr>
        <w:numPr>
          <w:ilvl w:val="12"/>
          <w:numId w:val="0"/>
        </w:numPr>
        <w:spacing w:line="240" w:lineRule="auto"/>
        <w:ind w:right="-2"/>
      </w:pPr>
    </w:p>
    <w:p w14:paraId="1AAD039E" w14:textId="77777777" w:rsidR="00290E64" w:rsidRDefault="00290E64" w:rsidP="00290E64">
      <w:pPr>
        <w:numPr>
          <w:ilvl w:val="12"/>
          <w:numId w:val="0"/>
        </w:numPr>
        <w:spacing w:line="240" w:lineRule="auto"/>
        <w:ind w:right="-2"/>
      </w:pPr>
      <w:r>
        <w:t>Vaistų negalima išmesti į kanalizaciją arba su buitinėmis</w:t>
      </w:r>
      <w:r>
        <w:rPr>
          <w:color w:val="993366"/>
        </w:rPr>
        <w:t xml:space="preserve"> </w:t>
      </w:r>
      <w:r>
        <w:t>atliekomis. Kaip išmesti nereikalingus vaistus, klauskite vaistininko. Šios priemonės padės apsaugoti aplinką.</w:t>
      </w:r>
    </w:p>
    <w:p w14:paraId="7A707BFE" w14:textId="77777777" w:rsidR="00290E64" w:rsidRDefault="00290E64" w:rsidP="00290E64">
      <w:pPr>
        <w:numPr>
          <w:ilvl w:val="12"/>
          <w:numId w:val="0"/>
        </w:numPr>
        <w:spacing w:line="240" w:lineRule="auto"/>
        <w:ind w:right="-2"/>
      </w:pPr>
    </w:p>
    <w:p w14:paraId="4851B6EF" w14:textId="77777777" w:rsidR="00290E64" w:rsidRDefault="00290E64" w:rsidP="00290E64">
      <w:pPr>
        <w:numPr>
          <w:ilvl w:val="12"/>
          <w:numId w:val="0"/>
        </w:numPr>
        <w:spacing w:line="240" w:lineRule="auto"/>
        <w:ind w:right="-2"/>
      </w:pPr>
    </w:p>
    <w:p w14:paraId="01E3CBD0" w14:textId="77777777" w:rsidR="00290E64" w:rsidRDefault="00290E64" w:rsidP="00290E64">
      <w:pPr>
        <w:numPr>
          <w:ilvl w:val="12"/>
          <w:numId w:val="0"/>
        </w:numPr>
        <w:spacing w:line="240" w:lineRule="auto"/>
        <w:ind w:left="567" w:right="-2" w:hanging="567"/>
        <w:rPr>
          <w:b/>
        </w:rPr>
      </w:pPr>
      <w:r>
        <w:rPr>
          <w:b/>
        </w:rPr>
        <w:t>6.</w:t>
      </w:r>
      <w:r>
        <w:rPr>
          <w:b/>
        </w:rPr>
        <w:tab/>
        <w:t>Pakuotės turinys ir kita informacija</w:t>
      </w:r>
    </w:p>
    <w:p w14:paraId="1B0EAE00" w14:textId="77777777" w:rsidR="00290E64" w:rsidRDefault="00290E64" w:rsidP="00290E64">
      <w:pPr>
        <w:numPr>
          <w:ilvl w:val="12"/>
          <w:numId w:val="0"/>
        </w:numPr>
        <w:spacing w:line="240" w:lineRule="auto"/>
        <w:ind w:right="-2"/>
      </w:pPr>
    </w:p>
    <w:p w14:paraId="1D35FBC3" w14:textId="77777777" w:rsidR="00290E64" w:rsidRDefault="00290E64" w:rsidP="00290E64">
      <w:pPr>
        <w:numPr>
          <w:ilvl w:val="12"/>
          <w:numId w:val="0"/>
        </w:numPr>
        <w:spacing w:line="240" w:lineRule="auto"/>
        <w:ind w:right="-2"/>
        <w:outlineLvl w:val="0"/>
        <w:rPr>
          <w:b/>
          <w:bCs/>
        </w:rPr>
      </w:pPr>
      <w:r>
        <w:rPr>
          <w:b/>
          <w:bCs/>
        </w:rPr>
        <w:t>Duracef sudėtis</w:t>
      </w:r>
    </w:p>
    <w:p w14:paraId="3B083671" w14:textId="77777777" w:rsidR="00290E64" w:rsidRDefault="00290E64" w:rsidP="00290E64">
      <w:pPr>
        <w:spacing w:line="240" w:lineRule="auto"/>
      </w:pPr>
      <w:r>
        <w:t>-</w:t>
      </w:r>
      <w:r>
        <w:tab/>
        <w:t>Veiklioji medžiaga yra cefadroksilis (monohidrato pavidalu).</w:t>
      </w:r>
    </w:p>
    <w:p w14:paraId="451D5548" w14:textId="77777777" w:rsidR="00290E64" w:rsidRDefault="00290E64" w:rsidP="00290E64">
      <w:pPr>
        <w:spacing w:line="240" w:lineRule="auto"/>
      </w:pPr>
    </w:p>
    <w:p w14:paraId="115D88E5" w14:textId="77777777" w:rsidR="00290E64" w:rsidRDefault="00290E64" w:rsidP="00290E64">
      <w:pPr>
        <w:tabs>
          <w:tab w:val="left" w:pos="720"/>
        </w:tabs>
        <w:autoSpaceDE w:val="0"/>
        <w:autoSpaceDN w:val="0"/>
        <w:adjustRightInd w:val="0"/>
        <w:spacing w:line="240" w:lineRule="auto"/>
        <w:rPr>
          <w:bCs/>
        </w:rPr>
      </w:pPr>
      <w:r>
        <w:rPr>
          <w:bCs/>
          <w:u w:val="single"/>
        </w:rPr>
        <w:t xml:space="preserve">250 mg/ 5ml milteliai geriamajai suspensijai. </w:t>
      </w:r>
      <w:r>
        <w:rPr>
          <w:bCs/>
        </w:rPr>
        <w:t>5 ml paruoštos geriamosios suspensijos (viename matavimo šaukšte) yra 250 mg cefadroksilio.</w:t>
      </w:r>
    </w:p>
    <w:p w14:paraId="4C597595" w14:textId="77777777" w:rsidR="00290E64" w:rsidRDefault="00290E64" w:rsidP="00290E64">
      <w:pPr>
        <w:tabs>
          <w:tab w:val="left" w:pos="720"/>
        </w:tabs>
        <w:autoSpaceDE w:val="0"/>
        <w:autoSpaceDN w:val="0"/>
        <w:adjustRightInd w:val="0"/>
        <w:spacing w:line="240" w:lineRule="auto"/>
        <w:rPr>
          <w:bCs/>
        </w:rPr>
      </w:pPr>
    </w:p>
    <w:p w14:paraId="1F00BE68" w14:textId="77777777" w:rsidR="00290E64" w:rsidRDefault="00290E64" w:rsidP="00290E64">
      <w:pPr>
        <w:spacing w:line="240" w:lineRule="auto"/>
        <w:rPr>
          <w:highlight w:val="lightGray"/>
        </w:rPr>
      </w:pPr>
      <w:r>
        <w:rPr>
          <w:highlight w:val="lightGray"/>
          <w:u w:val="single"/>
        </w:rPr>
        <w:t xml:space="preserve">500 mg kietosios kapsulės. </w:t>
      </w:r>
      <w:r>
        <w:rPr>
          <w:highlight w:val="lightGray"/>
        </w:rPr>
        <w:t>Vienoje kapsulėje yra 500 mg cefadroksilio.</w:t>
      </w:r>
    </w:p>
    <w:p w14:paraId="7A95571F" w14:textId="77777777" w:rsidR="00290E64" w:rsidRDefault="00290E64" w:rsidP="00290E64">
      <w:pPr>
        <w:spacing w:line="240" w:lineRule="auto"/>
        <w:rPr>
          <w:highlight w:val="lightGray"/>
        </w:rPr>
      </w:pPr>
    </w:p>
    <w:p w14:paraId="4E3C3B12" w14:textId="77777777" w:rsidR="00290E64" w:rsidRDefault="00290E64" w:rsidP="00290E64">
      <w:pPr>
        <w:numPr>
          <w:ilvl w:val="12"/>
          <w:numId w:val="0"/>
        </w:numPr>
        <w:spacing w:line="240" w:lineRule="auto"/>
        <w:ind w:right="-2"/>
      </w:pPr>
      <w:r>
        <w:rPr>
          <w:highlight w:val="lightGray"/>
          <w:u w:val="single"/>
        </w:rPr>
        <w:t>1 g disperguojamosios tabletės</w:t>
      </w:r>
      <w:r>
        <w:rPr>
          <w:highlight w:val="lightGray"/>
        </w:rPr>
        <w:t>. Vienoje</w:t>
      </w:r>
      <w:r>
        <w:rPr>
          <w:b/>
          <w:highlight w:val="lightGray"/>
        </w:rPr>
        <w:t xml:space="preserve"> </w:t>
      </w:r>
      <w:r>
        <w:rPr>
          <w:highlight w:val="lightGray"/>
        </w:rPr>
        <w:t>disperguojamojoje</w:t>
      </w:r>
      <w:r>
        <w:rPr>
          <w:b/>
          <w:highlight w:val="lightGray"/>
        </w:rPr>
        <w:t xml:space="preserve"> </w:t>
      </w:r>
      <w:r>
        <w:rPr>
          <w:highlight w:val="lightGray"/>
        </w:rPr>
        <w:t>tabletėje yra 1 g cefadroksilio.</w:t>
      </w:r>
    </w:p>
    <w:p w14:paraId="77B2F049" w14:textId="77777777" w:rsidR="00290E64" w:rsidRDefault="00290E64" w:rsidP="00290E64">
      <w:pPr>
        <w:tabs>
          <w:tab w:val="left" w:pos="720"/>
        </w:tabs>
        <w:autoSpaceDE w:val="0"/>
        <w:autoSpaceDN w:val="0"/>
        <w:adjustRightInd w:val="0"/>
        <w:spacing w:line="240" w:lineRule="auto"/>
        <w:rPr>
          <w:bCs/>
        </w:rPr>
      </w:pPr>
    </w:p>
    <w:p w14:paraId="26B91D0D" w14:textId="77777777" w:rsidR="00290E64" w:rsidRDefault="00290E64" w:rsidP="00290E64">
      <w:pPr>
        <w:spacing w:line="240" w:lineRule="auto"/>
      </w:pPr>
      <w:r>
        <w:t>-</w:t>
      </w:r>
      <w:r>
        <w:tab/>
        <w:t>Pagalbinės medžiagos yra:</w:t>
      </w:r>
    </w:p>
    <w:p w14:paraId="269C515E" w14:textId="77777777" w:rsidR="00290E64" w:rsidRDefault="00290E64" w:rsidP="00290E64">
      <w:pPr>
        <w:spacing w:line="240" w:lineRule="auto"/>
      </w:pPr>
      <w:r>
        <w:rPr>
          <w:u w:val="single"/>
        </w:rPr>
        <w:t>Milteliai geriamajai suspensijai.</w:t>
      </w:r>
      <w:r>
        <w:rPr>
          <w:b/>
        </w:rPr>
        <w:t xml:space="preserve"> </w:t>
      </w:r>
      <w:r>
        <w:t xml:space="preserve">Natrio benzoatas (E211), ksantano lipai, </w:t>
      </w:r>
      <w:r>
        <w:rPr>
          <w:i/>
        </w:rPr>
        <w:t>Tween</w:t>
      </w:r>
      <w:r>
        <w:t xml:space="preserve"> 40 (polioksietileno sorbitano monopalmitatas), aviečių skonio medžiaga, citrinų skonio medžiaga, braškių skonio medžiaga, </w:t>
      </w:r>
      <w:r>
        <w:rPr>
          <w:i/>
        </w:rPr>
        <w:t>Refranchissment</w:t>
      </w:r>
      <w:r>
        <w:t xml:space="preserve"> skonio medžiaga, titano dioksidas (E171), sacharozė.</w:t>
      </w:r>
    </w:p>
    <w:p w14:paraId="55EA4E3A" w14:textId="77777777" w:rsidR="00290E64" w:rsidRDefault="00290E64" w:rsidP="00290E64">
      <w:pPr>
        <w:spacing w:line="240" w:lineRule="auto"/>
        <w:ind w:right="-2"/>
        <w:rPr>
          <w:u w:val="single"/>
        </w:rPr>
      </w:pPr>
    </w:p>
    <w:p w14:paraId="18C7E110" w14:textId="77777777" w:rsidR="00290E64" w:rsidRDefault="00290E64" w:rsidP="00290E64">
      <w:pPr>
        <w:spacing w:line="240" w:lineRule="auto"/>
        <w:ind w:right="-2"/>
        <w:rPr>
          <w:b/>
          <w:highlight w:val="lightGray"/>
        </w:rPr>
      </w:pPr>
      <w:r>
        <w:rPr>
          <w:highlight w:val="lightGray"/>
          <w:u w:val="single"/>
        </w:rPr>
        <w:t>Kietosios kapsulės</w:t>
      </w:r>
      <w:r>
        <w:rPr>
          <w:highlight w:val="lightGray"/>
        </w:rPr>
        <w:t>.</w:t>
      </w:r>
      <w:r>
        <w:rPr>
          <w:b/>
          <w:highlight w:val="lightGray"/>
        </w:rPr>
        <w:t xml:space="preserve"> </w:t>
      </w:r>
      <w:r>
        <w:rPr>
          <w:highlight w:val="lightGray"/>
        </w:rPr>
        <w:t>Kapsulės turinyje yra magnio stearato, bevandenio koloidinio silicio dioksido, laktozė monohidrato. Kapsulės apvalkale yra želatinos, titano dioksido (E171). Rašalo sudėtyje yra šelako, geležies juodojo oksido E172, propilenglikolio E1520, amonio hidroksido E527.</w:t>
      </w:r>
    </w:p>
    <w:p w14:paraId="4711DC0F" w14:textId="77777777" w:rsidR="00290E64" w:rsidRDefault="00290E64" w:rsidP="00290E64">
      <w:pPr>
        <w:tabs>
          <w:tab w:val="left" w:pos="720"/>
        </w:tabs>
        <w:spacing w:line="240" w:lineRule="auto"/>
        <w:ind w:right="-2"/>
        <w:rPr>
          <w:highlight w:val="lightGray"/>
          <w:u w:val="single"/>
        </w:rPr>
      </w:pPr>
    </w:p>
    <w:p w14:paraId="1333FC9A" w14:textId="77777777" w:rsidR="00290E64" w:rsidRDefault="00290E64" w:rsidP="00290E64">
      <w:pPr>
        <w:tabs>
          <w:tab w:val="left" w:pos="720"/>
        </w:tabs>
        <w:spacing w:line="240" w:lineRule="auto"/>
        <w:ind w:right="-2"/>
      </w:pPr>
      <w:r>
        <w:rPr>
          <w:highlight w:val="lightGray"/>
          <w:u w:val="single"/>
        </w:rPr>
        <w:t>Disperguojamosios tabletės.</w:t>
      </w:r>
      <w:r>
        <w:rPr>
          <w:highlight w:val="lightGray"/>
        </w:rPr>
        <w:t xml:space="preserve"> Mikrokristalinė celiuliozė, magnio stearatas, krospovidonas, amonio glicirizinatas, aviečių skonio medžiaga, citrinų skonio medžiaga, braškių skonio medžiaga, sacharino natrio druska, natrio gliukonatas, gliukono delta laktonas, guaro lipai.</w:t>
      </w:r>
    </w:p>
    <w:p w14:paraId="4C6E488E" w14:textId="77777777" w:rsidR="00290E64" w:rsidRDefault="00290E64" w:rsidP="00290E64">
      <w:pPr>
        <w:spacing w:line="240" w:lineRule="auto"/>
        <w:ind w:right="-2"/>
      </w:pPr>
    </w:p>
    <w:p w14:paraId="3DE25AA9" w14:textId="77777777" w:rsidR="00290E64" w:rsidRDefault="00290E64" w:rsidP="00290E64">
      <w:pPr>
        <w:numPr>
          <w:ilvl w:val="12"/>
          <w:numId w:val="0"/>
        </w:numPr>
        <w:spacing w:line="240" w:lineRule="auto"/>
        <w:ind w:right="-2"/>
        <w:outlineLvl w:val="0"/>
        <w:rPr>
          <w:b/>
          <w:bCs/>
        </w:rPr>
      </w:pPr>
      <w:r>
        <w:rPr>
          <w:b/>
          <w:bCs/>
        </w:rPr>
        <w:t>Duracef išvaizda ir kiekis pakuotėje</w:t>
      </w:r>
    </w:p>
    <w:p w14:paraId="2FBCCE87" w14:textId="77777777" w:rsidR="00290E64" w:rsidRDefault="00290E64" w:rsidP="00290E64">
      <w:pPr>
        <w:spacing w:line="240" w:lineRule="auto"/>
        <w:outlineLvl w:val="0"/>
        <w:rPr>
          <w:u w:val="single"/>
        </w:rPr>
      </w:pPr>
      <w:r>
        <w:rPr>
          <w:bCs/>
          <w:u w:val="single"/>
        </w:rPr>
        <w:t>Duracef</w:t>
      </w:r>
      <w:r>
        <w:rPr>
          <w:b/>
          <w:bCs/>
          <w:u w:val="single"/>
        </w:rPr>
        <w:t xml:space="preserve"> </w:t>
      </w:r>
      <w:r>
        <w:rPr>
          <w:u w:val="single"/>
        </w:rPr>
        <w:t>250 mg/5 ml milteliai geriamajai suspensijai</w:t>
      </w:r>
      <w:r>
        <w:t xml:space="preserve"> yra baltos arba gelsvos spalvos, būdingo vaisių kvapo.</w:t>
      </w:r>
    </w:p>
    <w:p w14:paraId="794BCF4E" w14:textId="77777777" w:rsidR="00290E64" w:rsidRDefault="00290E64" w:rsidP="00290E64">
      <w:pPr>
        <w:spacing w:line="240" w:lineRule="auto"/>
        <w:outlineLvl w:val="0"/>
      </w:pPr>
      <w:r>
        <w:t>Dėžutėje yra vienas 60 ml arba 100 ml DTPE (plastikinis) buteliukas ir matavimo šaukštas.</w:t>
      </w:r>
    </w:p>
    <w:p w14:paraId="6C5CE15D" w14:textId="77777777" w:rsidR="00290E64" w:rsidRDefault="00290E64" w:rsidP="00290E64">
      <w:pPr>
        <w:spacing w:line="240" w:lineRule="auto"/>
      </w:pPr>
      <w:r>
        <w:t>Paruošta vartoti geriamoji suspensija yra baltos arba gelsvos spalvos, vaisių kvapo.</w:t>
      </w:r>
    </w:p>
    <w:p w14:paraId="423E9AB5" w14:textId="77777777" w:rsidR="00290E64" w:rsidRDefault="00290E64" w:rsidP="00290E64">
      <w:pPr>
        <w:spacing w:line="240" w:lineRule="auto"/>
        <w:rPr>
          <w:bCs/>
        </w:rPr>
      </w:pPr>
    </w:p>
    <w:p w14:paraId="76C1D736" w14:textId="77777777" w:rsidR="00290E64" w:rsidRDefault="00290E64" w:rsidP="00290E64">
      <w:pPr>
        <w:spacing w:line="240" w:lineRule="auto"/>
        <w:rPr>
          <w:highlight w:val="lightGray"/>
        </w:rPr>
      </w:pPr>
      <w:r>
        <w:rPr>
          <w:highlight w:val="lightGray"/>
          <w:u w:val="single"/>
        </w:rPr>
        <w:t>Duracef 500 mg kietosios kapsulės</w:t>
      </w:r>
      <w:r>
        <w:rPr>
          <w:highlight w:val="lightGray"/>
        </w:rPr>
        <w:t xml:space="preserve"> yra matinės, baltos spalvos, su juodu užrašu „7244“.</w:t>
      </w:r>
    </w:p>
    <w:p w14:paraId="056A1B12" w14:textId="77777777" w:rsidR="00290E64" w:rsidRDefault="00290E64" w:rsidP="00290E64">
      <w:pPr>
        <w:spacing w:line="240" w:lineRule="auto"/>
        <w:rPr>
          <w:highlight w:val="lightGray"/>
        </w:rPr>
      </w:pPr>
      <w:r>
        <w:rPr>
          <w:highlight w:val="lightGray"/>
        </w:rPr>
        <w:t>Dėžutėje yra 12 kapsulių lizdinėse plokštelėse.</w:t>
      </w:r>
    </w:p>
    <w:p w14:paraId="529D3D1B" w14:textId="77777777" w:rsidR="00290E64" w:rsidRDefault="00290E64" w:rsidP="00290E64">
      <w:pPr>
        <w:spacing w:line="240" w:lineRule="auto"/>
        <w:rPr>
          <w:bCs/>
          <w:highlight w:val="lightGray"/>
        </w:rPr>
      </w:pPr>
    </w:p>
    <w:p w14:paraId="753E1E28" w14:textId="77777777" w:rsidR="00290E64" w:rsidRDefault="00290E64" w:rsidP="00290E64">
      <w:pPr>
        <w:spacing w:line="240" w:lineRule="auto"/>
        <w:rPr>
          <w:highlight w:val="lightGray"/>
        </w:rPr>
      </w:pPr>
      <w:r>
        <w:rPr>
          <w:bCs/>
          <w:highlight w:val="lightGray"/>
          <w:u w:val="single"/>
        </w:rPr>
        <w:t>Duracef</w:t>
      </w:r>
      <w:r>
        <w:rPr>
          <w:b/>
          <w:bCs/>
          <w:highlight w:val="lightGray"/>
          <w:u w:val="single"/>
        </w:rPr>
        <w:t xml:space="preserve"> </w:t>
      </w:r>
      <w:r>
        <w:rPr>
          <w:highlight w:val="lightGray"/>
          <w:u w:val="single"/>
        </w:rPr>
        <w:t>1 g disperguojamosios tabletės</w:t>
      </w:r>
      <w:r>
        <w:rPr>
          <w:highlight w:val="lightGray"/>
        </w:rPr>
        <w:t xml:space="preserve"> yra baltos ar gelsvai balkšvos spalvos, apvalios formos, su vagele. Vagelė nėra skirta tabletei perlaužti.</w:t>
      </w:r>
    </w:p>
    <w:p w14:paraId="6B17CD34" w14:textId="77777777" w:rsidR="00290E64" w:rsidRDefault="00290E64" w:rsidP="00290E64">
      <w:pPr>
        <w:spacing w:line="240" w:lineRule="auto"/>
        <w:rPr>
          <w:bCs/>
        </w:rPr>
      </w:pPr>
      <w:r>
        <w:rPr>
          <w:highlight w:val="lightGray"/>
        </w:rPr>
        <w:t>Dėžutėje yra 10 disperguojamųjų tablečių dvisluoksnėse juostelėse.</w:t>
      </w:r>
    </w:p>
    <w:p w14:paraId="0B283AA8" w14:textId="77777777" w:rsidR="00290E64" w:rsidRDefault="00290E64" w:rsidP="00290E64">
      <w:pPr>
        <w:spacing w:line="240" w:lineRule="auto"/>
        <w:outlineLvl w:val="0"/>
        <w:rPr>
          <w:b/>
        </w:rPr>
      </w:pPr>
    </w:p>
    <w:p w14:paraId="215EEEC3" w14:textId="77777777" w:rsidR="00290E64" w:rsidRDefault="00290E64" w:rsidP="00290E64">
      <w:pPr>
        <w:spacing w:line="240" w:lineRule="auto"/>
        <w:outlineLvl w:val="0"/>
      </w:pPr>
      <w:r>
        <w:lastRenderedPageBreak/>
        <w:t>Gali būti tiekiamos ne visų dydžių pakuotės.</w:t>
      </w:r>
    </w:p>
    <w:p w14:paraId="51FA7D5D" w14:textId="77777777" w:rsidR="00290E64" w:rsidRDefault="00290E64" w:rsidP="00290E64">
      <w:pPr>
        <w:spacing w:line="240" w:lineRule="auto"/>
        <w:outlineLvl w:val="0"/>
        <w:rPr>
          <w:b/>
        </w:rPr>
      </w:pPr>
    </w:p>
    <w:p w14:paraId="11A8406A" w14:textId="77777777" w:rsidR="00290E64" w:rsidRDefault="00290E64" w:rsidP="00290E64">
      <w:pPr>
        <w:spacing w:line="240" w:lineRule="auto"/>
        <w:outlineLvl w:val="0"/>
        <w:rPr>
          <w:b/>
          <w:bCs/>
        </w:rPr>
      </w:pPr>
      <w:r>
        <w:rPr>
          <w:b/>
        </w:rPr>
        <w:t>Registruotojas</w:t>
      </w:r>
    </w:p>
    <w:p w14:paraId="42507529" w14:textId="77777777" w:rsidR="002A64C7" w:rsidRPr="007E1EEC" w:rsidRDefault="002A64C7" w:rsidP="007E1EEC">
      <w:pPr>
        <w:spacing w:line="240" w:lineRule="auto"/>
        <w:rPr>
          <w:lang w:val="lt-LT"/>
        </w:rPr>
      </w:pPr>
      <w:r w:rsidRPr="007E1EEC">
        <w:rPr>
          <w:lang w:val="lt-LT"/>
        </w:rPr>
        <w:t>Bausch Health Ireland Limited</w:t>
      </w:r>
    </w:p>
    <w:p w14:paraId="23AB898D" w14:textId="77777777" w:rsidR="002A64C7" w:rsidRPr="007E1EEC" w:rsidRDefault="002A64C7" w:rsidP="007E1EEC">
      <w:pPr>
        <w:spacing w:line="240" w:lineRule="auto"/>
        <w:rPr>
          <w:lang w:val="lt-LT"/>
        </w:rPr>
      </w:pPr>
      <w:r w:rsidRPr="007E1EEC">
        <w:rPr>
          <w:lang w:val="lt-LT"/>
        </w:rPr>
        <w:t>3013 Lake Drive</w:t>
      </w:r>
    </w:p>
    <w:p w14:paraId="06C8BB7F" w14:textId="77777777" w:rsidR="002A64C7" w:rsidRPr="007E1EEC" w:rsidRDefault="002A64C7" w:rsidP="007E1EEC">
      <w:pPr>
        <w:spacing w:line="240" w:lineRule="auto"/>
        <w:rPr>
          <w:lang w:val="lt-LT"/>
        </w:rPr>
      </w:pPr>
      <w:r w:rsidRPr="007E1EEC">
        <w:rPr>
          <w:lang w:val="lt-LT"/>
        </w:rPr>
        <w:t>Citywest Business Campus</w:t>
      </w:r>
    </w:p>
    <w:p w14:paraId="5DCD9F5F" w14:textId="77777777" w:rsidR="002A64C7" w:rsidRPr="007E1EEC" w:rsidRDefault="002A64C7" w:rsidP="002A64C7">
      <w:pPr>
        <w:spacing w:line="240" w:lineRule="auto"/>
        <w:rPr>
          <w:lang w:val="lt-LT"/>
        </w:rPr>
      </w:pPr>
      <w:r w:rsidRPr="007E1EEC">
        <w:rPr>
          <w:lang w:val="lt-LT"/>
        </w:rPr>
        <w:t>Dublin 24, D24PPT3</w:t>
      </w:r>
    </w:p>
    <w:p w14:paraId="1EA1AF17" w14:textId="022F7A94" w:rsidR="00290E64" w:rsidRDefault="002A64C7" w:rsidP="00290E64">
      <w:pPr>
        <w:numPr>
          <w:ilvl w:val="12"/>
          <w:numId w:val="0"/>
        </w:numPr>
        <w:spacing w:line="240" w:lineRule="auto"/>
        <w:ind w:right="-2"/>
        <w:rPr>
          <w:rFonts w:eastAsia="Arial Unicode MS"/>
        </w:rPr>
      </w:pPr>
      <w:r w:rsidRPr="007E1EEC">
        <w:rPr>
          <w:lang w:val="lt-LT"/>
        </w:rPr>
        <w:t>Airija</w:t>
      </w:r>
    </w:p>
    <w:p w14:paraId="3BC6D3CE" w14:textId="77777777" w:rsidR="00290E64" w:rsidRDefault="00290E64" w:rsidP="00290E64">
      <w:pPr>
        <w:numPr>
          <w:ilvl w:val="12"/>
          <w:numId w:val="0"/>
        </w:numPr>
        <w:spacing w:line="240" w:lineRule="auto"/>
        <w:ind w:right="-2"/>
        <w:rPr>
          <w:b/>
          <w:bCs/>
        </w:rPr>
      </w:pPr>
    </w:p>
    <w:p w14:paraId="55B8667E" w14:textId="77777777" w:rsidR="00290E64" w:rsidRDefault="00290E64" w:rsidP="00290E64">
      <w:pPr>
        <w:numPr>
          <w:ilvl w:val="12"/>
          <w:numId w:val="0"/>
        </w:numPr>
        <w:spacing w:line="240" w:lineRule="auto"/>
        <w:ind w:right="-2"/>
        <w:outlineLvl w:val="0"/>
        <w:rPr>
          <w:b/>
          <w:bCs/>
        </w:rPr>
      </w:pPr>
      <w:r>
        <w:rPr>
          <w:b/>
          <w:bCs/>
        </w:rPr>
        <w:t>Gamintojas</w:t>
      </w:r>
    </w:p>
    <w:p w14:paraId="1E40D5C1" w14:textId="77777777" w:rsidR="00290E64" w:rsidRDefault="00290E64" w:rsidP="00290E64">
      <w:r>
        <w:t>PenCef Pharma GmbH</w:t>
      </w:r>
    </w:p>
    <w:p w14:paraId="385508C2" w14:textId="77777777" w:rsidR="00290E64" w:rsidRDefault="00290E64" w:rsidP="00290E64">
      <w:r>
        <w:t>Schützenanger 9</w:t>
      </w:r>
    </w:p>
    <w:p w14:paraId="313DC46F" w14:textId="77777777" w:rsidR="00290E64" w:rsidRDefault="00290E64" w:rsidP="00290E64">
      <w:r>
        <w:t>37081 Göttingen</w:t>
      </w:r>
    </w:p>
    <w:p w14:paraId="29A59484" w14:textId="77777777" w:rsidR="00290E64" w:rsidRDefault="00290E64" w:rsidP="00290E64">
      <w:r>
        <w:t>Lower Saxony</w:t>
      </w:r>
    </w:p>
    <w:p w14:paraId="503F5CA6" w14:textId="77777777" w:rsidR="00290E64" w:rsidRDefault="00290E64" w:rsidP="00290E64">
      <w:pPr>
        <w:numPr>
          <w:ilvl w:val="12"/>
          <w:numId w:val="0"/>
        </w:numPr>
        <w:ind w:right="-2"/>
      </w:pPr>
      <w:r>
        <w:t>Vokietija</w:t>
      </w:r>
    </w:p>
    <w:p w14:paraId="29D23E33" w14:textId="77777777" w:rsidR="00290E64" w:rsidRDefault="00290E64" w:rsidP="00290E64">
      <w:pPr>
        <w:numPr>
          <w:ilvl w:val="12"/>
          <w:numId w:val="0"/>
        </w:numPr>
        <w:spacing w:line="240" w:lineRule="auto"/>
        <w:ind w:right="-2"/>
      </w:pPr>
    </w:p>
    <w:p w14:paraId="01A8E19B" w14:textId="77777777" w:rsidR="00290E64" w:rsidRDefault="00290E64" w:rsidP="00290E64">
      <w:pPr>
        <w:spacing w:line="240" w:lineRule="auto"/>
        <w:outlineLvl w:val="0"/>
      </w:pPr>
      <w:r>
        <w:t>Jeigu apie šį vaistą norite sužinoti daugiau, kreipkitės į vietinį registruotojo atstovą.</w:t>
      </w:r>
    </w:p>
    <w:p w14:paraId="46E397D4" w14:textId="77777777" w:rsidR="00290E64" w:rsidRDefault="00290E64" w:rsidP="00290E64">
      <w:pPr>
        <w:spacing w:line="240" w:lineRule="auto"/>
      </w:pPr>
    </w:p>
    <w:p w14:paraId="2444736A" w14:textId="77777777" w:rsidR="00290E64" w:rsidRDefault="00290E64" w:rsidP="00290E64">
      <w:pPr>
        <w:spacing w:line="240" w:lineRule="auto"/>
        <w:outlineLvl w:val="0"/>
      </w:pPr>
      <w:r>
        <w:t>UAB "PharmaSwiss"</w:t>
      </w:r>
    </w:p>
    <w:p w14:paraId="710C6ED0" w14:textId="77777777" w:rsidR="00290E64" w:rsidRDefault="00290E64" w:rsidP="00290E64">
      <w:pPr>
        <w:spacing w:line="240" w:lineRule="auto"/>
      </w:pPr>
      <w:r>
        <w:t>Tel.: +370 5 2790 762</w:t>
      </w:r>
    </w:p>
    <w:p w14:paraId="05042271" w14:textId="77777777" w:rsidR="00290E64" w:rsidRDefault="00290E64" w:rsidP="00290E64">
      <w:pPr>
        <w:spacing w:line="240" w:lineRule="auto"/>
      </w:pPr>
    </w:p>
    <w:p w14:paraId="0AAA0CB7" w14:textId="5C3EA5A2" w:rsidR="00290E64" w:rsidRDefault="00290E64" w:rsidP="00290E64">
      <w:pPr>
        <w:spacing w:line="240" w:lineRule="auto"/>
        <w:rPr>
          <w:b/>
        </w:rPr>
      </w:pPr>
      <w:r>
        <w:rPr>
          <w:b/>
          <w:bCs/>
        </w:rPr>
        <w:t>Šis pakuotės lapelis</w:t>
      </w:r>
      <w:r>
        <w:rPr>
          <w:b/>
        </w:rPr>
        <w:t xml:space="preserve"> paskutinį kartą peržiūrėtas </w:t>
      </w:r>
      <w:r w:rsidR="007E1EEC">
        <w:rPr>
          <w:b/>
        </w:rPr>
        <w:t>2021-03-12.</w:t>
      </w:r>
    </w:p>
    <w:p w14:paraId="38B67CC8" w14:textId="77777777" w:rsidR="00290E64" w:rsidRDefault="00290E64" w:rsidP="00290E64">
      <w:pPr>
        <w:spacing w:line="240" w:lineRule="auto"/>
      </w:pPr>
    </w:p>
    <w:p w14:paraId="4BDDD641" w14:textId="77777777" w:rsidR="00290E64" w:rsidRDefault="00290E64" w:rsidP="00290E64">
      <w:pPr>
        <w:numPr>
          <w:ilvl w:val="12"/>
          <w:numId w:val="0"/>
        </w:numPr>
        <w:spacing w:line="240" w:lineRule="auto"/>
        <w:ind w:right="-2"/>
        <w:outlineLvl w:val="0"/>
      </w:pPr>
      <w:r>
        <w:t xml:space="preserve">Išsami informacija apie šį vaistą pateikiama Valstybinės vaistų kontrolės tarnybos prie Lietuvos Respublikos sveikatos apsaugos ministerijos tinklalapyje </w:t>
      </w:r>
      <w:hyperlink r:id="rId10" w:history="1">
        <w:r w:rsidRPr="007E1EEC">
          <w:rPr>
            <w:rStyle w:val="Hipersaitas"/>
          </w:rPr>
          <w:t>http://www.vvkt.lt/</w:t>
        </w:r>
      </w:hyperlink>
      <w:r>
        <w:t>.</w:t>
      </w:r>
    </w:p>
    <w:p w14:paraId="18714E0A" w14:textId="77777777" w:rsidR="00290E64" w:rsidRDefault="00290E64" w:rsidP="00290E64">
      <w:pPr>
        <w:spacing w:line="240" w:lineRule="auto"/>
      </w:pPr>
    </w:p>
    <w:p w14:paraId="4DCB819D" w14:textId="77777777" w:rsidR="00290E64" w:rsidRDefault="00290E64" w:rsidP="007E1EEC">
      <w:pPr>
        <w:spacing w:line="240" w:lineRule="auto"/>
      </w:pPr>
    </w:p>
    <w:p w14:paraId="133855C8" w14:textId="77777777" w:rsidR="00290E64" w:rsidRPr="007E1EEC" w:rsidRDefault="00290E64" w:rsidP="00290E64">
      <w:pPr>
        <w:spacing w:line="240" w:lineRule="auto"/>
        <w:jc w:val="center"/>
        <w:outlineLvl w:val="0"/>
        <w:rPr>
          <w:lang w:val="lt-LT"/>
        </w:rPr>
      </w:pPr>
    </w:p>
    <w:p w14:paraId="733F82CA" w14:textId="77777777" w:rsidR="00290E64" w:rsidRPr="007E1EEC" w:rsidRDefault="00290E64" w:rsidP="007E1EEC">
      <w:pPr>
        <w:spacing w:line="240" w:lineRule="auto"/>
        <w:rPr>
          <w:lang w:val="lt-LT"/>
        </w:rPr>
      </w:pPr>
    </w:p>
    <w:p w14:paraId="668974DE" w14:textId="77777777" w:rsidR="00290E64" w:rsidRDefault="00290E64" w:rsidP="00290E64">
      <w:pPr>
        <w:spacing w:line="240" w:lineRule="auto"/>
        <w:rPr>
          <w:sz w:val="24"/>
          <w:szCs w:val="24"/>
          <w:lang w:val="lt-LT"/>
        </w:rPr>
      </w:pPr>
    </w:p>
    <w:p w14:paraId="425561A8" w14:textId="77777777" w:rsidR="00290E64" w:rsidRDefault="00290E64" w:rsidP="00290E64">
      <w:pPr>
        <w:jc w:val="center"/>
        <w:outlineLvl w:val="0"/>
        <w:rPr>
          <w:lang w:val="lt-LT"/>
        </w:rPr>
      </w:pPr>
    </w:p>
    <w:p w14:paraId="60905148" w14:textId="77777777" w:rsidR="00290E64" w:rsidRDefault="00290E64" w:rsidP="00290E64">
      <w:pPr>
        <w:rPr>
          <w:lang w:val="lt-LT"/>
        </w:rPr>
      </w:pPr>
    </w:p>
    <w:p w14:paraId="4C2C5DBC" w14:textId="76F8090C" w:rsidR="00A660ED" w:rsidRPr="007E1EEC" w:rsidRDefault="00A660ED" w:rsidP="007E1EEC"/>
    <w:sectPr w:rsidR="00A660ED" w:rsidRPr="007E1EEC" w:rsidSect="0072623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D420EA0"/>
    <w:lvl w:ilvl="0">
      <w:numFmt w:val="decimal"/>
      <w:pStyle w:val="PI-2EMEASMCA"/>
      <w:lvlText w:val="*"/>
      <w:lvlJc w:val="left"/>
      <w:pPr>
        <w:ind w:left="0" w:firstLine="0"/>
      </w:pPr>
      <w:rPr>
        <w:rFonts w:cs="Times New Roman"/>
      </w:rPr>
    </w:lvl>
  </w:abstractNum>
  <w:abstractNum w:abstractNumId="1" w15:restartNumberingAfterBreak="0">
    <w:nsid w:val="42091A3D"/>
    <w:multiLevelType w:val="hybridMultilevel"/>
    <w:tmpl w:val="913C3C8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4EB66012"/>
    <w:multiLevelType w:val="hybridMultilevel"/>
    <w:tmpl w:val="AA58663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620A6C"/>
    <w:multiLevelType w:val="hybridMultilevel"/>
    <w:tmpl w:val="6ED67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91422C"/>
    <w:multiLevelType w:val="hybridMultilevel"/>
    <w:tmpl w:val="A90EF1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3F6126"/>
    <w:multiLevelType w:val="hybridMultilevel"/>
    <w:tmpl w:val="855A5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0"/>
  </w:num>
  <w:num w:numId="5">
    <w:abstractNumId w:val="5"/>
  </w:num>
  <w:num w:numId="6">
    <w:abstractNumId w:val="4"/>
  </w:num>
  <w:num w:numId="7">
    <w:abstractNumId w:val="0"/>
    <w:lvlOverride w:ilvl="0">
      <w:lvl w:ilvl="0">
        <w:numFmt w:val="bullet"/>
        <w:pStyle w:val="PI-2EMEASMCA"/>
        <w:lvlText w:val="-"/>
        <w:legacy w:legacy="1" w:legacySpace="0" w:legacyIndent="360"/>
        <w:lvlJc w:val="left"/>
        <w:pPr>
          <w:ind w:left="360" w:hanging="360"/>
        </w:pPr>
        <w:rPr>
          <w:rFonts w:cs="Times New Roman"/>
        </w:rPr>
      </w:lvl>
    </w:lvlOverride>
  </w:num>
  <w:num w:numId="8">
    <w:abstractNumId w:val="2"/>
  </w:num>
  <w:num w:numId="9">
    <w:abstractNumId w:val="2"/>
  </w:num>
  <w:num w:numId="10">
    <w:abstractNumId w:val="3"/>
  </w:num>
  <w:num w:numId="11">
    <w:abstractNumId w:val="3"/>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E7"/>
    <w:rsid w:val="000247D4"/>
    <w:rsid w:val="001403E7"/>
    <w:rsid w:val="001A3035"/>
    <w:rsid w:val="001E55A1"/>
    <w:rsid w:val="00290E64"/>
    <w:rsid w:val="002A64C7"/>
    <w:rsid w:val="00393EBF"/>
    <w:rsid w:val="003C11B3"/>
    <w:rsid w:val="003E1D2A"/>
    <w:rsid w:val="00581A06"/>
    <w:rsid w:val="00646034"/>
    <w:rsid w:val="006D5277"/>
    <w:rsid w:val="006E696A"/>
    <w:rsid w:val="00726234"/>
    <w:rsid w:val="007E1EEC"/>
    <w:rsid w:val="00A40710"/>
    <w:rsid w:val="00A660ED"/>
    <w:rsid w:val="00AC0EEC"/>
    <w:rsid w:val="00AD0D2E"/>
    <w:rsid w:val="00B56DE1"/>
    <w:rsid w:val="00C225D8"/>
    <w:rsid w:val="00C84EAC"/>
    <w:rsid w:val="00D22E57"/>
    <w:rsid w:val="00D51EFC"/>
    <w:rsid w:val="00EA7687"/>
    <w:rsid w:val="00EB6495"/>
    <w:rsid w:val="00ED2381"/>
    <w:rsid w:val="00EE54B3"/>
    <w:rsid w:val="00F32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C176"/>
  <w15:chartTrackingRefBased/>
  <w15:docId w15:val="{B53A5A99-B48B-42D5-84BE-2B8952B6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0E64"/>
    <w:pPr>
      <w:tabs>
        <w:tab w:val="left" w:pos="567"/>
      </w:tabs>
      <w:spacing w:after="0" w:line="260" w:lineRule="exact"/>
    </w:pPr>
    <w:rPr>
      <w:rFonts w:ascii="Times New Roman" w:eastAsia="Calibri" w:hAnsi="Times New Roman" w:cs="Times New Roman"/>
      <w:szCs w:val="20"/>
      <w:lang w:val="en-GB"/>
    </w:rPr>
  </w:style>
  <w:style w:type="paragraph" w:styleId="Antrat1">
    <w:name w:val="heading 1"/>
    <w:basedOn w:val="prastasis"/>
    <w:next w:val="prastasis"/>
    <w:link w:val="Antrat1Diagrama"/>
    <w:uiPriority w:val="9"/>
    <w:qFormat/>
    <w:rsid w:val="006E69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90E64"/>
    <w:pPr>
      <w:keepNext/>
      <w:keepLines/>
      <w:spacing w:before="200"/>
      <w:outlineLvl w:val="2"/>
    </w:pPr>
    <w:rPr>
      <w:rFonts w:asciiTheme="majorHAnsi" w:eastAsiaTheme="majorEastAsia" w:hAnsiTheme="majorHAnsi" w:cstheme="majorBidi"/>
      <w:b/>
      <w:bCs/>
      <w:color w:val="4472C4" w:themeColor="accent1"/>
    </w:rPr>
  </w:style>
  <w:style w:type="paragraph" w:styleId="Antrat8">
    <w:name w:val="heading 8"/>
    <w:basedOn w:val="prastasis"/>
    <w:next w:val="prastasis"/>
    <w:link w:val="Antrat8Diagrama"/>
    <w:semiHidden/>
    <w:unhideWhenUsed/>
    <w:qFormat/>
    <w:rsid w:val="00290E64"/>
    <w:pPr>
      <w:keepNext/>
      <w:ind w:left="567" w:hanging="567"/>
      <w:jc w:val="both"/>
      <w:outlineLvl w:val="7"/>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290E64"/>
    <w:rPr>
      <w:rFonts w:ascii="Times New Roman" w:hAnsi="Times New Roman" w:cs="Times New Roman" w:hint="default"/>
      <w:color w:val="0000FF"/>
      <w:u w:val="single"/>
    </w:rPr>
  </w:style>
  <w:style w:type="paragraph" w:styleId="Betarp">
    <w:name w:val="No Spacing"/>
    <w:uiPriority w:val="1"/>
    <w:qFormat/>
    <w:rsid w:val="00290E64"/>
    <w:pPr>
      <w:spacing w:after="0" w:line="240" w:lineRule="auto"/>
    </w:pPr>
    <w:rPr>
      <w:rFonts w:ascii="Calibri" w:eastAsia="Calibri" w:hAnsi="Calibri" w:cs="Calibri"/>
      <w:lang w:val="en-US"/>
    </w:rPr>
  </w:style>
  <w:style w:type="paragraph" w:customStyle="1" w:styleId="BTEMEASMCA">
    <w:name w:val="BT EMEA_SMCA"/>
    <w:basedOn w:val="prastasis"/>
    <w:autoRedefine/>
    <w:rsid w:val="00290E64"/>
    <w:pPr>
      <w:tabs>
        <w:tab w:val="clear" w:pos="567"/>
      </w:tabs>
      <w:spacing w:line="240" w:lineRule="auto"/>
    </w:pPr>
    <w:rPr>
      <w:szCs w:val="22"/>
      <w:lang w:val="lt-LT"/>
    </w:rPr>
  </w:style>
  <w:style w:type="character" w:customStyle="1" w:styleId="EMEABodyTextChar">
    <w:name w:val="EMEA Body Text Char"/>
    <w:basedOn w:val="Numatytasispastraiposriftas"/>
    <w:link w:val="EMEABodyText"/>
    <w:uiPriority w:val="99"/>
    <w:locked/>
    <w:rsid w:val="00290E64"/>
    <w:rPr>
      <w:rFonts w:ascii="Times New Roman" w:hAnsi="Times New Roman" w:cs="Times New Roman"/>
      <w:lang w:val="en-GB" w:eastAsia="x-none"/>
    </w:rPr>
  </w:style>
  <w:style w:type="paragraph" w:customStyle="1" w:styleId="EMEABodyText">
    <w:name w:val="EMEA Body Text"/>
    <w:basedOn w:val="prastasis"/>
    <w:link w:val="EMEABodyTextChar"/>
    <w:uiPriority w:val="99"/>
    <w:rsid w:val="00290E64"/>
    <w:pPr>
      <w:tabs>
        <w:tab w:val="clear" w:pos="567"/>
      </w:tabs>
      <w:spacing w:line="240" w:lineRule="auto"/>
    </w:pPr>
    <w:rPr>
      <w:rFonts w:eastAsiaTheme="minorHAnsi"/>
      <w:szCs w:val="22"/>
      <w:lang w:eastAsia="x-none"/>
    </w:rPr>
  </w:style>
  <w:style w:type="character" w:customStyle="1" w:styleId="EMEASuperscript">
    <w:name w:val="EMEA Superscript"/>
    <w:rsid w:val="00290E64"/>
    <w:rPr>
      <w:sz w:val="22"/>
      <w:vertAlign w:val="superscript"/>
    </w:rPr>
  </w:style>
  <w:style w:type="paragraph" w:styleId="Pagrindinistekstas">
    <w:name w:val="Body Text"/>
    <w:basedOn w:val="prastasis"/>
    <w:link w:val="PagrindinistekstasDiagrama"/>
    <w:semiHidden/>
    <w:unhideWhenUsed/>
    <w:rsid w:val="00290E64"/>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semiHidden/>
    <w:rsid w:val="00290E64"/>
    <w:rPr>
      <w:rFonts w:ascii="Times New Roman" w:eastAsia="Calibri" w:hAnsi="Times New Roman" w:cs="Times New Roman"/>
      <w:i/>
      <w:color w:val="008000"/>
      <w:szCs w:val="20"/>
      <w:lang w:val="en-GB"/>
    </w:rPr>
  </w:style>
  <w:style w:type="paragraph" w:customStyle="1" w:styleId="TTEMEASMCA">
    <w:name w:val="TT EMEA_SMCA"/>
    <w:basedOn w:val="Antrat1"/>
    <w:autoRedefine/>
    <w:rsid w:val="006E696A"/>
    <w:pPr>
      <w:keepNext w:val="0"/>
      <w:keepLines w:val="0"/>
      <w:spacing w:before="0" w:line="240" w:lineRule="auto"/>
      <w:ind w:left="567" w:hanging="567"/>
      <w:jc w:val="center"/>
    </w:pPr>
    <w:rPr>
      <w:rFonts w:ascii="Times New Roman" w:eastAsia="Calibri" w:hAnsi="Times New Roman" w:cs="Times New Roman"/>
      <w:b/>
      <w:caps/>
      <w:color w:val="auto"/>
      <w:sz w:val="22"/>
      <w:szCs w:val="22"/>
      <w:lang w:val="en-US"/>
    </w:rPr>
  </w:style>
  <w:style w:type="paragraph" w:customStyle="1" w:styleId="BTAnIIEMEASMCA">
    <w:name w:val="BT(AnII) EMEA_SMCA"/>
    <w:basedOn w:val="Debesliotekstas"/>
    <w:autoRedefine/>
    <w:rsid w:val="00290E64"/>
    <w:pPr>
      <w:tabs>
        <w:tab w:val="clear" w:pos="567"/>
        <w:tab w:val="left" w:pos="1701"/>
      </w:tabs>
      <w:ind w:left="1701" w:hanging="567"/>
    </w:pPr>
    <w:rPr>
      <w:rFonts w:ascii="Times New Roman" w:hAnsi="Times New Roman" w:cs="Tahoma"/>
      <w:b/>
      <w:sz w:val="22"/>
      <w:szCs w:val="22"/>
    </w:rPr>
  </w:style>
  <w:style w:type="character" w:customStyle="1" w:styleId="Antrat1Diagrama">
    <w:name w:val="Antraštė 1 Diagrama"/>
    <w:basedOn w:val="Numatytasispastraiposriftas"/>
    <w:link w:val="Antrat1"/>
    <w:uiPriority w:val="9"/>
    <w:rsid w:val="00290E64"/>
    <w:rPr>
      <w:rFonts w:asciiTheme="majorHAnsi" w:eastAsiaTheme="majorEastAsia" w:hAnsiTheme="majorHAnsi" w:cstheme="majorBidi"/>
      <w:color w:val="2F5496" w:themeColor="accent1" w:themeShade="BF"/>
      <w:sz w:val="32"/>
      <w:szCs w:val="32"/>
      <w:lang w:val="en-GB"/>
    </w:rPr>
  </w:style>
  <w:style w:type="paragraph" w:styleId="Debesliotekstas">
    <w:name w:val="Balloon Text"/>
    <w:basedOn w:val="prastasis"/>
    <w:link w:val="DebesliotekstasDiagrama"/>
    <w:uiPriority w:val="99"/>
    <w:semiHidden/>
    <w:unhideWhenUsed/>
    <w:rsid w:val="006E696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0E64"/>
    <w:rPr>
      <w:rFonts w:ascii="Segoe UI" w:eastAsia="Calibri" w:hAnsi="Segoe UI" w:cs="Segoe UI"/>
      <w:sz w:val="18"/>
      <w:szCs w:val="18"/>
      <w:lang w:val="en-GB"/>
    </w:rPr>
  </w:style>
  <w:style w:type="character" w:customStyle="1" w:styleId="Antrat3Diagrama">
    <w:name w:val="Antraštė 3 Diagrama"/>
    <w:basedOn w:val="Numatytasispastraiposriftas"/>
    <w:link w:val="Antrat3"/>
    <w:uiPriority w:val="9"/>
    <w:semiHidden/>
    <w:rsid w:val="00290E64"/>
    <w:rPr>
      <w:rFonts w:asciiTheme="majorHAnsi" w:eastAsiaTheme="majorEastAsia" w:hAnsiTheme="majorHAnsi" w:cstheme="majorBidi"/>
      <w:b/>
      <w:bCs/>
      <w:color w:val="4472C4" w:themeColor="accent1"/>
      <w:szCs w:val="20"/>
      <w:lang w:val="en-GB"/>
    </w:rPr>
  </w:style>
  <w:style w:type="character" w:customStyle="1" w:styleId="Antrat8Diagrama">
    <w:name w:val="Antraštė 8 Diagrama"/>
    <w:basedOn w:val="Numatytasispastraiposriftas"/>
    <w:link w:val="Antrat8"/>
    <w:semiHidden/>
    <w:rsid w:val="00290E64"/>
    <w:rPr>
      <w:rFonts w:ascii="Times New Roman" w:eastAsia="Calibri" w:hAnsi="Times New Roman" w:cs="Times New Roman"/>
      <w:b/>
      <w:i/>
      <w:szCs w:val="20"/>
      <w:lang w:val="en-GB"/>
    </w:rPr>
  </w:style>
  <w:style w:type="character" w:styleId="Perirtashipersaitas">
    <w:name w:val="FollowedHyperlink"/>
    <w:basedOn w:val="Numatytasispastraiposriftas"/>
    <w:uiPriority w:val="99"/>
    <w:semiHidden/>
    <w:unhideWhenUsed/>
    <w:rsid w:val="00290E64"/>
    <w:rPr>
      <w:color w:val="954F72" w:themeColor="followedHyperlink"/>
      <w:u w:val="single"/>
    </w:rPr>
  </w:style>
  <w:style w:type="character" w:styleId="Grietas">
    <w:name w:val="Strong"/>
    <w:basedOn w:val="Numatytasispastraiposriftas"/>
    <w:qFormat/>
    <w:rsid w:val="00290E64"/>
    <w:rPr>
      <w:rFonts w:ascii="Times New Roman" w:hAnsi="Times New Roman" w:cs="Times New Roman" w:hint="default"/>
      <w:b/>
      <w:bCs/>
    </w:rPr>
  </w:style>
  <w:style w:type="paragraph" w:customStyle="1" w:styleId="msonormal0">
    <w:name w:val="msonormal"/>
    <w:basedOn w:val="prastasis"/>
    <w:rsid w:val="00290E64"/>
    <w:pPr>
      <w:tabs>
        <w:tab w:val="clear" w:pos="567"/>
      </w:tabs>
      <w:spacing w:before="100" w:beforeAutospacing="1" w:after="100" w:afterAutospacing="1" w:line="240" w:lineRule="auto"/>
    </w:pPr>
    <w:rPr>
      <w:rFonts w:eastAsia="Times New Roman"/>
      <w:sz w:val="24"/>
      <w:szCs w:val="24"/>
      <w:lang w:val="lt-LT" w:eastAsia="lt-LT"/>
    </w:rPr>
  </w:style>
  <w:style w:type="paragraph" w:styleId="Komentarotekstas">
    <w:name w:val="annotation text"/>
    <w:basedOn w:val="prastasis"/>
    <w:link w:val="KomentarotekstasDiagrama"/>
    <w:uiPriority w:val="99"/>
    <w:semiHidden/>
    <w:unhideWhenUsed/>
    <w:rsid w:val="00290E6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290E64"/>
    <w:rPr>
      <w:rFonts w:ascii="Times New Roman" w:eastAsia="Calibri" w:hAnsi="Times New Roman" w:cs="Times New Roman"/>
      <w:sz w:val="20"/>
      <w:szCs w:val="20"/>
      <w:lang w:val="en-GB"/>
    </w:rPr>
  </w:style>
  <w:style w:type="paragraph" w:styleId="Porat">
    <w:name w:val="footer"/>
    <w:basedOn w:val="prastasis"/>
    <w:link w:val="PoratDiagrama"/>
    <w:semiHidden/>
    <w:unhideWhenUsed/>
    <w:rsid w:val="00290E64"/>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semiHidden/>
    <w:rsid w:val="00290E64"/>
    <w:rPr>
      <w:rFonts w:ascii="Helvetica" w:eastAsia="Calibri" w:hAnsi="Helvetica" w:cs="Times New Roman"/>
      <w:sz w:val="16"/>
      <w:szCs w:val="20"/>
      <w:lang w:val="en-GB"/>
    </w:rPr>
  </w:style>
  <w:style w:type="paragraph" w:styleId="Pagrindinistekstas2">
    <w:name w:val="Body Text 2"/>
    <w:basedOn w:val="prastasis"/>
    <w:link w:val="Pagrindinistekstas2Diagrama"/>
    <w:semiHidden/>
    <w:unhideWhenUsed/>
    <w:rsid w:val="00290E6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semiHidden/>
    <w:rsid w:val="00290E64"/>
    <w:rPr>
      <w:rFonts w:ascii="Times New Roman" w:eastAsia="Calibri" w:hAnsi="Times New Roman" w:cs="Times New Roman"/>
      <w:b/>
      <w:bCs/>
      <w:color w:val="0000FF"/>
      <w:u w:val="single"/>
      <w:lang w:val="en-GB"/>
    </w:rPr>
  </w:style>
  <w:style w:type="paragraph" w:styleId="Komentarotema">
    <w:name w:val="annotation subject"/>
    <w:basedOn w:val="Komentarotekstas"/>
    <w:next w:val="Komentarotekstas"/>
    <w:link w:val="KomentarotemaDiagrama"/>
    <w:uiPriority w:val="99"/>
    <w:semiHidden/>
    <w:unhideWhenUsed/>
    <w:rsid w:val="00290E64"/>
    <w:rPr>
      <w:b/>
      <w:bCs/>
    </w:rPr>
  </w:style>
  <w:style w:type="character" w:customStyle="1" w:styleId="KomentarotemaDiagrama">
    <w:name w:val="Komentaro tema Diagrama"/>
    <w:basedOn w:val="KomentarotekstasDiagrama"/>
    <w:link w:val="Komentarotema"/>
    <w:uiPriority w:val="99"/>
    <w:semiHidden/>
    <w:rsid w:val="00290E64"/>
    <w:rPr>
      <w:rFonts w:ascii="Times New Roman" w:eastAsia="Calibri" w:hAnsi="Times New Roman" w:cs="Times New Roman"/>
      <w:b/>
      <w:bCs/>
      <w:sz w:val="20"/>
      <w:szCs w:val="20"/>
      <w:lang w:val="en-GB"/>
    </w:rPr>
  </w:style>
  <w:style w:type="paragraph" w:customStyle="1" w:styleId="PI-2EMEASMCA">
    <w:name w:val="PI-2 EMEA_SMCA"/>
    <w:basedOn w:val="Antrat3"/>
    <w:autoRedefine/>
    <w:rsid w:val="00290E64"/>
    <w:pPr>
      <w:numPr>
        <w:numId w:val="3"/>
      </w:numPr>
      <w:spacing w:before="0" w:line="240" w:lineRule="auto"/>
      <w:ind w:left="567" w:hanging="567"/>
    </w:pPr>
    <w:rPr>
      <w:rFonts w:ascii="Times New Roman" w:eastAsia="Calibri" w:hAnsi="Times New Roman" w:cs="Times New Roman"/>
      <w:bCs w:val="0"/>
      <w:color w:val="auto"/>
      <w:kern w:val="28"/>
      <w:szCs w:val="22"/>
      <w:lang w:val="lt-LT"/>
    </w:rPr>
  </w:style>
  <w:style w:type="paragraph" w:customStyle="1" w:styleId="BTbEMEASMCA">
    <w:name w:val="BT(b) EMEA_SMCA"/>
    <w:basedOn w:val="BTEMEASMCA"/>
    <w:autoRedefine/>
    <w:rsid w:val="00290E64"/>
    <w:rPr>
      <w:b/>
    </w:rPr>
  </w:style>
  <w:style w:type="character" w:customStyle="1" w:styleId="EMEAHeading2Char">
    <w:name w:val="EMEA Heading 2 Char"/>
    <w:basedOn w:val="EMEABodyTextChar"/>
    <w:link w:val="EMEAHeading2"/>
    <w:locked/>
    <w:rsid w:val="00290E64"/>
    <w:rPr>
      <w:rFonts w:ascii="Times New Roman" w:hAnsi="Times New Roman" w:cs="Times New Roman"/>
      <w:b/>
      <w:lang w:val="en-GB" w:eastAsia="x-none"/>
    </w:rPr>
  </w:style>
  <w:style w:type="paragraph" w:customStyle="1" w:styleId="EMEAHeading2">
    <w:name w:val="EMEA Heading 2"/>
    <w:basedOn w:val="EMEABodyText"/>
    <w:next w:val="EMEABodyText"/>
    <w:link w:val="EMEAHeading2Char"/>
    <w:rsid w:val="00290E64"/>
    <w:pPr>
      <w:keepNext/>
      <w:keepLines/>
      <w:ind w:left="567" w:hanging="567"/>
      <w:outlineLvl w:val="1"/>
    </w:pPr>
    <w:rPr>
      <w:b/>
    </w:rPr>
  </w:style>
  <w:style w:type="character" w:styleId="Komentaronuoroda">
    <w:name w:val="annotation reference"/>
    <w:basedOn w:val="Numatytasispastraiposriftas"/>
    <w:uiPriority w:val="99"/>
    <w:semiHidden/>
    <w:unhideWhenUsed/>
    <w:rsid w:val="00290E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537269">
      <w:bodyDiv w:val="1"/>
      <w:marLeft w:val="0"/>
      <w:marRight w:val="0"/>
      <w:marTop w:val="0"/>
      <w:marBottom w:val="0"/>
      <w:divBdr>
        <w:top w:val="none" w:sz="0" w:space="0" w:color="auto"/>
        <w:left w:val="none" w:sz="0" w:space="0" w:color="auto"/>
        <w:bottom w:val="none" w:sz="0" w:space="0" w:color="auto"/>
        <w:right w:val="none" w:sz="0" w:space="0" w:color="auto"/>
      </w:divBdr>
    </w:div>
    <w:div w:id="1395658364">
      <w:bodyDiv w:val="1"/>
      <w:marLeft w:val="0"/>
      <w:marRight w:val="0"/>
      <w:marTop w:val="0"/>
      <w:marBottom w:val="0"/>
      <w:divBdr>
        <w:top w:val="none" w:sz="0" w:space="0" w:color="auto"/>
        <w:left w:val="none" w:sz="0" w:space="0" w:color="auto"/>
        <w:bottom w:val="none" w:sz="0" w:space="0" w:color="auto"/>
        <w:right w:val="none" w:sz="0" w:space="0" w:color="auto"/>
      </w:divBdr>
    </w:div>
    <w:div w:id="1595628440">
      <w:bodyDiv w:val="1"/>
      <w:marLeft w:val="0"/>
      <w:marRight w:val="0"/>
      <w:marTop w:val="0"/>
      <w:marBottom w:val="0"/>
      <w:divBdr>
        <w:top w:val="none" w:sz="0" w:space="0" w:color="auto"/>
        <w:left w:val="none" w:sz="0" w:space="0" w:color="auto"/>
        <w:bottom w:val="none" w:sz="0" w:space="0" w:color="auto"/>
        <w:right w:val="none" w:sz="0" w:space="0" w:color="auto"/>
      </w:divBdr>
    </w:div>
    <w:div w:id="176163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20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20380</Words>
  <Characters>11618</Characters>
  <Application>Microsoft Office Word</Application>
  <DocSecurity>4</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2</cp:revision>
  <dcterms:created xsi:type="dcterms:W3CDTF">2021-03-15T12:19:00Z</dcterms:created>
  <dcterms:modified xsi:type="dcterms:W3CDTF">2021-03-15T12:19:00Z</dcterms:modified>
</cp:coreProperties>
</file>