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770" w:rsidRDefault="00136770" w:rsidP="00136770">
      <w:pPr>
        <w:spacing w:line="240" w:lineRule="auto"/>
        <w:jc w:val="center"/>
        <w:outlineLvl w:val="0"/>
        <w:rPr>
          <w:b/>
        </w:rPr>
      </w:pPr>
      <w:r>
        <w:rPr>
          <w:b/>
        </w:rPr>
        <w:t>Pakuotės lapelis: informacija vartotojui</w:t>
      </w:r>
    </w:p>
    <w:p w:rsidR="00136770" w:rsidRDefault="00136770" w:rsidP="00136770">
      <w:pPr>
        <w:spacing w:line="240" w:lineRule="auto"/>
        <w:jc w:val="center"/>
        <w:outlineLvl w:val="0"/>
        <w:rPr>
          <w:b/>
        </w:rPr>
      </w:pPr>
    </w:p>
    <w:p w:rsidR="00136770" w:rsidRDefault="00136770" w:rsidP="00136770">
      <w:pPr>
        <w:tabs>
          <w:tab w:val="left" w:pos="0"/>
        </w:tabs>
        <w:spacing w:line="240" w:lineRule="auto"/>
        <w:jc w:val="center"/>
        <w:outlineLvl w:val="0"/>
        <w:rPr>
          <w:b/>
          <w:bCs/>
        </w:rPr>
      </w:pPr>
      <w:r>
        <w:rPr>
          <w:b/>
          <w:bCs/>
        </w:rPr>
        <w:t>Duracef 250 mg/5 ml milteliai geriamajai suspensijai</w:t>
      </w:r>
    </w:p>
    <w:p w:rsidR="00136770" w:rsidRDefault="00136770" w:rsidP="00136770">
      <w:pPr>
        <w:tabs>
          <w:tab w:val="left" w:pos="0"/>
        </w:tabs>
        <w:spacing w:line="240" w:lineRule="auto"/>
        <w:jc w:val="center"/>
        <w:outlineLvl w:val="0"/>
        <w:rPr>
          <w:b/>
          <w:bCs/>
          <w:highlight w:val="lightGray"/>
        </w:rPr>
      </w:pPr>
      <w:r>
        <w:rPr>
          <w:b/>
          <w:bCs/>
          <w:highlight w:val="lightGray"/>
        </w:rPr>
        <w:t>Duracef 500 mg kietosios kapsulės</w:t>
      </w:r>
    </w:p>
    <w:p w:rsidR="00136770" w:rsidRDefault="00136770" w:rsidP="00136770">
      <w:pPr>
        <w:tabs>
          <w:tab w:val="left" w:pos="0"/>
        </w:tabs>
        <w:spacing w:line="240" w:lineRule="auto"/>
        <w:jc w:val="center"/>
        <w:outlineLvl w:val="0"/>
        <w:rPr>
          <w:bCs/>
        </w:rPr>
      </w:pPr>
      <w:r>
        <w:rPr>
          <w:b/>
          <w:bCs/>
          <w:highlight w:val="lightGray"/>
        </w:rPr>
        <w:t>Duracef 1 g disperguojamosios tabletės</w:t>
      </w:r>
    </w:p>
    <w:p w:rsidR="00136770" w:rsidRDefault="00136770" w:rsidP="00136770">
      <w:pPr>
        <w:numPr>
          <w:ilvl w:val="12"/>
          <w:numId w:val="0"/>
        </w:numPr>
        <w:spacing w:line="240" w:lineRule="auto"/>
        <w:jc w:val="center"/>
        <w:outlineLvl w:val="0"/>
        <w:rPr>
          <w:bCs/>
        </w:rPr>
      </w:pPr>
      <w:r>
        <w:rPr>
          <w:bCs/>
        </w:rPr>
        <w:t>Cefadroksilis</w:t>
      </w:r>
    </w:p>
    <w:p w:rsidR="00136770" w:rsidRDefault="00136770" w:rsidP="00136770">
      <w:pPr>
        <w:spacing w:line="240" w:lineRule="auto"/>
        <w:jc w:val="center"/>
      </w:pPr>
    </w:p>
    <w:p w:rsidR="00136770" w:rsidRDefault="00136770" w:rsidP="00136770">
      <w:pPr>
        <w:spacing w:line="240" w:lineRule="auto"/>
        <w:ind w:left="567" w:hanging="567"/>
        <w:outlineLvl w:val="0"/>
        <w:rPr>
          <w:b/>
        </w:rPr>
      </w:pPr>
      <w:r>
        <w:rPr>
          <w:b/>
        </w:rPr>
        <w:t>Atidžiai perskaitykite visą šį lapelį, prieš pradėdami vartoti vaistą, nes jame pateikiama Jums svarbi informacija.</w:t>
      </w:r>
    </w:p>
    <w:p w:rsidR="00136770" w:rsidRDefault="00136770" w:rsidP="00136770">
      <w:pPr>
        <w:spacing w:line="240" w:lineRule="auto"/>
        <w:ind w:left="567" w:hanging="567"/>
      </w:pPr>
      <w:r>
        <w:t>-</w:t>
      </w:r>
      <w:r>
        <w:tab/>
        <w:t>Neišmeskite šio lapelio, nes vėl gali prireikti jį perskaityti.</w:t>
      </w:r>
    </w:p>
    <w:p w:rsidR="00136770" w:rsidRDefault="00136770" w:rsidP="00136770">
      <w:pPr>
        <w:spacing w:line="240" w:lineRule="auto"/>
        <w:ind w:left="567" w:hanging="567"/>
      </w:pPr>
      <w:r>
        <w:t>-</w:t>
      </w:r>
      <w:r>
        <w:tab/>
        <w:t>Jeigu kiltų daugiau klausimų, kreipkitės į gydytoją arba vaistininką.</w:t>
      </w:r>
    </w:p>
    <w:p w:rsidR="00136770" w:rsidRDefault="00136770" w:rsidP="00136770">
      <w:pPr>
        <w:numPr>
          <w:ilvl w:val="0"/>
          <w:numId w:val="2"/>
        </w:numPr>
        <w:spacing w:line="240" w:lineRule="auto"/>
        <w:ind w:left="567" w:hanging="567"/>
      </w:pPr>
      <w:r>
        <w:t xml:space="preserve">Šis vaistas skirtas tik Jums, todėl kitiems žmonėms </w:t>
      </w:r>
      <w:proofErr w:type="gramStart"/>
      <w:r>
        <w:t>jo</w:t>
      </w:r>
      <w:proofErr w:type="gramEnd"/>
      <w:r>
        <w:t xml:space="preserve"> duoti negalima. Vaistas gali jiems pakenkti (net tiems, kurių ligos simptomai yra tokie patys kaip Jūsų).</w:t>
      </w:r>
    </w:p>
    <w:p w:rsidR="00136770" w:rsidRDefault="00136770" w:rsidP="00136770">
      <w:pPr>
        <w:spacing w:line="240" w:lineRule="auto"/>
        <w:ind w:left="567" w:hanging="567"/>
      </w:pPr>
      <w:r>
        <w:t>-</w:t>
      </w:r>
      <w:r>
        <w:tab/>
        <w:t>Jeigu pasireiškė šalutinis poveikis (net jeigu jis šiame lapelyje nenurodytas), kreipkitės į gydytoją arba vaistininką. Žr. 4 skyrių.</w:t>
      </w:r>
    </w:p>
    <w:p w:rsidR="00136770" w:rsidRDefault="00136770" w:rsidP="00136770">
      <w:pPr>
        <w:numPr>
          <w:ilvl w:val="12"/>
          <w:numId w:val="0"/>
        </w:numPr>
        <w:spacing w:line="240" w:lineRule="auto"/>
        <w:ind w:right="-2"/>
        <w:outlineLvl w:val="0"/>
        <w:rPr>
          <w:b/>
        </w:rPr>
      </w:pPr>
    </w:p>
    <w:p w:rsidR="00136770" w:rsidRDefault="00136770" w:rsidP="00136770">
      <w:pPr>
        <w:spacing w:line="240" w:lineRule="auto"/>
        <w:ind w:left="567" w:hanging="567"/>
        <w:outlineLvl w:val="0"/>
        <w:rPr>
          <w:b/>
        </w:rPr>
      </w:pPr>
      <w:r>
        <w:rPr>
          <w:b/>
        </w:rPr>
        <w:t>Apie ką rašoma šiame lapelyje?</w:t>
      </w:r>
    </w:p>
    <w:p w:rsidR="00136770" w:rsidRDefault="00136770" w:rsidP="00136770">
      <w:pPr>
        <w:spacing w:line="240" w:lineRule="auto"/>
        <w:ind w:left="567" w:hanging="567"/>
        <w:outlineLvl w:val="0"/>
        <w:rPr>
          <w:b/>
        </w:rPr>
      </w:pPr>
    </w:p>
    <w:p w:rsidR="00136770" w:rsidRDefault="00136770" w:rsidP="00136770">
      <w:pPr>
        <w:spacing w:line="240" w:lineRule="auto"/>
        <w:ind w:left="567" w:hanging="567"/>
      </w:pPr>
      <w:r>
        <w:t>1.</w:t>
      </w:r>
      <w:r>
        <w:tab/>
        <w:t xml:space="preserve">Kas yra </w:t>
      </w:r>
      <w:r>
        <w:rPr>
          <w:bCs/>
        </w:rPr>
        <w:t>Duracef</w:t>
      </w:r>
      <w:r>
        <w:rPr>
          <w:b/>
          <w:bCs/>
        </w:rPr>
        <w:t xml:space="preserve"> </w:t>
      </w:r>
      <w:r>
        <w:rPr>
          <w:bCs/>
        </w:rPr>
        <w:t>i</w:t>
      </w:r>
      <w:r>
        <w:t>r kam jis vartojamas</w:t>
      </w:r>
    </w:p>
    <w:p w:rsidR="00136770" w:rsidRDefault="00136770" w:rsidP="00136770">
      <w:pPr>
        <w:spacing w:line="240" w:lineRule="auto"/>
        <w:ind w:left="567" w:hanging="567"/>
      </w:pPr>
      <w:r>
        <w:t>2.</w:t>
      </w:r>
      <w:r>
        <w:tab/>
        <w:t xml:space="preserve">Kas žinotina prieš vartojant </w:t>
      </w:r>
      <w:r>
        <w:rPr>
          <w:bCs/>
        </w:rPr>
        <w:t>Duracef</w:t>
      </w:r>
    </w:p>
    <w:p w:rsidR="00136770" w:rsidRDefault="00136770" w:rsidP="00136770">
      <w:pPr>
        <w:spacing w:line="240" w:lineRule="auto"/>
        <w:ind w:left="567" w:hanging="567"/>
      </w:pPr>
      <w:r>
        <w:t>3.</w:t>
      </w:r>
      <w:r>
        <w:tab/>
        <w:t xml:space="preserve">Kaip vartoti </w:t>
      </w:r>
      <w:r>
        <w:rPr>
          <w:bCs/>
        </w:rPr>
        <w:t>Duracef</w:t>
      </w:r>
    </w:p>
    <w:p w:rsidR="00136770" w:rsidRDefault="00136770" w:rsidP="00136770">
      <w:pPr>
        <w:spacing w:line="240" w:lineRule="auto"/>
        <w:ind w:left="567" w:hanging="567"/>
      </w:pPr>
      <w:r>
        <w:t>4.</w:t>
      </w:r>
      <w:r>
        <w:tab/>
        <w:t>Galimas šalutinis poveikis</w:t>
      </w:r>
    </w:p>
    <w:p w:rsidR="00136770" w:rsidRDefault="00136770" w:rsidP="00136770">
      <w:pPr>
        <w:spacing w:line="240" w:lineRule="auto"/>
        <w:ind w:left="567" w:hanging="567"/>
      </w:pPr>
      <w:r>
        <w:t>5.</w:t>
      </w:r>
      <w:r>
        <w:tab/>
        <w:t xml:space="preserve">Kaip laikyti </w:t>
      </w:r>
      <w:r>
        <w:rPr>
          <w:bCs/>
        </w:rPr>
        <w:t>Duracef</w:t>
      </w:r>
    </w:p>
    <w:p w:rsidR="00136770" w:rsidRDefault="00136770" w:rsidP="00136770">
      <w:pPr>
        <w:spacing w:line="240" w:lineRule="auto"/>
        <w:ind w:left="567" w:hanging="567"/>
      </w:pPr>
      <w:r>
        <w:t>6.</w:t>
      </w:r>
      <w:r>
        <w:tab/>
        <w:t>Pakuotės turinys ir kita informacija</w:t>
      </w:r>
    </w:p>
    <w:p w:rsidR="00136770" w:rsidRDefault="00136770" w:rsidP="00136770">
      <w:pPr>
        <w:numPr>
          <w:ilvl w:val="12"/>
          <w:numId w:val="0"/>
        </w:numPr>
        <w:spacing w:line="240" w:lineRule="auto"/>
      </w:pPr>
    </w:p>
    <w:p w:rsidR="00136770" w:rsidRDefault="00136770" w:rsidP="00136770">
      <w:pPr>
        <w:numPr>
          <w:ilvl w:val="12"/>
          <w:numId w:val="0"/>
        </w:numPr>
        <w:spacing w:line="240" w:lineRule="auto"/>
      </w:pPr>
    </w:p>
    <w:p w:rsidR="00136770" w:rsidRDefault="00136770" w:rsidP="00136770">
      <w:pPr>
        <w:numPr>
          <w:ilvl w:val="12"/>
          <w:numId w:val="0"/>
        </w:numPr>
        <w:spacing w:line="240" w:lineRule="auto"/>
        <w:ind w:left="567" w:hanging="567"/>
        <w:outlineLvl w:val="0"/>
        <w:rPr>
          <w:b/>
          <w:caps/>
        </w:rPr>
      </w:pPr>
      <w:r>
        <w:rPr>
          <w:b/>
        </w:rPr>
        <w:t>1.</w:t>
      </w:r>
      <w:r>
        <w:rPr>
          <w:b/>
        </w:rPr>
        <w:tab/>
        <w:t>Kas yra Duracef ir kam jis vartojamas</w:t>
      </w:r>
    </w:p>
    <w:p w:rsidR="00136770" w:rsidRDefault="00136770" w:rsidP="00136770">
      <w:pPr>
        <w:spacing w:line="240" w:lineRule="auto"/>
        <w:ind w:left="567" w:hanging="567"/>
      </w:pPr>
    </w:p>
    <w:p w:rsidR="00136770" w:rsidRDefault="00136770" w:rsidP="00136770">
      <w:pPr>
        <w:spacing w:line="240" w:lineRule="auto"/>
        <w:rPr>
          <w:bCs/>
        </w:rPr>
      </w:pPr>
      <w:r>
        <w:t>Duracef</w:t>
      </w:r>
      <w:r>
        <w:rPr>
          <w:color w:val="0000FF"/>
        </w:rPr>
        <w:t xml:space="preserve"> </w:t>
      </w:r>
      <w:r>
        <w:rPr>
          <w:bCs/>
        </w:rPr>
        <w:t>yra cefalosporinų grupės antibiotikas. Cefalosporinai pažeidžia bakterijų ląstelių membranas ir tokiu būdu suardo augančias bakterijas. Prieš skirdamas Duracef, gydytojas gali ištirti bakterijų jautrumą šiam vaistui.</w:t>
      </w:r>
    </w:p>
    <w:p w:rsidR="00136770" w:rsidRDefault="00136770" w:rsidP="00136770">
      <w:pPr>
        <w:spacing w:line="240" w:lineRule="auto"/>
        <w:rPr>
          <w:iCs/>
        </w:rPr>
      </w:pPr>
    </w:p>
    <w:p w:rsidR="00136770" w:rsidRDefault="00136770" w:rsidP="00136770">
      <w:pPr>
        <w:spacing w:line="240" w:lineRule="auto"/>
        <w:rPr>
          <w:i/>
        </w:rPr>
      </w:pPr>
      <w:r>
        <w:t>Duracef vartojamas šioms jam jautrių bakterijų sukeltoms infekcinėms ligoms gydyti:</w:t>
      </w:r>
    </w:p>
    <w:p w:rsidR="00136770" w:rsidRDefault="00136770" w:rsidP="00136770">
      <w:pPr>
        <w:numPr>
          <w:ilvl w:val="0"/>
          <w:numId w:val="3"/>
        </w:numPr>
        <w:tabs>
          <w:tab w:val="left" w:pos="426"/>
        </w:tabs>
        <w:spacing w:line="240" w:lineRule="auto"/>
        <w:ind w:left="993" w:hanging="567"/>
      </w:pPr>
      <w:r>
        <w:t>kvėpavimo takų (tonzilių ir gerklės uždegimui);</w:t>
      </w:r>
    </w:p>
    <w:p w:rsidR="00136770" w:rsidRDefault="00136770" w:rsidP="00136770">
      <w:pPr>
        <w:numPr>
          <w:ilvl w:val="0"/>
          <w:numId w:val="3"/>
        </w:numPr>
        <w:tabs>
          <w:tab w:val="left" w:pos="426"/>
        </w:tabs>
        <w:spacing w:line="240" w:lineRule="auto"/>
        <w:ind w:left="993" w:hanging="567"/>
      </w:pPr>
      <w:r>
        <w:t>odos ir minkštųjų audinių pūlinėms ligoms (jos vadinamos piodermija, impetiga, pūliniu, šunvote);</w:t>
      </w:r>
    </w:p>
    <w:p w:rsidR="00136770" w:rsidRDefault="00136770" w:rsidP="00136770">
      <w:pPr>
        <w:numPr>
          <w:ilvl w:val="0"/>
          <w:numId w:val="3"/>
        </w:numPr>
        <w:tabs>
          <w:tab w:val="left" w:pos="426"/>
        </w:tabs>
        <w:spacing w:line="240" w:lineRule="auto"/>
        <w:ind w:left="993" w:hanging="567"/>
      </w:pPr>
      <w:proofErr w:type="gramStart"/>
      <w:r>
        <w:t>šlapimo</w:t>
      </w:r>
      <w:proofErr w:type="gramEnd"/>
      <w:r>
        <w:t xml:space="preserve"> takų (šlapimo pūslės uždegimui, inkstų geldelių uždegimui).</w:t>
      </w:r>
    </w:p>
    <w:p w:rsidR="00136770" w:rsidRDefault="00136770" w:rsidP="00136770">
      <w:pPr>
        <w:spacing w:line="240" w:lineRule="auto"/>
        <w:jc w:val="both"/>
        <w:rPr>
          <w:iCs/>
        </w:rPr>
      </w:pPr>
    </w:p>
    <w:p w:rsidR="00136770" w:rsidRDefault="00136770" w:rsidP="00136770">
      <w:pPr>
        <w:numPr>
          <w:ilvl w:val="12"/>
          <w:numId w:val="0"/>
        </w:numPr>
        <w:spacing w:line="240" w:lineRule="auto"/>
      </w:pPr>
    </w:p>
    <w:p w:rsidR="00136770" w:rsidRDefault="00136770" w:rsidP="00136770">
      <w:pPr>
        <w:numPr>
          <w:ilvl w:val="12"/>
          <w:numId w:val="0"/>
        </w:numPr>
        <w:spacing w:line="240" w:lineRule="auto"/>
        <w:ind w:left="567" w:hanging="567"/>
        <w:outlineLvl w:val="0"/>
        <w:rPr>
          <w:b/>
          <w:caps/>
        </w:rPr>
      </w:pPr>
      <w:r>
        <w:rPr>
          <w:b/>
        </w:rPr>
        <w:t>2.</w:t>
      </w:r>
      <w:r>
        <w:rPr>
          <w:b/>
        </w:rPr>
        <w:tab/>
        <w:t>Kas žinotina prieš vartojant Duracef</w:t>
      </w:r>
    </w:p>
    <w:p w:rsidR="00136770" w:rsidRDefault="00136770" w:rsidP="00136770">
      <w:pPr>
        <w:spacing w:line="240" w:lineRule="auto"/>
        <w:ind w:left="567" w:hanging="567"/>
      </w:pPr>
    </w:p>
    <w:p w:rsidR="00136770" w:rsidRDefault="00136770" w:rsidP="00136770">
      <w:pPr>
        <w:spacing w:line="240" w:lineRule="auto"/>
        <w:ind w:left="567" w:hanging="567"/>
        <w:outlineLvl w:val="0"/>
        <w:rPr>
          <w:b/>
          <w:caps/>
        </w:rPr>
      </w:pPr>
      <w:r>
        <w:rPr>
          <w:b/>
          <w:bCs/>
        </w:rPr>
        <w:t>Duracef vartoti negalima:</w:t>
      </w:r>
    </w:p>
    <w:p w:rsidR="00136770" w:rsidRDefault="00136770" w:rsidP="00136770">
      <w:pPr>
        <w:numPr>
          <w:ilvl w:val="0"/>
          <w:numId w:val="4"/>
        </w:numPr>
        <w:autoSpaceDE w:val="0"/>
        <w:autoSpaceDN w:val="0"/>
        <w:adjustRightInd w:val="0"/>
        <w:spacing w:line="240" w:lineRule="auto"/>
        <w:ind w:left="567" w:hanging="425"/>
        <w:rPr>
          <w:bCs/>
        </w:rPr>
      </w:pPr>
      <w:r>
        <w:rPr>
          <w:bCs/>
        </w:rPr>
        <w:t xml:space="preserve">jeigu yra alergija cefadroksiliui arba bet kuriai pagalbinei </w:t>
      </w:r>
      <w:r>
        <w:t xml:space="preserve">šio vaisto </w:t>
      </w:r>
      <w:r>
        <w:rPr>
          <w:bCs/>
        </w:rPr>
        <w:t>medžiagai (jos išvardytos 6 skyriuje);</w:t>
      </w:r>
    </w:p>
    <w:p w:rsidR="00136770" w:rsidRDefault="00136770" w:rsidP="00136770">
      <w:pPr>
        <w:numPr>
          <w:ilvl w:val="0"/>
          <w:numId w:val="4"/>
        </w:numPr>
        <w:spacing w:line="240" w:lineRule="auto"/>
        <w:ind w:left="567" w:hanging="425"/>
      </w:pPr>
      <w:proofErr w:type="gramStart"/>
      <w:r>
        <w:t>jeigu</w:t>
      </w:r>
      <w:proofErr w:type="gramEnd"/>
      <w:r>
        <w:t xml:space="preserve"> yra alergija bet kuriam kitam cefalosporinų grupės antibiotikui.</w:t>
      </w:r>
    </w:p>
    <w:p w:rsidR="00136770" w:rsidRDefault="00136770" w:rsidP="00136770">
      <w:pPr>
        <w:spacing w:line="240" w:lineRule="auto"/>
        <w:ind w:left="567" w:hanging="567"/>
        <w:rPr>
          <w:b/>
        </w:rPr>
      </w:pPr>
    </w:p>
    <w:p w:rsidR="00136770" w:rsidRDefault="00136770" w:rsidP="00136770">
      <w:pPr>
        <w:spacing w:line="240" w:lineRule="auto"/>
        <w:ind w:left="567" w:hanging="567"/>
        <w:outlineLvl w:val="0"/>
        <w:rPr>
          <w:b/>
        </w:rPr>
      </w:pPr>
      <w:r>
        <w:rPr>
          <w:b/>
        </w:rPr>
        <w:t>Įspėjimai ir atsargumo priemonės</w:t>
      </w:r>
    </w:p>
    <w:p w:rsidR="00136770" w:rsidRDefault="00136770" w:rsidP="00136770">
      <w:pPr>
        <w:spacing w:line="240" w:lineRule="auto"/>
        <w:ind w:left="567" w:hanging="567"/>
        <w:outlineLvl w:val="0"/>
        <w:rPr>
          <w:b/>
        </w:rPr>
      </w:pPr>
      <w:r>
        <w:t>Pasitarkite su gydytoju arba vaistininku, prieš pradėdami vartoti Duracef:</w:t>
      </w:r>
      <w:r>
        <w:rPr>
          <w:b/>
        </w:rPr>
        <w:t xml:space="preserve"> </w:t>
      </w:r>
    </w:p>
    <w:p w:rsidR="00136770" w:rsidRDefault="00136770" w:rsidP="00136770">
      <w:pPr>
        <w:numPr>
          <w:ilvl w:val="0"/>
          <w:numId w:val="4"/>
        </w:numPr>
        <w:autoSpaceDE w:val="0"/>
        <w:autoSpaceDN w:val="0"/>
        <w:adjustRightInd w:val="0"/>
        <w:spacing w:line="240" w:lineRule="auto"/>
        <w:ind w:left="567" w:hanging="425"/>
        <w:rPr>
          <w:bCs/>
        </w:rPr>
      </w:pPr>
      <w:r>
        <w:rPr>
          <w:bCs/>
        </w:rPr>
        <w:t>jeigu buvo pasireiškusi alerginė (padidėjusio jautrumo) reakcija kuriam nors penicilinų grupės antibiotikui;</w:t>
      </w:r>
    </w:p>
    <w:p w:rsidR="00136770" w:rsidRDefault="00136770" w:rsidP="00136770">
      <w:pPr>
        <w:numPr>
          <w:ilvl w:val="0"/>
          <w:numId w:val="4"/>
        </w:numPr>
        <w:autoSpaceDE w:val="0"/>
        <w:autoSpaceDN w:val="0"/>
        <w:adjustRightInd w:val="0"/>
        <w:spacing w:line="240" w:lineRule="auto"/>
        <w:ind w:left="567" w:hanging="425"/>
        <w:rPr>
          <w:bCs/>
        </w:rPr>
      </w:pPr>
      <w:r>
        <w:rPr>
          <w:bCs/>
        </w:rPr>
        <w:t>jeigu sutrikusi inkstų funkcija (tuomet gydytojas skirs šio vaisto ilgesniais intervalais);</w:t>
      </w:r>
    </w:p>
    <w:p w:rsidR="00136770" w:rsidRDefault="00136770" w:rsidP="00136770">
      <w:pPr>
        <w:numPr>
          <w:ilvl w:val="0"/>
          <w:numId w:val="5"/>
        </w:numPr>
        <w:spacing w:line="240" w:lineRule="auto"/>
        <w:ind w:left="567" w:hanging="425"/>
      </w:pPr>
      <w:proofErr w:type="gramStart"/>
      <w:r>
        <w:t>jeigu</w:t>
      </w:r>
      <w:proofErr w:type="gramEnd"/>
      <w:r>
        <w:t xml:space="preserve"> vartojant šį vaistą</w:t>
      </w:r>
      <w:r>
        <w:rPr>
          <w:b/>
        </w:rPr>
        <w:t xml:space="preserve"> </w:t>
      </w:r>
      <w:r>
        <w:t>arba</w:t>
      </w:r>
      <w:r>
        <w:rPr>
          <w:b/>
        </w:rPr>
        <w:t xml:space="preserve"> </w:t>
      </w:r>
      <w:r>
        <w:t>vėliau prasideda viduriavimas, arba</w:t>
      </w:r>
      <w:r>
        <w:rPr>
          <w:b/>
        </w:rPr>
        <w:t xml:space="preserve"> </w:t>
      </w:r>
      <w:r>
        <w:t>jeigu anksčiau</w:t>
      </w:r>
      <w:r>
        <w:rPr>
          <w:b/>
        </w:rPr>
        <w:t xml:space="preserve"> </w:t>
      </w:r>
      <w:r>
        <w:t>sirgote storosios žarnos uždegimu.</w:t>
      </w:r>
    </w:p>
    <w:p w:rsidR="00136770" w:rsidRDefault="00136770" w:rsidP="00136770">
      <w:pPr>
        <w:spacing w:line="240" w:lineRule="auto"/>
      </w:pPr>
    </w:p>
    <w:p w:rsidR="00136770" w:rsidRDefault="00136770" w:rsidP="00136770">
      <w:pPr>
        <w:spacing w:line="240" w:lineRule="auto"/>
        <w:ind w:left="567" w:hanging="567"/>
        <w:outlineLvl w:val="0"/>
        <w:rPr>
          <w:b/>
        </w:rPr>
      </w:pPr>
      <w:r>
        <w:rPr>
          <w:b/>
        </w:rPr>
        <w:t>Kiti vaistai ir Duracef</w:t>
      </w:r>
    </w:p>
    <w:p w:rsidR="00136770" w:rsidRDefault="00136770" w:rsidP="00136770">
      <w:pPr>
        <w:spacing w:line="240" w:lineRule="auto"/>
      </w:pPr>
      <w:r>
        <w:lastRenderedPageBreak/>
        <w:t>Cefalosporinų grupės antibiotikai gali sumažinti geriamųjų kontraceptikų veiksmingumą ir sustiprinti geriamųjų krešėjimą slopinančių vaistų poveikį. Pasakykite gydytojui, jei vartojate probenecidą (nuo podagros). Jeigu vartojate arba neseniai vartojote kitų vaistų, įskaitant įsigytus be recepto, pasakykite gydytojui.</w:t>
      </w:r>
    </w:p>
    <w:p w:rsidR="00136770" w:rsidRDefault="00136770" w:rsidP="00136770">
      <w:pPr>
        <w:spacing w:line="240" w:lineRule="auto"/>
      </w:pPr>
    </w:p>
    <w:p w:rsidR="00136770" w:rsidRDefault="00136770" w:rsidP="00136770">
      <w:pPr>
        <w:spacing w:line="240" w:lineRule="auto"/>
        <w:ind w:left="567" w:hanging="567"/>
        <w:outlineLvl w:val="0"/>
        <w:rPr>
          <w:b/>
        </w:rPr>
      </w:pPr>
      <w:r>
        <w:rPr>
          <w:b/>
          <w:bCs/>
        </w:rPr>
        <w:t xml:space="preserve">Duracef </w:t>
      </w:r>
      <w:r>
        <w:rPr>
          <w:b/>
        </w:rPr>
        <w:t>vartojimas su maistu ir gėrimais</w:t>
      </w:r>
    </w:p>
    <w:p w:rsidR="00136770" w:rsidRDefault="00136770" w:rsidP="00136770">
      <w:pPr>
        <w:spacing w:line="240" w:lineRule="auto"/>
      </w:pPr>
      <w:r>
        <w:rPr>
          <w:bCs/>
        </w:rPr>
        <w:t>Duracef</w:t>
      </w:r>
      <w:r>
        <w:rPr>
          <w:b/>
          <w:bCs/>
        </w:rPr>
        <w:t xml:space="preserve"> </w:t>
      </w:r>
      <w:r>
        <w:t>galima vartoti valgant arba kitu laiku.</w:t>
      </w:r>
    </w:p>
    <w:p w:rsidR="00136770" w:rsidRDefault="00136770" w:rsidP="00136770">
      <w:pPr>
        <w:numPr>
          <w:ilvl w:val="12"/>
          <w:numId w:val="0"/>
        </w:numPr>
        <w:tabs>
          <w:tab w:val="left" w:pos="1290"/>
        </w:tabs>
        <w:spacing w:line="240" w:lineRule="auto"/>
        <w:ind w:right="-2"/>
      </w:pPr>
    </w:p>
    <w:p w:rsidR="00136770" w:rsidRDefault="00136770" w:rsidP="00136770">
      <w:pPr>
        <w:spacing w:line="240" w:lineRule="auto"/>
        <w:ind w:left="567" w:hanging="567"/>
        <w:outlineLvl w:val="0"/>
        <w:rPr>
          <w:b/>
        </w:rPr>
      </w:pPr>
      <w:r>
        <w:rPr>
          <w:b/>
        </w:rPr>
        <w:t>Nėštumas ir žindymo laikotarpis</w:t>
      </w:r>
    </w:p>
    <w:p w:rsidR="00136770" w:rsidRDefault="00136770" w:rsidP="00136770">
      <w:pPr>
        <w:tabs>
          <w:tab w:val="left" w:pos="0"/>
        </w:tabs>
        <w:spacing w:line="240" w:lineRule="auto"/>
      </w:pPr>
      <w:r>
        <w:t xml:space="preserve">Prieš vartojant bet kokį vaistą, būtina pasitarti su gydytoju. Nedidelė Duracef dozės </w:t>
      </w:r>
      <w:proofErr w:type="gramStart"/>
      <w:r>
        <w:t>dalis</w:t>
      </w:r>
      <w:proofErr w:type="gramEnd"/>
      <w:r>
        <w:t xml:space="preserve"> patenka į motinos pieną. Jeigu moteris nori toliau žindyti kūdikį pradėjusi vartoti šį vaistą, ji turi pasikonsultuoti su gydytoju.</w:t>
      </w:r>
    </w:p>
    <w:p w:rsidR="00136770" w:rsidRDefault="00136770" w:rsidP="00136770">
      <w:pPr>
        <w:spacing w:line="240" w:lineRule="auto"/>
        <w:ind w:left="567" w:hanging="567"/>
      </w:pPr>
    </w:p>
    <w:p w:rsidR="00136770" w:rsidRDefault="00136770" w:rsidP="00136770">
      <w:pPr>
        <w:spacing w:line="240" w:lineRule="auto"/>
        <w:ind w:left="567" w:hanging="567"/>
        <w:outlineLvl w:val="0"/>
        <w:rPr>
          <w:b/>
        </w:rPr>
      </w:pPr>
      <w:r>
        <w:rPr>
          <w:b/>
        </w:rPr>
        <w:t>Vairavimas ir mechanizmų valdymas</w:t>
      </w:r>
    </w:p>
    <w:p w:rsidR="00136770" w:rsidRDefault="00136770" w:rsidP="00136770">
      <w:pPr>
        <w:spacing w:line="240" w:lineRule="auto"/>
      </w:pPr>
      <w:r>
        <w:t xml:space="preserve">Jeigu pajustumėte, kad pablogėjęs gebėjimas vairuoti arba valdyti mechanizmus, </w:t>
      </w:r>
      <w:proofErr w:type="gramStart"/>
      <w:r>
        <w:t>tai</w:t>
      </w:r>
      <w:proofErr w:type="gramEnd"/>
      <w:r>
        <w:t xml:space="preserve"> šių darbų nedirbkite.</w:t>
      </w:r>
    </w:p>
    <w:p w:rsidR="00136770" w:rsidRDefault="00136770" w:rsidP="00136770">
      <w:pPr>
        <w:spacing w:line="240" w:lineRule="auto"/>
      </w:pPr>
    </w:p>
    <w:p w:rsidR="00136770" w:rsidRDefault="00136770" w:rsidP="00136770">
      <w:pPr>
        <w:tabs>
          <w:tab w:val="left" w:pos="0"/>
        </w:tabs>
        <w:spacing w:line="240" w:lineRule="auto"/>
        <w:outlineLvl w:val="0"/>
        <w:rPr>
          <w:highlight w:val="lightGray"/>
        </w:rPr>
      </w:pPr>
      <w:r>
        <w:rPr>
          <w:b/>
          <w:highlight w:val="lightGray"/>
          <w:u w:val="single"/>
        </w:rPr>
        <w:t>Duracef miltelių geriamajai suspensijai</w:t>
      </w:r>
      <w:r>
        <w:rPr>
          <w:b/>
          <w:highlight w:val="lightGray"/>
        </w:rPr>
        <w:t xml:space="preserve"> sudėtyje yra natrio, natrio benzoato ir sacharozės</w:t>
      </w:r>
      <w:r>
        <w:rPr>
          <w:highlight w:val="lightGray"/>
        </w:rPr>
        <w:t xml:space="preserve"> </w:t>
      </w:r>
    </w:p>
    <w:p w:rsidR="00136770" w:rsidRDefault="00136770" w:rsidP="00136770">
      <w:pPr>
        <w:tabs>
          <w:tab w:val="left" w:pos="0"/>
        </w:tabs>
        <w:spacing w:line="240" w:lineRule="auto"/>
        <w:outlineLvl w:val="0"/>
        <w:rPr>
          <w:bCs/>
        </w:rPr>
      </w:pPr>
      <w:r>
        <w:rPr>
          <w:i/>
          <w:highlight w:val="lightGray"/>
        </w:rPr>
        <w:t>Sacharozė.</w:t>
      </w:r>
      <w:r>
        <w:rPr>
          <w:highlight w:val="lightGray"/>
        </w:rPr>
        <w:t xml:space="preserve"> Viename mililitre paruoštos vartoti geriamosios suspensijos yra 515 mg sacharozės. Į </w:t>
      </w:r>
      <w:proofErr w:type="gramStart"/>
      <w:r>
        <w:rPr>
          <w:highlight w:val="lightGray"/>
        </w:rPr>
        <w:t>tai</w:t>
      </w:r>
      <w:proofErr w:type="gramEnd"/>
      <w:r>
        <w:rPr>
          <w:highlight w:val="lightGray"/>
        </w:rPr>
        <w:t xml:space="preserve"> būtina atsižvelgti, jeigu sergate cukriniu diabetu. Jeigu gydytojas Jums yra sakęs, kad netoleruojate kokių nors angliavandenių, kreipkitės į jį prieš pradėdami vartoti </w:t>
      </w:r>
      <w:r>
        <w:rPr>
          <w:bCs/>
          <w:highlight w:val="lightGray"/>
        </w:rPr>
        <w:t>šį vaistą.</w:t>
      </w:r>
    </w:p>
    <w:p w:rsidR="00136770" w:rsidRDefault="00136770" w:rsidP="00136770">
      <w:pPr>
        <w:tabs>
          <w:tab w:val="left" w:pos="0"/>
        </w:tabs>
        <w:outlineLvl w:val="0"/>
      </w:pPr>
      <w:r>
        <w:rPr>
          <w:bCs/>
          <w:i/>
          <w:highlight w:val="lightGray"/>
        </w:rPr>
        <w:t>Natrio benzoatas</w:t>
      </w:r>
      <w:r>
        <w:rPr>
          <w:bCs/>
          <w:highlight w:val="lightGray"/>
        </w:rPr>
        <w:t xml:space="preserve">. </w:t>
      </w:r>
      <w:r>
        <w:rPr>
          <w:highlight w:val="lightGray"/>
        </w:rPr>
        <w:t>Penkiuose mililitruose paruoštos vartoti geriamosios suspensijos yra 4,5 mg natrio benzoato, tai atitinka 0,9 mg/ml. Natrio benzoatas naujagimiams (iki 4 savaičių amžiaus) gali sunkinti geltą (odos ir akių pageltimą).</w:t>
      </w:r>
    </w:p>
    <w:p w:rsidR="00136770" w:rsidRDefault="00136770" w:rsidP="00136770">
      <w:pPr>
        <w:tabs>
          <w:tab w:val="left" w:pos="0"/>
        </w:tabs>
        <w:outlineLvl w:val="0"/>
        <w:rPr>
          <w:bCs/>
        </w:rPr>
      </w:pPr>
      <w:r w:rsidRPr="00092237">
        <w:rPr>
          <w:i/>
          <w:iCs/>
          <w:highlight w:val="lightGray"/>
        </w:rPr>
        <w:t>Natris.</w:t>
      </w:r>
      <w:r w:rsidRPr="00092237">
        <w:rPr>
          <w:b/>
          <w:bCs/>
          <w:highlight w:val="lightGray"/>
        </w:rPr>
        <w:t xml:space="preserve"> </w:t>
      </w:r>
      <w:r>
        <w:rPr>
          <w:highlight w:val="lightGray"/>
        </w:rPr>
        <w:t>Penkiuose</w:t>
      </w:r>
      <w:r w:rsidRPr="00092237">
        <w:rPr>
          <w:highlight w:val="lightGray"/>
        </w:rPr>
        <w:t xml:space="preserve"> šio vaisto </w:t>
      </w:r>
      <w:r>
        <w:rPr>
          <w:highlight w:val="lightGray"/>
        </w:rPr>
        <w:t xml:space="preserve">mililitruose </w:t>
      </w:r>
      <w:r w:rsidRPr="00092237">
        <w:rPr>
          <w:highlight w:val="lightGray"/>
        </w:rPr>
        <w:t>yra mažiau kaip 1 mmol natrio (0</w:t>
      </w:r>
      <w:proofErr w:type="gramStart"/>
      <w:r w:rsidRPr="00092237">
        <w:rPr>
          <w:highlight w:val="lightGray"/>
        </w:rPr>
        <w:t>,72</w:t>
      </w:r>
      <w:proofErr w:type="gramEnd"/>
      <w:r w:rsidRPr="00092237">
        <w:rPr>
          <w:highlight w:val="lightGray"/>
        </w:rPr>
        <w:t> mg), t.y., jis beveik neturi reikšmės.</w:t>
      </w:r>
    </w:p>
    <w:p w:rsidR="00136770" w:rsidRDefault="00136770" w:rsidP="00136770">
      <w:pPr>
        <w:tabs>
          <w:tab w:val="left" w:pos="0"/>
        </w:tabs>
        <w:spacing w:line="240" w:lineRule="auto"/>
        <w:outlineLvl w:val="0"/>
      </w:pPr>
    </w:p>
    <w:p w:rsidR="00136770" w:rsidRDefault="00136770" w:rsidP="00136770">
      <w:pPr>
        <w:numPr>
          <w:ilvl w:val="12"/>
          <w:numId w:val="0"/>
        </w:numPr>
        <w:spacing w:line="240" w:lineRule="auto"/>
        <w:rPr>
          <w:bCs/>
        </w:rPr>
      </w:pPr>
      <w:r>
        <w:rPr>
          <w:b/>
          <w:highlight w:val="lightGray"/>
          <w:u w:val="single"/>
        </w:rPr>
        <w:t>Duracef kietųjų kapsulių</w:t>
      </w:r>
      <w:r>
        <w:rPr>
          <w:b/>
          <w:highlight w:val="lightGray"/>
        </w:rPr>
        <w:t xml:space="preserve"> sudėtyje yra laktozės</w:t>
      </w:r>
      <w:r>
        <w:rPr>
          <w:highlight w:val="lightGray"/>
        </w:rPr>
        <w:t xml:space="preserve">. Jeigu gydytojas Jums yra sakęs, kad netoleruojate kokių nors angliavandenių, kreipkitės į jį prieš pradėdami vartoti </w:t>
      </w:r>
      <w:r>
        <w:rPr>
          <w:bCs/>
          <w:highlight w:val="lightGray"/>
        </w:rPr>
        <w:t>šį vaistą.</w:t>
      </w:r>
    </w:p>
    <w:p w:rsidR="00136770" w:rsidRDefault="00136770" w:rsidP="00136770">
      <w:pPr>
        <w:numPr>
          <w:ilvl w:val="12"/>
          <w:numId w:val="0"/>
        </w:numPr>
        <w:spacing w:line="240" w:lineRule="auto"/>
        <w:rPr>
          <w:bCs/>
        </w:rPr>
      </w:pPr>
    </w:p>
    <w:p w:rsidR="00136770" w:rsidRPr="00C225D8" w:rsidRDefault="00136770" w:rsidP="00136770">
      <w:pPr>
        <w:numPr>
          <w:ilvl w:val="12"/>
          <w:numId w:val="0"/>
        </w:numPr>
        <w:spacing w:line="240" w:lineRule="auto"/>
        <w:rPr>
          <w:b/>
          <w:highlight w:val="lightGray"/>
        </w:rPr>
      </w:pPr>
      <w:r w:rsidRPr="00C225D8">
        <w:rPr>
          <w:b/>
          <w:highlight w:val="lightGray"/>
        </w:rPr>
        <w:t>Duracef disperguojamųjų tablečių sudėtyje yra natrio</w:t>
      </w:r>
    </w:p>
    <w:p w:rsidR="00136770" w:rsidRPr="00C225D8" w:rsidRDefault="00136770" w:rsidP="00136770">
      <w:pPr>
        <w:numPr>
          <w:ilvl w:val="12"/>
          <w:numId w:val="0"/>
        </w:numPr>
        <w:spacing w:line="240" w:lineRule="auto"/>
        <w:rPr>
          <w:b/>
        </w:rPr>
      </w:pPr>
      <w:r w:rsidRPr="00C225D8">
        <w:rPr>
          <w:szCs w:val="22"/>
          <w:highlight w:val="lightGray"/>
          <w:lang w:val="lt-LT"/>
        </w:rPr>
        <w:t>Vienoje šio vaisto tabletėje yra mažiau kaip 1 mmol natrio (3,03 mg), t.y., jis beveik neturi reikšmės.</w:t>
      </w:r>
    </w:p>
    <w:p w:rsidR="00136770" w:rsidRDefault="00136770" w:rsidP="00136770">
      <w:pPr>
        <w:numPr>
          <w:ilvl w:val="12"/>
          <w:numId w:val="0"/>
        </w:numPr>
        <w:spacing w:line="240" w:lineRule="auto"/>
        <w:ind w:right="-2"/>
      </w:pPr>
    </w:p>
    <w:p w:rsidR="00136770" w:rsidRDefault="00136770" w:rsidP="00136770">
      <w:pPr>
        <w:numPr>
          <w:ilvl w:val="12"/>
          <w:numId w:val="0"/>
        </w:numPr>
        <w:spacing w:line="240" w:lineRule="auto"/>
        <w:ind w:right="-2"/>
      </w:pPr>
    </w:p>
    <w:p w:rsidR="00136770" w:rsidRDefault="00136770" w:rsidP="00136770">
      <w:pPr>
        <w:numPr>
          <w:ilvl w:val="12"/>
          <w:numId w:val="0"/>
        </w:numPr>
        <w:spacing w:line="240" w:lineRule="auto"/>
        <w:ind w:left="567" w:hanging="567"/>
        <w:outlineLvl w:val="0"/>
        <w:rPr>
          <w:b/>
          <w:caps/>
        </w:rPr>
      </w:pPr>
      <w:r>
        <w:rPr>
          <w:b/>
        </w:rPr>
        <w:t>3.</w:t>
      </w:r>
      <w:r>
        <w:rPr>
          <w:b/>
        </w:rPr>
        <w:tab/>
        <w:t>Kaip vartoti Duracef</w:t>
      </w:r>
    </w:p>
    <w:p w:rsidR="00136770" w:rsidRDefault="00136770" w:rsidP="00136770">
      <w:pPr>
        <w:spacing w:line="240" w:lineRule="auto"/>
        <w:ind w:left="567" w:hanging="567"/>
      </w:pPr>
    </w:p>
    <w:p w:rsidR="00136770" w:rsidRDefault="00136770" w:rsidP="00136770">
      <w:pPr>
        <w:spacing w:line="240" w:lineRule="auto"/>
      </w:pPr>
      <w:r>
        <w:rPr>
          <w:bCs/>
        </w:rPr>
        <w:t>V</w:t>
      </w:r>
      <w:r>
        <w:t>isada vartokite šį vaistą tiksliai kaip nurodė gydytojas. Jeigu abejojate, kreipkitės į gydytoją arba vaistininką.</w:t>
      </w:r>
    </w:p>
    <w:p w:rsidR="00136770" w:rsidRDefault="00136770" w:rsidP="00136770">
      <w:pPr>
        <w:spacing w:line="240" w:lineRule="auto"/>
      </w:pPr>
    </w:p>
    <w:p w:rsidR="00136770" w:rsidRDefault="00136770" w:rsidP="00136770">
      <w:pPr>
        <w:spacing w:line="240" w:lineRule="auto"/>
        <w:rPr>
          <w:b/>
        </w:rPr>
      </w:pPr>
      <w:r>
        <w:rPr>
          <w:b/>
        </w:rPr>
        <w:t>Suaugusiesiems ir daugiau kaip 40 kg sveriantiems vaikams</w:t>
      </w:r>
    </w:p>
    <w:p w:rsidR="00136770" w:rsidRDefault="00136770" w:rsidP="00136770">
      <w:pPr>
        <w:spacing w:line="240" w:lineRule="auto"/>
      </w:pPr>
    </w:p>
    <w:p w:rsidR="00136770" w:rsidRDefault="00136770" w:rsidP="00136770">
      <w:pPr>
        <w:spacing w:line="240" w:lineRule="auto"/>
        <w:rPr>
          <w:u w:val="single"/>
        </w:rPr>
      </w:pPr>
      <w:r>
        <w:rPr>
          <w:u w:val="single"/>
        </w:rPr>
        <w:t>Tonzilių ir gerklės uždegimas</w:t>
      </w:r>
    </w:p>
    <w:p w:rsidR="00136770" w:rsidRDefault="00136770" w:rsidP="00136770">
      <w:pPr>
        <w:spacing w:line="240" w:lineRule="auto"/>
      </w:pPr>
      <w:r>
        <w:t>Įprasta dozė yra 1 g per parą. Ji išgeriama iš karto arba padalijama į 2 lygias vienkartines. Vaistas vartojamas 10 parų.</w:t>
      </w:r>
    </w:p>
    <w:p w:rsidR="00136770" w:rsidRDefault="00136770" w:rsidP="00136770">
      <w:pPr>
        <w:spacing w:line="240" w:lineRule="auto"/>
      </w:pPr>
    </w:p>
    <w:p w:rsidR="00136770" w:rsidRDefault="00136770" w:rsidP="00136770">
      <w:pPr>
        <w:spacing w:line="240" w:lineRule="auto"/>
        <w:rPr>
          <w:u w:val="single"/>
        </w:rPr>
      </w:pPr>
      <w:r>
        <w:rPr>
          <w:u w:val="single"/>
        </w:rPr>
        <w:t>Odos ir minkštųjų audinių infekcinės ligos</w:t>
      </w:r>
    </w:p>
    <w:p w:rsidR="00136770" w:rsidRDefault="00136770" w:rsidP="00136770">
      <w:pPr>
        <w:spacing w:line="240" w:lineRule="auto"/>
      </w:pPr>
      <w:r>
        <w:t>Įprasta dozė yra 1 g per parą. Ji išgeriama iš karto arba padalijama į 2 lygias vienkartines.</w:t>
      </w:r>
    </w:p>
    <w:p w:rsidR="00136770" w:rsidRDefault="00136770" w:rsidP="00136770">
      <w:pPr>
        <w:spacing w:line="240" w:lineRule="auto"/>
      </w:pPr>
    </w:p>
    <w:p w:rsidR="00136770" w:rsidRDefault="00136770" w:rsidP="00136770">
      <w:pPr>
        <w:spacing w:line="240" w:lineRule="auto"/>
        <w:rPr>
          <w:u w:val="single"/>
        </w:rPr>
      </w:pPr>
      <w:r>
        <w:rPr>
          <w:u w:val="single"/>
        </w:rPr>
        <w:t>Šlapimo takų infekcinės ligos</w:t>
      </w:r>
    </w:p>
    <w:p w:rsidR="00136770" w:rsidRDefault="00136770" w:rsidP="00136770">
      <w:pPr>
        <w:spacing w:line="240" w:lineRule="auto"/>
      </w:pPr>
      <w:r>
        <w:t>Įprasta dozė yra 2 g per parą. Ji padalijama į 2 lygias vienkartines. Įprasta dozė nekomplikuotoms apatinių šlapimo takų infekcinėms ligoms (t.y. šlapimo pūslės uždegimui) gydyti yra 1 g arba 2 g per parą. Ji išgeriama iš karto arba padalijama į 2 lygias vienkartines.</w:t>
      </w:r>
    </w:p>
    <w:p w:rsidR="00136770" w:rsidRDefault="00136770" w:rsidP="00136770">
      <w:pPr>
        <w:spacing w:line="240" w:lineRule="auto"/>
      </w:pPr>
    </w:p>
    <w:p w:rsidR="00136770" w:rsidRDefault="00136770" w:rsidP="00136770">
      <w:pPr>
        <w:spacing w:line="240" w:lineRule="auto"/>
        <w:rPr>
          <w:b/>
        </w:rPr>
      </w:pPr>
      <w:r>
        <w:rPr>
          <w:b/>
        </w:rPr>
        <w:t>Mažiau kaip 40 kg sveriantiems vaikams</w:t>
      </w:r>
    </w:p>
    <w:p w:rsidR="00136770" w:rsidRDefault="00136770" w:rsidP="00136770">
      <w:pPr>
        <w:spacing w:line="240" w:lineRule="auto"/>
      </w:pPr>
      <w:r>
        <w:t xml:space="preserve">Rekomenduojama įprasta </w:t>
      </w:r>
      <w:proofErr w:type="gramStart"/>
      <w:r>
        <w:t>paros</w:t>
      </w:r>
      <w:proofErr w:type="gramEnd"/>
      <w:r>
        <w:t xml:space="preserve"> dozė </w:t>
      </w:r>
      <w:r>
        <w:sym w:font="Symbol" w:char="F02D"/>
      </w:r>
      <w:r>
        <w:t xml:space="preserve"> 25 – 50 mg/kg kūno svorio. Ji lygiomis dalimis išgeriama per du kartus (kas 12 </w:t>
      </w:r>
      <w:proofErr w:type="gramStart"/>
      <w:r>
        <w:t>val</w:t>
      </w:r>
      <w:proofErr w:type="gramEnd"/>
      <w:r>
        <w:t xml:space="preserve">.). Gydant tonzilių ar gerklės uždegimą arba impetigą (pūlinėlinę), visą rekomenduojamą </w:t>
      </w:r>
      <w:proofErr w:type="gramStart"/>
      <w:r>
        <w:lastRenderedPageBreak/>
        <w:t>paros</w:t>
      </w:r>
      <w:proofErr w:type="gramEnd"/>
      <w:r>
        <w:t xml:space="preserve"> dozę galima išgerti vienu kartu. Vaikams negalima vartoti didesnės </w:t>
      </w:r>
      <w:proofErr w:type="gramStart"/>
      <w:r>
        <w:t>paros</w:t>
      </w:r>
      <w:proofErr w:type="gramEnd"/>
      <w:r>
        <w:t xml:space="preserve"> dozės už didžiausią nurodytą suaugusiesiems.</w:t>
      </w:r>
    </w:p>
    <w:p w:rsidR="00136770" w:rsidRDefault="00136770" w:rsidP="00136770">
      <w:pPr>
        <w:spacing w:line="240" w:lineRule="auto"/>
      </w:pPr>
    </w:p>
    <w:p w:rsidR="00136770" w:rsidRDefault="00136770" w:rsidP="00136770">
      <w:pPr>
        <w:spacing w:line="240" w:lineRule="auto"/>
        <w:outlineLvl w:val="0"/>
        <w:rPr>
          <w:i/>
        </w:rPr>
      </w:pPr>
      <w:r>
        <w:rPr>
          <w:i/>
        </w:rPr>
        <w:t>Pacientams, kurių inkstų funkcija sutrikusi</w:t>
      </w:r>
    </w:p>
    <w:p w:rsidR="00136770" w:rsidRDefault="00136770" w:rsidP="00136770">
      <w:pPr>
        <w:spacing w:line="240" w:lineRule="auto"/>
      </w:pPr>
      <w:r>
        <w:t xml:space="preserve">Jeigu sutrikusi Jūsų inkstų funkcija (kreatinino klirensas </w:t>
      </w:r>
      <w:r>
        <w:rPr>
          <w:u w:val="single"/>
        </w:rPr>
        <w:t>&lt;</w:t>
      </w:r>
      <w:r>
        <w:t> 50 ml/min), šio vaisto dozę gydytojas pakoreguos (po pirmosios dozės, kuri bus tokia kaip įprasta, vėliau šį vaistą vartosite ilgesniais laiko tarpais).</w:t>
      </w:r>
    </w:p>
    <w:p w:rsidR="00136770" w:rsidRDefault="00136770" w:rsidP="00136770">
      <w:pPr>
        <w:keepNext/>
        <w:spacing w:line="240" w:lineRule="auto"/>
        <w:ind w:left="567" w:hanging="567"/>
        <w:jc w:val="both"/>
        <w:outlineLvl w:val="7"/>
        <w:rPr>
          <w:b/>
          <w:bCs/>
        </w:rPr>
      </w:pPr>
    </w:p>
    <w:p w:rsidR="00136770" w:rsidRDefault="00136770" w:rsidP="00136770">
      <w:pPr>
        <w:keepNext/>
        <w:spacing w:line="240" w:lineRule="auto"/>
        <w:ind w:left="567" w:hanging="567"/>
        <w:jc w:val="both"/>
        <w:outlineLvl w:val="7"/>
        <w:rPr>
          <w:bCs/>
          <w:i/>
          <w:highlight w:val="lightGray"/>
        </w:rPr>
      </w:pPr>
      <w:r>
        <w:rPr>
          <w:i/>
          <w:highlight w:val="lightGray"/>
        </w:rPr>
        <w:t>Miltelių geriamajai suspensijai ruošimas vartojimui</w:t>
      </w:r>
    </w:p>
    <w:p w:rsidR="00136770" w:rsidRDefault="00136770" w:rsidP="00136770">
      <w:pPr>
        <w:spacing w:line="240" w:lineRule="auto"/>
      </w:pPr>
      <w:r>
        <w:rPr>
          <w:highlight w:val="lightGray"/>
        </w:rPr>
        <w:t xml:space="preserve">Pakratykite buteliuką, kad milteliai pasidarytų birūs. Įpilkite maždaug pusę geriamosios suspensijos ruošimui reikalingo vandens. Atsargiai pakratykite buteliuką, kol susidarys homogeninė geriamoji suspensija. Įpilkite vandens iki ant buteliuko </w:t>
      </w:r>
      <w:r w:rsidRPr="00C225D8">
        <w:rPr>
          <w:highlight w:val="lightGray"/>
        </w:rPr>
        <w:t xml:space="preserve">etiketės esančios žymos. </w:t>
      </w:r>
      <w:r>
        <w:rPr>
          <w:highlight w:val="lightGray"/>
        </w:rPr>
        <w:t>5 ml taip paruoštos geriamosios suspensijos yra 250 mg cefadroksilio. Buteliuką laikykite sandarų. Prieš vartojimą suplakite.</w:t>
      </w:r>
    </w:p>
    <w:p w:rsidR="00136770" w:rsidRDefault="00136770" w:rsidP="00136770">
      <w:pPr>
        <w:spacing w:line="240" w:lineRule="auto"/>
        <w:jc w:val="both"/>
      </w:pPr>
      <w:r>
        <w:rPr>
          <w:highlight w:val="lightGray"/>
        </w:rPr>
        <w:t>Geriamosios suspensijos dozavimui pakuotėje yra matavimo šaukštas</w:t>
      </w:r>
      <w:r>
        <w:t>.</w:t>
      </w:r>
    </w:p>
    <w:p w:rsidR="00136770" w:rsidRDefault="00136770" w:rsidP="00136770">
      <w:pPr>
        <w:spacing w:line="240" w:lineRule="auto"/>
        <w:jc w:val="both"/>
        <w:rPr>
          <w:i/>
          <w:iCs/>
          <w:u w:val="single"/>
        </w:rPr>
      </w:pPr>
    </w:p>
    <w:p w:rsidR="00136770" w:rsidRDefault="00136770" w:rsidP="00136770">
      <w:pPr>
        <w:spacing w:line="240" w:lineRule="auto"/>
        <w:jc w:val="both"/>
        <w:outlineLvl w:val="0"/>
        <w:rPr>
          <w:highlight w:val="lightGray"/>
        </w:rPr>
      </w:pPr>
      <w:r>
        <w:rPr>
          <w:i/>
          <w:iCs/>
          <w:highlight w:val="lightGray"/>
        </w:rPr>
        <w:t xml:space="preserve">Disperguojamųjų tablečių </w:t>
      </w:r>
      <w:r>
        <w:rPr>
          <w:i/>
          <w:highlight w:val="lightGray"/>
        </w:rPr>
        <w:t>ruošimas vartojimui</w:t>
      </w:r>
    </w:p>
    <w:p w:rsidR="00136770" w:rsidRDefault="00136770" w:rsidP="00136770">
      <w:pPr>
        <w:spacing w:line="240" w:lineRule="auto"/>
      </w:pPr>
      <w:r>
        <w:rPr>
          <w:highlight w:val="lightGray"/>
        </w:rPr>
        <w:t>Nuplėšę foliją, įmeskite disperguojamąją tabletę į 120 ml vandens. Palaukite 30 - 60 sekundžių, kol disperguojamoji tabletė suirs. Po to visa gauta dispersija gerai sumaišoma ir išgeriama. Disperguojamosios tabletės ruošiamos prieš pat vartojimą.</w:t>
      </w:r>
    </w:p>
    <w:p w:rsidR="00136770" w:rsidRDefault="00136770" w:rsidP="00136770">
      <w:pPr>
        <w:spacing w:line="240" w:lineRule="auto"/>
        <w:jc w:val="both"/>
        <w:rPr>
          <w:i/>
          <w:iCs/>
          <w:u w:val="single"/>
        </w:rPr>
      </w:pPr>
    </w:p>
    <w:p w:rsidR="00136770" w:rsidRDefault="00136770" w:rsidP="00136770">
      <w:pPr>
        <w:spacing w:line="240" w:lineRule="auto"/>
        <w:ind w:left="567" w:hanging="567"/>
        <w:outlineLvl w:val="0"/>
        <w:rPr>
          <w:b/>
        </w:rPr>
      </w:pPr>
      <w:r>
        <w:rPr>
          <w:b/>
        </w:rPr>
        <w:t xml:space="preserve">Ką daryti pavartojus per didelę </w:t>
      </w:r>
      <w:r>
        <w:rPr>
          <w:b/>
          <w:bCs/>
        </w:rPr>
        <w:t xml:space="preserve">Duracef </w:t>
      </w:r>
      <w:proofErr w:type="gramStart"/>
      <w:r>
        <w:rPr>
          <w:b/>
        </w:rPr>
        <w:t>dozę?</w:t>
      </w:r>
      <w:proofErr w:type="gramEnd"/>
    </w:p>
    <w:p w:rsidR="00136770" w:rsidRDefault="00136770" w:rsidP="00136770">
      <w:pPr>
        <w:spacing w:line="240" w:lineRule="auto"/>
      </w:pPr>
      <w:r>
        <w:t xml:space="preserve">Gali sutrikti virškinimas, išberti odą. Jeigu įtariate, kad išgėrėte per didelę vaisto dozę arba manote, kad </w:t>
      </w:r>
      <w:proofErr w:type="gramStart"/>
      <w:r>
        <w:t>jo</w:t>
      </w:r>
      <w:proofErr w:type="gramEnd"/>
      <w:r>
        <w:t xml:space="preserve"> nurijo vaikas, nedelsdami kvieskite gydytoją.</w:t>
      </w:r>
    </w:p>
    <w:p w:rsidR="00136770" w:rsidRDefault="00136770" w:rsidP="00136770">
      <w:pPr>
        <w:spacing w:line="240" w:lineRule="auto"/>
        <w:ind w:left="567" w:hanging="567"/>
        <w:rPr>
          <w:b/>
        </w:rPr>
      </w:pPr>
    </w:p>
    <w:p w:rsidR="00136770" w:rsidRDefault="00136770" w:rsidP="00136770">
      <w:pPr>
        <w:spacing w:line="240" w:lineRule="auto"/>
        <w:ind w:left="567" w:hanging="567"/>
        <w:outlineLvl w:val="0"/>
        <w:rPr>
          <w:b/>
        </w:rPr>
      </w:pPr>
      <w:r>
        <w:rPr>
          <w:b/>
        </w:rPr>
        <w:t xml:space="preserve">Pamiršus pavartoti </w:t>
      </w:r>
      <w:r>
        <w:rPr>
          <w:b/>
          <w:bCs/>
        </w:rPr>
        <w:t>Duracef</w:t>
      </w:r>
    </w:p>
    <w:p w:rsidR="00136770" w:rsidRDefault="00136770" w:rsidP="00136770">
      <w:pPr>
        <w:spacing w:line="240" w:lineRule="auto"/>
        <w:ind w:left="567" w:hanging="567"/>
      </w:pPr>
      <w:r>
        <w:t>Negalima vartoti dvigubos dozės norint kompensuoti praleistą dozę.</w:t>
      </w:r>
    </w:p>
    <w:p w:rsidR="00136770" w:rsidRDefault="00136770" w:rsidP="00136770">
      <w:pPr>
        <w:spacing w:line="240" w:lineRule="auto"/>
      </w:pPr>
      <w:r>
        <w:t xml:space="preserve">Jeigu iki kitos dozės vartojimo laiko liko bent </w:t>
      </w:r>
      <w:proofErr w:type="gramStart"/>
      <w:r>
        <w:rPr>
          <w:caps/>
        </w:rPr>
        <w:t>4</w:t>
      </w:r>
      <w:proofErr w:type="gramEnd"/>
      <w:r>
        <w:t xml:space="preserve"> valandos, prisiminę reikiamą dozę išgerkite tuojau pat. Jeigu kitą dozę reikės vartoti greičiau kaip po 4 valandų, </w:t>
      </w:r>
      <w:proofErr w:type="gramStart"/>
      <w:r>
        <w:t>tai</w:t>
      </w:r>
      <w:proofErr w:type="gramEnd"/>
      <w:r>
        <w:t xml:space="preserve"> užmirštąją praleiskite, o kitą gerkite įprastu laiku.</w:t>
      </w:r>
    </w:p>
    <w:p w:rsidR="00136770" w:rsidRDefault="00136770" w:rsidP="00136770">
      <w:pPr>
        <w:spacing w:line="240" w:lineRule="auto"/>
      </w:pPr>
    </w:p>
    <w:p w:rsidR="00136770" w:rsidRDefault="00136770" w:rsidP="00136770">
      <w:pPr>
        <w:spacing w:line="240" w:lineRule="auto"/>
      </w:pPr>
    </w:p>
    <w:p w:rsidR="00136770" w:rsidRDefault="00136770" w:rsidP="00136770">
      <w:pPr>
        <w:numPr>
          <w:ilvl w:val="12"/>
          <w:numId w:val="0"/>
        </w:numPr>
        <w:spacing w:line="240" w:lineRule="auto"/>
        <w:ind w:left="567" w:hanging="567"/>
        <w:outlineLvl w:val="0"/>
        <w:rPr>
          <w:b/>
          <w:caps/>
        </w:rPr>
      </w:pPr>
      <w:r>
        <w:rPr>
          <w:b/>
          <w:caps/>
        </w:rPr>
        <w:t>4.</w:t>
      </w:r>
      <w:r>
        <w:rPr>
          <w:b/>
          <w:caps/>
        </w:rPr>
        <w:tab/>
      </w:r>
      <w:r>
        <w:rPr>
          <w:b/>
        </w:rPr>
        <w:t>Galimas</w:t>
      </w:r>
      <w:r>
        <w:rPr>
          <w:b/>
          <w:caps/>
        </w:rPr>
        <w:t xml:space="preserve"> </w:t>
      </w:r>
      <w:r>
        <w:rPr>
          <w:b/>
        </w:rPr>
        <w:t>šalutinis poveikis</w:t>
      </w:r>
    </w:p>
    <w:p w:rsidR="00136770" w:rsidRDefault="00136770" w:rsidP="00136770">
      <w:pPr>
        <w:spacing w:line="240" w:lineRule="auto"/>
        <w:ind w:left="567" w:hanging="567"/>
      </w:pPr>
    </w:p>
    <w:p w:rsidR="00136770" w:rsidRDefault="00136770" w:rsidP="00136770">
      <w:pPr>
        <w:spacing w:line="240" w:lineRule="auto"/>
      </w:pPr>
      <w:r>
        <w:rPr>
          <w:bCs/>
        </w:rPr>
        <w:t>Šis vaistas,</w:t>
      </w:r>
      <w:r>
        <w:t xml:space="preserve"> kaip ir visi kiti, gali sukelti šalutinį poveikį, nors jis pasireiškia ne visiems žmonėms.</w:t>
      </w:r>
    </w:p>
    <w:p w:rsidR="00136770" w:rsidRDefault="00136770" w:rsidP="00136770">
      <w:pPr>
        <w:spacing w:line="240" w:lineRule="auto"/>
      </w:pPr>
    </w:p>
    <w:p w:rsidR="00136770" w:rsidRDefault="00136770" w:rsidP="00136770">
      <w:pPr>
        <w:spacing w:line="240" w:lineRule="auto"/>
      </w:pPr>
      <w:r>
        <w:rPr>
          <w:b/>
        </w:rPr>
        <w:t>Dažnas šalutinis poveikis</w:t>
      </w:r>
      <w:r>
        <w:t xml:space="preserve"> (pasireiškia daugiau kaip 1 pacientui iš 100, bet mažiau kaip 1 iš 10) yra viduriavimas, dispepsija (sutrikęs virškinimas), pykinimas, vėmimas ir karščiavimas.</w:t>
      </w:r>
    </w:p>
    <w:p w:rsidR="00136770" w:rsidRDefault="00136770" w:rsidP="00136770">
      <w:pPr>
        <w:spacing w:line="240" w:lineRule="auto"/>
      </w:pPr>
    </w:p>
    <w:p w:rsidR="00136770" w:rsidRDefault="00136770" w:rsidP="00136770">
      <w:pPr>
        <w:spacing w:line="240" w:lineRule="auto"/>
      </w:pPr>
      <w:r>
        <w:rPr>
          <w:b/>
        </w:rPr>
        <w:t>Retas šalutinis poveikis</w:t>
      </w:r>
      <w:r>
        <w:t xml:space="preserve"> (pasireiškia daugiau kaip 1 pacientui iš 10000, bet mažiau kaip 1 iš 1000) yra dilgėlinė, išbėrimas, niežulys ir makšties infekcija.</w:t>
      </w:r>
    </w:p>
    <w:p w:rsidR="00136770" w:rsidRDefault="00136770" w:rsidP="00136770">
      <w:pPr>
        <w:spacing w:line="240" w:lineRule="auto"/>
      </w:pPr>
    </w:p>
    <w:p w:rsidR="00136770" w:rsidRDefault="00136770" w:rsidP="00136770">
      <w:pPr>
        <w:spacing w:line="240" w:lineRule="auto"/>
      </w:pPr>
      <w:proofErr w:type="gramStart"/>
      <w:r>
        <w:rPr>
          <w:b/>
        </w:rPr>
        <w:t>Kitas nežinomo dažnio šalutinis poveikis</w:t>
      </w:r>
      <w:r>
        <w:t xml:space="preserve"> yra kandidozė (lytinių organų niežulys arba pienligė), alergija (anafilaksinė reakcija, angioneurozinis patinimas, padidėjęs jautrumas, seruminė liga), odos sutrikimai (Stivenso-Džonsono (</w:t>
      </w:r>
      <w:r>
        <w:rPr>
          <w:i/>
        </w:rPr>
        <w:t>Stevens-Johnson</w:t>
      </w:r>
      <w:r>
        <w:t>) sindromas, daugiaformė raudonė (eritema), toksinė epidermio nekrozė - būklė panaši į odos nudegimą), sąnarių skausmas (artralgija), tam tikros rūšies viduriavimas (pseudomembraninis kolitas), kepenų sutrikimai (kepenų nepakankamumas, tulžies sąstovis, sutrikusi kepenų funkcija, padidėjęs transaminazių aktyvumas), kraujo sutrikimai (agranulocitozė, neutropenija, trombocitopenija).</w:t>
      </w:r>
      <w:proofErr w:type="gramEnd"/>
    </w:p>
    <w:p w:rsidR="00136770" w:rsidRDefault="00136770" w:rsidP="00136770">
      <w:pPr>
        <w:spacing w:line="240" w:lineRule="auto"/>
        <w:ind w:left="567" w:hanging="567"/>
      </w:pPr>
    </w:p>
    <w:p w:rsidR="00136770" w:rsidRDefault="00136770" w:rsidP="00136770">
      <w:pPr>
        <w:spacing w:line="240" w:lineRule="auto"/>
        <w:rPr>
          <w:b/>
        </w:rPr>
      </w:pPr>
      <w:r>
        <w:rPr>
          <w:b/>
        </w:rPr>
        <w:t>Pranešimas apie šalutinį poveikį</w:t>
      </w:r>
    </w:p>
    <w:p w:rsidR="00136770" w:rsidRDefault="00136770" w:rsidP="00136770">
      <w:pPr>
        <w:numPr>
          <w:ilvl w:val="12"/>
          <w:numId w:val="0"/>
        </w:numPr>
        <w:spacing w:line="240" w:lineRule="auto"/>
        <w:ind w:right="-2"/>
      </w:pPr>
      <w:r>
        <w:t xml:space="preserve">Jeigu pasireiškė šalutinis poveikis, įskaitant šiame lapelyje nenurodytą, pasakykite gydytojui arba vaistininkui. </w:t>
      </w:r>
      <w:proofErr w:type="gramStart"/>
      <w:r>
        <w:t xml:space="preserve">Apie šalutinį poveikį taip pat galite pranešti Valstybinei vaistų kontrolės tarnybai prie Lietuvos Respublikos sveikatos apsaugos ministerijos nemokamu telefonu </w:t>
      </w:r>
      <w:r>
        <w:rPr>
          <w:lang w:eastAsia="zh-CN"/>
        </w:rPr>
        <w:t xml:space="preserve">8 800 73568 arba </w:t>
      </w:r>
      <w:r>
        <w:t xml:space="preserve">užpildyti interneto svetainėje </w:t>
      </w:r>
      <w:hyperlink r:id="rId5" w:history="1">
        <w:r w:rsidRPr="007E1EEC">
          <w:rPr>
            <w:rStyle w:val="Hipersaitas"/>
          </w:rPr>
          <w:t>www.vvkt.lt</w:t>
        </w:r>
      </w:hyperlink>
      <w:r>
        <w:t xml:space="preserve"> esančią formą ir pateikti ją Valstybinei vaistų kontrolės tarnybai prie Lietuvos Respublikos sveikatos apsaugos ministerijos vienu iš šių būdų: raštu (adresu Žirmūnų g. 139A, LT-09120 Vilnius), nemokamu</w:t>
      </w:r>
      <w:r>
        <w:rPr>
          <w:lang w:eastAsia="zh-CN"/>
        </w:rPr>
        <w:t xml:space="preserve"> </w:t>
      </w:r>
      <w:r>
        <w:t xml:space="preserve">fakso numeriu 8 800 20131, el. paštu </w:t>
      </w:r>
      <w:hyperlink r:id="rId6" w:history="1">
        <w:proofErr w:type="gramEnd"/>
        <w:r w:rsidRPr="007E1EEC">
          <w:rPr>
            <w:rStyle w:val="Hipersaitas"/>
          </w:rPr>
          <w:t>NepageidaujamaR@vvkt.lt</w:t>
        </w:r>
        <w:proofErr w:type="gramStart"/>
        <w:r w:rsidRPr="007E1EEC">
          <w:rPr>
            <w:rStyle w:val="Hipersaitas"/>
          </w:rPr>
          <w:t>, taip</w:t>
        </w:r>
      </w:hyperlink>
      <w:r>
        <w:t xml:space="preserve"> pat per Valstybinei vaistų kontrolės tarnybai prie Lietuvos Respublikos sveikatos apsaugos ministerijos interneto </w:t>
      </w:r>
      <w:r>
        <w:lastRenderedPageBreak/>
        <w:t xml:space="preserve">svetainę (adresu </w:t>
      </w:r>
      <w:proofErr w:type="gramEnd"/>
      <w:r>
        <w:t>http://www.vvkt.lt</w:t>
      </w:r>
      <w:proofErr w:type="gramStart"/>
      <w:r>
        <w:t>).</w:t>
      </w:r>
      <w:proofErr w:type="gramEnd"/>
      <w:r>
        <w:t xml:space="preserve"> Pranešdami apie šalutinį poveikį galite mums padėti gauti daugiau informacijos apie šio vaisto saugumą.</w:t>
      </w:r>
    </w:p>
    <w:p w:rsidR="00136770" w:rsidRDefault="00136770" w:rsidP="00136770">
      <w:pPr>
        <w:numPr>
          <w:ilvl w:val="12"/>
          <w:numId w:val="0"/>
        </w:numPr>
        <w:spacing w:line="240" w:lineRule="auto"/>
        <w:ind w:right="-2"/>
      </w:pPr>
    </w:p>
    <w:p w:rsidR="00136770" w:rsidRDefault="00136770" w:rsidP="00136770">
      <w:pPr>
        <w:numPr>
          <w:ilvl w:val="12"/>
          <w:numId w:val="0"/>
        </w:numPr>
        <w:spacing w:line="240" w:lineRule="auto"/>
        <w:ind w:right="-2"/>
      </w:pPr>
    </w:p>
    <w:p w:rsidR="00136770" w:rsidRDefault="00136770" w:rsidP="00136770">
      <w:pPr>
        <w:numPr>
          <w:ilvl w:val="12"/>
          <w:numId w:val="0"/>
        </w:numPr>
        <w:spacing w:line="240" w:lineRule="auto"/>
        <w:ind w:left="567" w:right="-2" w:hanging="567"/>
      </w:pPr>
      <w:r>
        <w:rPr>
          <w:b/>
        </w:rPr>
        <w:t>5.</w:t>
      </w:r>
      <w:r>
        <w:rPr>
          <w:b/>
        </w:rPr>
        <w:tab/>
        <w:t>Kaip laikyti Duracef</w:t>
      </w:r>
    </w:p>
    <w:p w:rsidR="00136770" w:rsidRDefault="00136770" w:rsidP="00136770">
      <w:pPr>
        <w:numPr>
          <w:ilvl w:val="12"/>
          <w:numId w:val="0"/>
        </w:numPr>
        <w:spacing w:line="240" w:lineRule="auto"/>
        <w:ind w:right="-2"/>
      </w:pPr>
    </w:p>
    <w:p w:rsidR="00136770" w:rsidRDefault="00136770" w:rsidP="00136770">
      <w:pPr>
        <w:numPr>
          <w:ilvl w:val="12"/>
          <w:numId w:val="0"/>
        </w:numPr>
        <w:spacing w:line="240" w:lineRule="auto"/>
        <w:ind w:right="-2"/>
        <w:outlineLvl w:val="0"/>
      </w:pPr>
      <w:r>
        <w:t>Šį vaistą laikykite vaikams nepastebimoje ir nepasiekiamoje vietoje.</w:t>
      </w:r>
    </w:p>
    <w:p w:rsidR="00136770" w:rsidRDefault="00136770" w:rsidP="00136770">
      <w:pPr>
        <w:spacing w:line="240" w:lineRule="auto"/>
      </w:pPr>
      <w:r>
        <w:t>Laikyti ne aukštesnėje kaip 25 °C temperatūroje.</w:t>
      </w:r>
    </w:p>
    <w:p w:rsidR="00136770" w:rsidRDefault="00136770" w:rsidP="00136770">
      <w:pPr>
        <w:spacing w:line="240" w:lineRule="auto"/>
        <w:rPr>
          <w:u w:val="single"/>
        </w:rPr>
      </w:pPr>
    </w:p>
    <w:p w:rsidR="00136770" w:rsidRDefault="00136770" w:rsidP="00136770">
      <w:pPr>
        <w:spacing w:line="240" w:lineRule="auto"/>
        <w:rPr>
          <w:highlight w:val="lightGray"/>
          <w:u w:val="single"/>
        </w:rPr>
      </w:pPr>
      <w:r>
        <w:rPr>
          <w:highlight w:val="lightGray"/>
        </w:rPr>
        <w:t xml:space="preserve">Paruošta geriamoji suspensija, laikoma ne aukštesnėje kaip 25 °C temperatūroje, tinka vartoti 7 paras, o laikoma šaldytuve (2 </w:t>
      </w:r>
      <w:r>
        <w:rPr>
          <w:highlight w:val="lightGray"/>
        </w:rPr>
        <w:sym w:font="Symbol" w:char="F0B0"/>
      </w:r>
      <w:r>
        <w:rPr>
          <w:highlight w:val="lightGray"/>
        </w:rPr>
        <w:t>C </w:t>
      </w:r>
      <w:r>
        <w:rPr>
          <w:highlight w:val="lightGray"/>
        </w:rPr>
        <w:noBreakHyphen/>
        <w:t xml:space="preserve"> 8 </w:t>
      </w:r>
      <w:r>
        <w:rPr>
          <w:highlight w:val="lightGray"/>
        </w:rPr>
        <w:sym w:font="Symbol" w:char="F0B0"/>
      </w:r>
      <w:r>
        <w:rPr>
          <w:highlight w:val="lightGray"/>
        </w:rPr>
        <w:t>C) – 14 parų. Buteliuką laikyti sandarų.</w:t>
      </w:r>
    </w:p>
    <w:p w:rsidR="00136770" w:rsidRDefault="00136770" w:rsidP="00136770">
      <w:pPr>
        <w:numPr>
          <w:ilvl w:val="12"/>
          <w:numId w:val="0"/>
        </w:numPr>
        <w:spacing w:line="240" w:lineRule="auto"/>
        <w:ind w:right="-2"/>
      </w:pPr>
    </w:p>
    <w:p w:rsidR="00136770" w:rsidRDefault="00136770" w:rsidP="00136770">
      <w:pPr>
        <w:numPr>
          <w:ilvl w:val="12"/>
          <w:numId w:val="0"/>
        </w:numPr>
        <w:spacing w:line="240" w:lineRule="auto"/>
        <w:ind w:right="-2"/>
        <w:outlineLvl w:val="0"/>
      </w:pPr>
    </w:p>
    <w:p w:rsidR="00136770" w:rsidRDefault="00136770" w:rsidP="00136770">
      <w:pPr>
        <w:spacing w:line="240" w:lineRule="auto"/>
      </w:pPr>
      <w:r>
        <w:rPr>
          <w:iCs/>
        </w:rPr>
        <w:t>Ant dėžutės, lizdinės plokštelės</w:t>
      </w:r>
      <w:r>
        <w:rPr>
          <w:iCs/>
          <w:highlight w:val="lightGray"/>
        </w:rPr>
        <w:t>, buteliuko ar dvisluoksnės juostelės</w:t>
      </w:r>
      <w:r>
        <w:rPr>
          <w:iCs/>
        </w:rPr>
        <w:t xml:space="preserve"> po</w:t>
      </w:r>
      <w:r>
        <w:t xml:space="preserve"> „EXP</w:t>
      </w:r>
      <w:proofErr w:type="gramStart"/>
      <w:r>
        <w:t>“</w:t>
      </w:r>
      <w:r>
        <w:rPr>
          <w:iCs/>
        </w:rPr>
        <w:t xml:space="preserve"> nurodytam</w:t>
      </w:r>
      <w:proofErr w:type="gramEnd"/>
      <w:r>
        <w:rPr>
          <w:iCs/>
        </w:rPr>
        <w:t xml:space="preserve"> tinkamumo laikui pasibaigus, šio vaisto vartoti negalima. </w:t>
      </w:r>
      <w:r>
        <w:t>Vaistas tinkamas vartoti iki paskutinės nurodyto mėnesio dienos.</w:t>
      </w:r>
    </w:p>
    <w:p w:rsidR="00136770" w:rsidRDefault="00136770" w:rsidP="00136770">
      <w:pPr>
        <w:numPr>
          <w:ilvl w:val="12"/>
          <w:numId w:val="0"/>
        </w:numPr>
        <w:spacing w:line="240" w:lineRule="auto"/>
        <w:ind w:right="-2"/>
      </w:pPr>
    </w:p>
    <w:p w:rsidR="00136770" w:rsidRDefault="00136770" w:rsidP="00136770">
      <w:pPr>
        <w:numPr>
          <w:ilvl w:val="12"/>
          <w:numId w:val="0"/>
        </w:numPr>
        <w:spacing w:line="240" w:lineRule="auto"/>
        <w:ind w:right="-2"/>
      </w:pPr>
      <w:r>
        <w:t>Vaistų negalima išmesti į kanalizaciją arba su buitinėmis</w:t>
      </w:r>
      <w:r>
        <w:rPr>
          <w:color w:val="993366"/>
        </w:rPr>
        <w:t xml:space="preserve"> </w:t>
      </w:r>
      <w:r>
        <w:t>atliekomis. Kaip išmesti nereikalingus vaistus, klauskite vaistininko. Šios priemonės padės apsaugoti aplinką.</w:t>
      </w:r>
    </w:p>
    <w:p w:rsidR="00136770" w:rsidRDefault="00136770" w:rsidP="00136770">
      <w:pPr>
        <w:numPr>
          <w:ilvl w:val="12"/>
          <w:numId w:val="0"/>
        </w:numPr>
        <w:spacing w:line="240" w:lineRule="auto"/>
        <w:ind w:right="-2"/>
      </w:pPr>
    </w:p>
    <w:p w:rsidR="00136770" w:rsidRDefault="00136770" w:rsidP="00136770">
      <w:pPr>
        <w:numPr>
          <w:ilvl w:val="12"/>
          <w:numId w:val="0"/>
        </w:numPr>
        <w:spacing w:line="240" w:lineRule="auto"/>
        <w:ind w:right="-2"/>
      </w:pPr>
    </w:p>
    <w:p w:rsidR="00136770" w:rsidRDefault="00136770" w:rsidP="00136770">
      <w:pPr>
        <w:numPr>
          <w:ilvl w:val="12"/>
          <w:numId w:val="0"/>
        </w:numPr>
        <w:spacing w:line="240" w:lineRule="auto"/>
        <w:ind w:left="567" w:right="-2" w:hanging="567"/>
        <w:rPr>
          <w:b/>
        </w:rPr>
      </w:pPr>
      <w:r>
        <w:rPr>
          <w:b/>
        </w:rPr>
        <w:t>6.</w:t>
      </w:r>
      <w:r>
        <w:rPr>
          <w:b/>
        </w:rPr>
        <w:tab/>
        <w:t>Pakuotės turinys ir kita informacija</w:t>
      </w:r>
    </w:p>
    <w:p w:rsidR="00136770" w:rsidRDefault="00136770" w:rsidP="00136770">
      <w:pPr>
        <w:numPr>
          <w:ilvl w:val="12"/>
          <w:numId w:val="0"/>
        </w:numPr>
        <w:spacing w:line="240" w:lineRule="auto"/>
        <w:ind w:right="-2"/>
      </w:pPr>
    </w:p>
    <w:p w:rsidR="00136770" w:rsidRDefault="00136770" w:rsidP="00136770">
      <w:pPr>
        <w:numPr>
          <w:ilvl w:val="12"/>
          <w:numId w:val="0"/>
        </w:numPr>
        <w:spacing w:line="240" w:lineRule="auto"/>
        <w:ind w:right="-2"/>
        <w:outlineLvl w:val="0"/>
        <w:rPr>
          <w:b/>
          <w:bCs/>
        </w:rPr>
      </w:pPr>
      <w:r>
        <w:rPr>
          <w:b/>
          <w:bCs/>
        </w:rPr>
        <w:t>Duracef sudėtis</w:t>
      </w:r>
    </w:p>
    <w:p w:rsidR="00136770" w:rsidRDefault="00136770" w:rsidP="00136770">
      <w:pPr>
        <w:spacing w:line="240" w:lineRule="auto"/>
      </w:pPr>
      <w:r>
        <w:t>-</w:t>
      </w:r>
      <w:r>
        <w:tab/>
        <w:t>Veiklioji medžiaga yra cefadroksilis (monohidrato pavidalu).</w:t>
      </w:r>
    </w:p>
    <w:p w:rsidR="00136770" w:rsidRDefault="00136770" w:rsidP="00136770">
      <w:pPr>
        <w:spacing w:line="240" w:lineRule="auto"/>
      </w:pPr>
    </w:p>
    <w:p w:rsidR="00136770" w:rsidRDefault="00136770" w:rsidP="00136770">
      <w:pPr>
        <w:tabs>
          <w:tab w:val="left" w:pos="720"/>
        </w:tabs>
        <w:autoSpaceDE w:val="0"/>
        <w:autoSpaceDN w:val="0"/>
        <w:adjustRightInd w:val="0"/>
        <w:spacing w:line="240" w:lineRule="auto"/>
        <w:rPr>
          <w:bCs/>
        </w:rPr>
      </w:pPr>
      <w:r>
        <w:rPr>
          <w:bCs/>
          <w:u w:val="single"/>
        </w:rPr>
        <w:t xml:space="preserve">250 mg/ 5ml milteliai geriamajai suspensijai. </w:t>
      </w:r>
      <w:r>
        <w:rPr>
          <w:bCs/>
        </w:rPr>
        <w:t>5 ml paruoštos geriamosios suspensijos (viename matavimo šaukšte) yra 250 mg cefadroksilio.</w:t>
      </w:r>
    </w:p>
    <w:p w:rsidR="00136770" w:rsidRDefault="00136770" w:rsidP="00136770">
      <w:pPr>
        <w:tabs>
          <w:tab w:val="left" w:pos="720"/>
        </w:tabs>
        <w:autoSpaceDE w:val="0"/>
        <w:autoSpaceDN w:val="0"/>
        <w:adjustRightInd w:val="0"/>
        <w:spacing w:line="240" w:lineRule="auto"/>
        <w:rPr>
          <w:bCs/>
        </w:rPr>
      </w:pPr>
    </w:p>
    <w:p w:rsidR="00136770" w:rsidRDefault="00136770" w:rsidP="00136770">
      <w:pPr>
        <w:spacing w:line="240" w:lineRule="auto"/>
        <w:rPr>
          <w:highlight w:val="lightGray"/>
        </w:rPr>
      </w:pPr>
      <w:r>
        <w:rPr>
          <w:highlight w:val="lightGray"/>
          <w:u w:val="single"/>
        </w:rPr>
        <w:t xml:space="preserve">500 mg kietosios kapsulės. </w:t>
      </w:r>
      <w:r>
        <w:rPr>
          <w:highlight w:val="lightGray"/>
        </w:rPr>
        <w:t>Vienoje kapsulėje yra 500 mg cefadroksilio.</w:t>
      </w:r>
    </w:p>
    <w:p w:rsidR="00136770" w:rsidRDefault="00136770" w:rsidP="00136770">
      <w:pPr>
        <w:spacing w:line="240" w:lineRule="auto"/>
        <w:rPr>
          <w:highlight w:val="lightGray"/>
        </w:rPr>
      </w:pPr>
    </w:p>
    <w:p w:rsidR="00136770" w:rsidRDefault="00136770" w:rsidP="00136770">
      <w:pPr>
        <w:numPr>
          <w:ilvl w:val="12"/>
          <w:numId w:val="0"/>
        </w:numPr>
        <w:spacing w:line="240" w:lineRule="auto"/>
        <w:ind w:right="-2"/>
      </w:pPr>
      <w:r>
        <w:rPr>
          <w:highlight w:val="lightGray"/>
          <w:u w:val="single"/>
        </w:rPr>
        <w:t>1 g disperguojamosios tabletės</w:t>
      </w:r>
      <w:r>
        <w:rPr>
          <w:highlight w:val="lightGray"/>
        </w:rPr>
        <w:t>. Vienoje</w:t>
      </w:r>
      <w:r>
        <w:rPr>
          <w:b/>
          <w:highlight w:val="lightGray"/>
        </w:rPr>
        <w:t xml:space="preserve"> </w:t>
      </w:r>
      <w:r>
        <w:rPr>
          <w:highlight w:val="lightGray"/>
        </w:rPr>
        <w:t>disperguojamojoje</w:t>
      </w:r>
      <w:r>
        <w:rPr>
          <w:b/>
          <w:highlight w:val="lightGray"/>
        </w:rPr>
        <w:t xml:space="preserve"> </w:t>
      </w:r>
      <w:r>
        <w:rPr>
          <w:highlight w:val="lightGray"/>
        </w:rPr>
        <w:t>tabletėje yra 1 g cefadroksilio.</w:t>
      </w:r>
    </w:p>
    <w:p w:rsidR="00136770" w:rsidRDefault="00136770" w:rsidP="00136770">
      <w:pPr>
        <w:tabs>
          <w:tab w:val="left" w:pos="720"/>
        </w:tabs>
        <w:autoSpaceDE w:val="0"/>
        <w:autoSpaceDN w:val="0"/>
        <w:adjustRightInd w:val="0"/>
        <w:spacing w:line="240" w:lineRule="auto"/>
        <w:rPr>
          <w:bCs/>
        </w:rPr>
      </w:pPr>
    </w:p>
    <w:p w:rsidR="00136770" w:rsidRDefault="00136770" w:rsidP="00136770">
      <w:pPr>
        <w:spacing w:line="240" w:lineRule="auto"/>
      </w:pPr>
      <w:r>
        <w:t>-</w:t>
      </w:r>
      <w:r>
        <w:tab/>
        <w:t>Pagalbinės medžiagos yra:</w:t>
      </w:r>
    </w:p>
    <w:p w:rsidR="00136770" w:rsidRDefault="00136770" w:rsidP="00136770">
      <w:pPr>
        <w:spacing w:line="240" w:lineRule="auto"/>
      </w:pPr>
      <w:r>
        <w:rPr>
          <w:u w:val="single"/>
        </w:rPr>
        <w:t>Milteliai geriamajai suspensijai.</w:t>
      </w:r>
      <w:r>
        <w:rPr>
          <w:b/>
        </w:rPr>
        <w:t xml:space="preserve"> </w:t>
      </w:r>
      <w:r>
        <w:t xml:space="preserve">Natrio benzoatas (E211), ksantano lipai, </w:t>
      </w:r>
      <w:r>
        <w:rPr>
          <w:i/>
        </w:rPr>
        <w:t>Tween</w:t>
      </w:r>
      <w:r>
        <w:t xml:space="preserve"> 40 (polioksietileno sorbitano monopalmitatas), aviečių skonio medžiaga, citrinų skonio medžiaga, braškių skonio medžiaga, </w:t>
      </w:r>
      <w:r>
        <w:rPr>
          <w:i/>
        </w:rPr>
        <w:t>Refranchissment</w:t>
      </w:r>
      <w:r>
        <w:t xml:space="preserve"> skonio medžiaga, titano dioksidas (E171), sacharozė.</w:t>
      </w:r>
    </w:p>
    <w:p w:rsidR="00136770" w:rsidRDefault="00136770" w:rsidP="00136770">
      <w:pPr>
        <w:spacing w:line="240" w:lineRule="auto"/>
        <w:ind w:right="-2"/>
        <w:rPr>
          <w:u w:val="single"/>
        </w:rPr>
      </w:pPr>
    </w:p>
    <w:p w:rsidR="00136770" w:rsidRDefault="00136770" w:rsidP="00136770">
      <w:pPr>
        <w:spacing w:line="240" w:lineRule="auto"/>
        <w:ind w:right="-2"/>
        <w:rPr>
          <w:b/>
          <w:highlight w:val="lightGray"/>
        </w:rPr>
      </w:pPr>
      <w:r>
        <w:rPr>
          <w:highlight w:val="lightGray"/>
          <w:u w:val="single"/>
        </w:rPr>
        <w:t>Kietosios kapsulės</w:t>
      </w:r>
      <w:r>
        <w:rPr>
          <w:highlight w:val="lightGray"/>
        </w:rPr>
        <w:t>.</w:t>
      </w:r>
      <w:r>
        <w:rPr>
          <w:b/>
          <w:highlight w:val="lightGray"/>
        </w:rPr>
        <w:t xml:space="preserve"> </w:t>
      </w:r>
      <w:r>
        <w:rPr>
          <w:highlight w:val="lightGray"/>
        </w:rPr>
        <w:t>Kapsulės turinyje yra magnio stearato, bevandenio koloidinio silicio dioksido, laktozė monohidrato. Kapsulės apvalkale yra želatinos, titano dioksido (E171). Rašalo sudėtyje yra šelako, geležies juodojo oksido E172, propilenglikolio E1520, amonio hidroksido E527.</w:t>
      </w:r>
    </w:p>
    <w:p w:rsidR="00136770" w:rsidRDefault="00136770" w:rsidP="00136770">
      <w:pPr>
        <w:tabs>
          <w:tab w:val="left" w:pos="720"/>
        </w:tabs>
        <w:spacing w:line="240" w:lineRule="auto"/>
        <w:ind w:right="-2"/>
        <w:rPr>
          <w:highlight w:val="lightGray"/>
          <w:u w:val="single"/>
        </w:rPr>
      </w:pPr>
    </w:p>
    <w:p w:rsidR="00136770" w:rsidRDefault="00136770" w:rsidP="00136770">
      <w:pPr>
        <w:tabs>
          <w:tab w:val="left" w:pos="720"/>
        </w:tabs>
        <w:spacing w:line="240" w:lineRule="auto"/>
        <w:ind w:right="-2"/>
      </w:pPr>
      <w:r>
        <w:rPr>
          <w:highlight w:val="lightGray"/>
          <w:u w:val="single"/>
        </w:rPr>
        <w:t>Disperguojamosios tabletės.</w:t>
      </w:r>
      <w:r>
        <w:rPr>
          <w:highlight w:val="lightGray"/>
        </w:rPr>
        <w:t xml:space="preserve"> Mikrokristalinė celiuliozė, magnio stearatas, krospovidonas, amonio glicirizinatas, aviečių skonio medžiaga, citrinų skonio medžiaga, braškių skonio medžiaga, sacharino natrio druska, natrio gliukonatas, gliukono delta laktonas, guaro lipai.</w:t>
      </w:r>
    </w:p>
    <w:p w:rsidR="00136770" w:rsidRDefault="00136770" w:rsidP="00136770">
      <w:pPr>
        <w:spacing w:line="240" w:lineRule="auto"/>
        <w:ind w:right="-2"/>
      </w:pPr>
    </w:p>
    <w:p w:rsidR="00136770" w:rsidRDefault="00136770" w:rsidP="00136770">
      <w:pPr>
        <w:numPr>
          <w:ilvl w:val="12"/>
          <w:numId w:val="0"/>
        </w:numPr>
        <w:spacing w:line="240" w:lineRule="auto"/>
        <w:ind w:right="-2"/>
        <w:outlineLvl w:val="0"/>
        <w:rPr>
          <w:b/>
          <w:bCs/>
        </w:rPr>
      </w:pPr>
      <w:r>
        <w:rPr>
          <w:b/>
          <w:bCs/>
        </w:rPr>
        <w:t>Duracef išvaizda ir kiekis pakuotėje</w:t>
      </w:r>
    </w:p>
    <w:p w:rsidR="00136770" w:rsidRDefault="00136770" w:rsidP="00136770">
      <w:pPr>
        <w:spacing w:line="240" w:lineRule="auto"/>
        <w:outlineLvl w:val="0"/>
        <w:rPr>
          <w:u w:val="single"/>
        </w:rPr>
      </w:pPr>
      <w:r>
        <w:rPr>
          <w:bCs/>
          <w:u w:val="single"/>
        </w:rPr>
        <w:t>Duracef</w:t>
      </w:r>
      <w:r>
        <w:rPr>
          <w:b/>
          <w:bCs/>
          <w:u w:val="single"/>
        </w:rPr>
        <w:t xml:space="preserve"> </w:t>
      </w:r>
      <w:r>
        <w:rPr>
          <w:u w:val="single"/>
        </w:rPr>
        <w:t>250 mg/5 ml milteliai geriamajai suspensijai</w:t>
      </w:r>
      <w:r>
        <w:t xml:space="preserve"> yra baltos arba gelsvos spalvos, būdingo vaisių kvapo.</w:t>
      </w:r>
    </w:p>
    <w:p w:rsidR="00136770" w:rsidRDefault="00136770" w:rsidP="00136770">
      <w:pPr>
        <w:spacing w:line="240" w:lineRule="auto"/>
        <w:outlineLvl w:val="0"/>
      </w:pPr>
      <w:r>
        <w:t>Dėžutėje yra vienas 60 ml arba 100 ml DTPE (plastikinis) buteliukas ir matavimo šaukštas.</w:t>
      </w:r>
    </w:p>
    <w:p w:rsidR="00136770" w:rsidRDefault="00136770" w:rsidP="00136770">
      <w:pPr>
        <w:spacing w:line="240" w:lineRule="auto"/>
      </w:pPr>
      <w:r>
        <w:t>Paruošta vartoti geriamoji suspensija yra baltos arba gelsvos spalvos, vaisių kvapo.</w:t>
      </w:r>
    </w:p>
    <w:p w:rsidR="00136770" w:rsidRDefault="00136770" w:rsidP="00136770">
      <w:pPr>
        <w:spacing w:line="240" w:lineRule="auto"/>
        <w:rPr>
          <w:bCs/>
        </w:rPr>
      </w:pPr>
    </w:p>
    <w:p w:rsidR="00136770" w:rsidRDefault="00136770" w:rsidP="00136770">
      <w:pPr>
        <w:spacing w:line="240" w:lineRule="auto"/>
        <w:rPr>
          <w:highlight w:val="lightGray"/>
        </w:rPr>
      </w:pPr>
      <w:r>
        <w:rPr>
          <w:highlight w:val="lightGray"/>
          <w:u w:val="single"/>
        </w:rPr>
        <w:t>Duracef 500 mg kietosios kapsulės</w:t>
      </w:r>
      <w:r>
        <w:rPr>
          <w:highlight w:val="lightGray"/>
        </w:rPr>
        <w:t xml:space="preserve"> yra matinės, baltos spalvos, su juodu užrašu „7244“.</w:t>
      </w:r>
    </w:p>
    <w:p w:rsidR="00136770" w:rsidRDefault="00136770" w:rsidP="00136770">
      <w:pPr>
        <w:spacing w:line="240" w:lineRule="auto"/>
        <w:rPr>
          <w:highlight w:val="lightGray"/>
        </w:rPr>
      </w:pPr>
      <w:r>
        <w:rPr>
          <w:highlight w:val="lightGray"/>
        </w:rPr>
        <w:t>Dėžutėje yra 12 kapsulių lizdinėse plokštelėse.</w:t>
      </w:r>
    </w:p>
    <w:p w:rsidR="00136770" w:rsidRDefault="00136770" w:rsidP="00136770">
      <w:pPr>
        <w:spacing w:line="240" w:lineRule="auto"/>
        <w:rPr>
          <w:bCs/>
          <w:highlight w:val="lightGray"/>
        </w:rPr>
      </w:pPr>
    </w:p>
    <w:p w:rsidR="00136770" w:rsidRDefault="00136770" w:rsidP="00136770">
      <w:pPr>
        <w:spacing w:line="240" w:lineRule="auto"/>
        <w:rPr>
          <w:highlight w:val="lightGray"/>
        </w:rPr>
      </w:pPr>
      <w:r>
        <w:rPr>
          <w:bCs/>
          <w:highlight w:val="lightGray"/>
          <w:u w:val="single"/>
        </w:rPr>
        <w:t>Duracef</w:t>
      </w:r>
      <w:r>
        <w:rPr>
          <w:b/>
          <w:bCs/>
          <w:highlight w:val="lightGray"/>
          <w:u w:val="single"/>
        </w:rPr>
        <w:t xml:space="preserve"> </w:t>
      </w:r>
      <w:r>
        <w:rPr>
          <w:highlight w:val="lightGray"/>
          <w:u w:val="single"/>
        </w:rPr>
        <w:t>1 g disperguojamosios tabletės</w:t>
      </w:r>
      <w:r>
        <w:rPr>
          <w:highlight w:val="lightGray"/>
        </w:rPr>
        <w:t xml:space="preserve"> yra baltos ar gelsvai balkšvos spalvos, apvalios formos, su vagele. Vagelė nėra skirta tabletei perlaužti.</w:t>
      </w:r>
    </w:p>
    <w:p w:rsidR="00136770" w:rsidRDefault="00136770" w:rsidP="00136770">
      <w:pPr>
        <w:spacing w:line="240" w:lineRule="auto"/>
        <w:rPr>
          <w:bCs/>
        </w:rPr>
      </w:pPr>
      <w:r>
        <w:rPr>
          <w:highlight w:val="lightGray"/>
        </w:rPr>
        <w:lastRenderedPageBreak/>
        <w:t>Dėžutėje yra 10 disperguojamųjų tablečių dvisluoksnėse juostelėse.</w:t>
      </w:r>
    </w:p>
    <w:p w:rsidR="00136770" w:rsidRDefault="00136770" w:rsidP="00136770">
      <w:pPr>
        <w:spacing w:line="240" w:lineRule="auto"/>
        <w:outlineLvl w:val="0"/>
        <w:rPr>
          <w:b/>
        </w:rPr>
      </w:pPr>
    </w:p>
    <w:p w:rsidR="00136770" w:rsidRDefault="00136770" w:rsidP="00136770">
      <w:pPr>
        <w:spacing w:line="240" w:lineRule="auto"/>
        <w:outlineLvl w:val="0"/>
      </w:pPr>
      <w:r>
        <w:t>Gali būti tiekiamos ne visų dydžių pakuotės.</w:t>
      </w:r>
    </w:p>
    <w:p w:rsidR="00136770" w:rsidRDefault="00136770" w:rsidP="00136770">
      <w:pPr>
        <w:spacing w:line="240" w:lineRule="auto"/>
        <w:outlineLvl w:val="0"/>
        <w:rPr>
          <w:b/>
        </w:rPr>
      </w:pPr>
    </w:p>
    <w:p w:rsidR="00136770" w:rsidRDefault="00136770" w:rsidP="00136770">
      <w:pPr>
        <w:spacing w:line="240" w:lineRule="auto"/>
        <w:outlineLvl w:val="0"/>
        <w:rPr>
          <w:b/>
          <w:bCs/>
        </w:rPr>
      </w:pPr>
      <w:r>
        <w:rPr>
          <w:b/>
        </w:rPr>
        <w:t>Registruotojas</w:t>
      </w:r>
    </w:p>
    <w:p w:rsidR="00136770" w:rsidRPr="007E1EEC" w:rsidRDefault="00136770" w:rsidP="00136770">
      <w:pPr>
        <w:spacing w:line="240" w:lineRule="auto"/>
        <w:rPr>
          <w:lang w:val="lt-LT"/>
        </w:rPr>
      </w:pPr>
      <w:r w:rsidRPr="007E1EEC">
        <w:rPr>
          <w:lang w:val="lt-LT"/>
        </w:rPr>
        <w:t>Bausch Health Ireland Limited</w:t>
      </w:r>
    </w:p>
    <w:p w:rsidR="00136770" w:rsidRPr="007E1EEC" w:rsidRDefault="00136770" w:rsidP="00136770">
      <w:pPr>
        <w:spacing w:line="240" w:lineRule="auto"/>
        <w:rPr>
          <w:lang w:val="lt-LT"/>
        </w:rPr>
      </w:pPr>
      <w:r w:rsidRPr="007E1EEC">
        <w:rPr>
          <w:lang w:val="lt-LT"/>
        </w:rPr>
        <w:t>3013 Lake Drive</w:t>
      </w:r>
    </w:p>
    <w:p w:rsidR="00136770" w:rsidRPr="007E1EEC" w:rsidRDefault="00136770" w:rsidP="00136770">
      <w:pPr>
        <w:spacing w:line="240" w:lineRule="auto"/>
        <w:rPr>
          <w:lang w:val="lt-LT"/>
        </w:rPr>
      </w:pPr>
      <w:r w:rsidRPr="007E1EEC">
        <w:rPr>
          <w:lang w:val="lt-LT"/>
        </w:rPr>
        <w:t>Citywest Business Campus</w:t>
      </w:r>
    </w:p>
    <w:p w:rsidR="00136770" w:rsidRPr="007E1EEC" w:rsidRDefault="00136770" w:rsidP="00136770">
      <w:pPr>
        <w:spacing w:line="240" w:lineRule="auto"/>
        <w:rPr>
          <w:lang w:val="lt-LT"/>
        </w:rPr>
      </w:pPr>
      <w:r w:rsidRPr="007E1EEC">
        <w:rPr>
          <w:lang w:val="lt-LT"/>
        </w:rPr>
        <w:t>Dublin 24, D24PPT3</w:t>
      </w:r>
    </w:p>
    <w:p w:rsidR="00136770" w:rsidRDefault="00136770" w:rsidP="00136770">
      <w:pPr>
        <w:numPr>
          <w:ilvl w:val="12"/>
          <w:numId w:val="0"/>
        </w:numPr>
        <w:spacing w:line="240" w:lineRule="auto"/>
        <w:ind w:right="-2"/>
        <w:rPr>
          <w:rFonts w:eastAsia="Arial Unicode MS"/>
        </w:rPr>
      </w:pPr>
      <w:r w:rsidRPr="007E1EEC">
        <w:rPr>
          <w:lang w:val="lt-LT"/>
        </w:rPr>
        <w:t>Airija</w:t>
      </w:r>
    </w:p>
    <w:p w:rsidR="00136770" w:rsidRDefault="00136770" w:rsidP="00136770">
      <w:pPr>
        <w:numPr>
          <w:ilvl w:val="12"/>
          <w:numId w:val="0"/>
        </w:numPr>
        <w:spacing w:line="240" w:lineRule="auto"/>
        <w:ind w:right="-2"/>
        <w:rPr>
          <w:b/>
          <w:bCs/>
        </w:rPr>
      </w:pPr>
    </w:p>
    <w:p w:rsidR="00136770" w:rsidRDefault="00136770" w:rsidP="00136770">
      <w:pPr>
        <w:numPr>
          <w:ilvl w:val="12"/>
          <w:numId w:val="0"/>
        </w:numPr>
        <w:spacing w:line="240" w:lineRule="auto"/>
        <w:ind w:right="-2"/>
        <w:outlineLvl w:val="0"/>
        <w:rPr>
          <w:b/>
          <w:bCs/>
        </w:rPr>
      </w:pPr>
      <w:r>
        <w:rPr>
          <w:b/>
          <w:bCs/>
        </w:rPr>
        <w:t>Gamintojas</w:t>
      </w:r>
    </w:p>
    <w:p w:rsidR="00136770" w:rsidRDefault="00136770" w:rsidP="00136770">
      <w:r>
        <w:t>PenCef Pharma GmbH</w:t>
      </w:r>
    </w:p>
    <w:p w:rsidR="00136770" w:rsidRDefault="00136770" w:rsidP="00136770">
      <w:r>
        <w:t>Schützenanger 9</w:t>
      </w:r>
    </w:p>
    <w:p w:rsidR="00136770" w:rsidRDefault="00136770" w:rsidP="00136770">
      <w:proofErr w:type="gramStart"/>
      <w:r>
        <w:t>37081</w:t>
      </w:r>
      <w:proofErr w:type="gramEnd"/>
      <w:r>
        <w:t xml:space="preserve"> Göttingen</w:t>
      </w:r>
    </w:p>
    <w:p w:rsidR="00136770" w:rsidRDefault="00136770" w:rsidP="00136770">
      <w:r>
        <w:t>Lower Saxony</w:t>
      </w:r>
    </w:p>
    <w:p w:rsidR="00136770" w:rsidRDefault="00136770" w:rsidP="00136770">
      <w:pPr>
        <w:numPr>
          <w:ilvl w:val="12"/>
          <w:numId w:val="0"/>
        </w:numPr>
        <w:ind w:right="-2"/>
      </w:pPr>
      <w:r>
        <w:t>Vokietija</w:t>
      </w:r>
    </w:p>
    <w:p w:rsidR="00136770" w:rsidRDefault="00136770" w:rsidP="00136770">
      <w:pPr>
        <w:numPr>
          <w:ilvl w:val="12"/>
          <w:numId w:val="0"/>
        </w:numPr>
        <w:spacing w:line="240" w:lineRule="auto"/>
        <w:ind w:right="-2"/>
      </w:pPr>
    </w:p>
    <w:p w:rsidR="00136770" w:rsidRDefault="00136770" w:rsidP="00136770">
      <w:pPr>
        <w:spacing w:line="240" w:lineRule="auto"/>
        <w:outlineLvl w:val="0"/>
      </w:pPr>
      <w:r>
        <w:t>Jeigu apie šį vaistą norite sužinoti daugiau, kreipkitės į vietinį registruotojo atstovą.</w:t>
      </w:r>
    </w:p>
    <w:p w:rsidR="00136770" w:rsidRDefault="00136770" w:rsidP="00136770">
      <w:pPr>
        <w:spacing w:line="240" w:lineRule="auto"/>
      </w:pPr>
    </w:p>
    <w:p w:rsidR="00136770" w:rsidRDefault="00136770" w:rsidP="00136770">
      <w:pPr>
        <w:spacing w:line="240" w:lineRule="auto"/>
        <w:outlineLvl w:val="0"/>
      </w:pPr>
      <w:r>
        <w:t>UAB "PharmaSwiss"</w:t>
      </w:r>
    </w:p>
    <w:p w:rsidR="00136770" w:rsidRDefault="00136770" w:rsidP="00136770">
      <w:pPr>
        <w:spacing w:line="240" w:lineRule="auto"/>
      </w:pPr>
      <w:r>
        <w:t>Tel.: +370 5 2790 762</w:t>
      </w:r>
    </w:p>
    <w:p w:rsidR="00136770" w:rsidRDefault="00136770" w:rsidP="00136770">
      <w:pPr>
        <w:spacing w:line="240" w:lineRule="auto"/>
      </w:pPr>
    </w:p>
    <w:p w:rsidR="00136770" w:rsidRDefault="00136770" w:rsidP="00136770">
      <w:pPr>
        <w:spacing w:line="240" w:lineRule="auto"/>
        <w:rPr>
          <w:b/>
        </w:rPr>
      </w:pPr>
      <w:r>
        <w:rPr>
          <w:b/>
          <w:bCs/>
        </w:rPr>
        <w:t>Šis pakuotės lapelis</w:t>
      </w:r>
      <w:r>
        <w:rPr>
          <w:b/>
        </w:rPr>
        <w:t xml:space="preserve"> paskutinį kartą peržiūrėtas 2021-03-12.</w:t>
      </w:r>
    </w:p>
    <w:p w:rsidR="00136770" w:rsidRDefault="00136770" w:rsidP="00136770">
      <w:pPr>
        <w:spacing w:line="240" w:lineRule="auto"/>
      </w:pPr>
    </w:p>
    <w:p w:rsidR="00136770" w:rsidRDefault="00136770" w:rsidP="00136770">
      <w:pPr>
        <w:numPr>
          <w:ilvl w:val="12"/>
          <w:numId w:val="0"/>
        </w:numPr>
        <w:spacing w:line="240" w:lineRule="auto"/>
        <w:ind w:right="-2"/>
        <w:outlineLvl w:val="0"/>
      </w:pPr>
      <w:r>
        <w:t xml:space="preserve">Išsami informacija apie šį vaistą pateikiama Valstybinės vaistų kontrolės tarnybos prie Lietuvos Respublikos sveikatos apsaugos ministerijos tinklalapyje </w:t>
      </w:r>
      <w:hyperlink r:id="rId7" w:history="1">
        <w:r w:rsidRPr="007E1EEC">
          <w:rPr>
            <w:rStyle w:val="Hipersaitas"/>
          </w:rPr>
          <w:t>http://www.vvkt.lt/</w:t>
        </w:r>
      </w:hyperlink>
      <w:r>
        <w:t>.</w:t>
      </w:r>
    </w:p>
    <w:p w:rsidR="00136770" w:rsidRDefault="00136770" w:rsidP="00136770">
      <w:pPr>
        <w:spacing w:line="240" w:lineRule="auto"/>
      </w:pPr>
    </w:p>
    <w:p w:rsidR="00136770" w:rsidRDefault="00136770" w:rsidP="00136770">
      <w:pPr>
        <w:spacing w:line="240" w:lineRule="auto"/>
      </w:pPr>
    </w:p>
    <w:p w:rsidR="00136770" w:rsidRPr="007E1EEC" w:rsidRDefault="00136770" w:rsidP="00136770">
      <w:pPr>
        <w:spacing w:line="240" w:lineRule="auto"/>
        <w:jc w:val="center"/>
        <w:outlineLvl w:val="0"/>
        <w:rPr>
          <w:lang w:val="lt-LT"/>
        </w:rPr>
      </w:pPr>
    </w:p>
    <w:p w:rsidR="00136770" w:rsidRPr="007E1EEC" w:rsidRDefault="00136770" w:rsidP="00136770">
      <w:pPr>
        <w:spacing w:line="240" w:lineRule="auto"/>
        <w:rPr>
          <w:lang w:val="lt-LT"/>
        </w:rPr>
      </w:pPr>
    </w:p>
    <w:p w:rsidR="00136770" w:rsidRDefault="00136770" w:rsidP="00136770">
      <w:pPr>
        <w:spacing w:line="240" w:lineRule="auto"/>
        <w:rPr>
          <w:sz w:val="24"/>
          <w:szCs w:val="24"/>
          <w:lang w:val="lt-LT"/>
        </w:rPr>
      </w:pPr>
    </w:p>
    <w:p w:rsidR="00136770" w:rsidRDefault="00136770" w:rsidP="00136770">
      <w:pPr>
        <w:jc w:val="center"/>
        <w:outlineLvl w:val="0"/>
        <w:rPr>
          <w:lang w:val="lt-LT"/>
        </w:rPr>
      </w:pPr>
    </w:p>
    <w:p w:rsidR="00136770" w:rsidRDefault="00136770" w:rsidP="00136770">
      <w:pPr>
        <w:rPr>
          <w:lang w:val="lt-LT"/>
        </w:rPr>
      </w:pPr>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D420EA0"/>
    <w:lvl w:ilvl="0">
      <w:numFmt w:val="decimal"/>
      <w:pStyle w:val="PI-2EMEASMCA"/>
      <w:lvlText w:val="*"/>
      <w:lvlJc w:val="left"/>
      <w:pPr>
        <w:ind w:left="0" w:firstLine="0"/>
      </w:pPr>
      <w:rPr>
        <w:rFonts w:cs="Times New Roman"/>
      </w:rPr>
    </w:lvl>
  </w:abstractNum>
  <w:abstractNum w:abstractNumId="1" w15:restartNumberingAfterBreak="0">
    <w:nsid w:val="42091A3D"/>
    <w:multiLevelType w:val="hybridMultilevel"/>
    <w:tmpl w:val="913C3C8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4EB66012"/>
    <w:multiLevelType w:val="hybridMultilevel"/>
    <w:tmpl w:val="AA58663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620A6C"/>
    <w:multiLevelType w:val="hybridMultilevel"/>
    <w:tmpl w:val="6ED671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 w:ilvl="0">
        <w:numFmt w:val="bullet"/>
        <w:pStyle w:val="PI-2EMEASMCA"/>
        <w:lvlText w:val="-"/>
        <w:legacy w:legacy="1" w:legacySpace="0" w:legacyIndent="360"/>
        <w:lvlJc w:val="left"/>
        <w:pPr>
          <w:ind w:left="360" w:hanging="360"/>
        </w:pPr>
        <w:rPr>
          <w:rFonts w:cs="Times New Roman"/>
        </w:rPr>
      </w:lvl>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770"/>
    <w:rsid w:val="00136770"/>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0EC1D-87B1-4E56-AE2A-5CF8FAE4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770"/>
    <w:pPr>
      <w:tabs>
        <w:tab w:val="left" w:pos="567"/>
      </w:tabs>
      <w:spacing w:after="0" w:line="260" w:lineRule="exact"/>
    </w:pPr>
    <w:rPr>
      <w:rFonts w:ascii="Times New Roman" w:eastAsia="Calibri" w:hAnsi="Times New Roman" w:cs="Times New Roman"/>
      <w:szCs w:val="20"/>
      <w:lang w:val="en-GB"/>
    </w:rPr>
  </w:style>
  <w:style w:type="paragraph" w:styleId="Antrat3">
    <w:name w:val="heading 3"/>
    <w:basedOn w:val="prastasis"/>
    <w:next w:val="prastasis"/>
    <w:link w:val="Antrat3Diagrama"/>
    <w:uiPriority w:val="9"/>
    <w:semiHidden/>
    <w:unhideWhenUsed/>
    <w:qFormat/>
    <w:rsid w:val="0013677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semiHidden/>
    <w:unhideWhenUsed/>
    <w:rsid w:val="00136770"/>
    <w:rPr>
      <w:rFonts w:ascii="Times New Roman" w:hAnsi="Times New Roman" w:cs="Times New Roman" w:hint="default"/>
      <w:color w:val="0000FF"/>
      <w:u w:val="single"/>
    </w:rPr>
  </w:style>
  <w:style w:type="paragraph" w:customStyle="1" w:styleId="PI-2EMEASMCA">
    <w:name w:val="PI-2 EMEA_SMCA"/>
    <w:basedOn w:val="Antrat3"/>
    <w:autoRedefine/>
    <w:rsid w:val="00136770"/>
    <w:pPr>
      <w:numPr>
        <w:numId w:val="1"/>
      </w:numPr>
      <w:tabs>
        <w:tab w:val="num" w:pos="360"/>
      </w:tabs>
      <w:spacing w:before="0" w:line="240" w:lineRule="auto"/>
      <w:ind w:left="567" w:hanging="567"/>
    </w:pPr>
    <w:rPr>
      <w:rFonts w:ascii="Times New Roman" w:eastAsia="Calibri" w:hAnsi="Times New Roman" w:cs="Times New Roman"/>
      <w:b/>
      <w:color w:val="auto"/>
      <w:kern w:val="28"/>
      <w:sz w:val="22"/>
      <w:szCs w:val="22"/>
      <w:lang w:val="lt-LT"/>
    </w:rPr>
  </w:style>
  <w:style w:type="character" w:customStyle="1" w:styleId="Antrat3Diagrama">
    <w:name w:val="Antraštė 3 Diagrama"/>
    <w:basedOn w:val="Numatytasispastraiposriftas"/>
    <w:link w:val="Antrat3"/>
    <w:uiPriority w:val="9"/>
    <w:semiHidden/>
    <w:rsid w:val="00136770"/>
    <w:rPr>
      <w:rFonts w:asciiTheme="majorHAnsi" w:eastAsiaTheme="majorEastAsia" w:hAnsiTheme="majorHAnsi" w:cstheme="majorBidi"/>
      <w:color w:val="1F4D78"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20taip"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7817</Words>
  <Characters>4457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2021-03-15T12:20:00Z</dcterms:created>
  <dcterms:modified xsi:type="dcterms:W3CDTF">2021-03-15T12:21:00Z</dcterms:modified>
</cp:coreProperties>
</file>