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ED88" w14:textId="77777777" w:rsidR="0024282E" w:rsidRPr="0024282E" w:rsidRDefault="0024282E" w:rsidP="0024282E">
      <w:pPr>
        <w:pStyle w:val="Pagrindinistekstas"/>
        <w:spacing w:after="0"/>
        <w:jc w:val="center"/>
        <w:rPr>
          <w:b/>
          <w:sz w:val="22"/>
          <w:szCs w:val="22"/>
        </w:rPr>
      </w:pPr>
      <w:r w:rsidRPr="0024282E">
        <w:rPr>
          <w:b/>
          <w:sz w:val="22"/>
          <w:szCs w:val="22"/>
        </w:rPr>
        <w:t>Pakuotės lapelis: informacija vartotojui</w:t>
      </w:r>
    </w:p>
    <w:p w14:paraId="76473406" w14:textId="77777777" w:rsidR="0024282E" w:rsidRPr="0024282E" w:rsidRDefault="0024282E" w:rsidP="0024282E">
      <w:pPr>
        <w:pStyle w:val="Pagrindinistekstas"/>
        <w:spacing w:after="0"/>
        <w:jc w:val="center"/>
        <w:rPr>
          <w:b/>
          <w:sz w:val="22"/>
          <w:szCs w:val="22"/>
        </w:rPr>
      </w:pPr>
    </w:p>
    <w:p w14:paraId="24A3BE2C" w14:textId="77777777" w:rsidR="0024282E" w:rsidRPr="0024282E" w:rsidRDefault="0024282E" w:rsidP="0024282E">
      <w:pPr>
        <w:pStyle w:val="Pagrindinistekstas"/>
        <w:spacing w:after="0"/>
        <w:jc w:val="center"/>
        <w:rPr>
          <w:b/>
          <w:sz w:val="22"/>
          <w:szCs w:val="22"/>
        </w:rPr>
      </w:pPr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Alfacalcidol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</w:t>
      </w:r>
      <w:r w:rsidRPr="0024282E">
        <w:rPr>
          <w:b/>
          <w:sz w:val="22"/>
          <w:szCs w:val="22"/>
        </w:rPr>
        <w:t>0,25 </w:t>
      </w:r>
      <w:proofErr w:type="spellStart"/>
      <w:r w:rsidRPr="0024282E">
        <w:rPr>
          <w:b/>
          <w:sz w:val="22"/>
          <w:szCs w:val="22"/>
        </w:rPr>
        <w:t>mikrogramo</w:t>
      </w:r>
      <w:proofErr w:type="spellEnd"/>
      <w:r w:rsidRPr="0024282E">
        <w:rPr>
          <w:b/>
          <w:sz w:val="22"/>
          <w:szCs w:val="22"/>
        </w:rPr>
        <w:t xml:space="preserve"> minkštosios kapsulės</w:t>
      </w:r>
    </w:p>
    <w:p w14:paraId="38C3585B" w14:textId="77777777" w:rsidR="0024282E" w:rsidRPr="0024282E" w:rsidRDefault="0024282E" w:rsidP="0024282E">
      <w:pPr>
        <w:pStyle w:val="Pagrindinistekstas"/>
        <w:spacing w:after="0"/>
        <w:jc w:val="center"/>
        <w:rPr>
          <w:b/>
          <w:sz w:val="22"/>
          <w:szCs w:val="22"/>
        </w:rPr>
      </w:pPr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Alfacalcidol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</w:t>
      </w:r>
      <w:r w:rsidRPr="0024282E">
        <w:rPr>
          <w:b/>
          <w:sz w:val="22"/>
          <w:szCs w:val="22"/>
        </w:rPr>
        <w:t>1 </w:t>
      </w:r>
      <w:proofErr w:type="spellStart"/>
      <w:r w:rsidRPr="0024282E">
        <w:rPr>
          <w:b/>
          <w:sz w:val="22"/>
          <w:szCs w:val="22"/>
        </w:rPr>
        <w:t>mikrogramas</w:t>
      </w:r>
      <w:proofErr w:type="spellEnd"/>
      <w:r w:rsidRPr="0024282E">
        <w:rPr>
          <w:b/>
          <w:sz w:val="22"/>
          <w:szCs w:val="22"/>
        </w:rPr>
        <w:t xml:space="preserve"> minkštosios kapsulės</w:t>
      </w:r>
    </w:p>
    <w:p w14:paraId="392161A4" w14:textId="77777777" w:rsidR="0024282E" w:rsidRPr="0024282E" w:rsidRDefault="0024282E" w:rsidP="0024282E">
      <w:pPr>
        <w:pStyle w:val="Pagrindinistekstas"/>
        <w:spacing w:after="0"/>
        <w:jc w:val="center"/>
        <w:rPr>
          <w:sz w:val="22"/>
          <w:szCs w:val="22"/>
        </w:rPr>
      </w:pPr>
      <w:proofErr w:type="spellStart"/>
      <w:r w:rsidRPr="0024282E">
        <w:rPr>
          <w:sz w:val="22"/>
          <w:szCs w:val="22"/>
        </w:rPr>
        <w:t>alfakalcidolis</w:t>
      </w:r>
      <w:proofErr w:type="spellEnd"/>
    </w:p>
    <w:p w14:paraId="50ABAE7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6550D58F" w14:textId="77777777" w:rsidR="0024282E" w:rsidRPr="0024282E" w:rsidRDefault="0024282E" w:rsidP="0024282E">
      <w:pPr>
        <w:pStyle w:val="BTbEMEASMCA"/>
        <w:rPr>
          <w:noProof w:val="0"/>
        </w:rPr>
      </w:pPr>
      <w:r w:rsidRPr="0024282E">
        <w:rPr>
          <w:noProof w:val="0"/>
        </w:rPr>
        <w:t>Atidžiai perskaitykite visą šį lapelį, prieš pradėdami vartoti vaistą</w:t>
      </w:r>
      <w:r w:rsidRPr="0024282E">
        <w:t>, nes jame pateikiama Jums svarbi informacija</w:t>
      </w:r>
      <w:r w:rsidRPr="0024282E">
        <w:rPr>
          <w:noProof w:val="0"/>
        </w:rPr>
        <w:t>.</w:t>
      </w:r>
    </w:p>
    <w:p w14:paraId="691DAFFB" w14:textId="77777777" w:rsidR="0024282E" w:rsidRPr="0024282E" w:rsidRDefault="0024282E" w:rsidP="0024282E">
      <w:pPr>
        <w:pStyle w:val="BT-EMEASMCA"/>
        <w:rPr>
          <w:noProof w:val="0"/>
        </w:rPr>
      </w:pPr>
      <w:r w:rsidRPr="0024282E">
        <w:rPr>
          <w:noProof w:val="0"/>
        </w:rPr>
        <w:t>Neišmeskite šio lapelio, nes vėl gali prireikti jį perskaityti.</w:t>
      </w:r>
    </w:p>
    <w:p w14:paraId="32F512A4" w14:textId="77777777" w:rsidR="0024282E" w:rsidRPr="0024282E" w:rsidRDefault="0024282E" w:rsidP="0024282E">
      <w:pPr>
        <w:pStyle w:val="BT-EMEASMCA"/>
        <w:rPr>
          <w:noProof w:val="0"/>
        </w:rPr>
      </w:pPr>
      <w:r w:rsidRPr="0024282E">
        <w:rPr>
          <w:noProof w:val="0"/>
        </w:rPr>
        <w:t>Jeigu kiltų daugiau klausimų, kreipkitės į gydytoją arba vaistininką.</w:t>
      </w:r>
    </w:p>
    <w:p w14:paraId="7ED8EAFA" w14:textId="77777777" w:rsidR="0024282E" w:rsidRPr="0024282E" w:rsidRDefault="0024282E" w:rsidP="0024282E">
      <w:pPr>
        <w:pStyle w:val="BT-EMEASMCA"/>
        <w:rPr>
          <w:noProof w:val="0"/>
        </w:rPr>
      </w:pPr>
      <w:r w:rsidRPr="0024282E"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14:paraId="62BB6B02" w14:textId="77777777" w:rsidR="0024282E" w:rsidRPr="0024282E" w:rsidRDefault="0024282E" w:rsidP="0024282E">
      <w:pPr>
        <w:pStyle w:val="BT-EMEASMCA"/>
        <w:rPr>
          <w:noProof w:val="0"/>
        </w:rPr>
      </w:pPr>
      <w:r w:rsidRPr="0024282E">
        <w:rPr>
          <w:noProof w:val="0"/>
        </w:rPr>
        <w:t xml:space="preserve">Jeigu pasireiškė šalutinis poveikis </w:t>
      </w:r>
      <w:r w:rsidRPr="0024282E">
        <w:t>(net jeigu jis šiame lapelyje nenurodytas),</w:t>
      </w:r>
      <w:r w:rsidRPr="0024282E">
        <w:rPr>
          <w:noProof w:val="0"/>
        </w:rPr>
        <w:t xml:space="preserve"> kreipkitės į gydytoją arba vaistininką. Žr. 4 skyrių.</w:t>
      </w:r>
    </w:p>
    <w:p w14:paraId="4B05250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1F6AA708" w14:textId="77777777" w:rsidR="0024282E" w:rsidRPr="0024282E" w:rsidRDefault="0024282E" w:rsidP="0024282E">
      <w:pPr>
        <w:pStyle w:val="Pagrindinistekstas"/>
        <w:spacing w:after="0"/>
        <w:rPr>
          <w:b/>
          <w:sz w:val="22"/>
          <w:szCs w:val="22"/>
        </w:rPr>
      </w:pPr>
      <w:r w:rsidRPr="0024282E">
        <w:rPr>
          <w:b/>
          <w:sz w:val="22"/>
          <w:szCs w:val="22"/>
        </w:rPr>
        <w:t>Apie ką rašoma šiame lapelyje?</w:t>
      </w:r>
    </w:p>
    <w:p w14:paraId="5996B2CC" w14:textId="77777777" w:rsidR="0024282E" w:rsidRPr="0024282E" w:rsidRDefault="0024282E" w:rsidP="0024282E">
      <w:pPr>
        <w:pStyle w:val="Pagrindinistekstas"/>
        <w:spacing w:after="0"/>
        <w:rPr>
          <w:b/>
          <w:sz w:val="22"/>
          <w:szCs w:val="22"/>
        </w:rPr>
      </w:pPr>
    </w:p>
    <w:p w14:paraId="05563499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1.</w:t>
      </w:r>
      <w:r w:rsidRPr="0024282E">
        <w:rPr>
          <w:sz w:val="22"/>
          <w:szCs w:val="22"/>
        </w:rPr>
        <w:tab/>
        <w:t xml:space="preserve">Kas yra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ir kam jis vartojamas</w:t>
      </w:r>
    </w:p>
    <w:p w14:paraId="572C880E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2.</w:t>
      </w:r>
      <w:r w:rsidRPr="0024282E">
        <w:rPr>
          <w:sz w:val="22"/>
          <w:szCs w:val="22"/>
        </w:rPr>
        <w:tab/>
        <w:t xml:space="preserve">Kas žinotina prieš vartojant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</w:p>
    <w:p w14:paraId="626C5CF2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3.</w:t>
      </w:r>
      <w:r w:rsidRPr="0024282E">
        <w:rPr>
          <w:sz w:val="22"/>
          <w:szCs w:val="22"/>
        </w:rPr>
        <w:tab/>
        <w:t xml:space="preserve">Kaip vartoti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</w:p>
    <w:p w14:paraId="7236A446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4.</w:t>
      </w:r>
      <w:r w:rsidRPr="0024282E">
        <w:rPr>
          <w:sz w:val="22"/>
          <w:szCs w:val="22"/>
        </w:rPr>
        <w:tab/>
        <w:t>Galimas šalutinis poveikis</w:t>
      </w:r>
    </w:p>
    <w:p w14:paraId="35491501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5.</w:t>
      </w:r>
      <w:r w:rsidRPr="0024282E">
        <w:rPr>
          <w:sz w:val="22"/>
          <w:szCs w:val="22"/>
        </w:rPr>
        <w:tab/>
        <w:t xml:space="preserve">Kaip laikyti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</w:p>
    <w:p w14:paraId="4FB79FB4" w14:textId="77777777" w:rsidR="0024282E" w:rsidRPr="0024282E" w:rsidRDefault="0024282E" w:rsidP="0024282E">
      <w:pPr>
        <w:pStyle w:val="Pagrindinistekstas"/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6.</w:t>
      </w:r>
      <w:r w:rsidRPr="0024282E">
        <w:rPr>
          <w:sz w:val="22"/>
          <w:szCs w:val="22"/>
        </w:rPr>
        <w:tab/>
        <w:t>Pakuotės turinys ir kita informacija</w:t>
      </w:r>
    </w:p>
    <w:p w14:paraId="52769C2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B513CE4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6699BD8F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yra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ir kam jis vartojamas </w:t>
      </w:r>
    </w:p>
    <w:p w14:paraId="330A02C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2192805" w14:textId="77777777" w:rsidR="0024282E" w:rsidRPr="0024282E" w:rsidRDefault="0024282E" w:rsidP="0024282E">
      <w:pPr>
        <w:rPr>
          <w:szCs w:val="22"/>
        </w:rPr>
      </w:pPr>
      <w:proofErr w:type="spellStart"/>
      <w:r w:rsidRPr="0024282E">
        <w:rPr>
          <w:szCs w:val="22"/>
        </w:rPr>
        <w:t>Alfacalcidol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Zentiva</w:t>
      </w:r>
      <w:proofErr w:type="spellEnd"/>
      <w:r w:rsidRPr="0024282E">
        <w:rPr>
          <w:szCs w:val="22"/>
        </w:rPr>
        <w:t xml:space="preserve"> minkštojoje kapsulėje yra </w:t>
      </w:r>
      <w:proofErr w:type="spellStart"/>
      <w:r w:rsidRPr="0024282E">
        <w:rPr>
          <w:szCs w:val="22"/>
        </w:rPr>
        <w:t>alfakalcidolio</w:t>
      </w:r>
      <w:proofErr w:type="spellEnd"/>
      <w:r w:rsidRPr="0024282E">
        <w:rPr>
          <w:szCs w:val="22"/>
        </w:rPr>
        <w:t xml:space="preserve"> – vitamino D darinio, kuris padeda organizmui panaudoti kalcį ir fosfatą kaulams stiprinti. </w:t>
      </w:r>
    </w:p>
    <w:p w14:paraId="3A21033C" w14:textId="77777777" w:rsidR="0024282E" w:rsidRPr="0024282E" w:rsidRDefault="0024282E" w:rsidP="0024282E">
      <w:pPr>
        <w:widowControl w:val="0"/>
        <w:outlineLvl w:val="1"/>
        <w:rPr>
          <w:szCs w:val="22"/>
        </w:rPr>
      </w:pPr>
      <w:proofErr w:type="spellStart"/>
      <w:r w:rsidRPr="0024282E">
        <w:rPr>
          <w:szCs w:val="22"/>
        </w:rPr>
        <w:t>Alfacalcidol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Zentiva</w:t>
      </w:r>
      <w:proofErr w:type="spellEnd"/>
      <w:r w:rsidRPr="0024282E">
        <w:rPr>
          <w:szCs w:val="22"/>
        </w:rPr>
        <w:t xml:space="preserve"> vartojamas ligoms, atsiradusioms dėl kalcio apykaitos sutrikimo, kuris yra endogeninio 1,25- </w:t>
      </w:r>
      <w:proofErr w:type="spellStart"/>
      <w:r w:rsidRPr="0024282E">
        <w:rPr>
          <w:szCs w:val="22"/>
        </w:rPr>
        <w:t>dihidroksivitamino</w:t>
      </w:r>
      <w:proofErr w:type="spellEnd"/>
      <w:r w:rsidRPr="0024282E">
        <w:rPr>
          <w:szCs w:val="22"/>
        </w:rPr>
        <w:t xml:space="preserve"> D</w:t>
      </w:r>
      <w:r w:rsidRPr="0024282E">
        <w:rPr>
          <w:szCs w:val="22"/>
          <w:vertAlign w:val="subscript"/>
        </w:rPr>
        <w:t>3</w:t>
      </w:r>
      <w:r w:rsidRPr="0024282E">
        <w:rPr>
          <w:szCs w:val="22"/>
        </w:rPr>
        <w:t xml:space="preserve"> gamybos sumažėjimo padarinys, gydyti.</w:t>
      </w:r>
    </w:p>
    <w:p w14:paraId="1F85F036" w14:textId="77777777" w:rsidR="0024282E" w:rsidRPr="0024282E" w:rsidRDefault="0024282E" w:rsidP="0024282E">
      <w:pPr>
        <w:widowControl w:val="0"/>
        <w:outlineLvl w:val="1"/>
        <w:rPr>
          <w:szCs w:val="22"/>
        </w:rPr>
      </w:pPr>
      <w:r w:rsidRPr="0024282E">
        <w:rPr>
          <w:szCs w:val="22"/>
        </w:rPr>
        <w:t xml:space="preserve">Tai </w:t>
      </w:r>
      <w:proofErr w:type="spellStart"/>
      <w:r w:rsidRPr="0024282E">
        <w:rPr>
          <w:szCs w:val="22"/>
        </w:rPr>
        <w:t>inkstinė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osteodistrofija</w:t>
      </w:r>
      <w:proofErr w:type="spellEnd"/>
      <w:r w:rsidRPr="0024282E">
        <w:rPr>
          <w:szCs w:val="22"/>
        </w:rPr>
        <w:t xml:space="preserve"> (pakitimai kauluose dėl inkstų funkcijos sutrikimų), pooperacinis ar idiopatinis </w:t>
      </w:r>
      <w:proofErr w:type="spellStart"/>
      <w:r w:rsidRPr="0024282E">
        <w:rPr>
          <w:szCs w:val="22"/>
        </w:rPr>
        <w:t>hipoparatiroidizmas</w:t>
      </w:r>
      <w:proofErr w:type="spellEnd"/>
      <w:r w:rsidRPr="0024282E">
        <w:rPr>
          <w:szCs w:val="22"/>
        </w:rPr>
        <w:t xml:space="preserve"> (per didelis kalcio kiekis kraujyje, dėl </w:t>
      </w:r>
      <w:proofErr w:type="spellStart"/>
      <w:r w:rsidRPr="0024282E">
        <w:rPr>
          <w:szCs w:val="22"/>
        </w:rPr>
        <w:t>prieskydinės</w:t>
      </w:r>
      <w:proofErr w:type="spellEnd"/>
      <w:r w:rsidRPr="0024282E">
        <w:rPr>
          <w:szCs w:val="22"/>
        </w:rPr>
        <w:t xml:space="preserve"> liaukos sutrikusios veiklos), </w:t>
      </w:r>
      <w:proofErr w:type="spellStart"/>
      <w:r w:rsidRPr="0024282E">
        <w:rPr>
          <w:szCs w:val="22"/>
        </w:rPr>
        <w:t>pseudohipoparatiroidizmas</w:t>
      </w:r>
      <w:proofErr w:type="spellEnd"/>
      <w:r w:rsidRPr="0024282E">
        <w:rPr>
          <w:szCs w:val="22"/>
        </w:rPr>
        <w:t xml:space="preserve"> (per mažas kalcio kiekis kraujyje, dėl </w:t>
      </w:r>
      <w:proofErr w:type="spellStart"/>
      <w:r w:rsidRPr="0024282E">
        <w:rPr>
          <w:szCs w:val="22"/>
        </w:rPr>
        <w:t>prieskydinės</w:t>
      </w:r>
      <w:proofErr w:type="spellEnd"/>
      <w:r w:rsidRPr="0024282E">
        <w:rPr>
          <w:szCs w:val="22"/>
        </w:rPr>
        <w:t xml:space="preserve"> liaukos pakitusios veiklos), kaip papildoma priemonė tretiniam </w:t>
      </w:r>
      <w:proofErr w:type="spellStart"/>
      <w:r w:rsidRPr="0024282E">
        <w:rPr>
          <w:szCs w:val="22"/>
        </w:rPr>
        <w:t>hiperparatiroidizmui</w:t>
      </w:r>
      <w:proofErr w:type="spellEnd"/>
      <w:r w:rsidRPr="0024282E">
        <w:rPr>
          <w:szCs w:val="22"/>
        </w:rPr>
        <w:t xml:space="preserve"> koreguoti, vitaminui D atsparus rachitas ar </w:t>
      </w:r>
      <w:proofErr w:type="spellStart"/>
      <w:r w:rsidRPr="0024282E">
        <w:rPr>
          <w:szCs w:val="22"/>
        </w:rPr>
        <w:t>osteomaliacija</w:t>
      </w:r>
      <w:proofErr w:type="spellEnd"/>
      <w:r w:rsidRPr="0024282E">
        <w:rPr>
          <w:szCs w:val="22"/>
        </w:rPr>
        <w:t xml:space="preserve"> (kaulų suminkštėjimas ir deformacija dėl kalcio trūkumo), nuo vitamino D priklausomas rachitas, naujagimių </w:t>
      </w:r>
      <w:proofErr w:type="spellStart"/>
      <w:r w:rsidRPr="0024282E">
        <w:rPr>
          <w:szCs w:val="22"/>
        </w:rPr>
        <w:t>hipokalcemija</w:t>
      </w:r>
      <w:proofErr w:type="spellEnd"/>
      <w:r w:rsidRPr="0024282E">
        <w:rPr>
          <w:szCs w:val="22"/>
        </w:rPr>
        <w:t xml:space="preserve"> (kalcio kiekio sumažėjimas kraujyje) ar rachitas, kalcio </w:t>
      </w:r>
      <w:proofErr w:type="spellStart"/>
      <w:r w:rsidRPr="0024282E">
        <w:rPr>
          <w:szCs w:val="22"/>
        </w:rPr>
        <w:t>malabsorbcijos</w:t>
      </w:r>
      <w:proofErr w:type="spellEnd"/>
      <w:r w:rsidRPr="0024282E">
        <w:rPr>
          <w:szCs w:val="22"/>
        </w:rPr>
        <w:t xml:space="preserve"> sindromas (sutrikusios </w:t>
      </w:r>
      <w:proofErr w:type="spellStart"/>
      <w:r w:rsidRPr="0024282E">
        <w:rPr>
          <w:szCs w:val="22"/>
        </w:rPr>
        <w:t>rezorbcijos</w:t>
      </w:r>
      <w:proofErr w:type="spellEnd"/>
      <w:r w:rsidRPr="0024282E">
        <w:rPr>
          <w:szCs w:val="22"/>
        </w:rPr>
        <w:t xml:space="preserve"> žarnyne sindromas), </w:t>
      </w:r>
      <w:proofErr w:type="spellStart"/>
      <w:r w:rsidRPr="0024282E">
        <w:rPr>
          <w:szCs w:val="22"/>
        </w:rPr>
        <w:t>malabsorbcinės</w:t>
      </w:r>
      <w:proofErr w:type="spellEnd"/>
      <w:r w:rsidRPr="0024282E">
        <w:rPr>
          <w:szCs w:val="22"/>
        </w:rPr>
        <w:t xml:space="preserve"> ir maistinės kilmės rachitas ir </w:t>
      </w:r>
      <w:proofErr w:type="spellStart"/>
      <w:r w:rsidRPr="0024282E">
        <w:rPr>
          <w:szCs w:val="22"/>
        </w:rPr>
        <w:t>osteomaliacija</w:t>
      </w:r>
      <w:proofErr w:type="spellEnd"/>
      <w:r w:rsidRPr="0024282E">
        <w:rPr>
          <w:szCs w:val="22"/>
        </w:rPr>
        <w:t>.</w:t>
      </w:r>
    </w:p>
    <w:p w14:paraId="705D122B" w14:textId="77777777" w:rsidR="0024282E" w:rsidRPr="0024282E" w:rsidRDefault="0024282E" w:rsidP="0024282E">
      <w:pPr>
        <w:widowControl w:val="0"/>
        <w:outlineLvl w:val="1"/>
        <w:rPr>
          <w:szCs w:val="22"/>
        </w:rPr>
      </w:pPr>
      <w:proofErr w:type="spellStart"/>
      <w:r w:rsidRPr="0024282E">
        <w:rPr>
          <w:szCs w:val="22"/>
        </w:rPr>
        <w:t>Alfacalcidol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Zentiva</w:t>
      </w:r>
      <w:proofErr w:type="spellEnd"/>
      <w:r w:rsidRPr="0024282E">
        <w:rPr>
          <w:szCs w:val="22"/>
        </w:rPr>
        <w:t xml:space="preserve"> taip pat vartojamas </w:t>
      </w:r>
      <w:proofErr w:type="spellStart"/>
      <w:r w:rsidRPr="0024282E">
        <w:rPr>
          <w:szCs w:val="22"/>
        </w:rPr>
        <w:t>pomenopauzinės</w:t>
      </w:r>
      <w:proofErr w:type="spellEnd"/>
      <w:r w:rsidRPr="0024282E">
        <w:rPr>
          <w:szCs w:val="22"/>
        </w:rPr>
        <w:t xml:space="preserve"> ir </w:t>
      </w:r>
      <w:proofErr w:type="spellStart"/>
      <w:r w:rsidRPr="0024282E">
        <w:rPr>
          <w:szCs w:val="22"/>
        </w:rPr>
        <w:t>gliukokortikoidų</w:t>
      </w:r>
      <w:proofErr w:type="spellEnd"/>
      <w:r w:rsidRPr="0024282E">
        <w:rPr>
          <w:szCs w:val="22"/>
        </w:rPr>
        <w:t xml:space="preserve"> (vaistų vartojamų uždegimo, alergijos ar imuninės sistemos slopinimui) sukeltos osteoporozės gydymui.</w:t>
      </w:r>
    </w:p>
    <w:p w14:paraId="3D8EF18F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FD5D131" w14:textId="77777777" w:rsidR="0024282E" w:rsidRPr="0024282E" w:rsidRDefault="0024282E" w:rsidP="0024282E">
      <w:pPr>
        <w:rPr>
          <w:szCs w:val="22"/>
        </w:rPr>
      </w:pPr>
    </w:p>
    <w:p w14:paraId="38C72143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4A53E6B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FC729D1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Zentiva</w:t>
      </w:r>
      <w:proofErr w:type="spellEnd"/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 vartoti negalima:</w:t>
      </w:r>
    </w:p>
    <w:p w14:paraId="669BEBE6" w14:textId="77777777" w:rsidR="0024282E" w:rsidRPr="0024282E" w:rsidRDefault="0024282E" w:rsidP="0024282E">
      <w:pPr>
        <w:tabs>
          <w:tab w:val="left" w:pos="540"/>
        </w:tabs>
        <w:ind w:left="540" w:hanging="540"/>
        <w:rPr>
          <w:szCs w:val="22"/>
        </w:rPr>
      </w:pPr>
      <w:r w:rsidRPr="0024282E">
        <w:rPr>
          <w:szCs w:val="22"/>
        </w:rPr>
        <w:t>-</w:t>
      </w:r>
      <w:r w:rsidRPr="0024282E">
        <w:rPr>
          <w:szCs w:val="22"/>
        </w:rPr>
        <w:tab/>
        <w:t xml:space="preserve">jeigu yra alergija (padidėjęs jautrumas) </w:t>
      </w:r>
      <w:proofErr w:type="spellStart"/>
      <w:r w:rsidRPr="0024282E">
        <w:rPr>
          <w:szCs w:val="22"/>
        </w:rPr>
        <w:t>alfakalcidoliui</w:t>
      </w:r>
      <w:proofErr w:type="spellEnd"/>
      <w:r w:rsidRPr="0024282E">
        <w:rPr>
          <w:szCs w:val="22"/>
        </w:rPr>
        <w:t xml:space="preserve"> arba bet kuriai pagalbinei šio vaisto medžiagai (jos išvardytos 6 skyriuje);</w:t>
      </w:r>
    </w:p>
    <w:p w14:paraId="06B5C082" w14:textId="77777777" w:rsidR="0024282E" w:rsidRPr="0024282E" w:rsidRDefault="0024282E" w:rsidP="0024282E">
      <w:pPr>
        <w:pStyle w:val="Pagrindinistekstas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567" w:hanging="567"/>
        <w:rPr>
          <w:sz w:val="22"/>
          <w:szCs w:val="22"/>
        </w:rPr>
      </w:pPr>
      <w:r w:rsidRPr="0024282E">
        <w:rPr>
          <w:sz w:val="22"/>
          <w:szCs w:val="22"/>
        </w:rPr>
        <w:t xml:space="preserve">jeigu padidėjusi kalcio, fosfato (išskyrus atvejį, kai sutrikusi </w:t>
      </w:r>
      <w:proofErr w:type="spellStart"/>
      <w:r w:rsidRPr="0024282E">
        <w:rPr>
          <w:sz w:val="22"/>
          <w:szCs w:val="22"/>
        </w:rPr>
        <w:t>prieskydinių</w:t>
      </w:r>
      <w:proofErr w:type="spellEnd"/>
      <w:r w:rsidRPr="0024282E">
        <w:rPr>
          <w:sz w:val="22"/>
          <w:szCs w:val="22"/>
        </w:rPr>
        <w:t xml:space="preserve"> liaukų veikla) arba magnio koncentracija kraujyje;</w:t>
      </w:r>
    </w:p>
    <w:p w14:paraId="05A6E890" w14:textId="77777777" w:rsidR="0024282E" w:rsidRPr="0024282E" w:rsidRDefault="0024282E" w:rsidP="0024282E">
      <w:pPr>
        <w:pStyle w:val="Pagrindinistekstas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567" w:hanging="567"/>
        <w:rPr>
          <w:sz w:val="22"/>
          <w:szCs w:val="22"/>
        </w:rPr>
      </w:pPr>
      <w:r w:rsidRPr="0024282E">
        <w:rPr>
          <w:sz w:val="22"/>
          <w:szCs w:val="22"/>
        </w:rPr>
        <w:t>jeigu padidėjęs organizmo jautrumas vitaminui D.</w:t>
      </w:r>
    </w:p>
    <w:p w14:paraId="6F348BA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4DDEF12B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 ir atsargumo priemonės</w:t>
      </w:r>
    </w:p>
    <w:p w14:paraId="7CD6D48F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 xml:space="preserve">Pasitarkite su gydytoju arba vaistininku, prieš pradėdami vartoti </w:t>
      </w:r>
      <w:proofErr w:type="spellStart"/>
      <w:r w:rsidRPr="0024282E">
        <w:rPr>
          <w:szCs w:val="22"/>
        </w:rPr>
        <w:t>Alfacalcidol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Zentiva</w:t>
      </w:r>
      <w:proofErr w:type="spellEnd"/>
      <w:r w:rsidRPr="0024282E">
        <w:rPr>
          <w:szCs w:val="22"/>
        </w:rPr>
        <w:t>:</w:t>
      </w:r>
    </w:p>
    <w:p w14:paraId="58A57F43" w14:textId="77777777" w:rsidR="0024282E" w:rsidRPr="0024282E" w:rsidRDefault="0024282E" w:rsidP="0024282E">
      <w:pPr>
        <w:pStyle w:val="Pagrindinistekstas"/>
        <w:numPr>
          <w:ilvl w:val="0"/>
          <w:numId w:val="2"/>
        </w:numPr>
        <w:tabs>
          <w:tab w:val="left" w:pos="540"/>
        </w:tabs>
        <w:spacing w:after="0"/>
        <w:ind w:hanging="1080"/>
        <w:rPr>
          <w:sz w:val="22"/>
          <w:szCs w:val="22"/>
        </w:rPr>
      </w:pPr>
      <w:r w:rsidRPr="0024282E">
        <w:rPr>
          <w:sz w:val="22"/>
          <w:szCs w:val="22"/>
        </w:rPr>
        <w:t>jeigu moteris yra nėščia arba žindo kūdikį;</w:t>
      </w:r>
    </w:p>
    <w:p w14:paraId="60101D5B" w14:textId="77777777" w:rsidR="0024282E" w:rsidRPr="0024282E" w:rsidRDefault="0024282E" w:rsidP="0024282E">
      <w:pPr>
        <w:pStyle w:val="Pagrindinistekstas"/>
        <w:numPr>
          <w:ilvl w:val="0"/>
          <w:numId w:val="2"/>
        </w:numPr>
        <w:tabs>
          <w:tab w:val="clear" w:pos="1080"/>
          <w:tab w:val="num" w:pos="540"/>
        </w:tabs>
        <w:spacing w:after="0"/>
        <w:ind w:left="540" w:hanging="540"/>
        <w:rPr>
          <w:sz w:val="22"/>
          <w:szCs w:val="22"/>
        </w:rPr>
      </w:pPr>
      <w:r w:rsidRPr="0024282E">
        <w:rPr>
          <w:sz w:val="22"/>
          <w:szCs w:val="22"/>
        </w:rPr>
        <w:t>jeigu yra padidėjęs kalcio kiekis kraujyje (</w:t>
      </w:r>
      <w:proofErr w:type="spellStart"/>
      <w:r w:rsidRPr="0024282E">
        <w:rPr>
          <w:sz w:val="22"/>
          <w:szCs w:val="22"/>
        </w:rPr>
        <w:t>hiperkalcemija</w:t>
      </w:r>
      <w:proofErr w:type="spellEnd"/>
      <w:r w:rsidRPr="0024282E">
        <w:rPr>
          <w:sz w:val="22"/>
          <w:szCs w:val="22"/>
        </w:rPr>
        <w:t>).</w:t>
      </w:r>
    </w:p>
    <w:p w14:paraId="65431B1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5A7395A0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lastRenderedPageBreak/>
        <w:t xml:space="preserve">Vartojant šį vaistą, gydytojui nurodžius, reikėtų išsitirti kalcio kiekį kraujyje. Žindomiems kūdikiams, kurių motinos vartoja gydomąsias </w:t>
      </w:r>
      <w:proofErr w:type="spellStart"/>
      <w:r w:rsidRPr="0024282E">
        <w:rPr>
          <w:sz w:val="22"/>
          <w:szCs w:val="22"/>
        </w:rPr>
        <w:t>alfakalcidolio</w:t>
      </w:r>
      <w:proofErr w:type="spellEnd"/>
      <w:r w:rsidRPr="0024282E">
        <w:rPr>
          <w:sz w:val="22"/>
          <w:szCs w:val="22"/>
        </w:rPr>
        <w:t xml:space="preserve"> dozes, taip pat rekomenduojama tirti kalcio kiekį kraujyje. </w:t>
      </w:r>
    </w:p>
    <w:p w14:paraId="1F400B85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Papildomai vitamino D reikia atsargiai vartoti pacientams, kurie pakankamai jo gauna su maistu ir veikiant saulės šviesai.</w:t>
      </w:r>
    </w:p>
    <w:p w14:paraId="7706B279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6F9BEE5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Kiti vaistai ir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461D499B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Jeigu vartojate arba neseniai vartojote kitų vaistų arba dėl to nesate tikri, apie tai pasakykite gydytojui arba vaistininkui.</w:t>
      </w:r>
    </w:p>
    <w:p w14:paraId="6C9DA728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  <w:lang w:eastAsia="en-US"/>
        </w:rPr>
      </w:pPr>
      <w:r w:rsidRPr="0024282E">
        <w:rPr>
          <w:sz w:val="22"/>
          <w:szCs w:val="22"/>
          <w:lang w:eastAsia="en-US"/>
        </w:rPr>
        <w:t xml:space="preserve">Gydytoją turi perspėti pacientai, kurie vartoja širdies glikozidų, vaistų nuo epilepsijos, </w:t>
      </w:r>
      <w:proofErr w:type="spellStart"/>
      <w:r w:rsidRPr="0024282E">
        <w:rPr>
          <w:sz w:val="22"/>
          <w:szCs w:val="22"/>
          <w:lang w:eastAsia="en-US"/>
        </w:rPr>
        <w:t>kolestiramino</w:t>
      </w:r>
      <w:proofErr w:type="spellEnd"/>
      <w:r w:rsidRPr="0024282E">
        <w:rPr>
          <w:sz w:val="22"/>
          <w:szCs w:val="22"/>
          <w:lang w:eastAsia="en-US"/>
        </w:rPr>
        <w:t xml:space="preserve">, </w:t>
      </w:r>
      <w:proofErr w:type="spellStart"/>
      <w:r w:rsidRPr="0024282E">
        <w:rPr>
          <w:sz w:val="22"/>
          <w:szCs w:val="22"/>
          <w:lang w:eastAsia="en-US"/>
        </w:rPr>
        <w:t>kolestipolio</w:t>
      </w:r>
      <w:proofErr w:type="spellEnd"/>
      <w:r w:rsidRPr="0024282E">
        <w:rPr>
          <w:sz w:val="22"/>
          <w:szCs w:val="22"/>
          <w:lang w:eastAsia="en-US"/>
        </w:rPr>
        <w:t xml:space="preserve">, </w:t>
      </w:r>
      <w:proofErr w:type="spellStart"/>
      <w:r w:rsidRPr="0024282E">
        <w:rPr>
          <w:sz w:val="22"/>
          <w:szCs w:val="22"/>
          <w:lang w:eastAsia="en-US"/>
        </w:rPr>
        <w:t>sukralfato</w:t>
      </w:r>
      <w:proofErr w:type="spellEnd"/>
      <w:r w:rsidRPr="0024282E">
        <w:rPr>
          <w:sz w:val="22"/>
          <w:szCs w:val="22"/>
          <w:lang w:eastAsia="en-US"/>
        </w:rPr>
        <w:t xml:space="preserve">, aliuminio ar magnio turinčių skrandžio rūgštį neutralizuojančių vaistų, mineralinio aliejaus, magnio turinčių vidurius paleidžiančių vaistų, kalcio arba fosfato sudėtyje turinčių vaistų, šlapimo išsiskyrimą skatinančių vaistų (vadinamų </w:t>
      </w:r>
      <w:proofErr w:type="spellStart"/>
      <w:r w:rsidRPr="0024282E">
        <w:rPr>
          <w:sz w:val="22"/>
          <w:szCs w:val="22"/>
          <w:lang w:eastAsia="en-US"/>
        </w:rPr>
        <w:t>tiazininiais</w:t>
      </w:r>
      <w:proofErr w:type="spellEnd"/>
      <w:r w:rsidRPr="0024282E">
        <w:rPr>
          <w:sz w:val="22"/>
          <w:szCs w:val="22"/>
          <w:lang w:eastAsia="en-US"/>
        </w:rPr>
        <w:t xml:space="preserve">), vitamino D ar jo analogų sudėtyje turinčių vaistų, </w:t>
      </w:r>
      <w:proofErr w:type="spellStart"/>
      <w:r w:rsidRPr="0024282E">
        <w:rPr>
          <w:sz w:val="22"/>
          <w:szCs w:val="22"/>
          <w:lang w:eastAsia="en-US"/>
        </w:rPr>
        <w:t>rifampicino</w:t>
      </w:r>
      <w:proofErr w:type="spellEnd"/>
      <w:r w:rsidRPr="0024282E">
        <w:rPr>
          <w:sz w:val="22"/>
          <w:szCs w:val="22"/>
          <w:lang w:eastAsia="en-US"/>
        </w:rPr>
        <w:t xml:space="preserve">, </w:t>
      </w:r>
      <w:proofErr w:type="spellStart"/>
      <w:r w:rsidRPr="0024282E">
        <w:rPr>
          <w:sz w:val="22"/>
          <w:szCs w:val="22"/>
          <w:lang w:eastAsia="en-US"/>
        </w:rPr>
        <w:t>izoniazido</w:t>
      </w:r>
      <w:proofErr w:type="spellEnd"/>
      <w:r w:rsidRPr="0024282E">
        <w:rPr>
          <w:sz w:val="22"/>
          <w:szCs w:val="22"/>
          <w:lang w:eastAsia="en-US"/>
        </w:rPr>
        <w:t>, kortikosteroidų.</w:t>
      </w:r>
    </w:p>
    <w:p w14:paraId="7722A04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  <w:lang w:eastAsia="en-US"/>
        </w:rPr>
      </w:pPr>
    </w:p>
    <w:p w14:paraId="066C3358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vartojimas su maistu ir gėrimais</w:t>
      </w:r>
    </w:p>
    <w:p w14:paraId="7FFA5F34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Vaisto poveikiui ir pasisavinimui maistas reikšmingos įtakos nedaro.</w:t>
      </w:r>
    </w:p>
    <w:p w14:paraId="43233C7C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39D43EC8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Nėštumas, žindymo laikotarpis ir vaisingumas</w:t>
      </w:r>
    </w:p>
    <w:p w14:paraId="1E79616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319AE26C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Nėra pakankamai duomenų, kurie leistų įvertinti, ar saugu vartoti </w:t>
      </w:r>
      <w:proofErr w:type="spellStart"/>
      <w:r w:rsidRPr="0024282E">
        <w:rPr>
          <w:sz w:val="22"/>
          <w:szCs w:val="22"/>
        </w:rPr>
        <w:t>alfakalcidolį</w:t>
      </w:r>
      <w:proofErr w:type="spellEnd"/>
      <w:r w:rsidRPr="0024282E">
        <w:rPr>
          <w:sz w:val="22"/>
          <w:szCs w:val="22"/>
        </w:rPr>
        <w:t xml:space="preserve"> nėščiosioms. Vis dėlto šis vaistas plačiai vartojamas daugelį metų, o kenksmingo poveikio vaisiui nepastebėta. Eksperimentai su gyvūnais pavojaus vaisiui taip pat neparodė, tačiau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(kaip ir visų kitų vaistų) nėščiosioms gydytojas skiria tik tada, kai tai neabejotinai būtina ir nėra geresnio pasirinkimo.</w:t>
      </w:r>
    </w:p>
    <w:p w14:paraId="1DED0494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8D5763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Manoma, kad, žindymo metu vartojant </w:t>
      </w:r>
      <w:proofErr w:type="spellStart"/>
      <w:r w:rsidRPr="0024282E">
        <w:rPr>
          <w:sz w:val="22"/>
          <w:szCs w:val="22"/>
        </w:rPr>
        <w:t>alfakalcidolį</w:t>
      </w:r>
      <w:proofErr w:type="spellEnd"/>
      <w:r w:rsidRPr="0024282E">
        <w:rPr>
          <w:sz w:val="22"/>
          <w:szCs w:val="22"/>
        </w:rPr>
        <w:t>, piene padidėja aktyvių vitamino D metabolitų, todėl gali pakisti kalcio apykaita žindomo kūdikio organizme. Vadinasi, žindyvėms šio medikamento galima vartoti tik gydytojo nurodymu.</w:t>
      </w:r>
    </w:p>
    <w:p w14:paraId="2024C44B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3D8B4072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color w:val="auto"/>
          <w:sz w:val="22"/>
          <w:szCs w:val="22"/>
        </w:rPr>
        <w:t>Vairavimas ir mechanizmų valdymas</w:t>
      </w:r>
    </w:p>
    <w:p w14:paraId="22342F08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Vartojamas gydomosiomis dozėmis, šis vaistas gebėjimui vairuoti ir valdyti mechanizmus įtakos nedaro. </w:t>
      </w:r>
    </w:p>
    <w:p w14:paraId="46FD02AC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735C663C" w14:textId="77777777" w:rsidR="0024282E" w:rsidRPr="0024282E" w:rsidRDefault="0024282E" w:rsidP="0024282E">
      <w:pPr>
        <w:pStyle w:val="PI-3EMEASMCA"/>
      </w:pPr>
      <w:proofErr w:type="spellStart"/>
      <w:r w:rsidRPr="0024282E">
        <w:t>Alfacalcidol</w:t>
      </w:r>
      <w:proofErr w:type="spellEnd"/>
      <w:r w:rsidRPr="0024282E">
        <w:t xml:space="preserve"> </w:t>
      </w:r>
      <w:proofErr w:type="spellStart"/>
      <w:r w:rsidRPr="0024282E">
        <w:t>Zentiva</w:t>
      </w:r>
      <w:proofErr w:type="spellEnd"/>
      <w:r w:rsidRPr="0024282E">
        <w:t xml:space="preserve"> sudėtyje yra žemės riešutų aliejaus, </w:t>
      </w:r>
      <w:proofErr w:type="spellStart"/>
      <w:r w:rsidRPr="0024282E">
        <w:t>sorbitolio</w:t>
      </w:r>
      <w:proofErr w:type="spellEnd"/>
      <w:r w:rsidRPr="0024282E">
        <w:t xml:space="preserve"> ir etanolio. </w:t>
      </w:r>
    </w:p>
    <w:p w14:paraId="3ACAFF43" w14:textId="77777777" w:rsidR="0024282E" w:rsidRPr="0024282E" w:rsidRDefault="0024282E" w:rsidP="0024282E">
      <w:pPr>
        <w:pStyle w:val="PI-3EMEASMCA"/>
        <w:rPr>
          <w:b w:val="0"/>
        </w:rPr>
      </w:pPr>
      <w:r w:rsidRPr="0024282E">
        <w:rPr>
          <w:b w:val="0"/>
        </w:rPr>
        <w:t>Jei esate alergiškas (alergiška) žemės riešutams arba sojai, šio vaisto Jums vartoti negalima.</w:t>
      </w:r>
    </w:p>
    <w:p w14:paraId="18AF83BC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Sudėtyje yra </w:t>
      </w:r>
      <w:proofErr w:type="spellStart"/>
      <w:r w:rsidRPr="0024282E">
        <w:rPr>
          <w:sz w:val="22"/>
          <w:szCs w:val="22"/>
        </w:rPr>
        <w:t>sorbitolio</w:t>
      </w:r>
      <w:proofErr w:type="spellEnd"/>
      <w:r w:rsidRPr="0024282E">
        <w:rPr>
          <w:sz w:val="22"/>
          <w:szCs w:val="22"/>
        </w:rPr>
        <w:t>. Jeigu gydytojas Jums yra sakęs, kad netoleruojate kokių nors angliavandenių, kreipkitės į jį prieš pradėdami vartoti šį vaistą.</w:t>
      </w:r>
    </w:p>
    <w:p w14:paraId="205D875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Šio vaisto sudėtyje yra mažas kiekis (mažiau kaip 100 mg vienoje kapsulėje) etanolio (alkoholio).</w:t>
      </w:r>
    </w:p>
    <w:p w14:paraId="3F1D9F05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6E6A662B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2DE7A48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vartoti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2C05DCF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77FAF481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Visada vartokite šį vaistą tiksliai kaip nurodė gydytojas. Jeigu abejojate, kreipkitės į gydytoją arba vaistininką.</w:t>
      </w:r>
    </w:p>
    <w:p w14:paraId="7182E49C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>Jūsų gydytojas pasakys, kiek kapsulių vartoti ar duoti Jūsų vaikui.</w:t>
      </w:r>
    </w:p>
    <w:p w14:paraId="4589164E" w14:textId="77777777" w:rsidR="0024282E" w:rsidRPr="0024282E" w:rsidRDefault="0024282E" w:rsidP="0024282E">
      <w:pPr>
        <w:rPr>
          <w:szCs w:val="22"/>
        </w:rPr>
      </w:pPr>
    </w:p>
    <w:p w14:paraId="37297BE3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 xml:space="preserve">Iš pradžių Jums du kartus per savaitę bus atliekamas kraujo tyrimas. Šiais tyrimais yra tikrinamas kalcio, fermento, vadinamo šarmine fosfataze, ar </w:t>
      </w:r>
      <w:proofErr w:type="spellStart"/>
      <w:r w:rsidRPr="0024282E">
        <w:rPr>
          <w:szCs w:val="22"/>
        </w:rPr>
        <w:t>paratiroidinio</w:t>
      </w:r>
      <w:proofErr w:type="spellEnd"/>
      <w:r w:rsidRPr="0024282E">
        <w:rPr>
          <w:szCs w:val="22"/>
        </w:rPr>
        <w:t xml:space="preserve"> hormono kiekis Jūsų kraujyje. Tai daroma dėl to, kad gydytojas žinotų, jog Jūs vartojate tinkamą dozę.</w:t>
      </w:r>
    </w:p>
    <w:p w14:paraId="4D828D3A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>Pasiekus tinkamą dozę, taip dažnai atlikinėti kraujo tyrimų Jums nereikės.</w:t>
      </w:r>
    </w:p>
    <w:p w14:paraId="2470DB24" w14:textId="77777777" w:rsidR="0024282E" w:rsidRPr="0024282E" w:rsidRDefault="0024282E" w:rsidP="0024282E">
      <w:pPr>
        <w:rPr>
          <w:szCs w:val="22"/>
        </w:rPr>
      </w:pPr>
    </w:p>
    <w:p w14:paraId="1893AB3A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 xml:space="preserve">Jūsų gydytojas gali pakoreguoti Jūsų dozę. Jis gali nurodyti vartoti daugiau ar mažiau kapsulių, atsižvelgiant į tyrimų rezultatus. Vartojant šio vaisto Jūsų kraujyje gali susidaryti per didelis kalcio ar fosfatų kiekis. Prašom perskaityti šio lapelio 4 skyrių tam, kad galėtumėte atpažinti bet kokį minėto sutrikimo požymį, kuris gali Jums atsirasti. Jūsų gydytojas gali liepti vaisto išviso nevartoti. Jums gali </w:t>
      </w:r>
      <w:r w:rsidRPr="0024282E">
        <w:rPr>
          <w:szCs w:val="22"/>
        </w:rPr>
        <w:lastRenderedPageBreak/>
        <w:t xml:space="preserve">reikėti atlikti tam tikrus kraujo tyrimus. Kai kraujo tyrimai taps normalūs, savo vaistą Jūs galite vėl pradėti vartoti. Yra svarbu, kad Jūs gertumėte tik pusę anksčiau vartotos dozės. </w:t>
      </w:r>
    </w:p>
    <w:p w14:paraId="741C9DEB" w14:textId="77777777" w:rsidR="0024282E" w:rsidRPr="0024282E" w:rsidRDefault="0024282E" w:rsidP="0024282E">
      <w:pPr>
        <w:rPr>
          <w:szCs w:val="22"/>
        </w:rPr>
      </w:pPr>
    </w:p>
    <w:p w14:paraId="08E33603" w14:textId="77777777" w:rsidR="0024282E" w:rsidRPr="0024282E" w:rsidRDefault="0024282E" w:rsidP="0024282E">
      <w:pPr>
        <w:rPr>
          <w:szCs w:val="22"/>
          <w:u w:val="single"/>
        </w:rPr>
      </w:pPr>
      <w:r w:rsidRPr="0024282E">
        <w:rPr>
          <w:szCs w:val="22"/>
          <w:u w:val="single"/>
        </w:rPr>
        <w:t>Suaugusiems žmonėms</w:t>
      </w:r>
    </w:p>
    <w:p w14:paraId="0F9BCB7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Įprasta pradinė dozė yra 1 </w:t>
      </w:r>
      <w:proofErr w:type="spellStart"/>
      <w:r w:rsidRPr="0024282E">
        <w:rPr>
          <w:sz w:val="22"/>
          <w:szCs w:val="22"/>
        </w:rPr>
        <w:t>mikrogramas</w:t>
      </w:r>
      <w:proofErr w:type="spellEnd"/>
      <w:r w:rsidRPr="0024282E">
        <w:rPr>
          <w:sz w:val="22"/>
          <w:szCs w:val="22"/>
        </w:rPr>
        <w:t xml:space="preserve"> kiekvieną parą. Daugumai žmonių pakanka nuo 1 iki 3 </w:t>
      </w:r>
      <w:proofErr w:type="spellStart"/>
      <w:r w:rsidRPr="0024282E">
        <w:rPr>
          <w:sz w:val="22"/>
          <w:szCs w:val="22"/>
        </w:rPr>
        <w:t>mikrogramų</w:t>
      </w:r>
      <w:proofErr w:type="spellEnd"/>
      <w:r w:rsidRPr="0024282E">
        <w:rPr>
          <w:sz w:val="22"/>
          <w:szCs w:val="22"/>
        </w:rPr>
        <w:t xml:space="preserve"> dozės, vartojamos kiekvieną parą. </w:t>
      </w:r>
    </w:p>
    <w:p w14:paraId="66D93473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35BDFDA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Kai tik kraujo tyrimų rezultatai parodo, kad vaistas veiksmingas, daugumai žmonių pakanka kiekvieną parą vartoti nuo 0,25 iki 1 </w:t>
      </w:r>
      <w:proofErr w:type="spellStart"/>
      <w:r w:rsidRPr="0024282E">
        <w:rPr>
          <w:sz w:val="22"/>
          <w:szCs w:val="22"/>
        </w:rPr>
        <w:t>mikrogramo</w:t>
      </w:r>
      <w:proofErr w:type="spellEnd"/>
      <w:r w:rsidRPr="0024282E">
        <w:rPr>
          <w:sz w:val="22"/>
          <w:szCs w:val="22"/>
        </w:rPr>
        <w:t xml:space="preserve"> dozę.</w:t>
      </w:r>
    </w:p>
    <w:p w14:paraId="54B92D1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5F03860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Jeigu Jūsų kraujyje yra labai mažas kalcio kiekis, Jūsų gydytojas gali paskirti vartoti kiekvieną parą nuo 3 iki 5 </w:t>
      </w:r>
      <w:proofErr w:type="spellStart"/>
      <w:r w:rsidRPr="0024282E">
        <w:rPr>
          <w:sz w:val="22"/>
          <w:szCs w:val="22"/>
        </w:rPr>
        <w:t>mikrogramų</w:t>
      </w:r>
      <w:proofErr w:type="spellEnd"/>
      <w:r w:rsidRPr="0024282E">
        <w:rPr>
          <w:sz w:val="22"/>
          <w:szCs w:val="22"/>
        </w:rPr>
        <w:t xml:space="preserve"> dozę. Jūsų gydytojas gali paskirti vartoti kartu su </w:t>
      </w:r>
      <w:proofErr w:type="spellStart"/>
      <w:r w:rsidRPr="0024282E">
        <w:rPr>
          <w:sz w:val="22"/>
          <w:szCs w:val="22"/>
        </w:rPr>
        <w:t>Alfacalcidol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</w:t>
      </w:r>
      <w:r w:rsidRPr="0024282E">
        <w:rPr>
          <w:bCs/>
          <w:sz w:val="22"/>
          <w:szCs w:val="22"/>
        </w:rPr>
        <w:t xml:space="preserve">kapsulėmis </w:t>
      </w:r>
      <w:r w:rsidRPr="0024282E">
        <w:rPr>
          <w:sz w:val="22"/>
          <w:szCs w:val="22"/>
        </w:rPr>
        <w:t>kitą vaistą, vadinamą kalcio papildu. Tai padeda išlaikyti tinkamą kalcio kiekį Jūsų kraujyje.</w:t>
      </w:r>
    </w:p>
    <w:p w14:paraId="253976A3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889189E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  <w:u w:val="single"/>
        </w:rPr>
      </w:pPr>
      <w:r w:rsidRPr="0024282E">
        <w:rPr>
          <w:sz w:val="22"/>
          <w:szCs w:val="22"/>
          <w:u w:val="single"/>
        </w:rPr>
        <w:t>Vaikams ir paaugliams</w:t>
      </w:r>
    </w:p>
    <w:p w14:paraId="2E82313A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Dozė priklauso nuo vaiko svorio (vadinamo kūno svorio).</w:t>
      </w:r>
    </w:p>
    <w:p w14:paraId="53A75104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54DBE337" w14:textId="77777777" w:rsidR="0024282E" w:rsidRPr="0024282E" w:rsidRDefault="0024282E" w:rsidP="0024282E">
      <w:pPr>
        <w:pStyle w:val="Pagrindinistekstas"/>
        <w:numPr>
          <w:ilvl w:val="0"/>
          <w:numId w:val="4"/>
        </w:numPr>
        <w:spacing w:after="0"/>
        <w:rPr>
          <w:sz w:val="22"/>
          <w:szCs w:val="22"/>
          <w:u w:val="single"/>
        </w:rPr>
      </w:pPr>
      <w:r w:rsidRPr="0024282E">
        <w:rPr>
          <w:sz w:val="22"/>
          <w:szCs w:val="22"/>
          <w:u w:val="single"/>
        </w:rPr>
        <w:t>Vaikai, kurių kūno svoris mažesnis kaip 20 kg</w:t>
      </w:r>
    </w:p>
    <w:p w14:paraId="12A889E1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Įprasta pradinė dozė yra 0,05 </w:t>
      </w:r>
      <w:proofErr w:type="spellStart"/>
      <w:r w:rsidRPr="0024282E">
        <w:rPr>
          <w:sz w:val="22"/>
          <w:szCs w:val="22"/>
        </w:rPr>
        <w:t>mikrogramai</w:t>
      </w:r>
      <w:proofErr w:type="spellEnd"/>
      <w:r w:rsidRPr="0024282E">
        <w:rPr>
          <w:sz w:val="22"/>
          <w:szCs w:val="22"/>
        </w:rPr>
        <w:t>/kg kūno svorio kiekvieną parą.</w:t>
      </w:r>
    </w:p>
    <w:p w14:paraId="66BE287F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8246CFA" w14:textId="77777777" w:rsidR="0024282E" w:rsidRPr="0024282E" w:rsidRDefault="0024282E" w:rsidP="0024282E">
      <w:pPr>
        <w:pStyle w:val="Pagrindinistekstas"/>
        <w:numPr>
          <w:ilvl w:val="0"/>
          <w:numId w:val="4"/>
        </w:numPr>
        <w:spacing w:after="0"/>
        <w:rPr>
          <w:sz w:val="22"/>
          <w:szCs w:val="22"/>
          <w:u w:val="single"/>
        </w:rPr>
      </w:pPr>
      <w:r w:rsidRPr="0024282E">
        <w:rPr>
          <w:sz w:val="22"/>
          <w:szCs w:val="22"/>
          <w:u w:val="single"/>
        </w:rPr>
        <w:t>Vaikai, kurių kūno svoris didesnis kaip 20 kg</w:t>
      </w:r>
    </w:p>
    <w:p w14:paraId="18756852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Įprasta pradinė dozė yra 1 </w:t>
      </w:r>
      <w:proofErr w:type="spellStart"/>
      <w:r w:rsidRPr="0024282E">
        <w:rPr>
          <w:sz w:val="22"/>
          <w:szCs w:val="22"/>
        </w:rPr>
        <w:t>mikrogramas</w:t>
      </w:r>
      <w:proofErr w:type="spellEnd"/>
      <w:r w:rsidRPr="0024282E">
        <w:rPr>
          <w:sz w:val="22"/>
          <w:szCs w:val="22"/>
        </w:rPr>
        <w:t xml:space="preserve"> per parą.</w:t>
      </w:r>
    </w:p>
    <w:p w14:paraId="6B2FDFC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6A92598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Ką daryti pavartojus per didelę </w:t>
      </w: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Zentiva</w:t>
      </w:r>
      <w:proofErr w:type="spellEnd"/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 dozę</w:t>
      </w:r>
    </w:p>
    <w:p w14:paraId="4214108F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Apsinuodijus šiuo vaistu, dažniausiai pakinta kalcio kiekis. Pasireiškus nepageidaujamiems poveikiams, reikėtų pasitarti su gydytoju. Sunkiai apsinuodijus, reikia </w:t>
      </w:r>
      <w:r w:rsidRPr="0024282E">
        <w:rPr>
          <w:i/>
          <w:sz w:val="22"/>
          <w:szCs w:val="22"/>
        </w:rPr>
        <w:t>nedelsiant</w:t>
      </w:r>
      <w:r w:rsidRPr="0024282E">
        <w:rPr>
          <w:sz w:val="22"/>
          <w:szCs w:val="22"/>
        </w:rPr>
        <w:t xml:space="preserve"> kreiptis į gydytoją, kadangi gali tekti skubiai gulti į ligoninę.</w:t>
      </w:r>
    </w:p>
    <w:p w14:paraId="16CC1DB6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F9C87D7" w14:textId="77777777" w:rsidR="0024282E" w:rsidRPr="0024282E" w:rsidRDefault="0024282E" w:rsidP="0024282E">
      <w:pPr>
        <w:pStyle w:val="Antrat3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Pamiršus pavartoti </w:t>
      </w: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color w:val="auto"/>
          <w:sz w:val="22"/>
          <w:szCs w:val="22"/>
        </w:rPr>
        <w:t>Zentiva</w:t>
      </w:r>
      <w:proofErr w:type="spellEnd"/>
    </w:p>
    <w:p w14:paraId="231409D7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Praleidus dozę, vėliau vietoj jos dvigubos dozės vartoti negalima. Vaisto reikia vartoti toliau taip, kaip įprasta.</w:t>
      </w:r>
    </w:p>
    <w:p w14:paraId="52CA4290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346876C3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6A0F8A0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Galimas šalutinis poveikis</w:t>
      </w:r>
    </w:p>
    <w:p w14:paraId="086EC72E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1CDBD3E7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Šis vaistas, kaip ir visi kiti, gali sukelti šalutinį poveikį, nors jis pasireiškia ne visiems žmonėms.</w:t>
      </w:r>
    </w:p>
    <w:p w14:paraId="385D147E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65E7FBDD" w14:textId="77777777" w:rsidR="0024282E" w:rsidRPr="0024282E" w:rsidRDefault="0024282E" w:rsidP="0024282E">
      <w:pPr>
        <w:pStyle w:val="BTEMEASMCA"/>
      </w:pPr>
      <w:r w:rsidRPr="0024282E">
        <w:t>Nepageidaujamo poveikio dažnis apibūdinamas taip: labai dažnas ( ≥1/10), dažnas (nuo ≥1/100 iki &lt;1/10), nedažnas (nuo ≥1/1000 iki &lt;1/100), retas (nuo ≥1/10 000 iki &lt;1/1000), labai retas (</w:t>
      </w:r>
      <w:r w:rsidRPr="0024282E">
        <w:sym w:font="Symbol" w:char="F03C"/>
      </w:r>
      <w:r w:rsidRPr="0024282E">
        <w:t> 1/10 000), dažnis nežinomas (negali būti įvertintas pagal turimus duomenis).</w:t>
      </w:r>
    </w:p>
    <w:p w14:paraId="0FB6422D" w14:textId="77777777" w:rsidR="0024282E" w:rsidRPr="0024282E" w:rsidRDefault="0024282E" w:rsidP="0024282E">
      <w:pPr>
        <w:pStyle w:val="BTEMEASMCA"/>
      </w:pPr>
    </w:p>
    <w:p w14:paraId="5E15799C" w14:textId="77777777" w:rsidR="0024282E" w:rsidRPr="0024282E" w:rsidRDefault="0024282E" w:rsidP="0024282E">
      <w:pPr>
        <w:pStyle w:val="Pavadinimas"/>
        <w:spacing w:after="0"/>
        <w:rPr>
          <w:rFonts w:ascii="Times New Roman" w:hAnsi="Times New Roman" w:cs="Times New Roman"/>
          <w:b/>
          <w:i/>
          <w:noProof/>
          <w:sz w:val="22"/>
          <w:szCs w:val="22"/>
        </w:rPr>
      </w:pPr>
      <w:r w:rsidRPr="0024282E">
        <w:rPr>
          <w:rFonts w:ascii="Times New Roman" w:hAnsi="Times New Roman" w:cs="Times New Roman"/>
          <w:i/>
          <w:noProof/>
          <w:sz w:val="22"/>
          <w:szCs w:val="22"/>
        </w:rPr>
        <w:t>Imuninės sistemos sutrikimai</w:t>
      </w:r>
    </w:p>
    <w:p w14:paraId="78E73786" w14:textId="77777777" w:rsidR="0024282E" w:rsidRPr="0024282E" w:rsidRDefault="0024282E" w:rsidP="0024282E">
      <w:pPr>
        <w:pStyle w:val="PSURParagraph2"/>
        <w:jc w:val="left"/>
        <w:rPr>
          <w:sz w:val="22"/>
          <w:szCs w:val="22"/>
          <w:lang w:val="lt-LT"/>
        </w:rPr>
      </w:pPr>
      <w:r w:rsidRPr="0024282E">
        <w:rPr>
          <w:sz w:val="22"/>
          <w:szCs w:val="22"/>
          <w:lang w:val="lt-LT"/>
        </w:rPr>
        <w:t>Dažnis nežinomas:</w:t>
      </w:r>
      <w:r w:rsidRPr="0024282E">
        <w:rPr>
          <w:sz w:val="22"/>
          <w:szCs w:val="22"/>
          <w:lang w:val="lt-LT"/>
        </w:rPr>
        <w:tab/>
        <w:t>padidėjęs jautrumas.</w:t>
      </w:r>
    </w:p>
    <w:p w14:paraId="594A186C" w14:textId="77777777" w:rsidR="0024282E" w:rsidRPr="0024282E" w:rsidRDefault="0024282E" w:rsidP="0024282E">
      <w:pPr>
        <w:pStyle w:val="Pavadinimas"/>
        <w:spacing w:after="0"/>
        <w:rPr>
          <w:rFonts w:ascii="Times New Roman" w:hAnsi="Times New Roman" w:cs="Times New Roman"/>
          <w:b/>
          <w:i/>
          <w:noProof/>
          <w:sz w:val="22"/>
          <w:szCs w:val="22"/>
        </w:rPr>
      </w:pPr>
    </w:p>
    <w:p w14:paraId="0A97D41C" w14:textId="77777777" w:rsidR="0024282E" w:rsidRPr="0024282E" w:rsidRDefault="0024282E" w:rsidP="0024282E">
      <w:pPr>
        <w:pStyle w:val="Pavadinimas"/>
        <w:spacing w:after="0"/>
        <w:rPr>
          <w:rFonts w:ascii="Times New Roman" w:hAnsi="Times New Roman" w:cs="Times New Roman"/>
          <w:b/>
          <w:i/>
          <w:noProof/>
          <w:sz w:val="22"/>
          <w:szCs w:val="22"/>
        </w:rPr>
      </w:pPr>
      <w:r w:rsidRPr="0024282E">
        <w:rPr>
          <w:rFonts w:ascii="Times New Roman" w:hAnsi="Times New Roman" w:cs="Times New Roman"/>
          <w:i/>
          <w:noProof/>
          <w:sz w:val="22"/>
          <w:szCs w:val="22"/>
        </w:rPr>
        <w:t>Metabolizmo ir mitybos sutrikimai</w:t>
      </w:r>
    </w:p>
    <w:p w14:paraId="7DB0E6B9" w14:textId="77777777" w:rsidR="0024282E" w:rsidRPr="0024282E" w:rsidRDefault="0024282E" w:rsidP="0024282E">
      <w:pPr>
        <w:pStyle w:val="PSURParagraph2"/>
        <w:jc w:val="left"/>
        <w:rPr>
          <w:sz w:val="22"/>
          <w:szCs w:val="22"/>
          <w:lang w:val="lt-LT"/>
        </w:rPr>
      </w:pPr>
      <w:r w:rsidRPr="0024282E">
        <w:rPr>
          <w:sz w:val="22"/>
          <w:szCs w:val="22"/>
          <w:lang w:val="lt-LT"/>
        </w:rPr>
        <w:t>Dažni:</w:t>
      </w:r>
      <w:r w:rsidRPr="0024282E">
        <w:rPr>
          <w:sz w:val="22"/>
          <w:szCs w:val="22"/>
          <w:lang w:val="lt-LT"/>
        </w:rPr>
        <w:tab/>
        <w:t>padidėjęs kalcio kiekis kraujyje, tam tikras kalcio apytakos sutrikimas (</w:t>
      </w:r>
      <w:proofErr w:type="spellStart"/>
      <w:r w:rsidRPr="0024282E">
        <w:rPr>
          <w:sz w:val="22"/>
          <w:szCs w:val="22"/>
          <w:lang w:val="lt-LT"/>
        </w:rPr>
        <w:t>hiperkalciurija</w:t>
      </w:r>
      <w:proofErr w:type="spellEnd"/>
      <w:r w:rsidRPr="0024282E">
        <w:rPr>
          <w:sz w:val="22"/>
          <w:szCs w:val="22"/>
          <w:lang w:val="lt-LT"/>
        </w:rPr>
        <w:t>).</w:t>
      </w:r>
    </w:p>
    <w:p w14:paraId="06903C06" w14:textId="77777777" w:rsidR="0024282E" w:rsidRPr="0024282E" w:rsidRDefault="0024282E" w:rsidP="0024282E">
      <w:pPr>
        <w:pStyle w:val="PSURParagraph2"/>
        <w:jc w:val="left"/>
        <w:rPr>
          <w:sz w:val="22"/>
          <w:szCs w:val="22"/>
          <w:lang w:val="lt-LT"/>
        </w:rPr>
      </w:pPr>
      <w:r w:rsidRPr="0024282E">
        <w:rPr>
          <w:sz w:val="22"/>
          <w:szCs w:val="22"/>
          <w:lang w:val="lt-LT"/>
        </w:rPr>
        <w:t>Reti:</w:t>
      </w:r>
      <w:r w:rsidRPr="0024282E">
        <w:rPr>
          <w:sz w:val="22"/>
          <w:szCs w:val="22"/>
          <w:lang w:val="lt-LT"/>
        </w:rPr>
        <w:tab/>
        <w:t>tam tikras fosforo apykaitos sutrikimas (</w:t>
      </w:r>
      <w:proofErr w:type="spellStart"/>
      <w:r w:rsidRPr="0024282E">
        <w:rPr>
          <w:sz w:val="22"/>
          <w:szCs w:val="22"/>
          <w:lang w:val="lt-LT"/>
        </w:rPr>
        <w:t>hipofosfatemija</w:t>
      </w:r>
      <w:proofErr w:type="spellEnd"/>
      <w:r w:rsidRPr="0024282E">
        <w:rPr>
          <w:sz w:val="22"/>
          <w:szCs w:val="22"/>
          <w:lang w:val="lt-LT"/>
        </w:rPr>
        <w:t>).</w:t>
      </w:r>
    </w:p>
    <w:p w14:paraId="665B6C8C" w14:textId="77777777" w:rsidR="0024282E" w:rsidRPr="0024282E" w:rsidRDefault="0024282E" w:rsidP="0024282E">
      <w:pPr>
        <w:pStyle w:val="PSURParagraph2"/>
        <w:tabs>
          <w:tab w:val="clear" w:pos="1559"/>
          <w:tab w:val="left" w:pos="1995"/>
        </w:tabs>
        <w:jc w:val="left"/>
        <w:rPr>
          <w:sz w:val="22"/>
          <w:szCs w:val="22"/>
          <w:lang w:val="lt-LT"/>
        </w:rPr>
      </w:pPr>
      <w:r w:rsidRPr="0024282E">
        <w:rPr>
          <w:sz w:val="22"/>
          <w:szCs w:val="22"/>
          <w:lang w:val="lt-LT"/>
        </w:rPr>
        <w:tab/>
      </w:r>
      <w:r w:rsidRPr="0024282E">
        <w:rPr>
          <w:sz w:val="22"/>
          <w:szCs w:val="22"/>
          <w:lang w:val="lt-LT"/>
        </w:rPr>
        <w:tab/>
      </w:r>
    </w:p>
    <w:p w14:paraId="5C6023CE" w14:textId="77777777" w:rsidR="0024282E" w:rsidRPr="0024282E" w:rsidRDefault="0024282E" w:rsidP="0024282E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24282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6F4A73B8" w14:textId="77777777" w:rsidR="0024282E" w:rsidRPr="0024282E" w:rsidRDefault="0024282E" w:rsidP="0024282E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  <w:lang w:eastAsia="en-US"/>
        </w:rPr>
      </w:pPr>
      <w:r w:rsidRPr="0024282E">
        <w:rPr>
          <w:snapToGrid w:val="0"/>
          <w:szCs w:val="22"/>
          <w:lang w:eastAsia="en-US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24282E">
        <w:rPr>
          <w:snapToGrid w:val="0"/>
          <w:szCs w:val="22"/>
          <w:lang w:eastAsia="zh-CN"/>
        </w:rPr>
        <w:t>elefonu 8 800 73568</w:t>
      </w:r>
      <w:r w:rsidRPr="0024282E">
        <w:rPr>
          <w:snapToGrid w:val="0"/>
          <w:szCs w:val="22"/>
          <w:lang w:eastAsia="en-US"/>
        </w:rPr>
        <w:t xml:space="preserve"> arba užpildyti interneto svetainėje </w:t>
      </w:r>
      <w:hyperlink r:id="rId5" w:history="1">
        <w:r w:rsidRPr="0024282E">
          <w:rPr>
            <w:rFonts w:eastAsia="SimSun"/>
            <w:snapToGrid w:val="0"/>
            <w:szCs w:val="22"/>
            <w:u w:val="single"/>
            <w:lang w:eastAsia="en-US"/>
          </w:rPr>
          <w:t>www.vvkt.lt</w:t>
        </w:r>
      </w:hyperlink>
      <w:r w:rsidRPr="0024282E">
        <w:rPr>
          <w:snapToGrid w:val="0"/>
          <w:szCs w:val="22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4282E">
        <w:rPr>
          <w:snapToGrid w:val="0"/>
          <w:szCs w:val="22"/>
          <w:lang w:eastAsia="zh-CN"/>
        </w:rPr>
        <w:t xml:space="preserve">nemokamu </w:t>
      </w:r>
      <w:r w:rsidRPr="0024282E">
        <w:rPr>
          <w:snapToGrid w:val="0"/>
          <w:szCs w:val="22"/>
          <w:lang w:eastAsia="en-US"/>
        </w:rPr>
        <w:t>fakso numeriu 8 800 20131</w:t>
      </w:r>
      <w:r w:rsidRPr="0024282E">
        <w:rPr>
          <w:snapToGrid w:val="0"/>
          <w:szCs w:val="22"/>
          <w:lang w:eastAsia="zh-CN"/>
        </w:rPr>
        <w:t xml:space="preserve">, </w:t>
      </w:r>
      <w:r w:rsidRPr="0024282E">
        <w:rPr>
          <w:snapToGrid w:val="0"/>
          <w:szCs w:val="22"/>
          <w:lang w:eastAsia="en-US"/>
        </w:rPr>
        <w:t xml:space="preserve">el. paštu </w:t>
      </w:r>
      <w:hyperlink r:id="rId6" w:history="1">
        <w:r w:rsidRPr="0024282E">
          <w:rPr>
            <w:rFonts w:eastAsia="SimSun"/>
            <w:snapToGrid w:val="0"/>
            <w:szCs w:val="22"/>
            <w:u w:val="single"/>
            <w:lang w:eastAsia="en-US"/>
          </w:rPr>
          <w:t>NepageidaujamaR@vvkt.lt</w:t>
        </w:r>
      </w:hyperlink>
      <w:r w:rsidRPr="0024282E">
        <w:rPr>
          <w:snapToGrid w:val="0"/>
          <w:szCs w:val="22"/>
          <w:lang w:eastAsia="en-US"/>
        </w:rPr>
        <w:t xml:space="preserve">, taip pat </w:t>
      </w:r>
      <w:r w:rsidRPr="0024282E">
        <w:rPr>
          <w:snapToGrid w:val="0"/>
          <w:szCs w:val="22"/>
          <w:lang w:eastAsia="en-US"/>
        </w:rPr>
        <w:lastRenderedPageBreak/>
        <w:t xml:space="preserve">per Valstybinės vaistų kontrolės tarnybos prie Lietuvos Respublikos sveikatos apsaugos ministerijos interneto svetainę (adresu </w:t>
      </w:r>
      <w:hyperlink r:id="rId7" w:history="1">
        <w:r w:rsidRPr="0024282E">
          <w:rPr>
            <w:rFonts w:eastAsia="SimSun"/>
            <w:snapToGrid w:val="0"/>
            <w:szCs w:val="22"/>
            <w:u w:val="single"/>
            <w:lang w:eastAsia="en-US"/>
          </w:rPr>
          <w:t>http://www.vvkt.lt</w:t>
        </w:r>
      </w:hyperlink>
      <w:r w:rsidRPr="0024282E">
        <w:rPr>
          <w:snapToGrid w:val="0"/>
          <w:szCs w:val="22"/>
          <w:lang w:eastAsia="en-US"/>
        </w:rPr>
        <w:t>). Pranešdami apie šalutinį poveikį galite mums padėti gauti daugiau informacijos apie šio vaisto saugumą.</w:t>
      </w:r>
    </w:p>
    <w:p w14:paraId="16464A8A" w14:textId="77777777" w:rsidR="0024282E" w:rsidRPr="0024282E" w:rsidRDefault="0024282E" w:rsidP="0024282E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  <w:lang w:eastAsia="en-US"/>
        </w:rPr>
      </w:pPr>
    </w:p>
    <w:p w14:paraId="21A64ACE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3907CEF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laikyti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Alfacalcidol</w:t>
      </w:r>
      <w:proofErr w:type="spellEnd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Zentiva</w:t>
      </w:r>
      <w:proofErr w:type="spellEnd"/>
    </w:p>
    <w:p w14:paraId="591583DC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970811D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Šį vaistą laikykite vaikams nepastebimoje ir nepasiekiamoje vietoje.</w:t>
      </w:r>
    </w:p>
    <w:p w14:paraId="5C16087B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54503372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Laikyti ne aukštesnėje kaip 25 </w:t>
      </w:r>
      <w:r w:rsidRPr="0024282E">
        <w:rPr>
          <w:sz w:val="22"/>
          <w:szCs w:val="22"/>
        </w:rPr>
        <w:sym w:font="Symbol" w:char="F0B0"/>
      </w:r>
      <w:r w:rsidRPr="0024282E">
        <w:rPr>
          <w:sz w:val="22"/>
          <w:szCs w:val="22"/>
        </w:rPr>
        <w:t>C temperatūroje.</w:t>
      </w:r>
    </w:p>
    <w:p w14:paraId="23D2714F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5B51B5D2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Ant dėžutės ir tablečių </w:t>
      </w:r>
      <w:proofErr w:type="spellStart"/>
      <w:r w:rsidRPr="0024282E">
        <w:rPr>
          <w:sz w:val="22"/>
          <w:szCs w:val="22"/>
        </w:rPr>
        <w:t>talpyklės</w:t>
      </w:r>
      <w:proofErr w:type="spellEnd"/>
      <w:r w:rsidRPr="0024282E">
        <w:rPr>
          <w:sz w:val="22"/>
          <w:szCs w:val="22"/>
        </w:rPr>
        <w:t xml:space="preserve"> po EXP ar ant lizdinės plokštelės nurodytam tinkamumo laikui pasibaigus, </w:t>
      </w:r>
      <w:r w:rsidRPr="0024282E">
        <w:rPr>
          <w:bCs/>
          <w:iCs/>
          <w:sz w:val="22"/>
          <w:szCs w:val="22"/>
        </w:rPr>
        <w:t>šio vaisto</w:t>
      </w:r>
      <w:r w:rsidRPr="0024282E" w:rsidDel="009D1643">
        <w:rPr>
          <w:sz w:val="22"/>
          <w:szCs w:val="22"/>
        </w:rPr>
        <w:t xml:space="preserve"> </w:t>
      </w:r>
      <w:r w:rsidRPr="0024282E">
        <w:rPr>
          <w:sz w:val="22"/>
          <w:szCs w:val="22"/>
        </w:rPr>
        <w:t>vartoti negalima. Vaistas tinkamas vartoti iki paskutinės nurodyto mėnesio dienos.</w:t>
      </w:r>
    </w:p>
    <w:p w14:paraId="68B91620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1F92A57D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57E37A6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4CDBEB5B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2BE0DA67" w14:textId="77777777" w:rsidR="0024282E" w:rsidRPr="0024282E" w:rsidRDefault="0024282E" w:rsidP="0024282E">
      <w:pPr>
        <w:pStyle w:val="Antrat2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24282E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Pakuotės turinys ir kita informacija</w:t>
      </w:r>
    </w:p>
    <w:p w14:paraId="6C275AD0" w14:textId="77777777" w:rsidR="0024282E" w:rsidRPr="0024282E" w:rsidRDefault="0024282E" w:rsidP="0024282E">
      <w:pPr>
        <w:rPr>
          <w:szCs w:val="22"/>
        </w:rPr>
      </w:pPr>
    </w:p>
    <w:p w14:paraId="3CD3BCA6" w14:textId="77777777" w:rsidR="0024282E" w:rsidRPr="0024282E" w:rsidRDefault="0024282E" w:rsidP="0024282E">
      <w:pPr>
        <w:pStyle w:val="Pagrindinistekstas"/>
        <w:spacing w:after="0"/>
        <w:rPr>
          <w:b/>
          <w:sz w:val="22"/>
          <w:szCs w:val="22"/>
        </w:rPr>
      </w:pPr>
      <w:proofErr w:type="spellStart"/>
      <w:r w:rsidRPr="0024282E">
        <w:rPr>
          <w:b/>
          <w:bCs/>
          <w:sz w:val="22"/>
          <w:szCs w:val="22"/>
        </w:rPr>
        <w:t>Alfacalcidol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Zentiva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r w:rsidRPr="0024282E">
        <w:rPr>
          <w:b/>
          <w:bCs/>
          <w:iCs/>
          <w:sz w:val="22"/>
          <w:szCs w:val="22"/>
        </w:rPr>
        <w:t>0,25 </w:t>
      </w:r>
      <w:proofErr w:type="spellStart"/>
      <w:r w:rsidRPr="0024282E">
        <w:rPr>
          <w:b/>
          <w:bCs/>
          <w:iCs/>
          <w:sz w:val="22"/>
          <w:szCs w:val="22"/>
        </w:rPr>
        <w:t>mikrogramo</w:t>
      </w:r>
      <w:proofErr w:type="spellEnd"/>
      <w:r w:rsidRPr="0024282E">
        <w:rPr>
          <w:b/>
          <w:bCs/>
          <w:iCs/>
          <w:sz w:val="22"/>
          <w:szCs w:val="22"/>
        </w:rPr>
        <w:t xml:space="preserve"> sudėtis</w:t>
      </w:r>
    </w:p>
    <w:p w14:paraId="21F8F31D" w14:textId="77777777" w:rsidR="0024282E" w:rsidRPr="0024282E" w:rsidRDefault="0024282E" w:rsidP="0024282E">
      <w:pPr>
        <w:pStyle w:val="Pagrindinistekstas"/>
        <w:numPr>
          <w:ilvl w:val="0"/>
          <w:numId w:val="1"/>
        </w:numPr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Veiklioji medžiaga yra </w:t>
      </w:r>
      <w:proofErr w:type="spellStart"/>
      <w:r w:rsidRPr="0024282E">
        <w:rPr>
          <w:sz w:val="22"/>
          <w:szCs w:val="22"/>
        </w:rPr>
        <w:t>alfakalcidolis</w:t>
      </w:r>
      <w:proofErr w:type="spellEnd"/>
      <w:r w:rsidRPr="0024282E">
        <w:rPr>
          <w:sz w:val="22"/>
          <w:szCs w:val="22"/>
        </w:rPr>
        <w:t>. Kiekvienoje minkštojoje kapsulėje yra 0,25 </w:t>
      </w:r>
      <w:proofErr w:type="spellStart"/>
      <w:r w:rsidRPr="0024282E">
        <w:rPr>
          <w:sz w:val="22"/>
          <w:szCs w:val="22"/>
        </w:rPr>
        <w:t>mikrogramo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alfakalcidolio</w:t>
      </w:r>
      <w:proofErr w:type="spellEnd"/>
      <w:r w:rsidRPr="0024282E">
        <w:rPr>
          <w:sz w:val="22"/>
          <w:szCs w:val="22"/>
        </w:rPr>
        <w:t xml:space="preserve">. </w:t>
      </w:r>
    </w:p>
    <w:p w14:paraId="66936BF6" w14:textId="77777777" w:rsidR="0024282E" w:rsidRPr="0024282E" w:rsidRDefault="0024282E" w:rsidP="0024282E">
      <w:pPr>
        <w:pStyle w:val="Pagrindinistekstas"/>
        <w:numPr>
          <w:ilvl w:val="0"/>
          <w:numId w:val="1"/>
        </w:numPr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Pagalbinės medžiagos</w:t>
      </w:r>
      <w:r w:rsidRPr="0024282E">
        <w:rPr>
          <w:i/>
          <w:sz w:val="22"/>
          <w:szCs w:val="22"/>
        </w:rPr>
        <w:t xml:space="preserve"> </w:t>
      </w:r>
      <w:r w:rsidRPr="0024282E">
        <w:rPr>
          <w:sz w:val="22"/>
          <w:szCs w:val="22"/>
        </w:rPr>
        <w:t xml:space="preserve">kapsulės turinyje yra citrinų rūgštis, </w:t>
      </w:r>
      <w:proofErr w:type="spellStart"/>
      <w:r w:rsidRPr="0024282E">
        <w:rPr>
          <w:sz w:val="22"/>
          <w:szCs w:val="22"/>
        </w:rPr>
        <w:t>propilo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galatas</w:t>
      </w:r>
      <w:proofErr w:type="spellEnd"/>
      <w:r w:rsidRPr="0024282E">
        <w:rPr>
          <w:sz w:val="22"/>
          <w:szCs w:val="22"/>
        </w:rPr>
        <w:t xml:space="preserve">, visų </w:t>
      </w:r>
      <w:proofErr w:type="spellStart"/>
      <w:r w:rsidRPr="0024282E">
        <w:rPr>
          <w:sz w:val="22"/>
          <w:szCs w:val="22"/>
        </w:rPr>
        <w:t>racematų</w:t>
      </w:r>
      <w:proofErr w:type="spellEnd"/>
      <w:r w:rsidRPr="0024282E">
        <w:rPr>
          <w:sz w:val="22"/>
          <w:szCs w:val="22"/>
        </w:rPr>
        <w:t xml:space="preserve"> alfa </w:t>
      </w:r>
      <w:proofErr w:type="spellStart"/>
      <w:r w:rsidRPr="0024282E">
        <w:rPr>
          <w:sz w:val="22"/>
          <w:szCs w:val="22"/>
        </w:rPr>
        <w:t>tokoferolis</w:t>
      </w:r>
      <w:proofErr w:type="spellEnd"/>
      <w:r w:rsidRPr="0024282E">
        <w:rPr>
          <w:sz w:val="22"/>
          <w:szCs w:val="22"/>
        </w:rPr>
        <w:t xml:space="preserve">, bevandenis etanolis, žemės riešutų aliejus; kapsulės apvalkale - želatina, 85 % </w:t>
      </w:r>
      <w:proofErr w:type="spellStart"/>
      <w:r w:rsidRPr="0024282E">
        <w:rPr>
          <w:sz w:val="22"/>
          <w:szCs w:val="22"/>
        </w:rPr>
        <w:t>glicerolis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i/>
          <w:sz w:val="22"/>
          <w:szCs w:val="22"/>
        </w:rPr>
        <w:t>Anidrisorb</w:t>
      </w:r>
      <w:proofErr w:type="spellEnd"/>
      <w:r w:rsidRPr="0024282E">
        <w:rPr>
          <w:i/>
          <w:sz w:val="22"/>
          <w:szCs w:val="22"/>
        </w:rPr>
        <w:t xml:space="preserve"> 85/70</w:t>
      </w:r>
      <w:r w:rsidRPr="0024282E">
        <w:rPr>
          <w:sz w:val="22"/>
          <w:szCs w:val="22"/>
        </w:rPr>
        <w:t xml:space="preserve"> (sudėtyje yra </w:t>
      </w:r>
      <w:proofErr w:type="spellStart"/>
      <w:r w:rsidRPr="0024282E">
        <w:rPr>
          <w:sz w:val="22"/>
          <w:szCs w:val="22"/>
        </w:rPr>
        <w:t>sorbitolio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sz w:val="22"/>
          <w:szCs w:val="22"/>
        </w:rPr>
        <w:t>sorbitano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sz w:val="22"/>
          <w:szCs w:val="22"/>
        </w:rPr>
        <w:t>manitolio</w:t>
      </w:r>
      <w:proofErr w:type="spellEnd"/>
      <w:r w:rsidRPr="0024282E">
        <w:rPr>
          <w:sz w:val="22"/>
          <w:szCs w:val="22"/>
        </w:rPr>
        <w:t xml:space="preserve">), raudonasis geležies oksidas (E172); spausdinimo rašale - </w:t>
      </w:r>
      <w:proofErr w:type="spellStart"/>
      <w:r w:rsidRPr="0024282E">
        <w:rPr>
          <w:i/>
          <w:sz w:val="22"/>
          <w:szCs w:val="22"/>
        </w:rPr>
        <w:t>Opacode</w:t>
      </w:r>
      <w:proofErr w:type="spellEnd"/>
      <w:r w:rsidRPr="0024282E">
        <w:rPr>
          <w:i/>
          <w:sz w:val="22"/>
          <w:szCs w:val="22"/>
        </w:rPr>
        <w:t xml:space="preserve"> S-127794 arba S-117823</w:t>
      </w:r>
      <w:r w:rsidRPr="0024282E">
        <w:rPr>
          <w:sz w:val="22"/>
          <w:szCs w:val="22"/>
        </w:rPr>
        <w:t xml:space="preserve"> (sudėtyje yra juodojo geležies oksido (E172)).</w:t>
      </w:r>
    </w:p>
    <w:p w14:paraId="40A1A0B2" w14:textId="77777777" w:rsidR="0024282E" w:rsidRPr="0024282E" w:rsidRDefault="0024282E" w:rsidP="0024282E">
      <w:pPr>
        <w:pStyle w:val="Pagrindinistekstas"/>
        <w:spacing w:after="0"/>
        <w:ind w:left="360"/>
        <w:rPr>
          <w:sz w:val="22"/>
          <w:szCs w:val="22"/>
        </w:rPr>
      </w:pPr>
    </w:p>
    <w:p w14:paraId="139EAED3" w14:textId="77777777" w:rsidR="0024282E" w:rsidRPr="0024282E" w:rsidRDefault="0024282E" w:rsidP="0024282E">
      <w:pPr>
        <w:pStyle w:val="Pagrindinistekstas"/>
        <w:spacing w:after="0"/>
        <w:rPr>
          <w:bCs/>
          <w:iCs/>
          <w:sz w:val="22"/>
          <w:szCs w:val="22"/>
        </w:rPr>
      </w:pPr>
      <w:proofErr w:type="spellStart"/>
      <w:r w:rsidRPr="0024282E">
        <w:rPr>
          <w:b/>
          <w:bCs/>
          <w:sz w:val="22"/>
          <w:szCs w:val="22"/>
        </w:rPr>
        <w:t>Alfacalcidol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Zentiva</w:t>
      </w:r>
      <w:proofErr w:type="spellEnd"/>
      <w:r w:rsidRPr="0024282E">
        <w:rPr>
          <w:sz w:val="22"/>
          <w:szCs w:val="22"/>
        </w:rPr>
        <w:t xml:space="preserve"> </w:t>
      </w:r>
      <w:r w:rsidRPr="0024282E">
        <w:rPr>
          <w:b/>
          <w:bCs/>
          <w:iCs/>
          <w:sz w:val="22"/>
          <w:szCs w:val="22"/>
        </w:rPr>
        <w:t>1 </w:t>
      </w:r>
      <w:proofErr w:type="spellStart"/>
      <w:r w:rsidRPr="0024282E">
        <w:rPr>
          <w:b/>
          <w:bCs/>
          <w:iCs/>
          <w:sz w:val="22"/>
          <w:szCs w:val="22"/>
        </w:rPr>
        <w:t>mikrogramas</w:t>
      </w:r>
      <w:proofErr w:type="spellEnd"/>
      <w:r w:rsidRPr="0024282E">
        <w:rPr>
          <w:bCs/>
          <w:iCs/>
          <w:sz w:val="22"/>
          <w:szCs w:val="22"/>
        </w:rPr>
        <w:t xml:space="preserve"> </w:t>
      </w:r>
      <w:r w:rsidRPr="0024282E">
        <w:rPr>
          <w:b/>
          <w:bCs/>
          <w:iCs/>
          <w:sz w:val="22"/>
          <w:szCs w:val="22"/>
        </w:rPr>
        <w:t>sudėtis</w:t>
      </w:r>
    </w:p>
    <w:p w14:paraId="49A5862E" w14:textId="77777777" w:rsidR="0024282E" w:rsidRPr="0024282E" w:rsidRDefault="0024282E" w:rsidP="0024282E">
      <w:pPr>
        <w:pStyle w:val="Pagrindinistekstas"/>
        <w:numPr>
          <w:ilvl w:val="0"/>
          <w:numId w:val="1"/>
        </w:numPr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Veiklioji medžiaga yra </w:t>
      </w:r>
      <w:proofErr w:type="spellStart"/>
      <w:r w:rsidRPr="0024282E">
        <w:rPr>
          <w:sz w:val="22"/>
          <w:szCs w:val="22"/>
        </w:rPr>
        <w:t>alfakalcidolis</w:t>
      </w:r>
      <w:proofErr w:type="spellEnd"/>
      <w:r w:rsidRPr="0024282E">
        <w:rPr>
          <w:sz w:val="22"/>
          <w:szCs w:val="22"/>
        </w:rPr>
        <w:t>. Kiekvienoje minkštojoje kapsulėje yra 1 </w:t>
      </w:r>
      <w:proofErr w:type="spellStart"/>
      <w:r w:rsidRPr="0024282E">
        <w:rPr>
          <w:sz w:val="22"/>
          <w:szCs w:val="22"/>
        </w:rPr>
        <w:t>mikrogramas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alfakalcidolio</w:t>
      </w:r>
      <w:proofErr w:type="spellEnd"/>
      <w:r w:rsidRPr="0024282E">
        <w:rPr>
          <w:sz w:val="22"/>
          <w:szCs w:val="22"/>
        </w:rPr>
        <w:t xml:space="preserve">. </w:t>
      </w:r>
    </w:p>
    <w:p w14:paraId="6E196F05" w14:textId="77777777" w:rsidR="0024282E" w:rsidRPr="0024282E" w:rsidRDefault="0024282E" w:rsidP="0024282E">
      <w:pPr>
        <w:pStyle w:val="Pagrindinistekstas"/>
        <w:numPr>
          <w:ilvl w:val="0"/>
          <w:numId w:val="1"/>
        </w:numPr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Pagalbinės medžiagos</w:t>
      </w:r>
      <w:r w:rsidRPr="0024282E">
        <w:rPr>
          <w:i/>
          <w:sz w:val="22"/>
          <w:szCs w:val="22"/>
        </w:rPr>
        <w:t xml:space="preserve"> </w:t>
      </w:r>
      <w:r w:rsidRPr="0024282E">
        <w:rPr>
          <w:sz w:val="22"/>
          <w:szCs w:val="22"/>
        </w:rPr>
        <w:t xml:space="preserve">kapsulės turinyje yra citrinų rūgštis, </w:t>
      </w:r>
      <w:proofErr w:type="spellStart"/>
      <w:r w:rsidRPr="0024282E">
        <w:rPr>
          <w:sz w:val="22"/>
          <w:szCs w:val="22"/>
        </w:rPr>
        <w:t>propilo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galatas</w:t>
      </w:r>
      <w:proofErr w:type="spellEnd"/>
      <w:r w:rsidRPr="0024282E">
        <w:rPr>
          <w:sz w:val="22"/>
          <w:szCs w:val="22"/>
        </w:rPr>
        <w:t xml:space="preserve">, visų </w:t>
      </w:r>
      <w:proofErr w:type="spellStart"/>
      <w:r w:rsidRPr="0024282E">
        <w:rPr>
          <w:sz w:val="22"/>
          <w:szCs w:val="22"/>
        </w:rPr>
        <w:t>racematų</w:t>
      </w:r>
      <w:proofErr w:type="spellEnd"/>
      <w:r w:rsidRPr="0024282E">
        <w:rPr>
          <w:sz w:val="22"/>
          <w:szCs w:val="22"/>
        </w:rPr>
        <w:t xml:space="preserve"> alfa </w:t>
      </w:r>
      <w:proofErr w:type="spellStart"/>
      <w:r w:rsidRPr="0024282E">
        <w:rPr>
          <w:sz w:val="22"/>
          <w:szCs w:val="22"/>
        </w:rPr>
        <w:t>tokoferolis</w:t>
      </w:r>
      <w:proofErr w:type="spellEnd"/>
      <w:r w:rsidRPr="0024282E">
        <w:rPr>
          <w:sz w:val="22"/>
          <w:szCs w:val="22"/>
        </w:rPr>
        <w:t xml:space="preserve">, bevandenis etanolis, žemės riešutų aliejus; kapsulės apvalkale - želatina, 85 % </w:t>
      </w:r>
      <w:proofErr w:type="spellStart"/>
      <w:r w:rsidRPr="0024282E">
        <w:rPr>
          <w:sz w:val="22"/>
          <w:szCs w:val="22"/>
        </w:rPr>
        <w:t>glicerolis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i/>
          <w:sz w:val="22"/>
          <w:szCs w:val="22"/>
        </w:rPr>
        <w:t>Anidrisorb</w:t>
      </w:r>
      <w:proofErr w:type="spellEnd"/>
      <w:r w:rsidRPr="0024282E">
        <w:rPr>
          <w:i/>
          <w:sz w:val="22"/>
          <w:szCs w:val="22"/>
        </w:rPr>
        <w:t xml:space="preserve"> 85/70</w:t>
      </w:r>
      <w:r w:rsidRPr="0024282E">
        <w:rPr>
          <w:sz w:val="22"/>
          <w:szCs w:val="22"/>
        </w:rPr>
        <w:t xml:space="preserve"> (sudėtyje yra </w:t>
      </w:r>
      <w:proofErr w:type="spellStart"/>
      <w:r w:rsidRPr="0024282E">
        <w:rPr>
          <w:sz w:val="22"/>
          <w:szCs w:val="22"/>
        </w:rPr>
        <w:t>sorbitolio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sz w:val="22"/>
          <w:szCs w:val="22"/>
        </w:rPr>
        <w:t>sorbitano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sz w:val="22"/>
          <w:szCs w:val="22"/>
        </w:rPr>
        <w:t>manitolio</w:t>
      </w:r>
      <w:proofErr w:type="spellEnd"/>
      <w:r w:rsidRPr="0024282E">
        <w:rPr>
          <w:sz w:val="22"/>
          <w:szCs w:val="22"/>
        </w:rPr>
        <w:t xml:space="preserve">), geltonasis geležies oksidas (E172), titano dioksidas (E171); spausdinimo rašale - </w:t>
      </w:r>
      <w:proofErr w:type="spellStart"/>
      <w:r w:rsidRPr="0024282E">
        <w:rPr>
          <w:i/>
          <w:sz w:val="22"/>
          <w:szCs w:val="22"/>
        </w:rPr>
        <w:t>Opacode</w:t>
      </w:r>
      <w:proofErr w:type="spellEnd"/>
      <w:r w:rsidRPr="0024282E">
        <w:rPr>
          <w:i/>
          <w:sz w:val="22"/>
          <w:szCs w:val="22"/>
        </w:rPr>
        <w:t xml:space="preserve"> S-127794 arba S-117823</w:t>
      </w:r>
      <w:r w:rsidRPr="0024282E">
        <w:rPr>
          <w:sz w:val="22"/>
          <w:szCs w:val="22"/>
        </w:rPr>
        <w:t xml:space="preserve"> (sudėtyje yra juodojo geležies oksido (E172)).</w:t>
      </w:r>
    </w:p>
    <w:p w14:paraId="60C50AA0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235870D" w14:textId="77777777" w:rsidR="0024282E" w:rsidRPr="0024282E" w:rsidRDefault="0024282E" w:rsidP="0024282E">
      <w:pPr>
        <w:pStyle w:val="Pagrindinistekstas"/>
        <w:spacing w:after="0"/>
        <w:rPr>
          <w:b/>
          <w:bCs/>
          <w:iCs/>
          <w:sz w:val="22"/>
          <w:szCs w:val="22"/>
        </w:rPr>
      </w:pPr>
      <w:proofErr w:type="spellStart"/>
      <w:r w:rsidRPr="0024282E">
        <w:rPr>
          <w:b/>
          <w:bCs/>
          <w:sz w:val="22"/>
          <w:szCs w:val="22"/>
        </w:rPr>
        <w:t>Alfacalcidol</w:t>
      </w:r>
      <w:proofErr w:type="spellEnd"/>
      <w:r w:rsidRPr="0024282E">
        <w:rPr>
          <w:b/>
          <w:bCs/>
          <w:sz w:val="22"/>
          <w:szCs w:val="22"/>
        </w:rPr>
        <w:t xml:space="preserve"> </w:t>
      </w:r>
      <w:proofErr w:type="spellStart"/>
      <w:r w:rsidRPr="0024282E">
        <w:rPr>
          <w:b/>
          <w:bCs/>
          <w:sz w:val="22"/>
          <w:szCs w:val="22"/>
        </w:rPr>
        <w:t>Zentiva</w:t>
      </w:r>
      <w:proofErr w:type="spellEnd"/>
      <w:r w:rsidRPr="0024282E">
        <w:rPr>
          <w:b/>
          <w:bCs/>
          <w:iCs/>
          <w:sz w:val="22"/>
          <w:szCs w:val="22"/>
        </w:rPr>
        <w:t xml:space="preserve"> išvaizda ir kiekis pakuotėje</w:t>
      </w:r>
    </w:p>
    <w:p w14:paraId="5A8AB8EA" w14:textId="77777777" w:rsidR="0024282E" w:rsidRPr="0024282E" w:rsidRDefault="0024282E" w:rsidP="0024282E">
      <w:pPr>
        <w:pStyle w:val="Pagrindinistekstas"/>
        <w:spacing w:after="0"/>
        <w:rPr>
          <w:b/>
          <w:bCs/>
          <w:iCs/>
          <w:sz w:val="22"/>
          <w:szCs w:val="22"/>
        </w:rPr>
      </w:pPr>
    </w:p>
    <w:p w14:paraId="16E4D5E2" w14:textId="77777777" w:rsidR="0024282E" w:rsidRPr="0024282E" w:rsidRDefault="0024282E" w:rsidP="0024282E">
      <w:pPr>
        <w:pStyle w:val="BTEMEASMCA"/>
      </w:pPr>
      <w:r w:rsidRPr="0024282E">
        <w:t xml:space="preserve">Alfacalcidol Zentiva 0,25 mikrogramo minkštosios kapsulės </w:t>
      </w:r>
    </w:p>
    <w:p w14:paraId="63EE06A8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kern w:val="36"/>
          <w:sz w:val="22"/>
          <w:szCs w:val="22"/>
        </w:rPr>
        <w:t>Ovalios, matinės, rausvai rudos spalvos, minkštos kapsulės, vienoje pusėje juodais dažais atspausdinta ,,0.25“.</w:t>
      </w:r>
    </w:p>
    <w:p w14:paraId="3D8246C7" w14:textId="77777777" w:rsidR="0024282E" w:rsidRPr="0024282E" w:rsidRDefault="0024282E" w:rsidP="0024282E">
      <w:pPr>
        <w:pStyle w:val="BTEMEASMCA"/>
      </w:pPr>
      <w:r w:rsidRPr="0024282E">
        <w:t>Kartono dėžutėje yra 10, 30 arba 60 minkštųjų kapsulių didelio tankio polipropileno (DTPP) tablečių talpyklėje, kuri uždaryta polietileno (MTPE) dangteliu.</w:t>
      </w:r>
    </w:p>
    <w:p w14:paraId="49E221C6" w14:textId="77777777" w:rsidR="0024282E" w:rsidRPr="0024282E" w:rsidRDefault="0024282E" w:rsidP="0024282E">
      <w:pPr>
        <w:pStyle w:val="BTEMEASMCA"/>
      </w:pPr>
    </w:p>
    <w:p w14:paraId="03368ED6" w14:textId="77777777" w:rsidR="0024282E" w:rsidRPr="0024282E" w:rsidRDefault="0024282E" w:rsidP="0024282E">
      <w:pPr>
        <w:pStyle w:val="BTEMEASMCA"/>
      </w:pPr>
      <w:r w:rsidRPr="0024282E">
        <w:t xml:space="preserve">Alfacalcidol Zentiva 1 mikrogramas minkštosios kapsulės </w:t>
      </w:r>
    </w:p>
    <w:p w14:paraId="5F125C6A" w14:textId="77777777" w:rsidR="0024282E" w:rsidRPr="0024282E" w:rsidRDefault="0024282E" w:rsidP="0024282E">
      <w:pPr>
        <w:pStyle w:val="BTEMEASMCA"/>
      </w:pPr>
      <w:r w:rsidRPr="0024282E">
        <w:t>Ovalios, matinės, nuo kreminės iki dramblio kaulo spalvos, minkštos kapsulės, vienoje pusėje juodais dažais atspausdinta ,,1.0“.</w:t>
      </w:r>
    </w:p>
    <w:p w14:paraId="5E7042F2" w14:textId="77777777" w:rsidR="0024282E" w:rsidRPr="0024282E" w:rsidRDefault="0024282E" w:rsidP="0024282E">
      <w:pPr>
        <w:pStyle w:val="BTEMEASMCA"/>
      </w:pPr>
      <w:r w:rsidRPr="0024282E">
        <w:t>Kartono dėžutėje yra 10 minkštųjų kapsulių aliuminio/aliuminio lizdinėje plokštelėje.</w:t>
      </w:r>
    </w:p>
    <w:p w14:paraId="13C53919" w14:textId="77777777" w:rsidR="0024282E" w:rsidRPr="0024282E" w:rsidRDefault="0024282E" w:rsidP="0024282E">
      <w:pPr>
        <w:pStyle w:val="BTEMEASMCA"/>
      </w:pPr>
      <w:r w:rsidRPr="0024282E">
        <w:t>Kartono dėžutėje yra 10, 30 arba 60 minkštųjų kapsulių didelio tankio polipropileno (DTPP) tablečių talpyklėje (27 ml ir 42 ml talpos), kuri uždaryta mažo tankio polietileno (MTPE) dangteliu.</w:t>
      </w:r>
    </w:p>
    <w:p w14:paraId="102C3F3D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C82C1C2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0F4FE49B" w14:textId="77777777" w:rsidR="0024282E" w:rsidRPr="0024282E" w:rsidRDefault="0024282E" w:rsidP="0024282E">
      <w:pPr>
        <w:pStyle w:val="Pagrindinistekstas"/>
        <w:spacing w:after="0"/>
        <w:rPr>
          <w:b/>
          <w:bCs/>
          <w:sz w:val="22"/>
          <w:szCs w:val="22"/>
        </w:rPr>
      </w:pPr>
      <w:r w:rsidRPr="0024282E">
        <w:rPr>
          <w:b/>
          <w:bCs/>
          <w:sz w:val="22"/>
          <w:szCs w:val="22"/>
        </w:rPr>
        <w:t>Registruotojas ir gamintojas</w:t>
      </w:r>
    </w:p>
    <w:p w14:paraId="0701B979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6834FC0B" w14:textId="77777777" w:rsidR="0024282E" w:rsidRPr="0024282E" w:rsidRDefault="0024282E" w:rsidP="0024282E">
      <w:pPr>
        <w:pStyle w:val="Pagrindinistekstas"/>
        <w:spacing w:after="0"/>
        <w:rPr>
          <w:i/>
          <w:sz w:val="22"/>
          <w:szCs w:val="22"/>
        </w:rPr>
      </w:pPr>
      <w:r w:rsidRPr="0024282E">
        <w:rPr>
          <w:i/>
          <w:sz w:val="22"/>
          <w:szCs w:val="22"/>
        </w:rPr>
        <w:lastRenderedPageBreak/>
        <w:t>Registruotojas</w:t>
      </w:r>
    </w:p>
    <w:p w14:paraId="53B62ED3" w14:textId="77777777" w:rsidR="0024282E" w:rsidRPr="0024282E" w:rsidRDefault="0024282E" w:rsidP="0024282E">
      <w:pPr>
        <w:rPr>
          <w:szCs w:val="22"/>
        </w:rPr>
      </w:pPr>
      <w:proofErr w:type="spellStart"/>
      <w:r w:rsidRPr="0024282E">
        <w:rPr>
          <w:szCs w:val="22"/>
        </w:rPr>
        <w:t>Zentiva</w:t>
      </w:r>
      <w:proofErr w:type="spellEnd"/>
      <w:r w:rsidRPr="0024282E">
        <w:rPr>
          <w:szCs w:val="22"/>
        </w:rPr>
        <w:t xml:space="preserve">, </w:t>
      </w:r>
      <w:proofErr w:type="spellStart"/>
      <w:r w:rsidRPr="0024282E">
        <w:rPr>
          <w:szCs w:val="22"/>
        </w:rPr>
        <w:t>k.s</w:t>
      </w:r>
      <w:proofErr w:type="spellEnd"/>
      <w:r w:rsidRPr="0024282E">
        <w:rPr>
          <w:szCs w:val="22"/>
        </w:rPr>
        <w:t>.</w:t>
      </w:r>
    </w:p>
    <w:p w14:paraId="0F2F4606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 xml:space="preserve">U </w:t>
      </w:r>
      <w:proofErr w:type="spellStart"/>
      <w:r w:rsidRPr="0024282E">
        <w:rPr>
          <w:szCs w:val="22"/>
        </w:rPr>
        <w:t>kabelovny</w:t>
      </w:r>
      <w:proofErr w:type="spellEnd"/>
      <w:r w:rsidRPr="0024282E">
        <w:rPr>
          <w:szCs w:val="22"/>
        </w:rPr>
        <w:t xml:space="preserve"> 130</w:t>
      </w:r>
    </w:p>
    <w:p w14:paraId="239E00D7" w14:textId="77777777" w:rsidR="0024282E" w:rsidRPr="0024282E" w:rsidRDefault="0024282E" w:rsidP="0024282E">
      <w:pPr>
        <w:rPr>
          <w:szCs w:val="22"/>
        </w:rPr>
      </w:pPr>
      <w:proofErr w:type="spellStart"/>
      <w:r w:rsidRPr="0024282E">
        <w:rPr>
          <w:szCs w:val="22"/>
        </w:rPr>
        <w:t>Dolní</w:t>
      </w:r>
      <w:proofErr w:type="spellEnd"/>
      <w:r w:rsidRPr="0024282E">
        <w:rPr>
          <w:szCs w:val="22"/>
        </w:rPr>
        <w:t xml:space="preserve"> </w:t>
      </w:r>
      <w:proofErr w:type="spellStart"/>
      <w:r w:rsidRPr="0024282E">
        <w:rPr>
          <w:szCs w:val="22"/>
        </w:rPr>
        <w:t>Měcholupy</w:t>
      </w:r>
      <w:proofErr w:type="spellEnd"/>
    </w:p>
    <w:p w14:paraId="7F92F578" w14:textId="77777777" w:rsidR="0024282E" w:rsidRPr="0024282E" w:rsidRDefault="0024282E" w:rsidP="0024282E">
      <w:pPr>
        <w:rPr>
          <w:szCs w:val="22"/>
        </w:rPr>
      </w:pPr>
      <w:r w:rsidRPr="0024282E">
        <w:rPr>
          <w:szCs w:val="22"/>
        </w:rPr>
        <w:t>102 37 Praha 10</w:t>
      </w:r>
    </w:p>
    <w:p w14:paraId="43DFF3BB" w14:textId="77777777" w:rsidR="0024282E" w:rsidRPr="0024282E" w:rsidRDefault="0024282E" w:rsidP="0024282E">
      <w:pPr>
        <w:pStyle w:val="Pagrindinistekstas"/>
        <w:spacing w:after="0"/>
        <w:rPr>
          <w:kern w:val="36"/>
          <w:sz w:val="22"/>
          <w:szCs w:val="22"/>
        </w:rPr>
      </w:pPr>
      <w:r w:rsidRPr="0024282E">
        <w:rPr>
          <w:sz w:val="22"/>
          <w:szCs w:val="22"/>
        </w:rPr>
        <w:t>Čekija</w:t>
      </w:r>
      <w:r w:rsidRPr="0024282E" w:rsidDel="00B31477">
        <w:rPr>
          <w:sz w:val="22"/>
          <w:szCs w:val="22"/>
        </w:rPr>
        <w:t xml:space="preserve"> </w:t>
      </w:r>
    </w:p>
    <w:p w14:paraId="01961F95" w14:textId="77777777" w:rsidR="0024282E" w:rsidRPr="0024282E" w:rsidRDefault="0024282E" w:rsidP="0024282E">
      <w:pPr>
        <w:pStyle w:val="Pagrindinistekstas"/>
        <w:spacing w:after="0"/>
        <w:rPr>
          <w:b/>
          <w:sz w:val="22"/>
          <w:szCs w:val="22"/>
        </w:rPr>
      </w:pPr>
    </w:p>
    <w:p w14:paraId="77465804" w14:textId="77777777" w:rsidR="0024282E" w:rsidRPr="0024282E" w:rsidRDefault="0024282E" w:rsidP="0024282E">
      <w:pPr>
        <w:rPr>
          <w:bCs/>
          <w:i/>
          <w:szCs w:val="22"/>
        </w:rPr>
      </w:pPr>
      <w:r w:rsidRPr="0024282E">
        <w:rPr>
          <w:bCs/>
          <w:i/>
          <w:szCs w:val="22"/>
        </w:rPr>
        <w:t>Gamintojas</w:t>
      </w:r>
    </w:p>
    <w:p w14:paraId="60AB76D5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AENOVA ROMANIA S.R.L.</w:t>
      </w:r>
    </w:p>
    <w:p w14:paraId="2CFAA59E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 xml:space="preserve">Str. </w:t>
      </w:r>
      <w:proofErr w:type="spellStart"/>
      <w:r w:rsidRPr="0024282E">
        <w:rPr>
          <w:sz w:val="22"/>
          <w:szCs w:val="22"/>
        </w:rPr>
        <w:t>Carol</w:t>
      </w:r>
      <w:proofErr w:type="spellEnd"/>
      <w:r w:rsidRPr="0024282E">
        <w:rPr>
          <w:sz w:val="22"/>
          <w:szCs w:val="22"/>
        </w:rPr>
        <w:t xml:space="preserve"> I, </w:t>
      </w:r>
      <w:proofErr w:type="spellStart"/>
      <w:r w:rsidRPr="0024282E">
        <w:rPr>
          <w:sz w:val="22"/>
          <w:szCs w:val="22"/>
        </w:rPr>
        <w:t>nr.</w:t>
      </w:r>
      <w:proofErr w:type="spellEnd"/>
      <w:r w:rsidRPr="0024282E">
        <w:rPr>
          <w:sz w:val="22"/>
          <w:szCs w:val="22"/>
        </w:rPr>
        <w:t xml:space="preserve"> 20, </w:t>
      </w:r>
      <w:proofErr w:type="spellStart"/>
      <w:r w:rsidRPr="0024282E">
        <w:rPr>
          <w:sz w:val="22"/>
          <w:szCs w:val="22"/>
        </w:rPr>
        <w:t>Comuna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Cornu</w:t>
      </w:r>
      <w:proofErr w:type="spellEnd"/>
      <w:r w:rsidRPr="0024282E">
        <w:rPr>
          <w:sz w:val="22"/>
          <w:szCs w:val="22"/>
        </w:rPr>
        <w:t xml:space="preserve">  </w:t>
      </w:r>
    </w:p>
    <w:p w14:paraId="26B068E1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proofErr w:type="spellStart"/>
      <w:r w:rsidRPr="0024282E">
        <w:rPr>
          <w:sz w:val="22"/>
          <w:szCs w:val="22"/>
        </w:rPr>
        <w:t>Judet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Prahova</w:t>
      </w:r>
      <w:proofErr w:type="spellEnd"/>
      <w:r w:rsidRPr="0024282E">
        <w:rPr>
          <w:sz w:val="22"/>
          <w:szCs w:val="22"/>
        </w:rPr>
        <w:t xml:space="preserve">, </w:t>
      </w:r>
      <w:proofErr w:type="spellStart"/>
      <w:r w:rsidRPr="0024282E">
        <w:rPr>
          <w:sz w:val="22"/>
          <w:szCs w:val="22"/>
        </w:rPr>
        <w:t>cod</w:t>
      </w:r>
      <w:proofErr w:type="spellEnd"/>
      <w:r w:rsidRPr="0024282E">
        <w:rPr>
          <w:sz w:val="22"/>
          <w:szCs w:val="22"/>
        </w:rPr>
        <w:t xml:space="preserve"> </w:t>
      </w:r>
      <w:proofErr w:type="spellStart"/>
      <w:r w:rsidRPr="0024282E">
        <w:rPr>
          <w:sz w:val="22"/>
          <w:szCs w:val="22"/>
        </w:rPr>
        <w:t>postal</w:t>
      </w:r>
      <w:proofErr w:type="spellEnd"/>
      <w:r w:rsidRPr="0024282E">
        <w:rPr>
          <w:sz w:val="22"/>
          <w:szCs w:val="22"/>
        </w:rPr>
        <w:t xml:space="preserve"> 107180</w:t>
      </w:r>
    </w:p>
    <w:p w14:paraId="58B44858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sz w:val="22"/>
          <w:szCs w:val="22"/>
        </w:rPr>
        <w:t>Rumunija</w:t>
      </w:r>
    </w:p>
    <w:p w14:paraId="1748322F" w14:textId="77777777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</w:p>
    <w:p w14:paraId="47BA0339" w14:textId="58EB7A19" w:rsidR="0024282E" w:rsidRPr="0024282E" w:rsidRDefault="0024282E" w:rsidP="0024282E">
      <w:pPr>
        <w:pStyle w:val="Pagrindinistekstas"/>
        <w:spacing w:after="0"/>
        <w:rPr>
          <w:sz w:val="22"/>
          <w:szCs w:val="22"/>
        </w:rPr>
      </w:pPr>
      <w:r w:rsidRPr="0024282E">
        <w:rPr>
          <w:b/>
          <w:sz w:val="22"/>
          <w:szCs w:val="22"/>
        </w:rPr>
        <w:t>Šis pakuotės lapelis paskutinį kartą peržiūrėtas 2025-08-01</w:t>
      </w:r>
      <w:r>
        <w:rPr>
          <w:b/>
          <w:sz w:val="22"/>
          <w:szCs w:val="22"/>
        </w:rPr>
        <w:t>.</w:t>
      </w:r>
    </w:p>
    <w:p w14:paraId="461A8CDB" w14:textId="77777777" w:rsidR="0024282E" w:rsidRPr="0024282E" w:rsidRDefault="0024282E" w:rsidP="0024282E">
      <w:pPr>
        <w:rPr>
          <w:szCs w:val="22"/>
        </w:rPr>
      </w:pPr>
    </w:p>
    <w:p w14:paraId="039A7DA9" w14:textId="77777777" w:rsidR="0024282E" w:rsidRPr="0024282E" w:rsidRDefault="0024282E" w:rsidP="0024282E">
      <w:pPr>
        <w:rPr>
          <w:szCs w:val="22"/>
        </w:rPr>
      </w:pPr>
    </w:p>
    <w:p w14:paraId="58D3768A" w14:textId="77777777" w:rsidR="0024282E" w:rsidRPr="0024282E" w:rsidRDefault="0024282E" w:rsidP="0024282E">
      <w:pPr>
        <w:pStyle w:val="BTEMEASMCA"/>
      </w:pPr>
      <w:r w:rsidRPr="0024282E">
        <w:t>Išsami informacija apie šį vaistą pateikiama Valstybinės vaistų kontrolės tarnybos prie Lietuvos Respublikos sveikatos apsaugos ministerijos tinklalapyje</w:t>
      </w:r>
      <w:r w:rsidRPr="0024282E">
        <w:rPr>
          <w:noProof w:val="0"/>
        </w:rPr>
        <w:t xml:space="preserve"> </w:t>
      </w:r>
      <w:hyperlink r:id="rId8" w:history="1">
        <w:r w:rsidRPr="0024282E">
          <w:rPr>
            <w:rStyle w:val="Hipersaitas"/>
            <w:color w:val="auto"/>
          </w:rPr>
          <w:t>http://www.vvkt.lt/</w:t>
        </w:r>
      </w:hyperlink>
    </w:p>
    <w:p w14:paraId="4377642C" w14:textId="77777777" w:rsidR="0024282E" w:rsidRPr="0024282E" w:rsidRDefault="0024282E" w:rsidP="0024282E">
      <w:pPr>
        <w:rPr>
          <w:szCs w:val="22"/>
        </w:rPr>
      </w:pPr>
    </w:p>
    <w:p w14:paraId="564AD63B" w14:textId="77777777" w:rsidR="0024282E" w:rsidRPr="0024282E" w:rsidRDefault="0024282E" w:rsidP="0024282E">
      <w:pPr>
        <w:outlineLvl w:val="0"/>
        <w:rPr>
          <w:szCs w:val="22"/>
        </w:rPr>
      </w:pPr>
    </w:p>
    <w:p w14:paraId="7381BDED" w14:textId="77777777" w:rsidR="00222FED" w:rsidRPr="0024282E" w:rsidRDefault="00222FED" w:rsidP="0024282E">
      <w:pPr>
        <w:rPr>
          <w:szCs w:val="22"/>
        </w:rPr>
      </w:pPr>
    </w:p>
    <w:sectPr w:rsidR="00222FED" w:rsidRPr="0024282E" w:rsidSect="00242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49DB" w14:textId="77777777" w:rsidR="0024282E" w:rsidRDefault="0024282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3B2BAE" w14:textId="77777777" w:rsidR="0024282E" w:rsidRDefault="0024282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CBD8" w14:textId="77777777" w:rsidR="0024282E" w:rsidRDefault="0024282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3C6F20F8" w14:textId="77777777" w:rsidR="0024282E" w:rsidRDefault="0024282E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8501" w14:textId="77777777" w:rsidR="0024282E" w:rsidRDefault="002428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D21" w14:textId="77777777" w:rsidR="0024282E" w:rsidRDefault="0024282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E7FB" w14:textId="77777777" w:rsidR="0024282E" w:rsidRDefault="002428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B8C"/>
    <w:multiLevelType w:val="hybridMultilevel"/>
    <w:tmpl w:val="E668AFB4"/>
    <w:lvl w:ilvl="0" w:tplc="522E1EDA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D532A"/>
    <w:multiLevelType w:val="hybridMultilevel"/>
    <w:tmpl w:val="5540F064"/>
    <w:lvl w:ilvl="0" w:tplc="DFC879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60893"/>
    <w:multiLevelType w:val="hybridMultilevel"/>
    <w:tmpl w:val="507E58F4"/>
    <w:lvl w:ilvl="0" w:tplc="522E1EDA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06771">
    <w:abstractNumId w:val="0"/>
  </w:num>
  <w:num w:numId="2" w16cid:durableId="1872377899">
    <w:abstractNumId w:val="3"/>
  </w:num>
  <w:num w:numId="3" w16cid:durableId="807746188">
    <w:abstractNumId w:val="1"/>
  </w:num>
  <w:num w:numId="4" w16cid:durableId="15434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2E"/>
    <w:rsid w:val="001A7745"/>
    <w:rsid w:val="00222FED"/>
    <w:rsid w:val="0024282E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2E1C"/>
  <w15:chartTrackingRefBased/>
  <w15:docId w15:val="{2072918B-7E82-4130-906E-F3C238F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282E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2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4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242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2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2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28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28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28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28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2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42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2428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28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28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28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28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28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282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242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4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28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28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28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28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28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2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28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282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24282E"/>
    <w:pPr>
      <w:spacing w:after="120"/>
    </w:pPr>
    <w:rPr>
      <w:rFonts w:eastAsia="Calibri"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282E"/>
    <w:rPr>
      <w:rFonts w:eastAsia="Calibri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24282E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4282E"/>
    <w:rPr>
      <w:rFonts w:eastAsia="Calibri"/>
      <w:kern w:val="0"/>
      <w:sz w:val="20"/>
      <w:szCs w:val="20"/>
      <w:lang w:eastAsia="lt-LT"/>
      <w14:ligatures w14:val="none"/>
    </w:rPr>
  </w:style>
  <w:style w:type="character" w:styleId="Puslapionumeris">
    <w:name w:val="page number"/>
    <w:uiPriority w:val="99"/>
    <w:rsid w:val="0024282E"/>
    <w:rPr>
      <w:rFonts w:cs="Times New Roman"/>
    </w:rPr>
  </w:style>
  <w:style w:type="paragraph" w:customStyle="1" w:styleId="BT-EMEASMCA">
    <w:name w:val="BT- EMEA_SMCA"/>
    <w:basedOn w:val="prastasis"/>
    <w:autoRedefine/>
    <w:uiPriority w:val="99"/>
    <w:rsid w:val="0024282E"/>
    <w:pPr>
      <w:numPr>
        <w:numId w:val="3"/>
      </w:numPr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uiPriority w:val="99"/>
    <w:rsid w:val="0024282E"/>
    <w:rPr>
      <w:b/>
      <w:noProof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4282E"/>
    <w:rPr>
      <w:rFonts w:eastAsia="Calibri"/>
      <w:noProof/>
      <w:szCs w:val="22"/>
    </w:rPr>
  </w:style>
  <w:style w:type="paragraph" w:customStyle="1" w:styleId="PI-3EMEASMCA">
    <w:name w:val="PI-3 EMEA_SMCA"/>
    <w:basedOn w:val="prastasis"/>
    <w:autoRedefine/>
    <w:uiPriority w:val="99"/>
    <w:rsid w:val="0024282E"/>
    <w:pPr>
      <w:spacing w:line="220" w:lineRule="exact"/>
    </w:pPr>
    <w:rPr>
      <w:b/>
      <w:bCs/>
      <w:szCs w:val="22"/>
      <w:lang w:eastAsia="en-US"/>
    </w:rPr>
  </w:style>
  <w:style w:type="character" w:styleId="Hipersaitas">
    <w:name w:val="Hyperlink"/>
    <w:uiPriority w:val="99"/>
    <w:rsid w:val="0024282E"/>
    <w:rPr>
      <w:rFonts w:cs="Times New Roman"/>
      <w:color w:val="0000FF"/>
      <w:u w:val="single"/>
    </w:rPr>
  </w:style>
  <w:style w:type="character" w:customStyle="1" w:styleId="BTEMEASMCAChar">
    <w:name w:val="BT EMEA_SMCA Char"/>
    <w:link w:val="BTEMEASMCA"/>
    <w:uiPriority w:val="99"/>
    <w:locked/>
    <w:rsid w:val="0024282E"/>
    <w:rPr>
      <w:rFonts w:eastAsia="Calibri"/>
      <w:noProof/>
      <w:kern w:val="0"/>
      <w:lang w:eastAsia="lt-LT"/>
      <w14:ligatures w14:val="none"/>
    </w:rPr>
  </w:style>
  <w:style w:type="paragraph" w:customStyle="1" w:styleId="PSURParagraph2">
    <w:name w:val="PSUR Paragraph 2"/>
    <w:basedOn w:val="prastasis"/>
    <w:link w:val="PSURParagraph2Char"/>
    <w:uiPriority w:val="99"/>
    <w:rsid w:val="0024282E"/>
    <w:pPr>
      <w:tabs>
        <w:tab w:val="left" w:pos="1559"/>
      </w:tabs>
      <w:ind w:left="1559" w:hanging="1559"/>
      <w:jc w:val="both"/>
    </w:pPr>
    <w:rPr>
      <w:rFonts w:eastAsia="Calibri"/>
      <w:sz w:val="20"/>
      <w:lang w:val="en-GB" w:eastAsia="cs-CZ"/>
    </w:rPr>
  </w:style>
  <w:style w:type="character" w:customStyle="1" w:styleId="PSURParagraph2Char">
    <w:name w:val="PSUR Paragraph 2 Char"/>
    <w:link w:val="PSURParagraph2"/>
    <w:uiPriority w:val="99"/>
    <w:locked/>
    <w:rsid w:val="0024282E"/>
    <w:rPr>
      <w:rFonts w:eastAsia="Calibri"/>
      <w:kern w:val="0"/>
      <w:sz w:val="20"/>
      <w:szCs w:val="20"/>
      <w:lang w:val="en-GB" w:eastAsia="cs-CZ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428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282E"/>
    <w:rPr>
      <w:rFonts w:eastAsia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8115</Words>
  <Characters>4626</Characters>
  <Application>Microsoft Office Word</Application>
  <DocSecurity>0</DocSecurity>
  <Lines>38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2026-02-17T06:54:00Z</dcterms:created>
  <dcterms:modified xsi:type="dcterms:W3CDTF">2026-02-17T06:57:00Z</dcterms:modified>
</cp:coreProperties>
</file>