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697" w:rsidRPr="00F11688" w:rsidRDefault="008B4697" w:rsidP="008B4697">
      <w:pPr>
        <w:pStyle w:val="Pagrindinistekstas"/>
        <w:tabs>
          <w:tab w:val="left" w:pos="567"/>
        </w:tabs>
        <w:spacing w:after="0"/>
        <w:jc w:val="center"/>
        <w:rPr>
          <w:b/>
          <w:szCs w:val="22"/>
        </w:rPr>
      </w:pPr>
      <w:r w:rsidRPr="00F11688">
        <w:rPr>
          <w:b/>
          <w:szCs w:val="22"/>
        </w:rPr>
        <w:t>Pakuotės lapelis: informacija vartotojui</w:t>
      </w:r>
    </w:p>
    <w:p w:rsidR="008B4697" w:rsidRPr="00F11688" w:rsidRDefault="008B4697" w:rsidP="008B4697">
      <w:pPr>
        <w:pStyle w:val="Pagrindinistekstas"/>
        <w:tabs>
          <w:tab w:val="left" w:pos="567"/>
        </w:tabs>
        <w:spacing w:after="0"/>
        <w:jc w:val="center"/>
        <w:rPr>
          <w:szCs w:val="22"/>
        </w:rPr>
      </w:pPr>
    </w:p>
    <w:p w:rsidR="008B4697" w:rsidRPr="00F11688" w:rsidRDefault="008B4697" w:rsidP="008B4697">
      <w:pPr>
        <w:tabs>
          <w:tab w:val="left" w:pos="567"/>
        </w:tabs>
        <w:jc w:val="center"/>
        <w:rPr>
          <w:b/>
          <w:szCs w:val="22"/>
        </w:rPr>
      </w:pPr>
      <w:proofErr w:type="spellStart"/>
      <w:r w:rsidRPr="00F11688">
        <w:rPr>
          <w:b/>
          <w:szCs w:val="22"/>
        </w:rPr>
        <w:t>Biodroxil</w:t>
      </w:r>
      <w:proofErr w:type="spellEnd"/>
      <w:r w:rsidRPr="00F11688">
        <w:rPr>
          <w:b/>
          <w:szCs w:val="22"/>
        </w:rPr>
        <w:t xml:space="preserve"> 500 mg kietosios kapsulės</w:t>
      </w:r>
    </w:p>
    <w:p w:rsidR="008B4697" w:rsidRPr="00F11688" w:rsidRDefault="008B4697" w:rsidP="008B4697">
      <w:pPr>
        <w:tabs>
          <w:tab w:val="left" w:pos="567"/>
        </w:tabs>
        <w:jc w:val="center"/>
        <w:rPr>
          <w:szCs w:val="22"/>
        </w:rPr>
      </w:pPr>
      <w:proofErr w:type="spellStart"/>
      <w:r>
        <w:rPr>
          <w:szCs w:val="22"/>
        </w:rPr>
        <w:t>c</w:t>
      </w:r>
      <w:r w:rsidRPr="00F11688">
        <w:rPr>
          <w:szCs w:val="22"/>
        </w:rPr>
        <w:t>efadroksilis</w:t>
      </w:r>
      <w:proofErr w:type="spellEnd"/>
    </w:p>
    <w:p w:rsidR="008B4697" w:rsidRPr="00F11688"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szCs w:val="22"/>
        </w:rPr>
      </w:pPr>
      <w:r w:rsidRPr="00F11688">
        <w:rPr>
          <w:b/>
          <w:szCs w:val="22"/>
        </w:rPr>
        <w:t>Atidžiai perskaitykite visą šį lapelį, prieš pradėdami vartoti vaistą, nes jame pateikiama Jums svarbi informacija</w:t>
      </w:r>
      <w:r w:rsidRPr="00F11688">
        <w:rPr>
          <w:szCs w:val="22"/>
        </w:rPr>
        <w:t>.</w:t>
      </w:r>
    </w:p>
    <w:p w:rsidR="008B4697" w:rsidRPr="00F11688" w:rsidRDefault="008B4697" w:rsidP="008B4697">
      <w:pPr>
        <w:pStyle w:val="Pagrindinistekstas"/>
        <w:numPr>
          <w:ilvl w:val="0"/>
          <w:numId w:val="1"/>
        </w:numPr>
        <w:tabs>
          <w:tab w:val="left" w:pos="567"/>
        </w:tabs>
        <w:spacing w:after="0"/>
        <w:rPr>
          <w:szCs w:val="22"/>
        </w:rPr>
      </w:pPr>
      <w:r w:rsidRPr="00F11688">
        <w:rPr>
          <w:szCs w:val="22"/>
        </w:rPr>
        <w:t>Neišmeskite šio lapelio, nes vėl gali prireikti jį perskaityti.</w:t>
      </w:r>
    </w:p>
    <w:p w:rsidR="008B4697" w:rsidRPr="00F11688" w:rsidRDefault="008B4697" w:rsidP="008B4697">
      <w:pPr>
        <w:pStyle w:val="Pagrindinistekstas"/>
        <w:numPr>
          <w:ilvl w:val="0"/>
          <w:numId w:val="1"/>
        </w:numPr>
        <w:tabs>
          <w:tab w:val="left" w:pos="567"/>
        </w:tabs>
        <w:spacing w:after="0"/>
        <w:rPr>
          <w:szCs w:val="22"/>
        </w:rPr>
      </w:pPr>
      <w:r w:rsidRPr="00F11688">
        <w:rPr>
          <w:szCs w:val="22"/>
        </w:rPr>
        <w:t>Jeigu kiltų daugiau klausimų, kreipkitės į gydytoją arba vaistininką.</w:t>
      </w:r>
    </w:p>
    <w:p w:rsidR="008B4697" w:rsidRPr="00F11688" w:rsidRDefault="008B4697" w:rsidP="008B4697">
      <w:pPr>
        <w:pStyle w:val="Pagrindinistekstas"/>
        <w:numPr>
          <w:ilvl w:val="0"/>
          <w:numId w:val="1"/>
        </w:numPr>
        <w:tabs>
          <w:tab w:val="left" w:pos="567"/>
        </w:tabs>
        <w:spacing w:after="0"/>
        <w:rPr>
          <w:szCs w:val="22"/>
        </w:rPr>
      </w:pPr>
      <w:r w:rsidRPr="00F11688">
        <w:rPr>
          <w:szCs w:val="22"/>
        </w:rPr>
        <w:t>Šis vaistas skirtas tik Jums, todėl kitiems žmonėms jo duoti negalima. Vaistas gali jiems pakenkti (net tiems, kurių ligos požymiai yra tokie patys kaip Jūsų).</w:t>
      </w:r>
    </w:p>
    <w:p w:rsidR="008B4697" w:rsidRPr="00F11688" w:rsidRDefault="008B4697" w:rsidP="008B4697">
      <w:pPr>
        <w:pStyle w:val="Pagrindinistekstas"/>
        <w:numPr>
          <w:ilvl w:val="0"/>
          <w:numId w:val="1"/>
        </w:numPr>
        <w:tabs>
          <w:tab w:val="left" w:pos="567"/>
        </w:tabs>
        <w:spacing w:after="0"/>
        <w:rPr>
          <w:szCs w:val="22"/>
        </w:rPr>
      </w:pPr>
      <w:r w:rsidRPr="00F11688">
        <w:rPr>
          <w:szCs w:val="22"/>
        </w:rPr>
        <w:t>Jeigu pasireiškė šalutinis poveikis (net jeigu jis šiame lapelyje nenurodytas), kreipkitės į gydytoją arba vaistininką. Žr.</w:t>
      </w:r>
      <w:r>
        <w:rPr>
          <w:szCs w:val="22"/>
        </w:rPr>
        <w:t xml:space="preserve"> </w:t>
      </w:r>
      <w:r w:rsidRPr="00F11688">
        <w:rPr>
          <w:szCs w:val="22"/>
        </w:rPr>
        <w:t>4 skyrių.</w:t>
      </w:r>
    </w:p>
    <w:p w:rsidR="008B4697" w:rsidRPr="00F11688"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b/>
          <w:szCs w:val="22"/>
        </w:rPr>
      </w:pPr>
      <w:r w:rsidRPr="00F11688">
        <w:rPr>
          <w:b/>
          <w:szCs w:val="22"/>
        </w:rPr>
        <w:t>Apie ką rašoma šiame lapelyje?</w:t>
      </w:r>
    </w:p>
    <w:p w:rsidR="008B4697" w:rsidRPr="00F11688" w:rsidRDefault="008B4697" w:rsidP="008B4697">
      <w:pPr>
        <w:pStyle w:val="Pagrindinistekstas"/>
        <w:tabs>
          <w:tab w:val="left" w:pos="567"/>
        </w:tabs>
        <w:spacing w:after="0"/>
        <w:rPr>
          <w:b/>
          <w:szCs w:val="22"/>
        </w:rPr>
      </w:pPr>
    </w:p>
    <w:p w:rsidR="008B4697" w:rsidRPr="00F11688" w:rsidRDefault="008B4697" w:rsidP="008B4697">
      <w:pPr>
        <w:pStyle w:val="Pagrindinistekstas"/>
        <w:tabs>
          <w:tab w:val="left" w:pos="567"/>
        </w:tabs>
        <w:spacing w:after="0"/>
        <w:ind w:left="720" w:hanging="720"/>
        <w:rPr>
          <w:szCs w:val="22"/>
        </w:rPr>
      </w:pPr>
      <w:r w:rsidRPr="00F11688">
        <w:rPr>
          <w:szCs w:val="22"/>
        </w:rPr>
        <w:t>1.</w:t>
      </w:r>
      <w:r w:rsidRPr="00F11688">
        <w:rPr>
          <w:szCs w:val="22"/>
        </w:rPr>
        <w:tab/>
        <w:t xml:space="preserve">Kas yra </w:t>
      </w:r>
      <w:proofErr w:type="spellStart"/>
      <w:r w:rsidRPr="00F11688">
        <w:rPr>
          <w:szCs w:val="22"/>
        </w:rPr>
        <w:t>Biodroxil</w:t>
      </w:r>
      <w:proofErr w:type="spellEnd"/>
      <w:r w:rsidRPr="00F11688">
        <w:rPr>
          <w:szCs w:val="22"/>
        </w:rPr>
        <w:t xml:space="preserve"> ir kam jis vartojamas</w:t>
      </w:r>
    </w:p>
    <w:p w:rsidR="008B4697" w:rsidRPr="00F11688" w:rsidRDefault="008B4697" w:rsidP="008B4697">
      <w:pPr>
        <w:pStyle w:val="Pagrindinistekstas"/>
        <w:tabs>
          <w:tab w:val="left" w:pos="567"/>
        </w:tabs>
        <w:spacing w:after="0"/>
        <w:ind w:left="720" w:hanging="720"/>
        <w:rPr>
          <w:szCs w:val="22"/>
        </w:rPr>
      </w:pPr>
      <w:r w:rsidRPr="00F11688">
        <w:rPr>
          <w:szCs w:val="22"/>
        </w:rPr>
        <w:t>2.</w:t>
      </w:r>
      <w:r w:rsidRPr="00F11688">
        <w:rPr>
          <w:szCs w:val="22"/>
        </w:rPr>
        <w:tab/>
        <w:t xml:space="preserve">Kas žinotina prieš vartojant </w:t>
      </w:r>
      <w:proofErr w:type="spellStart"/>
      <w:r w:rsidRPr="00F11688">
        <w:rPr>
          <w:szCs w:val="22"/>
        </w:rPr>
        <w:t>Biodroxil</w:t>
      </w:r>
      <w:proofErr w:type="spellEnd"/>
    </w:p>
    <w:p w:rsidR="008B4697" w:rsidRPr="00F11688" w:rsidRDefault="008B4697" w:rsidP="008B4697">
      <w:pPr>
        <w:pStyle w:val="Pagrindinistekstas"/>
        <w:tabs>
          <w:tab w:val="left" w:pos="567"/>
        </w:tabs>
        <w:spacing w:after="0"/>
        <w:ind w:left="720" w:hanging="720"/>
        <w:rPr>
          <w:szCs w:val="22"/>
        </w:rPr>
      </w:pPr>
      <w:r w:rsidRPr="00F11688">
        <w:rPr>
          <w:szCs w:val="22"/>
        </w:rPr>
        <w:t>3.</w:t>
      </w:r>
      <w:r w:rsidRPr="00F11688">
        <w:rPr>
          <w:szCs w:val="22"/>
        </w:rPr>
        <w:tab/>
        <w:t xml:space="preserve">Kaip vartoti </w:t>
      </w:r>
      <w:proofErr w:type="spellStart"/>
      <w:r w:rsidRPr="00F11688">
        <w:rPr>
          <w:szCs w:val="22"/>
        </w:rPr>
        <w:t>Biodroxil</w:t>
      </w:r>
      <w:proofErr w:type="spellEnd"/>
    </w:p>
    <w:p w:rsidR="008B4697" w:rsidRPr="00F11688" w:rsidRDefault="008B4697" w:rsidP="008B4697">
      <w:pPr>
        <w:pStyle w:val="Pagrindinistekstas"/>
        <w:tabs>
          <w:tab w:val="left" w:pos="567"/>
        </w:tabs>
        <w:spacing w:after="0"/>
        <w:ind w:left="720" w:hanging="720"/>
        <w:rPr>
          <w:szCs w:val="22"/>
        </w:rPr>
      </w:pPr>
      <w:r w:rsidRPr="00F11688">
        <w:rPr>
          <w:szCs w:val="22"/>
        </w:rPr>
        <w:t>4.</w:t>
      </w:r>
      <w:r w:rsidRPr="00F11688">
        <w:rPr>
          <w:szCs w:val="22"/>
        </w:rPr>
        <w:tab/>
        <w:t>Galimas šalutinis poveikis</w:t>
      </w:r>
    </w:p>
    <w:p w:rsidR="008B4697" w:rsidRPr="00F11688" w:rsidRDefault="008B4697" w:rsidP="008B4697">
      <w:pPr>
        <w:pStyle w:val="Pagrindinistekstas"/>
        <w:tabs>
          <w:tab w:val="left" w:pos="567"/>
        </w:tabs>
        <w:spacing w:after="0"/>
        <w:ind w:left="720" w:hanging="720"/>
        <w:rPr>
          <w:szCs w:val="22"/>
        </w:rPr>
      </w:pPr>
      <w:r w:rsidRPr="00F11688">
        <w:rPr>
          <w:szCs w:val="22"/>
        </w:rPr>
        <w:t>5.</w:t>
      </w:r>
      <w:r w:rsidRPr="00F11688">
        <w:rPr>
          <w:szCs w:val="22"/>
        </w:rPr>
        <w:tab/>
        <w:t xml:space="preserve">Kaip laikyti </w:t>
      </w:r>
      <w:proofErr w:type="spellStart"/>
      <w:r w:rsidRPr="00F11688">
        <w:rPr>
          <w:szCs w:val="22"/>
        </w:rPr>
        <w:t>Biodroxil</w:t>
      </w:r>
      <w:proofErr w:type="spellEnd"/>
    </w:p>
    <w:p w:rsidR="008B4697" w:rsidRPr="00F11688" w:rsidRDefault="008B4697" w:rsidP="008B4697">
      <w:pPr>
        <w:pStyle w:val="Pagrindinistekstas"/>
        <w:tabs>
          <w:tab w:val="left" w:pos="567"/>
        </w:tabs>
        <w:spacing w:after="0"/>
        <w:ind w:left="720" w:hanging="720"/>
        <w:rPr>
          <w:szCs w:val="22"/>
        </w:rPr>
      </w:pPr>
      <w:r w:rsidRPr="00F11688">
        <w:rPr>
          <w:szCs w:val="22"/>
        </w:rPr>
        <w:t>6.</w:t>
      </w:r>
      <w:r w:rsidRPr="00F11688">
        <w:rPr>
          <w:szCs w:val="22"/>
        </w:rPr>
        <w:tab/>
        <w:t>Pakuotės turinys ir kita informacija</w:t>
      </w:r>
    </w:p>
    <w:p w:rsidR="008B4697" w:rsidRPr="00F11688"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b/>
          <w:szCs w:val="22"/>
        </w:rPr>
      </w:pPr>
      <w:r w:rsidRPr="00F11688">
        <w:rPr>
          <w:b/>
          <w:szCs w:val="22"/>
        </w:rPr>
        <w:t>1.</w:t>
      </w:r>
      <w:r w:rsidRPr="00F11688">
        <w:rPr>
          <w:b/>
          <w:szCs w:val="22"/>
        </w:rPr>
        <w:tab/>
        <w:t xml:space="preserve">Kas yra </w:t>
      </w:r>
      <w:proofErr w:type="spellStart"/>
      <w:r w:rsidRPr="00F11688">
        <w:rPr>
          <w:b/>
          <w:szCs w:val="22"/>
        </w:rPr>
        <w:t>Biodroxil</w:t>
      </w:r>
      <w:proofErr w:type="spellEnd"/>
      <w:r w:rsidRPr="00F11688">
        <w:rPr>
          <w:b/>
          <w:szCs w:val="22"/>
        </w:rPr>
        <w:t xml:space="preserve"> ir kam jis vartojamas</w:t>
      </w:r>
    </w:p>
    <w:p w:rsidR="008B4697" w:rsidRPr="00F11688" w:rsidRDefault="008B4697" w:rsidP="008B4697">
      <w:pPr>
        <w:pStyle w:val="Pagrindinistekstas"/>
        <w:tabs>
          <w:tab w:val="left" w:pos="567"/>
        </w:tabs>
        <w:spacing w:after="0"/>
        <w:rPr>
          <w:szCs w:val="22"/>
        </w:rPr>
      </w:pPr>
    </w:p>
    <w:p w:rsidR="008B4697" w:rsidRPr="00F11688" w:rsidRDefault="008B4697" w:rsidP="008B4697">
      <w:pPr>
        <w:pStyle w:val="Pagrindinistekstas2"/>
        <w:spacing w:after="0" w:line="240" w:lineRule="auto"/>
        <w:rPr>
          <w:szCs w:val="22"/>
        </w:rPr>
      </w:pPr>
      <w:proofErr w:type="spellStart"/>
      <w:r w:rsidRPr="00F11688">
        <w:rPr>
          <w:bCs/>
          <w:szCs w:val="22"/>
        </w:rPr>
        <w:t>Biodroxil</w:t>
      </w:r>
      <w:proofErr w:type="spellEnd"/>
      <w:r w:rsidRPr="00F11688">
        <w:rPr>
          <w:bCs/>
          <w:szCs w:val="22"/>
        </w:rPr>
        <w:t xml:space="preserve"> veiklioji medžiaga yra </w:t>
      </w:r>
      <w:proofErr w:type="spellStart"/>
      <w:r w:rsidRPr="00F11688">
        <w:rPr>
          <w:bCs/>
          <w:szCs w:val="22"/>
        </w:rPr>
        <w:t>cefadroksilis</w:t>
      </w:r>
      <w:proofErr w:type="spellEnd"/>
      <w:r w:rsidRPr="00F11688">
        <w:rPr>
          <w:bCs/>
          <w:szCs w:val="22"/>
        </w:rPr>
        <w:t xml:space="preserve">, </w:t>
      </w:r>
      <w:proofErr w:type="spellStart"/>
      <w:r w:rsidRPr="00F11688">
        <w:rPr>
          <w:szCs w:val="22"/>
        </w:rPr>
        <w:t>cefalosporinų</w:t>
      </w:r>
      <w:proofErr w:type="spellEnd"/>
      <w:r w:rsidRPr="00F11688">
        <w:rPr>
          <w:szCs w:val="22"/>
        </w:rPr>
        <w:t xml:space="preserve"> grupės antibiotikas. </w:t>
      </w:r>
      <w:proofErr w:type="spellStart"/>
      <w:r w:rsidRPr="00F11688">
        <w:rPr>
          <w:szCs w:val="22"/>
        </w:rPr>
        <w:t>Cefalosporinai</w:t>
      </w:r>
      <w:proofErr w:type="spellEnd"/>
      <w:r w:rsidRPr="00F11688">
        <w:rPr>
          <w:szCs w:val="22"/>
        </w:rPr>
        <w:t xml:space="preserve"> pažeidžia bakterijų ląstelių membranas ir tokiu būdu suardo augančias bakterijas.</w:t>
      </w:r>
    </w:p>
    <w:p w:rsidR="008B4697" w:rsidRPr="00F11688" w:rsidRDefault="008B4697" w:rsidP="008B4697">
      <w:pPr>
        <w:rPr>
          <w:iCs/>
          <w:szCs w:val="22"/>
        </w:rPr>
      </w:pPr>
    </w:p>
    <w:p w:rsidR="008B4697" w:rsidRPr="00F11688" w:rsidRDefault="008B4697" w:rsidP="008B4697">
      <w:pPr>
        <w:rPr>
          <w:i/>
          <w:szCs w:val="22"/>
        </w:rPr>
      </w:pPr>
      <w:proofErr w:type="spellStart"/>
      <w:r w:rsidRPr="00F11688">
        <w:rPr>
          <w:szCs w:val="22"/>
        </w:rPr>
        <w:t>Biodroxil</w:t>
      </w:r>
      <w:proofErr w:type="spellEnd"/>
      <w:r w:rsidRPr="00F11688">
        <w:rPr>
          <w:szCs w:val="22"/>
        </w:rPr>
        <w:t xml:space="preserve"> vartojamas šioms jam jautrių bakterijų sukeltoms infekcinėms ligoms gydyti:</w:t>
      </w:r>
    </w:p>
    <w:p w:rsidR="008B4697" w:rsidRPr="00F11688" w:rsidRDefault="008B4697" w:rsidP="008B4697">
      <w:pPr>
        <w:numPr>
          <w:ilvl w:val="0"/>
          <w:numId w:val="2"/>
        </w:numPr>
        <w:tabs>
          <w:tab w:val="left" w:pos="426"/>
        </w:tabs>
        <w:ind w:left="993" w:hanging="567"/>
        <w:rPr>
          <w:szCs w:val="22"/>
        </w:rPr>
      </w:pPr>
      <w:r w:rsidRPr="00F11688">
        <w:rPr>
          <w:szCs w:val="22"/>
        </w:rPr>
        <w:t>kvėpavimo takų (tonzilių ir gerklės uždegimui);</w:t>
      </w:r>
    </w:p>
    <w:p w:rsidR="008B4697" w:rsidRPr="00F11688" w:rsidRDefault="008B4697" w:rsidP="008B4697">
      <w:pPr>
        <w:numPr>
          <w:ilvl w:val="0"/>
          <w:numId w:val="2"/>
        </w:numPr>
        <w:tabs>
          <w:tab w:val="left" w:pos="426"/>
        </w:tabs>
        <w:ind w:left="709" w:hanging="283"/>
        <w:rPr>
          <w:szCs w:val="22"/>
        </w:rPr>
      </w:pPr>
      <w:r w:rsidRPr="00F11688">
        <w:rPr>
          <w:szCs w:val="22"/>
        </w:rPr>
        <w:t xml:space="preserve">odos ir minkštųjų audinių pūlinėms ligoms (jos vadinamos </w:t>
      </w:r>
      <w:proofErr w:type="spellStart"/>
      <w:r w:rsidRPr="00F11688">
        <w:rPr>
          <w:szCs w:val="22"/>
        </w:rPr>
        <w:t>piodermija</w:t>
      </w:r>
      <w:proofErr w:type="spellEnd"/>
      <w:r w:rsidRPr="00F11688">
        <w:rPr>
          <w:szCs w:val="22"/>
        </w:rPr>
        <w:t xml:space="preserve">, </w:t>
      </w:r>
      <w:proofErr w:type="spellStart"/>
      <w:r w:rsidRPr="00F11688">
        <w:rPr>
          <w:szCs w:val="22"/>
        </w:rPr>
        <w:t>impetiga</w:t>
      </w:r>
      <w:proofErr w:type="spellEnd"/>
      <w:r w:rsidRPr="00F11688">
        <w:rPr>
          <w:szCs w:val="22"/>
        </w:rPr>
        <w:t>, pūliniu, šunvote);</w:t>
      </w:r>
    </w:p>
    <w:p w:rsidR="008B4697" w:rsidRPr="00F11688" w:rsidRDefault="008B4697" w:rsidP="008B4697">
      <w:pPr>
        <w:numPr>
          <w:ilvl w:val="0"/>
          <w:numId w:val="2"/>
        </w:numPr>
        <w:tabs>
          <w:tab w:val="left" w:pos="426"/>
        </w:tabs>
        <w:ind w:left="993" w:hanging="567"/>
        <w:rPr>
          <w:szCs w:val="22"/>
        </w:rPr>
      </w:pPr>
      <w:r w:rsidRPr="00F11688">
        <w:rPr>
          <w:szCs w:val="22"/>
        </w:rPr>
        <w:t>šlapimo takų (šlapimo pūslės uždegimui, inkstų geldelių uždegimui).</w:t>
      </w:r>
    </w:p>
    <w:p w:rsidR="008B4697" w:rsidRPr="00F11688"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szCs w:val="22"/>
        </w:rPr>
      </w:pPr>
      <w:r w:rsidRPr="00F11688">
        <w:rPr>
          <w:szCs w:val="22"/>
        </w:rPr>
        <w:t xml:space="preserve">Prireikus gydytojas prieš gydymą šiuo antibiotiku bei gydymo metu nustatys infekcinės ligos sukėlėjo jautrumą </w:t>
      </w:r>
      <w:proofErr w:type="spellStart"/>
      <w:r w:rsidRPr="00F11688">
        <w:rPr>
          <w:szCs w:val="22"/>
        </w:rPr>
        <w:t>cefadroksiliui</w:t>
      </w:r>
      <w:proofErr w:type="spellEnd"/>
      <w:r w:rsidRPr="00F11688">
        <w:rPr>
          <w:szCs w:val="22"/>
        </w:rPr>
        <w:t>, ištirs Jūsų inkstų veiklą.</w:t>
      </w:r>
    </w:p>
    <w:p w:rsidR="008B4697" w:rsidRPr="00F11688" w:rsidRDefault="008B4697" w:rsidP="008B4697">
      <w:pPr>
        <w:tabs>
          <w:tab w:val="left" w:pos="567"/>
        </w:tabs>
        <w:rPr>
          <w:szCs w:val="22"/>
        </w:rPr>
      </w:pPr>
    </w:p>
    <w:p w:rsidR="008B4697" w:rsidRPr="00F11688" w:rsidRDefault="008B4697" w:rsidP="008B4697">
      <w:pPr>
        <w:tabs>
          <w:tab w:val="left" w:pos="567"/>
        </w:tabs>
        <w:rPr>
          <w:szCs w:val="22"/>
        </w:rPr>
      </w:pPr>
    </w:p>
    <w:p w:rsidR="008B4697" w:rsidRPr="00F11688" w:rsidRDefault="008B4697" w:rsidP="008B4697">
      <w:pPr>
        <w:tabs>
          <w:tab w:val="left" w:pos="567"/>
        </w:tabs>
        <w:jc w:val="both"/>
        <w:rPr>
          <w:b/>
          <w:szCs w:val="22"/>
        </w:rPr>
      </w:pPr>
      <w:r w:rsidRPr="00F11688">
        <w:rPr>
          <w:b/>
          <w:szCs w:val="22"/>
        </w:rPr>
        <w:t>2.</w:t>
      </w:r>
      <w:r w:rsidRPr="00F11688">
        <w:rPr>
          <w:b/>
          <w:szCs w:val="22"/>
        </w:rPr>
        <w:tab/>
        <w:t xml:space="preserve">Kas žinotina prieš vartojant </w:t>
      </w:r>
      <w:proofErr w:type="spellStart"/>
      <w:r w:rsidRPr="00F11688">
        <w:rPr>
          <w:b/>
          <w:szCs w:val="22"/>
        </w:rPr>
        <w:t>Biodroxil</w:t>
      </w:r>
      <w:proofErr w:type="spellEnd"/>
    </w:p>
    <w:p w:rsidR="008B4697" w:rsidRPr="00F11688" w:rsidRDefault="008B4697" w:rsidP="008B4697">
      <w:pPr>
        <w:tabs>
          <w:tab w:val="left" w:pos="567"/>
        </w:tabs>
        <w:rPr>
          <w:b/>
          <w:szCs w:val="22"/>
        </w:rPr>
      </w:pPr>
    </w:p>
    <w:p w:rsidR="008B4697" w:rsidRPr="00F11688" w:rsidRDefault="008B4697" w:rsidP="008B4697">
      <w:pPr>
        <w:tabs>
          <w:tab w:val="left" w:pos="567"/>
        </w:tabs>
        <w:rPr>
          <w:b/>
          <w:szCs w:val="22"/>
        </w:rPr>
      </w:pPr>
      <w:proofErr w:type="spellStart"/>
      <w:r w:rsidRPr="00F11688">
        <w:rPr>
          <w:b/>
          <w:szCs w:val="22"/>
        </w:rPr>
        <w:t>Biodroxil</w:t>
      </w:r>
      <w:proofErr w:type="spellEnd"/>
      <w:r w:rsidRPr="00F11688">
        <w:rPr>
          <w:b/>
          <w:szCs w:val="22"/>
        </w:rPr>
        <w:t xml:space="preserve"> vartoti </w:t>
      </w:r>
      <w:r>
        <w:rPr>
          <w:b/>
          <w:szCs w:val="22"/>
        </w:rPr>
        <w:t>draudžiama</w:t>
      </w:r>
      <w:r w:rsidRPr="00F11688">
        <w:rPr>
          <w:b/>
          <w:szCs w:val="22"/>
        </w:rPr>
        <w:t>:</w:t>
      </w:r>
    </w:p>
    <w:p w:rsidR="008B4697" w:rsidRPr="00F11688" w:rsidRDefault="008B4697" w:rsidP="008B4697">
      <w:pPr>
        <w:tabs>
          <w:tab w:val="left" w:pos="567"/>
        </w:tabs>
        <w:ind w:left="567" w:hanging="567"/>
        <w:rPr>
          <w:szCs w:val="22"/>
        </w:rPr>
      </w:pPr>
      <w:r w:rsidRPr="00F11688">
        <w:rPr>
          <w:szCs w:val="22"/>
        </w:rPr>
        <w:t>-</w:t>
      </w:r>
      <w:r w:rsidRPr="00F11688">
        <w:rPr>
          <w:szCs w:val="22"/>
        </w:rPr>
        <w:tab/>
        <w:t xml:space="preserve">jeigu yra alergija </w:t>
      </w:r>
      <w:proofErr w:type="spellStart"/>
      <w:r w:rsidRPr="00F11688">
        <w:rPr>
          <w:szCs w:val="22"/>
        </w:rPr>
        <w:t>cefadroksiliui</w:t>
      </w:r>
      <w:proofErr w:type="spellEnd"/>
      <w:r w:rsidRPr="00F11688">
        <w:rPr>
          <w:szCs w:val="22"/>
        </w:rPr>
        <w:t xml:space="preserve"> arba bet kuriai pagalbinei šio vaisto medžiagai (jos išvardytos 6 skyriuje);</w:t>
      </w:r>
    </w:p>
    <w:p w:rsidR="008B4697" w:rsidRPr="00F11688" w:rsidRDefault="008B4697" w:rsidP="008B4697">
      <w:pPr>
        <w:numPr>
          <w:ilvl w:val="0"/>
          <w:numId w:val="3"/>
        </w:numPr>
        <w:tabs>
          <w:tab w:val="left" w:pos="567"/>
        </w:tabs>
        <w:ind w:left="567" w:hanging="567"/>
        <w:rPr>
          <w:szCs w:val="22"/>
        </w:rPr>
      </w:pPr>
      <w:r w:rsidRPr="00F11688">
        <w:rPr>
          <w:szCs w:val="22"/>
        </w:rPr>
        <w:t xml:space="preserve">jeigu yra alergija bet kuriam kitam </w:t>
      </w:r>
      <w:proofErr w:type="spellStart"/>
      <w:r w:rsidRPr="00F11688">
        <w:rPr>
          <w:szCs w:val="22"/>
        </w:rPr>
        <w:t>cefalosporinų</w:t>
      </w:r>
      <w:proofErr w:type="spellEnd"/>
      <w:r w:rsidRPr="00F11688">
        <w:rPr>
          <w:szCs w:val="22"/>
        </w:rPr>
        <w:t xml:space="preserve"> grupės antibiotikui;</w:t>
      </w:r>
    </w:p>
    <w:p w:rsidR="008B4697" w:rsidRPr="00F11688" w:rsidRDefault="008B4697" w:rsidP="008B4697">
      <w:pPr>
        <w:pStyle w:val="Pagrindinistekstas"/>
        <w:numPr>
          <w:ilvl w:val="0"/>
          <w:numId w:val="4"/>
        </w:numPr>
        <w:spacing w:after="0"/>
        <w:rPr>
          <w:szCs w:val="22"/>
        </w:rPr>
      </w:pPr>
      <w:r w:rsidRPr="00F11688">
        <w:rPr>
          <w:szCs w:val="22"/>
        </w:rPr>
        <w:t xml:space="preserve">yra buvusi sunki alerginė reakcija, kurią sukėlė penicilinai ar kiti beta </w:t>
      </w:r>
      <w:proofErr w:type="spellStart"/>
      <w:r w:rsidRPr="00F11688">
        <w:rPr>
          <w:szCs w:val="22"/>
        </w:rPr>
        <w:t>laktaminiai</w:t>
      </w:r>
      <w:proofErr w:type="spellEnd"/>
      <w:r w:rsidRPr="00F11688">
        <w:rPr>
          <w:szCs w:val="22"/>
        </w:rPr>
        <w:t xml:space="preserve"> antibiotikai.</w:t>
      </w:r>
    </w:p>
    <w:p w:rsidR="008B4697" w:rsidRPr="00F11688" w:rsidRDefault="008B4697" w:rsidP="008B4697">
      <w:pPr>
        <w:tabs>
          <w:tab w:val="left" w:pos="567"/>
        </w:tabs>
        <w:rPr>
          <w:b/>
          <w:szCs w:val="22"/>
        </w:rPr>
      </w:pPr>
    </w:p>
    <w:p w:rsidR="008B4697" w:rsidRPr="00F11688" w:rsidRDefault="008B4697" w:rsidP="008B4697">
      <w:pPr>
        <w:tabs>
          <w:tab w:val="left" w:pos="567"/>
        </w:tabs>
        <w:rPr>
          <w:b/>
          <w:szCs w:val="22"/>
        </w:rPr>
      </w:pPr>
      <w:r w:rsidRPr="00F11688">
        <w:rPr>
          <w:b/>
          <w:szCs w:val="22"/>
        </w:rPr>
        <w:t>Įspėjimai ir atsargumo priemonės</w:t>
      </w:r>
    </w:p>
    <w:p w:rsidR="008B4697" w:rsidRPr="00F11688" w:rsidRDefault="008B4697" w:rsidP="008B4697">
      <w:pPr>
        <w:tabs>
          <w:tab w:val="left" w:pos="567"/>
        </w:tabs>
        <w:rPr>
          <w:szCs w:val="22"/>
        </w:rPr>
      </w:pPr>
      <w:r w:rsidRPr="00F11688">
        <w:rPr>
          <w:szCs w:val="22"/>
        </w:rPr>
        <w:t xml:space="preserve">Pasitarkite su gydytoju arba vaistininku, prieš pradėdami vartoti </w:t>
      </w:r>
      <w:proofErr w:type="spellStart"/>
      <w:r w:rsidRPr="00F11688">
        <w:rPr>
          <w:szCs w:val="22"/>
        </w:rPr>
        <w:t>Biodroxil</w:t>
      </w:r>
      <w:proofErr w:type="spellEnd"/>
      <w:r w:rsidRPr="00F11688">
        <w:rPr>
          <w:szCs w:val="22"/>
        </w:rPr>
        <w:t>. Tai ypač svarbu, jeigu:</w:t>
      </w:r>
    </w:p>
    <w:p w:rsidR="008B4697" w:rsidRPr="00F11688" w:rsidRDefault="008B4697" w:rsidP="008B4697">
      <w:pPr>
        <w:pStyle w:val="Sraopastraipa"/>
        <w:numPr>
          <w:ilvl w:val="0"/>
          <w:numId w:val="3"/>
        </w:numPr>
        <w:tabs>
          <w:tab w:val="left" w:pos="567"/>
        </w:tabs>
        <w:ind w:left="567" w:hanging="567"/>
        <w:rPr>
          <w:szCs w:val="22"/>
        </w:rPr>
      </w:pPr>
      <w:r w:rsidRPr="00F11688">
        <w:rPr>
          <w:szCs w:val="22"/>
        </w:rPr>
        <w:t>praeityje yra buvusi astma arba sunki alerginė reakcija;</w:t>
      </w:r>
    </w:p>
    <w:p w:rsidR="008B4697" w:rsidRPr="00F11688" w:rsidRDefault="008B4697" w:rsidP="008B4697">
      <w:pPr>
        <w:pStyle w:val="Sraopastraipa"/>
        <w:numPr>
          <w:ilvl w:val="0"/>
          <w:numId w:val="3"/>
        </w:numPr>
        <w:ind w:left="567" w:hanging="567"/>
        <w:rPr>
          <w:szCs w:val="22"/>
        </w:rPr>
      </w:pPr>
      <w:r w:rsidRPr="00F11688">
        <w:rPr>
          <w:szCs w:val="22"/>
        </w:rPr>
        <w:t>yra alergija penicilinų grupės antibiotikams, kadangi gali pasireikšti kryžminė alergija (ji galima 5-10</w:t>
      </w:r>
      <w:r>
        <w:rPr>
          <w:szCs w:val="22"/>
        </w:rPr>
        <w:t> </w:t>
      </w:r>
      <w:r w:rsidRPr="00F11688">
        <w:rPr>
          <w:szCs w:val="22"/>
        </w:rPr>
        <w:t>% pacientų);</w:t>
      </w:r>
    </w:p>
    <w:p w:rsidR="008B4697" w:rsidRPr="00F11688" w:rsidRDefault="008B4697" w:rsidP="008B4697">
      <w:pPr>
        <w:pStyle w:val="Sraopastraipa"/>
        <w:numPr>
          <w:ilvl w:val="0"/>
          <w:numId w:val="3"/>
        </w:numPr>
        <w:ind w:left="567" w:hanging="567"/>
        <w:rPr>
          <w:szCs w:val="22"/>
        </w:rPr>
      </w:pPr>
      <w:r w:rsidRPr="00F11688">
        <w:rPr>
          <w:szCs w:val="22"/>
        </w:rPr>
        <w:t xml:space="preserve">sergate sunkiu inkstų veiklos sutrikimu. Tokiu atveju reikia ilginti intervalus tarp dozių vartojimo (žr. skyriuje “Kaip vartoti </w:t>
      </w:r>
      <w:proofErr w:type="spellStart"/>
      <w:r w:rsidRPr="00F11688">
        <w:rPr>
          <w:szCs w:val="22"/>
        </w:rPr>
        <w:t>Biodroxil</w:t>
      </w:r>
      <w:proofErr w:type="spellEnd"/>
      <w:r w:rsidRPr="00F11688">
        <w:rPr>
          <w:szCs w:val="22"/>
        </w:rPr>
        <w:t>“ pateiktą lentelę);</w:t>
      </w:r>
    </w:p>
    <w:p w:rsidR="008B4697" w:rsidRPr="00F11688" w:rsidRDefault="008B4697" w:rsidP="008B4697">
      <w:pPr>
        <w:pStyle w:val="Sraopastraipa"/>
        <w:numPr>
          <w:ilvl w:val="0"/>
          <w:numId w:val="3"/>
        </w:numPr>
        <w:tabs>
          <w:tab w:val="left" w:pos="567"/>
        </w:tabs>
        <w:ind w:left="567" w:hanging="567"/>
        <w:rPr>
          <w:szCs w:val="22"/>
        </w:rPr>
      </w:pPr>
      <w:r w:rsidRPr="00F11688">
        <w:rPr>
          <w:szCs w:val="22"/>
        </w:rPr>
        <w:lastRenderedPageBreak/>
        <w:t>sergate sunkia, gyvybei pavojinga infekcine liga. Iš pradžių Jums turi būti skiriami leidžiami antibiotikai;</w:t>
      </w:r>
    </w:p>
    <w:p w:rsidR="008B4697" w:rsidRPr="00F11688" w:rsidRDefault="008B4697" w:rsidP="008B4697">
      <w:pPr>
        <w:pStyle w:val="Sraopastraipa"/>
        <w:numPr>
          <w:ilvl w:val="0"/>
          <w:numId w:val="3"/>
        </w:numPr>
        <w:tabs>
          <w:tab w:val="left" w:pos="567"/>
        </w:tabs>
        <w:ind w:left="567" w:hanging="567"/>
        <w:rPr>
          <w:szCs w:val="22"/>
        </w:rPr>
      </w:pPr>
      <w:r w:rsidRPr="00F11688">
        <w:rPr>
          <w:szCs w:val="22"/>
        </w:rPr>
        <w:t>praeityje sirgote sunkiu virškinimo trakto veiklos sutrikimu.</w:t>
      </w:r>
    </w:p>
    <w:p w:rsidR="008B4697" w:rsidRPr="00F11688" w:rsidRDefault="008B4697" w:rsidP="008B4697">
      <w:pPr>
        <w:tabs>
          <w:tab w:val="left" w:pos="567"/>
        </w:tabs>
        <w:rPr>
          <w:szCs w:val="22"/>
        </w:rPr>
      </w:pPr>
    </w:p>
    <w:p w:rsidR="008B4697" w:rsidRPr="00F11688" w:rsidRDefault="008B4697" w:rsidP="008B4697">
      <w:pPr>
        <w:tabs>
          <w:tab w:val="left" w:pos="567"/>
        </w:tabs>
        <w:rPr>
          <w:szCs w:val="22"/>
        </w:rPr>
      </w:pPr>
      <w:r w:rsidRPr="00F11688">
        <w:rPr>
          <w:szCs w:val="22"/>
        </w:rPr>
        <w:t xml:space="preserve">Vartojant, ypač ilgai, </w:t>
      </w:r>
      <w:proofErr w:type="spellStart"/>
      <w:r w:rsidRPr="00F11688">
        <w:rPr>
          <w:szCs w:val="22"/>
        </w:rPr>
        <w:t>Biodroxil</w:t>
      </w:r>
      <w:proofErr w:type="spellEnd"/>
      <w:r w:rsidRPr="00F11688">
        <w:rPr>
          <w:szCs w:val="22"/>
        </w:rPr>
        <w:t>, kaip ir kitokių antibiotikų, gydytojas gali dažnai tirti kraujo ląstelių kiekį ir kepenų bei inkstų veiklą.</w:t>
      </w:r>
    </w:p>
    <w:p w:rsidR="008B4697" w:rsidRPr="00F11688" w:rsidRDefault="008B4697" w:rsidP="008B4697">
      <w:pPr>
        <w:tabs>
          <w:tab w:val="left" w:pos="567"/>
        </w:tabs>
        <w:rPr>
          <w:szCs w:val="22"/>
        </w:rPr>
      </w:pPr>
    </w:p>
    <w:p w:rsidR="008B4697" w:rsidRPr="00F11688" w:rsidRDefault="008B4697" w:rsidP="008B4697">
      <w:pPr>
        <w:tabs>
          <w:tab w:val="left" w:pos="567"/>
        </w:tabs>
        <w:rPr>
          <w:szCs w:val="22"/>
        </w:rPr>
      </w:pPr>
      <w:r w:rsidRPr="00F11688">
        <w:rPr>
          <w:szCs w:val="22"/>
        </w:rPr>
        <w:t xml:space="preserve">Jei </w:t>
      </w:r>
      <w:r w:rsidRPr="00F11688">
        <w:rPr>
          <w:b/>
          <w:szCs w:val="22"/>
        </w:rPr>
        <w:t>atsiranda alergijos požymių</w:t>
      </w:r>
      <w:r w:rsidRPr="00F11688">
        <w:rPr>
          <w:szCs w:val="22"/>
        </w:rPr>
        <w:t xml:space="preserve"> (dilgėlinė, </w:t>
      </w:r>
      <w:proofErr w:type="spellStart"/>
      <w:r w:rsidRPr="00F11688">
        <w:rPr>
          <w:szCs w:val="22"/>
        </w:rPr>
        <w:t>egzantema</w:t>
      </w:r>
      <w:proofErr w:type="spellEnd"/>
      <w:r w:rsidRPr="00F11688">
        <w:rPr>
          <w:szCs w:val="22"/>
        </w:rPr>
        <w:t xml:space="preserve"> (išbėrimas), niežulys, kraujospūdžio mažėjimas, širdies ritmo padažnėjimas, kvėpavimo sutrikimas, </w:t>
      </w:r>
      <w:proofErr w:type="spellStart"/>
      <w:r w:rsidRPr="00F11688">
        <w:rPr>
          <w:szCs w:val="22"/>
        </w:rPr>
        <w:t>kolapsas</w:t>
      </w:r>
      <w:proofErr w:type="spellEnd"/>
      <w:r w:rsidRPr="00F11688">
        <w:rPr>
          <w:szCs w:val="22"/>
        </w:rPr>
        <w:t xml:space="preserve"> ar kt.), vaisto vartojimą būtina nutraukti ir kreiptis į gydytoją.</w:t>
      </w:r>
    </w:p>
    <w:p w:rsidR="008B4697" w:rsidRPr="00F11688" w:rsidRDefault="008B4697" w:rsidP="008B4697">
      <w:pPr>
        <w:tabs>
          <w:tab w:val="left" w:pos="567"/>
        </w:tabs>
        <w:rPr>
          <w:szCs w:val="22"/>
        </w:rPr>
      </w:pPr>
    </w:p>
    <w:p w:rsidR="008B4697" w:rsidRPr="00F11688" w:rsidRDefault="008B4697" w:rsidP="008B4697">
      <w:pPr>
        <w:rPr>
          <w:szCs w:val="22"/>
        </w:rPr>
      </w:pPr>
      <w:r w:rsidRPr="00F11688">
        <w:rPr>
          <w:szCs w:val="22"/>
        </w:rPr>
        <w:t xml:space="preserve">Jeigu viduriuojate, gali mažėti </w:t>
      </w:r>
      <w:proofErr w:type="spellStart"/>
      <w:r w:rsidRPr="00F11688">
        <w:rPr>
          <w:szCs w:val="22"/>
        </w:rPr>
        <w:t>Biodroxil</w:t>
      </w:r>
      <w:proofErr w:type="spellEnd"/>
      <w:r w:rsidRPr="00F11688">
        <w:rPr>
          <w:szCs w:val="22"/>
        </w:rPr>
        <w:t xml:space="preserve"> pasisavinimas organizme ir dėl to vaisto poveikis gali būti silpnesnis.</w:t>
      </w:r>
    </w:p>
    <w:p w:rsidR="008B4697" w:rsidRPr="00F11688" w:rsidRDefault="008B4697" w:rsidP="008B4697">
      <w:pPr>
        <w:tabs>
          <w:tab w:val="left" w:pos="567"/>
        </w:tabs>
        <w:rPr>
          <w:szCs w:val="22"/>
        </w:rPr>
      </w:pPr>
    </w:p>
    <w:p w:rsidR="008B4697" w:rsidRPr="00F11688" w:rsidRDefault="008B4697" w:rsidP="008B4697">
      <w:pPr>
        <w:tabs>
          <w:tab w:val="left" w:pos="567"/>
        </w:tabs>
        <w:rPr>
          <w:szCs w:val="22"/>
        </w:rPr>
      </w:pPr>
      <w:r w:rsidRPr="00F11688">
        <w:rPr>
          <w:szCs w:val="22"/>
        </w:rPr>
        <w:t xml:space="preserve">Jeigu prasideda </w:t>
      </w:r>
      <w:r w:rsidRPr="00F11688">
        <w:rPr>
          <w:b/>
          <w:szCs w:val="22"/>
        </w:rPr>
        <w:t>sunkus ir nepraeinantis viduriavimas</w:t>
      </w:r>
      <w:r w:rsidRPr="00F11688">
        <w:rPr>
          <w:szCs w:val="22"/>
        </w:rPr>
        <w:t xml:space="preserve">, kreipkitės į gydytoją. Gydytojas ištirs, ar nėra </w:t>
      </w:r>
      <w:proofErr w:type="spellStart"/>
      <w:r w:rsidRPr="00F11688">
        <w:rPr>
          <w:szCs w:val="22"/>
        </w:rPr>
        <w:t>pseudomembraninio</w:t>
      </w:r>
      <w:proofErr w:type="spellEnd"/>
      <w:r w:rsidRPr="00F11688">
        <w:rPr>
          <w:szCs w:val="22"/>
        </w:rPr>
        <w:t xml:space="preserve"> kolito (infekcinio žarnyno uždegimo). Kadangi jis gali būti net pavojingas gyvybei, </w:t>
      </w:r>
      <w:proofErr w:type="spellStart"/>
      <w:r w:rsidRPr="00F11688">
        <w:rPr>
          <w:szCs w:val="22"/>
        </w:rPr>
        <w:t>Biodroxil</w:t>
      </w:r>
      <w:proofErr w:type="spellEnd"/>
      <w:r w:rsidRPr="00F11688">
        <w:rPr>
          <w:szCs w:val="22"/>
        </w:rPr>
        <w:t xml:space="preserve"> vartojimą būtina tuoj pat nutraukti ir pradėti vartoti tinkamų vaistų (pvz., kitokių antibiotikų). Žarnų veiklą slopinančių vaistų vartoti draudžiama.</w:t>
      </w:r>
    </w:p>
    <w:p w:rsidR="008B4697" w:rsidRPr="00F11688" w:rsidRDefault="008B4697" w:rsidP="008B4697">
      <w:pPr>
        <w:tabs>
          <w:tab w:val="left" w:pos="567"/>
        </w:tabs>
        <w:rPr>
          <w:szCs w:val="22"/>
        </w:rPr>
      </w:pPr>
    </w:p>
    <w:p w:rsidR="008B4697" w:rsidRDefault="008B4697" w:rsidP="008B4697">
      <w:pPr>
        <w:tabs>
          <w:tab w:val="left" w:pos="567"/>
        </w:tabs>
        <w:rPr>
          <w:szCs w:val="22"/>
        </w:rPr>
      </w:pPr>
      <w:proofErr w:type="spellStart"/>
      <w:r w:rsidRPr="00F11688">
        <w:rPr>
          <w:szCs w:val="22"/>
        </w:rPr>
        <w:t>Biodroxil</w:t>
      </w:r>
      <w:proofErr w:type="spellEnd"/>
      <w:r w:rsidRPr="00F11688">
        <w:rPr>
          <w:szCs w:val="22"/>
        </w:rPr>
        <w:t xml:space="preserve">, kaip ir kitokiais antibiotikais, gydant ilgai, gali atsirasti grybelių (pvz., </w:t>
      </w:r>
      <w:proofErr w:type="spellStart"/>
      <w:r w:rsidRPr="00F11688">
        <w:rPr>
          <w:i/>
          <w:szCs w:val="22"/>
        </w:rPr>
        <w:t>Candida</w:t>
      </w:r>
      <w:proofErr w:type="spellEnd"/>
      <w:r w:rsidRPr="00F11688">
        <w:rPr>
          <w:szCs w:val="22"/>
        </w:rPr>
        <w:t>) sukeltų pažeidimų.</w:t>
      </w:r>
    </w:p>
    <w:p w:rsidR="008B4697" w:rsidRPr="00F11688" w:rsidRDefault="008B4697" w:rsidP="008B4697">
      <w:pPr>
        <w:tabs>
          <w:tab w:val="left" w:pos="567"/>
        </w:tabs>
        <w:rPr>
          <w:szCs w:val="22"/>
        </w:rPr>
      </w:pPr>
    </w:p>
    <w:p w:rsidR="008B4697" w:rsidRPr="000F6FF2" w:rsidRDefault="008B4697" w:rsidP="008B4697">
      <w:pPr>
        <w:rPr>
          <w:u w:val="single"/>
        </w:rPr>
      </w:pPr>
      <w:bookmarkStart w:id="0" w:name="_Hlk163224690"/>
      <w:r w:rsidRPr="000F6FF2">
        <w:rPr>
          <w:u w:val="single"/>
        </w:rPr>
        <w:t xml:space="preserve">Ypač atsargiai elkitės su </w:t>
      </w:r>
      <w:proofErr w:type="spellStart"/>
      <w:r w:rsidRPr="000F6FF2">
        <w:rPr>
          <w:u w:val="single"/>
        </w:rPr>
        <w:t>Biodroxil</w:t>
      </w:r>
      <w:proofErr w:type="spellEnd"/>
      <w:r w:rsidRPr="000F6FF2">
        <w:rPr>
          <w:u w:val="single"/>
        </w:rPr>
        <w:t xml:space="preserve">: </w:t>
      </w:r>
    </w:p>
    <w:p w:rsidR="008B4697" w:rsidRDefault="008B4697" w:rsidP="008B4697">
      <w:r>
        <w:t>G</w:t>
      </w:r>
      <w:r w:rsidRPr="003B6AC8">
        <w:t xml:space="preserve">ydant </w:t>
      </w:r>
      <w:r>
        <w:t xml:space="preserve">beta </w:t>
      </w:r>
      <w:proofErr w:type="spellStart"/>
      <w:r>
        <w:t>laktaminių</w:t>
      </w:r>
      <w:proofErr w:type="spellEnd"/>
      <w:r>
        <w:t xml:space="preserve"> grupės antibiotikais  </w:t>
      </w:r>
      <w:r w:rsidRPr="003B6AC8">
        <w:t xml:space="preserve">buvo pranešta apie sunkias odos reakcijas, įskaitant </w:t>
      </w:r>
      <w:proofErr w:type="spellStart"/>
      <w:r w:rsidRPr="003B6AC8">
        <w:t>Stivenso</w:t>
      </w:r>
      <w:proofErr w:type="spellEnd"/>
      <w:r w:rsidRPr="003B6AC8">
        <w:t xml:space="preserve">-Džonsono sindromą, toksinę epidermio </w:t>
      </w:r>
      <w:proofErr w:type="spellStart"/>
      <w:r w:rsidRPr="003B6AC8">
        <w:t>nekrolizę</w:t>
      </w:r>
      <w:proofErr w:type="spellEnd"/>
      <w:r w:rsidRPr="003B6AC8">
        <w:t xml:space="preserve">, vaistų </w:t>
      </w:r>
      <w:r>
        <w:t xml:space="preserve">sukeltą </w:t>
      </w:r>
      <w:r w:rsidRPr="003B6AC8">
        <w:t xml:space="preserve">reakciją su </w:t>
      </w:r>
      <w:proofErr w:type="spellStart"/>
      <w:r w:rsidRPr="003B6AC8">
        <w:t>eozinofilija</w:t>
      </w:r>
      <w:proofErr w:type="spellEnd"/>
      <w:r w:rsidRPr="003B6AC8">
        <w:t xml:space="preserve"> ir sisteminiais simptomais (</w:t>
      </w:r>
      <w:r>
        <w:t>V</w:t>
      </w:r>
      <w:r w:rsidRPr="003B6AC8">
        <w:t>RESS)</w:t>
      </w:r>
      <w:r>
        <w:t xml:space="preserve"> </w:t>
      </w:r>
      <w:r w:rsidRPr="007D115B">
        <w:t>ir ūmin</w:t>
      </w:r>
      <w:r>
        <w:t>ę</w:t>
      </w:r>
      <w:r w:rsidRPr="007D115B">
        <w:t xml:space="preserve"> </w:t>
      </w:r>
      <w:proofErr w:type="spellStart"/>
      <w:r w:rsidRPr="007D115B">
        <w:t>generalizuot</w:t>
      </w:r>
      <w:r>
        <w:t>ą</w:t>
      </w:r>
      <w:proofErr w:type="spellEnd"/>
      <w:r w:rsidRPr="007D115B">
        <w:t xml:space="preserve"> </w:t>
      </w:r>
      <w:proofErr w:type="spellStart"/>
      <w:r w:rsidRPr="007D115B">
        <w:t>egzantemin</w:t>
      </w:r>
      <w:r>
        <w:t>ę</w:t>
      </w:r>
      <w:proofErr w:type="spellEnd"/>
      <w:r w:rsidRPr="007D115B">
        <w:t xml:space="preserve"> </w:t>
      </w:r>
      <w:proofErr w:type="spellStart"/>
      <w:r w:rsidRPr="007D115B">
        <w:t>pustulioz</w:t>
      </w:r>
      <w:r>
        <w:t>ę</w:t>
      </w:r>
      <w:proofErr w:type="spellEnd"/>
      <w:r w:rsidRPr="007D115B">
        <w:t xml:space="preserve"> (</w:t>
      </w:r>
      <w:r>
        <w:t>Ū</w:t>
      </w:r>
      <w:r w:rsidRPr="007D115B">
        <w:t>GEP)</w:t>
      </w:r>
      <w:r w:rsidRPr="003B6AC8">
        <w:t xml:space="preserve">. </w:t>
      </w:r>
      <w:r>
        <w:t xml:space="preserve">Nustokite vartoti </w:t>
      </w:r>
      <w:proofErr w:type="spellStart"/>
      <w:r>
        <w:t>cefadroksilio</w:t>
      </w:r>
      <w:proofErr w:type="spellEnd"/>
      <w:r>
        <w:t xml:space="preserve"> ir n</w:t>
      </w:r>
      <w:r w:rsidRPr="003B6AC8">
        <w:t>edelsdami kreipkitės į gydytoją, jei pastebėjote bet kurį su šiomis sunkiomis odos reakcijomis susijusį simptomą</w:t>
      </w:r>
      <w:r>
        <w:t xml:space="preserve"> (žr. skyrių 4)</w:t>
      </w:r>
      <w:r w:rsidRPr="003B6AC8">
        <w:t>.</w:t>
      </w:r>
    </w:p>
    <w:bookmarkEnd w:id="0"/>
    <w:p w:rsidR="008B4697" w:rsidRPr="00F11688"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b/>
          <w:szCs w:val="22"/>
        </w:rPr>
      </w:pPr>
      <w:r w:rsidRPr="00F11688">
        <w:rPr>
          <w:b/>
          <w:szCs w:val="22"/>
        </w:rPr>
        <w:t xml:space="preserve">Kiti vaistai ir </w:t>
      </w:r>
      <w:proofErr w:type="spellStart"/>
      <w:r w:rsidRPr="00F11688">
        <w:rPr>
          <w:b/>
          <w:szCs w:val="22"/>
        </w:rPr>
        <w:t>Biodroxil</w:t>
      </w:r>
      <w:proofErr w:type="spellEnd"/>
    </w:p>
    <w:p w:rsidR="008B4697" w:rsidRPr="00F11688" w:rsidRDefault="008B4697" w:rsidP="008B4697">
      <w:pPr>
        <w:pStyle w:val="Pagrindinistekstas"/>
        <w:tabs>
          <w:tab w:val="left" w:pos="567"/>
        </w:tabs>
        <w:spacing w:after="0"/>
        <w:rPr>
          <w:szCs w:val="22"/>
        </w:rPr>
      </w:pPr>
      <w:r w:rsidRPr="00F11688">
        <w:rPr>
          <w:szCs w:val="22"/>
        </w:rPr>
        <w:t>Jeigu vartojate ar neseniai vartojote kitų vaistų arba dėl to nesate tikri, apie tai pasakykite gydytojui arba vaistininkui.</w:t>
      </w:r>
    </w:p>
    <w:p w:rsidR="008B4697" w:rsidRPr="00F11688" w:rsidRDefault="008B4697" w:rsidP="008B4697">
      <w:pPr>
        <w:pStyle w:val="Pagrindinistekstas"/>
        <w:tabs>
          <w:tab w:val="left" w:pos="567"/>
        </w:tabs>
        <w:spacing w:after="0"/>
        <w:rPr>
          <w:szCs w:val="22"/>
        </w:rPr>
      </w:pPr>
    </w:p>
    <w:p w:rsidR="008B4697" w:rsidRPr="00F11688" w:rsidRDefault="008B4697" w:rsidP="008B4697">
      <w:pPr>
        <w:tabs>
          <w:tab w:val="left" w:pos="567"/>
        </w:tabs>
        <w:rPr>
          <w:szCs w:val="22"/>
        </w:rPr>
      </w:pPr>
      <w:proofErr w:type="spellStart"/>
      <w:r w:rsidRPr="00F11688">
        <w:rPr>
          <w:bCs/>
          <w:szCs w:val="22"/>
        </w:rPr>
        <w:t>Biodroxil</w:t>
      </w:r>
      <w:proofErr w:type="spellEnd"/>
      <w:r w:rsidRPr="00F11688">
        <w:rPr>
          <w:szCs w:val="22"/>
        </w:rPr>
        <w:t xml:space="preserve"> negalima vartoti kartu su šiais vaistais:</w:t>
      </w:r>
    </w:p>
    <w:p w:rsidR="008B4697" w:rsidRPr="00F11688" w:rsidRDefault="008B4697" w:rsidP="008B4697">
      <w:pPr>
        <w:pStyle w:val="Sraopastraipa"/>
        <w:numPr>
          <w:ilvl w:val="0"/>
          <w:numId w:val="7"/>
        </w:numPr>
        <w:tabs>
          <w:tab w:val="left" w:pos="567"/>
        </w:tabs>
        <w:ind w:left="567" w:hanging="567"/>
        <w:rPr>
          <w:szCs w:val="22"/>
        </w:rPr>
      </w:pPr>
      <w:r w:rsidRPr="00F11688">
        <w:rPr>
          <w:szCs w:val="22"/>
        </w:rPr>
        <w:t xml:space="preserve">antibiotikais, kurie slopina bakterijų dauginimąsi (pvz., </w:t>
      </w:r>
      <w:proofErr w:type="spellStart"/>
      <w:r w:rsidRPr="00F11688">
        <w:rPr>
          <w:szCs w:val="22"/>
        </w:rPr>
        <w:t>tetraciklinais</w:t>
      </w:r>
      <w:proofErr w:type="spellEnd"/>
      <w:r w:rsidRPr="00F11688">
        <w:rPr>
          <w:szCs w:val="22"/>
        </w:rPr>
        <w:t xml:space="preserve">, </w:t>
      </w:r>
      <w:proofErr w:type="spellStart"/>
      <w:r w:rsidRPr="00F11688">
        <w:rPr>
          <w:szCs w:val="22"/>
        </w:rPr>
        <w:t>eritromicinu</w:t>
      </w:r>
      <w:proofErr w:type="spellEnd"/>
      <w:r w:rsidRPr="00F11688">
        <w:rPr>
          <w:szCs w:val="22"/>
        </w:rPr>
        <w:t xml:space="preserve">, </w:t>
      </w:r>
      <w:proofErr w:type="spellStart"/>
      <w:r w:rsidRPr="00F11688">
        <w:rPr>
          <w:szCs w:val="22"/>
        </w:rPr>
        <w:t>sulfamidais</w:t>
      </w:r>
      <w:proofErr w:type="spellEnd"/>
      <w:r w:rsidRPr="00F11688">
        <w:rPr>
          <w:szCs w:val="22"/>
        </w:rPr>
        <w:t xml:space="preserve">, </w:t>
      </w:r>
      <w:proofErr w:type="spellStart"/>
      <w:r w:rsidRPr="00F11688">
        <w:rPr>
          <w:szCs w:val="22"/>
        </w:rPr>
        <w:t>chloramfenikoliu</w:t>
      </w:r>
      <w:proofErr w:type="spellEnd"/>
      <w:r w:rsidRPr="00F11688">
        <w:rPr>
          <w:szCs w:val="22"/>
        </w:rPr>
        <w:t>). Kartu vartojami šie vaistai gali sutrikdyti vieni kitų veikimą</w:t>
      </w:r>
      <w:r>
        <w:rPr>
          <w:szCs w:val="22"/>
        </w:rPr>
        <w:t>;</w:t>
      </w:r>
    </w:p>
    <w:p w:rsidR="008B4697" w:rsidRPr="00F11688" w:rsidRDefault="008B4697" w:rsidP="008B4697">
      <w:pPr>
        <w:pStyle w:val="Sraopastraipa"/>
        <w:numPr>
          <w:ilvl w:val="0"/>
          <w:numId w:val="7"/>
        </w:numPr>
        <w:tabs>
          <w:tab w:val="left" w:pos="567"/>
        </w:tabs>
        <w:ind w:left="567" w:hanging="567"/>
        <w:rPr>
          <w:szCs w:val="22"/>
        </w:rPr>
      </w:pPr>
      <w:r w:rsidRPr="00F11688">
        <w:rPr>
          <w:szCs w:val="22"/>
        </w:rPr>
        <w:t>kai kuriais kitais antibiotikais (</w:t>
      </w:r>
      <w:proofErr w:type="spellStart"/>
      <w:r w:rsidRPr="00F11688">
        <w:rPr>
          <w:szCs w:val="22"/>
        </w:rPr>
        <w:t>aminoglikozidais</w:t>
      </w:r>
      <w:proofErr w:type="spellEnd"/>
      <w:r w:rsidRPr="00F11688">
        <w:rPr>
          <w:szCs w:val="22"/>
        </w:rPr>
        <w:t xml:space="preserve">, </w:t>
      </w:r>
      <w:proofErr w:type="spellStart"/>
      <w:r w:rsidRPr="00F11688">
        <w:rPr>
          <w:szCs w:val="22"/>
        </w:rPr>
        <w:t>polimiksinu</w:t>
      </w:r>
      <w:proofErr w:type="spellEnd"/>
      <w:r w:rsidRPr="00F11688">
        <w:rPr>
          <w:szCs w:val="22"/>
        </w:rPr>
        <w:t xml:space="preserve"> B, </w:t>
      </w:r>
      <w:proofErr w:type="spellStart"/>
      <w:r w:rsidRPr="00F11688">
        <w:rPr>
          <w:szCs w:val="22"/>
        </w:rPr>
        <w:t>kolistinu</w:t>
      </w:r>
      <w:proofErr w:type="spellEnd"/>
      <w:r w:rsidRPr="00F11688">
        <w:rPr>
          <w:szCs w:val="22"/>
        </w:rPr>
        <w:t>). Gali sustiprėti toksinis poveikis inkstams</w:t>
      </w:r>
      <w:r>
        <w:rPr>
          <w:szCs w:val="22"/>
        </w:rPr>
        <w:t>;</w:t>
      </w:r>
    </w:p>
    <w:p w:rsidR="008B4697" w:rsidRPr="00F11688" w:rsidRDefault="008B4697" w:rsidP="008B4697">
      <w:pPr>
        <w:pStyle w:val="Sraopastraipa"/>
        <w:numPr>
          <w:ilvl w:val="0"/>
          <w:numId w:val="7"/>
        </w:numPr>
        <w:tabs>
          <w:tab w:val="left" w:pos="567"/>
        </w:tabs>
        <w:ind w:left="567" w:hanging="567"/>
        <w:rPr>
          <w:szCs w:val="22"/>
        </w:rPr>
      </w:pPr>
      <w:r w:rsidRPr="00F11688">
        <w:rPr>
          <w:szCs w:val="22"/>
        </w:rPr>
        <w:t xml:space="preserve">kai kuriais diuretikais (šlapimą varančiais vaistais), vartojamais didelėmis dozėmis. </w:t>
      </w:r>
      <w:r w:rsidRPr="00F11688">
        <w:rPr>
          <w:bCs/>
          <w:szCs w:val="22"/>
        </w:rPr>
        <w:t>G</w:t>
      </w:r>
      <w:r w:rsidRPr="00F11688">
        <w:rPr>
          <w:szCs w:val="22"/>
        </w:rPr>
        <w:t>ali sustiprėti toksinis poveikis inkstams.</w:t>
      </w:r>
    </w:p>
    <w:p w:rsidR="008B4697" w:rsidRPr="00F11688" w:rsidRDefault="008B4697" w:rsidP="008B4697">
      <w:pPr>
        <w:rPr>
          <w:szCs w:val="22"/>
        </w:rPr>
      </w:pPr>
    </w:p>
    <w:p w:rsidR="008B4697" w:rsidRPr="00F11688" w:rsidRDefault="008B4697" w:rsidP="008B4697">
      <w:pPr>
        <w:rPr>
          <w:szCs w:val="22"/>
        </w:rPr>
      </w:pPr>
      <w:r w:rsidRPr="00F11688">
        <w:rPr>
          <w:szCs w:val="22"/>
        </w:rPr>
        <w:t>Pasakykite gydytojui arba vaistininkui, jeigu vartojate kurio nors iš šių vaistų:</w:t>
      </w:r>
    </w:p>
    <w:p w:rsidR="008B4697" w:rsidRPr="00F11688" w:rsidRDefault="008B4697" w:rsidP="008B4697">
      <w:pPr>
        <w:pStyle w:val="Sraopastraipa"/>
        <w:numPr>
          <w:ilvl w:val="0"/>
          <w:numId w:val="6"/>
        </w:numPr>
        <w:ind w:left="567" w:hanging="567"/>
        <w:rPr>
          <w:szCs w:val="22"/>
        </w:rPr>
      </w:pPr>
      <w:proofErr w:type="spellStart"/>
      <w:r w:rsidRPr="00F11688">
        <w:rPr>
          <w:szCs w:val="22"/>
        </w:rPr>
        <w:t>probenecido</w:t>
      </w:r>
      <w:proofErr w:type="spellEnd"/>
      <w:r w:rsidRPr="00F11688">
        <w:rPr>
          <w:szCs w:val="22"/>
        </w:rPr>
        <w:t xml:space="preserve"> (</w:t>
      </w:r>
      <w:r>
        <w:rPr>
          <w:szCs w:val="22"/>
        </w:rPr>
        <w:t>nuo</w:t>
      </w:r>
      <w:r w:rsidRPr="00F11688">
        <w:rPr>
          <w:szCs w:val="22"/>
        </w:rPr>
        <w:t xml:space="preserve"> podagr</w:t>
      </w:r>
      <w:r>
        <w:rPr>
          <w:szCs w:val="22"/>
        </w:rPr>
        <w:t>os</w:t>
      </w:r>
      <w:r w:rsidRPr="00F11688">
        <w:rPr>
          <w:szCs w:val="22"/>
        </w:rPr>
        <w:t xml:space="preserve">). Gali išlikti didesnė </w:t>
      </w:r>
      <w:proofErr w:type="spellStart"/>
      <w:r w:rsidRPr="00F11688">
        <w:rPr>
          <w:szCs w:val="22"/>
        </w:rPr>
        <w:t>Biodroxil</w:t>
      </w:r>
      <w:proofErr w:type="spellEnd"/>
      <w:r w:rsidRPr="00F11688">
        <w:rPr>
          <w:szCs w:val="22"/>
        </w:rPr>
        <w:t xml:space="preserve"> koncentracija kraujyje</w:t>
      </w:r>
      <w:r>
        <w:rPr>
          <w:szCs w:val="22"/>
        </w:rPr>
        <w:t>;</w:t>
      </w:r>
    </w:p>
    <w:p w:rsidR="008B4697" w:rsidRPr="00F11688" w:rsidRDefault="008B4697" w:rsidP="008B4697">
      <w:pPr>
        <w:pStyle w:val="Sraopastraipa"/>
        <w:numPr>
          <w:ilvl w:val="0"/>
          <w:numId w:val="6"/>
        </w:numPr>
        <w:ind w:left="567" w:hanging="567"/>
        <w:rPr>
          <w:szCs w:val="22"/>
        </w:rPr>
      </w:pPr>
      <w:r w:rsidRPr="00F11688">
        <w:rPr>
          <w:szCs w:val="22"/>
        </w:rPr>
        <w:t>geriamųjų kraujo krešėjimą slopinančių vaistų. Gali sustiprėti šių vaistų poveikis</w:t>
      </w:r>
      <w:r>
        <w:rPr>
          <w:szCs w:val="22"/>
        </w:rPr>
        <w:t>;</w:t>
      </w:r>
    </w:p>
    <w:p w:rsidR="008B4697" w:rsidRPr="00F11688" w:rsidRDefault="008B4697" w:rsidP="008B4697">
      <w:pPr>
        <w:pStyle w:val="Sraopastraipa"/>
        <w:numPr>
          <w:ilvl w:val="0"/>
          <w:numId w:val="6"/>
        </w:numPr>
        <w:ind w:left="567" w:hanging="567"/>
        <w:rPr>
          <w:szCs w:val="22"/>
        </w:rPr>
      </w:pPr>
      <w:proofErr w:type="spellStart"/>
      <w:r w:rsidRPr="00F11688">
        <w:rPr>
          <w:szCs w:val="22"/>
        </w:rPr>
        <w:t>kolestiramino</w:t>
      </w:r>
      <w:proofErr w:type="spellEnd"/>
      <w:r w:rsidRPr="00F11688">
        <w:rPr>
          <w:szCs w:val="22"/>
        </w:rPr>
        <w:t xml:space="preserve"> (vaisto cholesterolio kiekiui kraujyje mažinti). </w:t>
      </w:r>
      <w:proofErr w:type="spellStart"/>
      <w:r w:rsidRPr="00F11688">
        <w:rPr>
          <w:szCs w:val="22"/>
        </w:rPr>
        <w:t>Biodroxil</w:t>
      </w:r>
      <w:proofErr w:type="spellEnd"/>
      <w:r w:rsidRPr="00F11688">
        <w:rPr>
          <w:szCs w:val="22"/>
        </w:rPr>
        <w:t xml:space="preserve"> poveikis gali susilpnėti.</w:t>
      </w:r>
    </w:p>
    <w:p w:rsidR="008B4697" w:rsidRPr="00F11688" w:rsidRDefault="008B4697" w:rsidP="008B4697">
      <w:pPr>
        <w:rPr>
          <w:szCs w:val="22"/>
        </w:rPr>
      </w:pPr>
    </w:p>
    <w:p w:rsidR="008B4697" w:rsidRPr="009F06CF" w:rsidRDefault="008B4697" w:rsidP="008B4697">
      <w:pPr>
        <w:pStyle w:val="Pagrindinistekstas"/>
        <w:tabs>
          <w:tab w:val="left" w:pos="567"/>
        </w:tabs>
        <w:spacing w:after="0"/>
        <w:rPr>
          <w:b/>
          <w:iCs/>
          <w:szCs w:val="22"/>
        </w:rPr>
      </w:pPr>
      <w:r w:rsidRPr="009F06CF">
        <w:rPr>
          <w:b/>
          <w:iCs/>
          <w:szCs w:val="22"/>
        </w:rPr>
        <w:t>Įtaka laboratorinių tyrimų rezultatams</w:t>
      </w:r>
    </w:p>
    <w:p w:rsidR="008B4697" w:rsidRPr="00F11688" w:rsidRDefault="008B4697" w:rsidP="008B4697">
      <w:pPr>
        <w:tabs>
          <w:tab w:val="left" w:pos="567"/>
        </w:tabs>
        <w:rPr>
          <w:szCs w:val="22"/>
        </w:rPr>
      </w:pPr>
      <w:r w:rsidRPr="00F11688">
        <w:rPr>
          <w:szCs w:val="22"/>
        </w:rPr>
        <w:t xml:space="preserve">Vartojant </w:t>
      </w:r>
      <w:proofErr w:type="spellStart"/>
      <w:r w:rsidRPr="00F11688">
        <w:rPr>
          <w:szCs w:val="22"/>
        </w:rPr>
        <w:t>Biodroxil</w:t>
      </w:r>
      <w:proofErr w:type="spellEnd"/>
      <w:r w:rsidRPr="00F11688">
        <w:rPr>
          <w:szCs w:val="22"/>
        </w:rPr>
        <w:t xml:space="preserve">, gali būti klaidingai teigiamas gliukozės kiekio šlapime tyrimo rezultatas. Jeigu Jums reikia atlikti tokį tyrimą, pasakykite gydytojui, kad vartojate </w:t>
      </w:r>
      <w:proofErr w:type="spellStart"/>
      <w:r w:rsidRPr="00F11688">
        <w:rPr>
          <w:szCs w:val="22"/>
        </w:rPr>
        <w:t>Biodroxil</w:t>
      </w:r>
      <w:proofErr w:type="spellEnd"/>
      <w:r w:rsidRPr="00F11688">
        <w:rPr>
          <w:szCs w:val="22"/>
        </w:rPr>
        <w:t>. Atsižvelgdamas į tai, gydytojas paskirs kitą tyrimo metodą (pvz., testo juostele).</w:t>
      </w:r>
    </w:p>
    <w:p w:rsidR="008B4697" w:rsidRPr="00F11688"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b/>
          <w:szCs w:val="22"/>
        </w:rPr>
      </w:pPr>
      <w:proofErr w:type="spellStart"/>
      <w:r w:rsidRPr="00F11688">
        <w:rPr>
          <w:b/>
          <w:bCs/>
          <w:szCs w:val="22"/>
        </w:rPr>
        <w:t>Biodroxil</w:t>
      </w:r>
      <w:proofErr w:type="spellEnd"/>
      <w:r w:rsidRPr="00F11688">
        <w:rPr>
          <w:b/>
          <w:szCs w:val="22"/>
        </w:rPr>
        <w:t xml:space="preserve"> vartojimas su maistu ir gėrimais</w:t>
      </w:r>
    </w:p>
    <w:p w:rsidR="008B4697" w:rsidRPr="00F11688" w:rsidRDefault="008B4697" w:rsidP="008B4697">
      <w:pPr>
        <w:pStyle w:val="Pagrindinistekstas"/>
        <w:tabs>
          <w:tab w:val="left" w:pos="567"/>
        </w:tabs>
        <w:spacing w:after="0"/>
        <w:rPr>
          <w:szCs w:val="22"/>
        </w:rPr>
      </w:pPr>
      <w:r w:rsidRPr="00F11688">
        <w:rPr>
          <w:szCs w:val="22"/>
        </w:rPr>
        <w:t xml:space="preserve">Maistas neturi įtakos vaisto pasisavinimui organizme, todėl </w:t>
      </w:r>
      <w:proofErr w:type="spellStart"/>
      <w:r w:rsidRPr="00F11688">
        <w:rPr>
          <w:bCs/>
          <w:szCs w:val="22"/>
        </w:rPr>
        <w:t>Biodroxil</w:t>
      </w:r>
      <w:proofErr w:type="spellEnd"/>
      <w:r w:rsidRPr="00F11688">
        <w:rPr>
          <w:bCs/>
          <w:szCs w:val="22"/>
        </w:rPr>
        <w:t xml:space="preserve"> </w:t>
      </w:r>
      <w:r w:rsidRPr="00F11688">
        <w:rPr>
          <w:szCs w:val="22"/>
        </w:rPr>
        <w:t>galima vartoti nepriklausomai nuo valgymo laiko.</w:t>
      </w:r>
    </w:p>
    <w:p w:rsidR="008B4697" w:rsidRPr="00F11688" w:rsidRDefault="008B4697" w:rsidP="008B4697">
      <w:pPr>
        <w:pStyle w:val="Pagrindinistekstas"/>
        <w:tabs>
          <w:tab w:val="left" w:pos="567"/>
        </w:tabs>
        <w:spacing w:after="0"/>
        <w:rPr>
          <w:b/>
          <w:szCs w:val="22"/>
        </w:rPr>
      </w:pPr>
    </w:p>
    <w:p w:rsidR="008B4697" w:rsidRPr="00F11688" w:rsidRDefault="008B4697" w:rsidP="008B4697">
      <w:pPr>
        <w:pStyle w:val="Pagrindinistekstas"/>
        <w:tabs>
          <w:tab w:val="left" w:pos="567"/>
        </w:tabs>
        <w:spacing w:after="0"/>
        <w:rPr>
          <w:b/>
          <w:szCs w:val="22"/>
        </w:rPr>
      </w:pPr>
      <w:r w:rsidRPr="00F11688">
        <w:rPr>
          <w:b/>
          <w:szCs w:val="22"/>
        </w:rPr>
        <w:t>Nėštumas ir žindymo laikotarpis</w:t>
      </w:r>
    </w:p>
    <w:p w:rsidR="008B4697" w:rsidRPr="00F11688" w:rsidRDefault="008B4697" w:rsidP="008B4697">
      <w:pPr>
        <w:pStyle w:val="Pagrindinistekstas"/>
        <w:tabs>
          <w:tab w:val="left" w:pos="567"/>
        </w:tabs>
        <w:spacing w:after="0"/>
        <w:rPr>
          <w:szCs w:val="22"/>
        </w:rPr>
      </w:pPr>
      <w:r w:rsidRPr="00F11688">
        <w:rPr>
          <w:szCs w:val="22"/>
        </w:rPr>
        <w:t>Jeigu esate nėščia, žindote kūdikį, manote, kad galbūt esate nėščia, arba planuojate pastoti, tai prieš vartodama šį vaistą, pasitarkite su gydytoju arba vaistininku.</w:t>
      </w:r>
    </w:p>
    <w:p w:rsidR="008B4697" w:rsidRPr="00F11688" w:rsidRDefault="008B4697" w:rsidP="008B4697">
      <w:pPr>
        <w:pStyle w:val="Pagrindinistekstas"/>
        <w:tabs>
          <w:tab w:val="left" w:pos="567"/>
        </w:tabs>
        <w:spacing w:after="0"/>
        <w:rPr>
          <w:szCs w:val="22"/>
        </w:rPr>
      </w:pPr>
      <w:r w:rsidRPr="00F11688">
        <w:rPr>
          <w:szCs w:val="22"/>
        </w:rPr>
        <w:t xml:space="preserve">Nėščioms moterims </w:t>
      </w:r>
      <w:proofErr w:type="spellStart"/>
      <w:r w:rsidRPr="00F11688">
        <w:rPr>
          <w:bCs/>
          <w:szCs w:val="22"/>
        </w:rPr>
        <w:t>Biodroxil</w:t>
      </w:r>
      <w:proofErr w:type="spellEnd"/>
      <w:r w:rsidRPr="00F11688">
        <w:rPr>
          <w:bCs/>
          <w:szCs w:val="22"/>
        </w:rPr>
        <w:t xml:space="preserve"> </w:t>
      </w:r>
      <w:r w:rsidRPr="00F11688">
        <w:rPr>
          <w:szCs w:val="22"/>
        </w:rPr>
        <w:t>galima vartoti tik gydytojo leidimu.</w:t>
      </w:r>
    </w:p>
    <w:p w:rsidR="008B4697" w:rsidRPr="00F11688" w:rsidRDefault="008B4697" w:rsidP="008B4697">
      <w:pPr>
        <w:pStyle w:val="Pagrindinistekstas"/>
        <w:tabs>
          <w:tab w:val="left" w:pos="567"/>
        </w:tabs>
        <w:spacing w:after="0"/>
        <w:rPr>
          <w:szCs w:val="22"/>
        </w:rPr>
      </w:pPr>
      <w:r w:rsidRPr="00F11688">
        <w:rPr>
          <w:szCs w:val="22"/>
        </w:rPr>
        <w:t xml:space="preserve">Veikliosios </w:t>
      </w:r>
      <w:proofErr w:type="spellStart"/>
      <w:r w:rsidRPr="00F11688">
        <w:rPr>
          <w:bCs/>
          <w:szCs w:val="22"/>
        </w:rPr>
        <w:t>Biodroxil</w:t>
      </w:r>
      <w:proofErr w:type="spellEnd"/>
      <w:r w:rsidRPr="00F11688">
        <w:rPr>
          <w:bCs/>
          <w:szCs w:val="22"/>
        </w:rPr>
        <w:t xml:space="preserve"> </w:t>
      </w:r>
      <w:r w:rsidRPr="00F11688">
        <w:rPr>
          <w:szCs w:val="22"/>
        </w:rPr>
        <w:t xml:space="preserve">medžiagos </w:t>
      </w:r>
      <w:proofErr w:type="spellStart"/>
      <w:r w:rsidRPr="00F11688">
        <w:rPr>
          <w:szCs w:val="22"/>
        </w:rPr>
        <w:t>cefadroksilio</w:t>
      </w:r>
      <w:proofErr w:type="spellEnd"/>
      <w:r w:rsidRPr="00F11688">
        <w:rPr>
          <w:szCs w:val="22"/>
        </w:rPr>
        <w:t xml:space="preserve"> išs</w:t>
      </w:r>
      <w:r>
        <w:rPr>
          <w:szCs w:val="22"/>
        </w:rPr>
        <w:t>is</w:t>
      </w:r>
      <w:r w:rsidRPr="00F11688">
        <w:rPr>
          <w:szCs w:val="22"/>
        </w:rPr>
        <w:t xml:space="preserve">kiria su motinos pienu. Žindyvėms </w:t>
      </w:r>
      <w:proofErr w:type="spellStart"/>
      <w:r w:rsidRPr="00F11688">
        <w:rPr>
          <w:bCs/>
          <w:szCs w:val="22"/>
        </w:rPr>
        <w:t>Biodroxil</w:t>
      </w:r>
      <w:proofErr w:type="spellEnd"/>
      <w:r w:rsidRPr="00F11688">
        <w:rPr>
          <w:bCs/>
          <w:szCs w:val="22"/>
        </w:rPr>
        <w:t xml:space="preserve"> </w:t>
      </w:r>
      <w:r w:rsidRPr="00F11688">
        <w:rPr>
          <w:szCs w:val="22"/>
        </w:rPr>
        <w:t>galima vartoti tik gydytojo leidimu.</w:t>
      </w:r>
    </w:p>
    <w:p w:rsidR="008B4697" w:rsidRPr="00F11688"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b/>
          <w:szCs w:val="22"/>
        </w:rPr>
      </w:pPr>
      <w:r w:rsidRPr="00F11688">
        <w:rPr>
          <w:b/>
          <w:szCs w:val="22"/>
        </w:rPr>
        <w:t>Vairavimas ir mechanizmų valdymas</w:t>
      </w:r>
    </w:p>
    <w:p w:rsidR="008B4697" w:rsidRPr="00F11688" w:rsidRDefault="008B4697" w:rsidP="008B4697">
      <w:pPr>
        <w:pStyle w:val="Pagrindinistekstas"/>
        <w:tabs>
          <w:tab w:val="left" w:pos="567"/>
        </w:tabs>
        <w:spacing w:after="0"/>
        <w:rPr>
          <w:szCs w:val="22"/>
        </w:rPr>
      </w:pPr>
      <w:proofErr w:type="spellStart"/>
      <w:r w:rsidRPr="00F11688">
        <w:rPr>
          <w:bCs/>
          <w:szCs w:val="22"/>
        </w:rPr>
        <w:t>Biodroxil</w:t>
      </w:r>
      <w:proofErr w:type="spellEnd"/>
      <w:r w:rsidRPr="00F11688">
        <w:rPr>
          <w:bCs/>
          <w:szCs w:val="22"/>
        </w:rPr>
        <w:t xml:space="preserve"> </w:t>
      </w:r>
      <w:r w:rsidRPr="00F11688">
        <w:rPr>
          <w:szCs w:val="22"/>
        </w:rPr>
        <w:t>gali sukelti galvos skausmą, svaigulį, nervingumą, nemigą ir nuovargį, todėl gali daryti įtaką gebėjimui vairuoti ir valdyti mechanizmus.</w:t>
      </w:r>
    </w:p>
    <w:p w:rsidR="008B4697" w:rsidRPr="00F11688" w:rsidRDefault="008B4697" w:rsidP="008B4697">
      <w:pPr>
        <w:pStyle w:val="Pagrindinistekstas"/>
        <w:tabs>
          <w:tab w:val="left" w:pos="567"/>
        </w:tabs>
        <w:spacing w:after="0"/>
        <w:rPr>
          <w:szCs w:val="22"/>
        </w:rPr>
      </w:pPr>
    </w:p>
    <w:p w:rsidR="008B4697" w:rsidRDefault="008B4697" w:rsidP="008B4697">
      <w:pPr>
        <w:pStyle w:val="Pagrindinistekstas"/>
        <w:tabs>
          <w:tab w:val="left" w:pos="567"/>
        </w:tabs>
        <w:spacing w:after="0"/>
        <w:rPr>
          <w:szCs w:val="22"/>
        </w:rPr>
      </w:pPr>
      <w:r>
        <w:rPr>
          <w:szCs w:val="22"/>
        </w:rPr>
        <w:t>Šio vaisto</w:t>
      </w:r>
      <w:r w:rsidRPr="008D6B9F">
        <w:rPr>
          <w:szCs w:val="22"/>
        </w:rPr>
        <w:t xml:space="preserve"> 1 </w:t>
      </w:r>
      <w:r>
        <w:rPr>
          <w:szCs w:val="22"/>
        </w:rPr>
        <w:t xml:space="preserve">kietojoje </w:t>
      </w:r>
      <w:r w:rsidRPr="008D6B9F">
        <w:rPr>
          <w:szCs w:val="22"/>
        </w:rPr>
        <w:t>kapsu</w:t>
      </w:r>
      <w:r>
        <w:rPr>
          <w:szCs w:val="22"/>
        </w:rPr>
        <w:t>lėje yra mažiau kaip 1 </w:t>
      </w:r>
      <w:proofErr w:type="spellStart"/>
      <w:r>
        <w:rPr>
          <w:szCs w:val="22"/>
        </w:rPr>
        <w:t>mmol</w:t>
      </w:r>
      <w:proofErr w:type="spellEnd"/>
      <w:r>
        <w:rPr>
          <w:szCs w:val="22"/>
        </w:rPr>
        <w:t xml:space="preserve"> (23 </w:t>
      </w:r>
      <w:r w:rsidRPr="008D6B9F">
        <w:rPr>
          <w:szCs w:val="22"/>
        </w:rPr>
        <w:t xml:space="preserve">mg) natrio, </w:t>
      </w:r>
      <w:proofErr w:type="spellStart"/>
      <w:r w:rsidRPr="008D6B9F">
        <w:rPr>
          <w:szCs w:val="22"/>
        </w:rPr>
        <w:t>t.y</w:t>
      </w:r>
      <w:proofErr w:type="spellEnd"/>
      <w:r w:rsidRPr="008D6B9F">
        <w:rPr>
          <w:szCs w:val="22"/>
        </w:rPr>
        <w:t>. jis beveik neturi reikšmės.</w:t>
      </w:r>
    </w:p>
    <w:p w:rsidR="008B4697" w:rsidRPr="00F11688"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b/>
          <w:szCs w:val="22"/>
        </w:rPr>
      </w:pPr>
      <w:r w:rsidRPr="00F11688">
        <w:rPr>
          <w:b/>
          <w:szCs w:val="22"/>
        </w:rPr>
        <w:t>3.</w:t>
      </w:r>
      <w:r w:rsidRPr="00F11688">
        <w:rPr>
          <w:b/>
          <w:szCs w:val="22"/>
        </w:rPr>
        <w:tab/>
        <w:t xml:space="preserve">Kaip vartoti </w:t>
      </w:r>
      <w:proofErr w:type="spellStart"/>
      <w:r w:rsidRPr="00F11688">
        <w:rPr>
          <w:b/>
          <w:szCs w:val="22"/>
        </w:rPr>
        <w:t>Biodroxil</w:t>
      </w:r>
      <w:proofErr w:type="spellEnd"/>
    </w:p>
    <w:p w:rsidR="008B4697" w:rsidRPr="00F11688"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szCs w:val="22"/>
        </w:rPr>
      </w:pPr>
      <w:r w:rsidRPr="00F11688">
        <w:rPr>
          <w:szCs w:val="22"/>
        </w:rPr>
        <w:t>Visada vartokite šį vaistą tiksliai kaip nurodė gydytojas arba vaistininkas.</w:t>
      </w:r>
      <w:r>
        <w:rPr>
          <w:szCs w:val="22"/>
        </w:rPr>
        <w:t xml:space="preserve"> </w:t>
      </w:r>
      <w:r w:rsidRPr="00F11688">
        <w:rPr>
          <w:szCs w:val="22"/>
        </w:rPr>
        <w:t>Jeigu abejojate, kreipkitės į gydytoją arba vaistininką.</w:t>
      </w:r>
    </w:p>
    <w:p w:rsidR="008B4697" w:rsidRPr="00F11688"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szCs w:val="22"/>
        </w:rPr>
      </w:pPr>
      <w:proofErr w:type="spellStart"/>
      <w:r w:rsidRPr="00F11688">
        <w:rPr>
          <w:szCs w:val="22"/>
        </w:rPr>
        <w:t>Biodroxil</w:t>
      </w:r>
      <w:proofErr w:type="spellEnd"/>
      <w:r w:rsidRPr="00F11688">
        <w:rPr>
          <w:szCs w:val="22"/>
        </w:rPr>
        <w:t xml:space="preserve"> kapsulių galima vartoti nepriklausomai nuo valgymo laiko.</w:t>
      </w:r>
    </w:p>
    <w:p w:rsidR="008B4697" w:rsidRPr="00F11688" w:rsidRDefault="008B4697" w:rsidP="008B4697">
      <w:pPr>
        <w:pStyle w:val="Pagrindinistekstas"/>
        <w:tabs>
          <w:tab w:val="left" w:pos="567"/>
        </w:tabs>
        <w:spacing w:after="0"/>
        <w:rPr>
          <w:szCs w:val="22"/>
        </w:rPr>
      </w:pPr>
      <w:r w:rsidRPr="00F11688">
        <w:rPr>
          <w:szCs w:val="22"/>
        </w:rPr>
        <w:t>Kapsules nurykite nekramtytas, užsigerdami dideliu kiekiu skysčio.</w:t>
      </w:r>
    </w:p>
    <w:p w:rsidR="008B4697" w:rsidRPr="00F11688" w:rsidRDefault="008B4697" w:rsidP="008B4697">
      <w:pPr>
        <w:pStyle w:val="Pagrindinistekstas"/>
        <w:tabs>
          <w:tab w:val="left" w:pos="567"/>
        </w:tabs>
        <w:spacing w:after="0"/>
        <w:rPr>
          <w:bCs/>
          <w:szCs w:val="22"/>
        </w:rPr>
      </w:pPr>
    </w:p>
    <w:p w:rsidR="008B4697" w:rsidRPr="00F11688" w:rsidRDefault="008B4697" w:rsidP="008B4697">
      <w:pPr>
        <w:pStyle w:val="Pagrindinistekstas"/>
        <w:tabs>
          <w:tab w:val="left" w:pos="567"/>
        </w:tabs>
        <w:spacing w:after="0"/>
        <w:rPr>
          <w:szCs w:val="22"/>
        </w:rPr>
      </w:pPr>
      <w:r w:rsidRPr="00F11688">
        <w:rPr>
          <w:bCs/>
          <w:szCs w:val="22"/>
        </w:rPr>
        <w:t xml:space="preserve">Gydytojas nustatys, kokia vaisto dozė yra Jums tinkama, atsižvelgdamas į Jūsų </w:t>
      </w:r>
      <w:r w:rsidRPr="00F11688">
        <w:rPr>
          <w:szCs w:val="22"/>
        </w:rPr>
        <w:t>amžių, svorį, inkstų veiklą, infekcinės ligos rūšį ir sunkumą, ligą sukėlusios bakterijos jautrumą.</w:t>
      </w:r>
    </w:p>
    <w:p w:rsidR="008B4697" w:rsidRPr="00F11688" w:rsidRDefault="008B4697" w:rsidP="008B4697">
      <w:pPr>
        <w:pStyle w:val="Pagrindinistekstas"/>
        <w:tabs>
          <w:tab w:val="left" w:pos="567"/>
        </w:tabs>
        <w:spacing w:after="0"/>
        <w:rPr>
          <w:szCs w:val="22"/>
          <w:u w:val="single"/>
        </w:rPr>
      </w:pPr>
    </w:p>
    <w:p w:rsidR="008B4697" w:rsidRPr="00F11688" w:rsidRDefault="008B4697" w:rsidP="008B4697">
      <w:pPr>
        <w:rPr>
          <w:b/>
          <w:szCs w:val="22"/>
        </w:rPr>
      </w:pPr>
      <w:r w:rsidRPr="00F11688">
        <w:rPr>
          <w:b/>
          <w:szCs w:val="22"/>
        </w:rPr>
        <w:t>Suaugusiesiems ir vaikams, sveriantiems daugiau kaip 40 kg</w:t>
      </w:r>
    </w:p>
    <w:p w:rsidR="008B4697" w:rsidRPr="00F11688" w:rsidRDefault="008B4697" w:rsidP="008B4697">
      <w:pPr>
        <w:rPr>
          <w:szCs w:val="22"/>
        </w:rPr>
      </w:pPr>
    </w:p>
    <w:p w:rsidR="008B4697" w:rsidRPr="00F11688" w:rsidRDefault="008B4697" w:rsidP="008B4697">
      <w:pPr>
        <w:rPr>
          <w:szCs w:val="22"/>
          <w:u w:val="single"/>
        </w:rPr>
      </w:pPr>
      <w:r w:rsidRPr="00F11688">
        <w:rPr>
          <w:szCs w:val="22"/>
          <w:u w:val="single"/>
        </w:rPr>
        <w:t>Tonzilių ir gerklės uždegimas</w:t>
      </w:r>
    </w:p>
    <w:p w:rsidR="008B4697" w:rsidRPr="00F11688" w:rsidRDefault="008B4697" w:rsidP="008B4697">
      <w:pPr>
        <w:rPr>
          <w:szCs w:val="22"/>
        </w:rPr>
      </w:pPr>
      <w:r w:rsidRPr="00F11688">
        <w:rPr>
          <w:szCs w:val="22"/>
        </w:rPr>
        <w:t>Įprasta dozė yra 1 g (2 kapsulės) per parą. Ji išgeriama iš karto arba padalijama į 2 lygias dozes. Vaisto vartojama 10</w:t>
      </w:r>
      <w:r>
        <w:rPr>
          <w:szCs w:val="22"/>
        </w:rPr>
        <w:t> </w:t>
      </w:r>
      <w:r w:rsidRPr="00F11688">
        <w:rPr>
          <w:szCs w:val="22"/>
        </w:rPr>
        <w:t>parų.</w:t>
      </w:r>
    </w:p>
    <w:p w:rsidR="008B4697" w:rsidRPr="00F11688" w:rsidRDefault="008B4697" w:rsidP="008B4697">
      <w:pPr>
        <w:rPr>
          <w:szCs w:val="22"/>
        </w:rPr>
      </w:pPr>
    </w:p>
    <w:p w:rsidR="008B4697" w:rsidRPr="00F11688" w:rsidRDefault="008B4697" w:rsidP="008B4697">
      <w:pPr>
        <w:rPr>
          <w:szCs w:val="22"/>
          <w:u w:val="single"/>
        </w:rPr>
      </w:pPr>
      <w:r w:rsidRPr="00F11688">
        <w:rPr>
          <w:szCs w:val="22"/>
          <w:u w:val="single"/>
        </w:rPr>
        <w:t>Odos ir poodinio audinio infekcinės ligos</w:t>
      </w:r>
    </w:p>
    <w:p w:rsidR="008B4697" w:rsidRPr="00F11688" w:rsidRDefault="008B4697" w:rsidP="008B4697">
      <w:pPr>
        <w:rPr>
          <w:szCs w:val="22"/>
        </w:rPr>
      </w:pPr>
      <w:r w:rsidRPr="00F11688">
        <w:rPr>
          <w:szCs w:val="22"/>
        </w:rPr>
        <w:t>Įprasta dozė yra 1 g (2 kapsulės) per parą. Ji išgeriama iš karto arba padalijama į 2 lygias dozes.</w:t>
      </w:r>
    </w:p>
    <w:p w:rsidR="008B4697" w:rsidRPr="00F11688" w:rsidRDefault="008B4697" w:rsidP="008B4697">
      <w:pPr>
        <w:rPr>
          <w:szCs w:val="22"/>
        </w:rPr>
      </w:pPr>
    </w:p>
    <w:p w:rsidR="008B4697" w:rsidRPr="00F11688" w:rsidRDefault="008B4697" w:rsidP="008B4697">
      <w:pPr>
        <w:rPr>
          <w:szCs w:val="22"/>
          <w:u w:val="single"/>
        </w:rPr>
      </w:pPr>
      <w:r w:rsidRPr="00F11688">
        <w:rPr>
          <w:szCs w:val="22"/>
          <w:u w:val="single"/>
        </w:rPr>
        <w:t>Šlapimo takų infekcinės ligos</w:t>
      </w:r>
    </w:p>
    <w:p w:rsidR="008B4697" w:rsidRPr="00F11688" w:rsidRDefault="008B4697" w:rsidP="008B4697">
      <w:pPr>
        <w:rPr>
          <w:szCs w:val="22"/>
        </w:rPr>
      </w:pPr>
      <w:r w:rsidRPr="00F11688">
        <w:rPr>
          <w:szCs w:val="22"/>
        </w:rPr>
        <w:t>Įprasta dozė yra 2 g (4 kapsulės) per parą. Ji padalijama į 2 lygias dozes.</w:t>
      </w:r>
    </w:p>
    <w:p w:rsidR="008B4697" w:rsidRPr="00F11688" w:rsidRDefault="008B4697" w:rsidP="008B4697">
      <w:pPr>
        <w:rPr>
          <w:szCs w:val="22"/>
        </w:rPr>
      </w:pPr>
      <w:r w:rsidRPr="00F11688">
        <w:rPr>
          <w:szCs w:val="22"/>
        </w:rPr>
        <w:t>Įprasta dozė nekomplikuotoms apatinių šlapimo takų infekcinėms ligoms (</w:t>
      </w:r>
      <w:proofErr w:type="spellStart"/>
      <w:r w:rsidRPr="00F11688">
        <w:rPr>
          <w:szCs w:val="22"/>
        </w:rPr>
        <w:t>t.y</w:t>
      </w:r>
      <w:proofErr w:type="spellEnd"/>
      <w:r w:rsidRPr="00F11688">
        <w:rPr>
          <w:szCs w:val="22"/>
        </w:rPr>
        <w:t>. šlapimo pūslės uždegimui) gydyti yra 1 g (2 kapsulės) arba 2 g (4 kapsulės) per parą. Ji išgeriama iš karto arba padalijama į 2 lygias vienkartines dozes.</w:t>
      </w:r>
    </w:p>
    <w:p w:rsidR="008B4697" w:rsidRPr="00F11688" w:rsidRDefault="008B4697" w:rsidP="008B4697">
      <w:pPr>
        <w:rPr>
          <w:szCs w:val="22"/>
        </w:rPr>
      </w:pPr>
    </w:p>
    <w:p w:rsidR="008B4697" w:rsidRPr="00F11688" w:rsidRDefault="008B4697" w:rsidP="008B4697">
      <w:pPr>
        <w:rPr>
          <w:b/>
          <w:szCs w:val="22"/>
        </w:rPr>
      </w:pPr>
      <w:r w:rsidRPr="00F11688">
        <w:rPr>
          <w:b/>
          <w:szCs w:val="22"/>
        </w:rPr>
        <w:t>Vaikams, sveriantiems mažiau kaip 40 kg</w:t>
      </w:r>
    </w:p>
    <w:p w:rsidR="008B4697" w:rsidRPr="00F11688" w:rsidRDefault="008B4697" w:rsidP="008B4697">
      <w:pPr>
        <w:rPr>
          <w:szCs w:val="22"/>
        </w:rPr>
      </w:pPr>
      <w:r w:rsidRPr="00F11688">
        <w:rPr>
          <w:szCs w:val="22"/>
        </w:rPr>
        <w:t>Rekomenduojama įprasta paros dozė yra 25 – 50 mg/kg kūno svorio. Ji lygiomis dalimis išgeriama per du kartus (kas 12 val.).</w:t>
      </w:r>
    </w:p>
    <w:p w:rsidR="008B4697" w:rsidRPr="00F11688" w:rsidRDefault="008B4697" w:rsidP="008B4697">
      <w:pPr>
        <w:rPr>
          <w:szCs w:val="22"/>
        </w:rPr>
      </w:pPr>
      <w:r w:rsidRPr="00F11688">
        <w:rPr>
          <w:szCs w:val="22"/>
        </w:rPr>
        <w:t xml:space="preserve">Gydant tonzilių ar gerklės uždegimą arba </w:t>
      </w:r>
      <w:proofErr w:type="spellStart"/>
      <w:r w:rsidRPr="00F11688">
        <w:rPr>
          <w:szCs w:val="22"/>
        </w:rPr>
        <w:t>impetigą</w:t>
      </w:r>
      <w:proofErr w:type="spellEnd"/>
      <w:r w:rsidRPr="00F11688">
        <w:rPr>
          <w:szCs w:val="22"/>
        </w:rPr>
        <w:t xml:space="preserve"> (</w:t>
      </w:r>
      <w:proofErr w:type="spellStart"/>
      <w:r w:rsidRPr="00F11688">
        <w:rPr>
          <w:szCs w:val="22"/>
        </w:rPr>
        <w:t>pūlinėlinę</w:t>
      </w:r>
      <w:proofErr w:type="spellEnd"/>
      <w:r w:rsidRPr="00F11688">
        <w:rPr>
          <w:szCs w:val="22"/>
        </w:rPr>
        <w:t>), visą rekomenduojamą paros dozę galima išgerti vienu kartu.</w:t>
      </w:r>
    </w:p>
    <w:p w:rsidR="008B4697" w:rsidRPr="00F11688" w:rsidRDefault="008B4697" w:rsidP="008B4697">
      <w:pPr>
        <w:rPr>
          <w:szCs w:val="22"/>
        </w:rPr>
      </w:pPr>
      <w:r w:rsidRPr="00F11688">
        <w:rPr>
          <w:szCs w:val="22"/>
        </w:rPr>
        <w:t>Vaikams negalima vartoti didesnės paros dozės už didžiausią nurodytą suaugusiesiems.</w:t>
      </w:r>
    </w:p>
    <w:p w:rsidR="008B4697" w:rsidRPr="00F11688" w:rsidRDefault="008B4697" w:rsidP="008B4697">
      <w:pPr>
        <w:pStyle w:val="Pagrindinistekstas"/>
        <w:tabs>
          <w:tab w:val="left" w:pos="567"/>
        </w:tabs>
        <w:spacing w:after="0"/>
        <w:rPr>
          <w:b/>
          <w:szCs w:val="22"/>
        </w:rPr>
      </w:pPr>
    </w:p>
    <w:p w:rsidR="008B4697" w:rsidRPr="00F11688" w:rsidRDefault="008B4697" w:rsidP="008B4697">
      <w:pPr>
        <w:pStyle w:val="Pagrindinistekstas"/>
        <w:tabs>
          <w:tab w:val="left" w:pos="567"/>
        </w:tabs>
        <w:spacing w:after="0"/>
        <w:rPr>
          <w:b/>
          <w:szCs w:val="22"/>
        </w:rPr>
      </w:pPr>
      <w:r w:rsidRPr="00F11688">
        <w:rPr>
          <w:b/>
          <w:szCs w:val="22"/>
        </w:rPr>
        <w:t>Senyviems ligoniams</w:t>
      </w:r>
    </w:p>
    <w:p w:rsidR="008B4697" w:rsidRPr="00F11688" w:rsidRDefault="008B4697" w:rsidP="008B4697">
      <w:pPr>
        <w:pStyle w:val="Pagrindinistekstas"/>
        <w:tabs>
          <w:tab w:val="left" w:pos="567"/>
        </w:tabs>
        <w:spacing w:after="0"/>
        <w:rPr>
          <w:szCs w:val="22"/>
        </w:rPr>
      </w:pPr>
      <w:r w:rsidRPr="00F11688">
        <w:rPr>
          <w:szCs w:val="22"/>
        </w:rPr>
        <w:t xml:space="preserve">Gydytojas gali paskirti mažesnę dozę, nei jaunesnio amžiaus ligoniams. </w:t>
      </w:r>
    </w:p>
    <w:p w:rsidR="008B4697" w:rsidRPr="00F11688" w:rsidRDefault="008B4697" w:rsidP="008B4697">
      <w:pPr>
        <w:pStyle w:val="Pagrindinistekstas"/>
        <w:tabs>
          <w:tab w:val="left" w:pos="567"/>
        </w:tabs>
        <w:spacing w:after="0"/>
        <w:rPr>
          <w:b/>
          <w:szCs w:val="22"/>
        </w:rPr>
      </w:pPr>
    </w:p>
    <w:p w:rsidR="008B4697" w:rsidRPr="00F11688" w:rsidRDefault="008B4697" w:rsidP="008B4697">
      <w:pPr>
        <w:pStyle w:val="Pagrindinistekstas"/>
        <w:tabs>
          <w:tab w:val="left" w:pos="567"/>
        </w:tabs>
        <w:spacing w:after="0"/>
        <w:rPr>
          <w:b/>
          <w:szCs w:val="22"/>
        </w:rPr>
      </w:pPr>
      <w:r w:rsidRPr="00F11688">
        <w:rPr>
          <w:b/>
          <w:szCs w:val="22"/>
        </w:rPr>
        <w:t>Ligoniams, kurių inkstų veikla sutrikusi</w:t>
      </w:r>
    </w:p>
    <w:p w:rsidR="008B4697" w:rsidRPr="00F11688" w:rsidRDefault="008B4697" w:rsidP="008B4697">
      <w:pPr>
        <w:pStyle w:val="Pagrindinistekstas"/>
        <w:tabs>
          <w:tab w:val="left" w:pos="567"/>
        </w:tabs>
        <w:spacing w:after="0"/>
        <w:rPr>
          <w:szCs w:val="22"/>
        </w:rPr>
      </w:pPr>
      <w:proofErr w:type="spellStart"/>
      <w:r w:rsidRPr="00F11688">
        <w:rPr>
          <w:szCs w:val="22"/>
        </w:rPr>
        <w:t>Biodroxil</w:t>
      </w:r>
      <w:proofErr w:type="spellEnd"/>
      <w:r w:rsidRPr="00F11688">
        <w:rPr>
          <w:szCs w:val="22"/>
        </w:rPr>
        <w:t xml:space="preserve"> dozę nustato gydytojas, įvertinęs inkstų veiklos sutrikimo sunkumą pagal </w:t>
      </w:r>
      <w:proofErr w:type="spellStart"/>
      <w:r w:rsidRPr="00F11688">
        <w:rPr>
          <w:szCs w:val="22"/>
        </w:rPr>
        <w:t>kreatinino</w:t>
      </w:r>
      <w:proofErr w:type="spellEnd"/>
      <w:r w:rsidRPr="00F11688">
        <w:rPr>
          <w:szCs w:val="22"/>
        </w:rPr>
        <w:t xml:space="preserve"> klirenso (tam tikro inkstų veiklą atspindinčio rodiklio) rodmenis.</w:t>
      </w:r>
    </w:p>
    <w:p w:rsidR="008B4697" w:rsidRPr="00F11688" w:rsidRDefault="008B4697" w:rsidP="008B4697">
      <w:pPr>
        <w:pStyle w:val="Pagrindinistekstas"/>
        <w:tabs>
          <w:tab w:val="left" w:pos="567"/>
        </w:tabs>
        <w:spacing w:after="0"/>
        <w:rPr>
          <w:szCs w:val="22"/>
        </w:rPr>
      </w:pPr>
      <w:r w:rsidRPr="00F11688">
        <w:rPr>
          <w:szCs w:val="22"/>
        </w:rPr>
        <w:t xml:space="preserve">Ligoniams, kurių </w:t>
      </w:r>
      <w:proofErr w:type="spellStart"/>
      <w:r w:rsidRPr="00F11688">
        <w:rPr>
          <w:szCs w:val="22"/>
        </w:rPr>
        <w:t>kreatinino</w:t>
      </w:r>
      <w:proofErr w:type="spellEnd"/>
      <w:r w:rsidRPr="00F11688">
        <w:rPr>
          <w:szCs w:val="22"/>
        </w:rPr>
        <w:t xml:space="preserve"> klirensas yra 50</w:t>
      </w:r>
      <w:r>
        <w:rPr>
          <w:szCs w:val="22"/>
        </w:rPr>
        <w:t> </w:t>
      </w:r>
      <w:r w:rsidRPr="00F11688">
        <w:rPr>
          <w:szCs w:val="22"/>
        </w:rPr>
        <w:t>ml/min., rekomenduojama vadovautis šia sumažinto dozavimo schema.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268"/>
        <w:gridCol w:w="1985"/>
        <w:gridCol w:w="1559"/>
      </w:tblGrid>
      <w:tr w:rsidR="008B4697" w:rsidRPr="00F11688" w:rsidTr="001413AA">
        <w:tc>
          <w:tcPr>
            <w:tcW w:w="2409" w:type="dxa"/>
            <w:tcBorders>
              <w:top w:val="single" w:sz="4" w:space="0" w:color="auto"/>
              <w:left w:val="single" w:sz="4" w:space="0" w:color="auto"/>
              <w:bottom w:val="single" w:sz="4" w:space="0" w:color="auto"/>
              <w:right w:val="single" w:sz="4" w:space="0" w:color="auto"/>
            </w:tcBorders>
            <w:hideMark/>
          </w:tcPr>
          <w:p w:rsidR="008B4697" w:rsidRPr="00F11688" w:rsidRDefault="008B4697" w:rsidP="001413AA">
            <w:pPr>
              <w:tabs>
                <w:tab w:val="left" w:pos="567"/>
              </w:tabs>
              <w:rPr>
                <w:b/>
                <w:szCs w:val="22"/>
              </w:rPr>
            </w:pPr>
            <w:proofErr w:type="spellStart"/>
            <w:r w:rsidRPr="00F11688">
              <w:rPr>
                <w:b/>
                <w:szCs w:val="22"/>
              </w:rPr>
              <w:t>Kreatinino</w:t>
            </w:r>
            <w:proofErr w:type="spellEnd"/>
            <w:r w:rsidRPr="00F11688">
              <w:rPr>
                <w:b/>
                <w:szCs w:val="22"/>
              </w:rPr>
              <w:t xml:space="preserve"> klirensas</w:t>
            </w:r>
          </w:p>
          <w:p w:rsidR="008B4697" w:rsidRPr="00F11688" w:rsidRDefault="008B4697" w:rsidP="001413AA">
            <w:pPr>
              <w:tabs>
                <w:tab w:val="left" w:pos="567"/>
              </w:tabs>
              <w:rPr>
                <w:b/>
                <w:szCs w:val="22"/>
              </w:rPr>
            </w:pPr>
            <w:r w:rsidRPr="00F11688">
              <w:rPr>
                <w:b/>
                <w:szCs w:val="22"/>
              </w:rPr>
              <w:t>(ml/min./1,73</w:t>
            </w:r>
            <w:r>
              <w:rPr>
                <w:b/>
                <w:szCs w:val="22"/>
              </w:rPr>
              <w:t> </w:t>
            </w:r>
            <w:r w:rsidRPr="00F11688">
              <w:rPr>
                <w:b/>
                <w:szCs w:val="22"/>
              </w:rPr>
              <w:t>m</w:t>
            </w:r>
            <w:r w:rsidRPr="00F11688">
              <w:rPr>
                <w:b/>
                <w:szCs w:val="22"/>
                <w:vertAlign w:val="superscript"/>
              </w:rPr>
              <w:t>2</w:t>
            </w:r>
            <w:r w:rsidRPr="00F11688">
              <w:rPr>
                <w:b/>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8B4697" w:rsidRPr="00F11688" w:rsidRDefault="008B4697" w:rsidP="001413AA">
            <w:pPr>
              <w:pStyle w:val="Antrat7"/>
              <w:tabs>
                <w:tab w:val="left" w:pos="567"/>
              </w:tabs>
              <w:spacing w:before="0" w:after="0"/>
              <w:jc w:val="both"/>
              <w:rPr>
                <w:b/>
                <w:sz w:val="22"/>
                <w:szCs w:val="22"/>
              </w:rPr>
            </w:pPr>
            <w:r w:rsidRPr="00F11688">
              <w:rPr>
                <w:b/>
                <w:sz w:val="22"/>
                <w:szCs w:val="22"/>
              </w:rPr>
              <w:t>Pradinė dozė</w:t>
            </w:r>
          </w:p>
        </w:tc>
        <w:tc>
          <w:tcPr>
            <w:tcW w:w="1985" w:type="dxa"/>
            <w:tcBorders>
              <w:top w:val="single" w:sz="4" w:space="0" w:color="auto"/>
              <w:left w:val="single" w:sz="4" w:space="0" w:color="auto"/>
              <w:bottom w:val="single" w:sz="4" w:space="0" w:color="auto"/>
              <w:right w:val="single" w:sz="4" w:space="0" w:color="auto"/>
            </w:tcBorders>
            <w:hideMark/>
          </w:tcPr>
          <w:p w:rsidR="008B4697" w:rsidRPr="00F11688" w:rsidRDefault="008B4697" w:rsidP="001413AA">
            <w:pPr>
              <w:pStyle w:val="Antrat7"/>
              <w:tabs>
                <w:tab w:val="left" w:pos="567"/>
              </w:tabs>
              <w:spacing w:before="0" w:after="0"/>
              <w:jc w:val="both"/>
              <w:rPr>
                <w:b/>
                <w:sz w:val="22"/>
                <w:szCs w:val="22"/>
              </w:rPr>
            </w:pPr>
            <w:r w:rsidRPr="00F11688">
              <w:rPr>
                <w:b/>
                <w:sz w:val="22"/>
                <w:szCs w:val="22"/>
              </w:rPr>
              <w:t>Palaikomoji dozė</w:t>
            </w:r>
          </w:p>
        </w:tc>
        <w:tc>
          <w:tcPr>
            <w:tcW w:w="1559" w:type="dxa"/>
            <w:tcBorders>
              <w:top w:val="single" w:sz="4" w:space="0" w:color="auto"/>
              <w:left w:val="single" w:sz="4" w:space="0" w:color="auto"/>
              <w:bottom w:val="single" w:sz="4" w:space="0" w:color="auto"/>
              <w:right w:val="single" w:sz="4" w:space="0" w:color="auto"/>
            </w:tcBorders>
            <w:hideMark/>
          </w:tcPr>
          <w:p w:rsidR="008B4697" w:rsidRPr="00F11688" w:rsidRDefault="008B4697" w:rsidP="001413AA">
            <w:pPr>
              <w:tabs>
                <w:tab w:val="left" w:pos="567"/>
              </w:tabs>
              <w:rPr>
                <w:b/>
                <w:szCs w:val="22"/>
              </w:rPr>
            </w:pPr>
            <w:r w:rsidRPr="00F11688">
              <w:rPr>
                <w:b/>
                <w:szCs w:val="22"/>
              </w:rPr>
              <w:t>Intervalai tarp dozių</w:t>
            </w:r>
          </w:p>
        </w:tc>
      </w:tr>
      <w:tr w:rsidR="008B4697" w:rsidRPr="00F11688" w:rsidTr="001413AA">
        <w:tc>
          <w:tcPr>
            <w:tcW w:w="2409" w:type="dxa"/>
            <w:tcBorders>
              <w:top w:val="single" w:sz="4" w:space="0" w:color="auto"/>
              <w:left w:val="single" w:sz="4" w:space="0" w:color="auto"/>
              <w:bottom w:val="single" w:sz="4" w:space="0" w:color="auto"/>
              <w:right w:val="single" w:sz="4" w:space="0" w:color="auto"/>
            </w:tcBorders>
            <w:hideMark/>
          </w:tcPr>
          <w:p w:rsidR="008B4697" w:rsidRPr="00F11688" w:rsidRDefault="008B4697" w:rsidP="001413AA">
            <w:pPr>
              <w:tabs>
                <w:tab w:val="left" w:pos="567"/>
              </w:tabs>
              <w:jc w:val="center"/>
              <w:rPr>
                <w:szCs w:val="22"/>
              </w:rPr>
            </w:pPr>
            <w:r w:rsidRPr="00F11688">
              <w:rPr>
                <w:szCs w:val="22"/>
              </w:rPr>
              <w:t>50-25</w:t>
            </w:r>
          </w:p>
          <w:p w:rsidR="008B4697" w:rsidRPr="00F11688" w:rsidRDefault="008B4697" w:rsidP="001413AA">
            <w:pPr>
              <w:tabs>
                <w:tab w:val="left" w:pos="567"/>
              </w:tabs>
              <w:jc w:val="center"/>
              <w:rPr>
                <w:szCs w:val="22"/>
              </w:rPr>
            </w:pPr>
            <w:r w:rsidRPr="00F11688">
              <w:rPr>
                <w:szCs w:val="22"/>
              </w:rPr>
              <w:t>10-25</w:t>
            </w:r>
          </w:p>
          <w:p w:rsidR="008B4697" w:rsidRPr="00F11688" w:rsidRDefault="008B4697" w:rsidP="001413AA">
            <w:pPr>
              <w:tabs>
                <w:tab w:val="left" w:pos="567"/>
              </w:tabs>
              <w:jc w:val="center"/>
              <w:rPr>
                <w:szCs w:val="22"/>
              </w:rPr>
            </w:pPr>
            <w:r w:rsidRPr="00F11688">
              <w:rPr>
                <w:szCs w:val="22"/>
              </w:rPr>
              <w:t>10-0</w:t>
            </w:r>
          </w:p>
        </w:tc>
        <w:tc>
          <w:tcPr>
            <w:tcW w:w="2268" w:type="dxa"/>
            <w:tcBorders>
              <w:top w:val="single" w:sz="4" w:space="0" w:color="auto"/>
              <w:left w:val="single" w:sz="4" w:space="0" w:color="auto"/>
              <w:bottom w:val="single" w:sz="4" w:space="0" w:color="auto"/>
              <w:right w:val="single" w:sz="4" w:space="0" w:color="auto"/>
            </w:tcBorders>
            <w:hideMark/>
          </w:tcPr>
          <w:p w:rsidR="008B4697" w:rsidRPr="00F11688" w:rsidRDefault="008B4697" w:rsidP="001413AA">
            <w:pPr>
              <w:tabs>
                <w:tab w:val="left" w:pos="567"/>
              </w:tabs>
              <w:jc w:val="center"/>
              <w:rPr>
                <w:szCs w:val="22"/>
              </w:rPr>
            </w:pPr>
            <w:r w:rsidRPr="00F11688">
              <w:rPr>
                <w:szCs w:val="22"/>
              </w:rPr>
              <w:t>1000</w:t>
            </w:r>
            <w:r>
              <w:rPr>
                <w:szCs w:val="22"/>
              </w:rPr>
              <w:t> </w:t>
            </w:r>
            <w:r w:rsidRPr="00F11688">
              <w:rPr>
                <w:szCs w:val="22"/>
              </w:rPr>
              <w:t>mg (2 kapsulės)</w:t>
            </w:r>
          </w:p>
          <w:p w:rsidR="008B4697" w:rsidRPr="00F11688" w:rsidRDefault="008B4697" w:rsidP="001413AA">
            <w:pPr>
              <w:tabs>
                <w:tab w:val="left" w:pos="567"/>
              </w:tabs>
              <w:jc w:val="center"/>
              <w:rPr>
                <w:szCs w:val="22"/>
              </w:rPr>
            </w:pPr>
            <w:r w:rsidRPr="00F11688">
              <w:rPr>
                <w:szCs w:val="22"/>
              </w:rPr>
              <w:t>1000</w:t>
            </w:r>
            <w:r>
              <w:rPr>
                <w:szCs w:val="22"/>
              </w:rPr>
              <w:t> </w:t>
            </w:r>
            <w:r w:rsidRPr="00F11688">
              <w:rPr>
                <w:szCs w:val="22"/>
              </w:rPr>
              <w:t>mg (2 kapsulės)</w:t>
            </w:r>
          </w:p>
          <w:p w:rsidR="008B4697" w:rsidRPr="00F11688" w:rsidRDefault="008B4697" w:rsidP="001413AA">
            <w:pPr>
              <w:tabs>
                <w:tab w:val="left" w:pos="567"/>
              </w:tabs>
              <w:jc w:val="center"/>
              <w:rPr>
                <w:szCs w:val="22"/>
              </w:rPr>
            </w:pPr>
            <w:r w:rsidRPr="00F11688">
              <w:rPr>
                <w:szCs w:val="22"/>
              </w:rPr>
              <w:t>1000</w:t>
            </w:r>
            <w:r>
              <w:rPr>
                <w:szCs w:val="22"/>
              </w:rPr>
              <w:t> </w:t>
            </w:r>
            <w:r w:rsidRPr="00F11688">
              <w:rPr>
                <w:szCs w:val="22"/>
              </w:rPr>
              <w:t>mg (2 kapsulės)</w:t>
            </w:r>
          </w:p>
        </w:tc>
        <w:tc>
          <w:tcPr>
            <w:tcW w:w="1985" w:type="dxa"/>
            <w:tcBorders>
              <w:top w:val="single" w:sz="4" w:space="0" w:color="auto"/>
              <w:left w:val="single" w:sz="4" w:space="0" w:color="auto"/>
              <w:bottom w:val="single" w:sz="4" w:space="0" w:color="auto"/>
              <w:right w:val="single" w:sz="4" w:space="0" w:color="auto"/>
            </w:tcBorders>
            <w:hideMark/>
          </w:tcPr>
          <w:p w:rsidR="008B4697" w:rsidRPr="00F11688" w:rsidRDefault="008B4697" w:rsidP="001413AA">
            <w:pPr>
              <w:tabs>
                <w:tab w:val="left" w:pos="567"/>
              </w:tabs>
              <w:jc w:val="center"/>
              <w:rPr>
                <w:szCs w:val="22"/>
              </w:rPr>
            </w:pPr>
            <w:r w:rsidRPr="00F11688">
              <w:rPr>
                <w:szCs w:val="22"/>
              </w:rPr>
              <w:t>500</w:t>
            </w:r>
            <w:r>
              <w:rPr>
                <w:szCs w:val="22"/>
              </w:rPr>
              <w:t> </w:t>
            </w:r>
            <w:r w:rsidRPr="00F11688">
              <w:rPr>
                <w:szCs w:val="22"/>
              </w:rPr>
              <w:t>mg (1 kapsulė)</w:t>
            </w:r>
          </w:p>
          <w:p w:rsidR="008B4697" w:rsidRPr="00F11688" w:rsidRDefault="008B4697" w:rsidP="001413AA">
            <w:pPr>
              <w:tabs>
                <w:tab w:val="left" w:pos="567"/>
              </w:tabs>
              <w:jc w:val="center"/>
              <w:rPr>
                <w:szCs w:val="22"/>
              </w:rPr>
            </w:pPr>
            <w:r w:rsidRPr="00F11688">
              <w:rPr>
                <w:szCs w:val="22"/>
              </w:rPr>
              <w:t>500</w:t>
            </w:r>
            <w:r>
              <w:rPr>
                <w:szCs w:val="22"/>
              </w:rPr>
              <w:t> </w:t>
            </w:r>
            <w:r w:rsidRPr="00F11688">
              <w:rPr>
                <w:szCs w:val="22"/>
              </w:rPr>
              <w:t>mg (1 kapsulė)</w:t>
            </w:r>
          </w:p>
          <w:p w:rsidR="008B4697" w:rsidRPr="00F11688" w:rsidRDefault="008B4697" w:rsidP="001413AA">
            <w:pPr>
              <w:tabs>
                <w:tab w:val="left" w:pos="567"/>
              </w:tabs>
              <w:jc w:val="center"/>
              <w:rPr>
                <w:szCs w:val="22"/>
              </w:rPr>
            </w:pPr>
            <w:r w:rsidRPr="00F11688">
              <w:rPr>
                <w:szCs w:val="22"/>
              </w:rPr>
              <w:t>500</w:t>
            </w:r>
            <w:r>
              <w:rPr>
                <w:szCs w:val="22"/>
              </w:rPr>
              <w:t> </w:t>
            </w:r>
            <w:r w:rsidRPr="00F11688">
              <w:rPr>
                <w:szCs w:val="22"/>
              </w:rPr>
              <w:t>mg (1 kapsulė)</w:t>
            </w:r>
          </w:p>
        </w:tc>
        <w:tc>
          <w:tcPr>
            <w:tcW w:w="1559" w:type="dxa"/>
            <w:tcBorders>
              <w:top w:val="single" w:sz="4" w:space="0" w:color="auto"/>
              <w:left w:val="single" w:sz="4" w:space="0" w:color="auto"/>
              <w:bottom w:val="single" w:sz="4" w:space="0" w:color="auto"/>
              <w:right w:val="single" w:sz="4" w:space="0" w:color="auto"/>
            </w:tcBorders>
            <w:hideMark/>
          </w:tcPr>
          <w:p w:rsidR="008B4697" w:rsidRPr="00F11688" w:rsidRDefault="008B4697" w:rsidP="001413AA">
            <w:pPr>
              <w:tabs>
                <w:tab w:val="left" w:pos="567"/>
              </w:tabs>
              <w:jc w:val="center"/>
              <w:rPr>
                <w:szCs w:val="22"/>
              </w:rPr>
            </w:pPr>
            <w:r w:rsidRPr="00F11688">
              <w:rPr>
                <w:szCs w:val="22"/>
              </w:rPr>
              <w:t>12</w:t>
            </w:r>
            <w:r>
              <w:rPr>
                <w:szCs w:val="22"/>
              </w:rPr>
              <w:t> </w:t>
            </w:r>
            <w:r w:rsidRPr="00F11688">
              <w:rPr>
                <w:szCs w:val="22"/>
              </w:rPr>
              <w:t>val.</w:t>
            </w:r>
          </w:p>
          <w:p w:rsidR="008B4697" w:rsidRPr="00F11688" w:rsidRDefault="008B4697" w:rsidP="001413AA">
            <w:pPr>
              <w:tabs>
                <w:tab w:val="left" w:pos="567"/>
              </w:tabs>
              <w:jc w:val="center"/>
              <w:rPr>
                <w:szCs w:val="22"/>
              </w:rPr>
            </w:pPr>
            <w:r w:rsidRPr="00F11688">
              <w:rPr>
                <w:szCs w:val="22"/>
              </w:rPr>
              <w:t>24</w:t>
            </w:r>
            <w:r>
              <w:rPr>
                <w:szCs w:val="22"/>
              </w:rPr>
              <w:t> </w:t>
            </w:r>
            <w:r w:rsidRPr="00F11688">
              <w:rPr>
                <w:szCs w:val="22"/>
              </w:rPr>
              <w:t>val.</w:t>
            </w:r>
          </w:p>
          <w:p w:rsidR="008B4697" w:rsidRPr="00F11688" w:rsidRDefault="008B4697" w:rsidP="001413AA">
            <w:pPr>
              <w:tabs>
                <w:tab w:val="left" w:pos="567"/>
              </w:tabs>
              <w:jc w:val="center"/>
              <w:rPr>
                <w:szCs w:val="22"/>
              </w:rPr>
            </w:pPr>
            <w:r w:rsidRPr="00F11688">
              <w:rPr>
                <w:szCs w:val="22"/>
              </w:rPr>
              <w:t>36</w:t>
            </w:r>
            <w:r>
              <w:rPr>
                <w:szCs w:val="22"/>
              </w:rPr>
              <w:t> </w:t>
            </w:r>
            <w:r w:rsidRPr="00F11688">
              <w:rPr>
                <w:szCs w:val="22"/>
              </w:rPr>
              <w:t>val.</w:t>
            </w:r>
          </w:p>
        </w:tc>
      </w:tr>
    </w:tbl>
    <w:p w:rsidR="008B4697" w:rsidRPr="00F11688" w:rsidRDefault="008B4697" w:rsidP="008B4697">
      <w:pPr>
        <w:tabs>
          <w:tab w:val="left" w:pos="567"/>
        </w:tabs>
        <w:rPr>
          <w:i/>
          <w:szCs w:val="22"/>
          <w:u w:val="single"/>
        </w:rPr>
      </w:pPr>
    </w:p>
    <w:p w:rsidR="008B4697" w:rsidRPr="00F11688" w:rsidRDefault="008B4697" w:rsidP="008B4697">
      <w:pPr>
        <w:pStyle w:val="Pagrindinistekstas"/>
        <w:tabs>
          <w:tab w:val="left" w:pos="567"/>
        </w:tabs>
        <w:spacing w:after="0"/>
        <w:rPr>
          <w:b/>
          <w:szCs w:val="22"/>
        </w:rPr>
      </w:pPr>
      <w:r w:rsidRPr="00F11688">
        <w:rPr>
          <w:b/>
          <w:szCs w:val="22"/>
        </w:rPr>
        <w:t>Ligoniams, kuriems atliekama inkstų dializė</w:t>
      </w:r>
    </w:p>
    <w:p w:rsidR="008B4697" w:rsidRPr="00F11688" w:rsidRDefault="008B4697" w:rsidP="008B4697">
      <w:pPr>
        <w:tabs>
          <w:tab w:val="left" w:pos="567"/>
        </w:tabs>
        <w:rPr>
          <w:szCs w:val="22"/>
        </w:rPr>
      </w:pPr>
      <w:r w:rsidRPr="00F11688">
        <w:rPr>
          <w:szCs w:val="22"/>
        </w:rPr>
        <w:t>Tokiems ligoniams 500</w:t>
      </w:r>
      <w:r>
        <w:rPr>
          <w:szCs w:val="22"/>
        </w:rPr>
        <w:t> </w:t>
      </w:r>
      <w:r w:rsidRPr="00F11688">
        <w:rPr>
          <w:szCs w:val="22"/>
        </w:rPr>
        <w:t>mg dozę (1 kapsulę) reikia gerti likus 48</w:t>
      </w:r>
      <w:r>
        <w:rPr>
          <w:szCs w:val="22"/>
        </w:rPr>
        <w:t> </w:t>
      </w:r>
      <w:r w:rsidRPr="00F11688">
        <w:rPr>
          <w:szCs w:val="22"/>
        </w:rPr>
        <w:t>val. iki dializės ir 500</w:t>
      </w:r>
      <w:r>
        <w:rPr>
          <w:szCs w:val="22"/>
        </w:rPr>
        <w:t> </w:t>
      </w:r>
      <w:r w:rsidRPr="00F11688">
        <w:rPr>
          <w:szCs w:val="22"/>
        </w:rPr>
        <w:t>mg dozę (1 kapsulę) ją baigus. Tokią pat dozę reikia gerti ir likus 48 valandoms iki kitos dializės, jei dializė atliekama du ar tris kartus per savaitę.</w:t>
      </w:r>
    </w:p>
    <w:p w:rsidR="008B4697" w:rsidRPr="00F11688" w:rsidRDefault="008B4697" w:rsidP="008B4697">
      <w:pPr>
        <w:pStyle w:val="Pagrindinistekstas"/>
        <w:tabs>
          <w:tab w:val="left" w:pos="567"/>
        </w:tabs>
        <w:spacing w:after="0"/>
        <w:rPr>
          <w:b/>
          <w:szCs w:val="22"/>
        </w:rPr>
      </w:pPr>
    </w:p>
    <w:p w:rsidR="008B4697" w:rsidRPr="00F11688" w:rsidRDefault="008B4697" w:rsidP="008B4697">
      <w:pPr>
        <w:pStyle w:val="Pagrindinistekstas"/>
        <w:tabs>
          <w:tab w:val="left" w:pos="567"/>
        </w:tabs>
        <w:spacing w:after="0"/>
        <w:rPr>
          <w:b/>
          <w:szCs w:val="22"/>
        </w:rPr>
      </w:pPr>
      <w:r w:rsidRPr="00F11688">
        <w:rPr>
          <w:b/>
          <w:szCs w:val="22"/>
        </w:rPr>
        <w:t>Gydymo trukmė</w:t>
      </w:r>
    </w:p>
    <w:p w:rsidR="008B4697" w:rsidRPr="00F11688" w:rsidRDefault="008B4697" w:rsidP="008B4697">
      <w:pPr>
        <w:tabs>
          <w:tab w:val="left" w:pos="567"/>
        </w:tabs>
        <w:rPr>
          <w:szCs w:val="22"/>
        </w:rPr>
      </w:pPr>
      <w:proofErr w:type="spellStart"/>
      <w:r w:rsidRPr="00F11688">
        <w:rPr>
          <w:szCs w:val="22"/>
        </w:rPr>
        <w:t>Biodroxil</w:t>
      </w:r>
      <w:proofErr w:type="spellEnd"/>
      <w:r w:rsidRPr="00F11688">
        <w:rPr>
          <w:szCs w:val="22"/>
        </w:rPr>
        <w:t xml:space="preserve"> paprastai gydoma 7-10 parų, tačiau jo patariama vartoti dar 2-3 paras po to, kai išnyksta ligos simptomai. Tam tikros bakterijos (</w:t>
      </w:r>
      <w:proofErr w:type="spellStart"/>
      <w:r w:rsidRPr="00F11688">
        <w:rPr>
          <w:i/>
          <w:szCs w:val="22"/>
        </w:rPr>
        <w:t>Streptococcus</w:t>
      </w:r>
      <w:proofErr w:type="spellEnd"/>
      <w:r w:rsidRPr="00F11688">
        <w:rPr>
          <w:i/>
          <w:szCs w:val="22"/>
        </w:rPr>
        <w:t xml:space="preserve"> </w:t>
      </w:r>
      <w:proofErr w:type="spellStart"/>
      <w:r w:rsidRPr="00F11688">
        <w:rPr>
          <w:i/>
          <w:szCs w:val="22"/>
        </w:rPr>
        <w:t>pyogenes</w:t>
      </w:r>
      <w:proofErr w:type="spellEnd"/>
      <w:r w:rsidRPr="00F11688">
        <w:rPr>
          <w:i/>
          <w:szCs w:val="22"/>
        </w:rPr>
        <w:t>)</w:t>
      </w:r>
      <w:r w:rsidRPr="00F11688">
        <w:rPr>
          <w:szCs w:val="22"/>
        </w:rPr>
        <w:t xml:space="preserve"> sukeltą infekcinę ligą reikia gydyti ne trumpiau kaip 10 parų.</w:t>
      </w:r>
    </w:p>
    <w:p w:rsidR="008B4697" w:rsidRPr="00F11688" w:rsidRDefault="008B4697" w:rsidP="008B4697">
      <w:pPr>
        <w:pStyle w:val="Pagrindinistekstas"/>
        <w:tabs>
          <w:tab w:val="left" w:pos="567"/>
        </w:tabs>
        <w:spacing w:after="0"/>
        <w:rPr>
          <w:szCs w:val="22"/>
        </w:rPr>
      </w:pPr>
    </w:p>
    <w:p w:rsidR="008B4697" w:rsidRPr="00F11688" w:rsidRDefault="008B4697" w:rsidP="008B4697">
      <w:pPr>
        <w:tabs>
          <w:tab w:val="left" w:pos="567"/>
        </w:tabs>
        <w:rPr>
          <w:b/>
          <w:szCs w:val="22"/>
          <w:u w:val="single"/>
        </w:rPr>
      </w:pPr>
      <w:r w:rsidRPr="00F11688">
        <w:rPr>
          <w:b/>
          <w:szCs w:val="22"/>
        </w:rPr>
        <w:t xml:space="preserve">Ką daryti pavartojus per didelę </w:t>
      </w:r>
      <w:proofErr w:type="spellStart"/>
      <w:r w:rsidRPr="00F11688">
        <w:rPr>
          <w:b/>
          <w:szCs w:val="22"/>
        </w:rPr>
        <w:t>Biodroxil</w:t>
      </w:r>
      <w:proofErr w:type="spellEnd"/>
      <w:r w:rsidRPr="00F11688">
        <w:rPr>
          <w:b/>
          <w:szCs w:val="22"/>
        </w:rPr>
        <w:t xml:space="preserve"> dozę?</w:t>
      </w:r>
    </w:p>
    <w:p w:rsidR="008B4697" w:rsidRPr="00F11688" w:rsidRDefault="008B4697" w:rsidP="008B4697">
      <w:pPr>
        <w:pStyle w:val="Pagrindinistekstas2"/>
        <w:tabs>
          <w:tab w:val="left" w:pos="567"/>
        </w:tabs>
        <w:spacing w:after="0" w:line="240" w:lineRule="auto"/>
        <w:rPr>
          <w:i/>
          <w:szCs w:val="22"/>
        </w:rPr>
      </w:pPr>
      <w:r w:rsidRPr="00F11688">
        <w:rPr>
          <w:szCs w:val="22"/>
        </w:rPr>
        <w:t xml:space="preserve">Jeigu įtariate, kad išgėrėte per didelę vaisto dozę arba manote, kad jo nurijo vaikas, nedelsdami kvieskite gydytoją. Gali sutrikti inkstų veikla, virškinimas, pritemti sąmonė, sustiprėti refleksai, išberti odą. Vaisto perdozavus, tuoj pat būtina sukelti vėmimą arba išplauti skrandį, gerti daug skysčių. </w:t>
      </w:r>
    </w:p>
    <w:p w:rsidR="008B4697" w:rsidRPr="00F11688" w:rsidRDefault="008B4697" w:rsidP="008B4697">
      <w:pPr>
        <w:pStyle w:val="Pagrindinistekstas"/>
        <w:tabs>
          <w:tab w:val="left" w:pos="567"/>
        </w:tabs>
        <w:spacing w:after="0"/>
        <w:rPr>
          <w:i/>
          <w:szCs w:val="22"/>
        </w:rPr>
      </w:pPr>
    </w:p>
    <w:p w:rsidR="008B4697" w:rsidRPr="00F11688" w:rsidRDefault="008B4697" w:rsidP="008B4697">
      <w:pPr>
        <w:pStyle w:val="Pagrindinistekstas"/>
        <w:tabs>
          <w:tab w:val="left" w:pos="567"/>
        </w:tabs>
        <w:spacing w:after="0"/>
        <w:rPr>
          <w:b/>
          <w:szCs w:val="22"/>
        </w:rPr>
      </w:pPr>
      <w:r w:rsidRPr="00F11688">
        <w:rPr>
          <w:b/>
          <w:szCs w:val="22"/>
        </w:rPr>
        <w:t xml:space="preserve">Pamiršus pavartoti </w:t>
      </w:r>
      <w:proofErr w:type="spellStart"/>
      <w:r w:rsidRPr="00F11688">
        <w:rPr>
          <w:b/>
          <w:szCs w:val="22"/>
        </w:rPr>
        <w:t>Biodroxil</w:t>
      </w:r>
      <w:proofErr w:type="spellEnd"/>
    </w:p>
    <w:p w:rsidR="008B4697" w:rsidRPr="00F11688" w:rsidRDefault="008B4697" w:rsidP="008B4697">
      <w:pPr>
        <w:pStyle w:val="Pagrindinistekstas"/>
        <w:tabs>
          <w:tab w:val="left" w:pos="567"/>
        </w:tabs>
        <w:spacing w:after="0"/>
        <w:rPr>
          <w:szCs w:val="22"/>
        </w:rPr>
      </w:pPr>
      <w:r w:rsidRPr="00F11688">
        <w:rPr>
          <w:szCs w:val="22"/>
        </w:rPr>
        <w:t>Jeigu įprastiniu laiku vaisto</w:t>
      </w:r>
      <w:r>
        <w:rPr>
          <w:szCs w:val="22"/>
        </w:rPr>
        <w:t xml:space="preserve"> </w:t>
      </w:r>
      <w:r w:rsidRPr="00F11688">
        <w:rPr>
          <w:szCs w:val="22"/>
        </w:rPr>
        <w:t>išgerti pamiršite, gerkite jo tuoj pat, kai tik prisiminsite, tačiau jeigu iki kitos dozės vartojimo laiko bus likę mažiau negu 4 valandos, užmirštosios dozės negerkite, o toliau vaisto vartokite įprastu laiku. Negalima vartoti dvigubos dozės norint kompensuoti praleistą dozę.</w:t>
      </w:r>
    </w:p>
    <w:p w:rsidR="008B4697" w:rsidRPr="00F11688" w:rsidRDefault="008B4697" w:rsidP="008B4697">
      <w:pPr>
        <w:tabs>
          <w:tab w:val="left" w:pos="567"/>
        </w:tabs>
        <w:rPr>
          <w:b/>
          <w:bCs/>
          <w:i/>
          <w:szCs w:val="22"/>
        </w:rPr>
      </w:pPr>
    </w:p>
    <w:p w:rsidR="008B4697" w:rsidRPr="00F11688" w:rsidRDefault="008B4697" w:rsidP="008B4697">
      <w:pPr>
        <w:tabs>
          <w:tab w:val="left" w:pos="567"/>
        </w:tabs>
        <w:rPr>
          <w:b/>
          <w:szCs w:val="22"/>
        </w:rPr>
      </w:pPr>
      <w:r w:rsidRPr="00F11688">
        <w:rPr>
          <w:b/>
          <w:szCs w:val="22"/>
        </w:rPr>
        <w:t xml:space="preserve">Nustojus vartoti </w:t>
      </w:r>
      <w:proofErr w:type="spellStart"/>
      <w:r w:rsidRPr="00F11688">
        <w:rPr>
          <w:b/>
          <w:szCs w:val="22"/>
        </w:rPr>
        <w:t>Biodroxil</w:t>
      </w:r>
      <w:proofErr w:type="spellEnd"/>
    </w:p>
    <w:p w:rsidR="008B4697" w:rsidRPr="00F11688" w:rsidRDefault="008B4697" w:rsidP="008B4697">
      <w:pPr>
        <w:pStyle w:val="Pagrindinistekstas"/>
        <w:tabs>
          <w:tab w:val="left" w:pos="567"/>
        </w:tabs>
        <w:spacing w:after="0"/>
        <w:rPr>
          <w:szCs w:val="22"/>
        </w:rPr>
      </w:pPr>
      <w:r w:rsidRPr="00F11688">
        <w:rPr>
          <w:szCs w:val="22"/>
        </w:rPr>
        <w:t xml:space="preserve">Jeigu Jūs nutrauksite </w:t>
      </w:r>
      <w:proofErr w:type="spellStart"/>
      <w:r w:rsidRPr="00F11688">
        <w:rPr>
          <w:szCs w:val="22"/>
        </w:rPr>
        <w:t>Biodroxil</w:t>
      </w:r>
      <w:proofErr w:type="spellEnd"/>
      <w:r w:rsidRPr="00F11688">
        <w:rPr>
          <w:szCs w:val="22"/>
        </w:rPr>
        <w:t xml:space="preserve"> vartojimą nebaigę viso gydymo kurso, gali vėl atsirasti ligos simptomų, kadangi Jūs esate ne visiškai pasveikę. Jeigu Jūs norite nutraukti </w:t>
      </w:r>
      <w:proofErr w:type="spellStart"/>
      <w:r w:rsidRPr="00F11688">
        <w:rPr>
          <w:szCs w:val="22"/>
        </w:rPr>
        <w:t>Biodroxil</w:t>
      </w:r>
      <w:proofErr w:type="spellEnd"/>
      <w:r w:rsidRPr="00F11688">
        <w:rPr>
          <w:szCs w:val="22"/>
        </w:rPr>
        <w:t xml:space="preserve"> vartojimą nebaigę viso gydymo kurso, prieš tai reikia pasitarti su gydytoju ar vaistininku.</w:t>
      </w:r>
    </w:p>
    <w:p w:rsidR="008B4697"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szCs w:val="22"/>
        </w:rPr>
      </w:pPr>
      <w:r w:rsidRPr="00F11688">
        <w:rPr>
          <w:szCs w:val="22"/>
        </w:rPr>
        <w:t>Jeigu kiltų daugiau klausimų dėl šio vaisto vartojimo, kreipkitės į gydytoją arba vaistininką.</w:t>
      </w:r>
    </w:p>
    <w:p w:rsidR="008B4697"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b/>
          <w:szCs w:val="22"/>
        </w:rPr>
      </w:pPr>
      <w:r w:rsidRPr="00F11688">
        <w:rPr>
          <w:b/>
          <w:szCs w:val="22"/>
        </w:rPr>
        <w:t>4.</w:t>
      </w:r>
      <w:r w:rsidRPr="00F11688">
        <w:rPr>
          <w:b/>
          <w:szCs w:val="22"/>
        </w:rPr>
        <w:tab/>
        <w:t>Galimas šalutinis poveikis</w:t>
      </w:r>
    </w:p>
    <w:p w:rsidR="008B4697" w:rsidRPr="00F11688"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szCs w:val="22"/>
        </w:rPr>
      </w:pPr>
      <w:r w:rsidRPr="00F11688">
        <w:rPr>
          <w:szCs w:val="22"/>
        </w:rPr>
        <w:t>Šis vaistas, kaip ir visi kiti, gali sukelti šalutinį poveikį, nors jis pasireiškia ne visiems žmonėms.</w:t>
      </w:r>
    </w:p>
    <w:p w:rsidR="008B4697" w:rsidRPr="00F11688" w:rsidRDefault="008B4697" w:rsidP="008B4697">
      <w:pPr>
        <w:pStyle w:val="Pagrindinistekstas"/>
        <w:tabs>
          <w:tab w:val="left" w:pos="567"/>
        </w:tabs>
        <w:spacing w:after="0"/>
        <w:rPr>
          <w:szCs w:val="22"/>
        </w:rPr>
      </w:pPr>
      <w:r w:rsidRPr="00F11688">
        <w:rPr>
          <w:szCs w:val="22"/>
        </w:rPr>
        <w:t xml:space="preserve">Šis antibiotikas, kaip ir kiti </w:t>
      </w:r>
      <w:proofErr w:type="spellStart"/>
      <w:r w:rsidRPr="00F11688">
        <w:rPr>
          <w:szCs w:val="22"/>
        </w:rPr>
        <w:t>cefalosporinai</w:t>
      </w:r>
      <w:proofErr w:type="spellEnd"/>
      <w:r w:rsidRPr="00F11688">
        <w:rPr>
          <w:szCs w:val="22"/>
        </w:rPr>
        <w:t>, paprastai toleruojamas gerai. Šalutinis poveikis pasireiškia maždaug 6</w:t>
      </w:r>
      <w:r>
        <w:rPr>
          <w:szCs w:val="22"/>
        </w:rPr>
        <w:t> </w:t>
      </w:r>
      <w:r w:rsidRPr="00F11688">
        <w:rPr>
          <w:szCs w:val="22"/>
        </w:rPr>
        <w:t>% ligonių.</w:t>
      </w:r>
    </w:p>
    <w:p w:rsidR="008B4697" w:rsidRPr="00F11688" w:rsidRDefault="008B4697" w:rsidP="008B4697">
      <w:pPr>
        <w:rPr>
          <w:b/>
          <w:szCs w:val="22"/>
        </w:rPr>
      </w:pPr>
    </w:p>
    <w:p w:rsidR="008B4697" w:rsidRPr="00B340E0" w:rsidRDefault="008B4697" w:rsidP="008B4697">
      <w:pPr>
        <w:tabs>
          <w:tab w:val="left" w:pos="567"/>
        </w:tabs>
        <w:ind w:right="-29"/>
        <w:rPr>
          <w:noProof/>
          <w:snapToGrid w:val="0"/>
          <w:szCs w:val="22"/>
        </w:rPr>
      </w:pPr>
      <w:r w:rsidRPr="00B340E0">
        <w:rPr>
          <w:b/>
          <w:bCs/>
          <w:noProof/>
          <w:snapToGrid w:val="0"/>
          <w:szCs w:val="22"/>
        </w:rPr>
        <w:t>Dažni šalutinio poveikio reiškiniai (gali pasireikšti rečiau kaip 1 iš 10 asmenų):</w:t>
      </w:r>
    </w:p>
    <w:p w:rsidR="008B4697" w:rsidRPr="00F11688" w:rsidRDefault="008B4697" w:rsidP="008B4697">
      <w:pPr>
        <w:rPr>
          <w:szCs w:val="22"/>
        </w:rPr>
      </w:pPr>
      <w:r w:rsidRPr="00F11688">
        <w:rPr>
          <w:szCs w:val="22"/>
        </w:rPr>
        <w:t>Viduriavimas, sutrikęs virškinimas, pykinimas, vėmimas ir karščiavimas, pilvo skausmas, liežuvio uždegimas, dilgėlinė, išbėrimas, niežulys.</w:t>
      </w:r>
    </w:p>
    <w:p w:rsidR="008B4697" w:rsidRPr="00F11688" w:rsidRDefault="008B4697" w:rsidP="008B4697">
      <w:pPr>
        <w:rPr>
          <w:szCs w:val="22"/>
        </w:rPr>
      </w:pPr>
    </w:p>
    <w:p w:rsidR="008B4697" w:rsidRPr="00B340E0" w:rsidRDefault="008B4697" w:rsidP="008B4697">
      <w:pPr>
        <w:pStyle w:val="Default"/>
        <w:jc w:val="both"/>
        <w:rPr>
          <w:i/>
          <w:iCs/>
          <w:color w:val="auto"/>
          <w:sz w:val="22"/>
          <w:szCs w:val="22"/>
        </w:rPr>
      </w:pPr>
      <w:r w:rsidRPr="00B340E0">
        <w:rPr>
          <w:b/>
          <w:bCs/>
          <w:sz w:val="22"/>
          <w:szCs w:val="22"/>
        </w:rPr>
        <w:t xml:space="preserve">Nedažni </w:t>
      </w:r>
      <w:r w:rsidRPr="00B340E0">
        <w:rPr>
          <w:b/>
          <w:bCs/>
          <w:noProof/>
          <w:snapToGrid w:val="0"/>
          <w:color w:val="auto"/>
          <w:sz w:val="22"/>
          <w:szCs w:val="22"/>
        </w:rPr>
        <w:t>šalutinio poveikio reiškiniai (gali pasireikšti rečiau kaip 1 iš 100 asmenų):</w:t>
      </w:r>
    </w:p>
    <w:p w:rsidR="008B4697" w:rsidRPr="00F11688" w:rsidRDefault="008B4697" w:rsidP="008B4697">
      <w:pPr>
        <w:rPr>
          <w:szCs w:val="22"/>
        </w:rPr>
      </w:pPr>
      <w:r w:rsidRPr="00F11688">
        <w:rPr>
          <w:szCs w:val="22"/>
        </w:rPr>
        <w:t>Makšties grybelinė infekcija, burnos pienligė.</w:t>
      </w:r>
    </w:p>
    <w:p w:rsidR="008B4697" w:rsidRPr="00F11688" w:rsidRDefault="008B4697" w:rsidP="008B4697">
      <w:pPr>
        <w:rPr>
          <w:szCs w:val="22"/>
        </w:rPr>
      </w:pPr>
    </w:p>
    <w:p w:rsidR="008B4697" w:rsidRPr="00F11688" w:rsidRDefault="008B4697" w:rsidP="008B4697">
      <w:pPr>
        <w:rPr>
          <w:szCs w:val="22"/>
        </w:rPr>
      </w:pPr>
      <w:r>
        <w:rPr>
          <w:b/>
          <w:bCs/>
          <w:szCs w:val="22"/>
          <w:lang w:eastAsia="lt-LT"/>
        </w:rPr>
        <w:t>Reti šalutinio poveikio reiškiniai (gali pasireikšti rečiau kaip 1 iš 1 000 asmenų):</w:t>
      </w:r>
    </w:p>
    <w:p w:rsidR="008B4697" w:rsidRPr="00F11688" w:rsidRDefault="008B4697" w:rsidP="008B4697">
      <w:pPr>
        <w:pStyle w:val="Pagrindinistekstas"/>
        <w:tabs>
          <w:tab w:val="left" w:pos="567"/>
        </w:tabs>
        <w:spacing w:after="0"/>
        <w:rPr>
          <w:szCs w:val="22"/>
        </w:rPr>
      </w:pPr>
      <w:r w:rsidRPr="00F11688">
        <w:rPr>
          <w:szCs w:val="22"/>
        </w:rPr>
        <w:t>Kraujo ląstelių kiekio pokyčiai (</w:t>
      </w:r>
      <w:proofErr w:type="spellStart"/>
      <w:r w:rsidRPr="00F11688">
        <w:rPr>
          <w:szCs w:val="22"/>
        </w:rPr>
        <w:t>eozinofilija</w:t>
      </w:r>
      <w:proofErr w:type="spellEnd"/>
      <w:r w:rsidRPr="00F11688">
        <w:rPr>
          <w:szCs w:val="22"/>
        </w:rPr>
        <w:t xml:space="preserve">, </w:t>
      </w:r>
      <w:proofErr w:type="spellStart"/>
      <w:r w:rsidRPr="00F11688">
        <w:rPr>
          <w:szCs w:val="22"/>
        </w:rPr>
        <w:t>leukopenija</w:t>
      </w:r>
      <w:proofErr w:type="spellEnd"/>
      <w:r w:rsidRPr="00F11688">
        <w:rPr>
          <w:szCs w:val="22"/>
        </w:rPr>
        <w:t xml:space="preserve">, </w:t>
      </w:r>
      <w:proofErr w:type="spellStart"/>
      <w:r w:rsidRPr="00F11688">
        <w:rPr>
          <w:szCs w:val="22"/>
        </w:rPr>
        <w:t>agranulocitozė</w:t>
      </w:r>
      <w:proofErr w:type="spellEnd"/>
      <w:r w:rsidRPr="00F11688">
        <w:rPr>
          <w:szCs w:val="22"/>
        </w:rPr>
        <w:t xml:space="preserve">, </w:t>
      </w:r>
      <w:proofErr w:type="spellStart"/>
      <w:r w:rsidRPr="00F11688">
        <w:rPr>
          <w:szCs w:val="22"/>
        </w:rPr>
        <w:t>neutropenija</w:t>
      </w:r>
      <w:proofErr w:type="spellEnd"/>
      <w:r w:rsidRPr="00F11688">
        <w:rPr>
          <w:szCs w:val="22"/>
        </w:rPr>
        <w:t xml:space="preserve">, </w:t>
      </w:r>
      <w:proofErr w:type="spellStart"/>
      <w:r w:rsidRPr="00F11688">
        <w:rPr>
          <w:szCs w:val="22"/>
        </w:rPr>
        <w:t>trombocitopenija</w:t>
      </w:r>
      <w:proofErr w:type="spellEnd"/>
      <w:r w:rsidRPr="00F11688">
        <w:rPr>
          <w:szCs w:val="22"/>
        </w:rPr>
        <w:t>), alergija (</w:t>
      </w:r>
      <w:proofErr w:type="spellStart"/>
      <w:r w:rsidRPr="00F11688">
        <w:rPr>
          <w:szCs w:val="22"/>
        </w:rPr>
        <w:t>angioneurozinis</w:t>
      </w:r>
      <w:proofErr w:type="spellEnd"/>
      <w:r w:rsidRPr="00F11688">
        <w:rPr>
          <w:szCs w:val="22"/>
        </w:rPr>
        <w:t xml:space="preserve"> patinimas, </w:t>
      </w:r>
      <w:proofErr w:type="spellStart"/>
      <w:r w:rsidRPr="00F11688">
        <w:rPr>
          <w:szCs w:val="22"/>
        </w:rPr>
        <w:t>seruminė</w:t>
      </w:r>
      <w:proofErr w:type="spellEnd"/>
      <w:r w:rsidRPr="00F11688">
        <w:rPr>
          <w:szCs w:val="22"/>
        </w:rPr>
        <w:t xml:space="preserve"> liga), kepenų sutrikimai (kepenų nepakankamumas, tulžies sąstovis, padidėjęs kepenų fermentų (</w:t>
      </w:r>
      <w:proofErr w:type="spellStart"/>
      <w:r w:rsidRPr="00F11688">
        <w:rPr>
          <w:szCs w:val="22"/>
        </w:rPr>
        <w:t>transaminazių</w:t>
      </w:r>
      <w:proofErr w:type="spellEnd"/>
      <w:r w:rsidRPr="00F11688">
        <w:rPr>
          <w:szCs w:val="22"/>
        </w:rPr>
        <w:t>) aktyvumas), sąnarių skausmas, vaistų sukeltas karščiavimas, inkstų uždegimas.</w:t>
      </w:r>
    </w:p>
    <w:p w:rsidR="008B4697" w:rsidRPr="00F11688" w:rsidRDefault="008B4697" w:rsidP="008B4697">
      <w:pPr>
        <w:rPr>
          <w:szCs w:val="22"/>
        </w:rPr>
      </w:pPr>
    </w:p>
    <w:p w:rsidR="008B4697" w:rsidRPr="00F11688" w:rsidRDefault="008B4697" w:rsidP="008B4697">
      <w:pPr>
        <w:rPr>
          <w:b/>
          <w:szCs w:val="22"/>
        </w:rPr>
      </w:pPr>
      <w:r>
        <w:rPr>
          <w:b/>
          <w:bCs/>
          <w:szCs w:val="22"/>
          <w:lang w:eastAsia="lt-LT"/>
        </w:rPr>
        <w:t>Labai reti šalutinio poveikio reiškiniai (gali pasireikšti rečiau kaip 1 iš 10 000 asmenų):</w:t>
      </w:r>
    </w:p>
    <w:p w:rsidR="008B4697" w:rsidRPr="00F11688" w:rsidRDefault="008B4697" w:rsidP="008B4697">
      <w:pPr>
        <w:rPr>
          <w:szCs w:val="22"/>
        </w:rPr>
      </w:pPr>
      <w:r w:rsidRPr="00F11688">
        <w:rPr>
          <w:szCs w:val="22"/>
        </w:rPr>
        <w:t>Kraujo sutrikimas (hemolizinė anemija), ūmi alerginė reakcija (anafilaksinis šokas)</w:t>
      </w:r>
      <w:r>
        <w:rPr>
          <w:szCs w:val="22"/>
        </w:rPr>
        <w:t>,</w:t>
      </w:r>
      <w:r w:rsidRPr="00F11688">
        <w:rPr>
          <w:szCs w:val="22"/>
        </w:rPr>
        <w:t xml:space="preserve"> galvos skausmas, nemiga, svaigulys, nervingumas, tam tikros rūšies viduriavimas (</w:t>
      </w:r>
      <w:proofErr w:type="spellStart"/>
      <w:r w:rsidRPr="00F11688">
        <w:rPr>
          <w:szCs w:val="22"/>
        </w:rPr>
        <w:t>pseudomembraninis</w:t>
      </w:r>
      <w:proofErr w:type="spellEnd"/>
      <w:r w:rsidRPr="00F11688">
        <w:rPr>
          <w:szCs w:val="22"/>
        </w:rPr>
        <w:t xml:space="preserve"> kolitas), odos sutrikimai (</w:t>
      </w:r>
      <w:proofErr w:type="spellStart"/>
      <w:r w:rsidRPr="00F11688">
        <w:rPr>
          <w:szCs w:val="22"/>
        </w:rPr>
        <w:t>Stivenso</w:t>
      </w:r>
      <w:proofErr w:type="spellEnd"/>
      <w:r w:rsidRPr="00F11688">
        <w:rPr>
          <w:szCs w:val="22"/>
        </w:rPr>
        <w:t xml:space="preserve">-Džonsono sindromas, daugiaformė </w:t>
      </w:r>
      <w:proofErr w:type="spellStart"/>
      <w:r w:rsidRPr="00F11688">
        <w:rPr>
          <w:szCs w:val="22"/>
        </w:rPr>
        <w:t>eritema</w:t>
      </w:r>
      <w:proofErr w:type="spellEnd"/>
      <w:r w:rsidRPr="00F11688">
        <w:rPr>
          <w:szCs w:val="22"/>
        </w:rPr>
        <w:t>), nuovargis, pakitę kai kurių tyrimų duomenys (</w:t>
      </w:r>
      <w:proofErr w:type="spellStart"/>
      <w:r w:rsidRPr="00F11688">
        <w:rPr>
          <w:szCs w:val="22"/>
        </w:rPr>
        <w:t>Kumbso</w:t>
      </w:r>
      <w:proofErr w:type="spellEnd"/>
      <w:r w:rsidRPr="00F11688">
        <w:rPr>
          <w:szCs w:val="22"/>
        </w:rPr>
        <w:t xml:space="preserve"> reakcijų tyrimo rodmenys).</w:t>
      </w:r>
    </w:p>
    <w:p w:rsidR="008B4697" w:rsidRPr="00F11688" w:rsidRDefault="008B4697" w:rsidP="008B4697">
      <w:pPr>
        <w:ind w:left="567" w:hanging="567"/>
        <w:rPr>
          <w:szCs w:val="22"/>
        </w:rPr>
      </w:pPr>
    </w:p>
    <w:p w:rsidR="008B4697" w:rsidRPr="00F11688" w:rsidRDefault="008B4697" w:rsidP="008B4697">
      <w:pPr>
        <w:rPr>
          <w:b/>
          <w:szCs w:val="22"/>
        </w:rPr>
      </w:pPr>
      <w:r w:rsidRPr="00F11688">
        <w:rPr>
          <w:b/>
          <w:szCs w:val="22"/>
        </w:rPr>
        <w:t>Pranešimas apie šalutinį poveikį</w:t>
      </w:r>
    </w:p>
    <w:p w:rsidR="008B4697" w:rsidRPr="00F11688" w:rsidRDefault="008B4697" w:rsidP="008B4697">
      <w:pPr>
        <w:pStyle w:val="Pagrindinistekstas"/>
        <w:tabs>
          <w:tab w:val="left" w:pos="567"/>
        </w:tabs>
        <w:spacing w:after="0"/>
        <w:rPr>
          <w:szCs w:val="22"/>
        </w:rPr>
      </w:pPr>
      <w:r w:rsidRPr="00E0459D">
        <w:t>Jeigu pasireiškė šalutinis poveikis, įskaitant šiame lapelyje nenurodytą, pasakykite gydytojui, vaistininkui</w:t>
      </w:r>
      <w:r>
        <w:t xml:space="preserve"> </w:t>
      </w:r>
      <w:r w:rsidRPr="00E0459D">
        <w:t>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8B4697" w:rsidRPr="00F11688" w:rsidRDefault="008B4697" w:rsidP="008B4697">
      <w:pPr>
        <w:pStyle w:val="Pagrindinistekstas"/>
        <w:tabs>
          <w:tab w:val="left" w:pos="567"/>
        </w:tabs>
        <w:spacing w:after="0"/>
        <w:rPr>
          <w:bCs/>
          <w:szCs w:val="22"/>
        </w:rPr>
      </w:pPr>
    </w:p>
    <w:p w:rsidR="008B4697" w:rsidRPr="00F11688" w:rsidRDefault="008B4697" w:rsidP="008B4697">
      <w:pPr>
        <w:pStyle w:val="Pagrindinistekstas"/>
        <w:tabs>
          <w:tab w:val="left" w:pos="567"/>
        </w:tabs>
        <w:spacing w:after="0"/>
        <w:rPr>
          <w:b/>
          <w:bCs/>
          <w:szCs w:val="22"/>
        </w:rPr>
      </w:pPr>
      <w:r w:rsidRPr="00F11688">
        <w:rPr>
          <w:b/>
          <w:bCs/>
          <w:szCs w:val="22"/>
        </w:rPr>
        <w:t>5.</w:t>
      </w:r>
      <w:r w:rsidRPr="00F11688">
        <w:rPr>
          <w:b/>
          <w:bCs/>
          <w:szCs w:val="22"/>
        </w:rPr>
        <w:tab/>
      </w:r>
      <w:r w:rsidRPr="00F11688">
        <w:rPr>
          <w:b/>
          <w:szCs w:val="22"/>
        </w:rPr>
        <w:t xml:space="preserve">Kaip laikyti </w:t>
      </w:r>
      <w:proofErr w:type="spellStart"/>
      <w:r w:rsidRPr="00F11688">
        <w:rPr>
          <w:b/>
          <w:szCs w:val="22"/>
        </w:rPr>
        <w:t>Biodroxil</w:t>
      </w:r>
      <w:proofErr w:type="spellEnd"/>
    </w:p>
    <w:p w:rsidR="008B4697" w:rsidRPr="00F11688" w:rsidRDefault="008B4697" w:rsidP="008B4697">
      <w:pPr>
        <w:pStyle w:val="Pagrindinistekstas"/>
        <w:tabs>
          <w:tab w:val="left" w:pos="567"/>
        </w:tabs>
        <w:spacing w:after="0"/>
        <w:rPr>
          <w:szCs w:val="22"/>
        </w:rPr>
      </w:pPr>
    </w:p>
    <w:p w:rsidR="008B4697" w:rsidRPr="00F11688" w:rsidRDefault="008B4697" w:rsidP="008B4697">
      <w:pPr>
        <w:tabs>
          <w:tab w:val="left" w:pos="567"/>
        </w:tabs>
        <w:rPr>
          <w:szCs w:val="22"/>
        </w:rPr>
      </w:pPr>
      <w:r w:rsidRPr="00F11688">
        <w:rPr>
          <w:szCs w:val="22"/>
        </w:rPr>
        <w:t>Šį vaistą laikykite vaikams nepastebimoje ir nepasiekiamoje vietoje.</w:t>
      </w:r>
    </w:p>
    <w:p w:rsidR="008B4697" w:rsidRPr="00F11688" w:rsidRDefault="008B4697" w:rsidP="008B4697">
      <w:pPr>
        <w:tabs>
          <w:tab w:val="left" w:pos="567"/>
        </w:tabs>
        <w:rPr>
          <w:szCs w:val="22"/>
        </w:rPr>
      </w:pPr>
    </w:p>
    <w:p w:rsidR="008B4697" w:rsidRPr="00F11688" w:rsidRDefault="008B4697" w:rsidP="008B4697">
      <w:pPr>
        <w:tabs>
          <w:tab w:val="left" w:pos="567"/>
        </w:tabs>
        <w:rPr>
          <w:szCs w:val="22"/>
        </w:rPr>
      </w:pPr>
      <w:r w:rsidRPr="00F11688">
        <w:rPr>
          <w:szCs w:val="22"/>
        </w:rPr>
        <w:t>Šiam vaistui specialių laikymo sąlygų nereikia.</w:t>
      </w:r>
    </w:p>
    <w:p w:rsidR="008B4697" w:rsidRPr="00F11688" w:rsidRDefault="008B4697" w:rsidP="008B4697">
      <w:pPr>
        <w:tabs>
          <w:tab w:val="left" w:pos="567"/>
        </w:tabs>
        <w:rPr>
          <w:szCs w:val="22"/>
        </w:rPr>
      </w:pPr>
    </w:p>
    <w:p w:rsidR="008B4697" w:rsidRPr="00F11688" w:rsidRDefault="008B4697" w:rsidP="008B4697">
      <w:pPr>
        <w:tabs>
          <w:tab w:val="left" w:pos="567"/>
        </w:tabs>
        <w:rPr>
          <w:szCs w:val="22"/>
        </w:rPr>
      </w:pPr>
      <w:r w:rsidRPr="00F11688">
        <w:rPr>
          <w:szCs w:val="22"/>
        </w:rPr>
        <w:t>Ant dėžutės po „</w:t>
      </w:r>
      <w:r>
        <w:rPr>
          <w:szCs w:val="22"/>
        </w:rPr>
        <w:t>EXP</w:t>
      </w:r>
      <w:r w:rsidRPr="00F11688">
        <w:rPr>
          <w:szCs w:val="22"/>
        </w:rPr>
        <w:t>“ ir ant lizdinės plokštelės nurodytam tinkamumo laikui pasibaigus, šio vaisto vartoti negalima. Vaistas tinkamas vartoti iki paskutinės nurodyto mėnesio dienos.</w:t>
      </w:r>
    </w:p>
    <w:p w:rsidR="008B4697" w:rsidRPr="00F11688" w:rsidRDefault="008B4697" w:rsidP="008B4697">
      <w:pPr>
        <w:tabs>
          <w:tab w:val="left" w:pos="567"/>
        </w:tabs>
        <w:rPr>
          <w:szCs w:val="22"/>
        </w:rPr>
      </w:pPr>
    </w:p>
    <w:p w:rsidR="008B4697" w:rsidRPr="00F11688" w:rsidRDefault="008B4697" w:rsidP="008B4697">
      <w:pPr>
        <w:tabs>
          <w:tab w:val="left" w:pos="567"/>
        </w:tabs>
        <w:rPr>
          <w:szCs w:val="22"/>
        </w:rPr>
      </w:pPr>
      <w:r w:rsidRPr="00F11688">
        <w:rPr>
          <w:szCs w:val="22"/>
        </w:rPr>
        <w:t>Vaistų negalima išmesti į kanalizaciją arba su buitinėmis atliekomis. Kaip išmesti nereikalingus vaistus, klauskite vaistininko. Šios priemonės padės apsaugoti aplinką.</w:t>
      </w:r>
    </w:p>
    <w:p w:rsidR="008B4697" w:rsidRPr="00F11688" w:rsidRDefault="008B4697" w:rsidP="008B4697">
      <w:pPr>
        <w:pStyle w:val="Pagrindinistekstas"/>
        <w:tabs>
          <w:tab w:val="left" w:pos="567"/>
        </w:tabs>
        <w:spacing w:after="0"/>
        <w:rPr>
          <w:b/>
          <w:szCs w:val="22"/>
        </w:rPr>
      </w:pPr>
    </w:p>
    <w:p w:rsidR="008B4697" w:rsidRPr="00F11688"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szCs w:val="22"/>
        </w:rPr>
      </w:pPr>
      <w:bookmarkStart w:id="1" w:name="_Toc129243269"/>
      <w:bookmarkStart w:id="2" w:name="_Toc129243144"/>
      <w:r w:rsidRPr="00F11688">
        <w:rPr>
          <w:b/>
          <w:szCs w:val="22"/>
        </w:rPr>
        <w:t>6.</w:t>
      </w:r>
      <w:r w:rsidRPr="00F11688">
        <w:rPr>
          <w:b/>
          <w:szCs w:val="22"/>
        </w:rPr>
        <w:tab/>
        <w:t>Pakuotės turinys ir kita informacija</w:t>
      </w:r>
      <w:bookmarkEnd w:id="1"/>
      <w:bookmarkEnd w:id="2"/>
    </w:p>
    <w:p w:rsidR="008B4697" w:rsidRPr="00F11688"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b/>
          <w:szCs w:val="22"/>
        </w:rPr>
      </w:pPr>
      <w:proofErr w:type="spellStart"/>
      <w:r w:rsidRPr="00F11688">
        <w:rPr>
          <w:b/>
          <w:szCs w:val="22"/>
        </w:rPr>
        <w:t>Biodroxil</w:t>
      </w:r>
      <w:proofErr w:type="spellEnd"/>
      <w:r w:rsidRPr="00F11688">
        <w:rPr>
          <w:b/>
          <w:szCs w:val="22"/>
        </w:rPr>
        <w:t xml:space="preserve"> sudėtis</w:t>
      </w:r>
    </w:p>
    <w:p w:rsidR="008B4697" w:rsidRPr="00F11688" w:rsidRDefault="008B4697" w:rsidP="008B4697">
      <w:pPr>
        <w:pStyle w:val="Pagrindinistekstas"/>
        <w:numPr>
          <w:ilvl w:val="0"/>
          <w:numId w:val="5"/>
        </w:numPr>
        <w:tabs>
          <w:tab w:val="left" w:pos="567"/>
        </w:tabs>
        <w:spacing w:after="0"/>
        <w:ind w:hanging="283"/>
        <w:rPr>
          <w:szCs w:val="22"/>
        </w:rPr>
      </w:pPr>
      <w:r w:rsidRPr="00F11688">
        <w:rPr>
          <w:szCs w:val="22"/>
        </w:rPr>
        <w:t xml:space="preserve">Veiklioji medžiaga yra </w:t>
      </w:r>
      <w:proofErr w:type="spellStart"/>
      <w:r w:rsidRPr="00F11688">
        <w:rPr>
          <w:szCs w:val="22"/>
        </w:rPr>
        <w:t>cefadroksilis</w:t>
      </w:r>
      <w:proofErr w:type="spellEnd"/>
      <w:r w:rsidRPr="00F11688">
        <w:rPr>
          <w:szCs w:val="22"/>
        </w:rPr>
        <w:t xml:space="preserve">. Kiekvienoje kietojoje kapsulėje yra 500 mg </w:t>
      </w:r>
      <w:proofErr w:type="spellStart"/>
      <w:r w:rsidRPr="00F11688">
        <w:rPr>
          <w:szCs w:val="22"/>
        </w:rPr>
        <w:t>cefadroksilio</w:t>
      </w:r>
      <w:proofErr w:type="spellEnd"/>
      <w:r w:rsidRPr="00F11688">
        <w:rPr>
          <w:szCs w:val="22"/>
        </w:rPr>
        <w:t xml:space="preserve"> (</w:t>
      </w:r>
      <w:proofErr w:type="spellStart"/>
      <w:r w:rsidRPr="00F11688">
        <w:rPr>
          <w:szCs w:val="22"/>
        </w:rPr>
        <w:t>monohidrato</w:t>
      </w:r>
      <w:proofErr w:type="spellEnd"/>
      <w:r w:rsidRPr="00F11688">
        <w:rPr>
          <w:szCs w:val="22"/>
        </w:rPr>
        <w:t xml:space="preserve"> pavidalu).</w:t>
      </w:r>
    </w:p>
    <w:p w:rsidR="008B4697" w:rsidRPr="00F11688" w:rsidRDefault="008B4697" w:rsidP="008B4697">
      <w:pPr>
        <w:pStyle w:val="Pagrindinistekstas"/>
        <w:numPr>
          <w:ilvl w:val="0"/>
          <w:numId w:val="5"/>
        </w:numPr>
        <w:tabs>
          <w:tab w:val="left" w:pos="567"/>
        </w:tabs>
        <w:spacing w:after="0"/>
        <w:ind w:hanging="283"/>
        <w:rPr>
          <w:szCs w:val="22"/>
        </w:rPr>
      </w:pPr>
      <w:r w:rsidRPr="00F11688">
        <w:rPr>
          <w:szCs w:val="22"/>
        </w:rPr>
        <w:t xml:space="preserve">Pagalbinės medžiagos kapsulės turinyje yra magnio </w:t>
      </w:r>
      <w:proofErr w:type="spellStart"/>
      <w:r w:rsidRPr="00F11688">
        <w:rPr>
          <w:szCs w:val="22"/>
        </w:rPr>
        <w:t>stearatas</w:t>
      </w:r>
      <w:proofErr w:type="spellEnd"/>
      <w:r w:rsidRPr="00F11688">
        <w:rPr>
          <w:szCs w:val="22"/>
        </w:rPr>
        <w:t xml:space="preserve">, natrio </w:t>
      </w:r>
      <w:proofErr w:type="spellStart"/>
      <w:r w:rsidRPr="00F11688">
        <w:rPr>
          <w:szCs w:val="22"/>
        </w:rPr>
        <w:t>laurilsulfatas</w:t>
      </w:r>
      <w:proofErr w:type="spellEnd"/>
      <w:r w:rsidRPr="00F11688">
        <w:rPr>
          <w:szCs w:val="22"/>
        </w:rPr>
        <w:t xml:space="preserve">, </w:t>
      </w:r>
      <w:proofErr w:type="spellStart"/>
      <w:r w:rsidRPr="00F11688">
        <w:rPr>
          <w:szCs w:val="22"/>
        </w:rPr>
        <w:t>mikrokristalinė</w:t>
      </w:r>
      <w:proofErr w:type="spellEnd"/>
      <w:r w:rsidRPr="00F11688">
        <w:rPr>
          <w:szCs w:val="22"/>
        </w:rPr>
        <w:t xml:space="preserve"> celiuliozė; kapsulės korpuse - želatina, titano dioksidas (E171).</w:t>
      </w:r>
    </w:p>
    <w:p w:rsidR="008B4697" w:rsidRPr="00F11688" w:rsidRDefault="008B4697" w:rsidP="008B4697">
      <w:pPr>
        <w:pStyle w:val="Pagrindinistekstas"/>
        <w:tabs>
          <w:tab w:val="left" w:pos="567"/>
        </w:tabs>
        <w:spacing w:after="0"/>
        <w:rPr>
          <w:szCs w:val="22"/>
        </w:rPr>
      </w:pPr>
    </w:p>
    <w:p w:rsidR="008B4697" w:rsidRPr="00F11688" w:rsidRDefault="008B4697" w:rsidP="008B4697">
      <w:pPr>
        <w:pStyle w:val="Pagrindinistekstas"/>
        <w:tabs>
          <w:tab w:val="left" w:pos="567"/>
        </w:tabs>
        <w:spacing w:after="0"/>
        <w:rPr>
          <w:b/>
          <w:szCs w:val="22"/>
        </w:rPr>
      </w:pPr>
      <w:proofErr w:type="spellStart"/>
      <w:r w:rsidRPr="00F11688">
        <w:rPr>
          <w:b/>
          <w:szCs w:val="22"/>
        </w:rPr>
        <w:t>Biodroxil</w:t>
      </w:r>
      <w:proofErr w:type="spellEnd"/>
      <w:r w:rsidRPr="00F11688">
        <w:rPr>
          <w:b/>
          <w:szCs w:val="22"/>
        </w:rPr>
        <w:t xml:space="preserve"> išvaizda ir kiekis pakuotėje</w:t>
      </w:r>
    </w:p>
    <w:p w:rsidR="008B4697" w:rsidRPr="00F11688" w:rsidRDefault="008B4697" w:rsidP="008B4697">
      <w:pPr>
        <w:tabs>
          <w:tab w:val="left" w:pos="567"/>
        </w:tabs>
        <w:rPr>
          <w:szCs w:val="22"/>
        </w:rPr>
      </w:pPr>
      <w:r w:rsidRPr="00F11688">
        <w:rPr>
          <w:szCs w:val="22"/>
        </w:rPr>
        <w:t>Kapsulės yra baltos, pailgos, užpildytos baltais ar gelsvais milteliais.</w:t>
      </w:r>
    </w:p>
    <w:p w:rsidR="008B4697" w:rsidRPr="00F11688" w:rsidRDefault="008B4697" w:rsidP="008B4697">
      <w:pPr>
        <w:pStyle w:val="Pagrindinistekstas"/>
        <w:tabs>
          <w:tab w:val="left" w:pos="567"/>
        </w:tabs>
        <w:spacing w:after="0"/>
        <w:rPr>
          <w:szCs w:val="22"/>
        </w:rPr>
      </w:pPr>
      <w:r w:rsidRPr="00F11688">
        <w:rPr>
          <w:szCs w:val="22"/>
        </w:rPr>
        <w:t>Kartono dėžutėje yra 12 kietųjų kapsulių, supakuotų į PVC/PVDC/aliuminio lizdinę plokštelę.</w:t>
      </w:r>
    </w:p>
    <w:p w:rsidR="008B4697" w:rsidRPr="00F11688" w:rsidRDefault="008B4697" w:rsidP="008B4697">
      <w:pPr>
        <w:pStyle w:val="Pagrindinistekstas"/>
        <w:tabs>
          <w:tab w:val="left" w:pos="567"/>
        </w:tabs>
        <w:spacing w:after="0"/>
        <w:rPr>
          <w:b/>
          <w:szCs w:val="22"/>
        </w:rPr>
      </w:pPr>
    </w:p>
    <w:p w:rsidR="008B4697" w:rsidRPr="00F11688" w:rsidRDefault="008B4697" w:rsidP="008B4697">
      <w:pPr>
        <w:tabs>
          <w:tab w:val="left" w:pos="567"/>
        </w:tabs>
        <w:rPr>
          <w:b/>
          <w:szCs w:val="22"/>
        </w:rPr>
      </w:pPr>
      <w:r w:rsidRPr="00F11688">
        <w:rPr>
          <w:b/>
          <w:szCs w:val="22"/>
        </w:rPr>
        <w:t>Registruotojas ir gamintojas</w:t>
      </w:r>
    </w:p>
    <w:p w:rsidR="008B4697" w:rsidRPr="00F11688" w:rsidRDefault="008B4697" w:rsidP="008B4697">
      <w:pPr>
        <w:tabs>
          <w:tab w:val="left" w:pos="567"/>
        </w:tabs>
        <w:rPr>
          <w:szCs w:val="22"/>
        </w:rPr>
      </w:pPr>
      <w:proofErr w:type="spellStart"/>
      <w:r w:rsidRPr="00F11688">
        <w:rPr>
          <w:szCs w:val="22"/>
        </w:rPr>
        <w:t>Sandoz</w:t>
      </w:r>
      <w:proofErr w:type="spellEnd"/>
      <w:r w:rsidRPr="00F11688">
        <w:rPr>
          <w:szCs w:val="22"/>
        </w:rPr>
        <w:t xml:space="preserve"> </w:t>
      </w:r>
      <w:proofErr w:type="spellStart"/>
      <w:r w:rsidRPr="00F11688">
        <w:rPr>
          <w:szCs w:val="22"/>
        </w:rPr>
        <w:t>GmbH</w:t>
      </w:r>
      <w:proofErr w:type="spellEnd"/>
    </w:p>
    <w:p w:rsidR="008B4697" w:rsidRPr="00F11688" w:rsidRDefault="008B4697" w:rsidP="008B4697">
      <w:pPr>
        <w:tabs>
          <w:tab w:val="left" w:pos="567"/>
        </w:tabs>
        <w:rPr>
          <w:szCs w:val="22"/>
        </w:rPr>
      </w:pPr>
      <w:proofErr w:type="spellStart"/>
      <w:r w:rsidRPr="00F11688">
        <w:rPr>
          <w:szCs w:val="22"/>
        </w:rPr>
        <w:t>Biochemiestrasse</w:t>
      </w:r>
      <w:proofErr w:type="spellEnd"/>
      <w:r w:rsidRPr="00F11688">
        <w:rPr>
          <w:szCs w:val="22"/>
        </w:rPr>
        <w:t xml:space="preserve"> 10</w:t>
      </w:r>
    </w:p>
    <w:p w:rsidR="008B4697" w:rsidRPr="00F11688" w:rsidRDefault="008B4697" w:rsidP="008B4697">
      <w:pPr>
        <w:tabs>
          <w:tab w:val="left" w:pos="567"/>
        </w:tabs>
        <w:rPr>
          <w:szCs w:val="22"/>
        </w:rPr>
      </w:pPr>
      <w:r w:rsidRPr="00F11688">
        <w:rPr>
          <w:szCs w:val="22"/>
        </w:rPr>
        <w:t>A-6250</w:t>
      </w:r>
      <w:r>
        <w:rPr>
          <w:szCs w:val="22"/>
        </w:rPr>
        <w:t xml:space="preserve"> </w:t>
      </w:r>
      <w:proofErr w:type="spellStart"/>
      <w:r w:rsidRPr="00F11688">
        <w:rPr>
          <w:szCs w:val="22"/>
        </w:rPr>
        <w:t>Kundl</w:t>
      </w:r>
      <w:proofErr w:type="spellEnd"/>
    </w:p>
    <w:p w:rsidR="008B4697" w:rsidRPr="00F11688" w:rsidRDefault="008B4697" w:rsidP="008B4697">
      <w:pPr>
        <w:tabs>
          <w:tab w:val="left" w:pos="567"/>
        </w:tabs>
        <w:rPr>
          <w:szCs w:val="22"/>
        </w:rPr>
      </w:pPr>
      <w:r w:rsidRPr="00F11688">
        <w:rPr>
          <w:szCs w:val="22"/>
        </w:rPr>
        <w:t>Austrija</w:t>
      </w:r>
    </w:p>
    <w:p w:rsidR="008B4697" w:rsidRPr="00F11688" w:rsidRDefault="008B4697" w:rsidP="008B4697">
      <w:pPr>
        <w:pStyle w:val="BTEMEASMCA"/>
        <w:rPr>
          <w:rFonts w:ascii="Times New Roman" w:hAnsi="Times New Roman" w:cs="Times New Roman"/>
          <w:noProof w:val="0"/>
        </w:rPr>
      </w:pPr>
    </w:p>
    <w:p w:rsidR="008B4697" w:rsidRPr="00F11688" w:rsidRDefault="008B4697" w:rsidP="008B4697">
      <w:pPr>
        <w:pStyle w:val="BTEMEASMCA"/>
        <w:rPr>
          <w:rFonts w:ascii="Times New Roman" w:hAnsi="Times New Roman" w:cs="Times New Roman"/>
          <w:noProof w:val="0"/>
        </w:rPr>
      </w:pPr>
      <w:r w:rsidRPr="00F11688">
        <w:rPr>
          <w:rFonts w:ascii="Times New Roman" w:hAnsi="Times New Roman" w:cs="Times New Roman"/>
          <w:noProof w:val="0"/>
        </w:rPr>
        <w:t>Jeigu apie šį vaistą norite sužinoti daugiau, kreipkitės į vietinį registruotojo atstovą.</w:t>
      </w:r>
    </w:p>
    <w:p w:rsidR="008B4697" w:rsidRPr="00F11688" w:rsidRDefault="008B4697" w:rsidP="008B4697">
      <w:pPr>
        <w:pStyle w:val="BTEMEASMCA"/>
        <w:rPr>
          <w:rFonts w:ascii="Times New Roman" w:hAnsi="Times New Roman" w:cs="Times New Roman"/>
          <w:noProof w:val="0"/>
        </w:rPr>
      </w:pPr>
    </w:p>
    <w:p w:rsidR="008B4697" w:rsidRPr="00F11688" w:rsidRDefault="008B4697" w:rsidP="008B4697">
      <w:pPr>
        <w:tabs>
          <w:tab w:val="left" w:pos="567"/>
        </w:tabs>
        <w:rPr>
          <w:szCs w:val="22"/>
        </w:rPr>
      </w:pPr>
      <w:proofErr w:type="spellStart"/>
      <w:r w:rsidRPr="00F11688">
        <w:rPr>
          <w:szCs w:val="22"/>
        </w:rPr>
        <w:t>Sandoz</w:t>
      </w:r>
      <w:proofErr w:type="spellEnd"/>
      <w:r w:rsidRPr="00F11688">
        <w:rPr>
          <w:szCs w:val="22"/>
        </w:rPr>
        <w:t xml:space="preserve"> </w:t>
      </w:r>
      <w:proofErr w:type="spellStart"/>
      <w:r w:rsidRPr="00F11688">
        <w:rPr>
          <w:szCs w:val="22"/>
        </w:rPr>
        <w:t>Pharmaceuticals</w:t>
      </w:r>
      <w:proofErr w:type="spellEnd"/>
      <w:r w:rsidRPr="00F11688">
        <w:rPr>
          <w:szCs w:val="22"/>
        </w:rPr>
        <w:t xml:space="preserve"> </w:t>
      </w:r>
      <w:proofErr w:type="spellStart"/>
      <w:r w:rsidRPr="00F11688">
        <w:rPr>
          <w:szCs w:val="22"/>
        </w:rPr>
        <w:t>d.d</w:t>
      </w:r>
      <w:proofErr w:type="spellEnd"/>
      <w:r w:rsidRPr="00F11688">
        <w:rPr>
          <w:szCs w:val="22"/>
        </w:rPr>
        <w:t>. filialas</w:t>
      </w:r>
    </w:p>
    <w:p w:rsidR="008B4697" w:rsidRPr="00F11688" w:rsidRDefault="008B4697" w:rsidP="008B4697">
      <w:pPr>
        <w:tabs>
          <w:tab w:val="left" w:pos="567"/>
        </w:tabs>
        <w:rPr>
          <w:szCs w:val="22"/>
        </w:rPr>
      </w:pPr>
      <w:r w:rsidRPr="00F11688">
        <w:rPr>
          <w:szCs w:val="22"/>
        </w:rPr>
        <w:t>Tel. +370 5 2636 037</w:t>
      </w:r>
    </w:p>
    <w:p w:rsidR="008B4697" w:rsidRPr="00F11688" w:rsidRDefault="008B4697" w:rsidP="008B4697">
      <w:pPr>
        <w:numPr>
          <w:ilvl w:val="12"/>
          <w:numId w:val="0"/>
        </w:numPr>
        <w:tabs>
          <w:tab w:val="left" w:pos="567"/>
        </w:tabs>
        <w:ind w:left="567" w:hanging="567"/>
        <w:jc w:val="both"/>
        <w:rPr>
          <w:szCs w:val="22"/>
        </w:rPr>
      </w:pPr>
    </w:p>
    <w:p w:rsidR="008B4697" w:rsidRPr="00CE4D72" w:rsidRDefault="008B4697" w:rsidP="008B4697">
      <w:pPr>
        <w:pStyle w:val="BTbEMEASMCA"/>
      </w:pPr>
      <w:r w:rsidRPr="00CE4D72">
        <w:t>Šis pakuotės lapelis paskutinį kartą peržiūrėtas 202</w:t>
      </w:r>
      <w:r>
        <w:t>5-02-07.</w:t>
      </w:r>
    </w:p>
    <w:p w:rsidR="008B4697" w:rsidRPr="00F11688" w:rsidRDefault="008B4697" w:rsidP="008B4697">
      <w:pPr>
        <w:tabs>
          <w:tab w:val="left" w:pos="567"/>
        </w:tabs>
        <w:jc w:val="both"/>
        <w:rPr>
          <w:szCs w:val="22"/>
        </w:rPr>
      </w:pPr>
    </w:p>
    <w:p w:rsidR="008B4697" w:rsidRDefault="008B4697" w:rsidP="008B4697">
      <w:pPr>
        <w:pStyle w:val="BTEMEASMCA"/>
        <w:rPr>
          <w:rStyle w:val="Hipersaitas"/>
          <w:noProof w:val="0"/>
        </w:rPr>
      </w:pPr>
      <w:r w:rsidRPr="00F11688">
        <w:rPr>
          <w:rFonts w:ascii="Times New Roman" w:hAnsi="Times New Roman" w:cs="Times New Roman"/>
          <w:noProof w:val="0"/>
        </w:rPr>
        <w:t xml:space="preserve">Išsami informacija apie šį vaistą pateikiama Valstybinės vaistų kontrolės tarnybos prie Lietuvos Respublikos sveikatos apsaugos ministerijos tinklalapyje </w:t>
      </w:r>
      <w:r w:rsidRPr="00C7102D">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color w:val="0000EE"/>
          <w:u w:val="single"/>
          <w:lang w:eastAsia="lt-LT"/>
        </w:rPr>
        <w:t>.</w:t>
      </w:r>
    </w:p>
    <w:p w:rsidR="008B4697" w:rsidRDefault="008B4697" w:rsidP="008B4697">
      <w:pPr>
        <w:pStyle w:val="BTEMEASMCA"/>
        <w:rPr>
          <w:rStyle w:val="Hipersaitas"/>
          <w:noProof w:val="0"/>
        </w:rPr>
      </w:pP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26F6A"/>
    <w:multiLevelType w:val="hybridMultilevel"/>
    <w:tmpl w:val="07E4218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2E80276"/>
    <w:multiLevelType w:val="hybridMultilevel"/>
    <w:tmpl w:val="1B18AB3C"/>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B66012"/>
    <w:multiLevelType w:val="hybridMultilevel"/>
    <w:tmpl w:val="AA58663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2A3685"/>
    <w:multiLevelType w:val="hybridMultilevel"/>
    <w:tmpl w:val="7A5805D8"/>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9B681A"/>
    <w:multiLevelType w:val="hybridMultilevel"/>
    <w:tmpl w:val="504AB4D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32A024E"/>
    <w:multiLevelType w:val="hybridMultilevel"/>
    <w:tmpl w:val="0FF4542E"/>
    <w:lvl w:ilvl="0" w:tplc="CCF69B2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9E31F5"/>
    <w:multiLevelType w:val="hybridMultilevel"/>
    <w:tmpl w:val="29E6C23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697"/>
    <w:rsid w:val="00072F85"/>
    <w:rsid w:val="000A5E72"/>
    <w:rsid w:val="000A7B60"/>
    <w:rsid w:val="00181364"/>
    <w:rsid w:val="002945D9"/>
    <w:rsid w:val="00305C48"/>
    <w:rsid w:val="003362C6"/>
    <w:rsid w:val="00497D4D"/>
    <w:rsid w:val="00742EBF"/>
    <w:rsid w:val="008B4697"/>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72FE5-70F3-47EE-A7A0-1D5CCFFF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4697"/>
    <w:pPr>
      <w:spacing w:after="0" w:line="240" w:lineRule="auto"/>
    </w:pPr>
    <w:rPr>
      <w:rFonts w:ascii="Times New Roman" w:eastAsia="Times New Roman" w:hAnsi="Times New Roman" w:cs="Times New Roman"/>
      <w:szCs w:val="20"/>
    </w:rPr>
  </w:style>
  <w:style w:type="paragraph" w:styleId="Antrat7">
    <w:name w:val="heading 7"/>
    <w:basedOn w:val="prastasis"/>
    <w:next w:val="prastasis"/>
    <w:link w:val="Antrat7Diagrama"/>
    <w:uiPriority w:val="99"/>
    <w:unhideWhenUsed/>
    <w:qFormat/>
    <w:rsid w:val="008B4697"/>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uiPriority w:val="99"/>
    <w:rsid w:val="008B4697"/>
    <w:rPr>
      <w:rFonts w:ascii="Times New Roman" w:eastAsia="Times New Roman" w:hAnsi="Times New Roman" w:cs="Times New Roman"/>
      <w:sz w:val="24"/>
      <w:szCs w:val="24"/>
    </w:rPr>
  </w:style>
  <w:style w:type="character" w:styleId="Hipersaitas">
    <w:name w:val="Hyperlink"/>
    <w:uiPriority w:val="99"/>
    <w:unhideWhenUsed/>
    <w:rsid w:val="008B4697"/>
    <w:rPr>
      <w:rFonts w:ascii="Times New Roman" w:hAnsi="Times New Roman" w:cs="Times New Roman" w:hint="default"/>
      <w:color w:val="0000FF"/>
      <w:u w:val="single"/>
    </w:rPr>
  </w:style>
  <w:style w:type="paragraph" w:styleId="Pagrindinistekstas">
    <w:name w:val="Body Text"/>
    <w:basedOn w:val="prastasis"/>
    <w:link w:val="PagrindinistekstasDiagrama"/>
    <w:unhideWhenUsed/>
    <w:rsid w:val="008B4697"/>
    <w:pPr>
      <w:spacing w:after="120"/>
    </w:pPr>
  </w:style>
  <w:style w:type="character" w:customStyle="1" w:styleId="PagrindinistekstasDiagrama">
    <w:name w:val="Pagrindinis tekstas Diagrama"/>
    <w:basedOn w:val="Numatytasispastraiposriftas"/>
    <w:link w:val="Pagrindinistekstas"/>
    <w:rsid w:val="008B4697"/>
    <w:rPr>
      <w:rFonts w:ascii="Times New Roman" w:eastAsia="Times New Roman" w:hAnsi="Times New Roman" w:cs="Times New Roman"/>
      <w:szCs w:val="20"/>
    </w:rPr>
  </w:style>
  <w:style w:type="paragraph" w:styleId="Pagrindinistekstas2">
    <w:name w:val="Body Text 2"/>
    <w:basedOn w:val="prastasis"/>
    <w:link w:val="Pagrindinistekstas2Diagrama"/>
    <w:uiPriority w:val="99"/>
    <w:unhideWhenUsed/>
    <w:rsid w:val="008B4697"/>
    <w:pPr>
      <w:spacing w:after="120" w:line="480" w:lineRule="auto"/>
    </w:pPr>
  </w:style>
  <w:style w:type="character" w:customStyle="1" w:styleId="Pagrindinistekstas2Diagrama">
    <w:name w:val="Pagrindinis tekstas 2 Diagrama"/>
    <w:basedOn w:val="Numatytasispastraiposriftas"/>
    <w:link w:val="Pagrindinistekstas2"/>
    <w:uiPriority w:val="99"/>
    <w:rsid w:val="008B4697"/>
    <w:rPr>
      <w:rFonts w:ascii="Times New Roman" w:eastAsia="Times New Roman" w:hAnsi="Times New Roman" w:cs="Times New Roman"/>
      <w:szCs w:val="20"/>
    </w:rPr>
  </w:style>
  <w:style w:type="character" w:customStyle="1" w:styleId="BTEMEASMCAChar">
    <w:name w:val="BT EMEA_SMCA Char"/>
    <w:link w:val="BTEMEASMCA"/>
    <w:locked/>
    <w:rsid w:val="008B4697"/>
    <w:rPr>
      <w:noProof/>
    </w:rPr>
  </w:style>
  <w:style w:type="paragraph" w:customStyle="1" w:styleId="BTEMEASMCA">
    <w:name w:val="BT EMEA_SMCA"/>
    <w:basedOn w:val="prastasis"/>
    <w:link w:val="BTEMEASMCAChar"/>
    <w:autoRedefine/>
    <w:rsid w:val="008B4697"/>
    <w:pPr>
      <w:tabs>
        <w:tab w:val="left" w:pos="567"/>
      </w:tabs>
    </w:pPr>
    <w:rPr>
      <w:rFonts w:asciiTheme="minorHAnsi" w:eastAsiaTheme="minorHAnsi" w:hAnsiTheme="minorHAnsi" w:cstheme="minorBidi"/>
      <w:noProof/>
      <w:szCs w:val="22"/>
    </w:rPr>
  </w:style>
  <w:style w:type="character" w:customStyle="1" w:styleId="BTbEMEASMCAChar">
    <w:name w:val="BT(b) EMEA_SMCA Char"/>
    <w:link w:val="BTbEMEASMCA"/>
    <w:uiPriority w:val="99"/>
    <w:locked/>
    <w:rsid w:val="008B4697"/>
    <w:rPr>
      <w:rFonts w:ascii="Times New Roman" w:hAnsi="Times New Roman" w:cs="Times New Roman"/>
      <w:b/>
      <w:bCs/>
      <w:noProof/>
    </w:rPr>
  </w:style>
  <w:style w:type="paragraph" w:customStyle="1" w:styleId="BTbEMEASMCA">
    <w:name w:val="BT(b) EMEA_SMCA"/>
    <w:basedOn w:val="BTEMEASMCA"/>
    <w:link w:val="BTbEMEASMCAChar"/>
    <w:autoRedefine/>
    <w:uiPriority w:val="99"/>
    <w:rsid w:val="008B4697"/>
    <w:rPr>
      <w:rFonts w:ascii="Times New Roman" w:hAnsi="Times New Roman" w:cs="Times New Roman"/>
      <w:b/>
      <w:bCs/>
    </w:rPr>
  </w:style>
  <w:style w:type="paragraph" w:styleId="Sraopastraipa">
    <w:name w:val="List Paragraph"/>
    <w:basedOn w:val="prastasis"/>
    <w:uiPriority w:val="34"/>
    <w:qFormat/>
    <w:rsid w:val="008B4697"/>
    <w:pPr>
      <w:ind w:left="720"/>
      <w:contextualSpacing/>
    </w:pPr>
  </w:style>
  <w:style w:type="paragraph" w:customStyle="1" w:styleId="Default">
    <w:name w:val="Default"/>
    <w:rsid w:val="008B469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8617</Words>
  <Characters>4912</Characters>
  <Application>Microsoft Office Word</Application>
  <DocSecurity>0</DocSecurity>
  <Lines>40</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2025-02-07T13:09:00Z</dcterms:created>
  <dcterms:modified xsi:type="dcterms:W3CDTF">2025-02-07T13:09:00Z</dcterms:modified>
</cp:coreProperties>
</file>