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7105D" w14:textId="77777777" w:rsidR="00F2007D" w:rsidRPr="007B701A" w:rsidRDefault="00F2007D" w:rsidP="00F2007D">
      <w:pPr>
        <w:rPr>
          <w:b/>
          <w:sz w:val="22"/>
          <w:szCs w:val="22"/>
        </w:rPr>
      </w:pPr>
    </w:p>
    <w:p w14:paraId="631BB0A0" w14:textId="77777777" w:rsidR="00F2007D" w:rsidRPr="007B701A" w:rsidRDefault="00F2007D" w:rsidP="00F2007D">
      <w:pPr>
        <w:rPr>
          <w:b/>
          <w:sz w:val="22"/>
          <w:szCs w:val="22"/>
        </w:rPr>
      </w:pPr>
    </w:p>
    <w:p w14:paraId="3853D93F" w14:textId="77777777" w:rsidR="00F2007D" w:rsidRPr="007B701A" w:rsidRDefault="00F2007D" w:rsidP="00F2007D">
      <w:pPr>
        <w:rPr>
          <w:b/>
          <w:sz w:val="22"/>
          <w:szCs w:val="22"/>
        </w:rPr>
      </w:pPr>
    </w:p>
    <w:p w14:paraId="03C207AE" w14:textId="77777777" w:rsidR="00F2007D" w:rsidRPr="007B701A" w:rsidRDefault="00F2007D" w:rsidP="00F2007D">
      <w:pPr>
        <w:rPr>
          <w:b/>
          <w:sz w:val="22"/>
          <w:szCs w:val="22"/>
        </w:rPr>
      </w:pPr>
    </w:p>
    <w:p w14:paraId="45AD3DC1" w14:textId="77777777" w:rsidR="00F2007D" w:rsidRPr="007B701A" w:rsidRDefault="00F2007D" w:rsidP="00F2007D">
      <w:pPr>
        <w:rPr>
          <w:b/>
          <w:sz w:val="22"/>
          <w:szCs w:val="22"/>
        </w:rPr>
      </w:pPr>
    </w:p>
    <w:p w14:paraId="22270103" w14:textId="77777777" w:rsidR="00F2007D" w:rsidRPr="007B701A" w:rsidRDefault="00F2007D" w:rsidP="00F2007D">
      <w:pPr>
        <w:rPr>
          <w:b/>
          <w:sz w:val="22"/>
          <w:szCs w:val="22"/>
        </w:rPr>
      </w:pPr>
    </w:p>
    <w:p w14:paraId="4D5E9925" w14:textId="77777777" w:rsidR="00F2007D" w:rsidRPr="007B701A" w:rsidRDefault="00F2007D" w:rsidP="00F2007D">
      <w:pPr>
        <w:rPr>
          <w:b/>
          <w:sz w:val="22"/>
          <w:szCs w:val="22"/>
        </w:rPr>
      </w:pPr>
    </w:p>
    <w:p w14:paraId="4125FE1A" w14:textId="77777777" w:rsidR="00F2007D" w:rsidRPr="007B701A" w:rsidRDefault="00F2007D" w:rsidP="00F2007D">
      <w:pPr>
        <w:rPr>
          <w:b/>
          <w:sz w:val="22"/>
          <w:szCs w:val="22"/>
        </w:rPr>
      </w:pPr>
    </w:p>
    <w:p w14:paraId="6992073B" w14:textId="77777777" w:rsidR="00F2007D" w:rsidRPr="007B701A" w:rsidRDefault="00F2007D" w:rsidP="00F2007D">
      <w:pPr>
        <w:rPr>
          <w:b/>
          <w:sz w:val="22"/>
          <w:szCs w:val="22"/>
        </w:rPr>
      </w:pPr>
    </w:p>
    <w:p w14:paraId="222C4FD5" w14:textId="77777777" w:rsidR="00F2007D" w:rsidRPr="007B701A" w:rsidRDefault="00F2007D" w:rsidP="00F2007D">
      <w:pPr>
        <w:rPr>
          <w:b/>
          <w:sz w:val="22"/>
          <w:szCs w:val="22"/>
        </w:rPr>
      </w:pPr>
    </w:p>
    <w:p w14:paraId="18FF595A" w14:textId="77777777" w:rsidR="00F2007D" w:rsidRPr="007B701A" w:rsidRDefault="00F2007D" w:rsidP="00F2007D">
      <w:pPr>
        <w:rPr>
          <w:b/>
          <w:sz w:val="22"/>
          <w:szCs w:val="22"/>
        </w:rPr>
      </w:pPr>
    </w:p>
    <w:p w14:paraId="1713834D" w14:textId="77777777" w:rsidR="00F2007D" w:rsidRPr="007B701A" w:rsidRDefault="00F2007D" w:rsidP="00F2007D">
      <w:pPr>
        <w:rPr>
          <w:b/>
          <w:sz w:val="22"/>
          <w:szCs w:val="22"/>
        </w:rPr>
      </w:pPr>
    </w:p>
    <w:p w14:paraId="62A0DDE3" w14:textId="77777777" w:rsidR="00F2007D" w:rsidRPr="007B701A" w:rsidRDefault="00F2007D" w:rsidP="00F2007D">
      <w:pPr>
        <w:rPr>
          <w:b/>
          <w:sz w:val="22"/>
          <w:szCs w:val="22"/>
        </w:rPr>
      </w:pPr>
    </w:p>
    <w:p w14:paraId="506D4127" w14:textId="77777777" w:rsidR="00F2007D" w:rsidRPr="007B701A" w:rsidRDefault="00F2007D" w:rsidP="00F2007D">
      <w:pPr>
        <w:rPr>
          <w:b/>
          <w:sz w:val="22"/>
          <w:szCs w:val="22"/>
        </w:rPr>
      </w:pPr>
    </w:p>
    <w:p w14:paraId="0A696065" w14:textId="77777777" w:rsidR="00F2007D" w:rsidRPr="007B701A" w:rsidRDefault="00F2007D" w:rsidP="00F2007D">
      <w:pPr>
        <w:rPr>
          <w:b/>
          <w:sz w:val="22"/>
          <w:szCs w:val="22"/>
        </w:rPr>
      </w:pPr>
    </w:p>
    <w:p w14:paraId="07A3B366" w14:textId="77777777" w:rsidR="00F2007D" w:rsidRPr="007B701A" w:rsidRDefault="00F2007D" w:rsidP="00F2007D">
      <w:pPr>
        <w:rPr>
          <w:b/>
          <w:sz w:val="22"/>
          <w:szCs w:val="22"/>
        </w:rPr>
      </w:pPr>
    </w:p>
    <w:p w14:paraId="2E260614" w14:textId="77777777" w:rsidR="00F2007D" w:rsidRPr="007B701A" w:rsidRDefault="00F2007D" w:rsidP="00F2007D">
      <w:pPr>
        <w:rPr>
          <w:b/>
          <w:sz w:val="22"/>
          <w:szCs w:val="22"/>
        </w:rPr>
      </w:pPr>
    </w:p>
    <w:p w14:paraId="03C405AF" w14:textId="77777777" w:rsidR="00F2007D" w:rsidRPr="007B701A" w:rsidRDefault="00F2007D" w:rsidP="00F2007D">
      <w:pPr>
        <w:rPr>
          <w:b/>
          <w:sz w:val="22"/>
          <w:szCs w:val="22"/>
        </w:rPr>
      </w:pPr>
    </w:p>
    <w:p w14:paraId="121ACAF1" w14:textId="77777777" w:rsidR="00F2007D" w:rsidRPr="007B701A" w:rsidRDefault="00F2007D" w:rsidP="00F2007D">
      <w:pPr>
        <w:rPr>
          <w:b/>
          <w:sz w:val="22"/>
          <w:szCs w:val="22"/>
        </w:rPr>
      </w:pPr>
    </w:p>
    <w:p w14:paraId="28E83427" w14:textId="77777777" w:rsidR="00F2007D" w:rsidRPr="007B701A" w:rsidRDefault="00F2007D" w:rsidP="00F2007D">
      <w:pPr>
        <w:rPr>
          <w:b/>
          <w:sz w:val="22"/>
          <w:szCs w:val="22"/>
        </w:rPr>
      </w:pPr>
    </w:p>
    <w:p w14:paraId="6F258346" w14:textId="77777777" w:rsidR="00F2007D" w:rsidRPr="007B701A" w:rsidRDefault="00F2007D" w:rsidP="00F2007D">
      <w:pPr>
        <w:rPr>
          <w:b/>
          <w:sz w:val="22"/>
          <w:szCs w:val="22"/>
        </w:rPr>
      </w:pPr>
    </w:p>
    <w:p w14:paraId="0D29FCBC" w14:textId="77777777" w:rsidR="00F2007D" w:rsidRPr="007B701A" w:rsidRDefault="00F2007D" w:rsidP="00F2007D">
      <w:pPr>
        <w:rPr>
          <w:b/>
          <w:sz w:val="22"/>
          <w:szCs w:val="22"/>
        </w:rPr>
      </w:pPr>
    </w:p>
    <w:p w14:paraId="1ED165C8" w14:textId="77777777" w:rsidR="00F2007D" w:rsidRPr="007B701A" w:rsidRDefault="00F2007D" w:rsidP="00F2007D">
      <w:pPr>
        <w:rPr>
          <w:b/>
          <w:sz w:val="22"/>
          <w:szCs w:val="22"/>
        </w:rPr>
      </w:pPr>
    </w:p>
    <w:p w14:paraId="623A66F2" w14:textId="77777777" w:rsidR="00F2007D" w:rsidRPr="007B701A" w:rsidRDefault="00F2007D" w:rsidP="00F2007D">
      <w:pPr>
        <w:jc w:val="center"/>
        <w:rPr>
          <w:b/>
          <w:sz w:val="22"/>
          <w:szCs w:val="22"/>
        </w:rPr>
      </w:pPr>
      <w:r w:rsidRPr="007B701A">
        <w:rPr>
          <w:b/>
          <w:sz w:val="22"/>
          <w:szCs w:val="22"/>
        </w:rPr>
        <w:t>I PRIEDAS</w:t>
      </w:r>
    </w:p>
    <w:p w14:paraId="758C4214" w14:textId="77777777" w:rsidR="00F2007D" w:rsidRPr="007B701A" w:rsidRDefault="00F2007D" w:rsidP="00F2007D">
      <w:pPr>
        <w:jc w:val="center"/>
        <w:rPr>
          <w:b/>
          <w:sz w:val="22"/>
          <w:szCs w:val="22"/>
        </w:rPr>
      </w:pPr>
    </w:p>
    <w:p w14:paraId="20CFF640" w14:textId="77777777" w:rsidR="00F2007D" w:rsidRPr="007B701A" w:rsidRDefault="00F2007D" w:rsidP="00F2007D">
      <w:pPr>
        <w:jc w:val="center"/>
        <w:rPr>
          <w:sz w:val="22"/>
          <w:szCs w:val="22"/>
        </w:rPr>
      </w:pPr>
      <w:r w:rsidRPr="007B701A">
        <w:rPr>
          <w:b/>
          <w:sz w:val="22"/>
          <w:szCs w:val="22"/>
        </w:rPr>
        <w:t>PREPARATO CHARAKTERISTIKŲ SANTRAUKA</w:t>
      </w:r>
    </w:p>
    <w:p w14:paraId="6526A7D3" w14:textId="77777777" w:rsidR="00F2007D" w:rsidRPr="007B701A" w:rsidRDefault="00F2007D" w:rsidP="00F2007D">
      <w:pPr>
        <w:jc w:val="center"/>
        <w:rPr>
          <w:sz w:val="22"/>
          <w:szCs w:val="22"/>
        </w:rPr>
      </w:pPr>
    </w:p>
    <w:p w14:paraId="17013ACC" w14:textId="77777777" w:rsidR="00F2007D" w:rsidRPr="007B701A" w:rsidRDefault="00F2007D" w:rsidP="00F2007D">
      <w:pPr>
        <w:rPr>
          <w:b/>
          <w:sz w:val="22"/>
          <w:szCs w:val="22"/>
        </w:rPr>
      </w:pPr>
    </w:p>
    <w:p w14:paraId="2539623A" w14:textId="77777777" w:rsidR="00F2007D" w:rsidRPr="007B701A" w:rsidRDefault="00F2007D" w:rsidP="00F2007D">
      <w:pPr>
        <w:rPr>
          <w:b/>
          <w:sz w:val="22"/>
          <w:szCs w:val="22"/>
        </w:rPr>
      </w:pPr>
    </w:p>
    <w:p w14:paraId="257A14CD" w14:textId="77777777" w:rsidR="00F2007D" w:rsidRPr="007B701A" w:rsidRDefault="00F2007D" w:rsidP="00F2007D">
      <w:pPr>
        <w:rPr>
          <w:b/>
          <w:sz w:val="22"/>
          <w:szCs w:val="22"/>
        </w:rPr>
      </w:pPr>
    </w:p>
    <w:p w14:paraId="577CCC1F" w14:textId="77777777" w:rsidR="00F2007D" w:rsidRPr="007B701A" w:rsidRDefault="00F2007D" w:rsidP="00F2007D">
      <w:pPr>
        <w:rPr>
          <w:b/>
          <w:sz w:val="22"/>
          <w:szCs w:val="22"/>
        </w:rPr>
      </w:pPr>
    </w:p>
    <w:p w14:paraId="69AF9E52" w14:textId="77777777" w:rsidR="00F2007D" w:rsidRPr="007B701A" w:rsidRDefault="00F2007D" w:rsidP="00F2007D">
      <w:pPr>
        <w:rPr>
          <w:b/>
          <w:sz w:val="22"/>
          <w:szCs w:val="22"/>
        </w:rPr>
      </w:pPr>
    </w:p>
    <w:p w14:paraId="1159A08F" w14:textId="77777777" w:rsidR="00F2007D" w:rsidRPr="007B701A" w:rsidRDefault="00F2007D" w:rsidP="00F2007D">
      <w:pPr>
        <w:rPr>
          <w:b/>
          <w:sz w:val="22"/>
          <w:szCs w:val="22"/>
        </w:rPr>
      </w:pPr>
    </w:p>
    <w:p w14:paraId="36714F96" w14:textId="77777777" w:rsidR="00F2007D" w:rsidRPr="007B701A" w:rsidRDefault="00F2007D" w:rsidP="00F2007D">
      <w:pPr>
        <w:rPr>
          <w:b/>
          <w:sz w:val="22"/>
          <w:szCs w:val="22"/>
        </w:rPr>
      </w:pPr>
    </w:p>
    <w:p w14:paraId="34070BD4" w14:textId="77777777" w:rsidR="00F2007D" w:rsidRPr="007B701A" w:rsidRDefault="00F2007D" w:rsidP="00F2007D">
      <w:pPr>
        <w:rPr>
          <w:b/>
          <w:sz w:val="22"/>
          <w:szCs w:val="22"/>
        </w:rPr>
      </w:pPr>
    </w:p>
    <w:p w14:paraId="0D5D91CB" w14:textId="77777777" w:rsidR="00F2007D" w:rsidRPr="007B701A" w:rsidRDefault="00F2007D" w:rsidP="00F2007D">
      <w:pPr>
        <w:rPr>
          <w:b/>
          <w:sz w:val="22"/>
          <w:szCs w:val="22"/>
        </w:rPr>
      </w:pPr>
    </w:p>
    <w:p w14:paraId="59AEE10D" w14:textId="77777777" w:rsidR="00F2007D" w:rsidRPr="007B701A" w:rsidRDefault="00F2007D" w:rsidP="00F2007D">
      <w:pPr>
        <w:rPr>
          <w:b/>
          <w:sz w:val="22"/>
          <w:szCs w:val="22"/>
        </w:rPr>
      </w:pPr>
    </w:p>
    <w:p w14:paraId="24FC946E" w14:textId="77777777" w:rsidR="00F2007D" w:rsidRPr="007B701A" w:rsidRDefault="00F2007D" w:rsidP="00F2007D">
      <w:pPr>
        <w:rPr>
          <w:b/>
          <w:sz w:val="22"/>
          <w:szCs w:val="22"/>
        </w:rPr>
      </w:pPr>
    </w:p>
    <w:p w14:paraId="08D6F83C" w14:textId="77777777" w:rsidR="00F2007D" w:rsidRPr="007B701A" w:rsidRDefault="00F2007D" w:rsidP="00F2007D">
      <w:pPr>
        <w:rPr>
          <w:b/>
          <w:sz w:val="22"/>
          <w:szCs w:val="22"/>
        </w:rPr>
      </w:pPr>
    </w:p>
    <w:p w14:paraId="39FDD915" w14:textId="77777777" w:rsidR="00F2007D" w:rsidRPr="007B701A" w:rsidRDefault="00F2007D" w:rsidP="00F2007D">
      <w:pPr>
        <w:rPr>
          <w:b/>
          <w:sz w:val="22"/>
          <w:szCs w:val="22"/>
        </w:rPr>
      </w:pPr>
    </w:p>
    <w:p w14:paraId="5A7DD8D0" w14:textId="77777777" w:rsidR="00F2007D" w:rsidRPr="007B701A" w:rsidRDefault="00F2007D" w:rsidP="00F2007D">
      <w:pPr>
        <w:rPr>
          <w:b/>
          <w:sz w:val="22"/>
          <w:szCs w:val="22"/>
        </w:rPr>
      </w:pPr>
    </w:p>
    <w:p w14:paraId="28F389C4" w14:textId="77777777" w:rsidR="00F2007D" w:rsidRPr="007B701A" w:rsidRDefault="00F2007D" w:rsidP="00F2007D">
      <w:pPr>
        <w:rPr>
          <w:b/>
          <w:sz w:val="22"/>
          <w:szCs w:val="22"/>
        </w:rPr>
      </w:pPr>
    </w:p>
    <w:p w14:paraId="21F8F4C1" w14:textId="77777777" w:rsidR="00F2007D" w:rsidRPr="007B701A" w:rsidRDefault="00F2007D" w:rsidP="00F2007D">
      <w:pPr>
        <w:rPr>
          <w:b/>
          <w:sz w:val="22"/>
          <w:szCs w:val="22"/>
        </w:rPr>
      </w:pPr>
    </w:p>
    <w:p w14:paraId="66D24DB4" w14:textId="77777777" w:rsidR="00F2007D" w:rsidRPr="007B701A" w:rsidRDefault="00F2007D" w:rsidP="00F2007D">
      <w:pPr>
        <w:rPr>
          <w:b/>
          <w:sz w:val="22"/>
          <w:szCs w:val="22"/>
        </w:rPr>
      </w:pPr>
    </w:p>
    <w:p w14:paraId="2CFBD812" w14:textId="77777777" w:rsidR="00F2007D" w:rsidRPr="007B701A" w:rsidRDefault="00F2007D" w:rsidP="00F2007D">
      <w:pPr>
        <w:rPr>
          <w:b/>
          <w:sz w:val="22"/>
          <w:szCs w:val="22"/>
        </w:rPr>
      </w:pPr>
    </w:p>
    <w:p w14:paraId="549CF0AC" w14:textId="77777777" w:rsidR="00F2007D" w:rsidRPr="007B701A" w:rsidRDefault="00F2007D" w:rsidP="00F2007D">
      <w:pPr>
        <w:rPr>
          <w:b/>
          <w:sz w:val="22"/>
          <w:szCs w:val="22"/>
        </w:rPr>
      </w:pPr>
    </w:p>
    <w:p w14:paraId="23C9D0ED" w14:textId="77777777" w:rsidR="00F2007D" w:rsidRPr="007B701A" w:rsidRDefault="00F2007D" w:rsidP="00F2007D">
      <w:pPr>
        <w:rPr>
          <w:b/>
          <w:sz w:val="22"/>
          <w:szCs w:val="22"/>
        </w:rPr>
      </w:pPr>
    </w:p>
    <w:p w14:paraId="1060D0CB" w14:textId="77777777" w:rsidR="00F2007D" w:rsidRPr="007B701A" w:rsidRDefault="00F2007D" w:rsidP="00F2007D">
      <w:pPr>
        <w:rPr>
          <w:b/>
          <w:sz w:val="22"/>
          <w:szCs w:val="22"/>
        </w:rPr>
      </w:pPr>
    </w:p>
    <w:p w14:paraId="6D36B42A" w14:textId="77777777" w:rsidR="00F2007D" w:rsidRPr="007B701A" w:rsidRDefault="00F2007D" w:rsidP="00F2007D">
      <w:pPr>
        <w:rPr>
          <w:b/>
          <w:sz w:val="22"/>
          <w:szCs w:val="22"/>
        </w:rPr>
      </w:pPr>
    </w:p>
    <w:p w14:paraId="66AAA6D7" w14:textId="77777777" w:rsidR="00F2007D" w:rsidRPr="007B701A" w:rsidRDefault="00F2007D" w:rsidP="00F2007D">
      <w:pPr>
        <w:rPr>
          <w:b/>
          <w:sz w:val="22"/>
          <w:szCs w:val="22"/>
        </w:rPr>
      </w:pPr>
    </w:p>
    <w:p w14:paraId="3BCF8269" w14:textId="77777777" w:rsidR="00F2007D" w:rsidRPr="007B701A" w:rsidRDefault="00F2007D" w:rsidP="00F2007D">
      <w:pPr>
        <w:rPr>
          <w:b/>
          <w:sz w:val="22"/>
          <w:szCs w:val="22"/>
        </w:rPr>
      </w:pPr>
    </w:p>
    <w:p w14:paraId="22CADD19" w14:textId="77777777" w:rsidR="00F2007D" w:rsidRPr="007B701A" w:rsidRDefault="00F2007D" w:rsidP="00F2007D">
      <w:pPr>
        <w:rPr>
          <w:b/>
          <w:sz w:val="22"/>
          <w:szCs w:val="22"/>
        </w:rPr>
      </w:pPr>
    </w:p>
    <w:p w14:paraId="5B90D196" w14:textId="77777777" w:rsidR="00F2007D" w:rsidRPr="007B701A" w:rsidRDefault="00F2007D" w:rsidP="00F2007D">
      <w:pPr>
        <w:rPr>
          <w:b/>
          <w:sz w:val="22"/>
          <w:szCs w:val="22"/>
        </w:rPr>
      </w:pPr>
    </w:p>
    <w:p w14:paraId="5DC54899" w14:textId="77777777" w:rsidR="00F2007D" w:rsidRPr="007B701A" w:rsidRDefault="00F2007D" w:rsidP="00F2007D">
      <w:pPr>
        <w:rPr>
          <w:b/>
          <w:sz w:val="22"/>
          <w:szCs w:val="22"/>
        </w:rPr>
      </w:pPr>
    </w:p>
    <w:p w14:paraId="747EFF01" w14:textId="77777777" w:rsidR="00F2007D" w:rsidRPr="007B701A" w:rsidRDefault="00F2007D" w:rsidP="00F2007D">
      <w:pPr>
        <w:rPr>
          <w:b/>
          <w:sz w:val="22"/>
          <w:szCs w:val="22"/>
        </w:rPr>
      </w:pPr>
    </w:p>
    <w:p w14:paraId="4709B902" w14:textId="77777777" w:rsidR="00F2007D" w:rsidRPr="007B701A" w:rsidRDefault="00F2007D" w:rsidP="00F2007D">
      <w:pPr>
        <w:rPr>
          <w:b/>
          <w:sz w:val="22"/>
          <w:szCs w:val="22"/>
        </w:rPr>
      </w:pPr>
    </w:p>
    <w:p w14:paraId="5B0B4E14" w14:textId="77777777" w:rsidR="00F2007D" w:rsidRPr="007B701A" w:rsidRDefault="00F2007D" w:rsidP="00F2007D">
      <w:pPr>
        <w:rPr>
          <w:b/>
          <w:sz w:val="22"/>
          <w:szCs w:val="22"/>
        </w:rPr>
      </w:pPr>
    </w:p>
    <w:p w14:paraId="5BBF32A0" w14:textId="77777777" w:rsidR="00F2007D" w:rsidRPr="007B701A" w:rsidRDefault="00F2007D" w:rsidP="00F2007D">
      <w:pPr>
        <w:tabs>
          <w:tab w:val="left" w:pos="567"/>
        </w:tabs>
        <w:rPr>
          <w:sz w:val="22"/>
          <w:szCs w:val="22"/>
        </w:rPr>
      </w:pPr>
      <w:r w:rsidRPr="007B701A">
        <w:rPr>
          <w:b/>
          <w:sz w:val="22"/>
          <w:szCs w:val="22"/>
        </w:rPr>
        <w:lastRenderedPageBreak/>
        <w:t>1.</w:t>
      </w:r>
      <w:r w:rsidRPr="007B701A">
        <w:rPr>
          <w:b/>
          <w:sz w:val="22"/>
          <w:szCs w:val="22"/>
        </w:rPr>
        <w:tab/>
        <w:t>VAISTINIO PREPARATO PAVADINIMAS</w:t>
      </w:r>
    </w:p>
    <w:p w14:paraId="51060A67" w14:textId="77777777" w:rsidR="00F2007D" w:rsidRPr="007B701A" w:rsidRDefault="00F2007D" w:rsidP="00F2007D">
      <w:pPr>
        <w:rPr>
          <w:b/>
          <w:sz w:val="22"/>
          <w:szCs w:val="22"/>
        </w:rPr>
      </w:pPr>
    </w:p>
    <w:p w14:paraId="6FC9E8EE" w14:textId="77777777" w:rsidR="00F2007D" w:rsidRPr="007B701A" w:rsidRDefault="00F2007D" w:rsidP="00F2007D">
      <w:pPr>
        <w:rPr>
          <w:sz w:val="22"/>
          <w:szCs w:val="22"/>
        </w:rPr>
      </w:pPr>
      <w:r w:rsidRPr="007B701A">
        <w:rPr>
          <w:sz w:val="22"/>
          <w:szCs w:val="22"/>
        </w:rPr>
        <w:t>Acic</w:t>
      </w:r>
      <w:r w:rsidRPr="007B701A">
        <w:rPr>
          <w:position w:val="6"/>
          <w:sz w:val="22"/>
          <w:szCs w:val="22"/>
        </w:rPr>
        <w:t xml:space="preserve"> </w:t>
      </w:r>
      <w:r w:rsidRPr="007B701A">
        <w:rPr>
          <w:sz w:val="22"/>
          <w:szCs w:val="22"/>
        </w:rPr>
        <w:t>200 mg tabletės</w:t>
      </w:r>
    </w:p>
    <w:p w14:paraId="2FF9F8A9" w14:textId="77777777" w:rsidR="00F2007D" w:rsidRPr="007B701A" w:rsidRDefault="00F2007D" w:rsidP="00F2007D">
      <w:pPr>
        <w:rPr>
          <w:b/>
          <w:sz w:val="22"/>
          <w:szCs w:val="22"/>
        </w:rPr>
      </w:pPr>
    </w:p>
    <w:p w14:paraId="23C52B29" w14:textId="77777777" w:rsidR="00F2007D" w:rsidRPr="007B701A" w:rsidRDefault="00F2007D" w:rsidP="00F2007D">
      <w:pPr>
        <w:rPr>
          <w:b/>
          <w:sz w:val="22"/>
          <w:szCs w:val="22"/>
        </w:rPr>
      </w:pPr>
    </w:p>
    <w:p w14:paraId="5E158D79" w14:textId="77777777" w:rsidR="00F2007D" w:rsidRPr="007B701A" w:rsidRDefault="00F2007D" w:rsidP="00F2007D">
      <w:pPr>
        <w:tabs>
          <w:tab w:val="left" w:pos="567"/>
        </w:tabs>
        <w:rPr>
          <w:sz w:val="22"/>
          <w:szCs w:val="22"/>
        </w:rPr>
      </w:pPr>
      <w:r w:rsidRPr="007B701A">
        <w:rPr>
          <w:b/>
          <w:sz w:val="22"/>
          <w:szCs w:val="22"/>
        </w:rPr>
        <w:t>2.</w:t>
      </w:r>
      <w:r w:rsidRPr="007B701A">
        <w:rPr>
          <w:b/>
          <w:sz w:val="22"/>
          <w:szCs w:val="22"/>
        </w:rPr>
        <w:tab/>
        <w:t xml:space="preserve">KOKYBINĖ IR KIEKYBINĖ SUDĖTIS </w:t>
      </w:r>
    </w:p>
    <w:p w14:paraId="7BE14307" w14:textId="77777777" w:rsidR="00F2007D" w:rsidRPr="007B701A" w:rsidRDefault="00F2007D" w:rsidP="00F2007D">
      <w:pPr>
        <w:rPr>
          <w:i/>
          <w:iCs/>
          <w:sz w:val="22"/>
          <w:szCs w:val="22"/>
        </w:rPr>
      </w:pPr>
    </w:p>
    <w:p w14:paraId="0BD56F36" w14:textId="77777777" w:rsidR="00F2007D" w:rsidRPr="007B701A" w:rsidRDefault="00F2007D" w:rsidP="00F2007D">
      <w:pPr>
        <w:rPr>
          <w:sz w:val="22"/>
          <w:szCs w:val="22"/>
        </w:rPr>
      </w:pPr>
      <w:r w:rsidRPr="007B701A">
        <w:rPr>
          <w:sz w:val="22"/>
          <w:szCs w:val="22"/>
        </w:rPr>
        <w:t>Vienoje tabletėje yra 200 mg acikloviro.</w:t>
      </w:r>
    </w:p>
    <w:p w14:paraId="16183446" w14:textId="77777777" w:rsidR="00F2007D" w:rsidRPr="007B701A" w:rsidRDefault="00F2007D" w:rsidP="00F2007D">
      <w:pPr>
        <w:rPr>
          <w:sz w:val="22"/>
          <w:szCs w:val="22"/>
        </w:rPr>
      </w:pPr>
      <w:r w:rsidRPr="007B701A">
        <w:rPr>
          <w:sz w:val="22"/>
          <w:szCs w:val="22"/>
          <w:u w:val="single"/>
        </w:rPr>
        <w:t>Pagalbinė medžiaga, kurios poveikis žinomas</w:t>
      </w:r>
      <w:r w:rsidRPr="007B701A">
        <w:rPr>
          <w:sz w:val="22"/>
          <w:szCs w:val="22"/>
        </w:rPr>
        <w:t>: laktozė monohidratas (213,6 mg)</w:t>
      </w:r>
    </w:p>
    <w:p w14:paraId="399A2A1C" w14:textId="77777777" w:rsidR="00F2007D" w:rsidRPr="007B701A" w:rsidRDefault="00F2007D" w:rsidP="00F2007D">
      <w:pPr>
        <w:rPr>
          <w:sz w:val="22"/>
          <w:szCs w:val="22"/>
        </w:rPr>
      </w:pPr>
    </w:p>
    <w:p w14:paraId="6A4E555A" w14:textId="77777777" w:rsidR="00F2007D" w:rsidRPr="007B701A" w:rsidRDefault="00F2007D" w:rsidP="00F2007D">
      <w:pPr>
        <w:rPr>
          <w:sz w:val="22"/>
          <w:szCs w:val="22"/>
        </w:rPr>
      </w:pPr>
      <w:r w:rsidRPr="007B701A">
        <w:rPr>
          <w:sz w:val="22"/>
          <w:szCs w:val="22"/>
        </w:rPr>
        <w:t>Visos pagalbinės medžiagos išvardytos 6.1 skyriuje.</w:t>
      </w:r>
    </w:p>
    <w:p w14:paraId="5A2D4E16" w14:textId="77777777" w:rsidR="00F2007D" w:rsidRPr="007B701A" w:rsidRDefault="00F2007D" w:rsidP="00F2007D">
      <w:pPr>
        <w:rPr>
          <w:sz w:val="22"/>
          <w:szCs w:val="22"/>
        </w:rPr>
      </w:pPr>
    </w:p>
    <w:p w14:paraId="17198D84" w14:textId="77777777" w:rsidR="00F2007D" w:rsidRPr="007B701A" w:rsidRDefault="00F2007D" w:rsidP="00F2007D">
      <w:pPr>
        <w:rPr>
          <w:b/>
          <w:sz w:val="22"/>
          <w:szCs w:val="22"/>
        </w:rPr>
      </w:pPr>
    </w:p>
    <w:p w14:paraId="4A56CD88" w14:textId="77777777" w:rsidR="00F2007D" w:rsidRPr="007B701A" w:rsidRDefault="00F2007D" w:rsidP="00F2007D">
      <w:pPr>
        <w:tabs>
          <w:tab w:val="left" w:pos="567"/>
        </w:tabs>
        <w:rPr>
          <w:sz w:val="22"/>
          <w:szCs w:val="22"/>
        </w:rPr>
      </w:pPr>
      <w:r w:rsidRPr="007B701A">
        <w:rPr>
          <w:b/>
          <w:sz w:val="22"/>
          <w:szCs w:val="22"/>
        </w:rPr>
        <w:t>3.</w:t>
      </w:r>
      <w:r w:rsidRPr="007B701A">
        <w:rPr>
          <w:b/>
          <w:sz w:val="22"/>
          <w:szCs w:val="22"/>
        </w:rPr>
        <w:tab/>
        <w:t>FARMACINĖ FORMA</w:t>
      </w:r>
    </w:p>
    <w:p w14:paraId="7F17A64E" w14:textId="77777777" w:rsidR="00F2007D" w:rsidRPr="007B701A" w:rsidRDefault="00F2007D" w:rsidP="00F2007D">
      <w:pPr>
        <w:rPr>
          <w:sz w:val="22"/>
          <w:szCs w:val="22"/>
        </w:rPr>
      </w:pPr>
    </w:p>
    <w:p w14:paraId="4953FE9D" w14:textId="77777777" w:rsidR="00F2007D" w:rsidRPr="007B701A" w:rsidRDefault="00F2007D" w:rsidP="00F2007D">
      <w:pPr>
        <w:rPr>
          <w:sz w:val="22"/>
          <w:szCs w:val="22"/>
        </w:rPr>
      </w:pPr>
      <w:r w:rsidRPr="007B701A">
        <w:rPr>
          <w:sz w:val="22"/>
          <w:szCs w:val="22"/>
        </w:rPr>
        <w:t>Tabletė.</w:t>
      </w:r>
    </w:p>
    <w:p w14:paraId="365BA5AD" w14:textId="77777777" w:rsidR="00F2007D" w:rsidRPr="007B701A" w:rsidRDefault="00F2007D" w:rsidP="00F2007D">
      <w:pPr>
        <w:spacing w:line="280" w:lineRule="exact"/>
        <w:rPr>
          <w:sz w:val="22"/>
          <w:szCs w:val="22"/>
        </w:rPr>
      </w:pPr>
      <w:r w:rsidRPr="007B701A">
        <w:rPr>
          <w:sz w:val="22"/>
          <w:szCs w:val="22"/>
        </w:rPr>
        <w:t xml:space="preserve">Tabletės yra baltos apvalios išgaubtos su kryžmine laužimo vagele vienoje pusėje. </w:t>
      </w:r>
    </w:p>
    <w:p w14:paraId="74EFB31D" w14:textId="77777777" w:rsidR="00F2007D" w:rsidRPr="007B701A" w:rsidRDefault="00F2007D" w:rsidP="00F2007D">
      <w:pPr>
        <w:rPr>
          <w:sz w:val="22"/>
          <w:szCs w:val="22"/>
        </w:rPr>
      </w:pPr>
      <w:r w:rsidRPr="007B701A">
        <w:rPr>
          <w:sz w:val="22"/>
          <w:szCs w:val="22"/>
        </w:rPr>
        <w:t>Kryžminė vagelė skirta tik tabletei perlaužti, kad būtų lengviau nuryti, bet ne ją padalyti į lygias dozes.</w:t>
      </w:r>
    </w:p>
    <w:p w14:paraId="2AB75480" w14:textId="77777777" w:rsidR="00F2007D" w:rsidRPr="007B701A" w:rsidRDefault="00F2007D" w:rsidP="00F2007D">
      <w:pPr>
        <w:rPr>
          <w:b/>
          <w:sz w:val="22"/>
          <w:szCs w:val="22"/>
        </w:rPr>
      </w:pPr>
    </w:p>
    <w:p w14:paraId="56317ACE" w14:textId="77777777" w:rsidR="00F2007D" w:rsidRPr="007B701A" w:rsidRDefault="00F2007D" w:rsidP="00F2007D">
      <w:pPr>
        <w:rPr>
          <w:b/>
          <w:sz w:val="22"/>
          <w:szCs w:val="22"/>
        </w:rPr>
      </w:pPr>
    </w:p>
    <w:p w14:paraId="4341158A" w14:textId="77777777" w:rsidR="00F2007D" w:rsidRPr="007B701A" w:rsidRDefault="00F2007D" w:rsidP="00F2007D">
      <w:pPr>
        <w:tabs>
          <w:tab w:val="left" w:pos="567"/>
        </w:tabs>
        <w:rPr>
          <w:sz w:val="22"/>
          <w:szCs w:val="22"/>
        </w:rPr>
      </w:pPr>
      <w:r w:rsidRPr="007B701A">
        <w:rPr>
          <w:b/>
          <w:sz w:val="22"/>
          <w:szCs w:val="22"/>
        </w:rPr>
        <w:t>4.</w:t>
      </w:r>
      <w:r w:rsidRPr="007B701A">
        <w:rPr>
          <w:b/>
          <w:sz w:val="22"/>
          <w:szCs w:val="22"/>
        </w:rPr>
        <w:tab/>
        <w:t>KLINIKINĖ INFORMACIJA</w:t>
      </w:r>
    </w:p>
    <w:p w14:paraId="32E42DC5" w14:textId="77777777" w:rsidR="00F2007D" w:rsidRPr="007B701A" w:rsidRDefault="00F2007D" w:rsidP="00F2007D">
      <w:pPr>
        <w:rPr>
          <w:b/>
          <w:sz w:val="22"/>
          <w:szCs w:val="22"/>
        </w:rPr>
      </w:pPr>
    </w:p>
    <w:p w14:paraId="76BCA1D9" w14:textId="77777777" w:rsidR="00F2007D" w:rsidRPr="007B701A" w:rsidRDefault="00F2007D" w:rsidP="00F2007D">
      <w:pPr>
        <w:tabs>
          <w:tab w:val="left" w:pos="567"/>
        </w:tabs>
        <w:rPr>
          <w:sz w:val="22"/>
          <w:szCs w:val="22"/>
        </w:rPr>
      </w:pPr>
      <w:r w:rsidRPr="007B701A">
        <w:rPr>
          <w:b/>
          <w:sz w:val="22"/>
          <w:szCs w:val="22"/>
        </w:rPr>
        <w:t>4.1</w:t>
      </w:r>
      <w:r w:rsidRPr="007B701A">
        <w:rPr>
          <w:b/>
          <w:sz w:val="22"/>
          <w:szCs w:val="22"/>
        </w:rPr>
        <w:tab/>
        <w:t>Terapinės indikacijos</w:t>
      </w:r>
    </w:p>
    <w:p w14:paraId="3D9A0661" w14:textId="77777777" w:rsidR="00F2007D" w:rsidRDefault="00F2007D" w:rsidP="00F2007D">
      <w:pPr>
        <w:rPr>
          <w:b/>
          <w:sz w:val="22"/>
          <w:szCs w:val="22"/>
        </w:rPr>
      </w:pPr>
    </w:p>
    <w:p w14:paraId="58F39D84" w14:textId="4669F844" w:rsidR="00B7172F" w:rsidRPr="008D2266" w:rsidRDefault="008D2266" w:rsidP="00F2007D">
      <w:pPr>
        <w:rPr>
          <w:sz w:val="22"/>
          <w:szCs w:val="22"/>
        </w:rPr>
      </w:pPr>
      <w:bookmarkStart w:id="0" w:name="_GoBack"/>
      <w:r>
        <w:rPr>
          <w:sz w:val="22"/>
          <w:szCs w:val="22"/>
        </w:rPr>
        <w:t>A</w:t>
      </w:r>
      <w:r w:rsidRPr="008D2266">
        <w:rPr>
          <w:sz w:val="22"/>
          <w:szCs w:val="22"/>
        </w:rPr>
        <w:t>nksčiau gydyt</w:t>
      </w:r>
      <w:r>
        <w:rPr>
          <w:sz w:val="22"/>
          <w:szCs w:val="22"/>
        </w:rPr>
        <w:t>ojo diagnozuotos pasikartoj</w:t>
      </w:r>
      <w:r w:rsidR="00A46375">
        <w:rPr>
          <w:sz w:val="22"/>
          <w:szCs w:val="22"/>
        </w:rPr>
        <w:t>anč</w:t>
      </w:r>
      <w:r>
        <w:rPr>
          <w:sz w:val="22"/>
          <w:szCs w:val="22"/>
        </w:rPr>
        <w:t>ios lūpų pūslelinės gydymas</w:t>
      </w:r>
      <w:r w:rsidRPr="008D2266">
        <w:rPr>
          <w:sz w:val="22"/>
          <w:szCs w:val="22"/>
        </w:rPr>
        <w:t xml:space="preserve"> suaugusiems žmonėms, kurių inkstų ir </w:t>
      </w:r>
      <w:r w:rsidR="00A46375">
        <w:rPr>
          <w:sz w:val="22"/>
          <w:szCs w:val="22"/>
        </w:rPr>
        <w:t>(</w:t>
      </w:r>
      <w:r w:rsidRPr="008D2266">
        <w:rPr>
          <w:sz w:val="22"/>
          <w:szCs w:val="22"/>
        </w:rPr>
        <w:t>ar</w:t>
      </w:r>
      <w:r w:rsidR="00A46375">
        <w:rPr>
          <w:sz w:val="22"/>
          <w:szCs w:val="22"/>
        </w:rPr>
        <w:t>)</w:t>
      </w:r>
      <w:r w:rsidRPr="008D2266">
        <w:rPr>
          <w:sz w:val="22"/>
          <w:szCs w:val="22"/>
        </w:rPr>
        <w:t xml:space="preserve"> imuninė</w:t>
      </w:r>
      <w:r w:rsidR="00641914">
        <w:rPr>
          <w:sz w:val="22"/>
          <w:szCs w:val="22"/>
        </w:rPr>
        <w:t>s</w:t>
      </w:r>
      <w:r w:rsidRPr="008D2266">
        <w:rPr>
          <w:sz w:val="22"/>
          <w:szCs w:val="22"/>
        </w:rPr>
        <w:t xml:space="preserve"> sistem</w:t>
      </w:r>
      <w:r w:rsidR="00FC308F">
        <w:rPr>
          <w:sz w:val="22"/>
          <w:szCs w:val="22"/>
        </w:rPr>
        <w:t>os</w:t>
      </w:r>
      <w:r w:rsidRPr="008D2266">
        <w:rPr>
          <w:sz w:val="22"/>
          <w:szCs w:val="22"/>
        </w:rPr>
        <w:t xml:space="preserve"> </w:t>
      </w:r>
      <w:r w:rsidR="00A46375" w:rsidRPr="008D2266">
        <w:rPr>
          <w:sz w:val="22"/>
          <w:szCs w:val="22"/>
        </w:rPr>
        <w:t>funkcij</w:t>
      </w:r>
      <w:r w:rsidR="00A46375">
        <w:rPr>
          <w:sz w:val="22"/>
          <w:szCs w:val="22"/>
        </w:rPr>
        <w:t>os</w:t>
      </w:r>
      <w:r w:rsidR="00A46375" w:rsidRPr="008D2266">
        <w:rPr>
          <w:sz w:val="22"/>
          <w:szCs w:val="22"/>
        </w:rPr>
        <w:t xml:space="preserve"> </w:t>
      </w:r>
      <w:r w:rsidR="00A46375">
        <w:rPr>
          <w:sz w:val="22"/>
          <w:szCs w:val="22"/>
        </w:rPr>
        <w:t>nesutrikusios</w:t>
      </w:r>
      <w:r w:rsidRPr="008D2266">
        <w:rPr>
          <w:sz w:val="22"/>
          <w:szCs w:val="22"/>
        </w:rPr>
        <w:t>.</w:t>
      </w:r>
    </w:p>
    <w:bookmarkEnd w:id="0"/>
    <w:p w14:paraId="22C1E36E" w14:textId="282DD5FB" w:rsidR="00F2007D" w:rsidRPr="007B701A" w:rsidRDefault="00F2007D" w:rsidP="009947E9">
      <w:pPr>
        <w:overflowPunct/>
        <w:autoSpaceDE/>
        <w:autoSpaceDN/>
        <w:adjustRightInd/>
        <w:textAlignment w:val="auto"/>
        <w:rPr>
          <w:sz w:val="22"/>
          <w:szCs w:val="22"/>
        </w:rPr>
      </w:pPr>
      <w:r w:rsidRPr="007B701A">
        <w:rPr>
          <w:sz w:val="22"/>
          <w:szCs w:val="22"/>
        </w:rPr>
        <w:t>.</w:t>
      </w:r>
    </w:p>
    <w:p w14:paraId="17587348" w14:textId="77777777" w:rsidR="00F2007D" w:rsidRPr="007B701A" w:rsidRDefault="00F2007D" w:rsidP="00F2007D">
      <w:pPr>
        <w:rPr>
          <w:b/>
          <w:sz w:val="22"/>
          <w:szCs w:val="22"/>
        </w:rPr>
      </w:pPr>
    </w:p>
    <w:p w14:paraId="374B56FE" w14:textId="5B226E94" w:rsidR="00F2007D" w:rsidRPr="007B701A" w:rsidRDefault="00F2007D" w:rsidP="00F2007D">
      <w:pPr>
        <w:tabs>
          <w:tab w:val="left" w:pos="567"/>
        </w:tabs>
        <w:rPr>
          <w:b/>
          <w:sz w:val="22"/>
          <w:szCs w:val="22"/>
        </w:rPr>
      </w:pPr>
      <w:r w:rsidRPr="007B701A">
        <w:rPr>
          <w:b/>
          <w:sz w:val="22"/>
          <w:szCs w:val="22"/>
        </w:rPr>
        <w:t>4.2</w:t>
      </w:r>
      <w:r w:rsidRPr="007B701A">
        <w:rPr>
          <w:b/>
          <w:sz w:val="22"/>
          <w:szCs w:val="22"/>
        </w:rPr>
        <w:tab/>
        <w:t>Dozavimas ir vartojimo metodas</w:t>
      </w:r>
    </w:p>
    <w:p w14:paraId="605523D7" w14:textId="77777777" w:rsidR="00F2007D" w:rsidRDefault="00F2007D" w:rsidP="00F2007D">
      <w:pPr>
        <w:rPr>
          <w:sz w:val="22"/>
          <w:szCs w:val="22"/>
        </w:rPr>
      </w:pPr>
    </w:p>
    <w:p w14:paraId="3D4CD994" w14:textId="77777777" w:rsidR="00F2007D" w:rsidRPr="00063DB0" w:rsidRDefault="00F2007D" w:rsidP="00F2007D">
      <w:pPr>
        <w:rPr>
          <w:sz w:val="22"/>
          <w:szCs w:val="22"/>
          <w:u w:val="single"/>
        </w:rPr>
      </w:pPr>
      <w:r w:rsidRPr="00063DB0">
        <w:rPr>
          <w:sz w:val="22"/>
          <w:szCs w:val="22"/>
          <w:u w:val="single"/>
        </w:rPr>
        <w:t>Dozavimas</w:t>
      </w:r>
    </w:p>
    <w:p w14:paraId="4843E0E0" w14:textId="77777777" w:rsidR="00F2007D" w:rsidRPr="007B701A" w:rsidRDefault="00F2007D" w:rsidP="00F2007D">
      <w:pPr>
        <w:rPr>
          <w:sz w:val="22"/>
          <w:szCs w:val="22"/>
        </w:rPr>
      </w:pPr>
    </w:p>
    <w:p w14:paraId="6F16D09B" w14:textId="77777777" w:rsidR="00F2007D" w:rsidRPr="00063DB0" w:rsidRDefault="00F2007D" w:rsidP="00F2007D">
      <w:pPr>
        <w:jc w:val="both"/>
        <w:rPr>
          <w:bCs/>
          <w:i/>
          <w:sz w:val="22"/>
          <w:szCs w:val="22"/>
        </w:rPr>
      </w:pPr>
      <w:r w:rsidRPr="00063DB0">
        <w:rPr>
          <w:bCs/>
          <w:i/>
          <w:sz w:val="22"/>
          <w:szCs w:val="22"/>
        </w:rPr>
        <w:t>Suaugusiems žmonėms</w:t>
      </w:r>
    </w:p>
    <w:p w14:paraId="17987E56" w14:textId="5A67A953" w:rsidR="00F2007D" w:rsidRPr="007B701A" w:rsidRDefault="00F2007D" w:rsidP="00F2007D">
      <w:pPr>
        <w:jc w:val="both"/>
        <w:rPr>
          <w:sz w:val="22"/>
          <w:szCs w:val="22"/>
        </w:rPr>
      </w:pPr>
      <w:r w:rsidRPr="007B701A">
        <w:rPr>
          <w:sz w:val="22"/>
          <w:szCs w:val="22"/>
        </w:rPr>
        <w:t>Reikia gerti 5 kartus per parą kas 4 val. po 200 mg acikloviro (t. y. po vieną  5 kartus per parą).</w:t>
      </w:r>
    </w:p>
    <w:p w14:paraId="50337A04" w14:textId="77777777" w:rsidR="00F2007D" w:rsidRPr="007B701A" w:rsidRDefault="00F2007D" w:rsidP="00F2007D">
      <w:pPr>
        <w:rPr>
          <w:sz w:val="22"/>
          <w:szCs w:val="22"/>
        </w:rPr>
      </w:pPr>
    </w:p>
    <w:p w14:paraId="61DCBDF3" w14:textId="60BD0E09" w:rsidR="00F2007D" w:rsidRPr="007B701A" w:rsidRDefault="00641914" w:rsidP="00F2007D">
      <w:pPr>
        <w:rPr>
          <w:sz w:val="22"/>
          <w:szCs w:val="22"/>
        </w:rPr>
      </w:pPr>
      <w:r>
        <w:rPr>
          <w:sz w:val="22"/>
          <w:szCs w:val="22"/>
        </w:rPr>
        <w:t xml:space="preserve">Gydymo trukmė </w:t>
      </w:r>
      <w:r w:rsidR="00F2007D" w:rsidRPr="007B701A">
        <w:rPr>
          <w:sz w:val="22"/>
          <w:szCs w:val="22"/>
        </w:rPr>
        <w:t xml:space="preserve"> 5 par</w:t>
      </w:r>
      <w:r>
        <w:rPr>
          <w:sz w:val="22"/>
          <w:szCs w:val="22"/>
        </w:rPr>
        <w:t>o</w:t>
      </w:r>
      <w:r w:rsidR="00F2007D" w:rsidRPr="007B701A">
        <w:rPr>
          <w:sz w:val="22"/>
          <w:szCs w:val="22"/>
        </w:rPr>
        <w:t>s</w:t>
      </w:r>
      <w:r w:rsidR="00F2007D">
        <w:rPr>
          <w:sz w:val="22"/>
          <w:szCs w:val="22"/>
        </w:rPr>
        <w:t>.</w:t>
      </w:r>
      <w:r w:rsidR="00F2007D" w:rsidRPr="007B701A">
        <w:rPr>
          <w:sz w:val="22"/>
          <w:szCs w:val="22"/>
        </w:rPr>
        <w:t xml:space="preserve"> </w:t>
      </w:r>
    </w:p>
    <w:p w14:paraId="7D3ACB05" w14:textId="77777777" w:rsidR="00F2007D" w:rsidRPr="009947E9" w:rsidRDefault="00F2007D" w:rsidP="00F2007D">
      <w:pPr>
        <w:rPr>
          <w:i/>
          <w:sz w:val="22"/>
        </w:rPr>
      </w:pPr>
    </w:p>
    <w:p w14:paraId="538B7CD8" w14:textId="77777777" w:rsidR="00F2007D" w:rsidRPr="00063DB0" w:rsidRDefault="00F2007D" w:rsidP="00F2007D">
      <w:pPr>
        <w:rPr>
          <w:i/>
          <w:sz w:val="22"/>
          <w:szCs w:val="22"/>
        </w:rPr>
      </w:pPr>
      <w:r w:rsidRPr="00063DB0">
        <w:rPr>
          <w:i/>
          <w:sz w:val="22"/>
          <w:szCs w:val="22"/>
        </w:rPr>
        <w:t>Senyviems pacientams</w:t>
      </w:r>
    </w:p>
    <w:p w14:paraId="29415864" w14:textId="733FB21B" w:rsidR="00F2007D" w:rsidRPr="007B701A" w:rsidRDefault="00F2007D" w:rsidP="00F2007D">
      <w:pPr>
        <w:overflowPunct/>
        <w:autoSpaceDE/>
        <w:autoSpaceDN/>
        <w:adjustRightInd/>
        <w:textAlignment w:val="auto"/>
        <w:rPr>
          <w:rFonts w:eastAsia="Times New Roman"/>
          <w:noProof/>
          <w:sz w:val="22"/>
          <w:szCs w:val="22"/>
          <w:lang w:eastAsia="lt-LT"/>
        </w:rPr>
      </w:pPr>
      <w:r w:rsidRPr="007B701A">
        <w:rPr>
          <w:rFonts w:eastAsia="Times New Roman"/>
          <w:noProof/>
          <w:sz w:val="22"/>
          <w:szCs w:val="22"/>
          <w:lang w:eastAsia="lt-LT"/>
        </w:rPr>
        <w:t xml:space="preserve">Būtina atsižvelgti į inkstų funkcijos sutrikimo galimybę senyviems pacientams ir reikia atitinkamai priderinti dozavimą (žr. toliau poskyrį </w:t>
      </w:r>
      <w:r w:rsidR="00A47281">
        <w:rPr>
          <w:rFonts w:eastAsia="Times New Roman"/>
          <w:noProof/>
          <w:sz w:val="22"/>
          <w:szCs w:val="22"/>
          <w:lang w:eastAsia="lt-LT"/>
        </w:rPr>
        <w:t>„</w:t>
      </w:r>
      <w:r w:rsidRPr="007B701A">
        <w:rPr>
          <w:rFonts w:eastAsia="Times New Roman"/>
          <w:noProof/>
          <w:sz w:val="22"/>
          <w:szCs w:val="22"/>
          <w:lang w:eastAsia="lt-LT"/>
        </w:rPr>
        <w:t>Pacientams, kurių inkstų funkcija sutrikusi</w:t>
      </w:r>
      <w:r w:rsidR="00A47281">
        <w:rPr>
          <w:rFonts w:eastAsia="Times New Roman"/>
          <w:noProof/>
          <w:sz w:val="22"/>
          <w:szCs w:val="22"/>
          <w:lang w:eastAsia="lt-LT"/>
        </w:rPr>
        <w:t>“</w:t>
      </w:r>
      <w:r w:rsidRPr="007B701A">
        <w:rPr>
          <w:rFonts w:eastAsia="Times New Roman"/>
          <w:noProof/>
          <w:sz w:val="22"/>
          <w:szCs w:val="22"/>
          <w:lang w:eastAsia="lt-LT"/>
        </w:rPr>
        <w:t xml:space="preserve">). Dozavimo keisti nereikia, nebent labai sutrikusi inkstų funkcija (žr. poskyrį „Pacientams, kurių inkstų </w:t>
      </w:r>
      <w:r w:rsidR="00A47281">
        <w:rPr>
          <w:rFonts w:eastAsia="Times New Roman"/>
          <w:noProof/>
          <w:sz w:val="22"/>
          <w:szCs w:val="22"/>
          <w:lang w:eastAsia="lt-LT"/>
        </w:rPr>
        <w:t>funkcija</w:t>
      </w:r>
      <w:r w:rsidR="00A47281" w:rsidRPr="007B701A">
        <w:rPr>
          <w:rFonts w:eastAsia="Times New Roman"/>
          <w:noProof/>
          <w:sz w:val="22"/>
          <w:szCs w:val="22"/>
          <w:lang w:eastAsia="lt-LT"/>
        </w:rPr>
        <w:t xml:space="preserve"> </w:t>
      </w:r>
      <w:r w:rsidR="00A47281">
        <w:rPr>
          <w:rFonts w:eastAsia="Times New Roman"/>
          <w:noProof/>
          <w:sz w:val="22"/>
          <w:szCs w:val="22"/>
          <w:lang w:eastAsia="lt-LT"/>
        </w:rPr>
        <w:t>sutrikusi</w:t>
      </w:r>
      <w:r w:rsidRPr="007B701A">
        <w:rPr>
          <w:rFonts w:eastAsia="Times New Roman"/>
          <w:noProof/>
          <w:sz w:val="22"/>
          <w:szCs w:val="22"/>
          <w:lang w:eastAsia="lt-LT"/>
        </w:rPr>
        <w:t xml:space="preserve">“). </w:t>
      </w:r>
    </w:p>
    <w:p w14:paraId="5D295C99" w14:textId="77777777" w:rsidR="00F2007D" w:rsidRPr="007B701A" w:rsidRDefault="00F2007D" w:rsidP="00F2007D">
      <w:pPr>
        <w:rPr>
          <w:sz w:val="22"/>
          <w:szCs w:val="22"/>
        </w:rPr>
      </w:pPr>
    </w:p>
    <w:p w14:paraId="16D23F7D" w14:textId="77777777" w:rsidR="00F2007D" w:rsidRPr="006A747F" w:rsidRDefault="00F2007D" w:rsidP="00F2007D">
      <w:pPr>
        <w:jc w:val="both"/>
        <w:rPr>
          <w:i/>
          <w:sz w:val="22"/>
          <w:szCs w:val="22"/>
        </w:rPr>
      </w:pPr>
      <w:r w:rsidRPr="00063DB0">
        <w:rPr>
          <w:bCs/>
          <w:i/>
          <w:sz w:val="22"/>
          <w:szCs w:val="22"/>
        </w:rPr>
        <w:t>Vaikų populiacija</w:t>
      </w:r>
    </w:p>
    <w:p w14:paraId="44B24111" w14:textId="509A61F6" w:rsidR="00F2007D" w:rsidRPr="009947E9" w:rsidRDefault="00F2007D" w:rsidP="00F2007D">
      <w:pPr>
        <w:rPr>
          <w:b/>
          <w:sz w:val="22"/>
        </w:rPr>
      </w:pPr>
      <w:r>
        <w:rPr>
          <w:bCs/>
          <w:sz w:val="22"/>
          <w:szCs w:val="22"/>
        </w:rPr>
        <w:t>Acic ne</w:t>
      </w:r>
      <w:r w:rsidR="008C328D">
        <w:rPr>
          <w:bCs/>
          <w:sz w:val="22"/>
          <w:szCs w:val="22"/>
        </w:rPr>
        <w:t>rekomenduojama</w:t>
      </w:r>
      <w:r>
        <w:rPr>
          <w:bCs/>
          <w:sz w:val="22"/>
          <w:szCs w:val="22"/>
        </w:rPr>
        <w:t xml:space="preserve"> vartoti vaikams ir paaugliams, jaunesniems nei 18 metų. </w:t>
      </w:r>
    </w:p>
    <w:p w14:paraId="4DE879E2" w14:textId="77777777" w:rsidR="00F2007D" w:rsidRPr="003D281D" w:rsidRDefault="00F2007D" w:rsidP="00F2007D">
      <w:pPr>
        <w:rPr>
          <w:i/>
          <w:sz w:val="22"/>
        </w:rPr>
      </w:pPr>
    </w:p>
    <w:p w14:paraId="6A98C0CB" w14:textId="77777777" w:rsidR="003D281D" w:rsidRDefault="003D281D" w:rsidP="00F2007D">
      <w:pPr>
        <w:rPr>
          <w:i/>
          <w:sz w:val="22"/>
          <w:szCs w:val="22"/>
        </w:rPr>
      </w:pPr>
      <w:r w:rsidRPr="003D281D">
        <w:rPr>
          <w:i/>
          <w:sz w:val="22"/>
          <w:szCs w:val="22"/>
        </w:rPr>
        <w:t xml:space="preserve">Pacientams, kurių </w:t>
      </w:r>
      <w:r>
        <w:rPr>
          <w:i/>
          <w:sz w:val="22"/>
          <w:szCs w:val="22"/>
        </w:rPr>
        <w:t>imuninės sistemos</w:t>
      </w:r>
      <w:r w:rsidRPr="003D281D">
        <w:rPr>
          <w:i/>
          <w:sz w:val="22"/>
          <w:szCs w:val="22"/>
        </w:rPr>
        <w:t xml:space="preserve"> funkcija sutrikusi</w:t>
      </w:r>
    </w:p>
    <w:p w14:paraId="012928F5" w14:textId="566A382A" w:rsidR="003D281D" w:rsidRPr="003D281D" w:rsidRDefault="003D281D" w:rsidP="00F2007D">
      <w:pPr>
        <w:rPr>
          <w:sz w:val="22"/>
          <w:szCs w:val="22"/>
        </w:rPr>
      </w:pPr>
      <w:r w:rsidRPr="008C328D">
        <w:rPr>
          <w:sz w:val="22"/>
          <w:szCs w:val="22"/>
        </w:rPr>
        <w:t>Acic netinka</w:t>
      </w:r>
      <w:r w:rsidR="008C328D" w:rsidRPr="00E722D8">
        <w:rPr>
          <w:sz w:val="22"/>
          <w:szCs w:val="22"/>
        </w:rPr>
        <w:t xml:space="preserve"> vartoti</w:t>
      </w:r>
      <w:r w:rsidRPr="008C328D">
        <w:rPr>
          <w:sz w:val="22"/>
          <w:szCs w:val="22"/>
        </w:rPr>
        <w:t xml:space="preserve"> pacientams, kurių imuninės sistemos funkcija </w:t>
      </w:r>
      <w:r w:rsidR="00DC2416" w:rsidRPr="008C328D">
        <w:rPr>
          <w:sz w:val="22"/>
          <w:szCs w:val="22"/>
        </w:rPr>
        <w:t xml:space="preserve">yra </w:t>
      </w:r>
      <w:r w:rsidRPr="008C328D">
        <w:rPr>
          <w:sz w:val="22"/>
          <w:szCs w:val="22"/>
        </w:rPr>
        <w:t>sutrikusi.</w:t>
      </w:r>
    </w:p>
    <w:p w14:paraId="2314E020" w14:textId="77777777" w:rsidR="003D281D" w:rsidRDefault="003D281D" w:rsidP="00F2007D">
      <w:pPr>
        <w:rPr>
          <w:i/>
          <w:sz w:val="22"/>
          <w:szCs w:val="22"/>
        </w:rPr>
      </w:pPr>
    </w:p>
    <w:p w14:paraId="72E6EA0A" w14:textId="77777777" w:rsidR="00F2007D" w:rsidRPr="00063DB0" w:rsidRDefault="00F2007D" w:rsidP="00F2007D">
      <w:pPr>
        <w:rPr>
          <w:sz w:val="22"/>
          <w:szCs w:val="22"/>
        </w:rPr>
      </w:pPr>
      <w:r w:rsidRPr="00063DB0">
        <w:rPr>
          <w:i/>
          <w:sz w:val="22"/>
          <w:szCs w:val="22"/>
        </w:rPr>
        <w:t xml:space="preserve">Pacientams, kurių inkstų funkcija sutrikusi </w:t>
      </w:r>
    </w:p>
    <w:p w14:paraId="1FAD72BD" w14:textId="43F97468" w:rsidR="00DC2416" w:rsidRDefault="00DC2416" w:rsidP="00F2007D">
      <w:pPr>
        <w:rPr>
          <w:sz w:val="22"/>
          <w:szCs w:val="22"/>
        </w:rPr>
      </w:pPr>
      <w:r w:rsidRPr="008C328D">
        <w:rPr>
          <w:sz w:val="22"/>
          <w:szCs w:val="22"/>
        </w:rPr>
        <w:t>Acic netinka</w:t>
      </w:r>
      <w:r w:rsidR="008C328D" w:rsidRPr="00E722D8">
        <w:rPr>
          <w:sz w:val="22"/>
          <w:szCs w:val="22"/>
        </w:rPr>
        <w:t xml:space="preserve"> vartoti</w:t>
      </w:r>
      <w:r w:rsidRPr="008C328D">
        <w:rPr>
          <w:sz w:val="22"/>
          <w:szCs w:val="22"/>
        </w:rPr>
        <w:t xml:space="preserve"> pacientams, kurių inkstų funkcija yra sutrikusi.</w:t>
      </w:r>
    </w:p>
    <w:p w14:paraId="0C050BA9" w14:textId="77777777" w:rsidR="00F2007D" w:rsidRPr="007B701A" w:rsidRDefault="00F2007D" w:rsidP="00F2007D">
      <w:pPr>
        <w:overflowPunct/>
        <w:autoSpaceDE/>
        <w:autoSpaceDN/>
        <w:adjustRightInd/>
        <w:textAlignment w:val="auto"/>
        <w:rPr>
          <w:sz w:val="22"/>
          <w:szCs w:val="22"/>
          <w:lang w:eastAsia="lt-LT"/>
        </w:rPr>
      </w:pPr>
    </w:p>
    <w:p w14:paraId="7CCE7879" w14:textId="10DE33F4" w:rsidR="00F2007D" w:rsidRPr="007B701A" w:rsidRDefault="00F2007D" w:rsidP="00F2007D">
      <w:pPr>
        <w:rPr>
          <w:sz w:val="22"/>
          <w:szCs w:val="22"/>
        </w:rPr>
      </w:pPr>
      <w:r w:rsidRPr="007B701A">
        <w:rPr>
          <w:sz w:val="22"/>
          <w:szCs w:val="22"/>
        </w:rPr>
        <w:t>Kad gydymas būtų kiek galima veiksmingesnis, acikloviro tablečių reikia pradėti gerti kiek galima anksčiau, t. y. vos tik atsiradus pirmiesiems odos pažeidimo simptomams. Labai svarbu vaist</w:t>
      </w:r>
      <w:r w:rsidR="00A47281">
        <w:rPr>
          <w:sz w:val="22"/>
          <w:szCs w:val="22"/>
        </w:rPr>
        <w:t>inio preparat</w:t>
      </w:r>
      <w:r w:rsidRPr="007B701A">
        <w:rPr>
          <w:sz w:val="22"/>
          <w:szCs w:val="22"/>
        </w:rPr>
        <w:t>o pradėti gerti nedelsiant, kai tik atsiranda pirmųjų ligos atkryčio simptomų, pvz., niežėjimas, tempimo pojūtis, pirmosios pūslelės.</w:t>
      </w:r>
    </w:p>
    <w:p w14:paraId="584FAB24" w14:textId="77777777" w:rsidR="00F2007D" w:rsidRPr="00063DB0" w:rsidRDefault="00F2007D" w:rsidP="00F2007D">
      <w:pPr>
        <w:spacing w:before="120"/>
        <w:rPr>
          <w:sz w:val="22"/>
          <w:szCs w:val="22"/>
          <w:u w:val="single"/>
        </w:rPr>
      </w:pPr>
      <w:r w:rsidRPr="00063DB0">
        <w:rPr>
          <w:sz w:val="22"/>
          <w:szCs w:val="22"/>
          <w:u w:val="single"/>
        </w:rPr>
        <w:t xml:space="preserve">Vartojimo metodas </w:t>
      </w:r>
    </w:p>
    <w:p w14:paraId="03656F01" w14:textId="77777777" w:rsidR="00F2007D" w:rsidRDefault="00F2007D" w:rsidP="00F2007D">
      <w:pPr>
        <w:rPr>
          <w:sz w:val="22"/>
          <w:szCs w:val="22"/>
        </w:rPr>
      </w:pPr>
      <w:r>
        <w:rPr>
          <w:sz w:val="22"/>
          <w:szCs w:val="22"/>
        </w:rPr>
        <w:lastRenderedPageBreak/>
        <w:t>Vartoti per burną.</w:t>
      </w:r>
    </w:p>
    <w:p w14:paraId="6560348E" w14:textId="4DAD09A3" w:rsidR="00F2007D" w:rsidRPr="007B701A" w:rsidRDefault="00F2007D" w:rsidP="00F2007D">
      <w:pPr>
        <w:rPr>
          <w:sz w:val="22"/>
          <w:szCs w:val="22"/>
        </w:rPr>
      </w:pPr>
      <w:r w:rsidRPr="007B701A">
        <w:rPr>
          <w:sz w:val="22"/>
          <w:szCs w:val="22"/>
        </w:rPr>
        <w:t>Tabletes geriausiai gerti po valgio, užsigeriant skysči</w:t>
      </w:r>
      <w:r w:rsidR="00641914">
        <w:rPr>
          <w:sz w:val="22"/>
          <w:szCs w:val="22"/>
        </w:rPr>
        <w:t>u</w:t>
      </w:r>
      <w:r w:rsidRPr="007B701A">
        <w:rPr>
          <w:sz w:val="22"/>
          <w:szCs w:val="22"/>
        </w:rPr>
        <w:t>.</w:t>
      </w:r>
    </w:p>
    <w:p w14:paraId="36CD1875" w14:textId="77777777" w:rsidR="00F2007D" w:rsidRPr="007B701A" w:rsidRDefault="00F2007D" w:rsidP="00F2007D">
      <w:pPr>
        <w:rPr>
          <w:b/>
          <w:sz w:val="22"/>
          <w:szCs w:val="22"/>
        </w:rPr>
      </w:pPr>
    </w:p>
    <w:p w14:paraId="7530176B" w14:textId="22ECD26B" w:rsidR="00F2007D" w:rsidRPr="007B701A" w:rsidRDefault="00F2007D" w:rsidP="00F2007D">
      <w:pPr>
        <w:tabs>
          <w:tab w:val="left" w:pos="567"/>
        </w:tabs>
        <w:rPr>
          <w:sz w:val="22"/>
          <w:szCs w:val="22"/>
        </w:rPr>
      </w:pPr>
      <w:r w:rsidRPr="007B701A">
        <w:rPr>
          <w:b/>
          <w:sz w:val="22"/>
          <w:szCs w:val="22"/>
        </w:rPr>
        <w:t>4.3</w:t>
      </w:r>
      <w:r w:rsidRPr="007B701A">
        <w:rPr>
          <w:b/>
          <w:sz w:val="22"/>
          <w:szCs w:val="22"/>
        </w:rPr>
        <w:tab/>
        <w:t>Kontraindikacijos</w:t>
      </w:r>
    </w:p>
    <w:p w14:paraId="50FF58AF" w14:textId="77777777" w:rsidR="00F2007D" w:rsidRPr="007B701A" w:rsidRDefault="00F2007D" w:rsidP="00F2007D">
      <w:pPr>
        <w:tabs>
          <w:tab w:val="left" w:pos="357"/>
        </w:tabs>
        <w:rPr>
          <w:sz w:val="22"/>
          <w:szCs w:val="22"/>
        </w:rPr>
      </w:pPr>
    </w:p>
    <w:p w14:paraId="6EFA124E" w14:textId="77777777" w:rsidR="00F2007D" w:rsidRDefault="00F2007D" w:rsidP="00F2007D">
      <w:pPr>
        <w:tabs>
          <w:tab w:val="left" w:pos="357"/>
        </w:tabs>
        <w:rPr>
          <w:sz w:val="22"/>
          <w:szCs w:val="22"/>
        </w:rPr>
      </w:pPr>
      <w:r w:rsidRPr="007B701A">
        <w:rPr>
          <w:sz w:val="22"/>
          <w:szCs w:val="22"/>
        </w:rPr>
        <w:t xml:space="preserve">Padidėjęs jautrumas aciklovirui, valaciklovirui arba bet kuriai </w:t>
      </w:r>
      <w:r w:rsidRPr="007B701A">
        <w:rPr>
          <w:noProof/>
          <w:sz w:val="22"/>
          <w:szCs w:val="22"/>
        </w:rPr>
        <w:t xml:space="preserve">6.1 skyriuje nurodytai </w:t>
      </w:r>
      <w:r w:rsidRPr="007B701A">
        <w:rPr>
          <w:sz w:val="22"/>
          <w:szCs w:val="22"/>
        </w:rPr>
        <w:t xml:space="preserve">pagalbinei medžiagai. </w:t>
      </w:r>
    </w:p>
    <w:p w14:paraId="0A9D2749" w14:textId="77777777" w:rsidR="00A20319" w:rsidRPr="007B701A" w:rsidRDefault="00A20319" w:rsidP="00F2007D">
      <w:pPr>
        <w:tabs>
          <w:tab w:val="left" w:pos="357"/>
        </w:tabs>
        <w:rPr>
          <w:sz w:val="22"/>
          <w:szCs w:val="22"/>
        </w:rPr>
      </w:pPr>
    </w:p>
    <w:p w14:paraId="49F8D331" w14:textId="77777777" w:rsidR="00F2007D" w:rsidRPr="007B701A" w:rsidRDefault="00F2007D" w:rsidP="00F2007D">
      <w:pPr>
        <w:rPr>
          <w:b/>
          <w:sz w:val="22"/>
          <w:szCs w:val="22"/>
        </w:rPr>
      </w:pPr>
    </w:p>
    <w:p w14:paraId="69CAD710" w14:textId="725113D5" w:rsidR="00F2007D" w:rsidRPr="007B701A" w:rsidRDefault="00F2007D" w:rsidP="00F2007D">
      <w:pPr>
        <w:tabs>
          <w:tab w:val="left" w:pos="567"/>
        </w:tabs>
        <w:rPr>
          <w:sz w:val="22"/>
          <w:szCs w:val="22"/>
        </w:rPr>
      </w:pPr>
      <w:r w:rsidRPr="007B701A">
        <w:rPr>
          <w:b/>
          <w:sz w:val="22"/>
          <w:szCs w:val="22"/>
        </w:rPr>
        <w:t>4.4</w:t>
      </w:r>
      <w:r w:rsidRPr="007B701A">
        <w:rPr>
          <w:b/>
          <w:sz w:val="22"/>
          <w:szCs w:val="22"/>
        </w:rPr>
        <w:tab/>
        <w:t xml:space="preserve">Specialūs įspėjimai ir atsargumo priemonės </w:t>
      </w:r>
    </w:p>
    <w:p w14:paraId="25A97FF8" w14:textId="77777777" w:rsidR="00F2007D" w:rsidRPr="007B701A" w:rsidRDefault="00F2007D" w:rsidP="00F2007D">
      <w:pPr>
        <w:rPr>
          <w:sz w:val="22"/>
          <w:szCs w:val="22"/>
        </w:rPr>
      </w:pPr>
    </w:p>
    <w:p w14:paraId="57677DEA" w14:textId="634C8EB5" w:rsidR="00F2007D" w:rsidRPr="00C756E7" w:rsidRDefault="00F2007D" w:rsidP="00F2007D">
      <w:pPr>
        <w:rPr>
          <w:sz w:val="22"/>
          <w:szCs w:val="22"/>
        </w:rPr>
      </w:pPr>
      <w:r w:rsidRPr="009947E9">
        <w:rPr>
          <w:sz w:val="22"/>
        </w:rPr>
        <w:t xml:space="preserve">Siekiant išvengti </w:t>
      </w:r>
      <w:r>
        <w:rPr>
          <w:sz w:val="22"/>
          <w:szCs w:val="22"/>
        </w:rPr>
        <w:t>infekcijos plitimo, pacientus reikia įspėti, kad vengtų liesti viruso pažeistą vietą patys bei neleistų to daryti kitiems. Po pažeistos vietos palietimo, reikia tuoj pat nusiplauti rankas. Iki tol reikia stengtis neliesti kitų kūno vietų, ypač akių.</w:t>
      </w:r>
    </w:p>
    <w:p w14:paraId="385657AB" w14:textId="77777777" w:rsidR="00F2007D" w:rsidRPr="00C756E7" w:rsidRDefault="00F2007D" w:rsidP="00F2007D">
      <w:pPr>
        <w:rPr>
          <w:sz w:val="22"/>
          <w:szCs w:val="22"/>
        </w:rPr>
      </w:pPr>
    </w:p>
    <w:p w14:paraId="636E16E8" w14:textId="77777777" w:rsidR="00F2007D" w:rsidRPr="007B701A" w:rsidRDefault="00F2007D" w:rsidP="00F2007D">
      <w:pPr>
        <w:rPr>
          <w:sz w:val="22"/>
          <w:szCs w:val="22"/>
        </w:rPr>
      </w:pPr>
      <w:r w:rsidRPr="007B701A">
        <w:rPr>
          <w:sz w:val="22"/>
          <w:szCs w:val="22"/>
        </w:rPr>
        <w:t xml:space="preserve">Inkstų pakenkimo rizika būna didesnė, jeigu acikloviro vartojama kartu su kitais nefrotoksiniais vaistiniais preparatais. </w:t>
      </w:r>
    </w:p>
    <w:p w14:paraId="1171AFAE" w14:textId="77777777" w:rsidR="00F2007D" w:rsidRPr="007B701A" w:rsidRDefault="00F2007D" w:rsidP="00F2007D">
      <w:pPr>
        <w:rPr>
          <w:i/>
          <w:sz w:val="22"/>
          <w:szCs w:val="22"/>
          <w:u w:val="single"/>
        </w:rPr>
      </w:pPr>
    </w:p>
    <w:p w14:paraId="516D612E" w14:textId="77777777" w:rsidR="00F2007D" w:rsidRPr="007B701A" w:rsidRDefault="00F2007D" w:rsidP="00F2007D">
      <w:pPr>
        <w:rPr>
          <w:i/>
          <w:sz w:val="22"/>
          <w:szCs w:val="22"/>
        </w:rPr>
      </w:pPr>
      <w:r w:rsidRPr="007B701A">
        <w:rPr>
          <w:i/>
          <w:sz w:val="22"/>
          <w:szCs w:val="22"/>
        </w:rPr>
        <w:t>Vartojimas ligoniams, kurių inkstų funkcija sutrikusi, ir senyviems pacientams</w:t>
      </w:r>
    </w:p>
    <w:p w14:paraId="6C35F9AD" w14:textId="12145041" w:rsidR="00F2007D" w:rsidRPr="007B701A" w:rsidRDefault="00F2007D" w:rsidP="00F2007D">
      <w:pPr>
        <w:rPr>
          <w:sz w:val="22"/>
          <w:szCs w:val="22"/>
        </w:rPr>
      </w:pPr>
      <w:r w:rsidRPr="007B701A">
        <w:rPr>
          <w:sz w:val="22"/>
          <w:szCs w:val="22"/>
        </w:rPr>
        <w:t>Acikloviro pasišalinimas iš organizmo priklauso nuo kreatino klirenso, todėl pacientams, kuriems buvo sutrikusi inkstų funkcija, reikia koreguoti dozę (žr. 4.2 skyrių). Dažniausiai inkstų funkcijos sutrikimas pasitaiko senyviems žmonėms, todėl dozės mažinimas turi būti apsvarstytas šiai grupei pacientų. Senyviems žmonėms ir pacientams, kuriems pakenkta inkstų funkcija, yra didesnė neurologinio nepageidaujamo poveikio išsivystymo rizika, todėl jie turi būti atidžiai stebimi dėl minėto poveikio požymių. Atvejais, apie kuriuos buvo pranešta, šios reakcijos paprastai išnykdavo nutraukus gydymą (žr. 4.8 skyrių).</w:t>
      </w:r>
    </w:p>
    <w:p w14:paraId="6DB84520" w14:textId="77777777" w:rsidR="00F2007D" w:rsidRDefault="00F2007D" w:rsidP="00F2007D">
      <w:pPr>
        <w:rPr>
          <w:sz w:val="22"/>
          <w:szCs w:val="22"/>
        </w:rPr>
      </w:pPr>
    </w:p>
    <w:p w14:paraId="5140D063" w14:textId="43BB415A" w:rsidR="00F2007D" w:rsidRPr="007B701A" w:rsidRDefault="00F2007D" w:rsidP="00F2007D">
      <w:pPr>
        <w:rPr>
          <w:sz w:val="22"/>
          <w:szCs w:val="22"/>
        </w:rPr>
      </w:pPr>
      <w:r w:rsidRPr="00C756E7">
        <w:rPr>
          <w:sz w:val="22"/>
          <w:szCs w:val="22"/>
        </w:rPr>
        <w:t>Dėl užsitęsusių ar pakartotinių gydymo acikloviru kursų pacientams, kurių imuninė sistema labai susilpnėjusi, gali atsirasti sumažėjusio jautrumo virusų padermių, kurios gali nereaguoti į tęsiamą gydymą acikloviru (žr. 5.1 skyrių).</w:t>
      </w:r>
    </w:p>
    <w:p w14:paraId="2AA28CBA" w14:textId="77777777" w:rsidR="00F2007D" w:rsidRPr="007B701A" w:rsidRDefault="00F2007D" w:rsidP="00F2007D">
      <w:pPr>
        <w:rPr>
          <w:sz w:val="22"/>
          <w:szCs w:val="22"/>
        </w:rPr>
      </w:pPr>
    </w:p>
    <w:p w14:paraId="38FD8A2C" w14:textId="77777777" w:rsidR="00F2007D" w:rsidRPr="007B701A" w:rsidRDefault="00F2007D" w:rsidP="00F2007D">
      <w:pPr>
        <w:rPr>
          <w:sz w:val="22"/>
          <w:szCs w:val="22"/>
        </w:rPr>
      </w:pPr>
      <w:r w:rsidRPr="007B701A">
        <w:rPr>
          <w:sz w:val="22"/>
          <w:szCs w:val="22"/>
        </w:rPr>
        <w:t>Nėra pakankamai duomenų įrodančių, kad gydant acikloviru pacientus, kurių imuninis atsakas yra pakankamas, sumažėja su vėjaraupiais susijusių komplikacijų tikimybė.</w:t>
      </w:r>
    </w:p>
    <w:p w14:paraId="71AA8236" w14:textId="4D0E0C3B" w:rsidR="00F2007D" w:rsidRPr="007B701A" w:rsidRDefault="00F2007D" w:rsidP="00F2007D">
      <w:pPr>
        <w:overflowPunct/>
        <w:autoSpaceDE/>
        <w:autoSpaceDN/>
        <w:adjustRightInd/>
        <w:spacing w:before="240" w:after="60"/>
        <w:jc w:val="both"/>
        <w:textAlignment w:val="auto"/>
        <w:outlineLvl w:val="0"/>
        <w:rPr>
          <w:sz w:val="22"/>
          <w:szCs w:val="22"/>
        </w:rPr>
      </w:pPr>
      <w:r w:rsidRPr="007B701A">
        <w:rPr>
          <w:sz w:val="22"/>
          <w:szCs w:val="22"/>
        </w:rPr>
        <w:t>Šio vaistinio preparato sudėtyje yra laktozės, todėl šio</w:t>
      </w:r>
      <w:r w:rsidR="003F59C5">
        <w:rPr>
          <w:sz w:val="22"/>
          <w:szCs w:val="22"/>
        </w:rPr>
        <w:t xml:space="preserve"> vaistinio</w:t>
      </w:r>
      <w:r w:rsidRPr="007B701A">
        <w:rPr>
          <w:sz w:val="22"/>
          <w:szCs w:val="22"/>
        </w:rPr>
        <w:t xml:space="preserve"> preparato negalima vartoti pacientams, kuriems</w:t>
      </w:r>
      <w:r w:rsidR="003F59C5">
        <w:rPr>
          <w:sz w:val="22"/>
          <w:szCs w:val="22"/>
        </w:rPr>
        <w:t xml:space="preserve"> </w:t>
      </w:r>
      <w:r w:rsidR="003F59C5" w:rsidRPr="003F59C5">
        <w:rPr>
          <w:sz w:val="22"/>
          <w:szCs w:val="22"/>
        </w:rPr>
        <w:t>nustatytas</w:t>
      </w:r>
      <w:r w:rsidRPr="003F59C5">
        <w:rPr>
          <w:sz w:val="22"/>
          <w:szCs w:val="22"/>
        </w:rPr>
        <w:t xml:space="preserve"> </w:t>
      </w:r>
      <w:r w:rsidR="003F59C5" w:rsidRPr="00F7005D">
        <w:rPr>
          <w:sz w:val="22"/>
          <w:szCs w:val="22"/>
        </w:rPr>
        <w:t xml:space="preserve">retas paveldimas sutrikimas – </w:t>
      </w:r>
      <w:r w:rsidR="003F59C5" w:rsidRPr="00F7005D">
        <w:rPr>
          <w:i/>
          <w:sz w:val="22"/>
          <w:szCs w:val="22"/>
        </w:rPr>
        <w:t>Lapp</w:t>
      </w:r>
      <w:r w:rsidR="003F59C5" w:rsidRPr="00F7005D">
        <w:rPr>
          <w:sz w:val="22"/>
          <w:szCs w:val="22"/>
        </w:rPr>
        <w:t xml:space="preserve"> laktazės stygius arba gliukozės ir galaktozės malabsorbcija.</w:t>
      </w:r>
      <w:r w:rsidRPr="003F59C5">
        <w:rPr>
          <w:sz w:val="22"/>
          <w:szCs w:val="22"/>
        </w:rPr>
        <w:t xml:space="preserve">. </w:t>
      </w:r>
    </w:p>
    <w:p w14:paraId="355255B7" w14:textId="77777777" w:rsidR="00F2007D" w:rsidRPr="007B701A" w:rsidRDefault="00F2007D" w:rsidP="00F2007D">
      <w:pPr>
        <w:rPr>
          <w:b/>
          <w:sz w:val="22"/>
          <w:szCs w:val="22"/>
        </w:rPr>
      </w:pPr>
    </w:p>
    <w:p w14:paraId="32AF3050" w14:textId="28CE9019" w:rsidR="00F2007D" w:rsidRPr="007B701A" w:rsidRDefault="00F2007D" w:rsidP="00F2007D">
      <w:pPr>
        <w:tabs>
          <w:tab w:val="left" w:pos="567"/>
        </w:tabs>
        <w:rPr>
          <w:sz w:val="22"/>
          <w:szCs w:val="22"/>
        </w:rPr>
      </w:pPr>
      <w:r w:rsidRPr="007B701A">
        <w:rPr>
          <w:b/>
          <w:sz w:val="22"/>
          <w:szCs w:val="22"/>
        </w:rPr>
        <w:t>4.5</w:t>
      </w:r>
      <w:r w:rsidRPr="007B701A">
        <w:rPr>
          <w:b/>
          <w:sz w:val="22"/>
          <w:szCs w:val="22"/>
        </w:rPr>
        <w:tab/>
        <w:t>Sąveika su kitais vaistiniais preparatais ir kitokia sąveika</w:t>
      </w:r>
    </w:p>
    <w:p w14:paraId="05DD36F2" w14:textId="77777777" w:rsidR="00F2007D" w:rsidRPr="007B701A" w:rsidRDefault="00F2007D" w:rsidP="00F2007D">
      <w:pPr>
        <w:rPr>
          <w:b/>
          <w:sz w:val="22"/>
          <w:szCs w:val="22"/>
        </w:rPr>
      </w:pPr>
    </w:p>
    <w:p w14:paraId="12919924" w14:textId="651BB55B" w:rsidR="00F2007D" w:rsidRPr="007B701A" w:rsidRDefault="00F2007D" w:rsidP="00F2007D">
      <w:pPr>
        <w:rPr>
          <w:sz w:val="22"/>
          <w:szCs w:val="22"/>
        </w:rPr>
      </w:pPr>
      <w:r w:rsidRPr="007B701A">
        <w:rPr>
          <w:bCs/>
          <w:sz w:val="22"/>
          <w:szCs w:val="22"/>
        </w:rPr>
        <w:t>Daugiausia acikloviro nepakitusio vaist</w:t>
      </w:r>
      <w:r w:rsidR="003A7A27">
        <w:rPr>
          <w:bCs/>
          <w:sz w:val="22"/>
          <w:szCs w:val="22"/>
        </w:rPr>
        <w:t>inio preparat</w:t>
      </w:r>
      <w:r w:rsidRPr="007B701A">
        <w:rPr>
          <w:bCs/>
          <w:sz w:val="22"/>
          <w:szCs w:val="22"/>
        </w:rPr>
        <w:t>o pavidalu pašalinama su šlapimu aktyvios inkstų kanalėlių sekrecijos būdu. Bet kurie kartu su acikloviru vartojami vaistiniai preparatai, išskiriami iš organizmo minėtu būdu, gali didinti acikloviro koncentraciją kraujo plazmoje. Tokiu būdu cimetidinas ir probenecidas didina acikloviro AUC ir mažina acikloviro pašalinimą su šlapimu. Panašiai didėja ir acikloviro, ir mikofenolato mofetilio (imunosupresinio</w:t>
      </w:r>
      <w:r w:rsidR="003F59C5">
        <w:rPr>
          <w:bCs/>
          <w:sz w:val="22"/>
          <w:szCs w:val="22"/>
        </w:rPr>
        <w:t xml:space="preserve"> vaistinio</w:t>
      </w:r>
      <w:r w:rsidRPr="007B701A">
        <w:rPr>
          <w:bCs/>
          <w:sz w:val="22"/>
          <w:szCs w:val="22"/>
        </w:rPr>
        <w:t xml:space="preserve"> preparato, skiriamo po transplantacijos) neaktyvaus metabolito AUC pacientams, kuriems šių</w:t>
      </w:r>
      <w:r w:rsidR="003F59C5">
        <w:rPr>
          <w:bCs/>
          <w:sz w:val="22"/>
          <w:szCs w:val="22"/>
        </w:rPr>
        <w:t xml:space="preserve"> vaistinių</w:t>
      </w:r>
      <w:r w:rsidRPr="007B701A">
        <w:rPr>
          <w:bCs/>
          <w:sz w:val="22"/>
          <w:szCs w:val="22"/>
        </w:rPr>
        <w:t xml:space="preserve"> preparatų buvo skiriama kartu. Tačiau dozės keisti nereikia, kadangi acikloviro terapinis indeksas yra platus.</w:t>
      </w:r>
    </w:p>
    <w:p w14:paraId="76ACA888" w14:textId="77777777" w:rsidR="00F2007D" w:rsidRPr="007B701A" w:rsidRDefault="00F2007D" w:rsidP="00F2007D">
      <w:pPr>
        <w:rPr>
          <w:sz w:val="22"/>
          <w:szCs w:val="22"/>
        </w:rPr>
      </w:pPr>
      <w:r w:rsidRPr="007B701A">
        <w:rPr>
          <w:sz w:val="22"/>
          <w:szCs w:val="22"/>
        </w:rPr>
        <w:t xml:space="preserve">Eksperimentinis tyrimas, kuriame dalyvavo 5 vyrai, rodo, kad kartu taikomas gydymas acikloviru padidina viso suvartoto </w:t>
      </w:r>
      <w:r w:rsidRPr="007B701A">
        <w:rPr>
          <w:bCs/>
          <w:sz w:val="22"/>
          <w:szCs w:val="22"/>
        </w:rPr>
        <w:t xml:space="preserve">teofilino </w:t>
      </w:r>
      <w:r w:rsidRPr="007B701A">
        <w:rPr>
          <w:sz w:val="22"/>
          <w:szCs w:val="22"/>
        </w:rPr>
        <w:t>AUC maždaug 50</w:t>
      </w:r>
      <w:r w:rsidR="00A47281">
        <w:rPr>
          <w:sz w:val="22"/>
          <w:szCs w:val="22"/>
        </w:rPr>
        <w:t xml:space="preserve"> </w:t>
      </w:r>
      <w:r w:rsidRPr="007B701A">
        <w:rPr>
          <w:sz w:val="22"/>
          <w:szCs w:val="22"/>
        </w:rPr>
        <w:t>%. Rekomenduojama matuoti šio vaistinio preparato koncentraciją kraujo plazmoje kartu taikomo gydymo acikloviru metu.</w:t>
      </w:r>
    </w:p>
    <w:p w14:paraId="58CA5AEC" w14:textId="77777777" w:rsidR="00F2007D" w:rsidRPr="007B701A" w:rsidRDefault="00F2007D" w:rsidP="00F2007D">
      <w:pPr>
        <w:rPr>
          <w:b/>
          <w:sz w:val="22"/>
          <w:szCs w:val="22"/>
        </w:rPr>
      </w:pPr>
    </w:p>
    <w:p w14:paraId="660EF0C4" w14:textId="177AC88E" w:rsidR="00F2007D" w:rsidRPr="007B701A" w:rsidRDefault="00F2007D" w:rsidP="00F2007D">
      <w:pPr>
        <w:tabs>
          <w:tab w:val="left" w:pos="567"/>
        </w:tabs>
        <w:rPr>
          <w:b/>
          <w:sz w:val="22"/>
          <w:szCs w:val="22"/>
        </w:rPr>
      </w:pPr>
      <w:r w:rsidRPr="007B701A">
        <w:rPr>
          <w:b/>
          <w:sz w:val="22"/>
          <w:szCs w:val="22"/>
        </w:rPr>
        <w:t>4.6</w:t>
      </w:r>
      <w:r w:rsidRPr="007B701A">
        <w:rPr>
          <w:b/>
          <w:sz w:val="22"/>
          <w:szCs w:val="22"/>
        </w:rPr>
        <w:tab/>
      </w:r>
      <w:r>
        <w:rPr>
          <w:b/>
          <w:sz w:val="22"/>
          <w:szCs w:val="22"/>
        </w:rPr>
        <w:t>Vaisingumas, n</w:t>
      </w:r>
      <w:r w:rsidRPr="007B701A">
        <w:rPr>
          <w:b/>
          <w:sz w:val="22"/>
          <w:szCs w:val="22"/>
        </w:rPr>
        <w:t>ėštumo ir žindymo laikotarpis</w:t>
      </w:r>
    </w:p>
    <w:p w14:paraId="663771A8" w14:textId="77777777" w:rsidR="00F2007D" w:rsidRPr="007B701A" w:rsidRDefault="00F2007D" w:rsidP="00F2007D">
      <w:pPr>
        <w:rPr>
          <w:i/>
          <w:sz w:val="22"/>
          <w:szCs w:val="22"/>
        </w:rPr>
      </w:pPr>
    </w:p>
    <w:p w14:paraId="78102DCB" w14:textId="77777777" w:rsidR="00F2007D" w:rsidRPr="007B701A" w:rsidRDefault="00F2007D" w:rsidP="00F2007D">
      <w:pPr>
        <w:rPr>
          <w:i/>
          <w:sz w:val="22"/>
          <w:szCs w:val="22"/>
        </w:rPr>
      </w:pPr>
      <w:r w:rsidRPr="007B701A">
        <w:rPr>
          <w:i/>
          <w:sz w:val="22"/>
          <w:szCs w:val="22"/>
        </w:rPr>
        <w:t>Vaisingumas</w:t>
      </w:r>
    </w:p>
    <w:p w14:paraId="1FB9B6F0" w14:textId="77777777" w:rsidR="00F2007D" w:rsidRPr="007B701A" w:rsidRDefault="00F2007D" w:rsidP="00F2007D">
      <w:pPr>
        <w:rPr>
          <w:sz w:val="22"/>
          <w:szCs w:val="22"/>
        </w:rPr>
      </w:pPr>
      <w:r w:rsidRPr="007B701A">
        <w:rPr>
          <w:sz w:val="22"/>
          <w:szCs w:val="22"/>
        </w:rPr>
        <w:t>Žr. ikiklinikinius tyrimus 5.3 skyriuje</w:t>
      </w:r>
      <w:r w:rsidR="00A47281">
        <w:rPr>
          <w:sz w:val="22"/>
          <w:szCs w:val="22"/>
        </w:rPr>
        <w:t>.</w:t>
      </w:r>
    </w:p>
    <w:p w14:paraId="32ABE822" w14:textId="77777777" w:rsidR="00F2007D" w:rsidRPr="007B701A" w:rsidRDefault="00F2007D" w:rsidP="00F2007D">
      <w:pPr>
        <w:rPr>
          <w:i/>
          <w:sz w:val="22"/>
          <w:szCs w:val="22"/>
        </w:rPr>
      </w:pPr>
    </w:p>
    <w:p w14:paraId="07F53D1E" w14:textId="77777777" w:rsidR="00F2007D" w:rsidRPr="007B701A" w:rsidRDefault="00F2007D" w:rsidP="00F2007D">
      <w:pPr>
        <w:rPr>
          <w:i/>
          <w:sz w:val="22"/>
          <w:szCs w:val="22"/>
        </w:rPr>
      </w:pPr>
      <w:r w:rsidRPr="007B701A">
        <w:rPr>
          <w:i/>
          <w:sz w:val="22"/>
          <w:szCs w:val="22"/>
        </w:rPr>
        <w:t>Nėštumas</w:t>
      </w:r>
    </w:p>
    <w:p w14:paraId="6636566D" w14:textId="77777777" w:rsidR="00F2007D" w:rsidRPr="007B701A" w:rsidRDefault="00F2007D" w:rsidP="00F2007D">
      <w:pPr>
        <w:overflowPunct/>
        <w:textAlignment w:val="auto"/>
        <w:rPr>
          <w:sz w:val="22"/>
          <w:szCs w:val="22"/>
          <w:lang w:eastAsia="lt-LT"/>
        </w:rPr>
      </w:pPr>
      <w:r w:rsidRPr="007B701A">
        <w:rPr>
          <w:sz w:val="22"/>
          <w:szCs w:val="22"/>
          <w:lang w:eastAsia="lt-LT"/>
        </w:rPr>
        <w:lastRenderedPageBreak/>
        <w:t>Acikloviro nėštumo metu rekomenduojama vartoti tik tuomet, kai numatoma nauda didesnė už galimą riziką.</w:t>
      </w:r>
    </w:p>
    <w:p w14:paraId="4D9E8C15" w14:textId="77777777" w:rsidR="00F2007D" w:rsidRPr="007B701A" w:rsidRDefault="00F2007D" w:rsidP="00F2007D">
      <w:pPr>
        <w:overflowPunct/>
        <w:textAlignment w:val="auto"/>
        <w:rPr>
          <w:sz w:val="22"/>
          <w:szCs w:val="22"/>
          <w:lang w:eastAsia="lt-LT"/>
        </w:rPr>
      </w:pPr>
    </w:p>
    <w:p w14:paraId="5670DE77" w14:textId="77777777" w:rsidR="00F2007D" w:rsidRPr="007B701A" w:rsidRDefault="00F2007D" w:rsidP="00F2007D">
      <w:pPr>
        <w:overflowPunct/>
        <w:textAlignment w:val="auto"/>
        <w:rPr>
          <w:sz w:val="22"/>
          <w:szCs w:val="22"/>
          <w:lang w:eastAsia="lt-LT"/>
        </w:rPr>
      </w:pPr>
      <w:r w:rsidRPr="007B701A">
        <w:rPr>
          <w:sz w:val="22"/>
          <w:szCs w:val="22"/>
          <w:lang w:eastAsia="lt-LT"/>
        </w:rPr>
        <w:t xml:space="preserve">Po Acic patekimo į rinką, nėščiųjų gydymo acikloviru registre yra dokumentuotos moterų, kurios buvo veikiamos kokia nors acikloviro vaistine forma, nėštumų baigtys. Registro duomenys neparodė sklaidos trūkumų skaičiaus padidėjimo acikloviru paveiktiems žmonėms, palyginti su bendrąja populiacija, ir bet kokie sklaidos trūkumai neparodė unikalumo ir dėsningumo, darančio užuominą į bendrą priežastį. </w:t>
      </w:r>
    </w:p>
    <w:p w14:paraId="43135718" w14:textId="77777777" w:rsidR="00F2007D" w:rsidRPr="007B701A" w:rsidRDefault="00F2007D" w:rsidP="00F2007D">
      <w:pPr>
        <w:overflowPunct/>
        <w:textAlignment w:val="auto"/>
        <w:rPr>
          <w:sz w:val="22"/>
          <w:szCs w:val="22"/>
          <w:lang w:eastAsia="lt-LT"/>
        </w:rPr>
      </w:pPr>
      <w:r w:rsidRPr="007B701A">
        <w:rPr>
          <w:sz w:val="22"/>
          <w:szCs w:val="22"/>
          <w:lang w:eastAsia="lt-LT"/>
        </w:rPr>
        <w:t>Sisteminio poveikio acikloviro vartojimas tarptautiniu mastu pripažintuose standartiniuose tyrimuose triušiams, žiurkėms ar pelėms nesukėlė embriotoksinio ar teratogeninio poveikio.</w:t>
      </w:r>
    </w:p>
    <w:p w14:paraId="580101B8" w14:textId="77777777" w:rsidR="00F2007D" w:rsidRPr="007B701A" w:rsidRDefault="00F2007D" w:rsidP="00F2007D">
      <w:pPr>
        <w:overflowPunct/>
        <w:textAlignment w:val="auto"/>
        <w:rPr>
          <w:sz w:val="22"/>
          <w:szCs w:val="22"/>
          <w:lang w:eastAsia="lt-LT"/>
        </w:rPr>
      </w:pPr>
      <w:r w:rsidRPr="007B701A">
        <w:rPr>
          <w:sz w:val="22"/>
          <w:szCs w:val="22"/>
          <w:lang w:eastAsia="lt-LT"/>
        </w:rPr>
        <w:t>Nestandartinių tyrimų su žiurkėmis metu buvo pastebėta vaisiaus anomalijų, tačiau tik pavartojus po oda tokias dozes, kurios sukėlė toksinį poveikį patelei. Šių duomenų reikšmingumas klinikai yra abejotinas.</w:t>
      </w:r>
    </w:p>
    <w:p w14:paraId="39ABCD0E" w14:textId="77777777" w:rsidR="00F2007D" w:rsidRPr="007B701A" w:rsidRDefault="00F2007D" w:rsidP="00F2007D">
      <w:pPr>
        <w:overflowPunct/>
        <w:textAlignment w:val="auto"/>
        <w:rPr>
          <w:sz w:val="22"/>
          <w:szCs w:val="22"/>
          <w:lang w:eastAsia="lt-LT"/>
        </w:rPr>
      </w:pPr>
    </w:p>
    <w:p w14:paraId="0EE66A6E" w14:textId="77777777" w:rsidR="00F2007D" w:rsidRPr="007B701A" w:rsidRDefault="00F2007D" w:rsidP="00F2007D">
      <w:pPr>
        <w:overflowPunct/>
        <w:textAlignment w:val="auto"/>
        <w:rPr>
          <w:i/>
          <w:sz w:val="22"/>
          <w:szCs w:val="22"/>
          <w:lang w:eastAsia="lt-LT"/>
        </w:rPr>
      </w:pPr>
      <w:r w:rsidRPr="007B701A">
        <w:rPr>
          <w:i/>
          <w:sz w:val="22"/>
          <w:szCs w:val="22"/>
          <w:lang w:eastAsia="lt-LT"/>
        </w:rPr>
        <w:t>Žindymas</w:t>
      </w:r>
    </w:p>
    <w:p w14:paraId="388DB75B" w14:textId="77777777" w:rsidR="00F2007D" w:rsidRPr="007B701A" w:rsidRDefault="00F2007D" w:rsidP="00F2007D">
      <w:pPr>
        <w:rPr>
          <w:sz w:val="22"/>
          <w:szCs w:val="22"/>
        </w:rPr>
      </w:pPr>
      <w:r w:rsidRPr="007B701A">
        <w:rPr>
          <w:sz w:val="22"/>
          <w:szCs w:val="22"/>
        </w:rPr>
        <w:t>Išgėrus 200 mg acikloviro, žindyvės piene buvo aptikta jo koncentracija, kuri skyrėsi nuo acikloviro kiekio moters kraujo plazmoje nuo 0,6 iki 4,1 karto. Šiuo kiekiu tikriausiai gali būti paveiktas žindomas naujagimis vartojant ne didesnes kaip 0,3 mg/kg kūno svorio acikloviro paros dozes, todėl patartina laikytis atsargumo, jeigu žindyvei skiriama acikloviro.</w:t>
      </w:r>
    </w:p>
    <w:p w14:paraId="2FBFFD25" w14:textId="77777777" w:rsidR="00F2007D" w:rsidRPr="007B701A" w:rsidRDefault="00F2007D" w:rsidP="00F2007D">
      <w:pPr>
        <w:rPr>
          <w:b/>
          <w:sz w:val="22"/>
          <w:szCs w:val="22"/>
        </w:rPr>
      </w:pPr>
    </w:p>
    <w:p w14:paraId="735F3B2C" w14:textId="5C6CAF46" w:rsidR="00F2007D" w:rsidRPr="007B701A" w:rsidRDefault="00F2007D" w:rsidP="00F2007D">
      <w:pPr>
        <w:tabs>
          <w:tab w:val="left" w:pos="567"/>
        </w:tabs>
        <w:rPr>
          <w:sz w:val="22"/>
          <w:szCs w:val="22"/>
        </w:rPr>
      </w:pPr>
      <w:r w:rsidRPr="007B701A">
        <w:rPr>
          <w:b/>
          <w:sz w:val="22"/>
          <w:szCs w:val="22"/>
        </w:rPr>
        <w:t>4.7</w:t>
      </w:r>
      <w:r w:rsidRPr="007B701A">
        <w:rPr>
          <w:b/>
          <w:sz w:val="22"/>
          <w:szCs w:val="22"/>
        </w:rPr>
        <w:tab/>
        <w:t>Poveikis gebėjimui vairuoti ir prižiūrėti valdyti mechanizmus</w:t>
      </w:r>
    </w:p>
    <w:p w14:paraId="276DF2CF" w14:textId="77777777" w:rsidR="00F2007D" w:rsidRPr="007B701A" w:rsidRDefault="00F2007D" w:rsidP="00F2007D">
      <w:pPr>
        <w:rPr>
          <w:sz w:val="22"/>
          <w:szCs w:val="22"/>
        </w:rPr>
      </w:pPr>
    </w:p>
    <w:p w14:paraId="4008B15C" w14:textId="77777777" w:rsidR="00F2007D" w:rsidRPr="007B701A" w:rsidRDefault="00F2007D" w:rsidP="00F2007D">
      <w:pPr>
        <w:rPr>
          <w:sz w:val="22"/>
          <w:szCs w:val="22"/>
        </w:rPr>
      </w:pPr>
      <w:r w:rsidRPr="007B701A">
        <w:rPr>
          <w:sz w:val="22"/>
          <w:szCs w:val="22"/>
        </w:rPr>
        <w:t xml:space="preserve">Vertinant paciento gebėjimą vairuoti ir valdyti mechanizmus, būtina turėti omenyje klinikinę paciento būklę ir acikloviro nepageidaujamų reiškinių apibūdinimą. </w:t>
      </w:r>
    </w:p>
    <w:p w14:paraId="2888FF2C" w14:textId="7309440A" w:rsidR="00F2007D" w:rsidRPr="007B701A" w:rsidRDefault="00F2007D" w:rsidP="00F2007D">
      <w:pPr>
        <w:rPr>
          <w:sz w:val="22"/>
          <w:szCs w:val="22"/>
        </w:rPr>
      </w:pPr>
      <w:r w:rsidRPr="007B701A">
        <w:rPr>
          <w:sz w:val="22"/>
          <w:szCs w:val="22"/>
        </w:rPr>
        <w:t>Acikloviro poveikio vairavimui ir gebėjimui valdyti mechanizmus tyrimų neatlikta. Be to, kenksmingas poveikis minėtai veiklai negali būti numatytas remiantis veik</w:t>
      </w:r>
      <w:r w:rsidR="003F59C5">
        <w:rPr>
          <w:sz w:val="22"/>
          <w:szCs w:val="22"/>
        </w:rPr>
        <w:t>l</w:t>
      </w:r>
      <w:r w:rsidRPr="007B701A">
        <w:rPr>
          <w:sz w:val="22"/>
          <w:szCs w:val="22"/>
        </w:rPr>
        <w:t>iosios medžiagos farmakologinėmis savybėmis.</w:t>
      </w:r>
    </w:p>
    <w:p w14:paraId="2AB21247" w14:textId="77777777" w:rsidR="00F2007D" w:rsidRPr="007B701A" w:rsidRDefault="00F2007D" w:rsidP="00F2007D">
      <w:pPr>
        <w:rPr>
          <w:b/>
          <w:sz w:val="22"/>
          <w:szCs w:val="22"/>
        </w:rPr>
      </w:pPr>
    </w:p>
    <w:p w14:paraId="0C73F8BA" w14:textId="508CF967" w:rsidR="00F2007D" w:rsidRPr="007B701A" w:rsidRDefault="00F2007D" w:rsidP="00F2007D">
      <w:pPr>
        <w:tabs>
          <w:tab w:val="left" w:pos="567"/>
        </w:tabs>
        <w:rPr>
          <w:sz w:val="22"/>
          <w:szCs w:val="22"/>
        </w:rPr>
      </w:pPr>
      <w:r w:rsidRPr="007B701A">
        <w:rPr>
          <w:b/>
          <w:sz w:val="22"/>
          <w:szCs w:val="22"/>
        </w:rPr>
        <w:t>4.8</w:t>
      </w:r>
      <w:r w:rsidRPr="007B701A">
        <w:rPr>
          <w:b/>
          <w:sz w:val="22"/>
          <w:szCs w:val="22"/>
        </w:rPr>
        <w:tab/>
        <w:t>Nepageidaujamas poveikis</w:t>
      </w:r>
    </w:p>
    <w:p w14:paraId="58199D42" w14:textId="77777777" w:rsidR="00F2007D" w:rsidRPr="007B701A" w:rsidRDefault="00F2007D" w:rsidP="00F2007D">
      <w:pPr>
        <w:keepNext/>
        <w:jc w:val="both"/>
        <w:outlineLvl w:val="0"/>
        <w:rPr>
          <w:i/>
          <w:iCs/>
          <w:sz w:val="22"/>
          <w:szCs w:val="22"/>
        </w:rPr>
      </w:pPr>
    </w:p>
    <w:p w14:paraId="69B2D4D3" w14:textId="77777777" w:rsidR="00F2007D" w:rsidRPr="007B701A" w:rsidRDefault="00F2007D" w:rsidP="00F2007D">
      <w:pPr>
        <w:rPr>
          <w:sz w:val="22"/>
          <w:szCs w:val="22"/>
        </w:rPr>
      </w:pPr>
      <w:r w:rsidRPr="007B701A">
        <w:rPr>
          <w:sz w:val="22"/>
          <w:szCs w:val="22"/>
        </w:rPr>
        <w:t>Toliau pateiktas dažnio kategorijų, susijusių su nepageidaujamais reiškiniais, įvertinimas. Daugumai reiškinių tinkamų duomenų atvejų įvertinimui nėra. Be to, nepageidaujami reiškiniai gali skirtis dažniu pagal indikaciją.</w:t>
      </w:r>
    </w:p>
    <w:p w14:paraId="0C9B996B" w14:textId="77777777" w:rsidR="00F2007D" w:rsidRPr="007B701A" w:rsidRDefault="00F2007D" w:rsidP="00F2007D">
      <w:pPr>
        <w:keepNext/>
        <w:jc w:val="both"/>
        <w:outlineLvl w:val="0"/>
        <w:rPr>
          <w:iCs/>
          <w:sz w:val="22"/>
          <w:szCs w:val="22"/>
        </w:rPr>
      </w:pPr>
      <w:r w:rsidRPr="007B701A">
        <w:rPr>
          <w:iCs/>
          <w:sz w:val="22"/>
          <w:szCs w:val="22"/>
        </w:rPr>
        <w:t xml:space="preserve">Nepageidaujami reiškiniai suklasifikuoti pagal organų sistemų klases ir dažnį. </w:t>
      </w:r>
      <w:r w:rsidRPr="00420EC9">
        <w:rPr>
          <w:iCs/>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8594D86" w14:textId="77777777" w:rsidR="00F2007D" w:rsidRPr="007B701A" w:rsidRDefault="00F2007D" w:rsidP="00F2007D">
      <w:pPr>
        <w:rPr>
          <w:sz w:val="22"/>
          <w:szCs w:val="22"/>
        </w:rPr>
      </w:pPr>
    </w:p>
    <w:p w14:paraId="24FFFB9A" w14:textId="77777777" w:rsidR="00F2007D" w:rsidRPr="007B701A" w:rsidRDefault="00F2007D" w:rsidP="00F2007D">
      <w:pPr>
        <w:rPr>
          <w:i/>
          <w:sz w:val="22"/>
          <w:szCs w:val="22"/>
        </w:rPr>
      </w:pPr>
      <w:r w:rsidRPr="007B701A">
        <w:rPr>
          <w:i/>
          <w:sz w:val="22"/>
          <w:szCs w:val="22"/>
        </w:rPr>
        <w:t>Kraujo ir limfinės sistemos sutrikimai</w:t>
      </w:r>
    </w:p>
    <w:p w14:paraId="0B640855" w14:textId="77777777" w:rsidR="00F2007D" w:rsidRPr="007B701A" w:rsidRDefault="00F2007D" w:rsidP="00F2007D">
      <w:pPr>
        <w:rPr>
          <w:sz w:val="22"/>
          <w:szCs w:val="22"/>
        </w:rPr>
      </w:pPr>
      <w:r w:rsidRPr="007B701A">
        <w:rPr>
          <w:sz w:val="22"/>
          <w:szCs w:val="22"/>
        </w:rPr>
        <w:t>Labai reti: anemija, leukopenija, trombocitopenija.</w:t>
      </w:r>
    </w:p>
    <w:p w14:paraId="17A06000" w14:textId="77777777" w:rsidR="00F2007D" w:rsidRPr="007B701A" w:rsidRDefault="00F2007D" w:rsidP="00F2007D">
      <w:pPr>
        <w:rPr>
          <w:sz w:val="22"/>
          <w:szCs w:val="22"/>
        </w:rPr>
      </w:pPr>
    </w:p>
    <w:p w14:paraId="7E8F9F89" w14:textId="77777777" w:rsidR="00F2007D" w:rsidRPr="007B701A" w:rsidRDefault="00F2007D" w:rsidP="00F2007D">
      <w:pPr>
        <w:rPr>
          <w:i/>
          <w:sz w:val="22"/>
          <w:szCs w:val="22"/>
        </w:rPr>
      </w:pPr>
      <w:r w:rsidRPr="007B701A">
        <w:rPr>
          <w:i/>
          <w:sz w:val="22"/>
          <w:szCs w:val="22"/>
        </w:rPr>
        <w:t>Imuninės sistemos sutrikimai</w:t>
      </w:r>
    </w:p>
    <w:p w14:paraId="66E84C2B" w14:textId="77777777" w:rsidR="00F2007D" w:rsidRPr="007B701A" w:rsidRDefault="00F2007D" w:rsidP="00F2007D">
      <w:pPr>
        <w:rPr>
          <w:sz w:val="22"/>
          <w:szCs w:val="22"/>
        </w:rPr>
      </w:pPr>
      <w:r w:rsidRPr="007B701A">
        <w:rPr>
          <w:sz w:val="22"/>
          <w:szCs w:val="22"/>
        </w:rPr>
        <w:t>Reti: anafilaksija.</w:t>
      </w:r>
    </w:p>
    <w:p w14:paraId="78BF0222" w14:textId="77777777" w:rsidR="00F2007D" w:rsidRPr="007B701A" w:rsidRDefault="00F2007D" w:rsidP="00F2007D">
      <w:pPr>
        <w:rPr>
          <w:sz w:val="22"/>
          <w:szCs w:val="22"/>
        </w:rPr>
      </w:pPr>
    </w:p>
    <w:p w14:paraId="52C1BD80" w14:textId="77777777" w:rsidR="00F2007D" w:rsidRPr="007B701A" w:rsidRDefault="00F2007D" w:rsidP="00F2007D">
      <w:pPr>
        <w:rPr>
          <w:i/>
          <w:sz w:val="22"/>
          <w:szCs w:val="22"/>
        </w:rPr>
      </w:pPr>
      <w:r w:rsidRPr="007B701A">
        <w:rPr>
          <w:i/>
          <w:sz w:val="22"/>
          <w:szCs w:val="22"/>
        </w:rPr>
        <w:t>Psichikos ir nervų sistemos sutrikimai</w:t>
      </w:r>
    </w:p>
    <w:p w14:paraId="6D8FA7BF" w14:textId="77777777" w:rsidR="00F2007D" w:rsidRPr="007B701A" w:rsidRDefault="00F2007D" w:rsidP="00F2007D">
      <w:pPr>
        <w:rPr>
          <w:sz w:val="22"/>
          <w:szCs w:val="22"/>
        </w:rPr>
      </w:pPr>
      <w:r w:rsidRPr="007B701A">
        <w:rPr>
          <w:sz w:val="22"/>
          <w:szCs w:val="22"/>
        </w:rPr>
        <w:t>Dažni: galvos svaigimas, galvos skausmas.</w:t>
      </w:r>
    </w:p>
    <w:p w14:paraId="3B2338D5" w14:textId="77777777" w:rsidR="00F2007D" w:rsidRPr="007B701A" w:rsidRDefault="00F2007D" w:rsidP="00F2007D">
      <w:pPr>
        <w:rPr>
          <w:sz w:val="22"/>
          <w:szCs w:val="22"/>
        </w:rPr>
      </w:pPr>
      <w:r w:rsidRPr="007B701A">
        <w:rPr>
          <w:sz w:val="22"/>
          <w:szCs w:val="22"/>
        </w:rPr>
        <w:t>Labai reti: susijaudinimas, sumišimas, drebulys, ataksija, dizartrija, haliucinacijos, psichozės požymiai, traukuliai, mieguistumas, encefalopatija, koma.</w:t>
      </w:r>
    </w:p>
    <w:p w14:paraId="51481354" w14:textId="77777777" w:rsidR="00F2007D" w:rsidRPr="007B701A" w:rsidRDefault="00F2007D" w:rsidP="00F2007D">
      <w:pPr>
        <w:rPr>
          <w:sz w:val="22"/>
          <w:szCs w:val="22"/>
        </w:rPr>
      </w:pPr>
    </w:p>
    <w:p w14:paraId="551A5016" w14:textId="77777777" w:rsidR="00F2007D" w:rsidRPr="007B701A" w:rsidRDefault="00F2007D" w:rsidP="00F2007D">
      <w:pPr>
        <w:rPr>
          <w:sz w:val="22"/>
          <w:szCs w:val="22"/>
        </w:rPr>
      </w:pPr>
      <w:r w:rsidRPr="007B701A">
        <w:rPr>
          <w:sz w:val="22"/>
          <w:szCs w:val="22"/>
        </w:rPr>
        <w:t xml:space="preserve">Minėti reiškiniai dažniausiai yra grįžtami ir paprastai pastebėti pacientams, kuriems yra inkstų funkcijos pakenkimas ar kitų polinkį didinančių veiksnių (žr. 4.4 skyrių). </w:t>
      </w:r>
    </w:p>
    <w:p w14:paraId="6D7F3C46" w14:textId="77777777" w:rsidR="00F2007D" w:rsidRPr="007B701A" w:rsidRDefault="00F2007D" w:rsidP="00F2007D">
      <w:pPr>
        <w:rPr>
          <w:sz w:val="22"/>
          <w:szCs w:val="22"/>
        </w:rPr>
      </w:pPr>
    </w:p>
    <w:p w14:paraId="453832EE" w14:textId="77777777" w:rsidR="00F2007D" w:rsidRPr="007B701A" w:rsidRDefault="00F2007D" w:rsidP="00F2007D">
      <w:pPr>
        <w:rPr>
          <w:i/>
          <w:sz w:val="22"/>
          <w:szCs w:val="22"/>
        </w:rPr>
      </w:pPr>
      <w:r w:rsidRPr="007B701A">
        <w:rPr>
          <w:i/>
          <w:sz w:val="22"/>
          <w:szCs w:val="22"/>
        </w:rPr>
        <w:t>Kvėpavimo sistemos, krūtinės ląstos ir tarpuplaučio sutrikimai</w:t>
      </w:r>
    </w:p>
    <w:p w14:paraId="1806A4B6" w14:textId="77777777" w:rsidR="00F2007D" w:rsidRPr="007B701A" w:rsidRDefault="00F2007D" w:rsidP="00F2007D">
      <w:pPr>
        <w:rPr>
          <w:sz w:val="22"/>
          <w:szCs w:val="22"/>
        </w:rPr>
      </w:pPr>
      <w:r w:rsidRPr="007B701A">
        <w:rPr>
          <w:sz w:val="22"/>
          <w:szCs w:val="22"/>
        </w:rPr>
        <w:t xml:space="preserve">Reti: dusulys. </w:t>
      </w:r>
    </w:p>
    <w:p w14:paraId="51E9A233" w14:textId="77777777" w:rsidR="00F2007D" w:rsidRPr="007B701A" w:rsidRDefault="00F2007D" w:rsidP="00F2007D">
      <w:pPr>
        <w:keepNext/>
        <w:outlineLvl w:val="1"/>
        <w:rPr>
          <w:i/>
          <w:iCs/>
          <w:sz w:val="22"/>
          <w:szCs w:val="22"/>
          <w:u w:val="single"/>
        </w:rPr>
      </w:pPr>
    </w:p>
    <w:p w14:paraId="0B004E54" w14:textId="77777777" w:rsidR="00F2007D" w:rsidRPr="007B701A" w:rsidRDefault="00F2007D" w:rsidP="00F2007D">
      <w:pPr>
        <w:rPr>
          <w:i/>
          <w:sz w:val="22"/>
          <w:szCs w:val="22"/>
        </w:rPr>
      </w:pPr>
      <w:r w:rsidRPr="007B701A">
        <w:rPr>
          <w:i/>
          <w:sz w:val="22"/>
          <w:szCs w:val="22"/>
        </w:rPr>
        <w:t>Virškinimo trakto sutrikimai</w:t>
      </w:r>
    </w:p>
    <w:p w14:paraId="25C9B127" w14:textId="77777777" w:rsidR="00F2007D" w:rsidRPr="007B701A" w:rsidRDefault="00F2007D" w:rsidP="00F2007D">
      <w:pPr>
        <w:rPr>
          <w:sz w:val="22"/>
          <w:szCs w:val="22"/>
        </w:rPr>
      </w:pPr>
      <w:r w:rsidRPr="007B701A">
        <w:rPr>
          <w:sz w:val="22"/>
          <w:szCs w:val="22"/>
        </w:rPr>
        <w:t>Dažni: pykinimas, vėmimas, viduriavimas, pilvo skausmas.</w:t>
      </w:r>
    </w:p>
    <w:p w14:paraId="459DE754" w14:textId="77777777" w:rsidR="00F2007D" w:rsidRPr="007B701A" w:rsidRDefault="00F2007D" w:rsidP="00F2007D">
      <w:pPr>
        <w:rPr>
          <w:sz w:val="22"/>
          <w:szCs w:val="22"/>
        </w:rPr>
      </w:pPr>
    </w:p>
    <w:p w14:paraId="55C06A44" w14:textId="77777777" w:rsidR="00F2007D" w:rsidRPr="007B701A" w:rsidRDefault="00F2007D" w:rsidP="00F2007D">
      <w:pPr>
        <w:rPr>
          <w:i/>
          <w:sz w:val="22"/>
          <w:szCs w:val="22"/>
        </w:rPr>
      </w:pPr>
      <w:r w:rsidRPr="007B701A">
        <w:rPr>
          <w:i/>
          <w:sz w:val="22"/>
          <w:szCs w:val="22"/>
        </w:rPr>
        <w:t>Kepenų, tulžies pūslės ir latakų sutrikimai</w:t>
      </w:r>
    </w:p>
    <w:p w14:paraId="51B989FE" w14:textId="77777777" w:rsidR="00F2007D" w:rsidRPr="007B701A" w:rsidRDefault="00F2007D" w:rsidP="00F2007D">
      <w:pPr>
        <w:rPr>
          <w:sz w:val="22"/>
          <w:szCs w:val="22"/>
        </w:rPr>
      </w:pPr>
      <w:r w:rsidRPr="007B701A">
        <w:rPr>
          <w:sz w:val="22"/>
          <w:szCs w:val="22"/>
        </w:rPr>
        <w:t>Reti: grįžtamasis bilirubino kiekio ir kepenų fermentų aktyvumo padidėjimas.</w:t>
      </w:r>
    </w:p>
    <w:p w14:paraId="55EFC690" w14:textId="77777777" w:rsidR="00F2007D" w:rsidRPr="007B701A" w:rsidRDefault="00F2007D" w:rsidP="00F2007D">
      <w:pPr>
        <w:rPr>
          <w:sz w:val="22"/>
          <w:szCs w:val="22"/>
        </w:rPr>
      </w:pPr>
      <w:r w:rsidRPr="007B701A">
        <w:rPr>
          <w:sz w:val="22"/>
          <w:szCs w:val="22"/>
        </w:rPr>
        <w:t>Labai reti: kepenų uždegimas, gelta.</w:t>
      </w:r>
    </w:p>
    <w:p w14:paraId="6AA174BA" w14:textId="77777777" w:rsidR="00F2007D" w:rsidRPr="007B701A" w:rsidRDefault="00F2007D" w:rsidP="00F2007D">
      <w:pPr>
        <w:rPr>
          <w:i/>
          <w:sz w:val="22"/>
          <w:szCs w:val="22"/>
        </w:rPr>
      </w:pPr>
    </w:p>
    <w:p w14:paraId="4F07EB6C" w14:textId="77777777" w:rsidR="00F2007D" w:rsidRPr="007B701A" w:rsidRDefault="00F2007D" w:rsidP="00F2007D">
      <w:pPr>
        <w:rPr>
          <w:i/>
          <w:sz w:val="22"/>
          <w:szCs w:val="22"/>
        </w:rPr>
      </w:pPr>
      <w:r w:rsidRPr="007B701A">
        <w:rPr>
          <w:i/>
          <w:sz w:val="22"/>
          <w:szCs w:val="22"/>
        </w:rPr>
        <w:t>Odos ir poodinio audinio sutrikimai</w:t>
      </w:r>
    </w:p>
    <w:p w14:paraId="7DDF5EA1" w14:textId="77777777" w:rsidR="00F2007D" w:rsidRPr="007B701A" w:rsidRDefault="00F2007D" w:rsidP="00F2007D">
      <w:pPr>
        <w:rPr>
          <w:sz w:val="22"/>
          <w:szCs w:val="22"/>
        </w:rPr>
      </w:pPr>
      <w:r w:rsidRPr="007B701A">
        <w:rPr>
          <w:sz w:val="22"/>
          <w:szCs w:val="22"/>
        </w:rPr>
        <w:t>Dažni: niežėjimas, išbėrimas (įskaitant padidėjusį jautrumą šviesai).</w:t>
      </w:r>
    </w:p>
    <w:p w14:paraId="7D3E42DE" w14:textId="77777777" w:rsidR="00F2007D" w:rsidRPr="007B701A" w:rsidRDefault="00F2007D" w:rsidP="00F2007D">
      <w:pPr>
        <w:keepNext/>
        <w:outlineLvl w:val="1"/>
        <w:rPr>
          <w:iCs/>
          <w:sz w:val="22"/>
          <w:szCs w:val="22"/>
        </w:rPr>
      </w:pPr>
      <w:r w:rsidRPr="007B701A">
        <w:rPr>
          <w:iCs/>
          <w:sz w:val="22"/>
          <w:szCs w:val="22"/>
        </w:rPr>
        <w:t>Nedažni: dilgėlinė, paspartėjęs difuzinis plaukų slinkimas</w:t>
      </w:r>
      <w:r w:rsidRPr="00063DB0">
        <w:rPr>
          <w:iCs/>
          <w:sz w:val="22"/>
          <w:szCs w:val="22"/>
        </w:rPr>
        <w:t>*.</w:t>
      </w:r>
      <w:r w:rsidRPr="007B701A">
        <w:rPr>
          <w:iCs/>
          <w:sz w:val="22"/>
          <w:szCs w:val="22"/>
        </w:rPr>
        <w:t xml:space="preserve"> </w:t>
      </w:r>
    </w:p>
    <w:p w14:paraId="58982C91" w14:textId="77777777" w:rsidR="00F2007D" w:rsidRPr="007B701A" w:rsidRDefault="00F2007D" w:rsidP="00F2007D">
      <w:pPr>
        <w:rPr>
          <w:sz w:val="22"/>
          <w:szCs w:val="22"/>
        </w:rPr>
      </w:pPr>
      <w:r w:rsidRPr="007B701A">
        <w:rPr>
          <w:sz w:val="22"/>
          <w:szCs w:val="22"/>
        </w:rPr>
        <w:t>Reti: angioneurozinė edema.</w:t>
      </w:r>
    </w:p>
    <w:p w14:paraId="60F2A27F" w14:textId="77777777" w:rsidR="00F2007D" w:rsidRPr="007B701A" w:rsidRDefault="00F2007D" w:rsidP="00F2007D">
      <w:pPr>
        <w:keepNext/>
        <w:outlineLvl w:val="1"/>
        <w:rPr>
          <w:iCs/>
          <w:sz w:val="22"/>
          <w:szCs w:val="22"/>
        </w:rPr>
      </w:pPr>
      <w:r w:rsidRPr="00063DB0">
        <w:rPr>
          <w:iCs/>
          <w:sz w:val="22"/>
          <w:szCs w:val="22"/>
        </w:rPr>
        <w:t>*</w:t>
      </w:r>
      <w:r w:rsidRPr="007B701A">
        <w:rPr>
          <w:iCs/>
          <w:sz w:val="22"/>
          <w:szCs w:val="22"/>
        </w:rPr>
        <w:t xml:space="preserve">Paspartėjęs difuzinis plaukų slinkimas yra susijęs su didele ligų ir vaistinių preparatų įvairove. Reiškinio sąryšis su gydymu acikloviru yra abejotinas. </w:t>
      </w:r>
    </w:p>
    <w:p w14:paraId="5750CA96" w14:textId="77777777" w:rsidR="00F2007D" w:rsidRPr="007B701A" w:rsidRDefault="00F2007D" w:rsidP="00F2007D">
      <w:pPr>
        <w:rPr>
          <w:sz w:val="22"/>
          <w:szCs w:val="22"/>
        </w:rPr>
      </w:pPr>
    </w:p>
    <w:p w14:paraId="5178BE46" w14:textId="77777777" w:rsidR="00F2007D" w:rsidRPr="007B701A" w:rsidRDefault="00F2007D" w:rsidP="00F2007D">
      <w:pPr>
        <w:rPr>
          <w:i/>
          <w:sz w:val="22"/>
          <w:szCs w:val="22"/>
        </w:rPr>
      </w:pPr>
      <w:r w:rsidRPr="007B701A">
        <w:rPr>
          <w:i/>
          <w:sz w:val="22"/>
          <w:szCs w:val="22"/>
        </w:rPr>
        <w:t>Inkstų ir šlapimo takų sutrikimai</w:t>
      </w:r>
    </w:p>
    <w:p w14:paraId="20285ED8" w14:textId="77777777" w:rsidR="00F2007D" w:rsidRPr="007B701A" w:rsidRDefault="00F2007D" w:rsidP="00F2007D">
      <w:pPr>
        <w:rPr>
          <w:sz w:val="22"/>
          <w:szCs w:val="22"/>
        </w:rPr>
      </w:pPr>
      <w:r w:rsidRPr="007B701A">
        <w:rPr>
          <w:sz w:val="22"/>
          <w:szCs w:val="22"/>
        </w:rPr>
        <w:t>Reti: padidėjęs šlapalo ir kreatinino kiekis kraujyje.</w:t>
      </w:r>
    </w:p>
    <w:p w14:paraId="47CB4F06" w14:textId="77777777" w:rsidR="00F2007D" w:rsidRPr="007B701A" w:rsidRDefault="00F2007D" w:rsidP="00F2007D">
      <w:pPr>
        <w:rPr>
          <w:sz w:val="22"/>
          <w:szCs w:val="22"/>
        </w:rPr>
      </w:pPr>
      <w:r w:rsidRPr="007B701A">
        <w:rPr>
          <w:iCs/>
          <w:sz w:val="22"/>
          <w:szCs w:val="22"/>
        </w:rPr>
        <w:t>Labai reti: ūminis inkstų nepakankamumas, inkstų skausmas</w:t>
      </w:r>
      <w:r>
        <w:rPr>
          <w:iCs/>
          <w:sz w:val="22"/>
          <w:szCs w:val="22"/>
        </w:rPr>
        <w:t xml:space="preserve"> (</w:t>
      </w:r>
      <w:r w:rsidRPr="007B701A">
        <w:rPr>
          <w:sz w:val="22"/>
          <w:szCs w:val="22"/>
        </w:rPr>
        <w:t>gali būti susijęs su inkstų nepakankamumu</w:t>
      </w:r>
      <w:r>
        <w:rPr>
          <w:sz w:val="22"/>
          <w:szCs w:val="22"/>
        </w:rPr>
        <w:t>)</w:t>
      </w:r>
      <w:r w:rsidRPr="007B701A">
        <w:rPr>
          <w:sz w:val="22"/>
          <w:szCs w:val="22"/>
        </w:rPr>
        <w:t>.</w:t>
      </w:r>
    </w:p>
    <w:p w14:paraId="5DA368C1" w14:textId="77777777" w:rsidR="00F2007D" w:rsidRPr="007B701A" w:rsidRDefault="00F2007D" w:rsidP="00F2007D">
      <w:pPr>
        <w:keepNext/>
        <w:outlineLvl w:val="2"/>
        <w:rPr>
          <w:i/>
          <w:iCs/>
          <w:sz w:val="22"/>
          <w:szCs w:val="22"/>
          <w:u w:val="single"/>
        </w:rPr>
      </w:pPr>
    </w:p>
    <w:p w14:paraId="60F68A34" w14:textId="77777777" w:rsidR="00F2007D" w:rsidRPr="007B701A" w:rsidRDefault="00F2007D" w:rsidP="00F2007D">
      <w:pPr>
        <w:keepNext/>
        <w:outlineLvl w:val="2"/>
        <w:rPr>
          <w:i/>
          <w:iCs/>
          <w:sz w:val="22"/>
          <w:szCs w:val="22"/>
        </w:rPr>
      </w:pPr>
      <w:r w:rsidRPr="007B701A">
        <w:rPr>
          <w:i/>
          <w:iCs/>
          <w:sz w:val="22"/>
          <w:szCs w:val="22"/>
        </w:rPr>
        <w:t>Bendrieji sutrikimai ir vartojimo vietos pažeidimai</w:t>
      </w:r>
    </w:p>
    <w:p w14:paraId="6D20E1C7" w14:textId="77777777" w:rsidR="00F2007D" w:rsidRPr="007B701A" w:rsidRDefault="00F2007D" w:rsidP="00F2007D">
      <w:pPr>
        <w:rPr>
          <w:sz w:val="22"/>
          <w:szCs w:val="22"/>
        </w:rPr>
      </w:pPr>
      <w:r w:rsidRPr="007B701A">
        <w:rPr>
          <w:sz w:val="22"/>
          <w:szCs w:val="22"/>
        </w:rPr>
        <w:t>Dažni: nuovargis, karščiavimas.</w:t>
      </w:r>
    </w:p>
    <w:p w14:paraId="218276EC" w14:textId="77777777" w:rsidR="00F2007D" w:rsidRPr="007B701A" w:rsidRDefault="00F2007D" w:rsidP="00F2007D">
      <w:pPr>
        <w:spacing w:after="120"/>
        <w:rPr>
          <w:b/>
          <w:sz w:val="22"/>
          <w:szCs w:val="22"/>
          <w:u w:val="single"/>
        </w:rPr>
      </w:pPr>
    </w:p>
    <w:p w14:paraId="2518F74E" w14:textId="77777777" w:rsidR="00F2007D" w:rsidRPr="00063DB0" w:rsidRDefault="00F2007D" w:rsidP="00F2007D">
      <w:pPr>
        <w:spacing w:after="120"/>
        <w:rPr>
          <w:sz w:val="22"/>
          <w:szCs w:val="22"/>
          <w:u w:val="single"/>
        </w:rPr>
      </w:pPr>
      <w:r w:rsidRPr="00063DB0">
        <w:rPr>
          <w:sz w:val="22"/>
          <w:szCs w:val="22"/>
          <w:u w:val="single"/>
        </w:rPr>
        <w:t>Pranešimas apie įtariamas nepageidaujamas reakcijas</w:t>
      </w:r>
    </w:p>
    <w:p w14:paraId="49D42E52" w14:textId="77777777" w:rsidR="00F2007D" w:rsidRPr="00063DB0" w:rsidRDefault="00F2007D" w:rsidP="00F2007D">
      <w:pPr>
        <w:jc w:val="both"/>
        <w:rPr>
          <w:noProof/>
          <w:sz w:val="22"/>
          <w:szCs w:val="22"/>
        </w:rPr>
      </w:pPr>
      <w:r w:rsidRPr="006A747F">
        <w:rPr>
          <w:sz w:val="22"/>
          <w:szCs w:val="22"/>
        </w:rPr>
        <w:t xml:space="preserve">Svarbu pranešti apie įtariamas nepageidaujamas reakcijas, pastebėtas po vaistinio preparato pateikimo į rinką, nes tai leidžia nuolat stebėti vaistinio preparato naudos ir rizikos santykį. </w:t>
      </w:r>
      <w:r w:rsidRPr="00063DB0">
        <w:rPr>
          <w:noProof/>
          <w:sz w:val="22"/>
          <w:szCs w:val="22"/>
        </w:rPr>
        <w:t>Sveikatos priežiūros specialistai turi pranešti apie bet kokias įtariamas nepageidaujamas reakcijas, užpildę interneto svetainėje http://</w:t>
      </w:r>
      <w:hyperlink r:id="rId9" w:history="1">
        <w:r w:rsidRPr="00063DB0">
          <w:rPr>
            <w:rStyle w:val="Hipersaitas"/>
            <w:rFonts w:eastAsia="SimSun"/>
            <w:noProof/>
            <w:sz w:val="22"/>
            <w:szCs w:val="22"/>
          </w:rPr>
          <w:t>www.vvkt.lt</w:t>
        </w:r>
      </w:hyperlink>
      <w:r w:rsidRPr="00063DB0">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063DB0">
          <w:rPr>
            <w:rStyle w:val="Hipersaitas"/>
            <w:rFonts w:eastAsia="SimSun"/>
            <w:noProof/>
            <w:sz w:val="22"/>
            <w:szCs w:val="22"/>
          </w:rPr>
          <w:t>NepageidaujamaR@vvkt.lt</w:t>
        </w:r>
      </w:hyperlink>
      <w:r w:rsidRPr="00063DB0">
        <w:rPr>
          <w:noProof/>
          <w:sz w:val="22"/>
          <w:szCs w:val="22"/>
        </w:rPr>
        <w:t>), per interneto svetainę (adresu http://www.vvkt.lt).</w:t>
      </w:r>
    </w:p>
    <w:p w14:paraId="6C01E876" w14:textId="77777777" w:rsidR="00F2007D" w:rsidRPr="007B701A" w:rsidRDefault="00F2007D" w:rsidP="00F2007D">
      <w:pPr>
        <w:spacing w:after="120"/>
        <w:rPr>
          <w:sz w:val="22"/>
          <w:szCs w:val="22"/>
        </w:rPr>
      </w:pPr>
    </w:p>
    <w:p w14:paraId="203FED8E" w14:textId="4B48D09D" w:rsidR="00F2007D" w:rsidRPr="007B701A" w:rsidRDefault="00F2007D" w:rsidP="00F2007D">
      <w:pPr>
        <w:tabs>
          <w:tab w:val="left" w:pos="567"/>
        </w:tabs>
        <w:rPr>
          <w:sz w:val="22"/>
          <w:szCs w:val="22"/>
        </w:rPr>
      </w:pPr>
      <w:r w:rsidRPr="007B701A">
        <w:rPr>
          <w:b/>
          <w:sz w:val="22"/>
          <w:szCs w:val="22"/>
        </w:rPr>
        <w:t>4.9</w:t>
      </w:r>
      <w:r w:rsidRPr="007B701A">
        <w:rPr>
          <w:b/>
          <w:sz w:val="22"/>
          <w:szCs w:val="22"/>
        </w:rPr>
        <w:tab/>
        <w:t>Perdozavimas</w:t>
      </w:r>
    </w:p>
    <w:p w14:paraId="4F892FA2" w14:textId="77777777" w:rsidR="00F2007D" w:rsidRPr="007B701A" w:rsidRDefault="00F2007D" w:rsidP="00F2007D">
      <w:pPr>
        <w:rPr>
          <w:sz w:val="22"/>
          <w:szCs w:val="22"/>
        </w:rPr>
      </w:pPr>
    </w:p>
    <w:p w14:paraId="5CF54BE4" w14:textId="77777777" w:rsidR="00F2007D" w:rsidRPr="00063DB0" w:rsidRDefault="00F2007D" w:rsidP="00F2007D">
      <w:pPr>
        <w:rPr>
          <w:sz w:val="22"/>
          <w:szCs w:val="22"/>
          <w:u w:val="single"/>
        </w:rPr>
      </w:pPr>
      <w:r w:rsidRPr="00063DB0">
        <w:rPr>
          <w:bCs/>
          <w:sz w:val="22"/>
          <w:szCs w:val="22"/>
          <w:u w:val="single"/>
        </w:rPr>
        <w:t>Simptomai</w:t>
      </w:r>
    </w:p>
    <w:p w14:paraId="496D5533" w14:textId="77777777" w:rsidR="00F2007D" w:rsidRPr="007B701A" w:rsidRDefault="00F2007D" w:rsidP="00F2007D">
      <w:pPr>
        <w:rPr>
          <w:sz w:val="22"/>
          <w:szCs w:val="22"/>
        </w:rPr>
      </w:pPr>
      <w:r w:rsidRPr="007B701A">
        <w:rPr>
          <w:sz w:val="22"/>
          <w:szCs w:val="22"/>
        </w:rPr>
        <w:t xml:space="preserve">Acikloviras tik iš dalies rezorbuojamas virškinimo trakte. Išgerta vienkartinė ne didesnė kaip 20 g acikloviro dozė, paprastai nesukelia apsinuodijimo. Atsitiktinai pavartojus per didelę acikloviro dozę kelias paras iš eilės, sutriko virškinimo trakto (pykinimas ir vėmimas) bei nervų sistemos (galvos skausmas, sumišimas) veikla. </w:t>
      </w:r>
    </w:p>
    <w:p w14:paraId="026A6A89" w14:textId="77777777" w:rsidR="00F2007D" w:rsidRPr="007B701A" w:rsidRDefault="00F2007D" w:rsidP="00F2007D">
      <w:pPr>
        <w:jc w:val="both"/>
        <w:rPr>
          <w:sz w:val="22"/>
          <w:szCs w:val="22"/>
        </w:rPr>
      </w:pPr>
    </w:p>
    <w:p w14:paraId="4785B78D" w14:textId="77777777" w:rsidR="00F2007D" w:rsidRPr="007B701A" w:rsidRDefault="00F2007D" w:rsidP="00F2007D">
      <w:pPr>
        <w:rPr>
          <w:sz w:val="22"/>
          <w:szCs w:val="22"/>
        </w:rPr>
      </w:pPr>
      <w:r w:rsidRPr="007B701A">
        <w:rPr>
          <w:sz w:val="22"/>
          <w:szCs w:val="22"/>
        </w:rPr>
        <w:t>Pernelyg didelę acikloviro dozę sušvirkštus į veną, padidėjo kreatinino kiekis serume ir sutriko inkstų veikla. Perdozavus į veną vartojamo acikloviro, pasireiškė nervų sistemos sutrikimai: sumišimas, haliucinacijos, ažitacija, traukuliai ir koma.</w:t>
      </w:r>
    </w:p>
    <w:p w14:paraId="6FDF7563" w14:textId="77777777" w:rsidR="00F2007D" w:rsidRPr="007B701A" w:rsidRDefault="00F2007D" w:rsidP="00F2007D">
      <w:pPr>
        <w:jc w:val="both"/>
        <w:rPr>
          <w:sz w:val="22"/>
          <w:szCs w:val="22"/>
        </w:rPr>
      </w:pPr>
    </w:p>
    <w:p w14:paraId="6AA74DA6" w14:textId="77777777" w:rsidR="00F2007D" w:rsidRPr="007B701A" w:rsidRDefault="00F2007D" w:rsidP="00F2007D">
      <w:pPr>
        <w:jc w:val="both"/>
        <w:rPr>
          <w:sz w:val="22"/>
          <w:szCs w:val="22"/>
          <w:u w:val="single"/>
        </w:rPr>
      </w:pPr>
      <w:r w:rsidRPr="007B701A">
        <w:rPr>
          <w:sz w:val="22"/>
          <w:szCs w:val="22"/>
          <w:u w:val="single"/>
        </w:rPr>
        <w:t>Gydymas</w:t>
      </w:r>
    </w:p>
    <w:p w14:paraId="2F5ACEB8" w14:textId="77777777" w:rsidR="00F2007D" w:rsidRPr="007B701A" w:rsidRDefault="00F2007D" w:rsidP="00F2007D">
      <w:pPr>
        <w:rPr>
          <w:sz w:val="22"/>
          <w:szCs w:val="22"/>
        </w:rPr>
      </w:pPr>
      <w:r w:rsidRPr="007B701A">
        <w:rPr>
          <w:sz w:val="22"/>
          <w:szCs w:val="22"/>
        </w:rPr>
        <w:t xml:space="preserve">Reikia atidžiai stebėti, ar ligoniui neatsiranda toksinio poveikio požymių. Hemodializė ženkliai paskatina acikloviro šalinimą iš kraujo, todėl ją galima taikyti simptominio perdozavimo atveju. </w:t>
      </w:r>
    </w:p>
    <w:p w14:paraId="49B93485" w14:textId="77777777" w:rsidR="00F2007D" w:rsidRPr="007B701A" w:rsidRDefault="00F2007D" w:rsidP="00F2007D">
      <w:pPr>
        <w:rPr>
          <w:b/>
          <w:sz w:val="22"/>
          <w:szCs w:val="22"/>
        </w:rPr>
      </w:pPr>
    </w:p>
    <w:p w14:paraId="6120BDB0" w14:textId="77777777" w:rsidR="00F2007D" w:rsidRPr="007B701A" w:rsidRDefault="00F2007D" w:rsidP="00F2007D">
      <w:pPr>
        <w:rPr>
          <w:b/>
          <w:sz w:val="22"/>
          <w:szCs w:val="22"/>
        </w:rPr>
      </w:pPr>
    </w:p>
    <w:p w14:paraId="4019EDF1" w14:textId="77777777" w:rsidR="00F2007D" w:rsidRPr="007B701A" w:rsidRDefault="00F2007D" w:rsidP="00F2007D">
      <w:pPr>
        <w:tabs>
          <w:tab w:val="left" w:pos="567"/>
        </w:tabs>
        <w:rPr>
          <w:sz w:val="22"/>
          <w:szCs w:val="22"/>
        </w:rPr>
      </w:pPr>
      <w:r w:rsidRPr="007B701A">
        <w:rPr>
          <w:b/>
          <w:sz w:val="22"/>
          <w:szCs w:val="22"/>
        </w:rPr>
        <w:t>5.</w:t>
      </w:r>
      <w:r w:rsidRPr="007B701A">
        <w:rPr>
          <w:b/>
          <w:sz w:val="22"/>
          <w:szCs w:val="22"/>
        </w:rPr>
        <w:tab/>
        <w:t>FARMAKOLOGINĖS SAVYBĖS</w:t>
      </w:r>
    </w:p>
    <w:p w14:paraId="3DCA0AB2" w14:textId="77777777" w:rsidR="00F2007D" w:rsidRPr="007B701A" w:rsidRDefault="00F2007D" w:rsidP="00F2007D">
      <w:pPr>
        <w:rPr>
          <w:b/>
          <w:sz w:val="22"/>
          <w:szCs w:val="22"/>
        </w:rPr>
      </w:pPr>
    </w:p>
    <w:p w14:paraId="0B0927D5" w14:textId="4377FBF7" w:rsidR="00F2007D" w:rsidRPr="007B701A" w:rsidRDefault="00F2007D" w:rsidP="00F2007D">
      <w:pPr>
        <w:tabs>
          <w:tab w:val="left" w:pos="567"/>
        </w:tabs>
        <w:rPr>
          <w:sz w:val="22"/>
          <w:szCs w:val="22"/>
        </w:rPr>
      </w:pPr>
      <w:r w:rsidRPr="007B701A">
        <w:rPr>
          <w:b/>
          <w:sz w:val="22"/>
          <w:szCs w:val="22"/>
        </w:rPr>
        <w:t>5.1</w:t>
      </w:r>
      <w:r w:rsidRPr="007B701A">
        <w:rPr>
          <w:b/>
          <w:sz w:val="22"/>
          <w:szCs w:val="22"/>
        </w:rPr>
        <w:tab/>
        <w:t>Farmakodinaminės savybės</w:t>
      </w:r>
    </w:p>
    <w:p w14:paraId="7949CFB2" w14:textId="77777777" w:rsidR="00F2007D" w:rsidRPr="007B701A" w:rsidRDefault="00F2007D" w:rsidP="00F2007D">
      <w:pPr>
        <w:rPr>
          <w:sz w:val="22"/>
          <w:szCs w:val="22"/>
        </w:rPr>
      </w:pPr>
    </w:p>
    <w:p w14:paraId="1FB1DE25" w14:textId="6D09FFE7" w:rsidR="00F2007D" w:rsidRPr="007B701A" w:rsidRDefault="00F2007D" w:rsidP="00F2007D">
      <w:pPr>
        <w:rPr>
          <w:b/>
          <w:sz w:val="22"/>
          <w:szCs w:val="22"/>
        </w:rPr>
      </w:pPr>
      <w:r w:rsidRPr="007B701A">
        <w:rPr>
          <w:sz w:val="22"/>
          <w:szCs w:val="22"/>
        </w:rPr>
        <w:t>Farmakoterapinė grupė – antivirusiniai bendro veikimo vaist</w:t>
      </w:r>
      <w:r w:rsidR="00481F9C">
        <w:rPr>
          <w:sz w:val="22"/>
          <w:szCs w:val="22"/>
        </w:rPr>
        <w:t>iniai preparat</w:t>
      </w:r>
      <w:r w:rsidRPr="007B701A">
        <w:rPr>
          <w:sz w:val="22"/>
          <w:szCs w:val="22"/>
        </w:rPr>
        <w:t>ai</w:t>
      </w:r>
      <w:r>
        <w:rPr>
          <w:sz w:val="22"/>
          <w:szCs w:val="22"/>
        </w:rPr>
        <w:t>,</w:t>
      </w:r>
      <w:r w:rsidRPr="007B701A">
        <w:rPr>
          <w:sz w:val="22"/>
          <w:szCs w:val="22"/>
        </w:rPr>
        <w:t xml:space="preserve"> ATC kodas – J05AB01.</w:t>
      </w:r>
    </w:p>
    <w:p w14:paraId="05A3FC4C" w14:textId="77777777" w:rsidR="00F2007D" w:rsidRPr="007B701A" w:rsidRDefault="00F2007D" w:rsidP="00F2007D">
      <w:pPr>
        <w:rPr>
          <w:sz w:val="22"/>
          <w:szCs w:val="22"/>
        </w:rPr>
      </w:pPr>
    </w:p>
    <w:p w14:paraId="7F12B4B1" w14:textId="77777777" w:rsidR="00F2007D" w:rsidRPr="007B701A" w:rsidRDefault="00F2007D" w:rsidP="00F2007D">
      <w:pPr>
        <w:rPr>
          <w:sz w:val="22"/>
          <w:szCs w:val="22"/>
        </w:rPr>
      </w:pPr>
      <w:r w:rsidRPr="007B701A">
        <w:rPr>
          <w:sz w:val="22"/>
          <w:szCs w:val="22"/>
        </w:rPr>
        <w:t xml:space="preserve">Farmakologijos požiūriu acikloviras yra neaktyvi medžiaga. Jis tampa veiklus tik po to, kai prasiskverbia į </w:t>
      </w:r>
      <w:r w:rsidRPr="007B701A">
        <w:rPr>
          <w:i/>
          <w:sz w:val="22"/>
          <w:szCs w:val="22"/>
        </w:rPr>
        <w:t>Herpes simplex</w:t>
      </w:r>
      <w:r w:rsidRPr="007B701A">
        <w:rPr>
          <w:sz w:val="22"/>
          <w:szCs w:val="22"/>
        </w:rPr>
        <w:t xml:space="preserve"> arba </w:t>
      </w:r>
      <w:r w:rsidRPr="007B701A">
        <w:rPr>
          <w:i/>
          <w:sz w:val="22"/>
          <w:szCs w:val="22"/>
        </w:rPr>
        <w:t>Varicella zoster</w:t>
      </w:r>
      <w:r w:rsidRPr="007B701A">
        <w:rPr>
          <w:sz w:val="22"/>
          <w:szCs w:val="22"/>
        </w:rPr>
        <w:t xml:space="preserve"> virusais (HSV arba VZV) užkrėstų ląstelių vidų. Aciklovirą veiklų padaro HSV arba VZV timidinkinazė, fermentas, būtinas virusams daugintis, kitaip tariant, virusas sintetina medžiagą, kuri slopina jo dauginimąsi. Minėto poveikio etapai yra tokie:</w:t>
      </w:r>
    </w:p>
    <w:p w14:paraId="0BAAD647" w14:textId="77777777" w:rsidR="00F2007D" w:rsidRPr="007B701A" w:rsidRDefault="00F2007D" w:rsidP="00F2007D">
      <w:pPr>
        <w:ind w:left="284" w:hanging="284"/>
        <w:jc w:val="both"/>
        <w:rPr>
          <w:sz w:val="22"/>
          <w:szCs w:val="22"/>
        </w:rPr>
      </w:pPr>
      <w:r w:rsidRPr="007B701A">
        <w:rPr>
          <w:sz w:val="22"/>
          <w:szCs w:val="22"/>
        </w:rPr>
        <w:lastRenderedPageBreak/>
        <w:t xml:space="preserve">1. Didelis kiekis acikloviro skverbiasi į </w:t>
      </w:r>
      <w:r w:rsidRPr="007B701A">
        <w:rPr>
          <w:i/>
          <w:sz w:val="22"/>
          <w:szCs w:val="22"/>
        </w:rPr>
        <w:t>Herpes</w:t>
      </w:r>
      <w:r w:rsidRPr="007B701A">
        <w:rPr>
          <w:sz w:val="22"/>
          <w:szCs w:val="22"/>
        </w:rPr>
        <w:t xml:space="preserve"> virusais užkrėstas ląsteles.</w:t>
      </w:r>
    </w:p>
    <w:p w14:paraId="33EB0B87" w14:textId="77777777" w:rsidR="00F2007D" w:rsidRPr="007B701A" w:rsidRDefault="00F2007D" w:rsidP="00F2007D">
      <w:pPr>
        <w:numPr>
          <w:ilvl w:val="0"/>
          <w:numId w:val="21"/>
        </w:numPr>
        <w:ind w:left="284"/>
        <w:jc w:val="both"/>
        <w:rPr>
          <w:sz w:val="22"/>
          <w:szCs w:val="22"/>
        </w:rPr>
      </w:pPr>
      <w:r w:rsidRPr="007B701A">
        <w:rPr>
          <w:sz w:val="22"/>
          <w:szCs w:val="22"/>
        </w:rPr>
        <w:t>Ląstelėse esanti virusų timidinkinazė fosforilina aciklovirą į acikloviro monofosfatą.</w:t>
      </w:r>
    </w:p>
    <w:p w14:paraId="5B261A8D" w14:textId="77777777" w:rsidR="00F2007D" w:rsidRPr="007B701A" w:rsidRDefault="00F2007D" w:rsidP="00F2007D">
      <w:pPr>
        <w:numPr>
          <w:ilvl w:val="0"/>
          <w:numId w:val="22"/>
        </w:numPr>
        <w:ind w:left="284"/>
        <w:jc w:val="both"/>
        <w:rPr>
          <w:sz w:val="22"/>
          <w:szCs w:val="22"/>
        </w:rPr>
      </w:pPr>
      <w:r w:rsidRPr="007B701A">
        <w:rPr>
          <w:sz w:val="22"/>
          <w:szCs w:val="22"/>
        </w:rPr>
        <w:t xml:space="preserve">Ląstelių fermentai paverčia acikloviro monofosfatą į tikrą virusostatinę medžiagą acikloviro trifosfatą. </w:t>
      </w:r>
    </w:p>
    <w:p w14:paraId="5FD56B43" w14:textId="77777777" w:rsidR="00F2007D" w:rsidRPr="007B701A" w:rsidRDefault="00F2007D" w:rsidP="00F2007D">
      <w:pPr>
        <w:numPr>
          <w:ilvl w:val="0"/>
          <w:numId w:val="22"/>
        </w:numPr>
        <w:ind w:left="284"/>
        <w:jc w:val="both"/>
        <w:rPr>
          <w:sz w:val="22"/>
          <w:szCs w:val="22"/>
        </w:rPr>
      </w:pPr>
      <w:r w:rsidRPr="007B701A">
        <w:rPr>
          <w:sz w:val="22"/>
          <w:szCs w:val="22"/>
        </w:rPr>
        <w:t xml:space="preserve">Acikloviro trifosfato gebėjimas jungtis su viruso DNR polimeraze, palyginti su ląstelės polimeraze, yra 10 – 30 kartų didesnis, todėl viruso fermentų aktyvumas slopinamas selektyviai. </w:t>
      </w:r>
    </w:p>
    <w:p w14:paraId="1980D397" w14:textId="77777777" w:rsidR="00F2007D" w:rsidRPr="007B701A" w:rsidRDefault="00F2007D" w:rsidP="00F2007D">
      <w:pPr>
        <w:numPr>
          <w:ilvl w:val="0"/>
          <w:numId w:val="22"/>
        </w:numPr>
        <w:ind w:left="284"/>
        <w:jc w:val="both"/>
        <w:rPr>
          <w:sz w:val="22"/>
          <w:szCs w:val="22"/>
        </w:rPr>
      </w:pPr>
      <w:r w:rsidRPr="007B701A">
        <w:rPr>
          <w:sz w:val="22"/>
          <w:szCs w:val="22"/>
        </w:rPr>
        <w:t>Viruso DNR polimerazė įjungia aciklovirą į viruso DNR sudėtį, dėl to nutrūksta DNR grandinės sintezė.</w:t>
      </w:r>
    </w:p>
    <w:p w14:paraId="7E42110F" w14:textId="77777777" w:rsidR="00F2007D" w:rsidRPr="007B701A" w:rsidRDefault="00F2007D" w:rsidP="00F2007D">
      <w:pPr>
        <w:ind w:left="1"/>
        <w:rPr>
          <w:sz w:val="22"/>
          <w:szCs w:val="22"/>
        </w:rPr>
      </w:pPr>
      <w:r w:rsidRPr="007B701A">
        <w:rPr>
          <w:sz w:val="22"/>
          <w:szCs w:val="22"/>
        </w:rPr>
        <w:t>Toks etapais vykstantis procesas veiksmingai slopina virusų dauginimąsi ląstelėje.</w:t>
      </w:r>
    </w:p>
    <w:p w14:paraId="4795580C" w14:textId="77777777" w:rsidR="00F2007D" w:rsidRPr="007B701A" w:rsidRDefault="00F2007D" w:rsidP="00F2007D">
      <w:pPr>
        <w:ind w:left="1"/>
        <w:rPr>
          <w:sz w:val="22"/>
          <w:szCs w:val="22"/>
        </w:rPr>
      </w:pPr>
      <w:r w:rsidRPr="007B701A">
        <w:rPr>
          <w:sz w:val="22"/>
          <w:szCs w:val="22"/>
        </w:rPr>
        <w:t>Atlikus testą (</w:t>
      </w:r>
      <w:r w:rsidRPr="007B701A">
        <w:rPr>
          <w:i/>
          <w:sz w:val="22"/>
          <w:szCs w:val="22"/>
        </w:rPr>
        <w:t>Plaque-Reduktions-Test</w:t>
      </w:r>
      <w:r w:rsidRPr="007B701A">
        <w:rPr>
          <w:sz w:val="22"/>
          <w:szCs w:val="22"/>
        </w:rPr>
        <w:t xml:space="preserve">) nustatyta, kad žaliųjų Afrikos beždžionių inkstų parenchimos ląstelių (Vero ląstelių), užkrėstų HSV, augimui slopinti reikia, kad viename litre būtų 0,1 </w:t>
      </w:r>
      <w:r w:rsidRPr="007B701A">
        <w:rPr>
          <w:sz w:val="22"/>
          <w:szCs w:val="22"/>
        </w:rPr>
        <w:sym w:font="Symbol" w:char="F06D"/>
      </w:r>
      <w:r w:rsidRPr="007B701A">
        <w:rPr>
          <w:sz w:val="22"/>
          <w:szCs w:val="22"/>
        </w:rPr>
        <w:t xml:space="preserve">mol acikloviro, o neužkrėstų ląstelių augimą acikloviras nuslopina tik tada, kai jo viename litre yra maždaug 300 </w:t>
      </w:r>
      <w:r w:rsidRPr="007B701A">
        <w:rPr>
          <w:sz w:val="22"/>
          <w:szCs w:val="22"/>
        </w:rPr>
        <w:sym w:font="Symbol" w:char="F06D"/>
      </w:r>
      <w:r w:rsidRPr="007B701A">
        <w:rPr>
          <w:sz w:val="22"/>
          <w:szCs w:val="22"/>
        </w:rPr>
        <w:t xml:space="preserve">mol acikloviro. </w:t>
      </w:r>
    </w:p>
    <w:p w14:paraId="475F97E8" w14:textId="77777777" w:rsidR="00F2007D" w:rsidRPr="007B701A" w:rsidRDefault="00F2007D" w:rsidP="00F2007D">
      <w:pPr>
        <w:ind w:left="1"/>
        <w:rPr>
          <w:sz w:val="22"/>
          <w:szCs w:val="22"/>
        </w:rPr>
      </w:pPr>
      <w:r w:rsidRPr="007B701A">
        <w:rPr>
          <w:sz w:val="22"/>
          <w:szCs w:val="22"/>
        </w:rPr>
        <w:t>Vero ląstelių (žaliųjų Afrikos beždžionių inkstų parenchimos ląstelių), užkrėstų HSV, augimo slopinamoji ED</w:t>
      </w:r>
      <w:r w:rsidRPr="007B701A">
        <w:rPr>
          <w:sz w:val="22"/>
          <w:szCs w:val="22"/>
          <w:vertAlign w:val="subscript"/>
        </w:rPr>
        <w:t>50</w:t>
      </w:r>
      <w:r w:rsidRPr="007B701A">
        <w:rPr>
          <w:sz w:val="22"/>
          <w:szCs w:val="22"/>
        </w:rPr>
        <w:t xml:space="preserve"> koncentracija yra maždaug 0,1 </w:t>
      </w:r>
      <w:r w:rsidRPr="007B701A">
        <w:rPr>
          <w:sz w:val="22"/>
          <w:szCs w:val="22"/>
        </w:rPr>
        <w:sym w:font="Symbol" w:char="F06D"/>
      </w:r>
      <w:r w:rsidRPr="007B701A">
        <w:rPr>
          <w:sz w:val="22"/>
          <w:szCs w:val="22"/>
        </w:rPr>
        <w:t>mol acikloviro viename litre, o neužkrėstų ląstelių augimą acikloviras nuslopina tik tada, kai ED</w:t>
      </w:r>
      <w:r w:rsidRPr="007B701A">
        <w:rPr>
          <w:sz w:val="22"/>
          <w:szCs w:val="22"/>
          <w:vertAlign w:val="subscript"/>
        </w:rPr>
        <w:t>50</w:t>
      </w:r>
      <w:r w:rsidRPr="007B701A">
        <w:rPr>
          <w:sz w:val="22"/>
          <w:szCs w:val="22"/>
        </w:rPr>
        <w:t xml:space="preserve"> koncentracija yra maždaug 300 </w:t>
      </w:r>
      <w:r w:rsidRPr="007B701A">
        <w:rPr>
          <w:sz w:val="22"/>
          <w:szCs w:val="22"/>
        </w:rPr>
        <w:sym w:font="Symbol" w:char="F06D"/>
      </w:r>
      <w:r w:rsidRPr="007B701A">
        <w:rPr>
          <w:sz w:val="22"/>
          <w:szCs w:val="22"/>
        </w:rPr>
        <w:t>mol acikloviro viename litre. Vadinasi, vienodam poveikiui sukelti reikalinga 3000 kartų didesnė acikloviro koncentracija.</w:t>
      </w:r>
    </w:p>
    <w:p w14:paraId="39536710" w14:textId="77777777" w:rsidR="00F2007D" w:rsidRPr="007B701A" w:rsidRDefault="00F2007D" w:rsidP="00F2007D">
      <w:pPr>
        <w:numPr>
          <w:ilvl w:val="12"/>
          <w:numId w:val="0"/>
        </w:numPr>
        <w:ind w:left="284" w:hanging="283"/>
        <w:rPr>
          <w:sz w:val="22"/>
          <w:szCs w:val="22"/>
        </w:rPr>
      </w:pPr>
    </w:p>
    <w:p w14:paraId="4FA5AB1A" w14:textId="77777777" w:rsidR="00F2007D" w:rsidRPr="007B701A" w:rsidRDefault="00F2007D" w:rsidP="00F2007D">
      <w:pPr>
        <w:numPr>
          <w:ilvl w:val="12"/>
          <w:numId w:val="0"/>
        </w:numPr>
        <w:ind w:left="284" w:hanging="283"/>
        <w:rPr>
          <w:sz w:val="22"/>
          <w:szCs w:val="22"/>
        </w:rPr>
      </w:pPr>
      <w:r w:rsidRPr="007B701A">
        <w:rPr>
          <w:sz w:val="22"/>
          <w:szCs w:val="22"/>
        </w:rPr>
        <w:t>Veikimo spektras</w:t>
      </w:r>
      <w:r w:rsidRPr="007B701A">
        <w:rPr>
          <w:i/>
          <w:sz w:val="22"/>
          <w:szCs w:val="22"/>
        </w:rPr>
        <w:t xml:space="preserve"> in vitro</w:t>
      </w:r>
    </w:p>
    <w:p w14:paraId="21A1D991" w14:textId="77777777" w:rsidR="00F2007D" w:rsidRPr="007B701A" w:rsidRDefault="00F2007D" w:rsidP="00F2007D">
      <w:pPr>
        <w:numPr>
          <w:ilvl w:val="12"/>
          <w:numId w:val="0"/>
        </w:numPr>
        <w:ind w:left="284" w:hanging="284"/>
        <w:jc w:val="both"/>
        <w:rPr>
          <w:sz w:val="22"/>
          <w:szCs w:val="22"/>
        </w:rPr>
      </w:pPr>
      <w:r w:rsidRPr="007B701A">
        <w:rPr>
          <w:sz w:val="22"/>
          <w:szCs w:val="22"/>
          <w:u w:val="single"/>
        </w:rPr>
        <w:t xml:space="preserve">Labai jautrūs </w:t>
      </w:r>
      <w:r w:rsidRPr="007B701A">
        <w:rPr>
          <w:sz w:val="22"/>
          <w:szCs w:val="22"/>
        </w:rPr>
        <w:t xml:space="preserve">– </w:t>
      </w:r>
      <w:r w:rsidRPr="007B701A">
        <w:rPr>
          <w:i/>
          <w:sz w:val="22"/>
          <w:szCs w:val="22"/>
        </w:rPr>
        <w:t>Herpes simplex</w:t>
      </w:r>
      <w:r w:rsidRPr="007B701A">
        <w:rPr>
          <w:sz w:val="22"/>
          <w:szCs w:val="22"/>
        </w:rPr>
        <w:t xml:space="preserve"> viruso l ir ll tipai, </w:t>
      </w:r>
      <w:r w:rsidRPr="007B701A">
        <w:rPr>
          <w:i/>
          <w:sz w:val="22"/>
          <w:szCs w:val="22"/>
        </w:rPr>
        <w:t>Varicella zoster</w:t>
      </w:r>
      <w:r w:rsidRPr="007B701A">
        <w:rPr>
          <w:sz w:val="22"/>
          <w:szCs w:val="22"/>
        </w:rPr>
        <w:t xml:space="preserve"> virusas.</w:t>
      </w:r>
    </w:p>
    <w:p w14:paraId="59245056" w14:textId="77777777" w:rsidR="00F2007D" w:rsidRPr="007B701A" w:rsidRDefault="00F2007D" w:rsidP="00F2007D">
      <w:pPr>
        <w:numPr>
          <w:ilvl w:val="12"/>
          <w:numId w:val="0"/>
        </w:numPr>
        <w:ind w:left="284" w:hanging="284"/>
        <w:jc w:val="both"/>
        <w:rPr>
          <w:sz w:val="22"/>
          <w:szCs w:val="22"/>
        </w:rPr>
      </w:pPr>
      <w:r w:rsidRPr="007B701A">
        <w:rPr>
          <w:sz w:val="22"/>
          <w:szCs w:val="22"/>
          <w:u w:val="single"/>
        </w:rPr>
        <w:t xml:space="preserve">Jautrus </w:t>
      </w:r>
      <w:r w:rsidRPr="007B701A">
        <w:rPr>
          <w:sz w:val="22"/>
          <w:szCs w:val="22"/>
        </w:rPr>
        <w:t>– Epšteino ir Baro virusas.</w:t>
      </w:r>
    </w:p>
    <w:p w14:paraId="612AEA14" w14:textId="77777777" w:rsidR="00F2007D" w:rsidRPr="007B701A" w:rsidRDefault="00F2007D" w:rsidP="00F2007D">
      <w:pPr>
        <w:numPr>
          <w:ilvl w:val="12"/>
          <w:numId w:val="0"/>
        </w:numPr>
        <w:ind w:left="284" w:hanging="284"/>
        <w:jc w:val="both"/>
        <w:rPr>
          <w:sz w:val="22"/>
          <w:szCs w:val="22"/>
        </w:rPr>
      </w:pPr>
      <w:r w:rsidRPr="007B701A">
        <w:rPr>
          <w:sz w:val="22"/>
          <w:szCs w:val="22"/>
          <w:u w:val="single"/>
        </w:rPr>
        <w:t xml:space="preserve">Nuo iš dalies jautrių iki atsparių formų </w:t>
      </w:r>
      <w:r w:rsidRPr="007B701A">
        <w:rPr>
          <w:sz w:val="22"/>
          <w:szCs w:val="22"/>
        </w:rPr>
        <w:t>– citomegalijos virusas.</w:t>
      </w:r>
    </w:p>
    <w:p w14:paraId="4662DE40" w14:textId="77777777" w:rsidR="00F2007D" w:rsidRPr="007B701A" w:rsidRDefault="00F2007D" w:rsidP="00F2007D">
      <w:pPr>
        <w:rPr>
          <w:sz w:val="22"/>
          <w:szCs w:val="22"/>
        </w:rPr>
      </w:pPr>
      <w:r w:rsidRPr="007B701A">
        <w:rPr>
          <w:sz w:val="22"/>
          <w:szCs w:val="22"/>
          <w:u w:val="single"/>
        </w:rPr>
        <w:t xml:space="preserve">Atsparūs </w:t>
      </w:r>
      <w:r w:rsidRPr="007B701A">
        <w:rPr>
          <w:sz w:val="22"/>
          <w:szCs w:val="22"/>
        </w:rPr>
        <w:t>– RNR virusai, adenovirusai, raupų virusai.</w:t>
      </w:r>
    </w:p>
    <w:p w14:paraId="59F5270C" w14:textId="77777777" w:rsidR="00F2007D" w:rsidRPr="007B701A" w:rsidRDefault="00F2007D" w:rsidP="00F2007D">
      <w:pPr>
        <w:rPr>
          <w:b/>
          <w:noProof/>
          <w:sz w:val="22"/>
          <w:szCs w:val="22"/>
        </w:rPr>
      </w:pPr>
    </w:p>
    <w:p w14:paraId="2CE7E37B" w14:textId="33AB4491" w:rsidR="00F2007D" w:rsidRPr="007B701A" w:rsidRDefault="00F2007D" w:rsidP="00F2007D">
      <w:pPr>
        <w:tabs>
          <w:tab w:val="left" w:pos="567"/>
        </w:tabs>
        <w:rPr>
          <w:noProof/>
          <w:sz w:val="22"/>
          <w:szCs w:val="22"/>
        </w:rPr>
      </w:pPr>
      <w:r w:rsidRPr="007B701A">
        <w:rPr>
          <w:b/>
          <w:noProof/>
          <w:sz w:val="22"/>
          <w:szCs w:val="22"/>
        </w:rPr>
        <w:t>5.2</w:t>
      </w:r>
      <w:r w:rsidRPr="007B701A">
        <w:rPr>
          <w:b/>
          <w:noProof/>
          <w:sz w:val="22"/>
          <w:szCs w:val="22"/>
        </w:rPr>
        <w:tab/>
        <w:t>Farmakokinetinės savybės</w:t>
      </w:r>
    </w:p>
    <w:p w14:paraId="570EC3A5" w14:textId="77777777" w:rsidR="00F2007D" w:rsidRPr="007B701A" w:rsidRDefault="00F2007D" w:rsidP="00F2007D">
      <w:pPr>
        <w:rPr>
          <w:i/>
          <w:noProof/>
          <w:sz w:val="22"/>
          <w:szCs w:val="22"/>
        </w:rPr>
      </w:pPr>
    </w:p>
    <w:p w14:paraId="6C74623C" w14:textId="77777777" w:rsidR="00F2007D" w:rsidRPr="007B701A" w:rsidRDefault="00F2007D" w:rsidP="00F2007D">
      <w:pPr>
        <w:rPr>
          <w:i/>
          <w:noProof/>
          <w:sz w:val="22"/>
          <w:szCs w:val="22"/>
          <w:u w:val="single"/>
        </w:rPr>
      </w:pPr>
      <w:r w:rsidRPr="007B701A">
        <w:rPr>
          <w:i/>
          <w:noProof/>
          <w:sz w:val="22"/>
          <w:szCs w:val="22"/>
          <w:u w:val="single"/>
        </w:rPr>
        <w:t>Absorbcija</w:t>
      </w:r>
    </w:p>
    <w:p w14:paraId="47E99B12" w14:textId="1F34F821" w:rsidR="00F2007D" w:rsidRPr="007B701A" w:rsidRDefault="00F2007D" w:rsidP="00F2007D">
      <w:pPr>
        <w:rPr>
          <w:sz w:val="22"/>
          <w:szCs w:val="22"/>
        </w:rPr>
      </w:pPr>
      <w:r w:rsidRPr="007B701A">
        <w:rPr>
          <w:sz w:val="22"/>
          <w:szCs w:val="22"/>
        </w:rPr>
        <w:t>Iš virškinimo trakto absorbuojama tik dalis acikloviro. Vartojant pakartotinai kas 4 val. 5 kartus per dieną po 200 mg acikloviro, po to kai plazmoje nusistovi pastovus didžiausios ir mažiausios koncentracijų intervalas, didžiausios vaist</w:t>
      </w:r>
      <w:r w:rsidR="00481F9C">
        <w:rPr>
          <w:sz w:val="22"/>
          <w:szCs w:val="22"/>
        </w:rPr>
        <w:t>inio preparat</w:t>
      </w:r>
      <w:r w:rsidRPr="007B701A">
        <w:rPr>
          <w:sz w:val="22"/>
          <w:szCs w:val="22"/>
        </w:rPr>
        <w:t>o koncentracijos vidurkis plazmoje yra 3,02</w:t>
      </w:r>
      <w:r w:rsidRPr="007B701A">
        <w:rPr>
          <w:sz w:val="22"/>
          <w:szCs w:val="22"/>
        </w:rPr>
        <w:sym w:font="Symbol" w:char="F0B1"/>
      </w:r>
      <w:r w:rsidRPr="007B701A">
        <w:rPr>
          <w:sz w:val="22"/>
          <w:szCs w:val="22"/>
        </w:rPr>
        <w:t xml:space="preserve">0,5 </w:t>
      </w:r>
      <w:r w:rsidRPr="007B701A">
        <w:rPr>
          <w:sz w:val="22"/>
          <w:szCs w:val="22"/>
        </w:rPr>
        <w:sym w:font="Symbol" w:char="F06D"/>
      </w:r>
      <w:r w:rsidRPr="007B701A">
        <w:rPr>
          <w:sz w:val="22"/>
          <w:szCs w:val="22"/>
        </w:rPr>
        <w:t>mol/l (200 mg).</w:t>
      </w:r>
    </w:p>
    <w:p w14:paraId="67EEE45E" w14:textId="69DE676F" w:rsidR="00F2007D" w:rsidRPr="007B701A" w:rsidRDefault="00F2007D" w:rsidP="00F2007D">
      <w:pPr>
        <w:rPr>
          <w:sz w:val="22"/>
          <w:szCs w:val="22"/>
        </w:rPr>
      </w:pPr>
      <w:r w:rsidRPr="007B701A">
        <w:rPr>
          <w:sz w:val="22"/>
          <w:szCs w:val="22"/>
        </w:rPr>
        <w:t>Išgėrus acikloviro, tokia koncentracija atsiranda po 1,5</w:t>
      </w:r>
      <w:r w:rsidRPr="007B701A">
        <w:rPr>
          <w:sz w:val="22"/>
          <w:szCs w:val="22"/>
        </w:rPr>
        <w:sym w:font="Symbol" w:char="F0B1"/>
      </w:r>
      <w:r w:rsidRPr="007B701A">
        <w:rPr>
          <w:sz w:val="22"/>
          <w:szCs w:val="22"/>
        </w:rPr>
        <w:t>0,6 val., po 4 val. vaist</w:t>
      </w:r>
      <w:r w:rsidR="00481F9C">
        <w:rPr>
          <w:sz w:val="22"/>
          <w:szCs w:val="22"/>
        </w:rPr>
        <w:t>inio preparat</w:t>
      </w:r>
      <w:r w:rsidRPr="007B701A">
        <w:rPr>
          <w:sz w:val="22"/>
          <w:szCs w:val="22"/>
        </w:rPr>
        <w:t>o bazinė koncentracija plazmoje būna 1,61</w:t>
      </w:r>
      <w:r w:rsidRPr="007B701A">
        <w:rPr>
          <w:sz w:val="22"/>
          <w:szCs w:val="22"/>
        </w:rPr>
        <w:sym w:font="Symbol" w:char="F0B1"/>
      </w:r>
      <w:r w:rsidRPr="007B701A">
        <w:rPr>
          <w:sz w:val="22"/>
          <w:szCs w:val="22"/>
        </w:rPr>
        <w:t xml:space="preserve">0,3 </w:t>
      </w:r>
      <w:r w:rsidRPr="007B701A">
        <w:rPr>
          <w:sz w:val="22"/>
          <w:szCs w:val="22"/>
        </w:rPr>
        <w:sym w:font="Symbol" w:char="F06D"/>
      </w:r>
      <w:r w:rsidRPr="007B701A">
        <w:rPr>
          <w:sz w:val="22"/>
          <w:szCs w:val="22"/>
        </w:rPr>
        <w:t>mol/l</w:t>
      </w:r>
      <w:r>
        <w:rPr>
          <w:sz w:val="22"/>
          <w:szCs w:val="22"/>
        </w:rPr>
        <w:t>.</w:t>
      </w:r>
      <w:r w:rsidRPr="007B701A">
        <w:rPr>
          <w:sz w:val="22"/>
          <w:szCs w:val="22"/>
        </w:rPr>
        <w:t xml:space="preserve"> Nustojus vartoti preparatų, kuriuose yra acikloviro, po 24 val. organizme jo nelieka.</w:t>
      </w:r>
    </w:p>
    <w:p w14:paraId="0BB60BEB" w14:textId="5C122A14" w:rsidR="00F2007D" w:rsidRPr="007B701A" w:rsidRDefault="00F2007D" w:rsidP="00F2007D">
      <w:pPr>
        <w:rPr>
          <w:sz w:val="22"/>
          <w:szCs w:val="22"/>
        </w:rPr>
      </w:pPr>
      <w:r w:rsidRPr="007B701A">
        <w:rPr>
          <w:sz w:val="22"/>
          <w:szCs w:val="22"/>
        </w:rPr>
        <w:t>Suaugusio žmogaus organizme tariamasis vaist</w:t>
      </w:r>
      <w:r w:rsidR="00481F9C">
        <w:rPr>
          <w:sz w:val="22"/>
          <w:szCs w:val="22"/>
        </w:rPr>
        <w:t>inio preparat</w:t>
      </w:r>
      <w:r w:rsidRPr="007B701A">
        <w:rPr>
          <w:sz w:val="22"/>
          <w:szCs w:val="22"/>
        </w:rPr>
        <w:t xml:space="preserve">o pasiskirstymo tūris, kai jo koncentracija kraujyje pastovi, yra 50 </w:t>
      </w:r>
      <w:r w:rsidRPr="007B701A">
        <w:rPr>
          <w:sz w:val="22"/>
          <w:szCs w:val="22"/>
        </w:rPr>
        <w:sym w:font="Symbol" w:char="F0B1"/>
      </w:r>
      <w:r w:rsidRPr="007B701A">
        <w:rPr>
          <w:sz w:val="22"/>
          <w:szCs w:val="22"/>
        </w:rPr>
        <w:t xml:space="preserve"> 8,7 l/1,73 m</w:t>
      </w:r>
      <w:r w:rsidRPr="007B701A">
        <w:rPr>
          <w:sz w:val="22"/>
          <w:szCs w:val="22"/>
          <w:vertAlign w:val="superscript"/>
        </w:rPr>
        <w:t>2</w:t>
      </w:r>
      <w:r w:rsidR="00481F9C">
        <w:rPr>
          <w:sz w:val="22"/>
          <w:szCs w:val="22"/>
        </w:rPr>
        <w:t>.</w:t>
      </w:r>
    </w:p>
    <w:p w14:paraId="61F3E4D3" w14:textId="77777777" w:rsidR="00F2007D" w:rsidRPr="007B701A" w:rsidRDefault="00F2007D" w:rsidP="00F2007D">
      <w:pPr>
        <w:rPr>
          <w:sz w:val="22"/>
          <w:szCs w:val="22"/>
        </w:rPr>
      </w:pPr>
      <w:r w:rsidRPr="007B701A">
        <w:rPr>
          <w:sz w:val="22"/>
          <w:szCs w:val="22"/>
        </w:rPr>
        <w:t>Nustatyta, kad 9 – 33 % preparato prisijungia prie plazmos baltymų.</w:t>
      </w:r>
    </w:p>
    <w:p w14:paraId="649E642B" w14:textId="77777777" w:rsidR="00F2007D" w:rsidRPr="007B701A" w:rsidRDefault="00F2007D" w:rsidP="00F2007D">
      <w:pPr>
        <w:rPr>
          <w:i/>
          <w:sz w:val="22"/>
          <w:szCs w:val="22"/>
          <w:u w:val="single"/>
        </w:rPr>
      </w:pPr>
    </w:p>
    <w:p w14:paraId="2B75A694" w14:textId="77777777" w:rsidR="00F2007D" w:rsidRPr="007B701A" w:rsidRDefault="00F2007D" w:rsidP="00F2007D">
      <w:pPr>
        <w:rPr>
          <w:sz w:val="22"/>
          <w:szCs w:val="22"/>
        </w:rPr>
      </w:pPr>
      <w:r w:rsidRPr="007B701A">
        <w:rPr>
          <w:i/>
          <w:sz w:val="22"/>
          <w:szCs w:val="22"/>
          <w:u w:val="single"/>
        </w:rPr>
        <w:t>Pasiskirstymas</w:t>
      </w:r>
    </w:p>
    <w:p w14:paraId="5B845740" w14:textId="77777777" w:rsidR="00F2007D" w:rsidRPr="007B701A" w:rsidRDefault="00F2007D" w:rsidP="00F2007D">
      <w:pPr>
        <w:rPr>
          <w:sz w:val="22"/>
          <w:szCs w:val="22"/>
        </w:rPr>
      </w:pPr>
      <w:r w:rsidRPr="007B701A">
        <w:rPr>
          <w:sz w:val="22"/>
          <w:szCs w:val="22"/>
        </w:rPr>
        <w:t>Tyrimų su gyvūnais duomenimis, didesnė negu plazmoje vaist</w:t>
      </w:r>
      <w:r w:rsidR="00362C72">
        <w:rPr>
          <w:sz w:val="22"/>
          <w:szCs w:val="22"/>
        </w:rPr>
        <w:t>inio preparat</w:t>
      </w:r>
      <w:r w:rsidRPr="007B701A">
        <w:rPr>
          <w:sz w:val="22"/>
          <w:szCs w:val="22"/>
        </w:rPr>
        <w:t>o koncentracija būna žarnose, inkstuose, kepenyse ir plaučiuose, mažesnė – raumenyse, širdyje, smegenyse, kiaušidėse ir sėklidėse.</w:t>
      </w:r>
    </w:p>
    <w:p w14:paraId="7F142A22" w14:textId="77777777" w:rsidR="00F2007D" w:rsidRPr="007B701A" w:rsidRDefault="00F2007D" w:rsidP="00F2007D">
      <w:pPr>
        <w:rPr>
          <w:sz w:val="22"/>
          <w:szCs w:val="22"/>
        </w:rPr>
      </w:pPr>
      <w:r w:rsidRPr="007B701A">
        <w:rPr>
          <w:sz w:val="22"/>
          <w:szCs w:val="22"/>
        </w:rPr>
        <w:t xml:space="preserve">Ištyrus mirusius žmones, nustatyta, kad daug acikloviro susikaupia seilėse, makšties sekrete ir </w:t>
      </w:r>
      <w:r w:rsidRPr="007B701A">
        <w:rPr>
          <w:i/>
          <w:sz w:val="22"/>
          <w:szCs w:val="22"/>
        </w:rPr>
        <w:t>Herpes</w:t>
      </w:r>
      <w:r w:rsidRPr="007B701A">
        <w:rPr>
          <w:sz w:val="22"/>
          <w:szCs w:val="22"/>
        </w:rPr>
        <w:t xml:space="preserve"> pūslelių skystyje bei kai kuriuose organuose. Smegenų skystyje (likvore) vaist</w:t>
      </w:r>
      <w:r w:rsidR="00362C72">
        <w:rPr>
          <w:sz w:val="22"/>
          <w:szCs w:val="22"/>
        </w:rPr>
        <w:t>inio preparat</w:t>
      </w:r>
      <w:r w:rsidRPr="007B701A">
        <w:rPr>
          <w:sz w:val="22"/>
          <w:szCs w:val="22"/>
        </w:rPr>
        <w:t xml:space="preserve">o koncentracija būna du kartus mažesnė negu plazmoje. </w:t>
      </w:r>
    </w:p>
    <w:p w14:paraId="43A14C2B" w14:textId="77777777" w:rsidR="00F2007D" w:rsidRPr="007B701A" w:rsidRDefault="00F2007D" w:rsidP="00F2007D">
      <w:pPr>
        <w:rPr>
          <w:i/>
          <w:sz w:val="22"/>
          <w:szCs w:val="22"/>
          <w:u w:val="single"/>
        </w:rPr>
      </w:pPr>
    </w:p>
    <w:p w14:paraId="1DF3E42A" w14:textId="77777777" w:rsidR="00F2007D" w:rsidRPr="007B701A" w:rsidRDefault="00F2007D" w:rsidP="00F2007D">
      <w:pPr>
        <w:rPr>
          <w:sz w:val="22"/>
          <w:szCs w:val="22"/>
        </w:rPr>
      </w:pPr>
      <w:r w:rsidRPr="007B701A">
        <w:rPr>
          <w:i/>
          <w:sz w:val="22"/>
          <w:szCs w:val="22"/>
          <w:u w:val="single"/>
        </w:rPr>
        <w:t>Biotransformacija ir eliminacija</w:t>
      </w:r>
    </w:p>
    <w:p w14:paraId="3084F13B" w14:textId="6BD1AA7A" w:rsidR="00F2007D" w:rsidRPr="007B701A" w:rsidRDefault="00F2007D" w:rsidP="00F2007D">
      <w:pPr>
        <w:rPr>
          <w:sz w:val="22"/>
          <w:szCs w:val="22"/>
        </w:rPr>
      </w:pPr>
      <w:r w:rsidRPr="007B701A">
        <w:rPr>
          <w:sz w:val="22"/>
          <w:szCs w:val="22"/>
        </w:rPr>
        <w:t xml:space="preserve">Jei paciento inkstai sveiki, per juos pašalinama 62 – 91 % nepakitusio acikloviro ir </w:t>
      </w:r>
      <w:r w:rsidRPr="007B701A">
        <w:rPr>
          <w:sz w:val="22"/>
          <w:szCs w:val="22"/>
        </w:rPr>
        <w:br/>
        <w:t>10 – 15 % metabolito 9-karboksimetoksimetilguanino forma. Suaugusiam žmogui injekavus į veną acikloviro, jo pusinės eliminacijos iš plazmos periodas (t</w:t>
      </w:r>
      <w:r w:rsidRPr="007B701A">
        <w:rPr>
          <w:sz w:val="22"/>
          <w:szCs w:val="22"/>
          <w:vertAlign w:val="subscript"/>
        </w:rPr>
        <w:t>1/2</w:t>
      </w:r>
      <w:r w:rsidRPr="007B701A">
        <w:rPr>
          <w:sz w:val="22"/>
          <w:szCs w:val="22"/>
          <w:vertAlign w:val="subscript"/>
        </w:rPr>
        <w:sym w:font="Symbol" w:char="F062"/>
      </w:r>
      <w:r w:rsidRPr="007B701A">
        <w:rPr>
          <w:sz w:val="22"/>
          <w:szCs w:val="22"/>
        </w:rPr>
        <w:t xml:space="preserve"> ) yra maždaug 2,87</w:t>
      </w:r>
      <w:r w:rsidRPr="007B701A">
        <w:rPr>
          <w:sz w:val="22"/>
          <w:szCs w:val="22"/>
        </w:rPr>
        <w:sym w:font="Symbol" w:char="F0B1"/>
      </w:r>
      <w:r w:rsidRPr="007B701A">
        <w:rPr>
          <w:sz w:val="22"/>
          <w:szCs w:val="22"/>
        </w:rPr>
        <w:t>0,76 val. Vaist</w:t>
      </w:r>
      <w:r w:rsidR="00362C72">
        <w:rPr>
          <w:sz w:val="22"/>
          <w:szCs w:val="22"/>
        </w:rPr>
        <w:t>inis preparat</w:t>
      </w:r>
      <w:r w:rsidRPr="007B701A">
        <w:rPr>
          <w:sz w:val="22"/>
          <w:szCs w:val="22"/>
        </w:rPr>
        <w:t>as iš organizmo šalinamas filtracijos per glomerulus ir kanalėlių sekrecijos būdu. Išgėrus acikloviro, praėjus 1 val. po to, kai buvo išgerta 1 g probenecido, vaist</w:t>
      </w:r>
      <w:r w:rsidR="00362C72">
        <w:rPr>
          <w:sz w:val="22"/>
          <w:szCs w:val="22"/>
        </w:rPr>
        <w:t>inio preparat</w:t>
      </w:r>
      <w:r w:rsidRPr="007B701A">
        <w:rPr>
          <w:sz w:val="22"/>
          <w:szCs w:val="22"/>
        </w:rPr>
        <w:t>o pusinės eliminacijos periodas iš plazmos (t</w:t>
      </w:r>
      <w:r w:rsidRPr="007B701A">
        <w:rPr>
          <w:sz w:val="22"/>
          <w:szCs w:val="22"/>
          <w:vertAlign w:val="subscript"/>
        </w:rPr>
        <w:t>1/2</w:t>
      </w:r>
      <w:r w:rsidRPr="007B701A">
        <w:rPr>
          <w:sz w:val="22"/>
          <w:szCs w:val="22"/>
          <w:vertAlign w:val="subscript"/>
        </w:rPr>
        <w:sym w:font="Symbol" w:char="F062"/>
      </w:r>
      <w:r w:rsidRPr="007B701A">
        <w:rPr>
          <w:sz w:val="22"/>
          <w:szCs w:val="22"/>
        </w:rPr>
        <w:t>) ir plotas, kurį koordinačių sistemoje riboja vaist</w:t>
      </w:r>
      <w:r w:rsidR="00362C72">
        <w:rPr>
          <w:sz w:val="22"/>
          <w:szCs w:val="22"/>
        </w:rPr>
        <w:t>inio preparat</w:t>
      </w:r>
      <w:r w:rsidRPr="007B701A">
        <w:rPr>
          <w:sz w:val="22"/>
          <w:szCs w:val="22"/>
        </w:rPr>
        <w:t>o koncentracijos kreivė, padidėja atitinkamai 18 % ir 40 %.</w:t>
      </w:r>
    </w:p>
    <w:p w14:paraId="77273354" w14:textId="77777777" w:rsidR="00F2007D" w:rsidRPr="007B701A" w:rsidRDefault="00F2007D" w:rsidP="00F2007D">
      <w:pPr>
        <w:rPr>
          <w:sz w:val="22"/>
          <w:szCs w:val="22"/>
        </w:rPr>
      </w:pPr>
      <w:r w:rsidRPr="007B701A">
        <w:rPr>
          <w:sz w:val="22"/>
          <w:szCs w:val="22"/>
        </w:rPr>
        <w:t>Organizmas pasisavina tik 20 % išgertos dozės, kita dalis (80 %) šalinama su išmatomis.</w:t>
      </w:r>
    </w:p>
    <w:p w14:paraId="35E927FC" w14:textId="12A88798" w:rsidR="00F2007D" w:rsidRPr="007B701A" w:rsidRDefault="00F2007D" w:rsidP="00F2007D">
      <w:pPr>
        <w:rPr>
          <w:sz w:val="22"/>
          <w:szCs w:val="22"/>
        </w:rPr>
      </w:pPr>
      <w:r w:rsidRPr="007B701A">
        <w:rPr>
          <w:sz w:val="22"/>
          <w:szCs w:val="22"/>
        </w:rPr>
        <w:lastRenderedPageBreak/>
        <w:t xml:space="preserve">Pacientų, sergančių lėtiniu inkstų nepakankamumu, organizme acikloviro pusinės eliminacijos periodas iš plazmos trunka maždaug 19,5 val., kraujo dializės metu – 5,7 val. Acikloviro koncentracija dializuojamų pacientų plazmoje sumažėja maždaug 60 %. Jei inkstų veikla nepakankama </w:t>
      </w:r>
      <w:r>
        <w:rPr>
          <w:sz w:val="22"/>
          <w:szCs w:val="22"/>
        </w:rPr>
        <w:t>(</w:t>
      </w:r>
      <w:r w:rsidRPr="007B701A">
        <w:rPr>
          <w:sz w:val="22"/>
          <w:szCs w:val="22"/>
        </w:rPr>
        <w:t>kreatinino klirensas mažesnis negu 10 ml/min./1,73 m</w:t>
      </w:r>
      <w:r w:rsidRPr="007B701A">
        <w:rPr>
          <w:sz w:val="22"/>
          <w:szCs w:val="22"/>
          <w:vertAlign w:val="superscript"/>
        </w:rPr>
        <w:t>2</w:t>
      </w:r>
      <w:r>
        <w:rPr>
          <w:sz w:val="22"/>
          <w:szCs w:val="22"/>
        </w:rPr>
        <w:t>)</w:t>
      </w:r>
      <w:r w:rsidRPr="007B701A">
        <w:rPr>
          <w:sz w:val="22"/>
          <w:szCs w:val="22"/>
        </w:rPr>
        <w:t>, geriant acikloviro 5 kartus per dieną po 200 mg, medikamentas gali kauptis organizme, todėl dozę tokiu atveju reikia mažinti (žr. 4.2 skyrių “Dozavimas ir vartojimo būdas”).</w:t>
      </w:r>
    </w:p>
    <w:p w14:paraId="4CAFBBCC" w14:textId="77777777" w:rsidR="00F2007D" w:rsidRPr="007B701A" w:rsidRDefault="00F2007D" w:rsidP="00F2007D">
      <w:pPr>
        <w:rPr>
          <w:b/>
          <w:i/>
          <w:sz w:val="22"/>
          <w:szCs w:val="22"/>
        </w:rPr>
      </w:pPr>
    </w:p>
    <w:p w14:paraId="0CC4655E" w14:textId="77777777" w:rsidR="00F2007D" w:rsidRPr="007B701A" w:rsidRDefault="00F2007D" w:rsidP="00F2007D">
      <w:pPr>
        <w:rPr>
          <w:b/>
          <w:sz w:val="22"/>
          <w:szCs w:val="22"/>
        </w:rPr>
      </w:pPr>
      <w:r w:rsidRPr="007B701A">
        <w:rPr>
          <w:b/>
          <w:sz w:val="22"/>
          <w:szCs w:val="22"/>
        </w:rPr>
        <w:t>Biologinis ekvivalentiškumas</w:t>
      </w:r>
    </w:p>
    <w:p w14:paraId="65717BF9" w14:textId="77777777" w:rsidR="00F2007D" w:rsidRPr="007B701A" w:rsidRDefault="00F2007D" w:rsidP="00F2007D">
      <w:pPr>
        <w:rPr>
          <w:sz w:val="22"/>
          <w:szCs w:val="22"/>
        </w:rPr>
      </w:pPr>
      <w:r w:rsidRPr="007B701A">
        <w:rPr>
          <w:sz w:val="22"/>
          <w:szCs w:val="22"/>
        </w:rPr>
        <w:t>Organizmas pasisavina 20 % išgertos acikloviro dozės.</w:t>
      </w:r>
    </w:p>
    <w:p w14:paraId="4DADDB78" w14:textId="66668C36" w:rsidR="00F2007D" w:rsidRPr="007B701A" w:rsidRDefault="00F2007D" w:rsidP="00F2007D">
      <w:pPr>
        <w:rPr>
          <w:sz w:val="22"/>
          <w:szCs w:val="22"/>
        </w:rPr>
      </w:pPr>
      <w:r w:rsidRPr="007B701A">
        <w:rPr>
          <w:sz w:val="22"/>
          <w:szCs w:val="22"/>
        </w:rPr>
        <w:t xml:space="preserve">1992 m. atlikti atviri, randomizuoti dvigubu kryžminiu būdu, lyginamieji biologinio ekvivalentiškumo tyrimai, kuriuose dalyvavo 20 sveikų savanorių (10 vyrų ir 10 moterų). Visi tiriamieji išgėrė vieną tiriamojo ar lyginamojo preparato dozę. </w:t>
      </w:r>
    </w:p>
    <w:p w14:paraId="21C96688" w14:textId="77777777" w:rsidR="00F2007D" w:rsidRPr="007B701A" w:rsidRDefault="00F2007D" w:rsidP="00F2007D">
      <w:pPr>
        <w:rPr>
          <w:sz w:val="22"/>
          <w:szCs w:val="22"/>
        </w:rPr>
      </w:pPr>
    </w:p>
    <w:p w14:paraId="466F4460" w14:textId="77777777" w:rsidR="00F2007D" w:rsidRPr="007B701A" w:rsidRDefault="00F2007D" w:rsidP="00F2007D">
      <w:pPr>
        <w:rPr>
          <w:sz w:val="22"/>
          <w:szCs w:val="22"/>
        </w:rPr>
      </w:pPr>
      <w:r w:rsidRPr="007B701A">
        <w:rPr>
          <w:sz w:val="22"/>
          <w:szCs w:val="22"/>
        </w:rPr>
        <w:t>Tyrimo duomenys pateikti lentelėje.</w:t>
      </w:r>
    </w:p>
    <w:p w14:paraId="359EEFF7" w14:textId="77777777" w:rsidR="00F2007D" w:rsidRPr="007B701A" w:rsidRDefault="00F2007D" w:rsidP="00F2007D">
      <w:pPr>
        <w:rPr>
          <w:sz w:val="22"/>
          <w:szCs w:val="22"/>
        </w:rPr>
      </w:pPr>
    </w:p>
    <w:tbl>
      <w:tblPr>
        <w:tblW w:w="0" w:type="auto"/>
        <w:tblLayout w:type="fixed"/>
        <w:tblLook w:val="0000" w:firstRow="0" w:lastRow="0" w:firstColumn="0" w:lastColumn="0" w:noHBand="0" w:noVBand="0"/>
      </w:tblPr>
      <w:tblGrid>
        <w:gridCol w:w="3794"/>
        <w:gridCol w:w="2268"/>
        <w:gridCol w:w="2268"/>
      </w:tblGrid>
      <w:tr w:rsidR="00F2007D" w:rsidRPr="007B701A" w14:paraId="32080B69" w14:textId="77777777" w:rsidTr="00A47281">
        <w:tc>
          <w:tcPr>
            <w:tcW w:w="3794" w:type="dxa"/>
            <w:tcBorders>
              <w:top w:val="single" w:sz="6" w:space="0" w:color="auto"/>
              <w:bottom w:val="single" w:sz="6" w:space="0" w:color="auto"/>
            </w:tcBorders>
          </w:tcPr>
          <w:p w14:paraId="2D68AF72" w14:textId="77777777" w:rsidR="00F2007D" w:rsidRPr="007B701A" w:rsidRDefault="00F2007D" w:rsidP="00A47281">
            <w:pPr>
              <w:jc w:val="both"/>
              <w:rPr>
                <w:sz w:val="22"/>
                <w:szCs w:val="22"/>
              </w:rPr>
            </w:pPr>
          </w:p>
        </w:tc>
        <w:tc>
          <w:tcPr>
            <w:tcW w:w="2268" w:type="dxa"/>
            <w:tcBorders>
              <w:top w:val="single" w:sz="6" w:space="0" w:color="auto"/>
              <w:bottom w:val="single" w:sz="6" w:space="0" w:color="auto"/>
            </w:tcBorders>
          </w:tcPr>
          <w:p w14:paraId="241F84A7" w14:textId="77777777" w:rsidR="00F2007D" w:rsidRPr="007B701A" w:rsidRDefault="00F2007D" w:rsidP="00A47281">
            <w:pPr>
              <w:jc w:val="both"/>
              <w:rPr>
                <w:sz w:val="22"/>
                <w:szCs w:val="22"/>
              </w:rPr>
            </w:pPr>
            <w:r w:rsidRPr="007B701A">
              <w:rPr>
                <w:sz w:val="22"/>
                <w:szCs w:val="22"/>
              </w:rPr>
              <w:t>Tiriamasis preparatas</w:t>
            </w:r>
          </w:p>
        </w:tc>
        <w:tc>
          <w:tcPr>
            <w:tcW w:w="2268" w:type="dxa"/>
            <w:tcBorders>
              <w:top w:val="single" w:sz="6" w:space="0" w:color="auto"/>
              <w:bottom w:val="single" w:sz="6" w:space="0" w:color="auto"/>
            </w:tcBorders>
          </w:tcPr>
          <w:p w14:paraId="6830C525" w14:textId="77777777" w:rsidR="00F2007D" w:rsidRPr="007B701A" w:rsidRDefault="00F2007D" w:rsidP="00A47281">
            <w:pPr>
              <w:jc w:val="both"/>
              <w:rPr>
                <w:sz w:val="22"/>
                <w:szCs w:val="22"/>
              </w:rPr>
            </w:pPr>
            <w:r w:rsidRPr="007B701A">
              <w:rPr>
                <w:sz w:val="22"/>
                <w:szCs w:val="22"/>
              </w:rPr>
              <w:t>Lyginamasis  preparatas</w:t>
            </w:r>
          </w:p>
        </w:tc>
      </w:tr>
      <w:tr w:rsidR="00F2007D" w:rsidRPr="007B701A" w14:paraId="0B53C8EB" w14:textId="77777777" w:rsidTr="00A47281">
        <w:tc>
          <w:tcPr>
            <w:tcW w:w="3794" w:type="dxa"/>
            <w:tcBorders>
              <w:top w:val="single" w:sz="6" w:space="0" w:color="auto"/>
              <w:bottom w:val="single" w:sz="6" w:space="0" w:color="auto"/>
            </w:tcBorders>
          </w:tcPr>
          <w:p w14:paraId="79AA955B" w14:textId="071DE417" w:rsidR="00F2007D" w:rsidRPr="007B701A" w:rsidRDefault="00F2007D" w:rsidP="00A47281">
            <w:pPr>
              <w:rPr>
                <w:sz w:val="22"/>
                <w:szCs w:val="22"/>
              </w:rPr>
            </w:pPr>
            <w:r w:rsidRPr="007B701A">
              <w:rPr>
                <w:sz w:val="22"/>
                <w:szCs w:val="22"/>
              </w:rPr>
              <w:t>Didžiausia vaist</w:t>
            </w:r>
            <w:r w:rsidR="00362C72">
              <w:rPr>
                <w:sz w:val="22"/>
                <w:szCs w:val="22"/>
              </w:rPr>
              <w:t>inio preparat</w:t>
            </w:r>
            <w:r w:rsidRPr="007B701A">
              <w:rPr>
                <w:sz w:val="22"/>
                <w:szCs w:val="22"/>
              </w:rPr>
              <w:t>o koncentracija plazmoje (C</w:t>
            </w:r>
            <w:r w:rsidRPr="007B701A">
              <w:rPr>
                <w:sz w:val="22"/>
                <w:szCs w:val="22"/>
                <w:vertAlign w:val="subscript"/>
              </w:rPr>
              <w:t>max</w:t>
            </w:r>
            <w:r w:rsidRPr="007B701A">
              <w:rPr>
                <w:sz w:val="22"/>
                <w:szCs w:val="22"/>
              </w:rPr>
              <w:t>) ng/ml</w:t>
            </w:r>
          </w:p>
          <w:p w14:paraId="2030B893" w14:textId="77777777" w:rsidR="00F2007D" w:rsidRPr="007B701A" w:rsidRDefault="00F2007D" w:rsidP="00A47281">
            <w:pPr>
              <w:rPr>
                <w:sz w:val="22"/>
                <w:szCs w:val="22"/>
              </w:rPr>
            </w:pPr>
          </w:p>
          <w:p w14:paraId="0825A444" w14:textId="77777777" w:rsidR="00F2007D" w:rsidRPr="007B701A" w:rsidRDefault="00F2007D" w:rsidP="00A47281">
            <w:pPr>
              <w:rPr>
                <w:sz w:val="22"/>
                <w:szCs w:val="22"/>
              </w:rPr>
            </w:pPr>
          </w:p>
        </w:tc>
        <w:tc>
          <w:tcPr>
            <w:tcW w:w="2268" w:type="dxa"/>
            <w:tcBorders>
              <w:top w:val="single" w:sz="6" w:space="0" w:color="auto"/>
              <w:bottom w:val="single" w:sz="6" w:space="0" w:color="auto"/>
            </w:tcBorders>
          </w:tcPr>
          <w:p w14:paraId="271B7569" w14:textId="77777777" w:rsidR="00F2007D" w:rsidRPr="007B701A" w:rsidRDefault="00F2007D" w:rsidP="00A47281">
            <w:pPr>
              <w:rPr>
                <w:sz w:val="22"/>
                <w:szCs w:val="22"/>
              </w:rPr>
            </w:pPr>
          </w:p>
          <w:p w14:paraId="6373F32A" w14:textId="77777777" w:rsidR="00F2007D" w:rsidRPr="007B701A" w:rsidRDefault="00F2007D" w:rsidP="00A47281">
            <w:pPr>
              <w:rPr>
                <w:sz w:val="22"/>
                <w:szCs w:val="22"/>
              </w:rPr>
            </w:pPr>
            <w:r w:rsidRPr="007B701A">
              <w:rPr>
                <w:sz w:val="22"/>
                <w:szCs w:val="22"/>
              </w:rPr>
              <w:t xml:space="preserve">470 </w:t>
            </w:r>
            <w:r w:rsidRPr="007B701A">
              <w:rPr>
                <w:sz w:val="22"/>
                <w:szCs w:val="22"/>
              </w:rPr>
              <w:sym w:font="Symbol" w:char="F0B1"/>
            </w:r>
            <w:r w:rsidRPr="007B701A">
              <w:rPr>
                <w:sz w:val="22"/>
                <w:szCs w:val="22"/>
              </w:rPr>
              <w:t xml:space="preserve"> 160</w:t>
            </w:r>
          </w:p>
          <w:p w14:paraId="72449109" w14:textId="77777777" w:rsidR="00F2007D" w:rsidRPr="007B701A" w:rsidRDefault="00F2007D" w:rsidP="00A47281">
            <w:pPr>
              <w:rPr>
                <w:sz w:val="22"/>
                <w:szCs w:val="22"/>
              </w:rPr>
            </w:pPr>
          </w:p>
          <w:p w14:paraId="4B7CECFF" w14:textId="77777777" w:rsidR="00F2007D" w:rsidRPr="007B701A" w:rsidRDefault="00F2007D" w:rsidP="00A47281">
            <w:pPr>
              <w:rPr>
                <w:sz w:val="22"/>
                <w:szCs w:val="22"/>
              </w:rPr>
            </w:pPr>
          </w:p>
        </w:tc>
        <w:tc>
          <w:tcPr>
            <w:tcW w:w="2268" w:type="dxa"/>
            <w:tcBorders>
              <w:top w:val="single" w:sz="6" w:space="0" w:color="auto"/>
              <w:bottom w:val="single" w:sz="6" w:space="0" w:color="auto"/>
            </w:tcBorders>
          </w:tcPr>
          <w:p w14:paraId="129CCDAD" w14:textId="77777777" w:rsidR="00F2007D" w:rsidRPr="007B701A" w:rsidRDefault="00F2007D" w:rsidP="00A47281">
            <w:pPr>
              <w:rPr>
                <w:sz w:val="22"/>
                <w:szCs w:val="22"/>
              </w:rPr>
            </w:pPr>
          </w:p>
          <w:p w14:paraId="248B33ED" w14:textId="77777777" w:rsidR="00F2007D" w:rsidRPr="007B701A" w:rsidRDefault="00F2007D" w:rsidP="00A47281">
            <w:pPr>
              <w:rPr>
                <w:sz w:val="22"/>
                <w:szCs w:val="22"/>
              </w:rPr>
            </w:pPr>
            <w:r w:rsidRPr="007B701A">
              <w:rPr>
                <w:sz w:val="22"/>
                <w:szCs w:val="22"/>
              </w:rPr>
              <w:t xml:space="preserve">470 </w:t>
            </w:r>
            <w:r w:rsidRPr="007B701A">
              <w:rPr>
                <w:sz w:val="22"/>
                <w:szCs w:val="22"/>
              </w:rPr>
              <w:sym w:font="Symbol" w:char="F0B1"/>
            </w:r>
            <w:r w:rsidRPr="007B701A">
              <w:rPr>
                <w:sz w:val="22"/>
                <w:szCs w:val="22"/>
              </w:rPr>
              <w:t xml:space="preserve"> 160</w:t>
            </w:r>
          </w:p>
        </w:tc>
      </w:tr>
      <w:tr w:rsidR="00F2007D" w:rsidRPr="007B701A" w14:paraId="5166A9EA" w14:textId="77777777" w:rsidTr="00A47281">
        <w:tc>
          <w:tcPr>
            <w:tcW w:w="3794" w:type="dxa"/>
          </w:tcPr>
          <w:p w14:paraId="284F8D3B" w14:textId="77777777" w:rsidR="00F2007D" w:rsidRPr="007B701A" w:rsidRDefault="00F2007D" w:rsidP="00A47281">
            <w:pPr>
              <w:jc w:val="both"/>
              <w:rPr>
                <w:sz w:val="22"/>
                <w:szCs w:val="22"/>
              </w:rPr>
            </w:pPr>
            <w:r w:rsidRPr="007B701A">
              <w:rPr>
                <w:sz w:val="22"/>
                <w:szCs w:val="22"/>
              </w:rPr>
              <w:t>Laikas, per kurį vaist</w:t>
            </w:r>
            <w:r w:rsidR="00362C72">
              <w:rPr>
                <w:sz w:val="22"/>
                <w:szCs w:val="22"/>
              </w:rPr>
              <w:t>inio preparat</w:t>
            </w:r>
            <w:r w:rsidRPr="007B701A">
              <w:rPr>
                <w:sz w:val="22"/>
                <w:szCs w:val="22"/>
              </w:rPr>
              <w:t>o koncentracija plazmoje tampa didžiausia (t</w:t>
            </w:r>
            <w:r w:rsidRPr="007B701A">
              <w:rPr>
                <w:sz w:val="22"/>
                <w:szCs w:val="22"/>
                <w:vertAlign w:val="subscript"/>
              </w:rPr>
              <w:t>max</w:t>
            </w:r>
            <w:r w:rsidRPr="007B701A">
              <w:rPr>
                <w:sz w:val="22"/>
                <w:szCs w:val="22"/>
              </w:rPr>
              <w:t>) val.</w:t>
            </w:r>
          </w:p>
        </w:tc>
        <w:tc>
          <w:tcPr>
            <w:tcW w:w="2268" w:type="dxa"/>
          </w:tcPr>
          <w:p w14:paraId="0EE9CA35" w14:textId="77777777" w:rsidR="00F2007D" w:rsidRPr="007B701A" w:rsidRDefault="00F2007D" w:rsidP="00A47281">
            <w:pPr>
              <w:rPr>
                <w:sz w:val="22"/>
                <w:szCs w:val="22"/>
              </w:rPr>
            </w:pPr>
          </w:p>
          <w:p w14:paraId="39FF0874" w14:textId="77777777" w:rsidR="00F2007D" w:rsidRPr="007B701A" w:rsidRDefault="00F2007D" w:rsidP="00A47281">
            <w:pPr>
              <w:rPr>
                <w:sz w:val="22"/>
                <w:szCs w:val="22"/>
              </w:rPr>
            </w:pPr>
            <w:r w:rsidRPr="007B701A">
              <w:rPr>
                <w:sz w:val="22"/>
                <w:szCs w:val="22"/>
              </w:rPr>
              <w:t xml:space="preserve">2,28 </w:t>
            </w:r>
            <w:r w:rsidRPr="007B701A">
              <w:rPr>
                <w:sz w:val="22"/>
                <w:szCs w:val="22"/>
              </w:rPr>
              <w:sym w:font="Symbol" w:char="F0B1"/>
            </w:r>
            <w:r w:rsidRPr="007B701A">
              <w:rPr>
                <w:sz w:val="22"/>
                <w:szCs w:val="22"/>
              </w:rPr>
              <w:t xml:space="preserve"> 1,06 </w:t>
            </w:r>
          </w:p>
        </w:tc>
        <w:tc>
          <w:tcPr>
            <w:tcW w:w="2268" w:type="dxa"/>
          </w:tcPr>
          <w:p w14:paraId="07F422A2" w14:textId="77777777" w:rsidR="00F2007D" w:rsidRPr="007B701A" w:rsidRDefault="00F2007D" w:rsidP="00A47281">
            <w:pPr>
              <w:rPr>
                <w:sz w:val="22"/>
                <w:szCs w:val="22"/>
              </w:rPr>
            </w:pPr>
          </w:p>
          <w:p w14:paraId="3BE1682F" w14:textId="77777777" w:rsidR="00F2007D" w:rsidRPr="007B701A" w:rsidRDefault="00F2007D" w:rsidP="00A47281">
            <w:pPr>
              <w:rPr>
                <w:sz w:val="22"/>
                <w:szCs w:val="22"/>
              </w:rPr>
            </w:pPr>
            <w:r w:rsidRPr="007B701A">
              <w:rPr>
                <w:sz w:val="22"/>
                <w:szCs w:val="22"/>
              </w:rPr>
              <w:t xml:space="preserve">2,13 </w:t>
            </w:r>
            <w:r w:rsidRPr="007B701A">
              <w:rPr>
                <w:sz w:val="22"/>
                <w:szCs w:val="22"/>
              </w:rPr>
              <w:sym w:font="Symbol" w:char="F0B1"/>
            </w:r>
            <w:r w:rsidRPr="007B701A">
              <w:rPr>
                <w:sz w:val="22"/>
                <w:szCs w:val="22"/>
              </w:rPr>
              <w:t xml:space="preserve"> 1,02</w:t>
            </w:r>
          </w:p>
        </w:tc>
      </w:tr>
      <w:tr w:rsidR="00F2007D" w:rsidRPr="007B701A" w14:paraId="06CF4C71" w14:textId="77777777" w:rsidTr="00A47281">
        <w:tc>
          <w:tcPr>
            <w:tcW w:w="3794" w:type="dxa"/>
            <w:tcBorders>
              <w:top w:val="single" w:sz="6" w:space="0" w:color="auto"/>
              <w:bottom w:val="single" w:sz="6" w:space="0" w:color="auto"/>
            </w:tcBorders>
          </w:tcPr>
          <w:p w14:paraId="6A9163DA" w14:textId="77777777" w:rsidR="00F2007D" w:rsidRPr="007B701A" w:rsidRDefault="00F2007D" w:rsidP="00A47281">
            <w:pPr>
              <w:rPr>
                <w:sz w:val="22"/>
                <w:szCs w:val="22"/>
              </w:rPr>
            </w:pPr>
            <w:r w:rsidRPr="007B701A">
              <w:rPr>
                <w:sz w:val="22"/>
                <w:szCs w:val="22"/>
              </w:rPr>
              <w:t>Plotas, kurį koordinačių sistemoje riboja koncentracijos ir laiko kreivė</w:t>
            </w:r>
          </w:p>
          <w:p w14:paraId="66B086F9" w14:textId="77777777" w:rsidR="00F2007D" w:rsidRPr="007B701A" w:rsidRDefault="00F2007D" w:rsidP="00A47281">
            <w:pPr>
              <w:rPr>
                <w:sz w:val="22"/>
                <w:szCs w:val="22"/>
              </w:rPr>
            </w:pPr>
            <w:r w:rsidRPr="007B701A">
              <w:rPr>
                <w:sz w:val="22"/>
                <w:szCs w:val="22"/>
              </w:rPr>
              <w:t>(AUC</w:t>
            </w:r>
            <w:r w:rsidRPr="007B701A">
              <w:rPr>
                <w:sz w:val="22"/>
                <w:szCs w:val="22"/>
                <w:vertAlign w:val="subscript"/>
              </w:rPr>
              <w:t>0 – t</w:t>
            </w:r>
            <w:r w:rsidRPr="007B701A">
              <w:rPr>
                <w:sz w:val="22"/>
                <w:szCs w:val="22"/>
              </w:rPr>
              <w:t>) ng/ml/val.</w:t>
            </w:r>
          </w:p>
          <w:p w14:paraId="1D36E410" w14:textId="77777777" w:rsidR="00F2007D" w:rsidRPr="007B701A" w:rsidRDefault="00F2007D" w:rsidP="00A47281">
            <w:pPr>
              <w:rPr>
                <w:sz w:val="22"/>
                <w:szCs w:val="22"/>
              </w:rPr>
            </w:pPr>
          </w:p>
        </w:tc>
        <w:tc>
          <w:tcPr>
            <w:tcW w:w="2268" w:type="dxa"/>
            <w:tcBorders>
              <w:top w:val="single" w:sz="6" w:space="0" w:color="auto"/>
              <w:bottom w:val="single" w:sz="6" w:space="0" w:color="auto"/>
            </w:tcBorders>
          </w:tcPr>
          <w:p w14:paraId="5DD7F8FA" w14:textId="77777777" w:rsidR="00F2007D" w:rsidRPr="007B701A" w:rsidRDefault="00F2007D" w:rsidP="00A47281">
            <w:pPr>
              <w:rPr>
                <w:sz w:val="22"/>
                <w:szCs w:val="22"/>
              </w:rPr>
            </w:pPr>
          </w:p>
          <w:p w14:paraId="41776D61" w14:textId="77777777" w:rsidR="00F2007D" w:rsidRPr="007B701A" w:rsidRDefault="00F2007D" w:rsidP="00A47281">
            <w:pPr>
              <w:rPr>
                <w:sz w:val="22"/>
                <w:szCs w:val="22"/>
              </w:rPr>
            </w:pPr>
          </w:p>
          <w:p w14:paraId="1DAC04EC" w14:textId="77777777" w:rsidR="00F2007D" w:rsidRPr="007B701A" w:rsidRDefault="00F2007D" w:rsidP="00A47281">
            <w:pPr>
              <w:rPr>
                <w:sz w:val="22"/>
                <w:szCs w:val="22"/>
              </w:rPr>
            </w:pPr>
            <w:r w:rsidRPr="007B701A">
              <w:rPr>
                <w:sz w:val="22"/>
                <w:szCs w:val="22"/>
              </w:rPr>
              <w:t xml:space="preserve">3170 </w:t>
            </w:r>
            <w:r w:rsidRPr="007B701A">
              <w:rPr>
                <w:sz w:val="22"/>
                <w:szCs w:val="22"/>
              </w:rPr>
              <w:sym w:font="Symbol" w:char="F0B1"/>
            </w:r>
            <w:r w:rsidRPr="007B701A">
              <w:rPr>
                <w:sz w:val="22"/>
                <w:szCs w:val="22"/>
              </w:rPr>
              <w:t xml:space="preserve"> 1080</w:t>
            </w:r>
          </w:p>
        </w:tc>
        <w:tc>
          <w:tcPr>
            <w:tcW w:w="2268" w:type="dxa"/>
            <w:tcBorders>
              <w:top w:val="single" w:sz="6" w:space="0" w:color="auto"/>
              <w:bottom w:val="single" w:sz="6" w:space="0" w:color="auto"/>
            </w:tcBorders>
          </w:tcPr>
          <w:p w14:paraId="6B458DAD" w14:textId="77777777" w:rsidR="00F2007D" w:rsidRPr="007B701A" w:rsidRDefault="00F2007D" w:rsidP="00A47281">
            <w:pPr>
              <w:rPr>
                <w:sz w:val="22"/>
                <w:szCs w:val="22"/>
              </w:rPr>
            </w:pPr>
          </w:p>
          <w:p w14:paraId="66590BAC" w14:textId="77777777" w:rsidR="00F2007D" w:rsidRPr="007B701A" w:rsidRDefault="00F2007D" w:rsidP="00A47281">
            <w:pPr>
              <w:rPr>
                <w:sz w:val="22"/>
                <w:szCs w:val="22"/>
              </w:rPr>
            </w:pPr>
          </w:p>
          <w:p w14:paraId="0121BFFF" w14:textId="77777777" w:rsidR="00F2007D" w:rsidRPr="007B701A" w:rsidRDefault="00F2007D" w:rsidP="00A47281">
            <w:pPr>
              <w:rPr>
                <w:sz w:val="22"/>
                <w:szCs w:val="22"/>
              </w:rPr>
            </w:pPr>
            <w:r w:rsidRPr="007B701A">
              <w:rPr>
                <w:sz w:val="22"/>
                <w:szCs w:val="22"/>
              </w:rPr>
              <w:t xml:space="preserve">3560 </w:t>
            </w:r>
            <w:r w:rsidRPr="007B701A">
              <w:rPr>
                <w:sz w:val="22"/>
                <w:szCs w:val="22"/>
              </w:rPr>
              <w:sym w:font="Symbol" w:char="F0B1"/>
            </w:r>
            <w:r w:rsidRPr="007B701A">
              <w:rPr>
                <w:sz w:val="22"/>
                <w:szCs w:val="22"/>
              </w:rPr>
              <w:t xml:space="preserve"> 1360</w:t>
            </w:r>
          </w:p>
        </w:tc>
      </w:tr>
      <w:tr w:rsidR="00F2007D" w:rsidRPr="007B701A" w14:paraId="3D9BC57E" w14:textId="77777777" w:rsidTr="00A47281">
        <w:tc>
          <w:tcPr>
            <w:tcW w:w="3794" w:type="dxa"/>
            <w:tcBorders>
              <w:top w:val="single" w:sz="6" w:space="0" w:color="auto"/>
              <w:bottom w:val="single" w:sz="6" w:space="0" w:color="auto"/>
            </w:tcBorders>
          </w:tcPr>
          <w:p w14:paraId="59B4445F" w14:textId="77777777" w:rsidR="00F2007D" w:rsidRPr="007B701A" w:rsidRDefault="00F2007D" w:rsidP="00A47281">
            <w:pPr>
              <w:rPr>
                <w:sz w:val="22"/>
                <w:szCs w:val="22"/>
              </w:rPr>
            </w:pPr>
            <w:r w:rsidRPr="007B701A">
              <w:rPr>
                <w:sz w:val="22"/>
                <w:szCs w:val="22"/>
              </w:rPr>
              <w:t>Plotas, kurį koordinačių sistemoje riboja koncentracijos ir laiko kreivė</w:t>
            </w:r>
          </w:p>
          <w:p w14:paraId="73AFD420" w14:textId="77777777" w:rsidR="00F2007D" w:rsidRPr="007B701A" w:rsidRDefault="00F2007D" w:rsidP="00A47281">
            <w:pPr>
              <w:rPr>
                <w:sz w:val="22"/>
                <w:szCs w:val="22"/>
              </w:rPr>
            </w:pPr>
            <w:r w:rsidRPr="007B701A">
              <w:rPr>
                <w:sz w:val="22"/>
                <w:szCs w:val="22"/>
              </w:rPr>
              <w:t>(AUC</w:t>
            </w:r>
            <w:r w:rsidRPr="007B701A">
              <w:rPr>
                <w:sz w:val="22"/>
                <w:szCs w:val="22"/>
                <w:vertAlign w:val="subscript"/>
              </w:rPr>
              <w:t xml:space="preserve">0 – </w:t>
            </w:r>
            <w:r w:rsidRPr="007B701A">
              <w:rPr>
                <w:sz w:val="22"/>
                <w:szCs w:val="22"/>
                <w:vertAlign w:val="subscript"/>
              </w:rPr>
              <w:sym w:font="Symbol" w:char="F0A5"/>
            </w:r>
            <w:r w:rsidRPr="007B701A">
              <w:rPr>
                <w:sz w:val="22"/>
                <w:szCs w:val="22"/>
              </w:rPr>
              <w:t>) ng/ml/val.</w:t>
            </w:r>
          </w:p>
          <w:p w14:paraId="3B69CF74" w14:textId="77777777" w:rsidR="00F2007D" w:rsidRPr="007B701A" w:rsidRDefault="00F2007D" w:rsidP="00A47281">
            <w:pPr>
              <w:rPr>
                <w:sz w:val="22"/>
                <w:szCs w:val="22"/>
              </w:rPr>
            </w:pPr>
          </w:p>
        </w:tc>
        <w:tc>
          <w:tcPr>
            <w:tcW w:w="2268" w:type="dxa"/>
            <w:tcBorders>
              <w:top w:val="single" w:sz="6" w:space="0" w:color="auto"/>
              <w:bottom w:val="single" w:sz="6" w:space="0" w:color="auto"/>
            </w:tcBorders>
          </w:tcPr>
          <w:p w14:paraId="65486A7B" w14:textId="77777777" w:rsidR="00F2007D" w:rsidRPr="007B701A" w:rsidRDefault="00F2007D" w:rsidP="00A47281">
            <w:pPr>
              <w:rPr>
                <w:sz w:val="22"/>
                <w:szCs w:val="22"/>
              </w:rPr>
            </w:pPr>
          </w:p>
          <w:p w14:paraId="2629EC9E" w14:textId="77777777" w:rsidR="00F2007D" w:rsidRPr="007B701A" w:rsidRDefault="00F2007D" w:rsidP="00A47281">
            <w:pPr>
              <w:rPr>
                <w:sz w:val="22"/>
                <w:szCs w:val="22"/>
              </w:rPr>
            </w:pPr>
          </w:p>
          <w:p w14:paraId="31672D82" w14:textId="77777777" w:rsidR="00F2007D" w:rsidRPr="007B701A" w:rsidRDefault="00F2007D" w:rsidP="00A47281">
            <w:pPr>
              <w:rPr>
                <w:sz w:val="22"/>
                <w:szCs w:val="22"/>
              </w:rPr>
            </w:pPr>
            <w:r w:rsidRPr="007B701A">
              <w:rPr>
                <w:sz w:val="22"/>
                <w:szCs w:val="22"/>
              </w:rPr>
              <w:t xml:space="preserve">3270 </w:t>
            </w:r>
            <w:r w:rsidRPr="007B701A">
              <w:rPr>
                <w:sz w:val="22"/>
                <w:szCs w:val="22"/>
              </w:rPr>
              <w:sym w:font="Symbol" w:char="F0B1"/>
            </w:r>
            <w:r w:rsidRPr="007B701A">
              <w:rPr>
                <w:sz w:val="22"/>
                <w:szCs w:val="22"/>
              </w:rPr>
              <w:t xml:space="preserve"> 1040</w:t>
            </w:r>
          </w:p>
        </w:tc>
        <w:tc>
          <w:tcPr>
            <w:tcW w:w="2268" w:type="dxa"/>
            <w:tcBorders>
              <w:top w:val="single" w:sz="6" w:space="0" w:color="auto"/>
              <w:bottom w:val="single" w:sz="6" w:space="0" w:color="auto"/>
            </w:tcBorders>
          </w:tcPr>
          <w:p w14:paraId="5E49B256" w14:textId="77777777" w:rsidR="00F2007D" w:rsidRPr="007B701A" w:rsidRDefault="00F2007D" w:rsidP="00A47281">
            <w:pPr>
              <w:rPr>
                <w:sz w:val="22"/>
                <w:szCs w:val="22"/>
              </w:rPr>
            </w:pPr>
          </w:p>
          <w:p w14:paraId="4C4B6C7A" w14:textId="77777777" w:rsidR="00F2007D" w:rsidRPr="007B701A" w:rsidRDefault="00F2007D" w:rsidP="00A47281">
            <w:pPr>
              <w:rPr>
                <w:sz w:val="22"/>
                <w:szCs w:val="22"/>
              </w:rPr>
            </w:pPr>
          </w:p>
          <w:p w14:paraId="048D58FE" w14:textId="77777777" w:rsidR="00F2007D" w:rsidRPr="007B701A" w:rsidRDefault="00F2007D" w:rsidP="00A47281">
            <w:pPr>
              <w:rPr>
                <w:sz w:val="22"/>
                <w:szCs w:val="22"/>
              </w:rPr>
            </w:pPr>
            <w:r w:rsidRPr="007B701A">
              <w:rPr>
                <w:sz w:val="22"/>
                <w:szCs w:val="22"/>
              </w:rPr>
              <w:t xml:space="preserve">3560 </w:t>
            </w:r>
            <w:r w:rsidRPr="007B701A">
              <w:rPr>
                <w:sz w:val="22"/>
                <w:szCs w:val="22"/>
              </w:rPr>
              <w:sym w:font="Symbol" w:char="F0B1"/>
            </w:r>
            <w:r w:rsidRPr="007B701A">
              <w:rPr>
                <w:sz w:val="22"/>
                <w:szCs w:val="22"/>
              </w:rPr>
              <w:t xml:space="preserve"> 1360</w:t>
            </w:r>
          </w:p>
        </w:tc>
      </w:tr>
    </w:tbl>
    <w:p w14:paraId="1BF4359D" w14:textId="77777777" w:rsidR="00F2007D" w:rsidRPr="007B701A" w:rsidRDefault="00F2007D" w:rsidP="00F2007D">
      <w:pPr>
        <w:spacing w:before="120"/>
        <w:jc w:val="both"/>
        <w:rPr>
          <w:i/>
          <w:sz w:val="22"/>
          <w:szCs w:val="22"/>
        </w:rPr>
      </w:pPr>
      <w:r w:rsidRPr="007B701A">
        <w:rPr>
          <w:i/>
          <w:sz w:val="22"/>
          <w:szCs w:val="22"/>
        </w:rPr>
        <w:t>Nurodytas rodmenų vidurkis ir jo standartinis  nuokrypis</w:t>
      </w:r>
    </w:p>
    <w:p w14:paraId="02B97C6A" w14:textId="77777777" w:rsidR="00F2007D" w:rsidRPr="007B701A" w:rsidRDefault="00F2007D" w:rsidP="00F2007D">
      <w:pPr>
        <w:jc w:val="both"/>
        <w:rPr>
          <w:sz w:val="22"/>
          <w:szCs w:val="22"/>
        </w:rPr>
      </w:pPr>
    </w:p>
    <w:p w14:paraId="20E6A0B6" w14:textId="77777777" w:rsidR="00F2007D" w:rsidRPr="007B701A" w:rsidRDefault="00F2007D" w:rsidP="00F2007D">
      <w:pPr>
        <w:jc w:val="both"/>
        <w:rPr>
          <w:sz w:val="22"/>
          <w:szCs w:val="22"/>
        </w:rPr>
      </w:pPr>
      <w:r w:rsidRPr="007B701A">
        <w:rPr>
          <w:i/>
          <w:sz w:val="22"/>
          <w:szCs w:val="22"/>
        </w:rPr>
        <w:t>Paveikslas</w:t>
      </w:r>
      <w:r w:rsidRPr="007B701A">
        <w:rPr>
          <w:sz w:val="22"/>
          <w:szCs w:val="22"/>
        </w:rPr>
        <w:t>. Vidutinė acikloviro ir lyginamojo preparato koncentracija plazmoje, pavaizduota laiko ir koncentracijos koordinačių sistemoje.</w:t>
      </w:r>
    </w:p>
    <w:p w14:paraId="64D7D698" w14:textId="77777777" w:rsidR="00F2007D" w:rsidRPr="007B701A" w:rsidRDefault="00F2007D" w:rsidP="00F2007D">
      <w:pPr>
        <w:jc w:val="both"/>
        <w:rPr>
          <w:sz w:val="22"/>
          <w:szCs w:val="22"/>
        </w:rPr>
      </w:pPr>
      <w:r w:rsidRPr="009947E9">
        <w:rPr>
          <w:noProof/>
          <w:sz w:val="22"/>
          <w:szCs w:val="22"/>
          <w:lang w:eastAsia="lt-LT"/>
        </w:rPr>
        <w:lastRenderedPageBreak/>
        <w:drawing>
          <wp:anchor distT="188976" distB="180594" distL="266700" distR="204216" simplePos="0" relativeHeight="251659264" behindDoc="0" locked="0" layoutInCell="1" allowOverlap="1" wp14:anchorId="7F21F037" wp14:editId="5409633E">
            <wp:simplePos x="0" y="0"/>
            <wp:positionH relativeFrom="column">
              <wp:posOffset>152400</wp:posOffset>
            </wp:positionH>
            <wp:positionV relativeFrom="paragraph">
              <wp:posOffset>308610</wp:posOffset>
            </wp:positionV>
            <wp:extent cx="5205730" cy="2926080"/>
            <wp:effectExtent l="5080" t="0" r="0" b="0"/>
            <wp:wrapTopAndBottom/>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7506A5F" w14:textId="77777777" w:rsidR="00F2007D" w:rsidRPr="007B701A" w:rsidRDefault="00F2007D" w:rsidP="00F2007D">
      <w:pPr>
        <w:jc w:val="both"/>
        <w:rPr>
          <w:sz w:val="22"/>
          <w:szCs w:val="22"/>
        </w:rPr>
      </w:pPr>
    </w:p>
    <w:p w14:paraId="730DA097" w14:textId="174629B8" w:rsidR="00F2007D" w:rsidRPr="007B701A" w:rsidRDefault="00F2007D" w:rsidP="00F2007D">
      <w:pPr>
        <w:tabs>
          <w:tab w:val="left" w:pos="567"/>
        </w:tabs>
        <w:rPr>
          <w:sz w:val="22"/>
          <w:szCs w:val="22"/>
        </w:rPr>
      </w:pPr>
      <w:r w:rsidRPr="007B701A">
        <w:rPr>
          <w:b/>
          <w:sz w:val="22"/>
          <w:szCs w:val="22"/>
        </w:rPr>
        <w:t>5.3</w:t>
      </w:r>
      <w:r w:rsidRPr="007B701A">
        <w:rPr>
          <w:b/>
          <w:sz w:val="22"/>
          <w:szCs w:val="22"/>
        </w:rPr>
        <w:tab/>
        <w:t>Ikiklinikinių saugumo tyrimų duomenys</w:t>
      </w:r>
    </w:p>
    <w:p w14:paraId="6CD6B824" w14:textId="77777777" w:rsidR="00F2007D" w:rsidRPr="007B701A" w:rsidRDefault="00F2007D" w:rsidP="00F2007D">
      <w:pPr>
        <w:keepNext/>
        <w:jc w:val="both"/>
        <w:outlineLvl w:val="0"/>
        <w:rPr>
          <w:i/>
          <w:sz w:val="22"/>
          <w:szCs w:val="22"/>
        </w:rPr>
      </w:pPr>
    </w:p>
    <w:p w14:paraId="04631D84" w14:textId="77777777" w:rsidR="00F2007D" w:rsidRPr="007B701A" w:rsidRDefault="00F2007D" w:rsidP="00F2007D">
      <w:pPr>
        <w:keepNext/>
        <w:jc w:val="both"/>
        <w:outlineLvl w:val="0"/>
        <w:rPr>
          <w:i/>
          <w:sz w:val="22"/>
          <w:szCs w:val="22"/>
        </w:rPr>
      </w:pPr>
      <w:r w:rsidRPr="007B701A">
        <w:rPr>
          <w:i/>
          <w:sz w:val="22"/>
          <w:szCs w:val="22"/>
        </w:rPr>
        <w:t>Ūminis toksinis poveikis</w:t>
      </w:r>
    </w:p>
    <w:p w14:paraId="696FFBBC" w14:textId="77777777" w:rsidR="00F2007D" w:rsidRPr="007B701A" w:rsidRDefault="00F2007D" w:rsidP="00F2007D">
      <w:pPr>
        <w:rPr>
          <w:sz w:val="22"/>
          <w:szCs w:val="22"/>
        </w:rPr>
      </w:pPr>
      <w:r w:rsidRPr="007B701A">
        <w:rPr>
          <w:sz w:val="22"/>
          <w:szCs w:val="22"/>
        </w:rPr>
        <w:t>Sugirdžius pelėms ir žiurkėms preparato, LD</w:t>
      </w:r>
      <w:r w:rsidRPr="007B701A">
        <w:rPr>
          <w:sz w:val="22"/>
          <w:szCs w:val="22"/>
          <w:vertAlign w:val="subscript"/>
        </w:rPr>
        <w:t>50</w:t>
      </w:r>
      <w:r w:rsidRPr="007B701A">
        <w:rPr>
          <w:sz w:val="22"/>
          <w:szCs w:val="22"/>
        </w:rPr>
        <w:t xml:space="preserve"> nenustatyta, kadangi dėl fiziologinių ypatybių nebuvo galima sugirdyti didesnių kaip 10 g/kg kūno svorio acikloviro dozių pelėms ir 20 g/kg kūno svorio žiurkėms. Nuo sugirdytos dozės (10 g/kg kūno svorio) pelės ir žiurkės nenudvėsė.</w:t>
      </w:r>
    </w:p>
    <w:p w14:paraId="081950A3" w14:textId="77777777" w:rsidR="00F2007D" w:rsidRPr="007B701A" w:rsidRDefault="00F2007D" w:rsidP="00F2007D">
      <w:pPr>
        <w:keepNext/>
        <w:jc w:val="both"/>
        <w:outlineLvl w:val="0"/>
        <w:rPr>
          <w:i/>
          <w:sz w:val="22"/>
          <w:szCs w:val="22"/>
        </w:rPr>
      </w:pPr>
    </w:p>
    <w:p w14:paraId="4E3741EC" w14:textId="77777777" w:rsidR="00F2007D" w:rsidRPr="007B701A" w:rsidRDefault="00F2007D" w:rsidP="00F2007D">
      <w:pPr>
        <w:keepNext/>
        <w:jc w:val="both"/>
        <w:outlineLvl w:val="0"/>
        <w:rPr>
          <w:i/>
          <w:sz w:val="22"/>
          <w:szCs w:val="22"/>
        </w:rPr>
      </w:pPr>
      <w:r w:rsidRPr="007B701A">
        <w:rPr>
          <w:i/>
          <w:sz w:val="22"/>
          <w:szCs w:val="22"/>
        </w:rPr>
        <w:t>Lėtinis toksinis poveikis</w:t>
      </w:r>
    </w:p>
    <w:p w14:paraId="38E8EA3A" w14:textId="77777777" w:rsidR="00F2007D" w:rsidRPr="007B701A" w:rsidRDefault="00F2007D" w:rsidP="00F2007D">
      <w:pPr>
        <w:numPr>
          <w:ilvl w:val="12"/>
          <w:numId w:val="0"/>
        </w:numPr>
        <w:rPr>
          <w:sz w:val="22"/>
          <w:szCs w:val="22"/>
        </w:rPr>
      </w:pPr>
      <w:r w:rsidRPr="007B701A">
        <w:rPr>
          <w:sz w:val="22"/>
          <w:szCs w:val="22"/>
        </w:rPr>
        <w:t>4 savaites kasdien pelėms buvo sugirdoma net 450 mg acikloviro vienam kilogramui kūno svorio. Visos pelės išgyveno, jokių nukrypimų nuo normos nepastebėta.</w:t>
      </w:r>
    </w:p>
    <w:p w14:paraId="5A6E97B3" w14:textId="77777777" w:rsidR="00F2007D" w:rsidRPr="007B701A" w:rsidRDefault="00F2007D" w:rsidP="00F2007D">
      <w:pPr>
        <w:numPr>
          <w:ilvl w:val="12"/>
          <w:numId w:val="0"/>
        </w:numPr>
        <w:rPr>
          <w:sz w:val="22"/>
          <w:szCs w:val="22"/>
        </w:rPr>
      </w:pPr>
      <w:r w:rsidRPr="007B701A">
        <w:rPr>
          <w:sz w:val="22"/>
          <w:szCs w:val="22"/>
        </w:rPr>
        <w:t>Tyrimo, kurio trukmė 12 mėnesių, metu šunims (skalikams) kasdien buvo sugirdoma po 60 mg acikloviro vienam kilogramui kūno svorio. Nuo tokios dozės gyvūnai dažniau viduriavo gleivėmis ir vėmė. Keliems šunims ant letenų atsirado pakitimų ir nukrito nagai. Šie pokyčiai nutraukus vaist</w:t>
      </w:r>
      <w:r w:rsidR="00362C72">
        <w:rPr>
          <w:sz w:val="22"/>
          <w:szCs w:val="22"/>
        </w:rPr>
        <w:t>inio preparat</w:t>
      </w:r>
      <w:r w:rsidRPr="007B701A">
        <w:rPr>
          <w:sz w:val="22"/>
          <w:szCs w:val="22"/>
        </w:rPr>
        <w:t xml:space="preserve">o vartojimą išnyko. Daugiau neįprastų reiškinių nepastebėta. </w:t>
      </w:r>
    </w:p>
    <w:p w14:paraId="5FBE85B1" w14:textId="77777777" w:rsidR="00F2007D" w:rsidRPr="007B701A" w:rsidRDefault="00F2007D" w:rsidP="00F2007D">
      <w:pPr>
        <w:numPr>
          <w:ilvl w:val="12"/>
          <w:numId w:val="0"/>
        </w:numPr>
        <w:rPr>
          <w:sz w:val="22"/>
          <w:szCs w:val="22"/>
        </w:rPr>
      </w:pPr>
      <w:r w:rsidRPr="007B701A">
        <w:rPr>
          <w:sz w:val="22"/>
          <w:szCs w:val="22"/>
        </w:rPr>
        <w:t>755 dienas pelėms ir žiurkėms kasdien sugirdant net 450 mg acikloviro vienam kilogramui kūno svorio, jokių pokyčių nepastebėta.</w:t>
      </w:r>
    </w:p>
    <w:p w14:paraId="2B1BC513" w14:textId="77777777" w:rsidR="00F2007D" w:rsidRPr="007B701A" w:rsidRDefault="00F2007D" w:rsidP="00F2007D">
      <w:pPr>
        <w:keepNext/>
        <w:jc w:val="both"/>
        <w:outlineLvl w:val="0"/>
        <w:rPr>
          <w:i/>
          <w:sz w:val="22"/>
          <w:szCs w:val="22"/>
        </w:rPr>
      </w:pPr>
    </w:p>
    <w:p w14:paraId="63642159" w14:textId="77777777" w:rsidR="00F2007D" w:rsidRPr="007B701A" w:rsidRDefault="00F2007D" w:rsidP="00F2007D">
      <w:pPr>
        <w:keepNext/>
        <w:jc w:val="both"/>
        <w:outlineLvl w:val="0"/>
        <w:rPr>
          <w:i/>
          <w:sz w:val="22"/>
          <w:szCs w:val="22"/>
        </w:rPr>
      </w:pPr>
      <w:r w:rsidRPr="007B701A">
        <w:rPr>
          <w:i/>
          <w:sz w:val="22"/>
          <w:szCs w:val="22"/>
        </w:rPr>
        <w:t xml:space="preserve">Navikų atsiradimą ir mutaciją skatinantis poveikis </w:t>
      </w:r>
    </w:p>
    <w:p w14:paraId="13603D0F" w14:textId="79BB441E" w:rsidR="00F2007D" w:rsidRPr="007B701A" w:rsidRDefault="00F2007D" w:rsidP="00F2007D">
      <w:pPr>
        <w:numPr>
          <w:ilvl w:val="12"/>
          <w:numId w:val="0"/>
        </w:numPr>
        <w:rPr>
          <w:sz w:val="22"/>
          <w:szCs w:val="22"/>
        </w:rPr>
      </w:pPr>
      <w:r w:rsidRPr="007B701A">
        <w:rPr>
          <w:sz w:val="22"/>
          <w:szCs w:val="22"/>
        </w:rPr>
        <w:t xml:space="preserve">Atlikus </w:t>
      </w:r>
      <w:r w:rsidRPr="007B701A">
        <w:rPr>
          <w:i/>
          <w:sz w:val="22"/>
          <w:szCs w:val="22"/>
        </w:rPr>
        <w:t>in vitro S. Typhimurium</w:t>
      </w:r>
      <w:r w:rsidRPr="007B701A">
        <w:rPr>
          <w:sz w:val="22"/>
          <w:szCs w:val="22"/>
        </w:rPr>
        <w:t xml:space="preserve"> bakterijų (</w:t>
      </w:r>
      <w:r w:rsidRPr="007B701A">
        <w:rPr>
          <w:i/>
          <w:sz w:val="22"/>
          <w:szCs w:val="22"/>
        </w:rPr>
        <w:t>Ames - Test</w:t>
      </w:r>
      <w:r w:rsidRPr="007B701A">
        <w:rPr>
          <w:sz w:val="22"/>
          <w:szCs w:val="22"/>
        </w:rPr>
        <w:t xml:space="preserve">), žinduolių CHO ląstelių ir pelių limfomos atsparumo testus (6-tioguaninui, AA, ir ouabainui arba g-strofantinui) bei </w:t>
      </w:r>
      <w:r w:rsidRPr="007B701A">
        <w:rPr>
          <w:i/>
          <w:sz w:val="22"/>
          <w:szCs w:val="22"/>
        </w:rPr>
        <w:t>in vivo</w:t>
      </w:r>
      <w:r w:rsidRPr="007B701A">
        <w:rPr>
          <w:sz w:val="22"/>
          <w:szCs w:val="22"/>
        </w:rPr>
        <w:t xml:space="preserve"> dominantinį letalumo testą (</w:t>
      </w:r>
      <w:r w:rsidRPr="007B701A">
        <w:rPr>
          <w:i/>
          <w:sz w:val="22"/>
          <w:szCs w:val="22"/>
        </w:rPr>
        <w:t>Dominant-Letal-Test</w:t>
      </w:r>
      <w:r w:rsidRPr="007B701A">
        <w:rPr>
          <w:sz w:val="22"/>
          <w:szCs w:val="22"/>
        </w:rPr>
        <w:t>) su pelėmis, kurioms į pilvo ertmę buvo suleidžiama 25 arba 50 mg/kg kūno svorio acikloviro ir pacientų, kuriems penkias dienas tris kartus per dieną buvo suleidžiama į veną po 5 mg acikloviro/kg kūno svorio arba kurie penkis kartus per dieną gėrė po 200 mg acikloviro) limfocitais, mutageninio poveikio nepastebėta. Nuo didesnių, beveik toksinių acikloviro dozių, toks poveikis pelių limfomos ląstelėms timidinkinazės (TK</w:t>
      </w:r>
      <w:r w:rsidRPr="007B701A">
        <w:rPr>
          <w:sz w:val="22"/>
          <w:szCs w:val="22"/>
          <w:vertAlign w:val="superscript"/>
        </w:rPr>
        <w:t>+–</w:t>
      </w:r>
      <w:r w:rsidRPr="007B701A">
        <w:rPr>
          <w:sz w:val="22"/>
          <w:szCs w:val="22"/>
        </w:rPr>
        <w:t>)-lokuse pastebėtas. Dėl timidinkinazės (TK</w:t>
      </w:r>
      <w:r w:rsidRPr="007B701A">
        <w:rPr>
          <w:sz w:val="22"/>
          <w:szCs w:val="22"/>
          <w:vertAlign w:val="superscript"/>
        </w:rPr>
        <w:t>+–</w:t>
      </w:r>
      <w:r w:rsidRPr="007B701A">
        <w:rPr>
          <w:sz w:val="22"/>
          <w:szCs w:val="22"/>
        </w:rPr>
        <w:t>)-lokuso svarbos aktyvuojant aciklovirą ląstelių klonas galėjo pakisti tiek dėl chromosomų pokyčio, tiek dėl ląstelių selekcijos.</w:t>
      </w:r>
    </w:p>
    <w:p w14:paraId="6E13273D" w14:textId="140D8BAD" w:rsidR="00F2007D" w:rsidRPr="007B701A" w:rsidRDefault="00F2007D" w:rsidP="00F2007D">
      <w:pPr>
        <w:numPr>
          <w:ilvl w:val="12"/>
          <w:numId w:val="0"/>
        </w:numPr>
        <w:rPr>
          <w:sz w:val="22"/>
          <w:szCs w:val="22"/>
        </w:rPr>
      </w:pPr>
      <w:r w:rsidRPr="007B701A">
        <w:rPr>
          <w:i/>
          <w:sz w:val="22"/>
          <w:szCs w:val="22"/>
        </w:rPr>
        <w:t>In vitro</w:t>
      </w:r>
      <w:r w:rsidRPr="007B701A">
        <w:rPr>
          <w:sz w:val="22"/>
          <w:szCs w:val="22"/>
        </w:rPr>
        <w:t xml:space="preserve"> žmogaus limfocitų kultūroje chromosomos pradeda trūkinėti tik nuo didesnės kaip 550 </w:t>
      </w:r>
      <w:r w:rsidRPr="007B701A">
        <w:rPr>
          <w:sz w:val="22"/>
          <w:szCs w:val="22"/>
        </w:rPr>
        <w:sym w:font="Symbol" w:char="F06D"/>
      </w:r>
      <w:r w:rsidRPr="007B701A">
        <w:rPr>
          <w:sz w:val="22"/>
          <w:szCs w:val="22"/>
        </w:rPr>
        <w:t xml:space="preserve">mol/l acikloviro koncentracijos. </w:t>
      </w:r>
      <w:r w:rsidRPr="007B701A">
        <w:rPr>
          <w:i/>
          <w:sz w:val="22"/>
          <w:szCs w:val="22"/>
        </w:rPr>
        <w:t>In vivo</w:t>
      </w:r>
      <w:r w:rsidRPr="007B701A">
        <w:rPr>
          <w:sz w:val="22"/>
          <w:szCs w:val="22"/>
        </w:rPr>
        <w:t xml:space="preserve"> nuo 100 mg/kg kūno svorio acikloviro pastebėti chromosomų trūkinėjimai tik žiurkių patelių kaulų čiulpų ląstelėse. Patinų kaulų čiulpų ląstelėse tokių pakitimų nebuvo. Injekavus kinų žiurkėnui į pilvaplėvės ertmę 100 mg/kg kūno svorio acikloviro, chromosomų pakitimų nepastebėta, o nuo 500 mg/kg kūno svorio tokių atsirado (taip pat galinčių būti nuo didelės bendros intoksikacijos). 50 mg/kg kūno svorio acikloviro injekcija į veną nei žiurkėms, nei kinų žiurkėnams chromosomų trūkinėjimo nesukėlė. Tai didžiausia kraujyje vaist</w:t>
      </w:r>
      <w:r w:rsidR="000D58AA">
        <w:rPr>
          <w:sz w:val="22"/>
          <w:szCs w:val="22"/>
        </w:rPr>
        <w:t>inio preparat</w:t>
      </w:r>
      <w:r w:rsidRPr="007B701A">
        <w:rPr>
          <w:sz w:val="22"/>
          <w:szCs w:val="22"/>
        </w:rPr>
        <w:t xml:space="preserve">o </w:t>
      </w:r>
      <w:r w:rsidRPr="007B701A">
        <w:rPr>
          <w:sz w:val="22"/>
          <w:szCs w:val="22"/>
        </w:rPr>
        <w:lastRenderedPageBreak/>
        <w:t xml:space="preserve">koncentracija (apie 200 </w:t>
      </w:r>
      <w:r w:rsidRPr="007B701A">
        <w:rPr>
          <w:sz w:val="22"/>
          <w:szCs w:val="22"/>
        </w:rPr>
        <w:sym w:font="Symbol" w:char="F06D"/>
      </w:r>
      <w:r w:rsidRPr="007B701A">
        <w:rPr>
          <w:sz w:val="22"/>
          <w:szCs w:val="22"/>
        </w:rPr>
        <w:t>mol/l), kai poveikio chromosomoms nebuvo (</w:t>
      </w:r>
      <w:r w:rsidR="000D58AA">
        <w:rPr>
          <w:sz w:val="22"/>
          <w:szCs w:val="22"/>
        </w:rPr>
        <w:t>„</w:t>
      </w:r>
      <w:r w:rsidRPr="007B701A">
        <w:rPr>
          <w:i/>
          <w:sz w:val="22"/>
          <w:szCs w:val="22"/>
        </w:rPr>
        <w:t>no-effect-level</w:t>
      </w:r>
      <w:r w:rsidR="000D58AA">
        <w:rPr>
          <w:sz w:val="22"/>
          <w:szCs w:val="22"/>
        </w:rPr>
        <w:t>“</w:t>
      </w:r>
      <w:r w:rsidRPr="007B701A">
        <w:rPr>
          <w:sz w:val="22"/>
          <w:szCs w:val="22"/>
        </w:rPr>
        <w:t xml:space="preserve">). </w:t>
      </w:r>
      <w:r w:rsidRPr="007B701A">
        <w:rPr>
          <w:sz w:val="22"/>
          <w:szCs w:val="22"/>
        </w:rPr>
        <w:br/>
        <w:t>Žiurkėms injekavus į veną acikloviro ir nustačius jo koncentraciją lyties liaukose paaiškėjo, kad patelių liaukose vaist</w:t>
      </w:r>
      <w:r w:rsidR="000D58AA">
        <w:rPr>
          <w:sz w:val="22"/>
          <w:szCs w:val="22"/>
        </w:rPr>
        <w:t>inio preparat</w:t>
      </w:r>
      <w:r w:rsidRPr="007B701A">
        <w:rPr>
          <w:sz w:val="22"/>
          <w:szCs w:val="22"/>
        </w:rPr>
        <w:t xml:space="preserve">o koncentracija sudaro trečdalį, o patinų – tik dešimtadalį didžiausios koncentracijos kraujyje (apie 200 </w:t>
      </w:r>
      <w:r w:rsidRPr="007B701A">
        <w:rPr>
          <w:sz w:val="22"/>
          <w:szCs w:val="22"/>
        </w:rPr>
        <w:sym w:font="Symbol" w:char="F06D"/>
      </w:r>
      <w:r w:rsidRPr="007B701A">
        <w:rPr>
          <w:sz w:val="22"/>
          <w:szCs w:val="22"/>
        </w:rPr>
        <w:t>mol/l), kuri nedaro poveikio chromosomoms (</w:t>
      </w:r>
      <w:r w:rsidR="000D58AA">
        <w:rPr>
          <w:sz w:val="22"/>
          <w:szCs w:val="22"/>
        </w:rPr>
        <w:t>„</w:t>
      </w:r>
      <w:r w:rsidRPr="007B701A">
        <w:rPr>
          <w:i/>
          <w:sz w:val="22"/>
          <w:szCs w:val="22"/>
        </w:rPr>
        <w:t>no-effect-level</w:t>
      </w:r>
      <w:r w:rsidR="000D58AA">
        <w:rPr>
          <w:sz w:val="22"/>
          <w:szCs w:val="22"/>
        </w:rPr>
        <w:t>“</w:t>
      </w:r>
      <w:r w:rsidRPr="007B701A">
        <w:rPr>
          <w:sz w:val="22"/>
          <w:szCs w:val="22"/>
        </w:rPr>
        <w:t>). Išsiaiškinus, kokio dydžio dozė gali sukelti mutageninį poveikį, galima tvirtinti, kad geriant penkis kartus per dieną didžiausią rekomenduojamą acikloviro vienkartinę dozę (800 mg), tokia vaist</w:t>
      </w:r>
      <w:r w:rsidR="000D58AA">
        <w:rPr>
          <w:sz w:val="22"/>
          <w:szCs w:val="22"/>
        </w:rPr>
        <w:t>inio preparat</w:t>
      </w:r>
      <w:r w:rsidRPr="007B701A">
        <w:rPr>
          <w:sz w:val="22"/>
          <w:szCs w:val="22"/>
        </w:rPr>
        <w:t>o koncentracija neįmanoma, vadinasi, vaist</w:t>
      </w:r>
      <w:r w:rsidR="000D58AA">
        <w:rPr>
          <w:sz w:val="22"/>
          <w:szCs w:val="22"/>
        </w:rPr>
        <w:t>inis preparat</w:t>
      </w:r>
      <w:r w:rsidRPr="007B701A">
        <w:rPr>
          <w:sz w:val="22"/>
          <w:szCs w:val="22"/>
        </w:rPr>
        <w:t xml:space="preserve">as nemutageniškas. </w:t>
      </w:r>
    </w:p>
    <w:p w14:paraId="6FD5313D" w14:textId="77777777" w:rsidR="00F2007D" w:rsidRPr="007B701A" w:rsidRDefault="00F2007D" w:rsidP="00F2007D">
      <w:pPr>
        <w:numPr>
          <w:ilvl w:val="12"/>
          <w:numId w:val="0"/>
        </w:numPr>
        <w:rPr>
          <w:sz w:val="22"/>
          <w:szCs w:val="22"/>
        </w:rPr>
      </w:pPr>
      <w:r w:rsidRPr="007B701A">
        <w:rPr>
          <w:sz w:val="22"/>
          <w:szCs w:val="22"/>
        </w:rPr>
        <w:t xml:space="preserve">Atlikus transformacijos testą, gauta duomenų, kad pelių fibroblastus paveikus acikloviru (220 </w:t>
      </w:r>
      <w:r w:rsidRPr="007B701A">
        <w:rPr>
          <w:sz w:val="22"/>
          <w:szCs w:val="22"/>
        </w:rPr>
        <w:sym w:font="Symbol" w:char="F06D"/>
      </w:r>
      <w:r w:rsidRPr="007B701A">
        <w:rPr>
          <w:sz w:val="22"/>
          <w:szCs w:val="22"/>
        </w:rPr>
        <w:t>mol/l), pakito monokloninių ląstelių kultūros augimas (</w:t>
      </w:r>
      <w:r w:rsidRPr="007B701A">
        <w:rPr>
          <w:i/>
          <w:sz w:val="22"/>
          <w:szCs w:val="22"/>
        </w:rPr>
        <w:t>Typ lll foci</w:t>
      </w:r>
      <w:r w:rsidRPr="007B701A">
        <w:rPr>
          <w:sz w:val="22"/>
          <w:szCs w:val="22"/>
        </w:rPr>
        <w:t>).</w:t>
      </w:r>
    </w:p>
    <w:p w14:paraId="60CEE885" w14:textId="77777777" w:rsidR="00F2007D" w:rsidRPr="007B701A" w:rsidRDefault="00F2007D" w:rsidP="00F2007D">
      <w:pPr>
        <w:numPr>
          <w:ilvl w:val="12"/>
          <w:numId w:val="0"/>
        </w:numPr>
        <w:rPr>
          <w:sz w:val="22"/>
          <w:szCs w:val="22"/>
        </w:rPr>
      </w:pPr>
      <w:r w:rsidRPr="007B701A">
        <w:rPr>
          <w:sz w:val="22"/>
          <w:szCs w:val="22"/>
        </w:rPr>
        <w:t>Ilgalaikių (dvejų metų) tyrimų su žiurkėmis ir pelėmis duomenimis, acikloviras yra nekancerogeniškas.</w:t>
      </w:r>
    </w:p>
    <w:p w14:paraId="7CBB1DCA" w14:textId="77777777" w:rsidR="00F2007D" w:rsidRPr="007B701A" w:rsidRDefault="00F2007D" w:rsidP="00F2007D">
      <w:pPr>
        <w:keepNext/>
        <w:numPr>
          <w:ilvl w:val="12"/>
          <w:numId w:val="0"/>
        </w:numPr>
        <w:outlineLvl w:val="1"/>
        <w:rPr>
          <w:i/>
          <w:iCs/>
          <w:sz w:val="22"/>
          <w:szCs w:val="22"/>
        </w:rPr>
      </w:pPr>
    </w:p>
    <w:p w14:paraId="3172C8AB" w14:textId="77777777" w:rsidR="00F2007D" w:rsidRPr="007B701A" w:rsidRDefault="00F2007D" w:rsidP="00F2007D">
      <w:pPr>
        <w:keepNext/>
        <w:numPr>
          <w:ilvl w:val="12"/>
          <w:numId w:val="0"/>
        </w:numPr>
        <w:outlineLvl w:val="1"/>
        <w:rPr>
          <w:i/>
          <w:iCs/>
          <w:sz w:val="22"/>
          <w:szCs w:val="22"/>
        </w:rPr>
      </w:pPr>
      <w:r w:rsidRPr="007B701A">
        <w:rPr>
          <w:i/>
          <w:iCs/>
          <w:sz w:val="22"/>
          <w:szCs w:val="22"/>
        </w:rPr>
        <w:t>Poveikis dauginimuisi</w:t>
      </w:r>
    </w:p>
    <w:p w14:paraId="1B890C62" w14:textId="77777777" w:rsidR="00F2007D" w:rsidRPr="007B701A" w:rsidRDefault="00F2007D" w:rsidP="00F2007D">
      <w:pPr>
        <w:keepNext/>
        <w:outlineLvl w:val="2"/>
        <w:rPr>
          <w:i/>
          <w:sz w:val="22"/>
          <w:szCs w:val="22"/>
          <w:u w:val="single"/>
        </w:rPr>
      </w:pPr>
      <w:r w:rsidRPr="007B701A">
        <w:rPr>
          <w:i/>
          <w:sz w:val="22"/>
          <w:szCs w:val="22"/>
          <w:u w:val="single"/>
        </w:rPr>
        <w:t>Teratogeninis ir embriotoksinis poveikis</w:t>
      </w:r>
    </w:p>
    <w:p w14:paraId="73ACD148" w14:textId="77777777" w:rsidR="00F2007D" w:rsidRPr="007B701A" w:rsidRDefault="00F2007D" w:rsidP="00F2007D">
      <w:pPr>
        <w:numPr>
          <w:ilvl w:val="12"/>
          <w:numId w:val="0"/>
        </w:numPr>
        <w:rPr>
          <w:sz w:val="22"/>
          <w:szCs w:val="22"/>
        </w:rPr>
      </w:pPr>
      <w:r w:rsidRPr="007B701A">
        <w:rPr>
          <w:sz w:val="22"/>
          <w:szCs w:val="22"/>
        </w:rPr>
        <w:t>Kad būtų galima nustatyti tiek vaist</w:t>
      </w:r>
      <w:r w:rsidR="000D58AA">
        <w:rPr>
          <w:sz w:val="22"/>
          <w:szCs w:val="22"/>
        </w:rPr>
        <w:t>inio preparat</w:t>
      </w:r>
      <w:r w:rsidRPr="007B701A">
        <w:rPr>
          <w:sz w:val="22"/>
          <w:szCs w:val="22"/>
        </w:rPr>
        <w:t xml:space="preserve">o toksinį poveikį patelei, tiek jo įtaką vaisiaus ir naujagimio augimui bei apsigimimui, vaikingoms žiurkių patelėms vaisiaus organų formavimosi periodu, tarp 7 ir 17 arba tarp 6 ir 15 nėštumo dienos, du kartus per dieną po oda buvo injekuojama net 25 mg/kg kūno svorio acikloviro. Siekiant to paties tikslo, vaisiaus organų formavimosi periodu tarp 6 ir 18 nėštumo dienos, du kartus per dieną, į veną arba po oda buvo injekuojama iki 25 mg/kg kūno svorio acikloviro vaikingoms triušių patelėms. Atlikus išvardytus tyrimus, nei toksinio poveikio patelės organizmui, nei embriotoksinio ir teratogeninio acikloviro poveikio nepastebėta. </w:t>
      </w:r>
    </w:p>
    <w:p w14:paraId="47E5B483" w14:textId="77777777" w:rsidR="00F2007D" w:rsidRPr="007B701A" w:rsidRDefault="00F2007D" w:rsidP="00F2007D">
      <w:pPr>
        <w:numPr>
          <w:ilvl w:val="12"/>
          <w:numId w:val="0"/>
        </w:numPr>
        <w:rPr>
          <w:sz w:val="22"/>
          <w:szCs w:val="22"/>
        </w:rPr>
      </w:pPr>
      <w:r w:rsidRPr="007B701A">
        <w:rPr>
          <w:sz w:val="22"/>
          <w:szCs w:val="22"/>
        </w:rPr>
        <w:t>Vaist</w:t>
      </w:r>
      <w:r w:rsidR="000D58AA">
        <w:rPr>
          <w:sz w:val="22"/>
          <w:szCs w:val="22"/>
        </w:rPr>
        <w:t>inį preparat</w:t>
      </w:r>
      <w:r w:rsidRPr="007B701A">
        <w:rPr>
          <w:sz w:val="22"/>
          <w:szCs w:val="22"/>
        </w:rPr>
        <w:t>ą tiriant toliau, vaikingoms žiurkėms dešimtą vaikingumo dieną (organų formavimosi metu) injekavus tris kartus per dieną po 100 mg/kg kūno svorio acikloviro, pastebėta apsigimimų (anoftalmija ir uodegos anomalija). Tokia vaist</w:t>
      </w:r>
      <w:r w:rsidR="000D58AA">
        <w:rPr>
          <w:sz w:val="22"/>
          <w:szCs w:val="22"/>
        </w:rPr>
        <w:t>inio preparat</w:t>
      </w:r>
      <w:r w:rsidRPr="007B701A">
        <w:rPr>
          <w:sz w:val="22"/>
          <w:szCs w:val="22"/>
        </w:rPr>
        <w:t>o dozė patelei sukėlė nefrotoksinį poveikį. Be to, acikloviro koncentracija patelės organizme buvo 48 –58 kartus, 67 – 90 kartų arba 153 – 167 kartus didesnė negu vidutinė pastovi acikloviro koncentracija kraujo plazmoje, geriant šio vaist</w:t>
      </w:r>
      <w:r w:rsidR="000D58AA">
        <w:rPr>
          <w:sz w:val="22"/>
          <w:szCs w:val="22"/>
        </w:rPr>
        <w:t>inio preparat</w:t>
      </w:r>
      <w:r w:rsidRPr="007B701A">
        <w:rPr>
          <w:sz w:val="22"/>
          <w:szCs w:val="22"/>
        </w:rPr>
        <w:t>o pakartotinai 5 kartus per dieną kas 4 val. atitinkamai po 200, 400 arba 800 mg, todėl mutageninio poveikio galimybė žmonėms labai abejotina.</w:t>
      </w:r>
    </w:p>
    <w:p w14:paraId="524ADB15" w14:textId="77777777" w:rsidR="00F2007D" w:rsidRPr="007B701A" w:rsidRDefault="00F2007D" w:rsidP="00F2007D">
      <w:pPr>
        <w:rPr>
          <w:i/>
          <w:sz w:val="22"/>
          <w:szCs w:val="22"/>
          <w:u w:val="single"/>
        </w:rPr>
      </w:pPr>
    </w:p>
    <w:p w14:paraId="1CC39823" w14:textId="77777777" w:rsidR="00F2007D" w:rsidRPr="007B701A" w:rsidRDefault="00F2007D" w:rsidP="00F2007D">
      <w:pPr>
        <w:rPr>
          <w:sz w:val="22"/>
          <w:szCs w:val="22"/>
        </w:rPr>
      </w:pPr>
      <w:r w:rsidRPr="007B701A">
        <w:rPr>
          <w:i/>
          <w:sz w:val="22"/>
          <w:szCs w:val="22"/>
          <w:u w:val="single"/>
        </w:rPr>
        <w:t>Vaisingumas</w:t>
      </w:r>
      <w:r w:rsidRPr="007B701A">
        <w:rPr>
          <w:i/>
          <w:sz w:val="22"/>
          <w:szCs w:val="22"/>
        </w:rPr>
        <w:br/>
      </w:r>
      <w:r w:rsidRPr="007B701A">
        <w:rPr>
          <w:sz w:val="22"/>
          <w:szCs w:val="22"/>
        </w:rPr>
        <w:t>Dažniausiai laikinas nepageidaujamas poveikis žiurkių ir skalikų spermatogenezei pastebėtas vartojant daug didesnes negu gydymo metu acikloviro dozes.</w:t>
      </w:r>
    </w:p>
    <w:p w14:paraId="16B03296" w14:textId="77777777" w:rsidR="00F2007D" w:rsidRPr="007B701A" w:rsidRDefault="00F2007D" w:rsidP="00F2007D">
      <w:pPr>
        <w:rPr>
          <w:sz w:val="22"/>
          <w:szCs w:val="22"/>
        </w:rPr>
      </w:pPr>
      <w:r w:rsidRPr="007B701A">
        <w:rPr>
          <w:sz w:val="22"/>
          <w:szCs w:val="22"/>
        </w:rPr>
        <w:t>Ištyrus dvi pelių kartas (joms kasdien buvo sugirdoma acikloviro), nustatyta, kad šis vaist</w:t>
      </w:r>
      <w:r w:rsidR="000D58AA">
        <w:rPr>
          <w:sz w:val="22"/>
          <w:szCs w:val="22"/>
        </w:rPr>
        <w:t>inis preparat</w:t>
      </w:r>
      <w:r w:rsidRPr="007B701A">
        <w:rPr>
          <w:sz w:val="22"/>
          <w:szCs w:val="22"/>
        </w:rPr>
        <w:t>as jokio poveikio vaisingumui nedaro. Ar acikloviras kenkia moterų vaisingumui, nežinoma.</w:t>
      </w:r>
      <w:r w:rsidRPr="007B701A">
        <w:rPr>
          <w:sz w:val="22"/>
          <w:szCs w:val="22"/>
        </w:rPr>
        <w:br/>
        <w:t>Šio vaist</w:t>
      </w:r>
      <w:r w:rsidR="000D58AA">
        <w:rPr>
          <w:sz w:val="22"/>
          <w:szCs w:val="22"/>
        </w:rPr>
        <w:t>inio preparat</w:t>
      </w:r>
      <w:r w:rsidRPr="007B701A">
        <w:rPr>
          <w:sz w:val="22"/>
          <w:szCs w:val="22"/>
        </w:rPr>
        <w:t xml:space="preserve">o geriančių vyrų spermijų kiekis, morfologija ir judrumas nekinta. </w:t>
      </w:r>
    </w:p>
    <w:p w14:paraId="00915CFE" w14:textId="77777777" w:rsidR="00F2007D" w:rsidRPr="007B701A" w:rsidRDefault="00F2007D" w:rsidP="00F2007D">
      <w:pPr>
        <w:rPr>
          <w:sz w:val="22"/>
          <w:szCs w:val="22"/>
        </w:rPr>
      </w:pPr>
    </w:p>
    <w:p w14:paraId="63A92E19" w14:textId="77777777" w:rsidR="00F2007D" w:rsidRPr="007B701A" w:rsidRDefault="00F2007D" w:rsidP="00F2007D">
      <w:pPr>
        <w:rPr>
          <w:sz w:val="22"/>
          <w:szCs w:val="22"/>
        </w:rPr>
      </w:pPr>
      <w:r w:rsidRPr="007B701A">
        <w:rPr>
          <w:sz w:val="22"/>
          <w:szCs w:val="22"/>
        </w:rPr>
        <w:t>Įprastinių ikiklinikinių farmakologinių saugumo, toksinio kartotinių dozių poveikio, genotoksinio bei kancerogeninio poveikio ir toksinio poveikio dauginimosi funkcijai tyrimų duomenimis, specifinio pavojaus žmogui preparatas nekelia.</w:t>
      </w:r>
    </w:p>
    <w:p w14:paraId="6C5A6D44" w14:textId="77777777" w:rsidR="00F2007D" w:rsidRPr="007B701A" w:rsidRDefault="00F2007D" w:rsidP="00F2007D">
      <w:pPr>
        <w:rPr>
          <w:b/>
          <w:sz w:val="22"/>
          <w:szCs w:val="22"/>
        </w:rPr>
      </w:pPr>
    </w:p>
    <w:p w14:paraId="641EBC7E" w14:textId="77777777" w:rsidR="00F2007D" w:rsidRPr="007B701A" w:rsidRDefault="00F2007D" w:rsidP="00F2007D">
      <w:pPr>
        <w:rPr>
          <w:b/>
          <w:sz w:val="22"/>
          <w:szCs w:val="22"/>
        </w:rPr>
      </w:pPr>
    </w:p>
    <w:p w14:paraId="0A32121B" w14:textId="77777777" w:rsidR="00F2007D" w:rsidRPr="007B701A" w:rsidRDefault="00F2007D" w:rsidP="00F2007D">
      <w:pPr>
        <w:tabs>
          <w:tab w:val="left" w:pos="567"/>
        </w:tabs>
        <w:rPr>
          <w:sz w:val="22"/>
          <w:szCs w:val="22"/>
        </w:rPr>
      </w:pPr>
      <w:r w:rsidRPr="007B701A">
        <w:rPr>
          <w:b/>
          <w:sz w:val="22"/>
          <w:szCs w:val="22"/>
        </w:rPr>
        <w:t>6.</w:t>
      </w:r>
      <w:r w:rsidRPr="007B701A">
        <w:rPr>
          <w:b/>
          <w:sz w:val="22"/>
          <w:szCs w:val="22"/>
        </w:rPr>
        <w:tab/>
        <w:t>FARMACINĖ INFORMACIJA</w:t>
      </w:r>
    </w:p>
    <w:p w14:paraId="3DED519A" w14:textId="77777777" w:rsidR="00F2007D" w:rsidRPr="007B701A" w:rsidRDefault="00F2007D" w:rsidP="00F2007D">
      <w:pPr>
        <w:rPr>
          <w:b/>
          <w:sz w:val="22"/>
          <w:szCs w:val="22"/>
        </w:rPr>
      </w:pPr>
    </w:p>
    <w:p w14:paraId="546058D6" w14:textId="66B41A27" w:rsidR="00F2007D" w:rsidRPr="007B701A" w:rsidRDefault="00F2007D" w:rsidP="00F2007D">
      <w:pPr>
        <w:tabs>
          <w:tab w:val="left" w:pos="567"/>
        </w:tabs>
        <w:rPr>
          <w:b/>
          <w:sz w:val="22"/>
          <w:szCs w:val="22"/>
        </w:rPr>
      </w:pPr>
      <w:r w:rsidRPr="007B701A">
        <w:rPr>
          <w:b/>
          <w:sz w:val="22"/>
          <w:szCs w:val="22"/>
        </w:rPr>
        <w:t>6.1</w:t>
      </w:r>
      <w:r w:rsidRPr="007B701A">
        <w:rPr>
          <w:b/>
          <w:sz w:val="22"/>
          <w:szCs w:val="22"/>
        </w:rPr>
        <w:tab/>
        <w:t>Pagalbinių medžiagų sąrašas</w:t>
      </w:r>
    </w:p>
    <w:p w14:paraId="0F3CE60F" w14:textId="77777777" w:rsidR="00F2007D" w:rsidRPr="007B701A" w:rsidRDefault="00F2007D" w:rsidP="00F2007D">
      <w:pPr>
        <w:rPr>
          <w:sz w:val="22"/>
          <w:szCs w:val="22"/>
        </w:rPr>
      </w:pPr>
    </w:p>
    <w:p w14:paraId="2E527889" w14:textId="77777777" w:rsidR="00F2007D" w:rsidRPr="007B701A" w:rsidRDefault="00F2007D" w:rsidP="00F2007D">
      <w:pPr>
        <w:rPr>
          <w:sz w:val="22"/>
          <w:szCs w:val="22"/>
        </w:rPr>
      </w:pPr>
      <w:r w:rsidRPr="007B701A">
        <w:rPr>
          <w:sz w:val="22"/>
          <w:szCs w:val="22"/>
        </w:rPr>
        <w:t xml:space="preserve">Kopovidonas </w:t>
      </w:r>
    </w:p>
    <w:p w14:paraId="2CE6E441" w14:textId="77777777" w:rsidR="00F2007D" w:rsidRPr="007B701A" w:rsidRDefault="00F2007D" w:rsidP="00F2007D">
      <w:pPr>
        <w:rPr>
          <w:sz w:val="22"/>
          <w:szCs w:val="22"/>
        </w:rPr>
      </w:pPr>
      <w:r w:rsidRPr="007B701A">
        <w:rPr>
          <w:sz w:val="22"/>
          <w:szCs w:val="22"/>
        </w:rPr>
        <w:t>Laktozė monohidratas</w:t>
      </w:r>
    </w:p>
    <w:p w14:paraId="30CF6C34" w14:textId="77777777" w:rsidR="00F2007D" w:rsidRPr="007B701A" w:rsidRDefault="00F2007D" w:rsidP="00F2007D">
      <w:pPr>
        <w:rPr>
          <w:sz w:val="22"/>
          <w:szCs w:val="22"/>
        </w:rPr>
      </w:pPr>
      <w:r w:rsidRPr="007B701A">
        <w:rPr>
          <w:sz w:val="22"/>
          <w:szCs w:val="22"/>
        </w:rPr>
        <w:t>Magnio stearatas</w:t>
      </w:r>
    </w:p>
    <w:p w14:paraId="2076D185" w14:textId="77777777" w:rsidR="00F2007D" w:rsidRPr="007B701A" w:rsidRDefault="00F2007D" w:rsidP="00F2007D">
      <w:pPr>
        <w:rPr>
          <w:sz w:val="22"/>
          <w:szCs w:val="22"/>
        </w:rPr>
      </w:pPr>
      <w:r w:rsidRPr="007B701A">
        <w:rPr>
          <w:sz w:val="22"/>
          <w:szCs w:val="22"/>
        </w:rPr>
        <w:t>Mikrokristalinė celiuliozė</w:t>
      </w:r>
    </w:p>
    <w:p w14:paraId="0950B1DD" w14:textId="265C2DC0" w:rsidR="00F2007D" w:rsidRPr="007B701A" w:rsidRDefault="00F2007D" w:rsidP="00F2007D">
      <w:pPr>
        <w:rPr>
          <w:sz w:val="22"/>
          <w:szCs w:val="22"/>
        </w:rPr>
      </w:pPr>
      <w:r w:rsidRPr="007B701A">
        <w:rPr>
          <w:sz w:val="22"/>
          <w:szCs w:val="22"/>
        </w:rPr>
        <w:t>Karboksimetilkrakmolo A natrio druska</w:t>
      </w:r>
    </w:p>
    <w:p w14:paraId="77C416E4" w14:textId="77777777" w:rsidR="00F2007D" w:rsidRPr="007B701A" w:rsidRDefault="00F2007D" w:rsidP="00F2007D">
      <w:pPr>
        <w:jc w:val="both"/>
        <w:rPr>
          <w:b/>
          <w:sz w:val="22"/>
          <w:szCs w:val="22"/>
        </w:rPr>
      </w:pPr>
    </w:p>
    <w:p w14:paraId="38AF1E17" w14:textId="3953E196" w:rsidR="00F2007D" w:rsidRPr="007B701A" w:rsidRDefault="00F2007D" w:rsidP="00F2007D">
      <w:pPr>
        <w:tabs>
          <w:tab w:val="left" w:pos="567"/>
        </w:tabs>
        <w:jc w:val="both"/>
        <w:rPr>
          <w:b/>
          <w:sz w:val="22"/>
          <w:szCs w:val="22"/>
        </w:rPr>
      </w:pPr>
      <w:r w:rsidRPr="007B701A">
        <w:rPr>
          <w:b/>
          <w:sz w:val="22"/>
          <w:szCs w:val="22"/>
        </w:rPr>
        <w:t>6.2</w:t>
      </w:r>
      <w:r w:rsidRPr="007B701A">
        <w:rPr>
          <w:b/>
          <w:sz w:val="22"/>
          <w:szCs w:val="22"/>
        </w:rPr>
        <w:tab/>
        <w:t>Nesuderinamumas</w:t>
      </w:r>
    </w:p>
    <w:p w14:paraId="31223C89" w14:textId="77777777" w:rsidR="00F2007D" w:rsidRPr="007B701A" w:rsidRDefault="00F2007D" w:rsidP="00F2007D">
      <w:pPr>
        <w:rPr>
          <w:sz w:val="22"/>
          <w:szCs w:val="22"/>
        </w:rPr>
      </w:pPr>
    </w:p>
    <w:p w14:paraId="097927FE" w14:textId="77777777" w:rsidR="00F2007D" w:rsidRPr="007B701A" w:rsidRDefault="00F2007D" w:rsidP="00F2007D">
      <w:pPr>
        <w:rPr>
          <w:sz w:val="22"/>
          <w:szCs w:val="22"/>
        </w:rPr>
      </w:pPr>
      <w:r w:rsidRPr="007B701A">
        <w:rPr>
          <w:sz w:val="22"/>
          <w:szCs w:val="22"/>
        </w:rPr>
        <w:t>Duomenų nėra.</w:t>
      </w:r>
    </w:p>
    <w:p w14:paraId="07FFF50C" w14:textId="77777777" w:rsidR="00F2007D" w:rsidRPr="007B701A" w:rsidRDefault="00F2007D" w:rsidP="00F2007D">
      <w:pPr>
        <w:spacing w:after="120"/>
        <w:jc w:val="both"/>
        <w:rPr>
          <w:b/>
          <w:sz w:val="22"/>
          <w:szCs w:val="22"/>
        </w:rPr>
      </w:pPr>
    </w:p>
    <w:p w14:paraId="01688290" w14:textId="6202123B" w:rsidR="00F2007D" w:rsidRPr="007B701A" w:rsidRDefault="00F2007D" w:rsidP="00F2007D">
      <w:pPr>
        <w:tabs>
          <w:tab w:val="left" w:pos="567"/>
        </w:tabs>
        <w:spacing w:after="120"/>
        <w:jc w:val="both"/>
        <w:rPr>
          <w:sz w:val="22"/>
          <w:szCs w:val="22"/>
        </w:rPr>
      </w:pPr>
      <w:r w:rsidRPr="007B701A">
        <w:rPr>
          <w:b/>
          <w:sz w:val="22"/>
          <w:szCs w:val="22"/>
        </w:rPr>
        <w:t>6.3</w:t>
      </w:r>
      <w:r w:rsidRPr="007B701A">
        <w:rPr>
          <w:b/>
          <w:sz w:val="22"/>
          <w:szCs w:val="22"/>
        </w:rPr>
        <w:tab/>
        <w:t>Tinkamumo laikas</w:t>
      </w:r>
    </w:p>
    <w:p w14:paraId="21658071" w14:textId="77777777" w:rsidR="00F2007D" w:rsidRPr="007B701A" w:rsidRDefault="00F2007D" w:rsidP="00F2007D">
      <w:pPr>
        <w:rPr>
          <w:sz w:val="22"/>
          <w:szCs w:val="22"/>
        </w:rPr>
      </w:pPr>
      <w:r w:rsidRPr="007B701A">
        <w:rPr>
          <w:sz w:val="22"/>
          <w:szCs w:val="22"/>
        </w:rPr>
        <w:lastRenderedPageBreak/>
        <w:t>5 metai.</w:t>
      </w:r>
    </w:p>
    <w:p w14:paraId="4DFD3662" w14:textId="77777777" w:rsidR="00F2007D" w:rsidRPr="007B701A" w:rsidRDefault="00F2007D" w:rsidP="00F2007D">
      <w:pPr>
        <w:rPr>
          <w:b/>
          <w:sz w:val="22"/>
          <w:szCs w:val="22"/>
        </w:rPr>
      </w:pPr>
    </w:p>
    <w:p w14:paraId="061C2FF3" w14:textId="04823A01" w:rsidR="00F2007D" w:rsidRPr="007B701A" w:rsidRDefault="00F2007D" w:rsidP="00F2007D">
      <w:pPr>
        <w:tabs>
          <w:tab w:val="left" w:pos="567"/>
        </w:tabs>
        <w:rPr>
          <w:b/>
          <w:sz w:val="22"/>
          <w:szCs w:val="22"/>
        </w:rPr>
      </w:pPr>
      <w:r w:rsidRPr="007B701A">
        <w:rPr>
          <w:b/>
          <w:sz w:val="22"/>
          <w:szCs w:val="22"/>
        </w:rPr>
        <w:t>6.4</w:t>
      </w:r>
      <w:r w:rsidRPr="007B701A">
        <w:rPr>
          <w:b/>
          <w:sz w:val="22"/>
          <w:szCs w:val="22"/>
        </w:rPr>
        <w:tab/>
        <w:t>Specialios laikymo sąlygos</w:t>
      </w:r>
    </w:p>
    <w:p w14:paraId="02682D16" w14:textId="77777777" w:rsidR="00F2007D" w:rsidRPr="007B701A" w:rsidRDefault="00F2007D" w:rsidP="00F2007D">
      <w:pPr>
        <w:rPr>
          <w:b/>
          <w:sz w:val="22"/>
          <w:szCs w:val="22"/>
        </w:rPr>
      </w:pPr>
    </w:p>
    <w:p w14:paraId="7196541F" w14:textId="77777777" w:rsidR="00F2007D" w:rsidRPr="007B701A" w:rsidRDefault="00F2007D" w:rsidP="00F2007D">
      <w:pPr>
        <w:rPr>
          <w:sz w:val="22"/>
          <w:szCs w:val="22"/>
        </w:rPr>
      </w:pPr>
      <w:r w:rsidRPr="007B701A">
        <w:rPr>
          <w:sz w:val="22"/>
          <w:szCs w:val="22"/>
        </w:rPr>
        <w:t>Šiam vaistiniam preparatui specialių laikymo sąlygų nereikia.</w:t>
      </w:r>
    </w:p>
    <w:p w14:paraId="2F260CC5" w14:textId="77777777" w:rsidR="00F2007D" w:rsidRPr="007B701A" w:rsidRDefault="00F2007D" w:rsidP="00F2007D">
      <w:pPr>
        <w:rPr>
          <w:b/>
          <w:sz w:val="22"/>
          <w:szCs w:val="22"/>
        </w:rPr>
      </w:pPr>
    </w:p>
    <w:p w14:paraId="61C4B483" w14:textId="12F7E04E" w:rsidR="00F2007D" w:rsidRPr="007B701A" w:rsidRDefault="00F2007D" w:rsidP="00F2007D">
      <w:pPr>
        <w:tabs>
          <w:tab w:val="left" w:pos="567"/>
        </w:tabs>
        <w:rPr>
          <w:sz w:val="22"/>
          <w:szCs w:val="22"/>
        </w:rPr>
      </w:pPr>
      <w:r w:rsidRPr="007B701A">
        <w:rPr>
          <w:b/>
          <w:sz w:val="22"/>
          <w:szCs w:val="22"/>
        </w:rPr>
        <w:t>6.5</w:t>
      </w:r>
      <w:r w:rsidRPr="007B701A">
        <w:rPr>
          <w:b/>
          <w:sz w:val="22"/>
          <w:szCs w:val="22"/>
        </w:rPr>
        <w:tab/>
        <w:t>Talpyklės pobūdis ir jos turinys</w:t>
      </w:r>
    </w:p>
    <w:p w14:paraId="524DE25A" w14:textId="77777777" w:rsidR="00F2007D" w:rsidRPr="007B701A" w:rsidRDefault="00F2007D" w:rsidP="00F2007D">
      <w:pPr>
        <w:rPr>
          <w:sz w:val="22"/>
          <w:szCs w:val="22"/>
        </w:rPr>
      </w:pPr>
    </w:p>
    <w:p w14:paraId="10F16B98" w14:textId="77777777" w:rsidR="00F2007D" w:rsidRPr="007B701A" w:rsidRDefault="00F2007D" w:rsidP="00F2007D">
      <w:pPr>
        <w:rPr>
          <w:sz w:val="22"/>
          <w:szCs w:val="22"/>
        </w:rPr>
      </w:pPr>
      <w:r w:rsidRPr="007B701A">
        <w:rPr>
          <w:sz w:val="22"/>
          <w:szCs w:val="22"/>
        </w:rPr>
        <w:t>Matinė PVC/Al folijos lizdinė plokštelė.</w:t>
      </w:r>
    </w:p>
    <w:p w14:paraId="18B951FB" w14:textId="77777777" w:rsidR="00F2007D" w:rsidRPr="007B701A" w:rsidRDefault="00F2007D" w:rsidP="00F2007D">
      <w:pPr>
        <w:rPr>
          <w:sz w:val="22"/>
          <w:szCs w:val="22"/>
        </w:rPr>
      </w:pPr>
      <w:r w:rsidRPr="007B701A">
        <w:rPr>
          <w:sz w:val="22"/>
          <w:szCs w:val="22"/>
        </w:rPr>
        <w:t>Kartono dėžutėje yra  25 tabletės.</w:t>
      </w:r>
    </w:p>
    <w:p w14:paraId="188AC0A9" w14:textId="77777777" w:rsidR="00F2007D" w:rsidRPr="007B701A" w:rsidRDefault="00F2007D" w:rsidP="00F2007D">
      <w:pPr>
        <w:jc w:val="both"/>
        <w:rPr>
          <w:b/>
          <w:sz w:val="22"/>
          <w:szCs w:val="22"/>
        </w:rPr>
      </w:pPr>
    </w:p>
    <w:p w14:paraId="1E0DC8E5" w14:textId="4A64BCB1" w:rsidR="00F2007D" w:rsidRPr="007B701A" w:rsidRDefault="00F2007D" w:rsidP="00F2007D">
      <w:pPr>
        <w:tabs>
          <w:tab w:val="left" w:pos="567"/>
        </w:tabs>
        <w:jc w:val="both"/>
        <w:rPr>
          <w:b/>
          <w:sz w:val="22"/>
          <w:szCs w:val="22"/>
        </w:rPr>
      </w:pPr>
      <w:r w:rsidRPr="007B701A">
        <w:rPr>
          <w:b/>
          <w:sz w:val="22"/>
          <w:szCs w:val="22"/>
        </w:rPr>
        <w:t>6.6</w:t>
      </w:r>
      <w:r w:rsidRPr="007B701A">
        <w:rPr>
          <w:b/>
          <w:sz w:val="22"/>
          <w:szCs w:val="22"/>
        </w:rPr>
        <w:tab/>
        <w:t>Specialūs reikalavimai atliekoms tvarkyti</w:t>
      </w:r>
    </w:p>
    <w:p w14:paraId="11E0C732" w14:textId="77777777" w:rsidR="00F2007D" w:rsidRPr="007B701A" w:rsidRDefault="00F2007D" w:rsidP="00F2007D">
      <w:pPr>
        <w:jc w:val="both"/>
        <w:rPr>
          <w:sz w:val="22"/>
          <w:szCs w:val="22"/>
        </w:rPr>
      </w:pPr>
    </w:p>
    <w:p w14:paraId="77468002" w14:textId="77777777" w:rsidR="00F2007D" w:rsidRPr="007B701A" w:rsidRDefault="00F2007D" w:rsidP="00F2007D">
      <w:pPr>
        <w:jc w:val="both"/>
        <w:rPr>
          <w:b/>
          <w:sz w:val="22"/>
          <w:szCs w:val="22"/>
        </w:rPr>
      </w:pPr>
      <w:r w:rsidRPr="007B701A">
        <w:rPr>
          <w:sz w:val="22"/>
          <w:szCs w:val="22"/>
        </w:rPr>
        <w:t>Specialių reikalavimų nėra.</w:t>
      </w:r>
    </w:p>
    <w:p w14:paraId="66A9CB6E" w14:textId="77777777" w:rsidR="00F2007D" w:rsidRPr="007B701A" w:rsidRDefault="00F2007D" w:rsidP="00F2007D">
      <w:pPr>
        <w:jc w:val="both"/>
        <w:rPr>
          <w:b/>
          <w:sz w:val="22"/>
          <w:szCs w:val="22"/>
        </w:rPr>
      </w:pPr>
    </w:p>
    <w:p w14:paraId="1AEE1ACC" w14:textId="77777777" w:rsidR="00F2007D" w:rsidRPr="007B701A" w:rsidRDefault="00F2007D" w:rsidP="00F2007D">
      <w:pPr>
        <w:ind w:left="360" w:hanging="360"/>
        <w:jc w:val="both"/>
        <w:rPr>
          <w:b/>
          <w:sz w:val="22"/>
          <w:szCs w:val="22"/>
        </w:rPr>
      </w:pPr>
    </w:p>
    <w:p w14:paraId="3B86C3CD" w14:textId="77777777" w:rsidR="00F2007D" w:rsidRPr="007B701A" w:rsidRDefault="00F2007D" w:rsidP="00F2007D">
      <w:pPr>
        <w:ind w:left="567" w:hanging="567"/>
        <w:jc w:val="both"/>
        <w:rPr>
          <w:b/>
          <w:sz w:val="22"/>
          <w:szCs w:val="22"/>
        </w:rPr>
      </w:pPr>
      <w:r w:rsidRPr="007B701A">
        <w:rPr>
          <w:b/>
          <w:sz w:val="22"/>
          <w:szCs w:val="22"/>
        </w:rPr>
        <w:t>7.</w:t>
      </w:r>
      <w:r w:rsidRPr="007B701A">
        <w:rPr>
          <w:b/>
          <w:sz w:val="22"/>
          <w:szCs w:val="22"/>
        </w:rPr>
        <w:tab/>
      </w:r>
      <w:r>
        <w:rPr>
          <w:b/>
          <w:sz w:val="22"/>
          <w:szCs w:val="22"/>
        </w:rPr>
        <w:t>REGISTRUOTOJAS</w:t>
      </w:r>
    </w:p>
    <w:p w14:paraId="3C125216" w14:textId="77777777" w:rsidR="00F2007D" w:rsidRPr="007B701A" w:rsidRDefault="00F2007D" w:rsidP="00F2007D">
      <w:pPr>
        <w:ind w:left="360" w:hanging="360"/>
        <w:jc w:val="both"/>
        <w:rPr>
          <w:sz w:val="22"/>
          <w:szCs w:val="22"/>
        </w:rPr>
      </w:pPr>
    </w:p>
    <w:p w14:paraId="25E3DBD4" w14:textId="77777777" w:rsidR="00F2007D" w:rsidRPr="007B701A" w:rsidRDefault="00F2007D" w:rsidP="00F2007D">
      <w:pPr>
        <w:rPr>
          <w:sz w:val="22"/>
          <w:szCs w:val="22"/>
        </w:rPr>
      </w:pPr>
      <w:r w:rsidRPr="007B701A">
        <w:rPr>
          <w:sz w:val="22"/>
          <w:szCs w:val="22"/>
        </w:rPr>
        <w:t>Sandoz d.d.</w:t>
      </w:r>
    </w:p>
    <w:p w14:paraId="31751295" w14:textId="77777777" w:rsidR="00F2007D" w:rsidRPr="007B701A" w:rsidRDefault="00F2007D" w:rsidP="00F2007D">
      <w:pPr>
        <w:rPr>
          <w:sz w:val="22"/>
          <w:szCs w:val="22"/>
        </w:rPr>
      </w:pPr>
      <w:r w:rsidRPr="007B701A">
        <w:rPr>
          <w:sz w:val="22"/>
          <w:szCs w:val="22"/>
        </w:rPr>
        <w:t>Verovškova 57,</w:t>
      </w:r>
    </w:p>
    <w:p w14:paraId="7356AB4D" w14:textId="77777777" w:rsidR="00F2007D" w:rsidRPr="007B701A" w:rsidRDefault="00F2007D" w:rsidP="00F2007D">
      <w:pPr>
        <w:rPr>
          <w:sz w:val="22"/>
          <w:szCs w:val="22"/>
        </w:rPr>
      </w:pPr>
      <w:r w:rsidRPr="007B701A">
        <w:rPr>
          <w:sz w:val="22"/>
          <w:szCs w:val="22"/>
        </w:rPr>
        <w:t>1000 Ljubljana</w:t>
      </w:r>
    </w:p>
    <w:p w14:paraId="5EF6AC9F" w14:textId="77777777" w:rsidR="00F2007D" w:rsidRPr="007B701A" w:rsidRDefault="00F2007D" w:rsidP="00F2007D">
      <w:pPr>
        <w:rPr>
          <w:sz w:val="22"/>
          <w:szCs w:val="22"/>
        </w:rPr>
      </w:pPr>
      <w:r w:rsidRPr="007B701A">
        <w:rPr>
          <w:sz w:val="22"/>
          <w:szCs w:val="22"/>
        </w:rPr>
        <w:t>Slovėnija</w:t>
      </w:r>
    </w:p>
    <w:p w14:paraId="38492F25" w14:textId="77777777" w:rsidR="00F2007D" w:rsidRPr="007B701A" w:rsidRDefault="00F2007D" w:rsidP="00F2007D">
      <w:pPr>
        <w:rPr>
          <w:sz w:val="22"/>
          <w:szCs w:val="22"/>
        </w:rPr>
      </w:pPr>
    </w:p>
    <w:p w14:paraId="6AA2810B" w14:textId="77777777" w:rsidR="00F2007D" w:rsidRPr="007B701A" w:rsidRDefault="00F2007D" w:rsidP="00F2007D">
      <w:pPr>
        <w:rPr>
          <w:sz w:val="22"/>
          <w:szCs w:val="22"/>
        </w:rPr>
      </w:pPr>
    </w:p>
    <w:p w14:paraId="773D84B2" w14:textId="77777777" w:rsidR="00F2007D" w:rsidRPr="007B701A" w:rsidRDefault="00F2007D" w:rsidP="00F2007D">
      <w:pPr>
        <w:tabs>
          <w:tab w:val="left" w:pos="567"/>
        </w:tabs>
        <w:rPr>
          <w:b/>
          <w:sz w:val="22"/>
          <w:szCs w:val="22"/>
        </w:rPr>
      </w:pPr>
      <w:r w:rsidRPr="007B701A">
        <w:rPr>
          <w:b/>
          <w:sz w:val="22"/>
          <w:szCs w:val="22"/>
        </w:rPr>
        <w:t xml:space="preserve">8. </w:t>
      </w:r>
      <w:r>
        <w:rPr>
          <w:b/>
          <w:sz w:val="22"/>
          <w:szCs w:val="22"/>
        </w:rPr>
        <w:tab/>
        <w:t>REGISTRACIJOS</w:t>
      </w:r>
      <w:r w:rsidRPr="007B701A">
        <w:rPr>
          <w:b/>
          <w:sz w:val="22"/>
          <w:szCs w:val="22"/>
        </w:rPr>
        <w:t xml:space="preserve"> PAŽYMĖJIMO NUMERIS</w:t>
      </w:r>
    </w:p>
    <w:p w14:paraId="0E188A9E" w14:textId="77777777" w:rsidR="00F2007D" w:rsidRPr="007B701A" w:rsidRDefault="00F2007D" w:rsidP="00F2007D">
      <w:pPr>
        <w:rPr>
          <w:sz w:val="22"/>
          <w:szCs w:val="22"/>
        </w:rPr>
      </w:pPr>
    </w:p>
    <w:p w14:paraId="5E8A7CE1" w14:textId="77777777" w:rsidR="00F2007D" w:rsidRPr="007B701A" w:rsidRDefault="00F2007D" w:rsidP="00F2007D">
      <w:pPr>
        <w:rPr>
          <w:sz w:val="22"/>
          <w:szCs w:val="22"/>
        </w:rPr>
      </w:pPr>
      <w:r w:rsidRPr="007B701A">
        <w:rPr>
          <w:sz w:val="22"/>
          <w:szCs w:val="22"/>
        </w:rPr>
        <w:t>LT/1/97/0324/002</w:t>
      </w:r>
    </w:p>
    <w:p w14:paraId="01E5A766" w14:textId="77777777" w:rsidR="00F2007D" w:rsidRPr="007B701A" w:rsidRDefault="00F2007D" w:rsidP="00F2007D">
      <w:pPr>
        <w:rPr>
          <w:b/>
          <w:sz w:val="22"/>
          <w:szCs w:val="22"/>
        </w:rPr>
      </w:pPr>
    </w:p>
    <w:p w14:paraId="6253977E" w14:textId="77777777" w:rsidR="00F2007D" w:rsidRPr="007B701A" w:rsidRDefault="00F2007D" w:rsidP="00F2007D">
      <w:pPr>
        <w:rPr>
          <w:b/>
          <w:sz w:val="22"/>
          <w:szCs w:val="22"/>
        </w:rPr>
      </w:pPr>
    </w:p>
    <w:p w14:paraId="3BE7B9C2" w14:textId="77777777" w:rsidR="00F2007D" w:rsidRPr="007B701A" w:rsidRDefault="00F2007D" w:rsidP="00F2007D">
      <w:pPr>
        <w:tabs>
          <w:tab w:val="left" w:pos="567"/>
        </w:tabs>
        <w:rPr>
          <w:b/>
          <w:sz w:val="22"/>
          <w:szCs w:val="22"/>
        </w:rPr>
      </w:pPr>
      <w:r w:rsidRPr="007B701A">
        <w:rPr>
          <w:b/>
          <w:sz w:val="22"/>
          <w:szCs w:val="22"/>
        </w:rPr>
        <w:t xml:space="preserve">9. </w:t>
      </w:r>
      <w:r>
        <w:rPr>
          <w:b/>
          <w:sz w:val="22"/>
          <w:szCs w:val="22"/>
        </w:rPr>
        <w:tab/>
        <w:t>REGISTRAVIMO</w:t>
      </w:r>
      <w:r w:rsidRPr="007B701A">
        <w:rPr>
          <w:b/>
          <w:sz w:val="22"/>
          <w:szCs w:val="22"/>
        </w:rPr>
        <w:t xml:space="preserve"> / </w:t>
      </w:r>
      <w:r>
        <w:rPr>
          <w:b/>
          <w:sz w:val="22"/>
          <w:szCs w:val="22"/>
        </w:rPr>
        <w:t>PERREGISTRAVIMO</w:t>
      </w:r>
      <w:r w:rsidRPr="007B701A">
        <w:rPr>
          <w:b/>
          <w:sz w:val="22"/>
          <w:szCs w:val="22"/>
        </w:rPr>
        <w:t xml:space="preserve"> DATA</w:t>
      </w:r>
    </w:p>
    <w:p w14:paraId="43CE110E" w14:textId="77777777" w:rsidR="00F2007D" w:rsidRPr="007B701A" w:rsidRDefault="00F2007D" w:rsidP="00F2007D">
      <w:pPr>
        <w:rPr>
          <w:b/>
          <w:sz w:val="22"/>
          <w:szCs w:val="22"/>
        </w:rPr>
      </w:pPr>
    </w:p>
    <w:p w14:paraId="53712E29" w14:textId="77777777" w:rsidR="00F2007D" w:rsidRPr="007B701A" w:rsidRDefault="00F2007D" w:rsidP="00F2007D">
      <w:pPr>
        <w:overflowPunct/>
        <w:autoSpaceDE/>
        <w:autoSpaceDN/>
        <w:adjustRightInd/>
        <w:textAlignment w:val="auto"/>
        <w:rPr>
          <w:snapToGrid w:val="0"/>
          <w:sz w:val="22"/>
          <w:szCs w:val="22"/>
        </w:rPr>
      </w:pPr>
      <w:r>
        <w:rPr>
          <w:noProof/>
          <w:snapToGrid w:val="0"/>
          <w:sz w:val="22"/>
          <w:szCs w:val="22"/>
        </w:rPr>
        <w:t>Registravimo data</w:t>
      </w:r>
      <w:r w:rsidRPr="007B701A">
        <w:rPr>
          <w:noProof/>
          <w:snapToGrid w:val="0"/>
          <w:sz w:val="22"/>
          <w:szCs w:val="22"/>
        </w:rPr>
        <w:t xml:space="preserve"> 1997 m. gruodžio mėn. 22 d.</w:t>
      </w:r>
    </w:p>
    <w:p w14:paraId="3804C033" w14:textId="77777777" w:rsidR="00F2007D" w:rsidRPr="007B701A" w:rsidRDefault="00F2007D" w:rsidP="00F2007D">
      <w:pPr>
        <w:rPr>
          <w:sz w:val="22"/>
          <w:szCs w:val="22"/>
        </w:rPr>
      </w:pPr>
      <w:r>
        <w:rPr>
          <w:noProof/>
          <w:snapToGrid w:val="0"/>
          <w:sz w:val="22"/>
          <w:szCs w:val="22"/>
        </w:rPr>
        <w:t>Paskutinio perregistravimo data</w:t>
      </w:r>
      <w:r w:rsidRPr="007B701A">
        <w:rPr>
          <w:noProof/>
          <w:snapToGrid w:val="0"/>
          <w:sz w:val="22"/>
          <w:szCs w:val="22"/>
        </w:rPr>
        <w:t xml:space="preserve"> </w:t>
      </w:r>
      <w:r w:rsidRPr="007B701A">
        <w:rPr>
          <w:noProof/>
          <w:sz w:val="22"/>
          <w:szCs w:val="22"/>
        </w:rPr>
        <w:t>2010 m. balandžio mėn.</w:t>
      </w:r>
      <w:r w:rsidRPr="007B701A">
        <w:rPr>
          <w:sz w:val="22"/>
          <w:szCs w:val="22"/>
        </w:rPr>
        <w:t xml:space="preserve"> </w:t>
      </w:r>
      <w:r w:rsidRPr="007B701A">
        <w:rPr>
          <w:noProof/>
          <w:sz w:val="22"/>
          <w:szCs w:val="22"/>
        </w:rPr>
        <w:t>28 d.</w:t>
      </w:r>
    </w:p>
    <w:p w14:paraId="294E2E2F" w14:textId="77777777" w:rsidR="00F2007D" w:rsidRPr="007B701A" w:rsidRDefault="00F2007D" w:rsidP="00F2007D">
      <w:pPr>
        <w:rPr>
          <w:sz w:val="22"/>
          <w:szCs w:val="22"/>
        </w:rPr>
      </w:pPr>
    </w:p>
    <w:p w14:paraId="374E89C1" w14:textId="77777777" w:rsidR="00F2007D" w:rsidRPr="007B701A" w:rsidRDefault="00F2007D" w:rsidP="00F2007D">
      <w:pPr>
        <w:rPr>
          <w:sz w:val="22"/>
          <w:szCs w:val="22"/>
        </w:rPr>
      </w:pPr>
    </w:p>
    <w:p w14:paraId="5B07924B" w14:textId="77777777" w:rsidR="00F2007D" w:rsidRPr="007B701A" w:rsidRDefault="00F2007D" w:rsidP="00F2007D">
      <w:pPr>
        <w:tabs>
          <w:tab w:val="left" w:pos="567"/>
        </w:tabs>
        <w:rPr>
          <w:b/>
          <w:sz w:val="22"/>
          <w:szCs w:val="22"/>
        </w:rPr>
      </w:pPr>
      <w:r w:rsidRPr="007B701A">
        <w:rPr>
          <w:b/>
          <w:sz w:val="22"/>
          <w:szCs w:val="22"/>
        </w:rPr>
        <w:t>10.</w:t>
      </w:r>
      <w:r w:rsidRPr="007B701A">
        <w:rPr>
          <w:sz w:val="22"/>
          <w:szCs w:val="22"/>
        </w:rPr>
        <w:t xml:space="preserve"> </w:t>
      </w:r>
      <w:r>
        <w:rPr>
          <w:sz w:val="22"/>
          <w:szCs w:val="22"/>
        </w:rPr>
        <w:tab/>
      </w:r>
      <w:r w:rsidRPr="0033591C">
        <w:rPr>
          <w:b/>
          <w:sz w:val="22"/>
          <w:szCs w:val="22"/>
        </w:rPr>
        <w:t>T</w:t>
      </w:r>
      <w:r w:rsidRPr="007B701A">
        <w:rPr>
          <w:b/>
          <w:sz w:val="22"/>
          <w:szCs w:val="22"/>
        </w:rPr>
        <w:t>EKSTO PERŽIŪROS DATA</w:t>
      </w:r>
    </w:p>
    <w:p w14:paraId="4C8437A3" w14:textId="77777777" w:rsidR="00F2007D" w:rsidRPr="007B701A" w:rsidRDefault="00F2007D" w:rsidP="00F2007D">
      <w:pPr>
        <w:overflowPunct/>
        <w:autoSpaceDE/>
        <w:autoSpaceDN/>
        <w:adjustRightInd/>
        <w:textAlignment w:val="auto"/>
        <w:rPr>
          <w:sz w:val="22"/>
          <w:szCs w:val="22"/>
        </w:rPr>
      </w:pPr>
    </w:p>
    <w:p w14:paraId="075753BE" w14:textId="31297F86" w:rsidR="00F2007D" w:rsidRPr="007B701A" w:rsidRDefault="00492ADB" w:rsidP="00F2007D">
      <w:pPr>
        <w:overflowPunct/>
        <w:autoSpaceDE/>
        <w:autoSpaceDN/>
        <w:adjustRightInd/>
        <w:textAlignment w:val="auto"/>
        <w:rPr>
          <w:noProof/>
          <w:sz w:val="22"/>
          <w:szCs w:val="22"/>
        </w:rPr>
      </w:pPr>
      <w:r>
        <w:rPr>
          <w:noProof/>
          <w:sz w:val="22"/>
          <w:szCs w:val="22"/>
        </w:rPr>
        <w:t>201</w:t>
      </w:r>
      <w:r w:rsidR="00B00BF0">
        <w:rPr>
          <w:noProof/>
          <w:sz w:val="22"/>
          <w:szCs w:val="22"/>
        </w:rPr>
        <w:t>8</w:t>
      </w:r>
      <w:r>
        <w:rPr>
          <w:noProof/>
          <w:sz w:val="22"/>
          <w:szCs w:val="22"/>
        </w:rPr>
        <w:t>-0</w:t>
      </w:r>
      <w:r w:rsidR="00B00BF0">
        <w:rPr>
          <w:noProof/>
          <w:sz w:val="22"/>
          <w:szCs w:val="22"/>
        </w:rPr>
        <w:t>1</w:t>
      </w:r>
      <w:r>
        <w:rPr>
          <w:noProof/>
          <w:sz w:val="22"/>
          <w:szCs w:val="22"/>
        </w:rPr>
        <w:t>-0</w:t>
      </w:r>
      <w:r w:rsidR="00B00BF0">
        <w:rPr>
          <w:noProof/>
          <w:sz w:val="22"/>
          <w:szCs w:val="22"/>
        </w:rPr>
        <w:t>1</w:t>
      </w:r>
    </w:p>
    <w:p w14:paraId="3C34463D" w14:textId="77777777" w:rsidR="00F2007D" w:rsidRPr="007B701A" w:rsidRDefault="00F2007D" w:rsidP="00F2007D">
      <w:pPr>
        <w:overflowPunct/>
        <w:autoSpaceDE/>
        <w:autoSpaceDN/>
        <w:adjustRightInd/>
        <w:textAlignment w:val="auto"/>
        <w:rPr>
          <w:noProof/>
          <w:sz w:val="22"/>
          <w:szCs w:val="22"/>
        </w:rPr>
      </w:pPr>
    </w:p>
    <w:p w14:paraId="3C775E10" w14:textId="69D041C5" w:rsidR="00F2007D" w:rsidRPr="007B701A" w:rsidRDefault="00F2007D" w:rsidP="00F2007D">
      <w:pPr>
        <w:overflowPunct/>
        <w:autoSpaceDE/>
        <w:autoSpaceDN/>
        <w:adjustRightInd/>
        <w:textAlignment w:val="auto"/>
        <w:rPr>
          <w:noProof/>
          <w:color w:val="0000FF"/>
          <w:sz w:val="22"/>
          <w:szCs w:val="22"/>
        </w:rPr>
      </w:pPr>
      <w:r w:rsidRPr="007B701A">
        <w:rPr>
          <w:noProof/>
          <w:sz w:val="22"/>
          <w:szCs w:val="22"/>
        </w:rPr>
        <w:t>Išsami informacija apie šį vaistinį preparatą pateikiama Valstybinės vaistų kontrolės tarnybos prie Lietuvos Respublikos sveikatos apsaugos ministerijos tinklalapyje</w:t>
      </w:r>
      <w:r w:rsidRPr="007B701A">
        <w:rPr>
          <w:i/>
          <w:noProof/>
          <w:sz w:val="22"/>
          <w:szCs w:val="22"/>
        </w:rPr>
        <w:t xml:space="preserve"> </w:t>
      </w:r>
      <w:hyperlink r:id="rId12" w:history="1">
        <w:r w:rsidRPr="007B701A">
          <w:rPr>
            <w:noProof/>
            <w:color w:val="0000FF"/>
            <w:sz w:val="22"/>
            <w:szCs w:val="22"/>
          </w:rPr>
          <w:t>http://www.vvkt.lt/</w:t>
        </w:r>
      </w:hyperlink>
    </w:p>
    <w:p w14:paraId="4A6065BA" w14:textId="77777777" w:rsidR="00F2007D" w:rsidRPr="007B701A" w:rsidRDefault="00F2007D" w:rsidP="00F2007D">
      <w:pPr>
        <w:rPr>
          <w:b/>
          <w:sz w:val="22"/>
          <w:szCs w:val="22"/>
        </w:rPr>
      </w:pPr>
    </w:p>
    <w:p w14:paraId="6F2B6935" w14:textId="77777777" w:rsidR="00F2007D" w:rsidRPr="007B701A" w:rsidRDefault="00F2007D" w:rsidP="00F2007D">
      <w:pPr>
        <w:overflowPunct/>
        <w:autoSpaceDE/>
        <w:autoSpaceDN/>
        <w:adjustRightInd/>
        <w:textAlignment w:val="auto"/>
        <w:outlineLvl w:val="0"/>
        <w:rPr>
          <w:b/>
          <w:bCs/>
          <w:kern w:val="28"/>
          <w:sz w:val="22"/>
          <w:szCs w:val="22"/>
        </w:rPr>
      </w:pPr>
      <w:r w:rsidRPr="007B701A">
        <w:rPr>
          <w:b/>
          <w:bCs/>
          <w:kern w:val="28"/>
          <w:sz w:val="22"/>
          <w:szCs w:val="22"/>
        </w:rPr>
        <w:br w:type="page"/>
      </w:r>
    </w:p>
    <w:p w14:paraId="6F7011E2"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396B0037"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58F41439"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26B8AB2C"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158B7002"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2154B8F9"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4A48DD6E"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6863AEE8"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5339F457"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715F8352"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783DD932"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77C24F78"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746F959E"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77CBC54E"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5F5D4BBA"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192F0B4B"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3CD1053A"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39C258C3"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6FD410BF"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35935C69"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714CE6B5"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2E3BA14B"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40A797AF" w14:textId="77777777" w:rsidR="00F2007D" w:rsidRPr="007B701A" w:rsidRDefault="00F2007D" w:rsidP="00F2007D">
      <w:pPr>
        <w:overflowPunct/>
        <w:autoSpaceDE/>
        <w:autoSpaceDN/>
        <w:adjustRightInd/>
        <w:jc w:val="center"/>
        <w:textAlignment w:val="auto"/>
        <w:outlineLvl w:val="0"/>
        <w:rPr>
          <w:b/>
          <w:bCs/>
          <w:kern w:val="28"/>
          <w:sz w:val="22"/>
          <w:szCs w:val="22"/>
        </w:rPr>
      </w:pPr>
      <w:r w:rsidRPr="007B701A">
        <w:rPr>
          <w:b/>
          <w:bCs/>
          <w:kern w:val="28"/>
          <w:sz w:val="22"/>
          <w:szCs w:val="22"/>
        </w:rPr>
        <w:t>II PRIEDAS</w:t>
      </w:r>
    </w:p>
    <w:p w14:paraId="7872DB74"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6959EAE6" w14:textId="77777777" w:rsidR="00F2007D" w:rsidRPr="007B701A" w:rsidRDefault="00F2007D" w:rsidP="00F2007D">
      <w:pPr>
        <w:jc w:val="center"/>
        <w:rPr>
          <w:b/>
          <w:sz w:val="22"/>
          <w:szCs w:val="22"/>
        </w:rPr>
      </w:pPr>
      <w:r w:rsidRPr="007B701A">
        <w:rPr>
          <w:b/>
          <w:sz w:val="22"/>
          <w:szCs w:val="22"/>
        </w:rPr>
        <w:t>R</w:t>
      </w:r>
      <w:r>
        <w:rPr>
          <w:b/>
          <w:sz w:val="22"/>
          <w:szCs w:val="22"/>
        </w:rPr>
        <w:t>EGISTRACIJOS</w:t>
      </w:r>
      <w:r w:rsidRPr="007B701A">
        <w:rPr>
          <w:b/>
          <w:sz w:val="22"/>
          <w:szCs w:val="22"/>
        </w:rPr>
        <w:t xml:space="preserve"> SĄLYGOS</w:t>
      </w:r>
    </w:p>
    <w:p w14:paraId="399559D7" w14:textId="77777777" w:rsidR="00F2007D" w:rsidRPr="007B701A" w:rsidRDefault="00F2007D" w:rsidP="00F2007D">
      <w:pPr>
        <w:jc w:val="center"/>
        <w:rPr>
          <w:b/>
          <w:sz w:val="22"/>
          <w:szCs w:val="22"/>
        </w:rPr>
      </w:pPr>
    </w:p>
    <w:p w14:paraId="31A4503E" w14:textId="77777777" w:rsidR="00F2007D" w:rsidRPr="007B701A" w:rsidRDefault="00F2007D" w:rsidP="00F2007D">
      <w:pPr>
        <w:ind w:left="567" w:firstLine="567"/>
        <w:rPr>
          <w:b/>
          <w:sz w:val="22"/>
          <w:szCs w:val="22"/>
        </w:rPr>
      </w:pPr>
      <w:r w:rsidRPr="007B701A">
        <w:rPr>
          <w:b/>
          <w:sz w:val="22"/>
          <w:szCs w:val="22"/>
        </w:rPr>
        <w:t>A. GAMINTOJAS (-AI), ATSAKINGAS (-I) UŽ SERIJŲ IŠLEIDIMĄ</w:t>
      </w:r>
    </w:p>
    <w:p w14:paraId="07A72AC7" w14:textId="77777777" w:rsidR="00F2007D" w:rsidRPr="007B701A" w:rsidRDefault="00F2007D" w:rsidP="00F2007D">
      <w:pPr>
        <w:ind w:left="567" w:firstLine="567"/>
        <w:jc w:val="center"/>
        <w:rPr>
          <w:b/>
          <w:sz w:val="22"/>
          <w:szCs w:val="22"/>
        </w:rPr>
      </w:pPr>
    </w:p>
    <w:p w14:paraId="3320B603" w14:textId="77777777" w:rsidR="00F2007D" w:rsidRPr="007B701A" w:rsidRDefault="00F2007D" w:rsidP="00F2007D">
      <w:pPr>
        <w:keepNext/>
        <w:ind w:left="567" w:firstLine="567"/>
        <w:outlineLvl w:val="0"/>
        <w:rPr>
          <w:b/>
          <w:iCs/>
          <w:sz w:val="22"/>
          <w:szCs w:val="22"/>
        </w:rPr>
      </w:pPr>
      <w:r w:rsidRPr="007B701A">
        <w:rPr>
          <w:b/>
          <w:iCs/>
          <w:sz w:val="22"/>
          <w:szCs w:val="22"/>
        </w:rPr>
        <w:t>B. TIEKIMO IR VARTOJIMO SĄLYGOS AR APRIBOJIMAI</w:t>
      </w:r>
    </w:p>
    <w:p w14:paraId="08F360E4" w14:textId="77777777" w:rsidR="00F2007D" w:rsidRPr="007B701A" w:rsidRDefault="00F2007D" w:rsidP="00F2007D">
      <w:pPr>
        <w:spacing w:after="120"/>
        <w:rPr>
          <w:b/>
          <w:sz w:val="22"/>
          <w:szCs w:val="22"/>
        </w:rPr>
      </w:pPr>
    </w:p>
    <w:p w14:paraId="7BD8CF76" w14:textId="77777777" w:rsidR="00F2007D" w:rsidRPr="007B701A" w:rsidRDefault="00F2007D" w:rsidP="00F2007D">
      <w:pPr>
        <w:tabs>
          <w:tab w:val="left" w:pos="567"/>
        </w:tabs>
        <w:spacing w:after="120"/>
        <w:rPr>
          <w:b/>
          <w:sz w:val="22"/>
          <w:szCs w:val="22"/>
        </w:rPr>
      </w:pPr>
      <w:r w:rsidRPr="007B701A">
        <w:rPr>
          <w:b/>
          <w:sz w:val="22"/>
          <w:szCs w:val="22"/>
        </w:rPr>
        <w:br w:type="page"/>
      </w:r>
      <w:r w:rsidRPr="007B701A">
        <w:rPr>
          <w:b/>
          <w:sz w:val="22"/>
          <w:szCs w:val="22"/>
        </w:rPr>
        <w:lastRenderedPageBreak/>
        <w:t>A.</w:t>
      </w:r>
      <w:r w:rsidRPr="007B701A">
        <w:rPr>
          <w:b/>
          <w:sz w:val="22"/>
          <w:szCs w:val="22"/>
        </w:rPr>
        <w:tab/>
        <w:t>GAMINTOJAS (-AI), ATSAKINGAS (-I) UŽ SERIJŲ IŠLEIDIMĄ</w:t>
      </w:r>
    </w:p>
    <w:p w14:paraId="479BCA64" w14:textId="77777777" w:rsidR="00F2007D" w:rsidRPr="007B701A" w:rsidRDefault="00F2007D" w:rsidP="00F2007D">
      <w:pPr>
        <w:rPr>
          <w:sz w:val="22"/>
          <w:szCs w:val="22"/>
        </w:rPr>
      </w:pPr>
    </w:p>
    <w:p w14:paraId="3EB04727" w14:textId="77777777" w:rsidR="00F2007D" w:rsidRPr="007B701A" w:rsidRDefault="00F2007D" w:rsidP="00F2007D">
      <w:pPr>
        <w:rPr>
          <w:sz w:val="22"/>
          <w:szCs w:val="22"/>
          <w:u w:val="single"/>
        </w:rPr>
      </w:pPr>
      <w:r w:rsidRPr="007B701A">
        <w:rPr>
          <w:sz w:val="22"/>
          <w:szCs w:val="22"/>
          <w:u w:val="single"/>
        </w:rPr>
        <w:t>Gamintojo, atsakingo už serijų išleidimą, pavadinimas ir adresas</w:t>
      </w:r>
    </w:p>
    <w:p w14:paraId="0BA6816E" w14:textId="77777777" w:rsidR="00F2007D" w:rsidRPr="007B701A" w:rsidRDefault="00F2007D" w:rsidP="00F2007D">
      <w:pPr>
        <w:rPr>
          <w:sz w:val="22"/>
          <w:szCs w:val="22"/>
        </w:rPr>
      </w:pPr>
    </w:p>
    <w:p w14:paraId="0DC01FC6" w14:textId="77777777" w:rsidR="00F2007D" w:rsidRPr="007B701A" w:rsidRDefault="00F2007D" w:rsidP="00F2007D">
      <w:pPr>
        <w:rPr>
          <w:sz w:val="22"/>
          <w:szCs w:val="22"/>
        </w:rPr>
      </w:pPr>
      <w:r w:rsidRPr="007B701A">
        <w:rPr>
          <w:sz w:val="22"/>
          <w:szCs w:val="22"/>
        </w:rPr>
        <w:t xml:space="preserve">Salutas Pharma GmbH </w:t>
      </w:r>
    </w:p>
    <w:p w14:paraId="1E8F94FF" w14:textId="75782371" w:rsidR="00F2007D" w:rsidRPr="007B701A" w:rsidRDefault="00F2007D" w:rsidP="00F2007D">
      <w:pPr>
        <w:rPr>
          <w:sz w:val="22"/>
          <w:szCs w:val="22"/>
        </w:rPr>
      </w:pPr>
      <w:r w:rsidRPr="007B701A">
        <w:rPr>
          <w:sz w:val="22"/>
          <w:szCs w:val="22"/>
        </w:rPr>
        <w:t>Otto-von-Guericke-Alee 1</w:t>
      </w:r>
    </w:p>
    <w:p w14:paraId="0553B89B" w14:textId="77777777" w:rsidR="00F2007D" w:rsidRPr="007B701A" w:rsidRDefault="00F2007D" w:rsidP="00F2007D">
      <w:pPr>
        <w:rPr>
          <w:sz w:val="22"/>
          <w:szCs w:val="22"/>
        </w:rPr>
      </w:pPr>
      <w:r w:rsidRPr="007B701A">
        <w:rPr>
          <w:sz w:val="22"/>
          <w:szCs w:val="22"/>
        </w:rPr>
        <w:t>D-39179 Barleben</w:t>
      </w:r>
    </w:p>
    <w:p w14:paraId="77DDCE19" w14:textId="77777777" w:rsidR="00F2007D" w:rsidRPr="007B701A" w:rsidRDefault="00F2007D" w:rsidP="00F2007D">
      <w:pPr>
        <w:rPr>
          <w:sz w:val="22"/>
          <w:szCs w:val="22"/>
        </w:rPr>
      </w:pPr>
      <w:r w:rsidRPr="007B701A">
        <w:rPr>
          <w:sz w:val="22"/>
          <w:szCs w:val="22"/>
        </w:rPr>
        <w:t>Vokietija</w:t>
      </w:r>
    </w:p>
    <w:p w14:paraId="13389357" w14:textId="77777777" w:rsidR="00F2007D" w:rsidRPr="007B701A" w:rsidRDefault="00F2007D" w:rsidP="00F2007D">
      <w:pPr>
        <w:rPr>
          <w:sz w:val="22"/>
          <w:szCs w:val="22"/>
        </w:rPr>
      </w:pPr>
    </w:p>
    <w:p w14:paraId="7C7926A0" w14:textId="77777777" w:rsidR="00F2007D" w:rsidRPr="007B701A" w:rsidRDefault="00F2007D" w:rsidP="00F2007D">
      <w:pPr>
        <w:rPr>
          <w:b/>
          <w:sz w:val="22"/>
          <w:szCs w:val="22"/>
        </w:rPr>
      </w:pPr>
    </w:p>
    <w:p w14:paraId="4ECBC6E7" w14:textId="77777777" w:rsidR="00F2007D" w:rsidRPr="007B701A" w:rsidRDefault="00F2007D" w:rsidP="00F2007D">
      <w:pPr>
        <w:tabs>
          <w:tab w:val="left" w:pos="567"/>
        </w:tabs>
        <w:rPr>
          <w:b/>
          <w:sz w:val="22"/>
          <w:szCs w:val="22"/>
        </w:rPr>
      </w:pPr>
      <w:r w:rsidRPr="007B701A">
        <w:rPr>
          <w:b/>
          <w:sz w:val="22"/>
          <w:szCs w:val="22"/>
        </w:rPr>
        <w:t>B.</w:t>
      </w:r>
      <w:r w:rsidRPr="007B701A">
        <w:rPr>
          <w:b/>
          <w:sz w:val="22"/>
          <w:szCs w:val="22"/>
        </w:rPr>
        <w:tab/>
        <w:t>TIEKIMO IR VARTOJIMO SĄLYGOS AR APRIBOJIMAI</w:t>
      </w:r>
    </w:p>
    <w:p w14:paraId="7A9A72A4" w14:textId="77777777" w:rsidR="00F2007D" w:rsidRPr="007B701A" w:rsidRDefault="00F2007D" w:rsidP="00F2007D">
      <w:pPr>
        <w:rPr>
          <w:sz w:val="22"/>
          <w:szCs w:val="22"/>
        </w:rPr>
      </w:pPr>
    </w:p>
    <w:p w14:paraId="122CFEE8" w14:textId="1CF49014" w:rsidR="00F2007D" w:rsidRPr="007B701A" w:rsidRDefault="00F2007D" w:rsidP="00F2007D">
      <w:pPr>
        <w:rPr>
          <w:sz w:val="22"/>
          <w:szCs w:val="22"/>
        </w:rPr>
      </w:pPr>
      <w:r>
        <w:rPr>
          <w:sz w:val="22"/>
          <w:szCs w:val="22"/>
        </w:rPr>
        <w:t>Ner</w:t>
      </w:r>
      <w:r w:rsidRPr="007B701A">
        <w:rPr>
          <w:sz w:val="22"/>
          <w:szCs w:val="22"/>
        </w:rPr>
        <w:t>eceptinis vaistinis preparatas.</w:t>
      </w:r>
    </w:p>
    <w:p w14:paraId="633BD189" w14:textId="77777777" w:rsidR="00F2007D" w:rsidRPr="007B701A" w:rsidRDefault="00F2007D" w:rsidP="00F2007D">
      <w:pPr>
        <w:spacing w:after="120"/>
        <w:rPr>
          <w:sz w:val="22"/>
          <w:szCs w:val="22"/>
        </w:rPr>
      </w:pPr>
    </w:p>
    <w:p w14:paraId="08E26B03" w14:textId="77777777" w:rsidR="00F2007D" w:rsidRPr="007B701A" w:rsidRDefault="00F2007D" w:rsidP="00F2007D">
      <w:pPr>
        <w:spacing w:after="120"/>
        <w:rPr>
          <w:sz w:val="22"/>
          <w:szCs w:val="22"/>
        </w:rPr>
      </w:pPr>
    </w:p>
    <w:p w14:paraId="2F5C9617" w14:textId="77777777" w:rsidR="00F2007D" w:rsidRPr="007B701A" w:rsidRDefault="00F2007D" w:rsidP="00F2007D">
      <w:pPr>
        <w:overflowPunct/>
        <w:autoSpaceDE/>
        <w:autoSpaceDN/>
        <w:adjustRightInd/>
        <w:textAlignment w:val="auto"/>
        <w:outlineLvl w:val="0"/>
        <w:rPr>
          <w:b/>
          <w:bCs/>
          <w:kern w:val="28"/>
          <w:sz w:val="22"/>
          <w:szCs w:val="22"/>
        </w:rPr>
      </w:pPr>
    </w:p>
    <w:p w14:paraId="0DF6B43E" w14:textId="77777777" w:rsidR="00A47281" w:rsidRDefault="00A47281">
      <w:pPr>
        <w:overflowPunct/>
        <w:autoSpaceDE/>
        <w:autoSpaceDN/>
        <w:adjustRightInd/>
        <w:spacing w:after="200" w:line="276" w:lineRule="auto"/>
        <w:textAlignment w:val="auto"/>
        <w:rPr>
          <w:b/>
          <w:bCs/>
          <w:kern w:val="28"/>
          <w:sz w:val="22"/>
          <w:szCs w:val="22"/>
        </w:rPr>
      </w:pPr>
      <w:r>
        <w:rPr>
          <w:b/>
          <w:bCs/>
          <w:kern w:val="28"/>
          <w:sz w:val="22"/>
          <w:szCs w:val="22"/>
        </w:rPr>
        <w:br w:type="page"/>
      </w:r>
    </w:p>
    <w:p w14:paraId="4C6D77BA" w14:textId="77777777" w:rsidR="00F2007D" w:rsidRPr="007B701A" w:rsidRDefault="00F2007D" w:rsidP="00F2007D">
      <w:pPr>
        <w:overflowPunct/>
        <w:autoSpaceDE/>
        <w:autoSpaceDN/>
        <w:adjustRightInd/>
        <w:textAlignment w:val="auto"/>
        <w:outlineLvl w:val="0"/>
        <w:rPr>
          <w:b/>
          <w:bCs/>
          <w:kern w:val="28"/>
          <w:sz w:val="22"/>
          <w:szCs w:val="22"/>
        </w:rPr>
      </w:pPr>
    </w:p>
    <w:p w14:paraId="1E97062B" w14:textId="77777777" w:rsidR="00F2007D" w:rsidRPr="007B701A" w:rsidRDefault="00F2007D" w:rsidP="00F2007D">
      <w:pPr>
        <w:overflowPunct/>
        <w:autoSpaceDE/>
        <w:autoSpaceDN/>
        <w:adjustRightInd/>
        <w:textAlignment w:val="auto"/>
        <w:outlineLvl w:val="0"/>
        <w:rPr>
          <w:b/>
          <w:bCs/>
          <w:kern w:val="28"/>
          <w:sz w:val="22"/>
          <w:szCs w:val="22"/>
        </w:rPr>
      </w:pPr>
    </w:p>
    <w:p w14:paraId="22D4732B" w14:textId="77777777" w:rsidR="00F2007D" w:rsidRPr="007B701A" w:rsidRDefault="00F2007D" w:rsidP="00F2007D">
      <w:pPr>
        <w:overflowPunct/>
        <w:autoSpaceDE/>
        <w:autoSpaceDN/>
        <w:adjustRightInd/>
        <w:textAlignment w:val="auto"/>
        <w:outlineLvl w:val="0"/>
        <w:rPr>
          <w:b/>
          <w:bCs/>
          <w:kern w:val="28"/>
          <w:sz w:val="22"/>
          <w:szCs w:val="22"/>
        </w:rPr>
      </w:pPr>
    </w:p>
    <w:p w14:paraId="4B530067" w14:textId="77777777" w:rsidR="00F2007D" w:rsidRPr="007B701A" w:rsidRDefault="00F2007D" w:rsidP="00F2007D">
      <w:pPr>
        <w:overflowPunct/>
        <w:autoSpaceDE/>
        <w:autoSpaceDN/>
        <w:adjustRightInd/>
        <w:textAlignment w:val="auto"/>
        <w:outlineLvl w:val="0"/>
        <w:rPr>
          <w:b/>
          <w:bCs/>
          <w:kern w:val="28"/>
          <w:sz w:val="22"/>
          <w:szCs w:val="22"/>
        </w:rPr>
      </w:pPr>
    </w:p>
    <w:p w14:paraId="4A4349B5" w14:textId="77777777" w:rsidR="00F2007D" w:rsidRPr="007B701A" w:rsidRDefault="00F2007D" w:rsidP="00F2007D">
      <w:pPr>
        <w:overflowPunct/>
        <w:autoSpaceDE/>
        <w:autoSpaceDN/>
        <w:adjustRightInd/>
        <w:textAlignment w:val="auto"/>
        <w:outlineLvl w:val="0"/>
        <w:rPr>
          <w:b/>
          <w:bCs/>
          <w:kern w:val="28"/>
          <w:sz w:val="22"/>
          <w:szCs w:val="22"/>
        </w:rPr>
      </w:pPr>
    </w:p>
    <w:p w14:paraId="126F79E0" w14:textId="77777777" w:rsidR="00F2007D" w:rsidRPr="007B701A" w:rsidRDefault="00F2007D" w:rsidP="00F2007D">
      <w:pPr>
        <w:overflowPunct/>
        <w:autoSpaceDE/>
        <w:autoSpaceDN/>
        <w:adjustRightInd/>
        <w:textAlignment w:val="auto"/>
        <w:outlineLvl w:val="0"/>
        <w:rPr>
          <w:b/>
          <w:bCs/>
          <w:kern w:val="28"/>
          <w:sz w:val="22"/>
          <w:szCs w:val="22"/>
        </w:rPr>
      </w:pPr>
    </w:p>
    <w:p w14:paraId="59A34709" w14:textId="77777777" w:rsidR="00F2007D" w:rsidRPr="007B701A" w:rsidRDefault="00F2007D" w:rsidP="00F2007D">
      <w:pPr>
        <w:overflowPunct/>
        <w:autoSpaceDE/>
        <w:autoSpaceDN/>
        <w:adjustRightInd/>
        <w:textAlignment w:val="auto"/>
        <w:outlineLvl w:val="0"/>
        <w:rPr>
          <w:b/>
          <w:bCs/>
          <w:kern w:val="28"/>
          <w:sz w:val="22"/>
          <w:szCs w:val="22"/>
        </w:rPr>
      </w:pPr>
    </w:p>
    <w:p w14:paraId="67E91B1B" w14:textId="77777777" w:rsidR="00F2007D" w:rsidRPr="007B701A" w:rsidRDefault="00F2007D" w:rsidP="00F2007D">
      <w:pPr>
        <w:overflowPunct/>
        <w:autoSpaceDE/>
        <w:autoSpaceDN/>
        <w:adjustRightInd/>
        <w:textAlignment w:val="auto"/>
        <w:outlineLvl w:val="0"/>
        <w:rPr>
          <w:b/>
          <w:bCs/>
          <w:kern w:val="28"/>
          <w:sz w:val="22"/>
          <w:szCs w:val="22"/>
        </w:rPr>
      </w:pPr>
    </w:p>
    <w:p w14:paraId="74C1B7CB" w14:textId="77777777" w:rsidR="00F2007D" w:rsidRPr="007B701A" w:rsidRDefault="00F2007D" w:rsidP="00F2007D">
      <w:pPr>
        <w:overflowPunct/>
        <w:autoSpaceDE/>
        <w:autoSpaceDN/>
        <w:adjustRightInd/>
        <w:textAlignment w:val="auto"/>
        <w:outlineLvl w:val="0"/>
        <w:rPr>
          <w:b/>
          <w:bCs/>
          <w:kern w:val="28"/>
          <w:sz w:val="22"/>
          <w:szCs w:val="22"/>
        </w:rPr>
      </w:pPr>
    </w:p>
    <w:p w14:paraId="46B4D08B" w14:textId="77777777" w:rsidR="00F2007D" w:rsidRPr="007B701A" w:rsidRDefault="00F2007D" w:rsidP="00F2007D">
      <w:pPr>
        <w:overflowPunct/>
        <w:autoSpaceDE/>
        <w:autoSpaceDN/>
        <w:adjustRightInd/>
        <w:textAlignment w:val="auto"/>
        <w:outlineLvl w:val="0"/>
        <w:rPr>
          <w:b/>
          <w:bCs/>
          <w:kern w:val="28"/>
          <w:sz w:val="22"/>
          <w:szCs w:val="22"/>
        </w:rPr>
      </w:pPr>
    </w:p>
    <w:p w14:paraId="21B1509F" w14:textId="77777777" w:rsidR="00F2007D" w:rsidRPr="007B701A" w:rsidRDefault="00F2007D" w:rsidP="00F2007D">
      <w:pPr>
        <w:overflowPunct/>
        <w:autoSpaceDE/>
        <w:autoSpaceDN/>
        <w:adjustRightInd/>
        <w:textAlignment w:val="auto"/>
        <w:outlineLvl w:val="0"/>
        <w:rPr>
          <w:b/>
          <w:bCs/>
          <w:kern w:val="28"/>
          <w:sz w:val="22"/>
          <w:szCs w:val="22"/>
        </w:rPr>
      </w:pPr>
    </w:p>
    <w:p w14:paraId="2A6E9B5C" w14:textId="77777777" w:rsidR="00F2007D" w:rsidRPr="007B701A" w:rsidRDefault="00F2007D" w:rsidP="00F2007D">
      <w:pPr>
        <w:overflowPunct/>
        <w:autoSpaceDE/>
        <w:autoSpaceDN/>
        <w:adjustRightInd/>
        <w:textAlignment w:val="auto"/>
        <w:outlineLvl w:val="0"/>
        <w:rPr>
          <w:b/>
          <w:bCs/>
          <w:kern w:val="28"/>
          <w:sz w:val="22"/>
          <w:szCs w:val="22"/>
        </w:rPr>
      </w:pPr>
    </w:p>
    <w:p w14:paraId="704AE9B7" w14:textId="77777777" w:rsidR="00F2007D" w:rsidRPr="007B701A" w:rsidRDefault="00F2007D" w:rsidP="00F2007D">
      <w:pPr>
        <w:overflowPunct/>
        <w:autoSpaceDE/>
        <w:autoSpaceDN/>
        <w:adjustRightInd/>
        <w:textAlignment w:val="auto"/>
        <w:outlineLvl w:val="0"/>
        <w:rPr>
          <w:b/>
          <w:bCs/>
          <w:kern w:val="28"/>
          <w:sz w:val="22"/>
          <w:szCs w:val="22"/>
        </w:rPr>
      </w:pPr>
    </w:p>
    <w:p w14:paraId="04F514C2" w14:textId="77777777" w:rsidR="00F2007D" w:rsidRPr="007B701A" w:rsidRDefault="00F2007D" w:rsidP="00F2007D">
      <w:pPr>
        <w:overflowPunct/>
        <w:autoSpaceDE/>
        <w:autoSpaceDN/>
        <w:adjustRightInd/>
        <w:textAlignment w:val="auto"/>
        <w:outlineLvl w:val="0"/>
        <w:rPr>
          <w:b/>
          <w:bCs/>
          <w:kern w:val="28"/>
          <w:sz w:val="22"/>
          <w:szCs w:val="22"/>
        </w:rPr>
      </w:pPr>
    </w:p>
    <w:p w14:paraId="492A12F2" w14:textId="77777777" w:rsidR="00F2007D" w:rsidRPr="007B701A" w:rsidRDefault="00F2007D" w:rsidP="00F2007D">
      <w:pPr>
        <w:overflowPunct/>
        <w:autoSpaceDE/>
        <w:autoSpaceDN/>
        <w:adjustRightInd/>
        <w:textAlignment w:val="auto"/>
        <w:outlineLvl w:val="0"/>
        <w:rPr>
          <w:b/>
          <w:bCs/>
          <w:kern w:val="28"/>
          <w:sz w:val="22"/>
          <w:szCs w:val="22"/>
        </w:rPr>
      </w:pPr>
    </w:p>
    <w:p w14:paraId="6E2597CA" w14:textId="77777777" w:rsidR="00F2007D" w:rsidRPr="007B701A" w:rsidRDefault="00F2007D" w:rsidP="00F2007D">
      <w:pPr>
        <w:overflowPunct/>
        <w:autoSpaceDE/>
        <w:autoSpaceDN/>
        <w:adjustRightInd/>
        <w:textAlignment w:val="auto"/>
        <w:outlineLvl w:val="0"/>
        <w:rPr>
          <w:b/>
          <w:bCs/>
          <w:kern w:val="28"/>
          <w:sz w:val="22"/>
          <w:szCs w:val="22"/>
        </w:rPr>
      </w:pPr>
    </w:p>
    <w:p w14:paraId="333D2455" w14:textId="77777777" w:rsidR="00F2007D" w:rsidRPr="007B701A" w:rsidRDefault="00F2007D" w:rsidP="00F2007D">
      <w:pPr>
        <w:overflowPunct/>
        <w:autoSpaceDE/>
        <w:autoSpaceDN/>
        <w:adjustRightInd/>
        <w:textAlignment w:val="auto"/>
        <w:outlineLvl w:val="0"/>
        <w:rPr>
          <w:b/>
          <w:bCs/>
          <w:kern w:val="28"/>
          <w:sz w:val="22"/>
          <w:szCs w:val="22"/>
        </w:rPr>
      </w:pPr>
    </w:p>
    <w:p w14:paraId="4BA7A5C6" w14:textId="77777777" w:rsidR="00F2007D" w:rsidRPr="007B701A" w:rsidRDefault="00F2007D" w:rsidP="00F2007D">
      <w:pPr>
        <w:overflowPunct/>
        <w:autoSpaceDE/>
        <w:autoSpaceDN/>
        <w:adjustRightInd/>
        <w:textAlignment w:val="auto"/>
        <w:outlineLvl w:val="0"/>
        <w:rPr>
          <w:b/>
          <w:bCs/>
          <w:kern w:val="28"/>
          <w:sz w:val="22"/>
          <w:szCs w:val="22"/>
        </w:rPr>
      </w:pPr>
    </w:p>
    <w:p w14:paraId="798F6F0C" w14:textId="77777777" w:rsidR="00F2007D" w:rsidRPr="007B701A" w:rsidRDefault="00F2007D" w:rsidP="00F2007D">
      <w:pPr>
        <w:overflowPunct/>
        <w:autoSpaceDE/>
        <w:autoSpaceDN/>
        <w:adjustRightInd/>
        <w:textAlignment w:val="auto"/>
        <w:outlineLvl w:val="0"/>
        <w:rPr>
          <w:b/>
          <w:bCs/>
          <w:kern w:val="28"/>
          <w:sz w:val="22"/>
          <w:szCs w:val="22"/>
        </w:rPr>
      </w:pPr>
    </w:p>
    <w:p w14:paraId="0EA42290" w14:textId="77777777" w:rsidR="00F2007D" w:rsidRPr="007B701A" w:rsidRDefault="00F2007D" w:rsidP="00F2007D">
      <w:pPr>
        <w:overflowPunct/>
        <w:autoSpaceDE/>
        <w:autoSpaceDN/>
        <w:adjustRightInd/>
        <w:textAlignment w:val="auto"/>
        <w:outlineLvl w:val="0"/>
        <w:rPr>
          <w:b/>
          <w:bCs/>
          <w:kern w:val="28"/>
          <w:sz w:val="22"/>
          <w:szCs w:val="22"/>
        </w:rPr>
      </w:pPr>
    </w:p>
    <w:p w14:paraId="49CEA3E3" w14:textId="77777777" w:rsidR="00F2007D" w:rsidRPr="007B701A" w:rsidRDefault="00F2007D" w:rsidP="00F2007D">
      <w:pPr>
        <w:overflowPunct/>
        <w:autoSpaceDE/>
        <w:autoSpaceDN/>
        <w:adjustRightInd/>
        <w:textAlignment w:val="auto"/>
        <w:outlineLvl w:val="0"/>
        <w:rPr>
          <w:b/>
          <w:bCs/>
          <w:kern w:val="28"/>
          <w:sz w:val="22"/>
          <w:szCs w:val="22"/>
        </w:rPr>
      </w:pPr>
    </w:p>
    <w:p w14:paraId="17721070" w14:textId="77777777" w:rsidR="00F2007D" w:rsidRPr="007B701A" w:rsidRDefault="00F2007D" w:rsidP="00F2007D">
      <w:pPr>
        <w:overflowPunct/>
        <w:autoSpaceDE/>
        <w:autoSpaceDN/>
        <w:adjustRightInd/>
        <w:textAlignment w:val="auto"/>
        <w:outlineLvl w:val="0"/>
        <w:rPr>
          <w:b/>
          <w:bCs/>
          <w:kern w:val="28"/>
          <w:sz w:val="22"/>
          <w:szCs w:val="22"/>
        </w:rPr>
      </w:pPr>
    </w:p>
    <w:p w14:paraId="0DED4B6B" w14:textId="77777777" w:rsidR="00F2007D" w:rsidRPr="007B701A" w:rsidRDefault="00F2007D" w:rsidP="00F2007D">
      <w:pPr>
        <w:jc w:val="center"/>
        <w:rPr>
          <w:b/>
          <w:sz w:val="22"/>
          <w:szCs w:val="22"/>
        </w:rPr>
      </w:pPr>
    </w:p>
    <w:p w14:paraId="6372FA39" w14:textId="77777777" w:rsidR="00F2007D" w:rsidRPr="007B701A" w:rsidRDefault="00F2007D" w:rsidP="00F2007D">
      <w:pPr>
        <w:jc w:val="center"/>
        <w:rPr>
          <w:b/>
          <w:sz w:val="22"/>
          <w:szCs w:val="22"/>
        </w:rPr>
      </w:pPr>
      <w:r w:rsidRPr="007B701A">
        <w:rPr>
          <w:b/>
          <w:sz w:val="22"/>
          <w:szCs w:val="22"/>
        </w:rPr>
        <w:t>III PRIEDAS</w:t>
      </w:r>
    </w:p>
    <w:p w14:paraId="4CF638F1" w14:textId="77777777" w:rsidR="00F2007D" w:rsidRPr="007B701A" w:rsidRDefault="00F2007D" w:rsidP="00F2007D">
      <w:pPr>
        <w:jc w:val="center"/>
        <w:rPr>
          <w:b/>
          <w:sz w:val="22"/>
          <w:szCs w:val="22"/>
        </w:rPr>
      </w:pPr>
    </w:p>
    <w:p w14:paraId="1CF36665" w14:textId="77777777" w:rsidR="00F2007D" w:rsidRPr="007B701A" w:rsidRDefault="00F2007D" w:rsidP="00F2007D">
      <w:pPr>
        <w:jc w:val="center"/>
        <w:rPr>
          <w:b/>
          <w:sz w:val="22"/>
          <w:szCs w:val="22"/>
        </w:rPr>
      </w:pPr>
      <w:r w:rsidRPr="007B701A">
        <w:rPr>
          <w:b/>
          <w:sz w:val="22"/>
          <w:szCs w:val="22"/>
        </w:rPr>
        <w:t>ŽENKLINIMAS IR PAKUOTĖS LAPELIS</w:t>
      </w:r>
    </w:p>
    <w:p w14:paraId="40ABF94C" w14:textId="77777777" w:rsidR="00F2007D" w:rsidRPr="007B701A" w:rsidRDefault="00F2007D" w:rsidP="00F2007D">
      <w:pPr>
        <w:overflowPunct/>
        <w:autoSpaceDE/>
        <w:autoSpaceDN/>
        <w:adjustRightInd/>
        <w:jc w:val="center"/>
        <w:textAlignment w:val="auto"/>
        <w:outlineLvl w:val="0"/>
        <w:rPr>
          <w:b/>
          <w:bCs/>
          <w:kern w:val="28"/>
          <w:sz w:val="22"/>
          <w:szCs w:val="22"/>
        </w:rPr>
      </w:pPr>
    </w:p>
    <w:p w14:paraId="2087B2D3" w14:textId="77777777" w:rsidR="00F2007D" w:rsidRPr="007B701A" w:rsidRDefault="00F2007D" w:rsidP="00F2007D">
      <w:pPr>
        <w:overflowPunct/>
        <w:autoSpaceDE/>
        <w:autoSpaceDN/>
        <w:adjustRightInd/>
        <w:textAlignment w:val="auto"/>
        <w:outlineLvl w:val="0"/>
        <w:rPr>
          <w:b/>
          <w:bCs/>
          <w:kern w:val="28"/>
          <w:sz w:val="22"/>
          <w:szCs w:val="22"/>
        </w:rPr>
      </w:pPr>
    </w:p>
    <w:p w14:paraId="601964B0" w14:textId="77777777" w:rsidR="00F2007D" w:rsidRPr="007B701A" w:rsidRDefault="00F2007D" w:rsidP="00F2007D">
      <w:pPr>
        <w:overflowPunct/>
        <w:autoSpaceDE/>
        <w:autoSpaceDN/>
        <w:adjustRightInd/>
        <w:textAlignment w:val="auto"/>
        <w:outlineLvl w:val="0"/>
        <w:rPr>
          <w:b/>
          <w:bCs/>
          <w:kern w:val="28"/>
          <w:sz w:val="22"/>
          <w:szCs w:val="22"/>
        </w:rPr>
      </w:pPr>
    </w:p>
    <w:p w14:paraId="49388EE6" w14:textId="77777777" w:rsidR="00A47281" w:rsidRDefault="00A47281">
      <w:pPr>
        <w:overflowPunct/>
        <w:autoSpaceDE/>
        <w:autoSpaceDN/>
        <w:adjustRightInd/>
        <w:spacing w:after="200" w:line="276" w:lineRule="auto"/>
        <w:textAlignment w:val="auto"/>
        <w:rPr>
          <w:b/>
          <w:bCs/>
          <w:kern w:val="28"/>
          <w:sz w:val="22"/>
          <w:szCs w:val="22"/>
        </w:rPr>
      </w:pPr>
      <w:r>
        <w:rPr>
          <w:b/>
          <w:bCs/>
          <w:kern w:val="28"/>
          <w:sz w:val="22"/>
          <w:szCs w:val="22"/>
        </w:rPr>
        <w:br w:type="page"/>
      </w:r>
    </w:p>
    <w:p w14:paraId="19CEFB07" w14:textId="77777777" w:rsidR="00F2007D" w:rsidRPr="007B701A" w:rsidRDefault="00F2007D" w:rsidP="00F2007D">
      <w:pPr>
        <w:overflowPunct/>
        <w:autoSpaceDE/>
        <w:autoSpaceDN/>
        <w:adjustRightInd/>
        <w:textAlignment w:val="auto"/>
        <w:outlineLvl w:val="0"/>
        <w:rPr>
          <w:b/>
          <w:bCs/>
          <w:kern w:val="28"/>
          <w:sz w:val="22"/>
          <w:szCs w:val="22"/>
        </w:rPr>
      </w:pPr>
    </w:p>
    <w:p w14:paraId="3480FD7B" w14:textId="77777777" w:rsidR="00F2007D" w:rsidRPr="007B701A" w:rsidRDefault="00F2007D" w:rsidP="00F2007D">
      <w:pPr>
        <w:overflowPunct/>
        <w:autoSpaceDE/>
        <w:autoSpaceDN/>
        <w:adjustRightInd/>
        <w:textAlignment w:val="auto"/>
        <w:outlineLvl w:val="0"/>
        <w:rPr>
          <w:b/>
          <w:bCs/>
          <w:kern w:val="28"/>
          <w:sz w:val="22"/>
          <w:szCs w:val="22"/>
        </w:rPr>
      </w:pPr>
    </w:p>
    <w:p w14:paraId="53892B87" w14:textId="77777777" w:rsidR="00F2007D" w:rsidRPr="007B701A" w:rsidRDefault="00F2007D" w:rsidP="00F2007D">
      <w:pPr>
        <w:overflowPunct/>
        <w:autoSpaceDE/>
        <w:autoSpaceDN/>
        <w:adjustRightInd/>
        <w:textAlignment w:val="auto"/>
        <w:outlineLvl w:val="0"/>
        <w:rPr>
          <w:b/>
          <w:bCs/>
          <w:kern w:val="28"/>
          <w:sz w:val="22"/>
          <w:szCs w:val="22"/>
        </w:rPr>
      </w:pPr>
    </w:p>
    <w:p w14:paraId="5057BDB2" w14:textId="77777777" w:rsidR="00F2007D" w:rsidRPr="007B701A" w:rsidRDefault="00F2007D" w:rsidP="00F2007D">
      <w:pPr>
        <w:overflowPunct/>
        <w:autoSpaceDE/>
        <w:autoSpaceDN/>
        <w:adjustRightInd/>
        <w:textAlignment w:val="auto"/>
        <w:outlineLvl w:val="0"/>
        <w:rPr>
          <w:b/>
          <w:bCs/>
          <w:kern w:val="28"/>
          <w:sz w:val="22"/>
          <w:szCs w:val="22"/>
        </w:rPr>
      </w:pPr>
    </w:p>
    <w:p w14:paraId="511545D5" w14:textId="77777777" w:rsidR="00F2007D" w:rsidRPr="007B701A" w:rsidRDefault="00F2007D" w:rsidP="00F2007D">
      <w:pPr>
        <w:overflowPunct/>
        <w:autoSpaceDE/>
        <w:autoSpaceDN/>
        <w:adjustRightInd/>
        <w:textAlignment w:val="auto"/>
        <w:outlineLvl w:val="0"/>
        <w:rPr>
          <w:b/>
          <w:bCs/>
          <w:kern w:val="28"/>
          <w:sz w:val="22"/>
          <w:szCs w:val="22"/>
        </w:rPr>
      </w:pPr>
    </w:p>
    <w:p w14:paraId="3824D2FF" w14:textId="77777777" w:rsidR="00F2007D" w:rsidRPr="007B701A" w:rsidRDefault="00F2007D" w:rsidP="00F2007D">
      <w:pPr>
        <w:overflowPunct/>
        <w:autoSpaceDE/>
        <w:autoSpaceDN/>
        <w:adjustRightInd/>
        <w:textAlignment w:val="auto"/>
        <w:outlineLvl w:val="0"/>
        <w:rPr>
          <w:b/>
          <w:bCs/>
          <w:kern w:val="28"/>
          <w:sz w:val="22"/>
          <w:szCs w:val="22"/>
        </w:rPr>
      </w:pPr>
    </w:p>
    <w:p w14:paraId="77BF5993" w14:textId="77777777" w:rsidR="00F2007D" w:rsidRPr="007B701A" w:rsidRDefault="00F2007D" w:rsidP="00F2007D">
      <w:pPr>
        <w:overflowPunct/>
        <w:autoSpaceDE/>
        <w:autoSpaceDN/>
        <w:adjustRightInd/>
        <w:textAlignment w:val="auto"/>
        <w:outlineLvl w:val="0"/>
        <w:rPr>
          <w:b/>
          <w:bCs/>
          <w:kern w:val="28"/>
          <w:sz w:val="22"/>
          <w:szCs w:val="22"/>
        </w:rPr>
      </w:pPr>
    </w:p>
    <w:p w14:paraId="02DC4D8C" w14:textId="77777777" w:rsidR="00F2007D" w:rsidRPr="007B701A" w:rsidRDefault="00F2007D" w:rsidP="00F2007D">
      <w:pPr>
        <w:overflowPunct/>
        <w:autoSpaceDE/>
        <w:autoSpaceDN/>
        <w:adjustRightInd/>
        <w:textAlignment w:val="auto"/>
        <w:outlineLvl w:val="0"/>
        <w:rPr>
          <w:b/>
          <w:bCs/>
          <w:kern w:val="28"/>
          <w:sz w:val="22"/>
          <w:szCs w:val="22"/>
        </w:rPr>
      </w:pPr>
    </w:p>
    <w:p w14:paraId="5897B220" w14:textId="77777777" w:rsidR="00F2007D" w:rsidRPr="007B701A" w:rsidRDefault="00F2007D" w:rsidP="00F2007D">
      <w:pPr>
        <w:overflowPunct/>
        <w:autoSpaceDE/>
        <w:autoSpaceDN/>
        <w:adjustRightInd/>
        <w:textAlignment w:val="auto"/>
        <w:outlineLvl w:val="0"/>
        <w:rPr>
          <w:b/>
          <w:bCs/>
          <w:kern w:val="28"/>
          <w:sz w:val="22"/>
          <w:szCs w:val="22"/>
        </w:rPr>
      </w:pPr>
    </w:p>
    <w:p w14:paraId="4E994D4B" w14:textId="77777777" w:rsidR="00F2007D" w:rsidRPr="007B701A" w:rsidRDefault="00F2007D" w:rsidP="00F2007D">
      <w:pPr>
        <w:overflowPunct/>
        <w:autoSpaceDE/>
        <w:autoSpaceDN/>
        <w:adjustRightInd/>
        <w:textAlignment w:val="auto"/>
        <w:outlineLvl w:val="0"/>
        <w:rPr>
          <w:b/>
          <w:bCs/>
          <w:kern w:val="28"/>
          <w:sz w:val="22"/>
          <w:szCs w:val="22"/>
        </w:rPr>
      </w:pPr>
    </w:p>
    <w:p w14:paraId="6A3714A7" w14:textId="77777777" w:rsidR="00F2007D" w:rsidRPr="007B701A" w:rsidRDefault="00F2007D" w:rsidP="00F2007D">
      <w:pPr>
        <w:overflowPunct/>
        <w:autoSpaceDE/>
        <w:autoSpaceDN/>
        <w:adjustRightInd/>
        <w:textAlignment w:val="auto"/>
        <w:outlineLvl w:val="0"/>
        <w:rPr>
          <w:b/>
          <w:bCs/>
          <w:kern w:val="28"/>
          <w:sz w:val="22"/>
          <w:szCs w:val="22"/>
        </w:rPr>
      </w:pPr>
    </w:p>
    <w:p w14:paraId="5E2045C6" w14:textId="77777777" w:rsidR="00F2007D" w:rsidRPr="007B701A" w:rsidRDefault="00F2007D" w:rsidP="00F2007D">
      <w:pPr>
        <w:overflowPunct/>
        <w:autoSpaceDE/>
        <w:autoSpaceDN/>
        <w:adjustRightInd/>
        <w:textAlignment w:val="auto"/>
        <w:outlineLvl w:val="0"/>
        <w:rPr>
          <w:b/>
          <w:bCs/>
          <w:kern w:val="28"/>
          <w:sz w:val="22"/>
          <w:szCs w:val="22"/>
        </w:rPr>
      </w:pPr>
    </w:p>
    <w:p w14:paraId="1721A77B" w14:textId="77777777" w:rsidR="00F2007D" w:rsidRPr="007B701A" w:rsidRDefault="00F2007D" w:rsidP="00F2007D">
      <w:pPr>
        <w:overflowPunct/>
        <w:autoSpaceDE/>
        <w:autoSpaceDN/>
        <w:adjustRightInd/>
        <w:textAlignment w:val="auto"/>
        <w:outlineLvl w:val="0"/>
        <w:rPr>
          <w:b/>
          <w:bCs/>
          <w:kern w:val="28"/>
          <w:sz w:val="22"/>
          <w:szCs w:val="22"/>
        </w:rPr>
      </w:pPr>
    </w:p>
    <w:p w14:paraId="0122D867" w14:textId="77777777" w:rsidR="00F2007D" w:rsidRPr="007B701A" w:rsidRDefault="00F2007D" w:rsidP="00F2007D">
      <w:pPr>
        <w:overflowPunct/>
        <w:autoSpaceDE/>
        <w:autoSpaceDN/>
        <w:adjustRightInd/>
        <w:textAlignment w:val="auto"/>
        <w:outlineLvl w:val="0"/>
        <w:rPr>
          <w:b/>
          <w:bCs/>
          <w:kern w:val="28"/>
          <w:sz w:val="22"/>
          <w:szCs w:val="22"/>
        </w:rPr>
      </w:pPr>
    </w:p>
    <w:p w14:paraId="30D49C2B" w14:textId="77777777" w:rsidR="00F2007D" w:rsidRPr="007B701A" w:rsidRDefault="00F2007D" w:rsidP="00F2007D">
      <w:pPr>
        <w:overflowPunct/>
        <w:autoSpaceDE/>
        <w:autoSpaceDN/>
        <w:adjustRightInd/>
        <w:textAlignment w:val="auto"/>
        <w:outlineLvl w:val="0"/>
        <w:rPr>
          <w:b/>
          <w:bCs/>
          <w:kern w:val="28"/>
          <w:sz w:val="22"/>
          <w:szCs w:val="22"/>
        </w:rPr>
      </w:pPr>
    </w:p>
    <w:p w14:paraId="6777F2AA" w14:textId="77777777" w:rsidR="00F2007D" w:rsidRPr="007B701A" w:rsidRDefault="00F2007D" w:rsidP="00F2007D">
      <w:pPr>
        <w:overflowPunct/>
        <w:autoSpaceDE/>
        <w:autoSpaceDN/>
        <w:adjustRightInd/>
        <w:textAlignment w:val="auto"/>
        <w:outlineLvl w:val="0"/>
        <w:rPr>
          <w:b/>
          <w:bCs/>
          <w:kern w:val="28"/>
          <w:sz w:val="22"/>
          <w:szCs w:val="22"/>
        </w:rPr>
      </w:pPr>
    </w:p>
    <w:p w14:paraId="7FA54F50" w14:textId="77777777" w:rsidR="00F2007D" w:rsidRPr="007B701A" w:rsidRDefault="00F2007D" w:rsidP="00F2007D">
      <w:pPr>
        <w:overflowPunct/>
        <w:autoSpaceDE/>
        <w:autoSpaceDN/>
        <w:adjustRightInd/>
        <w:textAlignment w:val="auto"/>
        <w:outlineLvl w:val="0"/>
        <w:rPr>
          <w:b/>
          <w:bCs/>
          <w:kern w:val="28"/>
          <w:sz w:val="22"/>
          <w:szCs w:val="22"/>
        </w:rPr>
      </w:pPr>
    </w:p>
    <w:p w14:paraId="03E0B9A3" w14:textId="77777777" w:rsidR="00F2007D" w:rsidRPr="007B701A" w:rsidRDefault="00F2007D" w:rsidP="00F2007D">
      <w:pPr>
        <w:overflowPunct/>
        <w:autoSpaceDE/>
        <w:autoSpaceDN/>
        <w:adjustRightInd/>
        <w:textAlignment w:val="auto"/>
        <w:outlineLvl w:val="0"/>
        <w:rPr>
          <w:b/>
          <w:bCs/>
          <w:kern w:val="28"/>
          <w:sz w:val="22"/>
          <w:szCs w:val="22"/>
        </w:rPr>
      </w:pPr>
    </w:p>
    <w:p w14:paraId="5F3E4235" w14:textId="77777777" w:rsidR="00F2007D" w:rsidRPr="007B701A" w:rsidRDefault="00F2007D" w:rsidP="00F2007D">
      <w:pPr>
        <w:overflowPunct/>
        <w:autoSpaceDE/>
        <w:autoSpaceDN/>
        <w:adjustRightInd/>
        <w:textAlignment w:val="auto"/>
        <w:outlineLvl w:val="0"/>
        <w:rPr>
          <w:b/>
          <w:bCs/>
          <w:kern w:val="28"/>
          <w:sz w:val="22"/>
          <w:szCs w:val="22"/>
        </w:rPr>
      </w:pPr>
    </w:p>
    <w:p w14:paraId="727EDA98" w14:textId="77777777" w:rsidR="00F2007D" w:rsidRPr="007B701A" w:rsidRDefault="00F2007D" w:rsidP="00F2007D">
      <w:pPr>
        <w:overflowPunct/>
        <w:autoSpaceDE/>
        <w:autoSpaceDN/>
        <w:adjustRightInd/>
        <w:textAlignment w:val="auto"/>
        <w:outlineLvl w:val="0"/>
        <w:rPr>
          <w:b/>
          <w:bCs/>
          <w:kern w:val="28"/>
          <w:sz w:val="22"/>
          <w:szCs w:val="22"/>
        </w:rPr>
      </w:pPr>
    </w:p>
    <w:p w14:paraId="0794F647" w14:textId="77777777" w:rsidR="00F2007D" w:rsidRPr="007B701A" w:rsidRDefault="00F2007D" w:rsidP="00F2007D">
      <w:pPr>
        <w:overflowPunct/>
        <w:autoSpaceDE/>
        <w:autoSpaceDN/>
        <w:adjustRightInd/>
        <w:textAlignment w:val="auto"/>
        <w:outlineLvl w:val="0"/>
        <w:rPr>
          <w:b/>
          <w:bCs/>
          <w:kern w:val="28"/>
          <w:sz w:val="22"/>
          <w:szCs w:val="22"/>
        </w:rPr>
      </w:pPr>
    </w:p>
    <w:p w14:paraId="78B8BB69" w14:textId="77777777" w:rsidR="00F2007D" w:rsidRPr="007B701A" w:rsidRDefault="00F2007D" w:rsidP="00F2007D">
      <w:pPr>
        <w:overflowPunct/>
        <w:autoSpaceDE/>
        <w:autoSpaceDN/>
        <w:adjustRightInd/>
        <w:textAlignment w:val="auto"/>
        <w:outlineLvl w:val="0"/>
        <w:rPr>
          <w:b/>
          <w:bCs/>
          <w:kern w:val="28"/>
          <w:sz w:val="22"/>
          <w:szCs w:val="22"/>
        </w:rPr>
      </w:pPr>
    </w:p>
    <w:p w14:paraId="61FA9F22" w14:textId="77777777" w:rsidR="00F2007D" w:rsidRPr="007B701A" w:rsidRDefault="00F2007D" w:rsidP="00F2007D">
      <w:pPr>
        <w:overflowPunct/>
        <w:autoSpaceDE/>
        <w:autoSpaceDN/>
        <w:adjustRightInd/>
        <w:textAlignment w:val="auto"/>
        <w:outlineLvl w:val="0"/>
        <w:rPr>
          <w:b/>
          <w:bCs/>
          <w:kern w:val="28"/>
          <w:sz w:val="22"/>
          <w:szCs w:val="22"/>
        </w:rPr>
      </w:pPr>
    </w:p>
    <w:p w14:paraId="66B7BC15" w14:textId="77777777" w:rsidR="00F2007D" w:rsidRPr="007B701A" w:rsidRDefault="00F2007D" w:rsidP="00F2007D">
      <w:pPr>
        <w:overflowPunct/>
        <w:autoSpaceDE/>
        <w:autoSpaceDN/>
        <w:adjustRightInd/>
        <w:textAlignment w:val="auto"/>
        <w:outlineLvl w:val="0"/>
        <w:rPr>
          <w:b/>
          <w:bCs/>
          <w:kern w:val="28"/>
          <w:sz w:val="22"/>
          <w:szCs w:val="22"/>
        </w:rPr>
      </w:pPr>
    </w:p>
    <w:p w14:paraId="31B75E93" w14:textId="77777777" w:rsidR="00F2007D" w:rsidRPr="007B701A" w:rsidRDefault="00F2007D" w:rsidP="00F2007D">
      <w:pPr>
        <w:overflowPunct/>
        <w:autoSpaceDE/>
        <w:autoSpaceDN/>
        <w:adjustRightInd/>
        <w:jc w:val="center"/>
        <w:textAlignment w:val="auto"/>
        <w:outlineLvl w:val="0"/>
        <w:rPr>
          <w:b/>
          <w:bCs/>
          <w:kern w:val="28"/>
          <w:sz w:val="22"/>
          <w:szCs w:val="22"/>
        </w:rPr>
      </w:pPr>
      <w:r w:rsidRPr="007B701A">
        <w:rPr>
          <w:b/>
          <w:bCs/>
          <w:kern w:val="28"/>
          <w:sz w:val="22"/>
          <w:szCs w:val="22"/>
        </w:rPr>
        <w:t>A. ŽENKLINIMAS</w:t>
      </w:r>
    </w:p>
    <w:p w14:paraId="6C4C2291" w14:textId="77777777" w:rsidR="00F2007D" w:rsidRPr="007B701A" w:rsidRDefault="00F2007D" w:rsidP="00F2007D">
      <w:pPr>
        <w:rPr>
          <w:b/>
          <w:sz w:val="22"/>
          <w:szCs w:val="22"/>
        </w:rPr>
      </w:pPr>
    </w:p>
    <w:p w14:paraId="3FD70358" w14:textId="77777777" w:rsidR="00F2007D" w:rsidRPr="007B701A" w:rsidRDefault="00F2007D" w:rsidP="00F2007D">
      <w:pPr>
        <w:rPr>
          <w:b/>
          <w:sz w:val="22"/>
          <w:szCs w:val="22"/>
        </w:rPr>
      </w:pPr>
    </w:p>
    <w:p w14:paraId="36A82BC0" w14:textId="77777777" w:rsidR="00A47281" w:rsidRDefault="00A47281">
      <w:pPr>
        <w:overflowPunct/>
        <w:autoSpaceDE/>
        <w:autoSpaceDN/>
        <w:adjustRightInd/>
        <w:spacing w:after="200" w:line="276" w:lineRule="auto"/>
        <w:textAlignment w:val="auto"/>
        <w:rPr>
          <w:b/>
          <w:sz w:val="22"/>
          <w:szCs w:val="22"/>
        </w:rPr>
      </w:pPr>
      <w:r>
        <w:rPr>
          <w:b/>
          <w:sz w:val="22"/>
          <w:szCs w:val="22"/>
        </w:rPr>
        <w:br w:type="page"/>
      </w:r>
    </w:p>
    <w:p w14:paraId="613A5552" w14:textId="77777777" w:rsidR="00F2007D" w:rsidRPr="007B701A" w:rsidRDefault="00F2007D" w:rsidP="00F2007D">
      <w:pPr>
        <w:rPr>
          <w:b/>
          <w:sz w:val="22"/>
          <w:szCs w:val="22"/>
        </w:rPr>
      </w:pPr>
    </w:p>
    <w:p w14:paraId="15E81471" w14:textId="77777777" w:rsidR="00F2007D" w:rsidRPr="007B701A" w:rsidRDefault="00F2007D" w:rsidP="00F2007D">
      <w:pPr>
        <w:pBdr>
          <w:top w:val="single" w:sz="4" w:space="1" w:color="auto"/>
          <w:left w:val="single" w:sz="4" w:space="4" w:color="auto"/>
          <w:bottom w:val="single" w:sz="4" w:space="1" w:color="auto"/>
          <w:right w:val="single" w:sz="4" w:space="4" w:color="auto"/>
        </w:pBdr>
        <w:rPr>
          <w:b/>
          <w:sz w:val="22"/>
          <w:szCs w:val="22"/>
        </w:rPr>
      </w:pPr>
      <w:r w:rsidRPr="007B701A">
        <w:rPr>
          <w:b/>
          <w:sz w:val="22"/>
          <w:szCs w:val="22"/>
        </w:rPr>
        <w:t xml:space="preserve">INFORMACIJA ANT IŠORINĖS PAKUOTĖS </w:t>
      </w:r>
    </w:p>
    <w:p w14:paraId="0364EAE0" w14:textId="77777777" w:rsidR="00F2007D" w:rsidRPr="007B701A" w:rsidRDefault="00F2007D" w:rsidP="00F2007D">
      <w:pPr>
        <w:pBdr>
          <w:top w:val="single" w:sz="4" w:space="1" w:color="auto"/>
          <w:left w:val="single" w:sz="4" w:space="4" w:color="auto"/>
          <w:bottom w:val="single" w:sz="4" w:space="1" w:color="auto"/>
          <w:right w:val="single" w:sz="4" w:space="4" w:color="auto"/>
        </w:pBdr>
        <w:rPr>
          <w:sz w:val="22"/>
          <w:szCs w:val="22"/>
        </w:rPr>
      </w:pPr>
    </w:p>
    <w:p w14:paraId="51935337" w14:textId="77777777" w:rsidR="00F2007D" w:rsidRPr="007B701A" w:rsidRDefault="00F2007D" w:rsidP="00F2007D">
      <w:pPr>
        <w:pBdr>
          <w:top w:val="single" w:sz="4" w:space="1" w:color="auto"/>
          <w:left w:val="single" w:sz="4" w:space="4" w:color="auto"/>
          <w:bottom w:val="single" w:sz="4" w:space="1" w:color="auto"/>
          <w:right w:val="single" w:sz="4" w:space="4" w:color="auto"/>
        </w:pBdr>
        <w:rPr>
          <w:b/>
          <w:sz w:val="22"/>
          <w:szCs w:val="22"/>
        </w:rPr>
      </w:pPr>
      <w:r w:rsidRPr="007B701A">
        <w:rPr>
          <w:b/>
          <w:sz w:val="22"/>
          <w:szCs w:val="22"/>
        </w:rPr>
        <w:t>KARTONO DĖŽUTĖ</w:t>
      </w:r>
    </w:p>
    <w:p w14:paraId="1BEC3588" w14:textId="77777777" w:rsidR="00F2007D" w:rsidRPr="007B701A" w:rsidRDefault="00F2007D" w:rsidP="00F2007D">
      <w:pPr>
        <w:rPr>
          <w:sz w:val="22"/>
          <w:szCs w:val="22"/>
        </w:rPr>
      </w:pPr>
    </w:p>
    <w:p w14:paraId="4FCE5FFF" w14:textId="77777777" w:rsidR="00F2007D" w:rsidRPr="007B701A" w:rsidRDefault="00F2007D" w:rsidP="00F2007D">
      <w:pPr>
        <w:rPr>
          <w:sz w:val="22"/>
          <w:szCs w:val="22"/>
        </w:rPr>
      </w:pPr>
    </w:p>
    <w:p w14:paraId="3B459F51" w14:textId="77777777" w:rsidR="00F2007D" w:rsidRPr="007B701A" w:rsidRDefault="00F2007D" w:rsidP="00F2007D">
      <w:pPr>
        <w:pBdr>
          <w:top w:val="single" w:sz="4" w:space="1" w:color="auto"/>
          <w:left w:val="single" w:sz="4" w:space="4" w:color="auto"/>
          <w:bottom w:val="single" w:sz="4" w:space="1" w:color="auto"/>
          <w:right w:val="single" w:sz="4" w:space="4" w:color="auto"/>
        </w:pBdr>
        <w:tabs>
          <w:tab w:val="left" w:pos="567"/>
        </w:tabs>
        <w:rPr>
          <w:b/>
          <w:sz w:val="22"/>
          <w:szCs w:val="22"/>
        </w:rPr>
      </w:pPr>
      <w:r w:rsidRPr="007B701A">
        <w:rPr>
          <w:b/>
          <w:sz w:val="22"/>
          <w:szCs w:val="22"/>
        </w:rPr>
        <w:t>1.</w:t>
      </w:r>
      <w:r w:rsidRPr="007B701A">
        <w:rPr>
          <w:b/>
          <w:sz w:val="22"/>
          <w:szCs w:val="22"/>
        </w:rPr>
        <w:tab/>
        <w:t>VAISTINIO PREPARATO PAVADINIMAS</w:t>
      </w:r>
    </w:p>
    <w:p w14:paraId="78FDAC8E" w14:textId="77777777" w:rsidR="00F2007D" w:rsidRPr="007B701A" w:rsidRDefault="00F2007D" w:rsidP="00F2007D">
      <w:pPr>
        <w:rPr>
          <w:sz w:val="22"/>
          <w:szCs w:val="22"/>
        </w:rPr>
      </w:pPr>
    </w:p>
    <w:p w14:paraId="36D1C463" w14:textId="77777777" w:rsidR="00F2007D" w:rsidRPr="007B701A" w:rsidRDefault="00F2007D" w:rsidP="00F2007D">
      <w:pPr>
        <w:rPr>
          <w:sz w:val="22"/>
          <w:szCs w:val="22"/>
        </w:rPr>
      </w:pPr>
      <w:r w:rsidRPr="007B701A">
        <w:rPr>
          <w:sz w:val="22"/>
          <w:szCs w:val="22"/>
        </w:rPr>
        <w:t xml:space="preserve">Acic 200 mg tabletės </w:t>
      </w:r>
    </w:p>
    <w:p w14:paraId="2867ED19" w14:textId="77777777" w:rsidR="00F2007D" w:rsidRPr="007B701A" w:rsidRDefault="00F2007D" w:rsidP="00F2007D">
      <w:pPr>
        <w:rPr>
          <w:sz w:val="22"/>
          <w:szCs w:val="22"/>
        </w:rPr>
      </w:pPr>
      <w:r w:rsidRPr="007B701A">
        <w:rPr>
          <w:sz w:val="22"/>
          <w:szCs w:val="22"/>
        </w:rPr>
        <w:t>Aciclovirum</w:t>
      </w:r>
    </w:p>
    <w:p w14:paraId="35FF9779" w14:textId="77777777" w:rsidR="00F2007D" w:rsidRPr="007B701A" w:rsidRDefault="00F2007D" w:rsidP="00F2007D">
      <w:pPr>
        <w:rPr>
          <w:sz w:val="22"/>
          <w:szCs w:val="22"/>
        </w:rPr>
      </w:pPr>
    </w:p>
    <w:p w14:paraId="2962CA0F" w14:textId="77777777" w:rsidR="00F2007D" w:rsidRPr="007B701A" w:rsidRDefault="00F2007D" w:rsidP="00F2007D">
      <w:pPr>
        <w:rPr>
          <w:b/>
          <w:sz w:val="22"/>
          <w:szCs w:val="22"/>
        </w:rPr>
      </w:pPr>
    </w:p>
    <w:p w14:paraId="4DEE77C4"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2.</w:t>
      </w:r>
      <w:r w:rsidRPr="007B701A">
        <w:rPr>
          <w:b/>
          <w:sz w:val="22"/>
          <w:szCs w:val="22"/>
        </w:rPr>
        <w:tab/>
        <w:t xml:space="preserve">VEIKLIOJI MEDŽIAGA IR JOS KIEKIS </w:t>
      </w:r>
    </w:p>
    <w:p w14:paraId="50757DA2" w14:textId="77777777" w:rsidR="00F2007D" w:rsidRPr="007B701A" w:rsidRDefault="00F2007D" w:rsidP="00F2007D">
      <w:pPr>
        <w:rPr>
          <w:sz w:val="22"/>
          <w:szCs w:val="22"/>
        </w:rPr>
      </w:pPr>
    </w:p>
    <w:p w14:paraId="46618B1D" w14:textId="77777777" w:rsidR="00F2007D" w:rsidRPr="007B701A" w:rsidRDefault="00F2007D" w:rsidP="00F2007D">
      <w:pPr>
        <w:rPr>
          <w:sz w:val="22"/>
          <w:szCs w:val="22"/>
        </w:rPr>
      </w:pPr>
      <w:r w:rsidRPr="007B701A">
        <w:rPr>
          <w:sz w:val="22"/>
          <w:szCs w:val="22"/>
        </w:rPr>
        <w:t>Vienoje tabletėje yra 200 mg acikloviro.</w:t>
      </w:r>
    </w:p>
    <w:p w14:paraId="2722BA84" w14:textId="77777777" w:rsidR="00F2007D" w:rsidRPr="007B701A" w:rsidRDefault="00F2007D" w:rsidP="00F2007D">
      <w:pPr>
        <w:rPr>
          <w:sz w:val="22"/>
          <w:szCs w:val="22"/>
        </w:rPr>
      </w:pPr>
    </w:p>
    <w:p w14:paraId="7A5A31C4" w14:textId="77777777" w:rsidR="00F2007D" w:rsidRPr="007B701A" w:rsidRDefault="00F2007D" w:rsidP="00F2007D">
      <w:pPr>
        <w:rPr>
          <w:sz w:val="22"/>
          <w:szCs w:val="22"/>
        </w:rPr>
      </w:pPr>
    </w:p>
    <w:p w14:paraId="713427E8"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3.</w:t>
      </w:r>
      <w:r w:rsidRPr="007B701A">
        <w:rPr>
          <w:b/>
          <w:sz w:val="22"/>
          <w:szCs w:val="22"/>
        </w:rPr>
        <w:tab/>
        <w:t>PAGALBINIŲ MEDŽIAGŲ SĄRAŠAS</w:t>
      </w:r>
    </w:p>
    <w:p w14:paraId="78EBEB49" w14:textId="77777777" w:rsidR="00F2007D" w:rsidRPr="007B701A" w:rsidRDefault="00F2007D" w:rsidP="00F2007D">
      <w:pPr>
        <w:rPr>
          <w:sz w:val="22"/>
          <w:szCs w:val="22"/>
        </w:rPr>
      </w:pPr>
    </w:p>
    <w:p w14:paraId="0DAE410A" w14:textId="77777777" w:rsidR="00F2007D" w:rsidRPr="007B701A" w:rsidRDefault="00F2007D" w:rsidP="00F2007D">
      <w:pPr>
        <w:rPr>
          <w:sz w:val="22"/>
          <w:szCs w:val="22"/>
        </w:rPr>
      </w:pPr>
      <w:r w:rsidRPr="007B701A">
        <w:rPr>
          <w:sz w:val="22"/>
          <w:szCs w:val="22"/>
        </w:rPr>
        <w:t>Sudėtyje yra laktozės.</w:t>
      </w:r>
    </w:p>
    <w:p w14:paraId="7101D74D" w14:textId="77777777" w:rsidR="00F2007D" w:rsidRPr="007B701A" w:rsidRDefault="00F2007D" w:rsidP="00F2007D">
      <w:pPr>
        <w:rPr>
          <w:sz w:val="22"/>
          <w:szCs w:val="22"/>
        </w:rPr>
      </w:pPr>
    </w:p>
    <w:p w14:paraId="6EAD876D" w14:textId="77777777" w:rsidR="00F2007D" w:rsidRPr="007B701A" w:rsidRDefault="00F2007D" w:rsidP="00F2007D">
      <w:pPr>
        <w:rPr>
          <w:sz w:val="22"/>
          <w:szCs w:val="22"/>
        </w:rPr>
      </w:pPr>
    </w:p>
    <w:p w14:paraId="12315484"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4.</w:t>
      </w:r>
      <w:r w:rsidRPr="007B701A">
        <w:rPr>
          <w:b/>
          <w:sz w:val="22"/>
          <w:szCs w:val="22"/>
        </w:rPr>
        <w:tab/>
        <w:t>FARMACINĖ FORMA IR KIEKIS PAKUOTĖJE</w:t>
      </w:r>
    </w:p>
    <w:p w14:paraId="0983FF6F" w14:textId="77777777" w:rsidR="00F2007D" w:rsidRPr="007B701A" w:rsidRDefault="00F2007D" w:rsidP="00F2007D">
      <w:pPr>
        <w:rPr>
          <w:sz w:val="22"/>
          <w:szCs w:val="22"/>
        </w:rPr>
      </w:pPr>
    </w:p>
    <w:p w14:paraId="27EAF0A2" w14:textId="77777777" w:rsidR="00F2007D" w:rsidRPr="007B701A" w:rsidRDefault="00F2007D" w:rsidP="00F2007D">
      <w:pPr>
        <w:rPr>
          <w:sz w:val="22"/>
          <w:szCs w:val="22"/>
        </w:rPr>
      </w:pPr>
      <w:r w:rsidRPr="007B701A">
        <w:rPr>
          <w:sz w:val="22"/>
          <w:szCs w:val="22"/>
          <w:highlight w:val="lightGray"/>
        </w:rPr>
        <w:t>Tabletė</w:t>
      </w:r>
    </w:p>
    <w:p w14:paraId="7B1E503D" w14:textId="77777777" w:rsidR="00F2007D" w:rsidRPr="007B701A" w:rsidRDefault="00F2007D" w:rsidP="00F2007D">
      <w:pPr>
        <w:rPr>
          <w:sz w:val="22"/>
          <w:szCs w:val="22"/>
        </w:rPr>
      </w:pPr>
      <w:r w:rsidRPr="007B701A">
        <w:rPr>
          <w:sz w:val="22"/>
          <w:szCs w:val="22"/>
        </w:rPr>
        <w:t>25 tabletės</w:t>
      </w:r>
    </w:p>
    <w:p w14:paraId="54F928BF" w14:textId="77777777" w:rsidR="00F2007D" w:rsidRPr="007B701A" w:rsidRDefault="00F2007D" w:rsidP="00F2007D">
      <w:pPr>
        <w:rPr>
          <w:sz w:val="22"/>
          <w:szCs w:val="22"/>
        </w:rPr>
      </w:pPr>
    </w:p>
    <w:p w14:paraId="759D1980" w14:textId="77777777" w:rsidR="00F2007D" w:rsidRPr="007B701A" w:rsidRDefault="00F2007D" w:rsidP="00F2007D">
      <w:pPr>
        <w:rPr>
          <w:sz w:val="22"/>
          <w:szCs w:val="22"/>
        </w:rPr>
      </w:pPr>
    </w:p>
    <w:p w14:paraId="26E835D8"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5.</w:t>
      </w:r>
      <w:r w:rsidRPr="007B701A">
        <w:rPr>
          <w:b/>
          <w:sz w:val="22"/>
          <w:szCs w:val="22"/>
        </w:rPr>
        <w:tab/>
        <w:t>VARTOJIMO METODAS IR BŪDAS</w:t>
      </w:r>
    </w:p>
    <w:p w14:paraId="35665A23" w14:textId="77777777" w:rsidR="00F2007D" w:rsidRPr="007B701A" w:rsidRDefault="00F2007D" w:rsidP="00F2007D">
      <w:pPr>
        <w:rPr>
          <w:sz w:val="22"/>
          <w:szCs w:val="22"/>
        </w:rPr>
      </w:pPr>
    </w:p>
    <w:p w14:paraId="329CD32C" w14:textId="77777777" w:rsidR="00F2007D" w:rsidRPr="007B701A" w:rsidRDefault="00F2007D" w:rsidP="00F2007D">
      <w:pPr>
        <w:rPr>
          <w:sz w:val="22"/>
          <w:szCs w:val="22"/>
        </w:rPr>
      </w:pPr>
      <w:r w:rsidRPr="007B701A">
        <w:rPr>
          <w:sz w:val="22"/>
          <w:szCs w:val="22"/>
        </w:rPr>
        <w:t>Vartoti per burną.</w:t>
      </w:r>
    </w:p>
    <w:p w14:paraId="455E0C63" w14:textId="77777777" w:rsidR="00F2007D" w:rsidRPr="007B701A" w:rsidRDefault="00F2007D" w:rsidP="00F2007D">
      <w:pPr>
        <w:rPr>
          <w:sz w:val="22"/>
          <w:szCs w:val="22"/>
        </w:rPr>
      </w:pPr>
      <w:r w:rsidRPr="007B701A">
        <w:rPr>
          <w:sz w:val="22"/>
          <w:szCs w:val="22"/>
        </w:rPr>
        <w:t>Prieš vartojimą perskaitykite pakuotės lapelį.</w:t>
      </w:r>
    </w:p>
    <w:p w14:paraId="440DFDCB" w14:textId="77777777" w:rsidR="00F2007D" w:rsidRPr="007B701A" w:rsidRDefault="00F2007D" w:rsidP="00F2007D">
      <w:pPr>
        <w:rPr>
          <w:sz w:val="22"/>
          <w:szCs w:val="22"/>
        </w:rPr>
      </w:pPr>
    </w:p>
    <w:p w14:paraId="67CE27B1" w14:textId="77777777" w:rsidR="00F2007D" w:rsidRPr="007B701A" w:rsidRDefault="00F2007D" w:rsidP="00F2007D">
      <w:pPr>
        <w:rPr>
          <w:sz w:val="22"/>
          <w:szCs w:val="22"/>
        </w:rPr>
      </w:pPr>
    </w:p>
    <w:p w14:paraId="6AD58E0F"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6.</w:t>
      </w:r>
      <w:r w:rsidRPr="007B701A">
        <w:rPr>
          <w:b/>
          <w:sz w:val="22"/>
          <w:szCs w:val="22"/>
        </w:rPr>
        <w:tab/>
        <w:t>SPECIALUS ĮSPĖJIMAS, KAD VAISTINĮ PREPARATĄ BŪTINA LAIKYTI VAIKAMS  NEPASTEBIMOJE IR NEPASIEKIAMOJE VIETOJE</w:t>
      </w:r>
    </w:p>
    <w:p w14:paraId="1DB7D0B5" w14:textId="77777777" w:rsidR="00F2007D" w:rsidRPr="007B701A" w:rsidRDefault="00F2007D" w:rsidP="00F2007D">
      <w:pPr>
        <w:rPr>
          <w:b/>
          <w:sz w:val="22"/>
          <w:szCs w:val="22"/>
        </w:rPr>
      </w:pPr>
    </w:p>
    <w:p w14:paraId="2FCE81F4" w14:textId="77777777" w:rsidR="00F2007D" w:rsidRPr="007B701A" w:rsidRDefault="00F2007D" w:rsidP="00F2007D">
      <w:pPr>
        <w:rPr>
          <w:sz w:val="22"/>
          <w:szCs w:val="22"/>
        </w:rPr>
      </w:pPr>
      <w:r w:rsidRPr="007B701A">
        <w:rPr>
          <w:sz w:val="22"/>
          <w:szCs w:val="22"/>
        </w:rPr>
        <w:t>Laikyti vaikams ir nepastebimoje ir nepasiekiamoje vietoje.</w:t>
      </w:r>
    </w:p>
    <w:p w14:paraId="205C2B16" w14:textId="77777777" w:rsidR="00F2007D" w:rsidRPr="007B701A" w:rsidRDefault="00F2007D" w:rsidP="00F2007D">
      <w:pPr>
        <w:rPr>
          <w:sz w:val="22"/>
          <w:szCs w:val="22"/>
        </w:rPr>
      </w:pPr>
    </w:p>
    <w:p w14:paraId="0AED9C60" w14:textId="77777777" w:rsidR="00F2007D" w:rsidRPr="007B701A" w:rsidRDefault="00F2007D" w:rsidP="00F2007D">
      <w:pPr>
        <w:rPr>
          <w:b/>
          <w:sz w:val="22"/>
          <w:szCs w:val="22"/>
        </w:rPr>
      </w:pPr>
    </w:p>
    <w:p w14:paraId="5894B6E3"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7.</w:t>
      </w:r>
      <w:r w:rsidRPr="007B701A">
        <w:rPr>
          <w:b/>
          <w:sz w:val="22"/>
          <w:szCs w:val="22"/>
        </w:rPr>
        <w:tab/>
        <w:t>KITAS SPECIALUS ĮSPĖJIMAS (JEI REIKIA)</w:t>
      </w:r>
    </w:p>
    <w:p w14:paraId="5C38FC27" w14:textId="77777777" w:rsidR="00F2007D" w:rsidRPr="007B701A" w:rsidRDefault="00F2007D" w:rsidP="00F2007D">
      <w:pPr>
        <w:rPr>
          <w:b/>
          <w:sz w:val="22"/>
          <w:szCs w:val="22"/>
        </w:rPr>
      </w:pPr>
    </w:p>
    <w:p w14:paraId="112E4E45" w14:textId="77777777" w:rsidR="00F2007D" w:rsidRPr="007B701A" w:rsidRDefault="00F2007D" w:rsidP="00F2007D">
      <w:pPr>
        <w:rPr>
          <w:b/>
          <w:sz w:val="22"/>
          <w:szCs w:val="22"/>
        </w:rPr>
      </w:pPr>
    </w:p>
    <w:p w14:paraId="387D6856"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8.</w:t>
      </w:r>
      <w:r w:rsidRPr="007B701A">
        <w:rPr>
          <w:b/>
          <w:sz w:val="22"/>
          <w:szCs w:val="22"/>
        </w:rPr>
        <w:tab/>
        <w:t>TINKAMUMO LAIKAS</w:t>
      </w:r>
    </w:p>
    <w:p w14:paraId="3E1878B8" w14:textId="77777777" w:rsidR="00F2007D" w:rsidRPr="007B701A" w:rsidRDefault="00F2007D" w:rsidP="00F2007D">
      <w:pPr>
        <w:rPr>
          <w:sz w:val="22"/>
          <w:szCs w:val="22"/>
        </w:rPr>
      </w:pPr>
    </w:p>
    <w:p w14:paraId="4BDBFDA4" w14:textId="77777777" w:rsidR="00F2007D" w:rsidRPr="007B701A" w:rsidRDefault="00F2007D" w:rsidP="00F2007D">
      <w:pPr>
        <w:rPr>
          <w:sz w:val="22"/>
          <w:szCs w:val="22"/>
        </w:rPr>
      </w:pPr>
      <w:r w:rsidRPr="007B701A">
        <w:rPr>
          <w:sz w:val="22"/>
          <w:szCs w:val="22"/>
        </w:rPr>
        <w:t>Tinka iki {mm/MMMM}</w:t>
      </w:r>
    </w:p>
    <w:p w14:paraId="519E4B67" w14:textId="77777777" w:rsidR="00F2007D" w:rsidRPr="007B701A" w:rsidRDefault="00F2007D" w:rsidP="00F2007D">
      <w:pPr>
        <w:rPr>
          <w:sz w:val="22"/>
          <w:szCs w:val="22"/>
        </w:rPr>
      </w:pPr>
    </w:p>
    <w:p w14:paraId="40BF8B8E" w14:textId="77777777" w:rsidR="00F2007D" w:rsidRPr="007B701A" w:rsidRDefault="00F2007D" w:rsidP="00F2007D">
      <w:pPr>
        <w:rPr>
          <w:b/>
          <w:sz w:val="22"/>
          <w:szCs w:val="22"/>
        </w:rPr>
      </w:pPr>
    </w:p>
    <w:p w14:paraId="0F5997F6"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9.</w:t>
      </w:r>
      <w:r w:rsidRPr="007B701A">
        <w:rPr>
          <w:b/>
          <w:sz w:val="22"/>
          <w:szCs w:val="22"/>
        </w:rPr>
        <w:tab/>
        <w:t>SPECIALIOS LAIKYMO SĄLYGOS</w:t>
      </w:r>
    </w:p>
    <w:p w14:paraId="7B2775E1" w14:textId="77777777" w:rsidR="00F2007D" w:rsidRPr="007B701A" w:rsidRDefault="00F2007D" w:rsidP="00F2007D">
      <w:pPr>
        <w:rPr>
          <w:b/>
          <w:sz w:val="22"/>
          <w:szCs w:val="22"/>
        </w:rPr>
      </w:pPr>
    </w:p>
    <w:p w14:paraId="33E23DD0" w14:textId="77777777" w:rsidR="00F2007D" w:rsidRPr="007B701A" w:rsidRDefault="00F2007D" w:rsidP="00F2007D">
      <w:pPr>
        <w:rPr>
          <w:b/>
          <w:sz w:val="22"/>
          <w:szCs w:val="22"/>
        </w:rPr>
      </w:pPr>
    </w:p>
    <w:p w14:paraId="096A1ED2"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10.</w:t>
      </w:r>
      <w:r w:rsidRPr="007B701A">
        <w:rPr>
          <w:b/>
          <w:sz w:val="22"/>
          <w:szCs w:val="22"/>
        </w:rPr>
        <w:tab/>
        <w:t>SPECIALIOS ATSARGUMO PRIEMONĖS</w:t>
      </w:r>
      <w:r w:rsidRPr="008E6AFA">
        <w:t xml:space="preserve"> </w:t>
      </w:r>
      <w:r w:rsidRPr="008E6AFA">
        <w:rPr>
          <w:b/>
          <w:sz w:val="22"/>
          <w:szCs w:val="22"/>
        </w:rPr>
        <w:t>DĖL NESUVARTOTO VAISTINIO PREPARATO AR JO ATLIEKŲ TVARKYMO</w:t>
      </w:r>
      <w:r>
        <w:rPr>
          <w:b/>
          <w:sz w:val="22"/>
          <w:szCs w:val="22"/>
        </w:rPr>
        <w:t xml:space="preserve"> </w:t>
      </w:r>
      <w:r w:rsidRPr="007B701A">
        <w:rPr>
          <w:b/>
          <w:sz w:val="22"/>
          <w:szCs w:val="22"/>
        </w:rPr>
        <w:t>(JEI REIKIA)</w:t>
      </w:r>
    </w:p>
    <w:p w14:paraId="472D11FD" w14:textId="77777777" w:rsidR="00F2007D" w:rsidRPr="007B701A" w:rsidRDefault="00F2007D" w:rsidP="00F2007D">
      <w:pPr>
        <w:rPr>
          <w:b/>
          <w:sz w:val="22"/>
          <w:szCs w:val="22"/>
        </w:rPr>
      </w:pPr>
    </w:p>
    <w:p w14:paraId="2717FD7D" w14:textId="77777777" w:rsidR="00F2007D" w:rsidRPr="007B701A" w:rsidRDefault="00F2007D" w:rsidP="00F2007D">
      <w:pPr>
        <w:rPr>
          <w:b/>
          <w:sz w:val="22"/>
          <w:szCs w:val="22"/>
        </w:rPr>
      </w:pPr>
    </w:p>
    <w:p w14:paraId="5E64716F"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11.</w:t>
      </w:r>
      <w:r w:rsidRPr="007B701A">
        <w:rPr>
          <w:b/>
          <w:sz w:val="22"/>
          <w:szCs w:val="22"/>
        </w:rPr>
        <w:tab/>
      </w:r>
      <w:r>
        <w:rPr>
          <w:b/>
          <w:sz w:val="22"/>
          <w:szCs w:val="22"/>
        </w:rPr>
        <w:t>REGISTRUOTOJO</w:t>
      </w:r>
      <w:r w:rsidRPr="007B701A">
        <w:rPr>
          <w:b/>
          <w:sz w:val="22"/>
          <w:szCs w:val="22"/>
        </w:rPr>
        <w:t xml:space="preserve"> PAVADINIMAS IR ADRESAS </w:t>
      </w:r>
    </w:p>
    <w:p w14:paraId="4E60A509" w14:textId="77777777" w:rsidR="00F2007D" w:rsidRPr="007B701A" w:rsidRDefault="00F2007D" w:rsidP="00F2007D">
      <w:pPr>
        <w:rPr>
          <w:b/>
          <w:sz w:val="22"/>
          <w:szCs w:val="22"/>
        </w:rPr>
      </w:pPr>
    </w:p>
    <w:p w14:paraId="6CA831D1" w14:textId="77777777" w:rsidR="00F2007D" w:rsidRPr="007B701A" w:rsidRDefault="00F2007D" w:rsidP="00F2007D">
      <w:pPr>
        <w:rPr>
          <w:sz w:val="22"/>
          <w:szCs w:val="22"/>
        </w:rPr>
      </w:pPr>
      <w:r w:rsidRPr="007B701A">
        <w:rPr>
          <w:sz w:val="22"/>
          <w:szCs w:val="22"/>
        </w:rPr>
        <w:t>Sandoz d.d.</w:t>
      </w:r>
    </w:p>
    <w:p w14:paraId="0B8C202E" w14:textId="77777777" w:rsidR="00F2007D" w:rsidRPr="007B701A" w:rsidRDefault="00F2007D" w:rsidP="00F2007D">
      <w:pPr>
        <w:rPr>
          <w:sz w:val="22"/>
          <w:szCs w:val="22"/>
        </w:rPr>
      </w:pPr>
      <w:r w:rsidRPr="007B701A">
        <w:rPr>
          <w:sz w:val="22"/>
          <w:szCs w:val="22"/>
        </w:rPr>
        <w:t>Verovškova 57,</w:t>
      </w:r>
    </w:p>
    <w:p w14:paraId="19BB44ED" w14:textId="77777777" w:rsidR="00F2007D" w:rsidRPr="007B701A" w:rsidRDefault="00F2007D" w:rsidP="00F2007D">
      <w:pPr>
        <w:rPr>
          <w:sz w:val="22"/>
          <w:szCs w:val="22"/>
        </w:rPr>
      </w:pPr>
      <w:r w:rsidRPr="007B701A">
        <w:rPr>
          <w:sz w:val="22"/>
          <w:szCs w:val="22"/>
        </w:rPr>
        <w:t>1000 Ljubljana,</w:t>
      </w:r>
    </w:p>
    <w:p w14:paraId="40500520" w14:textId="77777777" w:rsidR="00F2007D" w:rsidRPr="007B701A" w:rsidRDefault="00F2007D" w:rsidP="00F2007D">
      <w:pPr>
        <w:rPr>
          <w:sz w:val="22"/>
          <w:szCs w:val="22"/>
        </w:rPr>
      </w:pPr>
      <w:r w:rsidRPr="007B701A">
        <w:rPr>
          <w:sz w:val="22"/>
          <w:szCs w:val="22"/>
        </w:rPr>
        <w:t>Slovėnija</w:t>
      </w:r>
    </w:p>
    <w:p w14:paraId="58E16BF9" w14:textId="77777777" w:rsidR="00F2007D" w:rsidRPr="007B701A" w:rsidRDefault="00F2007D" w:rsidP="00F2007D">
      <w:pPr>
        <w:rPr>
          <w:sz w:val="22"/>
          <w:szCs w:val="22"/>
        </w:rPr>
      </w:pPr>
    </w:p>
    <w:p w14:paraId="5AF81702" w14:textId="77777777" w:rsidR="00F2007D" w:rsidRPr="007B701A" w:rsidRDefault="00F2007D" w:rsidP="00F2007D">
      <w:pPr>
        <w:rPr>
          <w:sz w:val="22"/>
          <w:szCs w:val="22"/>
        </w:rPr>
      </w:pPr>
    </w:p>
    <w:p w14:paraId="7A97829D"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12.</w:t>
      </w:r>
      <w:r w:rsidRPr="007B701A">
        <w:rPr>
          <w:b/>
          <w:sz w:val="22"/>
          <w:szCs w:val="22"/>
        </w:rPr>
        <w:tab/>
      </w:r>
      <w:r>
        <w:rPr>
          <w:b/>
          <w:sz w:val="22"/>
          <w:szCs w:val="22"/>
        </w:rPr>
        <w:t>REGISTRACIJOS</w:t>
      </w:r>
      <w:r w:rsidRPr="007B701A">
        <w:rPr>
          <w:b/>
          <w:sz w:val="22"/>
          <w:szCs w:val="22"/>
        </w:rPr>
        <w:t xml:space="preserve"> PAŽYMĖJIMO NUMERIS</w:t>
      </w:r>
    </w:p>
    <w:p w14:paraId="217AA78A" w14:textId="77777777" w:rsidR="00F2007D" w:rsidRPr="007B701A" w:rsidRDefault="00F2007D" w:rsidP="00F2007D">
      <w:pPr>
        <w:rPr>
          <w:sz w:val="22"/>
          <w:szCs w:val="22"/>
        </w:rPr>
      </w:pPr>
    </w:p>
    <w:p w14:paraId="797A1F30" w14:textId="77777777" w:rsidR="00F2007D" w:rsidRPr="007B701A" w:rsidRDefault="00F2007D" w:rsidP="00F2007D">
      <w:pPr>
        <w:rPr>
          <w:sz w:val="22"/>
          <w:szCs w:val="22"/>
        </w:rPr>
      </w:pPr>
      <w:r w:rsidRPr="007B701A">
        <w:rPr>
          <w:sz w:val="22"/>
          <w:szCs w:val="22"/>
        </w:rPr>
        <w:t>LT/1/97/0324/002</w:t>
      </w:r>
    </w:p>
    <w:p w14:paraId="5D0B6E45" w14:textId="77777777" w:rsidR="00F2007D" w:rsidRPr="007B701A" w:rsidRDefault="00F2007D" w:rsidP="00F2007D">
      <w:pPr>
        <w:rPr>
          <w:sz w:val="22"/>
          <w:szCs w:val="22"/>
        </w:rPr>
      </w:pPr>
    </w:p>
    <w:p w14:paraId="1A923465" w14:textId="77777777" w:rsidR="00F2007D" w:rsidRPr="007B701A" w:rsidRDefault="00F2007D" w:rsidP="00F2007D">
      <w:pPr>
        <w:rPr>
          <w:sz w:val="22"/>
          <w:szCs w:val="22"/>
        </w:rPr>
      </w:pPr>
    </w:p>
    <w:p w14:paraId="75F0CCAC"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13.</w:t>
      </w:r>
      <w:r w:rsidRPr="007B701A">
        <w:rPr>
          <w:b/>
          <w:sz w:val="22"/>
          <w:szCs w:val="22"/>
        </w:rPr>
        <w:tab/>
        <w:t>SERIJOS NUMERIS</w:t>
      </w:r>
    </w:p>
    <w:p w14:paraId="31E8D55A" w14:textId="77777777" w:rsidR="00F2007D" w:rsidRPr="007B701A" w:rsidRDefault="00F2007D" w:rsidP="00F2007D">
      <w:pPr>
        <w:rPr>
          <w:sz w:val="22"/>
          <w:szCs w:val="22"/>
        </w:rPr>
      </w:pPr>
    </w:p>
    <w:p w14:paraId="4C4DA2B4" w14:textId="77777777" w:rsidR="00F2007D" w:rsidRPr="007B701A" w:rsidRDefault="00F2007D" w:rsidP="00F2007D">
      <w:pPr>
        <w:rPr>
          <w:sz w:val="22"/>
          <w:szCs w:val="22"/>
        </w:rPr>
      </w:pPr>
      <w:r w:rsidRPr="007B701A">
        <w:rPr>
          <w:sz w:val="22"/>
          <w:szCs w:val="22"/>
        </w:rPr>
        <w:t>Serija {numeris}</w:t>
      </w:r>
    </w:p>
    <w:p w14:paraId="5967B865" w14:textId="77777777" w:rsidR="00F2007D" w:rsidRPr="007B701A" w:rsidRDefault="00F2007D" w:rsidP="00F2007D">
      <w:pPr>
        <w:rPr>
          <w:sz w:val="22"/>
          <w:szCs w:val="22"/>
        </w:rPr>
      </w:pPr>
    </w:p>
    <w:p w14:paraId="7B19CED5" w14:textId="77777777" w:rsidR="00F2007D" w:rsidRPr="007B701A" w:rsidRDefault="00F2007D" w:rsidP="00F2007D">
      <w:pPr>
        <w:rPr>
          <w:sz w:val="22"/>
          <w:szCs w:val="22"/>
        </w:rPr>
      </w:pPr>
    </w:p>
    <w:p w14:paraId="2820C0E9"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14.</w:t>
      </w:r>
      <w:r w:rsidRPr="007B701A">
        <w:rPr>
          <w:b/>
          <w:sz w:val="22"/>
          <w:szCs w:val="22"/>
        </w:rPr>
        <w:tab/>
        <w:t>PARDAVIMO (IŠDAVIMO) TVARKA</w:t>
      </w:r>
    </w:p>
    <w:p w14:paraId="0B95641E" w14:textId="77777777" w:rsidR="00F2007D" w:rsidRPr="007B701A" w:rsidRDefault="00F2007D" w:rsidP="00F2007D">
      <w:pPr>
        <w:rPr>
          <w:b/>
          <w:sz w:val="22"/>
          <w:szCs w:val="22"/>
        </w:rPr>
      </w:pPr>
    </w:p>
    <w:p w14:paraId="7D2E9296" w14:textId="1AE110FE" w:rsidR="00F2007D" w:rsidRPr="007B701A" w:rsidRDefault="00F2007D" w:rsidP="00F2007D">
      <w:pPr>
        <w:rPr>
          <w:sz w:val="22"/>
          <w:szCs w:val="22"/>
        </w:rPr>
      </w:pPr>
      <w:r>
        <w:rPr>
          <w:sz w:val="22"/>
          <w:szCs w:val="22"/>
        </w:rPr>
        <w:t>Ner</w:t>
      </w:r>
      <w:r w:rsidRPr="007B701A">
        <w:rPr>
          <w:sz w:val="22"/>
          <w:szCs w:val="22"/>
        </w:rPr>
        <w:t>eceptinis vaist</w:t>
      </w:r>
      <w:r w:rsidR="00BB6F73">
        <w:rPr>
          <w:sz w:val="22"/>
          <w:szCs w:val="22"/>
        </w:rPr>
        <w:t>as</w:t>
      </w:r>
      <w:r w:rsidRPr="007B701A">
        <w:rPr>
          <w:sz w:val="22"/>
          <w:szCs w:val="22"/>
        </w:rPr>
        <w:t>.</w:t>
      </w:r>
    </w:p>
    <w:p w14:paraId="7EBA6D77" w14:textId="77777777" w:rsidR="00F2007D" w:rsidRPr="007B701A" w:rsidRDefault="00F2007D" w:rsidP="00F2007D">
      <w:pPr>
        <w:rPr>
          <w:sz w:val="22"/>
          <w:szCs w:val="22"/>
        </w:rPr>
      </w:pPr>
    </w:p>
    <w:p w14:paraId="51065A80" w14:textId="77777777" w:rsidR="00F2007D" w:rsidRPr="007B701A" w:rsidRDefault="00F2007D" w:rsidP="00F2007D">
      <w:pPr>
        <w:rPr>
          <w:sz w:val="22"/>
          <w:szCs w:val="22"/>
        </w:rPr>
      </w:pPr>
    </w:p>
    <w:p w14:paraId="7BCACC78"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15.</w:t>
      </w:r>
      <w:r w:rsidRPr="007B701A">
        <w:rPr>
          <w:b/>
          <w:sz w:val="22"/>
          <w:szCs w:val="22"/>
        </w:rPr>
        <w:tab/>
        <w:t>VARTOJIMO INSTRUKCIJA</w:t>
      </w:r>
    </w:p>
    <w:p w14:paraId="2E130DFB" w14:textId="77777777" w:rsidR="003502DF" w:rsidRPr="00451BAB" w:rsidRDefault="003502DF" w:rsidP="00F2007D">
      <w:pPr>
        <w:rPr>
          <w:sz w:val="22"/>
          <w:szCs w:val="22"/>
        </w:rPr>
      </w:pPr>
    </w:p>
    <w:p w14:paraId="2C0C2FB9" w14:textId="439D56B5" w:rsidR="00090638" w:rsidRDefault="008A3F18" w:rsidP="00090638">
      <w:pPr>
        <w:pStyle w:val="Antrats"/>
        <w:tabs>
          <w:tab w:val="clear" w:pos="4153"/>
          <w:tab w:val="clear" w:pos="8306"/>
        </w:tabs>
        <w:jc w:val="both"/>
        <w:rPr>
          <w:sz w:val="22"/>
          <w:szCs w:val="22"/>
        </w:rPr>
      </w:pPr>
      <w:r>
        <w:rPr>
          <w:sz w:val="22"/>
          <w:szCs w:val="22"/>
        </w:rPr>
        <w:t>A</w:t>
      </w:r>
      <w:r w:rsidRPr="008D2266">
        <w:rPr>
          <w:sz w:val="22"/>
          <w:szCs w:val="22"/>
        </w:rPr>
        <w:t>nksčiau gydyt</w:t>
      </w:r>
      <w:r>
        <w:rPr>
          <w:sz w:val="22"/>
          <w:szCs w:val="22"/>
        </w:rPr>
        <w:t>ojo diagnozuotos pasikartojančios lūpų pūslelinės gydymas</w:t>
      </w:r>
      <w:r w:rsidRPr="008D2266">
        <w:rPr>
          <w:sz w:val="22"/>
          <w:szCs w:val="22"/>
        </w:rPr>
        <w:t xml:space="preserve"> suaugusiems žmonėms, kurių inkstų ir </w:t>
      </w:r>
      <w:r>
        <w:rPr>
          <w:sz w:val="22"/>
          <w:szCs w:val="22"/>
        </w:rPr>
        <w:t>(</w:t>
      </w:r>
      <w:r w:rsidRPr="008D2266">
        <w:rPr>
          <w:sz w:val="22"/>
          <w:szCs w:val="22"/>
        </w:rPr>
        <w:t>ar</w:t>
      </w:r>
      <w:r>
        <w:rPr>
          <w:sz w:val="22"/>
          <w:szCs w:val="22"/>
        </w:rPr>
        <w:t>)</w:t>
      </w:r>
      <w:r w:rsidRPr="008D2266">
        <w:rPr>
          <w:sz w:val="22"/>
          <w:szCs w:val="22"/>
        </w:rPr>
        <w:t xml:space="preserve"> imuninė sistem</w:t>
      </w:r>
      <w:r>
        <w:rPr>
          <w:sz w:val="22"/>
          <w:szCs w:val="22"/>
        </w:rPr>
        <w:t>os</w:t>
      </w:r>
      <w:r w:rsidRPr="008D2266">
        <w:rPr>
          <w:sz w:val="22"/>
          <w:szCs w:val="22"/>
        </w:rPr>
        <w:t xml:space="preserve"> funkcij</w:t>
      </w:r>
      <w:r>
        <w:rPr>
          <w:sz w:val="22"/>
          <w:szCs w:val="22"/>
        </w:rPr>
        <w:t>os</w:t>
      </w:r>
      <w:r w:rsidRPr="008D2266">
        <w:rPr>
          <w:sz w:val="22"/>
          <w:szCs w:val="22"/>
        </w:rPr>
        <w:t xml:space="preserve"> </w:t>
      </w:r>
      <w:r>
        <w:rPr>
          <w:sz w:val="22"/>
          <w:szCs w:val="22"/>
        </w:rPr>
        <w:t>nesutrikusios</w:t>
      </w:r>
      <w:r w:rsidRPr="008D2266">
        <w:rPr>
          <w:sz w:val="22"/>
          <w:szCs w:val="22"/>
        </w:rPr>
        <w:t>.</w:t>
      </w:r>
      <w:r w:rsidR="00090638" w:rsidRPr="00EB70FA">
        <w:rPr>
          <w:sz w:val="22"/>
          <w:szCs w:val="22"/>
        </w:rPr>
        <w:t xml:space="preserve"> </w:t>
      </w:r>
    </w:p>
    <w:p w14:paraId="6A8FA85E" w14:textId="77777777" w:rsidR="00090638" w:rsidRPr="00EB70FA" w:rsidRDefault="00090638" w:rsidP="00090638">
      <w:pPr>
        <w:pStyle w:val="Antrats"/>
        <w:tabs>
          <w:tab w:val="clear" w:pos="4153"/>
          <w:tab w:val="clear" w:pos="8306"/>
        </w:tabs>
        <w:jc w:val="both"/>
        <w:rPr>
          <w:sz w:val="22"/>
          <w:szCs w:val="22"/>
        </w:rPr>
      </w:pPr>
    </w:p>
    <w:p w14:paraId="243B0806" w14:textId="7220B837" w:rsidR="00090638" w:rsidRPr="007B701A" w:rsidRDefault="00090638" w:rsidP="00090638">
      <w:pPr>
        <w:rPr>
          <w:b/>
          <w:sz w:val="22"/>
          <w:szCs w:val="22"/>
        </w:rPr>
      </w:pPr>
      <w:r w:rsidRPr="006C31E5">
        <w:rPr>
          <w:rFonts w:ascii="TimesLT" w:hAnsi="TimesLT"/>
          <w:sz w:val="22"/>
          <w:szCs w:val="22"/>
        </w:rPr>
        <w:t>Gerti po vieną tabletę 5 kartus per parą 5 paras iš eilės</w:t>
      </w:r>
      <w:r>
        <w:rPr>
          <w:rFonts w:ascii="TimesLT" w:hAnsi="TimesLT"/>
          <w:sz w:val="22"/>
          <w:szCs w:val="22"/>
        </w:rPr>
        <w:t>.</w:t>
      </w:r>
    </w:p>
    <w:p w14:paraId="76D6901E" w14:textId="77777777" w:rsidR="00451BAB" w:rsidRPr="007B701A" w:rsidRDefault="00451BAB" w:rsidP="00F2007D">
      <w:pPr>
        <w:rPr>
          <w:b/>
          <w:sz w:val="22"/>
          <w:szCs w:val="22"/>
        </w:rPr>
      </w:pPr>
    </w:p>
    <w:p w14:paraId="2063C6F0" w14:textId="77777777" w:rsidR="00F2007D" w:rsidRPr="007B701A" w:rsidRDefault="00F2007D" w:rsidP="00F2007D">
      <w:pPr>
        <w:rPr>
          <w:b/>
          <w:sz w:val="22"/>
          <w:szCs w:val="22"/>
        </w:rPr>
      </w:pPr>
    </w:p>
    <w:p w14:paraId="2ED3985D"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16.</w:t>
      </w:r>
      <w:r w:rsidRPr="007B701A">
        <w:rPr>
          <w:b/>
          <w:sz w:val="22"/>
          <w:szCs w:val="22"/>
        </w:rPr>
        <w:tab/>
        <w:t>INFORMACIJA BRAILIO RAŠTU</w:t>
      </w:r>
    </w:p>
    <w:p w14:paraId="068903F3" w14:textId="77777777" w:rsidR="00F2007D" w:rsidRPr="007B701A" w:rsidRDefault="00F2007D" w:rsidP="00F2007D">
      <w:pPr>
        <w:rPr>
          <w:b/>
          <w:sz w:val="22"/>
          <w:szCs w:val="22"/>
        </w:rPr>
      </w:pPr>
    </w:p>
    <w:p w14:paraId="3D3CFA03" w14:textId="560B9526" w:rsidR="00E0100A" w:rsidRDefault="00F2007D" w:rsidP="00E0100A">
      <w:pPr>
        <w:rPr>
          <w:sz w:val="22"/>
          <w:szCs w:val="22"/>
        </w:rPr>
      </w:pPr>
      <w:r w:rsidRPr="007B701A">
        <w:rPr>
          <w:sz w:val="22"/>
          <w:szCs w:val="22"/>
        </w:rPr>
        <w:t xml:space="preserve">Acic 200 mg </w:t>
      </w:r>
    </w:p>
    <w:p w14:paraId="493A8DFF" w14:textId="77777777" w:rsidR="00D56E00" w:rsidRPr="007B701A" w:rsidRDefault="00D56E00" w:rsidP="00E0100A">
      <w:pPr>
        <w:rPr>
          <w:b/>
          <w:sz w:val="22"/>
          <w:szCs w:val="22"/>
        </w:rPr>
      </w:pPr>
    </w:p>
    <w:p w14:paraId="675016C2" w14:textId="77777777" w:rsidR="00E0100A" w:rsidRPr="000F689E" w:rsidRDefault="00E0100A" w:rsidP="009947E9">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lang w:bidi="lt-LT"/>
        </w:rPr>
      </w:pPr>
      <w:r w:rsidRPr="007B701A">
        <w:rPr>
          <w:sz w:val="22"/>
          <w:szCs w:val="22"/>
        </w:rPr>
        <w:t xml:space="preserve"> </w:t>
      </w:r>
      <w:r w:rsidRPr="000F689E">
        <w:rPr>
          <w:b/>
          <w:noProof/>
          <w:lang w:bidi="lt-LT"/>
        </w:rPr>
        <w:t>17.</w:t>
      </w:r>
      <w:r w:rsidRPr="000F689E">
        <w:rPr>
          <w:b/>
          <w:noProof/>
          <w:lang w:bidi="lt-LT"/>
        </w:rPr>
        <w:tab/>
        <w:t>UNIKALUS IDENTIFIKATORIUS – 2D BRŪKŠNINIS KODAS</w:t>
      </w:r>
    </w:p>
    <w:p w14:paraId="0686103C" w14:textId="77777777" w:rsidR="00E0100A" w:rsidRPr="000F689E" w:rsidRDefault="00E0100A" w:rsidP="00E0100A">
      <w:pPr>
        <w:rPr>
          <w:noProof/>
          <w:lang w:bidi="lt-LT"/>
        </w:rPr>
      </w:pPr>
    </w:p>
    <w:p w14:paraId="602975A8" w14:textId="77777777" w:rsidR="00E0100A" w:rsidRPr="000F689E" w:rsidRDefault="00E0100A" w:rsidP="00E0100A">
      <w:pPr>
        <w:tabs>
          <w:tab w:val="left" w:pos="567"/>
        </w:tabs>
        <w:rPr>
          <w:noProof/>
          <w:szCs w:val="22"/>
          <w:shd w:val="clear" w:color="auto" w:fill="CCCCCC"/>
          <w:lang w:bidi="lt-LT"/>
        </w:rPr>
      </w:pPr>
      <w:r w:rsidRPr="000F689E">
        <w:rPr>
          <w:noProof/>
          <w:highlight w:val="lightGray"/>
          <w:lang w:bidi="lt-LT"/>
        </w:rPr>
        <w:t>2D brūkšninis kodas su nurodytu unikaliu identifikatoriumi.</w:t>
      </w:r>
    </w:p>
    <w:p w14:paraId="3193A026" w14:textId="768A3DCD" w:rsidR="00E0100A" w:rsidRPr="000F689E" w:rsidRDefault="00BB6F73" w:rsidP="00E0100A">
      <w:pPr>
        <w:rPr>
          <w:noProof/>
          <w:lang w:bidi="lt-LT"/>
        </w:rPr>
      </w:pPr>
      <w:r w:rsidRPr="00183673">
        <w:rPr>
          <w:noProof/>
          <w:highlight w:val="lightGray"/>
          <w:lang w:bidi="lt-LT"/>
        </w:rPr>
        <w:t>Duomenys nebutini</w:t>
      </w:r>
    </w:p>
    <w:p w14:paraId="07739DC9" w14:textId="77777777" w:rsidR="00E0100A" w:rsidRPr="000F689E" w:rsidRDefault="00E0100A" w:rsidP="00E0100A">
      <w:pPr>
        <w:rPr>
          <w:noProof/>
          <w:lang w:bidi="lt-LT"/>
        </w:rPr>
      </w:pPr>
    </w:p>
    <w:p w14:paraId="7978E289" w14:textId="77777777" w:rsidR="00E0100A" w:rsidRPr="000F689E" w:rsidRDefault="00E0100A" w:rsidP="00E0100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0F689E">
        <w:rPr>
          <w:b/>
          <w:noProof/>
          <w:lang w:bidi="lt-LT"/>
        </w:rPr>
        <w:t>18.</w:t>
      </w:r>
      <w:r w:rsidRPr="000F689E">
        <w:rPr>
          <w:b/>
          <w:noProof/>
          <w:lang w:bidi="lt-LT"/>
        </w:rPr>
        <w:tab/>
        <w:t>UNIKALUS IDENTIFIKATORIUS – ŽMONĖMS SUPRANTAMI DUOMENYS</w:t>
      </w:r>
    </w:p>
    <w:p w14:paraId="2D979CA7" w14:textId="77777777" w:rsidR="00E0100A" w:rsidRPr="000F689E" w:rsidRDefault="00E0100A" w:rsidP="00E0100A">
      <w:pPr>
        <w:rPr>
          <w:noProof/>
          <w:lang w:bidi="lt-LT"/>
        </w:rPr>
      </w:pPr>
    </w:p>
    <w:p w14:paraId="2C618850" w14:textId="77777777" w:rsidR="00E0100A" w:rsidRPr="000F689E" w:rsidRDefault="00E0100A" w:rsidP="00E0100A">
      <w:pPr>
        <w:tabs>
          <w:tab w:val="left" w:pos="567"/>
        </w:tabs>
        <w:spacing w:line="260" w:lineRule="exact"/>
        <w:rPr>
          <w:color w:val="008000"/>
          <w:szCs w:val="22"/>
          <w:lang w:bidi="lt-LT"/>
        </w:rPr>
      </w:pPr>
      <w:r w:rsidRPr="000F689E">
        <w:rPr>
          <w:lang w:bidi="lt-LT"/>
        </w:rPr>
        <w:t>PC: {numeris}</w:t>
      </w:r>
    </w:p>
    <w:p w14:paraId="34B73024" w14:textId="77777777" w:rsidR="00E0100A" w:rsidRPr="000F689E" w:rsidRDefault="00E0100A" w:rsidP="00E0100A">
      <w:pPr>
        <w:tabs>
          <w:tab w:val="left" w:pos="567"/>
        </w:tabs>
        <w:spacing w:line="260" w:lineRule="exact"/>
        <w:rPr>
          <w:szCs w:val="22"/>
          <w:lang w:bidi="lt-LT"/>
        </w:rPr>
      </w:pPr>
      <w:r w:rsidRPr="000F689E">
        <w:rPr>
          <w:lang w:bidi="lt-LT"/>
        </w:rPr>
        <w:t>SN: {numeris}</w:t>
      </w:r>
    </w:p>
    <w:p w14:paraId="72BEAF10" w14:textId="77777777" w:rsidR="00F2007D" w:rsidRDefault="00E0100A" w:rsidP="00F2007D">
      <w:pPr>
        <w:rPr>
          <w:lang w:bidi="lt-LT"/>
        </w:rPr>
      </w:pPr>
      <w:r w:rsidRPr="00183673">
        <w:rPr>
          <w:highlight w:val="lightGray"/>
          <w:lang w:bidi="lt-LT"/>
        </w:rPr>
        <w:t>NN: {numeris</w:t>
      </w:r>
      <w:r w:rsidR="0009588A" w:rsidRPr="00183673">
        <w:rPr>
          <w:highlight w:val="lightGray"/>
          <w:lang w:bidi="lt-LT"/>
        </w:rPr>
        <w:t>}</w:t>
      </w:r>
    </w:p>
    <w:p w14:paraId="184EFEC9" w14:textId="77777777" w:rsidR="00DD4D90" w:rsidRPr="009947E9" w:rsidRDefault="00DD4D90" w:rsidP="009947E9">
      <w:pPr>
        <w:tabs>
          <w:tab w:val="left" w:pos="567"/>
        </w:tabs>
        <w:spacing w:line="260" w:lineRule="exact"/>
        <w:rPr>
          <w:szCs w:val="22"/>
          <w:lang w:bidi="lt-LT"/>
        </w:rPr>
      </w:pPr>
    </w:p>
    <w:p w14:paraId="2991362B" w14:textId="77777777" w:rsidR="00F2007D" w:rsidRPr="007B701A" w:rsidRDefault="00F2007D" w:rsidP="009947E9">
      <w:pPr>
        <w:overflowPunct/>
        <w:autoSpaceDE/>
        <w:autoSpaceDN/>
        <w:adjustRightInd/>
        <w:spacing w:after="200" w:line="276" w:lineRule="auto"/>
        <w:textAlignment w:val="auto"/>
        <w:rPr>
          <w:sz w:val="22"/>
          <w:szCs w:val="22"/>
        </w:rPr>
      </w:pPr>
    </w:p>
    <w:p w14:paraId="42D7DE98" w14:textId="77777777" w:rsidR="00F2007D" w:rsidRPr="007B701A" w:rsidRDefault="00F2007D" w:rsidP="00F2007D">
      <w:pPr>
        <w:rPr>
          <w:sz w:val="22"/>
          <w:szCs w:val="22"/>
        </w:rPr>
      </w:pPr>
    </w:p>
    <w:p w14:paraId="6E83584A" w14:textId="77777777" w:rsidR="00F2007D" w:rsidRPr="007B701A" w:rsidRDefault="00F2007D" w:rsidP="00F2007D">
      <w:pPr>
        <w:rPr>
          <w:sz w:val="22"/>
          <w:szCs w:val="22"/>
        </w:rPr>
      </w:pPr>
    </w:p>
    <w:p w14:paraId="3FDEFE60" w14:textId="77777777" w:rsidR="00F2007D" w:rsidRPr="007B701A" w:rsidRDefault="00F2007D" w:rsidP="00F2007D">
      <w:pPr>
        <w:rPr>
          <w:sz w:val="22"/>
          <w:szCs w:val="22"/>
        </w:rPr>
      </w:pPr>
    </w:p>
    <w:p w14:paraId="68D18D80" w14:textId="77777777" w:rsidR="00F2007D" w:rsidRPr="007B701A" w:rsidRDefault="00F2007D" w:rsidP="00F2007D">
      <w:pPr>
        <w:rPr>
          <w:sz w:val="22"/>
          <w:szCs w:val="22"/>
        </w:rPr>
      </w:pPr>
    </w:p>
    <w:p w14:paraId="4A2E6587" w14:textId="77777777" w:rsidR="00F2007D" w:rsidRPr="007B701A" w:rsidRDefault="00F2007D" w:rsidP="00F2007D">
      <w:pPr>
        <w:rPr>
          <w:sz w:val="22"/>
          <w:szCs w:val="22"/>
        </w:rPr>
      </w:pPr>
    </w:p>
    <w:p w14:paraId="70F9D9CF" w14:textId="77777777" w:rsidR="00DD4D90" w:rsidRDefault="00DD4D90">
      <w:pPr>
        <w:overflowPunct/>
        <w:autoSpaceDE/>
        <w:autoSpaceDN/>
        <w:adjustRightInd/>
        <w:spacing w:after="200" w:line="276" w:lineRule="auto"/>
        <w:textAlignment w:val="auto"/>
        <w:rPr>
          <w:sz w:val="22"/>
          <w:szCs w:val="22"/>
        </w:rPr>
      </w:pPr>
      <w:r>
        <w:rPr>
          <w:sz w:val="22"/>
          <w:szCs w:val="22"/>
        </w:rPr>
        <w:br w:type="page"/>
      </w:r>
    </w:p>
    <w:p w14:paraId="13D0CC3D" w14:textId="77777777" w:rsidR="00F2007D" w:rsidRPr="007B701A" w:rsidRDefault="00F2007D" w:rsidP="00F2007D">
      <w:pPr>
        <w:pBdr>
          <w:top w:val="single" w:sz="4" w:space="1" w:color="auto"/>
          <w:left w:val="single" w:sz="4" w:space="4" w:color="auto"/>
          <w:bottom w:val="single" w:sz="4" w:space="1" w:color="auto"/>
          <w:right w:val="single" w:sz="4" w:space="4" w:color="auto"/>
        </w:pBdr>
        <w:rPr>
          <w:b/>
          <w:sz w:val="22"/>
          <w:szCs w:val="22"/>
        </w:rPr>
      </w:pPr>
      <w:r w:rsidRPr="007B701A">
        <w:rPr>
          <w:b/>
          <w:sz w:val="22"/>
          <w:szCs w:val="22"/>
        </w:rPr>
        <w:lastRenderedPageBreak/>
        <w:t xml:space="preserve">MINIMALI INFORMACIJA ANT </w:t>
      </w:r>
      <w:r w:rsidRPr="008E6AFA">
        <w:rPr>
          <w:b/>
          <w:sz w:val="22"/>
          <w:szCs w:val="22"/>
        </w:rPr>
        <w:t>LIZDINIŲ PLOKŠTELIŲ ARBA DVISLUOKSNIŲ JUOSTELIŲ</w:t>
      </w:r>
    </w:p>
    <w:p w14:paraId="4C37FEF3" w14:textId="77777777" w:rsidR="00F2007D" w:rsidRPr="007B701A" w:rsidRDefault="00F2007D" w:rsidP="00F2007D">
      <w:pPr>
        <w:pBdr>
          <w:top w:val="single" w:sz="4" w:space="1" w:color="auto"/>
          <w:left w:val="single" w:sz="4" w:space="4" w:color="auto"/>
          <w:bottom w:val="single" w:sz="4" w:space="1" w:color="auto"/>
          <w:right w:val="single" w:sz="4" w:space="4" w:color="auto"/>
        </w:pBdr>
        <w:rPr>
          <w:sz w:val="22"/>
          <w:szCs w:val="22"/>
        </w:rPr>
      </w:pPr>
    </w:p>
    <w:p w14:paraId="1B3C925C" w14:textId="77777777" w:rsidR="00F2007D" w:rsidRPr="0033591C" w:rsidRDefault="00F2007D" w:rsidP="00F2007D">
      <w:pPr>
        <w:pBdr>
          <w:top w:val="single" w:sz="4" w:space="1" w:color="auto"/>
          <w:left w:val="single" w:sz="4" w:space="4" w:color="auto"/>
          <w:bottom w:val="single" w:sz="4" w:space="1" w:color="auto"/>
          <w:right w:val="single" w:sz="4" w:space="4" w:color="auto"/>
        </w:pBdr>
        <w:rPr>
          <w:b/>
          <w:sz w:val="22"/>
          <w:szCs w:val="22"/>
        </w:rPr>
      </w:pPr>
      <w:r w:rsidRPr="0033591C">
        <w:rPr>
          <w:b/>
          <w:sz w:val="22"/>
          <w:szCs w:val="22"/>
        </w:rPr>
        <w:t>LIZDINĖ PLOKŠTELĖ</w:t>
      </w:r>
    </w:p>
    <w:p w14:paraId="7DC7A457" w14:textId="77777777" w:rsidR="00F2007D" w:rsidRPr="007B701A" w:rsidRDefault="00F2007D" w:rsidP="00F2007D">
      <w:pPr>
        <w:rPr>
          <w:sz w:val="22"/>
          <w:szCs w:val="22"/>
        </w:rPr>
      </w:pPr>
    </w:p>
    <w:p w14:paraId="6EF8A466" w14:textId="77777777" w:rsidR="00F2007D" w:rsidRPr="007B701A" w:rsidRDefault="00F2007D" w:rsidP="00F2007D">
      <w:pPr>
        <w:rPr>
          <w:sz w:val="22"/>
          <w:szCs w:val="22"/>
        </w:rPr>
      </w:pPr>
    </w:p>
    <w:p w14:paraId="53C7D490"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1.</w:t>
      </w:r>
      <w:r w:rsidRPr="007B701A">
        <w:rPr>
          <w:b/>
          <w:sz w:val="22"/>
          <w:szCs w:val="22"/>
        </w:rPr>
        <w:tab/>
        <w:t>VAISTINIO PREPARATO PAVADINIMAS</w:t>
      </w:r>
    </w:p>
    <w:p w14:paraId="34328DBA" w14:textId="77777777" w:rsidR="00F2007D" w:rsidRPr="007B701A" w:rsidRDefault="00F2007D" w:rsidP="00F2007D">
      <w:pPr>
        <w:rPr>
          <w:b/>
          <w:sz w:val="22"/>
          <w:szCs w:val="22"/>
        </w:rPr>
      </w:pPr>
    </w:p>
    <w:p w14:paraId="1273E440" w14:textId="77777777" w:rsidR="00F2007D" w:rsidRPr="007B701A" w:rsidRDefault="00F2007D" w:rsidP="00F2007D">
      <w:pPr>
        <w:rPr>
          <w:sz w:val="22"/>
          <w:szCs w:val="22"/>
        </w:rPr>
      </w:pPr>
      <w:r w:rsidRPr="007B701A">
        <w:rPr>
          <w:sz w:val="22"/>
          <w:szCs w:val="22"/>
        </w:rPr>
        <w:t xml:space="preserve">Acic 200 mg tabletės </w:t>
      </w:r>
    </w:p>
    <w:p w14:paraId="03083043" w14:textId="77777777" w:rsidR="00F2007D" w:rsidRPr="007B701A" w:rsidRDefault="00F2007D" w:rsidP="00F2007D">
      <w:pPr>
        <w:rPr>
          <w:sz w:val="22"/>
          <w:szCs w:val="22"/>
        </w:rPr>
      </w:pPr>
      <w:r w:rsidRPr="007B701A">
        <w:rPr>
          <w:sz w:val="22"/>
          <w:szCs w:val="22"/>
        </w:rPr>
        <w:t>Aciclovirum</w:t>
      </w:r>
    </w:p>
    <w:p w14:paraId="6C3038FA" w14:textId="77777777" w:rsidR="00F2007D" w:rsidRPr="007B701A" w:rsidRDefault="00F2007D" w:rsidP="00F2007D">
      <w:pPr>
        <w:rPr>
          <w:sz w:val="22"/>
          <w:szCs w:val="22"/>
        </w:rPr>
      </w:pPr>
    </w:p>
    <w:p w14:paraId="1106C955" w14:textId="77777777" w:rsidR="00F2007D" w:rsidRPr="007B701A" w:rsidRDefault="00F2007D" w:rsidP="00F2007D">
      <w:pPr>
        <w:rPr>
          <w:sz w:val="22"/>
          <w:szCs w:val="22"/>
        </w:rPr>
      </w:pPr>
    </w:p>
    <w:p w14:paraId="4C668BAF"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2.</w:t>
      </w:r>
      <w:r w:rsidRPr="007B701A">
        <w:rPr>
          <w:b/>
          <w:sz w:val="22"/>
          <w:szCs w:val="22"/>
        </w:rPr>
        <w:tab/>
      </w:r>
      <w:r>
        <w:rPr>
          <w:b/>
          <w:sz w:val="22"/>
          <w:szCs w:val="22"/>
        </w:rPr>
        <w:t>REGISTRUOTOJO</w:t>
      </w:r>
      <w:r w:rsidRPr="007B701A">
        <w:rPr>
          <w:b/>
          <w:sz w:val="22"/>
          <w:szCs w:val="22"/>
        </w:rPr>
        <w:t xml:space="preserve"> PAVADINIMAS </w:t>
      </w:r>
    </w:p>
    <w:p w14:paraId="15098F32" w14:textId="77777777" w:rsidR="00F2007D" w:rsidRPr="007B701A" w:rsidRDefault="00F2007D" w:rsidP="00F2007D">
      <w:pPr>
        <w:rPr>
          <w:sz w:val="22"/>
          <w:szCs w:val="22"/>
        </w:rPr>
      </w:pPr>
    </w:p>
    <w:p w14:paraId="2AC723BE" w14:textId="77777777" w:rsidR="00F2007D" w:rsidRPr="007B701A" w:rsidRDefault="00F2007D" w:rsidP="00F2007D">
      <w:pPr>
        <w:rPr>
          <w:sz w:val="22"/>
          <w:szCs w:val="22"/>
        </w:rPr>
      </w:pPr>
      <w:r w:rsidRPr="007B701A">
        <w:rPr>
          <w:sz w:val="22"/>
          <w:szCs w:val="22"/>
        </w:rPr>
        <w:t>SANDOZ</w:t>
      </w:r>
    </w:p>
    <w:p w14:paraId="34B2FACE" w14:textId="77777777" w:rsidR="00F2007D" w:rsidRPr="007B701A" w:rsidRDefault="00F2007D" w:rsidP="00F2007D">
      <w:pPr>
        <w:rPr>
          <w:sz w:val="22"/>
          <w:szCs w:val="22"/>
        </w:rPr>
      </w:pPr>
    </w:p>
    <w:p w14:paraId="514C6EF3" w14:textId="77777777" w:rsidR="00F2007D" w:rsidRPr="007B701A" w:rsidRDefault="00F2007D" w:rsidP="00F2007D">
      <w:pPr>
        <w:rPr>
          <w:sz w:val="22"/>
          <w:szCs w:val="22"/>
        </w:rPr>
      </w:pPr>
    </w:p>
    <w:p w14:paraId="7C49505E"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3.</w:t>
      </w:r>
      <w:r w:rsidRPr="007B701A">
        <w:rPr>
          <w:b/>
          <w:sz w:val="22"/>
          <w:szCs w:val="22"/>
        </w:rPr>
        <w:tab/>
        <w:t>TINKAMUMO LAIKAS</w:t>
      </w:r>
    </w:p>
    <w:p w14:paraId="239D1C2A" w14:textId="77777777" w:rsidR="00F2007D" w:rsidRPr="007B701A" w:rsidRDefault="00F2007D" w:rsidP="00F2007D">
      <w:pPr>
        <w:rPr>
          <w:b/>
          <w:sz w:val="22"/>
          <w:szCs w:val="22"/>
        </w:rPr>
      </w:pPr>
    </w:p>
    <w:p w14:paraId="5D4E2E07" w14:textId="77777777" w:rsidR="00F2007D" w:rsidRPr="007B701A" w:rsidRDefault="00E0100A" w:rsidP="00F2007D">
      <w:pPr>
        <w:rPr>
          <w:sz w:val="22"/>
          <w:szCs w:val="22"/>
        </w:rPr>
      </w:pPr>
      <w:r w:rsidRPr="009947E9">
        <w:rPr>
          <w:sz w:val="22"/>
          <w:szCs w:val="22"/>
          <w:highlight w:val="lightGray"/>
        </w:rPr>
        <w:t>EXP</w:t>
      </w:r>
      <w:r>
        <w:rPr>
          <w:sz w:val="22"/>
          <w:szCs w:val="22"/>
        </w:rPr>
        <w:t xml:space="preserve"> </w:t>
      </w:r>
      <w:r w:rsidR="00F2007D" w:rsidRPr="007B701A">
        <w:rPr>
          <w:sz w:val="22"/>
          <w:szCs w:val="22"/>
        </w:rPr>
        <w:t>{mm/MMMM}</w:t>
      </w:r>
    </w:p>
    <w:p w14:paraId="1B48BA48" w14:textId="77777777" w:rsidR="00F2007D" w:rsidRPr="007B701A" w:rsidRDefault="00F2007D" w:rsidP="00F2007D">
      <w:pPr>
        <w:rPr>
          <w:sz w:val="22"/>
          <w:szCs w:val="22"/>
        </w:rPr>
      </w:pPr>
    </w:p>
    <w:p w14:paraId="501F19AC" w14:textId="77777777" w:rsidR="00F2007D" w:rsidRPr="007B701A" w:rsidRDefault="00F2007D" w:rsidP="00F2007D">
      <w:pPr>
        <w:rPr>
          <w:sz w:val="22"/>
          <w:szCs w:val="22"/>
        </w:rPr>
      </w:pPr>
    </w:p>
    <w:p w14:paraId="5428BA31" w14:textId="77777777" w:rsidR="00F2007D" w:rsidRPr="007B701A" w:rsidRDefault="00F2007D" w:rsidP="00F2007D">
      <w:pPr>
        <w:pBdr>
          <w:top w:val="single" w:sz="4" w:space="1" w:color="auto"/>
          <w:left w:val="single" w:sz="4" w:space="4" w:color="auto"/>
          <w:bottom w:val="single" w:sz="4" w:space="1" w:color="auto"/>
          <w:right w:val="single" w:sz="4" w:space="4" w:color="auto"/>
        </w:pBdr>
        <w:ind w:left="540" w:hanging="540"/>
        <w:rPr>
          <w:b/>
          <w:sz w:val="22"/>
          <w:szCs w:val="22"/>
        </w:rPr>
      </w:pPr>
      <w:r w:rsidRPr="007B701A">
        <w:rPr>
          <w:b/>
          <w:sz w:val="22"/>
          <w:szCs w:val="22"/>
        </w:rPr>
        <w:t>4.</w:t>
      </w:r>
      <w:r w:rsidRPr="007B701A">
        <w:rPr>
          <w:b/>
          <w:sz w:val="22"/>
          <w:szCs w:val="22"/>
        </w:rPr>
        <w:tab/>
        <w:t xml:space="preserve">SERIJOS NUMERIS </w:t>
      </w:r>
    </w:p>
    <w:p w14:paraId="397BDA6B" w14:textId="77777777" w:rsidR="00F2007D" w:rsidRPr="007B701A" w:rsidRDefault="00F2007D" w:rsidP="00F2007D">
      <w:pPr>
        <w:rPr>
          <w:sz w:val="22"/>
          <w:szCs w:val="22"/>
        </w:rPr>
      </w:pPr>
    </w:p>
    <w:p w14:paraId="5F7714EF" w14:textId="77777777" w:rsidR="00F2007D" w:rsidRPr="007B701A" w:rsidRDefault="00E0100A" w:rsidP="00F2007D">
      <w:pPr>
        <w:rPr>
          <w:sz w:val="22"/>
          <w:szCs w:val="22"/>
        </w:rPr>
      </w:pPr>
      <w:r w:rsidRPr="009947E9">
        <w:rPr>
          <w:sz w:val="22"/>
          <w:szCs w:val="22"/>
          <w:highlight w:val="lightGray"/>
        </w:rPr>
        <w:t>LOT</w:t>
      </w:r>
      <w:r w:rsidR="00F2007D" w:rsidRPr="007B701A">
        <w:rPr>
          <w:sz w:val="22"/>
          <w:szCs w:val="22"/>
        </w:rPr>
        <w:t>{numeris}</w:t>
      </w:r>
    </w:p>
    <w:p w14:paraId="766AFB66" w14:textId="77777777" w:rsidR="00F2007D" w:rsidRPr="007B701A" w:rsidRDefault="00F2007D" w:rsidP="00F2007D">
      <w:pPr>
        <w:rPr>
          <w:sz w:val="22"/>
          <w:szCs w:val="22"/>
        </w:rPr>
      </w:pPr>
    </w:p>
    <w:p w14:paraId="013B6B73" w14:textId="77777777" w:rsidR="00F2007D" w:rsidRPr="007B701A" w:rsidRDefault="00F2007D" w:rsidP="00F2007D">
      <w:pPr>
        <w:rPr>
          <w:sz w:val="22"/>
          <w:szCs w:val="22"/>
        </w:rPr>
      </w:pPr>
    </w:p>
    <w:p w14:paraId="5F95C3C3" w14:textId="77777777" w:rsidR="00F2007D" w:rsidRPr="007B701A" w:rsidRDefault="00F2007D" w:rsidP="00F2007D">
      <w:pPr>
        <w:pBdr>
          <w:top w:val="single" w:sz="4" w:space="1" w:color="auto"/>
          <w:left w:val="single" w:sz="4" w:space="4" w:color="auto"/>
          <w:bottom w:val="single" w:sz="4" w:space="1" w:color="auto"/>
          <w:right w:val="single" w:sz="4" w:space="4" w:color="auto"/>
        </w:pBdr>
        <w:tabs>
          <w:tab w:val="left" w:pos="567"/>
        </w:tabs>
        <w:spacing w:after="120"/>
        <w:rPr>
          <w:b/>
          <w:sz w:val="22"/>
          <w:szCs w:val="22"/>
        </w:rPr>
      </w:pPr>
      <w:r w:rsidRPr="007B701A">
        <w:rPr>
          <w:b/>
          <w:sz w:val="22"/>
          <w:szCs w:val="22"/>
        </w:rPr>
        <w:t>5.</w:t>
      </w:r>
      <w:r w:rsidRPr="007B701A">
        <w:rPr>
          <w:b/>
          <w:sz w:val="22"/>
          <w:szCs w:val="22"/>
        </w:rPr>
        <w:tab/>
        <w:t>KITA</w:t>
      </w:r>
    </w:p>
    <w:p w14:paraId="0F83F765" w14:textId="77777777" w:rsidR="00F2007D" w:rsidRPr="007B701A" w:rsidRDefault="00F2007D" w:rsidP="00F2007D">
      <w:pPr>
        <w:rPr>
          <w:b/>
          <w:sz w:val="22"/>
          <w:szCs w:val="22"/>
        </w:rPr>
      </w:pPr>
    </w:p>
    <w:p w14:paraId="54B69DAE" w14:textId="77777777" w:rsidR="00F2007D" w:rsidRPr="007B701A" w:rsidRDefault="00F2007D" w:rsidP="00F2007D">
      <w:pPr>
        <w:rPr>
          <w:sz w:val="22"/>
          <w:szCs w:val="22"/>
        </w:rPr>
      </w:pPr>
    </w:p>
    <w:p w14:paraId="7CCBFAB1" w14:textId="77777777" w:rsidR="00F2007D" w:rsidRPr="007B701A" w:rsidRDefault="00F2007D" w:rsidP="00F2007D">
      <w:pPr>
        <w:rPr>
          <w:sz w:val="22"/>
          <w:szCs w:val="22"/>
        </w:rPr>
      </w:pPr>
      <w:r w:rsidRPr="007B701A">
        <w:rPr>
          <w:sz w:val="22"/>
          <w:szCs w:val="22"/>
        </w:rPr>
        <w:br w:type="page"/>
      </w:r>
    </w:p>
    <w:p w14:paraId="385D5A61" w14:textId="77777777" w:rsidR="00F2007D" w:rsidRPr="007B701A" w:rsidRDefault="00F2007D" w:rsidP="00F2007D">
      <w:pPr>
        <w:overflowPunct/>
        <w:autoSpaceDE/>
        <w:autoSpaceDN/>
        <w:adjustRightInd/>
        <w:textAlignment w:val="auto"/>
        <w:outlineLvl w:val="0"/>
        <w:rPr>
          <w:bCs/>
          <w:kern w:val="28"/>
          <w:sz w:val="22"/>
          <w:szCs w:val="22"/>
        </w:rPr>
      </w:pPr>
    </w:p>
    <w:p w14:paraId="7060FB4D" w14:textId="77777777" w:rsidR="00F2007D" w:rsidRPr="007B701A" w:rsidRDefault="00F2007D" w:rsidP="00F2007D">
      <w:pPr>
        <w:overflowPunct/>
        <w:autoSpaceDE/>
        <w:autoSpaceDN/>
        <w:adjustRightInd/>
        <w:textAlignment w:val="auto"/>
        <w:outlineLvl w:val="0"/>
        <w:rPr>
          <w:bCs/>
          <w:kern w:val="28"/>
          <w:sz w:val="22"/>
          <w:szCs w:val="22"/>
        </w:rPr>
      </w:pPr>
    </w:p>
    <w:p w14:paraId="53959E6D" w14:textId="77777777" w:rsidR="00F2007D" w:rsidRPr="007B701A" w:rsidRDefault="00F2007D" w:rsidP="00F2007D">
      <w:pPr>
        <w:overflowPunct/>
        <w:autoSpaceDE/>
        <w:autoSpaceDN/>
        <w:adjustRightInd/>
        <w:textAlignment w:val="auto"/>
        <w:outlineLvl w:val="0"/>
        <w:rPr>
          <w:bCs/>
          <w:kern w:val="28"/>
          <w:sz w:val="22"/>
          <w:szCs w:val="22"/>
        </w:rPr>
      </w:pPr>
    </w:p>
    <w:p w14:paraId="2DEB9357" w14:textId="77777777" w:rsidR="00F2007D" w:rsidRPr="007B701A" w:rsidRDefault="00F2007D" w:rsidP="00F2007D">
      <w:pPr>
        <w:overflowPunct/>
        <w:autoSpaceDE/>
        <w:autoSpaceDN/>
        <w:adjustRightInd/>
        <w:textAlignment w:val="auto"/>
        <w:outlineLvl w:val="0"/>
        <w:rPr>
          <w:bCs/>
          <w:kern w:val="28"/>
          <w:sz w:val="22"/>
          <w:szCs w:val="22"/>
        </w:rPr>
      </w:pPr>
    </w:p>
    <w:p w14:paraId="41803EFB" w14:textId="77777777" w:rsidR="00F2007D" w:rsidRPr="007B701A" w:rsidRDefault="00F2007D" w:rsidP="00F2007D">
      <w:pPr>
        <w:overflowPunct/>
        <w:autoSpaceDE/>
        <w:autoSpaceDN/>
        <w:adjustRightInd/>
        <w:textAlignment w:val="auto"/>
        <w:outlineLvl w:val="0"/>
        <w:rPr>
          <w:bCs/>
          <w:kern w:val="28"/>
          <w:sz w:val="22"/>
          <w:szCs w:val="22"/>
        </w:rPr>
      </w:pPr>
    </w:p>
    <w:p w14:paraId="6FFCFCDF" w14:textId="77777777" w:rsidR="00F2007D" w:rsidRPr="007B701A" w:rsidRDefault="00F2007D" w:rsidP="00F2007D">
      <w:pPr>
        <w:overflowPunct/>
        <w:autoSpaceDE/>
        <w:autoSpaceDN/>
        <w:adjustRightInd/>
        <w:textAlignment w:val="auto"/>
        <w:outlineLvl w:val="0"/>
        <w:rPr>
          <w:bCs/>
          <w:kern w:val="28"/>
          <w:sz w:val="22"/>
          <w:szCs w:val="22"/>
        </w:rPr>
      </w:pPr>
    </w:p>
    <w:p w14:paraId="577DE11C" w14:textId="77777777" w:rsidR="00F2007D" w:rsidRPr="007B701A" w:rsidRDefault="00F2007D" w:rsidP="00F2007D">
      <w:pPr>
        <w:overflowPunct/>
        <w:autoSpaceDE/>
        <w:autoSpaceDN/>
        <w:adjustRightInd/>
        <w:textAlignment w:val="auto"/>
        <w:outlineLvl w:val="0"/>
        <w:rPr>
          <w:bCs/>
          <w:kern w:val="28"/>
          <w:sz w:val="22"/>
          <w:szCs w:val="22"/>
        </w:rPr>
      </w:pPr>
    </w:p>
    <w:p w14:paraId="1331D0CE" w14:textId="77777777" w:rsidR="00F2007D" w:rsidRPr="007B701A" w:rsidRDefault="00F2007D" w:rsidP="00F2007D">
      <w:pPr>
        <w:overflowPunct/>
        <w:autoSpaceDE/>
        <w:autoSpaceDN/>
        <w:adjustRightInd/>
        <w:textAlignment w:val="auto"/>
        <w:outlineLvl w:val="0"/>
        <w:rPr>
          <w:bCs/>
          <w:kern w:val="28"/>
          <w:sz w:val="22"/>
          <w:szCs w:val="22"/>
        </w:rPr>
      </w:pPr>
    </w:p>
    <w:p w14:paraId="79243C4F" w14:textId="77777777" w:rsidR="00F2007D" w:rsidRPr="007B701A" w:rsidRDefault="00F2007D" w:rsidP="00F2007D">
      <w:pPr>
        <w:overflowPunct/>
        <w:autoSpaceDE/>
        <w:autoSpaceDN/>
        <w:adjustRightInd/>
        <w:textAlignment w:val="auto"/>
        <w:outlineLvl w:val="0"/>
        <w:rPr>
          <w:bCs/>
          <w:kern w:val="28"/>
          <w:sz w:val="22"/>
          <w:szCs w:val="22"/>
        </w:rPr>
      </w:pPr>
    </w:p>
    <w:p w14:paraId="7E2A9BDB" w14:textId="77777777" w:rsidR="00F2007D" w:rsidRPr="007B701A" w:rsidRDefault="00F2007D" w:rsidP="00F2007D">
      <w:pPr>
        <w:overflowPunct/>
        <w:autoSpaceDE/>
        <w:autoSpaceDN/>
        <w:adjustRightInd/>
        <w:textAlignment w:val="auto"/>
        <w:outlineLvl w:val="0"/>
        <w:rPr>
          <w:bCs/>
          <w:kern w:val="28"/>
          <w:sz w:val="22"/>
          <w:szCs w:val="22"/>
        </w:rPr>
      </w:pPr>
    </w:p>
    <w:p w14:paraId="43AA15D2" w14:textId="77777777" w:rsidR="00F2007D" w:rsidRPr="007B701A" w:rsidRDefault="00F2007D" w:rsidP="00F2007D">
      <w:pPr>
        <w:overflowPunct/>
        <w:autoSpaceDE/>
        <w:autoSpaceDN/>
        <w:adjustRightInd/>
        <w:textAlignment w:val="auto"/>
        <w:outlineLvl w:val="0"/>
        <w:rPr>
          <w:bCs/>
          <w:kern w:val="28"/>
          <w:sz w:val="22"/>
          <w:szCs w:val="22"/>
        </w:rPr>
      </w:pPr>
    </w:p>
    <w:p w14:paraId="6F13FD77" w14:textId="77777777" w:rsidR="00F2007D" w:rsidRPr="007B701A" w:rsidRDefault="00F2007D" w:rsidP="00F2007D">
      <w:pPr>
        <w:overflowPunct/>
        <w:autoSpaceDE/>
        <w:autoSpaceDN/>
        <w:adjustRightInd/>
        <w:textAlignment w:val="auto"/>
        <w:outlineLvl w:val="0"/>
        <w:rPr>
          <w:bCs/>
          <w:kern w:val="28"/>
          <w:sz w:val="22"/>
          <w:szCs w:val="22"/>
        </w:rPr>
      </w:pPr>
    </w:p>
    <w:p w14:paraId="6CEFB8D0" w14:textId="77777777" w:rsidR="00F2007D" w:rsidRPr="007B701A" w:rsidRDefault="00F2007D" w:rsidP="00F2007D">
      <w:pPr>
        <w:overflowPunct/>
        <w:autoSpaceDE/>
        <w:autoSpaceDN/>
        <w:adjustRightInd/>
        <w:textAlignment w:val="auto"/>
        <w:outlineLvl w:val="0"/>
        <w:rPr>
          <w:bCs/>
          <w:kern w:val="28"/>
          <w:sz w:val="22"/>
          <w:szCs w:val="22"/>
        </w:rPr>
      </w:pPr>
    </w:p>
    <w:p w14:paraId="4391E3B2" w14:textId="77777777" w:rsidR="00F2007D" w:rsidRPr="007B701A" w:rsidRDefault="00F2007D" w:rsidP="00F2007D">
      <w:pPr>
        <w:overflowPunct/>
        <w:autoSpaceDE/>
        <w:autoSpaceDN/>
        <w:adjustRightInd/>
        <w:textAlignment w:val="auto"/>
        <w:outlineLvl w:val="0"/>
        <w:rPr>
          <w:bCs/>
          <w:kern w:val="28"/>
          <w:sz w:val="22"/>
          <w:szCs w:val="22"/>
        </w:rPr>
      </w:pPr>
    </w:p>
    <w:p w14:paraId="4ED8FF4D" w14:textId="77777777" w:rsidR="00F2007D" w:rsidRPr="007B701A" w:rsidRDefault="00F2007D" w:rsidP="00F2007D">
      <w:pPr>
        <w:overflowPunct/>
        <w:autoSpaceDE/>
        <w:autoSpaceDN/>
        <w:adjustRightInd/>
        <w:textAlignment w:val="auto"/>
        <w:outlineLvl w:val="0"/>
        <w:rPr>
          <w:bCs/>
          <w:kern w:val="28"/>
          <w:sz w:val="22"/>
          <w:szCs w:val="22"/>
        </w:rPr>
      </w:pPr>
    </w:p>
    <w:p w14:paraId="75C70C6E" w14:textId="77777777" w:rsidR="00F2007D" w:rsidRPr="007B701A" w:rsidRDefault="00F2007D" w:rsidP="00F2007D">
      <w:pPr>
        <w:overflowPunct/>
        <w:autoSpaceDE/>
        <w:autoSpaceDN/>
        <w:adjustRightInd/>
        <w:textAlignment w:val="auto"/>
        <w:outlineLvl w:val="0"/>
        <w:rPr>
          <w:bCs/>
          <w:kern w:val="28"/>
          <w:sz w:val="22"/>
          <w:szCs w:val="22"/>
        </w:rPr>
      </w:pPr>
    </w:p>
    <w:p w14:paraId="7034C188" w14:textId="77777777" w:rsidR="00F2007D" w:rsidRPr="007B701A" w:rsidRDefault="00F2007D" w:rsidP="00F2007D">
      <w:pPr>
        <w:overflowPunct/>
        <w:autoSpaceDE/>
        <w:autoSpaceDN/>
        <w:adjustRightInd/>
        <w:textAlignment w:val="auto"/>
        <w:outlineLvl w:val="0"/>
        <w:rPr>
          <w:bCs/>
          <w:kern w:val="28"/>
          <w:sz w:val="22"/>
          <w:szCs w:val="22"/>
        </w:rPr>
      </w:pPr>
    </w:p>
    <w:p w14:paraId="32F17C10" w14:textId="77777777" w:rsidR="00F2007D" w:rsidRPr="007B701A" w:rsidRDefault="00F2007D" w:rsidP="00F2007D">
      <w:pPr>
        <w:overflowPunct/>
        <w:autoSpaceDE/>
        <w:autoSpaceDN/>
        <w:adjustRightInd/>
        <w:textAlignment w:val="auto"/>
        <w:outlineLvl w:val="0"/>
        <w:rPr>
          <w:bCs/>
          <w:kern w:val="28"/>
          <w:sz w:val="22"/>
          <w:szCs w:val="22"/>
        </w:rPr>
      </w:pPr>
    </w:p>
    <w:p w14:paraId="75313CD0" w14:textId="77777777" w:rsidR="00F2007D" w:rsidRPr="007B701A" w:rsidRDefault="00F2007D" w:rsidP="00F2007D">
      <w:pPr>
        <w:overflowPunct/>
        <w:autoSpaceDE/>
        <w:autoSpaceDN/>
        <w:adjustRightInd/>
        <w:textAlignment w:val="auto"/>
        <w:outlineLvl w:val="0"/>
        <w:rPr>
          <w:bCs/>
          <w:kern w:val="28"/>
          <w:sz w:val="22"/>
          <w:szCs w:val="22"/>
        </w:rPr>
      </w:pPr>
    </w:p>
    <w:p w14:paraId="7CF6F0F1" w14:textId="77777777" w:rsidR="00F2007D" w:rsidRPr="007B701A" w:rsidRDefault="00F2007D" w:rsidP="00F2007D">
      <w:pPr>
        <w:overflowPunct/>
        <w:autoSpaceDE/>
        <w:autoSpaceDN/>
        <w:adjustRightInd/>
        <w:textAlignment w:val="auto"/>
        <w:outlineLvl w:val="0"/>
        <w:rPr>
          <w:bCs/>
          <w:kern w:val="28"/>
          <w:sz w:val="22"/>
          <w:szCs w:val="22"/>
        </w:rPr>
      </w:pPr>
    </w:p>
    <w:p w14:paraId="288657A5" w14:textId="77777777" w:rsidR="00F2007D" w:rsidRPr="007B701A" w:rsidRDefault="00F2007D" w:rsidP="00F2007D">
      <w:pPr>
        <w:overflowPunct/>
        <w:autoSpaceDE/>
        <w:autoSpaceDN/>
        <w:adjustRightInd/>
        <w:textAlignment w:val="auto"/>
        <w:outlineLvl w:val="0"/>
        <w:rPr>
          <w:bCs/>
          <w:kern w:val="28"/>
          <w:sz w:val="22"/>
          <w:szCs w:val="22"/>
        </w:rPr>
      </w:pPr>
    </w:p>
    <w:p w14:paraId="44DD25CA" w14:textId="77777777" w:rsidR="00F2007D" w:rsidRPr="007B701A" w:rsidRDefault="00F2007D" w:rsidP="00F2007D">
      <w:pPr>
        <w:overflowPunct/>
        <w:autoSpaceDE/>
        <w:autoSpaceDN/>
        <w:adjustRightInd/>
        <w:textAlignment w:val="auto"/>
        <w:outlineLvl w:val="0"/>
        <w:rPr>
          <w:bCs/>
          <w:kern w:val="28"/>
          <w:sz w:val="22"/>
          <w:szCs w:val="22"/>
        </w:rPr>
      </w:pPr>
    </w:p>
    <w:p w14:paraId="72FF8FD8" w14:textId="77777777" w:rsidR="00F2007D" w:rsidRPr="007B701A" w:rsidRDefault="00F2007D" w:rsidP="00F2007D">
      <w:pPr>
        <w:overflowPunct/>
        <w:autoSpaceDE/>
        <w:autoSpaceDN/>
        <w:adjustRightInd/>
        <w:jc w:val="center"/>
        <w:textAlignment w:val="auto"/>
        <w:outlineLvl w:val="0"/>
        <w:rPr>
          <w:b/>
          <w:bCs/>
          <w:kern w:val="28"/>
          <w:sz w:val="22"/>
          <w:szCs w:val="22"/>
        </w:rPr>
      </w:pPr>
      <w:r w:rsidRPr="007B701A">
        <w:rPr>
          <w:b/>
          <w:bCs/>
          <w:kern w:val="28"/>
          <w:sz w:val="22"/>
          <w:szCs w:val="22"/>
        </w:rPr>
        <w:t>B. PAKUOTĖS LAPELIS</w:t>
      </w:r>
    </w:p>
    <w:p w14:paraId="513E4D06" w14:textId="77777777" w:rsidR="00F2007D" w:rsidRPr="007B701A" w:rsidRDefault="00F2007D" w:rsidP="00F2007D">
      <w:pPr>
        <w:overflowPunct/>
        <w:autoSpaceDE/>
        <w:autoSpaceDN/>
        <w:adjustRightInd/>
        <w:textAlignment w:val="auto"/>
        <w:outlineLvl w:val="0"/>
        <w:rPr>
          <w:b/>
          <w:bCs/>
          <w:kern w:val="28"/>
          <w:sz w:val="22"/>
          <w:szCs w:val="22"/>
        </w:rPr>
      </w:pPr>
    </w:p>
    <w:p w14:paraId="5E1DCD3F" w14:textId="77777777" w:rsidR="00F2007D" w:rsidRPr="007B701A" w:rsidRDefault="00F2007D" w:rsidP="00F2007D">
      <w:pPr>
        <w:overflowPunct/>
        <w:autoSpaceDE/>
        <w:autoSpaceDN/>
        <w:adjustRightInd/>
        <w:spacing w:after="200" w:line="276" w:lineRule="auto"/>
        <w:textAlignment w:val="auto"/>
        <w:rPr>
          <w:b/>
          <w:bCs/>
          <w:kern w:val="28"/>
          <w:sz w:val="22"/>
          <w:szCs w:val="22"/>
        </w:rPr>
      </w:pPr>
      <w:r w:rsidRPr="007B701A">
        <w:rPr>
          <w:b/>
          <w:bCs/>
          <w:kern w:val="28"/>
          <w:sz w:val="22"/>
          <w:szCs w:val="22"/>
        </w:rPr>
        <w:br w:type="page"/>
      </w:r>
    </w:p>
    <w:p w14:paraId="3857E392" w14:textId="77777777" w:rsidR="00F2007D" w:rsidRPr="007B701A" w:rsidRDefault="00F2007D" w:rsidP="00F2007D">
      <w:pPr>
        <w:overflowPunct/>
        <w:autoSpaceDE/>
        <w:autoSpaceDN/>
        <w:adjustRightInd/>
        <w:textAlignment w:val="auto"/>
        <w:outlineLvl w:val="0"/>
        <w:rPr>
          <w:b/>
          <w:bCs/>
          <w:kern w:val="28"/>
          <w:sz w:val="22"/>
          <w:szCs w:val="22"/>
        </w:rPr>
      </w:pPr>
    </w:p>
    <w:p w14:paraId="1EC23148" w14:textId="77777777" w:rsidR="00F2007D" w:rsidRPr="007B701A" w:rsidRDefault="00F2007D" w:rsidP="00F2007D">
      <w:pPr>
        <w:jc w:val="center"/>
        <w:rPr>
          <w:b/>
          <w:sz w:val="22"/>
          <w:szCs w:val="22"/>
        </w:rPr>
      </w:pPr>
      <w:r w:rsidRPr="007B701A">
        <w:rPr>
          <w:b/>
          <w:sz w:val="22"/>
          <w:szCs w:val="22"/>
        </w:rPr>
        <w:t>Pakuotės lapelis:</w:t>
      </w:r>
      <w:r w:rsidRPr="007B701A">
        <w:rPr>
          <w:b/>
          <w:bCs/>
          <w:sz w:val="22"/>
          <w:szCs w:val="22"/>
        </w:rPr>
        <w:t xml:space="preserve"> </w:t>
      </w:r>
      <w:r w:rsidRPr="007B701A">
        <w:rPr>
          <w:b/>
          <w:sz w:val="22"/>
          <w:szCs w:val="22"/>
        </w:rPr>
        <w:t>informacija vartotojui</w:t>
      </w:r>
      <w:r w:rsidRPr="007B701A" w:rsidDel="003628F8">
        <w:rPr>
          <w:b/>
          <w:sz w:val="22"/>
          <w:szCs w:val="22"/>
        </w:rPr>
        <w:t xml:space="preserve"> </w:t>
      </w:r>
    </w:p>
    <w:p w14:paraId="1AE95773" w14:textId="77777777" w:rsidR="00F2007D" w:rsidRPr="007B701A" w:rsidRDefault="00F2007D" w:rsidP="00F2007D">
      <w:pPr>
        <w:jc w:val="center"/>
        <w:rPr>
          <w:b/>
          <w:sz w:val="22"/>
          <w:szCs w:val="22"/>
        </w:rPr>
      </w:pPr>
      <w:r w:rsidRPr="007B701A">
        <w:rPr>
          <w:b/>
          <w:sz w:val="22"/>
          <w:szCs w:val="22"/>
        </w:rPr>
        <w:t>Acic 200 mg tabletės</w:t>
      </w:r>
    </w:p>
    <w:p w14:paraId="04CC846A" w14:textId="77777777" w:rsidR="00F2007D" w:rsidRPr="007B701A" w:rsidRDefault="00F2007D" w:rsidP="00F2007D">
      <w:pPr>
        <w:jc w:val="center"/>
        <w:rPr>
          <w:b/>
          <w:sz w:val="22"/>
          <w:szCs w:val="22"/>
        </w:rPr>
      </w:pPr>
    </w:p>
    <w:p w14:paraId="35007B60" w14:textId="77777777" w:rsidR="00F2007D" w:rsidRPr="007B701A" w:rsidRDefault="00F2007D" w:rsidP="00F2007D">
      <w:pPr>
        <w:jc w:val="center"/>
        <w:rPr>
          <w:sz w:val="22"/>
          <w:szCs w:val="22"/>
        </w:rPr>
      </w:pPr>
      <w:r w:rsidRPr="007B701A">
        <w:rPr>
          <w:sz w:val="22"/>
          <w:szCs w:val="22"/>
        </w:rPr>
        <w:t>Acikloviras</w:t>
      </w:r>
    </w:p>
    <w:p w14:paraId="6E89D36F" w14:textId="77777777" w:rsidR="00F2007D" w:rsidRPr="007B701A" w:rsidRDefault="00F2007D" w:rsidP="00F2007D">
      <w:pPr>
        <w:ind w:left="567" w:hanging="567"/>
        <w:jc w:val="center"/>
        <w:rPr>
          <w:sz w:val="22"/>
          <w:szCs w:val="22"/>
        </w:rPr>
      </w:pPr>
    </w:p>
    <w:p w14:paraId="3881470E" w14:textId="77777777" w:rsidR="00F2007D" w:rsidRPr="009947E9" w:rsidRDefault="00F2007D" w:rsidP="00F2007D">
      <w:pPr>
        <w:rPr>
          <w:b/>
          <w:sz w:val="22"/>
        </w:rPr>
      </w:pPr>
      <w:r w:rsidRPr="007B701A">
        <w:rPr>
          <w:b/>
          <w:sz w:val="22"/>
          <w:szCs w:val="22"/>
        </w:rPr>
        <w:t>Atidžiai perskaitykite visą šį lapelį, prieš pradėdami vartoti vaistą, nes jame pateikiama Jums svarbi informacija.</w:t>
      </w:r>
    </w:p>
    <w:p w14:paraId="528FB622" w14:textId="77777777" w:rsidR="00F2007D" w:rsidRPr="00D579EA" w:rsidRDefault="00F2007D" w:rsidP="00F2007D">
      <w:pPr>
        <w:rPr>
          <w:b/>
          <w:i/>
          <w:sz w:val="22"/>
          <w:szCs w:val="22"/>
        </w:rPr>
      </w:pPr>
      <w:r w:rsidRPr="00D579EA">
        <w:rPr>
          <w:noProof/>
          <w:snapToGrid w:val="0"/>
          <w:sz w:val="22"/>
          <w:szCs w:val="22"/>
        </w:rPr>
        <w:t>Visada vartokite šį vaistą tiksliai kaip aprašyta šiame lapelyje arba kaip nurodė gydytojas arba vaistininkas.</w:t>
      </w:r>
    </w:p>
    <w:p w14:paraId="6E4B0C38" w14:textId="77777777" w:rsidR="00F2007D" w:rsidRPr="007B701A" w:rsidRDefault="00F2007D" w:rsidP="00F2007D">
      <w:pPr>
        <w:numPr>
          <w:ilvl w:val="0"/>
          <w:numId w:val="6"/>
        </w:numPr>
        <w:ind w:left="567" w:hanging="567"/>
        <w:contextualSpacing/>
        <w:rPr>
          <w:sz w:val="22"/>
          <w:szCs w:val="22"/>
        </w:rPr>
      </w:pPr>
      <w:r w:rsidRPr="007B701A">
        <w:rPr>
          <w:sz w:val="22"/>
          <w:szCs w:val="22"/>
        </w:rPr>
        <w:t>Neišmeskite šio lapelio, nes vėl gali prireikti jį perskaityti.</w:t>
      </w:r>
    </w:p>
    <w:p w14:paraId="5020A054" w14:textId="1565B051" w:rsidR="00F2007D" w:rsidRPr="007B701A" w:rsidRDefault="00F2007D" w:rsidP="00F2007D">
      <w:pPr>
        <w:numPr>
          <w:ilvl w:val="0"/>
          <w:numId w:val="6"/>
        </w:numPr>
        <w:ind w:left="567" w:hanging="567"/>
        <w:contextualSpacing/>
        <w:rPr>
          <w:sz w:val="22"/>
          <w:szCs w:val="22"/>
        </w:rPr>
      </w:pPr>
      <w:r w:rsidRPr="007B701A">
        <w:rPr>
          <w:sz w:val="22"/>
          <w:szCs w:val="22"/>
        </w:rPr>
        <w:t>Jeigu kiltų daugiau klausimų, kreipkitės į vaistininką.</w:t>
      </w:r>
    </w:p>
    <w:p w14:paraId="17E419AF" w14:textId="77777777" w:rsidR="00F2007D" w:rsidRDefault="00F2007D" w:rsidP="00F2007D">
      <w:pPr>
        <w:numPr>
          <w:ilvl w:val="0"/>
          <w:numId w:val="6"/>
        </w:numPr>
        <w:overflowPunct/>
        <w:autoSpaceDE/>
        <w:autoSpaceDN/>
        <w:adjustRightInd/>
        <w:ind w:left="567" w:hanging="567"/>
        <w:textAlignment w:val="auto"/>
        <w:rPr>
          <w:noProof/>
          <w:sz w:val="22"/>
          <w:szCs w:val="22"/>
        </w:rPr>
      </w:pPr>
      <w:r w:rsidRPr="007B701A">
        <w:rPr>
          <w:noProof/>
          <w:sz w:val="22"/>
          <w:szCs w:val="22"/>
        </w:rPr>
        <w:t>Jeigu pasireiškė šalutinis poveikis (net jeigu jis šiame lapelyje nenurodytas)</w:t>
      </w:r>
      <w:r>
        <w:rPr>
          <w:noProof/>
          <w:sz w:val="22"/>
          <w:szCs w:val="22"/>
        </w:rPr>
        <w:t>,</w:t>
      </w:r>
      <w:r w:rsidRPr="007B701A">
        <w:rPr>
          <w:noProof/>
          <w:sz w:val="22"/>
          <w:szCs w:val="22"/>
        </w:rPr>
        <w:t xml:space="preserve"> kreipkitės į gydytoją arba vaistininką. Žr. 4 skyrių.</w:t>
      </w:r>
    </w:p>
    <w:p w14:paraId="24BA110A" w14:textId="77777777" w:rsidR="00F2007D" w:rsidRPr="007B701A" w:rsidRDefault="00F2007D" w:rsidP="00F2007D">
      <w:pPr>
        <w:numPr>
          <w:ilvl w:val="0"/>
          <w:numId w:val="6"/>
        </w:numPr>
        <w:overflowPunct/>
        <w:autoSpaceDE/>
        <w:autoSpaceDN/>
        <w:adjustRightInd/>
        <w:ind w:left="567" w:hanging="567"/>
        <w:textAlignment w:val="auto"/>
        <w:rPr>
          <w:noProof/>
          <w:sz w:val="22"/>
          <w:szCs w:val="22"/>
        </w:rPr>
      </w:pPr>
      <w:r w:rsidRPr="00D579EA">
        <w:rPr>
          <w:noProof/>
          <w:sz w:val="22"/>
          <w:szCs w:val="22"/>
        </w:rPr>
        <w:t xml:space="preserve">Jeigu per </w:t>
      </w:r>
      <w:r>
        <w:rPr>
          <w:noProof/>
          <w:sz w:val="22"/>
          <w:szCs w:val="22"/>
        </w:rPr>
        <w:t>5</w:t>
      </w:r>
      <w:r w:rsidRPr="00D579EA">
        <w:rPr>
          <w:noProof/>
          <w:sz w:val="22"/>
          <w:szCs w:val="22"/>
        </w:rPr>
        <w:t xml:space="preserve"> dienas Jūsų savijauta nepagerėjo arba net pablogėjo, kreipkitės į gydytoją.</w:t>
      </w:r>
    </w:p>
    <w:p w14:paraId="112C6488" w14:textId="77777777" w:rsidR="00F2007D" w:rsidRPr="007B701A" w:rsidRDefault="00F2007D" w:rsidP="00F2007D">
      <w:pPr>
        <w:rPr>
          <w:sz w:val="22"/>
          <w:szCs w:val="22"/>
        </w:rPr>
      </w:pPr>
    </w:p>
    <w:p w14:paraId="6F197C36" w14:textId="77777777" w:rsidR="00F2007D" w:rsidRDefault="00F2007D" w:rsidP="00F2007D">
      <w:pPr>
        <w:ind w:left="567" w:hanging="567"/>
        <w:rPr>
          <w:b/>
          <w:sz w:val="22"/>
          <w:szCs w:val="22"/>
        </w:rPr>
      </w:pPr>
      <w:r w:rsidRPr="007B701A">
        <w:rPr>
          <w:b/>
          <w:sz w:val="22"/>
          <w:szCs w:val="22"/>
        </w:rPr>
        <w:t>Apie ką rašoma šiame lapelyje?</w:t>
      </w:r>
    </w:p>
    <w:p w14:paraId="3FBF1668" w14:textId="77777777" w:rsidR="00F2007D" w:rsidRPr="007B701A" w:rsidRDefault="00F2007D" w:rsidP="00F2007D">
      <w:pPr>
        <w:ind w:left="567" w:hanging="567"/>
        <w:rPr>
          <w:b/>
          <w:sz w:val="22"/>
          <w:szCs w:val="22"/>
        </w:rPr>
      </w:pPr>
    </w:p>
    <w:p w14:paraId="20CB781D" w14:textId="77777777" w:rsidR="00F2007D" w:rsidRPr="007B701A" w:rsidRDefault="00F2007D" w:rsidP="00F2007D">
      <w:pPr>
        <w:ind w:left="567" w:hanging="567"/>
        <w:rPr>
          <w:sz w:val="22"/>
          <w:szCs w:val="22"/>
        </w:rPr>
      </w:pPr>
      <w:r w:rsidRPr="007B701A">
        <w:rPr>
          <w:sz w:val="22"/>
          <w:szCs w:val="22"/>
        </w:rPr>
        <w:t>1.</w:t>
      </w:r>
      <w:r w:rsidRPr="007B701A">
        <w:rPr>
          <w:sz w:val="22"/>
          <w:szCs w:val="22"/>
        </w:rPr>
        <w:tab/>
        <w:t>Kas yra Acic ir kam jis vartojamas</w:t>
      </w:r>
    </w:p>
    <w:p w14:paraId="38CBAC54" w14:textId="77777777" w:rsidR="00F2007D" w:rsidRPr="007B701A" w:rsidRDefault="00F2007D" w:rsidP="00F2007D">
      <w:pPr>
        <w:ind w:left="567" w:hanging="567"/>
        <w:rPr>
          <w:sz w:val="22"/>
          <w:szCs w:val="22"/>
        </w:rPr>
      </w:pPr>
      <w:r w:rsidRPr="007B701A">
        <w:rPr>
          <w:sz w:val="22"/>
          <w:szCs w:val="22"/>
        </w:rPr>
        <w:t>2.</w:t>
      </w:r>
      <w:r w:rsidRPr="007B701A">
        <w:rPr>
          <w:sz w:val="22"/>
          <w:szCs w:val="22"/>
        </w:rPr>
        <w:tab/>
        <w:t>Kas žinotina prieš vartojant Acic</w:t>
      </w:r>
    </w:p>
    <w:p w14:paraId="789EEA67" w14:textId="77777777" w:rsidR="00F2007D" w:rsidRPr="007B701A" w:rsidRDefault="00F2007D" w:rsidP="00F2007D">
      <w:pPr>
        <w:ind w:left="567" w:hanging="567"/>
        <w:rPr>
          <w:sz w:val="22"/>
          <w:szCs w:val="22"/>
        </w:rPr>
      </w:pPr>
      <w:r w:rsidRPr="007B701A">
        <w:rPr>
          <w:sz w:val="22"/>
          <w:szCs w:val="22"/>
        </w:rPr>
        <w:t>3.</w:t>
      </w:r>
      <w:r w:rsidRPr="007B701A">
        <w:rPr>
          <w:sz w:val="22"/>
          <w:szCs w:val="22"/>
        </w:rPr>
        <w:tab/>
        <w:t>Kaip vartoti Acic</w:t>
      </w:r>
    </w:p>
    <w:p w14:paraId="03937419" w14:textId="77777777" w:rsidR="00F2007D" w:rsidRPr="007B701A" w:rsidRDefault="00F2007D" w:rsidP="00F2007D">
      <w:pPr>
        <w:ind w:left="567" w:hanging="567"/>
        <w:rPr>
          <w:sz w:val="22"/>
          <w:szCs w:val="22"/>
        </w:rPr>
      </w:pPr>
      <w:r w:rsidRPr="007B701A">
        <w:rPr>
          <w:sz w:val="22"/>
          <w:szCs w:val="22"/>
        </w:rPr>
        <w:t>4.</w:t>
      </w:r>
      <w:r w:rsidRPr="007B701A">
        <w:rPr>
          <w:sz w:val="22"/>
          <w:szCs w:val="22"/>
        </w:rPr>
        <w:tab/>
        <w:t>Galimas šalutinis poveikis</w:t>
      </w:r>
    </w:p>
    <w:p w14:paraId="4AD98E2A" w14:textId="77777777" w:rsidR="00F2007D" w:rsidRPr="007B701A" w:rsidRDefault="00F2007D" w:rsidP="00F2007D">
      <w:pPr>
        <w:ind w:left="567" w:hanging="567"/>
        <w:rPr>
          <w:sz w:val="22"/>
          <w:szCs w:val="22"/>
        </w:rPr>
      </w:pPr>
      <w:r w:rsidRPr="007B701A">
        <w:rPr>
          <w:sz w:val="22"/>
          <w:szCs w:val="22"/>
        </w:rPr>
        <w:t>5.</w:t>
      </w:r>
      <w:r w:rsidRPr="007B701A">
        <w:rPr>
          <w:sz w:val="22"/>
          <w:szCs w:val="22"/>
        </w:rPr>
        <w:tab/>
        <w:t xml:space="preserve">Kaip laikyti Acic </w:t>
      </w:r>
    </w:p>
    <w:p w14:paraId="172FCC1C" w14:textId="77777777" w:rsidR="00F2007D" w:rsidRPr="007B701A" w:rsidRDefault="00F2007D" w:rsidP="00F2007D">
      <w:pPr>
        <w:ind w:left="567" w:hanging="567"/>
        <w:rPr>
          <w:sz w:val="22"/>
          <w:szCs w:val="22"/>
        </w:rPr>
      </w:pPr>
      <w:r w:rsidRPr="007B701A">
        <w:rPr>
          <w:sz w:val="22"/>
          <w:szCs w:val="22"/>
        </w:rPr>
        <w:t>6.</w:t>
      </w:r>
      <w:r w:rsidRPr="007B701A">
        <w:rPr>
          <w:sz w:val="22"/>
          <w:szCs w:val="22"/>
        </w:rPr>
        <w:tab/>
        <w:t>Pakuotės turinys ir kita informacija</w:t>
      </w:r>
    </w:p>
    <w:p w14:paraId="1FB60266" w14:textId="77777777" w:rsidR="00F2007D" w:rsidRPr="007B701A" w:rsidRDefault="00F2007D" w:rsidP="00F2007D">
      <w:pPr>
        <w:ind w:left="567" w:hanging="567"/>
        <w:rPr>
          <w:sz w:val="22"/>
          <w:szCs w:val="22"/>
        </w:rPr>
      </w:pPr>
    </w:p>
    <w:p w14:paraId="2486CDAF" w14:textId="77777777" w:rsidR="00F2007D" w:rsidRPr="007B701A" w:rsidRDefault="00F2007D" w:rsidP="00F2007D">
      <w:pPr>
        <w:rPr>
          <w:sz w:val="22"/>
          <w:szCs w:val="22"/>
        </w:rPr>
      </w:pPr>
    </w:p>
    <w:p w14:paraId="628D891D" w14:textId="77777777" w:rsidR="00F2007D" w:rsidRPr="007B701A" w:rsidRDefault="00F2007D" w:rsidP="00F2007D">
      <w:pPr>
        <w:numPr>
          <w:ilvl w:val="12"/>
          <w:numId w:val="0"/>
        </w:numPr>
        <w:ind w:left="567" w:hanging="567"/>
        <w:outlineLvl w:val="0"/>
        <w:rPr>
          <w:b/>
          <w:caps/>
          <w:sz w:val="22"/>
          <w:szCs w:val="22"/>
        </w:rPr>
      </w:pPr>
      <w:r w:rsidRPr="007B701A">
        <w:rPr>
          <w:b/>
          <w:sz w:val="22"/>
          <w:szCs w:val="22"/>
        </w:rPr>
        <w:t>1.</w:t>
      </w:r>
      <w:r w:rsidRPr="007B701A">
        <w:rPr>
          <w:b/>
          <w:sz w:val="22"/>
          <w:szCs w:val="22"/>
        </w:rPr>
        <w:tab/>
        <w:t>Kas yra Acic ir kam jis vartojamas</w:t>
      </w:r>
    </w:p>
    <w:p w14:paraId="6AD215DE" w14:textId="77777777" w:rsidR="00F2007D" w:rsidRPr="007B701A" w:rsidRDefault="00F2007D" w:rsidP="00F2007D">
      <w:pPr>
        <w:rPr>
          <w:sz w:val="22"/>
          <w:szCs w:val="22"/>
        </w:rPr>
      </w:pPr>
    </w:p>
    <w:p w14:paraId="189DDAEA" w14:textId="6C4802A0" w:rsidR="00F2007D" w:rsidRPr="007B701A" w:rsidRDefault="00F2007D" w:rsidP="009947E9">
      <w:pPr>
        <w:pStyle w:val="Antrats"/>
        <w:tabs>
          <w:tab w:val="clear" w:pos="4153"/>
          <w:tab w:val="clear" w:pos="8306"/>
        </w:tabs>
        <w:jc w:val="both"/>
        <w:rPr>
          <w:rFonts w:ascii="Times New Roman" w:hAnsi="Times New Roman"/>
          <w:sz w:val="22"/>
          <w:szCs w:val="22"/>
        </w:rPr>
      </w:pPr>
      <w:r w:rsidRPr="007B701A">
        <w:rPr>
          <w:rFonts w:ascii="Times New Roman" w:hAnsi="Times New Roman"/>
          <w:sz w:val="22"/>
          <w:szCs w:val="22"/>
        </w:rPr>
        <w:t xml:space="preserve">Acic veiklioji medžiaga yra acikloviras. Jis priklauso vaistų, kuriais gydomos virusų sukeltos infekcijos, grupei. Šis vaistas sutrukdo </w:t>
      </w:r>
      <w:r w:rsidR="00641914">
        <w:rPr>
          <w:rFonts w:ascii="Times New Roman" w:hAnsi="Times New Roman"/>
          <w:sz w:val="22"/>
          <w:szCs w:val="22"/>
        </w:rPr>
        <w:t>paprastosios pūslelinės</w:t>
      </w:r>
      <w:r w:rsidR="00641914" w:rsidRPr="007B701A">
        <w:rPr>
          <w:rFonts w:ascii="Times New Roman" w:hAnsi="Times New Roman"/>
          <w:sz w:val="22"/>
          <w:szCs w:val="22"/>
        </w:rPr>
        <w:t xml:space="preserve"> </w:t>
      </w:r>
      <w:r w:rsidRPr="007B701A">
        <w:rPr>
          <w:rFonts w:ascii="Times New Roman" w:hAnsi="Times New Roman"/>
          <w:sz w:val="22"/>
          <w:szCs w:val="22"/>
        </w:rPr>
        <w:t>viruso susidarymą.</w:t>
      </w:r>
    </w:p>
    <w:p w14:paraId="7AE400D2" w14:textId="77777777" w:rsidR="00AD0594" w:rsidRDefault="00AD0594" w:rsidP="00484C49">
      <w:pPr>
        <w:pStyle w:val="Antrats"/>
        <w:tabs>
          <w:tab w:val="clear" w:pos="4153"/>
          <w:tab w:val="clear" w:pos="8306"/>
        </w:tabs>
        <w:jc w:val="both"/>
        <w:rPr>
          <w:rFonts w:ascii="Times New Roman" w:hAnsi="Times New Roman"/>
          <w:sz w:val="22"/>
          <w:szCs w:val="22"/>
        </w:rPr>
      </w:pPr>
    </w:p>
    <w:p w14:paraId="6443B525" w14:textId="67991219" w:rsidR="002B4D15" w:rsidRPr="003502DF" w:rsidRDefault="00F2007D" w:rsidP="00484C49">
      <w:pPr>
        <w:pStyle w:val="Antrats"/>
        <w:tabs>
          <w:tab w:val="clear" w:pos="4153"/>
          <w:tab w:val="clear" w:pos="8306"/>
        </w:tabs>
        <w:jc w:val="both"/>
        <w:rPr>
          <w:rFonts w:ascii="Times New Roman" w:hAnsi="Times New Roman"/>
          <w:bCs/>
          <w:sz w:val="22"/>
          <w:szCs w:val="22"/>
        </w:rPr>
      </w:pPr>
      <w:r w:rsidRPr="003502DF">
        <w:rPr>
          <w:sz w:val="22"/>
          <w:szCs w:val="22"/>
        </w:rPr>
        <w:t>Acic vartojamas</w:t>
      </w:r>
      <w:r w:rsidR="008A3F18">
        <w:rPr>
          <w:sz w:val="22"/>
          <w:szCs w:val="22"/>
        </w:rPr>
        <w:t xml:space="preserve"> </w:t>
      </w:r>
      <w:r w:rsidR="004A5D52">
        <w:rPr>
          <w:sz w:val="22"/>
          <w:szCs w:val="22"/>
        </w:rPr>
        <w:t>a</w:t>
      </w:r>
      <w:r w:rsidR="004A5D52" w:rsidRPr="008D2266">
        <w:rPr>
          <w:sz w:val="22"/>
          <w:szCs w:val="22"/>
        </w:rPr>
        <w:t>nksčiau gydyt</w:t>
      </w:r>
      <w:r w:rsidR="004A5D52">
        <w:rPr>
          <w:sz w:val="22"/>
          <w:szCs w:val="22"/>
        </w:rPr>
        <w:t>ojo diagnozuotos pasikartojančios lūpų pūslelinės gydymui</w:t>
      </w:r>
      <w:r w:rsidR="004A5D52" w:rsidRPr="008D2266">
        <w:rPr>
          <w:sz w:val="22"/>
          <w:szCs w:val="22"/>
        </w:rPr>
        <w:t xml:space="preserve"> suaugusiems žmonėms, kurių inkstų ir </w:t>
      </w:r>
      <w:r w:rsidR="004A5D52">
        <w:rPr>
          <w:sz w:val="22"/>
          <w:szCs w:val="22"/>
        </w:rPr>
        <w:t>(</w:t>
      </w:r>
      <w:r w:rsidR="004A5D52" w:rsidRPr="008D2266">
        <w:rPr>
          <w:sz w:val="22"/>
          <w:szCs w:val="22"/>
        </w:rPr>
        <w:t>ar</w:t>
      </w:r>
      <w:r w:rsidR="004A5D52">
        <w:rPr>
          <w:sz w:val="22"/>
          <w:szCs w:val="22"/>
        </w:rPr>
        <w:t>)</w:t>
      </w:r>
      <w:r w:rsidR="004A5D52" w:rsidRPr="008D2266">
        <w:rPr>
          <w:sz w:val="22"/>
          <w:szCs w:val="22"/>
        </w:rPr>
        <w:t xml:space="preserve"> imuninė sistem</w:t>
      </w:r>
      <w:r w:rsidR="004A5D52">
        <w:rPr>
          <w:sz w:val="22"/>
          <w:szCs w:val="22"/>
        </w:rPr>
        <w:t>os</w:t>
      </w:r>
      <w:r w:rsidR="004A5D52" w:rsidRPr="008D2266">
        <w:rPr>
          <w:sz w:val="22"/>
          <w:szCs w:val="22"/>
        </w:rPr>
        <w:t xml:space="preserve"> funkcij</w:t>
      </w:r>
      <w:r w:rsidR="004A5D52">
        <w:rPr>
          <w:sz w:val="22"/>
          <w:szCs w:val="22"/>
        </w:rPr>
        <w:t>os</w:t>
      </w:r>
      <w:r w:rsidR="004A5D52" w:rsidRPr="008D2266">
        <w:rPr>
          <w:sz w:val="22"/>
          <w:szCs w:val="22"/>
        </w:rPr>
        <w:t xml:space="preserve"> </w:t>
      </w:r>
      <w:r w:rsidR="004A5D52">
        <w:rPr>
          <w:sz w:val="22"/>
          <w:szCs w:val="22"/>
        </w:rPr>
        <w:t>nesutrikusios</w:t>
      </w:r>
      <w:r w:rsidR="004A5D52" w:rsidRPr="008D2266">
        <w:rPr>
          <w:sz w:val="22"/>
          <w:szCs w:val="22"/>
        </w:rPr>
        <w:t>.</w:t>
      </w:r>
      <w:r w:rsidR="002B4D15" w:rsidRPr="009947E9">
        <w:rPr>
          <w:sz w:val="22"/>
          <w:szCs w:val="22"/>
        </w:rPr>
        <w:t xml:space="preserve"> </w:t>
      </w:r>
    </w:p>
    <w:p w14:paraId="6CD086DA" w14:textId="304B531A" w:rsidR="00F2007D" w:rsidRPr="003502DF" w:rsidRDefault="00F2007D" w:rsidP="00F2007D">
      <w:pPr>
        <w:pStyle w:val="Komentarotekstas"/>
        <w:overflowPunct/>
        <w:autoSpaceDE/>
        <w:autoSpaceDN/>
        <w:adjustRightInd/>
        <w:textAlignment w:val="auto"/>
        <w:rPr>
          <w:sz w:val="22"/>
          <w:szCs w:val="22"/>
        </w:rPr>
      </w:pPr>
    </w:p>
    <w:p w14:paraId="16D246E5" w14:textId="54BFC850" w:rsidR="00F2007D" w:rsidRPr="003502DF" w:rsidRDefault="00F2007D" w:rsidP="00F2007D">
      <w:pPr>
        <w:pStyle w:val="Komentarotekstas"/>
        <w:overflowPunct/>
        <w:autoSpaceDE/>
        <w:autoSpaceDN/>
        <w:adjustRightInd/>
        <w:textAlignment w:val="auto"/>
        <w:rPr>
          <w:sz w:val="22"/>
          <w:szCs w:val="22"/>
        </w:rPr>
      </w:pPr>
      <w:r w:rsidRPr="003502DF">
        <w:rPr>
          <w:sz w:val="22"/>
          <w:szCs w:val="22"/>
        </w:rPr>
        <w:t xml:space="preserve">Lūpų pūslelinė pasireiškia perštėjimu, deginimu, patinimu, atsiranda mažos skysčio pripildytos pūslelės. Jos vėliau  išopėja, dažnai būna labai skausmingos. </w:t>
      </w:r>
    </w:p>
    <w:p w14:paraId="1BF66FAC" w14:textId="7CC371EA" w:rsidR="00F2007D" w:rsidRDefault="00F2007D" w:rsidP="009947E9">
      <w:pPr>
        <w:pStyle w:val="Komentarotekstas"/>
        <w:overflowPunct/>
        <w:autoSpaceDE/>
        <w:autoSpaceDN/>
        <w:adjustRightInd/>
        <w:textAlignment w:val="auto"/>
        <w:rPr>
          <w:sz w:val="22"/>
          <w:szCs w:val="22"/>
        </w:rPr>
      </w:pPr>
      <w:r w:rsidRPr="003502DF">
        <w:rPr>
          <w:sz w:val="22"/>
          <w:szCs w:val="22"/>
        </w:rPr>
        <w:t>Kad gydymas būtų kiek galima veiksmingesnis, Acic tablečių reikia pradėti gerti kiek galima anksčiau, t. y. kai tik atsiranda pirmųjų ligos atkryčio simptomų, pvz., niežėjimas, tempimo pojūtis, pirmosios pūslelės</w:t>
      </w:r>
    </w:p>
    <w:p w14:paraId="4669128B" w14:textId="77777777" w:rsidR="00F2007D" w:rsidRDefault="00F2007D" w:rsidP="00F2007D">
      <w:pPr>
        <w:pStyle w:val="Komentarotekstas"/>
        <w:overflowPunct/>
        <w:autoSpaceDE/>
        <w:autoSpaceDN/>
        <w:adjustRightInd/>
        <w:textAlignment w:val="auto"/>
        <w:rPr>
          <w:sz w:val="22"/>
          <w:szCs w:val="22"/>
        </w:rPr>
      </w:pPr>
    </w:p>
    <w:p w14:paraId="47F93D21" w14:textId="77777777" w:rsidR="00F2007D" w:rsidRDefault="00F2007D" w:rsidP="00F2007D">
      <w:pPr>
        <w:pStyle w:val="Komentarotekstas"/>
        <w:overflowPunct/>
        <w:autoSpaceDE/>
        <w:autoSpaceDN/>
        <w:adjustRightInd/>
        <w:textAlignment w:val="auto"/>
        <w:rPr>
          <w:sz w:val="22"/>
          <w:szCs w:val="22"/>
        </w:rPr>
      </w:pPr>
      <w:r>
        <w:rPr>
          <w:sz w:val="22"/>
          <w:szCs w:val="22"/>
        </w:rPr>
        <w:t>Lūpų pūslelinę</w:t>
      </w:r>
      <w:r w:rsidRPr="00EB70FA">
        <w:rPr>
          <w:sz w:val="22"/>
          <w:szCs w:val="22"/>
        </w:rPr>
        <w:t xml:space="preserve"> sukelia</w:t>
      </w:r>
      <w:r w:rsidRPr="00D876BB">
        <w:rPr>
          <w:sz w:val="22"/>
          <w:szCs w:val="22"/>
        </w:rPr>
        <w:t xml:space="preserve"> paprastosios pūslelinės (</w:t>
      </w:r>
      <w:r w:rsidRPr="00D876BB">
        <w:rPr>
          <w:i/>
          <w:sz w:val="22"/>
          <w:szCs w:val="22"/>
        </w:rPr>
        <w:t>Herpes simplex</w:t>
      </w:r>
      <w:r w:rsidRPr="00D876BB">
        <w:rPr>
          <w:sz w:val="22"/>
          <w:szCs w:val="22"/>
        </w:rPr>
        <w:t xml:space="preserve">) virusas. </w:t>
      </w:r>
      <w:r w:rsidRPr="00477DEB">
        <w:rPr>
          <w:sz w:val="22"/>
          <w:szCs w:val="22"/>
        </w:rPr>
        <w:t xml:space="preserve">Dažniausiai virusu užsikrečiama </w:t>
      </w:r>
      <w:r>
        <w:rPr>
          <w:sz w:val="22"/>
          <w:szCs w:val="22"/>
        </w:rPr>
        <w:t xml:space="preserve">po tiesioginio </w:t>
      </w:r>
      <w:r w:rsidRPr="00477DEB">
        <w:rPr>
          <w:sz w:val="22"/>
          <w:szCs w:val="22"/>
        </w:rPr>
        <w:t>kontakto su sergančiu žmogumi ar</w:t>
      </w:r>
      <w:r>
        <w:rPr>
          <w:sz w:val="22"/>
          <w:szCs w:val="22"/>
        </w:rPr>
        <w:t>ba</w:t>
      </w:r>
      <w:r w:rsidRPr="00477DEB">
        <w:rPr>
          <w:sz w:val="22"/>
          <w:szCs w:val="22"/>
        </w:rPr>
        <w:t xml:space="preserve"> oro lašeliniu</w:t>
      </w:r>
      <w:r>
        <w:rPr>
          <w:sz w:val="22"/>
          <w:szCs w:val="22"/>
        </w:rPr>
        <w:t xml:space="preserve"> būdu. </w:t>
      </w:r>
      <w:r w:rsidRPr="00477DEB">
        <w:rPr>
          <w:sz w:val="22"/>
          <w:szCs w:val="22"/>
        </w:rPr>
        <w:t xml:space="preserve">Vieną kartą užsikrėtęs </w:t>
      </w:r>
      <w:r>
        <w:rPr>
          <w:sz w:val="22"/>
          <w:szCs w:val="22"/>
        </w:rPr>
        <w:t xml:space="preserve">šiuo </w:t>
      </w:r>
      <w:r w:rsidRPr="00477DEB">
        <w:rPr>
          <w:sz w:val="22"/>
          <w:szCs w:val="22"/>
        </w:rPr>
        <w:t>virusu, žmogus nešiotoju lieka visam gyve</w:t>
      </w:r>
      <w:r>
        <w:rPr>
          <w:sz w:val="22"/>
          <w:szCs w:val="22"/>
        </w:rPr>
        <w:t>n</w:t>
      </w:r>
      <w:r w:rsidRPr="00477DEB">
        <w:rPr>
          <w:sz w:val="22"/>
          <w:szCs w:val="22"/>
        </w:rPr>
        <w:t>imui.</w:t>
      </w:r>
      <w:r>
        <w:rPr>
          <w:sz w:val="22"/>
          <w:szCs w:val="22"/>
        </w:rPr>
        <w:t xml:space="preserve"> </w:t>
      </w:r>
      <w:r w:rsidRPr="00D579EA">
        <w:rPr>
          <w:sz w:val="22"/>
          <w:szCs w:val="22"/>
        </w:rPr>
        <w:t xml:space="preserve">Jei imunitetas stiprus, </w:t>
      </w:r>
      <w:r>
        <w:rPr>
          <w:sz w:val="22"/>
          <w:szCs w:val="22"/>
        </w:rPr>
        <w:t>H</w:t>
      </w:r>
      <w:r w:rsidRPr="00D579EA">
        <w:rPr>
          <w:sz w:val="22"/>
          <w:szCs w:val="22"/>
        </w:rPr>
        <w:t>erpes virusas gali ramiai tūnoti organizme ir nesukelti jokių simptomų visą gyvenimą. Tačiau nusilpus imunitetui, peršalus, po menstruacijų, patiriant stresą, veikiant aukštai temperatūrai, ultravioletiniams spinduliams, po traumų liga gali vėl pereit</w:t>
      </w:r>
      <w:r>
        <w:rPr>
          <w:sz w:val="22"/>
          <w:szCs w:val="22"/>
        </w:rPr>
        <w:t>i</w:t>
      </w:r>
      <w:r w:rsidRPr="00D579EA">
        <w:rPr>
          <w:sz w:val="22"/>
          <w:szCs w:val="22"/>
        </w:rPr>
        <w:t xml:space="preserve"> į aktyvią formą.  </w:t>
      </w:r>
    </w:p>
    <w:p w14:paraId="3FAB04A3" w14:textId="77777777" w:rsidR="00F2007D" w:rsidRDefault="00F2007D" w:rsidP="00F2007D">
      <w:pPr>
        <w:pStyle w:val="Komentarotekstas"/>
        <w:overflowPunct/>
        <w:autoSpaceDE/>
        <w:autoSpaceDN/>
        <w:adjustRightInd/>
        <w:textAlignment w:val="auto"/>
        <w:rPr>
          <w:sz w:val="22"/>
          <w:szCs w:val="22"/>
        </w:rPr>
      </w:pPr>
      <w:r w:rsidRPr="00D579EA">
        <w:rPr>
          <w:sz w:val="22"/>
          <w:szCs w:val="22"/>
        </w:rPr>
        <w:t>Dar prieš pasirodant pūslelėms pažeidimo vietoje jaučiamas niežulys, deginimas, dilgčiojimas, matomas nedidelis paraudimas. Po keleto valandų atsiranda skaidraus skysčio pripildytos pūslelės, kurios vėliau subliūkšta ir virsta šašais. Šios pūslelės ir yra užkrato nešėjos</w:t>
      </w:r>
      <w:r>
        <w:rPr>
          <w:sz w:val="22"/>
          <w:szCs w:val="22"/>
        </w:rPr>
        <w:t>.</w:t>
      </w:r>
      <w:r w:rsidRPr="00D579EA">
        <w:rPr>
          <w:sz w:val="22"/>
          <w:szCs w:val="22"/>
        </w:rPr>
        <w:t xml:space="preserve"> </w:t>
      </w:r>
    </w:p>
    <w:p w14:paraId="1EDDBF67" w14:textId="77777777" w:rsidR="00F2007D" w:rsidRDefault="00F2007D" w:rsidP="00F2007D">
      <w:pPr>
        <w:pStyle w:val="Komentarotekstas"/>
        <w:overflowPunct/>
        <w:autoSpaceDE/>
        <w:autoSpaceDN/>
        <w:adjustRightInd/>
        <w:textAlignment w:val="auto"/>
        <w:rPr>
          <w:sz w:val="22"/>
          <w:szCs w:val="22"/>
        </w:rPr>
      </w:pPr>
      <w:r w:rsidRPr="00D579EA">
        <w:rPr>
          <w:sz w:val="22"/>
          <w:szCs w:val="22"/>
        </w:rPr>
        <w:t>Lūpų pūslelinė be komplikacijų paprastai pasibaigia per 5-14 dienų, po to pereinama į besimptomį periodą.</w:t>
      </w:r>
    </w:p>
    <w:p w14:paraId="3C049242" w14:textId="77777777" w:rsidR="00F2007D" w:rsidRDefault="00F2007D" w:rsidP="00F2007D">
      <w:pPr>
        <w:pStyle w:val="Komentarotekstas"/>
        <w:overflowPunct/>
        <w:autoSpaceDE/>
        <w:autoSpaceDN/>
        <w:adjustRightInd/>
        <w:textAlignment w:val="auto"/>
        <w:rPr>
          <w:sz w:val="22"/>
          <w:szCs w:val="22"/>
        </w:rPr>
      </w:pPr>
    </w:p>
    <w:p w14:paraId="166BBE87" w14:textId="77777777" w:rsidR="00F2007D" w:rsidRDefault="00F2007D" w:rsidP="00F2007D">
      <w:pPr>
        <w:rPr>
          <w:sz w:val="22"/>
          <w:szCs w:val="22"/>
        </w:rPr>
      </w:pPr>
      <w:r w:rsidRPr="00D579EA">
        <w:rPr>
          <w:sz w:val="22"/>
          <w:szCs w:val="22"/>
        </w:rPr>
        <w:t>Jeigu per 5 dienas Jūsų savijauta nepagerėjo arba net pablogėjo, kreipkitės į gydytoją.</w:t>
      </w:r>
    </w:p>
    <w:p w14:paraId="3E78FEA2" w14:textId="77777777" w:rsidR="00F2007D" w:rsidRDefault="00F2007D" w:rsidP="00F2007D">
      <w:pPr>
        <w:rPr>
          <w:sz w:val="22"/>
          <w:szCs w:val="22"/>
        </w:rPr>
      </w:pPr>
    </w:p>
    <w:p w14:paraId="42CD7288" w14:textId="5F572514" w:rsidR="00B7172F" w:rsidRDefault="002B4D15" w:rsidP="00F2007D">
      <w:pPr>
        <w:rPr>
          <w:sz w:val="22"/>
          <w:szCs w:val="22"/>
        </w:rPr>
      </w:pPr>
      <w:r>
        <w:rPr>
          <w:sz w:val="22"/>
          <w:szCs w:val="22"/>
        </w:rPr>
        <w:t>Acic ne</w:t>
      </w:r>
      <w:r w:rsidR="00A46375">
        <w:rPr>
          <w:sz w:val="22"/>
          <w:szCs w:val="22"/>
        </w:rPr>
        <w:t>tinka vartoti</w:t>
      </w:r>
      <w:r w:rsidR="00B7172F">
        <w:rPr>
          <w:sz w:val="22"/>
          <w:szCs w:val="22"/>
        </w:rPr>
        <w:t xml:space="preserve"> lyties organų ir akies pūslelinei gydyti.</w:t>
      </w:r>
    </w:p>
    <w:p w14:paraId="15670519" w14:textId="77777777" w:rsidR="00AD0594" w:rsidRPr="007B701A" w:rsidRDefault="00AD0594" w:rsidP="009947E9">
      <w:pPr>
        <w:rPr>
          <w:sz w:val="22"/>
          <w:szCs w:val="22"/>
        </w:rPr>
      </w:pPr>
    </w:p>
    <w:p w14:paraId="2C3B4881" w14:textId="77777777" w:rsidR="00F2007D" w:rsidRPr="007B701A" w:rsidRDefault="00F2007D" w:rsidP="00F2007D">
      <w:pPr>
        <w:tabs>
          <w:tab w:val="left" w:pos="567"/>
        </w:tabs>
        <w:jc w:val="both"/>
        <w:rPr>
          <w:b/>
          <w:sz w:val="22"/>
          <w:szCs w:val="22"/>
        </w:rPr>
      </w:pPr>
      <w:r w:rsidRPr="007B701A">
        <w:rPr>
          <w:b/>
          <w:sz w:val="22"/>
          <w:szCs w:val="22"/>
        </w:rPr>
        <w:t xml:space="preserve">2.  </w:t>
      </w:r>
      <w:r>
        <w:rPr>
          <w:b/>
          <w:sz w:val="22"/>
          <w:szCs w:val="22"/>
        </w:rPr>
        <w:tab/>
      </w:r>
      <w:r w:rsidRPr="007B701A">
        <w:rPr>
          <w:b/>
          <w:sz w:val="22"/>
          <w:szCs w:val="22"/>
        </w:rPr>
        <w:t>Kas žinotina prieš vartojant Acic</w:t>
      </w:r>
      <w:r w:rsidRPr="007B701A" w:rsidDel="003176A6">
        <w:rPr>
          <w:b/>
          <w:sz w:val="22"/>
          <w:szCs w:val="22"/>
        </w:rPr>
        <w:t xml:space="preserve"> </w:t>
      </w:r>
    </w:p>
    <w:p w14:paraId="79594E15" w14:textId="77777777" w:rsidR="00F2007D" w:rsidRPr="007B701A" w:rsidRDefault="00F2007D" w:rsidP="00F2007D">
      <w:pPr>
        <w:rPr>
          <w:sz w:val="22"/>
          <w:szCs w:val="22"/>
        </w:rPr>
      </w:pPr>
    </w:p>
    <w:p w14:paraId="721577EF" w14:textId="77777777" w:rsidR="00F2007D" w:rsidRPr="007B701A" w:rsidRDefault="00F2007D" w:rsidP="00F2007D">
      <w:pPr>
        <w:rPr>
          <w:sz w:val="22"/>
          <w:szCs w:val="22"/>
        </w:rPr>
      </w:pPr>
      <w:r w:rsidRPr="007B701A">
        <w:rPr>
          <w:b/>
          <w:sz w:val="22"/>
          <w:szCs w:val="22"/>
        </w:rPr>
        <w:t>Acic vartoti negalima:</w:t>
      </w:r>
    </w:p>
    <w:p w14:paraId="3CA6F2DA" w14:textId="77777777" w:rsidR="00F2007D" w:rsidRPr="00EB70FA" w:rsidRDefault="00F2007D" w:rsidP="00F2007D">
      <w:pPr>
        <w:pStyle w:val="Sraopastraipa"/>
        <w:numPr>
          <w:ilvl w:val="0"/>
          <w:numId w:val="7"/>
        </w:numPr>
        <w:rPr>
          <w:b/>
          <w:i/>
          <w:sz w:val="22"/>
          <w:szCs w:val="22"/>
        </w:rPr>
      </w:pPr>
      <w:r w:rsidRPr="00EB70FA">
        <w:rPr>
          <w:sz w:val="22"/>
          <w:szCs w:val="22"/>
        </w:rPr>
        <w:t>jeigu yra alergija aciklovirui, valaciklovirui arba bet kuriai pagalbinei šio vaisto medžiagai (jos išvardytos 6 skyriuje).</w:t>
      </w:r>
    </w:p>
    <w:p w14:paraId="6BBF65BE" w14:textId="77777777" w:rsidR="00F2007D" w:rsidRPr="007B701A" w:rsidRDefault="00F2007D" w:rsidP="00F2007D">
      <w:pPr>
        <w:jc w:val="both"/>
        <w:rPr>
          <w:b/>
          <w:i/>
          <w:sz w:val="22"/>
          <w:szCs w:val="22"/>
        </w:rPr>
      </w:pPr>
    </w:p>
    <w:p w14:paraId="28AF0DFB" w14:textId="77777777" w:rsidR="00F2007D" w:rsidRPr="007B701A" w:rsidRDefault="00F2007D" w:rsidP="00F2007D">
      <w:pPr>
        <w:widowControl w:val="0"/>
        <w:rPr>
          <w:b/>
          <w:sz w:val="22"/>
          <w:szCs w:val="22"/>
        </w:rPr>
      </w:pPr>
      <w:r w:rsidRPr="007B701A">
        <w:rPr>
          <w:b/>
          <w:sz w:val="22"/>
          <w:szCs w:val="22"/>
        </w:rPr>
        <w:t>Įspėjimai ir atsargumo priemonės</w:t>
      </w:r>
    </w:p>
    <w:p w14:paraId="5EB815A5" w14:textId="77777777" w:rsidR="00F2007D" w:rsidRPr="007B701A" w:rsidRDefault="00F2007D" w:rsidP="00F2007D">
      <w:pPr>
        <w:widowControl w:val="0"/>
        <w:rPr>
          <w:sz w:val="22"/>
          <w:szCs w:val="22"/>
        </w:rPr>
      </w:pPr>
      <w:r w:rsidRPr="007B701A">
        <w:rPr>
          <w:sz w:val="22"/>
          <w:szCs w:val="22"/>
        </w:rPr>
        <w:t>Pasitarkite su gydytoju arba vaistininku, prieš pradėdami vartoti Acic.</w:t>
      </w:r>
    </w:p>
    <w:p w14:paraId="57235560" w14:textId="77777777" w:rsidR="00F2007D" w:rsidRPr="007B701A" w:rsidRDefault="00F2007D" w:rsidP="00F2007D">
      <w:pPr>
        <w:widowControl w:val="0"/>
        <w:rPr>
          <w:sz w:val="22"/>
          <w:szCs w:val="22"/>
        </w:rPr>
      </w:pPr>
    </w:p>
    <w:p w14:paraId="4D61BE20" w14:textId="3481591F" w:rsidR="00F2007D" w:rsidRDefault="00F2007D" w:rsidP="00F2007D">
      <w:pPr>
        <w:widowControl w:val="0"/>
        <w:rPr>
          <w:sz w:val="22"/>
          <w:szCs w:val="22"/>
        </w:rPr>
      </w:pPr>
      <w:r w:rsidRPr="007B701A">
        <w:rPr>
          <w:sz w:val="22"/>
          <w:szCs w:val="22"/>
        </w:rPr>
        <w:t>Pas</w:t>
      </w:r>
      <w:r>
        <w:rPr>
          <w:sz w:val="22"/>
          <w:szCs w:val="22"/>
        </w:rPr>
        <w:t xml:space="preserve">itarkite su </w:t>
      </w:r>
      <w:r w:rsidRPr="007B701A">
        <w:rPr>
          <w:sz w:val="22"/>
          <w:szCs w:val="22"/>
        </w:rPr>
        <w:t>gydytojui, jeigu</w:t>
      </w:r>
      <w:r w:rsidR="003C1A21">
        <w:rPr>
          <w:sz w:val="22"/>
          <w:szCs w:val="22"/>
        </w:rPr>
        <w:t xml:space="preserve"> </w:t>
      </w:r>
      <w:r w:rsidRPr="00512302">
        <w:t>esate senyvo amžiaus</w:t>
      </w:r>
      <w:r w:rsidR="003C1A21">
        <w:rPr>
          <w:sz w:val="22"/>
          <w:szCs w:val="22"/>
        </w:rPr>
        <w:t xml:space="preserve">. </w:t>
      </w:r>
      <w:r w:rsidRPr="007B701A">
        <w:rPr>
          <w:sz w:val="22"/>
          <w:szCs w:val="22"/>
        </w:rPr>
        <w:t xml:space="preserve">Gydytojas </w:t>
      </w:r>
      <w:r>
        <w:rPr>
          <w:sz w:val="22"/>
          <w:szCs w:val="22"/>
        </w:rPr>
        <w:t xml:space="preserve">pasakys, ar Jums tinka šis vaistas ir kokią dozę </w:t>
      </w:r>
      <w:r w:rsidRPr="007B701A">
        <w:rPr>
          <w:sz w:val="22"/>
          <w:szCs w:val="22"/>
        </w:rPr>
        <w:t xml:space="preserve">Jums </w:t>
      </w:r>
      <w:r>
        <w:rPr>
          <w:sz w:val="22"/>
          <w:szCs w:val="22"/>
        </w:rPr>
        <w:t>galima vartoti</w:t>
      </w:r>
      <w:r w:rsidRPr="007B701A">
        <w:rPr>
          <w:sz w:val="22"/>
          <w:szCs w:val="22"/>
        </w:rPr>
        <w:t xml:space="preserve">. </w:t>
      </w:r>
    </w:p>
    <w:p w14:paraId="2A18689A" w14:textId="77777777" w:rsidR="008C328D" w:rsidRPr="003D281D" w:rsidRDefault="008C328D" w:rsidP="008C328D">
      <w:pPr>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imuninės sistemos funkcija yra sutrikusi.</w:t>
      </w:r>
    </w:p>
    <w:p w14:paraId="39C7BB80" w14:textId="2A1273CA" w:rsidR="00F2007D" w:rsidRDefault="008C328D" w:rsidP="008C328D">
      <w:pPr>
        <w:widowControl w:val="0"/>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inkstų funkcija yra sutrikusi</w:t>
      </w:r>
      <w:r w:rsidR="003C1A21">
        <w:rPr>
          <w:sz w:val="22"/>
          <w:szCs w:val="22"/>
        </w:rPr>
        <w:t>.</w:t>
      </w:r>
    </w:p>
    <w:p w14:paraId="3E70EA3A" w14:textId="77777777" w:rsidR="00F2007D" w:rsidRDefault="00F2007D" w:rsidP="00F2007D">
      <w:pPr>
        <w:widowControl w:val="0"/>
        <w:rPr>
          <w:sz w:val="22"/>
          <w:szCs w:val="22"/>
        </w:rPr>
      </w:pPr>
      <w:r>
        <w:rPr>
          <w:sz w:val="22"/>
          <w:szCs w:val="22"/>
        </w:rPr>
        <w:t>Lūpų p</w:t>
      </w:r>
      <w:r w:rsidRPr="00AC2665">
        <w:rPr>
          <w:sz w:val="22"/>
          <w:szCs w:val="22"/>
        </w:rPr>
        <w:t>ūslelinė yra užkrečiama</w:t>
      </w:r>
      <w:r>
        <w:rPr>
          <w:sz w:val="22"/>
          <w:szCs w:val="22"/>
        </w:rPr>
        <w:t xml:space="preserve"> liga</w:t>
      </w:r>
      <w:r w:rsidRPr="00AC2665">
        <w:rPr>
          <w:sz w:val="22"/>
          <w:szCs w:val="22"/>
        </w:rPr>
        <w:t xml:space="preserve">. Siekdami sumažinti užsikrėtimo </w:t>
      </w:r>
      <w:r>
        <w:rPr>
          <w:sz w:val="22"/>
          <w:szCs w:val="22"/>
        </w:rPr>
        <w:t>pavojų</w:t>
      </w:r>
      <w:r w:rsidRPr="00AC2665">
        <w:rPr>
          <w:sz w:val="22"/>
          <w:szCs w:val="22"/>
        </w:rPr>
        <w:t xml:space="preserve">, neleiskite kitiems </w:t>
      </w:r>
      <w:r>
        <w:rPr>
          <w:sz w:val="22"/>
          <w:szCs w:val="22"/>
        </w:rPr>
        <w:t xml:space="preserve">žmonėms </w:t>
      </w:r>
      <w:r w:rsidRPr="00AC2665">
        <w:rPr>
          <w:sz w:val="22"/>
          <w:szCs w:val="22"/>
        </w:rPr>
        <w:t xml:space="preserve">liesti </w:t>
      </w:r>
      <w:r>
        <w:rPr>
          <w:sz w:val="22"/>
          <w:szCs w:val="22"/>
        </w:rPr>
        <w:t>viruso pažeistos</w:t>
      </w:r>
      <w:r w:rsidRPr="00AC2665">
        <w:rPr>
          <w:sz w:val="22"/>
          <w:szCs w:val="22"/>
        </w:rPr>
        <w:t xml:space="preserve"> vietos</w:t>
      </w:r>
      <w:r>
        <w:rPr>
          <w:sz w:val="22"/>
          <w:szCs w:val="22"/>
        </w:rPr>
        <w:t>,</w:t>
      </w:r>
      <w:r w:rsidRPr="00AC2665">
        <w:rPr>
          <w:sz w:val="22"/>
          <w:szCs w:val="22"/>
        </w:rPr>
        <w:t xml:space="preserve"> naudotis </w:t>
      </w:r>
      <w:r>
        <w:rPr>
          <w:sz w:val="22"/>
          <w:szCs w:val="22"/>
        </w:rPr>
        <w:t>J</w:t>
      </w:r>
      <w:r w:rsidRPr="00AC2665">
        <w:rPr>
          <w:sz w:val="22"/>
          <w:szCs w:val="22"/>
        </w:rPr>
        <w:t xml:space="preserve">ūsų rankšluosčiu ir </w:t>
      </w:r>
      <w:r>
        <w:rPr>
          <w:sz w:val="22"/>
          <w:szCs w:val="22"/>
        </w:rPr>
        <w:t>pan</w:t>
      </w:r>
      <w:r w:rsidRPr="00AC2665">
        <w:rPr>
          <w:sz w:val="22"/>
          <w:szCs w:val="22"/>
        </w:rPr>
        <w:t>. Jei</w:t>
      </w:r>
      <w:r>
        <w:rPr>
          <w:sz w:val="22"/>
          <w:szCs w:val="22"/>
        </w:rPr>
        <w:t>gu</w:t>
      </w:r>
      <w:r w:rsidRPr="00AC2665">
        <w:rPr>
          <w:sz w:val="22"/>
          <w:szCs w:val="22"/>
        </w:rPr>
        <w:t xml:space="preserve"> </w:t>
      </w:r>
      <w:r>
        <w:rPr>
          <w:sz w:val="22"/>
          <w:szCs w:val="22"/>
        </w:rPr>
        <w:t>J</w:t>
      </w:r>
      <w:r w:rsidRPr="00AC2665">
        <w:rPr>
          <w:sz w:val="22"/>
          <w:szCs w:val="22"/>
        </w:rPr>
        <w:t xml:space="preserve">ums tenka liesti </w:t>
      </w:r>
      <w:r>
        <w:rPr>
          <w:sz w:val="22"/>
          <w:szCs w:val="22"/>
        </w:rPr>
        <w:t>pažeistą</w:t>
      </w:r>
      <w:r w:rsidRPr="00AC2665">
        <w:rPr>
          <w:sz w:val="22"/>
          <w:szCs w:val="22"/>
        </w:rPr>
        <w:t xml:space="preserve"> vietą, </w:t>
      </w:r>
      <w:r>
        <w:rPr>
          <w:sz w:val="22"/>
          <w:szCs w:val="22"/>
        </w:rPr>
        <w:t>po to jokiu būdu nelieskite kitų kūno dalių (ypač akių), kol nenusiplausite rankų.</w:t>
      </w:r>
    </w:p>
    <w:p w14:paraId="0CD68CEA" w14:textId="77777777" w:rsidR="00F2007D" w:rsidRDefault="00F2007D" w:rsidP="009947E9">
      <w:pPr>
        <w:widowControl w:val="0"/>
        <w:rPr>
          <w:sz w:val="22"/>
          <w:szCs w:val="22"/>
        </w:rPr>
      </w:pPr>
    </w:p>
    <w:p w14:paraId="1DE89852" w14:textId="77777777" w:rsidR="00F2007D" w:rsidRPr="009947E9" w:rsidRDefault="00F2007D" w:rsidP="009947E9">
      <w:pPr>
        <w:pStyle w:val="Pagrindinistekstas"/>
        <w:overflowPunct/>
        <w:autoSpaceDE/>
        <w:autoSpaceDN/>
        <w:adjustRightInd/>
        <w:spacing w:after="0"/>
        <w:textAlignment w:val="auto"/>
        <w:rPr>
          <w:i/>
          <w:sz w:val="22"/>
        </w:rPr>
      </w:pPr>
      <w:r w:rsidRPr="009947E9">
        <w:rPr>
          <w:b/>
          <w:sz w:val="22"/>
        </w:rPr>
        <w:t>Vaikams ir paaugliams</w:t>
      </w:r>
    </w:p>
    <w:p w14:paraId="447F0427" w14:textId="77777777" w:rsidR="00F2007D" w:rsidRPr="00CD512B" w:rsidRDefault="00F2007D" w:rsidP="00F2007D">
      <w:pPr>
        <w:pStyle w:val="Paprastasistekstas"/>
        <w:rPr>
          <w:rFonts w:ascii="Times New Roman" w:eastAsia="Calibri" w:hAnsi="Times New Roman" w:cs="Times New Roman"/>
          <w:szCs w:val="22"/>
          <w:lang w:val="lt-LT" w:eastAsia="en-US"/>
        </w:rPr>
      </w:pPr>
      <w:r>
        <w:rPr>
          <w:rFonts w:ascii="Times New Roman" w:eastAsia="Calibri" w:hAnsi="Times New Roman" w:cs="Times New Roman"/>
          <w:szCs w:val="22"/>
          <w:lang w:val="lt-LT" w:eastAsia="en-US"/>
        </w:rPr>
        <w:t xml:space="preserve">Šio vaisto nerekomenduojama vartoti vaikams ir paaugliams, jaunesniems nei 18 metų.  </w:t>
      </w:r>
    </w:p>
    <w:p w14:paraId="57CF17EB" w14:textId="77777777" w:rsidR="00F2007D" w:rsidRPr="007B701A" w:rsidRDefault="00F2007D" w:rsidP="00F2007D">
      <w:pPr>
        <w:pStyle w:val="Pagrindinistekstas"/>
        <w:overflowPunct/>
        <w:autoSpaceDE/>
        <w:autoSpaceDN/>
        <w:adjustRightInd/>
        <w:spacing w:after="0"/>
        <w:textAlignment w:val="auto"/>
        <w:rPr>
          <w:sz w:val="22"/>
          <w:szCs w:val="22"/>
        </w:rPr>
      </w:pPr>
    </w:p>
    <w:p w14:paraId="3ED584B6" w14:textId="77777777" w:rsidR="00F2007D" w:rsidRPr="007B701A" w:rsidRDefault="00F2007D" w:rsidP="00F2007D">
      <w:pPr>
        <w:jc w:val="both"/>
        <w:rPr>
          <w:b/>
          <w:iCs/>
          <w:sz w:val="22"/>
          <w:szCs w:val="22"/>
        </w:rPr>
      </w:pPr>
      <w:r w:rsidRPr="007B701A">
        <w:rPr>
          <w:b/>
          <w:sz w:val="22"/>
          <w:szCs w:val="22"/>
        </w:rPr>
        <w:t>Kiti vaistai ir Acic</w:t>
      </w:r>
    </w:p>
    <w:p w14:paraId="20511B00" w14:textId="77777777" w:rsidR="00F2007D" w:rsidRPr="007B701A" w:rsidRDefault="00F2007D" w:rsidP="00F2007D">
      <w:pPr>
        <w:pStyle w:val="Pagrindinistekstas"/>
        <w:spacing w:after="0"/>
        <w:rPr>
          <w:noProof/>
          <w:sz w:val="22"/>
          <w:szCs w:val="22"/>
        </w:rPr>
      </w:pPr>
      <w:r w:rsidRPr="007B701A">
        <w:rPr>
          <w:noProof/>
          <w:sz w:val="22"/>
          <w:szCs w:val="22"/>
        </w:rPr>
        <w:t>Jeigu vartojate ar neseniai vartojote kitų vaistų arba dėl to nesate tikri, apie tai pasakykite gydytojui arba vaistininkui.</w:t>
      </w:r>
    </w:p>
    <w:p w14:paraId="6285A384" w14:textId="77777777" w:rsidR="00F2007D" w:rsidRPr="007B701A" w:rsidRDefault="00F2007D" w:rsidP="00F2007D">
      <w:pPr>
        <w:pStyle w:val="Pagrindinistekstas"/>
        <w:spacing w:after="0"/>
        <w:rPr>
          <w:noProof/>
          <w:sz w:val="22"/>
          <w:szCs w:val="22"/>
        </w:rPr>
      </w:pPr>
    </w:p>
    <w:p w14:paraId="3BDEFAF6" w14:textId="77777777" w:rsidR="00F2007D" w:rsidRPr="007B701A" w:rsidRDefault="00F2007D" w:rsidP="00F2007D">
      <w:pPr>
        <w:pStyle w:val="Pagrindinistekstas"/>
        <w:spacing w:after="0"/>
        <w:rPr>
          <w:sz w:val="22"/>
          <w:szCs w:val="22"/>
        </w:rPr>
      </w:pPr>
      <w:r w:rsidRPr="007B701A">
        <w:rPr>
          <w:noProof/>
          <w:sz w:val="22"/>
          <w:szCs w:val="22"/>
        </w:rPr>
        <w:t>Šie vaistai gali pakeisti Acic veikimą:</w:t>
      </w:r>
    </w:p>
    <w:p w14:paraId="744E7A71" w14:textId="77777777" w:rsidR="00F2007D" w:rsidRPr="007B701A" w:rsidRDefault="00F2007D" w:rsidP="00F2007D">
      <w:pPr>
        <w:pStyle w:val="Pagrindinistekstas"/>
        <w:numPr>
          <w:ilvl w:val="0"/>
          <w:numId w:val="8"/>
        </w:numPr>
        <w:spacing w:after="0"/>
        <w:rPr>
          <w:sz w:val="22"/>
          <w:szCs w:val="22"/>
        </w:rPr>
      </w:pPr>
      <w:r w:rsidRPr="007B701A">
        <w:rPr>
          <w:sz w:val="22"/>
          <w:szCs w:val="22"/>
        </w:rPr>
        <w:t>cimetidinas (vaistas nuo skrandžio negalavimų, susijusių su rūgštimi)</w:t>
      </w:r>
      <w:r>
        <w:rPr>
          <w:sz w:val="22"/>
          <w:szCs w:val="22"/>
        </w:rPr>
        <w:t>;</w:t>
      </w:r>
      <w:r w:rsidRPr="007B701A">
        <w:rPr>
          <w:sz w:val="22"/>
          <w:szCs w:val="22"/>
        </w:rPr>
        <w:t xml:space="preserve"> </w:t>
      </w:r>
    </w:p>
    <w:p w14:paraId="01BC4168" w14:textId="77777777" w:rsidR="00F2007D" w:rsidRPr="007B701A" w:rsidRDefault="00F2007D" w:rsidP="00F2007D">
      <w:pPr>
        <w:pStyle w:val="Pagrindinistekstas"/>
        <w:numPr>
          <w:ilvl w:val="0"/>
          <w:numId w:val="8"/>
        </w:numPr>
        <w:spacing w:after="0"/>
        <w:rPr>
          <w:sz w:val="22"/>
          <w:szCs w:val="22"/>
        </w:rPr>
      </w:pPr>
      <w:r w:rsidRPr="007B701A">
        <w:rPr>
          <w:sz w:val="22"/>
          <w:szCs w:val="22"/>
        </w:rPr>
        <w:t>probenecidas (nuo podagros)</w:t>
      </w:r>
      <w:r>
        <w:rPr>
          <w:sz w:val="22"/>
          <w:szCs w:val="22"/>
        </w:rPr>
        <w:t>;</w:t>
      </w:r>
      <w:r w:rsidRPr="007B701A">
        <w:rPr>
          <w:sz w:val="22"/>
          <w:szCs w:val="22"/>
        </w:rPr>
        <w:t xml:space="preserve"> </w:t>
      </w:r>
    </w:p>
    <w:p w14:paraId="2E25EC1A" w14:textId="77777777" w:rsidR="00F2007D" w:rsidRPr="007B701A" w:rsidRDefault="00F2007D" w:rsidP="00F2007D">
      <w:pPr>
        <w:pStyle w:val="Pagrindinistekstas"/>
        <w:numPr>
          <w:ilvl w:val="0"/>
          <w:numId w:val="8"/>
        </w:numPr>
        <w:spacing w:after="0"/>
        <w:rPr>
          <w:sz w:val="22"/>
          <w:szCs w:val="22"/>
        </w:rPr>
      </w:pPr>
      <w:r w:rsidRPr="007B701A">
        <w:rPr>
          <w:sz w:val="22"/>
          <w:szCs w:val="22"/>
        </w:rPr>
        <w:t>teofilinas (nuo astmos ir plaučių ligų)</w:t>
      </w:r>
      <w:r>
        <w:rPr>
          <w:sz w:val="22"/>
          <w:szCs w:val="22"/>
        </w:rPr>
        <w:t>;</w:t>
      </w:r>
    </w:p>
    <w:p w14:paraId="7FDF798F" w14:textId="77777777" w:rsidR="00F2007D" w:rsidRPr="007B701A" w:rsidRDefault="00F2007D" w:rsidP="00F2007D">
      <w:pPr>
        <w:pStyle w:val="Pagrindinistekstas"/>
        <w:numPr>
          <w:ilvl w:val="0"/>
          <w:numId w:val="8"/>
        </w:numPr>
        <w:spacing w:after="0"/>
        <w:rPr>
          <w:sz w:val="22"/>
          <w:szCs w:val="22"/>
        </w:rPr>
      </w:pPr>
      <w:r w:rsidRPr="007B701A">
        <w:rPr>
          <w:sz w:val="22"/>
          <w:szCs w:val="22"/>
        </w:rPr>
        <w:t>mikofenolato mofetilas (imunitetą slopinantis vaistas, vartojamas išvengti persodinto organo atmetimo).</w:t>
      </w:r>
    </w:p>
    <w:p w14:paraId="3B476B2B" w14:textId="77777777" w:rsidR="00F2007D" w:rsidRPr="007B701A" w:rsidRDefault="00F2007D" w:rsidP="00F2007D">
      <w:pPr>
        <w:jc w:val="both"/>
        <w:rPr>
          <w:b/>
          <w:i/>
          <w:sz w:val="22"/>
          <w:szCs w:val="22"/>
        </w:rPr>
      </w:pPr>
    </w:p>
    <w:p w14:paraId="3DE73327" w14:textId="77777777" w:rsidR="00F2007D" w:rsidRPr="007B701A" w:rsidRDefault="00F2007D" w:rsidP="00F2007D">
      <w:pPr>
        <w:jc w:val="both"/>
        <w:rPr>
          <w:b/>
          <w:sz w:val="22"/>
          <w:szCs w:val="22"/>
        </w:rPr>
      </w:pPr>
      <w:r w:rsidRPr="007B701A">
        <w:rPr>
          <w:b/>
          <w:sz w:val="22"/>
          <w:szCs w:val="22"/>
        </w:rPr>
        <w:t>Nėštumas ir žindymo laikotarpis</w:t>
      </w:r>
    </w:p>
    <w:p w14:paraId="69A23389" w14:textId="77777777" w:rsidR="00F2007D" w:rsidRPr="007B701A" w:rsidRDefault="00F2007D" w:rsidP="00F2007D">
      <w:pPr>
        <w:rPr>
          <w:sz w:val="22"/>
          <w:szCs w:val="22"/>
        </w:rPr>
      </w:pPr>
      <w:r w:rsidRPr="007B701A">
        <w:rPr>
          <w:sz w:val="22"/>
          <w:szCs w:val="22"/>
        </w:rPr>
        <w:t>Jeigu esate nėščia, žindote kūdikį, manote, kad galbūt esate nėščia, arba planuojate pastoti, tai prieš vartodama šį vaistą, pasitarkite su gydytoju arba vaistininku.</w:t>
      </w:r>
    </w:p>
    <w:p w14:paraId="0E9FFCD8" w14:textId="77777777" w:rsidR="00F2007D" w:rsidRPr="007B701A" w:rsidRDefault="00F2007D" w:rsidP="00F2007D">
      <w:pPr>
        <w:rPr>
          <w:sz w:val="22"/>
          <w:szCs w:val="22"/>
        </w:rPr>
      </w:pPr>
    </w:p>
    <w:p w14:paraId="681B6E2A" w14:textId="77777777" w:rsidR="00F2007D" w:rsidRPr="007B701A" w:rsidRDefault="00F2007D" w:rsidP="009947E9">
      <w:pPr>
        <w:rPr>
          <w:b/>
          <w:noProof/>
          <w:sz w:val="22"/>
          <w:szCs w:val="22"/>
        </w:rPr>
      </w:pPr>
      <w:r w:rsidRPr="007B701A">
        <w:rPr>
          <w:b/>
          <w:noProof/>
          <w:sz w:val="22"/>
          <w:szCs w:val="22"/>
        </w:rPr>
        <w:t>Vairavimas ir mechanizmų valdymas</w:t>
      </w:r>
    </w:p>
    <w:p w14:paraId="7F5E292E" w14:textId="77777777" w:rsidR="00F2007D" w:rsidRPr="007B701A" w:rsidRDefault="00F2007D" w:rsidP="00F2007D">
      <w:pPr>
        <w:rPr>
          <w:sz w:val="22"/>
          <w:szCs w:val="22"/>
        </w:rPr>
      </w:pPr>
      <w:r w:rsidRPr="007B701A">
        <w:rPr>
          <w:sz w:val="22"/>
          <w:szCs w:val="22"/>
        </w:rPr>
        <w:t>Acic poveikio vairavimui ir gebėjimui valdyti mechanizmus tyrimų neatlikta. Prieš vairuodami arba valdydami mechanizmus įsitikinkite, kad žinote, kaip Jus veikia šis vaistas.</w:t>
      </w:r>
    </w:p>
    <w:p w14:paraId="5A5EC770" w14:textId="77777777" w:rsidR="00F2007D" w:rsidRPr="007B701A" w:rsidRDefault="00F2007D" w:rsidP="00F2007D">
      <w:pPr>
        <w:rPr>
          <w:sz w:val="22"/>
          <w:szCs w:val="22"/>
        </w:rPr>
      </w:pPr>
    </w:p>
    <w:p w14:paraId="01160C1A" w14:textId="77777777" w:rsidR="00F2007D" w:rsidRPr="007B701A" w:rsidRDefault="00F2007D" w:rsidP="00F2007D">
      <w:pPr>
        <w:rPr>
          <w:b/>
          <w:sz w:val="22"/>
          <w:szCs w:val="22"/>
        </w:rPr>
      </w:pPr>
      <w:r w:rsidRPr="007B701A">
        <w:rPr>
          <w:b/>
          <w:sz w:val="22"/>
          <w:szCs w:val="22"/>
        </w:rPr>
        <w:t>Acic sudėtyje yra laktozės</w:t>
      </w:r>
    </w:p>
    <w:p w14:paraId="45DAF0F3" w14:textId="77777777" w:rsidR="00F2007D" w:rsidRPr="007B701A" w:rsidRDefault="00F2007D" w:rsidP="00F2007D">
      <w:pPr>
        <w:pStyle w:val="Text"/>
        <w:spacing w:before="0"/>
        <w:rPr>
          <w:rFonts w:ascii="Times New Roman" w:hAnsi="Times New Roman"/>
          <w:color w:val="000000"/>
          <w:szCs w:val="22"/>
          <w:lang w:val="lt-LT"/>
        </w:rPr>
      </w:pPr>
      <w:r w:rsidRPr="007B701A">
        <w:rPr>
          <w:rFonts w:ascii="Times New Roman" w:hAnsi="Times New Roman"/>
          <w:color w:val="000000"/>
          <w:szCs w:val="22"/>
          <w:lang w:val="lt-LT"/>
        </w:rPr>
        <w:t>Jeigu gydytojas yra sakęs, kad netoleruojate kai kurių angliavandenių, pasitarkite su gydytoju, prieš pradėdami vartoti šį vaistą.</w:t>
      </w:r>
    </w:p>
    <w:p w14:paraId="7B5A7A42" w14:textId="77777777" w:rsidR="00F2007D" w:rsidRPr="007B701A" w:rsidRDefault="00F2007D" w:rsidP="00F2007D">
      <w:pPr>
        <w:jc w:val="both"/>
        <w:rPr>
          <w:b/>
          <w:sz w:val="22"/>
          <w:szCs w:val="22"/>
        </w:rPr>
      </w:pPr>
    </w:p>
    <w:p w14:paraId="5911356E" w14:textId="77777777" w:rsidR="00F2007D" w:rsidRPr="007B701A" w:rsidRDefault="00F2007D" w:rsidP="00F2007D">
      <w:pPr>
        <w:jc w:val="both"/>
        <w:rPr>
          <w:b/>
          <w:sz w:val="22"/>
          <w:szCs w:val="22"/>
        </w:rPr>
      </w:pPr>
    </w:p>
    <w:p w14:paraId="043B95C1" w14:textId="77777777" w:rsidR="00F2007D" w:rsidRPr="007B701A" w:rsidRDefault="00F2007D" w:rsidP="00F2007D">
      <w:pPr>
        <w:tabs>
          <w:tab w:val="left" w:pos="567"/>
        </w:tabs>
        <w:jc w:val="both"/>
        <w:rPr>
          <w:b/>
          <w:sz w:val="22"/>
          <w:szCs w:val="22"/>
          <w:u w:val="single"/>
        </w:rPr>
      </w:pPr>
      <w:r w:rsidRPr="007B701A">
        <w:rPr>
          <w:b/>
          <w:sz w:val="22"/>
          <w:szCs w:val="22"/>
        </w:rPr>
        <w:t xml:space="preserve">3. </w:t>
      </w:r>
      <w:r>
        <w:rPr>
          <w:b/>
          <w:sz w:val="22"/>
          <w:szCs w:val="22"/>
        </w:rPr>
        <w:tab/>
      </w:r>
      <w:r w:rsidRPr="007B701A">
        <w:rPr>
          <w:b/>
          <w:sz w:val="22"/>
          <w:szCs w:val="22"/>
        </w:rPr>
        <w:t>Kaip vartoti Acic</w:t>
      </w:r>
    </w:p>
    <w:p w14:paraId="7CECC9F4" w14:textId="77777777" w:rsidR="00F2007D" w:rsidRPr="007B701A" w:rsidRDefault="00F2007D" w:rsidP="00F2007D">
      <w:pPr>
        <w:rPr>
          <w:sz w:val="22"/>
          <w:szCs w:val="22"/>
        </w:rPr>
      </w:pPr>
    </w:p>
    <w:p w14:paraId="230C825D" w14:textId="77777777" w:rsidR="00F2007D" w:rsidRPr="007B701A" w:rsidRDefault="00F2007D" w:rsidP="00F2007D">
      <w:pPr>
        <w:rPr>
          <w:sz w:val="22"/>
          <w:szCs w:val="22"/>
        </w:rPr>
      </w:pPr>
      <w:r w:rsidRPr="007B701A">
        <w:rPr>
          <w:sz w:val="22"/>
          <w:szCs w:val="22"/>
        </w:rPr>
        <w:t xml:space="preserve">Visada vartokite šį vaistą tiksliai </w:t>
      </w:r>
      <w:r w:rsidRPr="00BC447E">
        <w:rPr>
          <w:sz w:val="22"/>
          <w:szCs w:val="22"/>
        </w:rPr>
        <w:t xml:space="preserve">kaip aprašyta šiame lapelyje arba </w:t>
      </w:r>
      <w:r w:rsidRPr="007B701A">
        <w:rPr>
          <w:sz w:val="22"/>
          <w:szCs w:val="22"/>
        </w:rPr>
        <w:t>kaip nurodė gydytojas arba vaistininkas. Jeigu abejojate, kreipkitės į gydytoją arba vaistininką.</w:t>
      </w:r>
    </w:p>
    <w:p w14:paraId="31F1F2D7" w14:textId="77777777" w:rsidR="00F2007D" w:rsidRPr="007B701A" w:rsidRDefault="00F2007D" w:rsidP="00F2007D">
      <w:pPr>
        <w:rPr>
          <w:sz w:val="22"/>
          <w:szCs w:val="22"/>
        </w:rPr>
      </w:pPr>
    </w:p>
    <w:p w14:paraId="29FDFFC4" w14:textId="77777777" w:rsidR="00F2007D" w:rsidRPr="00063DB0" w:rsidRDefault="00F2007D" w:rsidP="00F2007D">
      <w:pPr>
        <w:jc w:val="both"/>
        <w:rPr>
          <w:bCs/>
          <w:i/>
          <w:sz w:val="22"/>
          <w:szCs w:val="22"/>
        </w:rPr>
      </w:pPr>
      <w:r w:rsidRPr="00063DB0">
        <w:rPr>
          <w:bCs/>
          <w:i/>
          <w:sz w:val="22"/>
          <w:szCs w:val="22"/>
        </w:rPr>
        <w:t>Suaugusiems žmonėms</w:t>
      </w:r>
    </w:p>
    <w:p w14:paraId="7CD6204D" w14:textId="77777777" w:rsidR="00F2007D" w:rsidRPr="007B701A" w:rsidRDefault="00F2007D" w:rsidP="00F2007D">
      <w:pPr>
        <w:pStyle w:val="Sraopastraipa"/>
        <w:numPr>
          <w:ilvl w:val="0"/>
          <w:numId w:val="17"/>
        </w:numPr>
        <w:rPr>
          <w:sz w:val="22"/>
          <w:szCs w:val="22"/>
        </w:rPr>
      </w:pPr>
      <w:r w:rsidRPr="007B701A">
        <w:rPr>
          <w:sz w:val="22"/>
          <w:szCs w:val="22"/>
        </w:rPr>
        <w:t xml:space="preserve">Vaisto reikia pradėti vartoti nedelsiant, kai tik atsiranda pirmųjų simptomų (niežėjimas, tempimo pojūtis, pirmosios pūslelės). </w:t>
      </w:r>
    </w:p>
    <w:p w14:paraId="3DA231AB" w14:textId="77777777" w:rsidR="00F2007D" w:rsidRPr="00063DB0" w:rsidRDefault="00F2007D" w:rsidP="00F2007D">
      <w:pPr>
        <w:pStyle w:val="Sraopastraipa"/>
        <w:numPr>
          <w:ilvl w:val="0"/>
          <w:numId w:val="17"/>
        </w:numPr>
        <w:rPr>
          <w:sz w:val="22"/>
          <w:szCs w:val="22"/>
        </w:rPr>
      </w:pPr>
      <w:r w:rsidRPr="007B701A">
        <w:rPr>
          <w:sz w:val="22"/>
          <w:szCs w:val="22"/>
        </w:rPr>
        <w:t xml:space="preserve">Kad infekcija neišplistų, pūslelių (jos pripildytos skysčio, kuriame yra virusų) negalima liesti. </w:t>
      </w:r>
    </w:p>
    <w:p w14:paraId="1258452A" w14:textId="6D0245A7" w:rsidR="00F2007D" w:rsidRDefault="00F2007D" w:rsidP="00F2007D">
      <w:pPr>
        <w:pStyle w:val="Sraopastraipa"/>
        <w:numPr>
          <w:ilvl w:val="0"/>
          <w:numId w:val="17"/>
        </w:numPr>
        <w:rPr>
          <w:sz w:val="22"/>
          <w:szCs w:val="22"/>
        </w:rPr>
      </w:pPr>
      <w:r w:rsidRPr="007B701A">
        <w:rPr>
          <w:sz w:val="22"/>
          <w:szCs w:val="22"/>
        </w:rPr>
        <w:t xml:space="preserve">Įprasta dozė yra viena tabletė (200 mg acikloviro), geriama 5 kartus per parą (kas 4 val.). </w:t>
      </w:r>
    </w:p>
    <w:p w14:paraId="5F622024" w14:textId="564274F4" w:rsidR="00F2007D" w:rsidRDefault="00F2007D" w:rsidP="00F2007D">
      <w:pPr>
        <w:pStyle w:val="Sraopastraipa"/>
        <w:numPr>
          <w:ilvl w:val="0"/>
          <w:numId w:val="17"/>
        </w:numPr>
        <w:rPr>
          <w:sz w:val="22"/>
          <w:szCs w:val="22"/>
        </w:rPr>
      </w:pPr>
      <w:r>
        <w:rPr>
          <w:sz w:val="22"/>
          <w:szCs w:val="22"/>
        </w:rPr>
        <w:t>V</w:t>
      </w:r>
      <w:r w:rsidRPr="007B701A">
        <w:rPr>
          <w:sz w:val="22"/>
          <w:szCs w:val="22"/>
        </w:rPr>
        <w:t>aist</w:t>
      </w:r>
      <w:r>
        <w:rPr>
          <w:sz w:val="22"/>
          <w:szCs w:val="22"/>
        </w:rPr>
        <w:t>o reikia</w:t>
      </w:r>
      <w:r w:rsidRPr="007B701A">
        <w:rPr>
          <w:sz w:val="22"/>
          <w:szCs w:val="22"/>
        </w:rPr>
        <w:t xml:space="preserve"> varto</w:t>
      </w:r>
      <w:r>
        <w:rPr>
          <w:sz w:val="22"/>
          <w:szCs w:val="22"/>
        </w:rPr>
        <w:t>ti</w:t>
      </w:r>
      <w:r w:rsidRPr="007B701A">
        <w:rPr>
          <w:sz w:val="22"/>
          <w:szCs w:val="22"/>
        </w:rPr>
        <w:t xml:space="preserve"> 5 </w:t>
      </w:r>
      <w:r w:rsidRPr="008C328D">
        <w:rPr>
          <w:sz w:val="22"/>
          <w:szCs w:val="22"/>
        </w:rPr>
        <w:t>paras</w:t>
      </w:r>
      <w:r>
        <w:rPr>
          <w:sz w:val="22"/>
          <w:szCs w:val="22"/>
        </w:rPr>
        <w:t>.</w:t>
      </w:r>
      <w:r w:rsidRPr="00BC447E">
        <w:t xml:space="preserve"> </w:t>
      </w:r>
      <w:r w:rsidRPr="00BC447E">
        <w:rPr>
          <w:sz w:val="22"/>
          <w:szCs w:val="22"/>
        </w:rPr>
        <w:t xml:space="preserve">Jeigu per 5 </w:t>
      </w:r>
      <w:r w:rsidR="008C328D">
        <w:rPr>
          <w:sz w:val="22"/>
          <w:szCs w:val="22"/>
        </w:rPr>
        <w:t>par</w:t>
      </w:r>
      <w:r w:rsidRPr="00C2459C">
        <w:rPr>
          <w:sz w:val="22"/>
          <w:szCs w:val="22"/>
        </w:rPr>
        <w:t>as</w:t>
      </w:r>
      <w:r w:rsidRPr="00BC447E">
        <w:rPr>
          <w:sz w:val="22"/>
          <w:szCs w:val="22"/>
        </w:rPr>
        <w:t xml:space="preserve"> Jūsų savijauta nepagerėjo arba net pablogėjo, kreipkitės į gydytoją.</w:t>
      </w:r>
    </w:p>
    <w:p w14:paraId="439EC12F" w14:textId="77777777" w:rsidR="00F2007D" w:rsidRPr="007B701A" w:rsidRDefault="00F2007D" w:rsidP="00F2007D">
      <w:pPr>
        <w:rPr>
          <w:sz w:val="22"/>
          <w:szCs w:val="22"/>
        </w:rPr>
      </w:pPr>
    </w:p>
    <w:p w14:paraId="3C65EE48" w14:textId="77777777" w:rsidR="00F2007D" w:rsidRPr="00063DB0" w:rsidRDefault="00F2007D" w:rsidP="00F2007D">
      <w:pPr>
        <w:pStyle w:val="Pagrindinistekstas"/>
        <w:spacing w:after="0"/>
        <w:rPr>
          <w:i/>
          <w:sz w:val="22"/>
          <w:szCs w:val="22"/>
        </w:rPr>
      </w:pPr>
      <w:r w:rsidRPr="00063DB0">
        <w:rPr>
          <w:i/>
          <w:sz w:val="22"/>
          <w:szCs w:val="22"/>
        </w:rPr>
        <w:t xml:space="preserve">Senyviems ligoniams </w:t>
      </w:r>
    </w:p>
    <w:p w14:paraId="34DB703F" w14:textId="77777777" w:rsidR="00F2007D" w:rsidRPr="007B701A" w:rsidRDefault="00F2007D" w:rsidP="00F2007D">
      <w:pPr>
        <w:widowControl w:val="0"/>
        <w:rPr>
          <w:sz w:val="22"/>
          <w:szCs w:val="22"/>
        </w:rPr>
      </w:pPr>
      <w:r>
        <w:rPr>
          <w:sz w:val="22"/>
          <w:szCs w:val="22"/>
        </w:rPr>
        <w:lastRenderedPageBreak/>
        <w:t>Jeigu esate senyvo amžiaus, p</w:t>
      </w:r>
      <w:r w:rsidRPr="007B701A">
        <w:rPr>
          <w:sz w:val="22"/>
          <w:szCs w:val="22"/>
        </w:rPr>
        <w:t>asitarkite su gydytoju.</w:t>
      </w:r>
    </w:p>
    <w:p w14:paraId="616E000B" w14:textId="77777777" w:rsidR="00F2007D" w:rsidRPr="007B701A" w:rsidRDefault="00F2007D" w:rsidP="00F2007D">
      <w:pPr>
        <w:jc w:val="both"/>
        <w:rPr>
          <w:i/>
          <w:sz w:val="22"/>
          <w:szCs w:val="22"/>
          <w:u w:val="single"/>
        </w:rPr>
      </w:pPr>
    </w:p>
    <w:p w14:paraId="4E6D911A" w14:textId="77777777" w:rsidR="003C1A21" w:rsidRPr="003D281D" w:rsidRDefault="003C1A21" w:rsidP="003C1A21">
      <w:pPr>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imuninės sistemos funkcija yra sutrikusi.</w:t>
      </w:r>
    </w:p>
    <w:p w14:paraId="5C64805D" w14:textId="77777777" w:rsidR="003C1A21" w:rsidRDefault="003C1A21" w:rsidP="003C1A21">
      <w:pPr>
        <w:rPr>
          <w:i/>
          <w:sz w:val="22"/>
          <w:szCs w:val="22"/>
        </w:rPr>
      </w:pPr>
    </w:p>
    <w:p w14:paraId="169D5B89" w14:textId="77777777" w:rsidR="003C1A21" w:rsidRPr="00063DB0" w:rsidRDefault="003C1A21" w:rsidP="003C1A21">
      <w:pPr>
        <w:rPr>
          <w:sz w:val="22"/>
          <w:szCs w:val="22"/>
        </w:rPr>
      </w:pPr>
      <w:r w:rsidRPr="00063DB0">
        <w:rPr>
          <w:i/>
          <w:sz w:val="22"/>
          <w:szCs w:val="22"/>
        </w:rPr>
        <w:t xml:space="preserve">Pacientams, kurių inkstų funkcija sutrikusi </w:t>
      </w:r>
    </w:p>
    <w:p w14:paraId="0D1639B6" w14:textId="61835FC1" w:rsidR="002B4D15" w:rsidRPr="007B701A" w:rsidRDefault="003C1A21" w:rsidP="00484C49">
      <w:pPr>
        <w:rPr>
          <w:sz w:val="22"/>
          <w:szCs w:val="22"/>
        </w:rPr>
      </w:pPr>
      <w:r w:rsidRPr="008C328D">
        <w:rPr>
          <w:sz w:val="22"/>
          <w:szCs w:val="22"/>
        </w:rPr>
        <w:t>Acic netinka</w:t>
      </w:r>
      <w:r w:rsidRPr="00D15CCE">
        <w:rPr>
          <w:sz w:val="22"/>
          <w:szCs w:val="22"/>
        </w:rPr>
        <w:t xml:space="preserve"> vartoti</w:t>
      </w:r>
      <w:r w:rsidRPr="008C328D">
        <w:rPr>
          <w:sz w:val="22"/>
          <w:szCs w:val="22"/>
        </w:rPr>
        <w:t xml:space="preserve"> pacientams, kurių inkstų funkcija yra sutrikusi</w:t>
      </w:r>
      <w:r>
        <w:rPr>
          <w:sz w:val="22"/>
          <w:szCs w:val="22"/>
        </w:rPr>
        <w:t>.</w:t>
      </w:r>
    </w:p>
    <w:p w14:paraId="28B0AF1F" w14:textId="77777777" w:rsidR="006E1FBD" w:rsidRPr="00E12E5C" w:rsidRDefault="006E1FBD" w:rsidP="00F2007D">
      <w:pPr>
        <w:rPr>
          <w:b/>
          <w:sz w:val="22"/>
          <w:szCs w:val="22"/>
        </w:rPr>
      </w:pPr>
    </w:p>
    <w:p w14:paraId="1D3AEDFD" w14:textId="77777777" w:rsidR="00F2007D" w:rsidRPr="00E12E5C" w:rsidRDefault="00F2007D" w:rsidP="00F2007D">
      <w:pPr>
        <w:rPr>
          <w:b/>
          <w:sz w:val="22"/>
          <w:szCs w:val="22"/>
        </w:rPr>
      </w:pPr>
      <w:r w:rsidRPr="00E12E5C">
        <w:rPr>
          <w:b/>
          <w:sz w:val="22"/>
          <w:szCs w:val="22"/>
        </w:rPr>
        <w:t>Vartojimas vaikams</w:t>
      </w:r>
    </w:p>
    <w:p w14:paraId="53BF4036" w14:textId="10F3E3B2" w:rsidR="00F2007D" w:rsidRPr="00D56E00" w:rsidRDefault="00F2007D" w:rsidP="009947E9">
      <w:pPr>
        <w:pStyle w:val="Paprastasistekstas"/>
        <w:rPr>
          <w:rFonts w:ascii="Times New Roman" w:hAnsi="Times New Roman" w:cs="Times New Roman"/>
          <w:szCs w:val="22"/>
          <w:lang w:val="lt-LT"/>
        </w:rPr>
      </w:pPr>
      <w:r w:rsidRPr="00D56E00">
        <w:rPr>
          <w:rFonts w:ascii="Times New Roman" w:hAnsi="Times New Roman" w:cs="Times New Roman"/>
          <w:szCs w:val="22"/>
          <w:lang w:val="lt-LT"/>
        </w:rPr>
        <w:t xml:space="preserve">Šio vaisto nerekomenduojama vartoti vaikams ir paaugliams, jaunesniems nei </w:t>
      </w:r>
      <w:r w:rsidRPr="008379EF">
        <w:rPr>
          <w:rFonts w:ascii="Times New Roman" w:eastAsia="Calibri" w:hAnsi="Times New Roman" w:cs="Times New Roman"/>
          <w:szCs w:val="22"/>
          <w:lang w:val="lt-LT" w:eastAsia="en-US"/>
        </w:rPr>
        <w:t>18 metų.</w:t>
      </w:r>
      <w:r w:rsidRPr="00F7005D">
        <w:rPr>
          <w:rFonts w:ascii="Times New Roman" w:hAnsi="Times New Roman" w:cs="Times New Roman"/>
          <w:szCs w:val="22"/>
          <w:lang w:val="lt-LT"/>
        </w:rPr>
        <w:t xml:space="preserve">  </w:t>
      </w:r>
    </w:p>
    <w:p w14:paraId="6B0F3247" w14:textId="77777777" w:rsidR="00F2007D" w:rsidRPr="004E53E4" w:rsidRDefault="00F2007D" w:rsidP="00F2007D">
      <w:pPr>
        <w:rPr>
          <w:sz w:val="22"/>
        </w:rPr>
      </w:pPr>
    </w:p>
    <w:p w14:paraId="4108C5C1" w14:textId="77777777" w:rsidR="00F2007D" w:rsidRPr="00063DB0" w:rsidRDefault="00F2007D" w:rsidP="00F2007D">
      <w:pPr>
        <w:rPr>
          <w:i/>
          <w:sz w:val="22"/>
          <w:szCs w:val="22"/>
        </w:rPr>
      </w:pPr>
      <w:r w:rsidRPr="00063DB0">
        <w:rPr>
          <w:i/>
          <w:sz w:val="22"/>
          <w:szCs w:val="22"/>
        </w:rPr>
        <w:t>Kaip vartoti šį vaistą:</w:t>
      </w:r>
    </w:p>
    <w:p w14:paraId="08974F9D" w14:textId="77777777" w:rsidR="00F2007D" w:rsidRPr="007B701A" w:rsidRDefault="00F2007D" w:rsidP="00F2007D">
      <w:pPr>
        <w:pStyle w:val="Sraopastraipa"/>
        <w:numPr>
          <w:ilvl w:val="0"/>
          <w:numId w:val="10"/>
        </w:numPr>
        <w:rPr>
          <w:sz w:val="22"/>
          <w:szCs w:val="22"/>
        </w:rPr>
      </w:pPr>
      <w:r w:rsidRPr="007B701A">
        <w:rPr>
          <w:sz w:val="22"/>
          <w:szCs w:val="22"/>
        </w:rPr>
        <w:t>Nurykite tabletes nesukramtytas, užgerdami stikline vandens.</w:t>
      </w:r>
    </w:p>
    <w:p w14:paraId="2FD5ECFD" w14:textId="77777777" w:rsidR="00F2007D" w:rsidRPr="007B701A" w:rsidRDefault="00F2007D" w:rsidP="00F2007D">
      <w:pPr>
        <w:pStyle w:val="Sraopastraipa"/>
        <w:numPr>
          <w:ilvl w:val="0"/>
          <w:numId w:val="10"/>
        </w:numPr>
        <w:rPr>
          <w:sz w:val="22"/>
          <w:szCs w:val="22"/>
        </w:rPr>
      </w:pPr>
      <w:r w:rsidRPr="007B701A">
        <w:rPr>
          <w:sz w:val="22"/>
          <w:szCs w:val="22"/>
        </w:rPr>
        <w:t>Tabletes geriau vartoti po valgio</w:t>
      </w:r>
      <w:r>
        <w:rPr>
          <w:sz w:val="22"/>
          <w:szCs w:val="22"/>
        </w:rPr>
        <w:t>.</w:t>
      </w:r>
      <w:r w:rsidRPr="007B701A">
        <w:rPr>
          <w:sz w:val="22"/>
          <w:szCs w:val="22"/>
        </w:rPr>
        <w:t xml:space="preserve"> </w:t>
      </w:r>
    </w:p>
    <w:p w14:paraId="3CF16D2B" w14:textId="77777777" w:rsidR="00F2007D" w:rsidRDefault="00F2007D" w:rsidP="00F2007D">
      <w:pPr>
        <w:pStyle w:val="Sraopastraipa"/>
        <w:numPr>
          <w:ilvl w:val="0"/>
          <w:numId w:val="10"/>
        </w:numPr>
        <w:rPr>
          <w:sz w:val="22"/>
          <w:szCs w:val="22"/>
        </w:rPr>
      </w:pPr>
      <w:r w:rsidRPr="007B701A">
        <w:rPr>
          <w:sz w:val="22"/>
          <w:szCs w:val="22"/>
        </w:rPr>
        <w:t xml:space="preserve">Labai svarbu, kad Acic vartojimo laikotarpiu </w:t>
      </w:r>
      <w:r w:rsidRPr="00063DB0">
        <w:rPr>
          <w:sz w:val="22"/>
          <w:szCs w:val="22"/>
        </w:rPr>
        <w:t>gertumėte pakankamai skysčių</w:t>
      </w:r>
      <w:r w:rsidRPr="00EB70FA">
        <w:rPr>
          <w:sz w:val="22"/>
          <w:szCs w:val="22"/>
        </w:rPr>
        <w:t>.</w:t>
      </w:r>
    </w:p>
    <w:p w14:paraId="14F5DA7F" w14:textId="77777777" w:rsidR="00F2007D" w:rsidRPr="00BC447E" w:rsidRDefault="00F2007D" w:rsidP="009947E9">
      <w:pPr>
        <w:rPr>
          <w:sz w:val="22"/>
          <w:szCs w:val="22"/>
        </w:rPr>
      </w:pPr>
    </w:p>
    <w:p w14:paraId="36CC05BE" w14:textId="77777777" w:rsidR="00F2007D" w:rsidRPr="007B701A" w:rsidRDefault="00F2007D" w:rsidP="00F2007D">
      <w:pPr>
        <w:pStyle w:val="Pagrindinistekstas2"/>
        <w:spacing w:line="240" w:lineRule="auto"/>
        <w:rPr>
          <w:b/>
          <w:sz w:val="22"/>
          <w:szCs w:val="22"/>
        </w:rPr>
      </w:pPr>
      <w:r w:rsidRPr="007B701A">
        <w:rPr>
          <w:b/>
          <w:sz w:val="22"/>
          <w:szCs w:val="22"/>
        </w:rPr>
        <w:t>Ką daryti pavartojus per didelę Acic dozę?</w:t>
      </w:r>
    </w:p>
    <w:p w14:paraId="4C050810" w14:textId="77777777" w:rsidR="00F2007D" w:rsidRPr="007B701A" w:rsidRDefault="00F2007D" w:rsidP="00F2007D">
      <w:pPr>
        <w:rPr>
          <w:sz w:val="22"/>
          <w:szCs w:val="22"/>
        </w:rPr>
      </w:pPr>
      <w:r w:rsidRPr="007B701A">
        <w:rPr>
          <w:sz w:val="22"/>
          <w:szCs w:val="22"/>
        </w:rPr>
        <w:t>Jeigu išgėrėte per daug Acic tablečių ir pasijutote blogai, nedelsiant kreipkitės į gydytoją arba vykite į artimiausios ligoninės skubios pagalbos skyrių. Jei įmanoma, pasiimkite tabletes arba pakuotę, kad galėtumėte gydytojui parodyti, kokio vaisto išgėrėte.</w:t>
      </w:r>
    </w:p>
    <w:p w14:paraId="781336EF" w14:textId="77777777" w:rsidR="00F2007D" w:rsidRPr="007B701A" w:rsidRDefault="00F2007D" w:rsidP="00F2007D">
      <w:pPr>
        <w:jc w:val="both"/>
        <w:rPr>
          <w:b/>
          <w:i/>
          <w:iCs/>
          <w:sz w:val="22"/>
          <w:szCs w:val="22"/>
        </w:rPr>
      </w:pPr>
    </w:p>
    <w:p w14:paraId="142F68F6" w14:textId="77777777" w:rsidR="00F2007D" w:rsidRPr="007B701A" w:rsidRDefault="00F2007D" w:rsidP="00F2007D">
      <w:pPr>
        <w:ind w:left="1"/>
        <w:rPr>
          <w:b/>
          <w:sz w:val="22"/>
          <w:szCs w:val="22"/>
        </w:rPr>
      </w:pPr>
      <w:r w:rsidRPr="007B701A">
        <w:rPr>
          <w:b/>
          <w:sz w:val="22"/>
          <w:szCs w:val="22"/>
        </w:rPr>
        <w:t>Pamiršus pavartoti Acic</w:t>
      </w:r>
    </w:p>
    <w:p w14:paraId="79DA5BD6" w14:textId="77777777" w:rsidR="00F2007D" w:rsidRPr="007B701A" w:rsidRDefault="00F2007D" w:rsidP="00F2007D">
      <w:pPr>
        <w:rPr>
          <w:noProof/>
          <w:sz w:val="22"/>
          <w:szCs w:val="22"/>
        </w:rPr>
      </w:pPr>
      <w:r w:rsidRPr="007B701A">
        <w:rPr>
          <w:noProof/>
          <w:sz w:val="22"/>
          <w:szCs w:val="22"/>
        </w:rPr>
        <w:t xml:space="preserve">Nesijaudinkite, išgerkite praleistą dozę, kai tik prisiminėte. Jeigu jau beveik laikas gerti kitą dozę, palaukite ir </w:t>
      </w:r>
      <w:r w:rsidRPr="007B701A">
        <w:rPr>
          <w:sz w:val="22"/>
          <w:szCs w:val="22"/>
        </w:rPr>
        <w:t xml:space="preserve">toliau vaistą vartokite kaip įprastai. </w:t>
      </w:r>
      <w:r w:rsidRPr="007B701A">
        <w:rPr>
          <w:noProof/>
          <w:sz w:val="22"/>
          <w:szCs w:val="22"/>
        </w:rPr>
        <w:t>Negalima vartoti dvigubos dozės norint kompensuoti praleistą tabelę.</w:t>
      </w:r>
    </w:p>
    <w:p w14:paraId="490222F8" w14:textId="77777777" w:rsidR="00F2007D" w:rsidRPr="007B701A" w:rsidRDefault="00F2007D" w:rsidP="00F2007D">
      <w:pPr>
        <w:ind w:left="1"/>
        <w:rPr>
          <w:sz w:val="22"/>
          <w:szCs w:val="22"/>
        </w:rPr>
      </w:pPr>
      <w:r w:rsidRPr="007B701A">
        <w:rPr>
          <w:sz w:val="22"/>
          <w:szCs w:val="22"/>
        </w:rPr>
        <w:t>Jeigu pamiršote išgerti kelias dozes, kreipkitės į gydytoją.</w:t>
      </w:r>
    </w:p>
    <w:p w14:paraId="7204523E" w14:textId="77777777" w:rsidR="00F2007D" w:rsidRPr="007B701A" w:rsidRDefault="00F2007D" w:rsidP="00F2007D">
      <w:pPr>
        <w:rPr>
          <w:b/>
          <w:sz w:val="22"/>
          <w:szCs w:val="22"/>
        </w:rPr>
      </w:pPr>
    </w:p>
    <w:p w14:paraId="2AD3FFAC" w14:textId="77777777" w:rsidR="00F2007D" w:rsidRPr="007B701A" w:rsidRDefault="00F2007D" w:rsidP="00F2007D">
      <w:pPr>
        <w:rPr>
          <w:b/>
          <w:sz w:val="22"/>
          <w:szCs w:val="22"/>
        </w:rPr>
      </w:pPr>
      <w:r w:rsidRPr="007B701A">
        <w:rPr>
          <w:b/>
          <w:sz w:val="22"/>
          <w:szCs w:val="22"/>
        </w:rPr>
        <w:t xml:space="preserve">Nustojus vartoti Acic </w:t>
      </w:r>
    </w:p>
    <w:p w14:paraId="220439BC" w14:textId="77777777" w:rsidR="00F2007D" w:rsidRPr="007B701A" w:rsidRDefault="00F2007D" w:rsidP="00F2007D">
      <w:pPr>
        <w:rPr>
          <w:sz w:val="22"/>
          <w:szCs w:val="22"/>
        </w:rPr>
      </w:pPr>
      <w:r w:rsidRPr="007B701A">
        <w:rPr>
          <w:sz w:val="22"/>
          <w:szCs w:val="22"/>
        </w:rPr>
        <w:t xml:space="preserve">Nenutraukite vaisto vartojimo nebaigę viso gydymo kurso, net jeigu jaučiatės gerai. </w:t>
      </w:r>
    </w:p>
    <w:p w14:paraId="1727A961" w14:textId="77777777" w:rsidR="00F2007D" w:rsidRPr="007B701A" w:rsidRDefault="00F2007D" w:rsidP="00F2007D">
      <w:pPr>
        <w:jc w:val="both"/>
        <w:rPr>
          <w:sz w:val="22"/>
          <w:szCs w:val="22"/>
        </w:rPr>
      </w:pPr>
    </w:p>
    <w:p w14:paraId="6799BE09" w14:textId="77777777" w:rsidR="00F2007D" w:rsidRPr="00063DB0" w:rsidRDefault="00F2007D" w:rsidP="00F2007D">
      <w:pPr>
        <w:widowControl w:val="0"/>
        <w:tabs>
          <w:tab w:val="left" w:pos="567"/>
        </w:tabs>
        <w:spacing w:line="312" w:lineRule="auto"/>
        <w:rPr>
          <w:rFonts w:eastAsia="Times New Roman"/>
          <w:sz w:val="22"/>
          <w:szCs w:val="22"/>
          <w:lang w:eastAsia="ar-SA"/>
        </w:rPr>
      </w:pPr>
      <w:r w:rsidRPr="00063DB0">
        <w:rPr>
          <w:rFonts w:eastAsia="Times New Roman"/>
          <w:sz w:val="22"/>
          <w:szCs w:val="22"/>
          <w:lang w:eastAsia="ar-SA"/>
        </w:rPr>
        <w:t>Jeigu kiltų daugiau klausimų dėl šio vaisto vartojimo, kreipkitės į gydytoją arba vaistininką.</w:t>
      </w:r>
    </w:p>
    <w:p w14:paraId="101C4A45" w14:textId="77777777" w:rsidR="00F2007D" w:rsidRPr="007B701A" w:rsidRDefault="00F2007D" w:rsidP="00F2007D">
      <w:pPr>
        <w:rPr>
          <w:sz w:val="22"/>
          <w:szCs w:val="22"/>
        </w:rPr>
      </w:pPr>
    </w:p>
    <w:p w14:paraId="2859FB3B" w14:textId="77777777" w:rsidR="00F2007D" w:rsidRPr="007B701A" w:rsidRDefault="00F2007D" w:rsidP="00F2007D">
      <w:pPr>
        <w:rPr>
          <w:b/>
          <w:sz w:val="22"/>
          <w:szCs w:val="22"/>
        </w:rPr>
      </w:pPr>
    </w:p>
    <w:p w14:paraId="1F07C8D3" w14:textId="77777777" w:rsidR="00F2007D" w:rsidRPr="007B701A" w:rsidRDefault="00F2007D" w:rsidP="00F2007D">
      <w:pPr>
        <w:tabs>
          <w:tab w:val="left" w:pos="567"/>
        </w:tabs>
        <w:rPr>
          <w:b/>
          <w:sz w:val="22"/>
          <w:szCs w:val="22"/>
        </w:rPr>
      </w:pPr>
      <w:r w:rsidRPr="007B701A">
        <w:rPr>
          <w:b/>
          <w:sz w:val="22"/>
          <w:szCs w:val="22"/>
        </w:rPr>
        <w:t xml:space="preserve">4. </w:t>
      </w:r>
      <w:r>
        <w:rPr>
          <w:b/>
          <w:sz w:val="22"/>
          <w:szCs w:val="22"/>
        </w:rPr>
        <w:tab/>
      </w:r>
      <w:r w:rsidRPr="007B701A">
        <w:rPr>
          <w:b/>
          <w:sz w:val="22"/>
          <w:szCs w:val="22"/>
        </w:rPr>
        <w:t>Galimas šalutinis poveikis</w:t>
      </w:r>
    </w:p>
    <w:p w14:paraId="08AFF796" w14:textId="77777777" w:rsidR="00F2007D" w:rsidRPr="007B701A" w:rsidRDefault="00F2007D" w:rsidP="00F2007D">
      <w:pPr>
        <w:rPr>
          <w:sz w:val="22"/>
          <w:szCs w:val="22"/>
        </w:rPr>
      </w:pPr>
    </w:p>
    <w:p w14:paraId="61B9DA0E" w14:textId="77777777" w:rsidR="00F2007D" w:rsidRPr="007B701A" w:rsidRDefault="00F2007D" w:rsidP="00F2007D">
      <w:pPr>
        <w:overflowPunct/>
        <w:autoSpaceDE/>
        <w:autoSpaceDN/>
        <w:adjustRightInd/>
        <w:textAlignment w:val="auto"/>
        <w:rPr>
          <w:noProof/>
          <w:sz w:val="22"/>
          <w:szCs w:val="22"/>
        </w:rPr>
      </w:pPr>
      <w:r w:rsidRPr="007B701A">
        <w:rPr>
          <w:noProof/>
          <w:sz w:val="22"/>
          <w:szCs w:val="22"/>
        </w:rPr>
        <w:t>Šis vaistas, kaip ir visi kiti, gali sukelti šalutinį poveikį, nors jis pasireiškia ne visiems žmonėms.</w:t>
      </w:r>
    </w:p>
    <w:p w14:paraId="31EF3D81" w14:textId="77777777" w:rsidR="00F2007D" w:rsidRPr="007B701A" w:rsidRDefault="00F2007D" w:rsidP="00F2007D">
      <w:pPr>
        <w:rPr>
          <w:b/>
          <w:sz w:val="22"/>
          <w:szCs w:val="22"/>
        </w:rPr>
      </w:pPr>
    </w:p>
    <w:p w14:paraId="42173F5A" w14:textId="77777777" w:rsidR="00F2007D" w:rsidRPr="007B701A" w:rsidRDefault="00F2007D" w:rsidP="00F2007D">
      <w:pPr>
        <w:rPr>
          <w:sz w:val="22"/>
          <w:szCs w:val="22"/>
        </w:rPr>
      </w:pPr>
      <w:r w:rsidRPr="007B701A">
        <w:rPr>
          <w:sz w:val="22"/>
          <w:szCs w:val="22"/>
        </w:rPr>
        <w:t xml:space="preserve">Retais atvejais šis vaistas gali sukelti sunkią alerginę reakciją. Jeigu vartojant vaisto Jums pasireiškė bet kuris iš išvardytų simptomų, </w:t>
      </w:r>
      <w:r w:rsidRPr="007B701A">
        <w:rPr>
          <w:b/>
          <w:sz w:val="22"/>
          <w:szCs w:val="22"/>
        </w:rPr>
        <w:t>nedelsiant kreipkitės į gydytoją arba artimiausios ligoninės skubios pagalbos skyrių</w:t>
      </w:r>
      <w:r w:rsidRPr="007B701A">
        <w:rPr>
          <w:sz w:val="22"/>
          <w:szCs w:val="22"/>
        </w:rPr>
        <w:t>:</w:t>
      </w:r>
    </w:p>
    <w:p w14:paraId="10E63019" w14:textId="77777777" w:rsidR="00F2007D" w:rsidRPr="007B701A" w:rsidRDefault="00F2007D" w:rsidP="00F2007D">
      <w:pPr>
        <w:pStyle w:val="Sraopastraipa"/>
        <w:numPr>
          <w:ilvl w:val="0"/>
          <w:numId w:val="15"/>
        </w:numPr>
        <w:rPr>
          <w:sz w:val="22"/>
          <w:szCs w:val="22"/>
        </w:rPr>
      </w:pPr>
      <w:r w:rsidRPr="007B701A">
        <w:rPr>
          <w:sz w:val="22"/>
          <w:szCs w:val="22"/>
        </w:rPr>
        <w:t>staiga tapo sunku kvėpuoti, kalbėti ir ryti; tinsta lūpos, veidas ir kaklas; labai svaigsta; atsirado niežintis iškilus odos išbėrimas.</w:t>
      </w:r>
    </w:p>
    <w:p w14:paraId="69CFDEBC" w14:textId="77777777" w:rsidR="00F2007D" w:rsidRPr="007B701A" w:rsidRDefault="00F2007D" w:rsidP="00F2007D">
      <w:pPr>
        <w:rPr>
          <w:sz w:val="22"/>
          <w:szCs w:val="22"/>
        </w:rPr>
      </w:pPr>
    </w:p>
    <w:p w14:paraId="66A0C037" w14:textId="77777777" w:rsidR="00F2007D" w:rsidRPr="007B701A" w:rsidRDefault="00F2007D" w:rsidP="00F2007D">
      <w:pPr>
        <w:widowControl w:val="0"/>
        <w:tabs>
          <w:tab w:val="left" w:pos="0"/>
        </w:tabs>
        <w:rPr>
          <w:sz w:val="22"/>
          <w:szCs w:val="22"/>
        </w:rPr>
      </w:pPr>
      <w:r w:rsidRPr="007B701A">
        <w:rPr>
          <w:sz w:val="22"/>
          <w:szCs w:val="22"/>
        </w:rPr>
        <w:t xml:space="preserve">Labai retai šis vaistas gali sukelti kraujo sutrikimus (raudonųjų kraujo kūnelių skaičiaus sumažėjimą; baltųjų kraujo kūnelių, kurie saugo nuo infekcijų, sumažėjimą; kraujo plokštelių, kurios padeda sukrešėti kraujui, sumažėjimą). Jeigu pastebėjote bet kurį iš išvardytų požymių, </w:t>
      </w:r>
      <w:r w:rsidRPr="007B701A">
        <w:rPr>
          <w:b/>
          <w:sz w:val="22"/>
          <w:szCs w:val="22"/>
        </w:rPr>
        <w:t>kuo greičiau kreipkitės į gydytoją</w:t>
      </w:r>
      <w:r w:rsidRPr="007B701A">
        <w:rPr>
          <w:sz w:val="22"/>
          <w:szCs w:val="22"/>
        </w:rPr>
        <w:t>:</w:t>
      </w:r>
    </w:p>
    <w:p w14:paraId="3FFAE9BA"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bendrą silpnumą, blyškumą</w:t>
      </w:r>
      <w:r>
        <w:rPr>
          <w:sz w:val="22"/>
          <w:szCs w:val="22"/>
        </w:rPr>
        <w:t>;</w:t>
      </w:r>
    </w:p>
    <w:p w14:paraId="17E5660E"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dažnai besikartojančias ir (arba) sunkias infekcijas (ypač jei yra gerklės skausmas)</w:t>
      </w:r>
      <w:r>
        <w:rPr>
          <w:sz w:val="22"/>
          <w:szCs w:val="22"/>
        </w:rPr>
        <w:t>;</w:t>
      </w:r>
    </w:p>
    <w:p w14:paraId="5688E6A0"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karščiavimą be aiškios priežasties</w:t>
      </w:r>
      <w:r>
        <w:rPr>
          <w:sz w:val="22"/>
          <w:szCs w:val="22"/>
        </w:rPr>
        <w:t>;</w:t>
      </w:r>
    </w:p>
    <w:p w14:paraId="5D046329"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burnos ir (arba) gerklės opas</w:t>
      </w:r>
      <w:r>
        <w:rPr>
          <w:sz w:val="22"/>
          <w:szCs w:val="22"/>
        </w:rPr>
        <w:t>;</w:t>
      </w:r>
    </w:p>
    <w:p w14:paraId="0C5D1056"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neįprastas ar be aiškios priežasties atsirandančias mėlynes ar kraujavimą</w:t>
      </w:r>
      <w:r>
        <w:rPr>
          <w:sz w:val="22"/>
          <w:szCs w:val="22"/>
        </w:rPr>
        <w:t>;</w:t>
      </w:r>
    </w:p>
    <w:p w14:paraId="6948710E" w14:textId="77777777" w:rsidR="00F2007D" w:rsidRPr="007B701A" w:rsidRDefault="00F2007D" w:rsidP="00F2007D">
      <w:pPr>
        <w:widowControl w:val="0"/>
        <w:numPr>
          <w:ilvl w:val="0"/>
          <w:numId w:val="16"/>
        </w:numPr>
        <w:tabs>
          <w:tab w:val="left" w:pos="0"/>
        </w:tabs>
        <w:overflowPunct/>
        <w:autoSpaceDE/>
        <w:autoSpaceDN/>
        <w:adjustRightInd/>
        <w:textAlignment w:val="auto"/>
        <w:rPr>
          <w:sz w:val="22"/>
          <w:szCs w:val="22"/>
        </w:rPr>
      </w:pPr>
      <w:r w:rsidRPr="007B701A">
        <w:rPr>
          <w:sz w:val="22"/>
          <w:szCs w:val="22"/>
        </w:rPr>
        <w:t xml:space="preserve">mažus raudonus taškelius odoje ir (arba) burnoje. </w:t>
      </w:r>
    </w:p>
    <w:p w14:paraId="1B2620AC" w14:textId="77777777" w:rsidR="00F2007D" w:rsidRPr="007B701A" w:rsidRDefault="00F2007D" w:rsidP="00F2007D">
      <w:pPr>
        <w:rPr>
          <w:sz w:val="22"/>
          <w:szCs w:val="22"/>
        </w:rPr>
      </w:pPr>
    </w:p>
    <w:p w14:paraId="20C02042" w14:textId="77777777" w:rsidR="00F2007D" w:rsidRPr="007B701A" w:rsidRDefault="00F2007D" w:rsidP="00F2007D">
      <w:pPr>
        <w:rPr>
          <w:noProof/>
          <w:sz w:val="22"/>
          <w:szCs w:val="22"/>
        </w:rPr>
      </w:pPr>
      <w:r w:rsidRPr="007B701A">
        <w:rPr>
          <w:noProof/>
          <w:sz w:val="22"/>
          <w:szCs w:val="22"/>
        </w:rPr>
        <w:t>Jeigu pasireiškė bet kuri</w:t>
      </w:r>
      <w:r>
        <w:rPr>
          <w:noProof/>
          <w:sz w:val="22"/>
          <w:szCs w:val="22"/>
        </w:rPr>
        <w:t>s</w:t>
      </w:r>
      <w:r w:rsidRPr="007B701A">
        <w:rPr>
          <w:noProof/>
          <w:sz w:val="22"/>
          <w:szCs w:val="22"/>
        </w:rPr>
        <w:t xml:space="preserve"> kitas šalutinis poveikis, pasakykite apie tai gydytojui:</w:t>
      </w:r>
    </w:p>
    <w:p w14:paraId="05A2392E" w14:textId="77777777" w:rsidR="00F2007D" w:rsidRPr="007B701A" w:rsidRDefault="00F2007D" w:rsidP="00F2007D">
      <w:pPr>
        <w:rPr>
          <w:sz w:val="22"/>
          <w:szCs w:val="22"/>
        </w:rPr>
      </w:pPr>
    </w:p>
    <w:p w14:paraId="3B784BD7" w14:textId="77777777" w:rsidR="00F2007D" w:rsidRPr="00063DB0" w:rsidRDefault="00F2007D" w:rsidP="00F2007D">
      <w:pPr>
        <w:pStyle w:val="Pagrindinistekstas"/>
        <w:spacing w:after="0"/>
        <w:rPr>
          <w:i/>
          <w:sz w:val="22"/>
          <w:szCs w:val="22"/>
        </w:rPr>
      </w:pPr>
      <w:r w:rsidRPr="00063DB0">
        <w:rPr>
          <w:i/>
          <w:sz w:val="22"/>
          <w:szCs w:val="22"/>
        </w:rPr>
        <w:t xml:space="preserve">Dažni šalutiniai poveikiai (gali pasireikšti mažiau kaip 1 iš 10 žmonių) </w:t>
      </w:r>
    </w:p>
    <w:p w14:paraId="11023E71" w14:textId="7772D530" w:rsidR="00F2007D" w:rsidRPr="007B701A" w:rsidRDefault="00F2007D" w:rsidP="00F2007D">
      <w:pPr>
        <w:pStyle w:val="Pagrindinistekstas"/>
        <w:numPr>
          <w:ilvl w:val="0"/>
          <w:numId w:val="11"/>
        </w:numPr>
        <w:spacing w:after="0"/>
        <w:rPr>
          <w:sz w:val="22"/>
          <w:szCs w:val="22"/>
        </w:rPr>
      </w:pPr>
      <w:r w:rsidRPr="007B701A">
        <w:rPr>
          <w:sz w:val="22"/>
          <w:szCs w:val="22"/>
        </w:rPr>
        <w:t>niežėjimas, bėrimas (įskaitant pasireiškiantį dėl šviesos poveikio)</w:t>
      </w:r>
      <w:r w:rsidR="00AD0594">
        <w:rPr>
          <w:sz w:val="22"/>
          <w:szCs w:val="22"/>
        </w:rPr>
        <w:t>;</w:t>
      </w:r>
    </w:p>
    <w:p w14:paraId="1E222588" w14:textId="77777777" w:rsidR="00F2007D" w:rsidRPr="007B701A" w:rsidRDefault="00F2007D" w:rsidP="00F2007D">
      <w:pPr>
        <w:pStyle w:val="Sraopastraipa"/>
        <w:numPr>
          <w:ilvl w:val="0"/>
          <w:numId w:val="11"/>
        </w:numPr>
        <w:rPr>
          <w:sz w:val="22"/>
          <w:szCs w:val="22"/>
        </w:rPr>
      </w:pPr>
      <w:r w:rsidRPr="007B701A">
        <w:rPr>
          <w:sz w:val="22"/>
          <w:szCs w:val="22"/>
        </w:rPr>
        <w:lastRenderedPageBreak/>
        <w:t>pykinimas, vėmimas, viduriavimas, pilvo skausmas</w:t>
      </w:r>
      <w:r>
        <w:rPr>
          <w:sz w:val="22"/>
          <w:szCs w:val="22"/>
        </w:rPr>
        <w:t>;</w:t>
      </w:r>
    </w:p>
    <w:p w14:paraId="1F0699E4" w14:textId="77777777" w:rsidR="00F2007D" w:rsidRPr="007B701A" w:rsidRDefault="00F2007D" w:rsidP="00F2007D">
      <w:pPr>
        <w:pStyle w:val="Sraopastraipa"/>
        <w:numPr>
          <w:ilvl w:val="0"/>
          <w:numId w:val="11"/>
        </w:numPr>
        <w:rPr>
          <w:sz w:val="22"/>
          <w:szCs w:val="22"/>
        </w:rPr>
      </w:pPr>
      <w:r w:rsidRPr="007B701A">
        <w:rPr>
          <w:sz w:val="22"/>
          <w:szCs w:val="22"/>
        </w:rPr>
        <w:t>galvos svaigimas, galvos skausmas</w:t>
      </w:r>
      <w:r>
        <w:rPr>
          <w:sz w:val="22"/>
          <w:szCs w:val="22"/>
        </w:rPr>
        <w:t>;</w:t>
      </w:r>
    </w:p>
    <w:p w14:paraId="5B4A7E3E" w14:textId="77777777" w:rsidR="00F2007D" w:rsidRPr="007B701A" w:rsidRDefault="00F2007D" w:rsidP="00F2007D">
      <w:pPr>
        <w:pStyle w:val="Sraopastraipa"/>
        <w:numPr>
          <w:ilvl w:val="0"/>
          <w:numId w:val="11"/>
        </w:numPr>
        <w:rPr>
          <w:sz w:val="22"/>
          <w:szCs w:val="22"/>
        </w:rPr>
      </w:pPr>
      <w:r w:rsidRPr="007B701A">
        <w:rPr>
          <w:sz w:val="22"/>
          <w:szCs w:val="22"/>
        </w:rPr>
        <w:t>nuovargis, karščiavimas.</w:t>
      </w:r>
    </w:p>
    <w:p w14:paraId="53D9F620" w14:textId="77777777" w:rsidR="00F2007D" w:rsidRPr="007B701A" w:rsidRDefault="00F2007D" w:rsidP="00F2007D">
      <w:pPr>
        <w:rPr>
          <w:sz w:val="22"/>
          <w:szCs w:val="22"/>
        </w:rPr>
      </w:pPr>
    </w:p>
    <w:p w14:paraId="6BC40F27" w14:textId="77777777" w:rsidR="00F2007D" w:rsidRPr="00063DB0" w:rsidRDefault="00F2007D" w:rsidP="00F2007D">
      <w:pPr>
        <w:pStyle w:val="Antrat2"/>
        <w:spacing w:line="240" w:lineRule="auto"/>
        <w:jc w:val="left"/>
        <w:rPr>
          <w:sz w:val="22"/>
          <w:szCs w:val="22"/>
        </w:rPr>
      </w:pPr>
      <w:r w:rsidRPr="00063DB0">
        <w:rPr>
          <w:sz w:val="22"/>
          <w:szCs w:val="22"/>
        </w:rPr>
        <w:t>Nedažni šalutiniai poveikiai</w:t>
      </w:r>
      <w:r w:rsidRPr="00EB70FA">
        <w:rPr>
          <w:sz w:val="22"/>
          <w:szCs w:val="22"/>
        </w:rPr>
        <w:t xml:space="preserve"> </w:t>
      </w:r>
      <w:r w:rsidRPr="00063DB0">
        <w:rPr>
          <w:sz w:val="22"/>
          <w:szCs w:val="22"/>
        </w:rPr>
        <w:t xml:space="preserve">(gali pasireikšti mažiau kaip 1 iš 100 žmonių) </w:t>
      </w:r>
    </w:p>
    <w:p w14:paraId="5B8629BA" w14:textId="77777777" w:rsidR="00F2007D" w:rsidRPr="007B701A" w:rsidRDefault="00F2007D" w:rsidP="00F2007D">
      <w:pPr>
        <w:pStyle w:val="Antrat2"/>
        <w:numPr>
          <w:ilvl w:val="0"/>
          <w:numId w:val="12"/>
        </w:numPr>
        <w:spacing w:line="240" w:lineRule="auto"/>
        <w:jc w:val="left"/>
        <w:rPr>
          <w:i w:val="0"/>
          <w:sz w:val="22"/>
          <w:szCs w:val="22"/>
        </w:rPr>
      </w:pPr>
      <w:r w:rsidRPr="007B701A">
        <w:rPr>
          <w:i w:val="0"/>
          <w:sz w:val="22"/>
          <w:szCs w:val="22"/>
        </w:rPr>
        <w:t>dilgėlinė</w:t>
      </w:r>
      <w:r>
        <w:rPr>
          <w:i w:val="0"/>
          <w:sz w:val="22"/>
          <w:szCs w:val="22"/>
        </w:rPr>
        <w:t>;</w:t>
      </w:r>
    </w:p>
    <w:p w14:paraId="44FBA767" w14:textId="77777777" w:rsidR="00F2007D" w:rsidRPr="007B701A" w:rsidRDefault="00F2007D" w:rsidP="00F2007D">
      <w:pPr>
        <w:pStyle w:val="Antrat2"/>
        <w:numPr>
          <w:ilvl w:val="0"/>
          <w:numId w:val="12"/>
        </w:numPr>
        <w:spacing w:line="240" w:lineRule="auto"/>
        <w:jc w:val="left"/>
        <w:rPr>
          <w:i w:val="0"/>
          <w:sz w:val="22"/>
          <w:szCs w:val="22"/>
        </w:rPr>
      </w:pPr>
      <w:r w:rsidRPr="007B701A">
        <w:rPr>
          <w:i w:val="0"/>
          <w:sz w:val="22"/>
          <w:szCs w:val="22"/>
        </w:rPr>
        <w:t>plaukų slinkimas</w:t>
      </w:r>
      <w:r>
        <w:rPr>
          <w:i w:val="0"/>
          <w:sz w:val="22"/>
          <w:szCs w:val="22"/>
        </w:rPr>
        <w:t>.</w:t>
      </w:r>
      <w:r w:rsidRPr="007B701A">
        <w:rPr>
          <w:i w:val="0"/>
          <w:sz w:val="22"/>
          <w:szCs w:val="22"/>
        </w:rPr>
        <w:t xml:space="preserve"> </w:t>
      </w:r>
    </w:p>
    <w:p w14:paraId="0551E44D" w14:textId="77777777" w:rsidR="00F2007D" w:rsidRPr="007B701A" w:rsidRDefault="00F2007D" w:rsidP="00F2007D">
      <w:pPr>
        <w:rPr>
          <w:sz w:val="22"/>
          <w:szCs w:val="22"/>
        </w:rPr>
      </w:pPr>
    </w:p>
    <w:p w14:paraId="31B01532" w14:textId="77777777" w:rsidR="00F2007D" w:rsidRPr="00063DB0" w:rsidRDefault="00F2007D" w:rsidP="00F2007D">
      <w:pPr>
        <w:rPr>
          <w:i/>
          <w:sz w:val="22"/>
          <w:szCs w:val="22"/>
        </w:rPr>
      </w:pPr>
      <w:r w:rsidRPr="00063DB0">
        <w:rPr>
          <w:i/>
          <w:sz w:val="22"/>
          <w:szCs w:val="22"/>
        </w:rPr>
        <w:t xml:space="preserve">Reti šalutiniai poveikiai (gali pasireikšti mažiau kaip 1 iš 1000 žmonių) </w:t>
      </w:r>
    </w:p>
    <w:p w14:paraId="4B29F3FC" w14:textId="77777777" w:rsidR="00F2007D" w:rsidRPr="007B701A" w:rsidRDefault="00F2007D" w:rsidP="00F2007D">
      <w:pPr>
        <w:pStyle w:val="Sraopastraipa"/>
        <w:numPr>
          <w:ilvl w:val="0"/>
          <w:numId w:val="13"/>
        </w:numPr>
        <w:rPr>
          <w:sz w:val="22"/>
          <w:szCs w:val="22"/>
        </w:rPr>
      </w:pPr>
      <w:r w:rsidRPr="007B701A">
        <w:rPr>
          <w:iCs/>
          <w:sz w:val="22"/>
          <w:szCs w:val="22"/>
        </w:rPr>
        <w:t>veido, lūpų, gerklės tinimas dėl alerginės reakcijos (angioedema)</w:t>
      </w:r>
    </w:p>
    <w:p w14:paraId="2381D5B4" w14:textId="77777777" w:rsidR="00F2007D" w:rsidRPr="007B701A" w:rsidRDefault="00F2007D" w:rsidP="00F2007D">
      <w:pPr>
        <w:pStyle w:val="Pagrindinistekstas"/>
        <w:numPr>
          <w:ilvl w:val="0"/>
          <w:numId w:val="13"/>
        </w:numPr>
        <w:spacing w:after="0"/>
        <w:rPr>
          <w:sz w:val="22"/>
          <w:szCs w:val="22"/>
        </w:rPr>
      </w:pPr>
      <w:r w:rsidRPr="007B701A">
        <w:rPr>
          <w:sz w:val="22"/>
          <w:szCs w:val="22"/>
        </w:rPr>
        <w:t>grįžtamasis pigmento bilirubino kiekio padidėjimas</w:t>
      </w:r>
      <w:r>
        <w:rPr>
          <w:sz w:val="22"/>
          <w:szCs w:val="22"/>
        </w:rPr>
        <w:t>;</w:t>
      </w:r>
    </w:p>
    <w:p w14:paraId="46F014FC" w14:textId="77777777" w:rsidR="00F2007D" w:rsidRPr="007B701A" w:rsidRDefault="00F2007D" w:rsidP="00F2007D">
      <w:pPr>
        <w:pStyle w:val="Pagrindinistekstas"/>
        <w:numPr>
          <w:ilvl w:val="0"/>
          <w:numId w:val="13"/>
        </w:numPr>
        <w:spacing w:after="0"/>
        <w:rPr>
          <w:sz w:val="22"/>
          <w:szCs w:val="22"/>
        </w:rPr>
      </w:pPr>
      <w:r w:rsidRPr="007B701A">
        <w:rPr>
          <w:sz w:val="22"/>
          <w:szCs w:val="22"/>
        </w:rPr>
        <w:t>kepenų fermentų aktyvumo padidėjimas</w:t>
      </w:r>
      <w:r>
        <w:rPr>
          <w:sz w:val="22"/>
          <w:szCs w:val="22"/>
        </w:rPr>
        <w:t>;</w:t>
      </w:r>
    </w:p>
    <w:p w14:paraId="0361E30A" w14:textId="77777777" w:rsidR="00F2007D" w:rsidRPr="007B701A" w:rsidRDefault="00F2007D" w:rsidP="00F2007D">
      <w:pPr>
        <w:pStyle w:val="Pagrindinistekstas"/>
        <w:numPr>
          <w:ilvl w:val="0"/>
          <w:numId w:val="13"/>
        </w:numPr>
        <w:spacing w:after="0"/>
        <w:rPr>
          <w:sz w:val="22"/>
          <w:szCs w:val="22"/>
        </w:rPr>
      </w:pPr>
      <w:r w:rsidRPr="007B701A">
        <w:rPr>
          <w:sz w:val="22"/>
          <w:szCs w:val="22"/>
        </w:rPr>
        <w:t>padidėjęs šlapalo ir kreatinino kiekis kraujyje</w:t>
      </w:r>
      <w:r>
        <w:rPr>
          <w:sz w:val="22"/>
          <w:szCs w:val="22"/>
        </w:rPr>
        <w:t>;</w:t>
      </w:r>
    </w:p>
    <w:p w14:paraId="5D4FA1CA" w14:textId="77777777" w:rsidR="00F2007D" w:rsidRPr="007B701A" w:rsidRDefault="00F2007D" w:rsidP="00F2007D">
      <w:pPr>
        <w:pStyle w:val="Pagrindinistekstas"/>
        <w:numPr>
          <w:ilvl w:val="0"/>
          <w:numId w:val="13"/>
        </w:numPr>
        <w:spacing w:after="0"/>
        <w:rPr>
          <w:sz w:val="22"/>
          <w:szCs w:val="22"/>
        </w:rPr>
      </w:pPr>
      <w:r w:rsidRPr="007B701A">
        <w:rPr>
          <w:sz w:val="22"/>
          <w:szCs w:val="22"/>
        </w:rPr>
        <w:t>dusulys</w:t>
      </w:r>
      <w:r>
        <w:rPr>
          <w:sz w:val="22"/>
          <w:szCs w:val="22"/>
        </w:rPr>
        <w:t>.</w:t>
      </w:r>
      <w:r w:rsidRPr="007B701A">
        <w:rPr>
          <w:sz w:val="22"/>
          <w:szCs w:val="22"/>
        </w:rPr>
        <w:t xml:space="preserve"> </w:t>
      </w:r>
    </w:p>
    <w:p w14:paraId="52FEB433" w14:textId="77777777" w:rsidR="00F2007D" w:rsidRPr="007B701A" w:rsidRDefault="00F2007D" w:rsidP="00F2007D">
      <w:pPr>
        <w:pStyle w:val="Antrat2"/>
        <w:spacing w:line="240" w:lineRule="auto"/>
        <w:jc w:val="left"/>
        <w:rPr>
          <w:i w:val="0"/>
          <w:sz w:val="22"/>
          <w:szCs w:val="22"/>
        </w:rPr>
      </w:pPr>
    </w:p>
    <w:p w14:paraId="1053DEFF" w14:textId="0B69951E" w:rsidR="00F2007D" w:rsidRPr="00063DB0" w:rsidRDefault="00F2007D" w:rsidP="00F2007D">
      <w:pPr>
        <w:pStyle w:val="Antrat2"/>
        <w:spacing w:line="240" w:lineRule="auto"/>
        <w:jc w:val="left"/>
        <w:rPr>
          <w:sz w:val="22"/>
          <w:szCs w:val="22"/>
        </w:rPr>
      </w:pPr>
      <w:r w:rsidRPr="00063DB0">
        <w:rPr>
          <w:sz w:val="22"/>
          <w:szCs w:val="22"/>
        </w:rPr>
        <w:t>Labai reti šalutiniai poveikiai</w:t>
      </w:r>
      <w:r w:rsidRPr="00EB70FA">
        <w:rPr>
          <w:sz w:val="22"/>
          <w:szCs w:val="22"/>
        </w:rPr>
        <w:t xml:space="preserve"> </w:t>
      </w:r>
      <w:r w:rsidRPr="00063DB0">
        <w:rPr>
          <w:sz w:val="22"/>
          <w:szCs w:val="22"/>
        </w:rPr>
        <w:t xml:space="preserve">(gali pasireikšti mažiau kaip 1 iš 10000 žmonių) </w:t>
      </w:r>
    </w:p>
    <w:p w14:paraId="7C9EA7A3" w14:textId="6C8A4AFB" w:rsidR="00F2007D" w:rsidRPr="007B701A" w:rsidRDefault="00F2007D" w:rsidP="00F2007D">
      <w:pPr>
        <w:pStyle w:val="Antrat2"/>
        <w:numPr>
          <w:ilvl w:val="0"/>
          <w:numId w:val="14"/>
        </w:numPr>
        <w:spacing w:line="240" w:lineRule="auto"/>
        <w:jc w:val="left"/>
        <w:rPr>
          <w:i w:val="0"/>
          <w:sz w:val="22"/>
          <w:szCs w:val="22"/>
        </w:rPr>
      </w:pPr>
      <w:r w:rsidRPr="007B701A">
        <w:rPr>
          <w:i w:val="0"/>
          <w:sz w:val="22"/>
          <w:szCs w:val="22"/>
        </w:rPr>
        <w:t>ūminis inkstų nepakankamumas, inkstų skausmas</w:t>
      </w:r>
      <w:r>
        <w:rPr>
          <w:i w:val="0"/>
          <w:sz w:val="22"/>
          <w:szCs w:val="22"/>
        </w:rPr>
        <w:t>;</w:t>
      </w:r>
    </w:p>
    <w:p w14:paraId="6D921199" w14:textId="77777777" w:rsidR="00F2007D" w:rsidRPr="007B701A" w:rsidRDefault="00F2007D" w:rsidP="00F2007D">
      <w:pPr>
        <w:pStyle w:val="Sraopastraipa"/>
        <w:numPr>
          <w:ilvl w:val="0"/>
          <w:numId w:val="14"/>
        </w:numPr>
        <w:rPr>
          <w:sz w:val="22"/>
          <w:szCs w:val="22"/>
        </w:rPr>
      </w:pPr>
      <w:r w:rsidRPr="007B701A">
        <w:rPr>
          <w:sz w:val="22"/>
          <w:szCs w:val="22"/>
        </w:rPr>
        <w:t>susijaudinimas</w:t>
      </w:r>
      <w:r>
        <w:rPr>
          <w:sz w:val="22"/>
          <w:szCs w:val="22"/>
        </w:rPr>
        <w:t>;</w:t>
      </w:r>
      <w:r w:rsidRPr="007B701A">
        <w:rPr>
          <w:sz w:val="22"/>
          <w:szCs w:val="22"/>
        </w:rPr>
        <w:t xml:space="preserve"> </w:t>
      </w:r>
    </w:p>
    <w:p w14:paraId="17B9FE50" w14:textId="77777777" w:rsidR="00F2007D" w:rsidRPr="007B701A" w:rsidRDefault="00F2007D" w:rsidP="00F2007D">
      <w:pPr>
        <w:pStyle w:val="Sraopastraipa"/>
        <w:numPr>
          <w:ilvl w:val="0"/>
          <w:numId w:val="14"/>
        </w:numPr>
        <w:rPr>
          <w:sz w:val="22"/>
          <w:szCs w:val="22"/>
        </w:rPr>
      </w:pPr>
      <w:r w:rsidRPr="007B701A">
        <w:rPr>
          <w:sz w:val="22"/>
          <w:szCs w:val="22"/>
        </w:rPr>
        <w:t>sumišimas</w:t>
      </w:r>
      <w:r>
        <w:rPr>
          <w:sz w:val="22"/>
          <w:szCs w:val="22"/>
        </w:rPr>
        <w:t>;</w:t>
      </w:r>
      <w:r w:rsidRPr="007B701A">
        <w:rPr>
          <w:sz w:val="22"/>
          <w:szCs w:val="22"/>
        </w:rPr>
        <w:t xml:space="preserve"> </w:t>
      </w:r>
    </w:p>
    <w:p w14:paraId="555E13E9" w14:textId="77777777" w:rsidR="00F2007D" w:rsidRPr="007B701A" w:rsidRDefault="00F2007D" w:rsidP="00F2007D">
      <w:pPr>
        <w:pStyle w:val="Sraopastraipa"/>
        <w:numPr>
          <w:ilvl w:val="0"/>
          <w:numId w:val="14"/>
        </w:numPr>
        <w:rPr>
          <w:sz w:val="22"/>
          <w:szCs w:val="22"/>
        </w:rPr>
      </w:pPr>
      <w:r w:rsidRPr="007B701A">
        <w:rPr>
          <w:sz w:val="22"/>
          <w:szCs w:val="22"/>
        </w:rPr>
        <w:t>drebulys</w:t>
      </w:r>
      <w:r>
        <w:rPr>
          <w:sz w:val="22"/>
          <w:szCs w:val="22"/>
        </w:rPr>
        <w:t>;</w:t>
      </w:r>
      <w:r w:rsidRPr="007B701A">
        <w:rPr>
          <w:sz w:val="22"/>
          <w:szCs w:val="22"/>
        </w:rPr>
        <w:t xml:space="preserve"> </w:t>
      </w:r>
    </w:p>
    <w:p w14:paraId="152EAB1D" w14:textId="77777777" w:rsidR="00F2007D" w:rsidRPr="007B701A" w:rsidRDefault="00F2007D" w:rsidP="00F2007D">
      <w:pPr>
        <w:pStyle w:val="Sraopastraipa"/>
        <w:numPr>
          <w:ilvl w:val="0"/>
          <w:numId w:val="14"/>
        </w:numPr>
        <w:rPr>
          <w:sz w:val="22"/>
          <w:szCs w:val="22"/>
        </w:rPr>
      </w:pPr>
      <w:r w:rsidRPr="007B701A">
        <w:rPr>
          <w:sz w:val="22"/>
          <w:szCs w:val="22"/>
        </w:rPr>
        <w:t>valingų judesių koordinacijos sutrikimas</w:t>
      </w:r>
      <w:r>
        <w:rPr>
          <w:sz w:val="22"/>
          <w:szCs w:val="22"/>
        </w:rPr>
        <w:t>;</w:t>
      </w:r>
      <w:r w:rsidRPr="007B701A">
        <w:rPr>
          <w:sz w:val="22"/>
          <w:szCs w:val="22"/>
        </w:rPr>
        <w:t xml:space="preserve"> </w:t>
      </w:r>
    </w:p>
    <w:p w14:paraId="3A67265E" w14:textId="77777777" w:rsidR="00F2007D" w:rsidRPr="007B701A" w:rsidRDefault="00F2007D" w:rsidP="00F2007D">
      <w:pPr>
        <w:pStyle w:val="Sraopastraipa"/>
        <w:numPr>
          <w:ilvl w:val="0"/>
          <w:numId w:val="14"/>
        </w:numPr>
        <w:rPr>
          <w:sz w:val="22"/>
          <w:szCs w:val="22"/>
        </w:rPr>
      </w:pPr>
      <w:r w:rsidRPr="007B701A">
        <w:rPr>
          <w:sz w:val="22"/>
          <w:szCs w:val="22"/>
        </w:rPr>
        <w:t>kalbos sutrikimas</w:t>
      </w:r>
      <w:r>
        <w:rPr>
          <w:sz w:val="22"/>
          <w:szCs w:val="22"/>
        </w:rPr>
        <w:t>;</w:t>
      </w:r>
      <w:r w:rsidRPr="007B701A">
        <w:rPr>
          <w:sz w:val="22"/>
          <w:szCs w:val="22"/>
        </w:rPr>
        <w:t xml:space="preserve"> </w:t>
      </w:r>
    </w:p>
    <w:p w14:paraId="2237ABC8" w14:textId="77777777" w:rsidR="00F2007D" w:rsidRPr="007B701A" w:rsidRDefault="00F2007D" w:rsidP="00F2007D">
      <w:pPr>
        <w:pStyle w:val="Sraopastraipa"/>
        <w:numPr>
          <w:ilvl w:val="0"/>
          <w:numId w:val="14"/>
        </w:numPr>
        <w:rPr>
          <w:sz w:val="22"/>
          <w:szCs w:val="22"/>
        </w:rPr>
      </w:pPr>
      <w:r w:rsidRPr="007B701A">
        <w:rPr>
          <w:sz w:val="22"/>
          <w:szCs w:val="22"/>
        </w:rPr>
        <w:t>haliucinacijos</w:t>
      </w:r>
      <w:r>
        <w:rPr>
          <w:sz w:val="22"/>
          <w:szCs w:val="22"/>
        </w:rPr>
        <w:t>;</w:t>
      </w:r>
      <w:r w:rsidRPr="007B701A">
        <w:rPr>
          <w:sz w:val="22"/>
          <w:szCs w:val="22"/>
        </w:rPr>
        <w:t xml:space="preserve"> </w:t>
      </w:r>
    </w:p>
    <w:p w14:paraId="4CC5E402" w14:textId="77777777" w:rsidR="00F2007D" w:rsidRPr="007B701A" w:rsidRDefault="00F2007D" w:rsidP="00F2007D">
      <w:pPr>
        <w:pStyle w:val="Sraopastraipa"/>
        <w:numPr>
          <w:ilvl w:val="0"/>
          <w:numId w:val="14"/>
        </w:numPr>
        <w:rPr>
          <w:sz w:val="22"/>
          <w:szCs w:val="22"/>
        </w:rPr>
      </w:pPr>
      <w:r w:rsidRPr="007B701A">
        <w:rPr>
          <w:sz w:val="22"/>
          <w:szCs w:val="22"/>
        </w:rPr>
        <w:t>psichikos sutrikimai</w:t>
      </w:r>
      <w:r>
        <w:rPr>
          <w:sz w:val="22"/>
          <w:szCs w:val="22"/>
        </w:rPr>
        <w:t>;</w:t>
      </w:r>
    </w:p>
    <w:p w14:paraId="5EC8FE16" w14:textId="77777777" w:rsidR="00F2007D" w:rsidRPr="007B701A" w:rsidRDefault="00F2007D" w:rsidP="00F2007D">
      <w:pPr>
        <w:pStyle w:val="Sraopastraipa"/>
        <w:numPr>
          <w:ilvl w:val="0"/>
          <w:numId w:val="14"/>
        </w:numPr>
        <w:rPr>
          <w:sz w:val="22"/>
          <w:szCs w:val="22"/>
        </w:rPr>
      </w:pPr>
      <w:r w:rsidRPr="007B701A">
        <w:rPr>
          <w:sz w:val="22"/>
          <w:szCs w:val="22"/>
        </w:rPr>
        <w:t>traukuliai</w:t>
      </w:r>
      <w:r>
        <w:rPr>
          <w:sz w:val="22"/>
          <w:szCs w:val="22"/>
        </w:rPr>
        <w:t>;</w:t>
      </w:r>
      <w:r w:rsidRPr="007B701A">
        <w:rPr>
          <w:sz w:val="22"/>
          <w:szCs w:val="22"/>
        </w:rPr>
        <w:t xml:space="preserve"> </w:t>
      </w:r>
    </w:p>
    <w:p w14:paraId="5FC87845" w14:textId="77777777" w:rsidR="00F2007D" w:rsidRPr="007B701A" w:rsidRDefault="00F2007D" w:rsidP="00F2007D">
      <w:pPr>
        <w:pStyle w:val="Sraopastraipa"/>
        <w:numPr>
          <w:ilvl w:val="0"/>
          <w:numId w:val="14"/>
        </w:numPr>
        <w:rPr>
          <w:sz w:val="22"/>
          <w:szCs w:val="22"/>
        </w:rPr>
      </w:pPr>
      <w:r w:rsidRPr="007B701A">
        <w:rPr>
          <w:sz w:val="22"/>
          <w:szCs w:val="22"/>
        </w:rPr>
        <w:t>mieguistumas</w:t>
      </w:r>
      <w:r>
        <w:rPr>
          <w:sz w:val="22"/>
          <w:szCs w:val="22"/>
        </w:rPr>
        <w:t>;</w:t>
      </w:r>
      <w:r w:rsidRPr="007B701A">
        <w:rPr>
          <w:sz w:val="22"/>
          <w:szCs w:val="22"/>
        </w:rPr>
        <w:t xml:space="preserve"> </w:t>
      </w:r>
    </w:p>
    <w:p w14:paraId="28BAC696" w14:textId="77777777" w:rsidR="00F2007D" w:rsidRPr="007B701A" w:rsidRDefault="00F2007D" w:rsidP="00F2007D">
      <w:pPr>
        <w:pStyle w:val="Sraopastraipa"/>
        <w:numPr>
          <w:ilvl w:val="0"/>
          <w:numId w:val="14"/>
        </w:numPr>
        <w:rPr>
          <w:sz w:val="22"/>
          <w:szCs w:val="22"/>
        </w:rPr>
      </w:pPr>
      <w:r w:rsidRPr="007B701A">
        <w:rPr>
          <w:sz w:val="22"/>
          <w:szCs w:val="22"/>
        </w:rPr>
        <w:t>smegenų liga (encefalopatija)</w:t>
      </w:r>
      <w:r>
        <w:rPr>
          <w:sz w:val="22"/>
          <w:szCs w:val="22"/>
        </w:rPr>
        <w:t>;</w:t>
      </w:r>
      <w:r w:rsidRPr="007B701A">
        <w:rPr>
          <w:sz w:val="22"/>
          <w:szCs w:val="22"/>
        </w:rPr>
        <w:t xml:space="preserve"> </w:t>
      </w:r>
    </w:p>
    <w:p w14:paraId="206121F7" w14:textId="77777777" w:rsidR="00F2007D" w:rsidRPr="007B701A" w:rsidRDefault="00F2007D" w:rsidP="00F2007D">
      <w:pPr>
        <w:pStyle w:val="Sraopastraipa"/>
        <w:numPr>
          <w:ilvl w:val="0"/>
          <w:numId w:val="14"/>
        </w:numPr>
        <w:rPr>
          <w:sz w:val="22"/>
          <w:szCs w:val="22"/>
        </w:rPr>
      </w:pPr>
      <w:r w:rsidRPr="007B701A">
        <w:rPr>
          <w:sz w:val="22"/>
          <w:szCs w:val="22"/>
        </w:rPr>
        <w:t>koma</w:t>
      </w:r>
      <w:r>
        <w:rPr>
          <w:sz w:val="22"/>
          <w:szCs w:val="22"/>
        </w:rPr>
        <w:t>;</w:t>
      </w:r>
    </w:p>
    <w:p w14:paraId="4960C06B" w14:textId="77777777" w:rsidR="00F2007D" w:rsidRPr="007B701A" w:rsidRDefault="00F2007D" w:rsidP="00F2007D">
      <w:pPr>
        <w:pStyle w:val="Pagrindinistekstas"/>
        <w:numPr>
          <w:ilvl w:val="0"/>
          <w:numId w:val="14"/>
        </w:numPr>
        <w:spacing w:after="0"/>
        <w:rPr>
          <w:sz w:val="22"/>
          <w:szCs w:val="22"/>
        </w:rPr>
      </w:pPr>
      <w:r w:rsidRPr="007B701A">
        <w:rPr>
          <w:sz w:val="22"/>
          <w:szCs w:val="22"/>
        </w:rPr>
        <w:t>kepenų uždegimas</w:t>
      </w:r>
      <w:r>
        <w:rPr>
          <w:sz w:val="22"/>
          <w:szCs w:val="22"/>
        </w:rPr>
        <w:t>;</w:t>
      </w:r>
      <w:r w:rsidRPr="007B701A">
        <w:rPr>
          <w:sz w:val="22"/>
          <w:szCs w:val="22"/>
        </w:rPr>
        <w:t xml:space="preserve"> </w:t>
      </w:r>
    </w:p>
    <w:p w14:paraId="1FC2B1D9" w14:textId="77777777" w:rsidR="00F2007D" w:rsidRPr="007B701A" w:rsidRDefault="00F2007D" w:rsidP="00F2007D">
      <w:pPr>
        <w:pStyle w:val="Pagrindinistekstas"/>
        <w:numPr>
          <w:ilvl w:val="0"/>
          <w:numId w:val="14"/>
        </w:numPr>
        <w:spacing w:after="0"/>
        <w:rPr>
          <w:sz w:val="22"/>
          <w:szCs w:val="22"/>
        </w:rPr>
      </w:pPr>
      <w:r w:rsidRPr="007B701A">
        <w:rPr>
          <w:sz w:val="22"/>
          <w:szCs w:val="22"/>
        </w:rPr>
        <w:t>gelta</w:t>
      </w:r>
      <w:r>
        <w:rPr>
          <w:sz w:val="22"/>
          <w:szCs w:val="22"/>
        </w:rPr>
        <w:t>.</w:t>
      </w:r>
    </w:p>
    <w:p w14:paraId="0B2D97AB" w14:textId="03CF8FA6" w:rsidR="00F2007D" w:rsidRPr="00BF0CD3" w:rsidRDefault="00F2007D" w:rsidP="00BF0CD3">
      <w:pPr>
        <w:pStyle w:val="Pagrindinistekstas"/>
        <w:spacing w:after="0"/>
        <w:rPr>
          <w:i/>
          <w:sz w:val="22"/>
        </w:rPr>
      </w:pPr>
      <w:r w:rsidRPr="00BF0CD3">
        <w:rPr>
          <w:sz w:val="22"/>
          <w:szCs w:val="22"/>
        </w:rPr>
        <w:t xml:space="preserve"> </w:t>
      </w:r>
    </w:p>
    <w:p w14:paraId="6F2039AF" w14:textId="77777777" w:rsidR="00F2007D" w:rsidRPr="007B701A" w:rsidRDefault="00F2007D" w:rsidP="00F2007D">
      <w:pPr>
        <w:overflowPunct/>
        <w:autoSpaceDE/>
        <w:autoSpaceDN/>
        <w:adjustRightInd/>
        <w:textAlignment w:val="auto"/>
        <w:rPr>
          <w:b/>
          <w:noProof/>
          <w:sz w:val="22"/>
          <w:szCs w:val="22"/>
        </w:rPr>
      </w:pPr>
      <w:r w:rsidRPr="007B701A">
        <w:rPr>
          <w:b/>
          <w:noProof/>
          <w:sz w:val="22"/>
          <w:szCs w:val="22"/>
        </w:rPr>
        <w:t>Pranešimas apie šalutinį poveikį</w:t>
      </w:r>
    </w:p>
    <w:p w14:paraId="4251E21D" w14:textId="77777777" w:rsidR="00F2007D" w:rsidRPr="00063DB0" w:rsidRDefault="00F2007D" w:rsidP="00F2007D">
      <w:pPr>
        <w:ind w:right="-449"/>
        <w:rPr>
          <w:noProof/>
          <w:sz w:val="22"/>
          <w:szCs w:val="22"/>
        </w:rPr>
      </w:pPr>
      <w:r w:rsidRPr="006A747F">
        <w:rPr>
          <w:noProof/>
          <w:sz w:val="22"/>
          <w:szCs w:val="22"/>
        </w:rPr>
        <w:t xml:space="preserve">Jeigu pasireiškė šalutinis poveikis, įskaitant šiame lapelyje nenurodytą, pasakykite gydytojui arba vaistininkui. </w:t>
      </w:r>
      <w:r w:rsidRPr="00063DB0">
        <w:rPr>
          <w:sz w:val="22"/>
          <w:szCs w:val="22"/>
        </w:rPr>
        <w:t>Apie šalutinį poveikį taip pat galite pranešti Valstybinei vaistų kontrolės tarnybai prie Lietuvos Respublikos sveikatos apsaugos ministerijos nemokamu t</w:t>
      </w:r>
      <w:r w:rsidRPr="00063DB0">
        <w:rPr>
          <w:sz w:val="22"/>
          <w:szCs w:val="22"/>
          <w:lang w:eastAsia="zh-CN"/>
        </w:rPr>
        <w:t>elefonu 8 800 73568</w:t>
      </w:r>
      <w:r w:rsidRPr="00063DB0">
        <w:rPr>
          <w:sz w:val="22"/>
          <w:szCs w:val="22"/>
        </w:rPr>
        <w:t xml:space="preserve"> arba užpildyti interneto svetainėje </w:t>
      </w:r>
      <w:hyperlink r:id="rId13" w:history="1">
        <w:r w:rsidRPr="00063DB0">
          <w:rPr>
            <w:rStyle w:val="Hipersaitas"/>
            <w:rFonts w:eastAsia="SimSun"/>
            <w:sz w:val="22"/>
            <w:szCs w:val="22"/>
          </w:rPr>
          <w:t>www.vvkt.lt</w:t>
        </w:r>
      </w:hyperlink>
      <w:r w:rsidRPr="00063DB0">
        <w:rPr>
          <w:sz w:val="22"/>
          <w:szCs w:val="22"/>
        </w:rPr>
        <w:t xml:space="preserve"> esančią formą ir pateikti ją Valstybinei vaistų kontrolės tarnybai prie Lietuvos Respublikos sveikatos apsaugos ministerijos vienu iš šių būdų: raštu (adresu Žirmūnų g. 139A, LT-09120 Vilnius), </w:t>
      </w:r>
      <w:r w:rsidRPr="00063DB0">
        <w:rPr>
          <w:sz w:val="22"/>
          <w:szCs w:val="22"/>
          <w:lang w:eastAsia="zh-CN"/>
        </w:rPr>
        <w:t xml:space="preserve">nemokamu </w:t>
      </w:r>
      <w:r w:rsidRPr="00063DB0">
        <w:rPr>
          <w:sz w:val="22"/>
          <w:szCs w:val="22"/>
        </w:rPr>
        <w:t>fakso numeriu 8 800 20131</w:t>
      </w:r>
      <w:r w:rsidRPr="00063DB0">
        <w:rPr>
          <w:sz w:val="22"/>
          <w:szCs w:val="22"/>
          <w:lang w:eastAsia="zh-CN"/>
        </w:rPr>
        <w:t xml:space="preserve">, </w:t>
      </w:r>
      <w:r w:rsidRPr="00063DB0">
        <w:rPr>
          <w:sz w:val="22"/>
          <w:szCs w:val="22"/>
        </w:rPr>
        <w:t xml:space="preserve">el. paštu </w:t>
      </w:r>
      <w:hyperlink r:id="rId14" w:history="1">
        <w:r w:rsidRPr="00063DB0">
          <w:rPr>
            <w:rStyle w:val="Hipersaitas"/>
            <w:rFonts w:eastAsia="SimSun"/>
            <w:sz w:val="22"/>
            <w:szCs w:val="22"/>
          </w:rPr>
          <w:t>NepageidaujamaR@vvkt.lt</w:t>
        </w:r>
      </w:hyperlink>
      <w:r w:rsidRPr="00063DB0">
        <w:rPr>
          <w:sz w:val="22"/>
          <w:szCs w:val="22"/>
        </w:rPr>
        <w:t xml:space="preserve">, taip pat per Valstybinės vaistų kontrolės tarnybos prie Lietuvos Respublikos sveikatos apsaugos ministerijos interneto svetainę (adresu </w:t>
      </w:r>
      <w:hyperlink r:id="rId15" w:history="1">
        <w:r w:rsidRPr="00063DB0">
          <w:rPr>
            <w:rStyle w:val="Hipersaitas"/>
            <w:rFonts w:eastAsia="SimSun"/>
            <w:sz w:val="22"/>
            <w:szCs w:val="22"/>
          </w:rPr>
          <w:t>http://www.vvkt.lt</w:t>
        </w:r>
      </w:hyperlink>
      <w:r w:rsidRPr="00063DB0">
        <w:rPr>
          <w:sz w:val="22"/>
          <w:szCs w:val="22"/>
        </w:rPr>
        <w:t>). Pranešdami apie šalutinį poveikį galite mums padėti gauti daugiau informacijos apie šio vaisto saugumą.</w:t>
      </w:r>
    </w:p>
    <w:p w14:paraId="5A5C4FF8" w14:textId="77777777" w:rsidR="00F2007D" w:rsidRPr="007B701A" w:rsidRDefault="00F2007D" w:rsidP="00F2007D">
      <w:pPr>
        <w:rPr>
          <w:sz w:val="22"/>
          <w:szCs w:val="22"/>
        </w:rPr>
      </w:pPr>
    </w:p>
    <w:p w14:paraId="2274CA57" w14:textId="77777777" w:rsidR="00F2007D" w:rsidRPr="007B701A" w:rsidRDefault="00F2007D" w:rsidP="00F2007D">
      <w:pPr>
        <w:jc w:val="both"/>
        <w:rPr>
          <w:b/>
          <w:sz w:val="22"/>
          <w:szCs w:val="22"/>
        </w:rPr>
      </w:pPr>
    </w:p>
    <w:p w14:paraId="75833EFF" w14:textId="77777777" w:rsidR="00F2007D" w:rsidRPr="007B701A" w:rsidRDefault="00F2007D" w:rsidP="00F2007D">
      <w:pPr>
        <w:tabs>
          <w:tab w:val="left" w:pos="567"/>
        </w:tabs>
        <w:jc w:val="both"/>
        <w:rPr>
          <w:b/>
          <w:sz w:val="22"/>
          <w:szCs w:val="22"/>
        </w:rPr>
      </w:pPr>
      <w:r w:rsidRPr="007B701A">
        <w:rPr>
          <w:b/>
          <w:sz w:val="22"/>
          <w:szCs w:val="22"/>
        </w:rPr>
        <w:t xml:space="preserve">5. </w:t>
      </w:r>
      <w:r>
        <w:rPr>
          <w:b/>
          <w:sz w:val="22"/>
          <w:szCs w:val="22"/>
        </w:rPr>
        <w:tab/>
      </w:r>
      <w:r w:rsidRPr="007B701A">
        <w:rPr>
          <w:b/>
          <w:sz w:val="22"/>
          <w:szCs w:val="22"/>
        </w:rPr>
        <w:t xml:space="preserve">Kaip laikyti Acic </w:t>
      </w:r>
    </w:p>
    <w:p w14:paraId="4714C335" w14:textId="77777777" w:rsidR="00F2007D" w:rsidRPr="007B701A" w:rsidRDefault="00F2007D" w:rsidP="00F2007D">
      <w:pPr>
        <w:jc w:val="both"/>
        <w:rPr>
          <w:sz w:val="22"/>
          <w:szCs w:val="22"/>
        </w:rPr>
      </w:pPr>
    </w:p>
    <w:p w14:paraId="0291AACA" w14:textId="77777777" w:rsidR="00F2007D" w:rsidRPr="007B701A" w:rsidRDefault="00F2007D" w:rsidP="00F2007D">
      <w:pPr>
        <w:jc w:val="both"/>
        <w:rPr>
          <w:sz w:val="22"/>
          <w:szCs w:val="22"/>
        </w:rPr>
      </w:pPr>
      <w:r w:rsidRPr="007B701A">
        <w:rPr>
          <w:noProof/>
          <w:sz w:val="22"/>
          <w:szCs w:val="22"/>
        </w:rPr>
        <w:t>Šį vaistą laikykite vaikams nepastebimoje ir nepasiekiamoje vietoje</w:t>
      </w:r>
      <w:r w:rsidRPr="007B701A">
        <w:rPr>
          <w:sz w:val="22"/>
          <w:szCs w:val="22"/>
        </w:rPr>
        <w:t>.</w:t>
      </w:r>
    </w:p>
    <w:p w14:paraId="2951B564" w14:textId="77777777" w:rsidR="00F2007D" w:rsidRPr="007B701A" w:rsidRDefault="00F2007D" w:rsidP="00F2007D">
      <w:pPr>
        <w:jc w:val="both"/>
        <w:rPr>
          <w:sz w:val="22"/>
          <w:szCs w:val="22"/>
        </w:rPr>
      </w:pPr>
    </w:p>
    <w:p w14:paraId="3EA8850A" w14:textId="77777777" w:rsidR="00F2007D" w:rsidRPr="007B701A" w:rsidRDefault="00F2007D" w:rsidP="00F2007D">
      <w:pPr>
        <w:jc w:val="both"/>
        <w:rPr>
          <w:sz w:val="22"/>
          <w:szCs w:val="22"/>
        </w:rPr>
      </w:pPr>
      <w:r w:rsidRPr="007B701A">
        <w:rPr>
          <w:sz w:val="22"/>
          <w:szCs w:val="22"/>
        </w:rPr>
        <w:t>Šiam vaist</w:t>
      </w:r>
      <w:r>
        <w:rPr>
          <w:sz w:val="22"/>
          <w:szCs w:val="22"/>
        </w:rPr>
        <w:t>ui</w:t>
      </w:r>
      <w:r w:rsidRPr="007B701A">
        <w:rPr>
          <w:sz w:val="22"/>
          <w:szCs w:val="22"/>
        </w:rPr>
        <w:t xml:space="preserve"> specialių laikymo sąlygų nereikia.</w:t>
      </w:r>
    </w:p>
    <w:p w14:paraId="62049497" w14:textId="77777777" w:rsidR="00F2007D" w:rsidRPr="007B701A" w:rsidRDefault="00F2007D" w:rsidP="00F2007D">
      <w:pPr>
        <w:rPr>
          <w:sz w:val="22"/>
          <w:szCs w:val="22"/>
        </w:rPr>
      </w:pPr>
    </w:p>
    <w:p w14:paraId="64C55B64" w14:textId="77777777" w:rsidR="00F2007D" w:rsidRPr="007B701A" w:rsidRDefault="00F2007D" w:rsidP="00F2007D">
      <w:pPr>
        <w:rPr>
          <w:sz w:val="22"/>
          <w:szCs w:val="22"/>
        </w:rPr>
      </w:pPr>
      <w:r w:rsidRPr="007B701A">
        <w:rPr>
          <w:sz w:val="22"/>
          <w:szCs w:val="22"/>
        </w:rPr>
        <w:t>Ant kartono dėžutės po „Tinka iki“ arba lizdinės plokštelės nurodytam tinkamumo laikui pasibaigus, šio vaisto vartoti negalima. Vaistas tinkamas vartoti iki paskutinės nurodyto mėnesio dienos.</w:t>
      </w:r>
    </w:p>
    <w:p w14:paraId="024FF2CF" w14:textId="77777777" w:rsidR="00F2007D" w:rsidRPr="007B701A" w:rsidRDefault="00F2007D" w:rsidP="00F2007D">
      <w:pPr>
        <w:rPr>
          <w:sz w:val="22"/>
          <w:szCs w:val="22"/>
        </w:rPr>
      </w:pPr>
    </w:p>
    <w:p w14:paraId="50229CC1" w14:textId="77777777" w:rsidR="00F2007D" w:rsidRPr="007B701A" w:rsidRDefault="00F2007D" w:rsidP="00F2007D">
      <w:pPr>
        <w:rPr>
          <w:sz w:val="22"/>
          <w:szCs w:val="22"/>
        </w:rPr>
      </w:pPr>
      <w:r w:rsidRPr="007B701A">
        <w:rPr>
          <w:sz w:val="22"/>
          <w:szCs w:val="22"/>
        </w:rPr>
        <w:t>Vaistų negalima išmesti į kanalizaciją arba su buitinėmis atliekomis. Kaip išmesti nereikalingus vaistus, klauskite vaistininko. Šios priemonės padės apsaugoti aplinką</w:t>
      </w:r>
      <w:r w:rsidR="00A47281">
        <w:rPr>
          <w:sz w:val="22"/>
          <w:szCs w:val="22"/>
        </w:rPr>
        <w:t>.</w:t>
      </w:r>
    </w:p>
    <w:p w14:paraId="5AE482BD" w14:textId="77777777" w:rsidR="00F2007D" w:rsidRPr="007B701A" w:rsidRDefault="00F2007D" w:rsidP="00F2007D">
      <w:pPr>
        <w:jc w:val="both"/>
        <w:rPr>
          <w:b/>
          <w:sz w:val="22"/>
          <w:szCs w:val="22"/>
        </w:rPr>
      </w:pPr>
    </w:p>
    <w:p w14:paraId="0B78695A" w14:textId="77777777" w:rsidR="00F2007D" w:rsidRPr="007B701A" w:rsidRDefault="00F2007D" w:rsidP="00F2007D">
      <w:pPr>
        <w:jc w:val="both"/>
        <w:rPr>
          <w:b/>
          <w:sz w:val="22"/>
          <w:szCs w:val="22"/>
        </w:rPr>
      </w:pPr>
    </w:p>
    <w:p w14:paraId="256E4942" w14:textId="77777777" w:rsidR="00F2007D" w:rsidRPr="007B701A" w:rsidRDefault="00F2007D" w:rsidP="00F2007D">
      <w:pPr>
        <w:tabs>
          <w:tab w:val="left" w:pos="567"/>
        </w:tabs>
        <w:jc w:val="both"/>
        <w:rPr>
          <w:b/>
          <w:sz w:val="22"/>
          <w:szCs w:val="22"/>
        </w:rPr>
      </w:pPr>
      <w:r w:rsidRPr="007B701A">
        <w:rPr>
          <w:b/>
          <w:sz w:val="22"/>
          <w:szCs w:val="22"/>
        </w:rPr>
        <w:t xml:space="preserve">6. </w:t>
      </w:r>
      <w:r>
        <w:rPr>
          <w:b/>
          <w:sz w:val="22"/>
          <w:szCs w:val="22"/>
        </w:rPr>
        <w:tab/>
      </w:r>
      <w:r w:rsidRPr="007B701A">
        <w:rPr>
          <w:b/>
          <w:sz w:val="22"/>
          <w:szCs w:val="22"/>
        </w:rPr>
        <w:t>Pakuotės turinys ir kita informacija</w:t>
      </w:r>
    </w:p>
    <w:p w14:paraId="12FD3F39" w14:textId="77777777" w:rsidR="00F2007D" w:rsidRPr="007B701A" w:rsidRDefault="00F2007D" w:rsidP="00F2007D">
      <w:pPr>
        <w:numPr>
          <w:ilvl w:val="12"/>
          <w:numId w:val="0"/>
        </w:numPr>
        <w:ind w:left="567" w:hanging="567"/>
        <w:outlineLvl w:val="0"/>
        <w:rPr>
          <w:b/>
          <w:sz w:val="22"/>
          <w:szCs w:val="22"/>
        </w:rPr>
      </w:pPr>
    </w:p>
    <w:p w14:paraId="186F23CF" w14:textId="77777777" w:rsidR="00F2007D" w:rsidRPr="007B701A" w:rsidRDefault="00F2007D" w:rsidP="00F2007D">
      <w:pPr>
        <w:numPr>
          <w:ilvl w:val="12"/>
          <w:numId w:val="0"/>
        </w:numPr>
        <w:ind w:left="567" w:hanging="567"/>
        <w:outlineLvl w:val="0"/>
        <w:rPr>
          <w:b/>
          <w:sz w:val="22"/>
          <w:szCs w:val="22"/>
        </w:rPr>
      </w:pPr>
      <w:r w:rsidRPr="007B701A">
        <w:rPr>
          <w:b/>
          <w:sz w:val="22"/>
          <w:szCs w:val="22"/>
        </w:rPr>
        <w:t>Acic sudėtis</w:t>
      </w:r>
    </w:p>
    <w:p w14:paraId="7ABD7537" w14:textId="77777777" w:rsidR="00F2007D" w:rsidRPr="007B701A" w:rsidRDefault="00F2007D" w:rsidP="00F2007D">
      <w:pPr>
        <w:rPr>
          <w:sz w:val="22"/>
          <w:szCs w:val="22"/>
        </w:rPr>
      </w:pPr>
      <w:r w:rsidRPr="007B701A">
        <w:rPr>
          <w:bCs/>
          <w:iCs/>
          <w:sz w:val="22"/>
          <w:szCs w:val="22"/>
        </w:rPr>
        <w:t>-        Veiklioji medžiaga yra acikloviras.</w:t>
      </w:r>
      <w:r w:rsidRPr="007B701A">
        <w:rPr>
          <w:sz w:val="22"/>
          <w:szCs w:val="22"/>
        </w:rPr>
        <w:t xml:space="preserve"> Vienoje tabletėje yra 200 mg acikloviro.</w:t>
      </w:r>
    </w:p>
    <w:p w14:paraId="5146C7F3" w14:textId="77777777" w:rsidR="00F2007D" w:rsidRPr="007B701A" w:rsidRDefault="00F2007D" w:rsidP="00F2007D">
      <w:pPr>
        <w:numPr>
          <w:ilvl w:val="12"/>
          <w:numId w:val="0"/>
        </w:numPr>
        <w:ind w:left="567" w:hanging="567"/>
        <w:outlineLvl w:val="0"/>
        <w:rPr>
          <w:b/>
          <w:sz w:val="22"/>
          <w:szCs w:val="22"/>
        </w:rPr>
      </w:pPr>
      <w:r w:rsidRPr="007B701A">
        <w:rPr>
          <w:sz w:val="22"/>
          <w:szCs w:val="22"/>
        </w:rPr>
        <w:t>-</w:t>
      </w:r>
      <w:r w:rsidRPr="007B701A">
        <w:rPr>
          <w:sz w:val="22"/>
          <w:szCs w:val="22"/>
        </w:rPr>
        <w:tab/>
        <w:t>Pagalbinės medžiagos yra kopovidonas, laktozė monohidratas, magnio stearatas, mikrokristalinė celiuliozė, karboksimetilkrakmolo A natrio druska.</w:t>
      </w:r>
    </w:p>
    <w:p w14:paraId="2371909E" w14:textId="77777777" w:rsidR="00F2007D" w:rsidRPr="007B701A" w:rsidRDefault="00F2007D" w:rsidP="00F2007D">
      <w:pPr>
        <w:numPr>
          <w:ilvl w:val="12"/>
          <w:numId w:val="0"/>
        </w:numPr>
        <w:ind w:left="567" w:hanging="567"/>
        <w:outlineLvl w:val="0"/>
        <w:rPr>
          <w:b/>
          <w:sz w:val="22"/>
          <w:szCs w:val="22"/>
        </w:rPr>
      </w:pPr>
    </w:p>
    <w:p w14:paraId="56C5C0FC" w14:textId="77777777" w:rsidR="00F2007D" w:rsidRPr="007B701A" w:rsidRDefault="00F2007D" w:rsidP="00F2007D">
      <w:pPr>
        <w:numPr>
          <w:ilvl w:val="12"/>
          <w:numId w:val="0"/>
        </w:numPr>
        <w:ind w:left="567" w:hanging="567"/>
        <w:outlineLvl w:val="0"/>
        <w:rPr>
          <w:b/>
          <w:sz w:val="22"/>
          <w:szCs w:val="22"/>
        </w:rPr>
      </w:pPr>
      <w:r w:rsidRPr="007B701A">
        <w:rPr>
          <w:b/>
          <w:sz w:val="22"/>
          <w:szCs w:val="22"/>
        </w:rPr>
        <w:t>Acic išvaizda ir kiekis pakuotėje</w:t>
      </w:r>
    </w:p>
    <w:p w14:paraId="7B89573D" w14:textId="77777777" w:rsidR="00F2007D" w:rsidRPr="007B701A" w:rsidRDefault="00F2007D" w:rsidP="00F2007D">
      <w:pPr>
        <w:numPr>
          <w:ilvl w:val="12"/>
          <w:numId w:val="0"/>
        </w:numPr>
        <w:ind w:left="567" w:hanging="567"/>
        <w:outlineLvl w:val="0"/>
        <w:rPr>
          <w:sz w:val="22"/>
          <w:szCs w:val="22"/>
        </w:rPr>
      </w:pPr>
      <w:r w:rsidRPr="007B701A">
        <w:rPr>
          <w:sz w:val="22"/>
          <w:szCs w:val="22"/>
        </w:rPr>
        <w:t>Tabletės yra baltos apvalios išgaubtos su kryžmine laužimo vagele vienoje pusėje.</w:t>
      </w:r>
    </w:p>
    <w:p w14:paraId="5EE4BB3D" w14:textId="77777777" w:rsidR="00F2007D" w:rsidRDefault="00F2007D" w:rsidP="00F2007D">
      <w:pPr>
        <w:pStyle w:val="Pagrindinistekstas"/>
        <w:spacing w:after="0"/>
        <w:rPr>
          <w:sz w:val="22"/>
          <w:szCs w:val="22"/>
        </w:rPr>
      </w:pPr>
      <w:r w:rsidRPr="007B701A">
        <w:rPr>
          <w:sz w:val="22"/>
          <w:szCs w:val="22"/>
        </w:rPr>
        <w:t>Kryžminė vagelė skirta tik tabletei perlaužti, kad būtų lengviau nuryti, bet ne ją padalyti į lygias dozes.</w:t>
      </w:r>
    </w:p>
    <w:p w14:paraId="07F00B93" w14:textId="77777777" w:rsidR="00F2007D" w:rsidRDefault="00F2007D" w:rsidP="009947E9">
      <w:pPr>
        <w:pStyle w:val="Pagrindinistekstas"/>
        <w:spacing w:after="0"/>
        <w:rPr>
          <w:sz w:val="22"/>
          <w:szCs w:val="22"/>
        </w:rPr>
      </w:pPr>
    </w:p>
    <w:p w14:paraId="1EF8B5E9" w14:textId="77777777" w:rsidR="00F2007D" w:rsidRPr="007B701A" w:rsidRDefault="00F2007D" w:rsidP="00F2007D">
      <w:pPr>
        <w:pStyle w:val="Pagrindinistekstas"/>
        <w:spacing w:after="0"/>
        <w:rPr>
          <w:sz w:val="22"/>
          <w:szCs w:val="22"/>
        </w:rPr>
      </w:pPr>
      <w:r>
        <w:rPr>
          <w:sz w:val="22"/>
          <w:szCs w:val="22"/>
        </w:rPr>
        <w:t>Kartono dėžutėje yra 25 tabletės lizdinėje plokštelėje.</w:t>
      </w:r>
    </w:p>
    <w:p w14:paraId="46676544" w14:textId="77777777" w:rsidR="00F2007D" w:rsidRPr="007B701A" w:rsidRDefault="00F2007D" w:rsidP="00F2007D">
      <w:pPr>
        <w:numPr>
          <w:ilvl w:val="12"/>
          <w:numId w:val="0"/>
        </w:numPr>
        <w:ind w:left="567" w:hanging="567"/>
        <w:outlineLvl w:val="0"/>
        <w:rPr>
          <w:sz w:val="22"/>
          <w:szCs w:val="22"/>
        </w:rPr>
      </w:pPr>
    </w:p>
    <w:p w14:paraId="07A4AF55" w14:textId="77777777" w:rsidR="00F2007D" w:rsidRPr="007B701A" w:rsidRDefault="00F2007D" w:rsidP="00F2007D">
      <w:pPr>
        <w:ind w:left="567" w:hanging="567"/>
        <w:rPr>
          <w:b/>
          <w:sz w:val="22"/>
          <w:szCs w:val="22"/>
        </w:rPr>
      </w:pPr>
      <w:r>
        <w:rPr>
          <w:b/>
          <w:sz w:val="22"/>
          <w:szCs w:val="22"/>
        </w:rPr>
        <w:t>Registruotojas</w:t>
      </w:r>
    </w:p>
    <w:p w14:paraId="53E70A3F" w14:textId="77777777" w:rsidR="00F2007D" w:rsidRPr="007B701A" w:rsidRDefault="00F2007D" w:rsidP="00F2007D">
      <w:pPr>
        <w:rPr>
          <w:sz w:val="22"/>
          <w:szCs w:val="22"/>
        </w:rPr>
      </w:pPr>
      <w:r w:rsidRPr="007B701A">
        <w:rPr>
          <w:sz w:val="22"/>
          <w:szCs w:val="22"/>
        </w:rPr>
        <w:t>Sandoz d.d.</w:t>
      </w:r>
    </w:p>
    <w:p w14:paraId="6180FFD5" w14:textId="77777777" w:rsidR="00F2007D" w:rsidRPr="007B701A" w:rsidRDefault="00F2007D" w:rsidP="00F2007D">
      <w:pPr>
        <w:rPr>
          <w:sz w:val="22"/>
          <w:szCs w:val="22"/>
        </w:rPr>
      </w:pPr>
      <w:r w:rsidRPr="007B701A">
        <w:rPr>
          <w:sz w:val="22"/>
          <w:szCs w:val="22"/>
        </w:rPr>
        <w:t>Verovškova 57,</w:t>
      </w:r>
    </w:p>
    <w:p w14:paraId="2CE36C44" w14:textId="77777777" w:rsidR="00F2007D" w:rsidRPr="007B701A" w:rsidRDefault="00F2007D" w:rsidP="00F2007D">
      <w:pPr>
        <w:rPr>
          <w:sz w:val="22"/>
          <w:szCs w:val="22"/>
        </w:rPr>
      </w:pPr>
      <w:r w:rsidRPr="007B701A">
        <w:rPr>
          <w:sz w:val="22"/>
          <w:szCs w:val="22"/>
        </w:rPr>
        <w:t>1000 Ljubljana</w:t>
      </w:r>
    </w:p>
    <w:p w14:paraId="2BBD3709" w14:textId="77777777" w:rsidR="00F2007D" w:rsidRPr="007B701A" w:rsidRDefault="00F2007D" w:rsidP="00F2007D">
      <w:pPr>
        <w:rPr>
          <w:sz w:val="22"/>
          <w:szCs w:val="22"/>
        </w:rPr>
      </w:pPr>
      <w:r w:rsidRPr="007B701A">
        <w:rPr>
          <w:sz w:val="22"/>
          <w:szCs w:val="22"/>
        </w:rPr>
        <w:t>Slovėnija</w:t>
      </w:r>
    </w:p>
    <w:p w14:paraId="14F50EF1" w14:textId="77777777" w:rsidR="00F2007D" w:rsidRPr="007B701A" w:rsidRDefault="00F2007D" w:rsidP="00F2007D">
      <w:pPr>
        <w:rPr>
          <w:sz w:val="22"/>
          <w:szCs w:val="22"/>
        </w:rPr>
      </w:pPr>
    </w:p>
    <w:p w14:paraId="184AEFA5" w14:textId="77777777" w:rsidR="00F2007D" w:rsidRPr="007B701A" w:rsidRDefault="00F2007D" w:rsidP="00F2007D">
      <w:pPr>
        <w:ind w:left="567" w:hanging="567"/>
        <w:rPr>
          <w:b/>
          <w:sz w:val="22"/>
          <w:szCs w:val="22"/>
        </w:rPr>
      </w:pPr>
      <w:r w:rsidRPr="007B701A">
        <w:rPr>
          <w:b/>
          <w:sz w:val="22"/>
          <w:szCs w:val="22"/>
        </w:rPr>
        <w:t>Gamintojas</w:t>
      </w:r>
    </w:p>
    <w:p w14:paraId="0DD85A59" w14:textId="77777777" w:rsidR="00F2007D" w:rsidRPr="007B701A" w:rsidRDefault="00F2007D" w:rsidP="00F2007D">
      <w:pPr>
        <w:rPr>
          <w:sz w:val="22"/>
          <w:szCs w:val="22"/>
        </w:rPr>
      </w:pPr>
      <w:r w:rsidRPr="007B701A">
        <w:rPr>
          <w:sz w:val="22"/>
          <w:szCs w:val="22"/>
        </w:rPr>
        <w:t xml:space="preserve">Salutas Pharma GmbH </w:t>
      </w:r>
    </w:p>
    <w:p w14:paraId="400EADCC" w14:textId="4CC68582" w:rsidR="00F2007D" w:rsidRPr="007B701A" w:rsidRDefault="00F2007D" w:rsidP="00F2007D">
      <w:pPr>
        <w:rPr>
          <w:sz w:val="22"/>
          <w:szCs w:val="22"/>
        </w:rPr>
      </w:pPr>
      <w:r w:rsidRPr="007B701A">
        <w:rPr>
          <w:sz w:val="22"/>
          <w:szCs w:val="22"/>
        </w:rPr>
        <w:t xml:space="preserve">Otto-von-Guericke-Alee 1, </w:t>
      </w:r>
    </w:p>
    <w:p w14:paraId="0E2E3E0F" w14:textId="77777777" w:rsidR="00F2007D" w:rsidRPr="007B701A" w:rsidRDefault="00F2007D" w:rsidP="00F2007D">
      <w:pPr>
        <w:rPr>
          <w:sz w:val="22"/>
          <w:szCs w:val="22"/>
        </w:rPr>
      </w:pPr>
      <w:r w:rsidRPr="007B701A">
        <w:rPr>
          <w:sz w:val="22"/>
          <w:szCs w:val="22"/>
        </w:rPr>
        <w:t>D-39179 Barleben,</w:t>
      </w:r>
    </w:p>
    <w:p w14:paraId="1F0F7BD9" w14:textId="77777777" w:rsidR="00F2007D" w:rsidRPr="007B701A" w:rsidRDefault="00F2007D" w:rsidP="00F2007D">
      <w:pPr>
        <w:rPr>
          <w:sz w:val="22"/>
          <w:szCs w:val="22"/>
        </w:rPr>
      </w:pPr>
      <w:r w:rsidRPr="007B701A">
        <w:rPr>
          <w:sz w:val="22"/>
          <w:szCs w:val="22"/>
        </w:rPr>
        <w:t>Vokietija</w:t>
      </w:r>
    </w:p>
    <w:p w14:paraId="300F08BA" w14:textId="77777777" w:rsidR="00F2007D" w:rsidRPr="007B701A" w:rsidRDefault="00F2007D" w:rsidP="00F2007D">
      <w:pPr>
        <w:numPr>
          <w:ilvl w:val="12"/>
          <w:numId w:val="0"/>
        </w:numPr>
        <w:ind w:left="567" w:hanging="567"/>
        <w:outlineLvl w:val="0"/>
        <w:rPr>
          <w:sz w:val="22"/>
          <w:szCs w:val="22"/>
        </w:rPr>
      </w:pPr>
    </w:p>
    <w:p w14:paraId="4BCE99B1" w14:textId="77777777" w:rsidR="00F2007D" w:rsidRPr="007B701A" w:rsidRDefault="00F2007D" w:rsidP="00F2007D">
      <w:pPr>
        <w:pStyle w:val="Komentarotema"/>
        <w:rPr>
          <w:sz w:val="22"/>
          <w:szCs w:val="22"/>
        </w:rPr>
      </w:pPr>
      <w:r w:rsidRPr="007B701A">
        <w:rPr>
          <w:b w:val="0"/>
          <w:sz w:val="22"/>
          <w:szCs w:val="22"/>
        </w:rPr>
        <w:t xml:space="preserve">Jeigu apie šį vaistą norite sužinoti daugiau, kreipkitės į vietinį </w:t>
      </w:r>
      <w:r>
        <w:rPr>
          <w:b w:val="0"/>
          <w:sz w:val="22"/>
          <w:szCs w:val="22"/>
        </w:rPr>
        <w:t>registruotojo</w:t>
      </w:r>
      <w:r w:rsidRPr="007B701A">
        <w:rPr>
          <w:b w:val="0"/>
          <w:sz w:val="22"/>
          <w:szCs w:val="22"/>
        </w:rPr>
        <w:t xml:space="preserve"> atstovą</w:t>
      </w:r>
      <w:r>
        <w:rPr>
          <w:b w:val="0"/>
          <w:sz w:val="22"/>
          <w:szCs w:val="22"/>
        </w:rPr>
        <w:t>.</w:t>
      </w:r>
    </w:p>
    <w:p w14:paraId="4FEAF823" w14:textId="77777777" w:rsidR="00F2007D" w:rsidRPr="007B701A" w:rsidRDefault="00F2007D" w:rsidP="00F2007D">
      <w:pPr>
        <w:pStyle w:val="Komentarotema"/>
        <w:rPr>
          <w:sz w:val="22"/>
          <w:szCs w:val="22"/>
        </w:rPr>
      </w:pPr>
    </w:p>
    <w:p w14:paraId="043E3295" w14:textId="77777777" w:rsidR="00F2007D" w:rsidRPr="007B701A" w:rsidRDefault="00F2007D" w:rsidP="00F2007D">
      <w:pPr>
        <w:pStyle w:val="Pagrindinistekstas"/>
        <w:spacing w:after="0"/>
        <w:rPr>
          <w:sz w:val="22"/>
          <w:szCs w:val="22"/>
        </w:rPr>
      </w:pPr>
      <w:r w:rsidRPr="007B701A">
        <w:rPr>
          <w:sz w:val="22"/>
          <w:szCs w:val="22"/>
        </w:rPr>
        <w:t>Sandoz Pharmaceuticals d.d. filialas</w:t>
      </w:r>
    </w:p>
    <w:p w14:paraId="612725C4" w14:textId="77777777" w:rsidR="00F2007D" w:rsidRPr="007B701A" w:rsidRDefault="00F2007D" w:rsidP="00F2007D">
      <w:pPr>
        <w:pStyle w:val="Pagrindinistekstas"/>
        <w:spacing w:after="0"/>
        <w:rPr>
          <w:sz w:val="22"/>
          <w:szCs w:val="22"/>
        </w:rPr>
      </w:pPr>
      <w:r w:rsidRPr="007B701A">
        <w:rPr>
          <w:sz w:val="22"/>
          <w:szCs w:val="22"/>
        </w:rPr>
        <w:t>Šeimyniški</w:t>
      </w:r>
      <w:r>
        <w:rPr>
          <w:sz w:val="22"/>
          <w:szCs w:val="22"/>
        </w:rPr>
        <w:t>ų</w:t>
      </w:r>
      <w:r w:rsidRPr="007B701A">
        <w:rPr>
          <w:sz w:val="22"/>
          <w:szCs w:val="22"/>
        </w:rPr>
        <w:t xml:space="preserve"> g. 3A,</w:t>
      </w:r>
    </w:p>
    <w:p w14:paraId="35E0AD6A" w14:textId="77777777" w:rsidR="00F2007D" w:rsidRPr="007B701A" w:rsidRDefault="00F2007D" w:rsidP="00F2007D">
      <w:pPr>
        <w:pStyle w:val="Pagrindinistekstas"/>
        <w:spacing w:after="0"/>
        <w:rPr>
          <w:sz w:val="22"/>
          <w:szCs w:val="22"/>
        </w:rPr>
      </w:pPr>
      <w:r w:rsidRPr="007B701A">
        <w:rPr>
          <w:sz w:val="22"/>
          <w:szCs w:val="22"/>
        </w:rPr>
        <w:t>Vilnius, LT</w:t>
      </w:r>
      <w:r w:rsidR="00AD0594">
        <w:rPr>
          <w:sz w:val="22"/>
          <w:szCs w:val="22"/>
        </w:rPr>
        <w:t>-</w:t>
      </w:r>
      <w:r w:rsidRPr="007B701A">
        <w:rPr>
          <w:sz w:val="22"/>
          <w:szCs w:val="22"/>
        </w:rPr>
        <w:t xml:space="preserve">09312 </w:t>
      </w:r>
    </w:p>
    <w:p w14:paraId="076993DA" w14:textId="77777777" w:rsidR="00F2007D" w:rsidRPr="007B701A" w:rsidRDefault="00F2007D" w:rsidP="00F2007D">
      <w:pPr>
        <w:pStyle w:val="Pagrindinistekstas"/>
        <w:spacing w:after="0"/>
        <w:rPr>
          <w:sz w:val="22"/>
          <w:szCs w:val="22"/>
        </w:rPr>
      </w:pPr>
      <w:r w:rsidRPr="007B701A">
        <w:rPr>
          <w:sz w:val="22"/>
          <w:szCs w:val="22"/>
        </w:rPr>
        <w:t>Tel.: +370 5 263 60 37</w:t>
      </w:r>
    </w:p>
    <w:p w14:paraId="7859CB96" w14:textId="77777777" w:rsidR="00F2007D" w:rsidRPr="007B701A" w:rsidRDefault="00F2007D" w:rsidP="00F2007D">
      <w:pPr>
        <w:pStyle w:val="Pagrindinistekstas"/>
        <w:tabs>
          <w:tab w:val="left" w:pos="567"/>
        </w:tabs>
        <w:spacing w:after="0"/>
        <w:rPr>
          <w:sz w:val="22"/>
          <w:szCs w:val="22"/>
        </w:rPr>
      </w:pPr>
      <w:r w:rsidRPr="007B701A">
        <w:rPr>
          <w:sz w:val="22"/>
          <w:szCs w:val="22"/>
        </w:rPr>
        <w:t>Faksas: +370 5 263 60 36</w:t>
      </w:r>
    </w:p>
    <w:p w14:paraId="27E43EF1" w14:textId="77777777" w:rsidR="00F2007D" w:rsidRPr="007B701A" w:rsidRDefault="00F2007D" w:rsidP="00F2007D">
      <w:pPr>
        <w:jc w:val="both"/>
        <w:rPr>
          <w:color w:val="000000"/>
          <w:spacing w:val="-5"/>
          <w:sz w:val="22"/>
          <w:szCs w:val="22"/>
        </w:rPr>
      </w:pPr>
      <w:r w:rsidRPr="007B701A">
        <w:rPr>
          <w:sz w:val="22"/>
          <w:szCs w:val="22"/>
        </w:rPr>
        <w:t xml:space="preserve">El.pašto adresas: </w:t>
      </w:r>
      <w:hyperlink r:id="rId16" w:history="1">
        <w:r w:rsidR="00AD0594" w:rsidRPr="00145864">
          <w:rPr>
            <w:rStyle w:val="Hipersaitas"/>
            <w:spacing w:val="-5"/>
            <w:sz w:val="22"/>
            <w:szCs w:val="22"/>
          </w:rPr>
          <w:t>info.lithuania@sandoz.com</w:t>
        </w:r>
      </w:hyperlink>
      <w:r w:rsidR="00AD0594">
        <w:rPr>
          <w:spacing w:val="-5"/>
          <w:sz w:val="22"/>
          <w:szCs w:val="22"/>
        </w:rPr>
        <w:t xml:space="preserve"> </w:t>
      </w:r>
    </w:p>
    <w:p w14:paraId="7A4F6A5B" w14:textId="77777777" w:rsidR="00F2007D" w:rsidRPr="007B701A" w:rsidRDefault="00F2007D" w:rsidP="00F2007D">
      <w:pPr>
        <w:jc w:val="both"/>
        <w:rPr>
          <w:color w:val="000000"/>
          <w:spacing w:val="-5"/>
          <w:sz w:val="22"/>
          <w:szCs w:val="22"/>
        </w:rPr>
      </w:pPr>
      <w:r w:rsidRPr="007B701A">
        <w:rPr>
          <w:color w:val="000000"/>
          <w:spacing w:val="-5"/>
          <w:sz w:val="22"/>
          <w:szCs w:val="22"/>
        </w:rPr>
        <w:t>Nemokama linija pacientams +370 800 00877</w:t>
      </w:r>
    </w:p>
    <w:p w14:paraId="53B017D9" w14:textId="77777777" w:rsidR="00F2007D" w:rsidRPr="007B701A" w:rsidRDefault="00F2007D" w:rsidP="00F2007D">
      <w:pPr>
        <w:pStyle w:val="Pagrindinistekstas"/>
        <w:spacing w:after="0"/>
        <w:rPr>
          <w:bCs/>
          <w:iCs/>
          <w:sz w:val="22"/>
          <w:szCs w:val="22"/>
        </w:rPr>
      </w:pPr>
    </w:p>
    <w:p w14:paraId="258FC42A" w14:textId="2D0EE1EA" w:rsidR="00F2007D" w:rsidRPr="007B701A" w:rsidRDefault="00F2007D" w:rsidP="00F2007D">
      <w:pPr>
        <w:pStyle w:val="Pagrindinistekstas"/>
        <w:spacing w:after="0"/>
        <w:rPr>
          <w:b/>
          <w:sz w:val="22"/>
          <w:szCs w:val="22"/>
        </w:rPr>
      </w:pPr>
      <w:r w:rsidRPr="007B701A">
        <w:rPr>
          <w:b/>
          <w:bCs/>
          <w:sz w:val="22"/>
          <w:szCs w:val="22"/>
        </w:rPr>
        <w:t>Šis pakuotės lapelis</w:t>
      </w:r>
      <w:r w:rsidRPr="007B701A">
        <w:rPr>
          <w:b/>
          <w:sz w:val="22"/>
          <w:szCs w:val="22"/>
        </w:rPr>
        <w:t xml:space="preserve"> paskutinį kartą peržiūrėtas </w:t>
      </w:r>
      <w:r w:rsidR="00394B8D">
        <w:rPr>
          <w:b/>
          <w:sz w:val="22"/>
          <w:szCs w:val="22"/>
        </w:rPr>
        <w:t>201</w:t>
      </w:r>
      <w:r w:rsidR="00B00BF0">
        <w:rPr>
          <w:b/>
          <w:sz w:val="22"/>
          <w:szCs w:val="22"/>
        </w:rPr>
        <w:t>8</w:t>
      </w:r>
      <w:r w:rsidR="00394B8D">
        <w:rPr>
          <w:b/>
          <w:sz w:val="22"/>
          <w:szCs w:val="22"/>
        </w:rPr>
        <w:t>-0</w:t>
      </w:r>
      <w:r w:rsidR="00B00BF0">
        <w:rPr>
          <w:b/>
          <w:sz w:val="22"/>
          <w:szCs w:val="22"/>
        </w:rPr>
        <w:t>1</w:t>
      </w:r>
      <w:r w:rsidR="00394B8D">
        <w:rPr>
          <w:b/>
          <w:sz w:val="22"/>
          <w:szCs w:val="22"/>
        </w:rPr>
        <w:t>-0</w:t>
      </w:r>
      <w:r w:rsidR="00B00BF0">
        <w:rPr>
          <w:b/>
          <w:sz w:val="22"/>
          <w:szCs w:val="22"/>
        </w:rPr>
        <w:t>1</w:t>
      </w:r>
    </w:p>
    <w:p w14:paraId="17653B0E" w14:textId="77777777" w:rsidR="00F2007D" w:rsidRPr="007B701A" w:rsidRDefault="00F2007D" w:rsidP="00F2007D">
      <w:pPr>
        <w:numPr>
          <w:ilvl w:val="12"/>
          <w:numId w:val="0"/>
        </w:numPr>
        <w:ind w:left="567" w:hanging="567"/>
        <w:outlineLvl w:val="0"/>
        <w:rPr>
          <w:sz w:val="22"/>
          <w:szCs w:val="22"/>
        </w:rPr>
      </w:pPr>
    </w:p>
    <w:p w14:paraId="2197399E" w14:textId="77777777" w:rsidR="00F2007D" w:rsidRPr="007B701A" w:rsidRDefault="00F2007D" w:rsidP="00F2007D">
      <w:pPr>
        <w:rPr>
          <w:color w:val="0000FF"/>
          <w:sz w:val="22"/>
          <w:szCs w:val="22"/>
        </w:rPr>
      </w:pPr>
      <w:r w:rsidRPr="007B701A">
        <w:rPr>
          <w:sz w:val="22"/>
          <w:szCs w:val="22"/>
        </w:rPr>
        <w:t>Išsami informacija apie šį vaistą pateikiama Valstybinės vaistų kontrolės tarnybos prie Lietuvos Respublikos sveikatos apsaugos ministerijos tinklalapyje</w:t>
      </w:r>
      <w:r w:rsidRPr="007B701A">
        <w:rPr>
          <w:i/>
          <w:sz w:val="22"/>
          <w:szCs w:val="22"/>
        </w:rPr>
        <w:t xml:space="preserve"> </w:t>
      </w:r>
      <w:hyperlink r:id="rId17" w:history="1">
        <w:r w:rsidRPr="007B701A">
          <w:rPr>
            <w:color w:val="0000FF"/>
            <w:sz w:val="22"/>
            <w:szCs w:val="22"/>
            <w:u w:val="single"/>
          </w:rPr>
          <w:t>http://www.vvkt.lt/</w:t>
        </w:r>
      </w:hyperlink>
      <w:r w:rsidRPr="007B701A">
        <w:rPr>
          <w:color w:val="0000FF"/>
          <w:sz w:val="22"/>
          <w:szCs w:val="22"/>
          <w:u w:val="single"/>
        </w:rPr>
        <w:t>.</w:t>
      </w:r>
    </w:p>
    <w:p w14:paraId="418A1859" w14:textId="77777777" w:rsidR="00F2007D" w:rsidRPr="007B701A" w:rsidRDefault="00F2007D" w:rsidP="00F2007D">
      <w:pPr>
        <w:rPr>
          <w:sz w:val="22"/>
          <w:szCs w:val="22"/>
        </w:rPr>
      </w:pPr>
    </w:p>
    <w:p w14:paraId="69D4DFC7" w14:textId="77777777" w:rsidR="00F2007D" w:rsidRPr="007B701A" w:rsidRDefault="00F2007D" w:rsidP="00F2007D">
      <w:pPr>
        <w:rPr>
          <w:sz w:val="22"/>
          <w:szCs w:val="22"/>
        </w:rPr>
      </w:pPr>
      <w:permStart w:id="431906829" w:edGrp="everyone"/>
      <w:permEnd w:id="431906829"/>
    </w:p>
    <w:p w14:paraId="2699C025" w14:textId="77777777" w:rsidR="00F2007D" w:rsidRDefault="00F2007D" w:rsidP="00F2007D"/>
    <w:p w14:paraId="736CFFAA" w14:textId="77777777" w:rsidR="0014473F" w:rsidRDefault="0014473F"/>
    <w:sectPr w:rsidR="0014473F" w:rsidSect="00A4728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801CDC"/>
    <w:lvl w:ilvl="0">
      <w:numFmt w:val="decimal"/>
      <w:lvlText w:val="*"/>
      <w:lvlJc w:val="left"/>
      <w:rPr>
        <w:rFonts w:cs="Times New Roman"/>
      </w:rPr>
    </w:lvl>
  </w:abstractNum>
  <w:abstractNum w:abstractNumId="1" w15:restartNumberingAfterBreak="0">
    <w:nsid w:val="099B27EC"/>
    <w:multiLevelType w:val="hybridMultilevel"/>
    <w:tmpl w:val="C6483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7410A"/>
    <w:multiLevelType w:val="hybridMultilevel"/>
    <w:tmpl w:val="C4F22F3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4A10CA"/>
    <w:multiLevelType w:val="hybridMultilevel"/>
    <w:tmpl w:val="79566B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31C7E05"/>
    <w:multiLevelType w:val="hybridMultilevel"/>
    <w:tmpl w:val="C51410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68F3B3A"/>
    <w:multiLevelType w:val="hybridMultilevel"/>
    <w:tmpl w:val="E1D2FA62"/>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9CF7D60"/>
    <w:multiLevelType w:val="hybridMultilevel"/>
    <w:tmpl w:val="5C78CC2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D0B1A9B"/>
    <w:multiLevelType w:val="hybridMultilevel"/>
    <w:tmpl w:val="CCD22028"/>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3D74BC1"/>
    <w:multiLevelType w:val="hybridMultilevel"/>
    <w:tmpl w:val="E1306AF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48F5BAC"/>
    <w:multiLevelType w:val="hybridMultilevel"/>
    <w:tmpl w:val="424016D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76F2227"/>
    <w:multiLevelType w:val="hybridMultilevel"/>
    <w:tmpl w:val="C3124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8B6C90"/>
    <w:multiLevelType w:val="hybridMultilevel"/>
    <w:tmpl w:val="5218BD90"/>
    <w:lvl w:ilvl="0" w:tplc="234EE876">
      <w:start w:val="6"/>
      <w:numFmt w:val="bullet"/>
      <w:lvlText w:val="-"/>
      <w:lvlJc w:val="left"/>
      <w:pPr>
        <w:ind w:left="720" w:hanging="360"/>
      </w:pPr>
      <w:rPr>
        <w:rFonts w:ascii="Times New Roman" w:eastAsia="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63095E"/>
    <w:multiLevelType w:val="hybridMultilevel"/>
    <w:tmpl w:val="3D8EC886"/>
    <w:lvl w:ilvl="0" w:tplc="59964EE6">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D656E"/>
    <w:multiLevelType w:val="hybridMultilevel"/>
    <w:tmpl w:val="FD3805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D1A669B"/>
    <w:multiLevelType w:val="hybridMultilevel"/>
    <w:tmpl w:val="3FD8A920"/>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0F61563"/>
    <w:multiLevelType w:val="hybridMultilevel"/>
    <w:tmpl w:val="D7383244"/>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785B2E"/>
    <w:multiLevelType w:val="hybridMultilevel"/>
    <w:tmpl w:val="872C41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105DF5"/>
    <w:multiLevelType w:val="singleLevel"/>
    <w:tmpl w:val="743A4882"/>
    <w:lvl w:ilvl="0">
      <w:start w:val="2"/>
      <w:numFmt w:val="decimal"/>
      <w:lvlText w:val="%1. "/>
      <w:legacy w:legacy="1" w:legacySpace="0" w:legacyIndent="283"/>
      <w:lvlJc w:val="left"/>
      <w:pPr>
        <w:ind w:left="463" w:hanging="283"/>
      </w:pPr>
      <w:rPr>
        <w:rFonts w:ascii="TimesLT" w:hAnsi="TimesLT" w:cs="Times New Roman" w:hint="default"/>
        <w:b w:val="0"/>
        <w:i w:val="0"/>
        <w:sz w:val="22"/>
        <w:szCs w:val="22"/>
        <w:u w:val="none"/>
      </w:rPr>
    </w:lvl>
  </w:abstractNum>
  <w:abstractNum w:abstractNumId="19" w15:restartNumberingAfterBreak="0">
    <w:nsid w:val="705D7786"/>
    <w:multiLevelType w:val="hybridMultilevel"/>
    <w:tmpl w:val="3854445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7F82B39"/>
    <w:multiLevelType w:val="hybridMultilevel"/>
    <w:tmpl w:val="E870BB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E9503C"/>
    <w:multiLevelType w:val="hybridMultilevel"/>
    <w:tmpl w:val="84229CB2"/>
    <w:lvl w:ilvl="0" w:tplc="67522004">
      <w:start w:val="1"/>
      <w:numFmt w:val="bullet"/>
      <w:lvlText w:val=""/>
      <w:lvlJc w:val="left"/>
      <w:pPr>
        <w:tabs>
          <w:tab w:val="num" w:pos="777"/>
        </w:tabs>
        <w:ind w:left="70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360BD4"/>
    <w:multiLevelType w:val="hybridMultilevel"/>
    <w:tmpl w:val="DD465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1"/>
  </w:num>
  <w:num w:numId="3">
    <w:abstractNumId w:val="13"/>
  </w:num>
  <w:num w:numId="4">
    <w:abstractNumId w:val="20"/>
  </w:num>
  <w:num w:numId="5">
    <w:abstractNumId w:val="16"/>
  </w:num>
  <w:num w:numId="6">
    <w:abstractNumId w:val="22"/>
  </w:num>
  <w:num w:numId="7">
    <w:abstractNumId w:val="15"/>
  </w:num>
  <w:num w:numId="8">
    <w:abstractNumId w:val="7"/>
  </w:num>
  <w:num w:numId="9">
    <w:abstractNumId w:val="11"/>
  </w:num>
  <w:num w:numId="10">
    <w:abstractNumId w:val="12"/>
  </w:num>
  <w:num w:numId="11">
    <w:abstractNumId w:val="6"/>
  </w:num>
  <w:num w:numId="12">
    <w:abstractNumId w:val="9"/>
  </w:num>
  <w:num w:numId="13">
    <w:abstractNumId w:val="8"/>
  </w:num>
  <w:num w:numId="14">
    <w:abstractNumId w:val="5"/>
  </w:num>
  <w:num w:numId="15">
    <w:abstractNumId w:val="1"/>
  </w:num>
  <w:num w:numId="16">
    <w:abstractNumId w:val="19"/>
  </w:num>
  <w:num w:numId="17">
    <w:abstractNumId w:val="14"/>
  </w:num>
  <w:num w:numId="18">
    <w:abstractNumId w:val="17"/>
  </w:num>
  <w:num w:numId="19">
    <w:abstractNumId w:val="4"/>
  </w:num>
  <w:num w:numId="20">
    <w:abstractNumId w:val="3"/>
  </w:num>
  <w:num w:numId="21">
    <w:abstractNumId w:val="18"/>
  </w:num>
  <w:num w:numId="22">
    <w:abstractNumId w:val="18"/>
    <w:lvlOverride w:ilvl="0">
      <w:lvl w:ilvl="0">
        <w:start w:val="1"/>
        <w:numFmt w:val="decimal"/>
        <w:lvlText w:val="%1. "/>
        <w:legacy w:legacy="1" w:legacySpace="0" w:legacyIndent="283"/>
        <w:lvlJc w:val="left"/>
        <w:pPr>
          <w:ind w:left="463" w:hanging="283"/>
        </w:pPr>
        <w:rPr>
          <w:rFonts w:ascii="TimesLT" w:hAnsi="TimesLT" w:cs="Times New Roman" w:hint="default"/>
          <w:b w:val="0"/>
          <w:i w:val="0"/>
          <w:sz w:val="22"/>
          <w:szCs w:val="22"/>
          <w:u w:val="none"/>
        </w:rPr>
      </w:lvl>
    </w:lvlOverride>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zEQA2wH8qQ+QNpCGKM2NxUDie3snUWuR3WyvVV0CXOaIcDtz8EKZw7ihYEQymXsw+0gOwCXRKAo1iMDx2VQ3A==" w:salt="TB3MDVlYwgZ+3K84WfUnS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7D"/>
    <w:rsid w:val="000717D9"/>
    <w:rsid w:val="00090638"/>
    <w:rsid w:val="0009588A"/>
    <w:rsid w:val="000D58AA"/>
    <w:rsid w:val="0014473F"/>
    <w:rsid w:val="00183673"/>
    <w:rsid w:val="00224F07"/>
    <w:rsid w:val="00234464"/>
    <w:rsid w:val="002500F3"/>
    <w:rsid w:val="002B4D15"/>
    <w:rsid w:val="003502DF"/>
    <w:rsid w:val="00362C72"/>
    <w:rsid w:val="00375C73"/>
    <w:rsid w:val="003837EB"/>
    <w:rsid w:val="00394B8D"/>
    <w:rsid w:val="003A7A27"/>
    <w:rsid w:val="003C1A21"/>
    <w:rsid w:val="003D281D"/>
    <w:rsid w:val="003F59C5"/>
    <w:rsid w:val="00451BAB"/>
    <w:rsid w:val="00481F9C"/>
    <w:rsid w:val="00484C49"/>
    <w:rsid w:val="00492ADB"/>
    <w:rsid w:val="004A5D52"/>
    <w:rsid w:val="004E53E4"/>
    <w:rsid w:val="00551B2D"/>
    <w:rsid w:val="00554058"/>
    <w:rsid w:val="00554CEC"/>
    <w:rsid w:val="005F52AF"/>
    <w:rsid w:val="00641914"/>
    <w:rsid w:val="006B1E24"/>
    <w:rsid w:val="006E1FBD"/>
    <w:rsid w:val="007157F8"/>
    <w:rsid w:val="00731EEC"/>
    <w:rsid w:val="0073449A"/>
    <w:rsid w:val="00766C03"/>
    <w:rsid w:val="007732D3"/>
    <w:rsid w:val="007803A1"/>
    <w:rsid w:val="007E7943"/>
    <w:rsid w:val="008379EF"/>
    <w:rsid w:val="008A37D1"/>
    <w:rsid w:val="008A3F18"/>
    <w:rsid w:val="008A6E31"/>
    <w:rsid w:val="008C328D"/>
    <w:rsid w:val="008D0A4B"/>
    <w:rsid w:val="008D2266"/>
    <w:rsid w:val="008E76F1"/>
    <w:rsid w:val="009274BA"/>
    <w:rsid w:val="00933DD8"/>
    <w:rsid w:val="00946E4D"/>
    <w:rsid w:val="009947E9"/>
    <w:rsid w:val="00A20319"/>
    <w:rsid w:val="00A46375"/>
    <w:rsid w:val="00A47281"/>
    <w:rsid w:val="00A758BD"/>
    <w:rsid w:val="00AD0594"/>
    <w:rsid w:val="00AF4512"/>
    <w:rsid w:val="00B00BF0"/>
    <w:rsid w:val="00B7172F"/>
    <w:rsid w:val="00BB6F73"/>
    <w:rsid w:val="00BF0CD3"/>
    <w:rsid w:val="00C2324C"/>
    <w:rsid w:val="00C2459C"/>
    <w:rsid w:val="00C8379A"/>
    <w:rsid w:val="00D56E00"/>
    <w:rsid w:val="00D73B1C"/>
    <w:rsid w:val="00DA3AAF"/>
    <w:rsid w:val="00DC2416"/>
    <w:rsid w:val="00DD4D90"/>
    <w:rsid w:val="00E0100A"/>
    <w:rsid w:val="00E12E5C"/>
    <w:rsid w:val="00E722D8"/>
    <w:rsid w:val="00F2007D"/>
    <w:rsid w:val="00F364D7"/>
    <w:rsid w:val="00F7005D"/>
    <w:rsid w:val="00F730C5"/>
    <w:rsid w:val="00FC308F"/>
    <w:rsid w:val="00FD3111"/>
    <w:rsid w:val="00FF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80ED8"/>
  <w15:docId w15:val="{F26180A7-FF7C-44D0-B5A3-D0D40737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007D"/>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lt-LT"/>
    </w:rPr>
  </w:style>
  <w:style w:type="paragraph" w:styleId="Antrat1">
    <w:name w:val="heading 1"/>
    <w:basedOn w:val="prastasis"/>
    <w:next w:val="prastasis"/>
    <w:link w:val="Antrat1Diagrama"/>
    <w:uiPriority w:val="9"/>
    <w:qFormat/>
    <w:rsid w:val="00F200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F2007D"/>
    <w:pPr>
      <w:keepNext/>
      <w:spacing w:line="360" w:lineRule="auto"/>
      <w:jc w:val="both"/>
      <w:outlineLvl w:val="1"/>
    </w:pPr>
    <w:rPr>
      <w:i/>
      <w:iCs/>
    </w:rPr>
  </w:style>
  <w:style w:type="paragraph" w:styleId="Antrat3">
    <w:name w:val="heading 3"/>
    <w:basedOn w:val="prastasis"/>
    <w:next w:val="prastasis"/>
    <w:link w:val="Antrat3Diagrama"/>
    <w:qFormat/>
    <w:rsid w:val="00F2007D"/>
    <w:pPr>
      <w:keepNext/>
      <w:spacing w:line="360" w:lineRule="auto"/>
      <w:jc w:val="both"/>
      <w:outlineLvl w:val="2"/>
    </w:pPr>
    <w:rPr>
      <w:i/>
      <w:iCs/>
      <w:u w:val="single"/>
    </w:rPr>
  </w:style>
  <w:style w:type="paragraph" w:styleId="Antrat4">
    <w:name w:val="heading 4"/>
    <w:basedOn w:val="prastasis"/>
    <w:next w:val="prastasis"/>
    <w:link w:val="Antrat4Diagrama"/>
    <w:uiPriority w:val="9"/>
    <w:semiHidden/>
    <w:unhideWhenUsed/>
    <w:qFormat/>
    <w:rsid w:val="00F200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007D"/>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F2007D"/>
    <w:rPr>
      <w:rFonts w:ascii="Times New Roman" w:eastAsia="Calibri" w:hAnsi="Times New Roman" w:cs="Times New Roman"/>
      <w:i/>
      <w:iCs/>
      <w:sz w:val="24"/>
      <w:szCs w:val="20"/>
      <w:lang w:val="lt-LT"/>
    </w:rPr>
  </w:style>
  <w:style w:type="character" w:customStyle="1" w:styleId="Antrat3Diagrama">
    <w:name w:val="Antraštė 3 Diagrama"/>
    <w:basedOn w:val="Numatytasispastraiposriftas"/>
    <w:link w:val="Antrat3"/>
    <w:rsid w:val="00F2007D"/>
    <w:rPr>
      <w:rFonts w:ascii="Times New Roman" w:eastAsia="Calibri" w:hAnsi="Times New Roman" w:cs="Times New Roman"/>
      <w:i/>
      <w:iCs/>
      <w:sz w:val="24"/>
      <w:szCs w:val="20"/>
      <w:u w:val="single"/>
      <w:lang w:val="lt-LT"/>
    </w:rPr>
  </w:style>
  <w:style w:type="character" w:customStyle="1" w:styleId="Antrat4Diagrama">
    <w:name w:val="Antraštė 4 Diagrama"/>
    <w:basedOn w:val="Numatytasispastraiposriftas"/>
    <w:link w:val="Antrat4"/>
    <w:uiPriority w:val="9"/>
    <w:semiHidden/>
    <w:rsid w:val="00F2007D"/>
    <w:rPr>
      <w:rFonts w:asciiTheme="majorHAnsi" w:eastAsiaTheme="majorEastAsia" w:hAnsiTheme="majorHAnsi" w:cstheme="majorBidi"/>
      <w:b/>
      <w:bCs/>
      <w:i/>
      <w:iCs/>
      <w:color w:val="4F81BD" w:themeColor="accent1"/>
      <w:sz w:val="24"/>
      <w:szCs w:val="20"/>
      <w:lang w:val="lt-LT"/>
    </w:rPr>
  </w:style>
  <w:style w:type="paragraph" w:styleId="Pagrindinistekstas">
    <w:name w:val="Body Text"/>
    <w:basedOn w:val="prastasis"/>
    <w:link w:val="PagrindinistekstasDiagrama"/>
    <w:rsid w:val="00F2007D"/>
    <w:pPr>
      <w:spacing w:after="120"/>
    </w:pPr>
  </w:style>
  <w:style w:type="character" w:customStyle="1" w:styleId="PagrindinistekstasDiagrama">
    <w:name w:val="Pagrindinis tekstas Diagrama"/>
    <w:basedOn w:val="Numatytasispastraiposriftas"/>
    <w:link w:val="Pagrindinistekstas"/>
    <w:rsid w:val="00F2007D"/>
    <w:rPr>
      <w:rFonts w:ascii="Times New Roman" w:eastAsia="Calibri" w:hAnsi="Times New Roman" w:cs="Times New Roman"/>
      <w:sz w:val="24"/>
      <w:szCs w:val="20"/>
      <w:lang w:val="lt-LT"/>
    </w:rPr>
  </w:style>
  <w:style w:type="paragraph" w:styleId="Pagrindinistekstas2">
    <w:name w:val="Body Text 2"/>
    <w:basedOn w:val="prastasis"/>
    <w:link w:val="Pagrindinistekstas2Diagrama"/>
    <w:rsid w:val="00F2007D"/>
    <w:pPr>
      <w:overflowPunct/>
      <w:autoSpaceDE/>
      <w:autoSpaceDN/>
      <w:adjustRightInd/>
      <w:spacing w:line="360" w:lineRule="auto"/>
      <w:jc w:val="both"/>
      <w:textAlignment w:val="auto"/>
    </w:pPr>
  </w:style>
  <w:style w:type="character" w:customStyle="1" w:styleId="Pagrindinistekstas2Diagrama">
    <w:name w:val="Pagrindinis tekstas 2 Diagrama"/>
    <w:basedOn w:val="Numatytasispastraiposriftas"/>
    <w:link w:val="Pagrindinistekstas2"/>
    <w:rsid w:val="00F2007D"/>
    <w:rPr>
      <w:rFonts w:ascii="Times New Roman" w:eastAsia="Calibri" w:hAnsi="Times New Roman" w:cs="Times New Roman"/>
      <w:sz w:val="24"/>
      <w:szCs w:val="20"/>
      <w:lang w:val="lt-LT"/>
    </w:rPr>
  </w:style>
  <w:style w:type="paragraph" w:styleId="Antrats">
    <w:name w:val="header"/>
    <w:basedOn w:val="prastasis"/>
    <w:link w:val="AntratsDiagrama"/>
    <w:rsid w:val="00F2007D"/>
    <w:pPr>
      <w:tabs>
        <w:tab w:val="center" w:pos="4153"/>
        <w:tab w:val="right" w:pos="8306"/>
      </w:tabs>
    </w:pPr>
    <w:rPr>
      <w:rFonts w:ascii="TimesLT" w:hAnsi="TimesLT"/>
    </w:rPr>
  </w:style>
  <w:style w:type="character" w:customStyle="1" w:styleId="AntratsDiagrama">
    <w:name w:val="Antraštės Diagrama"/>
    <w:basedOn w:val="Numatytasispastraiposriftas"/>
    <w:link w:val="Antrats"/>
    <w:rsid w:val="00F2007D"/>
    <w:rPr>
      <w:rFonts w:ascii="TimesLT" w:eastAsia="Calibri" w:hAnsi="TimesLT" w:cs="Times New Roman"/>
      <w:sz w:val="24"/>
      <w:szCs w:val="20"/>
      <w:lang w:val="lt-LT"/>
    </w:rPr>
  </w:style>
  <w:style w:type="paragraph" w:styleId="Komentarotekstas">
    <w:name w:val="annotation text"/>
    <w:basedOn w:val="prastasis"/>
    <w:link w:val="KomentarotekstasDiagrama"/>
    <w:rsid w:val="00F2007D"/>
    <w:rPr>
      <w:szCs w:val="24"/>
    </w:rPr>
  </w:style>
  <w:style w:type="character" w:customStyle="1" w:styleId="KomentarotekstasDiagrama">
    <w:name w:val="Komentaro tekstas Diagrama"/>
    <w:basedOn w:val="Numatytasispastraiposriftas"/>
    <w:link w:val="Komentarotekstas"/>
    <w:rsid w:val="00F2007D"/>
    <w:rPr>
      <w:rFonts w:ascii="Times New Roman" w:eastAsia="Calibri" w:hAnsi="Times New Roman" w:cs="Times New Roman"/>
      <w:sz w:val="24"/>
      <w:szCs w:val="24"/>
      <w:lang w:val="lt-LT"/>
    </w:rPr>
  </w:style>
  <w:style w:type="paragraph" w:customStyle="1" w:styleId="Text">
    <w:name w:val="Text"/>
    <w:basedOn w:val="prastasis"/>
    <w:rsid w:val="00F2007D"/>
    <w:pPr>
      <w:overflowPunct/>
      <w:autoSpaceDE/>
      <w:autoSpaceDN/>
      <w:adjustRightInd/>
      <w:spacing w:before="120"/>
      <w:jc w:val="both"/>
      <w:textAlignment w:val="auto"/>
    </w:pPr>
    <w:rPr>
      <w:rFonts w:ascii="Arial" w:hAnsi="Arial"/>
      <w:sz w:val="22"/>
      <w:lang w:val="en-US"/>
    </w:rPr>
  </w:style>
  <w:style w:type="paragraph" w:styleId="Komentarotema">
    <w:name w:val="annotation subject"/>
    <w:basedOn w:val="Komentarotekstas"/>
    <w:next w:val="Komentarotekstas"/>
    <w:link w:val="KomentarotemaDiagrama"/>
    <w:semiHidden/>
    <w:rsid w:val="00F2007D"/>
    <w:rPr>
      <w:b/>
      <w:bCs/>
      <w:sz w:val="20"/>
      <w:szCs w:val="20"/>
    </w:rPr>
  </w:style>
  <w:style w:type="character" w:customStyle="1" w:styleId="KomentarotemaDiagrama">
    <w:name w:val="Komentaro tema Diagrama"/>
    <w:basedOn w:val="KomentarotekstasDiagrama"/>
    <w:link w:val="Komentarotema"/>
    <w:semiHidden/>
    <w:rsid w:val="00F2007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200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007D"/>
    <w:rPr>
      <w:rFonts w:ascii="Tahoma" w:eastAsia="Calibri" w:hAnsi="Tahoma" w:cs="Tahoma"/>
      <w:sz w:val="16"/>
      <w:szCs w:val="16"/>
      <w:lang w:val="lt-LT"/>
    </w:rPr>
  </w:style>
  <w:style w:type="paragraph" w:styleId="Sraopastraipa">
    <w:name w:val="List Paragraph"/>
    <w:basedOn w:val="prastasis"/>
    <w:uiPriority w:val="34"/>
    <w:qFormat/>
    <w:rsid w:val="00F2007D"/>
    <w:pPr>
      <w:ind w:left="720"/>
      <w:contextualSpacing/>
    </w:pPr>
  </w:style>
  <w:style w:type="paragraph" w:styleId="Pataisymai">
    <w:name w:val="Revision"/>
    <w:hidden/>
    <w:uiPriority w:val="99"/>
    <w:semiHidden/>
    <w:rsid w:val="00F2007D"/>
    <w:pPr>
      <w:spacing w:after="0" w:line="240" w:lineRule="auto"/>
    </w:pPr>
    <w:rPr>
      <w:rFonts w:ascii="Times New Roman" w:eastAsia="Calibri" w:hAnsi="Times New Roman" w:cs="Times New Roman"/>
      <w:sz w:val="24"/>
      <w:szCs w:val="20"/>
      <w:lang w:val="lt-LT"/>
    </w:rPr>
  </w:style>
  <w:style w:type="character" w:styleId="Hipersaitas">
    <w:name w:val="Hyperlink"/>
    <w:basedOn w:val="Numatytasispastraiposriftas"/>
    <w:uiPriority w:val="99"/>
    <w:unhideWhenUsed/>
    <w:rsid w:val="00F2007D"/>
    <w:rPr>
      <w:color w:val="0000FF"/>
      <w:u w:val="single"/>
    </w:rPr>
  </w:style>
  <w:style w:type="character" w:styleId="Komentaronuoroda">
    <w:name w:val="annotation reference"/>
    <w:basedOn w:val="Numatytasispastraiposriftas"/>
    <w:uiPriority w:val="99"/>
    <w:semiHidden/>
    <w:unhideWhenUsed/>
    <w:rsid w:val="00F2007D"/>
    <w:rPr>
      <w:sz w:val="16"/>
      <w:szCs w:val="16"/>
    </w:rPr>
  </w:style>
  <w:style w:type="paragraph" w:styleId="Paprastasistekstas">
    <w:name w:val="Plain Text"/>
    <w:basedOn w:val="prastasis"/>
    <w:link w:val="PaprastasistekstasDiagrama"/>
    <w:uiPriority w:val="99"/>
    <w:semiHidden/>
    <w:unhideWhenUsed/>
    <w:rsid w:val="00F2007D"/>
    <w:pPr>
      <w:overflowPunct/>
      <w:autoSpaceDE/>
      <w:autoSpaceDN/>
      <w:adjustRightInd/>
      <w:textAlignment w:val="auto"/>
    </w:pPr>
    <w:rPr>
      <w:rFonts w:ascii="Calibri" w:eastAsiaTheme="minorHAnsi" w:hAnsi="Calibri" w:cstheme="minorBidi"/>
      <w:sz w:val="22"/>
      <w:szCs w:val="21"/>
      <w:lang w:val="en-US" w:eastAsia="zh-TW"/>
    </w:rPr>
  </w:style>
  <w:style w:type="character" w:customStyle="1" w:styleId="PaprastasistekstasDiagrama">
    <w:name w:val="Paprastasis tekstas Diagrama"/>
    <w:basedOn w:val="Numatytasispastraiposriftas"/>
    <w:link w:val="Paprastasistekstas"/>
    <w:uiPriority w:val="99"/>
    <w:semiHidden/>
    <w:rsid w:val="00F2007D"/>
    <w:rPr>
      <w:rFonts w:ascii="Calibri" w:hAnsi="Calibri"/>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info.lithuania@sando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384615384615"/>
          <c:y val="6.8750000000000006E-2"/>
          <c:w val="0.85897435897435903"/>
          <c:h val="0.75"/>
        </c:manualLayout>
      </c:layout>
      <c:scatterChart>
        <c:scatterStyle val="lineMarker"/>
        <c:varyColors val="0"/>
        <c:ser>
          <c:idx val="0"/>
          <c:order val="0"/>
          <c:tx>
            <c:strRef>
              <c:f>englisch!$A$5</c:f>
              <c:strCache>
                <c:ptCount val="1"/>
                <c:pt idx="0">
                  <c:v>test preparation</c:v>
                </c:pt>
              </c:strCache>
            </c:strRef>
          </c:tx>
          <c:spPr>
            <a:ln w="13424">
              <a:solidFill>
                <a:srgbClr val="000000"/>
              </a:solidFill>
              <a:prstDash val="solid"/>
            </a:ln>
          </c:spPr>
          <c:marker>
            <c:symbol val="circle"/>
            <c:size val="4"/>
            <c:spPr>
              <a:solidFill>
                <a:srgbClr val="000000"/>
              </a:solidFill>
              <a:ln>
                <a:solidFill>
                  <a:srgbClr val="000000"/>
                </a:solidFill>
                <a:prstDash val="solid"/>
              </a:ln>
            </c:spPr>
          </c:marker>
          <c:xVal>
            <c:numRef>
              <c:f>englisch!$B$4:$S$4</c:f>
              <c:numCache>
                <c:formatCode>General</c:formatCode>
                <c:ptCount val="18"/>
                <c:pt idx="0">
                  <c:v>0</c:v>
                </c:pt>
                <c:pt idx="1">
                  <c:v>0.5</c:v>
                </c:pt>
                <c:pt idx="2">
                  <c:v>1</c:v>
                </c:pt>
                <c:pt idx="3">
                  <c:v>1.5</c:v>
                </c:pt>
                <c:pt idx="4">
                  <c:v>2</c:v>
                </c:pt>
                <c:pt idx="5">
                  <c:v>4</c:v>
                </c:pt>
                <c:pt idx="6">
                  <c:v>6</c:v>
                </c:pt>
                <c:pt idx="7">
                  <c:v>8</c:v>
                </c:pt>
                <c:pt idx="8">
                  <c:v>12</c:v>
                </c:pt>
                <c:pt idx="9">
                  <c:v>24</c:v>
                </c:pt>
              </c:numCache>
            </c:numRef>
          </c:xVal>
          <c:yVal>
            <c:numRef>
              <c:f>englisch!$B$5:$S$5</c:f>
              <c:numCache>
                <c:formatCode>General</c:formatCode>
                <c:ptCount val="18"/>
                <c:pt idx="0">
                  <c:v>0</c:v>
                </c:pt>
                <c:pt idx="1">
                  <c:v>100</c:v>
                </c:pt>
                <c:pt idx="2">
                  <c:v>280</c:v>
                </c:pt>
                <c:pt idx="3">
                  <c:v>440</c:v>
                </c:pt>
                <c:pt idx="4">
                  <c:v>420</c:v>
                </c:pt>
                <c:pt idx="5">
                  <c:v>390</c:v>
                </c:pt>
                <c:pt idx="6">
                  <c:v>270</c:v>
                </c:pt>
                <c:pt idx="7">
                  <c:v>170</c:v>
                </c:pt>
                <c:pt idx="8">
                  <c:v>70</c:v>
                </c:pt>
                <c:pt idx="9">
                  <c:v>0</c:v>
                </c:pt>
              </c:numCache>
            </c:numRef>
          </c:yVal>
          <c:smooth val="0"/>
        </c:ser>
        <c:ser>
          <c:idx val="1"/>
          <c:order val="1"/>
          <c:tx>
            <c:strRef>
              <c:f>englisch!$A$6</c:f>
              <c:strCache>
                <c:ptCount val="1"/>
                <c:pt idx="0">
                  <c:v>reference preparation</c:v>
                </c:pt>
              </c:strCache>
            </c:strRef>
          </c:tx>
          <c:spPr>
            <a:ln w="13424">
              <a:solidFill>
                <a:srgbClr val="000000"/>
              </a:solidFill>
              <a:prstDash val="solid"/>
            </a:ln>
          </c:spPr>
          <c:marker>
            <c:symbol val="square"/>
            <c:size val="4"/>
            <c:spPr>
              <a:solidFill>
                <a:srgbClr val="FFFFFF"/>
              </a:solidFill>
              <a:ln>
                <a:solidFill>
                  <a:srgbClr val="000000"/>
                </a:solidFill>
                <a:prstDash val="solid"/>
              </a:ln>
            </c:spPr>
          </c:marker>
          <c:xVal>
            <c:numRef>
              <c:f>englisch!$B$4:$S$4</c:f>
              <c:numCache>
                <c:formatCode>General</c:formatCode>
                <c:ptCount val="18"/>
                <c:pt idx="0">
                  <c:v>0</c:v>
                </c:pt>
                <c:pt idx="1">
                  <c:v>0.5</c:v>
                </c:pt>
                <c:pt idx="2">
                  <c:v>1</c:v>
                </c:pt>
                <c:pt idx="3">
                  <c:v>1.5</c:v>
                </c:pt>
                <c:pt idx="4">
                  <c:v>2</c:v>
                </c:pt>
                <c:pt idx="5">
                  <c:v>4</c:v>
                </c:pt>
                <c:pt idx="6">
                  <c:v>6</c:v>
                </c:pt>
                <c:pt idx="7">
                  <c:v>8</c:v>
                </c:pt>
                <c:pt idx="8">
                  <c:v>12</c:v>
                </c:pt>
                <c:pt idx="9">
                  <c:v>24</c:v>
                </c:pt>
              </c:numCache>
            </c:numRef>
          </c:xVal>
          <c:yVal>
            <c:numRef>
              <c:f>englisch!$B$6:$S$6</c:f>
              <c:numCache>
                <c:formatCode>General</c:formatCode>
                <c:ptCount val="18"/>
                <c:pt idx="0">
                  <c:v>0</c:v>
                </c:pt>
                <c:pt idx="1">
                  <c:v>100</c:v>
                </c:pt>
                <c:pt idx="2">
                  <c:v>300</c:v>
                </c:pt>
                <c:pt idx="3">
                  <c:v>420</c:v>
                </c:pt>
                <c:pt idx="4">
                  <c:v>430</c:v>
                </c:pt>
                <c:pt idx="5">
                  <c:v>400</c:v>
                </c:pt>
                <c:pt idx="6">
                  <c:v>280</c:v>
                </c:pt>
                <c:pt idx="7">
                  <c:v>180</c:v>
                </c:pt>
                <c:pt idx="8">
                  <c:v>90</c:v>
                </c:pt>
                <c:pt idx="9">
                  <c:v>0</c:v>
                </c:pt>
              </c:numCache>
            </c:numRef>
          </c:yVal>
          <c:smooth val="0"/>
        </c:ser>
        <c:dLbls>
          <c:showLegendKey val="0"/>
          <c:showVal val="0"/>
          <c:showCatName val="0"/>
          <c:showSerName val="0"/>
          <c:showPercent val="0"/>
          <c:showBubbleSize val="0"/>
        </c:dLbls>
        <c:axId val="119310384"/>
        <c:axId val="119310944"/>
      </c:scatterChart>
      <c:valAx>
        <c:axId val="119310384"/>
        <c:scaling>
          <c:orientation val="minMax"/>
          <c:max val="24"/>
        </c:scaling>
        <c:delete val="0"/>
        <c:axPos val="b"/>
        <c:title>
          <c:tx>
            <c:rich>
              <a:bodyPr/>
              <a:lstStyle/>
              <a:p>
                <a:pPr>
                  <a:defRPr sz="951" b="1" i="0" u="none" strike="noStrike" baseline="0">
                    <a:solidFill>
                      <a:srgbClr val="000000"/>
                    </a:solidFill>
                    <a:latin typeface="Arial"/>
                    <a:ea typeface="Arial"/>
                    <a:cs typeface="Arial"/>
                  </a:defRPr>
                </a:pPr>
                <a:r>
                  <a:rPr lang="lt-LT"/>
                  <a:t>time [h]</a:t>
                </a:r>
              </a:p>
            </c:rich>
          </c:tx>
          <c:layout>
            <c:manualLayout>
              <c:xMode val="edge"/>
              <c:yMode val="edge"/>
              <c:x val="0.5"/>
              <c:y val="0.9"/>
            </c:manualLayout>
          </c:layout>
          <c:overlay val="0"/>
          <c:spPr>
            <a:noFill/>
            <a:ln w="26850">
              <a:noFill/>
            </a:ln>
          </c:spPr>
        </c:title>
        <c:numFmt formatCode="General" sourceLinked="1"/>
        <c:majorTickMark val="cross"/>
        <c:minorTickMark val="none"/>
        <c:tickLblPos val="nextTo"/>
        <c:spPr>
          <a:ln w="3356">
            <a:solidFill>
              <a:srgbClr val="000000"/>
            </a:solidFill>
            <a:prstDash val="solid"/>
          </a:ln>
        </c:spPr>
        <c:txPr>
          <a:bodyPr rot="0" vert="horz"/>
          <a:lstStyle/>
          <a:p>
            <a:pPr>
              <a:defRPr sz="846" b="0" i="0" u="none" strike="noStrike" baseline="0">
                <a:solidFill>
                  <a:srgbClr val="000000"/>
                </a:solidFill>
                <a:latin typeface="Arial"/>
                <a:ea typeface="Arial"/>
                <a:cs typeface="Arial"/>
              </a:defRPr>
            </a:pPr>
            <a:endParaRPr lang="lt-LT"/>
          </a:p>
        </c:txPr>
        <c:crossAx val="119310944"/>
        <c:crosses val="autoZero"/>
        <c:crossBetween val="midCat"/>
        <c:majorUnit val="6"/>
        <c:minorUnit val="3"/>
      </c:valAx>
      <c:valAx>
        <c:axId val="119310944"/>
        <c:scaling>
          <c:orientation val="minMax"/>
          <c:max val="500"/>
        </c:scaling>
        <c:delete val="0"/>
        <c:axPos val="l"/>
        <c:title>
          <c:tx>
            <c:rich>
              <a:bodyPr/>
              <a:lstStyle/>
              <a:p>
                <a:pPr>
                  <a:defRPr sz="951" b="1" i="0" u="none" strike="noStrike" baseline="0">
                    <a:solidFill>
                      <a:srgbClr val="000000"/>
                    </a:solidFill>
                    <a:latin typeface="Arial"/>
                    <a:ea typeface="Arial"/>
                    <a:cs typeface="Arial"/>
                  </a:defRPr>
                </a:pPr>
                <a:r>
                  <a:rPr lang="lt-LT"/>
                  <a:t>concentration [ng/ml]</a:t>
                </a:r>
              </a:p>
            </c:rich>
          </c:tx>
          <c:layout>
            <c:manualLayout>
              <c:xMode val="edge"/>
              <c:yMode val="edge"/>
              <c:x val="2.19779378111544E-2"/>
              <c:y val="0.24687507811523601"/>
            </c:manualLayout>
          </c:layout>
          <c:overlay val="0"/>
          <c:spPr>
            <a:noFill/>
            <a:ln w="26850">
              <a:noFill/>
            </a:ln>
          </c:spPr>
        </c:title>
        <c:numFmt formatCode="General" sourceLinked="1"/>
        <c:majorTickMark val="cross"/>
        <c:minorTickMark val="none"/>
        <c:tickLblPos val="nextTo"/>
        <c:spPr>
          <a:ln w="3356">
            <a:solidFill>
              <a:srgbClr val="000000"/>
            </a:solidFill>
            <a:prstDash val="solid"/>
          </a:ln>
        </c:spPr>
        <c:txPr>
          <a:bodyPr rot="0" vert="horz"/>
          <a:lstStyle/>
          <a:p>
            <a:pPr>
              <a:defRPr sz="846" b="0" i="0" u="none" strike="noStrike" baseline="0">
                <a:solidFill>
                  <a:srgbClr val="000000"/>
                </a:solidFill>
                <a:latin typeface="Arial"/>
                <a:ea typeface="Arial"/>
                <a:cs typeface="Arial"/>
              </a:defRPr>
            </a:pPr>
            <a:endParaRPr lang="lt-LT"/>
          </a:p>
        </c:txPr>
        <c:crossAx val="119310384"/>
        <c:crosses val="autoZero"/>
        <c:crossBetween val="midCat"/>
      </c:valAx>
      <c:spPr>
        <a:noFill/>
        <a:ln w="13424">
          <a:solidFill>
            <a:srgbClr val="000000"/>
          </a:solidFill>
          <a:prstDash val="solid"/>
        </a:ln>
      </c:spPr>
    </c:plotArea>
    <c:legend>
      <c:legendPos val="r"/>
      <c:layout>
        <c:manualLayout>
          <c:xMode val="edge"/>
          <c:yMode val="edge"/>
          <c:x val="0.60073266642381495"/>
          <c:y val="9.6875078115235602E-2"/>
          <c:w val="0.34981683339404701"/>
          <c:h val="0.125"/>
        </c:manualLayout>
      </c:layout>
      <c:overlay val="0"/>
      <c:spPr>
        <a:solidFill>
          <a:srgbClr val="FFFFFF"/>
        </a:solidFill>
        <a:ln w="3356">
          <a:solidFill>
            <a:srgbClr val="000000"/>
          </a:solidFill>
          <a:prstDash val="solid"/>
        </a:ln>
      </c:spPr>
      <c:txPr>
        <a:bodyPr/>
        <a:lstStyle/>
        <a:p>
          <a:pPr>
            <a:defRPr sz="872" b="1" i="0" u="none" strike="noStrike" baseline="0">
              <a:solidFill>
                <a:srgbClr val="000000"/>
              </a:solidFill>
              <a:latin typeface="Arial"/>
              <a:ea typeface="Arial"/>
              <a:cs typeface="Arial"/>
            </a:defRPr>
          </a:pPr>
          <a:endParaRPr lang="lt-LT"/>
        </a:p>
      </c:txPr>
    </c:legend>
    <c:plotVisOnly val="1"/>
    <c:dispBlanksAs val="gap"/>
    <c:showDLblsOverMax val="0"/>
  </c:chart>
  <c:spPr>
    <a:solidFill>
      <a:srgbClr val="FFFFFF"/>
    </a:solidFill>
    <a:ln>
      <a:noFill/>
    </a:ln>
  </c:spPr>
  <c:txPr>
    <a:bodyPr/>
    <a:lstStyle/>
    <a:p>
      <a:pPr>
        <a:defRPr sz="951" b="0" i="0" u="none" strike="noStrike" baseline="0">
          <a:solidFill>
            <a:srgbClr val="000000"/>
          </a:solidFill>
          <a:latin typeface="Geneva"/>
          <a:ea typeface="Geneva"/>
          <a:cs typeface="Geneva"/>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955C-5B7C-4DE2-8427-DA6A57BA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78779E0-C06F-43C8-B9FC-9C668FADBB24}">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476BC6AC-6412-404D-93BF-1A9D11FBCB33}">
  <ds:schemaRefs>
    <ds:schemaRef ds:uri="http://schemas.microsoft.com/sharepoint/v3/contenttype/forms"/>
  </ds:schemaRefs>
</ds:datastoreItem>
</file>

<file path=customXml/itemProps4.xml><?xml version="1.0" encoding="utf-8"?>
<ds:datastoreItem xmlns:ds="http://schemas.openxmlformats.org/officeDocument/2006/customXml" ds:itemID="{219E0F0F-EB31-4AA4-86E7-BC1A816E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23838</Words>
  <Characters>13589</Characters>
  <Application>Microsoft Office Word</Application>
  <DocSecurity>8</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2</cp:revision>
  <dcterms:created xsi:type="dcterms:W3CDTF">2018-01-02T06:10:00Z</dcterms:created>
  <dcterms:modified xsi:type="dcterms:W3CDTF">2018-01-02T06:10:00Z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