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36" w:rsidRPr="00CC52A7" w:rsidRDefault="00A80736" w:rsidP="00A8073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PMingLiU" w:hAnsi="Times New Roman" w:cs="Times New Roman"/>
          <w:b/>
          <w:iCs/>
          <w:lang w:val="lt-LT"/>
        </w:rPr>
      </w:pPr>
      <w:r w:rsidRPr="00CC52A7">
        <w:rPr>
          <w:rFonts w:ascii="Times New Roman" w:eastAsia="PMingLiU" w:hAnsi="Times New Roman" w:cs="Times New Roman"/>
          <w:b/>
          <w:iCs/>
          <w:lang w:val="lt-LT"/>
        </w:rPr>
        <w:t>Pakuotės lapelis:</w:t>
      </w:r>
      <w:r w:rsidRPr="00CC52A7">
        <w:rPr>
          <w:rFonts w:ascii="Times New Roman" w:eastAsia="PMingLiU" w:hAnsi="Times New Roman" w:cs="Times New Roman"/>
          <w:b/>
          <w:bCs/>
          <w:iCs/>
          <w:lang w:val="lt-LT"/>
        </w:rPr>
        <w:t xml:space="preserve"> </w:t>
      </w:r>
      <w:r w:rsidRPr="00CC52A7">
        <w:rPr>
          <w:rFonts w:ascii="Times New Roman" w:eastAsia="PMingLiU" w:hAnsi="Times New Roman" w:cs="Times New Roman"/>
          <w:b/>
          <w:iCs/>
          <w:lang w:val="lt-LT"/>
        </w:rPr>
        <w:t xml:space="preserve">informacija vartotojui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PMingLiU" w:hAnsi="Times New Roman" w:cs="Times New Roman"/>
          <w:b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b/>
          <w:lang w:val="lt-LT"/>
        </w:rPr>
        <w:t xml:space="preserve"> 400</w:t>
      </w:r>
      <w:r>
        <w:rPr>
          <w:rFonts w:ascii="Times New Roman" w:eastAsia="PMingLiU" w:hAnsi="Times New Roman" w:cs="Times New Roman"/>
          <w:b/>
          <w:lang w:val="lt-LT"/>
        </w:rPr>
        <w:t> </w:t>
      </w:r>
      <w:r w:rsidRPr="00CC52A7">
        <w:rPr>
          <w:rFonts w:ascii="Times New Roman" w:eastAsia="PMingLiU" w:hAnsi="Times New Roman" w:cs="Times New Roman"/>
          <w:b/>
          <w:lang w:val="lt-LT"/>
        </w:rPr>
        <w:t>mg tabletės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Acikloviras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center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:rsidR="00A80736" w:rsidRPr="00CC52A7" w:rsidRDefault="00A80736" w:rsidP="00A807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Neišmeskite šio lapelio, nes vėl gali prireikti jį perskaityti.</w:t>
      </w:r>
    </w:p>
    <w:p w:rsidR="00A80736" w:rsidRPr="00CC52A7" w:rsidRDefault="00A80736" w:rsidP="00A807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kiltų daugiau klausimų, kreipkitės į gydytoją arba vaistininką.</w:t>
      </w:r>
    </w:p>
    <w:p w:rsidR="00A80736" w:rsidRPr="00CC52A7" w:rsidRDefault="00A80736" w:rsidP="00A807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A80736" w:rsidRPr="00CC52A7" w:rsidRDefault="00A80736" w:rsidP="00A807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Apie ką rašoma šiame lapelyje?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1.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Kas yra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ir kam jis vartojamas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2.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Kas žinotina prieš vartojant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3.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Kaip vartoti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4.</w:t>
      </w:r>
      <w:r w:rsidRPr="00CC52A7">
        <w:rPr>
          <w:rFonts w:ascii="Times New Roman" w:eastAsia="PMingLiU" w:hAnsi="Times New Roman" w:cs="Times New Roman"/>
          <w:lang w:val="lt-LT"/>
        </w:rPr>
        <w:tab/>
        <w:t>Galimas šalutinis poveikis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5.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Kaip laikyti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6.</w:t>
      </w:r>
      <w:r w:rsidRPr="00CC52A7">
        <w:rPr>
          <w:rFonts w:ascii="Times New Roman" w:eastAsia="PMingLiU" w:hAnsi="Times New Roman" w:cs="Times New Roman"/>
          <w:lang w:val="lt-LT"/>
        </w:rPr>
        <w:tab/>
        <w:t>Pakuotės turinys ir kita informacija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caps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1.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Kas yra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b/>
          <w:lang w:val="lt-LT"/>
        </w:rPr>
        <w:t xml:space="preserve"> ir kam jis vartojamas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Cs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veiklioji medžiaga yra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acikloviras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. Jis priklauso vaistų, kuriais gydomos virusų sukeltos infekcijos, grupei. Šis vaistas sutrukdo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herpes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viruso susidarymą.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vartojamas:</w:t>
      </w:r>
    </w:p>
    <w:p w:rsidR="00A80736" w:rsidRPr="00CC52A7" w:rsidRDefault="00A80736" w:rsidP="00A807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textAlignment w:val="baseline"/>
        <w:rPr>
          <w:rFonts w:ascii="Times New Roman" w:eastAsia="PMingLiU" w:hAnsi="Times New Roman" w:cs="Times New Roman"/>
          <w:lang w:val="lt-LT" w:eastAsia="lt-LT"/>
        </w:rPr>
      </w:pPr>
      <w:r w:rsidRPr="00CC52A7">
        <w:rPr>
          <w:rFonts w:ascii="Times New Roman" w:eastAsia="PMingLiU" w:hAnsi="Times New Roman" w:cs="Times New Roman"/>
          <w:lang w:val="lt-LT" w:eastAsia="lt-LT"/>
        </w:rPr>
        <w:t>gydyti juostinei pūslelinei</w:t>
      </w:r>
    </w:p>
    <w:p w:rsidR="00A80736" w:rsidRPr="00CC52A7" w:rsidRDefault="00A80736" w:rsidP="00A80736">
      <w:pPr>
        <w:spacing w:after="0" w:line="240" w:lineRule="auto"/>
        <w:ind w:left="426"/>
        <w:contextualSpacing/>
        <w:rPr>
          <w:rFonts w:ascii="Times New Roman" w:eastAsia="PMingLiU" w:hAnsi="Times New Roman" w:cs="Times New Roman"/>
          <w:lang w:val="lt-LT" w:eastAsia="lt-LT"/>
        </w:rPr>
      </w:pPr>
      <w:r w:rsidRPr="00CC52A7">
        <w:rPr>
          <w:rFonts w:ascii="Times New Roman" w:eastAsia="PMingLiU" w:hAnsi="Times New Roman" w:cs="Times New Roman"/>
          <w:lang w:val="lt-LT" w:eastAsia="lt-LT"/>
        </w:rPr>
        <w:t>Šią ligą sukelia juostinės pūslelinės (</w:t>
      </w:r>
      <w:proofErr w:type="spellStart"/>
      <w:r w:rsidRPr="00CC52A7">
        <w:rPr>
          <w:rFonts w:ascii="Times New Roman" w:eastAsia="PMingLiU" w:hAnsi="Times New Roman" w:cs="Times New Roman"/>
          <w:i/>
          <w:lang w:val="lt-LT" w:eastAsia="lt-LT"/>
        </w:rPr>
        <w:t>Herpes</w:t>
      </w:r>
      <w:proofErr w:type="spellEnd"/>
      <w:r w:rsidRPr="00CC52A7">
        <w:rPr>
          <w:rFonts w:ascii="Times New Roman" w:eastAsia="PMingLiU" w:hAnsi="Times New Roman" w:cs="Times New Roman"/>
          <w:i/>
          <w:lang w:val="lt-LT" w:eastAsia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i/>
          <w:lang w:val="lt-LT" w:eastAsia="lt-LT"/>
        </w:rPr>
        <w:t>zoster</w:t>
      </w:r>
      <w:proofErr w:type="spellEnd"/>
      <w:r w:rsidRPr="00CC52A7">
        <w:rPr>
          <w:rFonts w:ascii="Times New Roman" w:eastAsia="PMingLiU" w:hAnsi="Times New Roman" w:cs="Times New Roman"/>
          <w:lang w:val="lt-LT" w:eastAsia="lt-LT"/>
        </w:rPr>
        <w:t>) virusas, kuris pažeidžia nervus ir odą.  Šis vaistas sumažina skausmą ir jo trukmę.</w:t>
      </w:r>
    </w:p>
    <w:p w:rsidR="00A80736" w:rsidRPr="00CC52A7" w:rsidRDefault="00A80736" w:rsidP="00A807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textAlignment w:val="baseline"/>
        <w:rPr>
          <w:rFonts w:ascii="Times New Roman" w:eastAsia="PMingLiU" w:hAnsi="Times New Roman" w:cs="Times New Roman"/>
          <w:lang w:val="lt-LT" w:eastAsia="lt-LT"/>
        </w:rPr>
      </w:pPr>
      <w:r w:rsidRPr="00CC52A7">
        <w:rPr>
          <w:rFonts w:ascii="Times New Roman" w:eastAsia="PMingLiU" w:hAnsi="Times New Roman" w:cs="Times New Roman"/>
          <w:lang w:val="lt-LT" w:eastAsia="lt-LT"/>
        </w:rPr>
        <w:t>siekiant išvengti paprastosios pūslelinės virusų sukeltų ligų žmonėms, kurių imuninė sistema yra nusilpusi ir organizmas negali pats kovoti su infekcija.</w:t>
      </w:r>
      <w:r w:rsidRPr="00CC52A7" w:rsidDel="00F93338">
        <w:rPr>
          <w:rFonts w:ascii="Times New Roman" w:eastAsia="PMingLiU" w:hAnsi="Times New Roman" w:cs="Times New Roman"/>
          <w:lang w:val="lt-LT" w:eastAsia="lt-LT"/>
        </w:rPr>
        <w:t xml:space="preserve">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2.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b/>
          <w:lang w:val="lt-LT"/>
        </w:rPr>
        <w:t xml:space="preserve"> vartoti negalima</w:t>
      </w:r>
    </w:p>
    <w:p w:rsidR="00A80736" w:rsidRPr="00CC52A7" w:rsidRDefault="00A80736" w:rsidP="00A8073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-</w:t>
      </w:r>
      <w:r w:rsidRPr="00CC52A7">
        <w:rPr>
          <w:rFonts w:ascii="Times New Roman" w:eastAsia="PMingLiU" w:hAnsi="Times New Roman" w:cs="Times New Roman"/>
          <w:lang w:val="lt-LT"/>
        </w:rPr>
        <w:tab/>
        <w:t xml:space="preserve">jeigu yra alergija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aciklovirui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,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valaciklovirui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arba bet kuriai pagalbinei šio vaisto medžiagai (jos išvardytos 6 skyriuje).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</w:p>
    <w:p w:rsidR="00A80736" w:rsidRPr="00CC52A7" w:rsidRDefault="00A80736" w:rsidP="00A8073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Įspėjimai ir atsargumo priemonės</w:t>
      </w:r>
    </w:p>
    <w:p w:rsidR="00A80736" w:rsidRPr="00CC52A7" w:rsidRDefault="00A80736" w:rsidP="00A8073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. </w:t>
      </w:r>
    </w:p>
    <w:p w:rsidR="00A80736" w:rsidRPr="00CC52A7" w:rsidRDefault="00A80736" w:rsidP="00A8073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Pasakykite gydytojui, jeigu sergate inkstų liga. Jeigu sergate inkstų liga ir (arba) esate senyvo amžiaus, gydytojas gali Jums skirti mažesnę dozę. </w:t>
      </w: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Ligoniams, kurių imuninė sistema nusilpusi, ilgai arba pakartotinai vartojant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, gali išsivystyti virusų atsparumas šiam vaistui.</w:t>
      </w: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Vartojant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būtina gerti pakankamai skysčių.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szCs w:val="20"/>
          <w:lang w:val="lt-LT"/>
        </w:rPr>
        <w:t>Vaikams ir paaugliams</w:t>
      </w:r>
      <w:r>
        <w:rPr>
          <w:rFonts w:ascii="Times New Roman" w:eastAsia="PMingLiU" w:hAnsi="Times New Roman" w:cs="Times New Roman"/>
          <w:szCs w:val="20"/>
          <w:lang w:val="lt-LT"/>
        </w:rPr>
        <w:t xml:space="preserve"> </w:t>
      </w:r>
      <w:r>
        <w:rPr>
          <w:rFonts w:ascii="Times New Roman" w:eastAsia="PMingLiU" w:hAnsi="Times New Roman" w:cs="Times New Roman"/>
          <w:lang w:val="lt-LT"/>
        </w:rPr>
        <w:t>ž</w:t>
      </w:r>
      <w:r w:rsidRPr="00CC52A7">
        <w:rPr>
          <w:rFonts w:ascii="Times New Roman" w:eastAsia="PMingLiU" w:hAnsi="Times New Roman" w:cs="Times New Roman"/>
          <w:lang w:val="lt-LT"/>
        </w:rPr>
        <w:t>r. 3 sk</w:t>
      </w:r>
      <w:r>
        <w:rPr>
          <w:rFonts w:ascii="Times New Roman" w:eastAsia="PMingLiU" w:hAnsi="Times New Roman" w:cs="Times New Roman"/>
          <w:lang w:val="lt-LT"/>
        </w:rPr>
        <w:t>yrių</w:t>
      </w:r>
      <w:r w:rsidRPr="00CC52A7">
        <w:rPr>
          <w:rFonts w:ascii="Times New Roman" w:eastAsia="PMingLiU" w:hAnsi="Times New Roman" w:cs="Times New Roman"/>
          <w:lang w:val="lt-LT"/>
        </w:rPr>
        <w:t>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 xml:space="preserve">Kiti vaistai ir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Šie vaistai gali pakeisti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veikimą:</w:t>
      </w:r>
    </w:p>
    <w:p w:rsidR="00A80736" w:rsidRPr="00CC52A7" w:rsidRDefault="00A80736" w:rsidP="00A8073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cimetidinas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(vaistas nuo skrandžio negalavimų, susijusių su rūgštimi); </w:t>
      </w:r>
    </w:p>
    <w:p w:rsidR="00A80736" w:rsidRPr="00CC52A7" w:rsidRDefault="00A80736" w:rsidP="00A8073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probenecidas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(nuo podagros); </w:t>
      </w:r>
    </w:p>
    <w:p w:rsidR="00A80736" w:rsidRPr="00CC52A7" w:rsidRDefault="00A80736" w:rsidP="00A8073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teofilinas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(nuo astmos ir plaučių ligų);</w:t>
      </w:r>
    </w:p>
    <w:p w:rsidR="00A80736" w:rsidRPr="00CC52A7" w:rsidRDefault="00A80736" w:rsidP="00A8073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mikofenolato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mofetil</w:t>
      </w:r>
      <w:r>
        <w:rPr>
          <w:rFonts w:ascii="Times New Roman" w:eastAsia="PMingLiU" w:hAnsi="Times New Roman" w:cs="Times New Roman"/>
          <w:lang w:val="lt-LT"/>
        </w:rPr>
        <w:t>i</w:t>
      </w:r>
      <w:r w:rsidRPr="00CC52A7">
        <w:rPr>
          <w:rFonts w:ascii="Times New Roman" w:eastAsia="PMingLiU" w:hAnsi="Times New Roman" w:cs="Times New Roman"/>
          <w:lang w:val="lt-LT"/>
        </w:rPr>
        <w:t>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(imunitetą slopinantis vaistas, vartojamas išvengti persodinto organo atmetimo).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i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Nėštumas ir žindymo laikotarpis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Turimi duomenys apie vartojimą nėštumo metu neparodė neigiamo poveikio. Jeigu nėštumo metu būtina vartoti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, prieš tai gydytojas turi kruopščiai apsvarstyti naudos ir galimo pavojaus santykį.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Aciklovir</w:t>
      </w:r>
      <w:r>
        <w:rPr>
          <w:rFonts w:ascii="Times New Roman" w:eastAsia="PMingLiU" w:hAnsi="Times New Roman" w:cs="Times New Roman"/>
          <w:lang w:val="lt-LT"/>
        </w:rPr>
        <w:t>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, veiklio</w:t>
      </w:r>
      <w:r>
        <w:rPr>
          <w:rFonts w:ascii="Times New Roman" w:eastAsia="PMingLiU" w:hAnsi="Times New Roman" w:cs="Times New Roman"/>
          <w:lang w:val="lt-LT"/>
        </w:rPr>
        <w:t>ji</w:t>
      </w: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medžiag</w:t>
      </w:r>
      <w:r>
        <w:rPr>
          <w:rFonts w:ascii="Times New Roman" w:eastAsia="PMingLiU" w:hAnsi="Times New Roman" w:cs="Times New Roman"/>
          <w:lang w:val="lt-LT"/>
        </w:rPr>
        <w:t>a</w:t>
      </w:r>
      <w:r w:rsidRPr="00CC52A7">
        <w:rPr>
          <w:rFonts w:ascii="Times New Roman" w:eastAsia="PMingLiU" w:hAnsi="Times New Roman" w:cs="Times New Roman"/>
          <w:lang w:val="lt-LT"/>
        </w:rPr>
        <w:t>, patenka į motinos pieną.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Vairavimas ir mechanizmų valdymas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poveikio vairavimui ir gebėjimui valdyti mechanizmus tyrimų neatlikta. Prieš vairuodami arba valdydami mechanizmus įsitikinkite, kad žinote, kaip Jus veikia šis vaistas.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3.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Kaip vartoti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Visada vartokite šį vaistą tiksliai kaip nurodė gydytojas arba vaistininkas. Jeigu abejojate, kreipkitės į gydytoją arba vaistininką.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i/>
          <w:lang w:val="lt-LT"/>
        </w:rPr>
      </w:pPr>
      <w:r w:rsidRPr="00CC52A7">
        <w:rPr>
          <w:rFonts w:ascii="Times New Roman" w:eastAsia="PMingLiU" w:hAnsi="Times New Roman" w:cs="Times New Roman"/>
          <w:bCs/>
          <w:i/>
          <w:lang w:val="lt-LT"/>
        </w:rPr>
        <w:t>Suaugusiems žmonėms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i/>
          <w:iCs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>Juostinės pūslelinės gydymas</w:t>
      </w:r>
    </w:p>
    <w:p w:rsidR="00A80736" w:rsidRPr="00CC52A7" w:rsidRDefault="00A80736" w:rsidP="00A807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Vaisto reikia pradėti gerti kiek galima anksčiau, t. y. vos tik atsiradus pirmiesiems odos pažeidimo simptomams. </w:t>
      </w:r>
    </w:p>
    <w:p w:rsidR="00A80736" w:rsidRPr="00CC52A7" w:rsidRDefault="00A80736" w:rsidP="00A807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Kad infekcija neišplistų, pūslelių (jos pripildytos skysčio, kuriame yra virusų) negalima liesti. </w:t>
      </w:r>
    </w:p>
    <w:p w:rsidR="00A80736" w:rsidRPr="00CC52A7" w:rsidRDefault="00A80736" w:rsidP="00A807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iCs/>
          <w:lang w:val="lt-LT"/>
        </w:rPr>
        <w:t>Įprasta dozė yra 2</w:t>
      </w:r>
      <w:r>
        <w:rPr>
          <w:rFonts w:ascii="Times New Roman" w:eastAsia="PMingLiU" w:hAnsi="Times New Roman" w:cs="Times New Roman"/>
          <w:iCs/>
          <w:lang w:val="lt-LT"/>
        </w:rPr>
        <w:t> </w:t>
      </w:r>
      <w:r w:rsidRPr="00CC52A7">
        <w:rPr>
          <w:rFonts w:ascii="Times New Roman" w:eastAsia="PMingLiU" w:hAnsi="Times New Roman" w:cs="Times New Roman"/>
          <w:iCs/>
          <w:lang w:val="lt-LT"/>
        </w:rPr>
        <w:t>tabletės (800</w:t>
      </w:r>
      <w:r>
        <w:rPr>
          <w:rFonts w:ascii="Times New Roman" w:eastAsia="PMingLiU" w:hAnsi="Times New Roman" w:cs="Times New Roman"/>
          <w:iCs/>
          <w:lang w:val="lt-LT"/>
        </w:rPr>
        <w:t> </w:t>
      </w:r>
      <w:r w:rsidRPr="00CC52A7">
        <w:rPr>
          <w:rFonts w:ascii="Times New Roman" w:eastAsia="PMingLiU" w:hAnsi="Times New Roman" w:cs="Times New Roman"/>
          <w:iCs/>
          <w:lang w:val="lt-LT"/>
        </w:rPr>
        <w:t xml:space="preserve">mg </w:t>
      </w:r>
      <w:proofErr w:type="spellStart"/>
      <w:r w:rsidRPr="00CC52A7">
        <w:rPr>
          <w:rFonts w:ascii="Times New Roman" w:eastAsia="PMingLiU" w:hAnsi="Times New Roman" w:cs="Times New Roman"/>
          <w:iCs/>
          <w:lang w:val="lt-LT"/>
        </w:rPr>
        <w:t>acikloviro</w:t>
      </w:r>
      <w:proofErr w:type="spellEnd"/>
      <w:r w:rsidRPr="00CC52A7">
        <w:rPr>
          <w:rFonts w:ascii="Times New Roman" w:eastAsia="PMingLiU" w:hAnsi="Times New Roman" w:cs="Times New Roman"/>
          <w:iCs/>
          <w:lang w:val="lt-LT"/>
        </w:rPr>
        <w:t xml:space="preserve">), </w:t>
      </w:r>
      <w:r w:rsidRPr="00CC52A7">
        <w:rPr>
          <w:rFonts w:ascii="Times New Roman" w:eastAsia="PMingLiU" w:hAnsi="Times New Roman" w:cs="Times New Roman"/>
          <w:lang w:val="lt-LT"/>
        </w:rPr>
        <w:t>geriamos 5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kartus per parą (kas 4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val</w:t>
      </w:r>
      <w:r>
        <w:rPr>
          <w:rFonts w:ascii="Times New Roman" w:eastAsia="PMingLiU" w:hAnsi="Times New Roman" w:cs="Times New Roman"/>
          <w:lang w:val="lt-LT"/>
        </w:rPr>
        <w:t>.</w:t>
      </w:r>
      <w:r w:rsidRPr="00CC52A7">
        <w:rPr>
          <w:rFonts w:ascii="Times New Roman" w:eastAsia="PMingLiU" w:hAnsi="Times New Roman" w:cs="Times New Roman"/>
          <w:lang w:val="lt-LT"/>
        </w:rPr>
        <w:t>) 5</w:t>
      </w:r>
      <w:r>
        <w:rPr>
          <w:rFonts w:ascii="Times New Roman" w:eastAsia="PMingLiU" w:hAnsi="Times New Roman" w:cs="Times New Roman"/>
          <w:lang w:val="lt-LT"/>
        </w:rPr>
        <w:noBreakHyphen/>
      </w:r>
      <w:r w:rsidRPr="00CC52A7">
        <w:rPr>
          <w:rFonts w:ascii="Times New Roman" w:eastAsia="PMingLiU" w:hAnsi="Times New Roman" w:cs="Times New Roman"/>
          <w:lang w:val="lt-LT"/>
        </w:rPr>
        <w:t>7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paras.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i/>
          <w:lang w:val="lt-LT" w:eastAsia="lt-LT"/>
        </w:rPr>
      </w:pPr>
      <w:r w:rsidRPr="00CC52A7">
        <w:rPr>
          <w:rFonts w:ascii="Times New Roman" w:eastAsia="PMingLiU" w:hAnsi="Times New Roman" w:cs="Times New Roman"/>
          <w:i/>
          <w:lang w:val="lt-LT" w:eastAsia="lt-LT"/>
        </w:rPr>
        <w:t>Siekiant išvengti paprastosios pūslelinės virusų sukeltų ligų žmonėms, kurių imuninė sistema yra nusilpusi</w:t>
      </w:r>
      <w:r w:rsidRPr="00CC52A7" w:rsidDel="00F93338">
        <w:rPr>
          <w:rFonts w:ascii="Times New Roman" w:eastAsia="PMingLiU" w:hAnsi="Times New Roman" w:cs="Times New Roman"/>
          <w:i/>
          <w:lang w:val="lt-LT" w:eastAsia="lt-LT"/>
        </w:rPr>
        <w:t xml:space="preserve"> </w:t>
      </w:r>
    </w:p>
    <w:p w:rsidR="00A80736" w:rsidRPr="00CC52A7" w:rsidRDefault="00A80736" w:rsidP="00A8073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Sunkiems ligoniams (pvz., po organų persodinimo), reikia gerti po 1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tabletę (400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 xml:space="preserve">mg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acikloviro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) 4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kartus per parą (kas 6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val</w:t>
      </w:r>
      <w:r>
        <w:rPr>
          <w:rFonts w:ascii="Times New Roman" w:eastAsia="PMingLiU" w:hAnsi="Times New Roman" w:cs="Times New Roman"/>
          <w:lang w:val="lt-LT"/>
        </w:rPr>
        <w:t>.</w:t>
      </w:r>
      <w:r w:rsidRPr="00CC52A7">
        <w:rPr>
          <w:rFonts w:ascii="Times New Roman" w:eastAsia="PMingLiU" w:hAnsi="Times New Roman" w:cs="Times New Roman"/>
          <w:lang w:val="lt-LT"/>
        </w:rPr>
        <w:t xml:space="preserve">). </w:t>
      </w:r>
    </w:p>
    <w:p w:rsidR="00A80736" w:rsidRPr="00CC52A7" w:rsidRDefault="00A80736" w:rsidP="00A8073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Times New Roman" w:eastAsia="PMingLiU" w:hAnsi="Times New Roman" w:cs="Times New Roman"/>
          <w:iCs/>
          <w:lang w:val="lt-LT"/>
        </w:rPr>
      </w:pPr>
      <w:r w:rsidRPr="00CC52A7">
        <w:rPr>
          <w:rFonts w:ascii="Times New Roman" w:eastAsia="PMingLiU" w:hAnsi="Times New Roman" w:cs="Times New Roman"/>
          <w:iCs/>
          <w:lang w:val="lt-LT"/>
        </w:rPr>
        <w:t>Vaisto vartojimo trukmę nustatys gydytojas, įvertinęs imuninės sistemos būklę ir infekcinės ligos pavojaus trukmę.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Cs/>
          <w:i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>Senyviems ligoniams</w:t>
      </w: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Dozės keisti nereikia, nebent labai sutrikusi inkstų funkcija.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 xml:space="preserve">Ligoniams, kurių inkstų veikla nepakankama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Jeigu sergate inkstų liga, gydytojas Jums gali paskirti mažesnę vaisto dozę.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Gydytojas gali paskirti Jums atlikti kraujo tyrimus, parodančius inkstų veiklą, ir atsižvelgdamas į rezultatus, paskirti mažesnę vaisto dozę.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bCs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b/>
          <w:bCs/>
          <w:lang w:val="lt-LT"/>
        </w:rPr>
        <w:t>Vartojimas vaikams</w:t>
      </w: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i/>
          <w:lang w:val="lt-LT" w:eastAsia="lt-LT"/>
        </w:rPr>
      </w:pPr>
      <w:r w:rsidRPr="00CC52A7">
        <w:rPr>
          <w:rFonts w:ascii="Times New Roman" w:eastAsia="PMingLiU" w:hAnsi="Times New Roman" w:cs="Times New Roman"/>
          <w:i/>
          <w:lang w:val="lt-LT" w:eastAsia="lt-LT"/>
        </w:rPr>
        <w:t>Paprastosios pūslelinės virusų sukeltų odos ir gleivinių ligų gydymas bei profilaktika, kai imuninė sistema yra nusilpusi</w:t>
      </w:r>
    </w:p>
    <w:p w:rsidR="00A80736" w:rsidRPr="00CC52A7" w:rsidRDefault="00A80736" w:rsidP="00A807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Vyresniems kaip 2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metų vaikams reikia gerti suaugusio žmogaus dozę.</w:t>
      </w:r>
    </w:p>
    <w:p w:rsidR="00A80736" w:rsidRPr="00CC52A7" w:rsidRDefault="00A80736" w:rsidP="00A807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Jaunesniems nei 2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 xml:space="preserve">metų vaikams reikia gerti pusę suaugusio žmogaus dozės. </w:t>
      </w:r>
    </w:p>
    <w:p w:rsidR="00A80736" w:rsidRPr="00CC52A7" w:rsidRDefault="00A80736" w:rsidP="00A807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Dozė apskaičiuojama pagal vaiko svorį - 20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mg/kg kūno svorio (neviršijant 800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mg) vartojant 4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>kartus per parą.</w:t>
      </w:r>
    </w:p>
    <w:p w:rsidR="00A80736" w:rsidRPr="00CC52A7" w:rsidRDefault="00A80736" w:rsidP="00A8073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lastRenderedPageBreak/>
        <w:t>Jeigu vaikas negali nuryti tabletės, ją galima sutraiškyti ir sumaišyti su skysčiu.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>Kaip vartoti šį vaistą</w:t>
      </w:r>
    </w:p>
    <w:p w:rsidR="00A80736" w:rsidRPr="00CC52A7" w:rsidRDefault="00A80736" w:rsidP="00A807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Nurykite tabletes nesukramtytas, užgerdami stikline vandens. </w:t>
      </w:r>
    </w:p>
    <w:p w:rsidR="00A80736" w:rsidRPr="00CC52A7" w:rsidRDefault="00A80736" w:rsidP="00A807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Tabletes geriau vartoti po valgio.</w:t>
      </w:r>
    </w:p>
    <w:p w:rsidR="00A80736" w:rsidRPr="00CC52A7" w:rsidRDefault="00A80736" w:rsidP="00A807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Labai svarbu, kad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vartojimo laikotarpiu gertumėte pakankamai skysčių.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 xml:space="preserve">Ką daryti pavartojus per didelę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b/>
          <w:lang w:val="lt-LT"/>
        </w:rPr>
        <w:t xml:space="preserve"> dozę?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Jeigu išgėrėte per daug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tablečių ir pasijutote blogai, nedels</w:t>
      </w:r>
      <w:r>
        <w:rPr>
          <w:rFonts w:ascii="Times New Roman" w:eastAsia="PMingLiU" w:hAnsi="Times New Roman" w:cs="Times New Roman"/>
          <w:lang w:val="lt-LT"/>
        </w:rPr>
        <w:t>dami</w:t>
      </w:r>
      <w:r w:rsidRPr="00CC52A7">
        <w:rPr>
          <w:rFonts w:ascii="Times New Roman" w:eastAsia="PMingLiU" w:hAnsi="Times New Roman" w:cs="Times New Roman"/>
          <w:lang w:val="lt-LT"/>
        </w:rPr>
        <w:t xml:space="preserve"> kreipkitės į gydytoją arba vykite į artimiausios ligoninės skubios pagalbos skyrių. Jei įmanoma, pasiimkite tabletes arba pakuotę, kad galėtumėte gydytojui parodyti, kokio vaisto išgėrėte.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/>
          <w:i/>
          <w:iCs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/>
          <w:iCs/>
          <w:lang w:val="lt-LT"/>
        </w:rPr>
      </w:pPr>
      <w:r w:rsidRPr="00CC52A7">
        <w:rPr>
          <w:rFonts w:ascii="Times New Roman" w:eastAsia="PMingLiU" w:hAnsi="Times New Roman" w:cs="Times New Roman"/>
          <w:b/>
          <w:iCs/>
          <w:lang w:val="lt-LT"/>
        </w:rPr>
        <w:t xml:space="preserve">Pamiršus pavartoti </w:t>
      </w:r>
      <w:proofErr w:type="spellStart"/>
      <w:r w:rsidRPr="00CC52A7">
        <w:rPr>
          <w:rFonts w:ascii="Times New Roman" w:eastAsia="PMingLiU" w:hAnsi="Times New Roman" w:cs="Times New Roman"/>
          <w:b/>
          <w:iCs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Nesijaudinkite, išgerkite praleistą dozę, kai tik prisiminėte. Jeigu jau beveik laikas gerti kitą dozę, palaukite ir toliau vaistą vartokite kaip įprastai. Negalima vartoti dvigubos dozės norint kompensuoti praleistą tab</w:t>
      </w:r>
      <w:r>
        <w:rPr>
          <w:rFonts w:ascii="Times New Roman" w:eastAsia="PMingLiU" w:hAnsi="Times New Roman" w:cs="Times New Roman"/>
          <w:lang w:val="lt-LT"/>
        </w:rPr>
        <w:t>l</w:t>
      </w:r>
      <w:r w:rsidRPr="00CC52A7">
        <w:rPr>
          <w:rFonts w:ascii="Times New Roman" w:eastAsia="PMingLiU" w:hAnsi="Times New Roman" w:cs="Times New Roman"/>
          <w:lang w:val="lt-LT"/>
        </w:rPr>
        <w:t>e</w:t>
      </w:r>
      <w:r>
        <w:rPr>
          <w:rFonts w:ascii="Times New Roman" w:eastAsia="PMingLiU" w:hAnsi="Times New Roman" w:cs="Times New Roman"/>
          <w:lang w:val="lt-LT"/>
        </w:rPr>
        <w:t>t</w:t>
      </w:r>
      <w:r w:rsidRPr="00CC52A7">
        <w:rPr>
          <w:rFonts w:ascii="Times New Roman" w:eastAsia="PMingLiU" w:hAnsi="Times New Roman" w:cs="Times New Roman"/>
          <w:lang w:val="lt-LT"/>
        </w:rPr>
        <w:t xml:space="preserve">ę.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pamiršote išgerti kelias dozes, kreipkitės į gydytoją.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1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 xml:space="preserve">Nustojus vartoti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Nenutraukite vaisto vartojimo nebaigę viso gydymo kurso, net jeigu jaučiatės gerai. </w:t>
      </w:r>
    </w:p>
    <w:p w:rsidR="00A80736" w:rsidRPr="00CC52A7" w:rsidRDefault="00A80736" w:rsidP="00A8073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lang w:val="lt-LT" w:eastAsia="ar-SA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Times New Roman" w:hAnsi="Times New Roman" w:cs="Times New Roman"/>
          <w:lang w:val="lt-LT" w:eastAsia="ar-SA"/>
        </w:rPr>
        <w:t>Jeigu kiltų daugiau klausimų dėl šio vaisto vartojimo, kreipkitės į gydytoją arba vaistininką.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4.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Galimas šalutinis poveikis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Šis vaistas, kaip ir visi kiti, gali sukelti šalutinį poveikį, nors jis pasireiškia ne visiems žmonėms.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Retais atvejais šis vaistas gali sukelti sunkią alerginę reakciją. Jeigu vartojant vaisto Jums pasireiškė bet kuris iš išvardytų simptomų, </w:t>
      </w:r>
      <w:r w:rsidRPr="00CC52A7">
        <w:rPr>
          <w:rFonts w:ascii="Times New Roman" w:eastAsia="PMingLiU" w:hAnsi="Times New Roman" w:cs="Times New Roman"/>
          <w:b/>
          <w:lang w:val="lt-LT"/>
        </w:rPr>
        <w:t>nedels</w:t>
      </w:r>
      <w:r>
        <w:rPr>
          <w:rFonts w:ascii="Times New Roman" w:eastAsia="PMingLiU" w:hAnsi="Times New Roman" w:cs="Times New Roman"/>
          <w:b/>
          <w:lang w:val="lt-LT"/>
        </w:rPr>
        <w:t>dami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kreipkitės į gydytoją arba artimiausios ligoninės skubios pagalbos skyrių</w:t>
      </w:r>
      <w:r w:rsidRPr="00CC52A7">
        <w:rPr>
          <w:rFonts w:ascii="Times New Roman" w:eastAsia="PMingLiU" w:hAnsi="Times New Roman" w:cs="Times New Roman"/>
          <w:lang w:val="lt-LT"/>
        </w:rPr>
        <w:t>: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staiga tapo sunku kvėpuoti, kalbėti ir ryti; tinsta lūpos, veidas ir kaklas; labai svaigsta</w:t>
      </w:r>
      <w:r>
        <w:rPr>
          <w:rFonts w:ascii="Times New Roman" w:eastAsia="PMingLiU" w:hAnsi="Times New Roman" w:cs="Times New Roman"/>
          <w:lang w:val="lt-LT"/>
        </w:rPr>
        <w:t xml:space="preserve"> galva</w:t>
      </w:r>
      <w:r w:rsidRPr="00CC52A7">
        <w:rPr>
          <w:rFonts w:ascii="Times New Roman" w:eastAsia="PMingLiU" w:hAnsi="Times New Roman" w:cs="Times New Roman"/>
          <w:lang w:val="lt-LT"/>
        </w:rPr>
        <w:t>; atsirado niežintis iškilus odos išbėrimas.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Labai retai šis vaistas gali sukelti kraujo sutrikimus (raudonųjų kraujo kūnelių skaičiaus sumažėjimą; baltųjų kraujo kūnelių, kurie saugo nuo infekcijų, sumažėjimą; kraujo plokštelių, kurios padeda sukrešėti kraujui, sumažėjimą). Jeigu pastebėjote bet kurį iš išvardytų požymių, </w:t>
      </w:r>
      <w:r w:rsidRPr="00CC52A7">
        <w:rPr>
          <w:rFonts w:ascii="Times New Roman" w:eastAsia="PMingLiU" w:hAnsi="Times New Roman" w:cs="Times New Roman"/>
          <w:b/>
          <w:lang w:val="lt-LT"/>
        </w:rPr>
        <w:t>kuo greičiau kreipkitės į gydytoją</w:t>
      </w:r>
      <w:r w:rsidRPr="00CC52A7">
        <w:rPr>
          <w:rFonts w:ascii="Times New Roman" w:eastAsia="PMingLiU" w:hAnsi="Times New Roman" w:cs="Times New Roman"/>
          <w:lang w:val="lt-LT"/>
        </w:rPr>
        <w:t>: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bendrą silpnumą, blyškumą;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dažnai besikartojančias ir (arba) sunkias infekcijas (ypač jei yra gerklės skausmas);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karščiavimą be aiškios priežasties;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burnos ir (arba) gerklės opas;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neįprastas ar be aiškios priežasties atsirandančias mėlynes ar kraujavimą;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mažus raudonus taškelius odoje ir (arba) burnoje.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pasireiškė bet kuris kitas šalutinis poveikis, pasakykite apie tai gydytojui: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 xml:space="preserve">Dažni šalutiniai poveikiai (gali pasireikšti mažiau kaip 1 iš 10 žmonių)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niežėjimas, bėrimas (įskaitant pasireiškiantį dėl šviesos poveikio);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pykinimas, vėmimas, viduriavimas, pilvo skausmas;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galvos svaigimas, galvos skausmas;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nuovargis, karščiavimas</w:t>
      </w:r>
      <w:r>
        <w:rPr>
          <w:rFonts w:ascii="Times New Roman" w:eastAsia="PMingLiU" w:hAnsi="Times New Roman" w:cs="Times New Roman"/>
          <w:lang w:val="lt-LT"/>
        </w:rPr>
        <w:t>.</w:t>
      </w:r>
    </w:p>
    <w:p w:rsidR="00A80736" w:rsidRPr="00CC52A7" w:rsidRDefault="00A80736" w:rsidP="00A8073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iCs/>
          <w:lang w:val="lt-LT"/>
        </w:rPr>
      </w:pPr>
    </w:p>
    <w:p w:rsidR="00A80736" w:rsidRPr="00CC52A7" w:rsidRDefault="00A80736" w:rsidP="00A8073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i/>
          <w:iCs/>
          <w:lang w:val="lt-LT"/>
        </w:rPr>
      </w:pPr>
      <w:r w:rsidRPr="00CC52A7">
        <w:rPr>
          <w:rFonts w:ascii="Times New Roman" w:eastAsia="PMingLiU" w:hAnsi="Times New Roman" w:cs="Times New Roman"/>
          <w:i/>
          <w:iCs/>
          <w:lang w:val="lt-LT"/>
        </w:rPr>
        <w:t xml:space="preserve">Nedažni šalutiniai poveikiai (gali pasireikšti mažiau kaip 1 iš 100 žmonių)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dilgėlinė;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plaukų slinkimas.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lastRenderedPageBreak/>
        <w:t xml:space="preserve">Reti šalutiniai poveikiai (gali pasireikšti mažiau kaip 1 iš 1000 žmonių)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iCs/>
          <w:lang w:val="lt-LT"/>
        </w:rPr>
        <w:t>veido, lūpų, gerklės tinimas dėl alerginės reakcijos (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angioneurozinė</w:t>
      </w:r>
      <w:proofErr w:type="spellEnd"/>
      <w:r>
        <w:rPr>
          <w:rFonts w:ascii="Times New Roman" w:eastAsia="PMingLiU" w:hAnsi="Times New Roman" w:cs="Times New Roman"/>
          <w:lang w:val="lt-LT"/>
        </w:rPr>
        <w:t xml:space="preserve"> </w:t>
      </w:r>
      <w:r w:rsidRPr="00CC52A7">
        <w:rPr>
          <w:rFonts w:ascii="Times New Roman" w:eastAsia="PMingLiU" w:hAnsi="Times New Roman" w:cs="Times New Roman"/>
          <w:lang w:val="lt-LT"/>
        </w:rPr>
        <w:t>edema);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grįžtamasis pigmento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bilirubino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kiekio padidėjimas;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kepenų fermentų aktyvumo padidėjimas;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padidėjęs šlapalo ir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kreatinino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kiekis kraujyje;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dusulys.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i/>
          <w:lang w:val="lt-LT"/>
        </w:rPr>
      </w:pPr>
      <w:r w:rsidRPr="00CC52A7">
        <w:rPr>
          <w:rFonts w:ascii="Times New Roman" w:eastAsia="PMingLiU" w:hAnsi="Times New Roman" w:cs="Times New Roman"/>
          <w:i/>
          <w:lang w:val="lt-LT"/>
        </w:rPr>
        <w:t xml:space="preserve">Labai reti šalutiniai poveikiai (gali pasireikšti mažiau kaip 1 iš 10000 žmonių)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ūminis inkstų nepakankamumas, inkstų skausmas;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susijaudinimas;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sumišimas;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>
        <w:rPr>
          <w:rFonts w:ascii="Times New Roman" w:eastAsia="PMingLiU" w:hAnsi="Times New Roman" w:cs="Times New Roman"/>
          <w:lang w:val="lt-LT"/>
        </w:rPr>
        <w:t>d</w:t>
      </w:r>
      <w:r w:rsidRPr="00CC52A7">
        <w:rPr>
          <w:rFonts w:ascii="Times New Roman" w:eastAsia="PMingLiU" w:hAnsi="Times New Roman" w:cs="Times New Roman"/>
          <w:lang w:val="lt-LT"/>
        </w:rPr>
        <w:t xml:space="preserve">rebulys;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valingų judesių koordinacijos sutrikimas;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kalbos sutrikimas;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haliucinacijos</w:t>
      </w:r>
      <w:r>
        <w:rPr>
          <w:rFonts w:ascii="Times New Roman" w:eastAsia="PMingLiU" w:hAnsi="Times New Roman" w:cs="Times New Roman"/>
          <w:lang w:val="lt-LT"/>
        </w:rPr>
        <w:t>;</w:t>
      </w:r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psichikos sutrikimai;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traukuliai;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mieguistumas;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smegenų liga (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encefalopatija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); 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koma;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kepenų uždegimas;</w:t>
      </w:r>
    </w:p>
    <w:p w:rsidR="00A80736" w:rsidRPr="00CC52A7" w:rsidRDefault="00A80736" w:rsidP="00A80736">
      <w:pPr>
        <w:widowControl w:val="0"/>
        <w:numPr>
          <w:ilvl w:val="0"/>
          <w:numId w:val="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gelta.</w:t>
      </w: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Pranešimas apie šalutinį poveikį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right="-449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CC52A7">
        <w:rPr>
          <w:rFonts w:ascii="Times New Roman" w:eastAsia="PMingLiU" w:hAnsi="Times New Roman" w:cs="Times New Roman"/>
          <w:lang w:val="lt-LT" w:eastAsia="zh-CN"/>
        </w:rPr>
        <w:t>elefonu 8 800 73568</w:t>
      </w:r>
      <w:r w:rsidRPr="00CC52A7">
        <w:rPr>
          <w:rFonts w:ascii="Times New Roman" w:eastAsia="PMingLiU" w:hAnsi="Times New Roman" w:cs="Times New Roman"/>
          <w:lang w:val="lt-LT"/>
        </w:rPr>
        <w:t xml:space="preserve"> arba užpildyti interneto svetainėje </w:t>
      </w:r>
      <w:hyperlink r:id="rId5" w:history="1">
        <w:r w:rsidRPr="00CC52A7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www.vvkt.lt</w:t>
        </w:r>
      </w:hyperlink>
      <w:r w:rsidRPr="00CC52A7">
        <w:rPr>
          <w:rFonts w:ascii="Times New Roman" w:eastAsia="PMingLiU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C52A7">
        <w:rPr>
          <w:rFonts w:ascii="Times New Roman" w:eastAsia="PMingLiU" w:hAnsi="Times New Roman" w:cs="Times New Roman"/>
          <w:lang w:val="lt-LT" w:eastAsia="zh-CN"/>
        </w:rPr>
        <w:t xml:space="preserve">nemokamu </w:t>
      </w:r>
      <w:r w:rsidRPr="00CC52A7">
        <w:rPr>
          <w:rFonts w:ascii="Times New Roman" w:eastAsia="PMingLiU" w:hAnsi="Times New Roman" w:cs="Times New Roman"/>
          <w:lang w:val="lt-LT"/>
        </w:rPr>
        <w:t>fakso numeriu 8 800 20131</w:t>
      </w:r>
      <w:r w:rsidRPr="00CC52A7">
        <w:rPr>
          <w:rFonts w:ascii="Times New Roman" w:eastAsia="PMingLiU" w:hAnsi="Times New Roman" w:cs="Times New Roman"/>
          <w:lang w:val="lt-LT" w:eastAsia="zh-CN"/>
        </w:rPr>
        <w:t xml:space="preserve">, </w:t>
      </w:r>
      <w:r w:rsidRPr="00CC52A7">
        <w:rPr>
          <w:rFonts w:ascii="Times New Roman" w:eastAsia="PMingLiU" w:hAnsi="Times New Roman" w:cs="Times New Roman"/>
          <w:lang w:val="lt-LT"/>
        </w:rPr>
        <w:t xml:space="preserve">el. paštu </w:t>
      </w:r>
      <w:hyperlink r:id="rId6" w:history="1">
        <w:r w:rsidRPr="00CC52A7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NepageidaujamaR@vvkt.lt</w:t>
        </w:r>
      </w:hyperlink>
      <w:r w:rsidRPr="00CC52A7">
        <w:rPr>
          <w:rFonts w:ascii="Times New Roman" w:eastAsia="PMingLiU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CC52A7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</w:t>
        </w:r>
      </w:hyperlink>
      <w:r w:rsidRPr="00CC52A7">
        <w:rPr>
          <w:rFonts w:ascii="Times New Roman" w:eastAsia="PMingLiU" w:hAnsi="Times New Roman" w:cs="Times New Roman"/>
          <w:lang w:val="lt-LT"/>
        </w:rPr>
        <w:t>). Pranešdami apie šalutinį poveikį galite mums padėti gauti daugiau informacijos apie šio vaisto saugumą.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right="-449"/>
        <w:contextualSpacing/>
        <w:textAlignment w:val="baseline"/>
        <w:rPr>
          <w:rFonts w:ascii="Times New Roman" w:eastAsia="PMingLiU" w:hAnsi="Times New Roman" w:cs="Times New Roman"/>
          <w:sz w:val="24"/>
          <w:szCs w:val="24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5.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 xml:space="preserve">Kaip laikyti </w:t>
      </w: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Šį vaistą laikykite vaikams nepastebimoje ir nepasiekiamoje vietoje.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Šiam vaistui specialių laikymo sąlygų nereikia.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Ant kartono dėžutės po „EXP“ arba lizdinės plokštelės nurodytam tinkamumo laikui pasibaigus, šio vaisto vartoti negalima. Vaistas tinkamas vartoti iki paskutinės nurodyto mėnesio dienos.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</w:t>
      </w:r>
      <w:r>
        <w:rPr>
          <w:rFonts w:ascii="Times New Roman" w:eastAsia="PMingLiU" w:hAnsi="Times New Roman" w:cs="Times New Roman"/>
          <w:lang w:val="lt-LT"/>
        </w:rPr>
        <w:t>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6.</w:t>
      </w:r>
      <w:r w:rsidRPr="00CC52A7">
        <w:rPr>
          <w:rFonts w:ascii="Times New Roman" w:eastAsia="PMingLiU" w:hAnsi="Times New Roman" w:cs="Times New Roman"/>
          <w:b/>
          <w:lang w:val="lt-LT"/>
        </w:rPr>
        <w:tab/>
        <w:t>Pakuotės turinys ir kita informacija</w:t>
      </w: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b/>
          <w:lang w:val="lt-LT"/>
        </w:rPr>
        <w:t xml:space="preserve"> sudėtis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bCs/>
          <w:iCs/>
          <w:lang w:val="lt-LT"/>
        </w:rPr>
        <w:t xml:space="preserve">-        Veiklioji medžiaga yra </w:t>
      </w:r>
      <w:proofErr w:type="spellStart"/>
      <w:r w:rsidRPr="00CC52A7">
        <w:rPr>
          <w:rFonts w:ascii="Times New Roman" w:eastAsia="PMingLiU" w:hAnsi="Times New Roman" w:cs="Times New Roman"/>
          <w:bCs/>
          <w:iCs/>
          <w:lang w:val="lt-LT"/>
        </w:rPr>
        <w:t>acikloviras</w:t>
      </w:r>
      <w:proofErr w:type="spellEnd"/>
      <w:r w:rsidRPr="00CC52A7">
        <w:rPr>
          <w:rFonts w:ascii="Times New Roman" w:eastAsia="PMingLiU" w:hAnsi="Times New Roman" w:cs="Times New Roman"/>
          <w:bCs/>
          <w:iCs/>
          <w:lang w:val="lt-LT"/>
        </w:rPr>
        <w:t>.</w:t>
      </w:r>
      <w:r w:rsidRPr="00CC52A7">
        <w:rPr>
          <w:rFonts w:ascii="Times New Roman" w:eastAsia="PMingLiU" w:hAnsi="Times New Roman" w:cs="Times New Roman"/>
          <w:lang w:val="lt-LT"/>
        </w:rPr>
        <w:t xml:space="preserve"> Vienoje tabletėje yra 400</w:t>
      </w:r>
      <w:r>
        <w:rPr>
          <w:rFonts w:ascii="Times New Roman" w:eastAsia="PMingLiU" w:hAnsi="Times New Roman" w:cs="Times New Roman"/>
          <w:lang w:val="lt-LT"/>
        </w:rPr>
        <w:t> </w:t>
      </w:r>
      <w:r w:rsidRPr="00CC52A7">
        <w:rPr>
          <w:rFonts w:ascii="Times New Roman" w:eastAsia="PMingLiU" w:hAnsi="Times New Roman" w:cs="Times New Roman"/>
          <w:lang w:val="lt-LT"/>
        </w:rPr>
        <w:t xml:space="preserve">mg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acikloviro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-         Pagalbinės medžiagos yra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mikrokristalinė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celiuliozė,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kopovidonas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, magnio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stearatas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,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karboksimetilkrakmolo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A natrio druska, koloidinis bevandenis silicio dioksidas.</w:t>
      </w: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b/>
          <w:lang w:val="lt-LT"/>
        </w:rPr>
        <w:t>Acic</w:t>
      </w:r>
      <w:proofErr w:type="spellEnd"/>
      <w:r w:rsidRPr="00CC52A7">
        <w:rPr>
          <w:rFonts w:ascii="Times New Roman" w:eastAsia="PMingLiU" w:hAnsi="Times New Roman" w:cs="Times New Roman"/>
          <w:b/>
          <w:lang w:val="lt-LT"/>
        </w:rPr>
        <w:t xml:space="preserve"> išvaizda ir kiekis pakuotėje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Tabletės yra baltos</w:t>
      </w:r>
      <w:r>
        <w:rPr>
          <w:rFonts w:ascii="Times New Roman" w:eastAsia="PMingLiU" w:hAnsi="Times New Roman" w:cs="Times New Roman"/>
          <w:lang w:val="lt-LT"/>
        </w:rPr>
        <w:t>,</w:t>
      </w:r>
      <w:r w:rsidRPr="00CC52A7">
        <w:rPr>
          <w:rFonts w:ascii="Times New Roman" w:eastAsia="PMingLiU" w:hAnsi="Times New Roman" w:cs="Times New Roman"/>
          <w:lang w:val="lt-LT"/>
        </w:rPr>
        <w:t xml:space="preserve"> apvalios</w:t>
      </w:r>
      <w:r>
        <w:rPr>
          <w:rFonts w:ascii="Times New Roman" w:eastAsia="PMingLiU" w:hAnsi="Times New Roman" w:cs="Times New Roman"/>
          <w:lang w:val="lt-LT"/>
        </w:rPr>
        <w:t>,</w:t>
      </w:r>
      <w:r w:rsidRPr="00CC52A7">
        <w:rPr>
          <w:rFonts w:ascii="Times New Roman" w:eastAsia="PMingLiU" w:hAnsi="Times New Roman" w:cs="Times New Roman"/>
          <w:lang w:val="lt-LT"/>
        </w:rPr>
        <w:t xml:space="preserve"> išgaubtos</w:t>
      </w:r>
      <w:r>
        <w:rPr>
          <w:rFonts w:ascii="Times New Roman" w:eastAsia="PMingLiU" w:hAnsi="Times New Roman" w:cs="Times New Roman"/>
          <w:lang w:val="lt-LT"/>
        </w:rPr>
        <w:t>,</w:t>
      </w:r>
      <w:r w:rsidRPr="00CC52A7">
        <w:rPr>
          <w:rFonts w:ascii="Times New Roman" w:eastAsia="PMingLiU" w:hAnsi="Times New Roman" w:cs="Times New Roman"/>
          <w:lang w:val="lt-LT"/>
        </w:rPr>
        <w:t xml:space="preserve"> su kryžmine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</w:t>
      </w:r>
      <w:r w:rsidRPr="00CC52A7">
        <w:rPr>
          <w:rFonts w:ascii="Times New Roman" w:eastAsia="PMingLiU" w:hAnsi="Times New Roman" w:cs="Times New Roman"/>
          <w:lang w:val="lt-LT"/>
        </w:rPr>
        <w:t>laužimo vagele vienoje pusėje.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lastRenderedPageBreak/>
        <w:t>Kryžminė vagelė skirta tik tabletei perlaužti, kad būtų lengviau nuryti, bet ne ją padalyti į lygias dozes.</w:t>
      </w: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Pakuotė, kurioje yra 35 tabletės. Lizdinės plokštelės ir pakuotės lapelis įdėti į kartono dėžutę.</w:t>
      </w: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Registruotojas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Sandoz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d.d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Verovškova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57,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1000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Ljubljana</w:t>
      </w:r>
      <w:proofErr w:type="spellEnd"/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Slovėnija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lang w:val="lt-LT"/>
        </w:rPr>
        <w:t>Gamintojas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Salutas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Pharma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GmbH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Otto-von-Guericke-Alee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1,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D-39179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Barleben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,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Vokietija</w:t>
      </w:r>
    </w:p>
    <w:p w:rsidR="00A80736" w:rsidRPr="00CC52A7" w:rsidRDefault="00A80736" w:rsidP="00A8073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textAlignment w:val="baseline"/>
        <w:outlineLvl w:val="0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Jeigu apie šį vaistą norite sužinoti daugiau, kreipkitės į vietinį registruotojo atstovą.</w:t>
      </w: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eastAsia="PMingLiU" w:hAnsi="Times New Roman" w:cs="Times New Roman"/>
          <w:b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proofErr w:type="spellStart"/>
      <w:r w:rsidRPr="00CC52A7">
        <w:rPr>
          <w:rFonts w:ascii="Times New Roman" w:eastAsia="PMingLiU" w:hAnsi="Times New Roman" w:cs="Times New Roman"/>
          <w:lang w:val="lt-LT"/>
        </w:rPr>
        <w:t>Sandoz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Pharmaceuticals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 xml:space="preserve"> </w:t>
      </w:r>
      <w:proofErr w:type="spellStart"/>
      <w:r w:rsidRPr="00CC52A7">
        <w:rPr>
          <w:rFonts w:ascii="Times New Roman" w:eastAsia="PMingLiU" w:hAnsi="Times New Roman" w:cs="Times New Roman"/>
          <w:lang w:val="lt-LT"/>
        </w:rPr>
        <w:t>d.d</w:t>
      </w:r>
      <w:proofErr w:type="spellEnd"/>
      <w:r w:rsidRPr="00CC52A7">
        <w:rPr>
          <w:rFonts w:ascii="Times New Roman" w:eastAsia="PMingLiU" w:hAnsi="Times New Roman" w:cs="Times New Roman"/>
          <w:lang w:val="lt-LT"/>
        </w:rPr>
        <w:t>. filialas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Šeimyniškių g. 3A,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Vilnius, LT</w:t>
      </w:r>
      <w:r>
        <w:rPr>
          <w:rFonts w:ascii="Times New Roman" w:eastAsia="PMingLiU" w:hAnsi="Times New Roman" w:cs="Times New Roman"/>
          <w:lang w:val="lt-LT"/>
        </w:rPr>
        <w:t>-</w:t>
      </w:r>
      <w:r w:rsidRPr="00CC52A7">
        <w:rPr>
          <w:rFonts w:ascii="Times New Roman" w:eastAsia="PMingLiU" w:hAnsi="Times New Roman" w:cs="Times New Roman"/>
          <w:lang w:val="lt-LT"/>
        </w:rPr>
        <w:t xml:space="preserve">09312 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Tel.: +370 5 263 60 37</w:t>
      </w:r>
    </w:p>
    <w:p w:rsidR="00A80736" w:rsidRPr="00CC52A7" w:rsidRDefault="00A80736" w:rsidP="00A8073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Faksas: +370 5 263 60 36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pacing w:val="-5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 xml:space="preserve">El. pašto adresas: </w:t>
      </w:r>
      <w:r w:rsidRPr="00CC52A7">
        <w:rPr>
          <w:rFonts w:ascii="Times New Roman" w:eastAsia="Calibri" w:hAnsi="Times New Roman" w:cs="Times New Roman"/>
          <w:color w:val="000000"/>
          <w:spacing w:val="-5"/>
          <w:lang w:val="lt-LT"/>
        </w:rPr>
        <w:t>info.</w:t>
      </w:r>
      <w:hyperlink r:id="rId8" w:history="1">
        <w:r w:rsidRPr="00CC52A7">
          <w:rPr>
            <w:rFonts w:ascii="Times New Roman" w:eastAsia="Calibri" w:hAnsi="Times New Roman" w:cs="Times New Roman"/>
            <w:color w:val="0000FF"/>
            <w:spacing w:val="-5"/>
            <w:u w:val="single"/>
            <w:lang w:val="lt-LT"/>
          </w:rPr>
          <w:t>lithuania@sandoz.com</w:t>
        </w:r>
      </w:hyperlink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pacing w:val="-5"/>
          <w:lang w:val="lt-LT"/>
        </w:rPr>
      </w:pPr>
      <w:r w:rsidRPr="00CC52A7">
        <w:rPr>
          <w:rFonts w:ascii="Times New Roman" w:eastAsia="Calibri" w:hAnsi="Times New Roman" w:cs="Times New Roman"/>
          <w:color w:val="000000"/>
          <w:spacing w:val="-5"/>
          <w:lang w:val="lt-LT"/>
        </w:rPr>
        <w:t>Nemokama linija pacientams +370 800 00877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Cs/>
          <w:iCs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b/>
          <w:lang w:val="lt-LT"/>
        </w:rPr>
      </w:pPr>
      <w:r w:rsidRPr="00CC52A7">
        <w:rPr>
          <w:rFonts w:ascii="Times New Roman" w:eastAsia="PMingLiU" w:hAnsi="Times New Roman" w:cs="Times New Roman"/>
          <w:b/>
          <w:bCs/>
          <w:lang w:val="lt-LT"/>
        </w:rPr>
        <w:t>Šis pakuotės lapelis</w:t>
      </w:r>
      <w:r w:rsidRPr="00CC52A7">
        <w:rPr>
          <w:rFonts w:ascii="Times New Roman" w:eastAsia="PMingLiU" w:hAnsi="Times New Roman" w:cs="Times New Roman"/>
          <w:b/>
          <w:lang w:val="lt-LT"/>
        </w:rPr>
        <w:t xml:space="preserve"> paskutinį kartą peržiūrėtas </w:t>
      </w:r>
      <w:r>
        <w:rPr>
          <w:rFonts w:ascii="Times New Roman" w:eastAsia="PMingLiU" w:hAnsi="Times New Roman" w:cs="Times New Roman"/>
          <w:b/>
          <w:lang w:val="lt-LT"/>
        </w:rPr>
        <w:t>2018-07-02.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color w:val="0000FF"/>
          <w:u w:val="single"/>
          <w:lang w:val="lt-LT"/>
        </w:rPr>
      </w:pPr>
      <w:r w:rsidRPr="00CC52A7">
        <w:rPr>
          <w:rFonts w:ascii="Times New Roman" w:eastAsia="PMingLiU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CC52A7">
        <w:rPr>
          <w:rFonts w:ascii="Times New Roman" w:eastAsia="PMingLiU" w:hAnsi="Times New Roman" w:cs="Times New Roman"/>
          <w:i/>
          <w:lang w:val="lt-LT"/>
        </w:rPr>
        <w:t xml:space="preserve"> </w:t>
      </w:r>
      <w:hyperlink r:id="rId9" w:history="1">
        <w:r w:rsidRPr="00CC52A7">
          <w:rPr>
            <w:rFonts w:ascii="Times New Roman" w:eastAsia="PMingLiU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CC52A7">
        <w:rPr>
          <w:rFonts w:ascii="Times New Roman" w:eastAsia="PMingLiU" w:hAnsi="Times New Roman" w:cs="Times New Roman"/>
          <w:color w:val="0000FF"/>
          <w:u w:val="single"/>
          <w:lang w:val="lt-LT"/>
        </w:rPr>
        <w:t>.</w:t>
      </w: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color w:val="0000FF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1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  <w:lang w:val="lt-LT"/>
        </w:rPr>
      </w:pPr>
    </w:p>
    <w:p w:rsidR="00A80736" w:rsidRPr="00CC52A7" w:rsidRDefault="00A80736" w:rsidP="00A8073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lt-LT"/>
        </w:rPr>
      </w:pPr>
    </w:p>
    <w:p w:rsidR="00FA651C" w:rsidRPr="00A80736" w:rsidRDefault="00FA651C">
      <w:pPr>
        <w:rPr>
          <w:lang w:val="lt-LT"/>
        </w:rPr>
      </w:pPr>
      <w:bookmarkStart w:id="0" w:name="_GoBack"/>
      <w:bookmarkEnd w:id="0"/>
      <w:permStart w:id="186998520" w:edGrp="everyone"/>
      <w:permEnd w:id="186998520"/>
    </w:p>
    <w:sectPr w:rsidR="00FA651C" w:rsidRPr="00A80736" w:rsidSect="00DC55CF">
      <w:footerReference w:type="default" r:id="rId10"/>
      <w:pgSz w:w="11906" w:h="16838"/>
      <w:pgMar w:top="1134" w:right="1418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AC4" w:rsidRPr="0095359B" w:rsidRDefault="00F07363">
    <w:pPr>
      <w:pStyle w:val="Porat"/>
      <w:framePr w:wrap="auto" w:vAnchor="text" w:hAnchor="margin" w:xAlign="right" w:y="1"/>
      <w:rPr>
        <w:rStyle w:val="Puslapionumeris"/>
        <w:sz w:val="22"/>
        <w:szCs w:val="22"/>
      </w:rPr>
    </w:pPr>
    <w:r w:rsidRPr="0095359B">
      <w:rPr>
        <w:rStyle w:val="Puslapionumeris"/>
        <w:sz w:val="22"/>
        <w:szCs w:val="22"/>
      </w:rPr>
      <w:fldChar w:fldCharType="begin"/>
    </w:r>
    <w:r w:rsidRPr="0095359B">
      <w:rPr>
        <w:rStyle w:val="Puslapionumeris"/>
        <w:sz w:val="22"/>
        <w:szCs w:val="22"/>
      </w:rPr>
      <w:instrText xml:space="preserve">PAGE  </w:instrText>
    </w:r>
    <w:r w:rsidRPr="0095359B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4</w:t>
    </w:r>
    <w:r w:rsidRPr="0095359B">
      <w:rPr>
        <w:rStyle w:val="Puslapionumeris"/>
        <w:sz w:val="22"/>
        <w:szCs w:val="22"/>
      </w:rPr>
      <w:fldChar w:fldCharType="end"/>
    </w:r>
  </w:p>
  <w:p w:rsidR="00C82AC4" w:rsidRDefault="00F07363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1FA"/>
    <w:multiLevelType w:val="hybridMultilevel"/>
    <w:tmpl w:val="ABA680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628CD"/>
    <w:multiLevelType w:val="hybridMultilevel"/>
    <w:tmpl w:val="E54E83E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93B09"/>
    <w:multiLevelType w:val="hybridMultilevel"/>
    <w:tmpl w:val="0E66ACD4"/>
    <w:lvl w:ilvl="0" w:tplc="D114A26A">
      <w:numFmt w:val="bullet"/>
      <w:lvlText w:val="-"/>
      <w:lvlJc w:val="left"/>
      <w:pPr>
        <w:ind w:left="360" w:hanging="360"/>
      </w:pPr>
      <w:rPr>
        <w:rFonts w:ascii="Calibri" w:eastAsia="Calibr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57C8A"/>
    <w:multiLevelType w:val="hybridMultilevel"/>
    <w:tmpl w:val="1534E9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359C1"/>
    <w:multiLevelType w:val="hybridMultilevel"/>
    <w:tmpl w:val="F598925E"/>
    <w:lvl w:ilvl="0" w:tplc="940C3C36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7786"/>
    <w:multiLevelType w:val="hybridMultilevel"/>
    <w:tmpl w:val="3854445E"/>
    <w:lvl w:ilvl="0" w:tplc="59964EE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80388"/>
    <w:multiLevelType w:val="hybridMultilevel"/>
    <w:tmpl w:val="61BE14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60BD4"/>
    <w:multiLevelType w:val="hybridMultilevel"/>
    <w:tmpl w:val="DD465C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EQW9t9tNgJa2uu8S5sDnngxeLH1UY/l+9AE+2RGkiU9Btm84Mn9Wq0ih44Rhj8K4s+EbMmDLEnL0LqXHEvx9A==" w:salt="QT1VTn0zOMjOpEGZ3SO9t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36"/>
    <w:rsid w:val="00A80736"/>
    <w:rsid w:val="00F07363"/>
    <w:rsid w:val="00F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35A33-2E37-4716-A931-EE55A4B2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0736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8073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4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A80736"/>
    <w:rPr>
      <w:rFonts w:ascii="Times New Roman" w:eastAsia="PMingLiU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A807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huania@sando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7042</Words>
  <Characters>4014</Characters>
  <Application>Microsoft Office Word</Application>
  <DocSecurity>8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2018-07-03T06:12:00Z</dcterms:created>
  <dcterms:modified xsi:type="dcterms:W3CDTF">2018-07-03T06:13:00Z</dcterms:modified>
</cp:coreProperties>
</file>