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303E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E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8" w14:textId="77777777" w:rsidR="00DC55CF" w:rsidRPr="00CC52A7" w:rsidRDefault="00DC55CF" w:rsidP="00DC55CF">
      <w:pPr>
        <w:overflowPunct w:val="0"/>
        <w:autoSpaceDE w:val="0"/>
        <w:autoSpaceDN w:val="0"/>
        <w:adjustRightInd w:val="0"/>
        <w:spacing w:after="0" w:line="240" w:lineRule="auto"/>
        <w:contextualSpacing/>
        <w:jc w:val="center"/>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I PRIEDAS</w:t>
      </w:r>
    </w:p>
    <w:p w14:paraId="73A303F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A" w14:textId="77777777" w:rsidR="00DC55CF" w:rsidRPr="00CC52A7" w:rsidRDefault="00DC55CF" w:rsidP="00DC55CF">
      <w:pPr>
        <w:overflowPunct w:val="0"/>
        <w:autoSpaceDE w:val="0"/>
        <w:autoSpaceDN w:val="0"/>
        <w:adjustRightInd w:val="0"/>
        <w:spacing w:after="0" w:line="240" w:lineRule="auto"/>
        <w:contextualSpacing/>
        <w:jc w:val="center"/>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PREPARATO CHARAKTERISTIKŲ SANTRAUKA</w:t>
      </w:r>
    </w:p>
    <w:p w14:paraId="73A303F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3FC" w14:textId="77777777" w:rsidR="00DC55CF" w:rsidRPr="00CC52A7" w:rsidRDefault="00DC55CF" w:rsidP="00DC55CF">
      <w:pPr>
        <w:spacing w:after="0" w:line="240" w:lineRule="auto"/>
        <w:contextualSpacing/>
        <w:rPr>
          <w:rFonts w:ascii="Times New Roman" w:eastAsia="PMingLiU" w:hAnsi="Times New Roman" w:cs="Times New Roman"/>
          <w:b/>
          <w:lang w:val="lt-LT"/>
        </w:rPr>
      </w:pPr>
      <w:r w:rsidRPr="00CC52A7">
        <w:rPr>
          <w:rFonts w:ascii="Times New Roman" w:eastAsia="PMingLiU" w:hAnsi="Times New Roman" w:cs="Times New Roman"/>
          <w:b/>
          <w:lang w:val="lt-LT"/>
        </w:rPr>
        <w:br w:type="page"/>
      </w:r>
    </w:p>
    <w:p w14:paraId="73A303FD"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lastRenderedPageBreak/>
        <w:t>1.</w:t>
      </w:r>
      <w:r w:rsidRPr="00CC52A7">
        <w:rPr>
          <w:rFonts w:ascii="Times New Roman" w:eastAsia="PMingLiU" w:hAnsi="Times New Roman" w:cs="Times New Roman"/>
          <w:b/>
          <w:lang w:val="lt-LT"/>
        </w:rPr>
        <w:tab/>
        <w:t>VAISTINIO PREPARATO PAVADINIMAS</w:t>
      </w:r>
    </w:p>
    <w:p w14:paraId="73A303F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3F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Acic 400</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mg tabletės</w:t>
      </w:r>
    </w:p>
    <w:p w14:paraId="73A3040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0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02"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2.</w:t>
      </w:r>
      <w:r w:rsidRPr="00CC52A7">
        <w:rPr>
          <w:rFonts w:ascii="Times New Roman" w:eastAsia="PMingLiU" w:hAnsi="Times New Roman" w:cs="Times New Roman"/>
          <w:b/>
          <w:lang w:val="lt-LT"/>
        </w:rPr>
        <w:tab/>
        <w:t xml:space="preserve">KOKYBINĖ IR KIEKYBINĖ SUDĖTIS </w:t>
      </w:r>
    </w:p>
    <w:p w14:paraId="73A3040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0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Vienoje tabletėje yra 400</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mg acikloviro.</w:t>
      </w:r>
    </w:p>
    <w:p w14:paraId="73A3040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0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Visos pagalbinės medžiagos išvardytos 6.1 skyriuje </w:t>
      </w:r>
    </w:p>
    <w:p w14:paraId="73A3040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0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09"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3.</w:t>
      </w:r>
      <w:r w:rsidRPr="00CC52A7">
        <w:rPr>
          <w:rFonts w:ascii="Times New Roman" w:eastAsia="PMingLiU" w:hAnsi="Times New Roman" w:cs="Times New Roman"/>
          <w:b/>
          <w:lang w:val="lt-LT"/>
        </w:rPr>
        <w:tab/>
        <w:t>FARMACINĖ FORMA</w:t>
      </w:r>
    </w:p>
    <w:p w14:paraId="73A3040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0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Tabletė.</w:t>
      </w:r>
    </w:p>
    <w:p w14:paraId="73A3040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0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Tabletės yra baltos, apvalios, išgaubtos</w:t>
      </w:r>
      <w:r w:rsidR="004070A0">
        <w:rPr>
          <w:rFonts w:ascii="Times New Roman" w:eastAsia="PMingLiU" w:hAnsi="Times New Roman" w:cs="Times New Roman"/>
          <w:lang w:val="lt-LT"/>
        </w:rPr>
        <w:t>,</w:t>
      </w:r>
      <w:r w:rsidRPr="00CC52A7">
        <w:rPr>
          <w:rFonts w:ascii="Times New Roman" w:eastAsia="PMingLiU" w:hAnsi="Times New Roman" w:cs="Times New Roman"/>
          <w:lang w:val="lt-LT"/>
        </w:rPr>
        <w:t xml:space="preserve"> su kryžmine</w:t>
      </w:r>
      <w:r w:rsidRPr="00CC52A7">
        <w:rPr>
          <w:rFonts w:ascii="Times New Roman" w:eastAsia="PMingLiU" w:hAnsi="Times New Roman" w:cs="Times New Roman"/>
          <w:b/>
          <w:lang w:val="lt-LT"/>
        </w:rPr>
        <w:t xml:space="preserve"> </w:t>
      </w:r>
      <w:r w:rsidRPr="00CC52A7">
        <w:rPr>
          <w:rFonts w:ascii="Times New Roman" w:eastAsia="PMingLiU" w:hAnsi="Times New Roman" w:cs="Times New Roman"/>
          <w:lang w:val="lt-LT"/>
        </w:rPr>
        <w:t>laužimo vagele vienoje pusėje.</w:t>
      </w:r>
    </w:p>
    <w:p w14:paraId="73A3040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Kryžminė vagelė skirta tik tabletei perlaužti, kad būtų lengviau nuryti, bet ne ją padalyti į lygias dozes.</w:t>
      </w:r>
    </w:p>
    <w:p w14:paraId="73A3040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1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11"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4.</w:t>
      </w:r>
      <w:r w:rsidRPr="00CC52A7">
        <w:rPr>
          <w:rFonts w:ascii="Times New Roman" w:eastAsia="PMingLiU" w:hAnsi="Times New Roman" w:cs="Times New Roman"/>
          <w:b/>
          <w:lang w:val="lt-LT"/>
        </w:rPr>
        <w:tab/>
        <w:t>KLINIKINĖ INFORMACIJA</w:t>
      </w:r>
    </w:p>
    <w:p w14:paraId="73A3041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13"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4.1</w:t>
      </w:r>
      <w:r w:rsidRPr="00CC52A7">
        <w:rPr>
          <w:rFonts w:ascii="Times New Roman" w:eastAsia="PMingLiU" w:hAnsi="Times New Roman" w:cs="Times New Roman"/>
          <w:b/>
          <w:lang w:val="lt-LT"/>
        </w:rPr>
        <w:tab/>
        <w:t>Terapinės indikacijos</w:t>
      </w:r>
    </w:p>
    <w:p w14:paraId="73A3041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15" w14:textId="77777777" w:rsidR="00DC55CF" w:rsidRPr="00CC52A7" w:rsidRDefault="00DC55CF" w:rsidP="00DC55CF">
      <w:pPr>
        <w:numPr>
          <w:ilvl w:val="0"/>
          <w:numId w:val="3"/>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Juostinės pūslelinės virusų sukeltos ligos gydymas.</w:t>
      </w:r>
    </w:p>
    <w:p w14:paraId="73A30416" w14:textId="77777777" w:rsidR="00DC55CF" w:rsidRPr="00CC52A7" w:rsidRDefault="00DC55CF" w:rsidP="00DC55CF">
      <w:pPr>
        <w:numPr>
          <w:ilvl w:val="0"/>
          <w:numId w:val="3"/>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Paprastosios pūslelinės virusų sukeltų ligų profilaktika žmonėms, kurių organizmo imuninis atsakas yra nepakankamas.</w:t>
      </w:r>
      <w:r w:rsidRPr="00CC52A7" w:rsidDel="00F93338">
        <w:rPr>
          <w:rFonts w:ascii="Times New Roman" w:eastAsia="PMingLiU" w:hAnsi="Times New Roman" w:cs="Times New Roman"/>
          <w:lang w:val="lt-LT" w:eastAsia="lt-LT"/>
        </w:rPr>
        <w:t xml:space="preserve"> </w:t>
      </w:r>
    </w:p>
    <w:p w14:paraId="73A3041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18"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4.2</w:t>
      </w:r>
      <w:r w:rsidRPr="00CC52A7">
        <w:rPr>
          <w:rFonts w:ascii="Times New Roman" w:eastAsia="PMingLiU" w:hAnsi="Times New Roman" w:cs="Times New Roman"/>
          <w:b/>
          <w:lang w:val="lt-LT"/>
        </w:rPr>
        <w:tab/>
        <w:t>Dozavimas ir vartojimo metodas</w:t>
      </w:r>
    </w:p>
    <w:p w14:paraId="73A3041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Cs/>
          <w:lang w:val="lt-LT"/>
        </w:rPr>
      </w:pPr>
    </w:p>
    <w:p w14:paraId="73A3041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Cs/>
          <w:lang w:val="lt-LT"/>
        </w:rPr>
      </w:pPr>
      <w:r w:rsidRPr="00CC52A7">
        <w:rPr>
          <w:rFonts w:ascii="Times New Roman" w:eastAsia="PMingLiU" w:hAnsi="Times New Roman" w:cs="Times New Roman"/>
          <w:bCs/>
          <w:u w:val="single"/>
          <w:lang w:val="lt-LT"/>
        </w:rPr>
        <w:t>Dozavimas</w:t>
      </w:r>
    </w:p>
    <w:p w14:paraId="73A3041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Cs/>
          <w:lang w:val="lt-LT"/>
        </w:rPr>
      </w:pPr>
      <w:r w:rsidRPr="00CC52A7">
        <w:rPr>
          <w:rFonts w:ascii="Times New Roman" w:eastAsia="PMingLiU" w:hAnsi="Times New Roman" w:cs="Times New Roman"/>
          <w:bCs/>
          <w:lang w:val="lt-LT"/>
        </w:rPr>
        <w:t>Rekomenduojamos toliau nurodytos vienkartinės ir paros dozės.</w:t>
      </w:r>
    </w:p>
    <w:p w14:paraId="73A3041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Cs/>
          <w:lang w:val="lt-LT"/>
        </w:rPr>
      </w:pPr>
    </w:p>
    <w:p w14:paraId="73A3041D"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i/>
          <w:lang w:val="lt-LT"/>
        </w:rPr>
      </w:pPr>
      <w:r w:rsidRPr="00CC52A7">
        <w:rPr>
          <w:rFonts w:ascii="Times New Roman" w:eastAsia="PMingLiU" w:hAnsi="Times New Roman" w:cs="Times New Roman"/>
          <w:bCs/>
          <w:i/>
          <w:lang w:val="lt-LT"/>
        </w:rPr>
        <w:t>Suaugusiems žmonėms</w:t>
      </w:r>
    </w:p>
    <w:p w14:paraId="73A3041E"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i/>
          <w:iCs/>
          <w:u w:val="single"/>
          <w:lang w:val="lt-LT"/>
        </w:rPr>
      </w:pPr>
      <w:r w:rsidRPr="00CC52A7">
        <w:rPr>
          <w:rFonts w:ascii="Times New Roman" w:eastAsia="PMingLiU" w:hAnsi="Times New Roman" w:cs="Times New Roman"/>
          <w:i/>
          <w:lang w:val="lt-LT"/>
        </w:rPr>
        <w:t>Juostinės pūslelinės virusų sukeltos ligos gydymas</w:t>
      </w:r>
    </w:p>
    <w:p w14:paraId="73A3041F"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Reikia gerti 5</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kartus per parą kas 4</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val. po 800</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mg acikloviro (t. y. po dvi tabletes Acic</w:t>
      </w:r>
      <w:r w:rsidRPr="00CC52A7">
        <w:rPr>
          <w:rFonts w:ascii="Times New Roman" w:eastAsia="PMingLiU" w:hAnsi="Times New Roman" w:cs="Times New Roman"/>
          <w:position w:val="6"/>
          <w:lang w:val="lt-LT"/>
        </w:rPr>
        <w:t xml:space="preserve"> </w:t>
      </w:r>
      <w:r w:rsidRPr="00CC52A7">
        <w:rPr>
          <w:rFonts w:ascii="Times New Roman" w:eastAsia="PMingLiU" w:hAnsi="Times New Roman" w:cs="Times New Roman"/>
          <w:lang w:val="lt-LT"/>
        </w:rPr>
        <w:t>400</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mg tabletes 5</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kartus per parą).</w:t>
      </w:r>
    </w:p>
    <w:p w14:paraId="73A3042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Juostinė pūslelinė gydoma 5</w:t>
      </w:r>
      <w:r w:rsidR="00CC52A7">
        <w:rPr>
          <w:rFonts w:ascii="Times New Roman" w:eastAsia="PMingLiU" w:hAnsi="Times New Roman" w:cs="Times New Roman"/>
          <w:lang w:val="lt-LT"/>
        </w:rPr>
        <w:noBreakHyphen/>
      </w:r>
      <w:r w:rsidRPr="00CC52A7">
        <w:rPr>
          <w:rFonts w:ascii="Times New Roman" w:eastAsia="PMingLiU" w:hAnsi="Times New Roman" w:cs="Times New Roman"/>
          <w:lang w:val="lt-LT"/>
        </w:rPr>
        <w:t>7</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paras.</w:t>
      </w:r>
    </w:p>
    <w:p w14:paraId="73A30421"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422" w14:textId="77777777" w:rsidR="00DC55CF" w:rsidRPr="00CC52A7" w:rsidRDefault="00DC55CF" w:rsidP="00DC55CF">
      <w:pPr>
        <w:spacing w:after="0" w:line="240" w:lineRule="auto"/>
        <w:contextualSpacing/>
        <w:rPr>
          <w:rFonts w:ascii="Times New Roman" w:eastAsia="PMingLiU" w:hAnsi="Times New Roman" w:cs="Times New Roman"/>
          <w:i/>
          <w:lang w:val="lt-LT" w:eastAsia="lt-LT"/>
        </w:rPr>
      </w:pPr>
      <w:r w:rsidRPr="00CC52A7">
        <w:rPr>
          <w:rFonts w:ascii="Times New Roman" w:eastAsia="PMingLiU" w:hAnsi="Times New Roman" w:cs="Times New Roman"/>
          <w:i/>
          <w:lang w:val="lt-LT" w:eastAsia="lt-LT"/>
        </w:rPr>
        <w:t>Paprastosios pūslelinės virusų sukeltų ligų profilaktika žmonėms, kurių organizmo imuninis atsakas yra nepakankamas.</w:t>
      </w:r>
      <w:r w:rsidRPr="00CC52A7" w:rsidDel="00F93338">
        <w:rPr>
          <w:rFonts w:ascii="Times New Roman" w:eastAsia="PMingLiU" w:hAnsi="Times New Roman" w:cs="Times New Roman"/>
          <w:i/>
          <w:lang w:val="lt-LT" w:eastAsia="lt-LT"/>
        </w:rPr>
        <w:t xml:space="preserve"> </w:t>
      </w:r>
    </w:p>
    <w:p w14:paraId="73A3042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Sunkiems pacientams, kurių organizmo imuninis atsakas yra nepakankamas, pvz., po organų persodinimo, žmonėms kurių imunitetas nuslopintas, reikia gerti 4</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kartus per parą kas 6</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val. po 400 mg acikloviro (t. y. po vieną tabletę Acic</w:t>
      </w:r>
      <w:r w:rsidRPr="00CC52A7">
        <w:rPr>
          <w:rFonts w:ascii="Times New Roman" w:eastAsia="PMingLiU" w:hAnsi="Times New Roman" w:cs="Times New Roman"/>
          <w:position w:val="6"/>
          <w:lang w:val="lt-LT"/>
        </w:rPr>
        <w:t xml:space="preserve"> </w:t>
      </w:r>
      <w:r w:rsidRPr="00CC52A7">
        <w:rPr>
          <w:rFonts w:ascii="Times New Roman" w:eastAsia="PMingLiU" w:hAnsi="Times New Roman" w:cs="Times New Roman"/>
          <w:lang w:val="lt-LT"/>
        </w:rPr>
        <w:t>400</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mg tabletes 4</w:t>
      </w:r>
      <w:r w:rsidR="00CC52A7">
        <w:rPr>
          <w:rFonts w:ascii="Times New Roman" w:eastAsia="PMingLiU" w:hAnsi="Times New Roman" w:cs="Times New Roman"/>
          <w:lang w:val="lt-LT"/>
        </w:rPr>
        <w:t> </w:t>
      </w:r>
      <w:r w:rsidRPr="00CC52A7">
        <w:rPr>
          <w:rFonts w:ascii="Times New Roman" w:eastAsia="PMingLiU" w:hAnsi="Times New Roman" w:cs="Times New Roman"/>
          <w:lang w:val="lt-LT"/>
        </w:rPr>
        <w:t>kartus per parą).</w:t>
      </w:r>
    </w:p>
    <w:p w14:paraId="73A3042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Acikloviro galima vartoti ir kitokiu būdu: ligoniams, ypač tokiems, kurių rezorbcija iš virškinimo trakto sutrikusi, </w:t>
      </w:r>
      <w:r w:rsidR="004070A0">
        <w:rPr>
          <w:rFonts w:ascii="Times New Roman" w:eastAsia="PMingLiU" w:hAnsi="Times New Roman" w:cs="Times New Roman"/>
          <w:lang w:val="lt-LT"/>
        </w:rPr>
        <w:t>vaistinio preparato</w:t>
      </w:r>
      <w:r w:rsidR="004070A0"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 xml:space="preserve">galima infuzuoti į veną. </w:t>
      </w:r>
    </w:p>
    <w:p w14:paraId="73A3042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2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Paprastosios pūslelinės profilaktikos trukmė pacientams, kurių imunitetas nesutrikęs, priklauso nuo ligos sunkumo ir atkryčio dažnio (tačiau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vartoti ilgiau kaip 6</w:t>
      </w:r>
      <w:r w:rsidR="009D7277">
        <w:rPr>
          <w:rFonts w:ascii="Times New Roman" w:eastAsia="PMingLiU" w:hAnsi="Times New Roman" w:cs="Times New Roman"/>
          <w:lang w:val="lt-LT"/>
        </w:rPr>
        <w:noBreakHyphen/>
      </w:r>
      <w:r w:rsidRPr="00CC52A7">
        <w:rPr>
          <w:rFonts w:ascii="Times New Roman" w:eastAsia="PMingLiU" w:hAnsi="Times New Roman" w:cs="Times New Roman"/>
          <w:lang w:val="lt-LT"/>
        </w:rPr>
        <w:t>12</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mėnesių nereikėtų). </w:t>
      </w:r>
    </w:p>
    <w:p w14:paraId="73A3042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Paprastosios pūslelinės virusų sukeltos ligos profilaktikos trukmė ligoniams, kurių imunitetas labai nuslopintas, nustatoma, atsižvelgiant į imuniteto slopinimo laipsnį ir pavojaus susirgti virusine liga trukmę. </w:t>
      </w:r>
    </w:p>
    <w:p w14:paraId="73A3042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2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Senyviems pacientams</w:t>
      </w:r>
    </w:p>
    <w:p w14:paraId="73A3042A"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 xml:space="preserve">Būtina atsižvelgti į inkstų funkcijos sutrikimo galimybę senyviems pacientams ir reikia atitinkamai priderinti dozavimą (žr. toliau poskyrį </w:t>
      </w:r>
      <w:r w:rsidRPr="00CC52A7">
        <w:rPr>
          <w:rFonts w:ascii="Times New Roman" w:eastAsia="PMingLiU" w:hAnsi="Times New Roman" w:cs="Times New Roman"/>
          <w:i/>
          <w:iCs/>
          <w:color w:val="000000"/>
          <w:lang w:val="lt-LT"/>
        </w:rPr>
        <w:t>Pacientams, kurių inkstų funkcija sutrikusi</w:t>
      </w:r>
      <w:r w:rsidRPr="00CC52A7">
        <w:rPr>
          <w:rFonts w:ascii="Times New Roman" w:eastAsia="PMingLiU" w:hAnsi="Times New Roman" w:cs="Times New Roman"/>
          <w:iCs/>
          <w:color w:val="000000"/>
          <w:lang w:val="lt-LT"/>
        </w:rPr>
        <w:t>)</w:t>
      </w:r>
      <w:r w:rsidRPr="00CC52A7">
        <w:rPr>
          <w:rFonts w:ascii="Times New Roman" w:eastAsia="PMingLiU" w:hAnsi="Times New Roman" w:cs="Times New Roman"/>
          <w:i/>
          <w:lang w:val="lt-LT"/>
        </w:rPr>
        <w:t>.</w:t>
      </w:r>
    </w:p>
    <w:p w14:paraId="73A3042B"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lastRenderedPageBreak/>
        <w:t>Turi būti palaikoma pakankama senyvų pacientų, kurie geria dideles acikloviro dozes, hidratacija.</w:t>
      </w:r>
    </w:p>
    <w:p w14:paraId="73A3042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2D"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i/>
          <w:lang w:val="lt-LT"/>
        </w:rPr>
      </w:pPr>
      <w:r w:rsidRPr="00CC52A7">
        <w:rPr>
          <w:rFonts w:ascii="Times New Roman" w:eastAsia="PMingLiU" w:hAnsi="Times New Roman" w:cs="Times New Roman"/>
          <w:bCs/>
          <w:i/>
          <w:lang w:val="lt-LT"/>
        </w:rPr>
        <w:t>Vaikų populiacija</w:t>
      </w:r>
    </w:p>
    <w:p w14:paraId="73A3042E"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Paprastosios pūslelinės virusų sukeltų odos ir gleivinių ligų gydymas ir profilaktika vaikams, kurių organizmo imuninis atsakas yra nepakankamas.</w:t>
      </w:r>
    </w:p>
    <w:p w14:paraId="73A3042F"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Vyresniems kaip 2</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metų vaikams reikia vartoti suaugusio žmogaus dozę, jaunesniems – pusę suaugusio žmogaus dozės. </w:t>
      </w:r>
    </w:p>
    <w:p w14:paraId="73A30430"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Dozavimas turėtų būti tiksliai paskaičiuotas 20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mg/kg kūno svorio (neviršijant 800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vartojant 4</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kartus per parą.</w:t>
      </w:r>
    </w:p>
    <w:p w14:paraId="73A3043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Vaikams, kurie negali nuryti tabletės, ją reikia sutraiškyti ir sumaišyti su skysčiu.</w:t>
      </w:r>
    </w:p>
    <w:p w14:paraId="73A3043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3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i/>
          <w:lang w:val="lt-LT"/>
        </w:rPr>
        <w:t xml:space="preserve">Pacientams, kurių inkstų funkcija sutrikusi </w:t>
      </w:r>
    </w:p>
    <w:p w14:paraId="73A3043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Vartojant acikloviro pacientams, kurių inkstų funkcija sutrikusi, patartina laikytis atsargumo.</w:t>
      </w:r>
    </w:p>
    <w:p w14:paraId="73A3043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Turi būti palaikoma pakankama hidratacija.</w:t>
      </w:r>
    </w:p>
    <w:p w14:paraId="73A30436" w14:textId="77777777" w:rsidR="00DC55CF" w:rsidRPr="00CC52A7" w:rsidRDefault="00DC55CF" w:rsidP="00DC55CF">
      <w:pPr>
        <w:spacing w:after="0" w:line="240" w:lineRule="auto"/>
        <w:contextualSpacing/>
        <w:rPr>
          <w:rFonts w:ascii="Times New Roman" w:eastAsia="Times New Roman" w:hAnsi="Times New Roman" w:cs="Times New Roman"/>
          <w:lang w:val="lt-LT" w:eastAsia="lt-LT"/>
        </w:rPr>
      </w:pPr>
      <w:r w:rsidRPr="00CC52A7">
        <w:rPr>
          <w:rFonts w:ascii="Times New Roman" w:eastAsia="Times New Roman" w:hAnsi="Times New Roman" w:cs="Times New Roman"/>
          <w:lang w:val="lt-LT" w:eastAsia="lt-LT"/>
        </w:rPr>
        <w:t>Gydant paprastąją pūslelinę pacientams, kuriems yra sunkus inkstų funkcijos nepakankamumas (kreatinino klirensas mažesnis nei 10</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ml/min) rekomenduojamas dozavimo pakeitimas skiriant 200</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mg acikloviro du kartus per parą maždaug kas 12</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 xml:space="preserve">valandų. </w:t>
      </w:r>
    </w:p>
    <w:p w14:paraId="73A30437" w14:textId="77777777" w:rsidR="00DC55CF" w:rsidRPr="00CC52A7" w:rsidRDefault="00DC55CF" w:rsidP="00DC55CF">
      <w:pPr>
        <w:spacing w:after="0" w:line="240" w:lineRule="auto"/>
        <w:contextualSpacing/>
        <w:rPr>
          <w:rFonts w:ascii="Times New Roman" w:eastAsia="Times New Roman" w:hAnsi="Times New Roman" w:cs="Times New Roman"/>
          <w:lang w:val="lt-LT" w:eastAsia="lt-LT"/>
        </w:rPr>
      </w:pPr>
    </w:p>
    <w:p w14:paraId="73A30438" w14:textId="77777777" w:rsidR="00DC55CF" w:rsidRPr="00CC52A7" w:rsidRDefault="00DC55CF" w:rsidP="00DC55CF">
      <w:pPr>
        <w:spacing w:after="0" w:line="240" w:lineRule="auto"/>
        <w:contextualSpacing/>
        <w:rPr>
          <w:rFonts w:ascii="Times New Roman" w:eastAsia="Times New Roman" w:hAnsi="Times New Roman" w:cs="Times New Roman"/>
          <w:lang w:val="lt-LT" w:eastAsia="lt-LT"/>
        </w:rPr>
      </w:pPr>
      <w:r w:rsidRPr="00CC52A7">
        <w:rPr>
          <w:rFonts w:ascii="Times New Roman" w:eastAsia="Times New Roman" w:hAnsi="Times New Roman" w:cs="Times New Roman"/>
          <w:lang w:val="lt-LT" w:eastAsia="lt-LT"/>
        </w:rPr>
        <w:t>Gydant juostinę pūslelinę pacientams, kuriems yra sunkus inkstų funkcijos nepakankamumas (kreatinino klirensas mažesnis nei 10</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ml/min), rekomenduojamas dozavimo pakeitimas skiriant 800</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mg acikloviro du kartus per parą maždaug kas dvylika valandų, o pacientams, kuriems yra vidutinio sunkumo inkstų funkcijos nepakankamumas (kreatinino klirensas yra 10</w:t>
      </w:r>
      <w:r w:rsidR="009D7277">
        <w:rPr>
          <w:rFonts w:ascii="Times New Roman" w:eastAsia="Times New Roman" w:hAnsi="Times New Roman" w:cs="Times New Roman"/>
          <w:lang w:val="lt-LT" w:eastAsia="lt-LT"/>
        </w:rPr>
        <w:noBreakHyphen/>
      </w:r>
      <w:r w:rsidRPr="00CC52A7">
        <w:rPr>
          <w:rFonts w:ascii="Times New Roman" w:eastAsia="Times New Roman" w:hAnsi="Times New Roman" w:cs="Times New Roman"/>
          <w:lang w:val="lt-LT" w:eastAsia="lt-LT"/>
        </w:rPr>
        <w:t>25</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ml/min diapazone), - skiriant 800</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mg acikloviro 3</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kartus per parą maždaug kas 8</w:t>
      </w:r>
      <w:r w:rsidR="009D7277">
        <w:rPr>
          <w:rFonts w:ascii="Times New Roman" w:eastAsia="Times New Roman" w:hAnsi="Times New Roman" w:cs="Times New Roman"/>
          <w:lang w:val="lt-LT" w:eastAsia="lt-LT"/>
        </w:rPr>
        <w:t> </w:t>
      </w:r>
      <w:r w:rsidRPr="00CC52A7">
        <w:rPr>
          <w:rFonts w:ascii="Times New Roman" w:eastAsia="Times New Roman" w:hAnsi="Times New Roman" w:cs="Times New Roman"/>
          <w:lang w:val="lt-LT" w:eastAsia="lt-LT"/>
        </w:rPr>
        <w:t>valandas.</w:t>
      </w:r>
    </w:p>
    <w:p w14:paraId="73A3043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3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Kad gydymas būtų kiek galima veiksmingesnis, acikloviro tablečių reikia pradėti gerti kiek galima anksčiau, t. y. vos tik atsiradus pirmiesiems odos pažeidimo simptomams. Labai svarbu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pradėti gerti nedelsiant (ypač sergant pasikartojančia paprastąja pūsleline), kai tik atsiranda pirmųjų ligos atkryčio simptomų, pvz., niežėjimas, tempimo pojūtis, pirmosios pūslelės.</w:t>
      </w:r>
    </w:p>
    <w:p w14:paraId="73A3043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Būtina pasirūpinti, kad gydymo metu pacientai, ypač kurių inkstų veikla sutrikusi, gertų pakankamai skysčio. </w:t>
      </w:r>
    </w:p>
    <w:p w14:paraId="73A3043C" w14:textId="77777777" w:rsidR="00DC55CF" w:rsidRPr="00CC52A7" w:rsidRDefault="00DC55CF" w:rsidP="00DC55CF">
      <w:pPr>
        <w:spacing w:after="0" w:line="240" w:lineRule="auto"/>
        <w:contextualSpacing/>
        <w:rPr>
          <w:rFonts w:ascii="Times New Roman" w:eastAsia="Times New Roman" w:hAnsi="Times New Roman" w:cs="Times New Roman"/>
          <w:lang w:val="lt-LT" w:eastAsia="lt-LT"/>
        </w:rPr>
      </w:pPr>
    </w:p>
    <w:p w14:paraId="73A3043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u w:val="single"/>
          <w:lang w:val="lt-LT"/>
        </w:rPr>
      </w:pPr>
      <w:r w:rsidRPr="00CC52A7">
        <w:rPr>
          <w:rFonts w:ascii="Times New Roman" w:eastAsia="PMingLiU" w:hAnsi="Times New Roman" w:cs="Times New Roman"/>
          <w:u w:val="single"/>
          <w:lang w:val="lt-LT"/>
        </w:rPr>
        <w:t xml:space="preserve">Vartojimo metodas </w:t>
      </w:r>
    </w:p>
    <w:p w14:paraId="73A3043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Vartoti per burną.</w:t>
      </w:r>
    </w:p>
    <w:p w14:paraId="73A3043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Tabletes geriausiai gerti po valgio, užsigeriant skysčio.</w:t>
      </w:r>
    </w:p>
    <w:p w14:paraId="73A3044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41"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4.3</w:t>
      </w:r>
      <w:r w:rsidRPr="00CC52A7">
        <w:rPr>
          <w:rFonts w:ascii="Times New Roman" w:eastAsia="PMingLiU" w:hAnsi="Times New Roman" w:cs="Times New Roman"/>
          <w:b/>
          <w:lang w:val="lt-LT"/>
        </w:rPr>
        <w:tab/>
        <w:t>Kontraindikacijos</w:t>
      </w:r>
    </w:p>
    <w:p w14:paraId="73A30442" w14:textId="77777777" w:rsidR="00DC55CF" w:rsidRPr="00CC52A7" w:rsidRDefault="00DC55CF" w:rsidP="00DC55CF">
      <w:pPr>
        <w:tabs>
          <w:tab w:val="left" w:pos="357"/>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43" w14:textId="77777777" w:rsidR="00DC55CF" w:rsidRPr="00CC52A7" w:rsidRDefault="00DC55CF" w:rsidP="00DC55CF">
      <w:pPr>
        <w:tabs>
          <w:tab w:val="left" w:pos="357"/>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Padidėjęs jautrumas aciklovirui, valaciklovirui arba bet kuriai 6.1 skyriuje nurodytai pagalbinei medžiagai. </w:t>
      </w:r>
    </w:p>
    <w:p w14:paraId="73A30444" w14:textId="77777777" w:rsidR="00DC55CF" w:rsidRPr="00CC52A7" w:rsidRDefault="00DC55CF" w:rsidP="00DC55CF">
      <w:pPr>
        <w:tabs>
          <w:tab w:val="left" w:pos="357"/>
        </w:tabs>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45"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4.4</w:t>
      </w:r>
      <w:r w:rsidRPr="00CC52A7">
        <w:rPr>
          <w:rFonts w:ascii="Times New Roman" w:eastAsia="PMingLiU" w:hAnsi="Times New Roman" w:cs="Times New Roman"/>
          <w:b/>
          <w:lang w:val="lt-LT"/>
        </w:rPr>
        <w:tab/>
        <w:t xml:space="preserve">Specialūs įspėjimai ir atsargumo priemonės </w:t>
      </w:r>
    </w:p>
    <w:p w14:paraId="73A3044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4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Būtina palaikyti pakankamą hidrataciją pacientams, kuriems acikloviro leidžiama į veną arba kurie šį vaistinį preparatą geria didelėmis dozėmis. </w:t>
      </w:r>
    </w:p>
    <w:p w14:paraId="73A3044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4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Inkstų pakenkimo rizika būna didesnė, jeigu acikloviro vartojama kartu su kitais nefrotoksiniais vaistiniais preparatais. </w:t>
      </w:r>
    </w:p>
    <w:p w14:paraId="73A3044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u w:val="single"/>
          <w:lang w:val="lt-LT"/>
        </w:rPr>
      </w:pPr>
    </w:p>
    <w:p w14:paraId="73A3044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Vartojimas ligoniams, kurių inkstų funkcija sutrikusi, ir senyviems pacientams</w:t>
      </w:r>
    </w:p>
    <w:p w14:paraId="73A3044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Acikloviro pasišalinimas iš organizmo priklauso nuo kreatino klirenso, todėl pacientams, kuriems buvo sutrikusi inkstų funkcija, reikia koreguoti dozę (žr. 4.2 skyrių). Dažniausiai inkstų funkcijos sutrikimas pasitaiko senyviems žmonėms, todėl dozės mažinimas turi būti apsvarstytas šiai grupei pacientų. Senyviems žmonėms ir pacientams, kuriems pakenkta inkstų funkcija, yra didesnė neurologinio nepageidaujamo poveikio išsivystymo rizika, todėl jie turi būti atidžiai stebimi dėl minėto poveikio požymių. Atvejais, apie kuriuos buvo pranešta, šios reakcijos paprastai išnykdavo nutraukus gydymą (žr. 4.8 skyrių).</w:t>
      </w:r>
    </w:p>
    <w:p w14:paraId="73A3044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lastRenderedPageBreak/>
        <w:t>Dėl užsitęsusių ar pakartotinių gydymo acikloviru kursų pacientams, kurių imuninė sistema labai susilpnėjusi, gali atsirasti sumažėjusio jautrumo virusų padermių, kurios gali nereaguoti į tęsiamą gydymą acikloviru (žr. 5.1 skyrių).</w:t>
      </w:r>
    </w:p>
    <w:p w14:paraId="73A3044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4F"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i/>
          <w:u w:val="single"/>
          <w:lang w:val="lt-LT"/>
        </w:rPr>
      </w:pPr>
      <w:r w:rsidRPr="00CC52A7">
        <w:rPr>
          <w:rFonts w:ascii="Times New Roman" w:eastAsia="PMingLiU" w:hAnsi="Times New Roman" w:cs="Times New Roman"/>
          <w:i/>
          <w:u w:val="single"/>
          <w:lang w:val="lt-LT"/>
        </w:rPr>
        <w:t>Hidracija</w:t>
      </w:r>
    </w:p>
    <w:p w14:paraId="73A3045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Reikia pasirūpinti, kad būtų palaikoma pakankama pacientų, vartojančių dideles geriamąsias acikloviro dozes, hidracija.</w:t>
      </w:r>
    </w:p>
    <w:p w14:paraId="73A3045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5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Nėra pakankamai duomenų įrodančių, kad gydant acikloviru pacientus, kurių imuninis atsakas yra pakankamas, sumažėja su vėjaraupiais susijusių komplikacijų tikimybė.</w:t>
      </w:r>
    </w:p>
    <w:p w14:paraId="73A3045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54"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4.5</w:t>
      </w:r>
      <w:r w:rsidRPr="00CC52A7">
        <w:rPr>
          <w:rFonts w:ascii="Times New Roman" w:eastAsia="PMingLiU" w:hAnsi="Times New Roman" w:cs="Times New Roman"/>
          <w:b/>
          <w:lang w:val="lt-LT"/>
        </w:rPr>
        <w:tab/>
        <w:t>Sąveika su kitais vaistiniais preparatais ir kitokia sąveika</w:t>
      </w:r>
    </w:p>
    <w:p w14:paraId="73A3045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56"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Daugiausia acikloviro nepakitusio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 xml:space="preserve">o pavidalu pašalinama su šlapimu aktyvios inkstų kanalėlių sekrecijos būdu. Bet kurie kartu su acikloviru vartojami vaistiniai preparatai, išskiriami iš organizmo minėtu būdu, gali didinti acikloviro koncentraciją kraujo plazmoje. Tokiu būdu cimetidinas ir probenecidas didina acikloviro AUC ir mažina acikloviro pašalinimą su šlapimu. Panašiai didėja ir acikloviro, ir mikofenolato mofetilio (imunosupresinio </w:t>
      </w:r>
      <w:r w:rsidR="007C5A3D" w:rsidRPr="007C5A3D">
        <w:rPr>
          <w:rFonts w:ascii="Times New Roman" w:eastAsia="PMingLiU" w:hAnsi="Times New Roman" w:cs="Times New Roman"/>
          <w:lang w:val="lt-LT"/>
        </w:rPr>
        <w:t xml:space="preserve">vaistinio </w:t>
      </w:r>
      <w:r w:rsidRPr="00CC52A7">
        <w:rPr>
          <w:rFonts w:ascii="Times New Roman" w:eastAsia="PMingLiU" w:hAnsi="Times New Roman" w:cs="Times New Roman"/>
          <w:lang w:val="lt-LT"/>
        </w:rPr>
        <w:t xml:space="preserve">preparato, skiriamo po transplantacijos) neaktyvaus metabolito AUC pacientams, kuriems šių </w:t>
      </w:r>
      <w:r w:rsidR="007C5A3D" w:rsidRPr="00CC52A7">
        <w:rPr>
          <w:rFonts w:ascii="Times New Roman" w:eastAsia="PMingLiU" w:hAnsi="Times New Roman" w:cs="Times New Roman"/>
          <w:lang w:val="lt-LT"/>
        </w:rPr>
        <w:t>vaistini</w:t>
      </w:r>
      <w:r w:rsidR="007C5A3D">
        <w:rPr>
          <w:rFonts w:ascii="Times New Roman" w:eastAsia="PMingLiU" w:hAnsi="Times New Roman" w:cs="Times New Roman"/>
          <w:lang w:val="lt-LT"/>
        </w:rPr>
        <w:t xml:space="preserve">ų </w:t>
      </w:r>
      <w:r w:rsidRPr="00CC52A7">
        <w:rPr>
          <w:rFonts w:ascii="Times New Roman" w:eastAsia="PMingLiU" w:hAnsi="Times New Roman" w:cs="Times New Roman"/>
          <w:lang w:val="lt-LT"/>
        </w:rPr>
        <w:t>preparatų buvo skiriama kartu. Tačiau dozės keisti nereikia, kadangi acikloviro terapinis indeksas yra platus.</w:t>
      </w:r>
    </w:p>
    <w:p w14:paraId="73A3045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5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Eksperimentinis tyrimas, kuriame dalyvavo 5 vyrai, rodo, kad kartu taikomas gydymas acikloviru padidina viso suvartoto </w:t>
      </w:r>
      <w:r w:rsidRPr="00CC52A7">
        <w:rPr>
          <w:rFonts w:ascii="Times New Roman" w:eastAsia="PMingLiU" w:hAnsi="Times New Roman" w:cs="Times New Roman"/>
          <w:bCs/>
          <w:lang w:val="lt-LT"/>
        </w:rPr>
        <w:t>teofilino</w:t>
      </w:r>
      <w:r w:rsidRPr="00CC52A7">
        <w:rPr>
          <w:rFonts w:ascii="Times New Roman" w:eastAsia="PMingLiU" w:hAnsi="Times New Roman" w:cs="Times New Roman"/>
          <w:lang w:val="lt-LT"/>
        </w:rPr>
        <w:t xml:space="preserve"> AUC maždaug 50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Rekomenduojama matuoti šio vaistinio preparato koncentraciją kraujo plazmoje kartu taikomo gydymo acikloviru metu.</w:t>
      </w:r>
    </w:p>
    <w:p w14:paraId="73A3045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5A"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4.6</w:t>
      </w:r>
      <w:r w:rsidRPr="00CC52A7">
        <w:rPr>
          <w:rFonts w:ascii="Times New Roman" w:eastAsia="PMingLiU" w:hAnsi="Times New Roman" w:cs="Times New Roman"/>
          <w:b/>
          <w:lang w:val="lt-LT"/>
        </w:rPr>
        <w:tab/>
        <w:t>Vaisingumas, nėštumo ir žindymo laikotarpis</w:t>
      </w:r>
    </w:p>
    <w:p w14:paraId="73A3045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p>
    <w:p w14:paraId="73A3045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Vaisingumas</w:t>
      </w:r>
    </w:p>
    <w:p w14:paraId="73A3045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Žr. ik</w:t>
      </w:r>
      <w:r w:rsidR="00CC52A7" w:rsidRPr="00CC52A7">
        <w:rPr>
          <w:rFonts w:ascii="Times New Roman" w:eastAsia="PMingLiU" w:hAnsi="Times New Roman" w:cs="Times New Roman"/>
          <w:lang w:val="lt-LT"/>
        </w:rPr>
        <w:t>i</w:t>
      </w:r>
      <w:r w:rsidRPr="00CC52A7">
        <w:rPr>
          <w:rFonts w:ascii="Times New Roman" w:eastAsia="PMingLiU" w:hAnsi="Times New Roman" w:cs="Times New Roman"/>
          <w:lang w:val="lt-LT"/>
        </w:rPr>
        <w:t>klinikinius tyrimus 5.3 skyriuje</w:t>
      </w:r>
    </w:p>
    <w:p w14:paraId="73A3045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p>
    <w:p w14:paraId="73A3045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Nėštumas</w:t>
      </w:r>
    </w:p>
    <w:p w14:paraId="73A3046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Acikloviro nėštumo metu rekomenduojama vartoti tik tuomet, kai numatoma nauda didesnė už galimą riziką.</w:t>
      </w:r>
    </w:p>
    <w:p w14:paraId="73A3046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p>
    <w:p w14:paraId="73A30462" w14:textId="77777777" w:rsidR="00DC55CF" w:rsidRPr="00CC52A7" w:rsidRDefault="00DC55CF" w:rsidP="00DC55CF">
      <w:pPr>
        <w:autoSpaceDE w:val="0"/>
        <w:autoSpaceDN w:val="0"/>
        <w:adjustRightInd w:val="0"/>
        <w:spacing w:after="0" w:line="240" w:lineRule="auto"/>
        <w:contextualSpacing/>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 xml:space="preserve">Po Acic patekimo į rinką, nėščiųjų gydymo acikloviru registre yra dokumentuotos moterų, kurios buvo veikiamos kokia nors acikloviro vaistine forma, nėštumų baigtys. Registro duomenys neparodė sklaidos trūkumų skaičiaus padidėjimo acikloviru paveiktiems žmonėms, palyginti su bendrąja populiacija, ir bet kokie sklaidos trūkumai neparodė unikalumo ir dėsningumo, darančio užuominą į bendrą priežastį. </w:t>
      </w:r>
    </w:p>
    <w:p w14:paraId="73A30463" w14:textId="77777777" w:rsidR="00DC55CF" w:rsidRPr="00CC52A7" w:rsidRDefault="00DC55CF" w:rsidP="00DC55CF">
      <w:pPr>
        <w:autoSpaceDE w:val="0"/>
        <w:autoSpaceDN w:val="0"/>
        <w:adjustRightInd w:val="0"/>
        <w:spacing w:after="0" w:line="240" w:lineRule="auto"/>
        <w:contextualSpacing/>
        <w:rPr>
          <w:rFonts w:ascii="Times New Roman" w:eastAsia="PMingLiU" w:hAnsi="Times New Roman" w:cs="Times New Roman"/>
          <w:lang w:val="lt-LT" w:eastAsia="lt-LT"/>
        </w:rPr>
      </w:pPr>
    </w:p>
    <w:p w14:paraId="73A30464" w14:textId="77777777" w:rsidR="00DC55CF" w:rsidRPr="00CC52A7" w:rsidRDefault="00DC55CF" w:rsidP="00DC55CF">
      <w:pPr>
        <w:autoSpaceDE w:val="0"/>
        <w:autoSpaceDN w:val="0"/>
        <w:adjustRightInd w:val="0"/>
        <w:spacing w:after="0" w:line="240" w:lineRule="auto"/>
        <w:contextualSpacing/>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Sisteminio poveikio acikloviro vartojimas tarptautiniu mastu pripažintuose standartiniuose tyrimuose triušiams, žiurkėms ar pelėms nesukėlė embriotoksinio ar teratogeninio poveikio.</w:t>
      </w:r>
    </w:p>
    <w:p w14:paraId="73A30465" w14:textId="77777777" w:rsidR="00DC55CF" w:rsidRPr="00CC52A7" w:rsidRDefault="00DC55CF" w:rsidP="00DC55CF">
      <w:pPr>
        <w:autoSpaceDE w:val="0"/>
        <w:autoSpaceDN w:val="0"/>
        <w:adjustRightInd w:val="0"/>
        <w:spacing w:after="0" w:line="240" w:lineRule="auto"/>
        <w:contextualSpacing/>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Nestandartinių tyrimų su žiurkėmis metu buvo pastebėta vaisiaus anomalijų, tačiau tik pavartojus po oda tokias dozes, kurios sukėlė toksinį poveikį patelei. Šių duomenų reikšmingumas klinikai yra abejotinas.</w:t>
      </w:r>
    </w:p>
    <w:p w14:paraId="73A30466" w14:textId="77777777" w:rsidR="00DC55CF" w:rsidRPr="00CC52A7" w:rsidRDefault="00DC55CF" w:rsidP="00DC55CF">
      <w:pPr>
        <w:autoSpaceDE w:val="0"/>
        <w:autoSpaceDN w:val="0"/>
        <w:adjustRightInd w:val="0"/>
        <w:spacing w:after="0" w:line="240" w:lineRule="auto"/>
        <w:contextualSpacing/>
        <w:rPr>
          <w:rFonts w:ascii="Times New Roman" w:eastAsia="PMingLiU" w:hAnsi="Times New Roman" w:cs="Times New Roman"/>
          <w:lang w:val="lt-LT" w:eastAsia="lt-LT"/>
        </w:rPr>
      </w:pPr>
    </w:p>
    <w:p w14:paraId="73A30467" w14:textId="77777777" w:rsidR="00DC55CF" w:rsidRPr="00CC52A7" w:rsidRDefault="00DC55CF" w:rsidP="00DC55CF">
      <w:pPr>
        <w:autoSpaceDE w:val="0"/>
        <w:autoSpaceDN w:val="0"/>
        <w:adjustRightInd w:val="0"/>
        <w:spacing w:after="0" w:line="240" w:lineRule="auto"/>
        <w:contextualSpacing/>
        <w:rPr>
          <w:rFonts w:ascii="Times New Roman" w:eastAsia="PMingLiU" w:hAnsi="Times New Roman" w:cs="Times New Roman"/>
          <w:i/>
          <w:lang w:val="lt-LT" w:eastAsia="lt-LT"/>
        </w:rPr>
      </w:pPr>
      <w:r w:rsidRPr="00CC52A7">
        <w:rPr>
          <w:rFonts w:ascii="Times New Roman" w:eastAsia="PMingLiU" w:hAnsi="Times New Roman" w:cs="Times New Roman"/>
          <w:i/>
          <w:lang w:val="lt-LT" w:eastAsia="lt-LT"/>
        </w:rPr>
        <w:t>Žindymas</w:t>
      </w:r>
    </w:p>
    <w:p w14:paraId="73A3046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Išgėrus 200 mg acikloviro, žindyvės piene buvo aptikta jo koncentracija, kuri skyrėsi nuo acikloviro kiekio moters kraujo plazmoje nuo 0,6 iki 4,1</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karto. Šiuo kiekiu tikriausiai gali būti paveiktas žindomas naujagimis vartojant ne didesnes kaip 0,3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mg/kg kūno svorio acikloviro paros dozes, todėl patartina laikytis atsargumo, jeigu žindyvei skiriama acikloviro.</w:t>
      </w:r>
    </w:p>
    <w:p w14:paraId="73A3046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6A"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4.7</w:t>
      </w:r>
      <w:r w:rsidRPr="00CC52A7">
        <w:rPr>
          <w:rFonts w:ascii="Times New Roman" w:eastAsia="PMingLiU" w:hAnsi="Times New Roman" w:cs="Times New Roman"/>
          <w:b/>
          <w:lang w:val="lt-LT"/>
        </w:rPr>
        <w:tab/>
        <w:t>Poveikis gebėjimui vairuoti ir valdyti mechanizmus</w:t>
      </w:r>
    </w:p>
    <w:p w14:paraId="73A3046B" w14:textId="77777777" w:rsidR="00DC55CF" w:rsidRPr="00CC52A7" w:rsidRDefault="00DC55CF" w:rsidP="00DC55CF">
      <w:pPr>
        <w:spacing w:after="0" w:line="240" w:lineRule="auto"/>
        <w:contextualSpacing/>
        <w:rPr>
          <w:rFonts w:ascii="Times New Roman" w:eastAsia="PMingLiU" w:hAnsi="Times New Roman" w:cs="Times New Roman"/>
          <w:lang w:val="lt-LT" w:eastAsia="lt-LT"/>
        </w:rPr>
      </w:pPr>
    </w:p>
    <w:p w14:paraId="73A3046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Vertinant paciento gebėjimą vairuoti ir valdyti mechanizmus, būtina turėti omenyje klinikinę paciento būklę ir acikloviro nepageidaujamų reiškinių apibūdinimą. </w:t>
      </w:r>
    </w:p>
    <w:p w14:paraId="73A3046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lastRenderedPageBreak/>
        <w:t>Acikloviro poveikio vairavimui ir gebėjimui valdyti mechanizmus tyrimų neatlikta. Be to, kenksmingas poveikis minėtai veiklai negali būti numatytas remiantis veik</w:t>
      </w:r>
      <w:r w:rsidR="001B094F">
        <w:rPr>
          <w:rFonts w:ascii="Times New Roman" w:eastAsia="PMingLiU" w:hAnsi="Times New Roman" w:cs="Times New Roman"/>
          <w:lang w:val="lt-LT"/>
        </w:rPr>
        <w:t>l</w:t>
      </w:r>
      <w:r w:rsidRPr="00CC52A7">
        <w:rPr>
          <w:rFonts w:ascii="Times New Roman" w:eastAsia="PMingLiU" w:hAnsi="Times New Roman" w:cs="Times New Roman"/>
          <w:lang w:val="lt-LT"/>
        </w:rPr>
        <w:t>iosios medžiagos farmakologinėmis savybėmis.</w:t>
      </w:r>
    </w:p>
    <w:p w14:paraId="73A3046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6F"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4.8</w:t>
      </w:r>
      <w:r w:rsidRPr="00CC52A7">
        <w:rPr>
          <w:rFonts w:ascii="Times New Roman" w:eastAsia="PMingLiU" w:hAnsi="Times New Roman" w:cs="Times New Roman"/>
          <w:b/>
          <w:lang w:val="lt-LT"/>
        </w:rPr>
        <w:tab/>
        <w:t>Nepageidaujamas poveikis</w:t>
      </w:r>
    </w:p>
    <w:p w14:paraId="73A30470"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0"/>
        <w:rPr>
          <w:rFonts w:ascii="Times New Roman" w:eastAsia="PMingLiU" w:hAnsi="Times New Roman" w:cs="Times New Roman"/>
          <w:i/>
          <w:iCs/>
          <w:u w:val="single"/>
          <w:lang w:val="lt-LT"/>
        </w:rPr>
      </w:pPr>
    </w:p>
    <w:p w14:paraId="73A3047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Toliau pateiktas dažnio kategorijų, susijusių su nepageidaujamais reiškiniais, įvertinimas. Daugumai reiškinių tinkamų duomenų atvejų įvertinimui nėra. Be to, nepageidaujami reiškiniai gali skirtis dažniu pagal indikaciją.</w:t>
      </w:r>
    </w:p>
    <w:p w14:paraId="73A30472"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0"/>
        <w:rPr>
          <w:rFonts w:ascii="Times New Roman" w:eastAsia="PMingLiU" w:hAnsi="Times New Roman" w:cs="Times New Roman"/>
          <w:iCs/>
          <w:u w:val="single"/>
          <w:lang w:val="lt-LT"/>
        </w:rPr>
      </w:pPr>
      <w:r w:rsidRPr="00CC52A7">
        <w:rPr>
          <w:rFonts w:ascii="Times New Roman" w:eastAsia="PMingLiU" w:hAnsi="Times New Roman" w:cs="Times New Roman"/>
          <w:iCs/>
          <w:lang w:val="lt-LT"/>
        </w:rPr>
        <w:t>Nepageidaujami reiškiniai suklasifikuoti pagal organų sistemų klases ir dažnį. Nepageidaujamo poveikio dažnis apibūdinamas taip: labai dažnas (≥</w:t>
      </w:r>
      <w:r w:rsidR="009D7277">
        <w:rPr>
          <w:rFonts w:ascii="Times New Roman" w:eastAsia="PMingLiU" w:hAnsi="Times New Roman" w:cs="Times New Roman"/>
          <w:iCs/>
          <w:lang w:val="lt-LT"/>
        </w:rPr>
        <w:t> </w:t>
      </w:r>
      <w:r w:rsidRPr="00CC52A7">
        <w:rPr>
          <w:rFonts w:ascii="Times New Roman" w:eastAsia="PMingLiU" w:hAnsi="Times New Roman" w:cs="Times New Roman"/>
          <w:iCs/>
          <w:lang w:val="lt-LT"/>
        </w:rPr>
        <w:t>1/10), dažnas (nuo ≥</w:t>
      </w:r>
      <w:r w:rsidR="009D7277">
        <w:rPr>
          <w:rFonts w:ascii="Times New Roman" w:eastAsia="PMingLiU" w:hAnsi="Times New Roman" w:cs="Times New Roman"/>
          <w:iCs/>
          <w:lang w:val="lt-LT"/>
        </w:rPr>
        <w:t> </w:t>
      </w:r>
      <w:r w:rsidRPr="00CC52A7">
        <w:rPr>
          <w:rFonts w:ascii="Times New Roman" w:eastAsia="PMingLiU" w:hAnsi="Times New Roman" w:cs="Times New Roman"/>
          <w:iCs/>
          <w:lang w:val="lt-LT"/>
        </w:rPr>
        <w:t>1/100 iki &lt;</w:t>
      </w:r>
      <w:r w:rsidR="009D7277">
        <w:rPr>
          <w:rFonts w:ascii="Times New Roman" w:eastAsia="PMingLiU" w:hAnsi="Times New Roman" w:cs="Times New Roman"/>
          <w:iCs/>
          <w:lang w:val="lt-LT"/>
        </w:rPr>
        <w:t> </w:t>
      </w:r>
      <w:r w:rsidRPr="00CC52A7">
        <w:rPr>
          <w:rFonts w:ascii="Times New Roman" w:eastAsia="PMingLiU" w:hAnsi="Times New Roman" w:cs="Times New Roman"/>
          <w:iCs/>
          <w:lang w:val="lt-LT"/>
        </w:rPr>
        <w:t>1/10), nedažnas (nuo ≥</w:t>
      </w:r>
      <w:r w:rsidR="009D7277">
        <w:rPr>
          <w:rFonts w:ascii="Times New Roman" w:eastAsia="PMingLiU" w:hAnsi="Times New Roman" w:cs="Times New Roman"/>
          <w:iCs/>
          <w:lang w:val="lt-LT"/>
        </w:rPr>
        <w:t> </w:t>
      </w:r>
      <w:r w:rsidRPr="00CC52A7">
        <w:rPr>
          <w:rFonts w:ascii="Times New Roman" w:eastAsia="PMingLiU" w:hAnsi="Times New Roman" w:cs="Times New Roman"/>
          <w:iCs/>
          <w:lang w:val="lt-LT"/>
        </w:rPr>
        <w:t>1/1000 iki &lt;</w:t>
      </w:r>
      <w:r w:rsidR="009D7277">
        <w:rPr>
          <w:rFonts w:ascii="Times New Roman" w:eastAsia="PMingLiU" w:hAnsi="Times New Roman" w:cs="Times New Roman"/>
          <w:iCs/>
          <w:lang w:val="lt-LT"/>
        </w:rPr>
        <w:t> </w:t>
      </w:r>
      <w:r w:rsidRPr="00CC52A7">
        <w:rPr>
          <w:rFonts w:ascii="Times New Roman" w:eastAsia="PMingLiU" w:hAnsi="Times New Roman" w:cs="Times New Roman"/>
          <w:iCs/>
          <w:lang w:val="lt-LT"/>
        </w:rPr>
        <w:t>1/100), retas (nuo ≥</w:t>
      </w:r>
      <w:r w:rsidR="009D7277">
        <w:rPr>
          <w:rFonts w:ascii="Times New Roman" w:eastAsia="PMingLiU" w:hAnsi="Times New Roman" w:cs="Times New Roman"/>
          <w:iCs/>
          <w:lang w:val="lt-LT"/>
        </w:rPr>
        <w:t> </w:t>
      </w:r>
      <w:r w:rsidRPr="00CC52A7">
        <w:rPr>
          <w:rFonts w:ascii="Times New Roman" w:eastAsia="PMingLiU" w:hAnsi="Times New Roman" w:cs="Times New Roman"/>
          <w:iCs/>
          <w:lang w:val="lt-LT"/>
        </w:rPr>
        <w:t>1/10000 iki &lt;</w:t>
      </w:r>
      <w:r w:rsidR="009D7277">
        <w:rPr>
          <w:rFonts w:ascii="Times New Roman" w:eastAsia="PMingLiU" w:hAnsi="Times New Roman" w:cs="Times New Roman"/>
          <w:iCs/>
          <w:lang w:val="lt-LT"/>
        </w:rPr>
        <w:t> </w:t>
      </w:r>
      <w:r w:rsidRPr="00CC52A7">
        <w:rPr>
          <w:rFonts w:ascii="Times New Roman" w:eastAsia="PMingLiU" w:hAnsi="Times New Roman" w:cs="Times New Roman"/>
          <w:iCs/>
          <w:lang w:val="lt-LT"/>
        </w:rPr>
        <w:t>1/1000), labai retas (&lt;</w:t>
      </w:r>
      <w:r w:rsidR="009D7277">
        <w:rPr>
          <w:rFonts w:ascii="Times New Roman" w:eastAsia="PMingLiU" w:hAnsi="Times New Roman" w:cs="Times New Roman"/>
          <w:iCs/>
          <w:lang w:val="lt-LT"/>
        </w:rPr>
        <w:t> </w:t>
      </w:r>
      <w:r w:rsidRPr="00CC52A7">
        <w:rPr>
          <w:rFonts w:ascii="Times New Roman" w:eastAsia="PMingLiU" w:hAnsi="Times New Roman" w:cs="Times New Roman"/>
          <w:iCs/>
          <w:lang w:val="lt-LT"/>
        </w:rPr>
        <w:t>1/10000) ir nežinomas (negali būti apskaičiuotas pagal turimus duomenis).</w:t>
      </w:r>
    </w:p>
    <w:p w14:paraId="73A3047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p>
    <w:p w14:paraId="73A3047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Kraujo ir limfinės sistemos sutrikimai</w:t>
      </w:r>
    </w:p>
    <w:p w14:paraId="73A3047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Labai reti: anemija, leukopenija, trombocitopenija.</w:t>
      </w:r>
    </w:p>
    <w:p w14:paraId="73A3047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7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Imuninės sistemos sutrikimai</w:t>
      </w:r>
    </w:p>
    <w:p w14:paraId="73A3047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Reti: anafilaksija.</w:t>
      </w:r>
    </w:p>
    <w:p w14:paraId="73A3047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p>
    <w:p w14:paraId="73A3047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Psichikos ir  nervų sistemos sutrikimai</w:t>
      </w:r>
    </w:p>
    <w:p w14:paraId="73A3047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Dažni: galvos svaigimas, galvos skausmas.</w:t>
      </w:r>
    </w:p>
    <w:p w14:paraId="73A3047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Labai reti: susijaudinimas, sumišimas, drebulys, ataksija, dizartrija, haliucinacijos, psichozės požymiai, traukuliai, mieguistumas, encefalopatija, koma.</w:t>
      </w:r>
    </w:p>
    <w:p w14:paraId="73A3047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Minėti reiškiniai dažniausiai yra grįžtami ir paprastai pastebėti pacientams, kuriems yra inkstų funkcijos pakenkimas ar kitų polinkį didinančių veiksnių (žr. 4.4 skyrių). </w:t>
      </w:r>
    </w:p>
    <w:p w14:paraId="73A3047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7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Kvėpavimo sistemos, krūtinės ląstos ir tarpuplaučio sutrikimai</w:t>
      </w:r>
    </w:p>
    <w:p w14:paraId="73A3048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Reti: dusulys. </w:t>
      </w:r>
    </w:p>
    <w:p w14:paraId="73A30481"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1"/>
        <w:rPr>
          <w:rFonts w:ascii="Times New Roman" w:eastAsia="PMingLiU" w:hAnsi="Times New Roman" w:cs="Times New Roman"/>
          <w:i/>
          <w:iCs/>
          <w:u w:val="single"/>
          <w:lang w:val="lt-LT"/>
        </w:rPr>
      </w:pPr>
    </w:p>
    <w:p w14:paraId="73A3048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Virškinimo trakto sutrikimai</w:t>
      </w:r>
    </w:p>
    <w:p w14:paraId="73A3048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Dažni: pykinimas, vėmimas, viduriavimas, pilvo skausmas.</w:t>
      </w:r>
    </w:p>
    <w:p w14:paraId="73A30484"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2"/>
        <w:rPr>
          <w:rFonts w:ascii="Times New Roman" w:eastAsia="PMingLiU" w:hAnsi="Times New Roman" w:cs="Times New Roman"/>
          <w:i/>
          <w:iCs/>
          <w:u w:val="single"/>
          <w:lang w:val="lt-LT"/>
        </w:rPr>
      </w:pPr>
    </w:p>
    <w:p w14:paraId="73A30485"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2"/>
        <w:rPr>
          <w:rFonts w:ascii="Times New Roman" w:eastAsia="PMingLiU" w:hAnsi="Times New Roman" w:cs="Times New Roman"/>
          <w:i/>
          <w:iCs/>
          <w:lang w:val="lt-LT"/>
        </w:rPr>
      </w:pPr>
      <w:r w:rsidRPr="00CC52A7">
        <w:rPr>
          <w:rFonts w:ascii="Times New Roman" w:eastAsia="PMingLiU" w:hAnsi="Times New Roman" w:cs="Times New Roman"/>
          <w:i/>
          <w:iCs/>
          <w:lang w:val="lt-LT"/>
        </w:rPr>
        <w:t>Kepenų, tulžies pūslės ir latakų sutrikimai</w:t>
      </w:r>
    </w:p>
    <w:p w14:paraId="73A3048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Reti: grįžtamasis bilirubino kiekio ir kepenų fermentų aktyvumo padidėjimas.</w:t>
      </w:r>
    </w:p>
    <w:p w14:paraId="73A3048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Labai reti: kepenų uždegimas, gelta.</w:t>
      </w:r>
    </w:p>
    <w:p w14:paraId="73A3048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8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Odos ir poodinio audinio sutrikimai</w:t>
      </w:r>
    </w:p>
    <w:p w14:paraId="73A3048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Dažni: niežėjimas, bėrimas (įskaitant padidėjusį jautrumą šviesai).</w:t>
      </w:r>
    </w:p>
    <w:p w14:paraId="73A3048B"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1"/>
        <w:rPr>
          <w:rFonts w:ascii="Times New Roman" w:eastAsia="PMingLiU" w:hAnsi="Times New Roman" w:cs="Times New Roman"/>
          <w:iCs/>
          <w:lang w:val="lt-LT"/>
        </w:rPr>
      </w:pPr>
      <w:r w:rsidRPr="00CC52A7">
        <w:rPr>
          <w:rFonts w:ascii="Times New Roman" w:eastAsia="PMingLiU" w:hAnsi="Times New Roman" w:cs="Times New Roman"/>
          <w:iCs/>
          <w:lang w:val="lt-LT"/>
        </w:rPr>
        <w:t xml:space="preserve">Nedažni: dilgėlinė, paspartėjęs difuzinis plaukų slinkimas*. </w:t>
      </w:r>
    </w:p>
    <w:p w14:paraId="73A3048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Reti: angioneurozinė edema.</w:t>
      </w:r>
    </w:p>
    <w:p w14:paraId="73A3048D"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1"/>
        <w:rPr>
          <w:rFonts w:ascii="Times New Roman" w:eastAsia="PMingLiU" w:hAnsi="Times New Roman" w:cs="Times New Roman"/>
          <w:iCs/>
          <w:lang w:val="lt-LT"/>
        </w:rPr>
      </w:pPr>
      <w:r w:rsidRPr="00CC52A7">
        <w:rPr>
          <w:rFonts w:ascii="Times New Roman" w:eastAsia="PMingLiU" w:hAnsi="Times New Roman" w:cs="Times New Roman"/>
          <w:iCs/>
          <w:lang w:val="lt-LT"/>
        </w:rPr>
        <w:t>*Paspartėjęs difuzinis plaukų slinkimas yra susijęs su didele ligų ir vaistinių preparatų įvairove. Reiškinio sąryšis su gydymu acikloviru yra abejotinas.</w:t>
      </w:r>
    </w:p>
    <w:p w14:paraId="73A3048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8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Inkstų ir šlapimo takų sutrikimai</w:t>
      </w:r>
    </w:p>
    <w:p w14:paraId="73A3049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Reti: padidėjęs šlapalo ir kreatinino kiekis kraujyje.</w:t>
      </w:r>
    </w:p>
    <w:p w14:paraId="73A3049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iCs/>
          <w:lang w:val="lt-LT"/>
        </w:rPr>
        <w:t>Labai reti: ūminis inkstų nepakankamumas, inkstų skausmas (</w:t>
      </w:r>
      <w:r w:rsidRPr="00CC52A7">
        <w:rPr>
          <w:rFonts w:ascii="Times New Roman" w:eastAsia="PMingLiU" w:hAnsi="Times New Roman" w:cs="Times New Roman"/>
          <w:lang w:val="lt-LT"/>
        </w:rPr>
        <w:t>gali būti susijęs su inkstų nepakankamumu).</w:t>
      </w:r>
    </w:p>
    <w:p w14:paraId="73A30492"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2"/>
        <w:rPr>
          <w:rFonts w:ascii="Times New Roman" w:eastAsia="PMingLiU" w:hAnsi="Times New Roman" w:cs="Times New Roman"/>
          <w:i/>
          <w:iCs/>
          <w:u w:val="single"/>
          <w:lang w:val="lt-LT"/>
        </w:rPr>
      </w:pPr>
    </w:p>
    <w:p w14:paraId="73A30493"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2"/>
        <w:rPr>
          <w:rFonts w:ascii="Times New Roman" w:eastAsia="PMingLiU" w:hAnsi="Times New Roman" w:cs="Times New Roman"/>
          <w:i/>
          <w:iCs/>
          <w:lang w:val="lt-LT"/>
        </w:rPr>
      </w:pPr>
      <w:r w:rsidRPr="00CC52A7">
        <w:rPr>
          <w:rFonts w:ascii="Times New Roman" w:eastAsia="PMingLiU" w:hAnsi="Times New Roman" w:cs="Times New Roman"/>
          <w:i/>
          <w:iCs/>
          <w:lang w:val="lt-LT"/>
        </w:rPr>
        <w:t>Bendrieji sutrikimai ir vartojimo vietos pažeidimai</w:t>
      </w:r>
    </w:p>
    <w:p w14:paraId="73A3049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Dažni: nuovargis, karščiavimas.</w:t>
      </w:r>
    </w:p>
    <w:p w14:paraId="73A3049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9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u w:val="single"/>
          <w:lang w:val="lt-LT"/>
        </w:rPr>
      </w:pPr>
      <w:r w:rsidRPr="00CC52A7">
        <w:rPr>
          <w:rFonts w:ascii="Times New Roman" w:eastAsia="PMingLiU" w:hAnsi="Times New Roman" w:cs="Times New Roman"/>
          <w:u w:val="single"/>
          <w:lang w:val="lt-LT"/>
        </w:rPr>
        <w:t>Pranešimas apie įtariamas nepageidaujamas reakcijas</w:t>
      </w:r>
    </w:p>
    <w:p w14:paraId="73A30497"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Svarbu pranešti apie įtariamas nepageidaujamas reakcijas, pastebėtas po vaistinio preparato </w:t>
      </w:r>
      <w:r w:rsidR="001B094F">
        <w:rPr>
          <w:rFonts w:ascii="Times New Roman" w:eastAsia="PMingLiU" w:hAnsi="Times New Roman" w:cs="Times New Roman"/>
          <w:lang w:val="lt-LT"/>
        </w:rPr>
        <w:t>registracijos</w:t>
      </w:r>
      <w:r w:rsidRPr="00CC52A7">
        <w:rPr>
          <w:rFonts w:ascii="Times New Roman" w:eastAsia="PMingLiU" w:hAnsi="Times New Roman" w:cs="Times New Roman"/>
          <w:lang w:val="lt-LT"/>
        </w:rPr>
        <w:t>, nes tai leidžia nuolat stebėti vaistinio preparato naudos ir rizikos santykį. Sveikatos priežiūros specialistai turi pranešti apie bet kokias įtariamas nepageidaujamas reakcijas, užpildę interneto svetainėje http://</w:t>
      </w:r>
      <w:hyperlink r:id="rId11" w:history="1">
        <w:r w:rsidRPr="00CC52A7">
          <w:rPr>
            <w:rFonts w:ascii="Times New Roman" w:eastAsia="SimSun" w:hAnsi="Times New Roman" w:cs="Times New Roman"/>
            <w:color w:val="0000FF"/>
            <w:u w:val="single"/>
            <w:lang w:val="lt-LT"/>
          </w:rPr>
          <w:t>www.vvkt.lt</w:t>
        </w:r>
      </w:hyperlink>
      <w:r w:rsidRPr="00CC52A7">
        <w:rPr>
          <w:rFonts w:ascii="Times New Roman" w:eastAsia="PMingLiU" w:hAnsi="Times New Roman" w:cs="Times New Roman"/>
          <w:lang w:val="lt-LT"/>
        </w:rPr>
        <w:t xml:space="preserve">/ esančią formą, ir pateikti ją Valstybinei vaistų kontrolės tarnybai </w:t>
      </w:r>
      <w:r w:rsidRPr="00CC52A7">
        <w:rPr>
          <w:rFonts w:ascii="Times New Roman" w:eastAsia="PMingLiU" w:hAnsi="Times New Roman" w:cs="Times New Roman"/>
          <w:lang w:val="lt-LT"/>
        </w:rPr>
        <w:lastRenderedPageBreak/>
        <w:t xml:space="preserve">prie Lietuvos Respublikos sveikatos apsaugos ministerijos vienu iš šių būdų: raštu (adresu Žirmūnų g. 139A, LT 09120 Vilnius), faksu (nemokamu fakso numeriu (8 800) 20 131), elektroniniu paštu (adresu </w:t>
      </w:r>
      <w:hyperlink r:id="rId12" w:history="1">
        <w:r w:rsidRPr="00CC52A7">
          <w:rPr>
            <w:rFonts w:ascii="Times New Roman" w:eastAsia="SimSun" w:hAnsi="Times New Roman" w:cs="Times New Roman"/>
            <w:color w:val="0000FF"/>
            <w:u w:val="single"/>
            <w:lang w:val="lt-LT"/>
          </w:rPr>
          <w:t>NepageidaujamaR@vvkt.lt</w:t>
        </w:r>
      </w:hyperlink>
      <w:r w:rsidRPr="00CC52A7">
        <w:rPr>
          <w:rFonts w:ascii="Times New Roman" w:eastAsia="PMingLiU" w:hAnsi="Times New Roman" w:cs="Times New Roman"/>
          <w:lang w:val="lt-LT"/>
        </w:rPr>
        <w:t xml:space="preserve">), per interneto svetainę (adresu </w:t>
      </w:r>
      <w:hyperlink r:id="rId13" w:history="1">
        <w:r w:rsidR="004B69BD" w:rsidRPr="00E119CA">
          <w:rPr>
            <w:rStyle w:val="Hipersaitas"/>
            <w:rFonts w:ascii="Times New Roman" w:eastAsia="PMingLiU" w:hAnsi="Times New Roman"/>
            <w:lang w:val="lt-LT"/>
          </w:rPr>
          <w:t>http://www.vvkt.lt</w:t>
        </w:r>
      </w:hyperlink>
      <w:r w:rsidR="004B69BD">
        <w:rPr>
          <w:rFonts w:ascii="Times New Roman" w:eastAsia="PMingLiU" w:hAnsi="Times New Roman" w:cs="Times New Roman"/>
          <w:lang w:val="lt-LT"/>
        </w:rPr>
        <w:t xml:space="preserve"> </w:t>
      </w:r>
      <w:r w:rsidRPr="00CC52A7">
        <w:rPr>
          <w:rFonts w:ascii="Times New Roman" w:eastAsia="PMingLiU" w:hAnsi="Times New Roman" w:cs="Times New Roman"/>
          <w:lang w:val="lt-LT"/>
        </w:rPr>
        <w:t>).</w:t>
      </w:r>
    </w:p>
    <w:p w14:paraId="73A3049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99"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4.9</w:t>
      </w:r>
      <w:r w:rsidRPr="00CC52A7">
        <w:rPr>
          <w:rFonts w:ascii="Times New Roman" w:eastAsia="PMingLiU" w:hAnsi="Times New Roman" w:cs="Times New Roman"/>
          <w:b/>
          <w:lang w:val="lt-LT"/>
        </w:rPr>
        <w:tab/>
        <w:t>Perdozavimas</w:t>
      </w:r>
    </w:p>
    <w:p w14:paraId="73A3049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9B" w14:textId="77777777" w:rsidR="00DC55CF" w:rsidRPr="00CC52A7" w:rsidRDefault="00DC55CF" w:rsidP="00DC55CF">
      <w:pPr>
        <w:spacing w:after="0" w:line="240" w:lineRule="auto"/>
        <w:contextualSpacing/>
        <w:rPr>
          <w:rFonts w:ascii="Times New Roman" w:eastAsia="PMingLiU" w:hAnsi="Times New Roman" w:cs="Times New Roman"/>
          <w:u w:val="single"/>
          <w:lang w:val="lt-LT"/>
        </w:rPr>
      </w:pPr>
      <w:r w:rsidRPr="00CC52A7">
        <w:rPr>
          <w:rFonts w:ascii="Times New Roman" w:eastAsia="PMingLiU" w:hAnsi="Times New Roman" w:cs="Times New Roman"/>
          <w:u w:val="single"/>
          <w:lang w:val="lt-LT"/>
        </w:rPr>
        <w:t>Simptomai</w:t>
      </w:r>
    </w:p>
    <w:p w14:paraId="73A3049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Acikloviras tik iš dalies rezorbuojamas virškinimo trakte. Išgerta vienkartinė ne didesnė kaip 20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g acikloviro dozė, paprastai nesukelia apsinuodijimo. Atsitiktinai pavartojus per didelę acikloviro dozę kelias paras iš eilės, sutriko virškinimo trakto (pykinimas ir vėmimas) bei nervų sistemos (galvos skausmas, sumišimas) veikla. </w:t>
      </w:r>
    </w:p>
    <w:p w14:paraId="73A3049D"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49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Pernelyg didelę acikloviro dozę sušvirkštus į veną, padidėjo kreatinino kiekis serume ir sutriko inkstų veikla. Perdozavus į veną vartojamo acikloviro, pasireiškė nervų sistemos sutrikimai: sumišimas, haliucinacijos, ažitacija, traukuliai ir koma.</w:t>
      </w:r>
    </w:p>
    <w:p w14:paraId="73A3049F"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4A0"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u w:val="single"/>
          <w:lang w:val="lt-LT"/>
        </w:rPr>
      </w:pPr>
      <w:r w:rsidRPr="00CC52A7">
        <w:rPr>
          <w:rFonts w:ascii="Times New Roman" w:eastAsia="PMingLiU" w:hAnsi="Times New Roman" w:cs="Times New Roman"/>
          <w:u w:val="single"/>
          <w:lang w:val="lt-LT"/>
        </w:rPr>
        <w:t>Gydymas</w:t>
      </w:r>
    </w:p>
    <w:p w14:paraId="73A304A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Reikia atidžiai stebėti, ar ligoniui neatsiranda toksinio poveikio požymių. Hemodializė ženkliai paskatina acikloviro šalinimą iš kraujo, todėl ją galima taikyti simptominio perdozavimo atveju. </w:t>
      </w:r>
    </w:p>
    <w:p w14:paraId="73A304A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A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A4"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5.</w:t>
      </w:r>
      <w:r w:rsidRPr="00CC52A7">
        <w:rPr>
          <w:rFonts w:ascii="Times New Roman" w:eastAsia="PMingLiU" w:hAnsi="Times New Roman" w:cs="Times New Roman"/>
          <w:b/>
          <w:lang w:val="lt-LT"/>
        </w:rPr>
        <w:tab/>
        <w:t>FARMAKOLOGINĖS SAVYBĖS</w:t>
      </w:r>
    </w:p>
    <w:p w14:paraId="73A304A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A6"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5.1</w:t>
      </w:r>
      <w:r w:rsidRPr="00CC52A7">
        <w:rPr>
          <w:rFonts w:ascii="Times New Roman" w:eastAsia="PMingLiU" w:hAnsi="Times New Roman" w:cs="Times New Roman"/>
          <w:b/>
          <w:lang w:val="lt-LT"/>
        </w:rPr>
        <w:tab/>
        <w:t>Farmakodinaminės savybės</w:t>
      </w:r>
    </w:p>
    <w:p w14:paraId="73A304A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A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Farmakoterapinė grupė – antivirusiniai bendro veikimo vaist</w:t>
      </w:r>
      <w:r w:rsidR="004070A0">
        <w:rPr>
          <w:rFonts w:ascii="Times New Roman" w:eastAsia="PMingLiU" w:hAnsi="Times New Roman" w:cs="Times New Roman"/>
          <w:lang w:val="lt-LT"/>
        </w:rPr>
        <w:t>iniai preparat</w:t>
      </w:r>
      <w:r w:rsidRPr="00CC52A7">
        <w:rPr>
          <w:rFonts w:ascii="Times New Roman" w:eastAsia="PMingLiU" w:hAnsi="Times New Roman" w:cs="Times New Roman"/>
          <w:lang w:val="lt-LT"/>
        </w:rPr>
        <w:t>ai, ATC kodas – J05AB01.</w:t>
      </w:r>
    </w:p>
    <w:p w14:paraId="73A304A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A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Farmakologijos požiūriu acikloviras yra neaktyvi medžiaga. Jis tampa veiklus tik po to, kai prasiskverbia į </w:t>
      </w:r>
      <w:r w:rsidRPr="00CC52A7">
        <w:rPr>
          <w:rFonts w:ascii="Times New Roman" w:eastAsia="PMingLiU" w:hAnsi="Times New Roman" w:cs="Times New Roman"/>
          <w:i/>
          <w:lang w:val="lt-LT"/>
        </w:rPr>
        <w:t>Herpes simplex</w:t>
      </w:r>
      <w:r w:rsidRPr="00CC52A7">
        <w:rPr>
          <w:rFonts w:ascii="Times New Roman" w:eastAsia="PMingLiU" w:hAnsi="Times New Roman" w:cs="Times New Roman"/>
          <w:lang w:val="lt-LT"/>
        </w:rPr>
        <w:t xml:space="preserve"> arba </w:t>
      </w:r>
      <w:r w:rsidRPr="00CC52A7">
        <w:rPr>
          <w:rFonts w:ascii="Times New Roman" w:eastAsia="PMingLiU" w:hAnsi="Times New Roman" w:cs="Times New Roman"/>
          <w:i/>
          <w:lang w:val="lt-LT"/>
        </w:rPr>
        <w:t>Varicella zoster</w:t>
      </w:r>
      <w:r w:rsidRPr="00CC52A7">
        <w:rPr>
          <w:rFonts w:ascii="Times New Roman" w:eastAsia="PMingLiU" w:hAnsi="Times New Roman" w:cs="Times New Roman"/>
          <w:lang w:val="lt-LT"/>
        </w:rPr>
        <w:t xml:space="preserve"> virusais (HSV arba VZV) užkrėstų ląstelių vidų. Aciklovirą veiklų padaro HSV arba VZV timidinkinazė, fermentas, būtinas virusams daugintis, kitaip tariant, virusas sintetina medžiagą, kuri slopina jo dauginimąsi. Minėto poveikio etapai yra tokie:</w:t>
      </w:r>
    </w:p>
    <w:p w14:paraId="73A304AB" w14:textId="77777777" w:rsidR="00DC55CF" w:rsidRPr="00CC52A7" w:rsidRDefault="00DC55CF" w:rsidP="00DC55CF">
      <w:pPr>
        <w:overflowPunct w:val="0"/>
        <w:autoSpaceDE w:val="0"/>
        <w:autoSpaceDN w:val="0"/>
        <w:adjustRightInd w:val="0"/>
        <w:spacing w:after="0" w:line="240" w:lineRule="auto"/>
        <w:ind w:left="284" w:hanging="284"/>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1.</w:t>
      </w:r>
      <w:r w:rsidRPr="00CC52A7">
        <w:rPr>
          <w:rFonts w:ascii="Times New Roman" w:eastAsia="PMingLiU" w:hAnsi="Times New Roman" w:cs="Times New Roman"/>
          <w:lang w:val="lt-LT"/>
        </w:rPr>
        <w:tab/>
        <w:t xml:space="preserve">Didelis kiekis acikloviro skverbiasi į </w:t>
      </w:r>
      <w:r w:rsidRPr="00CC52A7">
        <w:rPr>
          <w:rFonts w:ascii="Times New Roman" w:eastAsia="PMingLiU" w:hAnsi="Times New Roman" w:cs="Times New Roman"/>
          <w:i/>
          <w:lang w:val="lt-LT"/>
        </w:rPr>
        <w:t>Herpes</w:t>
      </w:r>
      <w:r w:rsidRPr="00CC52A7">
        <w:rPr>
          <w:rFonts w:ascii="Times New Roman" w:eastAsia="PMingLiU" w:hAnsi="Times New Roman" w:cs="Times New Roman"/>
          <w:lang w:val="lt-LT"/>
        </w:rPr>
        <w:t xml:space="preserve"> virusais užkrėstas ląsteles.</w:t>
      </w:r>
    </w:p>
    <w:p w14:paraId="73A304AC" w14:textId="77777777" w:rsidR="00DC55CF" w:rsidRPr="00CC52A7" w:rsidRDefault="00DC55CF" w:rsidP="00DC55CF">
      <w:pPr>
        <w:numPr>
          <w:ilvl w:val="0"/>
          <w:numId w:val="17"/>
        </w:numPr>
        <w:overflowPunct w:val="0"/>
        <w:autoSpaceDE w:val="0"/>
        <w:autoSpaceDN w:val="0"/>
        <w:adjustRightInd w:val="0"/>
        <w:spacing w:after="0" w:line="240" w:lineRule="auto"/>
        <w:ind w:left="284"/>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Ląstelėse esanti virusų timidinkinazė fosforilina aciklovirą į acikloviro monofosfatą.</w:t>
      </w:r>
    </w:p>
    <w:p w14:paraId="73A304AD" w14:textId="77777777" w:rsidR="00DC55CF" w:rsidRPr="00CC52A7" w:rsidRDefault="00DC55CF" w:rsidP="00DC55CF">
      <w:pPr>
        <w:overflowPunct w:val="0"/>
        <w:autoSpaceDE w:val="0"/>
        <w:autoSpaceDN w:val="0"/>
        <w:adjustRightInd w:val="0"/>
        <w:spacing w:after="0" w:line="240" w:lineRule="auto"/>
        <w:ind w:left="360" w:hanging="359"/>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3. Ląstelių fermentai paverčia acikloviro monofosfatą į tikrą virusostatinę medžiagą acikloviro trifosfatą. </w:t>
      </w:r>
    </w:p>
    <w:p w14:paraId="73A304AE" w14:textId="77777777" w:rsidR="00DC55CF" w:rsidRPr="00CC52A7" w:rsidRDefault="00DC55CF" w:rsidP="00DC55CF">
      <w:pPr>
        <w:overflowPunct w:val="0"/>
        <w:autoSpaceDE w:val="0"/>
        <w:autoSpaceDN w:val="0"/>
        <w:adjustRightInd w:val="0"/>
        <w:spacing w:after="0" w:line="240" w:lineRule="auto"/>
        <w:ind w:left="1"/>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4. Acikloviro trifosfato gebėjimas jungtis su viruso DNR polimeraze, palyginti su ląstelės polimeraze, yra 10</w:t>
      </w:r>
      <w:r w:rsidR="009D7277">
        <w:rPr>
          <w:rFonts w:ascii="Times New Roman" w:eastAsia="PMingLiU" w:hAnsi="Times New Roman" w:cs="Times New Roman"/>
          <w:lang w:val="lt-LT"/>
        </w:rPr>
        <w:noBreakHyphen/>
      </w:r>
      <w:r w:rsidRPr="00CC52A7">
        <w:rPr>
          <w:rFonts w:ascii="Times New Roman" w:eastAsia="PMingLiU" w:hAnsi="Times New Roman" w:cs="Times New Roman"/>
          <w:lang w:val="lt-LT"/>
        </w:rPr>
        <w:t>30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kartų didesnis, todėl viruso fermentų aktyvumas slopinamas selektyviai. </w:t>
      </w:r>
    </w:p>
    <w:p w14:paraId="73A304AF" w14:textId="77777777" w:rsidR="00DC55CF" w:rsidRPr="00CC52A7" w:rsidRDefault="00DC55CF" w:rsidP="00DC55CF">
      <w:pPr>
        <w:overflowPunct w:val="0"/>
        <w:autoSpaceDE w:val="0"/>
        <w:autoSpaceDN w:val="0"/>
        <w:adjustRightInd w:val="0"/>
        <w:spacing w:after="0" w:line="240" w:lineRule="auto"/>
        <w:ind w:left="1"/>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5. Viruso DNR polimerazė įjungia aciklovirą į viruso DNR sudėtį, dėl to nutrūksta DNR grandinės sintezė.</w:t>
      </w:r>
    </w:p>
    <w:p w14:paraId="73A304B0"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Tok</w:t>
      </w:r>
      <w:r w:rsidR="00C82AC4">
        <w:rPr>
          <w:rFonts w:ascii="Times New Roman" w:eastAsia="PMingLiU" w:hAnsi="Times New Roman" w:cs="Times New Roman"/>
          <w:lang w:val="lt-LT"/>
        </w:rPr>
        <w:t>iai</w:t>
      </w:r>
      <w:r w:rsidRPr="00CC52A7">
        <w:rPr>
          <w:rFonts w:ascii="Times New Roman" w:eastAsia="PMingLiU" w:hAnsi="Times New Roman" w:cs="Times New Roman"/>
          <w:lang w:val="lt-LT"/>
        </w:rPr>
        <w:t>s etapais vykstantis procesas veiksmingai slopina virusų dauginimąsi ląstelėje.</w:t>
      </w:r>
    </w:p>
    <w:p w14:paraId="73A304B1"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Atlikus testą (</w:t>
      </w:r>
      <w:r w:rsidRPr="00CC52A7">
        <w:rPr>
          <w:rFonts w:ascii="Times New Roman" w:eastAsia="PMingLiU" w:hAnsi="Times New Roman" w:cs="Times New Roman"/>
          <w:i/>
          <w:lang w:val="lt-LT"/>
        </w:rPr>
        <w:t>Plaque-Reduktions-Test</w:t>
      </w:r>
      <w:r w:rsidRPr="00CC52A7">
        <w:rPr>
          <w:rFonts w:ascii="Times New Roman" w:eastAsia="PMingLiU" w:hAnsi="Times New Roman" w:cs="Times New Roman"/>
          <w:lang w:val="lt-LT"/>
        </w:rPr>
        <w:t>) nustatyta, kad žaliųjų Afrikos beždžionių inkstų parenchimos l</w:t>
      </w:r>
      <w:r w:rsidR="00CC52A7" w:rsidRPr="00CC52A7">
        <w:rPr>
          <w:rFonts w:ascii="Times New Roman" w:eastAsia="PMingLiU" w:hAnsi="Times New Roman" w:cs="Times New Roman"/>
          <w:lang w:val="lt-LT"/>
        </w:rPr>
        <w:t>ą</w:t>
      </w:r>
      <w:r w:rsidRPr="00CC52A7">
        <w:rPr>
          <w:rFonts w:ascii="Times New Roman" w:eastAsia="PMingLiU" w:hAnsi="Times New Roman" w:cs="Times New Roman"/>
          <w:lang w:val="lt-LT"/>
        </w:rPr>
        <w:t>stelių (Vero ląstelių), užkrėstų HSV, augimui slopinti reikia, kad viename litre būtų 0,1</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 acikloviro, o neužkrėstų ląstelių augimą acikloviras nuslopina tik tada, kai jo viename litre yra maždaug 300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 xml:space="preserve">mol acikloviro. </w:t>
      </w:r>
    </w:p>
    <w:p w14:paraId="73A304B2"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Vero ląstelių (žaliųjų Afrikos beždžionių inkstų parenchimos ląstelių), užkrėstų HSV, augimo slopinamoji ED</w:t>
      </w:r>
      <w:r w:rsidRPr="00CC52A7">
        <w:rPr>
          <w:rFonts w:ascii="Times New Roman" w:eastAsia="PMingLiU" w:hAnsi="Times New Roman" w:cs="Times New Roman"/>
          <w:vertAlign w:val="subscript"/>
          <w:lang w:val="lt-LT"/>
        </w:rPr>
        <w:t>50</w:t>
      </w:r>
      <w:r w:rsidRPr="00CC52A7">
        <w:rPr>
          <w:rFonts w:ascii="Times New Roman" w:eastAsia="PMingLiU" w:hAnsi="Times New Roman" w:cs="Times New Roman"/>
          <w:lang w:val="lt-LT"/>
        </w:rPr>
        <w:t xml:space="preserve"> koncentracija yra maždaug 0,1</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 acikloviro viename litre, o neužkrėstų ląstelių augimą acikloviras nuslopina tik tada, kai ED</w:t>
      </w:r>
      <w:r w:rsidRPr="00CC52A7">
        <w:rPr>
          <w:rFonts w:ascii="Times New Roman" w:eastAsia="PMingLiU" w:hAnsi="Times New Roman" w:cs="Times New Roman"/>
          <w:vertAlign w:val="subscript"/>
          <w:lang w:val="lt-LT"/>
        </w:rPr>
        <w:t>50</w:t>
      </w:r>
      <w:r w:rsidRPr="00CC52A7">
        <w:rPr>
          <w:rFonts w:ascii="Times New Roman" w:eastAsia="PMingLiU" w:hAnsi="Times New Roman" w:cs="Times New Roman"/>
          <w:lang w:val="lt-LT"/>
        </w:rPr>
        <w:t xml:space="preserve"> koncentracija yra maždaug 300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 acikloviro viename litre. Vadinasi, vienodam poveikiui sukelti reikalinga 3000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kartų didesnė acikloviro koncentracija.</w:t>
      </w:r>
    </w:p>
    <w:p w14:paraId="73A304B3" w14:textId="77777777" w:rsidR="00DC55CF" w:rsidRPr="00CC52A7" w:rsidRDefault="00DC55CF" w:rsidP="00DC55CF">
      <w:pPr>
        <w:numPr>
          <w:ilvl w:val="12"/>
          <w:numId w:val="0"/>
        </w:numPr>
        <w:overflowPunct w:val="0"/>
        <w:autoSpaceDE w:val="0"/>
        <w:autoSpaceDN w:val="0"/>
        <w:adjustRightInd w:val="0"/>
        <w:spacing w:after="0" w:line="240" w:lineRule="auto"/>
        <w:ind w:left="284" w:hanging="283"/>
        <w:contextualSpacing/>
        <w:textAlignment w:val="baseline"/>
        <w:rPr>
          <w:rFonts w:ascii="Times New Roman" w:eastAsia="PMingLiU" w:hAnsi="Times New Roman" w:cs="Times New Roman"/>
          <w:lang w:val="lt-LT"/>
        </w:rPr>
      </w:pPr>
    </w:p>
    <w:p w14:paraId="73A304B4" w14:textId="77777777" w:rsidR="00DC55CF" w:rsidRPr="00CC52A7" w:rsidRDefault="00DC55CF" w:rsidP="00DC55CF">
      <w:pPr>
        <w:numPr>
          <w:ilvl w:val="12"/>
          <w:numId w:val="0"/>
        </w:numPr>
        <w:overflowPunct w:val="0"/>
        <w:autoSpaceDE w:val="0"/>
        <w:autoSpaceDN w:val="0"/>
        <w:adjustRightInd w:val="0"/>
        <w:spacing w:after="0" w:line="240" w:lineRule="auto"/>
        <w:ind w:left="284" w:hanging="283"/>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Veikimo spektras</w:t>
      </w:r>
      <w:r w:rsidRPr="00CC52A7">
        <w:rPr>
          <w:rFonts w:ascii="Times New Roman" w:eastAsia="PMingLiU" w:hAnsi="Times New Roman" w:cs="Times New Roman"/>
          <w:i/>
          <w:lang w:val="lt-LT"/>
        </w:rPr>
        <w:t xml:space="preserve"> in vitro</w:t>
      </w:r>
    </w:p>
    <w:p w14:paraId="73A304B5" w14:textId="77777777" w:rsidR="00DC55CF" w:rsidRPr="00CC52A7" w:rsidRDefault="00DC55CF" w:rsidP="00DC55CF">
      <w:pPr>
        <w:numPr>
          <w:ilvl w:val="12"/>
          <w:numId w:val="0"/>
        </w:numPr>
        <w:overflowPunct w:val="0"/>
        <w:autoSpaceDE w:val="0"/>
        <w:autoSpaceDN w:val="0"/>
        <w:adjustRightInd w:val="0"/>
        <w:spacing w:after="0" w:line="240" w:lineRule="auto"/>
        <w:ind w:left="284" w:hanging="284"/>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u w:val="single"/>
          <w:lang w:val="lt-LT"/>
        </w:rPr>
        <w:t xml:space="preserve">Labai jautrūs </w:t>
      </w:r>
      <w:r w:rsidRPr="00CC52A7">
        <w:rPr>
          <w:rFonts w:ascii="Times New Roman" w:eastAsia="PMingLiU" w:hAnsi="Times New Roman" w:cs="Times New Roman"/>
          <w:lang w:val="lt-LT"/>
        </w:rPr>
        <w:t xml:space="preserve">– </w:t>
      </w:r>
      <w:r w:rsidRPr="00CC52A7">
        <w:rPr>
          <w:rFonts w:ascii="Times New Roman" w:eastAsia="PMingLiU" w:hAnsi="Times New Roman" w:cs="Times New Roman"/>
          <w:i/>
          <w:lang w:val="lt-LT"/>
        </w:rPr>
        <w:t>Herpes simplex</w:t>
      </w:r>
      <w:r w:rsidRPr="00CC52A7">
        <w:rPr>
          <w:rFonts w:ascii="Times New Roman" w:eastAsia="PMingLiU" w:hAnsi="Times New Roman" w:cs="Times New Roman"/>
          <w:lang w:val="lt-LT"/>
        </w:rPr>
        <w:t xml:space="preserve"> viruso </w:t>
      </w:r>
      <w:r w:rsidR="009D7277">
        <w:rPr>
          <w:rFonts w:ascii="Times New Roman" w:eastAsia="PMingLiU" w:hAnsi="Times New Roman" w:cs="Times New Roman"/>
          <w:lang w:val="lt-LT"/>
        </w:rPr>
        <w:t>I</w:t>
      </w:r>
      <w:r w:rsidRPr="00CC52A7">
        <w:rPr>
          <w:rFonts w:ascii="Times New Roman" w:eastAsia="PMingLiU" w:hAnsi="Times New Roman" w:cs="Times New Roman"/>
          <w:lang w:val="lt-LT"/>
        </w:rPr>
        <w:t xml:space="preserve"> ir </w:t>
      </w:r>
      <w:r w:rsidR="009D7277">
        <w:rPr>
          <w:rFonts w:ascii="Times New Roman" w:eastAsia="PMingLiU" w:hAnsi="Times New Roman" w:cs="Times New Roman"/>
          <w:lang w:val="lt-LT"/>
        </w:rPr>
        <w:t>II</w:t>
      </w:r>
      <w:r w:rsidRPr="00CC52A7">
        <w:rPr>
          <w:rFonts w:ascii="Times New Roman" w:eastAsia="PMingLiU" w:hAnsi="Times New Roman" w:cs="Times New Roman"/>
          <w:lang w:val="lt-LT"/>
        </w:rPr>
        <w:t xml:space="preserve"> tipai, </w:t>
      </w:r>
      <w:r w:rsidRPr="00CC52A7">
        <w:rPr>
          <w:rFonts w:ascii="Times New Roman" w:eastAsia="PMingLiU" w:hAnsi="Times New Roman" w:cs="Times New Roman"/>
          <w:i/>
          <w:lang w:val="lt-LT"/>
        </w:rPr>
        <w:t>Varicella zoster</w:t>
      </w:r>
      <w:r w:rsidRPr="00CC52A7">
        <w:rPr>
          <w:rFonts w:ascii="Times New Roman" w:eastAsia="PMingLiU" w:hAnsi="Times New Roman" w:cs="Times New Roman"/>
          <w:lang w:val="lt-LT"/>
        </w:rPr>
        <w:t xml:space="preserve"> virusas.</w:t>
      </w:r>
    </w:p>
    <w:p w14:paraId="73A304B6" w14:textId="77777777" w:rsidR="00DC55CF" w:rsidRPr="00CC52A7" w:rsidRDefault="00DC55CF" w:rsidP="00DC55CF">
      <w:pPr>
        <w:numPr>
          <w:ilvl w:val="12"/>
          <w:numId w:val="0"/>
        </w:numPr>
        <w:overflowPunct w:val="0"/>
        <w:autoSpaceDE w:val="0"/>
        <w:autoSpaceDN w:val="0"/>
        <w:adjustRightInd w:val="0"/>
        <w:spacing w:after="0" w:line="240" w:lineRule="auto"/>
        <w:ind w:left="284" w:hanging="284"/>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u w:val="single"/>
          <w:lang w:val="lt-LT"/>
        </w:rPr>
        <w:t xml:space="preserve">Jautrus </w:t>
      </w:r>
      <w:r w:rsidRPr="00CC52A7">
        <w:rPr>
          <w:rFonts w:ascii="Times New Roman" w:eastAsia="PMingLiU" w:hAnsi="Times New Roman" w:cs="Times New Roman"/>
          <w:lang w:val="lt-LT"/>
        </w:rPr>
        <w:t>– Epšteino ir Baro virusas.</w:t>
      </w:r>
    </w:p>
    <w:p w14:paraId="73A304B7" w14:textId="77777777" w:rsidR="00DC55CF" w:rsidRPr="00CC52A7" w:rsidRDefault="00DC55CF" w:rsidP="00DC55CF">
      <w:pPr>
        <w:numPr>
          <w:ilvl w:val="12"/>
          <w:numId w:val="0"/>
        </w:numPr>
        <w:overflowPunct w:val="0"/>
        <w:autoSpaceDE w:val="0"/>
        <w:autoSpaceDN w:val="0"/>
        <w:adjustRightInd w:val="0"/>
        <w:spacing w:after="0" w:line="240" w:lineRule="auto"/>
        <w:ind w:left="284" w:hanging="284"/>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u w:val="single"/>
          <w:lang w:val="lt-LT"/>
        </w:rPr>
        <w:t xml:space="preserve">Nuo iš dalies jautrių iki atsparių formų </w:t>
      </w:r>
      <w:r w:rsidRPr="00CC52A7">
        <w:rPr>
          <w:rFonts w:ascii="Times New Roman" w:eastAsia="PMingLiU" w:hAnsi="Times New Roman" w:cs="Times New Roman"/>
          <w:lang w:val="lt-LT"/>
        </w:rPr>
        <w:t>– citomegalijos virusas.</w:t>
      </w:r>
    </w:p>
    <w:p w14:paraId="73A304B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u w:val="single"/>
          <w:lang w:val="lt-LT"/>
        </w:rPr>
        <w:t xml:space="preserve">Atsparūs </w:t>
      </w:r>
      <w:r w:rsidRPr="00CC52A7">
        <w:rPr>
          <w:rFonts w:ascii="Times New Roman" w:eastAsia="PMingLiU" w:hAnsi="Times New Roman" w:cs="Times New Roman"/>
          <w:lang w:val="lt-LT"/>
        </w:rPr>
        <w:t>– RNR virusai, adenovirusai, raupų virusai.</w:t>
      </w:r>
    </w:p>
    <w:p w14:paraId="73A304B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4BA"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5.2</w:t>
      </w:r>
      <w:r w:rsidRPr="00CC52A7">
        <w:rPr>
          <w:rFonts w:ascii="Times New Roman" w:eastAsia="PMingLiU" w:hAnsi="Times New Roman" w:cs="Times New Roman"/>
          <w:b/>
          <w:lang w:val="lt-LT"/>
        </w:rPr>
        <w:tab/>
        <w:t>Farmakokinetinės savybės</w:t>
      </w:r>
    </w:p>
    <w:p w14:paraId="73A304B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p>
    <w:p w14:paraId="73A304B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Absorbcija</w:t>
      </w:r>
    </w:p>
    <w:p w14:paraId="73A304B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Iš virškinimo trakto absorbuojama tik dalis acikloviro. Vartojant pakartotinai kas 4</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kartus per dieną po 200, 400 arba 800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acikloviro, po to kai plazmoje nusistovi pastovus didžiausios ir mažiausios koncentracijų intervalas, didžiausios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koncentracijos vidurkis plazmoje yra 3,02</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0,5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(200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5,21</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1,32</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(400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arba 8,16</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1,98</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(800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w:t>
      </w:r>
    </w:p>
    <w:p w14:paraId="73A304B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Išgėrus acikloviro, tokia koncentracija atsiranda po 1,5</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0,6</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po 4</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bazinė koncentracija plazmoje būna atitinkamai 1,61</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0,3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(200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2,59</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0,53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(400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arba 4,0</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0,72</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(800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mg). Nustojus vartoti </w:t>
      </w:r>
      <w:r w:rsidR="004070A0">
        <w:rPr>
          <w:rFonts w:ascii="Times New Roman" w:eastAsia="PMingLiU" w:hAnsi="Times New Roman" w:cs="Times New Roman"/>
          <w:lang w:val="lt-LT"/>
        </w:rPr>
        <w:t xml:space="preserve">vaistinių </w:t>
      </w:r>
      <w:r w:rsidRPr="00CC52A7">
        <w:rPr>
          <w:rFonts w:ascii="Times New Roman" w:eastAsia="PMingLiU" w:hAnsi="Times New Roman" w:cs="Times New Roman"/>
          <w:lang w:val="lt-LT"/>
        </w:rPr>
        <w:t>preparatų, kuriuose yra acikloviro, po 24</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organizme jo nelieka.</w:t>
      </w:r>
    </w:p>
    <w:p w14:paraId="73A304B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3</w:t>
      </w:r>
      <w:r w:rsidR="009D7277">
        <w:rPr>
          <w:rFonts w:ascii="Times New Roman" w:eastAsia="PMingLiU" w:hAnsi="Times New Roman" w:cs="Times New Roman"/>
          <w:lang w:val="lt-LT"/>
        </w:rPr>
        <w:noBreakHyphen/>
      </w:r>
      <w:r w:rsidRPr="00CC52A7">
        <w:rPr>
          <w:rFonts w:ascii="Times New Roman" w:eastAsia="PMingLiU" w:hAnsi="Times New Roman" w:cs="Times New Roman"/>
          <w:lang w:val="lt-LT"/>
        </w:rPr>
        <w:t>11</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metų vaikams, kurių imuninė sistema nuslopinta ir kurie geria 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kartus per dieną kas 4</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po 400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acikloviro (arba 300</w:t>
      </w:r>
      <w:r w:rsidR="009D7277">
        <w:rPr>
          <w:rFonts w:ascii="Times New Roman" w:eastAsia="PMingLiU" w:hAnsi="Times New Roman" w:cs="Times New Roman"/>
          <w:lang w:val="lt-LT"/>
        </w:rPr>
        <w:noBreakHyphen/>
      </w:r>
      <w:r w:rsidRPr="00CC52A7">
        <w:rPr>
          <w:rFonts w:ascii="Times New Roman" w:eastAsia="PMingLiU" w:hAnsi="Times New Roman" w:cs="Times New Roman"/>
          <w:lang w:val="lt-LT"/>
        </w:rPr>
        <w:t>650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mg/m</w:t>
      </w:r>
      <w:r w:rsidRPr="00CC52A7">
        <w:rPr>
          <w:rFonts w:ascii="Times New Roman" w:eastAsia="PMingLiU" w:hAnsi="Times New Roman" w:cs="Times New Roman"/>
          <w:vertAlign w:val="superscript"/>
          <w:lang w:val="lt-LT"/>
        </w:rPr>
        <w:t>2</w:t>
      </w:r>
      <w:r w:rsidRPr="00CC52A7">
        <w:rPr>
          <w:rFonts w:ascii="Times New Roman" w:eastAsia="PMingLiU" w:hAnsi="Times New Roman" w:cs="Times New Roman"/>
          <w:lang w:val="lt-LT"/>
        </w:rPr>
        <w:t xml:space="preserve"> kūno paviršiaus), didžiausios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koncentracijos plazmoje vidurkis gali būti nuo 5,7 iki 15,1</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 xml:space="preserve">mol/l. </w:t>
      </w:r>
      <w:r w:rsidRPr="00CC52A7">
        <w:rPr>
          <w:rFonts w:ascii="Times New Roman" w:eastAsia="PMingLiU" w:hAnsi="Times New Roman" w:cs="Times New Roman"/>
          <w:lang w:val="lt-LT"/>
        </w:rPr>
        <w:br/>
        <w:t>1</w:t>
      </w:r>
      <w:r w:rsidR="009D7277">
        <w:rPr>
          <w:rFonts w:ascii="Times New Roman" w:eastAsia="PMingLiU" w:hAnsi="Times New Roman" w:cs="Times New Roman"/>
          <w:lang w:val="lt-LT"/>
        </w:rPr>
        <w:noBreakHyphen/>
      </w:r>
      <w:r w:rsidRPr="00CC52A7">
        <w:rPr>
          <w:rFonts w:ascii="Times New Roman" w:eastAsia="PMingLiU" w:hAnsi="Times New Roman" w:cs="Times New Roman"/>
          <w:lang w:val="lt-LT"/>
        </w:rPr>
        <w:t>6</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savaičių kūdikiams kas 6</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valandas sugirdant po 600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acikloviro/m</w:t>
      </w:r>
      <w:r w:rsidRPr="00CC52A7">
        <w:rPr>
          <w:rFonts w:ascii="Times New Roman" w:eastAsia="PMingLiU" w:hAnsi="Times New Roman" w:cs="Times New Roman"/>
          <w:vertAlign w:val="superscript"/>
          <w:lang w:val="lt-LT"/>
        </w:rPr>
        <w:t>2</w:t>
      </w:r>
      <w:r w:rsidRPr="00CC52A7">
        <w:rPr>
          <w:rFonts w:ascii="Times New Roman" w:eastAsia="PMingLiU" w:hAnsi="Times New Roman" w:cs="Times New Roman"/>
          <w:lang w:val="lt-LT"/>
        </w:rPr>
        <w:t xml:space="preserve"> kūno paviršiaus, 6</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valandas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koncentracija plazmoje nustatyta atitinkamai 17,3 ir 8,6</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 xml:space="preserve">mol/l. Kadangi </w:t>
      </w:r>
      <w:r w:rsidR="007C5A3D" w:rsidRPr="00CC52A7">
        <w:rPr>
          <w:rFonts w:ascii="Times New Roman" w:eastAsia="PMingLiU" w:hAnsi="Times New Roman" w:cs="Times New Roman"/>
          <w:lang w:val="lt-LT"/>
        </w:rPr>
        <w:t xml:space="preserve">vaistinio </w:t>
      </w:r>
      <w:r w:rsidRPr="00CC52A7">
        <w:rPr>
          <w:rFonts w:ascii="Times New Roman" w:eastAsia="PMingLiU" w:hAnsi="Times New Roman" w:cs="Times New Roman"/>
          <w:lang w:val="lt-LT"/>
        </w:rPr>
        <w:t xml:space="preserve">preparato kinetika bieksponentinė, vadinasi, iš pradžių daug </w:t>
      </w:r>
      <w:r w:rsidR="007C5A3D" w:rsidRPr="00CC52A7">
        <w:rPr>
          <w:rFonts w:ascii="Times New Roman" w:eastAsia="PMingLiU" w:hAnsi="Times New Roman" w:cs="Times New Roman"/>
          <w:lang w:val="lt-LT"/>
        </w:rPr>
        <w:t xml:space="preserve">vaistinio </w:t>
      </w:r>
      <w:r w:rsidRPr="00CC52A7">
        <w:rPr>
          <w:rFonts w:ascii="Times New Roman" w:eastAsia="PMingLiU" w:hAnsi="Times New Roman" w:cs="Times New Roman"/>
          <w:lang w:val="lt-LT"/>
        </w:rPr>
        <w:t>preparato turėtų susikaupti audiniuose ir organuose, iš kurių vėliau jis turėtų būti lėtai išplaunamas.</w:t>
      </w:r>
    </w:p>
    <w:p w14:paraId="73A304C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Suaugusio žmogaus organizme tariamasis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pasiskirstymo tūris, kai jo koncentracija kraujyje pastovi, yra 50</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8,7</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l/1,73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w:t>
      </w:r>
      <w:r w:rsidRPr="00CC52A7">
        <w:rPr>
          <w:rFonts w:ascii="Times New Roman" w:eastAsia="PMingLiU" w:hAnsi="Times New Roman" w:cs="Times New Roman"/>
          <w:vertAlign w:val="superscript"/>
          <w:lang w:val="lt-LT"/>
        </w:rPr>
        <w:t>2</w:t>
      </w:r>
      <w:r w:rsidRPr="00CC52A7">
        <w:rPr>
          <w:rFonts w:ascii="Times New Roman" w:eastAsia="PMingLiU" w:hAnsi="Times New Roman" w:cs="Times New Roman"/>
          <w:lang w:val="lt-LT"/>
        </w:rPr>
        <w:t>, naujagimių ir jaunesnių kaip 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mėn. kūdikių – 28,8</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9,3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l/1,73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w:t>
      </w:r>
      <w:r w:rsidRPr="00CC52A7">
        <w:rPr>
          <w:rFonts w:ascii="Times New Roman" w:eastAsia="PMingLiU" w:hAnsi="Times New Roman" w:cs="Times New Roman"/>
          <w:vertAlign w:val="superscript"/>
          <w:lang w:val="lt-LT"/>
        </w:rPr>
        <w:t>2</w:t>
      </w:r>
      <w:r w:rsidRPr="00CC52A7">
        <w:rPr>
          <w:rFonts w:ascii="Times New Roman" w:eastAsia="PMingLiU" w:hAnsi="Times New Roman" w:cs="Times New Roman"/>
          <w:lang w:val="lt-LT"/>
        </w:rPr>
        <w:t>.</w:t>
      </w:r>
    </w:p>
    <w:p w14:paraId="73A304C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Nustatyta, kad 9</w:t>
      </w:r>
      <w:r w:rsidR="009D7277">
        <w:rPr>
          <w:rFonts w:ascii="Times New Roman" w:eastAsia="PMingLiU" w:hAnsi="Times New Roman" w:cs="Times New Roman"/>
          <w:lang w:val="lt-LT"/>
        </w:rPr>
        <w:noBreakHyphen/>
      </w:r>
      <w:r w:rsidRPr="00CC52A7">
        <w:rPr>
          <w:rFonts w:ascii="Times New Roman" w:eastAsia="PMingLiU" w:hAnsi="Times New Roman" w:cs="Times New Roman"/>
          <w:lang w:val="lt-LT"/>
        </w:rPr>
        <w:t>33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 </w:t>
      </w:r>
      <w:r w:rsidR="007C5A3D" w:rsidRPr="00CC52A7">
        <w:rPr>
          <w:rFonts w:ascii="Times New Roman" w:eastAsia="PMingLiU" w:hAnsi="Times New Roman" w:cs="Times New Roman"/>
          <w:lang w:val="lt-LT"/>
        </w:rPr>
        <w:t xml:space="preserve">vaistinio </w:t>
      </w:r>
      <w:r w:rsidRPr="00CC52A7">
        <w:rPr>
          <w:rFonts w:ascii="Times New Roman" w:eastAsia="PMingLiU" w:hAnsi="Times New Roman" w:cs="Times New Roman"/>
          <w:lang w:val="lt-LT"/>
        </w:rPr>
        <w:t>preparato prisijungia prie plazmos baltymų.</w:t>
      </w:r>
    </w:p>
    <w:p w14:paraId="73A304C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u w:val="single"/>
          <w:lang w:val="lt-LT"/>
        </w:rPr>
      </w:pPr>
    </w:p>
    <w:p w14:paraId="73A304C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i/>
          <w:lang w:val="lt-LT"/>
        </w:rPr>
        <w:t>Pasiskirstymas</w:t>
      </w:r>
    </w:p>
    <w:p w14:paraId="73A304C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Tyrimų su gyvūnais duomenimis, didesnė negu plazmoje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koncentracija būna žarnose, inkstuose, kepenyse ir plaučiuose, mažesnė – raumenyse, širdyje, smegenyse, kiaušidėse ir sėklidėse.</w:t>
      </w:r>
    </w:p>
    <w:p w14:paraId="73A304C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Ištyrus mirusius žmones, nustatyta, kad daug acikloviro susikaupia seilėse, makšties sekrete ir </w:t>
      </w:r>
      <w:r w:rsidRPr="00CC52A7">
        <w:rPr>
          <w:rFonts w:ascii="Times New Roman" w:eastAsia="PMingLiU" w:hAnsi="Times New Roman" w:cs="Times New Roman"/>
          <w:i/>
          <w:lang w:val="lt-LT"/>
        </w:rPr>
        <w:t>Herpes</w:t>
      </w:r>
      <w:r w:rsidRPr="00CC52A7">
        <w:rPr>
          <w:rFonts w:ascii="Times New Roman" w:eastAsia="PMingLiU" w:hAnsi="Times New Roman" w:cs="Times New Roman"/>
          <w:lang w:val="lt-LT"/>
        </w:rPr>
        <w:t xml:space="preserve"> pūslelių skystyje bei kai kuriuose organuose. Smegenų skystyje (likvore)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 xml:space="preserve">o koncentracija būna du kartus mažesnė negu plazmoje. </w:t>
      </w:r>
    </w:p>
    <w:p w14:paraId="73A304C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u w:val="single"/>
          <w:lang w:val="lt-LT"/>
        </w:rPr>
      </w:pPr>
    </w:p>
    <w:p w14:paraId="73A304C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i/>
          <w:lang w:val="lt-LT"/>
        </w:rPr>
        <w:t>Biotransformacija ir eliminacija</w:t>
      </w:r>
    </w:p>
    <w:p w14:paraId="73A304C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 paciento inkstai sveiki, per juos pašalinama 62</w:t>
      </w:r>
      <w:r w:rsidR="009D7277">
        <w:rPr>
          <w:rFonts w:ascii="Times New Roman" w:eastAsia="PMingLiU" w:hAnsi="Times New Roman" w:cs="Times New Roman"/>
          <w:lang w:val="lt-LT"/>
        </w:rPr>
        <w:noBreakHyphen/>
      </w:r>
      <w:r w:rsidRPr="00CC52A7">
        <w:rPr>
          <w:rFonts w:ascii="Times New Roman" w:eastAsia="PMingLiU" w:hAnsi="Times New Roman" w:cs="Times New Roman"/>
          <w:lang w:val="lt-LT"/>
        </w:rPr>
        <w:t>91</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nepakitusio acikloviro ir 10</w:t>
      </w:r>
      <w:r w:rsidR="009D7277">
        <w:rPr>
          <w:rFonts w:ascii="Times New Roman" w:eastAsia="PMingLiU" w:hAnsi="Times New Roman" w:cs="Times New Roman"/>
          <w:lang w:val="lt-LT"/>
        </w:rPr>
        <w:noBreakHyphen/>
      </w:r>
      <w:r w:rsidRPr="00CC52A7">
        <w:rPr>
          <w:rFonts w:ascii="Times New Roman" w:eastAsia="PMingLiU" w:hAnsi="Times New Roman" w:cs="Times New Roman"/>
          <w:lang w:val="lt-LT"/>
        </w:rPr>
        <w:t>15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 metabolito 9-karboksimetoksimetilguanino forma. Suaugusiam žmogui </w:t>
      </w:r>
      <w:r w:rsidR="001B094F">
        <w:rPr>
          <w:rFonts w:ascii="Times New Roman" w:eastAsia="PMingLiU" w:hAnsi="Times New Roman" w:cs="Times New Roman"/>
          <w:lang w:val="lt-LT"/>
        </w:rPr>
        <w:t>suleidus</w:t>
      </w:r>
      <w:r w:rsidR="001B094F"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į veną acikloviro, jo pusinės eliminacijos iš plazmos periodas (t</w:t>
      </w:r>
      <w:r w:rsidRPr="00CC52A7">
        <w:rPr>
          <w:rFonts w:ascii="Times New Roman" w:eastAsia="PMingLiU" w:hAnsi="Times New Roman" w:cs="Times New Roman"/>
          <w:vertAlign w:val="subscript"/>
          <w:lang w:val="lt-LT"/>
        </w:rPr>
        <w:t>1/2</w:t>
      </w:r>
      <w:r w:rsidRPr="00CC52A7">
        <w:rPr>
          <w:rFonts w:ascii="Times New Roman" w:eastAsia="PMingLiU" w:hAnsi="Times New Roman" w:cs="Times New Roman"/>
          <w:vertAlign w:val="subscript"/>
          <w:lang w:val="lt-LT"/>
        </w:rPr>
        <w:sym w:font="Symbol" w:char="F062"/>
      </w:r>
      <w:r w:rsidRPr="00CC52A7">
        <w:rPr>
          <w:rFonts w:ascii="Times New Roman" w:eastAsia="PMingLiU" w:hAnsi="Times New Roman" w:cs="Times New Roman"/>
          <w:lang w:val="lt-LT"/>
        </w:rPr>
        <w:t xml:space="preserve"> ) yra maždaug 2,87</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0,76</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naujagimių ir jaunesnių kaip 3</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mėn. kūdikių – 4,1</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1,2</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Vaist</w:t>
      </w:r>
      <w:r w:rsidR="004070A0">
        <w:rPr>
          <w:rFonts w:ascii="Times New Roman" w:eastAsia="PMingLiU" w:hAnsi="Times New Roman" w:cs="Times New Roman"/>
          <w:lang w:val="lt-LT"/>
        </w:rPr>
        <w:t>inis preparat</w:t>
      </w:r>
      <w:r w:rsidRPr="00CC52A7">
        <w:rPr>
          <w:rFonts w:ascii="Times New Roman" w:eastAsia="PMingLiU" w:hAnsi="Times New Roman" w:cs="Times New Roman"/>
          <w:lang w:val="lt-LT"/>
        </w:rPr>
        <w:t>as iš organizmo šalinamas filtracijos per glomerulus ir kanalėlių sekrecijos būdu. Išgėrus acikloviro, praėjus 1</w:t>
      </w:r>
      <w:r w:rsidR="00311CA3">
        <w:rPr>
          <w:rFonts w:ascii="Times New Roman" w:eastAsia="PMingLiU" w:hAnsi="Times New Roman" w:cs="Times New Roman"/>
          <w:lang w:val="lt-LT"/>
        </w:rPr>
        <w:t> </w:t>
      </w:r>
      <w:r w:rsidRPr="00CC52A7">
        <w:rPr>
          <w:rFonts w:ascii="Times New Roman" w:eastAsia="PMingLiU" w:hAnsi="Times New Roman" w:cs="Times New Roman"/>
          <w:lang w:val="lt-LT"/>
        </w:rPr>
        <w:t>val. po to, kai buvo išgerta 1</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g probenecido,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pusinės eliminacijos periodas iš plazmos (t</w:t>
      </w:r>
      <w:r w:rsidRPr="00CC52A7">
        <w:rPr>
          <w:rFonts w:ascii="Times New Roman" w:eastAsia="PMingLiU" w:hAnsi="Times New Roman" w:cs="Times New Roman"/>
          <w:vertAlign w:val="subscript"/>
          <w:lang w:val="lt-LT"/>
        </w:rPr>
        <w:t>1/2</w:t>
      </w:r>
      <w:r w:rsidRPr="00CC52A7">
        <w:rPr>
          <w:rFonts w:ascii="Times New Roman" w:eastAsia="PMingLiU" w:hAnsi="Times New Roman" w:cs="Times New Roman"/>
          <w:vertAlign w:val="subscript"/>
          <w:lang w:val="lt-LT"/>
        </w:rPr>
        <w:sym w:font="Symbol" w:char="F062"/>
      </w:r>
      <w:r w:rsidRPr="00CC52A7">
        <w:rPr>
          <w:rFonts w:ascii="Times New Roman" w:eastAsia="PMingLiU" w:hAnsi="Times New Roman" w:cs="Times New Roman"/>
          <w:lang w:val="lt-LT"/>
        </w:rPr>
        <w:t>) ir plotas, kurį koordinačių sistemoje riboja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koncentracijos kreivė, padidėja atitinkamai 18</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ir 40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w:t>
      </w:r>
    </w:p>
    <w:p w14:paraId="73A304C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Organizmas pasisavina tik 20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išgertos dozės, kita dalis (80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šalinama su išmatomis.</w:t>
      </w:r>
    </w:p>
    <w:p w14:paraId="73A304C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Pacientų, sergančių lėtiniu inkstų nepakankamumu, organizme acikloviro pusinės eliminacijos periodas iš plazmos trunka maždaug 19,5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kraujo dializės metu – 5,7</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val. Acikloviro koncentracija dializuojamų pacientų plazmoje sumažėja maždaug 60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Jei inkstų veikla nepakankama (kreatinino klirensas mažesnis negu 25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ml/min./1,73m</w:t>
      </w:r>
      <w:r w:rsidRPr="00CC52A7">
        <w:rPr>
          <w:rFonts w:ascii="Times New Roman" w:eastAsia="PMingLiU" w:hAnsi="Times New Roman" w:cs="Times New Roman"/>
          <w:vertAlign w:val="superscript"/>
          <w:lang w:val="lt-LT"/>
        </w:rPr>
        <w:t>2</w:t>
      </w:r>
      <w:r w:rsidRPr="00CC52A7">
        <w:rPr>
          <w:rFonts w:ascii="Times New Roman" w:eastAsia="PMingLiU" w:hAnsi="Times New Roman" w:cs="Times New Roman"/>
          <w:lang w:val="lt-LT"/>
        </w:rPr>
        <w:t>), geriant acikloviro 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kartus per dieną po 800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arba jei kreatinino klirensas mažesnis negu 10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ml/min./1,73m</w:t>
      </w:r>
      <w:r w:rsidRPr="00CC52A7">
        <w:rPr>
          <w:rFonts w:ascii="Times New Roman" w:eastAsia="PMingLiU" w:hAnsi="Times New Roman" w:cs="Times New Roman"/>
          <w:vertAlign w:val="superscript"/>
          <w:lang w:val="lt-LT"/>
        </w:rPr>
        <w:t>2</w:t>
      </w:r>
      <w:r w:rsidRPr="00CC52A7">
        <w:rPr>
          <w:rFonts w:ascii="Times New Roman" w:eastAsia="PMingLiU" w:hAnsi="Times New Roman" w:cs="Times New Roman"/>
          <w:lang w:val="lt-LT"/>
        </w:rPr>
        <w:t>, geriant acikloviro 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kartus per dieną po 200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mg, medikamentas gali kauptis organizme, todėl dozę tokiu atveju reikia mažinti (žr. 4.2 skyrių </w:t>
      </w:r>
      <w:r w:rsidR="009D7277">
        <w:rPr>
          <w:rFonts w:ascii="Times New Roman" w:eastAsia="PMingLiU" w:hAnsi="Times New Roman" w:cs="Times New Roman"/>
          <w:lang w:val="lt-LT"/>
        </w:rPr>
        <w:t>„</w:t>
      </w:r>
      <w:r w:rsidRPr="00CC52A7">
        <w:rPr>
          <w:rFonts w:ascii="Times New Roman" w:eastAsia="PMingLiU" w:hAnsi="Times New Roman" w:cs="Times New Roman"/>
          <w:lang w:val="lt-LT"/>
        </w:rPr>
        <w:t>Dozavimas ir vartojimo būdas</w:t>
      </w:r>
      <w:r w:rsidR="009D7277">
        <w:rPr>
          <w:rFonts w:ascii="Times New Roman" w:eastAsia="PMingLiU" w:hAnsi="Times New Roman" w:cs="Times New Roman"/>
          <w:lang w:val="lt-LT"/>
        </w:rPr>
        <w:t>“</w:t>
      </w:r>
      <w:r w:rsidRPr="00CC52A7">
        <w:rPr>
          <w:rFonts w:ascii="Times New Roman" w:eastAsia="PMingLiU" w:hAnsi="Times New Roman" w:cs="Times New Roman"/>
          <w:lang w:val="lt-LT"/>
        </w:rPr>
        <w:t>).</w:t>
      </w:r>
    </w:p>
    <w:p w14:paraId="73A304C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p>
    <w:p w14:paraId="73A304C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Biologinis ekvivalentiškumas</w:t>
      </w:r>
    </w:p>
    <w:p w14:paraId="73A304C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Organizmas pasisavina 20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išgertos acikloviro dozės.</w:t>
      </w:r>
    </w:p>
    <w:p w14:paraId="73A304C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1992</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m. atlikti atviri, randomizuoti dvigubu kryžminiu būdu, lyginamieji biologinio ekvivalentiškumo tyrimai, kuriuose dalyvavo 20 sveikų savanorių (10 vyrų ir 10 moterų). Visi tiriamieji išgėrė vieną tiriamojo ar lyginamojo referencinio  </w:t>
      </w:r>
      <w:r w:rsidR="007C5A3D" w:rsidRPr="00CC52A7">
        <w:rPr>
          <w:rFonts w:ascii="Times New Roman" w:eastAsia="PMingLiU" w:hAnsi="Times New Roman" w:cs="Times New Roman"/>
          <w:lang w:val="lt-LT"/>
        </w:rPr>
        <w:t xml:space="preserve">vaistinio </w:t>
      </w:r>
      <w:r w:rsidRPr="00CC52A7">
        <w:rPr>
          <w:rFonts w:ascii="Times New Roman" w:eastAsia="PMingLiU" w:hAnsi="Times New Roman" w:cs="Times New Roman"/>
          <w:lang w:val="lt-LT"/>
        </w:rPr>
        <w:t xml:space="preserve">preparato dozę. </w:t>
      </w:r>
    </w:p>
    <w:p w14:paraId="73A304C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Tyrimo duomenys pateikti lentelėje.</w:t>
      </w:r>
    </w:p>
    <w:p w14:paraId="73A304D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tbl>
      <w:tblPr>
        <w:tblW w:w="0" w:type="auto"/>
        <w:tblLayout w:type="fixed"/>
        <w:tblLook w:val="0000" w:firstRow="0" w:lastRow="0" w:firstColumn="0" w:lastColumn="0" w:noHBand="0" w:noVBand="0"/>
      </w:tblPr>
      <w:tblGrid>
        <w:gridCol w:w="3794"/>
        <w:gridCol w:w="2268"/>
        <w:gridCol w:w="2268"/>
      </w:tblGrid>
      <w:tr w:rsidR="00DC55CF" w:rsidRPr="00CC52A7" w14:paraId="73A304D4" w14:textId="77777777" w:rsidTr="00DC55CF">
        <w:tc>
          <w:tcPr>
            <w:tcW w:w="3794" w:type="dxa"/>
            <w:tcBorders>
              <w:top w:val="single" w:sz="6" w:space="0" w:color="auto"/>
              <w:bottom w:val="single" w:sz="6" w:space="0" w:color="auto"/>
            </w:tcBorders>
          </w:tcPr>
          <w:p w14:paraId="73A304D1"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tc>
        <w:tc>
          <w:tcPr>
            <w:tcW w:w="2268" w:type="dxa"/>
            <w:tcBorders>
              <w:top w:val="single" w:sz="6" w:space="0" w:color="auto"/>
              <w:bottom w:val="single" w:sz="6" w:space="0" w:color="auto"/>
            </w:tcBorders>
          </w:tcPr>
          <w:p w14:paraId="73A304D2" w14:textId="77777777" w:rsidR="00DC55CF" w:rsidRPr="00CC52A7" w:rsidRDefault="00DC55CF" w:rsidP="007C5A3D">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Tiriamasis </w:t>
            </w:r>
            <w:r w:rsidR="007C5A3D" w:rsidRPr="00CC52A7">
              <w:rPr>
                <w:rFonts w:ascii="Times New Roman" w:eastAsia="PMingLiU" w:hAnsi="Times New Roman" w:cs="Times New Roman"/>
                <w:lang w:val="lt-LT"/>
              </w:rPr>
              <w:t>vaistini</w:t>
            </w:r>
            <w:r w:rsidR="007C5A3D">
              <w:rPr>
                <w:rFonts w:ascii="Times New Roman" w:eastAsia="PMingLiU" w:hAnsi="Times New Roman" w:cs="Times New Roman"/>
                <w:lang w:val="lt-LT"/>
              </w:rPr>
              <w:t>s</w:t>
            </w:r>
            <w:r w:rsidR="007C5A3D"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preparatas</w:t>
            </w:r>
          </w:p>
        </w:tc>
        <w:tc>
          <w:tcPr>
            <w:tcW w:w="2268" w:type="dxa"/>
            <w:tcBorders>
              <w:top w:val="single" w:sz="6" w:space="0" w:color="auto"/>
              <w:bottom w:val="single" w:sz="6" w:space="0" w:color="auto"/>
            </w:tcBorders>
          </w:tcPr>
          <w:p w14:paraId="73A304D3"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Lyginamasis </w:t>
            </w:r>
            <w:r w:rsidR="007C5A3D" w:rsidRPr="00CC52A7">
              <w:rPr>
                <w:rFonts w:ascii="Times New Roman" w:eastAsia="PMingLiU" w:hAnsi="Times New Roman" w:cs="Times New Roman"/>
                <w:lang w:val="lt-LT"/>
              </w:rPr>
              <w:t>vaistini</w:t>
            </w:r>
            <w:r w:rsidR="007C5A3D">
              <w:rPr>
                <w:rFonts w:ascii="Times New Roman" w:eastAsia="PMingLiU" w:hAnsi="Times New Roman" w:cs="Times New Roman"/>
                <w:lang w:val="lt-LT"/>
              </w:rPr>
              <w:t>s</w:t>
            </w:r>
            <w:r w:rsidRPr="00CC52A7">
              <w:rPr>
                <w:rFonts w:ascii="Times New Roman" w:eastAsia="PMingLiU" w:hAnsi="Times New Roman" w:cs="Times New Roman"/>
                <w:lang w:val="lt-LT"/>
              </w:rPr>
              <w:t xml:space="preserve"> preparatas</w:t>
            </w:r>
          </w:p>
        </w:tc>
      </w:tr>
      <w:tr w:rsidR="00DC55CF" w:rsidRPr="00CC52A7" w14:paraId="73A304DE" w14:textId="77777777" w:rsidTr="00DC55CF">
        <w:tc>
          <w:tcPr>
            <w:tcW w:w="3794" w:type="dxa"/>
            <w:tcBorders>
              <w:top w:val="single" w:sz="6" w:space="0" w:color="auto"/>
              <w:bottom w:val="single" w:sz="6" w:space="0" w:color="auto"/>
            </w:tcBorders>
          </w:tcPr>
          <w:p w14:paraId="73A304D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lastRenderedPageBreak/>
              <w:t>Didžiausia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koncentracija plazmoje (C</w:t>
            </w:r>
            <w:r w:rsidRPr="00CC52A7">
              <w:rPr>
                <w:rFonts w:ascii="Times New Roman" w:eastAsia="PMingLiU" w:hAnsi="Times New Roman" w:cs="Times New Roman"/>
                <w:vertAlign w:val="subscript"/>
                <w:lang w:val="lt-LT"/>
              </w:rPr>
              <w:t>max</w:t>
            </w:r>
            <w:r w:rsidRPr="00CC52A7">
              <w:rPr>
                <w:rFonts w:ascii="Times New Roman" w:eastAsia="PMingLiU" w:hAnsi="Times New Roman" w:cs="Times New Roman"/>
                <w:lang w:val="lt-LT"/>
              </w:rPr>
              <w:t>) ng/ml</w:t>
            </w:r>
          </w:p>
          <w:p w14:paraId="73A304D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D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tc>
        <w:tc>
          <w:tcPr>
            <w:tcW w:w="2268" w:type="dxa"/>
            <w:tcBorders>
              <w:top w:val="single" w:sz="6" w:space="0" w:color="auto"/>
              <w:bottom w:val="single" w:sz="6" w:space="0" w:color="auto"/>
            </w:tcBorders>
          </w:tcPr>
          <w:p w14:paraId="73A304D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D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890 </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 xml:space="preserve"> 400</w:t>
            </w:r>
          </w:p>
          <w:p w14:paraId="73A304D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D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tc>
        <w:tc>
          <w:tcPr>
            <w:tcW w:w="2268" w:type="dxa"/>
            <w:tcBorders>
              <w:top w:val="single" w:sz="6" w:space="0" w:color="auto"/>
              <w:bottom w:val="single" w:sz="6" w:space="0" w:color="auto"/>
            </w:tcBorders>
          </w:tcPr>
          <w:p w14:paraId="73A304D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D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950 </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 xml:space="preserve"> 410</w:t>
            </w:r>
          </w:p>
        </w:tc>
      </w:tr>
      <w:tr w:rsidR="00DC55CF" w:rsidRPr="00CC52A7" w14:paraId="73A304E4" w14:textId="77777777" w:rsidTr="00DC55CF">
        <w:tc>
          <w:tcPr>
            <w:tcW w:w="3794" w:type="dxa"/>
          </w:tcPr>
          <w:p w14:paraId="73A304DF"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Laikas, per kurį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koncentracija plazmoje tampa didžiausia (t</w:t>
            </w:r>
            <w:r w:rsidRPr="00CC52A7">
              <w:rPr>
                <w:rFonts w:ascii="Times New Roman" w:eastAsia="PMingLiU" w:hAnsi="Times New Roman" w:cs="Times New Roman"/>
                <w:vertAlign w:val="subscript"/>
                <w:lang w:val="lt-LT"/>
              </w:rPr>
              <w:t>max</w:t>
            </w:r>
            <w:r w:rsidRPr="00CC52A7">
              <w:rPr>
                <w:rFonts w:ascii="Times New Roman" w:eastAsia="PMingLiU" w:hAnsi="Times New Roman" w:cs="Times New Roman"/>
                <w:lang w:val="lt-LT"/>
              </w:rPr>
              <w:t>) val.</w:t>
            </w:r>
          </w:p>
        </w:tc>
        <w:tc>
          <w:tcPr>
            <w:tcW w:w="2268" w:type="dxa"/>
          </w:tcPr>
          <w:p w14:paraId="73A304E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E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1,63 </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 xml:space="preserve"> 0,32 </w:t>
            </w:r>
          </w:p>
        </w:tc>
        <w:tc>
          <w:tcPr>
            <w:tcW w:w="2268" w:type="dxa"/>
          </w:tcPr>
          <w:p w14:paraId="73A304E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E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1,68 </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 xml:space="preserve"> 0,29</w:t>
            </w:r>
          </w:p>
        </w:tc>
      </w:tr>
      <w:tr w:rsidR="00DC55CF" w:rsidRPr="00CC52A7" w14:paraId="73A304EE" w14:textId="77777777" w:rsidTr="00DC55CF">
        <w:tc>
          <w:tcPr>
            <w:tcW w:w="3794" w:type="dxa"/>
            <w:tcBorders>
              <w:top w:val="single" w:sz="6" w:space="0" w:color="auto"/>
              <w:bottom w:val="single" w:sz="6" w:space="0" w:color="auto"/>
            </w:tcBorders>
          </w:tcPr>
          <w:p w14:paraId="73A304E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Plotas, kurį koordinačių sistemoje riboja koncentracijos ir laiko kreivė</w:t>
            </w:r>
          </w:p>
          <w:p w14:paraId="73A304E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(AUC</w:t>
            </w:r>
            <w:r w:rsidRPr="00CC52A7">
              <w:rPr>
                <w:rFonts w:ascii="Times New Roman" w:eastAsia="PMingLiU" w:hAnsi="Times New Roman" w:cs="Times New Roman"/>
                <w:vertAlign w:val="subscript"/>
                <w:lang w:val="lt-LT"/>
              </w:rPr>
              <w:t>0 – t</w:t>
            </w:r>
            <w:r w:rsidRPr="00CC52A7">
              <w:rPr>
                <w:rFonts w:ascii="Times New Roman" w:eastAsia="PMingLiU" w:hAnsi="Times New Roman" w:cs="Times New Roman"/>
                <w:lang w:val="lt-LT"/>
              </w:rPr>
              <w:t>) ng/ml/val.</w:t>
            </w:r>
          </w:p>
          <w:p w14:paraId="73A304E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tc>
        <w:tc>
          <w:tcPr>
            <w:tcW w:w="2268" w:type="dxa"/>
            <w:tcBorders>
              <w:top w:val="single" w:sz="6" w:space="0" w:color="auto"/>
              <w:bottom w:val="single" w:sz="6" w:space="0" w:color="auto"/>
            </w:tcBorders>
          </w:tcPr>
          <w:p w14:paraId="73A304E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E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E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6460 </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 xml:space="preserve"> 3580</w:t>
            </w:r>
          </w:p>
        </w:tc>
        <w:tc>
          <w:tcPr>
            <w:tcW w:w="2268" w:type="dxa"/>
            <w:tcBorders>
              <w:top w:val="single" w:sz="6" w:space="0" w:color="auto"/>
              <w:bottom w:val="single" w:sz="6" w:space="0" w:color="auto"/>
            </w:tcBorders>
          </w:tcPr>
          <w:p w14:paraId="73A304E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E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E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6350 </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 xml:space="preserve"> 3100</w:t>
            </w:r>
          </w:p>
        </w:tc>
      </w:tr>
      <w:tr w:rsidR="00DC55CF" w:rsidRPr="00CC52A7" w14:paraId="73A304F8" w14:textId="77777777" w:rsidTr="00DC55CF">
        <w:tc>
          <w:tcPr>
            <w:tcW w:w="3794" w:type="dxa"/>
            <w:tcBorders>
              <w:top w:val="single" w:sz="6" w:space="0" w:color="auto"/>
              <w:bottom w:val="single" w:sz="6" w:space="0" w:color="auto"/>
            </w:tcBorders>
          </w:tcPr>
          <w:p w14:paraId="73A304E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Plotas, kurį koordinačių sistemoje riboja koncentracijos ir laiko kreivė</w:t>
            </w:r>
          </w:p>
          <w:p w14:paraId="73A304F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(AUC</w:t>
            </w:r>
            <w:r w:rsidRPr="00CC52A7">
              <w:rPr>
                <w:rFonts w:ascii="Times New Roman" w:eastAsia="PMingLiU" w:hAnsi="Times New Roman" w:cs="Times New Roman"/>
                <w:vertAlign w:val="subscript"/>
                <w:lang w:val="lt-LT"/>
              </w:rPr>
              <w:t xml:space="preserve">0 – </w:t>
            </w:r>
            <w:r w:rsidRPr="00CC52A7">
              <w:rPr>
                <w:rFonts w:ascii="Times New Roman" w:eastAsia="PMingLiU" w:hAnsi="Times New Roman" w:cs="Times New Roman"/>
                <w:vertAlign w:val="subscript"/>
                <w:lang w:val="lt-LT"/>
              </w:rPr>
              <w:sym w:font="Symbol" w:char="F0A5"/>
            </w:r>
            <w:r w:rsidRPr="00CC52A7">
              <w:rPr>
                <w:rFonts w:ascii="Times New Roman" w:eastAsia="PMingLiU" w:hAnsi="Times New Roman" w:cs="Times New Roman"/>
                <w:lang w:val="lt-LT"/>
              </w:rPr>
              <w:t>) ng/ml/val.</w:t>
            </w:r>
          </w:p>
          <w:p w14:paraId="73A304F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tc>
        <w:tc>
          <w:tcPr>
            <w:tcW w:w="2268" w:type="dxa"/>
            <w:tcBorders>
              <w:top w:val="single" w:sz="6" w:space="0" w:color="auto"/>
              <w:bottom w:val="single" w:sz="6" w:space="0" w:color="auto"/>
            </w:tcBorders>
          </w:tcPr>
          <w:p w14:paraId="73A304F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F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F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6710 </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 xml:space="preserve"> 3620</w:t>
            </w:r>
          </w:p>
        </w:tc>
        <w:tc>
          <w:tcPr>
            <w:tcW w:w="2268" w:type="dxa"/>
            <w:tcBorders>
              <w:top w:val="single" w:sz="6" w:space="0" w:color="auto"/>
              <w:bottom w:val="single" w:sz="6" w:space="0" w:color="auto"/>
            </w:tcBorders>
          </w:tcPr>
          <w:p w14:paraId="73A304F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F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4F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6520 </w:t>
            </w:r>
            <w:r w:rsidRPr="00CC52A7">
              <w:rPr>
                <w:rFonts w:ascii="Times New Roman" w:eastAsia="PMingLiU" w:hAnsi="Times New Roman" w:cs="Times New Roman"/>
                <w:lang w:val="lt-LT"/>
              </w:rPr>
              <w:sym w:font="Symbol" w:char="F0B1"/>
            </w:r>
            <w:r w:rsidRPr="00CC52A7">
              <w:rPr>
                <w:rFonts w:ascii="Times New Roman" w:eastAsia="PMingLiU" w:hAnsi="Times New Roman" w:cs="Times New Roman"/>
                <w:lang w:val="lt-LT"/>
              </w:rPr>
              <w:t xml:space="preserve"> 3210</w:t>
            </w:r>
          </w:p>
        </w:tc>
      </w:tr>
    </w:tbl>
    <w:p w14:paraId="73A304F9"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Nurodytas rodmenų vidurkis ir jo standartinis nuokrypis</w:t>
      </w:r>
    </w:p>
    <w:p w14:paraId="73A304FA"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4FB"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i/>
          <w:lang w:val="lt-LT"/>
        </w:rPr>
        <w:t>Paveikslas</w:t>
      </w:r>
      <w:r w:rsidRPr="00CC52A7">
        <w:rPr>
          <w:rFonts w:ascii="Times New Roman" w:eastAsia="PMingLiU" w:hAnsi="Times New Roman" w:cs="Times New Roman"/>
          <w:lang w:val="lt-LT"/>
        </w:rPr>
        <w:t xml:space="preserve">. Vidutinė acikloviro ir lyginamojo </w:t>
      </w:r>
      <w:r w:rsidR="007C5A3D" w:rsidRPr="00CC52A7">
        <w:rPr>
          <w:rFonts w:ascii="Times New Roman" w:eastAsia="PMingLiU" w:hAnsi="Times New Roman" w:cs="Times New Roman"/>
          <w:lang w:val="lt-LT"/>
        </w:rPr>
        <w:t xml:space="preserve">vaistinio </w:t>
      </w:r>
      <w:r w:rsidRPr="00CC52A7">
        <w:rPr>
          <w:rFonts w:ascii="Times New Roman" w:eastAsia="PMingLiU" w:hAnsi="Times New Roman" w:cs="Times New Roman"/>
          <w:lang w:val="lt-LT"/>
        </w:rPr>
        <w:t>preparato koncentracija plazmoje, pavaizduota laiko ir koncentracijos koordinačių sistemoje.</w:t>
      </w:r>
    </w:p>
    <w:p w14:paraId="73A304F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noProof/>
          <w:lang w:val="lt-LT" w:eastAsia="lt-LT"/>
        </w:rPr>
        <w:drawing>
          <wp:anchor distT="188976" distB="180594" distL="272796" distR="198120" simplePos="0" relativeHeight="251659264" behindDoc="0" locked="0" layoutInCell="1" allowOverlap="1" wp14:anchorId="73A30724" wp14:editId="73A30725">
            <wp:simplePos x="0" y="0"/>
            <wp:positionH relativeFrom="column">
              <wp:posOffset>158750</wp:posOffset>
            </wp:positionH>
            <wp:positionV relativeFrom="paragraph">
              <wp:posOffset>258445</wp:posOffset>
            </wp:positionV>
            <wp:extent cx="5205730" cy="2926080"/>
            <wp:effectExtent l="0" t="0" r="0" b="7620"/>
            <wp:wrapTopAndBottom/>
            <wp:docPr id="2" name="Objektas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73A304FD" w14:textId="77777777" w:rsidR="00DC55CF" w:rsidRPr="00CC52A7" w:rsidRDefault="00DC55CF" w:rsidP="00DC55CF">
      <w:pP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5.3</w:t>
      </w:r>
      <w:r w:rsidRPr="00CC52A7">
        <w:rPr>
          <w:rFonts w:ascii="Times New Roman" w:eastAsia="PMingLiU" w:hAnsi="Times New Roman" w:cs="Times New Roman"/>
          <w:b/>
          <w:lang w:val="lt-LT"/>
        </w:rPr>
        <w:tab/>
        <w:t>Ikiklinikinių saugumo tyrimų duomenys</w:t>
      </w:r>
    </w:p>
    <w:p w14:paraId="73A304FE" w14:textId="77777777" w:rsidR="00DC55CF" w:rsidRPr="00CC52A7" w:rsidRDefault="00DC55CF" w:rsidP="00DC55CF">
      <w:pPr>
        <w:keepNext/>
        <w:overflowPunct w:val="0"/>
        <w:autoSpaceDE w:val="0"/>
        <w:autoSpaceDN w:val="0"/>
        <w:adjustRightInd w:val="0"/>
        <w:spacing w:after="0" w:line="240" w:lineRule="auto"/>
        <w:contextualSpacing/>
        <w:jc w:val="both"/>
        <w:textAlignment w:val="baseline"/>
        <w:outlineLvl w:val="0"/>
        <w:rPr>
          <w:rFonts w:ascii="Times New Roman" w:eastAsia="PMingLiU" w:hAnsi="Times New Roman" w:cs="Times New Roman"/>
          <w:i/>
          <w:lang w:val="lt-LT"/>
        </w:rPr>
      </w:pPr>
    </w:p>
    <w:p w14:paraId="73A304FF" w14:textId="77777777" w:rsidR="00DC55CF" w:rsidRPr="00CC52A7" w:rsidRDefault="00DC55CF" w:rsidP="00DC55CF">
      <w:pPr>
        <w:keepNext/>
        <w:overflowPunct w:val="0"/>
        <w:autoSpaceDE w:val="0"/>
        <w:autoSpaceDN w:val="0"/>
        <w:adjustRightInd w:val="0"/>
        <w:spacing w:after="0" w:line="240" w:lineRule="auto"/>
        <w:contextualSpacing/>
        <w:jc w:val="both"/>
        <w:textAlignment w:val="baseline"/>
        <w:outlineLvl w:val="0"/>
        <w:rPr>
          <w:rFonts w:ascii="Times New Roman" w:eastAsia="PMingLiU" w:hAnsi="Times New Roman" w:cs="Times New Roman"/>
          <w:i/>
          <w:lang w:val="lt-LT"/>
        </w:rPr>
      </w:pPr>
      <w:r w:rsidRPr="00CC52A7">
        <w:rPr>
          <w:rFonts w:ascii="Times New Roman" w:eastAsia="PMingLiU" w:hAnsi="Times New Roman" w:cs="Times New Roman"/>
          <w:i/>
          <w:lang w:val="lt-LT"/>
        </w:rPr>
        <w:t>Ūminis toksinis poveikis</w:t>
      </w:r>
    </w:p>
    <w:p w14:paraId="73A3050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Sugirdžius pelėms ir žiurkėms </w:t>
      </w:r>
      <w:r w:rsidR="007C5A3D" w:rsidRPr="00CC52A7">
        <w:rPr>
          <w:rFonts w:ascii="Times New Roman" w:eastAsia="PMingLiU" w:hAnsi="Times New Roman" w:cs="Times New Roman"/>
          <w:lang w:val="lt-LT"/>
        </w:rPr>
        <w:t xml:space="preserve">vaistinio </w:t>
      </w:r>
      <w:r w:rsidRPr="00CC52A7">
        <w:rPr>
          <w:rFonts w:ascii="Times New Roman" w:eastAsia="PMingLiU" w:hAnsi="Times New Roman" w:cs="Times New Roman"/>
          <w:lang w:val="lt-LT"/>
        </w:rPr>
        <w:t>preparato, LD</w:t>
      </w:r>
      <w:r w:rsidRPr="00CC52A7">
        <w:rPr>
          <w:rFonts w:ascii="Times New Roman" w:eastAsia="PMingLiU" w:hAnsi="Times New Roman" w:cs="Times New Roman"/>
          <w:vertAlign w:val="subscript"/>
          <w:lang w:val="lt-LT"/>
        </w:rPr>
        <w:t>50</w:t>
      </w:r>
      <w:r w:rsidRPr="00CC52A7">
        <w:rPr>
          <w:rFonts w:ascii="Times New Roman" w:eastAsia="PMingLiU" w:hAnsi="Times New Roman" w:cs="Times New Roman"/>
          <w:lang w:val="lt-LT"/>
        </w:rPr>
        <w:t xml:space="preserve"> nenustatyta, kadangi dėl fiziologinių ypatybių nebuvo galima sugirdyti didesnių kaip 10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g/kg kūno svorio acikloviro dozių pelėms ir 20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g/kg kūno svorio žiurkėms. Nuo sugirdytos dozės (10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g/kg kūno svorio) pelės ir žiurkės nenudvėsė.</w:t>
      </w:r>
    </w:p>
    <w:p w14:paraId="73A3050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02" w14:textId="77777777" w:rsidR="00DC55CF" w:rsidRPr="00CC52A7" w:rsidRDefault="00DC55CF" w:rsidP="00DC55CF">
      <w:pPr>
        <w:keepNext/>
        <w:overflowPunct w:val="0"/>
        <w:autoSpaceDE w:val="0"/>
        <w:autoSpaceDN w:val="0"/>
        <w:adjustRightInd w:val="0"/>
        <w:spacing w:after="0" w:line="240" w:lineRule="auto"/>
        <w:contextualSpacing/>
        <w:jc w:val="both"/>
        <w:textAlignment w:val="baseline"/>
        <w:outlineLvl w:val="0"/>
        <w:rPr>
          <w:rFonts w:ascii="Times New Roman" w:eastAsia="PMingLiU" w:hAnsi="Times New Roman" w:cs="Times New Roman"/>
          <w:i/>
          <w:lang w:val="lt-LT"/>
        </w:rPr>
      </w:pPr>
      <w:r w:rsidRPr="00CC52A7">
        <w:rPr>
          <w:rFonts w:ascii="Times New Roman" w:eastAsia="PMingLiU" w:hAnsi="Times New Roman" w:cs="Times New Roman"/>
          <w:i/>
          <w:lang w:val="lt-LT"/>
        </w:rPr>
        <w:t>Lėtinis toksinis poveikis</w:t>
      </w:r>
    </w:p>
    <w:p w14:paraId="73A30503"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4</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savaites kasdien pelėms buvo sugirdoma net 450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acikloviro vienam kilogramui kūno svorio. Visos pelės išgyveno, jokių nukrypimų nuo normos nepastebėta.</w:t>
      </w:r>
    </w:p>
    <w:p w14:paraId="73A30504"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Tyrimo, kurio trukmė 12</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mėnesių, metu šunims (skalikams) kasdien buvo sugirdoma po 60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acikloviro vienam kilogramui kūno svorio. Nuo tokios dozės gyvūnai dažniau viduriavo gleivėmis ir vėmė. Keliems šunims ant letenų atsirado pakitimų ir nukrito nagai. Šie pokyčiai nutraukus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 xml:space="preserve">o vartojimą išnyko. Daugiau neįprastų reiškinių nepastebėta. </w:t>
      </w:r>
    </w:p>
    <w:p w14:paraId="73A30505"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755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dienas pelėms ir žiurkėms kasdien sugirdant net 450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acikloviro vienam kilogramui kūno svorio, jokių pokyčių nepastebėta.</w:t>
      </w:r>
    </w:p>
    <w:p w14:paraId="73A30506"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07" w14:textId="77777777" w:rsidR="00DC55CF" w:rsidRPr="00CC52A7" w:rsidRDefault="00DC55CF" w:rsidP="00DC55CF">
      <w:pPr>
        <w:keepNext/>
        <w:overflowPunct w:val="0"/>
        <w:autoSpaceDE w:val="0"/>
        <w:autoSpaceDN w:val="0"/>
        <w:adjustRightInd w:val="0"/>
        <w:spacing w:after="0" w:line="240" w:lineRule="auto"/>
        <w:contextualSpacing/>
        <w:jc w:val="both"/>
        <w:textAlignment w:val="baseline"/>
        <w:outlineLvl w:val="0"/>
        <w:rPr>
          <w:rFonts w:ascii="Times New Roman" w:eastAsia="PMingLiU" w:hAnsi="Times New Roman" w:cs="Times New Roman"/>
          <w:i/>
          <w:lang w:val="lt-LT"/>
        </w:rPr>
      </w:pPr>
      <w:r w:rsidRPr="00CC52A7">
        <w:rPr>
          <w:rFonts w:ascii="Times New Roman" w:eastAsia="PMingLiU" w:hAnsi="Times New Roman" w:cs="Times New Roman"/>
          <w:i/>
          <w:lang w:val="lt-LT"/>
        </w:rPr>
        <w:t xml:space="preserve">Navikų atsiradimą ir mutaciją skatinantis poveikis </w:t>
      </w:r>
    </w:p>
    <w:p w14:paraId="73A30508"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Atlikus </w:t>
      </w:r>
      <w:r w:rsidRPr="00CC52A7">
        <w:rPr>
          <w:rFonts w:ascii="Times New Roman" w:eastAsia="PMingLiU" w:hAnsi="Times New Roman" w:cs="Times New Roman"/>
          <w:i/>
          <w:lang w:val="lt-LT"/>
        </w:rPr>
        <w:t>in vitro S. Typhimurium</w:t>
      </w:r>
      <w:r w:rsidRPr="00CC52A7">
        <w:rPr>
          <w:rFonts w:ascii="Times New Roman" w:eastAsia="PMingLiU" w:hAnsi="Times New Roman" w:cs="Times New Roman"/>
          <w:lang w:val="lt-LT"/>
        </w:rPr>
        <w:t xml:space="preserve"> bakterijų (</w:t>
      </w:r>
      <w:r w:rsidRPr="00CC52A7">
        <w:rPr>
          <w:rFonts w:ascii="Times New Roman" w:eastAsia="PMingLiU" w:hAnsi="Times New Roman" w:cs="Times New Roman"/>
          <w:i/>
          <w:lang w:val="lt-LT"/>
        </w:rPr>
        <w:t>Ames - Test</w:t>
      </w:r>
      <w:r w:rsidRPr="00CC52A7">
        <w:rPr>
          <w:rFonts w:ascii="Times New Roman" w:eastAsia="PMingLiU" w:hAnsi="Times New Roman" w:cs="Times New Roman"/>
          <w:lang w:val="lt-LT"/>
        </w:rPr>
        <w:t xml:space="preserve">), žinduolių CHO ląstelių ir pelių limfomos atsparumo testus (6-tioguaninui, AA, ir ouabainui arba g-strofantinui) bei </w:t>
      </w:r>
      <w:r w:rsidRPr="00CC52A7">
        <w:rPr>
          <w:rFonts w:ascii="Times New Roman" w:eastAsia="PMingLiU" w:hAnsi="Times New Roman" w:cs="Times New Roman"/>
          <w:i/>
          <w:lang w:val="lt-LT"/>
        </w:rPr>
        <w:t>in vivo</w:t>
      </w:r>
      <w:r w:rsidRPr="00CC52A7">
        <w:rPr>
          <w:rFonts w:ascii="Times New Roman" w:eastAsia="PMingLiU" w:hAnsi="Times New Roman" w:cs="Times New Roman"/>
          <w:lang w:val="lt-LT"/>
        </w:rPr>
        <w:t xml:space="preserve"> dominantinį letalumo testą (</w:t>
      </w:r>
      <w:r w:rsidRPr="00CC52A7">
        <w:rPr>
          <w:rFonts w:ascii="Times New Roman" w:eastAsia="PMingLiU" w:hAnsi="Times New Roman" w:cs="Times New Roman"/>
          <w:i/>
          <w:lang w:val="lt-LT"/>
        </w:rPr>
        <w:t>Dominant-Letal-Test</w:t>
      </w:r>
      <w:r w:rsidRPr="00CC52A7">
        <w:rPr>
          <w:rFonts w:ascii="Times New Roman" w:eastAsia="PMingLiU" w:hAnsi="Times New Roman" w:cs="Times New Roman"/>
          <w:lang w:val="lt-LT"/>
        </w:rPr>
        <w:t>) su pelėmis, kurioms į pilvo ertmę buvo suleidžiama 25 arba 50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mg/kg kūno svorio acikloviro ir pacientų, kuriems penkias dienas tris kartus per dieną buvo suleidžiama į veną po 5</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 acikloviro/kg kūno svorio arba kurie penkis kartus per dieną gėrė po 200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mg acikloviro) limfocitais, mutageninio poveikio nepastebėta. Nuo didesnių, beveik toksinių acikloviro dozių, toks poveikis pelių limfomos ląstelėms timidinkinazės </w:t>
      </w:r>
      <w:r w:rsidRPr="00CC52A7">
        <w:rPr>
          <w:rFonts w:ascii="Times New Roman" w:eastAsia="PMingLiU" w:hAnsi="Times New Roman" w:cs="Times New Roman"/>
          <w:lang w:val="lt-LT"/>
        </w:rPr>
        <w:br/>
        <w:t>(TK</w:t>
      </w:r>
      <w:r w:rsidRPr="00CC52A7">
        <w:rPr>
          <w:rFonts w:ascii="Times New Roman" w:eastAsia="PMingLiU" w:hAnsi="Times New Roman" w:cs="Times New Roman"/>
          <w:vertAlign w:val="superscript"/>
          <w:lang w:val="lt-LT"/>
        </w:rPr>
        <w:t>+–</w:t>
      </w:r>
      <w:r w:rsidRPr="00CC52A7">
        <w:rPr>
          <w:rFonts w:ascii="Times New Roman" w:eastAsia="PMingLiU" w:hAnsi="Times New Roman" w:cs="Times New Roman"/>
          <w:lang w:val="lt-LT"/>
        </w:rPr>
        <w:t>)-lokuse pastebėtas. Dėl timidinkinazės (TK</w:t>
      </w:r>
      <w:r w:rsidRPr="00CC52A7">
        <w:rPr>
          <w:rFonts w:ascii="Times New Roman" w:eastAsia="PMingLiU" w:hAnsi="Times New Roman" w:cs="Times New Roman"/>
          <w:vertAlign w:val="superscript"/>
          <w:lang w:val="lt-LT"/>
        </w:rPr>
        <w:t>+–</w:t>
      </w:r>
      <w:r w:rsidRPr="00CC52A7">
        <w:rPr>
          <w:rFonts w:ascii="Times New Roman" w:eastAsia="PMingLiU" w:hAnsi="Times New Roman" w:cs="Times New Roman"/>
          <w:lang w:val="lt-LT"/>
        </w:rPr>
        <w:t>)-lokuso svarbos aktyvuojant aciklovirą ląstelių klonas galėjo pakisti tiek dėl chromosomų pokyčio, tiek dėl ląstelių selekcijos.</w:t>
      </w:r>
    </w:p>
    <w:p w14:paraId="73A30509"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i/>
          <w:lang w:val="lt-LT"/>
        </w:rPr>
        <w:t>In vitro</w:t>
      </w:r>
      <w:r w:rsidRPr="00CC52A7">
        <w:rPr>
          <w:rFonts w:ascii="Times New Roman" w:eastAsia="PMingLiU" w:hAnsi="Times New Roman" w:cs="Times New Roman"/>
          <w:lang w:val="lt-LT"/>
        </w:rPr>
        <w:t xml:space="preserve"> žmogaus limfocitų kultūroje chromosomos pradeda trūkinėti tik nuo didesnės kaip 550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 xml:space="preserve">mol/l acikloviro koncentracijos. </w:t>
      </w:r>
      <w:r w:rsidRPr="00CC52A7">
        <w:rPr>
          <w:rFonts w:ascii="Times New Roman" w:eastAsia="PMingLiU" w:hAnsi="Times New Roman" w:cs="Times New Roman"/>
          <w:i/>
          <w:lang w:val="lt-LT"/>
        </w:rPr>
        <w:t>In vivo</w:t>
      </w:r>
      <w:r w:rsidRPr="00CC52A7">
        <w:rPr>
          <w:rFonts w:ascii="Times New Roman" w:eastAsia="PMingLiU" w:hAnsi="Times New Roman" w:cs="Times New Roman"/>
          <w:lang w:val="lt-LT"/>
        </w:rPr>
        <w:t xml:space="preserve"> nuo 100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 xml:space="preserve">mg/kg kūno svorio acikloviro pastebėti chromosomų trūkinėjimai tik žiurkių patelių kaulų čiulpų ląstelėse. Patinų kaulų čiulpų ląstelėse tokių pakitimų nebuvo. </w:t>
      </w:r>
      <w:r w:rsidR="001B094F">
        <w:rPr>
          <w:rFonts w:ascii="Times New Roman" w:eastAsia="PMingLiU" w:hAnsi="Times New Roman" w:cs="Times New Roman"/>
          <w:lang w:val="lt-LT"/>
        </w:rPr>
        <w:t>Suleidus</w:t>
      </w:r>
      <w:r w:rsidR="001B094F"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kinų žiurkėnui į pilvaplėvės ertmę 100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mg/kg kūno svorio acikloviro, chromosomų pakitimų nepastebėta, o nuo 500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mg/kg kūno svorio tokių atsirado (taip pat galinčių būti nuo didelės bendros intoksikacijos). 50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t>mg/kg kūno svorio acikloviro injekcija į veną nei žiurkėms, nei kinų žiurkėnams chromosomų trūkinėjimo nesukėlė. Tai didžiausia kraujyje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koncentracija (apie 200</w:t>
      </w:r>
      <w:r w:rsidR="009D7277">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kai poveikio chromosomoms nebuvo (</w:t>
      </w:r>
      <w:r w:rsidR="001B094F">
        <w:rPr>
          <w:rFonts w:ascii="Times New Roman" w:eastAsia="PMingLiU" w:hAnsi="Times New Roman" w:cs="Times New Roman"/>
          <w:lang w:val="lt-LT"/>
        </w:rPr>
        <w:t>„</w:t>
      </w:r>
      <w:r w:rsidRPr="00CC52A7">
        <w:rPr>
          <w:rFonts w:ascii="Times New Roman" w:eastAsia="PMingLiU" w:hAnsi="Times New Roman" w:cs="Times New Roman"/>
          <w:i/>
          <w:lang w:val="lt-LT"/>
        </w:rPr>
        <w:t>no-effect-level</w:t>
      </w:r>
      <w:r w:rsidR="001B094F">
        <w:rPr>
          <w:rFonts w:ascii="Times New Roman" w:eastAsia="PMingLiU" w:hAnsi="Times New Roman" w:cs="Times New Roman"/>
          <w:lang w:val="lt-LT"/>
        </w:rPr>
        <w:t>“</w:t>
      </w:r>
      <w:r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br/>
        <w:t xml:space="preserve">Žiurkėms </w:t>
      </w:r>
      <w:r w:rsidR="001B094F">
        <w:rPr>
          <w:rFonts w:ascii="Times New Roman" w:eastAsia="PMingLiU" w:hAnsi="Times New Roman" w:cs="Times New Roman"/>
          <w:lang w:val="lt-LT"/>
        </w:rPr>
        <w:t>suleidus</w:t>
      </w:r>
      <w:r w:rsidR="001B094F"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į veną acikloviro ir nustačius jo koncentraciją lyties liaukose paaiškėjo, kad patelių liaukose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koncentracija sudaro trečdalį, o patinų – tik dešimtadalį didžiausios koncentracijos kraujyje (apie 200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kuri nedaro poveikio chromosomoms (</w:t>
      </w:r>
      <w:r w:rsidR="001B094F">
        <w:rPr>
          <w:rFonts w:ascii="Times New Roman" w:eastAsia="PMingLiU" w:hAnsi="Times New Roman" w:cs="Times New Roman"/>
          <w:lang w:val="lt-LT"/>
        </w:rPr>
        <w:t>„</w:t>
      </w:r>
      <w:r w:rsidRPr="00CC52A7">
        <w:rPr>
          <w:rFonts w:ascii="Times New Roman" w:eastAsia="PMingLiU" w:hAnsi="Times New Roman" w:cs="Times New Roman"/>
          <w:i/>
          <w:lang w:val="lt-LT"/>
        </w:rPr>
        <w:t>no-effect-level</w:t>
      </w:r>
      <w:r w:rsidR="001B094F">
        <w:rPr>
          <w:rFonts w:ascii="Times New Roman" w:eastAsia="PMingLiU" w:hAnsi="Times New Roman" w:cs="Times New Roman"/>
          <w:lang w:val="lt-LT"/>
        </w:rPr>
        <w:t>“</w:t>
      </w:r>
      <w:r w:rsidRPr="00CC52A7">
        <w:rPr>
          <w:rFonts w:ascii="Times New Roman" w:eastAsia="PMingLiU" w:hAnsi="Times New Roman" w:cs="Times New Roman"/>
          <w:lang w:val="lt-LT"/>
        </w:rPr>
        <w:t>). Išsiaiškinus, kokio dydžio dozė gali sukelti mutageninį poveikį, galima tvirtinti, kad geriant penkis kartus per dieną didžiausią rekomenduojamą acikloviro vienkartinę dozę (800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mg), tokia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koncentracija neįmanoma, vadinasi, vaist</w:t>
      </w:r>
      <w:r w:rsidR="004070A0">
        <w:rPr>
          <w:rFonts w:ascii="Times New Roman" w:eastAsia="PMingLiU" w:hAnsi="Times New Roman" w:cs="Times New Roman"/>
          <w:lang w:val="lt-LT"/>
        </w:rPr>
        <w:t>inis preparat</w:t>
      </w:r>
      <w:r w:rsidRPr="00CC52A7">
        <w:rPr>
          <w:rFonts w:ascii="Times New Roman" w:eastAsia="PMingLiU" w:hAnsi="Times New Roman" w:cs="Times New Roman"/>
          <w:lang w:val="lt-LT"/>
        </w:rPr>
        <w:t xml:space="preserve">as nemutageniškas. </w:t>
      </w:r>
    </w:p>
    <w:p w14:paraId="73A3050A"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Atlikus transformacijos testą, gauta duomenų, kad pelių fibroblastus paveikus acikloviru (220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sym w:font="Symbol" w:char="F06D"/>
      </w:r>
      <w:r w:rsidRPr="00CC52A7">
        <w:rPr>
          <w:rFonts w:ascii="Times New Roman" w:eastAsia="PMingLiU" w:hAnsi="Times New Roman" w:cs="Times New Roman"/>
          <w:lang w:val="lt-LT"/>
        </w:rPr>
        <w:t>mol/l), pakito monokloninių ląstelių kultūros augimas (</w:t>
      </w:r>
      <w:r w:rsidRPr="00CC52A7">
        <w:rPr>
          <w:rFonts w:ascii="Times New Roman" w:eastAsia="PMingLiU" w:hAnsi="Times New Roman" w:cs="Times New Roman"/>
          <w:i/>
          <w:lang w:val="lt-LT"/>
        </w:rPr>
        <w:t>Typ lll foci</w:t>
      </w:r>
      <w:r w:rsidRPr="00CC52A7">
        <w:rPr>
          <w:rFonts w:ascii="Times New Roman" w:eastAsia="PMingLiU" w:hAnsi="Times New Roman" w:cs="Times New Roman"/>
          <w:lang w:val="lt-LT"/>
        </w:rPr>
        <w:t>).</w:t>
      </w:r>
    </w:p>
    <w:p w14:paraId="73A3050B"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Ilgalaikių (dvejų metų) tyrimų su žiurkėmis ir pelėmis duomenimis, acikloviras yra nekancerogeniškas.</w:t>
      </w:r>
    </w:p>
    <w:p w14:paraId="73A3050C"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0D" w14:textId="77777777" w:rsidR="00DC55CF" w:rsidRPr="00CC52A7" w:rsidRDefault="00DC55CF" w:rsidP="00DC55CF">
      <w:pPr>
        <w:keepNext/>
        <w:numPr>
          <w:ilvl w:val="12"/>
          <w:numId w:val="0"/>
        </w:numPr>
        <w:overflowPunct w:val="0"/>
        <w:autoSpaceDE w:val="0"/>
        <w:autoSpaceDN w:val="0"/>
        <w:adjustRightInd w:val="0"/>
        <w:spacing w:after="0" w:line="240" w:lineRule="auto"/>
        <w:contextualSpacing/>
        <w:textAlignment w:val="baseline"/>
        <w:outlineLvl w:val="1"/>
        <w:rPr>
          <w:rFonts w:ascii="Times New Roman" w:eastAsia="PMingLiU" w:hAnsi="Times New Roman" w:cs="Times New Roman"/>
          <w:i/>
          <w:iCs/>
          <w:lang w:val="lt-LT"/>
        </w:rPr>
      </w:pPr>
      <w:r w:rsidRPr="00CC52A7">
        <w:rPr>
          <w:rFonts w:ascii="Times New Roman" w:eastAsia="PMingLiU" w:hAnsi="Times New Roman" w:cs="Times New Roman"/>
          <w:i/>
          <w:iCs/>
          <w:lang w:val="lt-LT"/>
        </w:rPr>
        <w:t>Poveikis dauginimuisi</w:t>
      </w:r>
    </w:p>
    <w:p w14:paraId="73A3050E"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2"/>
        <w:rPr>
          <w:rFonts w:ascii="Times New Roman" w:eastAsia="PMingLiU" w:hAnsi="Times New Roman" w:cs="Times New Roman"/>
          <w:i/>
          <w:u w:val="single"/>
          <w:lang w:val="lt-LT"/>
        </w:rPr>
      </w:pPr>
      <w:r w:rsidRPr="00CC52A7">
        <w:rPr>
          <w:rFonts w:ascii="Times New Roman" w:eastAsia="PMingLiU" w:hAnsi="Times New Roman" w:cs="Times New Roman"/>
          <w:i/>
          <w:u w:val="single"/>
          <w:lang w:val="lt-LT"/>
        </w:rPr>
        <w:t>Teratogeninis ir embriotoksinis poveikis</w:t>
      </w:r>
    </w:p>
    <w:p w14:paraId="73A3050F"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Kad būtų galima nustatyti tiek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 xml:space="preserve">o toksinį poveikį patelei, tiek jo įtaką vaisiaus ir naujagimio augimui bei apsigimimui, vaikingoms žiurkių patelėms vaisiaus organų formavimosi periodu, tarp 7 ir 17 arba tarp 6 ir 15 nėštumo dienos, du kartus per dieną po oda buvo </w:t>
      </w:r>
      <w:r w:rsidR="00803957">
        <w:rPr>
          <w:rFonts w:ascii="Times New Roman" w:eastAsia="PMingLiU" w:hAnsi="Times New Roman" w:cs="Times New Roman"/>
          <w:lang w:val="lt-LT"/>
        </w:rPr>
        <w:t>suleidžiama</w:t>
      </w:r>
      <w:r w:rsidR="00803957"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net 25</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 xml:space="preserve">mg/kg kūno svorio acikloviro. Siekiant to paties tikslo, vaisiaus organų formavimosi periodu tarp 6 ir 18 nėštumo dienos, du kartus per dieną, į veną arba po oda buvo </w:t>
      </w:r>
      <w:r w:rsidR="00803957">
        <w:rPr>
          <w:rFonts w:ascii="Times New Roman" w:eastAsia="PMingLiU" w:hAnsi="Times New Roman" w:cs="Times New Roman"/>
          <w:lang w:val="lt-LT"/>
        </w:rPr>
        <w:t>suleidžiama</w:t>
      </w:r>
      <w:r w:rsidR="00803957"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iki 25</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 xml:space="preserve">mg/kg kūno svorio acikloviro vaikingoms triušių patelėms. Atlikus išvardytus tyrimus, nei toksinio poveikio patelės organizmui, nei embriotoksinio ir teratogeninio acikloviro poveikio nepastebėta. </w:t>
      </w:r>
    </w:p>
    <w:p w14:paraId="73A30510"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Vaist</w:t>
      </w:r>
      <w:r w:rsidR="004070A0">
        <w:rPr>
          <w:rFonts w:ascii="Times New Roman" w:eastAsia="PMingLiU" w:hAnsi="Times New Roman" w:cs="Times New Roman"/>
          <w:lang w:val="lt-LT"/>
        </w:rPr>
        <w:t>inį preparat</w:t>
      </w:r>
      <w:r w:rsidRPr="00CC52A7">
        <w:rPr>
          <w:rFonts w:ascii="Times New Roman" w:eastAsia="PMingLiU" w:hAnsi="Times New Roman" w:cs="Times New Roman"/>
          <w:lang w:val="lt-LT"/>
        </w:rPr>
        <w:t xml:space="preserve">ą tiriant toliau, vaikingoms žiurkėms dešimtą vaikingumo dieną (organų formavimosi metu) </w:t>
      </w:r>
      <w:r w:rsidR="00803957">
        <w:rPr>
          <w:rFonts w:ascii="Times New Roman" w:eastAsia="PMingLiU" w:hAnsi="Times New Roman" w:cs="Times New Roman"/>
          <w:lang w:val="lt-LT"/>
        </w:rPr>
        <w:t>suleidus</w:t>
      </w:r>
      <w:r w:rsidR="00803957" w:rsidRP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tris kartus per dieną po 100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mg/kg kūno svorio acikloviro, pastebėta apsigimimų (anoftalmija ir uodegos anomalija). Tokia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dozė patelei sukėlė nefrotoksinį poveikį. Be to, acikloviro koncentracija patelės organizme buvo 48</w:t>
      </w:r>
      <w:r w:rsidR="004070A0">
        <w:rPr>
          <w:rFonts w:ascii="Times New Roman" w:eastAsia="PMingLiU" w:hAnsi="Times New Roman" w:cs="Times New Roman"/>
          <w:lang w:val="lt-LT"/>
        </w:rPr>
        <w:noBreakHyphen/>
      </w:r>
      <w:r w:rsidRPr="00CC52A7">
        <w:rPr>
          <w:rFonts w:ascii="Times New Roman" w:eastAsia="PMingLiU" w:hAnsi="Times New Roman" w:cs="Times New Roman"/>
          <w:lang w:val="lt-LT"/>
        </w:rPr>
        <w:t>58</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kartus, 67</w:t>
      </w:r>
      <w:r w:rsidR="004070A0">
        <w:rPr>
          <w:rFonts w:ascii="Times New Roman" w:eastAsia="PMingLiU" w:hAnsi="Times New Roman" w:cs="Times New Roman"/>
          <w:lang w:val="lt-LT"/>
        </w:rPr>
        <w:noBreakHyphen/>
      </w:r>
      <w:r w:rsidRPr="00CC52A7">
        <w:rPr>
          <w:rFonts w:ascii="Times New Roman" w:eastAsia="PMingLiU" w:hAnsi="Times New Roman" w:cs="Times New Roman"/>
          <w:lang w:val="lt-LT"/>
        </w:rPr>
        <w:t>90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kartų arba 153</w:t>
      </w:r>
      <w:r w:rsidR="004070A0">
        <w:rPr>
          <w:rFonts w:ascii="Times New Roman" w:eastAsia="PMingLiU" w:hAnsi="Times New Roman" w:cs="Times New Roman"/>
          <w:lang w:val="lt-LT"/>
        </w:rPr>
        <w:noBreakHyphen/>
      </w:r>
      <w:r w:rsidRPr="00CC52A7">
        <w:rPr>
          <w:rFonts w:ascii="Times New Roman" w:eastAsia="PMingLiU" w:hAnsi="Times New Roman" w:cs="Times New Roman"/>
          <w:lang w:val="lt-LT"/>
        </w:rPr>
        <w:t>167</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kartus didesnė negu vidutinė pastovi acikloviro koncentracija kraujo plazmoje, geriant šio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o pakartotinai 5</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kartus per dieną kas 4</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val. atitinkamai po 200, 400 arba 800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mg, todėl mutageninio poveikio galimybė žmonėms labai abejotina.</w:t>
      </w:r>
    </w:p>
    <w:p w14:paraId="73A30511" w14:textId="77777777" w:rsidR="00DC55CF" w:rsidRPr="00CC52A7" w:rsidRDefault="00DC55CF" w:rsidP="00DC55CF">
      <w:pPr>
        <w:numPr>
          <w:ilvl w:val="12"/>
          <w:numId w:val="0"/>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1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i/>
          <w:u w:val="single"/>
          <w:lang w:val="lt-LT"/>
        </w:rPr>
        <w:t>Vaisingumas</w:t>
      </w:r>
      <w:r w:rsidRPr="00CC52A7">
        <w:rPr>
          <w:rFonts w:ascii="Times New Roman" w:eastAsia="PMingLiU" w:hAnsi="Times New Roman" w:cs="Times New Roman"/>
          <w:i/>
          <w:lang w:val="lt-LT"/>
        </w:rPr>
        <w:br/>
      </w:r>
      <w:r w:rsidRPr="00CC52A7">
        <w:rPr>
          <w:rFonts w:ascii="Times New Roman" w:eastAsia="PMingLiU" w:hAnsi="Times New Roman" w:cs="Times New Roman"/>
          <w:lang w:val="lt-LT"/>
        </w:rPr>
        <w:t>Dažniausiai laikinas nepageidaujamas poveikis žiurkių ir skalikų spermatogenezei pastebėtas vartojant daug didesnes negu gydymo metu acikloviro dozes.</w:t>
      </w:r>
    </w:p>
    <w:p w14:paraId="73A3051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Ištyrus dvi pelių kartas (joms kasdien buvo sugirdoma acikloviro), nustatyta, kad šis vaist</w:t>
      </w:r>
      <w:r w:rsidR="004070A0">
        <w:rPr>
          <w:rFonts w:ascii="Times New Roman" w:eastAsia="PMingLiU" w:hAnsi="Times New Roman" w:cs="Times New Roman"/>
          <w:lang w:val="lt-LT"/>
        </w:rPr>
        <w:t>inis preparat</w:t>
      </w:r>
      <w:r w:rsidRPr="00CC52A7">
        <w:rPr>
          <w:rFonts w:ascii="Times New Roman" w:eastAsia="PMingLiU" w:hAnsi="Times New Roman" w:cs="Times New Roman"/>
          <w:lang w:val="lt-LT"/>
        </w:rPr>
        <w:t>as jokio poveikio vaisingumui nedaro. Ar acikloviras kenkia moterų vaisingumui, nežinoma.</w:t>
      </w:r>
      <w:r w:rsidRPr="00CC52A7">
        <w:rPr>
          <w:rFonts w:ascii="Times New Roman" w:eastAsia="PMingLiU" w:hAnsi="Times New Roman" w:cs="Times New Roman"/>
          <w:lang w:val="lt-LT"/>
        </w:rPr>
        <w:br/>
        <w:t>Šio vaist</w:t>
      </w:r>
      <w:r w:rsidR="004070A0">
        <w:rPr>
          <w:rFonts w:ascii="Times New Roman" w:eastAsia="PMingLiU" w:hAnsi="Times New Roman" w:cs="Times New Roman"/>
          <w:lang w:val="lt-LT"/>
        </w:rPr>
        <w:t>inio preparat</w:t>
      </w:r>
      <w:r w:rsidRPr="00CC52A7">
        <w:rPr>
          <w:rFonts w:ascii="Times New Roman" w:eastAsia="PMingLiU" w:hAnsi="Times New Roman" w:cs="Times New Roman"/>
          <w:lang w:val="lt-LT"/>
        </w:rPr>
        <w:t xml:space="preserve">o geriančių vyrų spermijų kiekis, morfologija ir judrumas nekinta. </w:t>
      </w:r>
    </w:p>
    <w:p w14:paraId="73A3051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lang w:val="lt-LT"/>
        </w:rPr>
        <w:t xml:space="preserve">Įprastinių ikiklinikinių farmakologinių saugumo, toksinio kartotinių dozių poveikio, genotoksinio bei kancerogeninio poveikio ir toksinio poveikio dauginimosi funkcijai tyrimų duomenimis, specifinio pavojaus žmogui </w:t>
      </w:r>
      <w:r w:rsidR="007C5A3D" w:rsidRPr="00CC52A7">
        <w:rPr>
          <w:rFonts w:ascii="Times New Roman" w:eastAsia="PMingLiU" w:hAnsi="Times New Roman" w:cs="Times New Roman"/>
          <w:lang w:val="lt-LT"/>
        </w:rPr>
        <w:t>vaistini</w:t>
      </w:r>
      <w:r w:rsidR="007C5A3D">
        <w:rPr>
          <w:rFonts w:ascii="Times New Roman" w:eastAsia="PMingLiU" w:hAnsi="Times New Roman" w:cs="Times New Roman"/>
          <w:lang w:val="lt-LT"/>
        </w:rPr>
        <w:t xml:space="preserve">s </w:t>
      </w:r>
      <w:r w:rsidRPr="00CC52A7">
        <w:rPr>
          <w:rFonts w:ascii="Times New Roman" w:eastAsia="PMingLiU" w:hAnsi="Times New Roman" w:cs="Times New Roman"/>
          <w:lang w:val="lt-LT"/>
        </w:rPr>
        <w:t>preparatas nekelia.</w:t>
      </w:r>
    </w:p>
    <w:p w14:paraId="73A3051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1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17" w14:textId="77777777" w:rsidR="00DC55CF" w:rsidRPr="00CC52A7" w:rsidRDefault="00DC55CF" w:rsidP="00DC55CF">
      <w:pP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6.</w:t>
      </w:r>
      <w:r w:rsidRPr="00CC52A7">
        <w:rPr>
          <w:rFonts w:ascii="Times New Roman" w:eastAsia="PMingLiU" w:hAnsi="Times New Roman" w:cs="Times New Roman"/>
          <w:b/>
          <w:lang w:val="lt-LT"/>
        </w:rPr>
        <w:tab/>
        <w:t>FARMACINĖ INFORMACIJA</w:t>
      </w:r>
    </w:p>
    <w:p w14:paraId="73A3051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19" w14:textId="77777777" w:rsidR="00DC55CF" w:rsidRPr="00CC52A7" w:rsidRDefault="00DC55CF" w:rsidP="00DC55CF">
      <w:pP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6.1</w:t>
      </w:r>
      <w:r w:rsidRPr="00CC52A7">
        <w:rPr>
          <w:rFonts w:ascii="Times New Roman" w:eastAsia="PMingLiU" w:hAnsi="Times New Roman" w:cs="Times New Roman"/>
          <w:b/>
          <w:lang w:val="lt-LT"/>
        </w:rPr>
        <w:tab/>
        <w:t>Pagalbinių medžiagų sąrašas</w:t>
      </w:r>
    </w:p>
    <w:p w14:paraId="73A3051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1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Mikrokristalinė celiuliozė</w:t>
      </w:r>
    </w:p>
    <w:p w14:paraId="73A3051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Magnio stearatas</w:t>
      </w:r>
    </w:p>
    <w:p w14:paraId="73A3051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Karboksimetilkrakmolo A natrio druska</w:t>
      </w:r>
    </w:p>
    <w:p w14:paraId="73A3051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Kopovidonas</w:t>
      </w:r>
    </w:p>
    <w:p w14:paraId="73A3051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Koloidinis bevandenis silicio dioksidas</w:t>
      </w:r>
    </w:p>
    <w:p w14:paraId="73A30520"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p>
    <w:p w14:paraId="73A30521" w14:textId="77777777" w:rsidR="00DC55CF" w:rsidRPr="00CC52A7" w:rsidRDefault="00DC55CF" w:rsidP="00DC55CF">
      <w:pPr>
        <w:tabs>
          <w:tab w:val="left" w:pos="567"/>
        </w:tabs>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6.2</w:t>
      </w:r>
      <w:r w:rsidRPr="00CC52A7">
        <w:rPr>
          <w:rFonts w:ascii="Times New Roman" w:eastAsia="PMingLiU" w:hAnsi="Times New Roman" w:cs="Times New Roman"/>
          <w:b/>
          <w:lang w:val="lt-LT"/>
        </w:rPr>
        <w:tab/>
        <w:t>Nesuderinamumas</w:t>
      </w:r>
    </w:p>
    <w:p w14:paraId="73A3052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2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Duomenų nėra.</w:t>
      </w:r>
    </w:p>
    <w:p w14:paraId="73A30524"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p>
    <w:p w14:paraId="73A30525" w14:textId="77777777" w:rsidR="00DC55CF" w:rsidRPr="00CC52A7" w:rsidRDefault="00DC55CF" w:rsidP="00DC55CF">
      <w:pPr>
        <w:tabs>
          <w:tab w:val="left" w:pos="567"/>
        </w:tabs>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6.3</w:t>
      </w:r>
      <w:r w:rsidRPr="00CC52A7">
        <w:rPr>
          <w:rFonts w:ascii="Times New Roman" w:eastAsia="PMingLiU" w:hAnsi="Times New Roman" w:cs="Times New Roman"/>
          <w:b/>
          <w:lang w:val="lt-LT"/>
        </w:rPr>
        <w:tab/>
        <w:t>Tinkamumo laikas</w:t>
      </w:r>
    </w:p>
    <w:p w14:paraId="73A30526" w14:textId="77777777" w:rsidR="00DC55CF" w:rsidRPr="004B69BD"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2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4B69BD">
        <w:rPr>
          <w:rFonts w:ascii="Times New Roman" w:eastAsia="PMingLiU" w:hAnsi="Times New Roman" w:cs="Times New Roman"/>
          <w:lang w:val="lt-LT"/>
        </w:rPr>
        <w:t>3</w:t>
      </w:r>
      <w:r w:rsidRPr="00CC52A7">
        <w:rPr>
          <w:rFonts w:ascii="Times New Roman" w:eastAsia="PMingLiU" w:hAnsi="Times New Roman" w:cs="Times New Roman"/>
          <w:lang w:val="lt-LT"/>
        </w:rPr>
        <w:t xml:space="preserve"> metai.</w:t>
      </w:r>
    </w:p>
    <w:p w14:paraId="73A3052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29" w14:textId="77777777" w:rsidR="00DC55CF" w:rsidRPr="00CC52A7" w:rsidRDefault="00DC55CF" w:rsidP="00DC55CF">
      <w:pP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6.4</w:t>
      </w:r>
      <w:r w:rsidRPr="00CC52A7">
        <w:rPr>
          <w:rFonts w:ascii="Times New Roman" w:eastAsia="PMingLiU" w:hAnsi="Times New Roman" w:cs="Times New Roman"/>
          <w:b/>
          <w:lang w:val="lt-LT"/>
        </w:rPr>
        <w:tab/>
        <w:t>Specialios laikymo sąlygos</w:t>
      </w:r>
    </w:p>
    <w:p w14:paraId="73A3052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2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Šiam vaistiniam preparatui specialių laikymo sąlygų nereikia.</w:t>
      </w:r>
    </w:p>
    <w:p w14:paraId="73A3052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2D" w14:textId="77777777" w:rsidR="00DC55CF" w:rsidRPr="00CC52A7" w:rsidRDefault="00DC55CF" w:rsidP="00DC55CF">
      <w:pP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6.5</w:t>
      </w:r>
      <w:r w:rsidRPr="00CC52A7">
        <w:rPr>
          <w:rFonts w:ascii="Times New Roman" w:eastAsia="PMingLiU" w:hAnsi="Times New Roman" w:cs="Times New Roman"/>
          <w:b/>
          <w:lang w:val="lt-LT"/>
        </w:rPr>
        <w:tab/>
        <w:t>Talpyklės pobūdis ir jos turinys</w:t>
      </w:r>
    </w:p>
    <w:p w14:paraId="73A3052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2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Matinė PVC/Al folijos lizdinė plokštelė.</w:t>
      </w:r>
    </w:p>
    <w:p w14:paraId="73A3053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Kartono dėžutėje yra 35 tablečių. </w:t>
      </w:r>
    </w:p>
    <w:p w14:paraId="73A30531"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p>
    <w:p w14:paraId="73A30532" w14:textId="77777777" w:rsidR="00DC55CF" w:rsidRPr="00CC52A7" w:rsidRDefault="00DC55CF" w:rsidP="00DC55CF">
      <w:pPr>
        <w:tabs>
          <w:tab w:val="left" w:pos="567"/>
        </w:tabs>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6.6</w:t>
      </w:r>
      <w:r w:rsidRPr="00CC52A7">
        <w:rPr>
          <w:rFonts w:ascii="Times New Roman" w:eastAsia="PMingLiU" w:hAnsi="Times New Roman" w:cs="Times New Roman"/>
          <w:b/>
          <w:lang w:val="lt-LT"/>
        </w:rPr>
        <w:tab/>
        <w:t>Specialūs reikalavimai atliekoms tvarkyti</w:t>
      </w:r>
    </w:p>
    <w:p w14:paraId="73A30533"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534"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r w:rsidRPr="00CC52A7">
        <w:rPr>
          <w:rFonts w:ascii="Times New Roman" w:eastAsia="PMingLiU" w:hAnsi="Times New Roman" w:cs="Times New Roman"/>
          <w:lang w:val="lt-LT"/>
        </w:rPr>
        <w:t>Specialių reikalavimų nėra.</w:t>
      </w:r>
    </w:p>
    <w:p w14:paraId="73A30535" w14:textId="77777777" w:rsidR="00DC55CF" w:rsidRPr="00CC52A7" w:rsidRDefault="00DC55CF" w:rsidP="00DC55CF">
      <w:pPr>
        <w:overflowPunct w:val="0"/>
        <w:autoSpaceDE w:val="0"/>
        <w:autoSpaceDN w:val="0"/>
        <w:adjustRightInd w:val="0"/>
        <w:spacing w:after="0" w:line="240" w:lineRule="auto"/>
        <w:ind w:left="360" w:hanging="360"/>
        <w:contextualSpacing/>
        <w:jc w:val="both"/>
        <w:textAlignment w:val="baseline"/>
        <w:rPr>
          <w:rFonts w:ascii="Times New Roman" w:eastAsia="PMingLiU" w:hAnsi="Times New Roman" w:cs="Times New Roman"/>
          <w:b/>
          <w:lang w:val="lt-LT"/>
        </w:rPr>
      </w:pPr>
    </w:p>
    <w:p w14:paraId="73A30536" w14:textId="77777777" w:rsidR="00DC55CF" w:rsidRPr="00CC52A7" w:rsidRDefault="00DC55CF" w:rsidP="00DC55CF">
      <w:pPr>
        <w:overflowPunct w:val="0"/>
        <w:autoSpaceDE w:val="0"/>
        <w:autoSpaceDN w:val="0"/>
        <w:adjustRightInd w:val="0"/>
        <w:spacing w:after="0" w:line="240" w:lineRule="auto"/>
        <w:ind w:left="360" w:hanging="360"/>
        <w:contextualSpacing/>
        <w:jc w:val="both"/>
        <w:textAlignment w:val="baseline"/>
        <w:rPr>
          <w:rFonts w:ascii="Times New Roman" w:eastAsia="PMingLiU" w:hAnsi="Times New Roman" w:cs="Times New Roman"/>
          <w:b/>
          <w:lang w:val="lt-LT"/>
        </w:rPr>
      </w:pPr>
    </w:p>
    <w:p w14:paraId="73A30537" w14:textId="77777777" w:rsidR="00DC55CF" w:rsidRPr="00CC52A7" w:rsidRDefault="00DC55CF" w:rsidP="00DC55CF">
      <w:pPr>
        <w:overflowPunct w:val="0"/>
        <w:autoSpaceDE w:val="0"/>
        <w:autoSpaceDN w:val="0"/>
        <w:adjustRightInd w:val="0"/>
        <w:spacing w:after="0" w:line="240" w:lineRule="auto"/>
        <w:ind w:left="567" w:hanging="567"/>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7.</w:t>
      </w:r>
      <w:r w:rsidRPr="00CC52A7">
        <w:rPr>
          <w:rFonts w:ascii="Times New Roman" w:eastAsia="PMingLiU" w:hAnsi="Times New Roman" w:cs="Times New Roman"/>
          <w:b/>
          <w:lang w:val="lt-LT"/>
        </w:rPr>
        <w:tab/>
        <w:t>REGISTRUOTOJAS</w:t>
      </w:r>
    </w:p>
    <w:p w14:paraId="73A3053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3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Sandoz d.d.</w:t>
      </w:r>
    </w:p>
    <w:p w14:paraId="73A3053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Verovškova 57</w:t>
      </w:r>
    </w:p>
    <w:p w14:paraId="73A3053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1000 Ljubljana</w:t>
      </w:r>
    </w:p>
    <w:p w14:paraId="73A3053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Slovėnija</w:t>
      </w:r>
    </w:p>
    <w:p w14:paraId="73A3053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3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3F"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8.</w:t>
      </w:r>
      <w:r w:rsidRPr="00CC52A7">
        <w:rPr>
          <w:rFonts w:ascii="Times New Roman" w:eastAsia="PMingLiU" w:hAnsi="Times New Roman" w:cs="Times New Roman"/>
          <w:b/>
          <w:lang w:val="lt-LT"/>
        </w:rPr>
        <w:tab/>
        <w:t>REGISTRACIJOS PAŽYMĖJIMO NUMERIS</w:t>
      </w:r>
    </w:p>
    <w:p w14:paraId="73A3054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4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LT/1/97/0324/003</w:t>
      </w:r>
    </w:p>
    <w:p w14:paraId="73A3054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4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44"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9.</w:t>
      </w:r>
      <w:r w:rsidRPr="00CC52A7">
        <w:rPr>
          <w:rFonts w:ascii="Times New Roman" w:eastAsia="PMingLiU" w:hAnsi="Times New Roman" w:cs="Times New Roman"/>
          <w:b/>
          <w:lang w:val="lt-LT"/>
        </w:rPr>
        <w:tab/>
        <w:t>REGISTRAVIMO / PERREGISTRAVIMO DATA</w:t>
      </w:r>
    </w:p>
    <w:p w14:paraId="73A3054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46" w14:textId="77777777" w:rsidR="00DC55CF" w:rsidRPr="00CC52A7" w:rsidRDefault="00DC55CF" w:rsidP="00DC55CF">
      <w:pPr>
        <w:spacing w:after="0" w:line="240" w:lineRule="auto"/>
        <w:contextualSpacing/>
        <w:rPr>
          <w:rFonts w:ascii="Times New Roman" w:eastAsia="PMingLiU" w:hAnsi="Times New Roman" w:cs="Times New Roman"/>
          <w:snapToGrid w:val="0"/>
          <w:lang w:val="lt-LT"/>
        </w:rPr>
      </w:pPr>
      <w:r w:rsidRPr="00CC52A7">
        <w:rPr>
          <w:rFonts w:ascii="Times New Roman" w:eastAsia="PMingLiU" w:hAnsi="Times New Roman" w:cs="Times New Roman"/>
          <w:snapToGrid w:val="0"/>
          <w:lang w:val="lt-LT"/>
        </w:rPr>
        <w:t>Registravimo data 1997</w:t>
      </w:r>
      <w:r w:rsidR="004070A0">
        <w:rPr>
          <w:rFonts w:ascii="Times New Roman" w:eastAsia="PMingLiU" w:hAnsi="Times New Roman" w:cs="Times New Roman"/>
          <w:snapToGrid w:val="0"/>
          <w:lang w:val="lt-LT"/>
        </w:rPr>
        <w:t> </w:t>
      </w:r>
      <w:r w:rsidRPr="00CC52A7">
        <w:rPr>
          <w:rFonts w:ascii="Times New Roman" w:eastAsia="PMingLiU" w:hAnsi="Times New Roman" w:cs="Times New Roman"/>
          <w:snapToGrid w:val="0"/>
          <w:lang w:val="lt-LT"/>
        </w:rPr>
        <w:t>m. gruodžio 22</w:t>
      </w:r>
      <w:r w:rsidR="004070A0">
        <w:rPr>
          <w:rFonts w:ascii="Times New Roman" w:eastAsia="PMingLiU" w:hAnsi="Times New Roman" w:cs="Times New Roman"/>
          <w:snapToGrid w:val="0"/>
          <w:lang w:val="lt-LT"/>
        </w:rPr>
        <w:t> </w:t>
      </w:r>
      <w:r w:rsidRPr="00CC52A7">
        <w:rPr>
          <w:rFonts w:ascii="Times New Roman" w:eastAsia="PMingLiU" w:hAnsi="Times New Roman" w:cs="Times New Roman"/>
          <w:snapToGrid w:val="0"/>
          <w:lang w:val="lt-LT"/>
        </w:rPr>
        <w:t>d.</w:t>
      </w:r>
    </w:p>
    <w:p w14:paraId="73A3054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snapToGrid w:val="0"/>
          <w:lang w:val="lt-LT"/>
        </w:rPr>
        <w:t xml:space="preserve">Paskutinio perregistravimo data </w:t>
      </w:r>
      <w:r w:rsidRPr="00CC52A7">
        <w:rPr>
          <w:rFonts w:ascii="Times New Roman" w:eastAsia="PMingLiU" w:hAnsi="Times New Roman" w:cs="Times New Roman"/>
          <w:lang w:val="lt-LT"/>
        </w:rPr>
        <w:t>2010 m. balandžio 28 d.</w:t>
      </w:r>
    </w:p>
    <w:p w14:paraId="73A3054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4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4A"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10.</w:t>
      </w:r>
      <w:r w:rsidRPr="00CC52A7">
        <w:rPr>
          <w:rFonts w:ascii="Times New Roman" w:eastAsia="PMingLiU" w:hAnsi="Times New Roman" w:cs="Times New Roman"/>
          <w:lang w:val="lt-LT"/>
        </w:rPr>
        <w:tab/>
      </w:r>
      <w:r w:rsidRPr="00CC52A7">
        <w:rPr>
          <w:rFonts w:ascii="Times New Roman" w:eastAsia="PMingLiU" w:hAnsi="Times New Roman" w:cs="Times New Roman"/>
          <w:b/>
          <w:lang w:val="lt-LT"/>
        </w:rPr>
        <w:t>TEKSTO PERŽIŪROS DATA</w:t>
      </w:r>
    </w:p>
    <w:p w14:paraId="73A3054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4C" w14:textId="010FA787" w:rsidR="00DC55CF" w:rsidRPr="00CC52A7" w:rsidRDefault="0084194E" w:rsidP="00DC55CF">
      <w:pPr>
        <w:spacing w:after="0" w:line="240" w:lineRule="auto"/>
        <w:contextualSpacing/>
        <w:rPr>
          <w:rFonts w:ascii="Times New Roman" w:eastAsia="PMingLiU" w:hAnsi="Times New Roman" w:cs="Times New Roman"/>
          <w:lang w:val="lt-LT"/>
        </w:rPr>
      </w:pPr>
      <w:r>
        <w:rPr>
          <w:rFonts w:ascii="Times New Roman" w:eastAsia="PMingLiU" w:hAnsi="Times New Roman" w:cs="Times New Roman"/>
          <w:lang w:val="lt-LT"/>
        </w:rPr>
        <w:t xml:space="preserve">2018 m. liepos </w:t>
      </w:r>
      <w:r w:rsidR="00C01AF9">
        <w:rPr>
          <w:rFonts w:ascii="Times New Roman" w:eastAsia="PMingLiU" w:hAnsi="Times New Roman" w:cs="Times New Roman"/>
          <w:lang w:val="lt-LT"/>
        </w:rPr>
        <w:t>2</w:t>
      </w:r>
      <w:r>
        <w:rPr>
          <w:rFonts w:ascii="Times New Roman" w:eastAsia="PMingLiU" w:hAnsi="Times New Roman" w:cs="Times New Roman"/>
          <w:lang w:val="lt-LT"/>
        </w:rPr>
        <w:t xml:space="preserve"> d.</w:t>
      </w:r>
    </w:p>
    <w:p w14:paraId="73A3054D" w14:textId="77777777" w:rsidR="00DC55CF" w:rsidRPr="00CC52A7" w:rsidRDefault="00DC55CF" w:rsidP="00DC55CF">
      <w:pPr>
        <w:spacing w:after="0" w:line="240" w:lineRule="auto"/>
        <w:contextualSpacing/>
        <w:rPr>
          <w:rFonts w:ascii="Times New Roman" w:eastAsia="PMingLiU" w:hAnsi="Times New Roman" w:cs="Times New Roman"/>
          <w:lang w:val="lt-LT"/>
        </w:rPr>
      </w:pPr>
    </w:p>
    <w:p w14:paraId="73A3054E" w14:textId="77777777" w:rsidR="004070A0" w:rsidRDefault="00DC55CF" w:rsidP="004B69BD">
      <w:pPr>
        <w:spacing w:after="0" w:line="240" w:lineRule="auto"/>
        <w:contextualSpacing/>
        <w:rPr>
          <w:rFonts w:ascii="Times New Roman" w:eastAsia="PMingLiU" w:hAnsi="Times New Roman" w:cs="Times New Roman"/>
          <w:color w:val="0000FF"/>
          <w:u w:val="single"/>
          <w:lang w:val="lt-LT"/>
        </w:rPr>
      </w:pPr>
      <w:r w:rsidRPr="00CC52A7">
        <w:rPr>
          <w:rFonts w:ascii="Times New Roman" w:eastAsia="PMingLiU" w:hAnsi="Times New Roman" w:cs="Times New Roman"/>
          <w:lang w:val="lt-LT"/>
        </w:rPr>
        <w:lastRenderedPageBreak/>
        <w:t>Išsami informacija apie šį vaistinį preparatą pateikiama Valstybinės vaistų kontrolės tarnybos prie Lietuvos Respublikos sveikatos apsaugos ministerijos tinklalapyje</w:t>
      </w:r>
      <w:r w:rsidRPr="00CC52A7">
        <w:rPr>
          <w:rFonts w:ascii="Times New Roman" w:eastAsia="PMingLiU" w:hAnsi="Times New Roman" w:cs="Times New Roman"/>
          <w:i/>
          <w:lang w:val="lt-LT"/>
        </w:rPr>
        <w:t xml:space="preserve"> </w:t>
      </w:r>
      <w:hyperlink r:id="rId15" w:history="1">
        <w:r w:rsidRPr="00CC52A7">
          <w:rPr>
            <w:rFonts w:ascii="Times New Roman" w:eastAsia="PMingLiU" w:hAnsi="Times New Roman" w:cs="Times New Roman"/>
            <w:color w:val="0000FF"/>
            <w:u w:val="single"/>
            <w:lang w:val="lt-LT"/>
          </w:rPr>
          <w:t>http://www.vvkt.lt/</w:t>
        </w:r>
      </w:hyperlink>
      <w:r w:rsidR="004070A0">
        <w:rPr>
          <w:rFonts w:ascii="Times New Roman" w:eastAsia="PMingLiU" w:hAnsi="Times New Roman" w:cs="Times New Roman"/>
          <w:color w:val="0000FF"/>
          <w:u w:val="single"/>
          <w:lang w:val="lt-LT"/>
        </w:rPr>
        <w:br w:type="page"/>
      </w:r>
    </w:p>
    <w:p w14:paraId="73A3054F" w14:textId="77777777" w:rsidR="00DC55CF" w:rsidRPr="00CC52A7" w:rsidRDefault="00DC55CF" w:rsidP="00DC55CF">
      <w:pPr>
        <w:spacing w:after="0" w:line="240" w:lineRule="auto"/>
        <w:contextualSpacing/>
        <w:rPr>
          <w:rFonts w:ascii="Times New Roman" w:eastAsia="PMingLiU" w:hAnsi="Times New Roman" w:cs="Times New Roman"/>
          <w:color w:val="0000FF"/>
          <w:lang w:val="lt-LT"/>
        </w:rPr>
      </w:pPr>
    </w:p>
    <w:p w14:paraId="73A30550" w14:textId="77777777" w:rsidR="00DC55CF" w:rsidRPr="00CC52A7" w:rsidRDefault="00DC55CF" w:rsidP="00DC55CF">
      <w:pPr>
        <w:spacing w:after="0" w:line="240" w:lineRule="auto"/>
        <w:contextualSpacing/>
        <w:rPr>
          <w:rFonts w:ascii="Times New Roman" w:eastAsia="PMingLiU" w:hAnsi="Times New Roman" w:cs="Times New Roman"/>
          <w:lang w:val="lt-LT"/>
        </w:rPr>
      </w:pPr>
    </w:p>
    <w:p w14:paraId="73A30551" w14:textId="77777777" w:rsidR="00DC55CF" w:rsidRPr="00CC52A7" w:rsidRDefault="00DC55CF" w:rsidP="00DC55CF">
      <w:pPr>
        <w:spacing w:after="0" w:line="240" w:lineRule="auto"/>
        <w:contextualSpacing/>
        <w:rPr>
          <w:rFonts w:ascii="Times New Roman" w:eastAsia="PMingLiU" w:hAnsi="Times New Roman" w:cs="Times New Roman"/>
          <w:lang w:val="lt-LT"/>
        </w:rPr>
      </w:pPr>
    </w:p>
    <w:p w14:paraId="73A30552"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3"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4"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5"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6"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7"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8"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9"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A"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B"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C"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D"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E"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5F"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60"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61" w14:textId="77777777" w:rsidR="00DC55CF" w:rsidRPr="00CC52A7" w:rsidRDefault="00DC55CF" w:rsidP="00DC55CF">
      <w:pPr>
        <w:spacing w:after="0" w:line="240" w:lineRule="auto"/>
        <w:ind w:left="993"/>
        <w:contextualSpacing/>
        <w:jc w:val="center"/>
        <w:outlineLvl w:val="0"/>
        <w:rPr>
          <w:rFonts w:ascii="Times New Roman" w:eastAsia="PMingLiU" w:hAnsi="Times New Roman" w:cs="Times New Roman"/>
          <w:b/>
          <w:bCs/>
          <w:kern w:val="28"/>
          <w:lang w:val="lt-LT"/>
        </w:rPr>
      </w:pPr>
    </w:p>
    <w:p w14:paraId="73A30562"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63"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64"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65"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66"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67"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r w:rsidRPr="00CC52A7">
        <w:rPr>
          <w:rFonts w:ascii="Times New Roman" w:eastAsia="PMingLiU" w:hAnsi="Times New Roman" w:cs="Times New Roman"/>
          <w:b/>
          <w:bCs/>
          <w:kern w:val="28"/>
          <w:lang w:val="lt-LT"/>
        </w:rPr>
        <w:t>II PRIEDAS</w:t>
      </w:r>
    </w:p>
    <w:p w14:paraId="73A30568"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69" w14:textId="77777777" w:rsidR="00DC55CF" w:rsidRPr="00CC52A7" w:rsidRDefault="00DC55CF" w:rsidP="00DC55CF">
      <w:pPr>
        <w:overflowPunct w:val="0"/>
        <w:autoSpaceDE w:val="0"/>
        <w:autoSpaceDN w:val="0"/>
        <w:adjustRightInd w:val="0"/>
        <w:spacing w:after="0" w:line="240" w:lineRule="auto"/>
        <w:contextualSpacing/>
        <w:jc w:val="center"/>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REGISTRACIJOS SĄLYGOS</w:t>
      </w:r>
    </w:p>
    <w:p w14:paraId="73A3056A" w14:textId="77777777" w:rsidR="00CC52A7" w:rsidRPr="00CC52A7" w:rsidRDefault="00CC52A7" w:rsidP="00DC55CF">
      <w:pPr>
        <w:overflowPunct w:val="0"/>
        <w:autoSpaceDE w:val="0"/>
        <w:autoSpaceDN w:val="0"/>
        <w:adjustRightInd w:val="0"/>
        <w:spacing w:after="0" w:line="240" w:lineRule="auto"/>
        <w:contextualSpacing/>
        <w:jc w:val="center"/>
        <w:textAlignment w:val="baseline"/>
        <w:rPr>
          <w:rFonts w:ascii="Times New Roman" w:eastAsia="PMingLiU" w:hAnsi="Times New Roman" w:cs="Times New Roman"/>
          <w:b/>
          <w:lang w:val="lt-LT"/>
        </w:rPr>
      </w:pPr>
    </w:p>
    <w:p w14:paraId="73A3056B" w14:textId="77777777" w:rsidR="00DC55CF" w:rsidRPr="00CC52A7" w:rsidRDefault="00DC55CF" w:rsidP="00DC55CF">
      <w:pPr>
        <w:keepNext/>
        <w:overflowPunct w:val="0"/>
        <w:autoSpaceDE w:val="0"/>
        <w:autoSpaceDN w:val="0"/>
        <w:adjustRightInd w:val="0"/>
        <w:spacing w:after="0" w:line="240" w:lineRule="auto"/>
        <w:ind w:left="993"/>
        <w:contextualSpacing/>
        <w:textAlignment w:val="baseline"/>
        <w:outlineLvl w:val="0"/>
        <w:rPr>
          <w:rFonts w:ascii="Times New Roman" w:eastAsia="PMingLiU" w:hAnsi="Times New Roman" w:cs="Times New Roman"/>
          <w:b/>
          <w:iCs/>
          <w:lang w:val="lt-LT"/>
        </w:rPr>
      </w:pPr>
      <w:r w:rsidRPr="00CC52A7">
        <w:rPr>
          <w:rFonts w:ascii="Times New Roman" w:eastAsia="PMingLiU" w:hAnsi="Times New Roman" w:cs="Times New Roman"/>
          <w:b/>
          <w:iCs/>
          <w:lang w:val="lt-LT"/>
        </w:rPr>
        <w:t>A.</w:t>
      </w:r>
      <w:r w:rsidRPr="00CC52A7">
        <w:rPr>
          <w:rFonts w:ascii="Times New Roman" w:eastAsia="PMingLiU" w:hAnsi="Times New Roman" w:cs="Times New Roman"/>
          <w:b/>
          <w:iCs/>
          <w:lang w:val="lt-LT"/>
        </w:rPr>
        <w:tab/>
        <w:t>GAMINTOJAS (-AI), ATSAKINGAS (-I) UŽ SERIJŲ IŠLEIDIMĄ</w:t>
      </w:r>
    </w:p>
    <w:p w14:paraId="73A3056C"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p>
    <w:p w14:paraId="73A3056D" w14:textId="77777777" w:rsidR="00DC55CF" w:rsidRPr="00CC52A7" w:rsidRDefault="00DC55CF" w:rsidP="00DC55CF">
      <w:pPr>
        <w:keepNext/>
        <w:overflowPunct w:val="0"/>
        <w:autoSpaceDE w:val="0"/>
        <w:autoSpaceDN w:val="0"/>
        <w:adjustRightInd w:val="0"/>
        <w:spacing w:after="0" w:line="240" w:lineRule="auto"/>
        <w:ind w:left="993"/>
        <w:contextualSpacing/>
        <w:textAlignment w:val="baseline"/>
        <w:outlineLvl w:val="0"/>
        <w:rPr>
          <w:rFonts w:ascii="Times New Roman" w:eastAsia="PMingLiU" w:hAnsi="Times New Roman" w:cs="Times New Roman"/>
          <w:b/>
          <w:iCs/>
          <w:lang w:val="lt-LT"/>
        </w:rPr>
      </w:pPr>
      <w:r w:rsidRPr="00CC52A7">
        <w:rPr>
          <w:rFonts w:ascii="Times New Roman" w:eastAsia="PMingLiU" w:hAnsi="Times New Roman" w:cs="Times New Roman"/>
          <w:b/>
          <w:iCs/>
          <w:lang w:val="lt-LT"/>
        </w:rPr>
        <w:t>B.</w:t>
      </w:r>
      <w:r w:rsidRPr="00CC52A7">
        <w:rPr>
          <w:rFonts w:ascii="Times New Roman" w:eastAsia="PMingLiU" w:hAnsi="Times New Roman" w:cs="Times New Roman"/>
          <w:b/>
          <w:iCs/>
          <w:lang w:val="lt-LT"/>
        </w:rPr>
        <w:tab/>
        <w:t>TIEKIMO IR VARTOJIMO SĄLYGOS AR APRIBOJIMAI</w:t>
      </w:r>
    </w:p>
    <w:p w14:paraId="73A3056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6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br w:type="page"/>
      </w:r>
    </w:p>
    <w:p w14:paraId="73A30570" w14:textId="77777777" w:rsidR="00DC55CF" w:rsidRPr="00CC52A7" w:rsidRDefault="00DC55CF" w:rsidP="00DC55CF">
      <w:pP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lastRenderedPageBreak/>
        <w:t xml:space="preserve">A. </w:t>
      </w:r>
      <w:r w:rsidRPr="00CC52A7">
        <w:rPr>
          <w:rFonts w:ascii="Times New Roman" w:eastAsia="PMingLiU" w:hAnsi="Times New Roman" w:cs="Times New Roman"/>
          <w:b/>
          <w:lang w:val="lt-LT"/>
        </w:rPr>
        <w:tab/>
        <w:t>GAMINTOJAS (-AI), ATSAKINGAS (-I) UŽ SERIJŲ IŠLEIDIMĄ</w:t>
      </w:r>
    </w:p>
    <w:p w14:paraId="73A3057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7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u w:val="single"/>
          <w:lang w:val="lt-LT"/>
        </w:rPr>
      </w:pPr>
      <w:r w:rsidRPr="00CC52A7">
        <w:rPr>
          <w:rFonts w:ascii="Times New Roman" w:eastAsia="PMingLiU" w:hAnsi="Times New Roman" w:cs="Times New Roman"/>
          <w:u w:val="single"/>
          <w:lang w:val="lt-LT"/>
        </w:rPr>
        <w:t>Gamintojo, atsakingo už serijų išleidimą, pavadinimas ir adresas</w:t>
      </w:r>
    </w:p>
    <w:p w14:paraId="73A3057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7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Salutas Pharma GmbH </w:t>
      </w:r>
    </w:p>
    <w:p w14:paraId="73A3057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Otto-von-Guericke-Alee 1</w:t>
      </w:r>
    </w:p>
    <w:p w14:paraId="73A3057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D-39179 Barleben</w:t>
      </w:r>
    </w:p>
    <w:p w14:paraId="73A3057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Vokietija</w:t>
      </w:r>
    </w:p>
    <w:p w14:paraId="73A3057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7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7A" w14:textId="77777777" w:rsidR="00DC55CF" w:rsidRPr="00CC52A7" w:rsidRDefault="00DC55CF" w:rsidP="00DC55CF">
      <w:pP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B.</w:t>
      </w:r>
      <w:r w:rsidRPr="00CC52A7">
        <w:rPr>
          <w:rFonts w:ascii="Times New Roman" w:eastAsia="PMingLiU" w:hAnsi="Times New Roman" w:cs="Times New Roman"/>
          <w:b/>
          <w:lang w:val="lt-LT"/>
        </w:rPr>
        <w:tab/>
        <w:t>TIEKIMO IR VARTOJIMO SĄLYGOS AR APRIBOJIMAI</w:t>
      </w:r>
    </w:p>
    <w:p w14:paraId="73A3057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7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Receptinis vaistinis preparatas.</w:t>
      </w:r>
    </w:p>
    <w:p w14:paraId="73A3057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7E"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br w:type="page"/>
      </w:r>
    </w:p>
    <w:p w14:paraId="73A3057F"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0"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1"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2"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3"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4"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5"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6"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7"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8"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9"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A"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B"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C"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D"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E"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8F"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90"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91"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92"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93"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94"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95"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r w:rsidRPr="00CC52A7">
        <w:rPr>
          <w:rFonts w:ascii="Times New Roman" w:eastAsia="PMingLiU" w:hAnsi="Times New Roman" w:cs="Times New Roman"/>
          <w:b/>
          <w:bCs/>
          <w:kern w:val="28"/>
          <w:lang w:val="lt-LT"/>
        </w:rPr>
        <w:t>III PRIEDAS</w:t>
      </w:r>
    </w:p>
    <w:p w14:paraId="73A3059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97" w14:textId="77777777" w:rsidR="00DC55CF" w:rsidRPr="00CC52A7" w:rsidRDefault="00DC55CF" w:rsidP="00DC55CF">
      <w:pPr>
        <w:overflowPunct w:val="0"/>
        <w:autoSpaceDE w:val="0"/>
        <w:autoSpaceDN w:val="0"/>
        <w:adjustRightInd w:val="0"/>
        <w:spacing w:after="0" w:line="240" w:lineRule="auto"/>
        <w:contextualSpacing/>
        <w:jc w:val="center"/>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ŽENKLINIMAS IR PAKUOTĖS LAPELIS</w:t>
      </w:r>
    </w:p>
    <w:p w14:paraId="73A30598"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99" w14:textId="77777777" w:rsidR="00DC55CF" w:rsidRPr="00CC52A7" w:rsidRDefault="00DC55CF" w:rsidP="00DC55CF">
      <w:pPr>
        <w:spacing w:after="0" w:line="240" w:lineRule="auto"/>
        <w:contextualSpacing/>
        <w:rPr>
          <w:rFonts w:ascii="Times New Roman" w:eastAsia="PMingLiU" w:hAnsi="Times New Roman" w:cs="Times New Roman"/>
          <w:b/>
          <w:bCs/>
          <w:kern w:val="28"/>
          <w:lang w:val="lt-LT"/>
        </w:rPr>
      </w:pPr>
      <w:r w:rsidRPr="00CC52A7">
        <w:rPr>
          <w:rFonts w:ascii="Times New Roman" w:eastAsia="PMingLiU" w:hAnsi="Times New Roman" w:cs="Times New Roman"/>
          <w:lang w:val="lt-LT"/>
        </w:rPr>
        <w:br w:type="page"/>
      </w:r>
    </w:p>
    <w:p w14:paraId="73A3059A"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9B"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9C"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9D"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9E"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9F"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0"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1"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2"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3"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4"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5"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6"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7"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8"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9"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A"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B"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C"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D"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E"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5AF"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5B0"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r w:rsidRPr="00CC52A7">
        <w:rPr>
          <w:rFonts w:ascii="Times New Roman" w:eastAsia="PMingLiU" w:hAnsi="Times New Roman" w:cs="Times New Roman"/>
          <w:b/>
          <w:bCs/>
          <w:kern w:val="28"/>
          <w:lang w:val="lt-LT"/>
        </w:rPr>
        <w:t>A. ŽENKLINIMAS</w:t>
      </w:r>
    </w:p>
    <w:p w14:paraId="73A305B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B2"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br w:type="page"/>
      </w:r>
    </w:p>
    <w:p w14:paraId="73A305B3"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lastRenderedPageBreak/>
        <w:t xml:space="preserve">INFORMACIJA ANT IŠORINĖS PAKUOTĖS </w:t>
      </w:r>
    </w:p>
    <w:p w14:paraId="73A305B4"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B5"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
          <w:lang w:val="lt-LT"/>
        </w:rPr>
        <w:t>KARTONO DĖŽUTĖ</w:t>
      </w:r>
    </w:p>
    <w:p w14:paraId="73A305B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B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B8"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w:t>
      </w:r>
      <w:r w:rsidRPr="00CC52A7">
        <w:rPr>
          <w:rFonts w:ascii="Times New Roman" w:eastAsia="PMingLiU" w:hAnsi="Times New Roman" w:cs="Times New Roman"/>
          <w:b/>
          <w:lang w:val="lt-LT"/>
        </w:rPr>
        <w:tab/>
        <w:t>VAISTINIO PREPARATO PAVADINIMAS</w:t>
      </w:r>
    </w:p>
    <w:p w14:paraId="73A305B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B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Acic 400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 xml:space="preserve">mg tabletės </w:t>
      </w:r>
    </w:p>
    <w:p w14:paraId="73A305BB" w14:textId="71D5B3D0" w:rsidR="00DC55CF" w:rsidRPr="00CC52A7" w:rsidRDefault="00481A84"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roofErr w:type="spellStart"/>
      <w:r>
        <w:rPr>
          <w:rFonts w:ascii="Times New Roman" w:eastAsia="PMingLiU" w:hAnsi="Times New Roman" w:cs="Times New Roman"/>
          <w:lang w:val="lt-LT"/>
        </w:rPr>
        <w:t>acikloviras</w:t>
      </w:r>
      <w:proofErr w:type="spellEnd"/>
    </w:p>
    <w:p w14:paraId="73A305B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B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lang w:val="lt-LT"/>
        </w:rPr>
        <w:t xml:space="preserve"> </w:t>
      </w:r>
    </w:p>
    <w:p w14:paraId="73A305BE"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2.</w:t>
      </w:r>
      <w:r w:rsidRPr="00CC52A7">
        <w:rPr>
          <w:rFonts w:ascii="Times New Roman" w:eastAsia="PMingLiU" w:hAnsi="Times New Roman" w:cs="Times New Roman"/>
          <w:b/>
          <w:lang w:val="lt-LT"/>
        </w:rPr>
        <w:tab/>
        <w:t xml:space="preserve">VEIKLIOJI MEDŽIAGA IR JOS KIEKIS </w:t>
      </w:r>
    </w:p>
    <w:p w14:paraId="73A305B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C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Vienoje tabletėje yra 400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mg acikloviro.</w:t>
      </w:r>
    </w:p>
    <w:p w14:paraId="73A305C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C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C3"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3.</w:t>
      </w:r>
      <w:r w:rsidRPr="00CC52A7">
        <w:rPr>
          <w:rFonts w:ascii="Times New Roman" w:eastAsia="PMingLiU" w:hAnsi="Times New Roman" w:cs="Times New Roman"/>
          <w:b/>
          <w:lang w:val="lt-LT"/>
        </w:rPr>
        <w:tab/>
        <w:t>PAGALBINIŲ MEDŽIAGŲ SĄRAŠAS</w:t>
      </w:r>
    </w:p>
    <w:p w14:paraId="73A305C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C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C6"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4.</w:t>
      </w:r>
      <w:r w:rsidRPr="00CC52A7">
        <w:rPr>
          <w:rFonts w:ascii="Times New Roman" w:eastAsia="PMingLiU" w:hAnsi="Times New Roman" w:cs="Times New Roman"/>
          <w:b/>
          <w:lang w:val="lt-LT"/>
        </w:rPr>
        <w:tab/>
        <w:t>FARMACINĖ FORMA IR KIEKIS PAKUOTĖJE</w:t>
      </w:r>
    </w:p>
    <w:p w14:paraId="73A305C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highlight w:val="lightGray"/>
          <w:lang w:val="lt-LT"/>
        </w:rPr>
      </w:pPr>
    </w:p>
    <w:p w14:paraId="73A305C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highlight w:val="lightGray"/>
          <w:lang w:val="lt-LT"/>
        </w:rPr>
        <w:t>Tabletė</w:t>
      </w:r>
    </w:p>
    <w:p w14:paraId="73A305C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35 tabletės</w:t>
      </w:r>
    </w:p>
    <w:p w14:paraId="73A305C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C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CC"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5.</w:t>
      </w:r>
      <w:r w:rsidRPr="00CC52A7">
        <w:rPr>
          <w:rFonts w:ascii="Times New Roman" w:eastAsia="PMingLiU" w:hAnsi="Times New Roman" w:cs="Times New Roman"/>
          <w:b/>
          <w:lang w:val="lt-LT"/>
        </w:rPr>
        <w:tab/>
        <w:t>VARTOJIMO METODAS IR BŪDAS</w:t>
      </w:r>
    </w:p>
    <w:p w14:paraId="73A305C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C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Vartoti per burną.</w:t>
      </w:r>
    </w:p>
    <w:p w14:paraId="73A305C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Prieš vartojimą perskaitykite pakuotės lapelį.</w:t>
      </w:r>
    </w:p>
    <w:p w14:paraId="73A305D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D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D2"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6.</w:t>
      </w:r>
      <w:r w:rsidRPr="00CC52A7">
        <w:rPr>
          <w:rFonts w:ascii="Times New Roman" w:eastAsia="PMingLiU" w:hAnsi="Times New Roman" w:cs="Times New Roman"/>
          <w:b/>
          <w:lang w:val="lt-LT"/>
        </w:rPr>
        <w:tab/>
        <w:t>SPECIALUS ĮSPĖJIMAS, KAD VAISTINĮ PREPARATĄ BŪTINA LAIKYTI VAIKAMS NEPASTEBIMOJE IR NEPASIEKIAMOJE VIETOJE</w:t>
      </w:r>
    </w:p>
    <w:p w14:paraId="73A305D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D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Laikyti vaikams nepastebimoje ir nepasiekiamoje vietoje.</w:t>
      </w:r>
    </w:p>
    <w:p w14:paraId="73A305D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D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D7"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7.</w:t>
      </w:r>
      <w:r w:rsidRPr="00CC52A7">
        <w:rPr>
          <w:rFonts w:ascii="Times New Roman" w:eastAsia="PMingLiU" w:hAnsi="Times New Roman" w:cs="Times New Roman"/>
          <w:b/>
          <w:lang w:val="lt-LT"/>
        </w:rPr>
        <w:tab/>
        <w:t>KITAS SPECIALUS ĮSPĖJIMAS (JEI REIKIA)</w:t>
      </w:r>
    </w:p>
    <w:p w14:paraId="73A305D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D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DA"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8.</w:t>
      </w:r>
      <w:r w:rsidRPr="00CC52A7">
        <w:rPr>
          <w:rFonts w:ascii="Times New Roman" w:eastAsia="PMingLiU" w:hAnsi="Times New Roman" w:cs="Times New Roman"/>
          <w:b/>
          <w:lang w:val="lt-LT"/>
        </w:rPr>
        <w:tab/>
        <w:t>TINKAMUMO LAIKAS</w:t>
      </w:r>
    </w:p>
    <w:p w14:paraId="73A305D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D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EXP {mm</w:t>
      </w:r>
      <w:r w:rsidR="004070A0">
        <w:rPr>
          <w:rFonts w:ascii="Times New Roman" w:eastAsia="PMingLiU" w:hAnsi="Times New Roman" w:cs="Times New Roman"/>
          <w:lang w:val="lt-LT"/>
        </w:rPr>
        <w:t xml:space="preserve"> </w:t>
      </w:r>
      <w:r w:rsidRPr="00CC52A7">
        <w:rPr>
          <w:rFonts w:ascii="Times New Roman" w:eastAsia="PMingLiU" w:hAnsi="Times New Roman" w:cs="Times New Roman"/>
          <w:lang w:val="lt-LT"/>
        </w:rPr>
        <w:t>MMMM}</w:t>
      </w:r>
    </w:p>
    <w:p w14:paraId="73A305D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D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DF"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9.</w:t>
      </w:r>
      <w:r w:rsidRPr="00CC52A7">
        <w:rPr>
          <w:rFonts w:ascii="Times New Roman" w:eastAsia="PMingLiU" w:hAnsi="Times New Roman" w:cs="Times New Roman"/>
          <w:b/>
          <w:lang w:val="lt-LT"/>
        </w:rPr>
        <w:tab/>
        <w:t>SPECIALIOS LAIKYMO SĄLYGOS</w:t>
      </w:r>
    </w:p>
    <w:p w14:paraId="73A305E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E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E2"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10.</w:t>
      </w:r>
      <w:r w:rsidRPr="00CC52A7">
        <w:rPr>
          <w:rFonts w:ascii="Times New Roman" w:eastAsia="PMingLiU" w:hAnsi="Times New Roman" w:cs="Times New Roman"/>
          <w:b/>
          <w:lang w:val="lt-LT"/>
        </w:rPr>
        <w:tab/>
        <w:t>SPECIALIOS ATSARGUMO PRIEMONĖS</w:t>
      </w:r>
      <w:r w:rsidRPr="00CC52A7">
        <w:rPr>
          <w:rFonts w:ascii="Times New Roman" w:eastAsia="PMingLiU" w:hAnsi="Times New Roman" w:cs="Times New Roman"/>
          <w:sz w:val="24"/>
          <w:szCs w:val="20"/>
          <w:lang w:val="lt-LT"/>
        </w:rPr>
        <w:t xml:space="preserve"> </w:t>
      </w:r>
      <w:r w:rsidRPr="00CC52A7">
        <w:rPr>
          <w:rFonts w:ascii="Times New Roman" w:eastAsia="PMingLiU" w:hAnsi="Times New Roman" w:cs="Times New Roman"/>
          <w:b/>
          <w:lang w:val="lt-LT"/>
        </w:rPr>
        <w:t>DĖL NESUVARTOTO VAISTINIO PREPARATO AR JO ATLIEKŲ TVARKYMO (JEI REIKIA)</w:t>
      </w:r>
    </w:p>
    <w:p w14:paraId="73A305E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E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E5"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11.</w:t>
      </w:r>
      <w:r w:rsidRPr="00CC52A7">
        <w:rPr>
          <w:rFonts w:ascii="Times New Roman" w:eastAsia="PMingLiU" w:hAnsi="Times New Roman" w:cs="Times New Roman"/>
          <w:b/>
          <w:lang w:val="lt-LT"/>
        </w:rPr>
        <w:tab/>
        <w:t>REGISTRUOTOJO PAVADINIMAS IR ADRESAS</w:t>
      </w:r>
    </w:p>
    <w:p w14:paraId="73A305E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E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lastRenderedPageBreak/>
        <w:t>Sandoz d.d.</w:t>
      </w:r>
    </w:p>
    <w:p w14:paraId="73A305E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Verovškova 57,</w:t>
      </w:r>
    </w:p>
    <w:p w14:paraId="73A305E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1000 Ljubljana,</w:t>
      </w:r>
    </w:p>
    <w:p w14:paraId="73A305E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Slovėnija</w:t>
      </w:r>
    </w:p>
    <w:p w14:paraId="73A305E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E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ED"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12.</w:t>
      </w:r>
      <w:r w:rsidRPr="00CC52A7">
        <w:rPr>
          <w:rFonts w:ascii="Times New Roman" w:eastAsia="PMingLiU" w:hAnsi="Times New Roman" w:cs="Times New Roman"/>
          <w:b/>
          <w:lang w:val="lt-LT"/>
        </w:rPr>
        <w:tab/>
        <w:t>REGISTRACIJOS PAŽYMĖJIMO NUMERIS</w:t>
      </w:r>
    </w:p>
    <w:p w14:paraId="73A305E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E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LT/1/97/0324/003</w:t>
      </w:r>
    </w:p>
    <w:p w14:paraId="73A305F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F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F2"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13.</w:t>
      </w:r>
      <w:r w:rsidRPr="00CC52A7">
        <w:rPr>
          <w:rFonts w:ascii="Times New Roman" w:eastAsia="PMingLiU" w:hAnsi="Times New Roman" w:cs="Times New Roman"/>
          <w:b/>
          <w:lang w:val="lt-LT"/>
        </w:rPr>
        <w:tab/>
        <w:t>SERIJOS NUMERIS</w:t>
      </w:r>
    </w:p>
    <w:p w14:paraId="73A305F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F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Lot {numeris}</w:t>
      </w:r>
    </w:p>
    <w:p w14:paraId="73A305F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F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F7"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14.</w:t>
      </w:r>
      <w:r w:rsidRPr="00CC52A7">
        <w:rPr>
          <w:rFonts w:ascii="Times New Roman" w:eastAsia="PMingLiU" w:hAnsi="Times New Roman" w:cs="Times New Roman"/>
          <w:b/>
          <w:lang w:val="lt-LT"/>
        </w:rPr>
        <w:tab/>
        <w:t>PARDAVIMO (IŠDAVIMO) TVARKA</w:t>
      </w:r>
    </w:p>
    <w:p w14:paraId="73A305F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F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Receptinis vaistas.</w:t>
      </w:r>
    </w:p>
    <w:p w14:paraId="73A305F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F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FC"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15.</w:t>
      </w:r>
      <w:r w:rsidRPr="00CC52A7">
        <w:rPr>
          <w:rFonts w:ascii="Times New Roman" w:eastAsia="PMingLiU" w:hAnsi="Times New Roman" w:cs="Times New Roman"/>
          <w:b/>
          <w:lang w:val="lt-LT"/>
        </w:rPr>
        <w:tab/>
        <w:t>VARTOJIMO INSTRUKCIJA</w:t>
      </w:r>
    </w:p>
    <w:p w14:paraId="73A305F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5F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5FF"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16.</w:t>
      </w:r>
      <w:r w:rsidRPr="00CC52A7">
        <w:rPr>
          <w:rFonts w:ascii="Times New Roman" w:eastAsia="PMingLiU" w:hAnsi="Times New Roman" w:cs="Times New Roman"/>
          <w:b/>
          <w:lang w:val="lt-LT"/>
        </w:rPr>
        <w:tab/>
        <w:t>INFORMACIJA BRAILIO RAŠTU</w:t>
      </w:r>
    </w:p>
    <w:p w14:paraId="73A3060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0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Acic 400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 xml:space="preserve">mg </w:t>
      </w:r>
    </w:p>
    <w:p w14:paraId="73A3060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03" w14:textId="77777777" w:rsidR="00DC55CF" w:rsidRPr="00CC52A7" w:rsidRDefault="00DC55CF" w:rsidP="00DC55CF">
      <w:pPr>
        <w:tabs>
          <w:tab w:val="left" w:pos="567"/>
        </w:tabs>
        <w:spacing w:after="0" w:line="240" w:lineRule="auto"/>
        <w:contextualSpacing/>
        <w:rPr>
          <w:rFonts w:ascii="Times New Roman" w:eastAsia="Times New Roman" w:hAnsi="Times New Roman" w:cs="Times New Roman"/>
          <w:shd w:val="clear" w:color="auto" w:fill="CCCCCC"/>
          <w:lang w:val="lt-LT"/>
        </w:rPr>
      </w:pPr>
    </w:p>
    <w:p w14:paraId="73A30604" w14:textId="77777777" w:rsidR="00DC55CF" w:rsidRPr="00CC52A7" w:rsidRDefault="00DC55CF" w:rsidP="00DC55C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imes New Roman" w:hAnsi="Times New Roman" w:cs="Times New Roman"/>
          <w:i/>
          <w:snapToGrid w:val="0"/>
          <w:szCs w:val="24"/>
          <w:lang w:val="lt-LT"/>
        </w:rPr>
      </w:pPr>
      <w:r w:rsidRPr="00CC52A7">
        <w:rPr>
          <w:rFonts w:ascii="Times New Roman" w:eastAsia="Times New Roman" w:hAnsi="Times New Roman" w:cs="Times New Roman"/>
          <w:b/>
          <w:snapToGrid w:val="0"/>
          <w:szCs w:val="20"/>
          <w:lang w:val="lt-LT"/>
        </w:rPr>
        <w:t>17.</w:t>
      </w:r>
      <w:r w:rsidRPr="00CC52A7">
        <w:rPr>
          <w:rFonts w:ascii="Times New Roman" w:eastAsia="Times New Roman" w:hAnsi="Times New Roman" w:cs="Times New Roman"/>
          <w:b/>
          <w:snapToGrid w:val="0"/>
          <w:szCs w:val="20"/>
          <w:lang w:val="lt-LT"/>
        </w:rPr>
        <w:tab/>
        <w:t>UNIKALUS IDENTIFIKATORIUS – 2D BRŪKŠNINIS KODAS</w:t>
      </w:r>
    </w:p>
    <w:p w14:paraId="73A30605" w14:textId="77777777" w:rsidR="00DC55CF" w:rsidRPr="00CC52A7" w:rsidRDefault="00DC55CF" w:rsidP="00DC55CF">
      <w:pPr>
        <w:tabs>
          <w:tab w:val="left" w:pos="567"/>
        </w:tabs>
        <w:spacing w:after="0" w:line="240" w:lineRule="auto"/>
        <w:contextualSpacing/>
        <w:rPr>
          <w:rFonts w:ascii="Times New Roman" w:eastAsia="Times New Roman" w:hAnsi="Times New Roman" w:cs="Times New Roman"/>
          <w:snapToGrid w:val="0"/>
          <w:szCs w:val="20"/>
          <w:lang w:val="lt-LT"/>
        </w:rPr>
      </w:pPr>
    </w:p>
    <w:p w14:paraId="73A30606" w14:textId="77777777" w:rsidR="00DC55CF" w:rsidRPr="00CC52A7" w:rsidRDefault="00DC55CF" w:rsidP="00DC55CF">
      <w:pPr>
        <w:tabs>
          <w:tab w:val="left" w:pos="567"/>
        </w:tabs>
        <w:spacing w:after="0" w:line="240" w:lineRule="auto"/>
        <w:contextualSpacing/>
        <w:rPr>
          <w:rFonts w:ascii="Times New Roman" w:eastAsia="Times New Roman" w:hAnsi="Times New Roman" w:cs="Times New Roman"/>
          <w:snapToGrid w:val="0"/>
          <w:shd w:val="clear" w:color="auto" w:fill="CCCCCC"/>
          <w:lang w:val="lt-LT"/>
        </w:rPr>
      </w:pPr>
      <w:r w:rsidRPr="00CC52A7">
        <w:rPr>
          <w:rFonts w:ascii="Times New Roman" w:eastAsia="Times New Roman" w:hAnsi="Times New Roman" w:cs="Times New Roman"/>
          <w:snapToGrid w:val="0"/>
          <w:szCs w:val="20"/>
          <w:highlight w:val="lightGray"/>
          <w:lang w:val="lt-LT"/>
        </w:rPr>
        <w:t>2D brūkšninis kodas su nurodytu unikaliu identifikatoriumi.</w:t>
      </w:r>
    </w:p>
    <w:p w14:paraId="73A30607" w14:textId="77777777" w:rsidR="00DC55CF" w:rsidRPr="00CC52A7" w:rsidRDefault="00DC55CF" w:rsidP="00DC55CF">
      <w:pPr>
        <w:tabs>
          <w:tab w:val="left" w:pos="567"/>
        </w:tabs>
        <w:spacing w:after="0" w:line="240" w:lineRule="auto"/>
        <w:contextualSpacing/>
        <w:rPr>
          <w:rFonts w:ascii="Times New Roman" w:eastAsia="Times New Roman" w:hAnsi="Times New Roman" w:cs="Times New Roman"/>
          <w:snapToGrid w:val="0"/>
          <w:szCs w:val="20"/>
          <w:lang w:val="lt-LT"/>
        </w:rPr>
      </w:pPr>
    </w:p>
    <w:p w14:paraId="73A30608" w14:textId="77777777" w:rsidR="00DC55CF" w:rsidRPr="00CC52A7" w:rsidRDefault="00DC55CF" w:rsidP="00DC55CF">
      <w:pPr>
        <w:tabs>
          <w:tab w:val="left" w:pos="567"/>
        </w:tabs>
        <w:spacing w:after="0" w:line="240" w:lineRule="auto"/>
        <w:contextualSpacing/>
        <w:rPr>
          <w:rFonts w:ascii="Times New Roman" w:eastAsia="Times New Roman" w:hAnsi="Times New Roman" w:cs="Times New Roman"/>
          <w:snapToGrid w:val="0"/>
          <w:szCs w:val="20"/>
          <w:lang w:val="lt-LT"/>
        </w:rPr>
      </w:pPr>
    </w:p>
    <w:p w14:paraId="73A30609" w14:textId="77777777" w:rsidR="00DC55CF" w:rsidRPr="00CC52A7" w:rsidRDefault="00DC55CF" w:rsidP="00DC55C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imes New Roman" w:hAnsi="Times New Roman" w:cs="Times New Roman"/>
          <w:i/>
          <w:snapToGrid w:val="0"/>
          <w:szCs w:val="20"/>
          <w:lang w:val="lt-LT"/>
        </w:rPr>
      </w:pPr>
      <w:r w:rsidRPr="00CC52A7">
        <w:rPr>
          <w:rFonts w:ascii="Times New Roman" w:eastAsia="Times New Roman" w:hAnsi="Times New Roman" w:cs="Times New Roman"/>
          <w:b/>
          <w:snapToGrid w:val="0"/>
          <w:szCs w:val="20"/>
          <w:lang w:val="lt-LT"/>
        </w:rPr>
        <w:t>18.</w:t>
      </w:r>
      <w:r w:rsidRPr="00CC52A7">
        <w:rPr>
          <w:rFonts w:ascii="Times New Roman" w:eastAsia="Times New Roman" w:hAnsi="Times New Roman" w:cs="Times New Roman"/>
          <w:b/>
          <w:snapToGrid w:val="0"/>
          <w:szCs w:val="20"/>
          <w:lang w:val="lt-LT"/>
        </w:rPr>
        <w:tab/>
        <w:t>UNIKALUS IDENTIFIKATORIUS – ŽMONĖMS SUPRANTAMI DUOMENYS</w:t>
      </w:r>
    </w:p>
    <w:p w14:paraId="73A3060A" w14:textId="77777777" w:rsidR="00DC55CF" w:rsidRPr="00CC52A7" w:rsidRDefault="00DC55CF" w:rsidP="00DC55CF">
      <w:pPr>
        <w:tabs>
          <w:tab w:val="left" w:pos="567"/>
        </w:tabs>
        <w:spacing w:after="0" w:line="240" w:lineRule="auto"/>
        <w:contextualSpacing/>
        <w:rPr>
          <w:rFonts w:ascii="Times New Roman" w:eastAsia="Times New Roman" w:hAnsi="Times New Roman" w:cs="Times New Roman"/>
          <w:snapToGrid w:val="0"/>
          <w:szCs w:val="20"/>
          <w:lang w:val="lt-LT"/>
        </w:rPr>
      </w:pPr>
    </w:p>
    <w:p w14:paraId="73A3060B" w14:textId="77777777" w:rsidR="00DC55CF" w:rsidRPr="004B69BD" w:rsidRDefault="00DC55CF" w:rsidP="00DC55CF">
      <w:pPr>
        <w:tabs>
          <w:tab w:val="left" w:pos="567"/>
        </w:tabs>
        <w:spacing w:after="0" w:line="240" w:lineRule="auto"/>
        <w:contextualSpacing/>
        <w:rPr>
          <w:rFonts w:ascii="Times New Roman" w:eastAsia="Times New Roman" w:hAnsi="Times New Roman" w:cs="Times New Roman"/>
          <w:snapToGrid w:val="0"/>
          <w:color w:val="008000"/>
          <w:lang w:val="lt-LT"/>
        </w:rPr>
      </w:pPr>
      <w:r w:rsidRPr="004B69BD">
        <w:rPr>
          <w:rFonts w:ascii="Times New Roman" w:eastAsia="Times New Roman" w:hAnsi="Times New Roman" w:cs="Times New Roman"/>
          <w:snapToGrid w:val="0"/>
          <w:szCs w:val="20"/>
          <w:lang w:val="lt-LT"/>
        </w:rPr>
        <w:t>PC: {numeris}</w:t>
      </w:r>
    </w:p>
    <w:p w14:paraId="73A3060C" w14:textId="77777777" w:rsidR="00DC55CF" w:rsidRPr="004B69BD" w:rsidRDefault="00DC55CF" w:rsidP="00DC55CF">
      <w:pPr>
        <w:tabs>
          <w:tab w:val="left" w:pos="567"/>
        </w:tabs>
        <w:spacing w:after="0" w:line="240" w:lineRule="auto"/>
        <w:contextualSpacing/>
        <w:rPr>
          <w:rFonts w:ascii="Times New Roman" w:eastAsia="Times New Roman" w:hAnsi="Times New Roman" w:cs="Times New Roman"/>
          <w:snapToGrid w:val="0"/>
          <w:lang w:val="lt-LT"/>
        </w:rPr>
      </w:pPr>
      <w:r w:rsidRPr="004B69BD">
        <w:rPr>
          <w:rFonts w:ascii="Times New Roman" w:eastAsia="Times New Roman" w:hAnsi="Times New Roman" w:cs="Times New Roman"/>
          <w:snapToGrid w:val="0"/>
          <w:szCs w:val="20"/>
          <w:lang w:val="lt-LT"/>
        </w:rPr>
        <w:t>SN: {numeris}</w:t>
      </w:r>
    </w:p>
    <w:p w14:paraId="73A3060D" w14:textId="77777777" w:rsidR="00DC55CF" w:rsidRPr="004B69BD" w:rsidRDefault="00DC55CF" w:rsidP="00DC55CF">
      <w:pPr>
        <w:tabs>
          <w:tab w:val="left" w:pos="567"/>
        </w:tabs>
        <w:spacing w:after="0" w:line="240" w:lineRule="auto"/>
        <w:contextualSpacing/>
        <w:rPr>
          <w:rFonts w:ascii="Times New Roman" w:eastAsia="Times New Roman" w:hAnsi="Times New Roman" w:cs="Times New Roman"/>
          <w:snapToGrid w:val="0"/>
          <w:lang w:val="lt-LT"/>
        </w:rPr>
      </w:pPr>
      <w:r w:rsidRPr="004B69BD">
        <w:rPr>
          <w:rFonts w:ascii="Times New Roman" w:eastAsia="Times New Roman" w:hAnsi="Times New Roman" w:cs="Times New Roman"/>
          <w:snapToGrid w:val="0"/>
          <w:szCs w:val="20"/>
          <w:highlight w:val="lightGray"/>
          <w:lang w:val="lt-LT"/>
        </w:rPr>
        <w:t>NN: {numeris}</w:t>
      </w:r>
    </w:p>
    <w:p w14:paraId="73A3060E" w14:textId="77777777" w:rsidR="00DC55CF" w:rsidRPr="004B69BD" w:rsidRDefault="00DC55CF" w:rsidP="00DC55CF">
      <w:pPr>
        <w:tabs>
          <w:tab w:val="left" w:pos="567"/>
        </w:tabs>
        <w:spacing w:after="0" w:line="240" w:lineRule="auto"/>
        <w:contextualSpacing/>
        <w:rPr>
          <w:rFonts w:ascii="Times New Roman" w:eastAsia="Times New Roman" w:hAnsi="Times New Roman" w:cs="Times New Roman"/>
          <w:snapToGrid w:val="0"/>
          <w:vanish/>
          <w:lang w:val="lt-LT"/>
        </w:rPr>
      </w:pPr>
    </w:p>
    <w:p w14:paraId="73A3060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br w:type="page"/>
      </w:r>
    </w:p>
    <w:p w14:paraId="73A30610"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lastRenderedPageBreak/>
        <w:t>MINIMALI INFORMACIJA ANT LIZDINIŲ PLOKŠTELIŲ ARBA DVISLUOKSNIŲ JUOSTELIŲ</w:t>
      </w:r>
    </w:p>
    <w:p w14:paraId="73A30611"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12"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LIZDINĖ PLOKŠTELĖ</w:t>
      </w:r>
    </w:p>
    <w:p w14:paraId="73A3061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1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15"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1.</w:t>
      </w:r>
      <w:r w:rsidRPr="00CC52A7">
        <w:rPr>
          <w:rFonts w:ascii="Times New Roman" w:eastAsia="PMingLiU" w:hAnsi="Times New Roman" w:cs="Times New Roman"/>
          <w:b/>
          <w:lang w:val="lt-LT"/>
        </w:rPr>
        <w:tab/>
        <w:t>VAISTINIO PREPARATO PAVADINIMAS</w:t>
      </w:r>
    </w:p>
    <w:p w14:paraId="73A3061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61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Acic 400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 xml:space="preserve">mg tabletės </w:t>
      </w:r>
    </w:p>
    <w:p w14:paraId="73A30618" w14:textId="77110DA9" w:rsidR="00DC55CF" w:rsidRPr="00CC52A7" w:rsidRDefault="00481A84"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roofErr w:type="spellStart"/>
      <w:r>
        <w:rPr>
          <w:rFonts w:ascii="Times New Roman" w:eastAsia="PMingLiU" w:hAnsi="Times New Roman" w:cs="Times New Roman"/>
          <w:lang w:val="lt-LT"/>
        </w:rPr>
        <w:t>acikloviras</w:t>
      </w:r>
      <w:proofErr w:type="spellEnd"/>
    </w:p>
    <w:p w14:paraId="73A3061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1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1B"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2.</w:t>
      </w:r>
      <w:r w:rsidRPr="00CC52A7">
        <w:rPr>
          <w:rFonts w:ascii="Times New Roman" w:eastAsia="PMingLiU" w:hAnsi="Times New Roman" w:cs="Times New Roman"/>
          <w:b/>
          <w:lang w:val="lt-LT"/>
        </w:rPr>
        <w:tab/>
        <w:t xml:space="preserve">REGISTRUOTOJO PAVADINIMAS </w:t>
      </w:r>
    </w:p>
    <w:p w14:paraId="73A3061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1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SANDOZ</w:t>
      </w:r>
    </w:p>
    <w:p w14:paraId="73A3061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1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20"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3.</w:t>
      </w:r>
      <w:r w:rsidRPr="00CC52A7">
        <w:rPr>
          <w:rFonts w:ascii="Times New Roman" w:eastAsia="PMingLiU" w:hAnsi="Times New Roman" w:cs="Times New Roman"/>
          <w:b/>
          <w:lang w:val="lt-LT"/>
        </w:rPr>
        <w:tab/>
        <w:t>TINKAMUMO LAIKAS</w:t>
      </w:r>
    </w:p>
    <w:p w14:paraId="73A3062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62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4B69BD">
        <w:rPr>
          <w:rFonts w:ascii="Times New Roman" w:eastAsia="PMingLiU" w:hAnsi="Times New Roman" w:cs="Times New Roman"/>
          <w:highlight w:val="lightGray"/>
          <w:lang w:val="lt-LT"/>
        </w:rPr>
        <w:t xml:space="preserve">EXP </w:t>
      </w:r>
      <w:r w:rsidRPr="00CC52A7">
        <w:rPr>
          <w:rFonts w:ascii="Times New Roman" w:eastAsia="PMingLiU" w:hAnsi="Times New Roman" w:cs="Times New Roman"/>
          <w:lang w:val="lt-LT"/>
        </w:rPr>
        <w:t>{mm MMMM}</w:t>
      </w:r>
    </w:p>
    <w:p w14:paraId="73A3062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2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25" w14:textId="77777777" w:rsidR="00DC55CF" w:rsidRPr="00CC52A7" w:rsidRDefault="00DC55CF" w:rsidP="00DC55C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40" w:hanging="540"/>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4.</w:t>
      </w:r>
      <w:r w:rsidRPr="00CC52A7">
        <w:rPr>
          <w:rFonts w:ascii="Times New Roman" w:eastAsia="PMingLiU" w:hAnsi="Times New Roman" w:cs="Times New Roman"/>
          <w:b/>
          <w:lang w:val="lt-LT"/>
        </w:rPr>
        <w:tab/>
        <w:t xml:space="preserve">SERIJOS NUMERIS </w:t>
      </w:r>
    </w:p>
    <w:p w14:paraId="73A3062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2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4B69BD">
        <w:rPr>
          <w:rFonts w:ascii="Times New Roman" w:eastAsia="PMingLiU" w:hAnsi="Times New Roman" w:cs="Times New Roman"/>
          <w:highlight w:val="lightGray"/>
          <w:lang w:val="lt-LT"/>
        </w:rPr>
        <w:t xml:space="preserve">Lot </w:t>
      </w:r>
      <w:r w:rsidRPr="00CC52A7">
        <w:rPr>
          <w:rFonts w:ascii="Times New Roman" w:eastAsia="PMingLiU" w:hAnsi="Times New Roman" w:cs="Times New Roman"/>
          <w:lang w:val="lt-LT"/>
        </w:rPr>
        <w:t>{numeris}</w:t>
      </w:r>
    </w:p>
    <w:p w14:paraId="73A3062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29" w14:textId="77777777" w:rsidR="00CC52A7" w:rsidRPr="00CC52A7" w:rsidRDefault="00CC52A7"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2A" w14:textId="77777777" w:rsidR="00DC55CF" w:rsidRPr="00CC52A7" w:rsidRDefault="00DC55CF" w:rsidP="00DC55CF">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5.</w:t>
      </w:r>
      <w:r w:rsidRPr="00CC52A7">
        <w:rPr>
          <w:rFonts w:ascii="Times New Roman" w:eastAsia="PMingLiU" w:hAnsi="Times New Roman" w:cs="Times New Roman"/>
          <w:b/>
          <w:lang w:val="lt-LT"/>
        </w:rPr>
        <w:tab/>
        <w:t>KITA</w:t>
      </w:r>
    </w:p>
    <w:p w14:paraId="73A3062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62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2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br w:type="page"/>
      </w:r>
    </w:p>
    <w:p w14:paraId="73A3062E"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2F"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0"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1"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2"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3"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4"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5"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6"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7"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8"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9"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A"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B"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C"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D"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E"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3F"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40"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41"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42"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43"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p>
    <w:p w14:paraId="73A30644" w14:textId="77777777" w:rsidR="00DC55CF" w:rsidRPr="00CC52A7" w:rsidRDefault="00DC55CF" w:rsidP="00DC55CF">
      <w:pPr>
        <w:spacing w:after="0" w:line="240" w:lineRule="auto"/>
        <w:contextualSpacing/>
        <w:jc w:val="center"/>
        <w:outlineLvl w:val="0"/>
        <w:rPr>
          <w:rFonts w:ascii="Times New Roman" w:eastAsia="PMingLiU" w:hAnsi="Times New Roman" w:cs="Times New Roman"/>
          <w:b/>
          <w:bCs/>
          <w:kern w:val="28"/>
          <w:lang w:val="lt-LT"/>
        </w:rPr>
      </w:pPr>
      <w:r w:rsidRPr="00CC52A7">
        <w:rPr>
          <w:rFonts w:ascii="Times New Roman" w:eastAsia="PMingLiU" w:hAnsi="Times New Roman" w:cs="Times New Roman"/>
          <w:b/>
          <w:bCs/>
          <w:kern w:val="28"/>
          <w:lang w:val="lt-LT"/>
        </w:rPr>
        <w:t>B. PAKUOTĖS LAPELIS</w:t>
      </w:r>
    </w:p>
    <w:p w14:paraId="73A30645"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46" w14:textId="77777777" w:rsidR="00DC55CF" w:rsidRPr="00CC52A7" w:rsidRDefault="00DC55CF" w:rsidP="00DC55CF">
      <w:pPr>
        <w:spacing w:after="0" w:line="240" w:lineRule="auto"/>
        <w:contextualSpacing/>
        <w:outlineLvl w:val="0"/>
        <w:rPr>
          <w:rFonts w:ascii="Times New Roman" w:eastAsia="PMingLiU" w:hAnsi="Times New Roman" w:cs="Times New Roman"/>
          <w:b/>
          <w:bCs/>
          <w:kern w:val="28"/>
          <w:lang w:val="lt-LT"/>
        </w:rPr>
      </w:pPr>
    </w:p>
    <w:p w14:paraId="73A30647" w14:textId="77777777" w:rsidR="00DC55CF" w:rsidRPr="00CC52A7" w:rsidRDefault="00DC55CF" w:rsidP="00DC55CF">
      <w:pPr>
        <w:spacing w:after="0" w:line="240" w:lineRule="auto"/>
        <w:contextualSpacing/>
        <w:rPr>
          <w:rFonts w:ascii="Times New Roman" w:eastAsia="PMingLiU" w:hAnsi="Times New Roman" w:cs="Times New Roman"/>
          <w:b/>
          <w:bCs/>
          <w:kern w:val="28"/>
          <w:lang w:val="lt-LT"/>
        </w:rPr>
      </w:pPr>
      <w:r w:rsidRPr="00CC52A7">
        <w:rPr>
          <w:rFonts w:ascii="Times New Roman" w:eastAsia="PMingLiU" w:hAnsi="Times New Roman" w:cs="Times New Roman"/>
          <w:lang w:val="lt-LT"/>
        </w:rPr>
        <w:br w:type="page"/>
      </w:r>
    </w:p>
    <w:p w14:paraId="73A30648" w14:textId="77777777" w:rsidR="00DC55CF" w:rsidRPr="00CC52A7" w:rsidRDefault="00DC55CF" w:rsidP="00DC55CF">
      <w:pPr>
        <w:keepNext/>
        <w:overflowPunct w:val="0"/>
        <w:autoSpaceDE w:val="0"/>
        <w:autoSpaceDN w:val="0"/>
        <w:adjustRightInd w:val="0"/>
        <w:spacing w:after="0" w:line="240" w:lineRule="auto"/>
        <w:contextualSpacing/>
        <w:jc w:val="center"/>
        <w:textAlignment w:val="baseline"/>
        <w:outlineLvl w:val="0"/>
        <w:rPr>
          <w:rFonts w:ascii="Times New Roman" w:eastAsia="PMingLiU" w:hAnsi="Times New Roman" w:cs="Times New Roman"/>
          <w:b/>
          <w:iCs/>
          <w:lang w:val="lt-LT"/>
        </w:rPr>
      </w:pPr>
      <w:r w:rsidRPr="00CC52A7">
        <w:rPr>
          <w:rFonts w:ascii="Times New Roman" w:eastAsia="PMingLiU" w:hAnsi="Times New Roman" w:cs="Times New Roman"/>
          <w:b/>
          <w:iCs/>
          <w:lang w:val="lt-LT"/>
        </w:rPr>
        <w:lastRenderedPageBreak/>
        <w:t>Pakuotės lapelis:</w:t>
      </w:r>
      <w:r w:rsidRPr="00CC52A7">
        <w:rPr>
          <w:rFonts w:ascii="Times New Roman" w:eastAsia="PMingLiU" w:hAnsi="Times New Roman" w:cs="Times New Roman"/>
          <w:b/>
          <w:bCs/>
          <w:iCs/>
          <w:lang w:val="lt-LT"/>
        </w:rPr>
        <w:t xml:space="preserve"> </w:t>
      </w:r>
      <w:r w:rsidRPr="00CC52A7">
        <w:rPr>
          <w:rFonts w:ascii="Times New Roman" w:eastAsia="PMingLiU" w:hAnsi="Times New Roman" w:cs="Times New Roman"/>
          <w:b/>
          <w:iCs/>
          <w:lang w:val="lt-LT"/>
        </w:rPr>
        <w:t xml:space="preserve">informacija vartotojui </w:t>
      </w:r>
    </w:p>
    <w:p w14:paraId="73A30649" w14:textId="77777777" w:rsidR="00DC55CF" w:rsidRPr="00CC52A7" w:rsidRDefault="00DC55CF" w:rsidP="00DC55CF">
      <w:pPr>
        <w:overflowPunct w:val="0"/>
        <w:autoSpaceDE w:val="0"/>
        <w:autoSpaceDN w:val="0"/>
        <w:adjustRightInd w:val="0"/>
        <w:spacing w:after="0" w:line="240" w:lineRule="auto"/>
        <w:contextualSpacing/>
        <w:jc w:val="center"/>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Acic 400</w:t>
      </w:r>
      <w:r w:rsidR="004070A0">
        <w:rPr>
          <w:rFonts w:ascii="Times New Roman" w:eastAsia="PMingLiU" w:hAnsi="Times New Roman" w:cs="Times New Roman"/>
          <w:b/>
          <w:lang w:val="lt-LT"/>
        </w:rPr>
        <w:t> </w:t>
      </w:r>
      <w:r w:rsidRPr="00CC52A7">
        <w:rPr>
          <w:rFonts w:ascii="Times New Roman" w:eastAsia="PMingLiU" w:hAnsi="Times New Roman" w:cs="Times New Roman"/>
          <w:b/>
          <w:lang w:val="lt-LT"/>
        </w:rPr>
        <w:t>mg tabletės</w:t>
      </w:r>
    </w:p>
    <w:p w14:paraId="73A3064A" w14:textId="77777777" w:rsidR="00DC55CF" w:rsidRPr="00CC52A7" w:rsidRDefault="00DC55CF" w:rsidP="00DC55CF">
      <w:pPr>
        <w:overflowPunct w:val="0"/>
        <w:autoSpaceDE w:val="0"/>
        <w:autoSpaceDN w:val="0"/>
        <w:adjustRightInd w:val="0"/>
        <w:spacing w:after="0" w:line="240" w:lineRule="auto"/>
        <w:contextualSpacing/>
        <w:jc w:val="center"/>
        <w:textAlignment w:val="baseline"/>
        <w:rPr>
          <w:rFonts w:ascii="Times New Roman" w:eastAsia="PMingLiU" w:hAnsi="Times New Roman" w:cs="Times New Roman"/>
          <w:b/>
          <w:lang w:val="lt-LT"/>
        </w:rPr>
      </w:pPr>
    </w:p>
    <w:p w14:paraId="73A3064B" w14:textId="77777777" w:rsidR="00DC55CF" w:rsidRPr="00CC52A7" w:rsidRDefault="00DC55CF" w:rsidP="00DC55CF">
      <w:pPr>
        <w:overflowPunct w:val="0"/>
        <w:autoSpaceDE w:val="0"/>
        <w:autoSpaceDN w:val="0"/>
        <w:adjustRightInd w:val="0"/>
        <w:spacing w:after="0" w:line="240" w:lineRule="auto"/>
        <w:contextualSpacing/>
        <w:jc w:val="center"/>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Acikloviras</w:t>
      </w:r>
    </w:p>
    <w:p w14:paraId="73A3064C" w14:textId="77777777" w:rsidR="00DC55CF" w:rsidRPr="00CC52A7" w:rsidRDefault="00DC55CF" w:rsidP="00DC55CF">
      <w:pPr>
        <w:overflowPunct w:val="0"/>
        <w:autoSpaceDE w:val="0"/>
        <w:autoSpaceDN w:val="0"/>
        <w:adjustRightInd w:val="0"/>
        <w:spacing w:after="0" w:line="240" w:lineRule="auto"/>
        <w:ind w:left="567" w:hanging="567"/>
        <w:contextualSpacing/>
        <w:jc w:val="center"/>
        <w:textAlignment w:val="baseline"/>
        <w:rPr>
          <w:rFonts w:ascii="Times New Roman" w:eastAsia="PMingLiU" w:hAnsi="Times New Roman" w:cs="Times New Roman"/>
          <w:lang w:val="lt-LT"/>
        </w:rPr>
      </w:pPr>
    </w:p>
    <w:p w14:paraId="73A3064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i/>
          <w:lang w:val="lt-LT"/>
        </w:rPr>
      </w:pPr>
      <w:r w:rsidRPr="00CC52A7">
        <w:rPr>
          <w:rFonts w:ascii="Times New Roman" w:eastAsia="PMingLiU" w:hAnsi="Times New Roman" w:cs="Times New Roman"/>
          <w:b/>
          <w:lang w:val="lt-LT"/>
        </w:rPr>
        <w:t>Atidžiai perskaitykite visą šį lapelį, prieš pradėdami vartoti vaistą, nes jame pateikiama Jums svarbi informacija.</w:t>
      </w:r>
    </w:p>
    <w:p w14:paraId="73A3064E" w14:textId="77777777" w:rsidR="00DC55CF" w:rsidRPr="00CC52A7" w:rsidRDefault="00DC55CF" w:rsidP="00DC55CF">
      <w:pPr>
        <w:numPr>
          <w:ilvl w:val="0"/>
          <w:numId w:val="6"/>
        </w:num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Neišmeskite šio lapelio, nes vėl gali prireikti jį perskaityti.</w:t>
      </w:r>
    </w:p>
    <w:p w14:paraId="73A3064F" w14:textId="77777777" w:rsidR="00DC55CF" w:rsidRPr="00CC52A7" w:rsidRDefault="00DC55CF" w:rsidP="00DC55CF">
      <w:pPr>
        <w:numPr>
          <w:ilvl w:val="0"/>
          <w:numId w:val="6"/>
        </w:num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Jeigu kiltų daugiau klausimų, kreipkitės į gydytoją arba vaistininką.</w:t>
      </w:r>
    </w:p>
    <w:p w14:paraId="73A30650" w14:textId="77777777" w:rsidR="00DC55CF" w:rsidRPr="00CC52A7" w:rsidRDefault="00DC55CF" w:rsidP="00DC55CF">
      <w:pPr>
        <w:numPr>
          <w:ilvl w:val="0"/>
          <w:numId w:val="6"/>
        </w:num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Šis vaistas skirtas tik Jums, todėl kitiems žmonėms jo duoti negalima. Vaistas gali jiems pakenkti (net tiems, kurių ligos požymiai yra tokie patys kaip Jūsų).</w:t>
      </w:r>
    </w:p>
    <w:p w14:paraId="73A30651" w14:textId="77777777" w:rsidR="00DC55CF" w:rsidRPr="00CC52A7" w:rsidRDefault="00DC55CF" w:rsidP="00DC55CF">
      <w:pPr>
        <w:numPr>
          <w:ilvl w:val="0"/>
          <w:numId w:val="6"/>
        </w:num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Jeigu pasireiškė šalutinis poveikis (net jeigu jis šiame lapelyje nenurodytas), kreipkitės į gydytoją arba vaistininką. Žr. 4 skyrių.</w:t>
      </w:r>
    </w:p>
    <w:p w14:paraId="73A3065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53"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Apie ką rašoma šiame lapelyje?</w:t>
      </w:r>
    </w:p>
    <w:p w14:paraId="73A30654"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p>
    <w:p w14:paraId="73A30655"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1.</w:t>
      </w:r>
      <w:r w:rsidRPr="00CC52A7">
        <w:rPr>
          <w:rFonts w:ascii="Times New Roman" w:eastAsia="PMingLiU" w:hAnsi="Times New Roman" w:cs="Times New Roman"/>
          <w:lang w:val="lt-LT"/>
        </w:rPr>
        <w:tab/>
        <w:t>Kas yra Acic ir kam jis vartojamas</w:t>
      </w:r>
    </w:p>
    <w:p w14:paraId="73A30656"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2.</w:t>
      </w:r>
      <w:r w:rsidRPr="00CC52A7">
        <w:rPr>
          <w:rFonts w:ascii="Times New Roman" w:eastAsia="PMingLiU" w:hAnsi="Times New Roman" w:cs="Times New Roman"/>
          <w:lang w:val="lt-LT"/>
        </w:rPr>
        <w:tab/>
        <w:t>Kas žinotina prieš vartojant Acic</w:t>
      </w:r>
    </w:p>
    <w:p w14:paraId="73A30657"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3.</w:t>
      </w:r>
      <w:r w:rsidRPr="00CC52A7">
        <w:rPr>
          <w:rFonts w:ascii="Times New Roman" w:eastAsia="PMingLiU" w:hAnsi="Times New Roman" w:cs="Times New Roman"/>
          <w:lang w:val="lt-LT"/>
        </w:rPr>
        <w:tab/>
        <w:t>Kaip vartoti Acic</w:t>
      </w:r>
    </w:p>
    <w:p w14:paraId="73A30658"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4.</w:t>
      </w:r>
      <w:r w:rsidRPr="00CC52A7">
        <w:rPr>
          <w:rFonts w:ascii="Times New Roman" w:eastAsia="PMingLiU" w:hAnsi="Times New Roman" w:cs="Times New Roman"/>
          <w:lang w:val="lt-LT"/>
        </w:rPr>
        <w:tab/>
        <w:t>Galimas šalutinis poveikis</w:t>
      </w:r>
    </w:p>
    <w:p w14:paraId="73A30659"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5.</w:t>
      </w:r>
      <w:r w:rsidRPr="00CC52A7">
        <w:rPr>
          <w:rFonts w:ascii="Times New Roman" w:eastAsia="PMingLiU" w:hAnsi="Times New Roman" w:cs="Times New Roman"/>
          <w:lang w:val="lt-LT"/>
        </w:rPr>
        <w:tab/>
        <w:t xml:space="preserve">Kaip laikyti Acic </w:t>
      </w:r>
    </w:p>
    <w:p w14:paraId="73A3065A"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6.</w:t>
      </w:r>
      <w:r w:rsidRPr="00CC52A7">
        <w:rPr>
          <w:rFonts w:ascii="Times New Roman" w:eastAsia="PMingLiU" w:hAnsi="Times New Roman" w:cs="Times New Roman"/>
          <w:lang w:val="lt-LT"/>
        </w:rPr>
        <w:tab/>
        <w:t>Pakuotės turinys ir kita informacija</w:t>
      </w:r>
    </w:p>
    <w:p w14:paraId="73A3065B"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p>
    <w:p w14:paraId="73A3065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5D" w14:textId="77777777" w:rsidR="00DC55CF" w:rsidRPr="00CC52A7" w:rsidRDefault="00DC55CF" w:rsidP="00DC55CF">
      <w:pPr>
        <w:numPr>
          <w:ilvl w:val="12"/>
          <w:numId w:val="0"/>
        </w:numPr>
        <w:overflowPunct w:val="0"/>
        <w:autoSpaceDE w:val="0"/>
        <w:autoSpaceDN w:val="0"/>
        <w:adjustRightInd w:val="0"/>
        <w:spacing w:after="0" w:line="240" w:lineRule="auto"/>
        <w:ind w:left="567" w:hanging="567"/>
        <w:contextualSpacing/>
        <w:textAlignment w:val="baseline"/>
        <w:outlineLvl w:val="0"/>
        <w:rPr>
          <w:rFonts w:ascii="Times New Roman" w:eastAsia="PMingLiU" w:hAnsi="Times New Roman" w:cs="Times New Roman"/>
          <w:b/>
          <w:caps/>
          <w:lang w:val="lt-LT"/>
        </w:rPr>
      </w:pPr>
      <w:r w:rsidRPr="00CC52A7">
        <w:rPr>
          <w:rFonts w:ascii="Times New Roman" w:eastAsia="PMingLiU" w:hAnsi="Times New Roman" w:cs="Times New Roman"/>
          <w:b/>
          <w:lang w:val="lt-LT"/>
        </w:rPr>
        <w:t>1.</w:t>
      </w:r>
      <w:r w:rsidRPr="00CC52A7">
        <w:rPr>
          <w:rFonts w:ascii="Times New Roman" w:eastAsia="PMingLiU" w:hAnsi="Times New Roman" w:cs="Times New Roman"/>
          <w:b/>
          <w:lang w:val="lt-LT"/>
        </w:rPr>
        <w:tab/>
        <w:t>Kas yra Acic ir kam jis vartojamas</w:t>
      </w:r>
    </w:p>
    <w:p w14:paraId="73A3065E"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bCs/>
          <w:lang w:val="lt-LT"/>
        </w:rPr>
      </w:pPr>
    </w:p>
    <w:p w14:paraId="73A3065F"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Acic veiklioji medžiaga yra acikloviras. Jis priklauso vaistų, kuriais gydomos virusų sukeltos infekcijos, grupei. Šis vaistas sutrukdo herpes viruso susidarymą. </w:t>
      </w:r>
    </w:p>
    <w:p w14:paraId="73A30660"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lang w:val="lt-LT"/>
        </w:rPr>
      </w:pPr>
      <w:r w:rsidRPr="00CC52A7">
        <w:rPr>
          <w:rFonts w:ascii="Times New Roman" w:eastAsia="PMingLiU" w:hAnsi="Times New Roman" w:cs="Times New Roman"/>
          <w:lang w:val="lt-LT"/>
        </w:rPr>
        <w:t>Acic vartojamas:</w:t>
      </w:r>
    </w:p>
    <w:p w14:paraId="73A30661" w14:textId="77777777" w:rsidR="00DC55CF" w:rsidRPr="00CC52A7" w:rsidRDefault="00DC55CF" w:rsidP="00DC55CF">
      <w:pPr>
        <w:numPr>
          <w:ilvl w:val="0"/>
          <w:numId w:val="3"/>
        </w:numPr>
        <w:overflowPunct w:val="0"/>
        <w:autoSpaceDE w:val="0"/>
        <w:autoSpaceDN w:val="0"/>
        <w:adjustRightInd w:val="0"/>
        <w:spacing w:after="0" w:line="240" w:lineRule="auto"/>
        <w:ind w:left="340"/>
        <w:contextualSpacing/>
        <w:textAlignment w:val="baseline"/>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gydyti juostinei pūslelinei</w:t>
      </w:r>
    </w:p>
    <w:p w14:paraId="73A30662" w14:textId="77777777" w:rsidR="00DC55CF" w:rsidRPr="00CC52A7" w:rsidRDefault="00DC55CF" w:rsidP="00DC55CF">
      <w:pPr>
        <w:spacing w:after="0" w:line="240" w:lineRule="auto"/>
        <w:ind w:left="426"/>
        <w:contextualSpacing/>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Šią ligą sukelia juostinės pūslelinės (</w:t>
      </w:r>
      <w:r w:rsidRPr="00CC52A7">
        <w:rPr>
          <w:rFonts w:ascii="Times New Roman" w:eastAsia="PMingLiU" w:hAnsi="Times New Roman" w:cs="Times New Roman"/>
          <w:i/>
          <w:lang w:val="lt-LT" w:eastAsia="lt-LT"/>
        </w:rPr>
        <w:t>Herpes zoster</w:t>
      </w:r>
      <w:r w:rsidRPr="00CC52A7">
        <w:rPr>
          <w:rFonts w:ascii="Times New Roman" w:eastAsia="PMingLiU" w:hAnsi="Times New Roman" w:cs="Times New Roman"/>
          <w:lang w:val="lt-LT" w:eastAsia="lt-LT"/>
        </w:rPr>
        <w:t>) virusas, kuris pažeidžia nervus ir odą.  Šis vaistas sumažina skausmą ir jo trukmę.</w:t>
      </w:r>
    </w:p>
    <w:p w14:paraId="73A30663" w14:textId="77777777" w:rsidR="00DC55CF" w:rsidRPr="00CC52A7" w:rsidRDefault="00DC55CF" w:rsidP="00DC55CF">
      <w:pPr>
        <w:numPr>
          <w:ilvl w:val="0"/>
          <w:numId w:val="3"/>
        </w:numPr>
        <w:overflowPunct w:val="0"/>
        <w:autoSpaceDE w:val="0"/>
        <w:autoSpaceDN w:val="0"/>
        <w:adjustRightInd w:val="0"/>
        <w:spacing w:after="0" w:line="240" w:lineRule="auto"/>
        <w:ind w:left="340"/>
        <w:contextualSpacing/>
        <w:textAlignment w:val="baseline"/>
        <w:rPr>
          <w:rFonts w:ascii="Times New Roman" w:eastAsia="PMingLiU" w:hAnsi="Times New Roman" w:cs="Times New Roman"/>
          <w:lang w:val="lt-LT" w:eastAsia="lt-LT"/>
        </w:rPr>
      </w:pPr>
      <w:r w:rsidRPr="00CC52A7">
        <w:rPr>
          <w:rFonts w:ascii="Times New Roman" w:eastAsia="PMingLiU" w:hAnsi="Times New Roman" w:cs="Times New Roman"/>
          <w:lang w:val="lt-LT" w:eastAsia="lt-LT"/>
        </w:rPr>
        <w:t>siekiant išvengti paprastosios pūslelinės virusų sukeltų ligų žmonėms, kurių imuninė sistema yra nusilpusi ir organizmas negali pats kovoti su infekcija.</w:t>
      </w:r>
      <w:r w:rsidRPr="00CC52A7" w:rsidDel="00F93338">
        <w:rPr>
          <w:rFonts w:ascii="Times New Roman" w:eastAsia="PMingLiU" w:hAnsi="Times New Roman" w:cs="Times New Roman"/>
          <w:lang w:val="lt-LT" w:eastAsia="lt-LT"/>
        </w:rPr>
        <w:t xml:space="preserve"> </w:t>
      </w:r>
    </w:p>
    <w:p w14:paraId="73A30664"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665"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666" w14:textId="77777777" w:rsidR="00DC55CF" w:rsidRPr="00CC52A7" w:rsidRDefault="00DC55CF" w:rsidP="00DC55CF">
      <w:pPr>
        <w:overflowPunct w:val="0"/>
        <w:autoSpaceDE w:val="0"/>
        <w:autoSpaceDN w:val="0"/>
        <w:adjustRightInd w:val="0"/>
        <w:spacing w:after="0" w:line="240" w:lineRule="auto"/>
        <w:ind w:left="567" w:hanging="567"/>
        <w:contextualSpacing/>
        <w:jc w:val="both"/>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2.</w:t>
      </w:r>
      <w:r w:rsidRPr="00CC52A7">
        <w:rPr>
          <w:rFonts w:ascii="Times New Roman" w:eastAsia="PMingLiU" w:hAnsi="Times New Roman" w:cs="Times New Roman"/>
          <w:b/>
          <w:lang w:val="lt-LT"/>
        </w:rPr>
        <w:tab/>
        <w:t>Kas žinotina prieš vartojant Acic</w:t>
      </w:r>
    </w:p>
    <w:p w14:paraId="73A3066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6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Acic vartoti negalima</w:t>
      </w:r>
    </w:p>
    <w:p w14:paraId="73A30669" w14:textId="77777777" w:rsidR="00DC55CF" w:rsidRPr="00CC52A7" w:rsidRDefault="00DC55CF" w:rsidP="00DC55CF">
      <w:pPr>
        <w:tabs>
          <w:tab w:val="left" w:pos="567"/>
        </w:tabs>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i/>
          <w:lang w:val="lt-LT"/>
        </w:rPr>
      </w:pPr>
      <w:r w:rsidRPr="00CC52A7">
        <w:rPr>
          <w:rFonts w:ascii="Times New Roman" w:eastAsia="PMingLiU" w:hAnsi="Times New Roman" w:cs="Times New Roman"/>
          <w:lang w:val="lt-LT"/>
        </w:rPr>
        <w:t>-</w:t>
      </w:r>
      <w:r w:rsidRPr="00CC52A7">
        <w:rPr>
          <w:rFonts w:ascii="Times New Roman" w:eastAsia="PMingLiU" w:hAnsi="Times New Roman" w:cs="Times New Roman"/>
          <w:lang w:val="lt-LT"/>
        </w:rPr>
        <w:tab/>
        <w:t xml:space="preserve">jeigu yra alergija aciklovirui, valaciklovirui arba bet kuriai pagalbinei šio vaisto medžiagai (jos išvardytos 6 skyriuje). </w:t>
      </w:r>
    </w:p>
    <w:p w14:paraId="73A3066A"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i/>
          <w:lang w:val="lt-LT"/>
        </w:rPr>
      </w:pPr>
    </w:p>
    <w:p w14:paraId="73A3066B" w14:textId="77777777" w:rsidR="00DC55CF" w:rsidRPr="00CC52A7" w:rsidRDefault="00DC55CF" w:rsidP="00DC55CF">
      <w:pPr>
        <w:widowControl w:val="0"/>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Įspėjimai ir atsargumo priemonės</w:t>
      </w:r>
    </w:p>
    <w:p w14:paraId="73A3066C" w14:textId="77777777" w:rsidR="00DC55CF" w:rsidRPr="00CC52A7" w:rsidRDefault="00DC55CF" w:rsidP="00DC55CF">
      <w:pPr>
        <w:widowControl w:val="0"/>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Pasitarkite su gydytoju arba vaistininku, prieš pradėdami vartoti Acic. </w:t>
      </w:r>
    </w:p>
    <w:p w14:paraId="73A3066D" w14:textId="77777777" w:rsidR="00DC55CF" w:rsidRPr="00CC52A7" w:rsidRDefault="00DC55CF" w:rsidP="00DC55CF">
      <w:pPr>
        <w:widowControl w:val="0"/>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6E"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 xml:space="preserve">Pasakykite gydytojui, jeigu sergate inkstų liga. Jeigu sergate inkstų liga ir (arba) esate senyvo amžiaus, gydytojas gali Jums skirti mažesnę dozę. </w:t>
      </w:r>
    </w:p>
    <w:p w14:paraId="73A3066F" w14:textId="77777777" w:rsidR="00DC55CF" w:rsidRPr="00CC52A7" w:rsidRDefault="00DC55CF" w:rsidP="00DC55CF">
      <w:pPr>
        <w:spacing w:after="0" w:line="240" w:lineRule="auto"/>
        <w:contextualSpacing/>
        <w:rPr>
          <w:rFonts w:ascii="Times New Roman" w:eastAsia="PMingLiU" w:hAnsi="Times New Roman" w:cs="Times New Roman"/>
          <w:lang w:val="lt-LT"/>
        </w:rPr>
      </w:pPr>
    </w:p>
    <w:p w14:paraId="73A30670"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Ligoniams, kurių imuninė sistema nusilpusi, ilgai arba pakartotinai vartojant Acic, gali išsivystyti virusų atsparumas šiam vaistui.</w:t>
      </w:r>
    </w:p>
    <w:p w14:paraId="73A30671" w14:textId="77777777" w:rsidR="00DC55CF" w:rsidRPr="00CC52A7" w:rsidRDefault="00DC55CF" w:rsidP="00DC55CF">
      <w:pPr>
        <w:spacing w:after="0" w:line="240" w:lineRule="auto"/>
        <w:contextualSpacing/>
        <w:rPr>
          <w:rFonts w:ascii="Times New Roman" w:eastAsia="PMingLiU" w:hAnsi="Times New Roman" w:cs="Times New Roman"/>
          <w:lang w:val="lt-LT"/>
        </w:rPr>
      </w:pPr>
    </w:p>
    <w:p w14:paraId="73A30672"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Vartojant Acic būtina gerti pakankamai skysčių.</w:t>
      </w:r>
    </w:p>
    <w:p w14:paraId="73A30673"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szCs w:val="20"/>
          <w:lang w:val="lt-LT"/>
        </w:rPr>
        <w:t>Vaikams ir paaugliams</w:t>
      </w:r>
      <w:r w:rsidR="00CC52A7">
        <w:rPr>
          <w:rFonts w:ascii="Times New Roman" w:eastAsia="PMingLiU" w:hAnsi="Times New Roman" w:cs="Times New Roman"/>
          <w:szCs w:val="20"/>
          <w:lang w:val="lt-LT"/>
        </w:rPr>
        <w:t xml:space="preserve"> </w:t>
      </w:r>
      <w:r w:rsidR="00CC52A7">
        <w:rPr>
          <w:rFonts w:ascii="Times New Roman" w:eastAsia="PMingLiU" w:hAnsi="Times New Roman" w:cs="Times New Roman"/>
          <w:lang w:val="lt-LT"/>
        </w:rPr>
        <w:t>ž</w:t>
      </w:r>
      <w:r w:rsidRPr="00CC52A7">
        <w:rPr>
          <w:rFonts w:ascii="Times New Roman" w:eastAsia="PMingLiU" w:hAnsi="Times New Roman" w:cs="Times New Roman"/>
          <w:lang w:val="lt-LT"/>
        </w:rPr>
        <w:t>r. 3 sk</w:t>
      </w:r>
      <w:r w:rsidR="004070A0">
        <w:rPr>
          <w:rFonts w:ascii="Times New Roman" w:eastAsia="PMingLiU" w:hAnsi="Times New Roman" w:cs="Times New Roman"/>
          <w:lang w:val="lt-LT"/>
        </w:rPr>
        <w:t>yrių</w:t>
      </w:r>
      <w:r w:rsidRPr="00CC52A7">
        <w:rPr>
          <w:rFonts w:ascii="Times New Roman" w:eastAsia="PMingLiU" w:hAnsi="Times New Roman" w:cs="Times New Roman"/>
          <w:lang w:val="lt-LT"/>
        </w:rPr>
        <w:t>.</w:t>
      </w:r>
    </w:p>
    <w:p w14:paraId="73A30674"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p>
    <w:p w14:paraId="73A30675"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iCs/>
          <w:lang w:val="lt-LT"/>
        </w:rPr>
      </w:pPr>
      <w:r w:rsidRPr="00CC52A7">
        <w:rPr>
          <w:rFonts w:ascii="Times New Roman" w:eastAsia="PMingLiU" w:hAnsi="Times New Roman" w:cs="Times New Roman"/>
          <w:b/>
          <w:lang w:val="lt-LT"/>
        </w:rPr>
        <w:t>Kiti vaistai ir Acic</w:t>
      </w:r>
    </w:p>
    <w:p w14:paraId="73A3067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Jeigu vartojate ar neseniai vartojote kitų vaistų arba dėl to nesate tikri, apie tai pasakykite gydytojui arba vaistininkui.</w:t>
      </w:r>
    </w:p>
    <w:p w14:paraId="73A3067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7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Šie vaistai gali pakeisti Acic veikimą:</w:t>
      </w:r>
    </w:p>
    <w:p w14:paraId="73A30679" w14:textId="77777777" w:rsidR="00DC55CF" w:rsidRPr="00CC52A7" w:rsidRDefault="00DC55CF" w:rsidP="00DC55CF">
      <w:pPr>
        <w:numPr>
          <w:ilvl w:val="0"/>
          <w:numId w:val="8"/>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cimetidinas (vaistas nuo skrandžio negalavimų, susijusių su rūgštimi); </w:t>
      </w:r>
    </w:p>
    <w:p w14:paraId="73A3067A" w14:textId="77777777" w:rsidR="00DC55CF" w:rsidRPr="00CC52A7" w:rsidRDefault="00DC55CF" w:rsidP="00DC55CF">
      <w:pPr>
        <w:numPr>
          <w:ilvl w:val="0"/>
          <w:numId w:val="8"/>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probenecidas (nuo podagros); </w:t>
      </w:r>
    </w:p>
    <w:p w14:paraId="73A3067B" w14:textId="77777777" w:rsidR="00DC55CF" w:rsidRPr="00CC52A7" w:rsidRDefault="00DC55CF" w:rsidP="00DC55CF">
      <w:pPr>
        <w:numPr>
          <w:ilvl w:val="0"/>
          <w:numId w:val="8"/>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teofilinas (nuo astmos ir plaučių ligų);</w:t>
      </w:r>
    </w:p>
    <w:p w14:paraId="73A3067C" w14:textId="77777777" w:rsidR="00DC55CF" w:rsidRPr="00CC52A7" w:rsidRDefault="00DC55CF" w:rsidP="00DC55CF">
      <w:pPr>
        <w:numPr>
          <w:ilvl w:val="0"/>
          <w:numId w:val="8"/>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mikofenolato mofetil</w:t>
      </w:r>
      <w:r w:rsidR="00CC52A7">
        <w:rPr>
          <w:rFonts w:ascii="Times New Roman" w:eastAsia="PMingLiU" w:hAnsi="Times New Roman" w:cs="Times New Roman"/>
          <w:lang w:val="lt-LT"/>
        </w:rPr>
        <w:t>i</w:t>
      </w:r>
      <w:r w:rsidRPr="00CC52A7">
        <w:rPr>
          <w:rFonts w:ascii="Times New Roman" w:eastAsia="PMingLiU" w:hAnsi="Times New Roman" w:cs="Times New Roman"/>
          <w:lang w:val="lt-LT"/>
        </w:rPr>
        <w:t>s (imunitetą slopinantis vaistas, vartojamas išvengti persodinto organo atmetimo).</w:t>
      </w:r>
    </w:p>
    <w:p w14:paraId="73A3067D"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i/>
          <w:lang w:val="lt-LT"/>
        </w:rPr>
      </w:pPr>
    </w:p>
    <w:p w14:paraId="73A3067E"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Nėštumas ir žindymo laikotarpis</w:t>
      </w:r>
    </w:p>
    <w:p w14:paraId="73A3067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Jeigu esate nėščia, žindote kūdikį, manote, kad galbūt esate nėščia, arba planuojate pastoti, tai prieš vartodama šį vaistą, pasitarkite su gydytoju arba vaistininku.</w:t>
      </w:r>
    </w:p>
    <w:p w14:paraId="73A3068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8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Turimi duomenys apie vartojimą nėštumo metu neparodė neigiamo poveikio. Jeigu nėštumo metu būtina vartoti Acic, prieš tai gydytojas turi kruopščiai apsvarstyti naudos ir galimo pavojaus santykį.</w:t>
      </w:r>
    </w:p>
    <w:p w14:paraId="73A3068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68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lang w:val="lt-LT"/>
        </w:rPr>
        <w:t>Aciklovir</w:t>
      </w:r>
      <w:r w:rsidR="00803957">
        <w:rPr>
          <w:rFonts w:ascii="Times New Roman" w:eastAsia="PMingLiU" w:hAnsi="Times New Roman" w:cs="Times New Roman"/>
          <w:lang w:val="lt-LT"/>
        </w:rPr>
        <w:t>as</w:t>
      </w:r>
      <w:r w:rsidRPr="00CC52A7">
        <w:rPr>
          <w:rFonts w:ascii="Times New Roman" w:eastAsia="PMingLiU" w:hAnsi="Times New Roman" w:cs="Times New Roman"/>
          <w:lang w:val="lt-LT"/>
        </w:rPr>
        <w:t>, veiklio</w:t>
      </w:r>
      <w:r w:rsidR="00803957">
        <w:rPr>
          <w:rFonts w:ascii="Times New Roman" w:eastAsia="PMingLiU" w:hAnsi="Times New Roman" w:cs="Times New Roman"/>
          <w:lang w:val="lt-LT"/>
        </w:rPr>
        <w:t>ji</w:t>
      </w:r>
      <w:r w:rsidRPr="00CC52A7">
        <w:rPr>
          <w:rFonts w:ascii="Times New Roman" w:eastAsia="PMingLiU" w:hAnsi="Times New Roman" w:cs="Times New Roman"/>
          <w:lang w:val="lt-LT"/>
        </w:rPr>
        <w:t xml:space="preserve"> Acic medžiag</w:t>
      </w:r>
      <w:r w:rsidR="00803957">
        <w:rPr>
          <w:rFonts w:ascii="Times New Roman" w:eastAsia="PMingLiU" w:hAnsi="Times New Roman" w:cs="Times New Roman"/>
          <w:lang w:val="lt-LT"/>
        </w:rPr>
        <w:t>a</w:t>
      </w:r>
      <w:r w:rsidRPr="00CC52A7">
        <w:rPr>
          <w:rFonts w:ascii="Times New Roman" w:eastAsia="PMingLiU" w:hAnsi="Times New Roman" w:cs="Times New Roman"/>
          <w:lang w:val="lt-LT"/>
        </w:rPr>
        <w:t>, patenka į motinos pieną.</w:t>
      </w:r>
    </w:p>
    <w:p w14:paraId="73A3068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8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Vairavimas ir mechanizmų valdymas</w:t>
      </w:r>
    </w:p>
    <w:p w14:paraId="73A3068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Acic poveikio vairavimui ir gebėjimui valdyti mechanizmus tyrimų neatlikta. Prieš vairuodami arba valdydami mechanizmus įsitikinkite, kad žinote, kaip Jus veikia šis vaistas.</w:t>
      </w:r>
    </w:p>
    <w:p w14:paraId="73A3068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8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89"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u w:val="single"/>
          <w:lang w:val="lt-LT"/>
        </w:rPr>
      </w:pPr>
      <w:r w:rsidRPr="00CC52A7">
        <w:rPr>
          <w:rFonts w:ascii="Times New Roman" w:eastAsia="PMingLiU" w:hAnsi="Times New Roman" w:cs="Times New Roman"/>
          <w:b/>
          <w:lang w:val="lt-LT"/>
        </w:rPr>
        <w:t>3.</w:t>
      </w:r>
      <w:r w:rsidRPr="00CC52A7">
        <w:rPr>
          <w:rFonts w:ascii="Times New Roman" w:eastAsia="PMingLiU" w:hAnsi="Times New Roman" w:cs="Times New Roman"/>
          <w:b/>
          <w:lang w:val="lt-LT"/>
        </w:rPr>
        <w:tab/>
        <w:t>Kaip vartoti Acic</w:t>
      </w:r>
    </w:p>
    <w:p w14:paraId="73A3068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8B"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Visada vartokite šį vaistą tiksliai kaip nurodė gydytojas arba vaistininkas. Jeigu abejojate, kreipkitės į gydytoją arba vaistininką.</w:t>
      </w:r>
    </w:p>
    <w:p w14:paraId="73A3068C"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p>
    <w:p w14:paraId="73A3068D"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i/>
          <w:lang w:val="lt-LT"/>
        </w:rPr>
      </w:pPr>
      <w:r w:rsidRPr="00CC52A7">
        <w:rPr>
          <w:rFonts w:ascii="Times New Roman" w:eastAsia="PMingLiU" w:hAnsi="Times New Roman" w:cs="Times New Roman"/>
          <w:bCs/>
          <w:i/>
          <w:lang w:val="lt-LT"/>
        </w:rPr>
        <w:t>Suaugusiems žmonėms</w:t>
      </w:r>
    </w:p>
    <w:p w14:paraId="73A3068E"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i/>
          <w:iCs/>
          <w:u w:val="single"/>
          <w:lang w:val="lt-LT"/>
        </w:rPr>
      </w:pPr>
      <w:r w:rsidRPr="00CC52A7">
        <w:rPr>
          <w:rFonts w:ascii="Times New Roman" w:eastAsia="PMingLiU" w:hAnsi="Times New Roman" w:cs="Times New Roman"/>
          <w:i/>
          <w:lang w:val="lt-LT"/>
        </w:rPr>
        <w:t>Juostinės pūslelinės gydymas</w:t>
      </w:r>
    </w:p>
    <w:p w14:paraId="73A3068F" w14:textId="77777777" w:rsidR="00DC55CF" w:rsidRPr="00CC52A7" w:rsidRDefault="00DC55CF" w:rsidP="00DC55CF">
      <w:pPr>
        <w:numPr>
          <w:ilvl w:val="0"/>
          <w:numId w:val="11"/>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Vaisto reikia pradėti gerti kiek galima anksčiau, t. y. vos tik atsiradus pirmiesiems odos pažeidimo simptomams. </w:t>
      </w:r>
    </w:p>
    <w:p w14:paraId="73A30690" w14:textId="77777777" w:rsidR="00DC55CF" w:rsidRPr="00CC52A7" w:rsidRDefault="00DC55CF" w:rsidP="00DC55CF">
      <w:pPr>
        <w:numPr>
          <w:ilvl w:val="0"/>
          <w:numId w:val="11"/>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Kad infekcija neišplistų, pūslelių (jos pripildytos skysčio, kuriame yra virusų) negalima liesti. </w:t>
      </w:r>
    </w:p>
    <w:p w14:paraId="73A30691" w14:textId="77777777" w:rsidR="00DC55CF" w:rsidRPr="00CC52A7" w:rsidRDefault="00DC55CF" w:rsidP="00DC55CF">
      <w:pPr>
        <w:numPr>
          <w:ilvl w:val="0"/>
          <w:numId w:val="11"/>
        </w:num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iCs/>
          <w:lang w:val="lt-LT"/>
        </w:rPr>
        <w:t>Įprasta dozė yra 2</w:t>
      </w:r>
      <w:r w:rsidR="004070A0">
        <w:rPr>
          <w:rFonts w:ascii="Times New Roman" w:eastAsia="PMingLiU" w:hAnsi="Times New Roman" w:cs="Times New Roman"/>
          <w:iCs/>
          <w:lang w:val="lt-LT"/>
        </w:rPr>
        <w:t> </w:t>
      </w:r>
      <w:r w:rsidRPr="00CC52A7">
        <w:rPr>
          <w:rFonts w:ascii="Times New Roman" w:eastAsia="PMingLiU" w:hAnsi="Times New Roman" w:cs="Times New Roman"/>
          <w:iCs/>
          <w:lang w:val="lt-LT"/>
        </w:rPr>
        <w:t>tabletės (800</w:t>
      </w:r>
      <w:r w:rsidR="004070A0">
        <w:rPr>
          <w:rFonts w:ascii="Times New Roman" w:eastAsia="PMingLiU" w:hAnsi="Times New Roman" w:cs="Times New Roman"/>
          <w:iCs/>
          <w:lang w:val="lt-LT"/>
        </w:rPr>
        <w:t> </w:t>
      </w:r>
      <w:r w:rsidRPr="00CC52A7">
        <w:rPr>
          <w:rFonts w:ascii="Times New Roman" w:eastAsia="PMingLiU" w:hAnsi="Times New Roman" w:cs="Times New Roman"/>
          <w:iCs/>
          <w:lang w:val="lt-LT"/>
        </w:rPr>
        <w:t xml:space="preserve">mg acikloviro), </w:t>
      </w:r>
      <w:r w:rsidRPr="00CC52A7">
        <w:rPr>
          <w:rFonts w:ascii="Times New Roman" w:eastAsia="PMingLiU" w:hAnsi="Times New Roman" w:cs="Times New Roman"/>
          <w:lang w:val="lt-LT"/>
        </w:rPr>
        <w:t>geriamos 5</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kartus per parą (kas 4</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val</w:t>
      </w:r>
      <w:r w:rsidR="00CC52A7">
        <w:rPr>
          <w:rFonts w:ascii="Times New Roman" w:eastAsia="PMingLiU" w:hAnsi="Times New Roman" w:cs="Times New Roman"/>
          <w:lang w:val="lt-LT"/>
        </w:rPr>
        <w:t>.</w:t>
      </w:r>
      <w:r w:rsidRPr="00CC52A7">
        <w:rPr>
          <w:rFonts w:ascii="Times New Roman" w:eastAsia="PMingLiU" w:hAnsi="Times New Roman" w:cs="Times New Roman"/>
          <w:lang w:val="lt-LT"/>
        </w:rPr>
        <w:t>) 5</w:t>
      </w:r>
      <w:r w:rsidR="004070A0">
        <w:rPr>
          <w:rFonts w:ascii="Times New Roman" w:eastAsia="PMingLiU" w:hAnsi="Times New Roman" w:cs="Times New Roman"/>
          <w:lang w:val="lt-LT"/>
        </w:rPr>
        <w:noBreakHyphen/>
      </w:r>
      <w:r w:rsidRPr="00CC52A7">
        <w:rPr>
          <w:rFonts w:ascii="Times New Roman" w:eastAsia="PMingLiU" w:hAnsi="Times New Roman" w:cs="Times New Roman"/>
          <w:lang w:val="lt-LT"/>
        </w:rPr>
        <w:t>7</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paras.</w:t>
      </w:r>
    </w:p>
    <w:p w14:paraId="73A30692"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693" w14:textId="77777777" w:rsidR="00DC55CF" w:rsidRPr="00CC52A7" w:rsidRDefault="00DC55CF" w:rsidP="00DC55CF">
      <w:pPr>
        <w:spacing w:after="0" w:line="240" w:lineRule="auto"/>
        <w:contextualSpacing/>
        <w:rPr>
          <w:rFonts w:ascii="Times New Roman" w:eastAsia="PMingLiU" w:hAnsi="Times New Roman" w:cs="Times New Roman"/>
          <w:i/>
          <w:lang w:val="lt-LT" w:eastAsia="lt-LT"/>
        </w:rPr>
      </w:pPr>
      <w:r w:rsidRPr="00CC52A7">
        <w:rPr>
          <w:rFonts w:ascii="Times New Roman" w:eastAsia="PMingLiU" w:hAnsi="Times New Roman" w:cs="Times New Roman"/>
          <w:i/>
          <w:lang w:val="lt-LT" w:eastAsia="lt-LT"/>
        </w:rPr>
        <w:t>Siekiant išvengti paprastosios pūslelinės virusų sukeltų ligų žmonėms, kurių imuninė sistema yra nusilpusi</w:t>
      </w:r>
      <w:r w:rsidRPr="00CC52A7" w:rsidDel="00F93338">
        <w:rPr>
          <w:rFonts w:ascii="Times New Roman" w:eastAsia="PMingLiU" w:hAnsi="Times New Roman" w:cs="Times New Roman"/>
          <w:i/>
          <w:lang w:val="lt-LT" w:eastAsia="lt-LT"/>
        </w:rPr>
        <w:t xml:space="preserve"> </w:t>
      </w:r>
    </w:p>
    <w:p w14:paraId="73A30694" w14:textId="77777777" w:rsidR="00DC55CF" w:rsidRPr="00CC52A7" w:rsidRDefault="00DC55CF" w:rsidP="00DC55CF">
      <w:pPr>
        <w:numPr>
          <w:ilvl w:val="0"/>
          <w:numId w:val="12"/>
        </w:numPr>
        <w:overflowPunct w:val="0"/>
        <w:autoSpaceDE w:val="0"/>
        <w:autoSpaceDN w:val="0"/>
        <w:adjustRightInd w:val="0"/>
        <w:spacing w:after="0" w:line="240" w:lineRule="auto"/>
        <w:ind w:left="360"/>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Sunkiems ligoniams (pvz., po organų persodinimo), reikia gerti po 1</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tabletę (400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mg acikloviro) 4</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kartus per parą (kas 6</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val</w:t>
      </w:r>
      <w:r w:rsidR="00CC52A7">
        <w:rPr>
          <w:rFonts w:ascii="Times New Roman" w:eastAsia="PMingLiU" w:hAnsi="Times New Roman" w:cs="Times New Roman"/>
          <w:lang w:val="lt-LT"/>
        </w:rPr>
        <w:t>.</w:t>
      </w:r>
      <w:r w:rsidRPr="00CC52A7">
        <w:rPr>
          <w:rFonts w:ascii="Times New Roman" w:eastAsia="PMingLiU" w:hAnsi="Times New Roman" w:cs="Times New Roman"/>
          <w:lang w:val="lt-LT"/>
        </w:rPr>
        <w:t xml:space="preserve">). </w:t>
      </w:r>
    </w:p>
    <w:p w14:paraId="73A30695" w14:textId="77777777" w:rsidR="00DC55CF" w:rsidRPr="00CC52A7" w:rsidRDefault="00DC55CF" w:rsidP="00DC55CF">
      <w:pPr>
        <w:numPr>
          <w:ilvl w:val="0"/>
          <w:numId w:val="12"/>
        </w:numPr>
        <w:overflowPunct w:val="0"/>
        <w:autoSpaceDE w:val="0"/>
        <w:autoSpaceDN w:val="0"/>
        <w:adjustRightInd w:val="0"/>
        <w:spacing w:after="0" w:line="240" w:lineRule="auto"/>
        <w:ind w:left="426" w:hanging="426"/>
        <w:contextualSpacing/>
        <w:textAlignment w:val="baseline"/>
        <w:rPr>
          <w:rFonts w:ascii="Times New Roman" w:eastAsia="PMingLiU" w:hAnsi="Times New Roman" w:cs="Times New Roman"/>
          <w:iCs/>
          <w:lang w:val="lt-LT"/>
        </w:rPr>
      </w:pPr>
      <w:r w:rsidRPr="00CC52A7">
        <w:rPr>
          <w:rFonts w:ascii="Times New Roman" w:eastAsia="PMingLiU" w:hAnsi="Times New Roman" w:cs="Times New Roman"/>
          <w:iCs/>
          <w:lang w:val="lt-LT"/>
        </w:rPr>
        <w:t>Vaisto vartojimo trukmę nustatys gydytojas, įvertinęs imuninės sistemos būklę ir infekcinės ligos pavojaus trukmę.</w:t>
      </w:r>
    </w:p>
    <w:p w14:paraId="73A30696"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i/>
          <w:lang w:val="lt-LT"/>
        </w:rPr>
      </w:pPr>
    </w:p>
    <w:p w14:paraId="73A3069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Senyviems ligoniams</w:t>
      </w:r>
    </w:p>
    <w:p w14:paraId="73A30698"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Dozės keisti nereikia, nebent labai sutrikusi inkstų funkcija.</w:t>
      </w:r>
    </w:p>
    <w:p w14:paraId="73A3069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9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 xml:space="preserve">Ligoniams, kurių inkstų veikla nepakankama </w:t>
      </w:r>
    </w:p>
    <w:p w14:paraId="73A3069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Jeigu sergate inkstų liga, gydytojas Jums gali paskirti mažesnę vaisto dozę. </w:t>
      </w:r>
    </w:p>
    <w:p w14:paraId="73A3069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Gydytojas gali paskirti Jums atlikti kraujo tyrimus, parodančius inkstų veiklą, ir atsižvelgdamas į rezultatus, paskirti mažesnę vaisto dozę.</w:t>
      </w:r>
    </w:p>
    <w:p w14:paraId="73A3069D"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bCs/>
          <w:lang w:val="lt-LT"/>
        </w:rPr>
      </w:pPr>
    </w:p>
    <w:p w14:paraId="73A3069E"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b/>
          <w:bCs/>
          <w:lang w:val="lt-LT"/>
        </w:rPr>
        <w:t>Vartojimas vaikams</w:t>
      </w:r>
    </w:p>
    <w:p w14:paraId="73A3069F" w14:textId="77777777" w:rsidR="00DC55CF" w:rsidRPr="00CC52A7" w:rsidRDefault="00DC55CF" w:rsidP="00DC55CF">
      <w:pPr>
        <w:spacing w:after="0" w:line="240" w:lineRule="auto"/>
        <w:contextualSpacing/>
        <w:rPr>
          <w:rFonts w:ascii="Times New Roman" w:eastAsia="PMingLiU" w:hAnsi="Times New Roman" w:cs="Times New Roman"/>
          <w:i/>
          <w:lang w:val="lt-LT" w:eastAsia="lt-LT"/>
        </w:rPr>
      </w:pPr>
      <w:r w:rsidRPr="00CC52A7">
        <w:rPr>
          <w:rFonts w:ascii="Times New Roman" w:eastAsia="PMingLiU" w:hAnsi="Times New Roman" w:cs="Times New Roman"/>
          <w:i/>
          <w:lang w:val="lt-LT" w:eastAsia="lt-LT"/>
        </w:rPr>
        <w:t>Paprastosios pūslelinės virusų sukeltų odos ir gleivinių ligų gydymas bei profilaktika, kai imuninė sistema yra nusilpusi</w:t>
      </w:r>
    </w:p>
    <w:p w14:paraId="73A306A0" w14:textId="77777777" w:rsidR="00DC55CF" w:rsidRPr="00CC52A7" w:rsidRDefault="00DC55CF" w:rsidP="00DC55CF">
      <w:pPr>
        <w:numPr>
          <w:ilvl w:val="0"/>
          <w:numId w:val="13"/>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Vyresniems kaip 2</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metų vaikams reikia gerti suaugusio žmogaus dozę.</w:t>
      </w:r>
    </w:p>
    <w:p w14:paraId="73A306A1" w14:textId="77777777" w:rsidR="00DC55CF" w:rsidRPr="00CC52A7" w:rsidRDefault="00DC55CF" w:rsidP="00DC55CF">
      <w:pPr>
        <w:numPr>
          <w:ilvl w:val="0"/>
          <w:numId w:val="13"/>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Jaunesniems nei 2</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 xml:space="preserve">metų vaikams reikia gerti pusę suaugusio žmogaus dozės. </w:t>
      </w:r>
    </w:p>
    <w:p w14:paraId="73A306A2" w14:textId="77777777" w:rsidR="00DC55CF" w:rsidRPr="00CC52A7" w:rsidRDefault="00DC55CF" w:rsidP="00DC55CF">
      <w:pPr>
        <w:numPr>
          <w:ilvl w:val="0"/>
          <w:numId w:val="13"/>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Dozė apskaičiuojama pagal vaiko svorį - 20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mg/kg kūno svorio (neviršijant 800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mg) vartojant 4</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kartus per parą.</w:t>
      </w:r>
    </w:p>
    <w:p w14:paraId="73A306A3" w14:textId="77777777" w:rsidR="00DC55CF" w:rsidRPr="00CC52A7" w:rsidRDefault="00DC55CF" w:rsidP="00DC55CF">
      <w:pPr>
        <w:numPr>
          <w:ilvl w:val="0"/>
          <w:numId w:val="13"/>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lastRenderedPageBreak/>
        <w:t>Jeigu vaikas negali nuryti tabletės, ją galima sutraiškyti ir sumaišyti su skysčiu.</w:t>
      </w:r>
    </w:p>
    <w:p w14:paraId="73A306A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A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Kaip vartoti šį vaistą</w:t>
      </w:r>
    </w:p>
    <w:p w14:paraId="73A306A6" w14:textId="77777777" w:rsidR="00DC55CF" w:rsidRPr="00CC52A7" w:rsidRDefault="00DC55CF" w:rsidP="00DC55CF">
      <w:pPr>
        <w:numPr>
          <w:ilvl w:val="0"/>
          <w:numId w:val="14"/>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Nurykite tabletes nesukramtytas, užgerdami stikline vandens. </w:t>
      </w:r>
    </w:p>
    <w:p w14:paraId="73A306A7" w14:textId="77777777" w:rsidR="00DC55CF" w:rsidRPr="00CC52A7" w:rsidRDefault="00DC55CF" w:rsidP="00DC55CF">
      <w:pPr>
        <w:numPr>
          <w:ilvl w:val="0"/>
          <w:numId w:val="14"/>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Tabletes geriau vartoti po valgio.</w:t>
      </w:r>
    </w:p>
    <w:p w14:paraId="73A306A8" w14:textId="77777777" w:rsidR="00DC55CF" w:rsidRPr="00CC52A7" w:rsidRDefault="00DC55CF" w:rsidP="00DC55CF">
      <w:pPr>
        <w:numPr>
          <w:ilvl w:val="0"/>
          <w:numId w:val="14"/>
        </w:num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Labai svarbu, kad Acic vartojimo laikotarpiu gertumėte pakankamai skysčių.</w:t>
      </w:r>
    </w:p>
    <w:p w14:paraId="73A306A9"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i/>
          <w:lang w:val="lt-LT"/>
        </w:rPr>
      </w:pPr>
    </w:p>
    <w:p w14:paraId="73A306A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u w:val="single"/>
          <w:lang w:val="lt-LT"/>
        </w:rPr>
      </w:pPr>
      <w:r w:rsidRPr="00CC52A7">
        <w:rPr>
          <w:rFonts w:ascii="Times New Roman" w:eastAsia="PMingLiU" w:hAnsi="Times New Roman" w:cs="Times New Roman"/>
          <w:b/>
          <w:lang w:val="lt-LT"/>
        </w:rPr>
        <w:t>Ką daryti pavartojus per didelę Acic dozę?</w:t>
      </w:r>
    </w:p>
    <w:p w14:paraId="73A306AB"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Jeigu išgėrėte per daug Acic tablečių ir pasijutote blogai, nedels</w:t>
      </w:r>
      <w:r w:rsidR="007C5A3D">
        <w:rPr>
          <w:rFonts w:ascii="Times New Roman" w:eastAsia="PMingLiU" w:hAnsi="Times New Roman" w:cs="Times New Roman"/>
          <w:lang w:val="lt-LT"/>
        </w:rPr>
        <w:t>dami</w:t>
      </w:r>
      <w:r w:rsidRPr="00CC52A7">
        <w:rPr>
          <w:rFonts w:ascii="Times New Roman" w:eastAsia="PMingLiU" w:hAnsi="Times New Roman" w:cs="Times New Roman"/>
          <w:lang w:val="lt-LT"/>
        </w:rPr>
        <w:t xml:space="preserve"> kreipkitės į gydytoją arba vykite į artimiausios ligoninės skubios pagalbos skyrių. Jei įmanoma, pasiimkite tabletes arba pakuotę, kad galėtumėte gydytojui parodyti, kokio vaisto išgėrėte.</w:t>
      </w:r>
    </w:p>
    <w:p w14:paraId="73A306AC"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b/>
          <w:i/>
          <w:iCs/>
          <w:lang w:val="lt-LT"/>
        </w:rPr>
      </w:pPr>
    </w:p>
    <w:p w14:paraId="73A306AD"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b/>
          <w:iCs/>
          <w:lang w:val="lt-LT"/>
        </w:rPr>
      </w:pPr>
      <w:r w:rsidRPr="00CC52A7">
        <w:rPr>
          <w:rFonts w:ascii="Times New Roman" w:eastAsia="PMingLiU" w:hAnsi="Times New Roman" w:cs="Times New Roman"/>
          <w:b/>
          <w:iCs/>
          <w:lang w:val="lt-LT"/>
        </w:rPr>
        <w:t>Pamiršus pavartoti Acic</w:t>
      </w:r>
    </w:p>
    <w:p w14:paraId="73A306AE"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Nesijaudinkite, išgerkite praleistą dozę, kai tik prisiminėte. Jeigu jau beveik laikas gerti kitą dozę, palaukite ir toliau vaistą vartokite kaip įprastai. Negalima vartoti dvigubos dozės norint kompensuoti praleistą tab</w:t>
      </w:r>
      <w:r w:rsidR="00CC52A7">
        <w:rPr>
          <w:rFonts w:ascii="Times New Roman" w:eastAsia="PMingLiU" w:hAnsi="Times New Roman" w:cs="Times New Roman"/>
          <w:lang w:val="lt-LT"/>
        </w:rPr>
        <w:t>l</w:t>
      </w:r>
      <w:r w:rsidRPr="00CC52A7">
        <w:rPr>
          <w:rFonts w:ascii="Times New Roman" w:eastAsia="PMingLiU" w:hAnsi="Times New Roman" w:cs="Times New Roman"/>
          <w:lang w:val="lt-LT"/>
        </w:rPr>
        <w:t>e</w:t>
      </w:r>
      <w:r w:rsidR="00CC52A7">
        <w:rPr>
          <w:rFonts w:ascii="Times New Roman" w:eastAsia="PMingLiU" w:hAnsi="Times New Roman" w:cs="Times New Roman"/>
          <w:lang w:val="lt-LT"/>
        </w:rPr>
        <w:t>t</w:t>
      </w:r>
      <w:r w:rsidRPr="00CC52A7">
        <w:rPr>
          <w:rFonts w:ascii="Times New Roman" w:eastAsia="PMingLiU" w:hAnsi="Times New Roman" w:cs="Times New Roman"/>
          <w:lang w:val="lt-LT"/>
        </w:rPr>
        <w:t xml:space="preserve">ę. </w:t>
      </w:r>
    </w:p>
    <w:p w14:paraId="73A306AF"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Jeigu pamiršote išgerti kelias dozes, kreipkitės į gydytoją.</w:t>
      </w:r>
    </w:p>
    <w:p w14:paraId="73A306B0"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lang w:val="lt-LT"/>
        </w:rPr>
      </w:pPr>
    </w:p>
    <w:p w14:paraId="73A306B1" w14:textId="77777777" w:rsidR="00DC55CF" w:rsidRPr="00CC52A7" w:rsidRDefault="00DC55CF" w:rsidP="00DC55CF">
      <w:pPr>
        <w:overflowPunct w:val="0"/>
        <w:autoSpaceDE w:val="0"/>
        <w:autoSpaceDN w:val="0"/>
        <w:adjustRightInd w:val="0"/>
        <w:spacing w:after="0" w:line="240" w:lineRule="auto"/>
        <w:ind w:left="1"/>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Nustojus vartoti Acic</w:t>
      </w:r>
    </w:p>
    <w:p w14:paraId="73A306B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Nenutraukite vaisto vartojimo nebaigę viso gydymo kurso, net jeigu jaučiatės gerai. </w:t>
      </w:r>
    </w:p>
    <w:p w14:paraId="73A306B3" w14:textId="77777777" w:rsidR="00DC55CF" w:rsidRPr="00CC52A7" w:rsidRDefault="00DC55CF" w:rsidP="00DC55CF">
      <w:pPr>
        <w:widowControl w:val="0"/>
        <w:tabs>
          <w:tab w:val="left" w:pos="567"/>
        </w:tabs>
        <w:overflowPunct w:val="0"/>
        <w:autoSpaceDE w:val="0"/>
        <w:autoSpaceDN w:val="0"/>
        <w:adjustRightInd w:val="0"/>
        <w:spacing w:after="0" w:line="240" w:lineRule="auto"/>
        <w:contextualSpacing/>
        <w:textAlignment w:val="baseline"/>
        <w:rPr>
          <w:rFonts w:ascii="Times New Roman" w:eastAsia="Times New Roman" w:hAnsi="Times New Roman" w:cs="Times New Roman"/>
          <w:lang w:val="lt-LT" w:eastAsia="ar-SA"/>
        </w:rPr>
      </w:pPr>
    </w:p>
    <w:p w14:paraId="73A306B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Times New Roman" w:hAnsi="Times New Roman" w:cs="Times New Roman"/>
          <w:lang w:val="lt-LT" w:eastAsia="ar-SA"/>
        </w:rPr>
        <w:t>Jeigu kiltų daugiau klausimų dėl šio vaisto vartojimo, kreipkitės į gydytoją arba vaistininką.</w:t>
      </w:r>
    </w:p>
    <w:p w14:paraId="73A306B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6B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6B7"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4.</w:t>
      </w:r>
      <w:r w:rsidRPr="00CC52A7">
        <w:rPr>
          <w:rFonts w:ascii="Times New Roman" w:eastAsia="PMingLiU" w:hAnsi="Times New Roman" w:cs="Times New Roman"/>
          <w:b/>
          <w:lang w:val="lt-LT"/>
        </w:rPr>
        <w:tab/>
        <w:t>Galimas šalutinis poveikis</w:t>
      </w:r>
    </w:p>
    <w:p w14:paraId="73A306B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B9"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Šis vaistas, kaip ir visi kiti, gali sukelti šalutinį poveikį, nors jis pasireiškia ne visiems žmonėms.</w:t>
      </w:r>
    </w:p>
    <w:p w14:paraId="73A306B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6B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Retais atvejais šis vaistas gali sukelti sunkią alerginę reakciją. Jeigu vartojant vaisto Jums pasireiškė bet kuris iš išvardytų simptomų, </w:t>
      </w:r>
      <w:r w:rsidRPr="00CC52A7">
        <w:rPr>
          <w:rFonts w:ascii="Times New Roman" w:eastAsia="PMingLiU" w:hAnsi="Times New Roman" w:cs="Times New Roman"/>
          <w:b/>
          <w:lang w:val="lt-LT"/>
        </w:rPr>
        <w:t>nedels</w:t>
      </w:r>
      <w:r w:rsidR="007C5A3D">
        <w:rPr>
          <w:rFonts w:ascii="Times New Roman" w:eastAsia="PMingLiU" w:hAnsi="Times New Roman" w:cs="Times New Roman"/>
          <w:b/>
          <w:lang w:val="lt-LT"/>
        </w:rPr>
        <w:t>dami</w:t>
      </w:r>
      <w:r w:rsidRPr="00CC52A7">
        <w:rPr>
          <w:rFonts w:ascii="Times New Roman" w:eastAsia="PMingLiU" w:hAnsi="Times New Roman" w:cs="Times New Roman"/>
          <w:b/>
          <w:lang w:val="lt-LT"/>
        </w:rPr>
        <w:t xml:space="preserve"> kreipkitės į gydytoją arba artimiausios ligoninės skubios pagalbos skyrių</w:t>
      </w:r>
      <w:r w:rsidRPr="00CC52A7">
        <w:rPr>
          <w:rFonts w:ascii="Times New Roman" w:eastAsia="PMingLiU" w:hAnsi="Times New Roman" w:cs="Times New Roman"/>
          <w:lang w:val="lt-LT"/>
        </w:rPr>
        <w:t>:</w:t>
      </w:r>
    </w:p>
    <w:p w14:paraId="73A306BC"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staiga tapo sunku kvėpuoti, kalbėti ir ryti; tinsta lūpos, veidas ir kaklas; labai svaigsta</w:t>
      </w:r>
      <w:r w:rsidR="00803957">
        <w:rPr>
          <w:rFonts w:ascii="Times New Roman" w:eastAsia="PMingLiU" w:hAnsi="Times New Roman" w:cs="Times New Roman"/>
          <w:lang w:val="lt-LT"/>
        </w:rPr>
        <w:t xml:space="preserve"> galva</w:t>
      </w:r>
      <w:r w:rsidRPr="00CC52A7">
        <w:rPr>
          <w:rFonts w:ascii="Times New Roman" w:eastAsia="PMingLiU" w:hAnsi="Times New Roman" w:cs="Times New Roman"/>
          <w:lang w:val="lt-LT"/>
        </w:rPr>
        <w:t>; atsirado niežintis iškilus odos išbėrimas.</w:t>
      </w:r>
    </w:p>
    <w:p w14:paraId="73A306B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BE" w14:textId="77777777" w:rsidR="00DC55CF" w:rsidRPr="00CC52A7" w:rsidRDefault="00DC55CF" w:rsidP="00DC55CF">
      <w:pPr>
        <w:widowControl w:val="0"/>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Labai retai šis vaistas gali sukelti kraujo sutrikimus (raudonųjų kraujo kūnelių skaičiaus sumažėjimą; baltųjų kraujo kūnelių, kurie saugo nuo infekcijų, sumažėjimą; kraujo plokštelių, kurios padeda sukrešėti kraujui, sumažėjimą). Jeigu pastebėjote bet kurį iš išvardytų požymių, </w:t>
      </w:r>
      <w:r w:rsidRPr="00CC52A7">
        <w:rPr>
          <w:rFonts w:ascii="Times New Roman" w:eastAsia="PMingLiU" w:hAnsi="Times New Roman" w:cs="Times New Roman"/>
          <w:b/>
          <w:lang w:val="lt-LT"/>
        </w:rPr>
        <w:t>kuo greičiau kreipkitės į gydytoją</w:t>
      </w:r>
      <w:r w:rsidRPr="00CC52A7">
        <w:rPr>
          <w:rFonts w:ascii="Times New Roman" w:eastAsia="PMingLiU" w:hAnsi="Times New Roman" w:cs="Times New Roman"/>
          <w:lang w:val="lt-LT"/>
        </w:rPr>
        <w:t>:</w:t>
      </w:r>
    </w:p>
    <w:p w14:paraId="73A306BF"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bendrą silpnumą, blyškumą;</w:t>
      </w:r>
    </w:p>
    <w:p w14:paraId="73A306C0"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dažnai besikartojančias ir (arba) sunkias infekcijas (ypač jei yra gerklės skausmas);</w:t>
      </w:r>
    </w:p>
    <w:p w14:paraId="73A306C1"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karščiavimą be aiškios priežasties;</w:t>
      </w:r>
    </w:p>
    <w:p w14:paraId="73A306C2"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burnos ir (arba) gerklės opas;</w:t>
      </w:r>
    </w:p>
    <w:p w14:paraId="73A306C3"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neįprastas ar be aiškios priežasties atsirandančias mėlynes ar kraujavimą;</w:t>
      </w:r>
    </w:p>
    <w:p w14:paraId="73A306C4"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mažus raudonus taškelius odoje ir (arba) burnoje. </w:t>
      </w:r>
    </w:p>
    <w:p w14:paraId="73A306C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C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Jeigu pasireiškė bet kuris kitas šalutinis poveikis, pasakykite apie tai gydytojui:</w:t>
      </w:r>
    </w:p>
    <w:p w14:paraId="73A306C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C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 xml:space="preserve">Dažni šalutiniai poveikiai (gali pasireikšti mažiau kaip 1 iš 10 žmonių) </w:t>
      </w:r>
    </w:p>
    <w:p w14:paraId="73A306C9"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niežėjimas, bėrimas (įskaitant pasireiškiantį dėl šviesos poveikio);</w:t>
      </w:r>
    </w:p>
    <w:p w14:paraId="73A306CA"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pykinimas, vėmimas, viduriavimas, pilvo skausmas;</w:t>
      </w:r>
    </w:p>
    <w:p w14:paraId="73A306CB"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galvos svaigimas, galvos skausmas;</w:t>
      </w:r>
    </w:p>
    <w:p w14:paraId="73A306CC"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nuovargis, karščiavimas</w:t>
      </w:r>
      <w:r w:rsidR="00803957">
        <w:rPr>
          <w:rFonts w:ascii="Times New Roman" w:eastAsia="PMingLiU" w:hAnsi="Times New Roman" w:cs="Times New Roman"/>
          <w:lang w:val="lt-LT"/>
        </w:rPr>
        <w:t>.</w:t>
      </w:r>
    </w:p>
    <w:p w14:paraId="73A306CD"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1"/>
        <w:rPr>
          <w:rFonts w:ascii="Times New Roman" w:eastAsia="PMingLiU" w:hAnsi="Times New Roman" w:cs="Times New Roman"/>
          <w:iCs/>
          <w:lang w:val="lt-LT"/>
        </w:rPr>
      </w:pPr>
    </w:p>
    <w:p w14:paraId="73A306CE" w14:textId="77777777" w:rsidR="00DC55CF" w:rsidRPr="00CC52A7" w:rsidRDefault="00DC55CF" w:rsidP="00DC55CF">
      <w:pPr>
        <w:keepNext/>
        <w:overflowPunct w:val="0"/>
        <w:autoSpaceDE w:val="0"/>
        <w:autoSpaceDN w:val="0"/>
        <w:adjustRightInd w:val="0"/>
        <w:spacing w:after="0" w:line="240" w:lineRule="auto"/>
        <w:contextualSpacing/>
        <w:textAlignment w:val="baseline"/>
        <w:outlineLvl w:val="1"/>
        <w:rPr>
          <w:rFonts w:ascii="Times New Roman" w:eastAsia="PMingLiU" w:hAnsi="Times New Roman" w:cs="Times New Roman"/>
          <w:i/>
          <w:iCs/>
          <w:lang w:val="lt-LT"/>
        </w:rPr>
      </w:pPr>
      <w:r w:rsidRPr="00CC52A7">
        <w:rPr>
          <w:rFonts w:ascii="Times New Roman" w:eastAsia="PMingLiU" w:hAnsi="Times New Roman" w:cs="Times New Roman"/>
          <w:i/>
          <w:iCs/>
          <w:lang w:val="lt-LT"/>
        </w:rPr>
        <w:t xml:space="preserve">Nedažni šalutiniai poveikiai (gali pasireikšti mažiau kaip 1 iš 100 žmonių) </w:t>
      </w:r>
    </w:p>
    <w:p w14:paraId="73A306CF"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dilgėlinė; </w:t>
      </w:r>
    </w:p>
    <w:p w14:paraId="73A306D0"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plaukų slinkimas.</w:t>
      </w:r>
    </w:p>
    <w:p w14:paraId="73A306D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D2"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lastRenderedPageBreak/>
        <w:t xml:space="preserve">Reti šalutiniai poveikiai (gali pasireikšti mažiau kaip 1 iš 1000 žmonių) </w:t>
      </w:r>
    </w:p>
    <w:p w14:paraId="73A306D3"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iCs/>
          <w:lang w:val="lt-LT"/>
        </w:rPr>
        <w:t>veido, lūpų, gerklės tinimas dėl alerginės reakcijos (</w:t>
      </w:r>
      <w:r w:rsidRPr="00CC52A7">
        <w:rPr>
          <w:rFonts w:ascii="Times New Roman" w:eastAsia="PMingLiU" w:hAnsi="Times New Roman" w:cs="Times New Roman"/>
          <w:lang w:val="lt-LT"/>
        </w:rPr>
        <w:t>angioneurozinė</w:t>
      </w:r>
      <w:r w:rsidR="00CC52A7">
        <w:rPr>
          <w:rFonts w:ascii="Times New Roman" w:eastAsia="PMingLiU" w:hAnsi="Times New Roman" w:cs="Times New Roman"/>
          <w:lang w:val="lt-LT"/>
        </w:rPr>
        <w:t xml:space="preserve"> </w:t>
      </w:r>
      <w:r w:rsidRPr="00CC52A7">
        <w:rPr>
          <w:rFonts w:ascii="Times New Roman" w:eastAsia="PMingLiU" w:hAnsi="Times New Roman" w:cs="Times New Roman"/>
          <w:lang w:val="lt-LT"/>
        </w:rPr>
        <w:t>edema);</w:t>
      </w:r>
    </w:p>
    <w:p w14:paraId="73A306D4"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grįžtamasis pigmento bilirubino kiekio padidėjimas; </w:t>
      </w:r>
    </w:p>
    <w:p w14:paraId="73A306D5"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kepenų fermentų aktyvumo padidėjimas;</w:t>
      </w:r>
    </w:p>
    <w:p w14:paraId="73A306D6"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padidėjęs šlapalo ir kreatinino kiekis kraujyje;</w:t>
      </w:r>
    </w:p>
    <w:p w14:paraId="73A306D7"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dusulys.</w:t>
      </w:r>
    </w:p>
    <w:p w14:paraId="73A306D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6D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i/>
          <w:lang w:val="lt-LT"/>
        </w:rPr>
      </w:pPr>
      <w:r w:rsidRPr="00CC52A7">
        <w:rPr>
          <w:rFonts w:ascii="Times New Roman" w:eastAsia="PMingLiU" w:hAnsi="Times New Roman" w:cs="Times New Roman"/>
          <w:i/>
          <w:lang w:val="lt-LT"/>
        </w:rPr>
        <w:t xml:space="preserve">Labai reti šalutiniai poveikiai (gali pasireikšti mažiau kaip 1 iš 10000 žmonių) </w:t>
      </w:r>
    </w:p>
    <w:p w14:paraId="73A306DA"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ūminis inkstų nepakankamumas, inkstų skausmas; </w:t>
      </w:r>
    </w:p>
    <w:p w14:paraId="73A306DB"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susijaudinimas; </w:t>
      </w:r>
    </w:p>
    <w:p w14:paraId="73A306DC"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sumišimas; </w:t>
      </w:r>
    </w:p>
    <w:p w14:paraId="73A306DD" w14:textId="77777777" w:rsidR="00DC55CF" w:rsidRPr="00CC52A7" w:rsidRDefault="00CC52A7"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Pr>
          <w:rFonts w:ascii="Times New Roman" w:eastAsia="PMingLiU" w:hAnsi="Times New Roman" w:cs="Times New Roman"/>
          <w:lang w:val="lt-LT"/>
        </w:rPr>
        <w:t>d</w:t>
      </w:r>
      <w:r w:rsidR="00DC55CF" w:rsidRPr="00CC52A7">
        <w:rPr>
          <w:rFonts w:ascii="Times New Roman" w:eastAsia="PMingLiU" w:hAnsi="Times New Roman" w:cs="Times New Roman"/>
          <w:lang w:val="lt-LT"/>
        </w:rPr>
        <w:t xml:space="preserve">rebulys; </w:t>
      </w:r>
    </w:p>
    <w:p w14:paraId="73A306DE"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valingų judesių koordinacijos sutrikimas; </w:t>
      </w:r>
    </w:p>
    <w:p w14:paraId="73A306DF"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kalbos sutrikimas; </w:t>
      </w:r>
    </w:p>
    <w:p w14:paraId="73A306E0"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haliucinacijos</w:t>
      </w:r>
      <w:r w:rsidR="00803957">
        <w:rPr>
          <w:rFonts w:ascii="Times New Roman" w:eastAsia="PMingLiU" w:hAnsi="Times New Roman" w:cs="Times New Roman"/>
          <w:lang w:val="lt-LT"/>
        </w:rPr>
        <w:t>;</w:t>
      </w:r>
      <w:r w:rsidRPr="00CC52A7">
        <w:rPr>
          <w:rFonts w:ascii="Times New Roman" w:eastAsia="PMingLiU" w:hAnsi="Times New Roman" w:cs="Times New Roman"/>
          <w:lang w:val="lt-LT"/>
        </w:rPr>
        <w:t xml:space="preserve"> </w:t>
      </w:r>
    </w:p>
    <w:p w14:paraId="73A306E1"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psichikos sutrikimai; </w:t>
      </w:r>
    </w:p>
    <w:p w14:paraId="73A306E2"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traukuliai; </w:t>
      </w:r>
    </w:p>
    <w:p w14:paraId="73A306E3"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mieguistumas; </w:t>
      </w:r>
    </w:p>
    <w:p w14:paraId="73A306E4"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smegenų liga (encefalopatija); </w:t>
      </w:r>
    </w:p>
    <w:p w14:paraId="73A306E5"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koma;</w:t>
      </w:r>
    </w:p>
    <w:p w14:paraId="73A306E6"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kepenų uždegimas;</w:t>
      </w:r>
    </w:p>
    <w:p w14:paraId="73A306E7" w14:textId="77777777" w:rsidR="00DC55CF" w:rsidRPr="00CC52A7" w:rsidRDefault="00DC55CF" w:rsidP="00DC55CF">
      <w:pPr>
        <w:widowControl w:val="0"/>
        <w:numPr>
          <w:ilvl w:val="0"/>
          <w:numId w:val="16"/>
        </w:numPr>
        <w:tabs>
          <w:tab w:val="left" w:pos="0"/>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gelta.</w:t>
      </w:r>
    </w:p>
    <w:p w14:paraId="73A306E8" w14:textId="77777777" w:rsidR="00DC55CF" w:rsidRPr="00CC52A7" w:rsidRDefault="00DC55CF" w:rsidP="00DC55CF">
      <w:pPr>
        <w:spacing w:after="0" w:line="240" w:lineRule="auto"/>
        <w:contextualSpacing/>
        <w:rPr>
          <w:rFonts w:ascii="Times New Roman" w:eastAsia="PMingLiU" w:hAnsi="Times New Roman" w:cs="Times New Roman"/>
          <w:b/>
          <w:lang w:val="lt-LT"/>
        </w:rPr>
      </w:pPr>
    </w:p>
    <w:p w14:paraId="73A306E9" w14:textId="77777777" w:rsidR="00DC55CF" w:rsidRPr="00CC52A7" w:rsidRDefault="00DC55CF" w:rsidP="00DC55CF">
      <w:pPr>
        <w:spacing w:after="0" w:line="240" w:lineRule="auto"/>
        <w:contextualSpacing/>
        <w:rPr>
          <w:rFonts w:ascii="Times New Roman" w:eastAsia="PMingLiU" w:hAnsi="Times New Roman" w:cs="Times New Roman"/>
          <w:b/>
          <w:lang w:val="lt-LT"/>
        </w:rPr>
      </w:pPr>
      <w:r w:rsidRPr="00CC52A7">
        <w:rPr>
          <w:rFonts w:ascii="Times New Roman" w:eastAsia="PMingLiU" w:hAnsi="Times New Roman" w:cs="Times New Roman"/>
          <w:b/>
          <w:lang w:val="lt-LT"/>
        </w:rPr>
        <w:t>Pranešimas apie šalutinį poveikį</w:t>
      </w:r>
    </w:p>
    <w:p w14:paraId="73A306EA" w14:textId="77777777" w:rsidR="00DC55CF" w:rsidRPr="00CC52A7" w:rsidRDefault="00DC55CF" w:rsidP="00DC55CF">
      <w:pPr>
        <w:overflowPunct w:val="0"/>
        <w:autoSpaceDE w:val="0"/>
        <w:autoSpaceDN w:val="0"/>
        <w:adjustRightInd w:val="0"/>
        <w:spacing w:after="0" w:line="240" w:lineRule="auto"/>
        <w:ind w:right="-449"/>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C52A7">
        <w:rPr>
          <w:rFonts w:ascii="Times New Roman" w:eastAsia="PMingLiU" w:hAnsi="Times New Roman" w:cs="Times New Roman"/>
          <w:lang w:val="lt-LT" w:eastAsia="zh-CN"/>
        </w:rPr>
        <w:t>elefonu 8 800 73568</w:t>
      </w:r>
      <w:r w:rsidRPr="00CC52A7">
        <w:rPr>
          <w:rFonts w:ascii="Times New Roman" w:eastAsia="PMingLiU" w:hAnsi="Times New Roman" w:cs="Times New Roman"/>
          <w:lang w:val="lt-LT"/>
        </w:rPr>
        <w:t xml:space="preserve"> arba užpildyti interneto svetainėje </w:t>
      </w:r>
      <w:hyperlink r:id="rId16" w:history="1">
        <w:r w:rsidRPr="00CC52A7">
          <w:rPr>
            <w:rFonts w:ascii="Times New Roman" w:eastAsia="SimSun" w:hAnsi="Times New Roman" w:cs="Times New Roman"/>
            <w:color w:val="0000FF"/>
            <w:u w:val="single"/>
            <w:lang w:val="lt-LT"/>
          </w:rPr>
          <w:t>www.vvkt.lt</w:t>
        </w:r>
      </w:hyperlink>
      <w:r w:rsidRPr="00CC52A7">
        <w:rPr>
          <w:rFonts w:ascii="Times New Roman" w:eastAsia="PMingLiU"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w:t>
      </w:r>
      <w:r w:rsidRPr="00CC52A7">
        <w:rPr>
          <w:rFonts w:ascii="Times New Roman" w:eastAsia="PMingLiU" w:hAnsi="Times New Roman" w:cs="Times New Roman"/>
          <w:lang w:val="lt-LT" w:eastAsia="zh-CN"/>
        </w:rPr>
        <w:t xml:space="preserve">nemokamu </w:t>
      </w:r>
      <w:r w:rsidRPr="00CC52A7">
        <w:rPr>
          <w:rFonts w:ascii="Times New Roman" w:eastAsia="PMingLiU" w:hAnsi="Times New Roman" w:cs="Times New Roman"/>
          <w:lang w:val="lt-LT"/>
        </w:rPr>
        <w:t>fakso numeriu 8 800 20131</w:t>
      </w:r>
      <w:r w:rsidRPr="00CC52A7">
        <w:rPr>
          <w:rFonts w:ascii="Times New Roman" w:eastAsia="PMingLiU" w:hAnsi="Times New Roman" w:cs="Times New Roman"/>
          <w:lang w:val="lt-LT" w:eastAsia="zh-CN"/>
        </w:rPr>
        <w:t xml:space="preserve">, </w:t>
      </w:r>
      <w:r w:rsidRPr="00CC52A7">
        <w:rPr>
          <w:rFonts w:ascii="Times New Roman" w:eastAsia="PMingLiU" w:hAnsi="Times New Roman" w:cs="Times New Roman"/>
          <w:lang w:val="lt-LT"/>
        </w:rPr>
        <w:t xml:space="preserve">el. paštu </w:t>
      </w:r>
      <w:hyperlink r:id="rId17" w:history="1">
        <w:r w:rsidRPr="00CC52A7">
          <w:rPr>
            <w:rFonts w:ascii="Times New Roman" w:eastAsia="SimSun" w:hAnsi="Times New Roman" w:cs="Times New Roman"/>
            <w:color w:val="0000FF"/>
            <w:u w:val="single"/>
            <w:lang w:val="lt-LT"/>
          </w:rPr>
          <w:t>NepageidaujamaR@vvkt.lt</w:t>
        </w:r>
      </w:hyperlink>
      <w:r w:rsidRPr="00CC52A7">
        <w:rPr>
          <w:rFonts w:ascii="Times New Roman" w:eastAsia="PMingLiU" w:hAnsi="Times New Roman" w:cs="Times New Roman"/>
          <w:lang w:val="lt-LT"/>
        </w:rPr>
        <w:t xml:space="preserve">, taip pat per Valstybinės vaistų kontrolės tarnybos prie Lietuvos Respublikos sveikatos apsaugos ministerijos interneto svetainę (adresu </w:t>
      </w:r>
      <w:hyperlink r:id="rId18" w:history="1">
        <w:r w:rsidRPr="00CC52A7">
          <w:rPr>
            <w:rFonts w:ascii="Times New Roman" w:eastAsia="SimSun" w:hAnsi="Times New Roman" w:cs="Times New Roman"/>
            <w:color w:val="0000FF"/>
            <w:u w:val="single"/>
            <w:lang w:val="lt-LT"/>
          </w:rPr>
          <w:t>http://www.vvkt.lt</w:t>
        </w:r>
      </w:hyperlink>
      <w:r w:rsidRPr="00CC52A7">
        <w:rPr>
          <w:rFonts w:ascii="Times New Roman" w:eastAsia="PMingLiU" w:hAnsi="Times New Roman" w:cs="Times New Roman"/>
          <w:lang w:val="lt-LT"/>
        </w:rPr>
        <w:t>). Pranešdami apie šalutinį poveikį galite mums padėti gauti daugiau informacijos apie šio vaisto saugumą.</w:t>
      </w:r>
    </w:p>
    <w:p w14:paraId="73A306EB" w14:textId="77777777" w:rsidR="00DC55CF" w:rsidRPr="00CC52A7" w:rsidRDefault="00DC55CF" w:rsidP="00DC55CF">
      <w:pPr>
        <w:overflowPunct w:val="0"/>
        <w:autoSpaceDE w:val="0"/>
        <w:autoSpaceDN w:val="0"/>
        <w:adjustRightInd w:val="0"/>
        <w:spacing w:after="0" w:line="240" w:lineRule="auto"/>
        <w:ind w:right="-449"/>
        <w:contextualSpacing/>
        <w:textAlignment w:val="baseline"/>
        <w:rPr>
          <w:rFonts w:ascii="Times New Roman" w:eastAsia="PMingLiU" w:hAnsi="Times New Roman" w:cs="Times New Roman"/>
          <w:sz w:val="24"/>
          <w:szCs w:val="24"/>
          <w:lang w:val="lt-LT"/>
        </w:rPr>
      </w:pPr>
    </w:p>
    <w:p w14:paraId="73A306E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p>
    <w:p w14:paraId="73A306ED" w14:textId="77777777" w:rsidR="00DC55CF" w:rsidRPr="00CC52A7" w:rsidRDefault="00DC55CF" w:rsidP="00DC55CF">
      <w:pPr>
        <w:overflowPunct w:val="0"/>
        <w:autoSpaceDE w:val="0"/>
        <w:autoSpaceDN w:val="0"/>
        <w:adjustRightInd w:val="0"/>
        <w:spacing w:after="0" w:line="240" w:lineRule="auto"/>
        <w:ind w:left="567" w:hanging="567"/>
        <w:contextualSpacing/>
        <w:jc w:val="both"/>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5.</w:t>
      </w:r>
      <w:r w:rsidRPr="00CC52A7">
        <w:rPr>
          <w:rFonts w:ascii="Times New Roman" w:eastAsia="PMingLiU" w:hAnsi="Times New Roman" w:cs="Times New Roman"/>
          <w:b/>
          <w:lang w:val="lt-LT"/>
        </w:rPr>
        <w:tab/>
        <w:t>Kaip laikyti Acic</w:t>
      </w:r>
    </w:p>
    <w:p w14:paraId="73A306EE"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6EF"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Šį vaistą laikykite vaikams nepastebimoje ir nepasiekiamoje vietoje.</w:t>
      </w:r>
    </w:p>
    <w:p w14:paraId="73A306F0"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6F1"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Šiam vaistui specialių laikymo sąlygų nereikia.</w:t>
      </w:r>
    </w:p>
    <w:p w14:paraId="73A306F2"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6F3"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Ant kartono dėžutės po „EXP“ arba lizdinės plokštelės nurodytam tinkamumo laikui pasibaigus, šio vaisto vartoti negalima. Vaistas tinkamas vartoti iki paskutinės nurodyto mėnesio dienos.</w:t>
      </w:r>
    </w:p>
    <w:p w14:paraId="73A306F4"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6F5"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Vaistų negalima išmesti į kanalizaciją arba su buitinėmis atliekomis. Kaip išmesti nereikalingus vaistus, klauskite vaistininko. Šios priemonės padės apsaugoti aplinką</w:t>
      </w:r>
      <w:r w:rsidR="00597414">
        <w:rPr>
          <w:rFonts w:ascii="Times New Roman" w:eastAsia="PMingLiU" w:hAnsi="Times New Roman" w:cs="Times New Roman"/>
          <w:lang w:val="lt-LT"/>
        </w:rPr>
        <w:t>.</w:t>
      </w:r>
    </w:p>
    <w:p w14:paraId="73A306F6"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p>
    <w:p w14:paraId="73A306F7"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
          <w:lang w:val="lt-LT"/>
        </w:rPr>
      </w:pPr>
    </w:p>
    <w:p w14:paraId="73A306F8" w14:textId="77777777" w:rsidR="00DC55CF" w:rsidRPr="00CC52A7" w:rsidRDefault="00DC55CF" w:rsidP="00DC55CF">
      <w:pPr>
        <w:overflowPunct w:val="0"/>
        <w:autoSpaceDE w:val="0"/>
        <w:autoSpaceDN w:val="0"/>
        <w:adjustRightInd w:val="0"/>
        <w:spacing w:after="0" w:line="240" w:lineRule="auto"/>
        <w:ind w:left="567" w:hanging="567"/>
        <w:contextualSpacing/>
        <w:jc w:val="both"/>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6.</w:t>
      </w:r>
      <w:r w:rsidRPr="00CC52A7">
        <w:rPr>
          <w:rFonts w:ascii="Times New Roman" w:eastAsia="PMingLiU" w:hAnsi="Times New Roman" w:cs="Times New Roman"/>
          <w:b/>
          <w:lang w:val="lt-LT"/>
        </w:rPr>
        <w:tab/>
        <w:t>Pakuotės turinys ir kita informacija</w:t>
      </w:r>
    </w:p>
    <w:p w14:paraId="73A306F9" w14:textId="77777777" w:rsidR="00DC55CF" w:rsidRPr="00CC52A7" w:rsidRDefault="00DC55CF" w:rsidP="00DC55CF">
      <w:pPr>
        <w:numPr>
          <w:ilvl w:val="12"/>
          <w:numId w:val="0"/>
        </w:numPr>
        <w:overflowPunct w:val="0"/>
        <w:autoSpaceDE w:val="0"/>
        <w:autoSpaceDN w:val="0"/>
        <w:adjustRightInd w:val="0"/>
        <w:spacing w:after="0" w:line="240" w:lineRule="auto"/>
        <w:ind w:left="567" w:hanging="567"/>
        <w:contextualSpacing/>
        <w:textAlignment w:val="baseline"/>
        <w:outlineLvl w:val="0"/>
        <w:rPr>
          <w:rFonts w:ascii="Times New Roman" w:eastAsia="PMingLiU" w:hAnsi="Times New Roman" w:cs="Times New Roman"/>
          <w:b/>
          <w:lang w:val="lt-LT"/>
        </w:rPr>
      </w:pPr>
    </w:p>
    <w:p w14:paraId="73A306FA" w14:textId="77777777" w:rsidR="00DC55CF" w:rsidRPr="00CC52A7" w:rsidRDefault="00DC55CF" w:rsidP="00DC55CF">
      <w:pPr>
        <w:numPr>
          <w:ilvl w:val="12"/>
          <w:numId w:val="0"/>
        </w:numPr>
        <w:overflowPunct w:val="0"/>
        <w:autoSpaceDE w:val="0"/>
        <w:autoSpaceDN w:val="0"/>
        <w:adjustRightInd w:val="0"/>
        <w:spacing w:after="0" w:line="240" w:lineRule="auto"/>
        <w:ind w:left="567" w:hanging="567"/>
        <w:contextualSpacing/>
        <w:textAlignment w:val="baseline"/>
        <w:outlineLvl w:val="0"/>
        <w:rPr>
          <w:rFonts w:ascii="Times New Roman" w:eastAsia="PMingLiU" w:hAnsi="Times New Roman" w:cs="Times New Roman"/>
          <w:b/>
          <w:lang w:val="lt-LT"/>
        </w:rPr>
      </w:pPr>
      <w:r w:rsidRPr="00CC52A7">
        <w:rPr>
          <w:rFonts w:ascii="Times New Roman" w:eastAsia="PMingLiU" w:hAnsi="Times New Roman" w:cs="Times New Roman"/>
          <w:b/>
          <w:lang w:val="lt-LT"/>
        </w:rPr>
        <w:t>Acic sudėtis</w:t>
      </w:r>
    </w:p>
    <w:p w14:paraId="73A306F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bCs/>
          <w:iCs/>
          <w:lang w:val="lt-LT"/>
        </w:rPr>
        <w:t>-        Veiklioji medžiaga yra acikloviras.</w:t>
      </w:r>
      <w:r w:rsidRPr="00CC52A7">
        <w:rPr>
          <w:rFonts w:ascii="Times New Roman" w:eastAsia="PMingLiU" w:hAnsi="Times New Roman" w:cs="Times New Roman"/>
          <w:lang w:val="lt-LT"/>
        </w:rPr>
        <w:t xml:space="preserve"> Vienoje tabletėje yra 400</w:t>
      </w:r>
      <w:r w:rsidR="004070A0">
        <w:rPr>
          <w:rFonts w:ascii="Times New Roman" w:eastAsia="PMingLiU" w:hAnsi="Times New Roman" w:cs="Times New Roman"/>
          <w:lang w:val="lt-LT"/>
        </w:rPr>
        <w:t> </w:t>
      </w:r>
      <w:r w:rsidRPr="00CC52A7">
        <w:rPr>
          <w:rFonts w:ascii="Times New Roman" w:eastAsia="PMingLiU" w:hAnsi="Times New Roman" w:cs="Times New Roman"/>
          <w:lang w:val="lt-LT"/>
        </w:rPr>
        <w:t>mg acikloviro.</w:t>
      </w:r>
    </w:p>
    <w:p w14:paraId="73A306F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         Pagalbinės medžiagos yra mikrokristalinė celiuliozė, kopovidonas, magnio stearatas, </w:t>
      </w:r>
    </w:p>
    <w:p w14:paraId="73A306F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karboksimetilkrakmolo A natrio druska, koloidinis bevandenis silicio dioksidas.</w:t>
      </w:r>
    </w:p>
    <w:p w14:paraId="73A306FE" w14:textId="77777777" w:rsidR="00DC55CF" w:rsidRPr="00CC52A7" w:rsidRDefault="00DC55CF" w:rsidP="00DC55CF">
      <w:pPr>
        <w:numPr>
          <w:ilvl w:val="12"/>
          <w:numId w:val="0"/>
        </w:numPr>
        <w:overflowPunct w:val="0"/>
        <w:autoSpaceDE w:val="0"/>
        <w:autoSpaceDN w:val="0"/>
        <w:adjustRightInd w:val="0"/>
        <w:spacing w:after="0" w:line="240" w:lineRule="auto"/>
        <w:ind w:left="567" w:hanging="567"/>
        <w:contextualSpacing/>
        <w:textAlignment w:val="baseline"/>
        <w:outlineLvl w:val="0"/>
        <w:rPr>
          <w:rFonts w:ascii="Times New Roman" w:eastAsia="PMingLiU" w:hAnsi="Times New Roman" w:cs="Times New Roman"/>
          <w:b/>
          <w:lang w:val="lt-LT"/>
        </w:rPr>
      </w:pPr>
    </w:p>
    <w:p w14:paraId="73A306FF" w14:textId="77777777" w:rsidR="00DC55CF" w:rsidRPr="00CC52A7" w:rsidRDefault="00DC55CF" w:rsidP="00DC55CF">
      <w:pPr>
        <w:numPr>
          <w:ilvl w:val="12"/>
          <w:numId w:val="0"/>
        </w:numPr>
        <w:overflowPunct w:val="0"/>
        <w:autoSpaceDE w:val="0"/>
        <w:autoSpaceDN w:val="0"/>
        <w:adjustRightInd w:val="0"/>
        <w:spacing w:after="0" w:line="240" w:lineRule="auto"/>
        <w:ind w:left="567" w:hanging="567"/>
        <w:contextualSpacing/>
        <w:textAlignment w:val="baseline"/>
        <w:outlineLvl w:val="0"/>
        <w:rPr>
          <w:rFonts w:ascii="Times New Roman" w:eastAsia="PMingLiU" w:hAnsi="Times New Roman" w:cs="Times New Roman"/>
          <w:b/>
          <w:lang w:val="lt-LT"/>
        </w:rPr>
      </w:pPr>
      <w:r w:rsidRPr="00CC52A7">
        <w:rPr>
          <w:rFonts w:ascii="Times New Roman" w:eastAsia="PMingLiU" w:hAnsi="Times New Roman" w:cs="Times New Roman"/>
          <w:b/>
          <w:lang w:val="lt-LT"/>
        </w:rPr>
        <w:t>Acic išvaizda ir kiekis pakuotėje</w:t>
      </w:r>
    </w:p>
    <w:p w14:paraId="73A30700"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Tabletės yra baltos</w:t>
      </w:r>
      <w:r w:rsidR="00803957">
        <w:rPr>
          <w:rFonts w:ascii="Times New Roman" w:eastAsia="PMingLiU" w:hAnsi="Times New Roman" w:cs="Times New Roman"/>
          <w:lang w:val="lt-LT"/>
        </w:rPr>
        <w:t>,</w:t>
      </w:r>
      <w:r w:rsidRPr="00CC52A7">
        <w:rPr>
          <w:rFonts w:ascii="Times New Roman" w:eastAsia="PMingLiU" w:hAnsi="Times New Roman" w:cs="Times New Roman"/>
          <w:lang w:val="lt-LT"/>
        </w:rPr>
        <w:t xml:space="preserve"> apvalios</w:t>
      </w:r>
      <w:r w:rsidR="00803957">
        <w:rPr>
          <w:rFonts w:ascii="Times New Roman" w:eastAsia="PMingLiU" w:hAnsi="Times New Roman" w:cs="Times New Roman"/>
          <w:lang w:val="lt-LT"/>
        </w:rPr>
        <w:t>,</w:t>
      </w:r>
      <w:r w:rsidRPr="00CC52A7">
        <w:rPr>
          <w:rFonts w:ascii="Times New Roman" w:eastAsia="PMingLiU" w:hAnsi="Times New Roman" w:cs="Times New Roman"/>
          <w:lang w:val="lt-LT"/>
        </w:rPr>
        <w:t xml:space="preserve"> išgaubtos</w:t>
      </w:r>
      <w:r w:rsidR="00803957">
        <w:rPr>
          <w:rFonts w:ascii="Times New Roman" w:eastAsia="PMingLiU" w:hAnsi="Times New Roman" w:cs="Times New Roman"/>
          <w:lang w:val="lt-LT"/>
        </w:rPr>
        <w:t>,</w:t>
      </w:r>
      <w:r w:rsidRPr="00CC52A7">
        <w:rPr>
          <w:rFonts w:ascii="Times New Roman" w:eastAsia="PMingLiU" w:hAnsi="Times New Roman" w:cs="Times New Roman"/>
          <w:lang w:val="lt-LT"/>
        </w:rPr>
        <w:t xml:space="preserve"> su kryžmine</w:t>
      </w:r>
      <w:r w:rsidRPr="00CC52A7">
        <w:rPr>
          <w:rFonts w:ascii="Times New Roman" w:eastAsia="PMingLiU" w:hAnsi="Times New Roman" w:cs="Times New Roman"/>
          <w:b/>
          <w:lang w:val="lt-LT"/>
        </w:rPr>
        <w:t xml:space="preserve"> </w:t>
      </w:r>
      <w:r w:rsidRPr="00CC52A7">
        <w:rPr>
          <w:rFonts w:ascii="Times New Roman" w:eastAsia="PMingLiU" w:hAnsi="Times New Roman" w:cs="Times New Roman"/>
          <w:lang w:val="lt-LT"/>
        </w:rPr>
        <w:t>laužimo vagele vienoje pusėje.</w:t>
      </w:r>
    </w:p>
    <w:p w14:paraId="73A30701"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lastRenderedPageBreak/>
        <w:t>Kryžminė vagelė skirta tik tabletei perlaužti, kad būtų lengviau nuryti, bet ne ją padalyti į lygias dozes.</w:t>
      </w:r>
    </w:p>
    <w:p w14:paraId="73A30702" w14:textId="77777777" w:rsidR="00DC55CF" w:rsidRPr="00CC52A7" w:rsidRDefault="00DC55CF" w:rsidP="00DC55CF">
      <w:pPr>
        <w:numPr>
          <w:ilvl w:val="12"/>
          <w:numId w:val="0"/>
        </w:numPr>
        <w:overflowPunct w:val="0"/>
        <w:autoSpaceDE w:val="0"/>
        <w:autoSpaceDN w:val="0"/>
        <w:adjustRightInd w:val="0"/>
        <w:spacing w:after="0" w:line="240" w:lineRule="auto"/>
        <w:ind w:left="567" w:hanging="567"/>
        <w:contextualSpacing/>
        <w:textAlignment w:val="baseline"/>
        <w:outlineLvl w:val="0"/>
        <w:rPr>
          <w:rFonts w:ascii="Times New Roman" w:eastAsia="PMingLiU" w:hAnsi="Times New Roman" w:cs="Times New Roman"/>
          <w:b/>
          <w:lang w:val="lt-LT"/>
        </w:rPr>
      </w:pPr>
    </w:p>
    <w:p w14:paraId="73A30703"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Pakuotė, kurioje yra 35 tabletės. Lizdinės plokštelės ir pakuotės lapelis įdėti į kartono dėžutę.</w:t>
      </w:r>
    </w:p>
    <w:p w14:paraId="73A30704" w14:textId="77777777" w:rsidR="00DC55CF" w:rsidRPr="00CC52A7" w:rsidRDefault="00DC55CF" w:rsidP="00DC55CF">
      <w:pPr>
        <w:numPr>
          <w:ilvl w:val="12"/>
          <w:numId w:val="0"/>
        </w:numPr>
        <w:overflowPunct w:val="0"/>
        <w:autoSpaceDE w:val="0"/>
        <w:autoSpaceDN w:val="0"/>
        <w:adjustRightInd w:val="0"/>
        <w:spacing w:after="0" w:line="240" w:lineRule="auto"/>
        <w:ind w:left="567" w:hanging="567"/>
        <w:contextualSpacing/>
        <w:textAlignment w:val="baseline"/>
        <w:outlineLvl w:val="0"/>
        <w:rPr>
          <w:rFonts w:ascii="Times New Roman" w:eastAsia="PMingLiU" w:hAnsi="Times New Roman" w:cs="Times New Roman"/>
          <w:lang w:val="lt-LT"/>
        </w:rPr>
      </w:pPr>
    </w:p>
    <w:p w14:paraId="73A30705"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Registruotojas</w:t>
      </w:r>
    </w:p>
    <w:p w14:paraId="73A3070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Sandoz d.d.</w:t>
      </w:r>
    </w:p>
    <w:p w14:paraId="73A30707"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Verovškova 57,</w:t>
      </w:r>
    </w:p>
    <w:p w14:paraId="73A30708"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1000 Ljubljana</w:t>
      </w:r>
    </w:p>
    <w:p w14:paraId="73A30709"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Slovėnija</w:t>
      </w:r>
    </w:p>
    <w:p w14:paraId="73A3070A"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lang w:val="lt-LT"/>
        </w:rPr>
      </w:pPr>
    </w:p>
    <w:p w14:paraId="73A3070B" w14:textId="77777777" w:rsidR="00DC55CF" w:rsidRPr="00CC52A7" w:rsidRDefault="00DC55CF" w:rsidP="00DC55CF">
      <w:pPr>
        <w:overflowPunct w:val="0"/>
        <w:autoSpaceDE w:val="0"/>
        <w:autoSpaceDN w:val="0"/>
        <w:adjustRightInd w:val="0"/>
        <w:spacing w:after="0" w:line="240" w:lineRule="auto"/>
        <w:ind w:left="567" w:hanging="567"/>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lang w:val="lt-LT"/>
        </w:rPr>
        <w:t>Gamintojas</w:t>
      </w:r>
    </w:p>
    <w:p w14:paraId="73A3070C"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Salutas Pharma GmbH </w:t>
      </w:r>
    </w:p>
    <w:p w14:paraId="73A3070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 xml:space="preserve">Otto-von-Guericke-Alee 1, </w:t>
      </w:r>
    </w:p>
    <w:p w14:paraId="73A3070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D-39179 Barleben,</w:t>
      </w:r>
    </w:p>
    <w:p w14:paraId="73A3070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Vokietija</w:t>
      </w:r>
    </w:p>
    <w:p w14:paraId="73A30710" w14:textId="77777777" w:rsidR="00DC55CF" w:rsidRPr="00CC52A7" w:rsidRDefault="00DC55CF" w:rsidP="00DC55CF">
      <w:pPr>
        <w:numPr>
          <w:ilvl w:val="12"/>
          <w:numId w:val="0"/>
        </w:numPr>
        <w:overflowPunct w:val="0"/>
        <w:autoSpaceDE w:val="0"/>
        <w:autoSpaceDN w:val="0"/>
        <w:adjustRightInd w:val="0"/>
        <w:spacing w:after="0" w:line="240" w:lineRule="auto"/>
        <w:ind w:left="567" w:hanging="567"/>
        <w:contextualSpacing/>
        <w:textAlignment w:val="baseline"/>
        <w:outlineLvl w:val="0"/>
        <w:rPr>
          <w:rFonts w:ascii="Times New Roman" w:eastAsia="PMingLiU" w:hAnsi="Times New Roman" w:cs="Times New Roman"/>
          <w:lang w:val="lt-LT"/>
        </w:rPr>
      </w:pPr>
    </w:p>
    <w:p w14:paraId="73A30711" w14:textId="77777777" w:rsidR="00DC55CF" w:rsidRPr="00CC52A7" w:rsidRDefault="00DC55CF" w:rsidP="00DC55CF">
      <w:pPr>
        <w:spacing w:after="0" w:line="240" w:lineRule="auto"/>
        <w:contextualSpacing/>
        <w:rPr>
          <w:rFonts w:ascii="Times New Roman" w:eastAsia="PMingLiU" w:hAnsi="Times New Roman" w:cs="Times New Roman"/>
          <w:lang w:val="lt-LT"/>
        </w:rPr>
      </w:pPr>
      <w:r w:rsidRPr="00CC52A7">
        <w:rPr>
          <w:rFonts w:ascii="Times New Roman" w:eastAsia="PMingLiU" w:hAnsi="Times New Roman" w:cs="Times New Roman"/>
          <w:lang w:val="lt-LT"/>
        </w:rPr>
        <w:t>Jeigu apie šį vaistą norite sužinoti daugiau, kreipkitės į vietinį registruotojo atstovą.</w:t>
      </w:r>
    </w:p>
    <w:p w14:paraId="73A30712" w14:textId="77777777" w:rsidR="00DC55CF" w:rsidRPr="00CC52A7" w:rsidRDefault="00DC55CF" w:rsidP="00DC55CF">
      <w:pPr>
        <w:spacing w:after="0" w:line="240" w:lineRule="auto"/>
        <w:contextualSpacing/>
        <w:rPr>
          <w:rFonts w:ascii="Times New Roman" w:eastAsia="PMingLiU" w:hAnsi="Times New Roman" w:cs="Times New Roman"/>
          <w:b/>
          <w:lang w:val="lt-LT"/>
        </w:rPr>
      </w:pPr>
    </w:p>
    <w:p w14:paraId="73A30713"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Sandoz Pharmaceuticals d.d. filialas</w:t>
      </w:r>
    </w:p>
    <w:p w14:paraId="73A30714"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Šeimyniškių g. 3A,</w:t>
      </w:r>
    </w:p>
    <w:p w14:paraId="73A30715"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Vilnius, LT</w:t>
      </w:r>
      <w:r w:rsidR="004070A0">
        <w:rPr>
          <w:rFonts w:ascii="Times New Roman" w:eastAsia="PMingLiU" w:hAnsi="Times New Roman" w:cs="Times New Roman"/>
          <w:lang w:val="lt-LT"/>
        </w:rPr>
        <w:t>-</w:t>
      </w:r>
      <w:r w:rsidRPr="00CC52A7">
        <w:rPr>
          <w:rFonts w:ascii="Times New Roman" w:eastAsia="PMingLiU" w:hAnsi="Times New Roman" w:cs="Times New Roman"/>
          <w:lang w:val="lt-LT"/>
        </w:rPr>
        <w:t xml:space="preserve">09312 </w:t>
      </w:r>
    </w:p>
    <w:p w14:paraId="73A30716"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Tel.: +370 5 263 60 37</w:t>
      </w:r>
    </w:p>
    <w:p w14:paraId="73A30717" w14:textId="77777777" w:rsidR="00DC55CF" w:rsidRPr="00CC52A7" w:rsidRDefault="00DC55CF" w:rsidP="00DC55CF">
      <w:pPr>
        <w:tabs>
          <w:tab w:val="left" w:pos="567"/>
        </w:tabs>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r w:rsidRPr="00CC52A7">
        <w:rPr>
          <w:rFonts w:ascii="Times New Roman" w:eastAsia="PMingLiU" w:hAnsi="Times New Roman" w:cs="Times New Roman"/>
          <w:lang w:val="lt-LT"/>
        </w:rPr>
        <w:t>Faksas: +370 5 263 60 36</w:t>
      </w:r>
    </w:p>
    <w:p w14:paraId="73A30718"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000000"/>
          <w:spacing w:val="-5"/>
          <w:lang w:val="lt-LT"/>
        </w:rPr>
      </w:pPr>
      <w:r w:rsidRPr="00CC52A7">
        <w:rPr>
          <w:rFonts w:ascii="Times New Roman" w:eastAsia="PMingLiU" w:hAnsi="Times New Roman" w:cs="Times New Roman"/>
          <w:lang w:val="lt-LT"/>
        </w:rPr>
        <w:t xml:space="preserve">El. pašto adresas: </w:t>
      </w:r>
      <w:r w:rsidRPr="00CC52A7">
        <w:rPr>
          <w:rFonts w:ascii="Times New Roman" w:eastAsia="Calibri" w:hAnsi="Times New Roman" w:cs="Times New Roman"/>
          <w:color w:val="000000"/>
          <w:spacing w:val="-5"/>
          <w:lang w:val="lt-LT"/>
        </w:rPr>
        <w:t>info.</w:t>
      </w:r>
      <w:hyperlink r:id="rId19" w:history="1">
        <w:r w:rsidRPr="00CC52A7">
          <w:rPr>
            <w:rFonts w:ascii="Times New Roman" w:eastAsia="Calibri" w:hAnsi="Times New Roman" w:cs="Times New Roman"/>
            <w:color w:val="0000FF"/>
            <w:spacing w:val="-5"/>
            <w:u w:val="single"/>
            <w:lang w:val="lt-LT"/>
          </w:rPr>
          <w:t>lithuania@sandoz.com</w:t>
        </w:r>
      </w:hyperlink>
    </w:p>
    <w:p w14:paraId="73A30719" w14:textId="77777777" w:rsidR="00DC55CF" w:rsidRPr="00CC52A7" w:rsidRDefault="00DC55CF" w:rsidP="00DC55CF">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000000"/>
          <w:spacing w:val="-5"/>
          <w:lang w:val="lt-LT"/>
        </w:rPr>
      </w:pPr>
      <w:r w:rsidRPr="00CC52A7">
        <w:rPr>
          <w:rFonts w:ascii="Times New Roman" w:eastAsia="Calibri" w:hAnsi="Times New Roman" w:cs="Times New Roman"/>
          <w:color w:val="000000"/>
          <w:spacing w:val="-5"/>
          <w:lang w:val="lt-LT"/>
        </w:rPr>
        <w:t>Nemokama linija pacientams +370 800 00877</w:t>
      </w:r>
    </w:p>
    <w:p w14:paraId="73A3071A"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p>
    <w:p w14:paraId="73A3071B"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p>
    <w:p w14:paraId="73A3071C" w14:textId="208BA42E"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b/>
          <w:lang w:val="lt-LT"/>
        </w:rPr>
      </w:pPr>
      <w:r w:rsidRPr="00CC52A7">
        <w:rPr>
          <w:rFonts w:ascii="Times New Roman" w:eastAsia="PMingLiU" w:hAnsi="Times New Roman" w:cs="Times New Roman"/>
          <w:b/>
          <w:bCs/>
          <w:lang w:val="lt-LT"/>
        </w:rPr>
        <w:t>Šis pakuotės lapelis</w:t>
      </w:r>
      <w:r w:rsidRPr="00CC52A7">
        <w:rPr>
          <w:rFonts w:ascii="Times New Roman" w:eastAsia="PMingLiU" w:hAnsi="Times New Roman" w:cs="Times New Roman"/>
          <w:b/>
          <w:lang w:val="lt-LT"/>
        </w:rPr>
        <w:t xml:space="preserve"> paskutinį kartą peržiūrėtas </w:t>
      </w:r>
      <w:r w:rsidR="00094389">
        <w:rPr>
          <w:rFonts w:ascii="Times New Roman" w:eastAsia="PMingLiU" w:hAnsi="Times New Roman" w:cs="Times New Roman"/>
          <w:b/>
          <w:lang w:val="lt-LT"/>
        </w:rPr>
        <w:t>2018-07-</w:t>
      </w:r>
      <w:r w:rsidR="00C01AF9">
        <w:rPr>
          <w:rFonts w:ascii="Times New Roman" w:eastAsia="PMingLiU" w:hAnsi="Times New Roman" w:cs="Times New Roman"/>
          <w:b/>
          <w:lang w:val="lt-LT"/>
        </w:rPr>
        <w:t>02</w:t>
      </w:r>
      <w:r w:rsidR="00094389">
        <w:rPr>
          <w:rFonts w:ascii="Times New Roman" w:eastAsia="PMingLiU" w:hAnsi="Times New Roman" w:cs="Times New Roman"/>
          <w:b/>
          <w:lang w:val="lt-LT"/>
        </w:rPr>
        <w:t>.</w:t>
      </w:r>
    </w:p>
    <w:p w14:paraId="73A3071D"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lang w:val="lt-LT"/>
        </w:rPr>
      </w:pPr>
    </w:p>
    <w:p w14:paraId="73A3071E"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color w:val="0000FF"/>
          <w:u w:val="single"/>
          <w:lang w:val="lt-LT"/>
        </w:rPr>
      </w:pPr>
      <w:r w:rsidRPr="00CC52A7">
        <w:rPr>
          <w:rFonts w:ascii="Times New Roman" w:eastAsia="PMingLiU" w:hAnsi="Times New Roman" w:cs="Times New Roman"/>
          <w:lang w:val="lt-LT"/>
        </w:rPr>
        <w:t>Išsami informacija apie šį vaistą pateikiama Valstybinės vaistų kontrolės tarnybos prie Lietuvos Respublikos sveikatos apsaugos ministerijos tinklalapyje</w:t>
      </w:r>
      <w:r w:rsidRPr="00CC52A7">
        <w:rPr>
          <w:rFonts w:ascii="Times New Roman" w:eastAsia="PMingLiU" w:hAnsi="Times New Roman" w:cs="Times New Roman"/>
          <w:i/>
          <w:lang w:val="lt-LT"/>
        </w:rPr>
        <w:t xml:space="preserve"> </w:t>
      </w:r>
      <w:hyperlink r:id="rId20" w:history="1">
        <w:r w:rsidRPr="00CC52A7">
          <w:rPr>
            <w:rFonts w:ascii="Times New Roman" w:eastAsia="PMingLiU" w:hAnsi="Times New Roman" w:cs="Times New Roman"/>
            <w:color w:val="0000FF"/>
            <w:u w:val="single"/>
            <w:lang w:val="lt-LT"/>
          </w:rPr>
          <w:t>http://www.vvkt.lt/</w:t>
        </w:r>
      </w:hyperlink>
      <w:r w:rsidRPr="00CC52A7">
        <w:rPr>
          <w:rFonts w:ascii="Times New Roman" w:eastAsia="PMingLiU" w:hAnsi="Times New Roman" w:cs="Times New Roman"/>
          <w:color w:val="0000FF"/>
          <w:u w:val="single"/>
          <w:lang w:val="lt-LT"/>
        </w:rPr>
        <w:t>.</w:t>
      </w:r>
    </w:p>
    <w:p w14:paraId="73A3071F" w14:textId="77777777" w:rsidR="00DC55CF" w:rsidRPr="00CC52A7" w:rsidRDefault="00DC55CF" w:rsidP="00DC55CF">
      <w:pPr>
        <w:overflowPunct w:val="0"/>
        <w:autoSpaceDE w:val="0"/>
        <w:autoSpaceDN w:val="0"/>
        <w:adjustRightInd w:val="0"/>
        <w:spacing w:after="0" w:line="240" w:lineRule="auto"/>
        <w:contextualSpacing/>
        <w:textAlignment w:val="baseline"/>
        <w:rPr>
          <w:rFonts w:ascii="Times New Roman" w:eastAsia="PMingLiU" w:hAnsi="Times New Roman" w:cs="Times New Roman"/>
          <w:color w:val="0000FF"/>
          <w:lang w:val="lt-LT"/>
        </w:rPr>
      </w:pPr>
      <w:bookmarkStart w:id="0" w:name="_GoBack"/>
      <w:bookmarkEnd w:id="0"/>
    </w:p>
    <w:p w14:paraId="73A30723" w14:textId="77777777" w:rsidR="005F0E56" w:rsidRPr="00CC52A7" w:rsidRDefault="005F0E56" w:rsidP="00DC55CF">
      <w:pPr>
        <w:spacing w:after="0" w:line="240" w:lineRule="auto"/>
        <w:contextualSpacing/>
        <w:rPr>
          <w:rFonts w:ascii="Times New Roman" w:hAnsi="Times New Roman" w:cs="Times New Roman"/>
          <w:sz w:val="20"/>
          <w:szCs w:val="20"/>
          <w:lang w:val="lt-LT"/>
        </w:rPr>
      </w:pPr>
    </w:p>
    <w:sectPr w:rsidR="005F0E56" w:rsidRPr="00CC52A7" w:rsidSect="00DC55CF">
      <w:footerReference w:type="default" r:id="rId21"/>
      <w:pgSz w:w="11906" w:h="16838"/>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B8A13" w14:textId="77777777" w:rsidR="008C7D5A" w:rsidRDefault="008C7D5A">
      <w:pPr>
        <w:spacing w:after="0" w:line="240" w:lineRule="auto"/>
      </w:pPr>
      <w:r>
        <w:separator/>
      </w:r>
    </w:p>
  </w:endnote>
  <w:endnote w:type="continuationSeparator" w:id="0">
    <w:p w14:paraId="061AAA0C" w14:textId="77777777" w:rsidR="008C7D5A" w:rsidRDefault="008C7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072A" w14:textId="66A937F7" w:rsidR="00C82AC4" w:rsidRPr="0095359B" w:rsidRDefault="00C82AC4">
    <w:pPr>
      <w:pStyle w:val="Porat"/>
      <w:framePr w:wrap="auto" w:vAnchor="text" w:hAnchor="margin" w:xAlign="right" w:y="1"/>
      <w:rPr>
        <w:rStyle w:val="Puslapionumeris"/>
        <w:sz w:val="22"/>
        <w:szCs w:val="22"/>
      </w:rPr>
    </w:pPr>
    <w:r w:rsidRPr="0095359B">
      <w:rPr>
        <w:rStyle w:val="Puslapionumeris"/>
        <w:sz w:val="22"/>
        <w:szCs w:val="22"/>
      </w:rPr>
      <w:fldChar w:fldCharType="begin"/>
    </w:r>
    <w:r w:rsidRPr="0095359B">
      <w:rPr>
        <w:rStyle w:val="Puslapionumeris"/>
        <w:sz w:val="22"/>
        <w:szCs w:val="22"/>
      </w:rPr>
      <w:instrText xml:space="preserve">PAGE  </w:instrText>
    </w:r>
    <w:r w:rsidRPr="0095359B">
      <w:rPr>
        <w:rStyle w:val="Puslapionumeris"/>
        <w:sz w:val="22"/>
        <w:szCs w:val="22"/>
      </w:rPr>
      <w:fldChar w:fldCharType="separate"/>
    </w:r>
    <w:r w:rsidR="00481A84">
      <w:rPr>
        <w:rStyle w:val="Puslapionumeris"/>
        <w:noProof/>
        <w:sz w:val="22"/>
        <w:szCs w:val="22"/>
      </w:rPr>
      <w:t>23</w:t>
    </w:r>
    <w:r w:rsidRPr="0095359B">
      <w:rPr>
        <w:rStyle w:val="Puslapionumeris"/>
        <w:sz w:val="22"/>
        <w:szCs w:val="22"/>
      </w:rPr>
      <w:fldChar w:fldCharType="end"/>
    </w:r>
  </w:p>
  <w:p w14:paraId="73A3072B" w14:textId="77777777" w:rsidR="00C82AC4" w:rsidRDefault="00C82AC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9473F" w14:textId="77777777" w:rsidR="008C7D5A" w:rsidRDefault="008C7D5A">
      <w:pPr>
        <w:spacing w:after="0" w:line="240" w:lineRule="auto"/>
      </w:pPr>
      <w:r>
        <w:separator/>
      </w:r>
    </w:p>
  </w:footnote>
  <w:footnote w:type="continuationSeparator" w:id="0">
    <w:p w14:paraId="3FFE46DD" w14:textId="77777777" w:rsidR="008C7D5A" w:rsidRDefault="008C7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801CDC"/>
    <w:lvl w:ilvl="0">
      <w:numFmt w:val="decimal"/>
      <w:lvlText w:val="*"/>
      <w:lvlJc w:val="left"/>
      <w:rPr>
        <w:rFonts w:cs="Times New Roman"/>
      </w:rPr>
    </w:lvl>
  </w:abstractNum>
  <w:abstractNum w:abstractNumId="1" w15:restartNumberingAfterBreak="0">
    <w:nsid w:val="088F11FA"/>
    <w:multiLevelType w:val="hybridMultilevel"/>
    <w:tmpl w:val="ABA6806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99B27EC"/>
    <w:multiLevelType w:val="hybridMultilevel"/>
    <w:tmpl w:val="3AD427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3628CD"/>
    <w:multiLevelType w:val="hybridMultilevel"/>
    <w:tmpl w:val="E54E83E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0DF93B09"/>
    <w:multiLevelType w:val="hybridMultilevel"/>
    <w:tmpl w:val="0E66ACD4"/>
    <w:lvl w:ilvl="0" w:tplc="D114A26A">
      <w:numFmt w:val="bullet"/>
      <w:lvlText w:val="-"/>
      <w:lvlJc w:val="left"/>
      <w:pPr>
        <w:ind w:left="360" w:hanging="360"/>
      </w:pPr>
      <w:rPr>
        <w:rFonts w:ascii="Calibri" w:eastAsia="Calibri" w:hAnsi="Calibri" w:cstheme="minorBidi"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FBC2210"/>
    <w:multiLevelType w:val="hybridMultilevel"/>
    <w:tmpl w:val="FD88F20A"/>
    <w:lvl w:ilvl="0" w:tplc="D114A26A">
      <w:numFmt w:val="bullet"/>
      <w:lvlText w:val="-"/>
      <w:lvlJc w:val="left"/>
      <w:pPr>
        <w:ind w:left="720" w:hanging="360"/>
      </w:pPr>
      <w:rPr>
        <w:rFonts w:ascii="Calibri" w:eastAsia="Calibr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2757C8A"/>
    <w:multiLevelType w:val="hybridMultilevel"/>
    <w:tmpl w:val="1534E9E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3D0B1A9B"/>
    <w:multiLevelType w:val="hybridMultilevel"/>
    <w:tmpl w:val="CCD22028"/>
    <w:lvl w:ilvl="0" w:tplc="234EE876">
      <w:start w:val="6"/>
      <w:numFmt w:val="bullet"/>
      <w:lvlText w:val="-"/>
      <w:lvlJc w:val="left"/>
      <w:pPr>
        <w:ind w:left="360" w:hanging="360"/>
      </w:pPr>
      <w:rPr>
        <w:rFonts w:ascii="Times New Roman" w:eastAsia="Times New Roman" w:hAnsi="Times New Roman" w:hint="default"/>
        <w:color w:val="auto"/>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47333795"/>
    <w:multiLevelType w:val="hybridMultilevel"/>
    <w:tmpl w:val="F00EFB2A"/>
    <w:lvl w:ilvl="0" w:tplc="D114A26A">
      <w:numFmt w:val="bullet"/>
      <w:lvlText w:val="-"/>
      <w:lvlJc w:val="left"/>
      <w:pPr>
        <w:ind w:left="720" w:hanging="360"/>
      </w:pPr>
      <w:rPr>
        <w:rFonts w:ascii="Calibri" w:eastAsia="Calibr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27359C1"/>
    <w:multiLevelType w:val="hybridMultilevel"/>
    <w:tmpl w:val="F598925E"/>
    <w:lvl w:ilvl="0" w:tplc="940C3C36">
      <w:start w:val="1"/>
      <w:numFmt w:val="bullet"/>
      <w:lvlText w:val=""/>
      <w:lvlJc w:val="left"/>
      <w:pPr>
        <w:tabs>
          <w:tab w:val="num" w:pos="644"/>
        </w:tabs>
        <w:ind w:left="624" w:hanging="34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F61563"/>
    <w:multiLevelType w:val="hybridMultilevel"/>
    <w:tmpl w:val="D7383244"/>
    <w:lvl w:ilvl="0" w:tplc="234EE876">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105DF5"/>
    <w:multiLevelType w:val="singleLevel"/>
    <w:tmpl w:val="FF341C06"/>
    <w:lvl w:ilvl="0">
      <w:start w:val="2"/>
      <w:numFmt w:val="decimal"/>
      <w:lvlText w:val="%1. "/>
      <w:legacy w:legacy="1" w:legacySpace="0" w:legacyIndent="283"/>
      <w:lvlJc w:val="left"/>
      <w:pPr>
        <w:ind w:left="567" w:hanging="283"/>
      </w:pPr>
      <w:rPr>
        <w:rFonts w:ascii="TimesLT" w:hAnsi="TimesLT" w:cs="Times New Roman" w:hint="default"/>
        <w:b w:val="0"/>
        <w:i w:val="0"/>
        <w:sz w:val="22"/>
        <w:szCs w:val="22"/>
        <w:u w:val="none"/>
      </w:rPr>
    </w:lvl>
  </w:abstractNum>
  <w:abstractNum w:abstractNumId="12" w15:restartNumberingAfterBreak="0">
    <w:nsid w:val="705D7786"/>
    <w:multiLevelType w:val="hybridMultilevel"/>
    <w:tmpl w:val="3854445E"/>
    <w:lvl w:ilvl="0" w:tplc="59964EE6">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70680388"/>
    <w:multiLevelType w:val="hybridMultilevel"/>
    <w:tmpl w:val="61BE14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7F82B39"/>
    <w:multiLevelType w:val="hybridMultilevel"/>
    <w:tmpl w:val="E870BB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8E9503C"/>
    <w:multiLevelType w:val="hybridMultilevel"/>
    <w:tmpl w:val="84229CB2"/>
    <w:lvl w:ilvl="0" w:tplc="67522004">
      <w:start w:val="1"/>
      <w:numFmt w:val="bullet"/>
      <w:lvlText w:val=""/>
      <w:lvlJc w:val="left"/>
      <w:pPr>
        <w:tabs>
          <w:tab w:val="num" w:pos="777"/>
        </w:tabs>
        <w:ind w:left="70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360BD4"/>
    <w:multiLevelType w:val="hybridMultilevel"/>
    <w:tmpl w:val="DD465C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5"/>
  </w:num>
  <w:num w:numId="3">
    <w:abstractNumId w:val="9"/>
  </w:num>
  <w:num w:numId="4">
    <w:abstractNumId w:val="14"/>
  </w:num>
  <w:num w:numId="5">
    <w:abstractNumId w:val="10"/>
  </w:num>
  <w:num w:numId="6">
    <w:abstractNumId w:val="16"/>
  </w:num>
  <w:num w:numId="7">
    <w:abstractNumId w:val="8"/>
  </w:num>
  <w:num w:numId="8">
    <w:abstractNumId w:val="4"/>
  </w:num>
  <w:num w:numId="9">
    <w:abstractNumId w:val="7"/>
  </w:num>
  <w:num w:numId="10">
    <w:abstractNumId w:val="5"/>
  </w:num>
  <w:num w:numId="11">
    <w:abstractNumId w:val="1"/>
  </w:num>
  <w:num w:numId="12">
    <w:abstractNumId w:val="13"/>
  </w:num>
  <w:num w:numId="13">
    <w:abstractNumId w:val="6"/>
  </w:num>
  <w:num w:numId="14">
    <w:abstractNumId w:val="3"/>
  </w:num>
  <w:num w:numId="15">
    <w:abstractNumId w:val="2"/>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5CF"/>
    <w:rsid w:val="00094389"/>
    <w:rsid w:val="001B094F"/>
    <w:rsid w:val="00202982"/>
    <w:rsid w:val="002D4817"/>
    <w:rsid w:val="00311CA3"/>
    <w:rsid w:val="00360E65"/>
    <w:rsid w:val="003B1A9F"/>
    <w:rsid w:val="003D26AC"/>
    <w:rsid w:val="004070A0"/>
    <w:rsid w:val="004406D7"/>
    <w:rsid w:val="00481A84"/>
    <w:rsid w:val="00490EBF"/>
    <w:rsid w:val="004B69BD"/>
    <w:rsid w:val="00592D4E"/>
    <w:rsid w:val="00597414"/>
    <w:rsid w:val="005F0E56"/>
    <w:rsid w:val="00665B6B"/>
    <w:rsid w:val="006D5768"/>
    <w:rsid w:val="007C5A3D"/>
    <w:rsid w:val="007D3F09"/>
    <w:rsid w:val="00801248"/>
    <w:rsid w:val="00803957"/>
    <w:rsid w:val="0084194E"/>
    <w:rsid w:val="00850C8A"/>
    <w:rsid w:val="00867881"/>
    <w:rsid w:val="008C7D5A"/>
    <w:rsid w:val="009510A3"/>
    <w:rsid w:val="00997F94"/>
    <w:rsid w:val="009D7277"/>
    <w:rsid w:val="00AF3BC3"/>
    <w:rsid w:val="00BB7AAD"/>
    <w:rsid w:val="00C01AF9"/>
    <w:rsid w:val="00C82AC4"/>
    <w:rsid w:val="00CC52A7"/>
    <w:rsid w:val="00D25C12"/>
    <w:rsid w:val="00DA2D32"/>
    <w:rsid w:val="00DC55CF"/>
    <w:rsid w:val="00E17B93"/>
    <w:rsid w:val="00F677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03E1"/>
  <w15:docId w15:val="{FD94697D-91C3-4485-BE3E-183EF575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DC55CF"/>
    <w:pPr>
      <w:keepNext/>
      <w:overflowPunct w:val="0"/>
      <w:autoSpaceDE w:val="0"/>
      <w:autoSpaceDN w:val="0"/>
      <w:adjustRightInd w:val="0"/>
      <w:spacing w:after="0" w:line="360" w:lineRule="auto"/>
      <w:textAlignment w:val="baseline"/>
      <w:outlineLvl w:val="0"/>
    </w:pPr>
    <w:rPr>
      <w:rFonts w:ascii="Times New Roman" w:eastAsia="PMingLiU" w:hAnsi="Times New Roman" w:cs="Times New Roman"/>
      <w:i/>
      <w:iCs/>
      <w:sz w:val="24"/>
      <w:szCs w:val="20"/>
      <w:lang w:val="lt-LT"/>
    </w:rPr>
  </w:style>
  <w:style w:type="paragraph" w:styleId="Antrat2">
    <w:name w:val="heading 2"/>
    <w:basedOn w:val="prastasis"/>
    <w:next w:val="prastasis"/>
    <w:link w:val="Antrat2Diagrama"/>
    <w:qFormat/>
    <w:rsid w:val="00DC55CF"/>
    <w:pPr>
      <w:keepNext/>
      <w:overflowPunct w:val="0"/>
      <w:autoSpaceDE w:val="0"/>
      <w:autoSpaceDN w:val="0"/>
      <w:adjustRightInd w:val="0"/>
      <w:spacing w:after="0" w:line="360" w:lineRule="auto"/>
      <w:jc w:val="both"/>
      <w:textAlignment w:val="baseline"/>
      <w:outlineLvl w:val="1"/>
    </w:pPr>
    <w:rPr>
      <w:rFonts w:ascii="Times New Roman" w:eastAsia="PMingLiU" w:hAnsi="Times New Roman" w:cs="Times New Roman"/>
      <w:i/>
      <w:iCs/>
      <w:sz w:val="24"/>
      <w:szCs w:val="20"/>
      <w:lang w:val="lt-LT"/>
    </w:rPr>
  </w:style>
  <w:style w:type="paragraph" w:styleId="Antrat3">
    <w:name w:val="heading 3"/>
    <w:basedOn w:val="prastasis"/>
    <w:next w:val="prastasis"/>
    <w:link w:val="Antrat3Diagrama"/>
    <w:qFormat/>
    <w:rsid w:val="00DC55CF"/>
    <w:pPr>
      <w:keepNext/>
      <w:overflowPunct w:val="0"/>
      <w:autoSpaceDE w:val="0"/>
      <w:autoSpaceDN w:val="0"/>
      <w:adjustRightInd w:val="0"/>
      <w:spacing w:after="0" w:line="360" w:lineRule="auto"/>
      <w:jc w:val="both"/>
      <w:textAlignment w:val="baseline"/>
      <w:outlineLvl w:val="2"/>
    </w:pPr>
    <w:rPr>
      <w:rFonts w:ascii="Times New Roman" w:eastAsia="PMingLiU" w:hAnsi="Times New Roman" w:cs="Times New Roman"/>
      <w:i/>
      <w:iCs/>
      <w:sz w:val="24"/>
      <w:szCs w:val="20"/>
      <w:u w:val="single"/>
      <w:lang w:val="lt-LT"/>
    </w:rPr>
  </w:style>
  <w:style w:type="paragraph" w:styleId="Antrat4">
    <w:name w:val="heading 4"/>
    <w:basedOn w:val="prastasis"/>
    <w:next w:val="prastasis"/>
    <w:link w:val="Antrat4Diagrama"/>
    <w:uiPriority w:val="9"/>
    <w:unhideWhenUsed/>
    <w:qFormat/>
    <w:rsid w:val="00DC55CF"/>
    <w:pPr>
      <w:keepNext/>
      <w:keepLines/>
      <w:overflowPunct w:val="0"/>
      <w:autoSpaceDE w:val="0"/>
      <w:autoSpaceDN w:val="0"/>
      <w:adjustRightInd w:val="0"/>
      <w:spacing w:before="200" w:after="0" w:line="240" w:lineRule="auto"/>
      <w:textAlignment w:val="baseline"/>
      <w:outlineLvl w:val="3"/>
    </w:pPr>
    <w:rPr>
      <w:rFonts w:asciiTheme="majorHAnsi" w:eastAsiaTheme="majorEastAsia" w:hAnsiTheme="majorHAnsi" w:cstheme="majorBidi"/>
      <w:b/>
      <w:bCs/>
      <w:i/>
      <w:iCs/>
      <w:color w:val="4F81BD" w:themeColor="accent1"/>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C55CF"/>
    <w:rPr>
      <w:rFonts w:ascii="Times New Roman" w:eastAsia="PMingLiU" w:hAnsi="Times New Roman" w:cs="Times New Roman"/>
      <w:i/>
      <w:iCs/>
      <w:sz w:val="24"/>
      <w:szCs w:val="20"/>
      <w:lang w:val="lt-LT"/>
    </w:rPr>
  </w:style>
  <w:style w:type="character" w:customStyle="1" w:styleId="Antrat2Diagrama">
    <w:name w:val="Antraštė 2 Diagrama"/>
    <w:basedOn w:val="Numatytasispastraiposriftas"/>
    <w:link w:val="Antrat2"/>
    <w:rsid w:val="00DC55CF"/>
    <w:rPr>
      <w:rFonts w:ascii="Times New Roman" w:eastAsia="PMingLiU" w:hAnsi="Times New Roman" w:cs="Times New Roman"/>
      <w:i/>
      <w:iCs/>
      <w:sz w:val="24"/>
      <w:szCs w:val="20"/>
      <w:lang w:val="lt-LT"/>
    </w:rPr>
  </w:style>
  <w:style w:type="character" w:customStyle="1" w:styleId="Antrat3Diagrama">
    <w:name w:val="Antraštė 3 Diagrama"/>
    <w:basedOn w:val="Numatytasispastraiposriftas"/>
    <w:link w:val="Antrat3"/>
    <w:rsid w:val="00DC55CF"/>
    <w:rPr>
      <w:rFonts w:ascii="Times New Roman" w:eastAsia="PMingLiU" w:hAnsi="Times New Roman" w:cs="Times New Roman"/>
      <w:i/>
      <w:iCs/>
      <w:sz w:val="24"/>
      <w:szCs w:val="20"/>
      <w:u w:val="single"/>
      <w:lang w:val="lt-LT"/>
    </w:rPr>
  </w:style>
  <w:style w:type="character" w:customStyle="1" w:styleId="Antrat4Diagrama">
    <w:name w:val="Antraštė 4 Diagrama"/>
    <w:basedOn w:val="Numatytasispastraiposriftas"/>
    <w:link w:val="Antrat4"/>
    <w:uiPriority w:val="9"/>
    <w:rsid w:val="00DC55CF"/>
    <w:rPr>
      <w:rFonts w:asciiTheme="majorHAnsi" w:eastAsiaTheme="majorEastAsia" w:hAnsiTheme="majorHAnsi" w:cstheme="majorBidi"/>
      <w:b/>
      <w:bCs/>
      <w:i/>
      <w:iCs/>
      <w:color w:val="4F81BD" w:themeColor="accent1"/>
      <w:sz w:val="24"/>
      <w:szCs w:val="20"/>
      <w:lang w:val="lt-LT"/>
    </w:rPr>
  </w:style>
  <w:style w:type="numbering" w:customStyle="1" w:styleId="NoList1">
    <w:name w:val="No List1"/>
    <w:next w:val="Sraonra"/>
    <w:uiPriority w:val="99"/>
    <w:semiHidden/>
    <w:unhideWhenUsed/>
    <w:rsid w:val="00DC55CF"/>
  </w:style>
  <w:style w:type="paragraph" w:customStyle="1" w:styleId="Style1">
    <w:name w:val="Style1"/>
    <w:basedOn w:val="Pagrindinistekstas"/>
    <w:rsid w:val="00DC55CF"/>
    <w:pPr>
      <w:spacing w:after="0" w:line="360" w:lineRule="auto"/>
      <w:jc w:val="both"/>
    </w:pPr>
  </w:style>
  <w:style w:type="paragraph" w:styleId="Pagrindinistekstas">
    <w:name w:val="Body Text"/>
    <w:basedOn w:val="prastasis"/>
    <w:link w:val="PagrindinistekstasDiagrama"/>
    <w:rsid w:val="00DC55CF"/>
    <w:pPr>
      <w:overflowPunct w:val="0"/>
      <w:autoSpaceDE w:val="0"/>
      <w:autoSpaceDN w:val="0"/>
      <w:adjustRightInd w:val="0"/>
      <w:spacing w:after="120" w:line="240" w:lineRule="auto"/>
      <w:textAlignment w:val="baseline"/>
    </w:pPr>
    <w:rPr>
      <w:rFonts w:ascii="Times New Roman" w:eastAsia="PMingLiU"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DC55CF"/>
    <w:rPr>
      <w:rFonts w:ascii="Times New Roman" w:eastAsia="PMingLiU" w:hAnsi="Times New Roman" w:cs="Times New Roman"/>
      <w:sz w:val="24"/>
      <w:szCs w:val="20"/>
      <w:lang w:val="lt-LT"/>
    </w:rPr>
  </w:style>
  <w:style w:type="paragraph" w:styleId="Porat">
    <w:name w:val="footer"/>
    <w:basedOn w:val="prastasis"/>
    <w:link w:val="PoratDiagrama"/>
    <w:rsid w:val="00DC55CF"/>
    <w:pPr>
      <w:tabs>
        <w:tab w:val="center" w:pos="4153"/>
        <w:tab w:val="right" w:pos="8306"/>
      </w:tabs>
      <w:overflowPunct w:val="0"/>
      <w:autoSpaceDE w:val="0"/>
      <w:autoSpaceDN w:val="0"/>
      <w:adjustRightInd w:val="0"/>
      <w:spacing w:after="0" w:line="240" w:lineRule="auto"/>
      <w:textAlignment w:val="baseline"/>
    </w:pPr>
    <w:rPr>
      <w:rFonts w:ascii="Times New Roman" w:eastAsia="PMingLiU" w:hAnsi="Times New Roman" w:cs="Times New Roman"/>
      <w:sz w:val="24"/>
      <w:szCs w:val="20"/>
      <w:lang w:val="lt-LT"/>
    </w:rPr>
  </w:style>
  <w:style w:type="character" w:customStyle="1" w:styleId="PoratDiagrama">
    <w:name w:val="Poraštė Diagrama"/>
    <w:basedOn w:val="Numatytasispastraiposriftas"/>
    <w:link w:val="Porat"/>
    <w:rsid w:val="00DC55CF"/>
    <w:rPr>
      <w:rFonts w:ascii="Times New Roman" w:eastAsia="PMingLiU" w:hAnsi="Times New Roman" w:cs="Times New Roman"/>
      <w:sz w:val="24"/>
      <w:szCs w:val="20"/>
      <w:lang w:val="lt-LT"/>
    </w:rPr>
  </w:style>
  <w:style w:type="character" w:styleId="Puslapionumeris">
    <w:name w:val="page number"/>
    <w:basedOn w:val="Numatytasispastraiposriftas"/>
    <w:rsid w:val="00DC55CF"/>
    <w:rPr>
      <w:rFonts w:cs="Times New Roman"/>
    </w:rPr>
  </w:style>
  <w:style w:type="paragraph" w:styleId="Antrats">
    <w:name w:val="header"/>
    <w:basedOn w:val="prastasis"/>
    <w:link w:val="AntratsDiagrama"/>
    <w:rsid w:val="00DC55CF"/>
    <w:pPr>
      <w:tabs>
        <w:tab w:val="center" w:pos="4153"/>
        <w:tab w:val="right" w:pos="8306"/>
      </w:tabs>
      <w:overflowPunct w:val="0"/>
      <w:autoSpaceDE w:val="0"/>
      <w:autoSpaceDN w:val="0"/>
      <w:adjustRightInd w:val="0"/>
      <w:spacing w:after="0" w:line="240" w:lineRule="auto"/>
      <w:textAlignment w:val="baseline"/>
    </w:pPr>
    <w:rPr>
      <w:rFonts w:ascii="TimesLT" w:eastAsia="PMingLiU" w:hAnsi="TimesLT" w:cs="Times New Roman"/>
      <w:sz w:val="24"/>
      <w:szCs w:val="20"/>
    </w:rPr>
  </w:style>
  <w:style w:type="character" w:customStyle="1" w:styleId="AntratsDiagrama">
    <w:name w:val="Antraštės Diagrama"/>
    <w:basedOn w:val="Numatytasispastraiposriftas"/>
    <w:link w:val="Antrats"/>
    <w:rsid w:val="00DC55CF"/>
    <w:rPr>
      <w:rFonts w:ascii="TimesLT" w:eastAsia="PMingLiU" w:hAnsi="TimesLT" w:cs="Times New Roman"/>
      <w:sz w:val="24"/>
      <w:szCs w:val="20"/>
    </w:rPr>
  </w:style>
  <w:style w:type="paragraph" w:customStyle="1" w:styleId="BT-EMEASMCA">
    <w:name w:val="BT- EMEA_SMCA"/>
    <w:basedOn w:val="prastasis"/>
    <w:autoRedefine/>
    <w:rsid w:val="00DC55CF"/>
    <w:pPr>
      <w:spacing w:after="0" w:line="240" w:lineRule="auto"/>
    </w:pPr>
    <w:rPr>
      <w:rFonts w:ascii="Times New Roman" w:eastAsia="PMingLiU" w:hAnsi="Times New Roman" w:cs="Times New Roman"/>
      <w:noProof/>
      <w:lang w:val="lt-LT"/>
    </w:rPr>
  </w:style>
  <w:style w:type="paragraph" w:customStyle="1" w:styleId="BTEMEASMCA">
    <w:name w:val="BT EMEA_SMCA"/>
    <w:basedOn w:val="prastasis"/>
    <w:link w:val="BTEMEASMCAChar"/>
    <w:autoRedefine/>
    <w:rsid w:val="00DC55CF"/>
    <w:pPr>
      <w:spacing w:after="0" w:line="240" w:lineRule="auto"/>
    </w:pPr>
    <w:rPr>
      <w:rFonts w:ascii="Times New Roman" w:eastAsia="PMingLiU" w:hAnsi="Times New Roman" w:cs="Times New Roman"/>
      <w:b/>
      <w:noProof/>
      <w:lang w:val="lt-LT"/>
    </w:rPr>
  </w:style>
  <w:style w:type="character" w:customStyle="1" w:styleId="BTEMEASMCAChar">
    <w:name w:val="BT EMEA_SMCA Char"/>
    <w:link w:val="BTEMEASMCA"/>
    <w:locked/>
    <w:rsid w:val="00DC55CF"/>
    <w:rPr>
      <w:rFonts w:ascii="Times New Roman" w:eastAsia="PMingLiU" w:hAnsi="Times New Roman" w:cs="Times New Roman"/>
      <w:b/>
      <w:noProof/>
      <w:lang w:val="lt-LT"/>
    </w:rPr>
  </w:style>
  <w:style w:type="character" w:styleId="Hipersaitas">
    <w:name w:val="Hyperlink"/>
    <w:basedOn w:val="Numatytasispastraiposriftas"/>
    <w:rsid w:val="00DC55CF"/>
    <w:rPr>
      <w:rFonts w:cs="Times New Roman"/>
      <w:color w:val="0000FF"/>
      <w:u w:val="single"/>
    </w:rPr>
  </w:style>
  <w:style w:type="paragraph" w:styleId="Komentarotekstas">
    <w:name w:val="annotation text"/>
    <w:basedOn w:val="prastasis"/>
    <w:link w:val="KomentarotekstasDiagrama"/>
    <w:rsid w:val="00DC55CF"/>
    <w:pPr>
      <w:spacing w:after="0" w:line="240" w:lineRule="auto"/>
    </w:pPr>
    <w:rPr>
      <w:rFonts w:ascii="Times New Roman" w:eastAsia="PMingLiU"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rsid w:val="00DC55CF"/>
    <w:rPr>
      <w:rFonts w:ascii="Times New Roman" w:eastAsia="PMingLiU" w:hAnsi="Times New Roman" w:cs="Times New Roman"/>
      <w:sz w:val="20"/>
      <w:szCs w:val="20"/>
      <w:lang w:val="lt-LT" w:eastAsia="lt-LT"/>
    </w:rPr>
  </w:style>
  <w:style w:type="paragraph" w:customStyle="1" w:styleId="ListParagraph1">
    <w:name w:val="List Paragraph1"/>
    <w:basedOn w:val="prastasis"/>
    <w:rsid w:val="00DC55CF"/>
    <w:pPr>
      <w:overflowPunct w:val="0"/>
      <w:autoSpaceDE w:val="0"/>
      <w:autoSpaceDN w:val="0"/>
      <w:adjustRightInd w:val="0"/>
      <w:spacing w:after="0" w:line="240" w:lineRule="auto"/>
      <w:ind w:left="720"/>
      <w:contextualSpacing/>
      <w:textAlignment w:val="baseline"/>
    </w:pPr>
    <w:rPr>
      <w:rFonts w:ascii="Times New Roman" w:eastAsia="PMingLiU" w:hAnsi="Times New Roman" w:cs="Times New Roman"/>
      <w:sz w:val="24"/>
      <w:szCs w:val="20"/>
      <w:lang w:val="lt-LT"/>
    </w:rPr>
  </w:style>
  <w:style w:type="paragraph" w:styleId="Debesliotekstas">
    <w:name w:val="Balloon Text"/>
    <w:basedOn w:val="prastasis"/>
    <w:link w:val="DebesliotekstasDiagrama"/>
    <w:uiPriority w:val="99"/>
    <w:semiHidden/>
    <w:unhideWhenUsed/>
    <w:rsid w:val="00DC55CF"/>
    <w:pPr>
      <w:overflowPunct w:val="0"/>
      <w:autoSpaceDE w:val="0"/>
      <w:autoSpaceDN w:val="0"/>
      <w:adjustRightInd w:val="0"/>
      <w:spacing w:after="0" w:line="240" w:lineRule="auto"/>
      <w:textAlignment w:val="baseline"/>
    </w:pPr>
    <w:rPr>
      <w:rFonts w:ascii="Tahoma" w:eastAsia="PMingLiU"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DC55CF"/>
    <w:rPr>
      <w:rFonts w:ascii="Tahoma" w:eastAsia="PMingLiU" w:hAnsi="Tahoma" w:cs="Tahoma"/>
      <w:sz w:val="16"/>
      <w:szCs w:val="16"/>
      <w:lang w:val="lt-LT"/>
    </w:rPr>
  </w:style>
  <w:style w:type="paragraph" w:styleId="Sraopastraipa">
    <w:name w:val="List Paragraph"/>
    <w:basedOn w:val="prastasis"/>
    <w:uiPriority w:val="34"/>
    <w:qFormat/>
    <w:rsid w:val="00DC55CF"/>
    <w:pPr>
      <w:overflowPunct w:val="0"/>
      <w:autoSpaceDE w:val="0"/>
      <w:autoSpaceDN w:val="0"/>
      <w:adjustRightInd w:val="0"/>
      <w:spacing w:after="0" w:line="240" w:lineRule="auto"/>
      <w:ind w:left="720"/>
      <w:contextualSpacing/>
      <w:textAlignment w:val="baseline"/>
    </w:pPr>
    <w:rPr>
      <w:rFonts w:ascii="Times New Roman" w:eastAsia="PMingLiU" w:hAnsi="Times New Roman" w:cs="Times New Roman"/>
      <w:sz w:val="24"/>
      <w:szCs w:val="20"/>
      <w:lang w:val="lt-LT"/>
    </w:rPr>
  </w:style>
  <w:style w:type="paragraph" w:styleId="Pataisymai">
    <w:name w:val="Revision"/>
    <w:hidden/>
    <w:uiPriority w:val="99"/>
    <w:semiHidden/>
    <w:rsid w:val="00DC55CF"/>
    <w:pPr>
      <w:spacing w:after="0" w:line="240" w:lineRule="auto"/>
    </w:pPr>
    <w:rPr>
      <w:rFonts w:ascii="Times New Roman" w:eastAsia="PMingLiU" w:hAnsi="Times New Roman" w:cs="Times New Roman"/>
      <w:sz w:val="24"/>
      <w:szCs w:val="20"/>
      <w:lang w:val="lt-LT"/>
    </w:rPr>
  </w:style>
  <w:style w:type="paragraph" w:styleId="Pagrindinistekstas2">
    <w:name w:val="Body Text 2"/>
    <w:basedOn w:val="prastasis"/>
    <w:link w:val="Pagrindinistekstas2Diagrama"/>
    <w:uiPriority w:val="99"/>
    <w:semiHidden/>
    <w:unhideWhenUsed/>
    <w:rsid w:val="00DC55CF"/>
    <w:pPr>
      <w:overflowPunct w:val="0"/>
      <w:autoSpaceDE w:val="0"/>
      <w:autoSpaceDN w:val="0"/>
      <w:adjustRightInd w:val="0"/>
      <w:spacing w:after="120" w:line="480" w:lineRule="auto"/>
      <w:textAlignment w:val="baseline"/>
    </w:pPr>
    <w:rPr>
      <w:rFonts w:ascii="Times New Roman" w:eastAsia="PMingLiU" w:hAnsi="Times New Roman" w:cs="Times New Roman"/>
      <w:sz w:val="24"/>
      <w:szCs w:val="20"/>
      <w:lang w:val="lt-LT"/>
    </w:rPr>
  </w:style>
  <w:style w:type="character" w:customStyle="1" w:styleId="Pagrindinistekstas2Diagrama">
    <w:name w:val="Pagrindinis tekstas 2 Diagrama"/>
    <w:basedOn w:val="Numatytasispastraiposriftas"/>
    <w:link w:val="Pagrindinistekstas2"/>
    <w:uiPriority w:val="99"/>
    <w:semiHidden/>
    <w:rsid w:val="00DC55CF"/>
    <w:rPr>
      <w:rFonts w:ascii="Times New Roman" w:eastAsia="PMingLiU" w:hAnsi="Times New Roman" w:cs="Times New Roman"/>
      <w:sz w:val="24"/>
      <w:szCs w:val="20"/>
      <w:lang w:val="lt-LT"/>
    </w:rPr>
  </w:style>
  <w:style w:type="character" w:styleId="Komentaronuoroda">
    <w:name w:val="annotation reference"/>
    <w:basedOn w:val="Numatytasispastraiposriftas"/>
    <w:uiPriority w:val="99"/>
    <w:semiHidden/>
    <w:unhideWhenUsed/>
    <w:rsid w:val="00DC55CF"/>
    <w:rPr>
      <w:sz w:val="16"/>
      <w:szCs w:val="16"/>
    </w:rPr>
  </w:style>
  <w:style w:type="paragraph" w:styleId="Komentarotema">
    <w:name w:val="annotation subject"/>
    <w:basedOn w:val="Komentarotekstas"/>
    <w:next w:val="Komentarotekstas"/>
    <w:link w:val="KomentarotemaDiagrama"/>
    <w:uiPriority w:val="99"/>
    <w:semiHidden/>
    <w:unhideWhenUsed/>
    <w:rsid w:val="00DC55CF"/>
    <w:pPr>
      <w:overflowPunct w:val="0"/>
      <w:autoSpaceDE w:val="0"/>
      <w:autoSpaceDN w:val="0"/>
      <w:adjustRightInd w:val="0"/>
      <w:textAlignment w:val="baseline"/>
    </w:pPr>
    <w:rPr>
      <w:b/>
      <w:bCs/>
      <w:lang w:eastAsia="en-US"/>
    </w:rPr>
  </w:style>
  <w:style w:type="character" w:customStyle="1" w:styleId="KomentarotemaDiagrama">
    <w:name w:val="Komentaro tema Diagrama"/>
    <w:basedOn w:val="KomentarotekstasDiagrama"/>
    <w:link w:val="Komentarotema"/>
    <w:uiPriority w:val="99"/>
    <w:semiHidden/>
    <w:rsid w:val="00DC55CF"/>
    <w:rPr>
      <w:rFonts w:ascii="Times New Roman" w:eastAsia="PMingLiU" w:hAnsi="Times New Roman" w:cs="Times New Roman"/>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ithuania@sando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darbalapis.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589857714480007"/>
          <c:y val="5.1388888888888887E-2"/>
          <c:w val="0.84798534798534797"/>
          <c:h val="0.75000000000000022"/>
        </c:manualLayout>
      </c:layout>
      <c:scatterChart>
        <c:scatterStyle val="lineMarker"/>
        <c:varyColors val="0"/>
        <c:ser>
          <c:idx val="0"/>
          <c:order val="0"/>
          <c:tx>
            <c:strRef>
              <c:f>'400 mg TAB engl.'!$A$5</c:f>
              <c:strCache>
                <c:ptCount val="1"/>
                <c:pt idx="0">
                  <c:v>test preparation</c:v>
                </c:pt>
              </c:strCache>
            </c:strRef>
          </c:tx>
          <c:spPr>
            <a:ln w="13424">
              <a:solidFill>
                <a:srgbClr val="000000"/>
              </a:solidFill>
              <a:prstDash val="solid"/>
            </a:ln>
          </c:spPr>
          <c:marker>
            <c:symbol val="circle"/>
            <c:size val="4"/>
            <c:spPr>
              <a:solidFill>
                <a:srgbClr val="000000"/>
              </a:solidFill>
              <a:ln>
                <a:solidFill>
                  <a:srgbClr val="000000"/>
                </a:solidFill>
                <a:prstDash val="solid"/>
              </a:ln>
            </c:spPr>
          </c:marker>
          <c:xVal>
            <c:numRef>
              <c:f>'400 mg TAB engl.'!$B$4:$K$4</c:f>
              <c:numCache>
                <c:formatCode>General</c:formatCode>
                <c:ptCount val="10"/>
                <c:pt idx="0">
                  <c:v>0</c:v>
                </c:pt>
                <c:pt idx="1">
                  <c:v>0.5</c:v>
                </c:pt>
                <c:pt idx="2">
                  <c:v>1</c:v>
                </c:pt>
                <c:pt idx="3">
                  <c:v>1.5</c:v>
                </c:pt>
                <c:pt idx="4">
                  <c:v>2</c:v>
                </c:pt>
                <c:pt idx="5">
                  <c:v>4</c:v>
                </c:pt>
                <c:pt idx="6">
                  <c:v>6</c:v>
                </c:pt>
                <c:pt idx="7">
                  <c:v>8</c:v>
                </c:pt>
                <c:pt idx="8">
                  <c:v>12</c:v>
                </c:pt>
                <c:pt idx="9">
                  <c:v>24</c:v>
                </c:pt>
              </c:numCache>
            </c:numRef>
          </c:xVal>
          <c:yVal>
            <c:numRef>
              <c:f>'400 mg TAB engl.'!$B$5:$K$5</c:f>
              <c:numCache>
                <c:formatCode>General</c:formatCode>
                <c:ptCount val="10"/>
                <c:pt idx="0">
                  <c:v>0</c:v>
                </c:pt>
                <c:pt idx="1">
                  <c:v>170</c:v>
                </c:pt>
                <c:pt idx="2">
                  <c:v>590</c:v>
                </c:pt>
                <c:pt idx="3">
                  <c:v>880</c:v>
                </c:pt>
                <c:pt idx="4">
                  <c:v>840</c:v>
                </c:pt>
                <c:pt idx="5">
                  <c:v>750</c:v>
                </c:pt>
                <c:pt idx="6">
                  <c:v>560</c:v>
                </c:pt>
                <c:pt idx="7">
                  <c:v>360</c:v>
                </c:pt>
                <c:pt idx="8">
                  <c:v>160</c:v>
                </c:pt>
                <c:pt idx="9">
                  <c:v>10</c:v>
                </c:pt>
              </c:numCache>
            </c:numRef>
          </c:yVal>
          <c:smooth val="0"/>
          <c:extLst>
            <c:ext xmlns:c16="http://schemas.microsoft.com/office/drawing/2014/chart" uri="{C3380CC4-5D6E-409C-BE32-E72D297353CC}">
              <c16:uniqueId val="{00000000-5C24-441B-B14D-A74EF5852D74}"/>
            </c:ext>
          </c:extLst>
        </c:ser>
        <c:ser>
          <c:idx val="1"/>
          <c:order val="1"/>
          <c:tx>
            <c:strRef>
              <c:f>'400 mg TAB engl.'!$A$6</c:f>
              <c:strCache>
                <c:ptCount val="1"/>
                <c:pt idx="0">
                  <c:v>reference preparation</c:v>
                </c:pt>
              </c:strCache>
            </c:strRef>
          </c:tx>
          <c:spPr>
            <a:ln w="13424">
              <a:solidFill>
                <a:srgbClr val="000000"/>
              </a:solidFill>
              <a:prstDash val="solid"/>
            </a:ln>
          </c:spPr>
          <c:marker>
            <c:symbol val="square"/>
            <c:size val="4"/>
            <c:spPr>
              <a:solidFill>
                <a:srgbClr val="FFFFFF"/>
              </a:solidFill>
              <a:ln>
                <a:solidFill>
                  <a:srgbClr val="000000"/>
                </a:solidFill>
                <a:prstDash val="solid"/>
              </a:ln>
            </c:spPr>
          </c:marker>
          <c:xVal>
            <c:numRef>
              <c:f>'400 mg TAB engl.'!$B$4:$K$4</c:f>
              <c:numCache>
                <c:formatCode>General</c:formatCode>
                <c:ptCount val="10"/>
                <c:pt idx="0">
                  <c:v>0</c:v>
                </c:pt>
                <c:pt idx="1">
                  <c:v>0.5</c:v>
                </c:pt>
                <c:pt idx="2">
                  <c:v>1</c:v>
                </c:pt>
                <c:pt idx="3">
                  <c:v>1.5</c:v>
                </c:pt>
                <c:pt idx="4">
                  <c:v>2</c:v>
                </c:pt>
                <c:pt idx="5">
                  <c:v>4</c:v>
                </c:pt>
                <c:pt idx="6">
                  <c:v>6</c:v>
                </c:pt>
                <c:pt idx="7">
                  <c:v>8</c:v>
                </c:pt>
                <c:pt idx="8">
                  <c:v>12</c:v>
                </c:pt>
                <c:pt idx="9">
                  <c:v>24</c:v>
                </c:pt>
              </c:numCache>
            </c:numRef>
          </c:xVal>
          <c:yVal>
            <c:numRef>
              <c:f>'400 mg TAB engl.'!$B$6:$K$6</c:f>
              <c:numCache>
                <c:formatCode>General</c:formatCode>
                <c:ptCount val="10"/>
                <c:pt idx="0">
                  <c:v>0</c:v>
                </c:pt>
                <c:pt idx="1">
                  <c:v>180</c:v>
                </c:pt>
                <c:pt idx="2">
                  <c:v>550</c:v>
                </c:pt>
                <c:pt idx="3">
                  <c:v>850</c:v>
                </c:pt>
                <c:pt idx="4">
                  <c:v>860</c:v>
                </c:pt>
                <c:pt idx="5">
                  <c:v>680</c:v>
                </c:pt>
                <c:pt idx="6">
                  <c:v>530</c:v>
                </c:pt>
                <c:pt idx="7">
                  <c:v>360</c:v>
                </c:pt>
                <c:pt idx="8">
                  <c:v>170</c:v>
                </c:pt>
                <c:pt idx="9">
                  <c:v>10</c:v>
                </c:pt>
              </c:numCache>
            </c:numRef>
          </c:yVal>
          <c:smooth val="0"/>
          <c:extLst>
            <c:ext xmlns:c16="http://schemas.microsoft.com/office/drawing/2014/chart" uri="{C3380CC4-5D6E-409C-BE32-E72D297353CC}">
              <c16:uniqueId val="{00000001-5C24-441B-B14D-A74EF5852D74}"/>
            </c:ext>
          </c:extLst>
        </c:ser>
        <c:dLbls>
          <c:showLegendKey val="0"/>
          <c:showVal val="0"/>
          <c:showCatName val="0"/>
          <c:showSerName val="0"/>
          <c:showPercent val="0"/>
          <c:showBubbleSize val="0"/>
        </c:dLbls>
        <c:axId val="454423328"/>
        <c:axId val="454425008"/>
      </c:scatterChart>
      <c:valAx>
        <c:axId val="454423328"/>
        <c:scaling>
          <c:orientation val="minMax"/>
          <c:max val="24"/>
          <c:min val="0"/>
        </c:scaling>
        <c:delete val="0"/>
        <c:axPos val="b"/>
        <c:title>
          <c:tx>
            <c:rich>
              <a:bodyPr/>
              <a:lstStyle/>
              <a:p>
                <a:pPr>
                  <a:defRPr sz="951" b="1" i="0" u="none" strike="noStrike" baseline="0">
                    <a:solidFill>
                      <a:srgbClr val="000000"/>
                    </a:solidFill>
                    <a:latin typeface="Arial"/>
                    <a:ea typeface="Arial"/>
                    <a:cs typeface="Arial"/>
                  </a:defRPr>
                </a:pPr>
                <a:r>
                  <a:rPr lang="en-US"/>
                  <a:t>laikas</a:t>
                </a:r>
                <a:r>
                  <a:rPr lang="lt-LT"/>
                  <a:t> [</a:t>
                </a:r>
                <a:r>
                  <a:rPr lang="en-US"/>
                  <a:t>val</a:t>
                </a:r>
                <a:r>
                  <a:rPr lang="lt-LT"/>
                  <a:t>]</a:t>
                </a:r>
              </a:p>
            </c:rich>
          </c:tx>
          <c:layout>
            <c:manualLayout>
              <c:xMode val="edge"/>
              <c:yMode val="edge"/>
              <c:x val="0.50549443775044134"/>
              <c:y val="0.9"/>
            </c:manualLayout>
          </c:layout>
          <c:overlay val="0"/>
          <c:spPr>
            <a:noFill/>
            <a:ln w="26850">
              <a:noFill/>
            </a:ln>
          </c:spPr>
        </c:title>
        <c:numFmt formatCode="General" sourceLinked="1"/>
        <c:majorTickMark val="cross"/>
        <c:minorTickMark val="none"/>
        <c:tickLblPos val="nextTo"/>
        <c:spPr>
          <a:ln w="3356">
            <a:solidFill>
              <a:srgbClr val="000000"/>
            </a:solidFill>
            <a:prstDash val="solid"/>
          </a:ln>
        </c:spPr>
        <c:txPr>
          <a:bodyPr rot="0" vert="horz"/>
          <a:lstStyle/>
          <a:p>
            <a:pPr>
              <a:defRPr sz="846" b="0" i="0" u="none" strike="noStrike" baseline="0">
                <a:solidFill>
                  <a:srgbClr val="000000"/>
                </a:solidFill>
                <a:latin typeface="Arial"/>
                <a:ea typeface="Arial"/>
                <a:cs typeface="Arial"/>
              </a:defRPr>
            </a:pPr>
            <a:endParaRPr lang="lt-LT"/>
          </a:p>
        </c:txPr>
        <c:crossAx val="454425008"/>
        <c:crosses val="autoZero"/>
        <c:crossBetween val="midCat"/>
        <c:majorUnit val="6"/>
        <c:minorUnit val="3"/>
      </c:valAx>
      <c:valAx>
        <c:axId val="454425008"/>
        <c:scaling>
          <c:orientation val="minMax"/>
          <c:max val="1000"/>
        </c:scaling>
        <c:delete val="0"/>
        <c:axPos val="l"/>
        <c:title>
          <c:tx>
            <c:rich>
              <a:bodyPr/>
              <a:lstStyle/>
              <a:p>
                <a:pPr>
                  <a:defRPr sz="951" b="1" i="0" u="none" strike="noStrike" baseline="0">
                    <a:solidFill>
                      <a:srgbClr val="000000"/>
                    </a:solidFill>
                    <a:latin typeface="Arial"/>
                    <a:ea typeface="Arial"/>
                    <a:cs typeface="Arial"/>
                  </a:defRPr>
                </a:pPr>
                <a:r>
                  <a:rPr lang="en-US"/>
                  <a:t>Koncentracija</a:t>
                </a:r>
                <a:r>
                  <a:rPr lang="lt-LT"/>
                  <a:t> [ng/ml]</a:t>
                </a:r>
              </a:p>
            </c:rich>
          </c:tx>
          <c:layout>
            <c:manualLayout>
              <c:xMode val="edge"/>
              <c:yMode val="edge"/>
              <c:x val="2.6857136270993693E-2"/>
              <c:y val="0.24374999999999997"/>
            </c:manualLayout>
          </c:layout>
          <c:overlay val="0"/>
          <c:spPr>
            <a:noFill/>
            <a:ln w="26850">
              <a:noFill/>
            </a:ln>
          </c:spPr>
        </c:title>
        <c:numFmt formatCode="General" sourceLinked="1"/>
        <c:majorTickMark val="cross"/>
        <c:minorTickMark val="none"/>
        <c:tickLblPos val="nextTo"/>
        <c:spPr>
          <a:ln w="3356">
            <a:solidFill>
              <a:srgbClr val="000000"/>
            </a:solidFill>
            <a:prstDash val="solid"/>
          </a:ln>
        </c:spPr>
        <c:txPr>
          <a:bodyPr rot="0" vert="horz"/>
          <a:lstStyle/>
          <a:p>
            <a:pPr>
              <a:defRPr sz="846" b="0" i="0" u="none" strike="noStrike" baseline="0">
                <a:solidFill>
                  <a:srgbClr val="000000"/>
                </a:solidFill>
                <a:latin typeface="Arial"/>
                <a:ea typeface="Arial"/>
                <a:cs typeface="Arial"/>
              </a:defRPr>
            </a:pPr>
            <a:endParaRPr lang="lt-LT"/>
          </a:p>
        </c:txPr>
        <c:crossAx val="454423328"/>
        <c:crosses val="autoZero"/>
        <c:crossBetween val="midCat"/>
        <c:majorUnit val="100"/>
        <c:minorUnit val="2"/>
      </c:valAx>
      <c:spPr>
        <a:noFill/>
        <a:ln w="13424">
          <a:solidFill>
            <a:srgbClr val="000000"/>
          </a:solidFill>
          <a:prstDash val="solid"/>
        </a:ln>
      </c:spPr>
    </c:plotArea>
    <c:legend>
      <c:legendPos val="r"/>
      <c:layout>
        <c:manualLayout>
          <c:xMode val="edge"/>
          <c:yMode val="edge"/>
          <c:x val="0.6043956249241087"/>
          <c:y val="9.6875078115235602E-2"/>
          <c:w val="0.34981683339404634"/>
          <c:h val="0.125"/>
        </c:manualLayout>
      </c:layout>
      <c:overlay val="0"/>
      <c:spPr>
        <a:solidFill>
          <a:srgbClr val="FFFFFF"/>
        </a:solidFill>
        <a:ln w="3356">
          <a:solidFill>
            <a:srgbClr val="000000"/>
          </a:solidFill>
          <a:prstDash val="solid"/>
        </a:ln>
      </c:spPr>
      <c:txPr>
        <a:bodyPr/>
        <a:lstStyle/>
        <a:p>
          <a:pPr>
            <a:defRPr sz="872" b="1" i="0" u="none" strike="noStrike" baseline="0">
              <a:solidFill>
                <a:srgbClr val="000000"/>
              </a:solidFill>
              <a:latin typeface="Arial"/>
              <a:ea typeface="Arial"/>
              <a:cs typeface="Arial"/>
            </a:defRPr>
          </a:pPr>
          <a:endParaRPr lang="lt-LT"/>
        </a:p>
      </c:txPr>
    </c:legend>
    <c:plotVisOnly val="1"/>
    <c:dispBlanksAs val="gap"/>
    <c:showDLblsOverMax val="0"/>
  </c:chart>
  <c:spPr>
    <a:solidFill>
      <a:srgbClr val="FFFFFF"/>
    </a:solidFill>
    <a:ln>
      <a:noFill/>
    </a:ln>
  </c:spPr>
  <c:txPr>
    <a:bodyPr/>
    <a:lstStyle/>
    <a:p>
      <a:pPr>
        <a:defRPr sz="951" b="0" i="0" u="none" strike="noStrike" baseline="0">
          <a:solidFill>
            <a:srgbClr val="000000"/>
          </a:solidFill>
          <a:latin typeface="Geneva"/>
          <a:ea typeface="Geneva"/>
          <a:cs typeface="Geneva"/>
        </a:defRPr>
      </a:pPr>
      <a:endParaRPr lang="lt-LT"/>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0.52422</cdr:x>
      <cdr:y>0.49696</cdr:y>
    </cdr:from>
    <cdr:to>
      <cdr:x>0.53778</cdr:x>
      <cdr:y>0.56029</cdr:y>
    </cdr:to>
    <cdr:sp macro="" textlink="">
      <cdr:nvSpPr>
        <cdr:cNvPr id="5121" name="Text 1"/>
        <cdr:cNvSpPr txBox="1">
          <a:spLocks xmlns:a="http://schemas.openxmlformats.org/drawingml/2006/main" noChangeArrowheads="1"/>
        </cdr:cNvSpPr>
      </cdr:nvSpPr>
      <cdr:spPr bwMode="auto">
        <a:xfrm xmlns:a="http://schemas.openxmlformats.org/drawingml/2006/main">
          <a:off x="2806178" y="1590469"/>
          <a:ext cx="72584" cy="20268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n-US" sz="1000" b="0" i="0" u="none" strike="noStrike" baseline="0">
              <a:solidFill>
                <a:srgbClr val="000000"/>
              </a:solidFill>
              <a:latin typeface="Arial"/>
              <a:cs typeface="Arial"/>
            </a:rPr>
            <a:t> </a:t>
          </a:r>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D7493-7704-422E-8F8A-431B15446DDB}">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A2BE04A6-41EE-473E-BAFC-837FB71E613C}">
  <ds:schemaRefs>
    <ds:schemaRef ds:uri="http://schemas.microsoft.com/sharepoint/v3/contenttype/forms"/>
  </ds:schemaRefs>
</ds:datastoreItem>
</file>

<file path=customXml/itemProps3.xml><?xml version="1.0" encoding="utf-8"?>
<ds:datastoreItem xmlns:ds="http://schemas.openxmlformats.org/officeDocument/2006/customXml" ds:itemID="{52A3EC53-7F7D-4317-91CA-6B0D30D1F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E4382A7-48AA-4A44-806D-17CE2B07B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25112</Words>
  <Characters>14314</Characters>
  <Application>Microsoft Office Word</Application>
  <DocSecurity>0</DocSecurity>
  <Lines>119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Malaskeviciute, Asta (Ext)</dc:creator>
  <cp:lastModifiedBy>Albina Burkauskaitė</cp:lastModifiedBy>
  <cp:revision>3</cp:revision>
  <dcterms:created xsi:type="dcterms:W3CDTF">2025-02-21T07:25:00Z</dcterms:created>
  <dcterms:modified xsi:type="dcterms:W3CDTF">2025-02-21T07:25:00Z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