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303E1"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3E2"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3E3"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3E4"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3E5"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3E6"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3E7"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3E8"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3E9"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3EA"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3EB"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3EC"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3ED"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3EE"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3EF"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3F0"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3F1"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3F2"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3F3"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3F4"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3F5"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3F6"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3F7"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3F8" w14:textId="77777777" w:rsidR="00DC55CF" w:rsidRPr="00CC52A7" w:rsidRDefault="00DC55CF" w:rsidP="00DC55CF">
      <w:pPr>
        <w:overflowPunct w:val="0"/>
        <w:autoSpaceDE w:val="0"/>
        <w:autoSpaceDN w:val="0"/>
        <w:adjustRightInd w:val="0"/>
        <w:spacing w:after="0" w:line="240" w:lineRule="auto"/>
        <w:contextualSpacing/>
        <w:jc w:val="center"/>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t>I PRIEDAS</w:t>
      </w:r>
    </w:p>
    <w:p w14:paraId="73A303F9"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3FA" w14:textId="77777777" w:rsidR="00DC55CF" w:rsidRPr="00CC52A7" w:rsidRDefault="00DC55CF" w:rsidP="00DC55CF">
      <w:pPr>
        <w:overflowPunct w:val="0"/>
        <w:autoSpaceDE w:val="0"/>
        <w:autoSpaceDN w:val="0"/>
        <w:adjustRightInd w:val="0"/>
        <w:spacing w:after="0" w:line="240" w:lineRule="auto"/>
        <w:contextualSpacing/>
        <w:jc w:val="center"/>
        <w:textAlignment w:val="baseline"/>
        <w:rPr>
          <w:rFonts w:ascii="Times New Roman" w:eastAsia="PMingLiU" w:hAnsi="Times New Roman" w:cs="Times New Roman"/>
          <w:lang w:val="lt-LT"/>
        </w:rPr>
      </w:pPr>
      <w:r w:rsidRPr="00CC52A7">
        <w:rPr>
          <w:rFonts w:ascii="Times New Roman" w:eastAsia="PMingLiU" w:hAnsi="Times New Roman" w:cs="Times New Roman"/>
          <w:b/>
          <w:lang w:val="lt-LT"/>
        </w:rPr>
        <w:t>PREPARATO CHARAKTERISTIKŲ SANTRAUKA</w:t>
      </w:r>
    </w:p>
    <w:p w14:paraId="73A303FB"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3FC" w14:textId="77777777" w:rsidR="00DC55CF" w:rsidRPr="00CC52A7" w:rsidRDefault="00DC55CF" w:rsidP="00DC55CF">
      <w:pPr>
        <w:spacing w:after="0" w:line="240" w:lineRule="auto"/>
        <w:contextualSpacing/>
        <w:rPr>
          <w:rFonts w:ascii="Times New Roman" w:eastAsia="PMingLiU" w:hAnsi="Times New Roman" w:cs="Times New Roman"/>
          <w:b/>
          <w:lang w:val="lt-LT"/>
        </w:rPr>
      </w:pPr>
      <w:r w:rsidRPr="00CC52A7">
        <w:rPr>
          <w:rFonts w:ascii="Times New Roman" w:eastAsia="PMingLiU" w:hAnsi="Times New Roman" w:cs="Times New Roman"/>
          <w:b/>
          <w:lang w:val="lt-LT"/>
        </w:rPr>
        <w:br w:type="page"/>
      </w:r>
    </w:p>
    <w:p w14:paraId="73A303FD" w14:textId="77777777" w:rsidR="00DC55CF" w:rsidRPr="00CC52A7" w:rsidRDefault="00DC55CF" w:rsidP="00DC55CF">
      <w:pPr>
        <w:overflowPunct w:val="0"/>
        <w:autoSpaceDE w:val="0"/>
        <w:autoSpaceDN w:val="0"/>
        <w:adjustRightInd w:val="0"/>
        <w:spacing w:after="0" w:line="240" w:lineRule="auto"/>
        <w:ind w:left="567" w:hanging="567"/>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b/>
          <w:lang w:val="lt-LT"/>
        </w:rPr>
        <w:lastRenderedPageBreak/>
        <w:t>1.</w:t>
      </w:r>
      <w:r w:rsidRPr="00CC52A7">
        <w:rPr>
          <w:rFonts w:ascii="Times New Roman" w:eastAsia="PMingLiU" w:hAnsi="Times New Roman" w:cs="Times New Roman"/>
          <w:b/>
          <w:lang w:val="lt-LT"/>
        </w:rPr>
        <w:tab/>
        <w:t>VAISTINIO PREPARATO PAVADINIMAS</w:t>
      </w:r>
    </w:p>
    <w:p w14:paraId="73A303FE"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3FF"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Acic 400</w:t>
      </w:r>
      <w:r w:rsidR="00CC52A7">
        <w:rPr>
          <w:rFonts w:ascii="Times New Roman" w:eastAsia="PMingLiU" w:hAnsi="Times New Roman" w:cs="Times New Roman"/>
          <w:lang w:val="lt-LT"/>
        </w:rPr>
        <w:t> </w:t>
      </w:r>
      <w:r w:rsidRPr="00CC52A7">
        <w:rPr>
          <w:rFonts w:ascii="Times New Roman" w:eastAsia="PMingLiU" w:hAnsi="Times New Roman" w:cs="Times New Roman"/>
          <w:lang w:val="lt-LT"/>
        </w:rPr>
        <w:t>mg tabletės</w:t>
      </w:r>
    </w:p>
    <w:p w14:paraId="73A30400"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401"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402" w14:textId="77777777" w:rsidR="00DC55CF" w:rsidRPr="00CC52A7" w:rsidRDefault="00DC55CF" w:rsidP="00DC55CF">
      <w:pPr>
        <w:overflowPunct w:val="0"/>
        <w:autoSpaceDE w:val="0"/>
        <w:autoSpaceDN w:val="0"/>
        <w:adjustRightInd w:val="0"/>
        <w:spacing w:after="0" w:line="240" w:lineRule="auto"/>
        <w:ind w:left="567" w:hanging="567"/>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b/>
          <w:lang w:val="lt-LT"/>
        </w:rPr>
        <w:t>2.</w:t>
      </w:r>
      <w:r w:rsidRPr="00CC52A7">
        <w:rPr>
          <w:rFonts w:ascii="Times New Roman" w:eastAsia="PMingLiU" w:hAnsi="Times New Roman" w:cs="Times New Roman"/>
          <w:b/>
          <w:lang w:val="lt-LT"/>
        </w:rPr>
        <w:tab/>
        <w:t xml:space="preserve">KOKYBINĖ IR KIEKYBINĖ SUDĖTIS </w:t>
      </w:r>
    </w:p>
    <w:p w14:paraId="73A30403"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404"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Vienoje tabletėje yra 400</w:t>
      </w:r>
      <w:r w:rsidR="00CC52A7">
        <w:rPr>
          <w:rFonts w:ascii="Times New Roman" w:eastAsia="PMingLiU" w:hAnsi="Times New Roman" w:cs="Times New Roman"/>
          <w:lang w:val="lt-LT"/>
        </w:rPr>
        <w:t> </w:t>
      </w:r>
      <w:r w:rsidRPr="00CC52A7">
        <w:rPr>
          <w:rFonts w:ascii="Times New Roman" w:eastAsia="PMingLiU" w:hAnsi="Times New Roman" w:cs="Times New Roman"/>
          <w:lang w:val="lt-LT"/>
        </w:rPr>
        <w:t>mg acikloviro.</w:t>
      </w:r>
    </w:p>
    <w:p w14:paraId="73A30405"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406"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Visos pagalbinės medžiagos išvardytos 6.1 skyriuje </w:t>
      </w:r>
    </w:p>
    <w:p w14:paraId="73A30407"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408"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409" w14:textId="77777777" w:rsidR="00DC55CF" w:rsidRPr="00CC52A7" w:rsidRDefault="00DC55CF" w:rsidP="00DC55CF">
      <w:pPr>
        <w:overflowPunct w:val="0"/>
        <w:autoSpaceDE w:val="0"/>
        <w:autoSpaceDN w:val="0"/>
        <w:adjustRightInd w:val="0"/>
        <w:spacing w:after="0" w:line="240" w:lineRule="auto"/>
        <w:ind w:left="567" w:hanging="567"/>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b/>
          <w:lang w:val="lt-LT"/>
        </w:rPr>
        <w:t>3.</w:t>
      </w:r>
      <w:r w:rsidRPr="00CC52A7">
        <w:rPr>
          <w:rFonts w:ascii="Times New Roman" w:eastAsia="PMingLiU" w:hAnsi="Times New Roman" w:cs="Times New Roman"/>
          <w:b/>
          <w:lang w:val="lt-LT"/>
        </w:rPr>
        <w:tab/>
        <w:t>FARMACINĖ FORMA</w:t>
      </w:r>
    </w:p>
    <w:p w14:paraId="73A3040A"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40B"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Tabletė.</w:t>
      </w:r>
    </w:p>
    <w:p w14:paraId="73A3040C"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40D"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Tabletės yra baltos, apvalios, išgaubtos</w:t>
      </w:r>
      <w:r w:rsidR="004070A0">
        <w:rPr>
          <w:rFonts w:ascii="Times New Roman" w:eastAsia="PMingLiU" w:hAnsi="Times New Roman" w:cs="Times New Roman"/>
          <w:lang w:val="lt-LT"/>
        </w:rPr>
        <w:t>,</w:t>
      </w:r>
      <w:r w:rsidRPr="00CC52A7">
        <w:rPr>
          <w:rFonts w:ascii="Times New Roman" w:eastAsia="PMingLiU" w:hAnsi="Times New Roman" w:cs="Times New Roman"/>
          <w:lang w:val="lt-LT"/>
        </w:rPr>
        <w:t xml:space="preserve"> su kryžmine</w:t>
      </w:r>
      <w:r w:rsidRPr="00CC52A7">
        <w:rPr>
          <w:rFonts w:ascii="Times New Roman" w:eastAsia="PMingLiU" w:hAnsi="Times New Roman" w:cs="Times New Roman"/>
          <w:b/>
          <w:lang w:val="lt-LT"/>
        </w:rPr>
        <w:t xml:space="preserve"> </w:t>
      </w:r>
      <w:r w:rsidRPr="00CC52A7">
        <w:rPr>
          <w:rFonts w:ascii="Times New Roman" w:eastAsia="PMingLiU" w:hAnsi="Times New Roman" w:cs="Times New Roman"/>
          <w:lang w:val="lt-LT"/>
        </w:rPr>
        <w:t>laužimo vagele vienoje pusėje.</w:t>
      </w:r>
    </w:p>
    <w:p w14:paraId="73A3040E"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Kryžminė vagelė skirta tik tabletei perlaužti, kad būtų lengviau nuryti, bet ne ją padalyti į lygias dozes.</w:t>
      </w:r>
    </w:p>
    <w:p w14:paraId="73A3040F"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410"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411" w14:textId="77777777" w:rsidR="00DC55CF" w:rsidRPr="00CC52A7" w:rsidRDefault="00DC55CF" w:rsidP="00DC55CF">
      <w:pPr>
        <w:overflowPunct w:val="0"/>
        <w:autoSpaceDE w:val="0"/>
        <w:autoSpaceDN w:val="0"/>
        <w:adjustRightInd w:val="0"/>
        <w:spacing w:after="0" w:line="240" w:lineRule="auto"/>
        <w:ind w:left="567" w:hanging="567"/>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b/>
          <w:lang w:val="lt-LT"/>
        </w:rPr>
        <w:t>4.</w:t>
      </w:r>
      <w:r w:rsidRPr="00CC52A7">
        <w:rPr>
          <w:rFonts w:ascii="Times New Roman" w:eastAsia="PMingLiU" w:hAnsi="Times New Roman" w:cs="Times New Roman"/>
          <w:b/>
          <w:lang w:val="lt-LT"/>
        </w:rPr>
        <w:tab/>
        <w:t>KLINIKINĖ INFORMACIJA</w:t>
      </w:r>
    </w:p>
    <w:p w14:paraId="73A30412"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413" w14:textId="77777777" w:rsidR="00DC55CF" w:rsidRPr="00CC52A7" w:rsidRDefault="00DC55CF" w:rsidP="00DC55CF">
      <w:pPr>
        <w:overflowPunct w:val="0"/>
        <w:autoSpaceDE w:val="0"/>
        <w:autoSpaceDN w:val="0"/>
        <w:adjustRightInd w:val="0"/>
        <w:spacing w:after="0" w:line="240" w:lineRule="auto"/>
        <w:ind w:left="567" w:hanging="567"/>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b/>
          <w:lang w:val="lt-LT"/>
        </w:rPr>
        <w:t>4.1</w:t>
      </w:r>
      <w:r w:rsidRPr="00CC52A7">
        <w:rPr>
          <w:rFonts w:ascii="Times New Roman" w:eastAsia="PMingLiU" w:hAnsi="Times New Roman" w:cs="Times New Roman"/>
          <w:b/>
          <w:lang w:val="lt-LT"/>
        </w:rPr>
        <w:tab/>
        <w:t>Terapinės indikacijos</w:t>
      </w:r>
    </w:p>
    <w:p w14:paraId="73A30414"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415" w14:textId="77777777" w:rsidR="00DC55CF" w:rsidRPr="00CC52A7" w:rsidRDefault="00DC55CF" w:rsidP="00DC55CF">
      <w:pPr>
        <w:numPr>
          <w:ilvl w:val="0"/>
          <w:numId w:val="3"/>
        </w:num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eastAsia="lt-LT"/>
        </w:rPr>
      </w:pPr>
      <w:r w:rsidRPr="00CC52A7">
        <w:rPr>
          <w:rFonts w:ascii="Times New Roman" w:eastAsia="PMingLiU" w:hAnsi="Times New Roman" w:cs="Times New Roman"/>
          <w:lang w:val="lt-LT" w:eastAsia="lt-LT"/>
        </w:rPr>
        <w:t>Juostinės pūslelinės virusų sukeltos ligos gydymas.</w:t>
      </w:r>
    </w:p>
    <w:p w14:paraId="73A30416" w14:textId="77777777" w:rsidR="00DC55CF" w:rsidRPr="00CC52A7" w:rsidRDefault="00DC55CF" w:rsidP="00DC55CF">
      <w:pPr>
        <w:numPr>
          <w:ilvl w:val="0"/>
          <w:numId w:val="3"/>
        </w:num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eastAsia="lt-LT"/>
        </w:rPr>
      </w:pPr>
      <w:r w:rsidRPr="00CC52A7">
        <w:rPr>
          <w:rFonts w:ascii="Times New Roman" w:eastAsia="PMingLiU" w:hAnsi="Times New Roman" w:cs="Times New Roman"/>
          <w:lang w:val="lt-LT" w:eastAsia="lt-LT"/>
        </w:rPr>
        <w:t>Paprastosios pūslelinės virusų sukeltų ligų profilaktika žmonėms, kurių organizmo imuninis atsakas yra nepakankamas.</w:t>
      </w:r>
      <w:r w:rsidRPr="00CC52A7" w:rsidDel="00F93338">
        <w:rPr>
          <w:rFonts w:ascii="Times New Roman" w:eastAsia="PMingLiU" w:hAnsi="Times New Roman" w:cs="Times New Roman"/>
          <w:lang w:val="lt-LT" w:eastAsia="lt-LT"/>
        </w:rPr>
        <w:t xml:space="preserve"> </w:t>
      </w:r>
    </w:p>
    <w:p w14:paraId="73A30417"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418" w14:textId="77777777" w:rsidR="00DC55CF" w:rsidRPr="00CC52A7" w:rsidRDefault="00DC55CF" w:rsidP="00DC55CF">
      <w:pPr>
        <w:overflowPunct w:val="0"/>
        <w:autoSpaceDE w:val="0"/>
        <w:autoSpaceDN w:val="0"/>
        <w:adjustRightInd w:val="0"/>
        <w:spacing w:after="0" w:line="240" w:lineRule="auto"/>
        <w:ind w:left="567" w:hanging="567"/>
        <w:contextualSpacing/>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t>4.2</w:t>
      </w:r>
      <w:r w:rsidRPr="00CC52A7">
        <w:rPr>
          <w:rFonts w:ascii="Times New Roman" w:eastAsia="PMingLiU" w:hAnsi="Times New Roman" w:cs="Times New Roman"/>
          <w:b/>
          <w:lang w:val="lt-LT"/>
        </w:rPr>
        <w:tab/>
        <w:t>Dozavimas ir vartojimo metodas</w:t>
      </w:r>
    </w:p>
    <w:p w14:paraId="73A30419"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Cs/>
          <w:lang w:val="lt-LT"/>
        </w:rPr>
      </w:pPr>
    </w:p>
    <w:p w14:paraId="73A3041A"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Cs/>
          <w:lang w:val="lt-LT"/>
        </w:rPr>
      </w:pPr>
      <w:r w:rsidRPr="00CC52A7">
        <w:rPr>
          <w:rFonts w:ascii="Times New Roman" w:eastAsia="PMingLiU" w:hAnsi="Times New Roman" w:cs="Times New Roman"/>
          <w:bCs/>
          <w:u w:val="single"/>
          <w:lang w:val="lt-LT"/>
        </w:rPr>
        <w:t>Dozavimas</w:t>
      </w:r>
    </w:p>
    <w:p w14:paraId="73A3041B"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Cs/>
          <w:lang w:val="lt-LT"/>
        </w:rPr>
      </w:pPr>
      <w:r w:rsidRPr="00CC52A7">
        <w:rPr>
          <w:rFonts w:ascii="Times New Roman" w:eastAsia="PMingLiU" w:hAnsi="Times New Roman" w:cs="Times New Roman"/>
          <w:bCs/>
          <w:lang w:val="lt-LT"/>
        </w:rPr>
        <w:t>Rekomenduojamos toliau nurodytos vienkartinės ir paros dozės.</w:t>
      </w:r>
    </w:p>
    <w:p w14:paraId="73A3041C"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Cs/>
          <w:lang w:val="lt-LT"/>
        </w:rPr>
      </w:pPr>
    </w:p>
    <w:p w14:paraId="73A3041D" w14:textId="77777777" w:rsidR="00DC55CF" w:rsidRPr="00CC52A7" w:rsidRDefault="00DC55CF" w:rsidP="00DC55CF">
      <w:pPr>
        <w:overflowPunct w:val="0"/>
        <w:autoSpaceDE w:val="0"/>
        <w:autoSpaceDN w:val="0"/>
        <w:adjustRightInd w:val="0"/>
        <w:spacing w:after="0" w:line="240" w:lineRule="auto"/>
        <w:contextualSpacing/>
        <w:jc w:val="both"/>
        <w:textAlignment w:val="baseline"/>
        <w:rPr>
          <w:rFonts w:ascii="Times New Roman" w:eastAsia="PMingLiU" w:hAnsi="Times New Roman" w:cs="Times New Roman"/>
          <w:bCs/>
          <w:i/>
          <w:lang w:val="lt-LT"/>
        </w:rPr>
      </w:pPr>
      <w:r w:rsidRPr="00CC52A7">
        <w:rPr>
          <w:rFonts w:ascii="Times New Roman" w:eastAsia="PMingLiU" w:hAnsi="Times New Roman" w:cs="Times New Roman"/>
          <w:bCs/>
          <w:i/>
          <w:lang w:val="lt-LT"/>
        </w:rPr>
        <w:t>Suaugusiems žmonėms</w:t>
      </w:r>
    </w:p>
    <w:p w14:paraId="73A3041E" w14:textId="77777777" w:rsidR="00DC55CF" w:rsidRPr="00CC52A7" w:rsidRDefault="00DC55CF" w:rsidP="00DC55CF">
      <w:pPr>
        <w:overflowPunct w:val="0"/>
        <w:autoSpaceDE w:val="0"/>
        <w:autoSpaceDN w:val="0"/>
        <w:adjustRightInd w:val="0"/>
        <w:spacing w:after="0" w:line="240" w:lineRule="auto"/>
        <w:contextualSpacing/>
        <w:jc w:val="both"/>
        <w:textAlignment w:val="baseline"/>
        <w:rPr>
          <w:rFonts w:ascii="Times New Roman" w:eastAsia="PMingLiU" w:hAnsi="Times New Roman" w:cs="Times New Roman"/>
          <w:i/>
          <w:iCs/>
          <w:u w:val="single"/>
          <w:lang w:val="lt-LT"/>
        </w:rPr>
      </w:pPr>
      <w:r w:rsidRPr="00CC52A7">
        <w:rPr>
          <w:rFonts w:ascii="Times New Roman" w:eastAsia="PMingLiU" w:hAnsi="Times New Roman" w:cs="Times New Roman"/>
          <w:i/>
          <w:lang w:val="lt-LT"/>
        </w:rPr>
        <w:t>Juostinės pūslelinės virusų sukeltos ligos gydymas</w:t>
      </w:r>
    </w:p>
    <w:p w14:paraId="73A3041F" w14:textId="77777777" w:rsidR="00DC55CF" w:rsidRPr="00CC52A7" w:rsidRDefault="00DC55CF" w:rsidP="00DC55CF">
      <w:pPr>
        <w:overflowPunct w:val="0"/>
        <w:autoSpaceDE w:val="0"/>
        <w:autoSpaceDN w:val="0"/>
        <w:adjustRightInd w:val="0"/>
        <w:spacing w:after="0" w:line="240" w:lineRule="auto"/>
        <w:contextualSpacing/>
        <w:jc w:val="both"/>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Reikia gerti 5</w:t>
      </w:r>
      <w:r w:rsidR="00CC52A7">
        <w:rPr>
          <w:rFonts w:ascii="Times New Roman" w:eastAsia="PMingLiU" w:hAnsi="Times New Roman" w:cs="Times New Roman"/>
          <w:lang w:val="lt-LT"/>
        </w:rPr>
        <w:t> </w:t>
      </w:r>
      <w:r w:rsidRPr="00CC52A7">
        <w:rPr>
          <w:rFonts w:ascii="Times New Roman" w:eastAsia="PMingLiU" w:hAnsi="Times New Roman" w:cs="Times New Roman"/>
          <w:lang w:val="lt-LT"/>
        </w:rPr>
        <w:t>kartus per parą kas 4</w:t>
      </w:r>
      <w:r w:rsidR="00CC52A7">
        <w:rPr>
          <w:rFonts w:ascii="Times New Roman" w:eastAsia="PMingLiU" w:hAnsi="Times New Roman" w:cs="Times New Roman"/>
          <w:lang w:val="lt-LT"/>
        </w:rPr>
        <w:t> </w:t>
      </w:r>
      <w:r w:rsidRPr="00CC52A7">
        <w:rPr>
          <w:rFonts w:ascii="Times New Roman" w:eastAsia="PMingLiU" w:hAnsi="Times New Roman" w:cs="Times New Roman"/>
          <w:lang w:val="lt-LT"/>
        </w:rPr>
        <w:t>val. po 800</w:t>
      </w:r>
      <w:r w:rsidR="00CC52A7">
        <w:rPr>
          <w:rFonts w:ascii="Times New Roman" w:eastAsia="PMingLiU" w:hAnsi="Times New Roman" w:cs="Times New Roman"/>
          <w:lang w:val="lt-LT"/>
        </w:rPr>
        <w:t> </w:t>
      </w:r>
      <w:r w:rsidRPr="00CC52A7">
        <w:rPr>
          <w:rFonts w:ascii="Times New Roman" w:eastAsia="PMingLiU" w:hAnsi="Times New Roman" w:cs="Times New Roman"/>
          <w:lang w:val="lt-LT"/>
        </w:rPr>
        <w:t>mg acikloviro (t. y. po dvi tabletes Acic</w:t>
      </w:r>
      <w:r w:rsidRPr="00CC52A7">
        <w:rPr>
          <w:rFonts w:ascii="Times New Roman" w:eastAsia="PMingLiU" w:hAnsi="Times New Roman" w:cs="Times New Roman"/>
          <w:position w:val="6"/>
          <w:lang w:val="lt-LT"/>
        </w:rPr>
        <w:t xml:space="preserve"> </w:t>
      </w:r>
      <w:r w:rsidRPr="00CC52A7">
        <w:rPr>
          <w:rFonts w:ascii="Times New Roman" w:eastAsia="PMingLiU" w:hAnsi="Times New Roman" w:cs="Times New Roman"/>
          <w:lang w:val="lt-LT"/>
        </w:rPr>
        <w:t>400</w:t>
      </w:r>
      <w:r w:rsidR="00CC52A7">
        <w:rPr>
          <w:rFonts w:ascii="Times New Roman" w:eastAsia="PMingLiU" w:hAnsi="Times New Roman" w:cs="Times New Roman"/>
          <w:lang w:val="lt-LT"/>
        </w:rPr>
        <w:t> </w:t>
      </w:r>
      <w:r w:rsidRPr="00CC52A7">
        <w:rPr>
          <w:rFonts w:ascii="Times New Roman" w:eastAsia="PMingLiU" w:hAnsi="Times New Roman" w:cs="Times New Roman"/>
          <w:lang w:val="lt-LT"/>
        </w:rPr>
        <w:t>mg tabletes 5</w:t>
      </w:r>
      <w:r w:rsidR="00CC52A7">
        <w:rPr>
          <w:rFonts w:ascii="Times New Roman" w:eastAsia="PMingLiU" w:hAnsi="Times New Roman" w:cs="Times New Roman"/>
          <w:lang w:val="lt-LT"/>
        </w:rPr>
        <w:t> </w:t>
      </w:r>
      <w:r w:rsidRPr="00CC52A7">
        <w:rPr>
          <w:rFonts w:ascii="Times New Roman" w:eastAsia="PMingLiU" w:hAnsi="Times New Roman" w:cs="Times New Roman"/>
          <w:lang w:val="lt-LT"/>
        </w:rPr>
        <w:t>kartus per parą).</w:t>
      </w:r>
    </w:p>
    <w:p w14:paraId="73A30420"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Juostinė pūslelinė gydoma 5</w:t>
      </w:r>
      <w:r w:rsidR="00CC52A7">
        <w:rPr>
          <w:rFonts w:ascii="Times New Roman" w:eastAsia="PMingLiU" w:hAnsi="Times New Roman" w:cs="Times New Roman"/>
          <w:lang w:val="lt-LT"/>
        </w:rPr>
        <w:noBreakHyphen/>
      </w:r>
      <w:r w:rsidRPr="00CC52A7">
        <w:rPr>
          <w:rFonts w:ascii="Times New Roman" w:eastAsia="PMingLiU" w:hAnsi="Times New Roman" w:cs="Times New Roman"/>
          <w:lang w:val="lt-LT"/>
        </w:rPr>
        <w:t>7</w:t>
      </w:r>
      <w:r w:rsidR="00CC52A7">
        <w:rPr>
          <w:rFonts w:ascii="Times New Roman" w:eastAsia="PMingLiU" w:hAnsi="Times New Roman" w:cs="Times New Roman"/>
          <w:lang w:val="lt-LT"/>
        </w:rPr>
        <w:t> </w:t>
      </w:r>
      <w:r w:rsidRPr="00CC52A7">
        <w:rPr>
          <w:rFonts w:ascii="Times New Roman" w:eastAsia="PMingLiU" w:hAnsi="Times New Roman" w:cs="Times New Roman"/>
          <w:lang w:val="lt-LT"/>
        </w:rPr>
        <w:t>paras.</w:t>
      </w:r>
    </w:p>
    <w:p w14:paraId="73A30421" w14:textId="77777777" w:rsidR="00DC55CF" w:rsidRPr="00CC52A7" w:rsidRDefault="00DC55CF" w:rsidP="00DC55CF">
      <w:pPr>
        <w:overflowPunct w:val="0"/>
        <w:autoSpaceDE w:val="0"/>
        <w:autoSpaceDN w:val="0"/>
        <w:adjustRightInd w:val="0"/>
        <w:spacing w:after="0" w:line="240" w:lineRule="auto"/>
        <w:contextualSpacing/>
        <w:jc w:val="both"/>
        <w:textAlignment w:val="baseline"/>
        <w:rPr>
          <w:rFonts w:ascii="Times New Roman" w:eastAsia="PMingLiU" w:hAnsi="Times New Roman" w:cs="Times New Roman"/>
          <w:lang w:val="lt-LT"/>
        </w:rPr>
      </w:pPr>
    </w:p>
    <w:p w14:paraId="73A30422" w14:textId="77777777" w:rsidR="00DC55CF" w:rsidRPr="00CC52A7" w:rsidRDefault="00DC55CF" w:rsidP="00DC55CF">
      <w:pPr>
        <w:spacing w:after="0" w:line="240" w:lineRule="auto"/>
        <w:contextualSpacing/>
        <w:rPr>
          <w:rFonts w:ascii="Times New Roman" w:eastAsia="PMingLiU" w:hAnsi="Times New Roman" w:cs="Times New Roman"/>
          <w:i/>
          <w:lang w:val="lt-LT" w:eastAsia="lt-LT"/>
        </w:rPr>
      </w:pPr>
      <w:r w:rsidRPr="00CC52A7">
        <w:rPr>
          <w:rFonts w:ascii="Times New Roman" w:eastAsia="PMingLiU" w:hAnsi="Times New Roman" w:cs="Times New Roman"/>
          <w:i/>
          <w:lang w:val="lt-LT" w:eastAsia="lt-LT"/>
        </w:rPr>
        <w:t>Paprastosios pūslelinės virusų sukeltų ligų profilaktika žmonėms, kurių organizmo imuninis atsakas yra nepakankamas.</w:t>
      </w:r>
      <w:r w:rsidRPr="00CC52A7" w:rsidDel="00F93338">
        <w:rPr>
          <w:rFonts w:ascii="Times New Roman" w:eastAsia="PMingLiU" w:hAnsi="Times New Roman" w:cs="Times New Roman"/>
          <w:i/>
          <w:lang w:val="lt-LT" w:eastAsia="lt-LT"/>
        </w:rPr>
        <w:t xml:space="preserve"> </w:t>
      </w:r>
    </w:p>
    <w:p w14:paraId="73A30423"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Sunkiems pacientams, kurių organizmo imuninis atsakas yra nepakankamas, pvz., po organų persodinimo, žmonėms kurių imunitetas nuslopintas, reikia gerti 4</w:t>
      </w:r>
      <w:r w:rsidR="00CC52A7">
        <w:rPr>
          <w:rFonts w:ascii="Times New Roman" w:eastAsia="PMingLiU" w:hAnsi="Times New Roman" w:cs="Times New Roman"/>
          <w:lang w:val="lt-LT"/>
        </w:rPr>
        <w:t> </w:t>
      </w:r>
      <w:r w:rsidRPr="00CC52A7">
        <w:rPr>
          <w:rFonts w:ascii="Times New Roman" w:eastAsia="PMingLiU" w:hAnsi="Times New Roman" w:cs="Times New Roman"/>
          <w:lang w:val="lt-LT"/>
        </w:rPr>
        <w:t>kartus per parą kas 6</w:t>
      </w:r>
      <w:r w:rsidR="00CC52A7">
        <w:rPr>
          <w:rFonts w:ascii="Times New Roman" w:eastAsia="PMingLiU" w:hAnsi="Times New Roman" w:cs="Times New Roman"/>
          <w:lang w:val="lt-LT"/>
        </w:rPr>
        <w:t> </w:t>
      </w:r>
      <w:r w:rsidRPr="00CC52A7">
        <w:rPr>
          <w:rFonts w:ascii="Times New Roman" w:eastAsia="PMingLiU" w:hAnsi="Times New Roman" w:cs="Times New Roman"/>
          <w:lang w:val="lt-LT"/>
        </w:rPr>
        <w:t>val. po 400 mg acikloviro (t. y. po vieną tabletę Acic</w:t>
      </w:r>
      <w:r w:rsidRPr="00CC52A7">
        <w:rPr>
          <w:rFonts w:ascii="Times New Roman" w:eastAsia="PMingLiU" w:hAnsi="Times New Roman" w:cs="Times New Roman"/>
          <w:position w:val="6"/>
          <w:lang w:val="lt-LT"/>
        </w:rPr>
        <w:t xml:space="preserve"> </w:t>
      </w:r>
      <w:r w:rsidRPr="00CC52A7">
        <w:rPr>
          <w:rFonts w:ascii="Times New Roman" w:eastAsia="PMingLiU" w:hAnsi="Times New Roman" w:cs="Times New Roman"/>
          <w:lang w:val="lt-LT"/>
        </w:rPr>
        <w:t>400</w:t>
      </w:r>
      <w:r w:rsidR="00CC52A7">
        <w:rPr>
          <w:rFonts w:ascii="Times New Roman" w:eastAsia="PMingLiU" w:hAnsi="Times New Roman" w:cs="Times New Roman"/>
          <w:lang w:val="lt-LT"/>
        </w:rPr>
        <w:t> </w:t>
      </w:r>
      <w:r w:rsidRPr="00CC52A7">
        <w:rPr>
          <w:rFonts w:ascii="Times New Roman" w:eastAsia="PMingLiU" w:hAnsi="Times New Roman" w:cs="Times New Roman"/>
          <w:lang w:val="lt-LT"/>
        </w:rPr>
        <w:t>mg tabletes 4</w:t>
      </w:r>
      <w:r w:rsidR="00CC52A7">
        <w:rPr>
          <w:rFonts w:ascii="Times New Roman" w:eastAsia="PMingLiU" w:hAnsi="Times New Roman" w:cs="Times New Roman"/>
          <w:lang w:val="lt-LT"/>
        </w:rPr>
        <w:t> </w:t>
      </w:r>
      <w:r w:rsidRPr="00CC52A7">
        <w:rPr>
          <w:rFonts w:ascii="Times New Roman" w:eastAsia="PMingLiU" w:hAnsi="Times New Roman" w:cs="Times New Roman"/>
          <w:lang w:val="lt-LT"/>
        </w:rPr>
        <w:t>kartus per parą).</w:t>
      </w:r>
    </w:p>
    <w:p w14:paraId="73A30424"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Acikloviro galima vartoti ir kitokiu būdu: ligoniams, ypač tokiems, kurių rezorbcija iš virškinimo trakto sutrikusi, </w:t>
      </w:r>
      <w:r w:rsidR="004070A0">
        <w:rPr>
          <w:rFonts w:ascii="Times New Roman" w:eastAsia="PMingLiU" w:hAnsi="Times New Roman" w:cs="Times New Roman"/>
          <w:lang w:val="lt-LT"/>
        </w:rPr>
        <w:t>vaistinio preparato</w:t>
      </w:r>
      <w:r w:rsidR="004070A0" w:rsidRPr="00CC52A7">
        <w:rPr>
          <w:rFonts w:ascii="Times New Roman" w:eastAsia="PMingLiU" w:hAnsi="Times New Roman" w:cs="Times New Roman"/>
          <w:lang w:val="lt-LT"/>
        </w:rPr>
        <w:t xml:space="preserve"> </w:t>
      </w:r>
      <w:r w:rsidRPr="00CC52A7">
        <w:rPr>
          <w:rFonts w:ascii="Times New Roman" w:eastAsia="PMingLiU" w:hAnsi="Times New Roman" w:cs="Times New Roman"/>
          <w:lang w:val="lt-LT"/>
        </w:rPr>
        <w:t xml:space="preserve">galima infuzuoti į veną. </w:t>
      </w:r>
    </w:p>
    <w:p w14:paraId="73A30425"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426"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Paprastosios pūslelinės profilaktikos trukmė pacientams, kurių imunitetas nesutrikęs, priklauso nuo ligos sunkumo ir atkryčio dažnio (tačiau vaist</w:t>
      </w:r>
      <w:r w:rsidR="004070A0">
        <w:rPr>
          <w:rFonts w:ascii="Times New Roman" w:eastAsia="PMingLiU" w:hAnsi="Times New Roman" w:cs="Times New Roman"/>
          <w:lang w:val="lt-LT"/>
        </w:rPr>
        <w:t>inio preparat</w:t>
      </w:r>
      <w:r w:rsidRPr="00CC52A7">
        <w:rPr>
          <w:rFonts w:ascii="Times New Roman" w:eastAsia="PMingLiU" w:hAnsi="Times New Roman" w:cs="Times New Roman"/>
          <w:lang w:val="lt-LT"/>
        </w:rPr>
        <w:t>o vartoti ilgiau kaip 6</w:t>
      </w:r>
      <w:r w:rsidR="009D7277">
        <w:rPr>
          <w:rFonts w:ascii="Times New Roman" w:eastAsia="PMingLiU" w:hAnsi="Times New Roman" w:cs="Times New Roman"/>
          <w:lang w:val="lt-LT"/>
        </w:rPr>
        <w:noBreakHyphen/>
      </w:r>
      <w:r w:rsidRPr="00CC52A7">
        <w:rPr>
          <w:rFonts w:ascii="Times New Roman" w:eastAsia="PMingLiU" w:hAnsi="Times New Roman" w:cs="Times New Roman"/>
          <w:lang w:val="lt-LT"/>
        </w:rPr>
        <w:t>12</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 xml:space="preserve">mėnesių nereikėtų). </w:t>
      </w:r>
    </w:p>
    <w:p w14:paraId="73A30427"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Paprastosios pūslelinės virusų sukeltos ligos profilaktikos trukmė ligoniams, kurių imunitetas labai nuslopintas, nustatoma, atsižvelgiant į imuniteto slopinimo laipsnį ir pavojaus susirgti virusine liga trukmę. </w:t>
      </w:r>
    </w:p>
    <w:p w14:paraId="73A30428"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429"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i/>
          <w:lang w:val="lt-LT"/>
        </w:rPr>
      </w:pPr>
      <w:r w:rsidRPr="00CC52A7">
        <w:rPr>
          <w:rFonts w:ascii="Times New Roman" w:eastAsia="PMingLiU" w:hAnsi="Times New Roman" w:cs="Times New Roman"/>
          <w:i/>
          <w:lang w:val="lt-LT"/>
        </w:rPr>
        <w:t>Senyviems pacientams</w:t>
      </w:r>
    </w:p>
    <w:p w14:paraId="73A3042A" w14:textId="77777777" w:rsidR="00DC55CF" w:rsidRPr="00CC52A7" w:rsidRDefault="00DC55CF" w:rsidP="00DC55CF">
      <w:pPr>
        <w:spacing w:after="0" w:line="240" w:lineRule="auto"/>
        <w:contextualSpacing/>
        <w:rPr>
          <w:rFonts w:ascii="Times New Roman" w:eastAsia="PMingLiU" w:hAnsi="Times New Roman" w:cs="Times New Roman"/>
          <w:lang w:val="lt-LT"/>
        </w:rPr>
      </w:pPr>
      <w:r w:rsidRPr="00CC52A7">
        <w:rPr>
          <w:rFonts w:ascii="Times New Roman" w:eastAsia="PMingLiU" w:hAnsi="Times New Roman" w:cs="Times New Roman"/>
          <w:lang w:val="lt-LT"/>
        </w:rPr>
        <w:t xml:space="preserve">Būtina atsižvelgti į inkstų funkcijos sutrikimo galimybę senyviems pacientams ir reikia atitinkamai priderinti dozavimą (žr. toliau poskyrį </w:t>
      </w:r>
      <w:r w:rsidRPr="00CC52A7">
        <w:rPr>
          <w:rFonts w:ascii="Times New Roman" w:eastAsia="PMingLiU" w:hAnsi="Times New Roman" w:cs="Times New Roman"/>
          <w:i/>
          <w:iCs/>
          <w:color w:val="000000"/>
          <w:lang w:val="lt-LT"/>
        </w:rPr>
        <w:t>Pacientams, kurių inkstų funkcija sutrikusi</w:t>
      </w:r>
      <w:r w:rsidRPr="00CC52A7">
        <w:rPr>
          <w:rFonts w:ascii="Times New Roman" w:eastAsia="PMingLiU" w:hAnsi="Times New Roman" w:cs="Times New Roman"/>
          <w:iCs/>
          <w:color w:val="000000"/>
          <w:lang w:val="lt-LT"/>
        </w:rPr>
        <w:t>)</w:t>
      </w:r>
      <w:r w:rsidRPr="00CC52A7">
        <w:rPr>
          <w:rFonts w:ascii="Times New Roman" w:eastAsia="PMingLiU" w:hAnsi="Times New Roman" w:cs="Times New Roman"/>
          <w:i/>
          <w:lang w:val="lt-LT"/>
        </w:rPr>
        <w:t>.</w:t>
      </w:r>
    </w:p>
    <w:p w14:paraId="73A3042B" w14:textId="77777777" w:rsidR="00DC55CF" w:rsidRPr="00CC52A7" w:rsidRDefault="00DC55CF" w:rsidP="00DC55CF">
      <w:pPr>
        <w:spacing w:after="0" w:line="240" w:lineRule="auto"/>
        <w:contextualSpacing/>
        <w:rPr>
          <w:rFonts w:ascii="Times New Roman" w:eastAsia="PMingLiU" w:hAnsi="Times New Roman" w:cs="Times New Roman"/>
          <w:lang w:val="lt-LT"/>
        </w:rPr>
      </w:pPr>
      <w:r w:rsidRPr="00CC52A7">
        <w:rPr>
          <w:rFonts w:ascii="Times New Roman" w:eastAsia="PMingLiU" w:hAnsi="Times New Roman" w:cs="Times New Roman"/>
          <w:lang w:val="lt-LT"/>
        </w:rPr>
        <w:lastRenderedPageBreak/>
        <w:t>Turi būti palaikoma pakankama senyvų pacientų, kurie geria dideles acikloviro dozes, hidratacija.</w:t>
      </w:r>
    </w:p>
    <w:p w14:paraId="73A3042C"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42D" w14:textId="77777777" w:rsidR="00DC55CF" w:rsidRPr="00CC52A7" w:rsidRDefault="00DC55CF" w:rsidP="00DC55CF">
      <w:pPr>
        <w:overflowPunct w:val="0"/>
        <w:autoSpaceDE w:val="0"/>
        <w:autoSpaceDN w:val="0"/>
        <w:adjustRightInd w:val="0"/>
        <w:spacing w:after="0" w:line="240" w:lineRule="auto"/>
        <w:contextualSpacing/>
        <w:jc w:val="both"/>
        <w:textAlignment w:val="baseline"/>
        <w:rPr>
          <w:rFonts w:ascii="Times New Roman" w:eastAsia="PMingLiU" w:hAnsi="Times New Roman" w:cs="Times New Roman"/>
          <w:i/>
          <w:lang w:val="lt-LT"/>
        </w:rPr>
      </w:pPr>
      <w:r w:rsidRPr="00CC52A7">
        <w:rPr>
          <w:rFonts w:ascii="Times New Roman" w:eastAsia="PMingLiU" w:hAnsi="Times New Roman" w:cs="Times New Roman"/>
          <w:bCs/>
          <w:i/>
          <w:lang w:val="lt-LT"/>
        </w:rPr>
        <w:t>Vaikų populiacija</w:t>
      </w:r>
    </w:p>
    <w:p w14:paraId="73A3042E" w14:textId="77777777" w:rsidR="00DC55CF" w:rsidRPr="00CC52A7" w:rsidRDefault="00DC55CF" w:rsidP="00DC55CF">
      <w:pPr>
        <w:spacing w:after="0" w:line="240" w:lineRule="auto"/>
        <w:contextualSpacing/>
        <w:rPr>
          <w:rFonts w:ascii="Times New Roman" w:eastAsia="PMingLiU" w:hAnsi="Times New Roman" w:cs="Times New Roman"/>
          <w:lang w:val="lt-LT"/>
        </w:rPr>
      </w:pPr>
      <w:r w:rsidRPr="00CC52A7">
        <w:rPr>
          <w:rFonts w:ascii="Times New Roman" w:eastAsia="PMingLiU" w:hAnsi="Times New Roman" w:cs="Times New Roman"/>
          <w:lang w:val="lt-LT"/>
        </w:rPr>
        <w:t>Paprastosios pūslelinės virusų sukeltų odos ir gleivinių ligų gydymas ir profilaktika vaikams, kurių organizmo imuninis atsakas yra nepakankamas.</w:t>
      </w:r>
    </w:p>
    <w:p w14:paraId="73A3042F" w14:textId="77777777" w:rsidR="00DC55CF" w:rsidRPr="00CC52A7" w:rsidRDefault="00DC55CF" w:rsidP="00DC55CF">
      <w:pPr>
        <w:spacing w:after="0" w:line="240" w:lineRule="auto"/>
        <w:contextualSpacing/>
        <w:rPr>
          <w:rFonts w:ascii="Times New Roman" w:eastAsia="PMingLiU" w:hAnsi="Times New Roman" w:cs="Times New Roman"/>
          <w:lang w:val="lt-LT"/>
        </w:rPr>
      </w:pPr>
      <w:r w:rsidRPr="00CC52A7">
        <w:rPr>
          <w:rFonts w:ascii="Times New Roman" w:eastAsia="PMingLiU" w:hAnsi="Times New Roman" w:cs="Times New Roman"/>
          <w:lang w:val="lt-LT"/>
        </w:rPr>
        <w:t>Vyresniems kaip 2</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 xml:space="preserve">metų vaikams reikia vartoti suaugusio žmogaus dozę, jaunesniems – pusę suaugusio žmogaus dozės. </w:t>
      </w:r>
    </w:p>
    <w:p w14:paraId="73A30430" w14:textId="77777777" w:rsidR="00DC55CF" w:rsidRPr="00CC52A7" w:rsidRDefault="00DC55CF" w:rsidP="00DC55CF">
      <w:pPr>
        <w:spacing w:after="0" w:line="240" w:lineRule="auto"/>
        <w:contextualSpacing/>
        <w:rPr>
          <w:rFonts w:ascii="Times New Roman" w:eastAsia="PMingLiU" w:hAnsi="Times New Roman" w:cs="Times New Roman"/>
          <w:lang w:val="lt-LT"/>
        </w:rPr>
      </w:pPr>
      <w:r w:rsidRPr="00CC52A7">
        <w:rPr>
          <w:rFonts w:ascii="Times New Roman" w:eastAsia="PMingLiU" w:hAnsi="Times New Roman" w:cs="Times New Roman"/>
          <w:lang w:val="lt-LT"/>
        </w:rPr>
        <w:t>Dozavimas turėtų būti tiksliai paskaičiuotas 20</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mg/kg kūno svorio (neviršijant 800</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mg) vartojant 4</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kartus per parą.</w:t>
      </w:r>
    </w:p>
    <w:p w14:paraId="73A30431"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Vaikams, kurie negali nuryti tabletės, ją reikia sutraiškyti ir sumaišyti su skysčiu.</w:t>
      </w:r>
    </w:p>
    <w:p w14:paraId="73A30432"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433"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i/>
          <w:lang w:val="lt-LT"/>
        </w:rPr>
        <w:t xml:space="preserve">Pacientams, kurių inkstų funkcija sutrikusi </w:t>
      </w:r>
    </w:p>
    <w:p w14:paraId="73A30434"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Vartojant acikloviro pacientams, kurių inkstų funkcija sutrikusi, patartina laikytis atsargumo.</w:t>
      </w:r>
    </w:p>
    <w:p w14:paraId="73A30435"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Turi būti palaikoma pakankama hidratacija.</w:t>
      </w:r>
    </w:p>
    <w:p w14:paraId="73A30436" w14:textId="77777777" w:rsidR="00DC55CF" w:rsidRPr="00CC52A7" w:rsidRDefault="00DC55CF" w:rsidP="00DC55CF">
      <w:pPr>
        <w:spacing w:after="0" w:line="240" w:lineRule="auto"/>
        <w:contextualSpacing/>
        <w:rPr>
          <w:rFonts w:ascii="Times New Roman" w:eastAsia="Times New Roman" w:hAnsi="Times New Roman" w:cs="Times New Roman"/>
          <w:lang w:val="lt-LT" w:eastAsia="lt-LT"/>
        </w:rPr>
      </w:pPr>
      <w:r w:rsidRPr="00CC52A7">
        <w:rPr>
          <w:rFonts w:ascii="Times New Roman" w:eastAsia="Times New Roman" w:hAnsi="Times New Roman" w:cs="Times New Roman"/>
          <w:lang w:val="lt-LT" w:eastAsia="lt-LT"/>
        </w:rPr>
        <w:t>Gydant paprastąją pūslelinę pacientams, kuriems yra sunkus inkstų funkcijos nepakankamumas (kreatinino klirensas mažesnis nei 10</w:t>
      </w:r>
      <w:r w:rsidR="009D7277">
        <w:rPr>
          <w:rFonts w:ascii="Times New Roman" w:eastAsia="Times New Roman" w:hAnsi="Times New Roman" w:cs="Times New Roman"/>
          <w:lang w:val="lt-LT" w:eastAsia="lt-LT"/>
        </w:rPr>
        <w:t> </w:t>
      </w:r>
      <w:r w:rsidRPr="00CC52A7">
        <w:rPr>
          <w:rFonts w:ascii="Times New Roman" w:eastAsia="Times New Roman" w:hAnsi="Times New Roman" w:cs="Times New Roman"/>
          <w:lang w:val="lt-LT" w:eastAsia="lt-LT"/>
        </w:rPr>
        <w:t>ml/min) rekomenduojamas dozavimo pakeitimas skiriant 200</w:t>
      </w:r>
      <w:r w:rsidR="009D7277">
        <w:rPr>
          <w:rFonts w:ascii="Times New Roman" w:eastAsia="Times New Roman" w:hAnsi="Times New Roman" w:cs="Times New Roman"/>
          <w:lang w:val="lt-LT" w:eastAsia="lt-LT"/>
        </w:rPr>
        <w:t> </w:t>
      </w:r>
      <w:r w:rsidRPr="00CC52A7">
        <w:rPr>
          <w:rFonts w:ascii="Times New Roman" w:eastAsia="Times New Roman" w:hAnsi="Times New Roman" w:cs="Times New Roman"/>
          <w:lang w:val="lt-LT" w:eastAsia="lt-LT"/>
        </w:rPr>
        <w:t>mg acikloviro du kartus per parą maždaug kas 12</w:t>
      </w:r>
      <w:r w:rsidR="009D7277">
        <w:rPr>
          <w:rFonts w:ascii="Times New Roman" w:eastAsia="Times New Roman" w:hAnsi="Times New Roman" w:cs="Times New Roman"/>
          <w:lang w:val="lt-LT" w:eastAsia="lt-LT"/>
        </w:rPr>
        <w:t> </w:t>
      </w:r>
      <w:r w:rsidRPr="00CC52A7">
        <w:rPr>
          <w:rFonts w:ascii="Times New Roman" w:eastAsia="Times New Roman" w:hAnsi="Times New Roman" w:cs="Times New Roman"/>
          <w:lang w:val="lt-LT" w:eastAsia="lt-LT"/>
        </w:rPr>
        <w:t xml:space="preserve">valandų. </w:t>
      </w:r>
    </w:p>
    <w:p w14:paraId="73A30437" w14:textId="77777777" w:rsidR="00DC55CF" w:rsidRPr="00CC52A7" w:rsidRDefault="00DC55CF" w:rsidP="00DC55CF">
      <w:pPr>
        <w:spacing w:after="0" w:line="240" w:lineRule="auto"/>
        <w:contextualSpacing/>
        <w:rPr>
          <w:rFonts w:ascii="Times New Roman" w:eastAsia="Times New Roman" w:hAnsi="Times New Roman" w:cs="Times New Roman"/>
          <w:lang w:val="lt-LT" w:eastAsia="lt-LT"/>
        </w:rPr>
      </w:pPr>
    </w:p>
    <w:p w14:paraId="73A30438" w14:textId="77777777" w:rsidR="00DC55CF" w:rsidRPr="00CC52A7" w:rsidRDefault="00DC55CF" w:rsidP="00DC55CF">
      <w:pPr>
        <w:spacing w:after="0" w:line="240" w:lineRule="auto"/>
        <w:contextualSpacing/>
        <w:rPr>
          <w:rFonts w:ascii="Times New Roman" w:eastAsia="Times New Roman" w:hAnsi="Times New Roman" w:cs="Times New Roman"/>
          <w:lang w:val="lt-LT" w:eastAsia="lt-LT"/>
        </w:rPr>
      </w:pPr>
      <w:r w:rsidRPr="00CC52A7">
        <w:rPr>
          <w:rFonts w:ascii="Times New Roman" w:eastAsia="Times New Roman" w:hAnsi="Times New Roman" w:cs="Times New Roman"/>
          <w:lang w:val="lt-LT" w:eastAsia="lt-LT"/>
        </w:rPr>
        <w:t>Gydant juostinę pūslelinę pacientams, kuriems yra sunkus inkstų funkcijos nepakankamumas (kreatinino klirensas mažesnis nei 10</w:t>
      </w:r>
      <w:r w:rsidR="009D7277">
        <w:rPr>
          <w:rFonts w:ascii="Times New Roman" w:eastAsia="Times New Roman" w:hAnsi="Times New Roman" w:cs="Times New Roman"/>
          <w:lang w:val="lt-LT" w:eastAsia="lt-LT"/>
        </w:rPr>
        <w:t> </w:t>
      </w:r>
      <w:r w:rsidRPr="00CC52A7">
        <w:rPr>
          <w:rFonts w:ascii="Times New Roman" w:eastAsia="Times New Roman" w:hAnsi="Times New Roman" w:cs="Times New Roman"/>
          <w:lang w:val="lt-LT" w:eastAsia="lt-LT"/>
        </w:rPr>
        <w:t>ml/min), rekomenduojamas dozavimo pakeitimas skiriant 800</w:t>
      </w:r>
      <w:r w:rsidR="009D7277">
        <w:rPr>
          <w:rFonts w:ascii="Times New Roman" w:eastAsia="Times New Roman" w:hAnsi="Times New Roman" w:cs="Times New Roman"/>
          <w:lang w:val="lt-LT" w:eastAsia="lt-LT"/>
        </w:rPr>
        <w:t> </w:t>
      </w:r>
      <w:r w:rsidRPr="00CC52A7">
        <w:rPr>
          <w:rFonts w:ascii="Times New Roman" w:eastAsia="Times New Roman" w:hAnsi="Times New Roman" w:cs="Times New Roman"/>
          <w:lang w:val="lt-LT" w:eastAsia="lt-LT"/>
        </w:rPr>
        <w:t>mg acikloviro du kartus per parą maždaug kas dvylika valandų, o pacientams, kuriems yra vidutinio sunkumo inkstų funkcijos nepakankamumas (kreatinino klirensas yra 10</w:t>
      </w:r>
      <w:r w:rsidR="009D7277">
        <w:rPr>
          <w:rFonts w:ascii="Times New Roman" w:eastAsia="Times New Roman" w:hAnsi="Times New Roman" w:cs="Times New Roman"/>
          <w:lang w:val="lt-LT" w:eastAsia="lt-LT"/>
        </w:rPr>
        <w:noBreakHyphen/>
      </w:r>
      <w:r w:rsidRPr="00CC52A7">
        <w:rPr>
          <w:rFonts w:ascii="Times New Roman" w:eastAsia="Times New Roman" w:hAnsi="Times New Roman" w:cs="Times New Roman"/>
          <w:lang w:val="lt-LT" w:eastAsia="lt-LT"/>
        </w:rPr>
        <w:t>25</w:t>
      </w:r>
      <w:r w:rsidR="009D7277">
        <w:rPr>
          <w:rFonts w:ascii="Times New Roman" w:eastAsia="Times New Roman" w:hAnsi="Times New Roman" w:cs="Times New Roman"/>
          <w:lang w:val="lt-LT" w:eastAsia="lt-LT"/>
        </w:rPr>
        <w:t> </w:t>
      </w:r>
      <w:r w:rsidRPr="00CC52A7">
        <w:rPr>
          <w:rFonts w:ascii="Times New Roman" w:eastAsia="Times New Roman" w:hAnsi="Times New Roman" w:cs="Times New Roman"/>
          <w:lang w:val="lt-LT" w:eastAsia="lt-LT"/>
        </w:rPr>
        <w:t>ml/min diapazone), - skiriant 800</w:t>
      </w:r>
      <w:r w:rsidR="009D7277">
        <w:rPr>
          <w:rFonts w:ascii="Times New Roman" w:eastAsia="Times New Roman" w:hAnsi="Times New Roman" w:cs="Times New Roman"/>
          <w:lang w:val="lt-LT" w:eastAsia="lt-LT"/>
        </w:rPr>
        <w:t> </w:t>
      </w:r>
      <w:r w:rsidRPr="00CC52A7">
        <w:rPr>
          <w:rFonts w:ascii="Times New Roman" w:eastAsia="Times New Roman" w:hAnsi="Times New Roman" w:cs="Times New Roman"/>
          <w:lang w:val="lt-LT" w:eastAsia="lt-LT"/>
        </w:rPr>
        <w:t>mg acikloviro 3</w:t>
      </w:r>
      <w:r w:rsidR="009D7277">
        <w:rPr>
          <w:rFonts w:ascii="Times New Roman" w:eastAsia="Times New Roman" w:hAnsi="Times New Roman" w:cs="Times New Roman"/>
          <w:lang w:val="lt-LT" w:eastAsia="lt-LT"/>
        </w:rPr>
        <w:t> </w:t>
      </w:r>
      <w:r w:rsidRPr="00CC52A7">
        <w:rPr>
          <w:rFonts w:ascii="Times New Roman" w:eastAsia="Times New Roman" w:hAnsi="Times New Roman" w:cs="Times New Roman"/>
          <w:lang w:val="lt-LT" w:eastAsia="lt-LT"/>
        </w:rPr>
        <w:t>kartus per parą maždaug kas 8</w:t>
      </w:r>
      <w:r w:rsidR="009D7277">
        <w:rPr>
          <w:rFonts w:ascii="Times New Roman" w:eastAsia="Times New Roman" w:hAnsi="Times New Roman" w:cs="Times New Roman"/>
          <w:lang w:val="lt-LT" w:eastAsia="lt-LT"/>
        </w:rPr>
        <w:t> </w:t>
      </w:r>
      <w:r w:rsidRPr="00CC52A7">
        <w:rPr>
          <w:rFonts w:ascii="Times New Roman" w:eastAsia="Times New Roman" w:hAnsi="Times New Roman" w:cs="Times New Roman"/>
          <w:lang w:val="lt-LT" w:eastAsia="lt-LT"/>
        </w:rPr>
        <w:t>valandas.</w:t>
      </w:r>
    </w:p>
    <w:p w14:paraId="73A30439"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43A"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Kad gydymas būtų kiek galima veiksmingesnis, acikloviro tablečių reikia pradėti gerti kiek galima anksčiau, t. y. vos tik atsiradus pirmiesiems odos pažeidimo simptomams. Labai svarbu vaist</w:t>
      </w:r>
      <w:r w:rsidR="004070A0">
        <w:rPr>
          <w:rFonts w:ascii="Times New Roman" w:eastAsia="PMingLiU" w:hAnsi="Times New Roman" w:cs="Times New Roman"/>
          <w:lang w:val="lt-LT"/>
        </w:rPr>
        <w:t>inio preparat</w:t>
      </w:r>
      <w:r w:rsidRPr="00CC52A7">
        <w:rPr>
          <w:rFonts w:ascii="Times New Roman" w:eastAsia="PMingLiU" w:hAnsi="Times New Roman" w:cs="Times New Roman"/>
          <w:lang w:val="lt-LT"/>
        </w:rPr>
        <w:t>o pradėti gerti nedelsiant (ypač sergant pasikartojančia paprastąja pūsleline), kai tik atsiranda pirmųjų ligos atkryčio simptomų, pvz., niežėjimas, tempimo pojūtis, pirmosios pūslelės.</w:t>
      </w:r>
    </w:p>
    <w:p w14:paraId="73A3043B"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Būtina pasirūpinti, kad gydymo metu pacientai, ypač kurių inkstų veikla sutrikusi, gertų pakankamai skysčio. </w:t>
      </w:r>
    </w:p>
    <w:p w14:paraId="73A3043C" w14:textId="77777777" w:rsidR="00DC55CF" w:rsidRPr="00CC52A7" w:rsidRDefault="00DC55CF" w:rsidP="00DC55CF">
      <w:pPr>
        <w:spacing w:after="0" w:line="240" w:lineRule="auto"/>
        <w:contextualSpacing/>
        <w:rPr>
          <w:rFonts w:ascii="Times New Roman" w:eastAsia="Times New Roman" w:hAnsi="Times New Roman" w:cs="Times New Roman"/>
          <w:lang w:val="lt-LT" w:eastAsia="lt-LT"/>
        </w:rPr>
      </w:pPr>
    </w:p>
    <w:p w14:paraId="73A3043D"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u w:val="single"/>
          <w:lang w:val="lt-LT"/>
        </w:rPr>
      </w:pPr>
      <w:r w:rsidRPr="00CC52A7">
        <w:rPr>
          <w:rFonts w:ascii="Times New Roman" w:eastAsia="PMingLiU" w:hAnsi="Times New Roman" w:cs="Times New Roman"/>
          <w:u w:val="single"/>
          <w:lang w:val="lt-LT"/>
        </w:rPr>
        <w:t xml:space="preserve">Vartojimo metodas </w:t>
      </w:r>
    </w:p>
    <w:p w14:paraId="73A3043E"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Vartoti per burną.</w:t>
      </w:r>
    </w:p>
    <w:p w14:paraId="73A3043F"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Tabletes geriausiai gerti po valgio, užsigeriant skysčio.</w:t>
      </w:r>
    </w:p>
    <w:p w14:paraId="73A30440"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441" w14:textId="77777777" w:rsidR="00DC55CF" w:rsidRPr="00CC52A7" w:rsidRDefault="00DC55CF" w:rsidP="00DC55CF">
      <w:pPr>
        <w:overflowPunct w:val="0"/>
        <w:autoSpaceDE w:val="0"/>
        <w:autoSpaceDN w:val="0"/>
        <w:adjustRightInd w:val="0"/>
        <w:spacing w:after="0" w:line="240" w:lineRule="auto"/>
        <w:ind w:left="567" w:hanging="567"/>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b/>
          <w:lang w:val="lt-LT"/>
        </w:rPr>
        <w:t>4.3</w:t>
      </w:r>
      <w:r w:rsidRPr="00CC52A7">
        <w:rPr>
          <w:rFonts w:ascii="Times New Roman" w:eastAsia="PMingLiU" w:hAnsi="Times New Roman" w:cs="Times New Roman"/>
          <w:b/>
          <w:lang w:val="lt-LT"/>
        </w:rPr>
        <w:tab/>
        <w:t>Kontraindikacijos</w:t>
      </w:r>
    </w:p>
    <w:p w14:paraId="73A30442" w14:textId="77777777" w:rsidR="00DC55CF" w:rsidRPr="00CC52A7" w:rsidRDefault="00DC55CF" w:rsidP="00DC55CF">
      <w:pPr>
        <w:tabs>
          <w:tab w:val="left" w:pos="357"/>
        </w:tabs>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443" w14:textId="77777777" w:rsidR="00DC55CF" w:rsidRPr="00CC52A7" w:rsidRDefault="00DC55CF" w:rsidP="00DC55CF">
      <w:pPr>
        <w:tabs>
          <w:tab w:val="left" w:pos="357"/>
        </w:tabs>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Padidėjęs jautrumas aciklovirui, valaciklovirui arba bet kuriai 6.1 skyriuje nurodytai pagalbinei medžiagai. </w:t>
      </w:r>
    </w:p>
    <w:p w14:paraId="73A30444" w14:textId="77777777" w:rsidR="00DC55CF" w:rsidRPr="00CC52A7" w:rsidRDefault="00DC55CF" w:rsidP="00DC55CF">
      <w:pPr>
        <w:tabs>
          <w:tab w:val="left" w:pos="357"/>
        </w:tabs>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445" w14:textId="77777777" w:rsidR="00DC55CF" w:rsidRPr="00CC52A7" w:rsidRDefault="00DC55CF" w:rsidP="00DC55CF">
      <w:pPr>
        <w:overflowPunct w:val="0"/>
        <w:autoSpaceDE w:val="0"/>
        <w:autoSpaceDN w:val="0"/>
        <w:adjustRightInd w:val="0"/>
        <w:spacing w:after="0" w:line="240" w:lineRule="auto"/>
        <w:ind w:left="567" w:hanging="567"/>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b/>
          <w:lang w:val="lt-LT"/>
        </w:rPr>
        <w:t>4.4</w:t>
      </w:r>
      <w:r w:rsidRPr="00CC52A7">
        <w:rPr>
          <w:rFonts w:ascii="Times New Roman" w:eastAsia="PMingLiU" w:hAnsi="Times New Roman" w:cs="Times New Roman"/>
          <w:b/>
          <w:lang w:val="lt-LT"/>
        </w:rPr>
        <w:tab/>
        <w:t xml:space="preserve">Specialūs įspėjimai ir atsargumo priemonės </w:t>
      </w:r>
    </w:p>
    <w:p w14:paraId="73A30446"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447"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Būtina palaikyti pakankamą hidrataciją pacientams, kuriems acikloviro leidžiama į veną arba kurie šį vaistinį preparatą geria didelėmis dozėmis. </w:t>
      </w:r>
    </w:p>
    <w:p w14:paraId="73A30448"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449"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Inkstų pakenkimo rizika būna didesnė, jeigu acikloviro vartojama kartu su kitais nefrotoksiniais vaistiniais preparatais. </w:t>
      </w:r>
    </w:p>
    <w:p w14:paraId="73A3044A"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i/>
          <w:u w:val="single"/>
          <w:lang w:val="lt-LT"/>
        </w:rPr>
      </w:pPr>
    </w:p>
    <w:p w14:paraId="73A3044B"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i/>
          <w:lang w:val="lt-LT"/>
        </w:rPr>
      </w:pPr>
      <w:r w:rsidRPr="00CC52A7">
        <w:rPr>
          <w:rFonts w:ascii="Times New Roman" w:eastAsia="PMingLiU" w:hAnsi="Times New Roman" w:cs="Times New Roman"/>
          <w:i/>
          <w:lang w:val="lt-LT"/>
        </w:rPr>
        <w:t>Vartojimas ligoniams, kurių inkstų funkcija sutrikusi, ir senyviems pacientams</w:t>
      </w:r>
    </w:p>
    <w:p w14:paraId="73A3044C"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Acikloviro pasišalinimas iš organizmo priklauso nuo kreatino klirenso, todėl pacientams, kuriems buvo sutrikusi inkstų funkcija, reikia koreguoti dozę (žr. 4.2 skyrių). Dažniausiai inkstų funkcijos sutrikimas pasitaiko senyviems žmonėms, todėl dozės mažinimas turi būti apsvarstytas šiai grupei pacientų. Senyviems žmonėms ir pacientams, kuriems pakenkta inkstų funkcija, yra didesnė neurologinio nepageidaujamo poveikio išsivystymo rizika, todėl jie turi būti atidžiai stebimi dėl minėto poveikio požymių. Atvejais, apie kuriuos buvo pranešta, šios reakcijos paprastai išnykdavo nutraukus gydymą (žr. 4.8 skyrių).</w:t>
      </w:r>
    </w:p>
    <w:p w14:paraId="73A3044D"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lastRenderedPageBreak/>
        <w:t>Dėl užsitęsusių ar pakartotinių gydymo acikloviru kursų pacientams, kurių imuninė sistema labai susilpnėjusi, gali atsirasti sumažėjusio jautrumo virusų padermių, kurios gali nereaguoti į tęsiamą gydymą acikloviru (žr. 5.1 skyrių).</w:t>
      </w:r>
    </w:p>
    <w:p w14:paraId="73A3044E"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44F" w14:textId="77777777" w:rsidR="00DC55CF" w:rsidRPr="00CC52A7" w:rsidRDefault="00DC55CF" w:rsidP="00DC55CF">
      <w:pPr>
        <w:overflowPunct w:val="0"/>
        <w:autoSpaceDE w:val="0"/>
        <w:autoSpaceDN w:val="0"/>
        <w:adjustRightInd w:val="0"/>
        <w:spacing w:after="0" w:line="240" w:lineRule="auto"/>
        <w:contextualSpacing/>
        <w:jc w:val="both"/>
        <w:textAlignment w:val="baseline"/>
        <w:rPr>
          <w:rFonts w:ascii="Times New Roman" w:eastAsia="PMingLiU" w:hAnsi="Times New Roman" w:cs="Times New Roman"/>
          <w:i/>
          <w:u w:val="single"/>
          <w:lang w:val="lt-LT"/>
        </w:rPr>
      </w:pPr>
      <w:r w:rsidRPr="00CC52A7">
        <w:rPr>
          <w:rFonts w:ascii="Times New Roman" w:eastAsia="PMingLiU" w:hAnsi="Times New Roman" w:cs="Times New Roman"/>
          <w:i/>
          <w:u w:val="single"/>
          <w:lang w:val="lt-LT"/>
        </w:rPr>
        <w:t>Hidracija</w:t>
      </w:r>
    </w:p>
    <w:p w14:paraId="73A30450"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Reikia pasirūpinti, kad būtų palaikoma pakankama pacientų, vartojančių dideles geriamąsias acikloviro dozes, hidracija.</w:t>
      </w:r>
    </w:p>
    <w:p w14:paraId="73A30451"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452"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Nėra pakankamai duomenų įrodančių, kad gydant acikloviru pacientus, kurių imuninis atsakas yra pakankamas, sumažėja su vėjaraupiais susijusių komplikacijų tikimybė.</w:t>
      </w:r>
    </w:p>
    <w:p w14:paraId="73A30453"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454" w14:textId="77777777" w:rsidR="00DC55CF" w:rsidRPr="00CC52A7" w:rsidRDefault="00DC55CF" w:rsidP="00DC55CF">
      <w:pPr>
        <w:overflowPunct w:val="0"/>
        <w:autoSpaceDE w:val="0"/>
        <w:autoSpaceDN w:val="0"/>
        <w:adjustRightInd w:val="0"/>
        <w:spacing w:after="0" w:line="240" w:lineRule="auto"/>
        <w:ind w:left="567" w:hanging="567"/>
        <w:contextualSpacing/>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t>4.5</w:t>
      </w:r>
      <w:r w:rsidRPr="00CC52A7">
        <w:rPr>
          <w:rFonts w:ascii="Times New Roman" w:eastAsia="PMingLiU" w:hAnsi="Times New Roman" w:cs="Times New Roman"/>
          <w:b/>
          <w:lang w:val="lt-LT"/>
        </w:rPr>
        <w:tab/>
        <w:t>Sąveika su kitais vaistiniais preparatais ir kitokia sąveika</w:t>
      </w:r>
    </w:p>
    <w:p w14:paraId="73A30455"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456" w14:textId="77777777" w:rsidR="00DC55CF" w:rsidRPr="00CC52A7" w:rsidRDefault="00DC55CF" w:rsidP="00DC55CF">
      <w:pPr>
        <w:spacing w:after="0" w:line="240" w:lineRule="auto"/>
        <w:contextualSpacing/>
        <w:rPr>
          <w:rFonts w:ascii="Times New Roman" w:eastAsia="PMingLiU" w:hAnsi="Times New Roman" w:cs="Times New Roman"/>
          <w:lang w:val="lt-LT"/>
        </w:rPr>
      </w:pPr>
      <w:r w:rsidRPr="00CC52A7">
        <w:rPr>
          <w:rFonts w:ascii="Times New Roman" w:eastAsia="PMingLiU" w:hAnsi="Times New Roman" w:cs="Times New Roman"/>
          <w:lang w:val="lt-LT"/>
        </w:rPr>
        <w:t>Daugiausia acikloviro nepakitusio vaist</w:t>
      </w:r>
      <w:r w:rsidR="004070A0">
        <w:rPr>
          <w:rFonts w:ascii="Times New Roman" w:eastAsia="PMingLiU" w:hAnsi="Times New Roman" w:cs="Times New Roman"/>
          <w:lang w:val="lt-LT"/>
        </w:rPr>
        <w:t>inio preparat</w:t>
      </w:r>
      <w:r w:rsidRPr="00CC52A7">
        <w:rPr>
          <w:rFonts w:ascii="Times New Roman" w:eastAsia="PMingLiU" w:hAnsi="Times New Roman" w:cs="Times New Roman"/>
          <w:lang w:val="lt-LT"/>
        </w:rPr>
        <w:t xml:space="preserve">o pavidalu pašalinama su šlapimu aktyvios inkstų kanalėlių sekrecijos būdu. Bet kurie kartu su acikloviru vartojami vaistiniai preparatai, išskiriami iš organizmo minėtu būdu, gali didinti acikloviro koncentraciją kraujo plazmoje. Tokiu būdu cimetidinas ir probenecidas didina acikloviro AUC ir mažina acikloviro pašalinimą su šlapimu. Panašiai didėja ir acikloviro, ir mikofenolato mofetilio (imunosupresinio </w:t>
      </w:r>
      <w:r w:rsidR="007C5A3D" w:rsidRPr="007C5A3D">
        <w:rPr>
          <w:rFonts w:ascii="Times New Roman" w:eastAsia="PMingLiU" w:hAnsi="Times New Roman" w:cs="Times New Roman"/>
          <w:lang w:val="lt-LT"/>
        </w:rPr>
        <w:t xml:space="preserve">vaistinio </w:t>
      </w:r>
      <w:r w:rsidRPr="00CC52A7">
        <w:rPr>
          <w:rFonts w:ascii="Times New Roman" w:eastAsia="PMingLiU" w:hAnsi="Times New Roman" w:cs="Times New Roman"/>
          <w:lang w:val="lt-LT"/>
        </w:rPr>
        <w:t xml:space="preserve">preparato, skiriamo po transplantacijos) neaktyvaus metabolito AUC pacientams, kuriems šių </w:t>
      </w:r>
      <w:r w:rsidR="007C5A3D" w:rsidRPr="00CC52A7">
        <w:rPr>
          <w:rFonts w:ascii="Times New Roman" w:eastAsia="PMingLiU" w:hAnsi="Times New Roman" w:cs="Times New Roman"/>
          <w:lang w:val="lt-LT"/>
        </w:rPr>
        <w:t>vaistini</w:t>
      </w:r>
      <w:r w:rsidR="007C5A3D">
        <w:rPr>
          <w:rFonts w:ascii="Times New Roman" w:eastAsia="PMingLiU" w:hAnsi="Times New Roman" w:cs="Times New Roman"/>
          <w:lang w:val="lt-LT"/>
        </w:rPr>
        <w:t xml:space="preserve">ų </w:t>
      </w:r>
      <w:r w:rsidRPr="00CC52A7">
        <w:rPr>
          <w:rFonts w:ascii="Times New Roman" w:eastAsia="PMingLiU" w:hAnsi="Times New Roman" w:cs="Times New Roman"/>
          <w:lang w:val="lt-LT"/>
        </w:rPr>
        <w:t>preparatų buvo skiriama kartu. Tačiau dozės keisti nereikia, kadangi acikloviro terapinis indeksas yra platus.</w:t>
      </w:r>
    </w:p>
    <w:p w14:paraId="73A30457"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458"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Eksperimentinis tyrimas, kuriame dalyvavo 5 vyrai, rodo, kad kartu taikomas gydymas acikloviru padidina viso suvartoto </w:t>
      </w:r>
      <w:r w:rsidRPr="00CC52A7">
        <w:rPr>
          <w:rFonts w:ascii="Times New Roman" w:eastAsia="PMingLiU" w:hAnsi="Times New Roman" w:cs="Times New Roman"/>
          <w:bCs/>
          <w:lang w:val="lt-LT"/>
        </w:rPr>
        <w:t>teofilino</w:t>
      </w:r>
      <w:r w:rsidRPr="00CC52A7">
        <w:rPr>
          <w:rFonts w:ascii="Times New Roman" w:eastAsia="PMingLiU" w:hAnsi="Times New Roman" w:cs="Times New Roman"/>
          <w:lang w:val="lt-LT"/>
        </w:rPr>
        <w:t xml:space="preserve"> AUC maždaug 50</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 Rekomenduojama matuoti šio vaistinio preparato koncentraciją kraujo plazmoje kartu taikomo gydymo acikloviru metu.</w:t>
      </w:r>
    </w:p>
    <w:p w14:paraId="73A30459"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45A" w14:textId="77777777" w:rsidR="00DC55CF" w:rsidRPr="00CC52A7" w:rsidRDefault="00DC55CF" w:rsidP="00DC55CF">
      <w:pPr>
        <w:overflowPunct w:val="0"/>
        <w:autoSpaceDE w:val="0"/>
        <w:autoSpaceDN w:val="0"/>
        <w:adjustRightInd w:val="0"/>
        <w:spacing w:after="0" w:line="240" w:lineRule="auto"/>
        <w:ind w:left="567" w:hanging="567"/>
        <w:contextualSpacing/>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t>4.6</w:t>
      </w:r>
      <w:r w:rsidRPr="00CC52A7">
        <w:rPr>
          <w:rFonts w:ascii="Times New Roman" w:eastAsia="PMingLiU" w:hAnsi="Times New Roman" w:cs="Times New Roman"/>
          <w:b/>
          <w:lang w:val="lt-LT"/>
        </w:rPr>
        <w:tab/>
        <w:t>Vaisingumas, nėštumo ir žindymo laikotarpis</w:t>
      </w:r>
    </w:p>
    <w:p w14:paraId="73A3045B"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i/>
          <w:lang w:val="lt-LT"/>
        </w:rPr>
      </w:pPr>
    </w:p>
    <w:p w14:paraId="73A3045C"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i/>
          <w:lang w:val="lt-LT"/>
        </w:rPr>
      </w:pPr>
      <w:r w:rsidRPr="00CC52A7">
        <w:rPr>
          <w:rFonts w:ascii="Times New Roman" w:eastAsia="PMingLiU" w:hAnsi="Times New Roman" w:cs="Times New Roman"/>
          <w:i/>
          <w:lang w:val="lt-LT"/>
        </w:rPr>
        <w:t>Vaisingumas</w:t>
      </w:r>
    </w:p>
    <w:p w14:paraId="73A3045D"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Žr. ik</w:t>
      </w:r>
      <w:r w:rsidR="00CC52A7" w:rsidRPr="00CC52A7">
        <w:rPr>
          <w:rFonts w:ascii="Times New Roman" w:eastAsia="PMingLiU" w:hAnsi="Times New Roman" w:cs="Times New Roman"/>
          <w:lang w:val="lt-LT"/>
        </w:rPr>
        <w:t>i</w:t>
      </w:r>
      <w:r w:rsidRPr="00CC52A7">
        <w:rPr>
          <w:rFonts w:ascii="Times New Roman" w:eastAsia="PMingLiU" w:hAnsi="Times New Roman" w:cs="Times New Roman"/>
          <w:lang w:val="lt-LT"/>
        </w:rPr>
        <w:t>klinikinius tyrimus 5.3 skyriuje</w:t>
      </w:r>
    </w:p>
    <w:p w14:paraId="73A3045E"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i/>
          <w:lang w:val="lt-LT"/>
        </w:rPr>
      </w:pPr>
    </w:p>
    <w:p w14:paraId="73A3045F"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i/>
          <w:lang w:val="lt-LT"/>
        </w:rPr>
      </w:pPr>
      <w:r w:rsidRPr="00CC52A7">
        <w:rPr>
          <w:rFonts w:ascii="Times New Roman" w:eastAsia="PMingLiU" w:hAnsi="Times New Roman" w:cs="Times New Roman"/>
          <w:i/>
          <w:lang w:val="lt-LT"/>
        </w:rPr>
        <w:t>Nėštumas</w:t>
      </w:r>
    </w:p>
    <w:p w14:paraId="73A30460"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eastAsia="lt-LT"/>
        </w:rPr>
      </w:pPr>
      <w:r w:rsidRPr="00CC52A7">
        <w:rPr>
          <w:rFonts w:ascii="Times New Roman" w:eastAsia="PMingLiU" w:hAnsi="Times New Roman" w:cs="Times New Roman"/>
          <w:lang w:val="lt-LT" w:eastAsia="lt-LT"/>
        </w:rPr>
        <w:t>Acikloviro nėštumo metu rekomenduojama vartoti tik tuomet, kai numatoma nauda didesnė už galimą riziką.</w:t>
      </w:r>
    </w:p>
    <w:p w14:paraId="73A30461"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i/>
          <w:lang w:val="lt-LT"/>
        </w:rPr>
      </w:pPr>
    </w:p>
    <w:p w14:paraId="73A30462" w14:textId="77777777" w:rsidR="00DC55CF" w:rsidRPr="00CC52A7" w:rsidRDefault="00DC55CF" w:rsidP="00DC55CF">
      <w:pPr>
        <w:autoSpaceDE w:val="0"/>
        <w:autoSpaceDN w:val="0"/>
        <w:adjustRightInd w:val="0"/>
        <w:spacing w:after="0" w:line="240" w:lineRule="auto"/>
        <w:contextualSpacing/>
        <w:rPr>
          <w:rFonts w:ascii="Times New Roman" w:eastAsia="PMingLiU" w:hAnsi="Times New Roman" w:cs="Times New Roman"/>
          <w:lang w:val="lt-LT" w:eastAsia="lt-LT"/>
        </w:rPr>
      </w:pPr>
      <w:r w:rsidRPr="00CC52A7">
        <w:rPr>
          <w:rFonts w:ascii="Times New Roman" w:eastAsia="PMingLiU" w:hAnsi="Times New Roman" w:cs="Times New Roman"/>
          <w:lang w:val="lt-LT" w:eastAsia="lt-LT"/>
        </w:rPr>
        <w:t xml:space="preserve">Po Acic patekimo į rinką, nėščiųjų gydymo acikloviru registre yra dokumentuotos moterų, kurios buvo veikiamos kokia nors acikloviro vaistine forma, nėštumų baigtys. Registro duomenys neparodė sklaidos trūkumų skaičiaus padidėjimo acikloviru paveiktiems žmonėms, palyginti su bendrąja populiacija, ir bet kokie sklaidos trūkumai neparodė unikalumo ir dėsningumo, darančio užuominą į bendrą priežastį. </w:t>
      </w:r>
    </w:p>
    <w:p w14:paraId="73A30463" w14:textId="77777777" w:rsidR="00DC55CF" w:rsidRPr="00CC52A7" w:rsidRDefault="00DC55CF" w:rsidP="00DC55CF">
      <w:pPr>
        <w:autoSpaceDE w:val="0"/>
        <w:autoSpaceDN w:val="0"/>
        <w:adjustRightInd w:val="0"/>
        <w:spacing w:after="0" w:line="240" w:lineRule="auto"/>
        <w:contextualSpacing/>
        <w:rPr>
          <w:rFonts w:ascii="Times New Roman" w:eastAsia="PMingLiU" w:hAnsi="Times New Roman" w:cs="Times New Roman"/>
          <w:lang w:val="lt-LT" w:eastAsia="lt-LT"/>
        </w:rPr>
      </w:pPr>
    </w:p>
    <w:p w14:paraId="73A30464" w14:textId="77777777" w:rsidR="00DC55CF" w:rsidRPr="00CC52A7" w:rsidRDefault="00DC55CF" w:rsidP="00DC55CF">
      <w:pPr>
        <w:autoSpaceDE w:val="0"/>
        <w:autoSpaceDN w:val="0"/>
        <w:adjustRightInd w:val="0"/>
        <w:spacing w:after="0" w:line="240" w:lineRule="auto"/>
        <w:contextualSpacing/>
        <w:rPr>
          <w:rFonts w:ascii="Times New Roman" w:eastAsia="PMingLiU" w:hAnsi="Times New Roman" w:cs="Times New Roman"/>
          <w:lang w:val="lt-LT" w:eastAsia="lt-LT"/>
        </w:rPr>
      </w:pPr>
      <w:r w:rsidRPr="00CC52A7">
        <w:rPr>
          <w:rFonts w:ascii="Times New Roman" w:eastAsia="PMingLiU" w:hAnsi="Times New Roman" w:cs="Times New Roman"/>
          <w:lang w:val="lt-LT" w:eastAsia="lt-LT"/>
        </w:rPr>
        <w:t>Sisteminio poveikio acikloviro vartojimas tarptautiniu mastu pripažintuose standartiniuose tyrimuose triušiams, žiurkėms ar pelėms nesukėlė embriotoksinio ar teratogeninio poveikio.</w:t>
      </w:r>
    </w:p>
    <w:p w14:paraId="73A30465" w14:textId="77777777" w:rsidR="00DC55CF" w:rsidRPr="00CC52A7" w:rsidRDefault="00DC55CF" w:rsidP="00DC55CF">
      <w:pPr>
        <w:autoSpaceDE w:val="0"/>
        <w:autoSpaceDN w:val="0"/>
        <w:adjustRightInd w:val="0"/>
        <w:spacing w:after="0" w:line="240" w:lineRule="auto"/>
        <w:contextualSpacing/>
        <w:rPr>
          <w:rFonts w:ascii="Times New Roman" w:eastAsia="PMingLiU" w:hAnsi="Times New Roman" w:cs="Times New Roman"/>
          <w:lang w:val="lt-LT" w:eastAsia="lt-LT"/>
        </w:rPr>
      </w:pPr>
      <w:r w:rsidRPr="00CC52A7">
        <w:rPr>
          <w:rFonts w:ascii="Times New Roman" w:eastAsia="PMingLiU" w:hAnsi="Times New Roman" w:cs="Times New Roman"/>
          <w:lang w:val="lt-LT" w:eastAsia="lt-LT"/>
        </w:rPr>
        <w:t>Nestandartinių tyrimų su žiurkėmis metu buvo pastebėta vaisiaus anomalijų, tačiau tik pavartojus po oda tokias dozes, kurios sukėlė toksinį poveikį patelei. Šių duomenų reikšmingumas klinikai yra abejotinas.</w:t>
      </w:r>
    </w:p>
    <w:p w14:paraId="73A30466" w14:textId="77777777" w:rsidR="00DC55CF" w:rsidRPr="00CC52A7" w:rsidRDefault="00DC55CF" w:rsidP="00DC55CF">
      <w:pPr>
        <w:autoSpaceDE w:val="0"/>
        <w:autoSpaceDN w:val="0"/>
        <w:adjustRightInd w:val="0"/>
        <w:spacing w:after="0" w:line="240" w:lineRule="auto"/>
        <w:contextualSpacing/>
        <w:rPr>
          <w:rFonts w:ascii="Times New Roman" w:eastAsia="PMingLiU" w:hAnsi="Times New Roman" w:cs="Times New Roman"/>
          <w:lang w:val="lt-LT" w:eastAsia="lt-LT"/>
        </w:rPr>
      </w:pPr>
    </w:p>
    <w:p w14:paraId="73A30467" w14:textId="77777777" w:rsidR="00DC55CF" w:rsidRPr="00CC52A7" w:rsidRDefault="00DC55CF" w:rsidP="00DC55CF">
      <w:pPr>
        <w:autoSpaceDE w:val="0"/>
        <w:autoSpaceDN w:val="0"/>
        <w:adjustRightInd w:val="0"/>
        <w:spacing w:after="0" w:line="240" w:lineRule="auto"/>
        <w:contextualSpacing/>
        <w:rPr>
          <w:rFonts w:ascii="Times New Roman" w:eastAsia="PMingLiU" w:hAnsi="Times New Roman" w:cs="Times New Roman"/>
          <w:i/>
          <w:lang w:val="lt-LT" w:eastAsia="lt-LT"/>
        </w:rPr>
      </w:pPr>
      <w:r w:rsidRPr="00CC52A7">
        <w:rPr>
          <w:rFonts w:ascii="Times New Roman" w:eastAsia="PMingLiU" w:hAnsi="Times New Roman" w:cs="Times New Roman"/>
          <w:i/>
          <w:lang w:val="lt-LT" w:eastAsia="lt-LT"/>
        </w:rPr>
        <w:t>Žindymas</w:t>
      </w:r>
    </w:p>
    <w:p w14:paraId="73A30468"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Išgėrus 200 mg acikloviro, žindyvės piene buvo aptikta jo koncentracija, kuri skyrėsi nuo acikloviro kiekio moters kraujo plazmoje nuo 0,6 iki 4,1</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karto. Šiuo kiekiu tikriausiai gali būti paveiktas žindomas naujagimis vartojant ne didesnes kaip 0,3</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mg/kg kūno svorio acikloviro paros dozes, todėl patartina laikytis atsargumo, jeigu žindyvei skiriama acikloviro.</w:t>
      </w:r>
    </w:p>
    <w:p w14:paraId="73A30469"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46A" w14:textId="77777777" w:rsidR="00DC55CF" w:rsidRPr="00CC52A7" w:rsidRDefault="00DC55CF" w:rsidP="00DC55CF">
      <w:pPr>
        <w:overflowPunct w:val="0"/>
        <w:autoSpaceDE w:val="0"/>
        <w:autoSpaceDN w:val="0"/>
        <w:adjustRightInd w:val="0"/>
        <w:spacing w:after="0" w:line="240" w:lineRule="auto"/>
        <w:ind w:left="567" w:hanging="567"/>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b/>
          <w:lang w:val="lt-LT"/>
        </w:rPr>
        <w:t>4.7</w:t>
      </w:r>
      <w:r w:rsidRPr="00CC52A7">
        <w:rPr>
          <w:rFonts w:ascii="Times New Roman" w:eastAsia="PMingLiU" w:hAnsi="Times New Roman" w:cs="Times New Roman"/>
          <w:b/>
          <w:lang w:val="lt-LT"/>
        </w:rPr>
        <w:tab/>
        <w:t>Poveikis gebėjimui vairuoti ir valdyti mechanizmus</w:t>
      </w:r>
    </w:p>
    <w:p w14:paraId="73A3046B" w14:textId="77777777" w:rsidR="00DC55CF" w:rsidRPr="00CC52A7" w:rsidRDefault="00DC55CF" w:rsidP="00DC55CF">
      <w:pPr>
        <w:spacing w:after="0" w:line="240" w:lineRule="auto"/>
        <w:contextualSpacing/>
        <w:rPr>
          <w:rFonts w:ascii="Times New Roman" w:eastAsia="PMingLiU" w:hAnsi="Times New Roman" w:cs="Times New Roman"/>
          <w:lang w:val="lt-LT" w:eastAsia="lt-LT"/>
        </w:rPr>
      </w:pPr>
    </w:p>
    <w:p w14:paraId="73A3046C"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Vertinant paciento gebėjimą vairuoti ir valdyti mechanizmus, būtina turėti omenyje klinikinę paciento būklę ir acikloviro nepageidaujamų reiškinių apibūdinimą. </w:t>
      </w:r>
    </w:p>
    <w:p w14:paraId="73A3046D"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lastRenderedPageBreak/>
        <w:t>Acikloviro poveikio vairavimui ir gebėjimui valdyti mechanizmus tyrimų neatlikta. Be to, kenksmingas poveikis minėtai veiklai negali būti numatytas remiantis veik</w:t>
      </w:r>
      <w:r w:rsidR="001B094F">
        <w:rPr>
          <w:rFonts w:ascii="Times New Roman" w:eastAsia="PMingLiU" w:hAnsi="Times New Roman" w:cs="Times New Roman"/>
          <w:lang w:val="lt-LT"/>
        </w:rPr>
        <w:t>l</w:t>
      </w:r>
      <w:r w:rsidRPr="00CC52A7">
        <w:rPr>
          <w:rFonts w:ascii="Times New Roman" w:eastAsia="PMingLiU" w:hAnsi="Times New Roman" w:cs="Times New Roman"/>
          <w:lang w:val="lt-LT"/>
        </w:rPr>
        <w:t>iosios medžiagos farmakologinėmis savybėmis.</w:t>
      </w:r>
    </w:p>
    <w:p w14:paraId="73A3046E"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46F" w14:textId="77777777" w:rsidR="00DC55CF" w:rsidRPr="00CC52A7" w:rsidRDefault="00DC55CF" w:rsidP="00DC55CF">
      <w:pPr>
        <w:overflowPunct w:val="0"/>
        <w:autoSpaceDE w:val="0"/>
        <w:autoSpaceDN w:val="0"/>
        <w:adjustRightInd w:val="0"/>
        <w:spacing w:after="0" w:line="240" w:lineRule="auto"/>
        <w:ind w:left="567" w:hanging="567"/>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b/>
          <w:lang w:val="lt-LT"/>
        </w:rPr>
        <w:t>4.8</w:t>
      </w:r>
      <w:r w:rsidRPr="00CC52A7">
        <w:rPr>
          <w:rFonts w:ascii="Times New Roman" w:eastAsia="PMingLiU" w:hAnsi="Times New Roman" w:cs="Times New Roman"/>
          <w:b/>
          <w:lang w:val="lt-LT"/>
        </w:rPr>
        <w:tab/>
        <w:t>Nepageidaujamas poveikis</w:t>
      </w:r>
    </w:p>
    <w:p w14:paraId="73A30470" w14:textId="77777777" w:rsidR="00DC55CF" w:rsidRPr="00CC52A7" w:rsidRDefault="00DC55CF" w:rsidP="00DC55CF">
      <w:pPr>
        <w:keepNext/>
        <w:overflowPunct w:val="0"/>
        <w:autoSpaceDE w:val="0"/>
        <w:autoSpaceDN w:val="0"/>
        <w:adjustRightInd w:val="0"/>
        <w:spacing w:after="0" w:line="240" w:lineRule="auto"/>
        <w:contextualSpacing/>
        <w:textAlignment w:val="baseline"/>
        <w:outlineLvl w:val="0"/>
        <w:rPr>
          <w:rFonts w:ascii="Times New Roman" w:eastAsia="PMingLiU" w:hAnsi="Times New Roman" w:cs="Times New Roman"/>
          <w:i/>
          <w:iCs/>
          <w:u w:val="single"/>
          <w:lang w:val="lt-LT"/>
        </w:rPr>
      </w:pPr>
    </w:p>
    <w:p w14:paraId="73A30471"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Toliau pateiktas dažnio kategorijų, susijusių su nepageidaujamais reiškiniais, įvertinimas. Daugumai reiškinių tinkamų duomenų atvejų įvertinimui nėra. Be to, nepageidaujami reiškiniai gali skirtis dažniu pagal indikaciją.</w:t>
      </w:r>
    </w:p>
    <w:p w14:paraId="73A30472" w14:textId="77777777" w:rsidR="00DC55CF" w:rsidRPr="00CC52A7" w:rsidRDefault="00DC55CF" w:rsidP="00DC55CF">
      <w:pPr>
        <w:keepNext/>
        <w:overflowPunct w:val="0"/>
        <w:autoSpaceDE w:val="0"/>
        <w:autoSpaceDN w:val="0"/>
        <w:adjustRightInd w:val="0"/>
        <w:spacing w:after="0" w:line="240" w:lineRule="auto"/>
        <w:contextualSpacing/>
        <w:textAlignment w:val="baseline"/>
        <w:outlineLvl w:val="0"/>
        <w:rPr>
          <w:rFonts w:ascii="Times New Roman" w:eastAsia="PMingLiU" w:hAnsi="Times New Roman" w:cs="Times New Roman"/>
          <w:iCs/>
          <w:u w:val="single"/>
          <w:lang w:val="lt-LT"/>
        </w:rPr>
      </w:pPr>
      <w:r w:rsidRPr="00CC52A7">
        <w:rPr>
          <w:rFonts w:ascii="Times New Roman" w:eastAsia="PMingLiU" w:hAnsi="Times New Roman" w:cs="Times New Roman"/>
          <w:iCs/>
          <w:lang w:val="lt-LT"/>
        </w:rPr>
        <w:t>Nepageidaujami reiškiniai suklasifikuoti pagal organų sistemų klases ir dažnį. Nepageidaujamo poveikio dažnis apibūdinamas taip: labai dažnas (≥</w:t>
      </w:r>
      <w:r w:rsidR="009D7277">
        <w:rPr>
          <w:rFonts w:ascii="Times New Roman" w:eastAsia="PMingLiU" w:hAnsi="Times New Roman" w:cs="Times New Roman"/>
          <w:iCs/>
          <w:lang w:val="lt-LT"/>
        </w:rPr>
        <w:t> </w:t>
      </w:r>
      <w:r w:rsidRPr="00CC52A7">
        <w:rPr>
          <w:rFonts w:ascii="Times New Roman" w:eastAsia="PMingLiU" w:hAnsi="Times New Roman" w:cs="Times New Roman"/>
          <w:iCs/>
          <w:lang w:val="lt-LT"/>
        </w:rPr>
        <w:t>1/10), dažnas (nuo ≥</w:t>
      </w:r>
      <w:r w:rsidR="009D7277">
        <w:rPr>
          <w:rFonts w:ascii="Times New Roman" w:eastAsia="PMingLiU" w:hAnsi="Times New Roman" w:cs="Times New Roman"/>
          <w:iCs/>
          <w:lang w:val="lt-LT"/>
        </w:rPr>
        <w:t> </w:t>
      </w:r>
      <w:r w:rsidRPr="00CC52A7">
        <w:rPr>
          <w:rFonts w:ascii="Times New Roman" w:eastAsia="PMingLiU" w:hAnsi="Times New Roman" w:cs="Times New Roman"/>
          <w:iCs/>
          <w:lang w:val="lt-LT"/>
        </w:rPr>
        <w:t>1/100 iki &lt;</w:t>
      </w:r>
      <w:r w:rsidR="009D7277">
        <w:rPr>
          <w:rFonts w:ascii="Times New Roman" w:eastAsia="PMingLiU" w:hAnsi="Times New Roman" w:cs="Times New Roman"/>
          <w:iCs/>
          <w:lang w:val="lt-LT"/>
        </w:rPr>
        <w:t> </w:t>
      </w:r>
      <w:r w:rsidRPr="00CC52A7">
        <w:rPr>
          <w:rFonts w:ascii="Times New Roman" w:eastAsia="PMingLiU" w:hAnsi="Times New Roman" w:cs="Times New Roman"/>
          <w:iCs/>
          <w:lang w:val="lt-LT"/>
        </w:rPr>
        <w:t>1/10), nedažnas (nuo ≥</w:t>
      </w:r>
      <w:r w:rsidR="009D7277">
        <w:rPr>
          <w:rFonts w:ascii="Times New Roman" w:eastAsia="PMingLiU" w:hAnsi="Times New Roman" w:cs="Times New Roman"/>
          <w:iCs/>
          <w:lang w:val="lt-LT"/>
        </w:rPr>
        <w:t> </w:t>
      </w:r>
      <w:r w:rsidRPr="00CC52A7">
        <w:rPr>
          <w:rFonts w:ascii="Times New Roman" w:eastAsia="PMingLiU" w:hAnsi="Times New Roman" w:cs="Times New Roman"/>
          <w:iCs/>
          <w:lang w:val="lt-LT"/>
        </w:rPr>
        <w:t>1/1000 iki &lt;</w:t>
      </w:r>
      <w:r w:rsidR="009D7277">
        <w:rPr>
          <w:rFonts w:ascii="Times New Roman" w:eastAsia="PMingLiU" w:hAnsi="Times New Roman" w:cs="Times New Roman"/>
          <w:iCs/>
          <w:lang w:val="lt-LT"/>
        </w:rPr>
        <w:t> </w:t>
      </w:r>
      <w:r w:rsidRPr="00CC52A7">
        <w:rPr>
          <w:rFonts w:ascii="Times New Roman" w:eastAsia="PMingLiU" w:hAnsi="Times New Roman" w:cs="Times New Roman"/>
          <w:iCs/>
          <w:lang w:val="lt-LT"/>
        </w:rPr>
        <w:t>1/100), retas (nuo ≥</w:t>
      </w:r>
      <w:r w:rsidR="009D7277">
        <w:rPr>
          <w:rFonts w:ascii="Times New Roman" w:eastAsia="PMingLiU" w:hAnsi="Times New Roman" w:cs="Times New Roman"/>
          <w:iCs/>
          <w:lang w:val="lt-LT"/>
        </w:rPr>
        <w:t> </w:t>
      </w:r>
      <w:r w:rsidRPr="00CC52A7">
        <w:rPr>
          <w:rFonts w:ascii="Times New Roman" w:eastAsia="PMingLiU" w:hAnsi="Times New Roman" w:cs="Times New Roman"/>
          <w:iCs/>
          <w:lang w:val="lt-LT"/>
        </w:rPr>
        <w:t>1/10000 iki &lt;</w:t>
      </w:r>
      <w:r w:rsidR="009D7277">
        <w:rPr>
          <w:rFonts w:ascii="Times New Roman" w:eastAsia="PMingLiU" w:hAnsi="Times New Roman" w:cs="Times New Roman"/>
          <w:iCs/>
          <w:lang w:val="lt-LT"/>
        </w:rPr>
        <w:t> </w:t>
      </w:r>
      <w:r w:rsidRPr="00CC52A7">
        <w:rPr>
          <w:rFonts w:ascii="Times New Roman" w:eastAsia="PMingLiU" w:hAnsi="Times New Roman" w:cs="Times New Roman"/>
          <w:iCs/>
          <w:lang w:val="lt-LT"/>
        </w:rPr>
        <w:t>1/1000), labai retas (&lt;</w:t>
      </w:r>
      <w:r w:rsidR="009D7277">
        <w:rPr>
          <w:rFonts w:ascii="Times New Roman" w:eastAsia="PMingLiU" w:hAnsi="Times New Roman" w:cs="Times New Roman"/>
          <w:iCs/>
          <w:lang w:val="lt-LT"/>
        </w:rPr>
        <w:t> </w:t>
      </w:r>
      <w:r w:rsidRPr="00CC52A7">
        <w:rPr>
          <w:rFonts w:ascii="Times New Roman" w:eastAsia="PMingLiU" w:hAnsi="Times New Roman" w:cs="Times New Roman"/>
          <w:iCs/>
          <w:lang w:val="lt-LT"/>
        </w:rPr>
        <w:t>1/10000) ir nežinomas (negali būti apskaičiuotas pagal turimus duomenis).</w:t>
      </w:r>
    </w:p>
    <w:p w14:paraId="73A30473"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i/>
          <w:lang w:val="lt-LT"/>
        </w:rPr>
      </w:pPr>
    </w:p>
    <w:p w14:paraId="73A30474"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i/>
          <w:lang w:val="lt-LT"/>
        </w:rPr>
      </w:pPr>
      <w:r w:rsidRPr="00CC52A7">
        <w:rPr>
          <w:rFonts w:ascii="Times New Roman" w:eastAsia="PMingLiU" w:hAnsi="Times New Roman" w:cs="Times New Roman"/>
          <w:i/>
          <w:lang w:val="lt-LT"/>
        </w:rPr>
        <w:t>Kraujo ir limfinės sistemos sutrikimai</w:t>
      </w:r>
    </w:p>
    <w:p w14:paraId="73A30475"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Labai reti: anemija, leukopenija, trombocitopenija.</w:t>
      </w:r>
    </w:p>
    <w:p w14:paraId="73A30476"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477"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i/>
          <w:lang w:val="lt-LT"/>
        </w:rPr>
      </w:pPr>
      <w:r w:rsidRPr="00CC52A7">
        <w:rPr>
          <w:rFonts w:ascii="Times New Roman" w:eastAsia="PMingLiU" w:hAnsi="Times New Roman" w:cs="Times New Roman"/>
          <w:i/>
          <w:lang w:val="lt-LT"/>
        </w:rPr>
        <w:t>Imuninės sistemos sutrikimai</w:t>
      </w:r>
    </w:p>
    <w:p w14:paraId="73A30478"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Reti: anafilaksija.</w:t>
      </w:r>
    </w:p>
    <w:p w14:paraId="73A30479"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i/>
          <w:lang w:val="lt-LT"/>
        </w:rPr>
      </w:pPr>
    </w:p>
    <w:p w14:paraId="73A3047A"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i/>
          <w:lang w:val="lt-LT"/>
        </w:rPr>
      </w:pPr>
      <w:r w:rsidRPr="00CC52A7">
        <w:rPr>
          <w:rFonts w:ascii="Times New Roman" w:eastAsia="PMingLiU" w:hAnsi="Times New Roman" w:cs="Times New Roman"/>
          <w:i/>
          <w:lang w:val="lt-LT"/>
        </w:rPr>
        <w:t>Psichikos ir  nervų sistemos sutrikimai</w:t>
      </w:r>
    </w:p>
    <w:p w14:paraId="73A3047B"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Dažni: galvos svaigimas, galvos skausmas.</w:t>
      </w:r>
    </w:p>
    <w:p w14:paraId="73A3047C"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Labai reti: susijaudinimas, sumišimas, drebulys, ataksija, dizartrija, haliucinacijos, psichozės požymiai, traukuliai, mieguistumas, encefalopatija, koma.</w:t>
      </w:r>
    </w:p>
    <w:p w14:paraId="73A3047D"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Minėti reiškiniai dažniausiai yra grįžtami ir paprastai pastebėti pacientams, kuriems yra inkstų funkcijos pakenkimas ar kitų polinkį didinančių veiksnių (žr. 4.4 skyrių). </w:t>
      </w:r>
    </w:p>
    <w:p w14:paraId="73A3047E"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47F"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i/>
          <w:lang w:val="lt-LT"/>
        </w:rPr>
      </w:pPr>
      <w:r w:rsidRPr="00CC52A7">
        <w:rPr>
          <w:rFonts w:ascii="Times New Roman" w:eastAsia="PMingLiU" w:hAnsi="Times New Roman" w:cs="Times New Roman"/>
          <w:i/>
          <w:lang w:val="lt-LT"/>
        </w:rPr>
        <w:t>Kvėpavimo sistemos, krūtinės ląstos ir tarpuplaučio sutrikimai</w:t>
      </w:r>
    </w:p>
    <w:p w14:paraId="73A30480"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Reti: dusulys. </w:t>
      </w:r>
    </w:p>
    <w:p w14:paraId="73A30481" w14:textId="77777777" w:rsidR="00DC55CF" w:rsidRPr="00CC52A7" w:rsidRDefault="00DC55CF" w:rsidP="00DC55CF">
      <w:pPr>
        <w:keepNext/>
        <w:overflowPunct w:val="0"/>
        <w:autoSpaceDE w:val="0"/>
        <w:autoSpaceDN w:val="0"/>
        <w:adjustRightInd w:val="0"/>
        <w:spacing w:after="0" w:line="240" w:lineRule="auto"/>
        <w:contextualSpacing/>
        <w:textAlignment w:val="baseline"/>
        <w:outlineLvl w:val="1"/>
        <w:rPr>
          <w:rFonts w:ascii="Times New Roman" w:eastAsia="PMingLiU" w:hAnsi="Times New Roman" w:cs="Times New Roman"/>
          <w:i/>
          <w:iCs/>
          <w:u w:val="single"/>
          <w:lang w:val="lt-LT"/>
        </w:rPr>
      </w:pPr>
    </w:p>
    <w:p w14:paraId="73A30482"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i/>
          <w:lang w:val="lt-LT"/>
        </w:rPr>
      </w:pPr>
      <w:r w:rsidRPr="00CC52A7">
        <w:rPr>
          <w:rFonts w:ascii="Times New Roman" w:eastAsia="PMingLiU" w:hAnsi="Times New Roman" w:cs="Times New Roman"/>
          <w:i/>
          <w:lang w:val="lt-LT"/>
        </w:rPr>
        <w:t>Virškinimo trakto sutrikimai</w:t>
      </w:r>
    </w:p>
    <w:p w14:paraId="73A30483"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Dažni: pykinimas, vėmimas, viduriavimas, pilvo skausmas.</w:t>
      </w:r>
    </w:p>
    <w:p w14:paraId="73A30484" w14:textId="77777777" w:rsidR="00DC55CF" w:rsidRPr="00CC52A7" w:rsidRDefault="00DC55CF" w:rsidP="00DC55CF">
      <w:pPr>
        <w:keepNext/>
        <w:overflowPunct w:val="0"/>
        <w:autoSpaceDE w:val="0"/>
        <w:autoSpaceDN w:val="0"/>
        <w:adjustRightInd w:val="0"/>
        <w:spacing w:after="0" w:line="240" w:lineRule="auto"/>
        <w:contextualSpacing/>
        <w:textAlignment w:val="baseline"/>
        <w:outlineLvl w:val="2"/>
        <w:rPr>
          <w:rFonts w:ascii="Times New Roman" w:eastAsia="PMingLiU" w:hAnsi="Times New Roman" w:cs="Times New Roman"/>
          <w:i/>
          <w:iCs/>
          <w:u w:val="single"/>
          <w:lang w:val="lt-LT"/>
        </w:rPr>
      </w:pPr>
    </w:p>
    <w:p w14:paraId="73A30485" w14:textId="77777777" w:rsidR="00DC55CF" w:rsidRPr="00CC52A7" w:rsidRDefault="00DC55CF" w:rsidP="00DC55CF">
      <w:pPr>
        <w:keepNext/>
        <w:overflowPunct w:val="0"/>
        <w:autoSpaceDE w:val="0"/>
        <w:autoSpaceDN w:val="0"/>
        <w:adjustRightInd w:val="0"/>
        <w:spacing w:after="0" w:line="240" w:lineRule="auto"/>
        <w:contextualSpacing/>
        <w:textAlignment w:val="baseline"/>
        <w:outlineLvl w:val="2"/>
        <w:rPr>
          <w:rFonts w:ascii="Times New Roman" w:eastAsia="PMingLiU" w:hAnsi="Times New Roman" w:cs="Times New Roman"/>
          <w:i/>
          <w:iCs/>
          <w:lang w:val="lt-LT"/>
        </w:rPr>
      </w:pPr>
      <w:r w:rsidRPr="00CC52A7">
        <w:rPr>
          <w:rFonts w:ascii="Times New Roman" w:eastAsia="PMingLiU" w:hAnsi="Times New Roman" w:cs="Times New Roman"/>
          <w:i/>
          <w:iCs/>
          <w:lang w:val="lt-LT"/>
        </w:rPr>
        <w:t>Kepenų, tulžies pūslės ir latakų sutrikimai</w:t>
      </w:r>
    </w:p>
    <w:p w14:paraId="73A30486"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Reti: grįžtamasis bilirubino kiekio ir kepenų fermentų aktyvumo padidėjimas.</w:t>
      </w:r>
    </w:p>
    <w:p w14:paraId="73A30487"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Labai reti: kepenų uždegimas, gelta.</w:t>
      </w:r>
    </w:p>
    <w:p w14:paraId="73A30488"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489"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i/>
          <w:lang w:val="lt-LT"/>
        </w:rPr>
      </w:pPr>
      <w:r w:rsidRPr="00CC52A7">
        <w:rPr>
          <w:rFonts w:ascii="Times New Roman" w:eastAsia="PMingLiU" w:hAnsi="Times New Roman" w:cs="Times New Roman"/>
          <w:i/>
          <w:lang w:val="lt-LT"/>
        </w:rPr>
        <w:t>Odos ir poodinio audinio sutrikimai</w:t>
      </w:r>
    </w:p>
    <w:p w14:paraId="73A3048A"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Dažni: niežėjimas, bėrimas (įskaitant padidėjusį jautrumą šviesai).</w:t>
      </w:r>
    </w:p>
    <w:p w14:paraId="73A3048B" w14:textId="77777777" w:rsidR="00DC55CF" w:rsidRPr="00CC52A7" w:rsidRDefault="00DC55CF" w:rsidP="00DC55CF">
      <w:pPr>
        <w:keepNext/>
        <w:overflowPunct w:val="0"/>
        <w:autoSpaceDE w:val="0"/>
        <w:autoSpaceDN w:val="0"/>
        <w:adjustRightInd w:val="0"/>
        <w:spacing w:after="0" w:line="240" w:lineRule="auto"/>
        <w:contextualSpacing/>
        <w:textAlignment w:val="baseline"/>
        <w:outlineLvl w:val="1"/>
        <w:rPr>
          <w:rFonts w:ascii="Times New Roman" w:eastAsia="PMingLiU" w:hAnsi="Times New Roman" w:cs="Times New Roman"/>
          <w:iCs/>
          <w:lang w:val="lt-LT"/>
        </w:rPr>
      </w:pPr>
      <w:r w:rsidRPr="00CC52A7">
        <w:rPr>
          <w:rFonts w:ascii="Times New Roman" w:eastAsia="PMingLiU" w:hAnsi="Times New Roman" w:cs="Times New Roman"/>
          <w:iCs/>
          <w:lang w:val="lt-LT"/>
        </w:rPr>
        <w:t xml:space="preserve">Nedažni: dilgėlinė, paspartėjęs difuzinis plaukų slinkimas*. </w:t>
      </w:r>
    </w:p>
    <w:p w14:paraId="73A3048C"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Reti: angioneurozinė edema.</w:t>
      </w:r>
    </w:p>
    <w:p w14:paraId="73A3048D" w14:textId="77777777" w:rsidR="00DC55CF" w:rsidRPr="00CC52A7" w:rsidRDefault="00DC55CF" w:rsidP="00DC55CF">
      <w:pPr>
        <w:keepNext/>
        <w:overflowPunct w:val="0"/>
        <w:autoSpaceDE w:val="0"/>
        <w:autoSpaceDN w:val="0"/>
        <w:adjustRightInd w:val="0"/>
        <w:spacing w:after="0" w:line="240" w:lineRule="auto"/>
        <w:contextualSpacing/>
        <w:textAlignment w:val="baseline"/>
        <w:outlineLvl w:val="1"/>
        <w:rPr>
          <w:rFonts w:ascii="Times New Roman" w:eastAsia="PMingLiU" w:hAnsi="Times New Roman" w:cs="Times New Roman"/>
          <w:iCs/>
          <w:lang w:val="lt-LT"/>
        </w:rPr>
      </w:pPr>
      <w:r w:rsidRPr="00CC52A7">
        <w:rPr>
          <w:rFonts w:ascii="Times New Roman" w:eastAsia="PMingLiU" w:hAnsi="Times New Roman" w:cs="Times New Roman"/>
          <w:iCs/>
          <w:lang w:val="lt-LT"/>
        </w:rPr>
        <w:t>*Paspartėjęs difuzinis plaukų slinkimas yra susijęs su didele ligų ir vaistinių preparatų įvairove. Reiškinio sąryšis su gydymu acikloviru yra abejotinas.</w:t>
      </w:r>
    </w:p>
    <w:p w14:paraId="73A3048E"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48F"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i/>
          <w:lang w:val="lt-LT"/>
        </w:rPr>
      </w:pPr>
      <w:r w:rsidRPr="00CC52A7">
        <w:rPr>
          <w:rFonts w:ascii="Times New Roman" w:eastAsia="PMingLiU" w:hAnsi="Times New Roman" w:cs="Times New Roman"/>
          <w:i/>
          <w:lang w:val="lt-LT"/>
        </w:rPr>
        <w:t>Inkstų ir šlapimo takų sutrikimai</w:t>
      </w:r>
    </w:p>
    <w:p w14:paraId="73A30490"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Reti: padidėjęs šlapalo ir kreatinino kiekis kraujyje.</w:t>
      </w:r>
    </w:p>
    <w:p w14:paraId="73A30491"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iCs/>
          <w:lang w:val="lt-LT"/>
        </w:rPr>
        <w:t>Labai reti: ūminis inkstų nepakankamumas, inkstų skausmas (</w:t>
      </w:r>
      <w:r w:rsidRPr="00CC52A7">
        <w:rPr>
          <w:rFonts w:ascii="Times New Roman" w:eastAsia="PMingLiU" w:hAnsi="Times New Roman" w:cs="Times New Roman"/>
          <w:lang w:val="lt-LT"/>
        </w:rPr>
        <w:t>gali būti susijęs su inkstų nepakankamumu).</w:t>
      </w:r>
    </w:p>
    <w:p w14:paraId="73A30492" w14:textId="77777777" w:rsidR="00DC55CF" w:rsidRPr="00CC52A7" w:rsidRDefault="00DC55CF" w:rsidP="00DC55CF">
      <w:pPr>
        <w:keepNext/>
        <w:overflowPunct w:val="0"/>
        <w:autoSpaceDE w:val="0"/>
        <w:autoSpaceDN w:val="0"/>
        <w:adjustRightInd w:val="0"/>
        <w:spacing w:after="0" w:line="240" w:lineRule="auto"/>
        <w:contextualSpacing/>
        <w:textAlignment w:val="baseline"/>
        <w:outlineLvl w:val="2"/>
        <w:rPr>
          <w:rFonts w:ascii="Times New Roman" w:eastAsia="PMingLiU" w:hAnsi="Times New Roman" w:cs="Times New Roman"/>
          <w:i/>
          <w:iCs/>
          <w:u w:val="single"/>
          <w:lang w:val="lt-LT"/>
        </w:rPr>
      </w:pPr>
    </w:p>
    <w:p w14:paraId="73A30493" w14:textId="77777777" w:rsidR="00DC55CF" w:rsidRPr="00CC52A7" w:rsidRDefault="00DC55CF" w:rsidP="00DC55CF">
      <w:pPr>
        <w:keepNext/>
        <w:overflowPunct w:val="0"/>
        <w:autoSpaceDE w:val="0"/>
        <w:autoSpaceDN w:val="0"/>
        <w:adjustRightInd w:val="0"/>
        <w:spacing w:after="0" w:line="240" w:lineRule="auto"/>
        <w:contextualSpacing/>
        <w:textAlignment w:val="baseline"/>
        <w:outlineLvl w:val="2"/>
        <w:rPr>
          <w:rFonts w:ascii="Times New Roman" w:eastAsia="PMingLiU" w:hAnsi="Times New Roman" w:cs="Times New Roman"/>
          <w:i/>
          <w:iCs/>
          <w:lang w:val="lt-LT"/>
        </w:rPr>
      </w:pPr>
      <w:r w:rsidRPr="00CC52A7">
        <w:rPr>
          <w:rFonts w:ascii="Times New Roman" w:eastAsia="PMingLiU" w:hAnsi="Times New Roman" w:cs="Times New Roman"/>
          <w:i/>
          <w:iCs/>
          <w:lang w:val="lt-LT"/>
        </w:rPr>
        <w:t>Bendrieji sutrikimai ir vartojimo vietos pažeidimai</w:t>
      </w:r>
    </w:p>
    <w:p w14:paraId="73A30494"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Dažni: nuovargis, karščiavimas.</w:t>
      </w:r>
    </w:p>
    <w:p w14:paraId="73A30495"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496"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u w:val="single"/>
          <w:lang w:val="lt-LT"/>
        </w:rPr>
      </w:pPr>
      <w:r w:rsidRPr="00CC52A7">
        <w:rPr>
          <w:rFonts w:ascii="Times New Roman" w:eastAsia="PMingLiU" w:hAnsi="Times New Roman" w:cs="Times New Roman"/>
          <w:u w:val="single"/>
          <w:lang w:val="lt-LT"/>
        </w:rPr>
        <w:t>Pranešimas apie įtariamas nepageidaujamas reakcijas</w:t>
      </w:r>
    </w:p>
    <w:p w14:paraId="73A30497" w14:textId="77777777" w:rsidR="00DC55CF" w:rsidRPr="00CC52A7" w:rsidRDefault="00DC55CF" w:rsidP="00DC55CF">
      <w:pPr>
        <w:overflowPunct w:val="0"/>
        <w:autoSpaceDE w:val="0"/>
        <w:autoSpaceDN w:val="0"/>
        <w:adjustRightInd w:val="0"/>
        <w:spacing w:after="0" w:line="240" w:lineRule="auto"/>
        <w:contextualSpacing/>
        <w:jc w:val="both"/>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Svarbu pranešti apie įtariamas nepageidaujamas reakcijas, pastebėtas po vaistinio preparato </w:t>
      </w:r>
      <w:r w:rsidR="001B094F">
        <w:rPr>
          <w:rFonts w:ascii="Times New Roman" w:eastAsia="PMingLiU" w:hAnsi="Times New Roman" w:cs="Times New Roman"/>
          <w:lang w:val="lt-LT"/>
        </w:rPr>
        <w:t>registracijos</w:t>
      </w:r>
      <w:r w:rsidRPr="00CC52A7">
        <w:rPr>
          <w:rFonts w:ascii="Times New Roman" w:eastAsia="PMingLiU" w:hAnsi="Times New Roman" w:cs="Times New Roman"/>
          <w:lang w:val="lt-LT"/>
        </w:rPr>
        <w:t>, nes tai leidžia nuolat stebėti vaistinio preparato naudos ir rizikos santykį. Sveikatos priežiūros specialistai turi pranešti apie bet kokias įtariamas nepageidaujamas reakcijas, užpildę interneto svetainėje http://</w:t>
      </w:r>
      <w:hyperlink r:id="rId11" w:history="1">
        <w:r w:rsidRPr="00CC52A7">
          <w:rPr>
            <w:rFonts w:ascii="Times New Roman" w:eastAsia="SimSun" w:hAnsi="Times New Roman" w:cs="Times New Roman"/>
            <w:color w:val="0000FF"/>
            <w:u w:val="single"/>
            <w:lang w:val="lt-LT"/>
          </w:rPr>
          <w:t>www.vvkt.lt</w:t>
        </w:r>
      </w:hyperlink>
      <w:r w:rsidRPr="00CC52A7">
        <w:rPr>
          <w:rFonts w:ascii="Times New Roman" w:eastAsia="PMingLiU" w:hAnsi="Times New Roman" w:cs="Times New Roman"/>
          <w:lang w:val="lt-LT"/>
        </w:rPr>
        <w:t xml:space="preserve">/ esančią formą, ir pateikti ją Valstybinei vaistų kontrolės tarnybai </w:t>
      </w:r>
      <w:r w:rsidRPr="00CC52A7">
        <w:rPr>
          <w:rFonts w:ascii="Times New Roman" w:eastAsia="PMingLiU" w:hAnsi="Times New Roman" w:cs="Times New Roman"/>
          <w:lang w:val="lt-LT"/>
        </w:rPr>
        <w:lastRenderedPageBreak/>
        <w:t xml:space="preserve">prie Lietuvos Respublikos sveikatos apsaugos ministerijos vienu iš šių būdų: raštu (adresu Žirmūnų g. 139A, LT 09120 Vilnius), faksu (nemokamu fakso numeriu (8 800) 20 131), elektroniniu paštu (adresu </w:t>
      </w:r>
      <w:hyperlink r:id="rId12" w:history="1">
        <w:r w:rsidRPr="00CC52A7">
          <w:rPr>
            <w:rFonts w:ascii="Times New Roman" w:eastAsia="SimSun" w:hAnsi="Times New Roman" w:cs="Times New Roman"/>
            <w:color w:val="0000FF"/>
            <w:u w:val="single"/>
            <w:lang w:val="lt-LT"/>
          </w:rPr>
          <w:t>NepageidaujamaR@vvkt.lt</w:t>
        </w:r>
      </w:hyperlink>
      <w:r w:rsidRPr="00CC52A7">
        <w:rPr>
          <w:rFonts w:ascii="Times New Roman" w:eastAsia="PMingLiU" w:hAnsi="Times New Roman" w:cs="Times New Roman"/>
          <w:lang w:val="lt-LT"/>
        </w:rPr>
        <w:t xml:space="preserve">), per interneto svetainę (adresu </w:t>
      </w:r>
      <w:hyperlink r:id="rId13" w:history="1">
        <w:r w:rsidR="004B69BD" w:rsidRPr="00E119CA">
          <w:rPr>
            <w:rStyle w:val="Hipersaitas"/>
            <w:rFonts w:ascii="Times New Roman" w:eastAsia="PMingLiU" w:hAnsi="Times New Roman"/>
            <w:lang w:val="lt-LT"/>
          </w:rPr>
          <w:t>http://www.vvkt.lt</w:t>
        </w:r>
      </w:hyperlink>
      <w:r w:rsidR="004B69BD">
        <w:rPr>
          <w:rFonts w:ascii="Times New Roman" w:eastAsia="PMingLiU" w:hAnsi="Times New Roman" w:cs="Times New Roman"/>
          <w:lang w:val="lt-LT"/>
        </w:rPr>
        <w:t xml:space="preserve"> </w:t>
      </w:r>
      <w:r w:rsidRPr="00CC52A7">
        <w:rPr>
          <w:rFonts w:ascii="Times New Roman" w:eastAsia="PMingLiU" w:hAnsi="Times New Roman" w:cs="Times New Roman"/>
          <w:lang w:val="lt-LT"/>
        </w:rPr>
        <w:t>).</w:t>
      </w:r>
    </w:p>
    <w:p w14:paraId="73A30498"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499" w14:textId="77777777" w:rsidR="00DC55CF" w:rsidRPr="00CC52A7" w:rsidRDefault="00DC55CF" w:rsidP="00DC55CF">
      <w:pPr>
        <w:overflowPunct w:val="0"/>
        <w:autoSpaceDE w:val="0"/>
        <w:autoSpaceDN w:val="0"/>
        <w:adjustRightInd w:val="0"/>
        <w:spacing w:after="0" w:line="240" w:lineRule="auto"/>
        <w:ind w:left="567" w:hanging="567"/>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b/>
          <w:lang w:val="lt-LT"/>
        </w:rPr>
        <w:t>4.9</w:t>
      </w:r>
      <w:r w:rsidRPr="00CC52A7">
        <w:rPr>
          <w:rFonts w:ascii="Times New Roman" w:eastAsia="PMingLiU" w:hAnsi="Times New Roman" w:cs="Times New Roman"/>
          <w:b/>
          <w:lang w:val="lt-LT"/>
        </w:rPr>
        <w:tab/>
        <w:t>Perdozavimas</w:t>
      </w:r>
    </w:p>
    <w:p w14:paraId="73A3049A"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49B" w14:textId="77777777" w:rsidR="00DC55CF" w:rsidRPr="00CC52A7" w:rsidRDefault="00DC55CF" w:rsidP="00DC55CF">
      <w:pPr>
        <w:spacing w:after="0" w:line="240" w:lineRule="auto"/>
        <w:contextualSpacing/>
        <w:rPr>
          <w:rFonts w:ascii="Times New Roman" w:eastAsia="PMingLiU" w:hAnsi="Times New Roman" w:cs="Times New Roman"/>
          <w:u w:val="single"/>
          <w:lang w:val="lt-LT"/>
        </w:rPr>
      </w:pPr>
      <w:r w:rsidRPr="00CC52A7">
        <w:rPr>
          <w:rFonts w:ascii="Times New Roman" w:eastAsia="PMingLiU" w:hAnsi="Times New Roman" w:cs="Times New Roman"/>
          <w:u w:val="single"/>
          <w:lang w:val="lt-LT"/>
        </w:rPr>
        <w:t>Simptomai</w:t>
      </w:r>
    </w:p>
    <w:p w14:paraId="73A3049C"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Acikloviras tik iš dalies rezorbuojamas virškinimo trakte. Išgerta vienkartinė ne didesnė kaip 20</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 xml:space="preserve">g acikloviro dozė, paprastai nesukelia apsinuodijimo. Atsitiktinai pavartojus per didelę acikloviro dozę kelias paras iš eilės, sutriko virškinimo trakto (pykinimas ir vėmimas) bei nervų sistemos (galvos skausmas, sumišimas) veikla. </w:t>
      </w:r>
    </w:p>
    <w:p w14:paraId="73A3049D" w14:textId="77777777" w:rsidR="00DC55CF" w:rsidRPr="00CC52A7" w:rsidRDefault="00DC55CF" w:rsidP="00DC55CF">
      <w:pPr>
        <w:overflowPunct w:val="0"/>
        <w:autoSpaceDE w:val="0"/>
        <w:autoSpaceDN w:val="0"/>
        <w:adjustRightInd w:val="0"/>
        <w:spacing w:after="0" w:line="240" w:lineRule="auto"/>
        <w:contextualSpacing/>
        <w:jc w:val="both"/>
        <w:textAlignment w:val="baseline"/>
        <w:rPr>
          <w:rFonts w:ascii="Times New Roman" w:eastAsia="PMingLiU" w:hAnsi="Times New Roman" w:cs="Times New Roman"/>
          <w:lang w:val="lt-LT"/>
        </w:rPr>
      </w:pPr>
    </w:p>
    <w:p w14:paraId="73A3049E"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Pernelyg didelę acikloviro dozę sušvirkštus į veną, padidėjo kreatinino kiekis serume ir sutriko inkstų veikla. Perdozavus į veną vartojamo acikloviro, pasireiškė nervų sistemos sutrikimai: sumišimas, haliucinacijos, ažitacija, traukuliai ir koma.</w:t>
      </w:r>
    </w:p>
    <w:p w14:paraId="73A3049F" w14:textId="77777777" w:rsidR="00DC55CF" w:rsidRPr="00CC52A7" w:rsidRDefault="00DC55CF" w:rsidP="00DC55CF">
      <w:pPr>
        <w:overflowPunct w:val="0"/>
        <w:autoSpaceDE w:val="0"/>
        <w:autoSpaceDN w:val="0"/>
        <w:adjustRightInd w:val="0"/>
        <w:spacing w:after="0" w:line="240" w:lineRule="auto"/>
        <w:contextualSpacing/>
        <w:jc w:val="both"/>
        <w:textAlignment w:val="baseline"/>
        <w:rPr>
          <w:rFonts w:ascii="Times New Roman" w:eastAsia="PMingLiU" w:hAnsi="Times New Roman" w:cs="Times New Roman"/>
          <w:lang w:val="lt-LT"/>
        </w:rPr>
      </w:pPr>
    </w:p>
    <w:p w14:paraId="73A304A0" w14:textId="77777777" w:rsidR="00DC55CF" w:rsidRPr="00CC52A7" w:rsidRDefault="00DC55CF" w:rsidP="00DC55CF">
      <w:pPr>
        <w:overflowPunct w:val="0"/>
        <w:autoSpaceDE w:val="0"/>
        <w:autoSpaceDN w:val="0"/>
        <w:adjustRightInd w:val="0"/>
        <w:spacing w:after="0" w:line="240" w:lineRule="auto"/>
        <w:contextualSpacing/>
        <w:jc w:val="both"/>
        <w:textAlignment w:val="baseline"/>
        <w:rPr>
          <w:rFonts w:ascii="Times New Roman" w:eastAsia="PMingLiU" w:hAnsi="Times New Roman" w:cs="Times New Roman"/>
          <w:u w:val="single"/>
          <w:lang w:val="lt-LT"/>
        </w:rPr>
      </w:pPr>
      <w:r w:rsidRPr="00CC52A7">
        <w:rPr>
          <w:rFonts w:ascii="Times New Roman" w:eastAsia="PMingLiU" w:hAnsi="Times New Roman" w:cs="Times New Roman"/>
          <w:u w:val="single"/>
          <w:lang w:val="lt-LT"/>
        </w:rPr>
        <w:t>Gydymas</w:t>
      </w:r>
    </w:p>
    <w:p w14:paraId="73A304A1"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Reikia atidžiai stebėti, ar ligoniui neatsiranda toksinio poveikio požymių. Hemodializė ženkliai paskatina acikloviro šalinimą iš kraujo, todėl ją galima taikyti simptominio perdozavimo atveju. </w:t>
      </w:r>
    </w:p>
    <w:p w14:paraId="73A304A2"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4A3"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4A4" w14:textId="77777777" w:rsidR="00DC55CF" w:rsidRPr="00CC52A7" w:rsidRDefault="00DC55CF" w:rsidP="00DC55CF">
      <w:pPr>
        <w:overflowPunct w:val="0"/>
        <w:autoSpaceDE w:val="0"/>
        <w:autoSpaceDN w:val="0"/>
        <w:adjustRightInd w:val="0"/>
        <w:spacing w:after="0" w:line="240" w:lineRule="auto"/>
        <w:ind w:left="567" w:hanging="567"/>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b/>
          <w:lang w:val="lt-LT"/>
        </w:rPr>
        <w:t>5.</w:t>
      </w:r>
      <w:r w:rsidRPr="00CC52A7">
        <w:rPr>
          <w:rFonts w:ascii="Times New Roman" w:eastAsia="PMingLiU" w:hAnsi="Times New Roman" w:cs="Times New Roman"/>
          <w:b/>
          <w:lang w:val="lt-LT"/>
        </w:rPr>
        <w:tab/>
        <w:t>FARMAKOLOGINĖS SAVYBĖS</w:t>
      </w:r>
    </w:p>
    <w:p w14:paraId="73A304A5"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4A6" w14:textId="77777777" w:rsidR="00DC55CF" w:rsidRPr="00CC52A7" w:rsidRDefault="00DC55CF" w:rsidP="00DC55CF">
      <w:pPr>
        <w:overflowPunct w:val="0"/>
        <w:autoSpaceDE w:val="0"/>
        <w:autoSpaceDN w:val="0"/>
        <w:adjustRightInd w:val="0"/>
        <w:spacing w:after="0" w:line="240" w:lineRule="auto"/>
        <w:ind w:left="567" w:hanging="567"/>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b/>
          <w:lang w:val="lt-LT"/>
        </w:rPr>
        <w:t>5.1</w:t>
      </w:r>
      <w:r w:rsidRPr="00CC52A7">
        <w:rPr>
          <w:rFonts w:ascii="Times New Roman" w:eastAsia="PMingLiU" w:hAnsi="Times New Roman" w:cs="Times New Roman"/>
          <w:b/>
          <w:lang w:val="lt-LT"/>
        </w:rPr>
        <w:tab/>
        <w:t>Farmakodinaminės savybės</w:t>
      </w:r>
    </w:p>
    <w:p w14:paraId="73A304A7"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4A8"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Farmakoterapinė grupė – antivirusiniai bendro veikimo vaist</w:t>
      </w:r>
      <w:r w:rsidR="004070A0">
        <w:rPr>
          <w:rFonts w:ascii="Times New Roman" w:eastAsia="PMingLiU" w:hAnsi="Times New Roman" w:cs="Times New Roman"/>
          <w:lang w:val="lt-LT"/>
        </w:rPr>
        <w:t>iniai preparat</w:t>
      </w:r>
      <w:r w:rsidRPr="00CC52A7">
        <w:rPr>
          <w:rFonts w:ascii="Times New Roman" w:eastAsia="PMingLiU" w:hAnsi="Times New Roman" w:cs="Times New Roman"/>
          <w:lang w:val="lt-LT"/>
        </w:rPr>
        <w:t>ai, ATC kodas – J05AB01.</w:t>
      </w:r>
    </w:p>
    <w:p w14:paraId="73A304A9"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4AA"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Farmakologijos požiūriu acikloviras yra neaktyvi medžiaga. Jis tampa veiklus tik po to, kai prasiskverbia į </w:t>
      </w:r>
      <w:r w:rsidRPr="00CC52A7">
        <w:rPr>
          <w:rFonts w:ascii="Times New Roman" w:eastAsia="PMingLiU" w:hAnsi="Times New Roman" w:cs="Times New Roman"/>
          <w:i/>
          <w:lang w:val="lt-LT"/>
        </w:rPr>
        <w:t>Herpes simplex</w:t>
      </w:r>
      <w:r w:rsidRPr="00CC52A7">
        <w:rPr>
          <w:rFonts w:ascii="Times New Roman" w:eastAsia="PMingLiU" w:hAnsi="Times New Roman" w:cs="Times New Roman"/>
          <w:lang w:val="lt-LT"/>
        </w:rPr>
        <w:t xml:space="preserve"> arba </w:t>
      </w:r>
      <w:r w:rsidRPr="00CC52A7">
        <w:rPr>
          <w:rFonts w:ascii="Times New Roman" w:eastAsia="PMingLiU" w:hAnsi="Times New Roman" w:cs="Times New Roman"/>
          <w:i/>
          <w:lang w:val="lt-LT"/>
        </w:rPr>
        <w:t>Varicella zoster</w:t>
      </w:r>
      <w:r w:rsidRPr="00CC52A7">
        <w:rPr>
          <w:rFonts w:ascii="Times New Roman" w:eastAsia="PMingLiU" w:hAnsi="Times New Roman" w:cs="Times New Roman"/>
          <w:lang w:val="lt-LT"/>
        </w:rPr>
        <w:t xml:space="preserve"> virusais (HSV arba VZV) užkrėstų ląstelių vidų. Aciklovirą veiklų padaro HSV arba VZV timidinkinazė, fermentas, būtinas virusams daugintis, kitaip tariant, virusas sintetina medžiagą, kuri slopina jo dauginimąsi. Minėto poveikio etapai yra tokie:</w:t>
      </w:r>
    </w:p>
    <w:p w14:paraId="73A304AB" w14:textId="77777777" w:rsidR="00DC55CF" w:rsidRPr="00CC52A7" w:rsidRDefault="00DC55CF" w:rsidP="00DC55CF">
      <w:pPr>
        <w:overflowPunct w:val="0"/>
        <w:autoSpaceDE w:val="0"/>
        <w:autoSpaceDN w:val="0"/>
        <w:adjustRightInd w:val="0"/>
        <w:spacing w:after="0" w:line="240" w:lineRule="auto"/>
        <w:ind w:left="284" w:hanging="284"/>
        <w:contextualSpacing/>
        <w:jc w:val="both"/>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1.</w:t>
      </w:r>
      <w:r w:rsidRPr="00CC52A7">
        <w:rPr>
          <w:rFonts w:ascii="Times New Roman" w:eastAsia="PMingLiU" w:hAnsi="Times New Roman" w:cs="Times New Roman"/>
          <w:lang w:val="lt-LT"/>
        </w:rPr>
        <w:tab/>
        <w:t xml:space="preserve">Didelis kiekis acikloviro skverbiasi į </w:t>
      </w:r>
      <w:r w:rsidRPr="00CC52A7">
        <w:rPr>
          <w:rFonts w:ascii="Times New Roman" w:eastAsia="PMingLiU" w:hAnsi="Times New Roman" w:cs="Times New Roman"/>
          <w:i/>
          <w:lang w:val="lt-LT"/>
        </w:rPr>
        <w:t>Herpes</w:t>
      </w:r>
      <w:r w:rsidRPr="00CC52A7">
        <w:rPr>
          <w:rFonts w:ascii="Times New Roman" w:eastAsia="PMingLiU" w:hAnsi="Times New Roman" w:cs="Times New Roman"/>
          <w:lang w:val="lt-LT"/>
        </w:rPr>
        <w:t xml:space="preserve"> virusais užkrėstas ląsteles.</w:t>
      </w:r>
    </w:p>
    <w:p w14:paraId="73A304AC" w14:textId="77777777" w:rsidR="00DC55CF" w:rsidRPr="00CC52A7" w:rsidRDefault="00DC55CF" w:rsidP="00DC55CF">
      <w:pPr>
        <w:numPr>
          <w:ilvl w:val="0"/>
          <w:numId w:val="17"/>
        </w:numPr>
        <w:overflowPunct w:val="0"/>
        <w:autoSpaceDE w:val="0"/>
        <w:autoSpaceDN w:val="0"/>
        <w:adjustRightInd w:val="0"/>
        <w:spacing w:after="0" w:line="240" w:lineRule="auto"/>
        <w:ind w:left="284"/>
        <w:contextualSpacing/>
        <w:jc w:val="both"/>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Ląstelėse esanti virusų timidinkinazė fosforilina aciklovirą į acikloviro monofosfatą.</w:t>
      </w:r>
    </w:p>
    <w:p w14:paraId="73A304AD" w14:textId="77777777" w:rsidR="00DC55CF" w:rsidRPr="00CC52A7" w:rsidRDefault="00DC55CF" w:rsidP="00DC55CF">
      <w:pPr>
        <w:overflowPunct w:val="0"/>
        <w:autoSpaceDE w:val="0"/>
        <w:autoSpaceDN w:val="0"/>
        <w:adjustRightInd w:val="0"/>
        <w:spacing w:after="0" w:line="240" w:lineRule="auto"/>
        <w:ind w:left="360" w:hanging="359"/>
        <w:contextualSpacing/>
        <w:jc w:val="both"/>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3. Ląstelių fermentai paverčia acikloviro monofosfatą į tikrą virusostatinę medžiagą acikloviro trifosfatą. </w:t>
      </w:r>
    </w:p>
    <w:p w14:paraId="73A304AE" w14:textId="77777777" w:rsidR="00DC55CF" w:rsidRPr="00CC52A7" w:rsidRDefault="00DC55CF" w:rsidP="00DC55CF">
      <w:pPr>
        <w:overflowPunct w:val="0"/>
        <w:autoSpaceDE w:val="0"/>
        <w:autoSpaceDN w:val="0"/>
        <w:adjustRightInd w:val="0"/>
        <w:spacing w:after="0" w:line="240" w:lineRule="auto"/>
        <w:ind w:left="1"/>
        <w:contextualSpacing/>
        <w:jc w:val="both"/>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4. Acikloviro trifosfato gebėjimas jungtis su viruso DNR polimeraze, palyginti su ląstelės polimeraze, yra 10</w:t>
      </w:r>
      <w:r w:rsidR="009D7277">
        <w:rPr>
          <w:rFonts w:ascii="Times New Roman" w:eastAsia="PMingLiU" w:hAnsi="Times New Roman" w:cs="Times New Roman"/>
          <w:lang w:val="lt-LT"/>
        </w:rPr>
        <w:noBreakHyphen/>
      </w:r>
      <w:r w:rsidRPr="00CC52A7">
        <w:rPr>
          <w:rFonts w:ascii="Times New Roman" w:eastAsia="PMingLiU" w:hAnsi="Times New Roman" w:cs="Times New Roman"/>
          <w:lang w:val="lt-LT"/>
        </w:rPr>
        <w:t>30</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 xml:space="preserve">kartų didesnis, todėl viruso fermentų aktyvumas slopinamas selektyviai. </w:t>
      </w:r>
    </w:p>
    <w:p w14:paraId="73A304AF" w14:textId="77777777" w:rsidR="00DC55CF" w:rsidRPr="00CC52A7" w:rsidRDefault="00DC55CF" w:rsidP="00DC55CF">
      <w:pPr>
        <w:overflowPunct w:val="0"/>
        <w:autoSpaceDE w:val="0"/>
        <w:autoSpaceDN w:val="0"/>
        <w:adjustRightInd w:val="0"/>
        <w:spacing w:after="0" w:line="240" w:lineRule="auto"/>
        <w:ind w:left="1"/>
        <w:contextualSpacing/>
        <w:jc w:val="both"/>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5. Viruso DNR polimerazė įjungia aciklovirą į viruso DNR sudėtį, dėl to nutrūksta DNR grandinės sintezė.</w:t>
      </w:r>
    </w:p>
    <w:p w14:paraId="73A304B0" w14:textId="77777777" w:rsidR="00DC55CF" w:rsidRPr="00CC52A7" w:rsidRDefault="00DC55CF" w:rsidP="00DC55CF">
      <w:pPr>
        <w:overflowPunct w:val="0"/>
        <w:autoSpaceDE w:val="0"/>
        <w:autoSpaceDN w:val="0"/>
        <w:adjustRightInd w:val="0"/>
        <w:spacing w:after="0" w:line="240" w:lineRule="auto"/>
        <w:ind w:left="1"/>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Tok</w:t>
      </w:r>
      <w:r w:rsidR="00C82AC4">
        <w:rPr>
          <w:rFonts w:ascii="Times New Roman" w:eastAsia="PMingLiU" w:hAnsi="Times New Roman" w:cs="Times New Roman"/>
          <w:lang w:val="lt-LT"/>
        </w:rPr>
        <w:t>iai</w:t>
      </w:r>
      <w:r w:rsidRPr="00CC52A7">
        <w:rPr>
          <w:rFonts w:ascii="Times New Roman" w:eastAsia="PMingLiU" w:hAnsi="Times New Roman" w:cs="Times New Roman"/>
          <w:lang w:val="lt-LT"/>
        </w:rPr>
        <w:t>s etapais vykstantis procesas veiksmingai slopina virusų dauginimąsi ląstelėje.</w:t>
      </w:r>
    </w:p>
    <w:p w14:paraId="73A304B1" w14:textId="77777777" w:rsidR="00DC55CF" w:rsidRPr="00CC52A7" w:rsidRDefault="00DC55CF" w:rsidP="00DC55CF">
      <w:pPr>
        <w:overflowPunct w:val="0"/>
        <w:autoSpaceDE w:val="0"/>
        <w:autoSpaceDN w:val="0"/>
        <w:adjustRightInd w:val="0"/>
        <w:spacing w:after="0" w:line="240" w:lineRule="auto"/>
        <w:ind w:left="1"/>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Atlikus testą (</w:t>
      </w:r>
      <w:r w:rsidRPr="00CC52A7">
        <w:rPr>
          <w:rFonts w:ascii="Times New Roman" w:eastAsia="PMingLiU" w:hAnsi="Times New Roman" w:cs="Times New Roman"/>
          <w:i/>
          <w:lang w:val="lt-LT"/>
        </w:rPr>
        <w:t>Plaque-Reduktions-Test</w:t>
      </w:r>
      <w:r w:rsidRPr="00CC52A7">
        <w:rPr>
          <w:rFonts w:ascii="Times New Roman" w:eastAsia="PMingLiU" w:hAnsi="Times New Roman" w:cs="Times New Roman"/>
          <w:lang w:val="lt-LT"/>
        </w:rPr>
        <w:t>) nustatyta, kad žaliųjų Afrikos beždžionių inkstų parenchimos l</w:t>
      </w:r>
      <w:r w:rsidR="00CC52A7" w:rsidRPr="00CC52A7">
        <w:rPr>
          <w:rFonts w:ascii="Times New Roman" w:eastAsia="PMingLiU" w:hAnsi="Times New Roman" w:cs="Times New Roman"/>
          <w:lang w:val="lt-LT"/>
        </w:rPr>
        <w:t>ą</w:t>
      </w:r>
      <w:r w:rsidRPr="00CC52A7">
        <w:rPr>
          <w:rFonts w:ascii="Times New Roman" w:eastAsia="PMingLiU" w:hAnsi="Times New Roman" w:cs="Times New Roman"/>
          <w:lang w:val="lt-LT"/>
        </w:rPr>
        <w:t>stelių (Vero ląstelių), užkrėstų HSV, augimui slopinti reikia, kad viename litre būtų 0,1</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sym w:font="Symbol" w:char="F06D"/>
      </w:r>
      <w:r w:rsidRPr="00CC52A7">
        <w:rPr>
          <w:rFonts w:ascii="Times New Roman" w:eastAsia="PMingLiU" w:hAnsi="Times New Roman" w:cs="Times New Roman"/>
          <w:lang w:val="lt-LT"/>
        </w:rPr>
        <w:t>mol acikloviro, o neužkrėstų ląstelių augimą acikloviras nuslopina tik tada, kai jo viename litre yra maždaug 300</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sym w:font="Symbol" w:char="F06D"/>
      </w:r>
      <w:r w:rsidRPr="00CC52A7">
        <w:rPr>
          <w:rFonts w:ascii="Times New Roman" w:eastAsia="PMingLiU" w:hAnsi="Times New Roman" w:cs="Times New Roman"/>
          <w:lang w:val="lt-LT"/>
        </w:rPr>
        <w:t xml:space="preserve">mol acikloviro. </w:t>
      </w:r>
    </w:p>
    <w:p w14:paraId="73A304B2" w14:textId="77777777" w:rsidR="00DC55CF" w:rsidRPr="00CC52A7" w:rsidRDefault="00DC55CF" w:rsidP="00DC55CF">
      <w:pPr>
        <w:overflowPunct w:val="0"/>
        <w:autoSpaceDE w:val="0"/>
        <w:autoSpaceDN w:val="0"/>
        <w:adjustRightInd w:val="0"/>
        <w:spacing w:after="0" w:line="240" w:lineRule="auto"/>
        <w:ind w:left="1"/>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Vero ląstelių (žaliųjų Afrikos beždžionių inkstų parenchimos ląstelių), užkrėstų HSV, augimo slopinamoji ED</w:t>
      </w:r>
      <w:r w:rsidRPr="00CC52A7">
        <w:rPr>
          <w:rFonts w:ascii="Times New Roman" w:eastAsia="PMingLiU" w:hAnsi="Times New Roman" w:cs="Times New Roman"/>
          <w:vertAlign w:val="subscript"/>
          <w:lang w:val="lt-LT"/>
        </w:rPr>
        <w:t>50</w:t>
      </w:r>
      <w:r w:rsidRPr="00CC52A7">
        <w:rPr>
          <w:rFonts w:ascii="Times New Roman" w:eastAsia="PMingLiU" w:hAnsi="Times New Roman" w:cs="Times New Roman"/>
          <w:lang w:val="lt-LT"/>
        </w:rPr>
        <w:t xml:space="preserve"> koncentracija yra maždaug 0,1</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sym w:font="Symbol" w:char="F06D"/>
      </w:r>
      <w:r w:rsidRPr="00CC52A7">
        <w:rPr>
          <w:rFonts w:ascii="Times New Roman" w:eastAsia="PMingLiU" w:hAnsi="Times New Roman" w:cs="Times New Roman"/>
          <w:lang w:val="lt-LT"/>
        </w:rPr>
        <w:t>mol acikloviro viename litre, o neužkrėstų ląstelių augimą acikloviras nuslopina tik tada, kai ED</w:t>
      </w:r>
      <w:r w:rsidRPr="00CC52A7">
        <w:rPr>
          <w:rFonts w:ascii="Times New Roman" w:eastAsia="PMingLiU" w:hAnsi="Times New Roman" w:cs="Times New Roman"/>
          <w:vertAlign w:val="subscript"/>
          <w:lang w:val="lt-LT"/>
        </w:rPr>
        <w:t>50</w:t>
      </w:r>
      <w:r w:rsidRPr="00CC52A7">
        <w:rPr>
          <w:rFonts w:ascii="Times New Roman" w:eastAsia="PMingLiU" w:hAnsi="Times New Roman" w:cs="Times New Roman"/>
          <w:lang w:val="lt-LT"/>
        </w:rPr>
        <w:t xml:space="preserve"> koncentracija yra maždaug 300</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sym w:font="Symbol" w:char="F06D"/>
      </w:r>
      <w:r w:rsidRPr="00CC52A7">
        <w:rPr>
          <w:rFonts w:ascii="Times New Roman" w:eastAsia="PMingLiU" w:hAnsi="Times New Roman" w:cs="Times New Roman"/>
          <w:lang w:val="lt-LT"/>
        </w:rPr>
        <w:t>mol acikloviro viename litre. Vadinasi, vienodam poveikiui sukelti reikalinga 3000</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kartų didesnė acikloviro koncentracija.</w:t>
      </w:r>
    </w:p>
    <w:p w14:paraId="73A304B3" w14:textId="77777777" w:rsidR="00DC55CF" w:rsidRPr="00CC52A7" w:rsidRDefault="00DC55CF" w:rsidP="00DC55CF">
      <w:pPr>
        <w:numPr>
          <w:ilvl w:val="12"/>
          <w:numId w:val="0"/>
        </w:numPr>
        <w:overflowPunct w:val="0"/>
        <w:autoSpaceDE w:val="0"/>
        <w:autoSpaceDN w:val="0"/>
        <w:adjustRightInd w:val="0"/>
        <w:spacing w:after="0" w:line="240" w:lineRule="auto"/>
        <w:ind w:left="284" w:hanging="283"/>
        <w:contextualSpacing/>
        <w:textAlignment w:val="baseline"/>
        <w:rPr>
          <w:rFonts w:ascii="Times New Roman" w:eastAsia="PMingLiU" w:hAnsi="Times New Roman" w:cs="Times New Roman"/>
          <w:lang w:val="lt-LT"/>
        </w:rPr>
      </w:pPr>
    </w:p>
    <w:p w14:paraId="73A304B4" w14:textId="77777777" w:rsidR="00DC55CF" w:rsidRPr="00CC52A7" w:rsidRDefault="00DC55CF" w:rsidP="00DC55CF">
      <w:pPr>
        <w:numPr>
          <w:ilvl w:val="12"/>
          <w:numId w:val="0"/>
        </w:numPr>
        <w:overflowPunct w:val="0"/>
        <w:autoSpaceDE w:val="0"/>
        <w:autoSpaceDN w:val="0"/>
        <w:adjustRightInd w:val="0"/>
        <w:spacing w:after="0" w:line="240" w:lineRule="auto"/>
        <w:ind w:left="284" w:hanging="283"/>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Veikimo spektras</w:t>
      </w:r>
      <w:r w:rsidRPr="00CC52A7">
        <w:rPr>
          <w:rFonts w:ascii="Times New Roman" w:eastAsia="PMingLiU" w:hAnsi="Times New Roman" w:cs="Times New Roman"/>
          <w:i/>
          <w:lang w:val="lt-LT"/>
        </w:rPr>
        <w:t xml:space="preserve"> in vitro</w:t>
      </w:r>
    </w:p>
    <w:p w14:paraId="73A304B5" w14:textId="77777777" w:rsidR="00DC55CF" w:rsidRPr="00CC52A7" w:rsidRDefault="00DC55CF" w:rsidP="00DC55CF">
      <w:pPr>
        <w:numPr>
          <w:ilvl w:val="12"/>
          <w:numId w:val="0"/>
        </w:numPr>
        <w:overflowPunct w:val="0"/>
        <w:autoSpaceDE w:val="0"/>
        <w:autoSpaceDN w:val="0"/>
        <w:adjustRightInd w:val="0"/>
        <w:spacing w:after="0" w:line="240" w:lineRule="auto"/>
        <w:ind w:left="284" w:hanging="284"/>
        <w:contextualSpacing/>
        <w:jc w:val="both"/>
        <w:textAlignment w:val="baseline"/>
        <w:rPr>
          <w:rFonts w:ascii="Times New Roman" w:eastAsia="PMingLiU" w:hAnsi="Times New Roman" w:cs="Times New Roman"/>
          <w:lang w:val="lt-LT"/>
        </w:rPr>
      </w:pPr>
      <w:r w:rsidRPr="00CC52A7">
        <w:rPr>
          <w:rFonts w:ascii="Times New Roman" w:eastAsia="PMingLiU" w:hAnsi="Times New Roman" w:cs="Times New Roman"/>
          <w:u w:val="single"/>
          <w:lang w:val="lt-LT"/>
        </w:rPr>
        <w:t xml:space="preserve">Labai jautrūs </w:t>
      </w:r>
      <w:r w:rsidRPr="00CC52A7">
        <w:rPr>
          <w:rFonts w:ascii="Times New Roman" w:eastAsia="PMingLiU" w:hAnsi="Times New Roman" w:cs="Times New Roman"/>
          <w:lang w:val="lt-LT"/>
        </w:rPr>
        <w:t xml:space="preserve">– </w:t>
      </w:r>
      <w:r w:rsidRPr="00CC52A7">
        <w:rPr>
          <w:rFonts w:ascii="Times New Roman" w:eastAsia="PMingLiU" w:hAnsi="Times New Roman" w:cs="Times New Roman"/>
          <w:i/>
          <w:lang w:val="lt-LT"/>
        </w:rPr>
        <w:t>Herpes simplex</w:t>
      </w:r>
      <w:r w:rsidRPr="00CC52A7">
        <w:rPr>
          <w:rFonts w:ascii="Times New Roman" w:eastAsia="PMingLiU" w:hAnsi="Times New Roman" w:cs="Times New Roman"/>
          <w:lang w:val="lt-LT"/>
        </w:rPr>
        <w:t xml:space="preserve"> viruso </w:t>
      </w:r>
      <w:r w:rsidR="009D7277">
        <w:rPr>
          <w:rFonts w:ascii="Times New Roman" w:eastAsia="PMingLiU" w:hAnsi="Times New Roman" w:cs="Times New Roman"/>
          <w:lang w:val="lt-LT"/>
        </w:rPr>
        <w:t>I</w:t>
      </w:r>
      <w:r w:rsidRPr="00CC52A7">
        <w:rPr>
          <w:rFonts w:ascii="Times New Roman" w:eastAsia="PMingLiU" w:hAnsi="Times New Roman" w:cs="Times New Roman"/>
          <w:lang w:val="lt-LT"/>
        </w:rPr>
        <w:t xml:space="preserve"> ir </w:t>
      </w:r>
      <w:r w:rsidR="009D7277">
        <w:rPr>
          <w:rFonts w:ascii="Times New Roman" w:eastAsia="PMingLiU" w:hAnsi="Times New Roman" w:cs="Times New Roman"/>
          <w:lang w:val="lt-LT"/>
        </w:rPr>
        <w:t>II</w:t>
      </w:r>
      <w:r w:rsidRPr="00CC52A7">
        <w:rPr>
          <w:rFonts w:ascii="Times New Roman" w:eastAsia="PMingLiU" w:hAnsi="Times New Roman" w:cs="Times New Roman"/>
          <w:lang w:val="lt-LT"/>
        </w:rPr>
        <w:t xml:space="preserve"> tipai, </w:t>
      </w:r>
      <w:r w:rsidRPr="00CC52A7">
        <w:rPr>
          <w:rFonts w:ascii="Times New Roman" w:eastAsia="PMingLiU" w:hAnsi="Times New Roman" w:cs="Times New Roman"/>
          <w:i/>
          <w:lang w:val="lt-LT"/>
        </w:rPr>
        <w:t>Varicella zoster</w:t>
      </w:r>
      <w:r w:rsidRPr="00CC52A7">
        <w:rPr>
          <w:rFonts w:ascii="Times New Roman" w:eastAsia="PMingLiU" w:hAnsi="Times New Roman" w:cs="Times New Roman"/>
          <w:lang w:val="lt-LT"/>
        </w:rPr>
        <w:t xml:space="preserve"> virusas.</w:t>
      </w:r>
    </w:p>
    <w:p w14:paraId="73A304B6" w14:textId="77777777" w:rsidR="00DC55CF" w:rsidRPr="00CC52A7" w:rsidRDefault="00DC55CF" w:rsidP="00DC55CF">
      <w:pPr>
        <w:numPr>
          <w:ilvl w:val="12"/>
          <w:numId w:val="0"/>
        </w:numPr>
        <w:overflowPunct w:val="0"/>
        <w:autoSpaceDE w:val="0"/>
        <w:autoSpaceDN w:val="0"/>
        <w:adjustRightInd w:val="0"/>
        <w:spacing w:after="0" w:line="240" w:lineRule="auto"/>
        <w:ind w:left="284" w:hanging="284"/>
        <w:contextualSpacing/>
        <w:jc w:val="both"/>
        <w:textAlignment w:val="baseline"/>
        <w:rPr>
          <w:rFonts w:ascii="Times New Roman" w:eastAsia="PMingLiU" w:hAnsi="Times New Roman" w:cs="Times New Roman"/>
          <w:lang w:val="lt-LT"/>
        </w:rPr>
      </w:pPr>
      <w:r w:rsidRPr="00CC52A7">
        <w:rPr>
          <w:rFonts w:ascii="Times New Roman" w:eastAsia="PMingLiU" w:hAnsi="Times New Roman" w:cs="Times New Roman"/>
          <w:u w:val="single"/>
          <w:lang w:val="lt-LT"/>
        </w:rPr>
        <w:t xml:space="preserve">Jautrus </w:t>
      </w:r>
      <w:r w:rsidRPr="00CC52A7">
        <w:rPr>
          <w:rFonts w:ascii="Times New Roman" w:eastAsia="PMingLiU" w:hAnsi="Times New Roman" w:cs="Times New Roman"/>
          <w:lang w:val="lt-LT"/>
        </w:rPr>
        <w:t>– Epšteino ir Baro virusas.</w:t>
      </w:r>
    </w:p>
    <w:p w14:paraId="73A304B7" w14:textId="77777777" w:rsidR="00DC55CF" w:rsidRPr="00CC52A7" w:rsidRDefault="00DC55CF" w:rsidP="00DC55CF">
      <w:pPr>
        <w:numPr>
          <w:ilvl w:val="12"/>
          <w:numId w:val="0"/>
        </w:numPr>
        <w:overflowPunct w:val="0"/>
        <w:autoSpaceDE w:val="0"/>
        <w:autoSpaceDN w:val="0"/>
        <w:adjustRightInd w:val="0"/>
        <w:spacing w:after="0" w:line="240" w:lineRule="auto"/>
        <w:ind w:left="284" w:hanging="284"/>
        <w:contextualSpacing/>
        <w:jc w:val="both"/>
        <w:textAlignment w:val="baseline"/>
        <w:rPr>
          <w:rFonts w:ascii="Times New Roman" w:eastAsia="PMingLiU" w:hAnsi="Times New Roman" w:cs="Times New Roman"/>
          <w:lang w:val="lt-LT"/>
        </w:rPr>
      </w:pPr>
      <w:r w:rsidRPr="00CC52A7">
        <w:rPr>
          <w:rFonts w:ascii="Times New Roman" w:eastAsia="PMingLiU" w:hAnsi="Times New Roman" w:cs="Times New Roman"/>
          <w:u w:val="single"/>
          <w:lang w:val="lt-LT"/>
        </w:rPr>
        <w:t xml:space="preserve">Nuo iš dalies jautrių iki atsparių formų </w:t>
      </w:r>
      <w:r w:rsidRPr="00CC52A7">
        <w:rPr>
          <w:rFonts w:ascii="Times New Roman" w:eastAsia="PMingLiU" w:hAnsi="Times New Roman" w:cs="Times New Roman"/>
          <w:lang w:val="lt-LT"/>
        </w:rPr>
        <w:t>– citomegalijos virusas.</w:t>
      </w:r>
    </w:p>
    <w:p w14:paraId="73A304B8"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u w:val="single"/>
          <w:lang w:val="lt-LT"/>
        </w:rPr>
        <w:t xml:space="preserve">Atsparūs </w:t>
      </w:r>
      <w:r w:rsidRPr="00CC52A7">
        <w:rPr>
          <w:rFonts w:ascii="Times New Roman" w:eastAsia="PMingLiU" w:hAnsi="Times New Roman" w:cs="Times New Roman"/>
          <w:lang w:val="lt-LT"/>
        </w:rPr>
        <w:t>– RNR virusai, adenovirusai, raupų virusai.</w:t>
      </w:r>
    </w:p>
    <w:p w14:paraId="73A304B9"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4BA" w14:textId="77777777" w:rsidR="00DC55CF" w:rsidRPr="00CC52A7" w:rsidRDefault="00DC55CF" w:rsidP="00DC55CF">
      <w:pPr>
        <w:overflowPunct w:val="0"/>
        <w:autoSpaceDE w:val="0"/>
        <w:autoSpaceDN w:val="0"/>
        <w:adjustRightInd w:val="0"/>
        <w:spacing w:after="0" w:line="240" w:lineRule="auto"/>
        <w:ind w:left="567" w:hanging="567"/>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b/>
          <w:lang w:val="lt-LT"/>
        </w:rPr>
        <w:t>5.2</w:t>
      </w:r>
      <w:r w:rsidRPr="00CC52A7">
        <w:rPr>
          <w:rFonts w:ascii="Times New Roman" w:eastAsia="PMingLiU" w:hAnsi="Times New Roman" w:cs="Times New Roman"/>
          <w:b/>
          <w:lang w:val="lt-LT"/>
        </w:rPr>
        <w:tab/>
        <w:t>Farmakokinetinės savybės</w:t>
      </w:r>
    </w:p>
    <w:p w14:paraId="73A304BB"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i/>
          <w:lang w:val="lt-LT"/>
        </w:rPr>
      </w:pPr>
    </w:p>
    <w:p w14:paraId="73A304BC"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i/>
          <w:lang w:val="lt-LT"/>
        </w:rPr>
      </w:pPr>
      <w:r w:rsidRPr="00CC52A7">
        <w:rPr>
          <w:rFonts w:ascii="Times New Roman" w:eastAsia="PMingLiU" w:hAnsi="Times New Roman" w:cs="Times New Roman"/>
          <w:i/>
          <w:lang w:val="lt-LT"/>
        </w:rPr>
        <w:t>Absorbcija</w:t>
      </w:r>
    </w:p>
    <w:p w14:paraId="73A304BD"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Iš virškinimo trakto absorbuojama tik dalis acikloviro. Vartojant pakartotinai kas 4</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val. 5</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kartus per dieną po 200, 400 arba 800</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mg acikloviro, po to kai plazmoje nusistovi pastovus didžiausios ir mažiausios koncentracijų intervalas, didžiausios vaist</w:t>
      </w:r>
      <w:r w:rsidR="004070A0">
        <w:rPr>
          <w:rFonts w:ascii="Times New Roman" w:eastAsia="PMingLiU" w:hAnsi="Times New Roman" w:cs="Times New Roman"/>
          <w:lang w:val="lt-LT"/>
        </w:rPr>
        <w:t>inio preparat</w:t>
      </w:r>
      <w:r w:rsidRPr="00CC52A7">
        <w:rPr>
          <w:rFonts w:ascii="Times New Roman" w:eastAsia="PMingLiU" w:hAnsi="Times New Roman" w:cs="Times New Roman"/>
          <w:lang w:val="lt-LT"/>
        </w:rPr>
        <w:t>o koncentracijos vidurkis plazmoje yra 3,02</w:t>
      </w:r>
      <w:r w:rsidRPr="00CC52A7">
        <w:rPr>
          <w:rFonts w:ascii="Times New Roman" w:eastAsia="PMingLiU" w:hAnsi="Times New Roman" w:cs="Times New Roman"/>
          <w:lang w:val="lt-LT"/>
        </w:rPr>
        <w:sym w:font="Symbol" w:char="F0B1"/>
      </w:r>
      <w:r w:rsidRPr="00CC52A7">
        <w:rPr>
          <w:rFonts w:ascii="Times New Roman" w:eastAsia="PMingLiU" w:hAnsi="Times New Roman" w:cs="Times New Roman"/>
          <w:lang w:val="lt-LT"/>
        </w:rPr>
        <w:t>0,5</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sym w:font="Symbol" w:char="F06D"/>
      </w:r>
      <w:r w:rsidRPr="00CC52A7">
        <w:rPr>
          <w:rFonts w:ascii="Times New Roman" w:eastAsia="PMingLiU" w:hAnsi="Times New Roman" w:cs="Times New Roman"/>
          <w:lang w:val="lt-LT"/>
        </w:rPr>
        <w:t>mol/l (200</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mg), 5,21</w:t>
      </w:r>
      <w:r w:rsidRPr="00CC52A7">
        <w:rPr>
          <w:rFonts w:ascii="Times New Roman" w:eastAsia="PMingLiU" w:hAnsi="Times New Roman" w:cs="Times New Roman"/>
          <w:lang w:val="lt-LT"/>
        </w:rPr>
        <w:sym w:font="Symbol" w:char="F0B1"/>
      </w:r>
      <w:r w:rsidRPr="00CC52A7">
        <w:rPr>
          <w:rFonts w:ascii="Times New Roman" w:eastAsia="PMingLiU" w:hAnsi="Times New Roman" w:cs="Times New Roman"/>
          <w:lang w:val="lt-LT"/>
        </w:rPr>
        <w:t>1,32</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sym w:font="Symbol" w:char="F06D"/>
      </w:r>
      <w:r w:rsidRPr="00CC52A7">
        <w:rPr>
          <w:rFonts w:ascii="Times New Roman" w:eastAsia="PMingLiU" w:hAnsi="Times New Roman" w:cs="Times New Roman"/>
          <w:lang w:val="lt-LT"/>
        </w:rPr>
        <w:t>mol/l (400</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mg), arba 8,16</w:t>
      </w:r>
      <w:r w:rsidRPr="00CC52A7">
        <w:rPr>
          <w:rFonts w:ascii="Times New Roman" w:eastAsia="PMingLiU" w:hAnsi="Times New Roman" w:cs="Times New Roman"/>
          <w:lang w:val="lt-LT"/>
        </w:rPr>
        <w:sym w:font="Symbol" w:char="F0B1"/>
      </w:r>
      <w:r w:rsidRPr="00CC52A7">
        <w:rPr>
          <w:rFonts w:ascii="Times New Roman" w:eastAsia="PMingLiU" w:hAnsi="Times New Roman" w:cs="Times New Roman"/>
          <w:lang w:val="lt-LT"/>
        </w:rPr>
        <w:t>1,98</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sym w:font="Symbol" w:char="F06D"/>
      </w:r>
      <w:r w:rsidRPr="00CC52A7">
        <w:rPr>
          <w:rFonts w:ascii="Times New Roman" w:eastAsia="PMingLiU" w:hAnsi="Times New Roman" w:cs="Times New Roman"/>
          <w:lang w:val="lt-LT"/>
        </w:rPr>
        <w:t>mol/l (800</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mg).</w:t>
      </w:r>
    </w:p>
    <w:p w14:paraId="73A304BE"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Išgėrus acikloviro, tokia koncentracija atsiranda po 1,5</w:t>
      </w:r>
      <w:r w:rsidRPr="00CC52A7">
        <w:rPr>
          <w:rFonts w:ascii="Times New Roman" w:eastAsia="PMingLiU" w:hAnsi="Times New Roman" w:cs="Times New Roman"/>
          <w:lang w:val="lt-LT"/>
        </w:rPr>
        <w:sym w:font="Symbol" w:char="F0B1"/>
      </w:r>
      <w:r w:rsidRPr="00CC52A7">
        <w:rPr>
          <w:rFonts w:ascii="Times New Roman" w:eastAsia="PMingLiU" w:hAnsi="Times New Roman" w:cs="Times New Roman"/>
          <w:lang w:val="lt-LT"/>
        </w:rPr>
        <w:t>0,6</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val., po 4</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val. vaist</w:t>
      </w:r>
      <w:r w:rsidR="004070A0">
        <w:rPr>
          <w:rFonts w:ascii="Times New Roman" w:eastAsia="PMingLiU" w:hAnsi="Times New Roman" w:cs="Times New Roman"/>
          <w:lang w:val="lt-LT"/>
        </w:rPr>
        <w:t>inio preparat</w:t>
      </w:r>
      <w:r w:rsidRPr="00CC52A7">
        <w:rPr>
          <w:rFonts w:ascii="Times New Roman" w:eastAsia="PMingLiU" w:hAnsi="Times New Roman" w:cs="Times New Roman"/>
          <w:lang w:val="lt-LT"/>
        </w:rPr>
        <w:t>o bazinė koncentracija plazmoje būna atitinkamai 1,61</w:t>
      </w:r>
      <w:r w:rsidRPr="00CC52A7">
        <w:rPr>
          <w:rFonts w:ascii="Times New Roman" w:eastAsia="PMingLiU" w:hAnsi="Times New Roman" w:cs="Times New Roman"/>
          <w:lang w:val="lt-LT"/>
        </w:rPr>
        <w:sym w:font="Symbol" w:char="F0B1"/>
      </w:r>
      <w:r w:rsidRPr="00CC52A7">
        <w:rPr>
          <w:rFonts w:ascii="Times New Roman" w:eastAsia="PMingLiU" w:hAnsi="Times New Roman" w:cs="Times New Roman"/>
          <w:lang w:val="lt-LT"/>
        </w:rPr>
        <w:t>0,3</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sym w:font="Symbol" w:char="F06D"/>
      </w:r>
      <w:r w:rsidRPr="00CC52A7">
        <w:rPr>
          <w:rFonts w:ascii="Times New Roman" w:eastAsia="PMingLiU" w:hAnsi="Times New Roman" w:cs="Times New Roman"/>
          <w:lang w:val="lt-LT"/>
        </w:rPr>
        <w:t>mol/l (200</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mg), 2,59</w:t>
      </w:r>
      <w:r w:rsidRPr="00CC52A7">
        <w:rPr>
          <w:rFonts w:ascii="Times New Roman" w:eastAsia="PMingLiU" w:hAnsi="Times New Roman" w:cs="Times New Roman"/>
          <w:lang w:val="lt-LT"/>
        </w:rPr>
        <w:sym w:font="Symbol" w:char="F0B1"/>
      </w:r>
      <w:r w:rsidRPr="00CC52A7">
        <w:rPr>
          <w:rFonts w:ascii="Times New Roman" w:eastAsia="PMingLiU" w:hAnsi="Times New Roman" w:cs="Times New Roman"/>
          <w:lang w:val="lt-LT"/>
        </w:rPr>
        <w:t>0,53</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sym w:font="Symbol" w:char="F06D"/>
      </w:r>
      <w:r w:rsidRPr="00CC52A7">
        <w:rPr>
          <w:rFonts w:ascii="Times New Roman" w:eastAsia="PMingLiU" w:hAnsi="Times New Roman" w:cs="Times New Roman"/>
          <w:lang w:val="lt-LT"/>
        </w:rPr>
        <w:t>mol/l (400</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mg) arba 4,0</w:t>
      </w:r>
      <w:r w:rsidRPr="00CC52A7">
        <w:rPr>
          <w:rFonts w:ascii="Times New Roman" w:eastAsia="PMingLiU" w:hAnsi="Times New Roman" w:cs="Times New Roman"/>
          <w:lang w:val="lt-LT"/>
        </w:rPr>
        <w:sym w:font="Symbol" w:char="F0B1"/>
      </w:r>
      <w:r w:rsidRPr="00CC52A7">
        <w:rPr>
          <w:rFonts w:ascii="Times New Roman" w:eastAsia="PMingLiU" w:hAnsi="Times New Roman" w:cs="Times New Roman"/>
          <w:lang w:val="lt-LT"/>
        </w:rPr>
        <w:t>0,72</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sym w:font="Symbol" w:char="F06D"/>
      </w:r>
      <w:r w:rsidRPr="00CC52A7">
        <w:rPr>
          <w:rFonts w:ascii="Times New Roman" w:eastAsia="PMingLiU" w:hAnsi="Times New Roman" w:cs="Times New Roman"/>
          <w:lang w:val="lt-LT"/>
        </w:rPr>
        <w:t>mol/l (800</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 xml:space="preserve">mg). Nustojus vartoti </w:t>
      </w:r>
      <w:r w:rsidR="004070A0">
        <w:rPr>
          <w:rFonts w:ascii="Times New Roman" w:eastAsia="PMingLiU" w:hAnsi="Times New Roman" w:cs="Times New Roman"/>
          <w:lang w:val="lt-LT"/>
        </w:rPr>
        <w:t xml:space="preserve">vaistinių </w:t>
      </w:r>
      <w:r w:rsidRPr="00CC52A7">
        <w:rPr>
          <w:rFonts w:ascii="Times New Roman" w:eastAsia="PMingLiU" w:hAnsi="Times New Roman" w:cs="Times New Roman"/>
          <w:lang w:val="lt-LT"/>
        </w:rPr>
        <w:t>preparatų, kuriuose yra acikloviro, po 24</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val. organizme jo nelieka.</w:t>
      </w:r>
    </w:p>
    <w:p w14:paraId="73A304BF"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3</w:t>
      </w:r>
      <w:r w:rsidR="009D7277">
        <w:rPr>
          <w:rFonts w:ascii="Times New Roman" w:eastAsia="PMingLiU" w:hAnsi="Times New Roman" w:cs="Times New Roman"/>
          <w:lang w:val="lt-LT"/>
        </w:rPr>
        <w:noBreakHyphen/>
      </w:r>
      <w:r w:rsidRPr="00CC52A7">
        <w:rPr>
          <w:rFonts w:ascii="Times New Roman" w:eastAsia="PMingLiU" w:hAnsi="Times New Roman" w:cs="Times New Roman"/>
          <w:lang w:val="lt-LT"/>
        </w:rPr>
        <w:t>11</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metų vaikams, kurių imuninė sistema nuslopinta ir kurie geria 5</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kartus per dieną kas 4</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val. po 400</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mg acikloviro (arba 300</w:t>
      </w:r>
      <w:r w:rsidR="009D7277">
        <w:rPr>
          <w:rFonts w:ascii="Times New Roman" w:eastAsia="PMingLiU" w:hAnsi="Times New Roman" w:cs="Times New Roman"/>
          <w:lang w:val="lt-LT"/>
        </w:rPr>
        <w:noBreakHyphen/>
      </w:r>
      <w:r w:rsidRPr="00CC52A7">
        <w:rPr>
          <w:rFonts w:ascii="Times New Roman" w:eastAsia="PMingLiU" w:hAnsi="Times New Roman" w:cs="Times New Roman"/>
          <w:lang w:val="lt-LT"/>
        </w:rPr>
        <w:t>650</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mg/m</w:t>
      </w:r>
      <w:r w:rsidRPr="00CC52A7">
        <w:rPr>
          <w:rFonts w:ascii="Times New Roman" w:eastAsia="PMingLiU" w:hAnsi="Times New Roman" w:cs="Times New Roman"/>
          <w:vertAlign w:val="superscript"/>
          <w:lang w:val="lt-LT"/>
        </w:rPr>
        <w:t>2</w:t>
      </w:r>
      <w:r w:rsidRPr="00CC52A7">
        <w:rPr>
          <w:rFonts w:ascii="Times New Roman" w:eastAsia="PMingLiU" w:hAnsi="Times New Roman" w:cs="Times New Roman"/>
          <w:lang w:val="lt-LT"/>
        </w:rPr>
        <w:t xml:space="preserve"> kūno paviršiaus), didžiausios vaist</w:t>
      </w:r>
      <w:r w:rsidR="004070A0">
        <w:rPr>
          <w:rFonts w:ascii="Times New Roman" w:eastAsia="PMingLiU" w:hAnsi="Times New Roman" w:cs="Times New Roman"/>
          <w:lang w:val="lt-LT"/>
        </w:rPr>
        <w:t>inio preparat</w:t>
      </w:r>
      <w:r w:rsidRPr="00CC52A7">
        <w:rPr>
          <w:rFonts w:ascii="Times New Roman" w:eastAsia="PMingLiU" w:hAnsi="Times New Roman" w:cs="Times New Roman"/>
          <w:lang w:val="lt-LT"/>
        </w:rPr>
        <w:t>o koncentracijos plazmoje vidurkis gali būti nuo 5,7 iki 15,1</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sym w:font="Symbol" w:char="F06D"/>
      </w:r>
      <w:r w:rsidRPr="00CC52A7">
        <w:rPr>
          <w:rFonts w:ascii="Times New Roman" w:eastAsia="PMingLiU" w:hAnsi="Times New Roman" w:cs="Times New Roman"/>
          <w:lang w:val="lt-LT"/>
        </w:rPr>
        <w:t xml:space="preserve">mol/l. </w:t>
      </w:r>
      <w:r w:rsidRPr="00CC52A7">
        <w:rPr>
          <w:rFonts w:ascii="Times New Roman" w:eastAsia="PMingLiU" w:hAnsi="Times New Roman" w:cs="Times New Roman"/>
          <w:lang w:val="lt-LT"/>
        </w:rPr>
        <w:br/>
        <w:t>1</w:t>
      </w:r>
      <w:r w:rsidR="009D7277">
        <w:rPr>
          <w:rFonts w:ascii="Times New Roman" w:eastAsia="PMingLiU" w:hAnsi="Times New Roman" w:cs="Times New Roman"/>
          <w:lang w:val="lt-LT"/>
        </w:rPr>
        <w:noBreakHyphen/>
      </w:r>
      <w:r w:rsidRPr="00CC52A7">
        <w:rPr>
          <w:rFonts w:ascii="Times New Roman" w:eastAsia="PMingLiU" w:hAnsi="Times New Roman" w:cs="Times New Roman"/>
          <w:lang w:val="lt-LT"/>
        </w:rPr>
        <w:t>6</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savaičių kūdikiams kas 6</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valandas sugirdant po 600</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mg acikloviro/m</w:t>
      </w:r>
      <w:r w:rsidRPr="00CC52A7">
        <w:rPr>
          <w:rFonts w:ascii="Times New Roman" w:eastAsia="PMingLiU" w:hAnsi="Times New Roman" w:cs="Times New Roman"/>
          <w:vertAlign w:val="superscript"/>
          <w:lang w:val="lt-LT"/>
        </w:rPr>
        <w:t>2</w:t>
      </w:r>
      <w:r w:rsidRPr="00CC52A7">
        <w:rPr>
          <w:rFonts w:ascii="Times New Roman" w:eastAsia="PMingLiU" w:hAnsi="Times New Roman" w:cs="Times New Roman"/>
          <w:lang w:val="lt-LT"/>
        </w:rPr>
        <w:t xml:space="preserve"> kūno paviršiaus, 6</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valandas vaist</w:t>
      </w:r>
      <w:r w:rsidR="004070A0">
        <w:rPr>
          <w:rFonts w:ascii="Times New Roman" w:eastAsia="PMingLiU" w:hAnsi="Times New Roman" w:cs="Times New Roman"/>
          <w:lang w:val="lt-LT"/>
        </w:rPr>
        <w:t>inio preparat</w:t>
      </w:r>
      <w:r w:rsidRPr="00CC52A7">
        <w:rPr>
          <w:rFonts w:ascii="Times New Roman" w:eastAsia="PMingLiU" w:hAnsi="Times New Roman" w:cs="Times New Roman"/>
          <w:lang w:val="lt-LT"/>
        </w:rPr>
        <w:t>o koncentracija plazmoje nustatyta atitinkamai 17,3 ir 8,6</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sym w:font="Symbol" w:char="F06D"/>
      </w:r>
      <w:r w:rsidRPr="00CC52A7">
        <w:rPr>
          <w:rFonts w:ascii="Times New Roman" w:eastAsia="PMingLiU" w:hAnsi="Times New Roman" w:cs="Times New Roman"/>
          <w:lang w:val="lt-LT"/>
        </w:rPr>
        <w:t xml:space="preserve">mol/l. Kadangi </w:t>
      </w:r>
      <w:r w:rsidR="007C5A3D" w:rsidRPr="00CC52A7">
        <w:rPr>
          <w:rFonts w:ascii="Times New Roman" w:eastAsia="PMingLiU" w:hAnsi="Times New Roman" w:cs="Times New Roman"/>
          <w:lang w:val="lt-LT"/>
        </w:rPr>
        <w:t xml:space="preserve">vaistinio </w:t>
      </w:r>
      <w:r w:rsidRPr="00CC52A7">
        <w:rPr>
          <w:rFonts w:ascii="Times New Roman" w:eastAsia="PMingLiU" w:hAnsi="Times New Roman" w:cs="Times New Roman"/>
          <w:lang w:val="lt-LT"/>
        </w:rPr>
        <w:t xml:space="preserve">preparato kinetika bieksponentinė, vadinasi, iš pradžių daug </w:t>
      </w:r>
      <w:r w:rsidR="007C5A3D" w:rsidRPr="00CC52A7">
        <w:rPr>
          <w:rFonts w:ascii="Times New Roman" w:eastAsia="PMingLiU" w:hAnsi="Times New Roman" w:cs="Times New Roman"/>
          <w:lang w:val="lt-LT"/>
        </w:rPr>
        <w:t xml:space="preserve">vaistinio </w:t>
      </w:r>
      <w:r w:rsidRPr="00CC52A7">
        <w:rPr>
          <w:rFonts w:ascii="Times New Roman" w:eastAsia="PMingLiU" w:hAnsi="Times New Roman" w:cs="Times New Roman"/>
          <w:lang w:val="lt-LT"/>
        </w:rPr>
        <w:t>preparato turėtų susikaupti audiniuose ir organuose, iš kurių vėliau jis turėtų būti lėtai išplaunamas.</w:t>
      </w:r>
    </w:p>
    <w:p w14:paraId="73A304C0"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Suaugusio žmogaus organizme tariamasis vaist</w:t>
      </w:r>
      <w:r w:rsidR="004070A0">
        <w:rPr>
          <w:rFonts w:ascii="Times New Roman" w:eastAsia="PMingLiU" w:hAnsi="Times New Roman" w:cs="Times New Roman"/>
          <w:lang w:val="lt-LT"/>
        </w:rPr>
        <w:t>inio preparat</w:t>
      </w:r>
      <w:r w:rsidRPr="00CC52A7">
        <w:rPr>
          <w:rFonts w:ascii="Times New Roman" w:eastAsia="PMingLiU" w:hAnsi="Times New Roman" w:cs="Times New Roman"/>
          <w:lang w:val="lt-LT"/>
        </w:rPr>
        <w:t>o pasiskirstymo tūris, kai jo koncentracija kraujyje pastovi, yra 50</w:t>
      </w:r>
      <w:r w:rsidRPr="00CC52A7">
        <w:rPr>
          <w:rFonts w:ascii="Times New Roman" w:eastAsia="PMingLiU" w:hAnsi="Times New Roman" w:cs="Times New Roman"/>
          <w:lang w:val="lt-LT"/>
        </w:rPr>
        <w:sym w:font="Symbol" w:char="F0B1"/>
      </w:r>
      <w:r w:rsidRPr="00CC52A7">
        <w:rPr>
          <w:rFonts w:ascii="Times New Roman" w:eastAsia="PMingLiU" w:hAnsi="Times New Roman" w:cs="Times New Roman"/>
          <w:lang w:val="lt-LT"/>
        </w:rPr>
        <w:t>8,7</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l/1,73</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m</w:t>
      </w:r>
      <w:r w:rsidRPr="00CC52A7">
        <w:rPr>
          <w:rFonts w:ascii="Times New Roman" w:eastAsia="PMingLiU" w:hAnsi="Times New Roman" w:cs="Times New Roman"/>
          <w:vertAlign w:val="superscript"/>
          <w:lang w:val="lt-LT"/>
        </w:rPr>
        <w:t>2</w:t>
      </w:r>
      <w:r w:rsidRPr="00CC52A7">
        <w:rPr>
          <w:rFonts w:ascii="Times New Roman" w:eastAsia="PMingLiU" w:hAnsi="Times New Roman" w:cs="Times New Roman"/>
          <w:lang w:val="lt-LT"/>
        </w:rPr>
        <w:t>, naujagimių ir jaunesnių kaip 3</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mėn. kūdikių – 28,8</w:t>
      </w:r>
      <w:r w:rsidRPr="00CC52A7">
        <w:rPr>
          <w:rFonts w:ascii="Times New Roman" w:eastAsia="PMingLiU" w:hAnsi="Times New Roman" w:cs="Times New Roman"/>
          <w:lang w:val="lt-LT"/>
        </w:rPr>
        <w:sym w:font="Symbol" w:char="F0B1"/>
      </w:r>
      <w:r w:rsidRPr="00CC52A7">
        <w:rPr>
          <w:rFonts w:ascii="Times New Roman" w:eastAsia="PMingLiU" w:hAnsi="Times New Roman" w:cs="Times New Roman"/>
          <w:lang w:val="lt-LT"/>
        </w:rPr>
        <w:t>9,3</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l/1,73</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m</w:t>
      </w:r>
      <w:r w:rsidRPr="00CC52A7">
        <w:rPr>
          <w:rFonts w:ascii="Times New Roman" w:eastAsia="PMingLiU" w:hAnsi="Times New Roman" w:cs="Times New Roman"/>
          <w:vertAlign w:val="superscript"/>
          <w:lang w:val="lt-LT"/>
        </w:rPr>
        <w:t>2</w:t>
      </w:r>
      <w:r w:rsidRPr="00CC52A7">
        <w:rPr>
          <w:rFonts w:ascii="Times New Roman" w:eastAsia="PMingLiU" w:hAnsi="Times New Roman" w:cs="Times New Roman"/>
          <w:lang w:val="lt-LT"/>
        </w:rPr>
        <w:t>.</w:t>
      </w:r>
    </w:p>
    <w:p w14:paraId="73A304C1"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Nustatyta, kad 9</w:t>
      </w:r>
      <w:r w:rsidR="009D7277">
        <w:rPr>
          <w:rFonts w:ascii="Times New Roman" w:eastAsia="PMingLiU" w:hAnsi="Times New Roman" w:cs="Times New Roman"/>
          <w:lang w:val="lt-LT"/>
        </w:rPr>
        <w:noBreakHyphen/>
      </w:r>
      <w:r w:rsidRPr="00CC52A7">
        <w:rPr>
          <w:rFonts w:ascii="Times New Roman" w:eastAsia="PMingLiU" w:hAnsi="Times New Roman" w:cs="Times New Roman"/>
          <w:lang w:val="lt-LT"/>
        </w:rPr>
        <w:t>33</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 xml:space="preserve">% </w:t>
      </w:r>
      <w:r w:rsidR="007C5A3D" w:rsidRPr="00CC52A7">
        <w:rPr>
          <w:rFonts w:ascii="Times New Roman" w:eastAsia="PMingLiU" w:hAnsi="Times New Roman" w:cs="Times New Roman"/>
          <w:lang w:val="lt-LT"/>
        </w:rPr>
        <w:t xml:space="preserve">vaistinio </w:t>
      </w:r>
      <w:r w:rsidRPr="00CC52A7">
        <w:rPr>
          <w:rFonts w:ascii="Times New Roman" w:eastAsia="PMingLiU" w:hAnsi="Times New Roman" w:cs="Times New Roman"/>
          <w:lang w:val="lt-LT"/>
        </w:rPr>
        <w:t>preparato prisijungia prie plazmos baltymų.</w:t>
      </w:r>
    </w:p>
    <w:p w14:paraId="73A304C2"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i/>
          <w:u w:val="single"/>
          <w:lang w:val="lt-LT"/>
        </w:rPr>
      </w:pPr>
    </w:p>
    <w:p w14:paraId="73A304C3"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i/>
          <w:lang w:val="lt-LT"/>
        </w:rPr>
        <w:t>Pasiskirstymas</w:t>
      </w:r>
    </w:p>
    <w:p w14:paraId="73A304C4"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Tyrimų su gyvūnais duomenimis, didesnė negu plazmoje vaist</w:t>
      </w:r>
      <w:r w:rsidR="004070A0">
        <w:rPr>
          <w:rFonts w:ascii="Times New Roman" w:eastAsia="PMingLiU" w:hAnsi="Times New Roman" w:cs="Times New Roman"/>
          <w:lang w:val="lt-LT"/>
        </w:rPr>
        <w:t>inio preparat</w:t>
      </w:r>
      <w:r w:rsidRPr="00CC52A7">
        <w:rPr>
          <w:rFonts w:ascii="Times New Roman" w:eastAsia="PMingLiU" w:hAnsi="Times New Roman" w:cs="Times New Roman"/>
          <w:lang w:val="lt-LT"/>
        </w:rPr>
        <w:t>o koncentracija būna žarnose, inkstuose, kepenyse ir plaučiuose, mažesnė – raumenyse, širdyje, smegenyse, kiaušidėse ir sėklidėse.</w:t>
      </w:r>
    </w:p>
    <w:p w14:paraId="73A304C5"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Ištyrus mirusius žmones, nustatyta, kad daug acikloviro susikaupia seilėse, makšties sekrete ir </w:t>
      </w:r>
      <w:r w:rsidRPr="00CC52A7">
        <w:rPr>
          <w:rFonts w:ascii="Times New Roman" w:eastAsia="PMingLiU" w:hAnsi="Times New Roman" w:cs="Times New Roman"/>
          <w:i/>
          <w:lang w:val="lt-LT"/>
        </w:rPr>
        <w:t>Herpes</w:t>
      </w:r>
      <w:r w:rsidRPr="00CC52A7">
        <w:rPr>
          <w:rFonts w:ascii="Times New Roman" w:eastAsia="PMingLiU" w:hAnsi="Times New Roman" w:cs="Times New Roman"/>
          <w:lang w:val="lt-LT"/>
        </w:rPr>
        <w:t xml:space="preserve"> pūslelių skystyje bei kai kuriuose organuose. Smegenų skystyje (likvore) vaist</w:t>
      </w:r>
      <w:r w:rsidR="004070A0">
        <w:rPr>
          <w:rFonts w:ascii="Times New Roman" w:eastAsia="PMingLiU" w:hAnsi="Times New Roman" w:cs="Times New Roman"/>
          <w:lang w:val="lt-LT"/>
        </w:rPr>
        <w:t>inio preparat</w:t>
      </w:r>
      <w:r w:rsidRPr="00CC52A7">
        <w:rPr>
          <w:rFonts w:ascii="Times New Roman" w:eastAsia="PMingLiU" w:hAnsi="Times New Roman" w:cs="Times New Roman"/>
          <w:lang w:val="lt-LT"/>
        </w:rPr>
        <w:t xml:space="preserve">o koncentracija būna du kartus mažesnė negu plazmoje. </w:t>
      </w:r>
    </w:p>
    <w:p w14:paraId="73A304C6"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i/>
          <w:u w:val="single"/>
          <w:lang w:val="lt-LT"/>
        </w:rPr>
      </w:pPr>
    </w:p>
    <w:p w14:paraId="73A304C7"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i/>
          <w:lang w:val="lt-LT"/>
        </w:rPr>
        <w:t>Biotransformacija ir eliminacija</w:t>
      </w:r>
    </w:p>
    <w:p w14:paraId="73A304C8"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Jei paciento inkstai sveiki, per juos pašalinama 62</w:t>
      </w:r>
      <w:r w:rsidR="009D7277">
        <w:rPr>
          <w:rFonts w:ascii="Times New Roman" w:eastAsia="PMingLiU" w:hAnsi="Times New Roman" w:cs="Times New Roman"/>
          <w:lang w:val="lt-LT"/>
        </w:rPr>
        <w:noBreakHyphen/>
      </w:r>
      <w:r w:rsidRPr="00CC52A7">
        <w:rPr>
          <w:rFonts w:ascii="Times New Roman" w:eastAsia="PMingLiU" w:hAnsi="Times New Roman" w:cs="Times New Roman"/>
          <w:lang w:val="lt-LT"/>
        </w:rPr>
        <w:t>91</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 nepakitusio acikloviro ir 10</w:t>
      </w:r>
      <w:r w:rsidR="009D7277">
        <w:rPr>
          <w:rFonts w:ascii="Times New Roman" w:eastAsia="PMingLiU" w:hAnsi="Times New Roman" w:cs="Times New Roman"/>
          <w:lang w:val="lt-LT"/>
        </w:rPr>
        <w:noBreakHyphen/>
      </w:r>
      <w:r w:rsidRPr="00CC52A7">
        <w:rPr>
          <w:rFonts w:ascii="Times New Roman" w:eastAsia="PMingLiU" w:hAnsi="Times New Roman" w:cs="Times New Roman"/>
          <w:lang w:val="lt-LT"/>
        </w:rPr>
        <w:t>15</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 xml:space="preserve">% metabolito 9-karboksimetoksimetilguanino forma. Suaugusiam žmogui </w:t>
      </w:r>
      <w:r w:rsidR="001B094F">
        <w:rPr>
          <w:rFonts w:ascii="Times New Roman" w:eastAsia="PMingLiU" w:hAnsi="Times New Roman" w:cs="Times New Roman"/>
          <w:lang w:val="lt-LT"/>
        </w:rPr>
        <w:t>suleidus</w:t>
      </w:r>
      <w:r w:rsidR="001B094F" w:rsidRPr="00CC52A7">
        <w:rPr>
          <w:rFonts w:ascii="Times New Roman" w:eastAsia="PMingLiU" w:hAnsi="Times New Roman" w:cs="Times New Roman"/>
          <w:lang w:val="lt-LT"/>
        </w:rPr>
        <w:t xml:space="preserve"> </w:t>
      </w:r>
      <w:r w:rsidRPr="00CC52A7">
        <w:rPr>
          <w:rFonts w:ascii="Times New Roman" w:eastAsia="PMingLiU" w:hAnsi="Times New Roman" w:cs="Times New Roman"/>
          <w:lang w:val="lt-LT"/>
        </w:rPr>
        <w:t>į veną acikloviro, jo pusinės eliminacijos iš plazmos periodas (t</w:t>
      </w:r>
      <w:r w:rsidRPr="00CC52A7">
        <w:rPr>
          <w:rFonts w:ascii="Times New Roman" w:eastAsia="PMingLiU" w:hAnsi="Times New Roman" w:cs="Times New Roman"/>
          <w:vertAlign w:val="subscript"/>
          <w:lang w:val="lt-LT"/>
        </w:rPr>
        <w:t>1/2</w:t>
      </w:r>
      <w:r w:rsidRPr="00CC52A7">
        <w:rPr>
          <w:rFonts w:ascii="Times New Roman" w:eastAsia="PMingLiU" w:hAnsi="Times New Roman" w:cs="Times New Roman"/>
          <w:vertAlign w:val="subscript"/>
          <w:lang w:val="lt-LT"/>
        </w:rPr>
        <w:sym w:font="Symbol" w:char="F062"/>
      </w:r>
      <w:r w:rsidRPr="00CC52A7">
        <w:rPr>
          <w:rFonts w:ascii="Times New Roman" w:eastAsia="PMingLiU" w:hAnsi="Times New Roman" w:cs="Times New Roman"/>
          <w:lang w:val="lt-LT"/>
        </w:rPr>
        <w:t xml:space="preserve"> ) yra maždaug 2,87</w:t>
      </w:r>
      <w:r w:rsidRPr="00CC52A7">
        <w:rPr>
          <w:rFonts w:ascii="Times New Roman" w:eastAsia="PMingLiU" w:hAnsi="Times New Roman" w:cs="Times New Roman"/>
          <w:lang w:val="lt-LT"/>
        </w:rPr>
        <w:sym w:font="Symbol" w:char="F0B1"/>
      </w:r>
      <w:r w:rsidRPr="00CC52A7">
        <w:rPr>
          <w:rFonts w:ascii="Times New Roman" w:eastAsia="PMingLiU" w:hAnsi="Times New Roman" w:cs="Times New Roman"/>
          <w:lang w:val="lt-LT"/>
        </w:rPr>
        <w:t>0,76</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val., naujagimių ir jaunesnių kaip 3</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mėn. kūdikių – 4,1</w:t>
      </w:r>
      <w:r w:rsidRPr="00CC52A7">
        <w:rPr>
          <w:rFonts w:ascii="Times New Roman" w:eastAsia="PMingLiU" w:hAnsi="Times New Roman" w:cs="Times New Roman"/>
          <w:lang w:val="lt-LT"/>
        </w:rPr>
        <w:sym w:font="Symbol" w:char="F0B1"/>
      </w:r>
      <w:r w:rsidRPr="00CC52A7">
        <w:rPr>
          <w:rFonts w:ascii="Times New Roman" w:eastAsia="PMingLiU" w:hAnsi="Times New Roman" w:cs="Times New Roman"/>
          <w:lang w:val="lt-LT"/>
        </w:rPr>
        <w:t>1,2</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val. Vaist</w:t>
      </w:r>
      <w:r w:rsidR="004070A0">
        <w:rPr>
          <w:rFonts w:ascii="Times New Roman" w:eastAsia="PMingLiU" w:hAnsi="Times New Roman" w:cs="Times New Roman"/>
          <w:lang w:val="lt-LT"/>
        </w:rPr>
        <w:t>inis preparat</w:t>
      </w:r>
      <w:r w:rsidRPr="00CC52A7">
        <w:rPr>
          <w:rFonts w:ascii="Times New Roman" w:eastAsia="PMingLiU" w:hAnsi="Times New Roman" w:cs="Times New Roman"/>
          <w:lang w:val="lt-LT"/>
        </w:rPr>
        <w:t>as iš organizmo šalinamas filtracijos per glomerulus ir kanalėlių sekrecijos būdu. Išgėrus acikloviro, praėjus 1</w:t>
      </w:r>
      <w:r w:rsidR="00311CA3">
        <w:rPr>
          <w:rFonts w:ascii="Times New Roman" w:eastAsia="PMingLiU" w:hAnsi="Times New Roman" w:cs="Times New Roman"/>
          <w:lang w:val="lt-LT"/>
        </w:rPr>
        <w:t> </w:t>
      </w:r>
      <w:r w:rsidRPr="00CC52A7">
        <w:rPr>
          <w:rFonts w:ascii="Times New Roman" w:eastAsia="PMingLiU" w:hAnsi="Times New Roman" w:cs="Times New Roman"/>
          <w:lang w:val="lt-LT"/>
        </w:rPr>
        <w:t>val. po to, kai buvo išgerta 1</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g probenecido, vaist</w:t>
      </w:r>
      <w:r w:rsidR="004070A0">
        <w:rPr>
          <w:rFonts w:ascii="Times New Roman" w:eastAsia="PMingLiU" w:hAnsi="Times New Roman" w:cs="Times New Roman"/>
          <w:lang w:val="lt-LT"/>
        </w:rPr>
        <w:t>inio preparat</w:t>
      </w:r>
      <w:r w:rsidRPr="00CC52A7">
        <w:rPr>
          <w:rFonts w:ascii="Times New Roman" w:eastAsia="PMingLiU" w:hAnsi="Times New Roman" w:cs="Times New Roman"/>
          <w:lang w:val="lt-LT"/>
        </w:rPr>
        <w:t>o pusinės eliminacijos periodas iš plazmos (t</w:t>
      </w:r>
      <w:r w:rsidRPr="00CC52A7">
        <w:rPr>
          <w:rFonts w:ascii="Times New Roman" w:eastAsia="PMingLiU" w:hAnsi="Times New Roman" w:cs="Times New Roman"/>
          <w:vertAlign w:val="subscript"/>
          <w:lang w:val="lt-LT"/>
        </w:rPr>
        <w:t>1/2</w:t>
      </w:r>
      <w:r w:rsidRPr="00CC52A7">
        <w:rPr>
          <w:rFonts w:ascii="Times New Roman" w:eastAsia="PMingLiU" w:hAnsi="Times New Roman" w:cs="Times New Roman"/>
          <w:vertAlign w:val="subscript"/>
          <w:lang w:val="lt-LT"/>
        </w:rPr>
        <w:sym w:font="Symbol" w:char="F062"/>
      </w:r>
      <w:r w:rsidRPr="00CC52A7">
        <w:rPr>
          <w:rFonts w:ascii="Times New Roman" w:eastAsia="PMingLiU" w:hAnsi="Times New Roman" w:cs="Times New Roman"/>
          <w:lang w:val="lt-LT"/>
        </w:rPr>
        <w:t>) ir plotas, kurį koordinačių sistemoje riboja vaist</w:t>
      </w:r>
      <w:r w:rsidR="004070A0">
        <w:rPr>
          <w:rFonts w:ascii="Times New Roman" w:eastAsia="PMingLiU" w:hAnsi="Times New Roman" w:cs="Times New Roman"/>
          <w:lang w:val="lt-LT"/>
        </w:rPr>
        <w:t>inio preparat</w:t>
      </w:r>
      <w:r w:rsidRPr="00CC52A7">
        <w:rPr>
          <w:rFonts w:ascii="Times New Roman" w:eastAsia="PMingLiU" w:hAnsi="Times New Roman" w:cs="Times New Roman"/>
          <w:lang w:val="lt-LT"/>
        </w:rPr>
        <w:t>o koncentracijos kreivė, padidėja atitinkamai 18</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 ir 40</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w:t>
      </w:r>
    </w:p>
    <w:p w14:paraId="73A304C9"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Organizmas pasisavina tik 20</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 išgertos dozės, kita dalis (80</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 šalinama su išmatomis.</w:t>
      </w:r>
    </w:p>
    <w:p w14:paraId="73A304CA"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Pacientų, sergančių lėtiniu inkstų nepakankamumu, organizme acikloviro pusinės eliminacijos periodas iš plazmos trunka maždaug 19,5</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val., kraujo dializės metu – 5,7</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val. Acikloviro koncentracija dializuojamų pacientų plazmoje sumažėja maždaug 60</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 Jei inkstų veikla nepakankama (kreatinino klirensas mažesnis negu 25</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ml/min./1,73m</w:t>
      </w:r>
      <w:r w:rsidRPr="00CC52A7">
        <w:rPr>
          <w:rFonts w:ascii="Times New Roman" w:eastAsia="PMingLiU" w:hAnsi="Times New Roman" w:cs="Times New Roman"/>
          <w:vertAlign w:val="superscript"/>
          <w:lang w:val="lt-LT"/>
        </w:rPr>
        <w:t>2</w:t>
      </w:r>
      <w:r w:rsidRPr="00CC52A7">
        <w:rPr>
          <w:rFonts w:ascii="Times New Roman" w:eastAsia="PMingLiU" w:hAnsi="Times New Roman" w:cs="Times New Roman"/>
          <w:lang w:val="lt-LT"/>
        </w:rPr>
        <w:t>), geriant acikloviro 5</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kartus per dieną po 800</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mg arba jei kreatinino klirensas mažesnis negu 10</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ml/min./1,73m</w:t>
      </w:r>
      <w:r w:rsidRPr="00CC52A7">
        <w:rPr>
          <w:rFonts w:ascii="Times New Roman" w:eastAsia="PMingLiU" w:hAnsi="Times New Roman" w:cs="Times New Roman"/>
          <w:vertAlign w:val="superscript"/>
          <w:lang w:val="lt-LT"/>
        </w:rPr>
        <w:t>2</w:t>
      </w:r>
      <w:r w:rsidRPr="00CC52A7">
        <w:rPr>
          <w:rFonts w:ascii="Times New Roman" w:eastAsia="PMingLiU" w:hAnsi="Times New Roman" w:cs="Times New Roman"/>
          <w:lang w:val="lt-LT"/>
        </w:rPr>
        <w:t>, geriant acikloviro 5</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kartus per dieną po 200</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 xml:space="preserve">mg, medikamentas gali kauptis organizme, todėl dozę tokiu atveju reikia mažinti (žr. 4.2 skyrių </w:t>
      </w:r>
      <w:r w:rsidR="009D7277">
        <w:rPr>
          <w:rFonts w:ascii="Times New Roman" w:eastAsia="PMingLiU" w:hAnsi="Times New Roman" w:cs="Times New Roman"/>
          <w:lang w:val="lt-LT"/>
        </w:rPr>
        <w:t>„</w:t>
      </w:r>
      <w:r w:rsidRPr="00CC52A7">
        <w:rPr>
          <w:rFonts w:ascii="Times New Roman" w:eastAsia="PMingLiU" w:hAnsi="Times New Roman" w:cs="Times New Roman"/>
          <w:lang w:val="lt-LT"/>
        </w:rPr>
        <w:t>Dozavimas ir vartojimo būdas</w:t>
      </w:r>
      <w:r w:rsidR="009D7277">
        <w:rPr>
          <w:rFonts w:ascii="Times New Roman" w:eastAsia="PMingLiU" w:hAnsi="Times New Roman" w:cs="Times New Roman"/>
          <w:lang w:val="lt-LT"/>
        </w:rPr>
        <w:t>“</w:t>
      </w:r>
      <w:r w:rsidRPr="00CC52A7">
        <w:rPr>
          <w:rFonts w:ascii="Times New Roman" w:eastAsia="PMingLiU" w:hAnsi="Times New Roman" w:cs="Times New Roman"/>
          <w:lang w:val="lt-LT"/>
        </w:rPr>
        <w:t>).</w:t>
      </w:r>
    </w:p>
    <w:p w14:paraId="73A304CB"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i/>
          <w:lang w:val="lt-LT"/>
        </w:rPr>
      </w:pPr>
    </w:p>
    <w:p w14:paraId="73A304CC"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i/>
          <w:lang w:val="lt-LT"/>
        </w:rPr>
      </w:pPr>
      <w:r w:rsidRPr="00CC52A7">
        <w:rPr>
          <w:rFonts w:ascii="Times New Roman" w:eastAsia="PMingLiU" w:hAnsi="Times New Roman" w:cs="Times New Roman"/>
          <w:i/>
          <w:lang w:val="lt-LT"/>
        </w:rPr>
        <w:t>Biologinis ekvivalentiškumas</w:t>
      </w:r>
    </w:p>
    <w:p w14:paraId="73A304CD"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Organizmas pasisavina 20</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 išgertos acikloviro dozės.</w:t>
      </w:r>
    </w:p>
    <w:p w14:paraId="73A304CE"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1992</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 xml:space="preserve">m. atlikti atviri, randomizuoti dvigubu kryžminiu būdu, lyginamieji biologinio ekvivalentiškumo tyrimai, kuriuose dalyvavo 20 sveikų savanorių (10 vyrų ir 10 moterų). Visi tiriamieji išgėrė vieną tiriamojo ar lyginamojo referencinio  </w:t>
      </w:r>
      <w:r w:rsidR="007C5A3D" w:rsidRPr="00CC52A7">
        <w:rPr>
          <w:rFonts w:ascii="Times New Roman" w:eastAsia="PMingLiU" w:hAnsi="Times New Roman" w:cs="Times New Roman"/>
          <w:lang w:val="lt-LT"/>
        </w:rPr>
        <w:t xml:space="preserve">vaistinio </w:t>
      </w:r>
      <w:r w:rsidRPr="00CC52A7">
        <w:rPr>
          <w:rFonts w:ascii="Times New Roman" w:eastAsia="PMingLiU" w:hAnsi="Times New Roman" w:cs="Times New Roman"/>
          <w:lang w:val="lt-LT"/>
        </w:rPr>
        <w:t xml:space="preserve">preparato dozę. </w:t>
      </w:r>
    </w:p>
    <w:p w14:paraId="73A304CF"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Tyrimo duomenys pateikti lentelėje.</w:t>
      </w:r>
    </w:p>
    <w:p w14:paraId="73A304D0"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tbl>
      <w:tblPr>
        <w:tblW w:w="0" w:type="auto"/>
        <w:tblLayout w:type="fixed"/>
        <w:tblLook w:val="0000" w:firstRow="0" w:lastRow="0" w:firstColumn="0" w:lastColumn="0" w:noHBand="0" w:noVBand="0"/>
      </w:tblPr>
      <w:tblGrid>
        <w:gridCol w:w="3794"/>
        <w:gridCol w:w="2268"/>
        <w:gridCol w:w="2268"/>
      </w:tblGrid>
      <w:tr w:rsidR="00DC55CF" w:rsidRPr="00CC52A7" w14:paraId="73A304D4" w14:textId="77777777" w:rsidTr="00DC55CF">
        <w:tc>
          <w:tcPr>
            <w:tcW w:w="3794" w:type="dxa"/>
            <w:tcBorders>
              <w:top w:val="single" w:sz="6" w:space="0" w:color="auto"/>
              <w:bottom w:val="single" w:sz="6" w:space="0" w:color="auto"/>
            </w:tcBorders>
          </w:tcPr>
          <w:p w14:paraId="73A304D1" w14:textId="77777777" w:rsidR="00DC55CF" w:rsidRPr="00CC52A7" w:rsidRDefault="00DC55CF" w:rsidP="00DC55CF">
            <w:pPr>
              <w:overflowPunct w:val="0"/>
              <w:autoSpaceDE w:val="0"/>
              <w:autoSpaceDN w:val="0"/>
              <w:adjustRightInd w:val="0"/>
              <w:spacing w:after="0" w:line="240" w:lineRule="auto"/>
              <w:contextualSpacing/>
              <w:jc w:val="both"/>
              <w:textAlignment w:val="baseline"/>
              <w:rPr>
                <w:rFonts w:ascii="Times New Roman" w:eastAsia="PMingLiU" w:hAnsi="Times New Roman" w:cs="Times New Roman"/>
                <w:lang w:val="lt-LT"/>
              </w:rPr>
            </w:pPr>
          </w:p>
        </w:tc>
        <w:tc>
          <w:tcPr>
            <w:tcW w:w="2268" w:type="dxa"/>
            <w:tcBorders>
              <w:top w:val="single" w:sz="6" w:space="0" w:color="auto"/>
              <w:bottom w:val="single" w:sz="6" w:space="0" w:color="auto"/>
            </w:tcBorders>
          </w:tcPr>
          <w:p w14:paraId="73A304D2" w14:textId="77777777" w:rsidR="00DC55CF" w:rsidRPr="00CC52A7" w:rsidRDefault="00DC55CF" w:rsidP="007C5A3D">
            <w:pPr>
              <w:overflowPunct w:val="0"/>
              <w:autoSpaceDE w:val="0"/>
              <w:autoSpaceDN w:val="0"/>
              <w:adjustRightInd w:val="0"/>
              <w:spacing w:after="0" w:line="240" w:lineRule="auto"/>
              <w:contextualSpacing/>
              <w:jc w:val="both"/>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Tiriamasis </w:t>
            </w:r>
            <w:r w:rsidR="007C5A3D" w:rsidRPr="00CC52A7">
              <w:rPr>
                <w:rFonts w:ascii="Times New Roman" w:eastAsia="PMingLiU" w:hAnsi="Times New Roman" w:cs="Times New Roman"/>
                <w:lang w:val="lt-LT"/>
              </w:rPr>
              <w:t>vaistini</w:t>
            </w:r>
            <w:r w:rsidR="007C5A3D">
              <w:rPr>
                <w:rFonts w:ascii="Times New Roman" w:eastAsia="PMingLiU" w:hAnsi="Times New Roman" w:cs="Times New Roman"/>
                <w:lang w:val="lt-LT"/>
              </w:rPr>
              <w:t>s</w:t>
            </w:r>
            <w:r w:rsidR="007C5A3D" w:rsidRPr="00CC52A7">
              <w:rPr>
                <w:rFonts w:ascii="Times New Roman" w:eastAsia="PMingLiU" w:hAnsi="Times New Roman" w:cs="Times New Roman"/>
                <w:lang w:val="lt-LT"/>
              </w:rPr>
              <w:t xml:space="preserve"> </w:t>
            </w:r>
            <w:r w:rsidRPr="00CC52A7">
              <w:rPr>
                <w:rFonts w:ascii="Times New Roman" w:eastAsia="PMingLiU" w:hAnsi="Times New Roman" w:cs="Times New Roman"/>
                <w:lang w:val="lt-LT"/>
              </w:rPr>
              <w:t>preparatas</w:t>
            </w:r>
          </w:p>
        </w:tc>
        <w:tc>
          <w:tcPr>
            <w:tcW w:w="2268" w:type="dxa"/>
            <w:tcBorders>
              <w:top w:val="single" w:sz="6" w:space="0" w:color="auto"/>
              <w:bottom w:val="single" w:sz="6" w:space="0" w:color="auto"/>
            </w:tcBorders>
          </w:tcPr>
          <w:p w14:paraId="73A304D3" w14:textId="77777777" w:rsidR="00DC55CF" w:rsidRPr="00CC52A7" w:rsidRDefault="00DC55CF" w:rsidP="00DC55CF">
            <w:pPr>
              <w:overflowPunct w:val="0"/>
              <w:autoSpaceDE w:val="0"/>
              <w:autoSpaceDN w:val="0"/>
              <w:adjustRightInd w:val="0"/>
              <w:spacing w:after="0" w:line="240" w:lineRule="auto"/>
              <w:contextualSpacing/>
              <w:jc w:val="both"/>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Lyginamasis </w:t>
            </w:r>
            <w:r w:rsidR="007C5A3D" w:rsidRPr="00CC52A7">
              <w:rPr>
                <w:rFonts w:ascii="Times New Roman" w:eastAsia="PMingLiU" w:hAnsi="Times New Roman" w:cs="Times New Roman"/>
                <w:lang w:val="lt-LT"/>
              </w:rPr>
              <w:t>vaistini</w:t>
            </w:r>
            <w:r w:rsidR="007C5A3D">
              <w:rPr>
                <w:rFonts w:ascii="Times New Roman" w:eastAsia="PMingLiU" w:hAnsi="Times New Roman" w:cs="Times New Roman"/>
                <w:lang w:val="lt-LT"/>
              </w:rPr>
              <w:t>s</w:t>
            </w:r>
            <w:r w:rsidRPr="00CC52A7">
              <w:rPr>
                <w:rFonts w:ascii="Times New Roman" w:eastAsia="PMingLiU" w:hAnsi="Times New Roman" w:cs="Times New Roman"/>
                <w:lang w:val="lt-LT"/>
              </w:rPr>
              <w:t xml:space="preserve"> preparatas</w:t>
            </w:r>
          </w:p>
        </w:tc>
      </w:tr>
      <w:tr w:rsidR="00DC55CF" w:rsidRPr="00CC52A7" w14:paraId="73A304DE" w14:textId="77777777" w:rsidTr="00DC55CF">
        <w:tc>
          <w:tcPr>
            <w:tcW w:w="3794" w:type="dxa"/>
            <w:tcBorders>
              <w:top w:val="single" w:sz="6" w:space="0" w:color="auto"/>
              <w:bottom w:val="single" w:sz="6" w:space="0" w:color="auto"/>
            </w:tcBorders>
          </w:tcPr>
          <w:p w14:paraId="73A304D5"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lastRenderedPageBreak/>
              <w:t>Didžiausia vaist</w:t>
            </w:r>
            <w:r w:rsidR="004070A0">
              <w:rPr>
                <w:rFonts w:ascii="Times New Roman" w:eastAsia="PMingLiU" w:hAnsi="Times New Roman" w:cs="Times New Roman"/>
                <w:lang w:val="lt-LT"/>
              </w:rPr>
              <w:t>inio preparat</w:t>
            </w:r>
            <w:r w:rsidRPr="00CC52A7">
              <w:rPr>
                <w:rFonts w:ascii="Times New Roman" w:eastAsia="PMingLiU" w:hAnsi="Times New Roman" w:cs="Times New Roman"/>
                <w:lang w:val="lt-LT"/>
              </w:rPr>
              <w:t>o koncentracija plazmoje (C</w:t>
            </w:r>
            <w:r w:rsidRPr="00CC52A7">
              <w:rPr>
                <w:rFonts w:ascii="Times New Roman" w:eastAsia="PMingLiU" w:hAnsi="Times New Roman" w:cs="Times New Roman"/>
                <w:vertAlign w:val="subscript"/>
                <w:lang w:val="lt-LT"/>
              </w:rPr>
              <w:t>max</w:t>
            </w:r>
            <w:r w:rsidRPr="00CC52A7">
              <w:rPr>
                <w:rFonts w:ascii="Times New Roman" w:eastAsia="PMingLiU" w:hAnsi="Times New Roman" w:cs="Times New Roman"/>
                <w:lang w:val="lt-LT"/>
              </w:rPr>
              <w:t>) ng/ml</w:t>
            </w:r>
          </w:p>
          <w:p w14:paraId="73A304D6"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4D7"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tc>
        <w:tc>
          <w:tcPr>
            <w:tcW w:w="2268" w:type="dxa"/>
            <w:tcBorders>
              <w:top w:val="single" w:sz="6" w:space="0" w:color="auto"/>
              <w:bottom w:val="single" w:sz="6" w:space="0" w:color="auto"/>
            </w:tcBorders>
          </w:tcPr>
          <w:p w14:paraId="73A304D8"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4D9"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890 </w:t>
            </w:r>
            <w:r w:rsidRPr="00CC52A7">
              <w:rPr>
                <w:rFonts w:ascii="Times New Roman" w:eastAsia="PMingLiU" w:hAnsi="Times New Roman" w:cs="Times New Roman"/>
                <w:lang w:val="lt-LT"/>
              </w:rPr>
              <w:sym w:font="Symbol" w:char="F0B1"/>
            </w:r>
            <w:r w:rsidRPr="00CC52A7">
              <w:rPr>
                <w:rFonts w:ascii="Times New Roman" w:eastAsia="PMingLiU" w:hAnsi="Times New Roman" w:cs="Times New Roman"/>
                <w:lang w:val="lt-LT"/>
              </w:rPr>
              <w:t xml:space="preserve"> 400</w:t>
            </w:r>
          </w:p>
          <w:p w14:paraId="73A304DA"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4DB"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tc>
        <w:tc>
          <w:tcPr>
            <w:tcW w:w="2268" w:type="dxa"/>
            <w:tcBorders>
              <w:top w:val="single" w:sz="6" w:space="0" w:color="auto"/>
              <w:bottom w:val="single" w:sz="6" w:space="0" w:color="auto"/>
            </w:tcBorders>
          </w:tcPr>
          <w:p w14:paraId="73A304DC"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4DD"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950 </w:t>
            </w:r>
            <w:r w:rsidRPr="00CC52A7">
              <w:rPr>
                <w:rFonts w:ascii="Times New Roman" w:eastAsia="PMingLiU" w:hAnsi="Times New Roman" w:cs="Times New Roman"/>
                <w:lang w:val="lt-LT"/>
              </w:rPr>
              <w:sym w:font="Symbol" w:char="F0B1"/>
            </w:r>
            <w:r w:rsidRPr="00CC52A7">
              <w:rPr>
                <w:rFonts w:ascii="Times New Roman" w:eastAsia="PMingLiU" w:hAnsi="Times New Roman" w:cs="Times New Roman"/>
                <w:lang w:val="lt-LT"/>
              </w:rPr>
              <w:t xml:space="preserve"> 410</w:t>
            </w:r>
          </w:p>
        </w:tc>
      </w:tr>
      <w:tr w:rsidR="00DC55CF" w:rsidRPr="00CC52A7" w14:paraId="73A304E4" w14:textId="77777777" w:rsidTr="00DC55CF">
        <w:tc>
          <w:tcPr>
            <w:tcW w:w="3794" w:type="dxa"/>
          </w:tcPr>
          <w:p w14:paraId="73A304DF" w14:textId="77777777" w:rsidR="00DC55CF" w:rsidRPr="00CC52A7" w:rsidRDefault="00DC55CF" w:rsidP="00DC55CF">
            <w:pPr>
              <w:overflowPunct w:val="0"/>
              <w:autoSpaceDE w:val="0"/>
              <w:autoSpaceDN w:val="0"/>
              <w:adjustRightInd w:val="0"/>
              <w:spacing w:after="0" w:line="240" w:lineRule="auto"/>
              <w:contextualSpacing/>
              <w:jc w:val="both"/>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Laikas, per kurį vaist</w:t>
            </w:r>
            <w:r w:rsidR="004070A0">
              <w:rPr>
                <w:rFonts w:ascii="Times New Roman" w:eastAsia="PMingLiU" w:hAnsi="Times New Roman" w:cs="Times New Roman"/>
                <w:lang w:val="lt-LT"/>
              </w:rPr>
              <w:t>inio preparat</w:t>
            </w:r>
            <w:r w:rsidRPr="00CC52A7">
              <w:rPr>
                <w:rFonts w:ascii="Times New Roman" w:eastAsia="PMingLiU" w:hAnsi="Times New Roman" w:cs="Times New Roman"/>
                <w:lang w:val="lt-LT"/>
              </w:rPr>
              <w:t>o koncentracija plazmoje tampa didžiausia (t</w:t>
            </w:r>
            <w:r w:rsidRPr="00CC52A7">
              <w:rPr>
                <w:rFonts w:ascii="Times New Roman" w:eastAsia="PMingLiU" w:hAnsi="Times New Roman" w:cs="Times New Roman"/>
                <w:vertAlign w:val="subscript"/>
                <w:lang w:val="lt-LT"/>
              </w:rPr>
              <w:t>max</w:t>
            </w:r>
            <w:r w:rsidRPr="00CC52A7">
              <w:rPr>
                <w:rFonts w:ascii="Times New Roman" w:eastAsia="PMingLiU" w:hAnsi="Times New Roman" w:cs="Times New Roman"/>
                <w:lang w:val="lt-LT"/>
              </w:rPr>
              <w:t>) val.</w:t>
            </w:r>
          </w:p>
        </w:tc>
        <w:tc>
          <w:tcPr>
            <w:tcW w:w="2268" w:type="dxa"/>
          </w:tcPr>
          <w:p w14:paraId="73A304E0"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4E1"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1,63 </w:t>
            </w:r>
            <w:r w:rsidRPr="00CC52A7">
              <w:rPr>
                <w:rFonts w:ascii="Times New Roman" w:eastAsia="PMingLiU" w:hAnsi="Times New Roman" w:cs="Times New Roman"/>
                <w:lang w:val="lt-LT"/>
              </w:rPr>
              <w:sym w:font="Symbol" w:char="F0B1"/>
            </w:r>
            <w:r w:rsidRPr="00CC52A7">
              <w:rPr>
                <w:rFonts w:ascii="Times New Roman" w:eastAsia="PMingLiU" w:hAnsi="Times New Roman" w:cs="Times New Roman"/>
                <w:lang w:val="lt-LT"/>
              </w:rPr>
              <w:t xml:space="preserve"> 0,32 </w:t>
            </w:r>
          </w:p>
        </w:tc>
        <w:tc>
          <w:tcPr>
            <w:tcW w:w="2268" w:type="dxa"/>
          </w:tcPr>
          <w:p w14:paraId="73A304E2"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4E3"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1,68 </w:t>
            </w:r>
            <w:r w:rsidRPr="00CC52A7">
              <w:rPr>
                <w:rFonts w:ascii="Times New Roman" w:eastAsia="PMingLiU" w:hAnsi="Times New Roman" w:cs="Times New Roman"/>
                <w:lang w:val="lt-LT"/>
              </w:rPr>
              <w:sym w:font="Symbol" w:char="F0B1"/>
            </w:r>
            <w:r w:rsidRPr="00CC52A7">
              <w:rPr>
                <w:rFonts w:ascii="Times New Roman" w:eastAsia="PMingLiU" w:hAnsi="Times New Roman" w:cs="Times New Roman"/>
                <w:lang w:val="lt-LT"/>
              </w:rPr>
              <w:t xml:space="preserve"> 0,29</w:t>
            </w:r>
          </w:p>
        </w:tc>
      </w:tr>
      <w:tr w:rsidR="00DC55CF" w:rsidRPr="00CC52A7" w14:paraId="73A304EE" w14:textId="77777777" w:rsidTr="00DC55CF">
        <w:tc>
          <w:tcPr>
            <w:tcW w:w="3794" w:type="dxa"/>
            <w:tcBorders>
              <w:top w:val="single" w:sz="6" w:space="0" w:color="auto"/>
              <w:bottom w:val="single" w:sz="6" w:space="0" w:color="auto"/>
            </w:tcBorders>
          </w:tcPr>
          <w:p w14:paraId="73A304E5"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Plotas, kurį koordinačių sistemoje riboja koncentracijos ir laiko kreivė</w:t>
            </w:r>
          </w:p>
          <w:p w14:paraId="73A304E6"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(AUC</w:t>
            </w:r>
            <w:r w:rsidRPr="00CC52A7">
              <w:rPr>
                <w:rFonts w:ascii="Times New Roman" w:eastAsia="PMingLiU" w:hAnsi="Times New Roman" w:cs="Times New Roman"/>
                <w:vertAlign w:val="subscript"/>
                <w:lang w:val="lt-LT"/>
              </w:rPr>
              <w:t>0 – t</w:t>
            </w:r>
            <w:r w:rsidRPr="00CC52A7">
              <w:rPr>
                <w:rFonts w:ascii="Times New Roman" w:eastAsia="PMingLiU" w:hAnsi="Times New Roman" w:cs="Times New Roman"/>
                <w:lang w:val="lt-LT"/>
              </w:rPr>
              <w:t>) ng/ml/val.</w:t>
            </w:r>
          </w:p>
          <w:p w14:paraId="73A304E7"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tc>
        <w:tc>
          <w:tcPr>
            <w:tcW w:w="2268" w:type="dxa"/>
            <w:tcBorders>
              <w:top w:val="single" w:sz="6" w:space="0" w:color="auto"/>
              <w:bottom w:val="single" w:sz="6" w:space="0" w:color="auto"/>
            </w:tcBorders>
          </w:tcPr>
          <w:p w14:paraId="73A304E8"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4E9"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4EA"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6460 </w:t>
            </w:r>
            <w:r w:rsidRPr="00CC52A7">
              <w:rPr>
                <w:rFonts w:ascii="Times New Roman" w:eastAsia="PMingLiU" w:hAnsi="Times New Roman" w:cs="Times New Roman"/>
                <w:lang w:val="lt-LT"/>
              </w:rPr>
              <w:sym w:font="Symbol" w:char="F0B1"/>
            </w:r>
            <w:r w:rsidRPr="00CC52A7">
              <w:rPr>
                <w:rFonts w:ascii="Times New Roman" w:eastAsia="PMingLiU" w:hAnsi="Times New Roman" w:cs="Times New Roman"/>
                <w:lang w:val="lt-LT"/>
              </w:rPr>
              <w:t xml:space="preserve"> 3580</w:t>
            </w:r>
          </w:p>
        </w:tc>
        <w:tc>
          <w:tcPr>
            <w:tcW w:w="2268" w:type="dxa"/>
            <w:tcBorders>
              <w:top w:val="single" w:sz="6" w:space="0" w:color="auto"/>
              <w:bottom w:val="single" w:sz="6" w:space="0" w:color="auto"/>
            </w:tcBorders>
          </w:tcPr>
          <w:p w14:paraId="73A304EB"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4EC"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4ED"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6350 </w:t>
            </w:r>
            <w:r w:rsidRPr="00CC52A7">
              <w:rPr>
                <w:rFonts w:ascii="Times New Roman" w:eastAsia="PMingLiU" w:hAnsi="Times New Roman" w:cs="Times New Roman"/>
                <w:lang w:val="lt-LT"/>
              </w:rPr>
              <w:sym w:font="Symbol" w:char="F0B1"/>
            </w:r>
            <w:r w:rsidRPr="00CC52A7">
              <w:rPr>
                <w:rFonts w:ascii="Times New Roman" w:eastAsia="PMingLiU" w:hAnsi="Times New Roman" w:cs="Times New Roman"/>
                <w:lang w:val="lt-LT"/>
              </w:rPr>
              <w:t xml:space="preserve"> 3100</w:t>
            </w:r>
          </w:p>
        </w:tc>
      </w:tr>
      <w:tr w:rsidR="00DC55CF" w:rsidRPr="00CC52A7" w14:paraId="73A304F8" w14:textId="77777777" w:rsidTr="00DC55CF">
        <w:tc>
          <w:tcPr>
            <w:tcW w:w="3794" w:type="dxa"/>
            <w:tcBorders>
              <w:top w:val="single" w:sz="6" w:space="0" w:color="auto"/>
              <w:bottom w:val="single" w:sz="6" w:space="0" w:color="auto"/>
            </w:tcBorders>
          </w:tcPr>
          <w:p w14:paraId="73A304EF"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Plotas, kurį koordinačių sistemoje riboja koncentracijos ir laiko kreivė</w:t>
            </w:r>
          </w:p>
          <w:p w14:paraId="73A304F0"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(AUC</w:t>
            </w:r>
            <w:r w:rsidRPr="00CC52A7">
              <w:rPr>
                <w:rFonts w:ascii="Times New Roman" w:eastAsia="PMingLiU" w:hAnsi="Times New Roman" w:cs="Times New Roman"/>
                <w:vertAlign w:val="subscript"/>
                <w:lang w:val="lt-LT"/>
              </w:rPr>
              <w:t xml:space="preserve">0 – </w:t>
            </w:r>
            <w:r w:rsidRPr="00CC52A7">
              <w:rPr>
                <w:rFonts w:ascii="Times New Roman" w:eastAsia="PMingLiU" w:hAnsi="Times New Roman" w:cs="Times New Roman"/>
                <w:vertAlign w:val="subscript"/>
                <w:lang w:val="lt-LT"/>
              </w:rPr>
              <w:sym w:font="Symbol" w:char="F0A5"/>
            </w:r>
            <w:r w:rsidRPr="00CC52A7">
              <w:rPr>
                <w:rFonts w:ascii="Times New Roman" w:eastAsia="PMingLiU" w:hAnsi="Times New Roman" w:cs="Times New Roman"/>
                <w:lang w:val="lt-LT"/>
              </w:rPr>
              <w:t>) ng/ml/val.</w:t>
            </w:r>
          </w:p>
          <w:p w14:paraId="73A304F1"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tc>
        <w:tc>
          <w:tcPr>
            <w:tcW w:w="2268" w:type="dxa"/>
            <w:tcBorders>
              <w:top w:val="single" w:sz="6" w:space="0" w:color="auto"/>
              <w:bottom w:val="single" w:sz="6" w:space="0" w:color="auto"/>
            </w:tcBorders>
          </w:tcPr>
          <w:p w14:paraId="73A304F2"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4F3"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4F4"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6710 </w:t>
            </w:r>
            <w:r w:rsidRPr="00CC52A7">
              <w:rPr>
                <w:rFonts w:ascii="Times New Roman" w:eastAsia="PMingLiU" w:hAnsi="Times New Roman" w:cs="Times New Roman"/>
                <w:lang w:val="lt-LT"/>
              </w:rPr>
              <w:sym w:font="Symbol" w:char="F0B1"/>
            </w:r>
            <w:r w:rsidRPr="00CC52A7">
              <w:rPr>
                <w:rFonts w:ascii="Times New Roman" w:eastAsia="PMingLiU" w:hAnsi="Times New Roman" w:cs="Times New Roman"/>
                <w:lang w:val="lt-LT"/>
              </w:rPr>
              <w:t xml:space="preserve"> 3620</w:t>
            </w:r>
          </w:p>
        </w:tc>
        <w:tc>
          <w:tcPr>
            <w:tcW w:w="2268" w:type="dxa"/>
            <w:tcBorders>
              <w:top w:val="single" w:sz="6" w:space="0" w:color="auto"/>
              <w:bottom w:val="single" w:sz="6" w:space="0" w:color="auto"/>
            </w:tcBorders>
          </w:tcPr>
          <w:p w14:paraId="73A304F5"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4F6"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4F7"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6520 </w:t>
            </w:r>
            <w:r w:rsidRPr="00CC52A7">
              <w:rPr>
                <w:rFonts w:ascii="Times New Roman" w:eastAsia="PMingLiU" w:hAnsi="Times New Roman" w:cs="Times New Roman"/>
                <w:lang w:val="lt-LT"/>
              </w:rPr>
              <w:sym w:font="Symbol" w:char="F0B1"/>
            </w:r>
            <w:r w:rsidRPr="00CC52A7">
              <w:rPr>
                <w:rFonts w:ascii="Times New Roman" w:eastAsia="PMingLiU" w:hAnsi="Times New Roman" w:cs="Times New Roman"/>
                <w:lang w:val="lt-LT"/>
              </w:rPr>
              <w:t xml:space="preserve"> 3210</w:t>
            </w:r>
          </w:p>
        </w:tc>
      </w:tr>
    </w:tbl>
    <w:p w14:paraId="73A304F9" w14:textId="77777777" w:rsidR="00DC55CF" w:rsidRPr="00CC52A7" w:rsidRDefault="00DC55CF" w:rsidP="00DC55CF">
      <w:pPr>
        <w:overflowPunct w:val="0"/>
        <w:autoSpaceDE w:val="0"/>
        <w:autoSpaceDN w:val="0"/>
        <w:adjustRightInd w:val="0"/>
        <w:spacing w:after="0" w:line="240" w:lineRule="auto"/>
        <w:contextualSpacing/>
        <w:jc w:val="both"/>
        <w:textAlignment w:val="baseline"/>
        <w:rPr>
          <w:rFonts w:ascii="Times New Roman" w:eastAsia="PMingLiU" w:hAnsi="Times New Roman" w:cs="Times New Roman"/>
          <w:i/>
          <w:lang w:val="lt-LT"/>
        </w:rPr>
      </w:pPr>
      <w:r w:rsidRPr="00CC52A7">
        <w:rPr>
          <w:rFonts w:ascii="Times New Roman" w:eastAsia="PMingLiU" w:hAnsi="Times New Roman" w:cs="Times New Roman"/>
          <w:i/>
          <w:lang w:val="lt-LT"/>
        </w:rPr>
        <w:t>Nurodytas rodmenų vidurkis ir jo standartinis nuokrypis</w:t>
      </w:r>
    </w:p>
    <w:p w14:paraId="73A304FA" w14:textId="77777777" w:rsidR="00DC55CF" w:rsidRPr="00CC52A7" w:rsidRDefault="00DC55CF" w:rsidP="00DC55CF">
      <w:pPr>
        <w:overflowPunct w:val="0"/>
        <w:autoSpaceDE w:val="0"/>
        <w:autoSpaceDN w:val="0"/>
        <w:adjustRightInd w:val="0"/>
        <w:spacing w:after="0" w:line="240" w:lineRule="auto"/>
        <w:contextualSpacing/>
        <w:jc w:val="both"/>
        <w:textAlignment w:val="baseline"/>
        <w:rPr>
          <w:rFonts w:ascii="Times New Roman" w:eastAsia="PMingLiU" w:hAnsi="Times New Roman" w:cs="Times New Roman"/>
          <w:lang w:val="lt-LT"/>
        </w:rPr>
      </w:pPr>
    </w:p>
    <w:p w14:paraId="73A304FB" w14:textId="77777777" w:rsidR="00DC55CF" w:rsidRPr="00CC52A7" w:rsidRDefault="00DC55CF" w:rsidP="00DC55CF">
      <w:pPr>
        <w:overflowPunct w:val="0"/>
        <w:autoSpaceDE w:val="0"/>
        <w:autoSpaceDN w:val="0"/>
        <w:adjustRightInd w:val="0"/>
        <w:spacing w:after="0" w:line="240" w:lineRule="auto"/>
        <w:contextualSpacing/>
        <w:jc w:val="both"/>
        <w:textAlignment w:val="baseline"/>
        <w:rPr>
          <w:rFonts w:ascii="Times New Roman" w:eastAsia="PMingLiU" w:hAnsi="Times New Roman" w:cs="Times New Roman"/>
          <w:lang w:val="lt-LT"/>
        </w:rPr>
      </w:pPr>
      <w:r w:rsidRPr="00CC52A7">
        <w:rPr>
          <w:rFonts w:ascii="Times New Roman" w:eastAsia="PMingLiU" w:hAnsi="Times New Roman" w:cs="Times New Roman"/>
          <w:i/>
          <w:lang w:val="lt-LT"/>
        </w:rPr>
        <w:t>Paveikslas</w:t>
      </w:r>
      <w:r w:rsidRPr="00CC52A7">
        <w:rPr>
          <w:rFonts w:ascii="Times New Roman" w:eastAsia="PMingLiU" w:hAnsi="Times New Roman" w:cs="Times New Roman"/>
          <w:lang w:val="lt-LT"/>
        </w:rPr>
        <w:t xml:space="preserve">. Vidutinė acikloviro ir lyginamojo </w:t>
      </w:r>
      <w:r w:rsidR="007C5A3D" w:rsidRPr="00CC52A7">
        <w:rPr>
          <w:rFonts w:ascii="Times New Roman" w:eastAsia="PMingLiU" w:hAnsi="Times New Roman" w:cs="Times New Roman"/>
          <w:lang w:val="lt-LT"/>
        </w:rPr>
        <w:t xml:space="preserve">vaistinio </w:t>
      </w:r>
      <w:r w:rsidRPr="00CC52A7">
        <w:rPr>
          <w:rFonts w:ascii="Times New Roman" w:eastAsia="PMingLiU" w:hAnsi="Times New Roman" w:cs="Times New Roman"/>
          <w:lang w:val="lt-LT"/>
        </w:rPr>
        <w:t>preparato koncentracija plazmoje, pavaizduota laiko ir koncentracijos koordinačių sistemoje.</w:t>
      </w:r>
    </w:p>
    <w:p w14:paraId="73A304FC"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noProof/>
          <w:lang w:val="lt-LT" w:eastAsia="lt-LT"/>
        </w:rPr>
        <w:drawing>
          <wp:anchor distT="188976" distB="180594" distL="272796" distR="198120" simplePos="0" relativeHeight="251659264" behindDoc="0" locked="0" layoutInCell="1" allowOverlap="1" wp14:anchorId="73A30724" wp14:editId="73A30725">
            <wp:simplePos x="0" y="0"/>
            <wp:positionH relativeFrom="column">
              <wp:posOffset>158750</wp:posOffset>
            </wp:positionH>
            <wp:positionV relativeFrom="paragraph">
              <wp:posOffset>258445</wp:posOffset>
            </wp:positionV>
            <wp:extent cx="5205730" cy="2926080"/>
            <wp:effectExtent l="0" t="0" r="0" b="7620"/>
            <wp:wrapTopAndBottom/>
            <wp:docPr id="2" name="Objektas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73A304FD" w14:textId="77777777" w:rsidR="00DC55CF" w:rsidRPr="00CC52A7" w:rsidRDefault="00DC55CF" w:rsidP="00DC55CF">
      <w:pPr>
        <w:tabs>
          <w:tab w:val="left" w:pos="567"/>
        </w:tabs>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b/>
          <w:lang w:val="lt-LT"/>
        </w:rPr>
        <w:t>5.3</w:t>
      </w:r>
      <w:r w:rsidRPr="00CC52A7">
        <w:rPr>
          <w:rFonts w:ascii="Times New Roman" w:eastAsia="PMingLiU" w:hAnsi="Times New Roman" w:cs="Times New Roman"/>
          <w:b/>
          <w:lang w:val="lt-LT"/>
        </w:rPr>
        <w:tab/>
        <w:t>Ikiklinikinių saugumo tyrimų duomenys</w:t>
      </w:r>
    </w:p>
    <w:p w14:paraId="73A304FE" w14:textId="77777777" w:rsidR="00DC55CF" w:rsidRPr="00CC52A7" w:rsidRDefault="00DC55CF" w:rsidP="00DC55CF">
      <w:pPr>
        <w:keepNext/>
        <w:overflowPunct w:val="0"/>
        <w:autoSpaceDE w:val="0"/>
        <w:autoSpaceDN w:val="0"/>
        <w:adjustRightInd w:val="0"/>
        <w:spacing w:after="0" w:line="240" w:lineRule="auto"/>
        <w:contextualSpacing/>
        <w:jc w:val="both"/>
        <w:textAlignment w:val="baseline"/>
        <w:outlineLvl w:val="0"/>
        <w:rPr>
          <w:rFonts w:ascii="Times New Roman" w:eastAsia="PMingLiU" w:hAnsi="Times New Roman" w:cs="Times New Roman"/>
          <w:i/>
          <w:lang w:val="lt-LT"/>
        </w:rPr>
      </w:pPr>
    </w:p>
    <w:p w14:paraId="73A304FF" w14:textId="77777777" w:rsidR="00DC55CF" w:rsidRPr="00CC52A7" w:rsidRDefault="00DC55CF" w:rsidP="00DC55CF">
      <w:pPr>
        <w:keepNext/>
        <w:overflowPunct w:val="0"/>
        <w:autoSpaceDE w:val="0"/>
        <w:autoSpaceDN w:val="0"/>
        <w:adjustRightInd w:val="0"/>
        <w:spacing w:after="0" w:line="240" w:lineRule="auto"/>
        <w:contextualSpacing/>
        <w:jc w:val="both"/>
        <w:textAlignment w:val="baseline"/>
        <w:outlineLvl w:val="0"/>
        <w:rPr>
          <w:rFonts w:ascii="Times New Roman" w:eastAsia="PMingLiU" w:hAnsi="Times New Roman" w:cs="Times New Roman"/>
          <w:i/>
          <w:lang w:val="lt-LT"/>
        </w:rPr>
      </w:pPr>
      <w:r w:rsidRPr="00CC52A7">
        <w:rPr>
          <w:rFonts w:ascii="Times New Roman" w:eastAsia="PMingLiU" w:hAnsi="Times New Roman" w:cs="Times New Roman"/>
          <w:i/>
          <w:lang w:val="lt-LT"/>
        </w:rPr>
        <w:t>Ūminis toksinis poveikis</w:t>
      </w:r>
    </w:p>
    <w:p w14:paraId="73A30500"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Sugirdžius pelėms ir žiurkėms </w:t>
      </w:r>
      <w:r w:rsidR="007C5A3D" w:rsidRPr="00CC52A7">
        <w:rPr>
          <w:rFonts w:ascii="Times New Roman" w:eastAsia="PMingLiU" w:hAnsi="Times New Roman" w:cs="Times New Roman"/>
          <w:lang w:val="lt-LT"/>
        </w:rPr>
        <w:t xml:space="preserve">vaistinio </w:t>
      </w:r>
      <w:r w:rsidRPr="00CC52A7">
        <w:rPr>
          <w:rFonts w:ascii="Times New Roman" w:eastAsia="PMingLiU" w:hAnsi="Times New Roman" w:cs="Times New Roman"/>
          <w:lang w:val="lt-LT"/>
        </w:rPr>
        <w:t>preparato, LD</w:t>
      </w:r>
      <w:r w:rsidRPr="00CC52A7">
        <w:rPr>
          <w:rFonts w:ascii="Times New Roman" w:eastAsia="PMingLiU" w:hAnsi="Times New Roman" w:cs="Times New Roman"/>
          <w:vertAlign w:val="subscript"/>
          <w:lang w:val="lt-LT"/>
        </w:rPr>
        <w:t>50</w:t>
      </w:r>
      <w:r w:rsidRPr="00CC52A7">
        <w:rPr>
          <w:rFonts w:ascii="Times New Roman" w:eastAsia="PMingLiU" w:hAnsi="Times New Roman" w:cs="Times New Roman"/>
          <w:lang w:val="lt-LT"/>
        </w:rPr>
        <w:t xml:space="preserve"> nenustatyta, kadangi dėl fiziologinių ypatybių nebuvo galima sugirdyti didesnių kaip 10</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g/kg kūno svorio acikloviro dozių pelėms ir 20</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g/kg kūno svorio žiurkėms. Nuo sugirdytos dozės (10</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g/kg kūno svorio) pelės ir žiurkės nenudvėsė.</w:t>
      </w:r>
    </w:p>
    <w:p w14:paraId="73A30501"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502" w14:textId="77777777" w:rsidR="00DC55CF" w:rsidRPr="00CC52A7" w:rsidRDefault="00DC55CF" w:rsidP="00DC55CF">
      <w:pPr>
        <w:keepNext/>
        <w:overflowPunct w:val="0"/>
        <w:autoSpaceDE w:val="0"/>
        <w:autoSpaceDN w:val="0"/>
        <w:adjustRightInd w:val="0"/>
        <w:spacing w:after="0" w:line="240" w:lineRule="auto"/>
        <w:contextualSpacing/>
        <w:jc w:val="both"/>
        <w:textAlignment w:val="baseline"/>
        <w:outlineLvl w:val="0"/>
        <w:rPr>
          <w:rFonts w:ascii="Times New Roman" w:eastAsia="PMingLiU" w:hAnsi="Times New Roman" w:cs="Times New Roman"/>
          <w:i/>
          <w:lang w:val="lt-LT"/>
        </w:rPr>
      </w:pPr>
      <w:r w:rsidRPr="00CC52A7">
        <w:rPr>
          <w:rFonts w:ascii="Times New Roman" w:eastAsia="PMingLiU" w:hAnsi="Times New Roman" w:cs="Times New Roman"/>
          <w:i/>
          <w:lang w:val="lt-LT"/>
        </w:rPr>
        <w:t>Lėtinis toksinis poveikis</w:t>
      </w:r>
    </w:p>
    <w:p w14:paraId="73A30503" w14:textId="77777777" w:rsidR="00DC55CF" w:rsidRPr="00CC52A7" w:rsidRDefault="00DC55CF" w:rsidP="00DC55CF">
      <w:pPr>
        <w:numPr>
          <w:ilvl w:val="12"/>
          <w:numId w:val="0"/>
        </w:num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4</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savaites kasdien pelėms buvo sugirdoma net 450</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mg acikloviro vienam kilogramui kūno svorio. Visos pelės išgyveno, jokių nukrypimų nuo normos nepastebėta.</w:t>
      </w:r>
    </w:p>
    <w:p w14:paraId="73A30504" w14:textId="77777777" w:rsidR="00DC55CF" w:rsidRPr="00CC52A7" w:rsidRDefault="00DC55CF" w:rsidP="00DC55CF">
      <w:pPr>
        <w:numPr>
          <w:ilvl w:val="12"/>
          <w:numId w:val="0"/>
        </w:num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Tyrimo, kurio trukmė 12</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mėnesių, metu šunims (skalikams) kasdien buvo sugirdoma po 60</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mg acikloviro vienam kilogramui kūno svorio. Nuo tokios dozės gyvūnai dažniau viduriavo gleivėmis ir vėmė. Keliems šunims ant letenų atsirado pakitimų ir nukrito nagai. Šie pokyčiai nutraukus vaist</w:t>
      </w:r>
      <w:r w:rsidR="004070A0">
        <w:rPr>
          <w:rFonts w:ascii="Times New Roman" w:eastAsia="PMingLiU" w:hAnsi="Times New Roman" w:cs="Times New Roman"/>
          <w:lang w:val="lt-LT"/>
        </w:rPr>
        <w:t>inio preparat</w:t>
      </w:r>
      <w:r w:rsidRPr="00CC52A7">
        <w:rPr>
          <w:rFonts w:ascii="Times New Roman" w:eastAsia="PMingLiU" w:hAnsi="Times New Roman" w:cs="Times New Roman"/>
          <w:lang w:val="lt-LT"/>
        </w:rPr>
        <w:t xml:space="preserve">o vartojimą išnyko. Daugiau neįprastų reiškinių nepastebėta. </w:t>
      </w:r>
    </w:p>
    <w:p w14:paraId="73A30505" w14:textId="77777777" w:rsidR="00DC55CF" w:rsidRPr="00CC52A7" w:rsidRDefault="00DC55CF" w:rsidP="00DC55CF">
      <w:pPr>
        <w:numPr>
          <w:ilvl w:val="12"/>
          <w:numId w:val="0"/>
        </w:num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755</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dienas pelėms ir žiurkėms kasdien sugirdant net 450</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mg acikloviro vienam kilogramui kūno svorio, jokių pokyčių nepastebėta.</w:t>
      </w:r>
    </w:p>
    <w:p w14:paraId="73A30506" w14:textId="77777777" w:rsidR="00DC55CF" w:rsidRPr="00CC52A7" w:rsidRDefault="00DC55CF" w:rsidP="00DC55CF">
      <w:pPr>
        <w:numPr>
          <w:ilvl w:val="12"/>
          <w:numId w:val="0"/>
        </w:num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507" w14:textId="77777777" w:rsidR="00DC55CF" w:rsidRPr="00CC52A7" w:rsidRDefault="00DC55CF" w:rsidP="00DC55CF">
      <w:pPr>
        <w:keepNext/>
        <w:overflowPunct w:val="0"/>
        <w:autoSpaceDE w:val="0"/>
        <w:autoSpaceDN w:val="0"/>
        <w:adjustRightInd w:val="0"/>
        <w:spacing w:after="0" w:line="240" w:lineRule="auto"/>
        <w:contextualSpacing/>
        <w:jc w:val="both"/>
        <w:textAlignment w:val="baseline"/>
        <w:outlineLvl w:val="0"/>
        <w:rPr>
          <w:rFonts w:ascii="Times New Roman" w:eastAsia="PMingLiU" w:hAnsi="Times New Roman" w:cs="Times New Roman"/>
          <w:i/>
          <w:lang w:val="lt-LT"/>
        </w:rPr>
      </w:pPr>
      <w:r w:rsidRPr="00CC52A7">
        <w:rPr>
          <w:rFonts w:ascii="Times New Roman" w:eastAsia="PMingLiU" w:hAnsi="Times New Roman" w:cs="Times New Roman"/>
          <w:i/>
          <w:lang w:val="lt-LT"/>
        </w:rPr>
        <w:t xml:space="preserve">Navikų atsiradimą ir mutaciją skatinantis poveikis </w:t>
      </w:r>
    </w:p>
    <w:p w14:paraId="73A30508" w14:textId="77777777" w:rsidR="00DC55CF" w:rsidRPr="00CC52A7" w:rsidRDefault="00DC55CF" w:rsidP="00DC55CF">
      <w:pPr>
        <w:numPr>
          <w:ilvl w:val="12"/>
          <w:numId w:val="0"/>
        </w:num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Atlikus </w:t>
      </w:r>
      <w:r w:rsidRPr="00CC52A7">
        <w:rPr>
          <w:rFonts w:ascii="Times New Roman" w:eastAsia="PMingLiU" w:hAnsi="Times New Roman" w:cs="Times New Roman"/>
          <w:i/>
          <w:lang w:val="lt-LT"/>
        </w:rPr>
        <w:t>in vitro S. Typhimurium</w:t>
      </w:r>
      <w:r w:rsidRPr="00CC52A7">
        <w:rPr>
          <w:rFonts w:ascii="Times New Roman" w:eastAsia="PMingLiU" w:hAnsi="Times New Roman" w:cs="Times New Roman"/>
          <w:lang w:val="lt-LT"/>
        </w:rPr>
        <w:t xml:space="preserve"> bakterijų (</w:t>
      </w:r>
      <w:r w:rsidRPr="00CC52A7">
        <w:rPr>
          <w:rFonts w:ascii="Times New Roman" w:eastAsia="PMingLiU" w:hAnsi="Times New Roman" w:cs="Times New Roman"/>
          <w:i/>
          <w:lang w:val="lt-LT"/>
        </w:rPr>
        <w:t>Ames - Test</w:t>
      </w:r>
      <w:r w:rsidRPr="00CC52A7">
        <w:rPr>
          <w:rFonts w:ascii="Times New Roman" w:eastAsia="PMingLiU" w:hAnsi="Times New Roman" w:cs="Times New Roman"/>
          <w:lang w:val="lt-LT"/>
        </w:rPr>
        <w:t xml:space="preserve">), žinduolių CHO ląstelių ir pelių limfomos atsparumo testus (6-tioguaninui, AA, ir ouabainui arba g-strofantinui) bei </w:t>
      </w:r>
      <w:r w:rsidRPr="00CC52A7">
        <w:rPr>
          <w:rFonts w:ascii="Times New Roman" w:eastAsia="PMingLiU" w:hAnsi="Times New Roman" w:cs="Times New Roman"/>
          <w:i/>
          <w:lang w:val="lt-LT"/>
        </w:rPr>
        <w:t>in vivo</w:t>
      </w:r>
      <w:r w:rsidRPr="00CC52A7">
        <w:rPr>
          <w:rFonts w:ascii="Times New Roman" w:eastAsia="PMingLiU" w:hAnsi="Times New Roman" w:cs="Times New Roman"/>
          <w:lang w:val="lt-LT"/>
        </w:rPr>
        <w:t xml:space="preserve"> dominantinį letalumo testą (</w:t>
      </w:r>
      <w:r w:rsidRPr="00CC52A7">
        <w:rPr>
          <w:rFonts w:ascii="Times New Roman" w:eastAsia="PMingLiU" w:hAnsi="Times New Roman" w:cs="Times New Roman"/>
          <w:i/>
          <w:lang w:val="lt-LT"/>
        </w:rPr>
        <w:t>Dominant-Letal-Test</w:t>
      </w:r>
      <w:r w:rsidRPr="00CC52A7">
        <w:rPr>
          <w:rFonts w:ascii="Times New Roman" w:eastAsia="PMingLiU" w:hAnsi="Times New Roman" w:cs="Times New Roman"/>
          <w:lang w:val="lt-LT"/>
        </w:rPr>
        <w:t>) su pelėmis, kurioms į pilvo ertmę buvo suleidžiama 25 arba 50</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mg/kg kūno svorio acikloviro ir pacientų, kuriems penkias dienas tris kartus per dieną buvo suleidžiama į veną po 5</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mg acikloviro/kg kūno svorio arba kurie penkis kartus per dieną gėrė po 200</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 xml:space="preserve">mg acikloviro) limfocitais, mutageninio poveikio nepastebėta. Nuo didesnių, beveik toksinių acikloviro dozių, toks poveikis pelių limfomos ląstelėms timidinkinazės </w:t>
      </w:r>
      <w:r w:rsidRPr="00CC52A7">
        <w:rPr>
          <w:rFonts w:ascii="Times New Roman" w:eastAsia="PMingLiU" w:hAnsi="Times New Roman" w:cs="Times New Roman"/>
          <w:lang w:val="lt-LT"/>
        </w:rPr>
        <w:br/>
        <w:t>(TK</w:t>
      </w:r>
      <w:r w:rsidRPr="00CC52A7">
        <w:rPr>
          <w:rFonts w:ascii="Times New Roman" w:eastAsia="PMingLiU" w:hAnsi="Times New Roman" w:cs="Times New Roman"/>
          <w:vertAlign w:val="superscript"/>
          <w:lang w:val="lt-LT"/>
        </w:rPr>
        <w:t>+–</w:t>
      </w:r>
      <w:r w:rsidRPr="00CC52A7">
        <w:rPr>
          <w:rFonts w:ascii="Times New Roman" w:eastAsia="PMingLiU" w:hAnsi="Times New Roman" w:cs="Times New Roman"/>
          <w:lang w:val="lt-LT"/>
        </w:rPr>
        <w:t>)-lokuse pastebėtas. Dėl timidinkinazės (TK</w:t>
      </w:r>
      <w:r w:rsidRPr="00CC52A7">
        <w:rPr>
          <w:rFonts w:ascii="Times New Roman" w:eastAsia="PMingLiU" w:hAnsi="Times New Roman" w:cs="Times New Roman"/>
          <w:vertAlign w:val="superscript"/>
          <w:lang w:val="lt-LT"/>
        </w:rPr>
        <w:t>+–</w:t>
      </w:r>
      <w:r w:rsidRPr="00CC52A7">
        <w:rPr>
          <w:rFonts w:ascii="Times New Roman" w:eastAsia="PMingLiU" w:hAnsi="Times New Roman" w:cs="Times New Roman"/>
          <w:lang w:val="lt-LT"/>
        </w:rPr>
        <w:t>)-lokuso svarbos aktyvuojant aciklovirą ląstelių klonas galėjo pakisti tiek dėl chromosomų pokyčio, tiek dėl ląstelių selekcijos.</w:t>
      </w:r>
    </w:p>
    <w:p w14:paraId="73A30509" w14:textId="77777777" w:rsidR="00DC55CF" w:rsidRPr="00CC52A7" w:rsidRDefault="00DC55CF" w:rsidP="00DC55CF">
      <w:pPr>
        <w:numPr>
          <w:ilvl w:val="12"/>
          <w:numId w:val="0"/>
        </w:num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i/>
          <w:lang w:val="lt-LT"/>
        </w:rPr>
        <w:t>In vitro</w:t>
      </w:r>
      <w:r w:rsidRPr="00CC52A7">
        <w:rPr>
          <w:rFonts w:ascii="Times New Roman" w:eastAsia="PMingLiU" w:hAnsi="Times New Roman" w:cs="Times New Roman"/>
          <w:lang w:val="lt-LT"/>
        </w:rPr>
        <w:t xml:space="preserve"> žmogaus limfocitų kultūroje chromosomos pradeda trūkinėti tik nuo didesnės kaip 550</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sym w:font="Symbol" w:char="F06D"/>
      </w:r>
      <w:r w:rsidRPr="00CC52A7">
        <w:rPr>
          <w:rFonts w:ascii="Times New Roman" w:eastAsia="PMingLiU" w:hAnsi="Times New Roman" w:cs="Times New Roman"/>
          <w:lang w:val="lt-LT"/>
        </w:rPr>
        <w:t xml:space="preserve">mol/l acikloviro koncentracijos. </w:t>
      </w:r>
      <w:r w:rsidRPr="00CC52A7">
        <w:rPr>
          <w:rFonts w:ascii="Times New Roman" w:eastAsia="PMingLiU" w:hAnsi="Times New Roman" w:cs="Times New Roman"/>
          <w:i/>
          <w:lang w:val="lt-LT"/>
        </w:rPr>
        <w:t>In vivo</w:t>
      </w:r>
      <w:r w:rsidRPr="00CC52A7">
        <w:rPr>
          <w:rFonts w:ascii="Times New Roman" w:eastAsia="PMingLiU" w:hAnsi="Times New Roman" w:cs="Times New Roman"/>
          <w:lang w:val="lt-LT"/>
        </w:rPr>
        <w:t xml:space="preserve"> nuo 100</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 xml:space="preserve">mg/kg kūno svorio acikloviro pastebėti chromosomų trūkinėjimai tik žiurkių patelių kaulų čiulpų ląstelėse. Patinų kaulų čiulpų ląstelėse tokių pakitimų nebuvo. </w:t>
      </w:r>
      <w:r w:rsidR="001B094F">
        <w:rPr>
          <w:rFonts w:ascii="Times New Roman" w:eastAsia="PMingLiU" w:hAnsi="Times New Roman" w:cs="Times New Roman"/>
          <w:lang w:val="lt-LT"/>
        </w:rPr>
        <w:t>Suleidus</w:t>
      </w:r>
      <w:r w:rsidR="001B094F" w:rsidRPr="00CC52A7">
        <w:rPr>
          <w:rFonts w:ascii="Times New Roman" w:eastAsia="PMingLiU" w:hAnsi="Times New Roman" w:cs="Times New Roman"/>
          <w:lang w:val="lt-LT"/>
        </w:rPr>
        <w:t xml:space="preserve"> </w:t>
      </w:r>
      <w:r w:rsidRPr="00CC52A7">
        <w:rPr>
          <w:rFonts w:ascii="Times New Roman" w:eastAsia="PMingLiU" w:hAnsi="Times New Roman" w:cs="Times New Roman"/>
          <w:lang w:val="lt-LT"/>
        </w:rPr>
        <w:t>kinų žiurkėnui į pilvaplėvės ertmę 100</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mg/kg kūno svorio acikloviro, chromosomų pakitimų nepastebėta, o nuo 500</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mg/kg kūno svorio tokių atsirado (taip pat galinčių būti nuo didelės bendros intoksikacijos). 50</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t>mg/kg kūno svorio acikloviro injekcija į veną nei žiurkėms, nei kinų žiurkėnams chromosomų trūkinėjimo nesukėlė. Tai didžiausia kraujyje vaist</w:t>
      </w:r>
      <w:r w:rsidR="004070A0">
        <w:rPr>
          <w:rFonts w:ascii="Times New Roman" w:eastAsia="PMingLiU" w:hAnsi="Times New Roman" w:cs="Times New Roman"/>
          <w:lang w:val="lt-LT"/>
        </w:rPr>
        <w:t>inio preparat</w:t>
      </w:r>
      <w:r w:rsidRPr="00CC52A7">
        <w:rPr>
          <w:rFonts w:ascii="Times New Roman" w:eastAsia="PMingLiU" w:hAnsi="Times New Roman" w:cs="Times New Roman"/>
          <w:lang w:val="lt-LT"/>
        </w:rPr>
        <w:t>o koncentracija (apie 200</w:t>
      </w:r>
      <w:r w:rsidR="009D7277">
        <w:rPr>
          <w:rFonts w:ascii="Times New Roman" w:eastAsia="PMingLiU" w:hAnsi="Times New Roman" w:cs="Times New Roman"/>
          <w:lang w:val="lt-LT"/>
        </w:rPr>
        <w:t> </w:t>
      </w:r>
      <w:r w:rsidRPr="00CC52A7">
        <w:rPr>
          <w:rFonts w:ascii="Times New Roman" w:eastAsia="PMingLiU" w:hAnsi="Times New Roman" w:cs="Times New Roman"/>
          <w:lang w:val="lt-LT"/>
        </w:rPr>
        <w:sym w:font="Symbol" w:char="F06D"/>
      </w:r>
      <w:r w:rsidRPr="00CC52A7">
        <w:rPr>
          <w:rFonts w:ascii="Times New Roman" w:eastAsia="PMingLiU" w:hAnsi="Times New Roman" w:cs="Times New Roman"/>
          <w:lang w:val="lt-LT"/>
        </w:rPr>
        <w:t>mol/l), kai poveikio chromosomoms nebuvo (</w:t>
      </w:r>
      <w:r w:rsidR="001B094F">
        <w:rPr>
          <w:rFonts w:ascii="Times New Roman" w:eastAsia="PMingLiU" w:hAnsi="Times New Roman" w:cs="Times New Roman"/>
          <w:lang w:val="lt-LT"/>
        </w:rPr>
        <w:t>„</w:t>
      </w:r>
      <w:r w:rsidRPr="00CC52A7">
        <w:rPr>
          <w:rFonts w:ascii="Times New Roman" w:eastAsia="PMingLiU" w:hAnsi="Times New Roman" w:cs="Times New Roman"/>
          <w:i/>
          <w:lang w:val="lt-LT"/>
        </w:rPr>
        <w:t>no-effect-level</w:t>
      </w:r>
      <w:r w:rsidR="001B094F">
        <w:rPr>
          <w:rFonts w:ascii="Times New Roman" w:eastAsia="PMingLiU" w:hAnsi="Times New Roman" w:cs="Times New Roman"/>
          <w:lang w:val="lt-LT"/>
        </w:rPr>
        <w:t>“</w:t>
      </w:r>
      <w:r w:rsidRPr="00CC52A7">
        <w:rPr>
          <w:rFonts w:ascii="Times New Roman" w:eastAsia="PMingLiU" w:hAnsi="Times New Roman" w:cs="Times New Roman"/>
          <w:lang w:val="lt-LT"/>
        </w:rPr>
        <w:t xml:space="preserve">). </w:t>
      </w:r>
      <w:r w:rsidRPr="00CC52A7">
        <w:rPr>
          <w:rFonts w:ascii="Times New Roman" w:eastAsia="PMingLiU" w:hAnsi="Times New Roman" w:cs="Times New Roman"/>
          <w:lang w:val="lt-LT"/>
        </w:rPr>
        <w:br/>
        <w:t xml:space="preserve">Žiurkėms </w:t>
      </w:r>
      <w:r w:rsidR="001B094F">
        <w:rPr>
          <w:rFonts w:ascii="Times New Roman" w:eastAsia="PMingLiU" w:hAnsi="Times New Roman" w:cs="Times New Roman"/>
          <w:lang w:val="lt-LT"/>
        </w:rPr>
        <w:t>suleidus</w:t>
      </w:r>
      <w:r w:rsidR="001B094F" w:rsidRPr="00CC52A7">
        <w:rPr>
          <w:rFonts w:ascii="Times New Roman" w:eastAsia="PMingLiU" w:hAnsi="Times New Roman" w:cs="Times New Roman"/>
          <w:lang w:val="lt-LT"/>
        </w:rPr>
        <w:t xml:space="preserve"> </w:t>
      </w:r>
      <w:r w:rsidRPr="00CC52A7">
        <w:rPr>
          <w:rFonts w:ascii="Times New Roman" w:eastAsia="PMingLiU" w:hAnsi="Times New Roman" w:cs="Times New Roman"/>
          <w:lang w:val="lt-LT"/>
        </w:rPr>
        <w:t>į veną acikloviro ir nustačius jo koncentraciją lyties liaukose paaiškėjo, kad patelių liaukose vaist</w:t>
      </w:r>
      <w:r w:rsidR="004070A0">
        <w:rPr>
          <w:rFonts w:ascii="Times New Roman" w:eastAsia="PMingLiU" w:hAnsi="Times New Roman" w:cs="Times New Roman"/>
          <w:lang w:val="lt-LT"/>
        </w:rPr>
        <w:t>inio preparat</w:t>
      </w:r>
      <w:r w:rsidRPr="00CC52A7">
        <w:rPr>
          <w:rFonts w:ascii="Times New Roman" w:eastAsia="PMingLiU" w:hAnsi="Times New Roman" w:cs="Times New Roman"/>
          <w:lang w:val="lt-LT"/>
        </w:rPr>
        <w:t>o koncentracija sudaro trečdalį, o patinų – tik dešimtadalį didžiausios koncentracijos kraujyje (apie 200</w:t>
      </w:r>
      <w:r w:rsidR="004070A0">
        <w:rPr>
          <w:rFonts w:ascii="Times New Roman" w:eastAsia="PMingLiU" w:hAnsi="Times New Roman" w:cs="Times New Roman"/>
          <w:lang w:val="lt-LT"/>
        </w:rPr>
        <w:t> </w:t>
      </w:r>
      <w:r w:rsidRPr="00CC52A7">
        <w:rPr>
          <w:rFonts w:ascii="Times New Roman" w:eastAsia="PMingLiU" w:hAnsi="Times New Roman" w:cs="Times New Roman"/>
          <w:lang w:val="lt-LT"/>
        </w:rPr>
        <w:sym w:font="Symbol" w:char="F06D"/>
      </w:r>
      <w:r w:rsidRPr="00CC52A7">
        <w:rPr>
          <w:rFonts w:ascii="Times New Roman" w:eastAsia="PMingLiU" w:hAnsi="Times New Roman" w:cs="Times New Roman"/>
          <w:lang w:val="lt-LT"/>
        </w:rPr>
        <w:t>mol/l), kuri nedaro poveikio chromosomoms (</w:t>
      </w:r>
      <w:r w:rsidR="001B094F">
        <w:rPr>
          <w:rFonts w:ascii="Times New Roman" w:eastAsia="PMingLiU" w:hAnsi="Times New Roman" w:cs="Times New Roman"/>
          <w:lang w:val="lt-LT"/>
        </w:rPr>
        <w:t>„</w:t>
      </w:r>
      <w:r w:rsidRPr="00CC52A7">
        <w:rPr>
          <w:rFonts w:ascii="Times New Roman" w:eastAsia="PMingLiU" w:hAnsi="Times New Roman" w:cs="Times New Roman"/>
          <w:i/>
          <w:lang w:val="lt-LT"/>
        </w:rPr>
        <w:t>no-effect-level</w:t>
      </w:r>
      <w:r w:rsidR="001B094F">
        <w:rPr>
          <w:rFonts w:ascii="Times New Roman" w:eastAsia="PMingLiU" w:hAnsi="Times New Roman" w:cs="Times New Roman"/>
          <w:lang w:val="lt-LT"/>
        </w:rPr>
        <w:t>“</w:t>
      </w:r>
      <w:r w:rsidRPr="00CC52A7">
        <w:rPr>
          <w:rFonts w:ascii="Times New Roman" w:eastAsia="PMingLiU" w:hAnsi="Times New Roman" w:cs="Times New Roman"/>
          <w:lang w:val="lt-LT"/>
        </w:rPr>
        <w:t>). Išsiaiškinus, kokio dydžio dozė gali sukelti mutageninį poveikį, galima tvirtinti, kad geriant penkis kartus per dieną didžiausią rekomenduojamą acikloviro vienkartinę dozę (800</w:t>
      </w:r>
      <w:r w:rsidR="004070A0">
        <w:rPr>
          <w:rFonts w:ascii="Times New Roman" w:eastAsia="PMingLiU" w:hAnsi="Times New Roman" w:cs="Times New Roman"/>
          <w:lang w:val="lt-LT"/>
        </w:rPr>
        <w:t> </w:t>
      </w:r>
      <w:r w:rsidRPr="00CC52A7">
        <w:rPr>
          <w:rFonts w:ascii="Times New Roman" w:eastAsia="PMingLiU" w:hAnsi="Times New Roman" w:cs="Times New Roman"/>
          <w:lang w:val="lt-LT"/>
        </w:rPr>
        <w:t>mg), tokia vaist</w:t>
      </w:r>
      <w:r w:rsidR="004070A0">
        <w:rPr>
          <w:rFonts w:ascii="Times New Roman" w:eastAsia="PMingLiU" w:hAnsi="Times New Roman" w:cs="Times New Roman"/>
          <w:lang w:val="lt-LT"/>
        </w:rPr>
        <w:t>inio preparat</w:t>
      </w:r>
      <w:r w:rsidRPr="00CC52A7">
        <w:rPr>
          <w:rFonts w:ascii="Times New Roman" w:eastAsia="PMingLiU" w:hAnsi="Times New Roman" w:cs="Times New Roman"/>
          <w:lang w:val="lt-LT"/>
        </w:rPr>
        <w:t>o koncentracija neįmanoma, vadinasi, vaist</w:t>
      </w:r>
      <w:r w:rsidR="004070A0">
        <w:rPr>
          <w:rFonts w:ascii="Times New Roman" w:eastAsia="PMingLiU" w:hAnsi="Times New Roman" w:cs="Times New Roman"/>
          <w:lang w:val="lt-LT"/>
        </w:rPr>
        <w:t>inis preparat</w:t>
      </w:r>
      <w:r w:rsidRPr="00CC52A7">
        <w:rPr>
          <w:rFonts w:ascii="Times New Roman" w:eastAsia="PMingLiU" w:hAnsi="Times New Roman" w:cs="Times New Roman"/>
          <w:lang w:val="lt-LT"/>
        </w:rPr>
        <w:t xml:space="preserve">as nemutageniškas. </w:t>
      </w:r>
    </w:p>
    <w:p w14:paraId="73A3050A" w14:textId="77777777" w:rsidR="00DC55CF" w:rsidRPr="00CC52A7" w:rsidRDefault="00DC55CF" w:rsidP="00DC55CF">
      <w:pPr>
        <w:numPr>
          <w:ilvl w:val="12"/>
          <w:numId w:val="0"/>
        </w:num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Atlikus transformacijos testą, gauta duomenų, kad pelių fibroblastus paveikus acikloviru (220</w:t>
      </w:r>
      <w:r w:rsidR="004070A0">
        <w:rPr>
          <w:rFonts w:ascii="Times New Roman" w:eastAsia="PMingLiU" w:hAnsi="Times New Roman" w:cs="Times New Roman"/>
          <w:lang w:val="lt-LT"/>
        </w:rPr>
        <w:t> </w:t>
      </w:r>
      <w:r w:rsidRPr="00CC52A7">
        <w:rPr>
          <w:rFonts w:ascii="Times New Roman" w:eastAsia="PMingLiU" w:hAnsi="Times New Roman" w:cs="Times New Roman"/>
          <w:lang w:val="lt-LT"/>
        </w:rPr>
        <w:sym w:font="Symbol" w:char="F06D"/>
      </w:r>
      <w:r w:rsidRPr="00CC52A7">
        <w:rPr>
          <w:rFonts w:ascii="Times New Roman" w:eastAsia="PMingLiU" w:hAnsi="Times New Roman" w:cs="Times New Roman"/>
          <w:lang w:val="lt-LT"/>
        </w:rPr>
        <w:t>mol/l), pakito monokloninių ląstelių kultūros augimas (</w:t>
      </w:r>
      <w:r w:rsidRPr="00CC52A7">
        <w:rPr>
          <w:rFonts w:ascii="Times New Roman" w:eastAsia="PMingLiU" w:hAnsi="Times New Roman" w:cs="Times New Roman"/>
          <w:i/>
          <w:lang w:val="lt-LT"/>
        </w:rPr>
        <w:t>Typ lll foci</w:t>
      </w:r>
      <w:r w:rsidRPr="00CC52A7">
        <w:rPr>
          <w:rFonts w:ascii="Times New Roman" w:eastAsia="PMingLiU" w:hAnsi="Times New Roman" w:cs="Times New Roman"/>
          <w:lang w:val="lt-LT"/>
        </w:rPr>
        <w:t>).</w:t>
      </w:r>
    </w:p>
    <w:p w14:paraId="73A3050B" w14:textId="77777777" w:rsidR="00DC55CF" w:rsidRPr="00CC52A7" w:rsidRDefault="00DC55CF" w:rsidP="00DC55CF">
      <w:pPr>
        <w:numPr>
          <w:ilvl w:val="12"/>
          <w:numId w:val="0"/>
        </w:num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Ilgalaikių (dvejų metų) tyrimų su žiurkėmis ir pelėmis duomenimis, acikloviras yra nekancerogeniškas.</w:t>
      </w:r>
    </w:p>
    <w:p w14:paraId="73A3050C" w14:textId="77777777" w:rsidR="00DC55CF" w:rsidRPr="00CC52A7" w:rsidRDefault="00DC55CF" w:rsidP="00DC55CF">
      <w:pPr>
        <w:numPr>
          <w:ilvl w:val="12"/>
          <w:numId w:val="0"/>
        </w:num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50D" w14:textId="77777777" w:rsidR="00DC55CF" w:rsidRPr="00CC52A7" w:rsidRDefault="00DC55CF" w:rsidP="00DC55CF">
      <w:pPr>
        <w:keepNext/>
        <w:numPr>
          <w:ilvl w:val="12"/>
          <w:numId w:val="0"/>
        </w:numPr>
        <w:overflowPunct w:val="0"/>
        <w:autoSpaceDE w:val="0"/>
        <w:autoSpaceDN w:val="0"/>
        <w:adjustRightInd w:val="0"/>
        <w:spacing w:after="0" w:line="240" w:lineRule="auto"/>
        <w:contextualSpacing/>
        <w:textAlignment w:val="baseline"/>
        <w:outlineLvl w:val="1"/>
        <w:rPr>
          <w:rFonts w:ascii="Times New Roman" w:eastAsia="PMingLiU" w:hAnsi="Times New Roman" w:cs="Times New Roman"/>
          <w:i/>
          <w:iCs/>
          <w:lang w:val="lt-LT"/>
        </w:rPr>
      </w:pPr>
      <w:r w:rsidRPr="00CC52A7">
        <w:rPr>
          <w:rFonts w:ascii="Times New Roman" w:eastAsia="PMingLiU" w:hAnsi="Times New Roman" w:cs="Times New Roman"/>
          <w:i/>
          <w:iCs/>
          <w:lang w:val="lt-LT"/>
        </w:rPr>
        <w:t>Poveikis dauginimuisi</w:t>
      </w:r>
    </w:p>
    <w:p w14:paraId="73A3050E" w14:textId="77777777" w:rsidR="00DC55CF" w:rsidRPr="00CC52A7" w:rsidRDefault="00DC55CF" w:rsidP="00DC55CF">
      <w:pPr>
        <w:keepNext/>
        <w:overflowPunct w:val="0"/>
        <w:autoSpaceDE w:val="0"/>
        <w:autoSpaceDN w:val="0"/>
        <w:adjustRightInd w:val="0"/>
        <w:spacing w:after="0" w:line="240" w:lineRule="auto"/>
        <w:contextualSpacing/>
        <w:textAlignment w:val="baseline"/>
        <w:outlineLvl w:val="2"/>
        <w:rPr>
          <w:rFonts w:ascii="Times New Roman" w:eastAsia="PMingLiU" w:hAnsi="Times New Roman" w:cs="Times New Roman"/>
          <w:i/>
          <w:u w:val="single"/>
          <w:lang w:val="lt-LT"/>
        </w:rPr>
      </w:pPr>
      <w:r w:rsidRPr="00CC52A7">
        <w:rPr>
          <w:rFonts w:ascii="Times New Roman" w:eastAsia="PMingLiU" w:hAnsi="Times New Roman" w:cs="Times New Roman"/>
          <w:i/>
          <w:u w:val="single"/>
          <w:lang w:val="lt-LT"/>
        </w:rPr>
        <w:t>Teratogeninis ir embriotoksinis poveikis</w:t>
      </w:r>
    </w:p>
    <w:p w14:paraId="73A3050F" w14:textId="77777777" w:rsidR="00DC55CF" w:rsidRPr="00CC52A7" w:rsidRDefault="00DC55CF" w:rsidP="00DC55CF">
      <w:pPr>
        <w:numPr>
          <w:ilvl w:val="12"/>
          <w:numId w:val="0"/>
        </w:num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Kad būtų galima nustatyti tiek vaist</w:t>
      </w:r>
      <w:r w:rsidR="004070A0">
        <w:rPr>
          <w:rFonts w:ascii="Times New Roman" w:eastAsia="PMingLiU" w:hAnsi="Times New Roman" w:cs="Times New Roman"/>
          <w:lang w:val="lt-LT"/>
        </w:rPr>
        <w:t>inio preparat</w:t>
      </w:r>
      <w:r w:rsidRPr="00CC52A7">
        <w:rPr>
          <w:rFonts w:ascii="Times New Roman" w:eastAsia="PMingLiU" w:hAnsi="Times New Roman" w:cs="Times New Roman"/>
          <w:lang w:val="lt-LT"/>
        </w:rPr>
        <w:t xml:space="preserve">o toksinį poveikį patelei, tiek jo įtaką vaisiaus ir naujagimio augimui bei apsigimimui, vaikingoms žiurkių patelėms vaisiaus organų formavimosi periodu, tarp 7 ir 17 arba tarp 6 ir 15 nėštumo dienos, du kartus per dieną po oda buvo </w:t>
      </w:r>
      <w:r w:rsidR="00803957">
        <w:rPr>
          <w:rFonts w:ascii="Times New Roman" w:eastAsia="PMingLiU" w:hAnsi="Times New Roman" w:cs="Times New Roman"/>
          <w:lang w:val="lt-LT"/>
        </w:rPr>
        <w:t>suleidžiama</w:t>
      </w:r>
      <w:r w:rsidR="00803957" w:rsidRPr="00CC52A7">
        <w:rPr>
          <w:rFonts w:ascii="Times New Roman" w:eastAsia="PMingLiU" w:hAnsi="Times New Roman" w:cs="Times New Roman"/>
          <w:lang w:val="lt-LT"/>
        </w:rPr>
        <w:t xml:space="preserve"> </w:t>
      </w:r>
      <w:r w:rsidRPr="00CC52A7">
        <w:rPr>
          <w:rFonts w:ascii="Times New Roman" w:eastAsia="PMingLiU" w:hAnsi="Times New Roman" w:cs="Times New Roman"/>
          <w:lang w:val="lt-LT"/>
        </w:rPr>
        <w:t>net 25</w:t>
      </w:r>
      <w:r w:rsidR="004070A0">
        <w:rPr>
          <w:rFonts w:ascii="Times New Roman" w:eastAsia="PMingLiU" w:hAnsi="Times New Roman" w:cs="Times New Roman"/>
          <w:lang w:val="lt-LT"/>
        </w:rPr>
        <w:t> </w:t>
      </w:r>
      <w:r w:rsidRPr="00CC52A7">
        <w:rPr>
          <w:rFonts w:ascii="Times New Roman" w:eastAsia="PMingLiU" w:hAnsi="Times New Roman" w:cs="Times New Roman"/>
          <w:lang w:val="lt-LT"/>
        </w:rPr>
        <w:t xml:space="preserve">mg/kg kūno svorio acikloviro. Siekiant to paties tikslo, vaisiaus organų formavimosi periodu tarp 6 ir 18 nėštumo dienos, du kartus per dieną, į veną arba po oda buvo </w:t>
      </w:r>
      <w:r w:rsidR="00803957">
        <w:rPr>
          <w:rFonts w:ascii="Times New Roman" w:eastAsia="PMingLiU" w:hAnsi="Times New Roman" w:cs="Times New Roman"/>
          <w:lang w:val="lt-LT"/>
        </w:rPr>
        <w:t>suleidžiama</w:t>
      </w:r>
      <w:r w:rsidR="00803957" w:rsidRPr="00CC52A7">
        <w:rPr>
          <w:rFonts w:ascii="Times New Roman" w:eastAsia="PMingLiU" w:hAnsi="Times New Roman" w:cs="Times New Roman"/>
          <w:lang w:val="lt-LT"/>
        </w:rPr>
        <w:t xml:space="preserve"> </w:t>
      </w:r>
      <w:r w:rsidRPr="00CC52A7">
        <w:rPr>
          <w:rFonts w:ascii="Times New Roman" w:eastAsia="PMingLiU" w:hAnsi="Times New Roman" w:cs="Times New Roman"/>
          <w:lang w:val="lt-LT"/>
        </w:rPr>
        <w:t>iki 25</w:t>
      </w:r>
      <w:r w:rsidR="004070A0">
        <w:rPr>
          <w:rFonts w:ascii="Times New Roman" w:eastAsia="PMingLiU" w:hAnsi="Times New Roman" w:cs="Times New Roman"/>
          <w:lang w:val="lt-LT"/>
        </w:rPr>
        <w:t> </w:t>
      </w:r>
      <w:r w:rsidRPr="00CC52A7">
        <w:rPr>
          <w:rFonts w:ascii="Times New Roman" w:eastAsia="PMingLiU" w:hAnsi="Times New Roman" w:cs="Times New Roman"/>
          <w:lang w:val="lt-LT"/>
        </w:rPr>
        <w:t xml:space="preserve">mg/kg kūno svorio acikloviro vaikingoms triušių patelėms. Atlikus išvardytus tyrimus, nei toksinio poveikio patelės organizmui, nei embriotoksinio ir teratogeninio acikloviro poveikio nepastebėta. </w:t>
      </w:r>
    </w:p>
    <w:p w14:paraId="73A30510" w14:textId="77777777" w:rsidR="00DC55CF" w:rsidRPr="00CC52A7" w:rsidRDefault="00DC55CF" w:rsidP="00DC55CF">
      <w:pPr>
        <w:numPr>
          <w:ilvl w:val="12"/>
          <w:numId w:val="0"/>
        </w:num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Vaist</w:t>
      </w:r>
      <w:r w:rsidR="004070A0">
        <w:rPr>
          <w:rFonts w:ascii="Times New Roman" w:eastAsia="PMingLiU" w:hAnsi="Times New Roman" w:cs="Times New Roman"/>
          <w:lang w:val="lt-LT"/>
        </w:rPr>
        <w:t>inį preparat</w:t>
      </w:r>
      <w:r w:rsidRPr="00CC52A7">
        <w:rPr>
          <w:rFonts w:ascii="Times New Roman" w:eastAsia="PMingLiU" w:hAnsi="Times New Roman" w:cs="Times New Roman"/>
          <w:lang w:val="lt-LT"/>
        </w:rPr>
        <w:t xml:space="preserve">ą tiriant toliau, vaikingoms žiurkėms dešimtą vaikingumo dieną (organų formavimosi metu) </w:t>
      </w:r>
      <w:r w:rsidR="00803957">
        <w:rPr>
          <w:rFonts w:ascii="Times New Roman" w:eastAsia="PMingLiU" w:hAnsi="Times New Roman" w:cs="Times New Roman"/>
          <w:lang w:val="lt-LT"/>
        </w:rPr>
        <w:t>suleidus</w:t>
      </w:r>
      <w:r w:rsidR="00803957" w:rsidRPr="00CC52A7">
        <w:rPr>
          <w:rFonts w:ascii="Times New Roman" w:eastAsia="PMingLiU" w:hAnsi="Times New Roman" w:cs="Times New Roman"/>
          <w:lang w:val="lt-LT"/>
        </w:rPr>
        <w:t xml:space="preserve"> </w:t>
      </w:r>
      <w:r w:rsidRPr="00CC52A7">
        <w:rPr>
          <w:rFonts w:ascii="Times New Roman" w:eastAsia="PMingLiU" w:hAnsi="Times New Roman" w:cs="Times New Roman"/>
          <w:lang w:val="lt-LT"/>
        </w:rPr>
        <w:t>tris kartus per dieną po 100</w:t>
      </w:r>
      <w:r w:rsidR="004070A0">
        <w:rPr>
          <w:rFonts w:ascii="Times New Roman" w:eastAsia="PMingLiU" w:hAnsi="Times New Roman" w:cs="Times New Roman"/>
          <w:lang w:val="lt-LT"/>
        </w:rPr>
        <w:t> </w:t>
      </w:r>
      <w:r w:rsidRPr="00CC52A7">
        <w:rPr>
          <w:rFonts w:ascii="Times New Roman" w:eastAsia="PMingLiU" w:hAnsi="Times New Roman" w:cs="Times New Roman"/>
          <w:lang w:val="lt-LT"/>
        </w:rPr>
        <w:t>mg/kg kūno svorio acikloviro, pastebėta apsigimimų (anoftalmija ir uodegos anomalija). Tokia vaist</w:t>
      </w:r>
      <w:r w:rsidR="004070A0">
        <w:rPr>
          <w:rFonts w:ascii="Times New Roman" w:eastAsia="PMingLiU" w:hAnsi="Times New Roman" w:cs="Times New Roman"/>
          <w:lang w:val="lt-LT"/>
        </w:rPr>
        <w:t>inio preparat</w:t>
      </w:r>
      <w:r w:rsidRPr="00CC52A7">
        <w:rPr>
          <w:rFonts w:ascii="Times New Roman" w:eastAsia="PMingLiU" w:hAnsi="Times New Roman" w:cs="Times New Roman"/>
          <w:lang w:val="lt-LT"/>
        </w:rPr>
        <w:t>o dozė patelei sukėlė nefrotoksinį poveikį. Be to, acikloviro koncentracija patelės organizme buvo 48</w:t>
      </w:r>
      <w:r w:rsidR="004070A0">
        <w:rPr>
          <w:rFonts w:ascii="Times New Roman" w:eastAsia="PMingLiU" w:hAnsi="Times New Roman" w:cs="Times New Roman"/>
          <w:lang w:val="lt-LT"/>
        </w:rPr>
        <w:noBreakHyphen/>
      </w:r>
      <w:r w:rsidRPr="00CC52A7">
        <w:rPr>
          <w:rFonts w:ascii="Times New Roman" w:eastAsia="PMingLiU" w:hAnsi="Times New Roman" w:cs="Times New Roman"/>
          <w:lang w:val="lt-LT"/>
        </w:rPr>
        <w:t>58</w:t>
      </w:r>
      <w:r w:rsidR="004070A0">
        <w:rPr>
          <w:rFonts w:ascii="Times New Roman" w:eastAsia="PMingLiU" w:hAnsi="Times New Roman" w:cs="Times New Roman"/>
          <w:lang w:val="lt-LT"/>
        </w:rPr>
        <w:t> </w:t>
      </w:r>
      <w:r w:rsidRPr="00CC52A7">
        <w:rPr>
          <w:rFonts w:ascii="Times New Roman" w:eastAsia="PMingLiU" w:hAnsi="Times New Roman" w:cs="Times New Roman"/>
          <w:lang w:val="lt-LT"/>
        </w:rPr>
        <w:t>kartus, 67</w:t>
      </w:r>
      <w:r w:rsidR="004070A0">
        <w:rPr>
          <w:rFonts w:ascii="Times New Roman" w:eastAsia="PMingLiU" w:hAnsi="Times New Roman" w:cs="Times New Roman"/>
          <w:lang w:val="lt-LT"/>
        </w:rPr>
        <w:noBreakHyphen/>
      </w:r>
      <w:r w:rsidRPr="00CC52A7">
        <w:rPr>
          <w:rFonts w:ascii="Times New Roman" w:eastAsia="PMingLiU" w:hAnsi="Times New Roman" w:cs="Times New Roman"/>
          <w:lang w:val="lt-LT"/>
        </w:rPr>
        <w:t>90</w:t>
      </w:r>
      <w:r w:rsidR="004070A0">
        <w:rPr>
          <w:rFonts w:ascii="Times New Roman" w:eastAsia="PMingLiU" w:hAnsi="Times New Roman" w:cs="Times New Roman"/>
          <w:lang w:val="lt-LT"/>
        </w:rPr>
        <w:t> </w:t>
      </w:r>
      <w:r w:rsidRPr="00CC52A7">
        <w:rPr>
          <w:rFonts w:ascii="Times New Roman" w:eastAsia="PMingLiU" w:hAnsi="Times New Roman" w:cs="Times New Roman"/>
          <w:lang w:val="lt-LT"/>
        </w:rPr>
        <w:t>kartų arba 153</w:t>
      </w:r>
      <w:r w:rsidR="004070A0">
        <w:rPr>
          <w:rFonts w:ascii="Times New Roman" w:eastAsia="PMingLiU" w:hAnsi="Times New Roman" w:cs="Times New Roman"/>
          <w:lang w:val="lt-LT"/>
        </w:rPr>
        <w:noBreakHyphen/>
      </w:r>
      <w:r w:rsidRPr="00CC52A7">
        <w:rPr>
          <w:rFonts w:ascii="Times New Roman" w:eastAsia="PMingLiU" w:hAnsi="Times New Roman" w:cs="Times New Roman"/>
          <w:lang w:val="lt-LT"/>
        </w:rPr>
        <w:t>167</w:t>
      </w:r>
      <w:r w:rsidR="004070A0">
        <w:rPr>
          <w:rFonts w:ascii="Times New Roman" w:eastAsia="PMingLiU" w:hAnsi="Times New Roman" w:cs="Times New Roman"/>
          <w:lang w:val="lt-LT"/>
        </w:rPr>
        <w:t> </w:t>
      </w:r>
      <w:r w:rsidRPr="00CC52A7">
        <w:rPr>
          <w:rFonts w:ascii="Times New Roman" w:eastAsia="PMingLiU" w:hAnsi="Times New Roman" w:cs="Times New Roman"/>
          <w:lang w:val="lt-LT"/>
        </w:rPr>
        <w:t>kartus didesnė negu vidutinė pastovi acikloviro koncentracija kraujo plazmoje, geriant šio vaist</w:t>
      </w:r>
      <w:r w:rsidR="004070A0">
        <w:rPr>
          <w:rFonts w:ascii="Times New Roman" w:eastAsia="PMingLiU" w:hAnsi="Times New Roman" w:cs="Times New Roman"/>
          <w:lang w:val="lt-LT"/>
        </w:rPr>
        <w:t>inio preparat</w:t>
      </w:r>
      <w:r w:rsidRPr="00CC52A7">
        <w:rPr>
          <w:rFonts w:ascii="Times New Roman" w:eastAsia="PMingLiU" w:hAnsi="Times New Roman" w:cs="Times New Roman"/>
          <w:lang w:val="lt-LT"/>
        </w:rPr>
        <w:t>o pakartotinai 5</w:t>
      </w:r>
      <w:r w:rsidR="004070A0">
        <w:rPr>
          <w:rFonts w:ascii="Times New Roman" w:eastAsia="PMingLiU" w:hAnsi="Times New Roman" w:cs="Times New Roman"/>
          <w:lang w:val="lt-LT"/>
        </w:rPr>
        <w:t> </w:t>
      </w:r>
      <w:r w:rsidRPr="00CC52A7">
        <w:rPr>
          <w:rFonts w:ascii="Times New Roman" w:eastAsia="PMingLiU" w:hAnsi="Times New Roman" w:cs="Times New Roman"/>
          <w:lang w:val="lt-LT"/>
        </w:rPr>
        <w:t>kartus per dieną kas 4</w:t>
      </w:r>
      <w:r w:rsidR="004070A0">
        <w:rPr>
          <w:rFonts w:ascii="Times New Roman" w:eastAsia="PMingLiU" w:hAnsi="Times New Roman" w:cs="Times New Roman"/>
          <w:lang w:val="lt-LT"/>
        </w:rPr>
        <w:t> </w:t>
      </w:r>
      <w:r w:rsidRPr="00CC52A7">
        <w:rPr>
          <w:rFonts w:ascii="Times New Roman" w:eastAsia="PMingLiU" w:hAnsi="Times New Roman" w:cs="Times New Roman"/>
          <w:lang w:val="lt-LT"/>
        </w:rPr>
        <w:t>val. atitinkamai po 200, 400 arba 800</w:t>
      </w:r>
      <w:r w:rsidR="004070A0">
        <w:rPr>
          <w:rFonts w:ascii="Times New Roman" w:eastAsia="PMingLiU" w:hAnsi="Times New Roman" w:cs="Times New Roman"/>
          <w:lang w:val="lt-LT"/>
        </w:rPr>
        <w:t> </w:t>
      </w:r>
      <w:r w:rsidRPr="00CC52A7">
        <w:rPr>
          <w:rFonts w:ascii="Times New Roman" w:eastAsia="PMingLiU" w:hAnsi="Times New Roman" w:cs="Times New Roman"/>
          <w:lang w:val="lt-LT"/>
        </w:rPr>
        <w:t>mg, todėl mutageninio poveikio galimybė žmonėms labai abejotina.</w:t>
      </w:r>
    </w:p>
    <w:p w14:paraId="73A30511" w14:textId="77777777" w:rsidR="00DC55CF" w:rsidRPr="00CC52A7" w:rsidRDefault="00DC55CF" w:rsidP="00DC55CF">
      <w:pPr>
        <w:numPr>
          <w:ilvl w:val="12"/>
          <w:numId w:val="0"/>
        </w:num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512"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i/>
          <w:u w:val="single"/>
          <w:lang w:val="lt-LT"/>
        </w:rPr>
        <w:t>Vaisingumas</w:t>
      </w:r>
      <w:r w:rsidRPr="00CC52A7">
        <w:rPr>
          <w:rFonts w:ascii="Times New Roman" w:eastAsia="PMingLiU" w:hAnsi="Times New Roman" w:cs="Times New Roman"/>
          <w:i/>
          <w:lang w:val="lt-LT"/>
        </w:rPr>
        <w:br/>
      </w:r>
      <w:r w:rsidRPr="00CC52A7">
        <w:rPr>
          <w:rFonts w:ascii="Times New Roman" w:eastAsia="PMingLiU" w:hAnsi="Times New Roman" w:cs="Times New Roman"/>
          <w:lang w:val="lt-LT"/>
        </w:rPr>
        <w:t>Dažniausiai laikinas nepageidaujamas poveikis žiurkių ir skalikų spermatogenezei pastebėtas vartojant daug didesnes negu gydymo metu acikloviro dozes.</w:t>
      </w:r>
    </w:p>
    <w:p w14:paraId="73A30513"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Ištyrus dvi pelių kartas (joms kasdien buvo sugirdoma acikloviro), nustatyta, kad šis vaist</w:t>
      </w:r>
      <w:r w:rsidR="004070A0">
        <w:rPr>
          <w:rFonts w:ascii="Times New Roman" w:eastAsia="PMingLiU" w:hAnsi="Times New Roman" w:cs="Times New Roman"/>
          <w:lang w:val="lt-LT"/>
        </w:rPr>
        <w:t>inis preparat</w:t>
      </w:r>
      <w:r w:rsidRPr="00CC52A7">
        <w:rPr>
          <w:rFonts w:ascii="Times New Roman" w:eastAsia="PMingLiU" w:hAnsi="Times New Roman" w:cs="Times New Roman"/>
          <w:lang w:val="lt-LT"/>
        </w:rPr>
        <w:t>as jokio poveikio vaisingumui nedaro. Ar acikloviras kenkia moterų vaisingumui, nežinoma.</w:t>
      </w:r>
      <w:r w:rsidRPr="00CC52A7">
        <w:rPr>
          <w:rFonts w:ascii="Times New Roman" w:eastAsia="PMingLiU" w:hAnsi="Times New Roman" w:cs="Times New Roman"/>
          <w:lang w:val="lt-LT"/>
        </w:rPr>
        <w:br/>
        <w:t>Šio vaist</w:t>
      </w:r>
      <w:r w:rsidR="004070A0">
        <w:rPr>
          <w:rFonts w:ascii="Times New Roman" w:eastAsia="PMingLiU" w:hAnsi="Times New Roman" w:cs="Times New Roman"/>
          <w:lang w:val="lt-LT"/>
        </w:rPr>
        <w:t>inio preparat</w:t>
      </w:r>
      <w:r w:rsidRPr="00CC52A7">
        <w:rPr>
          <w:rFonts w:ascii="Times New Roman" w:eastAsia="PMingLiU" w:hAnsi="Times New Roman" w:cs="Times New Roman"/>
          <w:lang w:val="lt-LT"/>
        </w:rPr>
        <w:t xml:space="preserve">o geriančių vyrų spermijų kiekis, morfologija ir judrumas nekinta. </w:t>
      </w:r>
    </w:p>
    <w:p w14:paraId="73A30514"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r w:rsidRPr="00CC52A7">
        <w:rPr>
          <w:rFonts w:ascii="Times New Roman" w:eastAsia="PMingLiU" w:hAnsi="Times New Roman" w:cs="Times New Roman"/>
          <w:lang w:val="lt-LT"/>
        </w:rPr>
        <w:t xml:space="preserve">Įprastinių ikiklinikinių farmakologinių saugumo, toksinio kartotinių dozių poveikio, genotoksinio bei kancerogeninio poveikio ir toksinio poveikio dauginimosi funkcijai tyrimų duomenimis, specifinio pavojaus žmogui </w:t>
      </w:r>
      <w:r w:rsidR="007C5A3D" w:rsidRPr="00CC52A7">
        <w:rPr>
          <w:rFonts w:ascii="Times New Roman" w:eastAsia="PMingLiU" w:hAnsi="Times New Roman" w:cs="Times New Roman"/>
          <w:lang w:val="lt-LT"/>
        </w:rPr>
        <w:t>vaistini</w:t>
      </w:r>
      <w:r w:rsidR="007C5A3D">
        <w:rPr>
          <w:rFonts w:ascii="Times New Roman" w:eastAsia="PMingLiU" w:hAnsi="Times New Roman" w:cs="Times New Roman"/>
          <w:lang w:val="lt-LT"/>
        </w:rPr>
        <w:t xml:space="preserve">s </w:t>
      </w:r>
      <w:r w:rsidRPr="00CC52A7">
        <w:rPr>
          <w:rFonts w:ascii="Times New Roman" w:eastAsia="PMingLiU" w:hAnsi="Times New Roman" w:cs="Times New Roman"/>
          <w:lang w:val="lt-LT"/>
        </w:rPr>
        <w:t>preparatas nekelia.</w:t>
      </w:r>
    </w:p>
    <w:p w14:paraId="73A30515"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516"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517" w14:textId="77777777" w:rsidR="00DC55CF" w:rsidRPr="00CC52A7" w:rsidRDefault="00DC55CF" w:rsidP="00DC55CF">
      <w:pPr>
        <w:tabs>
          <w:tab w:val="left" w:pos="567"/>
        </w:tabs>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t>6.</w:t>
      </w:r>
      <w:r w:rsidRPr="00CC52A7">
        <w:rPr>
          <w:rFonts w:ascii="Times New Roman" w:eastAsia="PMingLiU" w:hAnsi="Times New Roman" w:cs="Times New Roman"/>
          <w:b/>
          <w:lang w:val="lt-LT"/>
        </w:rPr>
        <w:tab/>
        <w:t>FARMACINĖ INFORMACIJA</w:t>
      </w:r>
    </w:p>
    <w:p w14:paraId="73A30518"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519" w14:textId="77777777" w:rsidR="00DC55CF" w:rsidRPr="00CC52A7" w:rsidRDefault="00DC55CF" w:rsidP="00DC55CF">
      <w:pPr>
        <w:tabs>
          <w:tab w:val="left" w:pos="567"/>
        </w:tabs>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t>6.1</w:t>
      </w:r>
      <w:r w:rsidRPr="00CC52A7">
        <w:rPr>
          <w:rFonts w:ascii="Times New Roman" w:eastAsia="PMingLiU" w:hAnsi="Times New Roman" w:cs="Times New Roman"/>
          <w:b/>
          <w:lang w:val="lt-LT"/>
        </w:rPr>
        <w:tab/>
        <w:t>Pagalbinių medžiagų sąrašas</w:t>
      </w:r>
    </w:p>
    <w:p w14:paraId="73A3051A"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51B"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Mikrokristalinė celiuliozė</w:t>
      </w:r>
    </w:p>
    <w:p w14:paraId="73A3051C"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Magnio stearatas</w:t>
      </w:r>
    </w:p>
    <w:p w14:paraId="73A3051D"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Karboksimetilkrakmolo A natrio druska</w:t>
      </w:r>
    </w:p>
    <w:p w14:paraId="73A3051E"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Kopovidonas</w:t>
      </w:r>
    </w:p>
    <w:p w14:paraId="73A3051F"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Koloidinis bevandenis silicio dioksidas</w:t>
      </w:r>
    </w:p>
    <w:p w14:paraId="73A30520" w14:textId="77777777" w:rsidR="00DC55CF" w:rsidRPr="00CC52A7" w:rsidRDefault="00DC55CF" w:rsidP="00DC55CF">
      <w:pPr>
        <w:overflowPunct w:val="0"/>
        <w:autoSpaceDE w:val="0"/>
        <w:autoSpaceDN w:val="0"/>
        <w:adjustRightInd w:val="0"/>
        <w:spacing w:after="0" w:line="240" w:lineRule="auto"/>
        <w:contextualSpacing/>
        <w:jc w:val="both"/>
        <w:textAlignment w:val="baseline"/>
        <w:rPr>
          <w:rFonts w:ascii="Times New Roman" w:eastAsia="PMingLiU" w:hAnsi="Times New Roman" w:cs="Times New Roman"/>
          <w:b/>
          <w:lang w:val="lt-LT"/>
        </w:rPr>
      </w:pPr>
    </w:p>
    <w:p w14:paraId="73A30521" w14:textId="77777777" w:rsidR="00DC55CF" w:rsidRPr="00CC52A7" w:rsidRDefault="00DC55CF" w:rsidP="00DC55CF">
      <w:pPr>
        <w:tabs>
          <w:tab w:val="left" w:pos="567"/>
        </w:tabs>
        <w:overflowPunct w:val="0"/>
        <w:autoSpaceDE w:val="0"/>
        <w:autoSpaceDN w:val="0"/>
        <w:adjustRightInd w:val="0"/>
        <w:spacing w:after="0" w:line="240" w:lineRule="auto"/>
        <w:contextualSpacing/>
        <w:jc w:val="both"/>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t>6.2</w:t>
      </w:r>
      <w:r w:rsidRPr="00CC52A7">
        <w:rPr>
          <w:rFonts w:ascii="Times New Roman" w:eastAsia="PMingLiU" w:hAnsi="Times New Roman" w:cs="Times New Roman"/>
          <w:b/>
          <w:lang w:val="lt-LT"/>
        </w:rPr>
        <w:tab/>
        <w:t>Nesuderinamumas</w:t>
      </w:r>
    </w:p>
    <w:p w14:paraId="73A30522"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523"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Duomenų nėra.</w:t>
      </w:r>
    </w:p>
    <w:p w14:paraId="73A30524" w14:textId="77777777" w:rsidR="00DC55CF" w:rsidRPr="00CC52A7" w:rsidRDefault="00DC55CF" w:rsidP="00DC55CF">
      <w:pPr>
        <w:overflowPunct w:val="0"/>
        <w:autoSpaceDE w:val="0"/>
        <w:autoSpaceDN w:val="0"/>
        <w:adjustRightInd w:val="0"/>
        <w:spacing w:after="0" w:line="240" w:lineRule="auto"/>
        <w:contextualSpacing/>
        <w:jc w:val="both"/>
        <w:textAlignment w:val="baseline"/>
        <w:rPr>
          <w:rFonts w:ascii="Times New Roman" w:eastAsia="PMingLiU" w:hAnsi="Times New Roman" w:cs="Times New Roman"/>
          <w:b/>
          <w:lang w:val="lt-LT"/>
        </w:rPr>
      </w:pPr>
    </w:p>
    <w:p w14:paraId="73A30525" w14:textId="77777777" w:rsidR="00DC55CF" w:rsidRPr="00CC52A7" w:rsidRDefault="00DC55CF" w:rsidP="00DC55CF">
      <w:pPr>
        <w:tabs>
          <w:tab w:val="left" w:pos="567"/>
        </w:tabs>
        <w:overflowPunct w:val="0"/>
        <w:autoSpaceDE w:val="0"/>
        <w:autoSpaceDN w:val="0"/>
        <w:adjustRightInd w:val="0"/>
        <w:spacing w:after="0" w:line="240" w:lineRule="auto"/>
        <w:contextualSpacing/>
        <w:jc w:val="both"/>
        <w:textAlignment w:val="baseline"/>
        <w:rPr>
          <w:rFonts w:ascii="Times New Roman" w:eastAsia="PMingLiU" w:hAnsi="Times New Roman" w:cs="Times New Roman"/>
          <w:lang w:val="lt-LT"/>
        </w:rPr>
      </w:pPr>
      <w:r w:rsidRPr="00CC52A7">
        <w:rPr>
          <w:rFonts w:ascii="Times New Roman" w:eastAsia="PMingLiU" w:hAnsi="Times New Roman" w:cs="Times New Roman"/>
          <w:b/>
          <w:lang w:val="lt-LT"/>
        </w:rPr>
        <w:t>6.3</w:t>
      </w:r>
      <w:r w:rsidRPr="00CC52A7">
        <w:rPr>
          <w:rFonts w:ascii="Times New Roman" w:eastAsia="PMingLiU" w:hAnsi="Times New Roman" w:cs="Times New Roman"/>
          <w:b/>
          <w:lang w:val="lt-LT"/>
        </w:rPr>
        <w:tab/>
        <w:t>Tinkamumo laikas</w:t>
      </w:r>
    </w:p>
    <w:p w14:paraId="73A30526" w14:textId="77777777" w:rsidR="00DC55CF" w:rsidRPr="004B69BD"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527"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4B69BD">
        <w:rPr>
          <w:rFonts w:ascii="Times New Roman" w:eastAsia="PMingLiU" w:hAnsi="Times New Roman" w:cs="Times New Roman"/>
          <w:lang w:val="lt-LT"/>
        </w:rPr>
        <w:t>3</w:t>
      </w:r>
      <w:r w:rsidRPr="00CC52A7">
        <w:rPr>
          <w:rFonts w:ascii="Times New Roman" w:eastAsia="PMingLiU" w:hAnsi="Times New Roman" w:cs="Times New Roman"/>
          <w:lang w:val="lt-LT"/>
        </w:rPr>
        <w:t xml:space="preserve"> metai.</w:t>
      </w:r>
    </w:p>
    <w:p w14:paraId="73A30528"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529" w14:textId="77777777" w:rsidR="00DC55CF" w:rsidRPr="00CC52A7" w:rsidRDefault="00DC55CF" w:rsidP="00DC55CF">
      <w:pPr>
        <w:tabs>
          <w:tab w:val="left" w:pos="567"/>
        </w:tabs>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t>6.4</w:t>
      </w:r>
      <w:r w:rsidRPr="00CC52A7">
        <w:rPr>
          <w:rFonts w:ascii="Times New Roman" w:eastAsia="PMingLiU" w:hAnsi="Times New Roman" w:cs="Times New Roman"/>
          <w:b/>
          <w:lang w:val="lt-LT"/>
        </w:rPr>
        <w:tab/>
        <w:t>Specialios laikymo sąlygos</w:t>
      </w:r>
    </w:p>
    <w:p w14:paraId="73A3052A"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52B"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Šiam vaistiniam preparatui specialių laikymo sąlygų nereikia.</w:t>
      </w:r>
    </w:p>
    <w:p w14:paraId="73A3052C"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52D" w14:textId="77777777" w:rsidR="00DC55CF" w:rsidRPr="00CC52A7" w:rsidRDefault="00DC55CF" w:rsidP="00DC55CF">
      <w:pPr>
        <w:tabs>
          <w:tab w:val="left" w:pos="567"/>
        </w:tabs>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b/>
          <w:lang w:val="lt-LT"/>
        </w:rPr>
        <w:t>6.5</w:t>
      </w:r>
      <w:r w:rsidRPr="00CC52A7">
        <w:rPr>
          <w:rFonts w:ascii="Times New Roman" w:eastAsia="PMingLiU" w:hAnsi="Times New Roman" w:cs="Times New Roman"/>
          <w:b/>
          <w:lang w:val="lt-LT"/>
        </w:rPr>
        <w:tab/>
        <w:t>Talpyklės pobūdis ir jos turinys</w:t>
      </w:r>
    </w:p>
    <w:p w14:paraId="73A3052E"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52F"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Matinė PVC/Al folijos lizdinė plokštelė.</w:t>
      </w:r>
    </w:p>
    <w:p w14:paraId="73A30530"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Kartono dėžutėje yra 35 tablečių. </w:t>
      </w:r>
    </w:p>
    <w:p w14:paraId="73A30531" w14:textId="77777777" w:rsidR="00DC55CF" w:rsidRPr="00CC52A7" w:rsidRDefault="00DC55CF" w:rsidP="00DC55CF">
      <w:pPr>
        <w:overflowPunct w:val="0"/>
        <w:autoSpaceDE w:val="0"/>
        <w:autoSpaceDN w:val="0"/>
        <w:adjustRightInd w:val="0"/>
        <w:spacing w:after="0" w:line="240" w:lineRule="auto"/>
        <w:contextualSpacing/>
        <w:jc w:val="both"/>
        <w:textAlignment w:val="baseline"/>
        <w:rPr>
          <w:rFonts w:ascii="Times New Roman" w:eastAsia="PMingLiU" w:hAnsi="Times New Roman" w:cs="Times New Roman"/>
          <w:b/>
          <w:lang w:val="lt-LT"/>
        </w:rPr>
      </w:pPr>
    </w:p>
    <w:p w14:paraId="73A30532" w14:textId="77777777" w:rsidR="00DC55CF" w:rsidRPr="00CC52A7" w:rsidRDefault="00DC55CF" w:rsidP="00DC55CF">
      <w:pPr>
        <w:tabs>
          <w:tab w:val="left" w:pos="567"/>
        </w:tabs>
        <w:overflowPunct w:val="0"/>
        <w:autoSpaceDE w:val="0"/>
        <w:autoSpaceDN w:val="0"/>
        <w:adjustRightInd w:val="0"/>
        <w:spacing w:after="0" w:line="240" w:lineRule="auto"/>
        <w:contextualSpacing/>
        <w:jc w:val="both"/>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t>6.6</w:t>
      </w:r>
      <w:r w:rsidRPr="00CC52A7">
        <w:rPr>
          <w:rFonts w:ascii="Times New Roman" w:eastAsia="PMingLiU" w:hAnsi="Times New Roman" w:cs="Times New Roman"/>
          <w:b/>
          <w:lang w:val="lt-LT"/>
        </w:rPr>
        <w:tab/>
        <w:t>Specialūs reikalavimai atliekoms tvarkyti</w:t>
      </w:r>
    </w:p>
    <w:p w14:paraId="73A30533" w14:textId="77777777" w:rsidR="00DC55CF" w:rsidRPr="00CC52A7" w:rsidRDefault="00DC55CF" w:rsidP="00DC55CF">
      <w:pPr>
        <w:overflowPunct w:val="0"/>
        <w:autoSpaceDE w:val="0"/>
        <w:autoSpaceDN w:val="0"/>
        <w:adjustRightInd w:val="0"/>
        <w:spacing w:after="0" w:line="240" w:lineRule="auto"/>
        <w:contextualSpacing/>
        <w:jc w:val="both"/>
        <w:textAlignment w:val="baseline"/>
        <w:rPr>
          <w:rFonts w:ascii="Times New Roman" w:eastAsia="PMingLiU" w:hAnsi="Times New Roman" w:cs="Times New Roman"/>
          <w:lang w:val="lt-LT"/>
        </w:rPr>
      </w:pPr>
    </w:p>
    <w:p w14:paraId="73A30534" w14:textId="77777777" w:rsidR="00DC55CF" w:rsidRPr="00CC52A7" w:rsidRDefault="00DC55CF" w:rsidP="00DC55CF">
      <w:pPr>
        <w:overflowPunct w:val="0"/>
        <w:autoSpaceDE w:val="0"/>
        <w:autoSpaceDN w:val="0"/>
        <w:adjustRightInd w:val="0"/>
        <w:spacing w:after="0" w:line="240" w:lineRule="auto"/>
        <w:contextualSpacing/>
        <w:jc w:val="both"/>
        <w:textAlignment w:val="baseline"/>
        <w:rPr>
          <w:rFonts w:ascii="Times New Roman" w:eastAsia="PMingLiU" w:hAnsi="Times New Roman" w:cs="Times New Roman"/>
          <w:b/>
          <w:lang w:val="lt-LT"/>
        </w:rPr>
      </w:pPr>
      <w:r w:rsidRPr="00CC52A7">
        <w:rPr>
          <w:rFonts w:ascii="Times New Roman" w:eastAsia="PMingLiU" w:hAnsi="Times New Roman" w:cs="Times New Roman"/>
          <w:lang w:val="lt-LT"/>
        </w:rPr>
        <w:t>Specialių reikalavimų nėra.</w:t>
      </w:r>
    </w:p>
    <w:p w14:paraId="73A30535" w14:textId="77777777" w:rsidR="00DC55CF" w:rsidRPr="00CC52A7" w:rsidRDefault="00DC55CF" w:rsidP="00DC55CF">
      <w:pPr>
        <w:overflowPunct w:val="0"/>
        <w:autoSpaceDE w:val="0"/>
        <w:autoSpaceDN w:val="0"/>
        <w:adjustRightInd w:val="0"/>
        <w:spacing w:after="0" w:line="240" w:lineRule="auto"/>
        <w:ind w:left="360" w:hanging="360"/>
        <w:contextualSpacing/>
        <w:jc w:val="both"/>
        <w:textAlignment w:val="baseline"/>
        <w:rPr>
          <w:rFonts w:ascii="Times New Roman" w:eastAsia="PMingLiU" w:hAnsi="Times New Roman" w:cs="Times New Roman"/>
          <w:b/>
          <w:lang w:val="lt-LT"/>
        </w:rPr>
      </w:pPr>
    </w:p>
    <w:p w14:paraId="73A30536" w14:textId="77777777" w:rsidR="00DC55CF" w:rsidRPr="00CC52A7" w:rsidRDefault="00DC55CF" w:rsidP="00DC55CF">
      <w:pPr>
        <w:overflowPunct w:val="0"/>
        <w:autoSpaceDE w:val="0"/>
        <w:autoSpaceDN w:val="0"/>
        <w:adjustRightInd w:val="0"/>
        <w:spacing w:after="0" w:line="240" w:lineRule="auto"/>
        <w:ind w:left="360" w:hanging="360"/>
        <w:contextualSpacing/>
        <w:jc w:val="both"/>
        <w:textAlignment w:val="baseline"/>
        <w:rPr>
          <w:rFonts w:ascii="Times New Roman" w:eastAsia="PMingLiU" w:hAnsi="Times New Roman" w:cs="Times New Roman"/>
          <w:b/>
          <w:lang w:val="lt-LT"/>
        </w:rPr>
      </w:pPr>
    </w:p>
    <w:p w14:paraId="73A30537" w14:textId="77777777" w:rsidR="00DC55CF" w:rsidRPr="00CC52A7" w:rsidRDefault="00DC55CF" w:rsidP="00DC55CF">
      <w:pPr>
        <w:overflowPunct w:val="0"/>
        <w:autoSpaceDE w:val="0"/>
        <w:autoSpaceDN w:val="0"/>
        <w:adjustRightInd w:val="0"/>
        <w:spacing w:after="0" w:line="240" w:lineRule="auto"/>
        <w:ind w:left="567" w:hanging="567"/>
        <w:contextualSpacing/>
        <w:jc w:val="both"/>
        <w:textAlignment w:val="baseline"/>
        <w:rPr>
          <w:rFonts w:ascii="Times New Roman" w:eastAsia="PMingLiU" w:hAnsi="Times New Roman" w:cs="Times New Roman"/>
          <w:lang w:val="lt-LT"/>
        </w:rPr>
      </w:pPr>
      <w:r w:rsidRPr="00CC52A7">
        <w:rPr>
          <w:rFonts w:ascii="Times New Roman" w:eastAsia="PMingLiU" w:hAnsi="Times New Roman" w:cs="Times New Roman"/>
          <w:b/>
          <w:lang w:val="lt-LT"/>
        </w:rPr>
        <w:t>7.</w:t>
      </w:r>
      <w:r w:rsidRPr="00CC52A7">
        <w:rPr>
          <w:rFonts w:ascii="Times New Roman" w:eastAsia="PMingLiU" w:hAnsi="Times New Roman" w:cs="Times New Roman"/>
          <w:b/>
          <w:lang w:val="lt-LT"/>
        </w:rPr>
        <w:tab/>
        <w:t>REGISTRUOTOJAS</w:t>
      </w:r>
    </w:p>
    <w:p w14:paraId="73A30538"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539"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Sandoz d.d.</w:t>
      </w:r>
    </w:p>
    <w:p w14:paraId="73A3053A"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Verovškova 57</w:t>
      </w:r>
    </w:p>
    <w:p w14:paraId="73A3053B"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1000 Ljubljana</w:t>
      </w:r>
    </w:p>
    <w:p w14:paraId="73A3053C"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Slovėnija</w:t>
      </w:r>
    </w:p>
    <w:p w14:paraId="73A3053D"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53E"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53F" w14:textId="77777777" w:rsidR="00DC55CF" w:rsidRPr="00CC52A7" w:rsidRDefault="00DC55CF" w:rsidP="00DC55CF">
      <w:pPr>
        <w:overflowPunct w:val="0"/>
        <w:autoSpaceDE w:val="0"/>
        <w:autoSpaceDN w:val="0"/>
        <w:adjustRightInd w:val="0"/>
        <w:spacing w:after="0" w:line="240" w:lineRule="auto"/>
        <w:ind w:left="567" w:hanging="567"/>
        <w:contextualSpacing/>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t>8.</w:t>
      </w:r>
      <w:r w:rsidRPr="00CC52A7">
        <w:rPr>
          <w:rFonts w:ascii="Times New Roman" w:eastAsia="PMingLiU" w:hAnsi="Times New Roman" w:cs="Times New Roman"/>
          <w:b/>
          <w:lang w:val="lt-LT"/>
        </w:rPr>
        <w:tab/>
        <w:t>REGISTRACIJOS PAŽYMĖJIMO NUMERIS</w:t>
      </w:r>
    </w:p>
    <w:p w14:paraId="73A30540"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541"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LT/1/97/0324/003</w:t>
      </w:r>
    </w:p>
    <w:p w14:paraId="73A30542"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543"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544" w14:textId="77777777" w:rsidR="00DC55CF" w:rsidRPr="00CC52A7" w:rsidRDefault="00DC55CF" w:rsidP="00DC55CF">
      <w:pPr>
        <w:overflowPunct w:val="0"/>
        <w:autoSpaceDE w:val="0"/>
        <w:autoSpaceDN w:val="0"/>
        <w:adjustRightInd w:val="0"/>
        <w:spacing w:after="0" w:line="240" w:lineRule="auto"/>
        <w:ind w:left="567" w:hanging="567"/>
        <w:contextualSpacing/>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t>9.</w:t>
      </w:r>
      <w:r w:rsidRPr="00CC52A7">
        <w:rPr>
          <w:rFonts w:ascii="Times New Roman" w:eastAsia="PMingLiU" w:hAnsi="Times New Roman" w:cs="Times New Roman"/>
          <w:b/>
          <w:lang w:val="lt-LT"/>
        </w:rPr>
        <w:tab/>
        <w:t>REGISTRAVIMO / PERREGISTRAVIMO DATA</w:t>
      </w:r>
    </w:p>
    <w:p w14:paraId="73A30545"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546" w14:textId="77777777" w:rsidR="00DC55CF" w:rsidRPr="00CC52A7" w:rsidRDefault="00DC55CF" w:rsidP="00DC55CF">
      <w:pPr>
        <w:spacing w:after="0" w:line="240" w:lineRule="auto"/>
        <w:contextualSpacing/>
        <w:rPr>
          <w:rFonts w:ascii="Times New Roman" w:eastAsia="PMingLiU" w:hAnsi="Times New Roman" w:cs="Times New Roman"/>
          <w:snapToGrid w:val="0"/>
          <w:lang w:val="lt-LT"/>
        </w:rPr>
      </w:pPr>
      <w:r w:rsidRPr="00CC52A7">
        <w:rPr>
          <w:rFonts w:ascii="Times New Roman" w:eastAsia="PMingLiU" w:hAnsi="Times New Roman" w:cs="Times New Roman"/>
          <w:snapToGrid w:val="0"/>
          <w:lang w:val="lt-LT"/>
        </w:rPr>
        <w:t>Registravimo data 1997</w:t>
      </w:r>
      <w:r w:rsidR="004070A0">
        <w:rPr>
          <w:rFonts w:ascii="Times New Roman" w:eastAsia="PMingLiU" w:hAnsi="Times New Roman" w:cs="Times New Roman"/>
          <w:snapToGrid w:val="0"/>
          <w:lang w:val="lt-LT"/>
        </w:rPr>
        <w:t> </w:t>
      </w:r>
      <w:r w:rsidRPr="00CC52A7">
        <w:rPr>
          <w:rFonts w:ascii="Times New Roman" w:eastAsia="PMingLiU" w:hAnsi="Times New Roman" w:cs="Times New Roman"/>
          <w:snapToGrid w:val="0"/>
          <w:lang w:val="lt-LT"/>
        </w:rPr>
        <w:t>m. gruodžio 22</w:t>
      </w:r>
      <w:r w:rsidR="004070A0">
        <w:rPr>
          <w:rFonts w:ascii="Times New Roman" w:eastAsia="PMingLiU" w:hAnsi="Times New Roman" w:cs="Times New Roman"/>
          <w:snapToGrid w:val="0"/>
          <w:lang w:val="lt-LT"/>
        </w:rPr>
        <w:t> </w:t>
      </w:r>
      <w:r w:rsidRPr="00CC52A7">
        <w:rPr>
          <w:rFonts w:ascii="Times New Roman" w:eastAsia="PMingLiU" w:hAnsi="Times New Roman" w:cs="Times New Roman"/>
          <w:snapToGrid w:val="0"/>
          <w:lang w:val="lt-LT"/>
        </w:rPr>
        <w:t>d.</w:t>
      </w:r>
    </w:p>
    <w:p w14:paraId="73A30547"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snapToGrid w:val="0"/>
          <w:lang w:val="lt-LT"/>
        </w:rPr>
        <w:t xml:space="preserve">Paskutinio perregistravimo data </w:t>
      </w:r>
      <w:r w:rsidRPr="00CC52A7">
        <w:rPr>
          <w:rFonts w:ascii="Times New Roman" w:eastAsia="PMingLiU" w:hAnsi="Times New Roman" w:cs="Times New Roman"/>
          <w:lang w:val="lt-LT"/>
        </w:rPr>
        <w:t>2010 m. balandžio 28 d.</w:t>
      </w:r>
    </w:p>
    <w:p w14:paraId="73A30548"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549"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54A" w14:textId="77777777" w:rsidR="00DC55CF" w:rsidRPr="00CC52A7" w:rsidRDefault="00DC55CF" w:rsidP="00DC55CF">
      <w:pPr>
        <w:overflowPunct w:val="0"/>
        <w:autoSpaceDE w:val="0"/>
        <w:autoSpaceDN w:val="0"/>
        <w:adjustRightInd w:val="0"/>
        <w:spacing w:after="0" w:line="240" w:lineRule="auto"/>
        <w:ind w:left="567" w:hanging="567"/>
        <w:contextualSpacing/>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t>10.</w:t>
      </w:r>
      <w:r w:rsidRPr="00CC52A7">
        <w:rPr>
          <w:rFonts w:ascii="Times New Roman" w:eastAsia="PMingLiU" w:hAnsi="Times New Roman" w:cs="Times New Roman"/>
          <w:lang w:val="lt-LT"/>
        </w:rPr>
        <w:tab/>
      </w:r>
      <w:r w:rsidRPr="00CC52A7">
        <w:rPr>
          <w:rFonts w:ascii="Times New Roman" w:eastAsia="PMingLiU" w:hAnsi="Times New Roman" w:cs="Times New Roman"/>
          <w:b/>
          <w:lang w:val="lt-LT"/>
        </w:rPr>
        <w:t>TEKSTO PERŽIŪROS DATA</w:t>
      </w:r>
    </w:p>
    <w:p w14:paraId="73A3054B"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54C" w14:textId="010FA787" w:rsidR="00DC55CF" w:rsidRPr="00CC52A7" w:rsidRDefault="0084194E" w:rsidP="00DC55CF">
      <w:pPr>
        <w:spacing w:after="0" w:line="240" w:lineRule="auto"/>
        <w:contextualSpacing/>
        <w:rPr>
          <w:rFonts w:ascii="Times New Roman" w:eastAsia="PMingLiU" w:hAnsi="Times New Roman" w:cs="Times New Roman"/>
          <w:lang w:val="lt-LT"/>
        </w:rPr>
      </w:pPr>
      <w:r>
        <w:rPr>
          <w:rFonts w:ascii="Times New Roman" w:eastAsia="PMingLiU" w:hAnsi="Times New Roman" w:cs="Times New Roman"/>
          <w:lang w:val="lt-LT"/>
        </w:rPr>
        <w:t xml:space="preserve">2018 m. liepos </w:t>
      </w:r>
      <w:r w:rsidR="00C01AF9">
        <w:rPr>
          <w:rFonts w:ascii="Times New Roman" w:eastAsia="PMingLiU" w:hAnsi="Times New Roman" w:cs="Times New Roman"/>
          <w:lang w:val="lt-LT"/>
        </w:rPr>
        <w:t>2</w:t>
      </w:r>
      <w:r>
        <w:rPr>
          <w:rFonts w:ascii="Times New Roman" w:eastAsia="PMingLiU" w:hAnsi="Times New Roman" w:cs="Times New Roman"/>
          <w:lang w:val="lt-LT"/>
        </w:rPr>
        <w:t xml:space="preserve"> d.</w:t>
      </w:r>
    </w:p>
    <w:p w14:paraId="73A3054D" w14:textId="77777777" w:rsidR="00DC55CF" w:rsidRPr="00CC52A7" w:rsidRDefault="00DC55CF" w:rsidP="00DC55CF">
      <w:pPr>
        <w:spacing w:after="0" w:line="240" w:lineRule="auto"/>
        <w:contextualSpacing/>
        <w:rPr>
          <w:rFonts w:ascii="Times New Roman" w:eastAsia="PMingLiU" w:hAnsi="Times New Roman" w:cs="Times New Roman"/>
          <w:lang w:val="lt-LT"/>
        </w:rPr>
      </w:pPr>
    </w:p>
    <w:p w14:paraId="73A3054E" w14:textId="77777777" w:rsidR="004070A0" w:rsidRDefault="00DC55CF" w:rsidP="004B69BD">
      <w:pPr>
        <w:spacing w:after="0" w:line="240" w:lineRule="auto"/>
        <w:contextualSpacing/>
        <w:rPr>
          <w:rFonts w:ascii="Times New Roman" w:eastAsia="PMingLiU" w:hAnsi="Times New Roman" w:cs="Times New Roman"/>
          <w:color w:val="0000FF"/>
          <w:u w:val="single"/>
          <w:lang w:val="lt-LT"/>
        </w:rPr>
      </w:pPr>
      <w:r w:rsidRPr="00CC52A7">
        <w:rPr>
          <w:rFonts w:ascii="Times New Roman" w:eastAsia="PMingLiU" w:hAnsi="Times New Roman" w:cs="Times New Roman"/>
          <w:lang w:val="lt-LT"/>
        </w:rPr>
        <w:lastRenderedPageBreak/>
        <w:t>Išsami informacija apie šį vaistinį preparatą pateikiama Valstybinės vaistų kontrolės tarnybos prie Lietuvos Respublikos sveikatos apsaugos ministerijos tinklalapyje</w:t>
      </w:r>
      <w:r w:rsidRPr="00CC52A7">
        <w:rPr>
          <w:rFonts w:ascii="Times New Roman" w:eastAsia="PMingLiU" w:hAnsi="Times New Roman" w:cs="Times New Roman"/>
          <w:i/>
          <w:lang w:val="lt-LT"/>
        </w:rPr>
        <w:t xml:space="preserve"> </w:t>
      </w:r>
      <w:hyperlink r:id="rId15" w:history="1">
        <w:r w:rsidRPr="00CC52A7">
          <w:rPr>
            <w:rFonts w:ascii="Times New Roman" w:eastAsia="PMingLiU" w:hAnsi="Times New Roman" w:cs="Times New Roman"/>
            <w:color w:val="0000FF"/>
            <w:u w:val="single"/>
            <w:lang w:val="lt-LT"/>
          </w:rPr>
          <w:t>http://www.vvkt.lt/</w:t>
        </w:r>
      </w:hyperlink>
      <w:r w:rsidR="004070A0">
        <w:rPr>
          <w:rFonts w:ascii="Times New Roman" w:eastAsia="PMingLiU" w:hAnsi="Times New Roman" w:cs="Times New Roman"/>
          <w:color w:val="0000FF"/>
          <w:u w:val="single"/>
          <w:lang w:val="lt-LT"/>
        </w:rPr>
        <w:br w:type="page"/>
      </w:r>
    </w:p>
    <w:p w14:paraId="73A3054F" w14:textId="77777777" w:rsidR="00DC55CF" w:rsidRPr="00CC52A7" w:rsidRDefault="00DC55CF" w:rsidP="00DC55CF">
      <w:pPr>
        <w:spacing w:after="0" w:line="240" w:lineRule="auto"/>
        <w:contextualSpacing/>
        <w:rPr>
          <w:rFonts w:ascii="Times New Roman" w:eastAsia="PMingLiU" w:hAnsi="Times New Roman" w:cs="Times New Roman"/>
          <w:color w:val="0000FF"/>
          <w:lang w:val="lt-LT"/>
        </w:rPr>
      </w:pPr>
    </w:p>
    <w:p w14:paraId="73A30550" w14:textId="77777777" w:rsidR="00DC55CF" w:rsidRPr="00CC52A7" w:rsidRDefault="00DC55CF" w:rsidP="00DC55CF">
      <w:pPr>
        <w:spacing w:after="0" w:line="240" w:lineRule="auto"/>
        <w:contextualSpacing/>
        <w:rPr>
          <w:rFonts w:ascii="Times New Roman" w:eastAsia="PMingLiU" w:hAnsi="Times New Roman" w:cs="Times New Roman"/>
          <w:lang w:val="lt-LT"/>
        </w:rPr>
      </w:pPr>
    </w:p>
    <w:p w14:paraId="73A30551" w14:textId="77777777" w:rsidR="00DC55CF" w:rsidRPr="00CC52A7" w:rsidRDefault="00DC55CF" w:rsidP="00DC55CF">
      <w:pPr>
        <w:spacing w:after="0" w:line="240" w:lineRule="auto"/>
        <w:contextualSpacing/>
        <w:rPr>
          <w:rFonts w:ascii="Times New Roman" w:eastAsia="PMingLiU" w:hAnsi="Times New Roman" w:cs="Times New Roman"/>
          <w:lang w:val="lt-LT"/>
        </w:rPr>
      </w:pPr>
    </w:p>
    <w:p w14:paraId="73A30552" w14:textId="77777777" w:rsidR="00DC55CF" w:rsidRPr="00CC52A7" w:rsidRDefault="00DC55CF" w:rsidP="00DC55CF">
      <w:pPr>
        <w:spacing w:after="0" w:line="240" w:lineRule="auto"/>
        <w:contextualSpacing/>
        <w:jc w:val="center"/>
        <w:outlineLvl w:val="0"/>
        <w:rPr>
          <w:rFonts w:ascii="Times New Roman" w:eastAsia="PMingLiU" w:hAnsi="Times New Roman" w:cs="Times New Roman"/>
          <w:b/>
          <w:bCs/>
          <w:kern w:val="28"/>
          <w:lang w:val="lt-LT"/>
        </w:rPr>
      </w:pPr>
    </w:p>
    <w:p w14:paraId="73A30553" w14:textId="77777777" w:rsidR="00DC55CF" w:rsidRPr="00CC52A7" w:rsidRDefault="00DC55CF" w:rsidP="00DC55CF">
      <w:pPr>
        <w:spacing w:after="0" w:line="240" w:lineRule="auto"/>
        <w:contextualSpacing/>
        <w:jc w:val="center"/>
        <w:outlineLvl w:val="0"/>
        <w:rPr>
          <w:rFonts w:ascii="Times New Roman" w:eastAsia="PMingLiU" w:hAnsi="Times New Roman" w:cs="Times New Roman"/>
          <w:b/>
          <w:bCs/>
          <w:kern w:val="28"/>
          <w:lang w:val="lt-LT"/>
        </w:rPr>
      </w:pPr>
    </w:p>
    <w:p w14:paraId="73A30554" w14:textId="77777777" w:rsidR="00DC55CF" w:rsidRPr="00CC52A7" w:rsidRDefault="00DC55CF" w:rsidP="00DC55CF">
      <w:pPr>
        <w:spacing w:after="0" w:line="240" w:lineRule="auto"/>
        <w:contextualSpacing/>
        <w:jc w:val="center"/>
        <w:outlineLvl w:val="0"/>
        <w:rPr>
          <w:rFonts w:ascii="Times New Roman" w:eastAsia="PMingLiU" w:hAnsi="Times New Roman" w:cs="Times New Roman"/>
          <w:b/>
          <w:bCs/>
          <w:kern w:val="28"/>
          <w:lang w:val="lt-LT"/>
        </w:rPr>
      </w:pPr>
    </w:p>
    <w:p w14:paraId="73A30555" w14:textId="77777777" w:rsidR="00DC55CF" w:rsidRPr="00CC52A7" w:rsidRDefault="00DC55CF" w:rsidP="00DC55CF">
      <w:pPr>
        <w:spacing w:after="0" w:line="240" w:lineRule="auto"/>
        <w:contextualSpacing/>
        <w:jc w:val="center"/>
        <w:outlineLvl w:val="0"/>
        <w:rPr>
          <w:rFonts w:ascii="Times New Roman" w:eastAsia="PMingLiU" w:hAnsi="Times New Roman" w:cs="Times New Roman"/>
          <w:b/>
          <w:bCs/>
          <w:kern w:val="28"/>
          <w:lang w:val="lt-LT"/>
        </w:rPr>
      </w:pPr>
    </w:p>
    <w:p w14:paraId="73A30556" w14:textId="77777777" w:rsidR="00DC55CF" w:rsidRPr="00CC52A7" w:rsidRDefault="00DC55CF" w:rsidP="00DC55CF">
      <w:pPr>
        <w:spacing w:after="0" w:line="240" w:lineRule="auto"/>
        <w:contextualSpacing/>
        <w:jc w:val="center"/>
        <w:outlineLvl w:val="0"/>
        <w:rPr>
          <w:rFonts w:ascii="Times New Roman" w:eastAsia="PMingLiU" w:hAnsi="Times New Roman" w:cs="Times New Roman"/>
          <w:b/>
          <w:bCs/>
          <w:kern w:val="28"/>
          <w:lang w:val="lt-LT"/>
        </w:rPr>
      </w:pPr>
    </w:p>
    <w:p w14:paraId="73A30557" w14:textId="77777777" w:rsidR="00DC55CF" w:rsidRPr="00CC52A7" w:rsidRDefault="00DC55CF" w:rsidP="00DC55CF">
      <w:pPr>
        <w:spacing w:after="0" w:line="240" w:lineRule="auto"/>
        <w:contextualSpacing/>
        <w:jc w:val="center"/>
        <w:outlineLvl w:val="0"/>
        <w:rPr>
          <w:rFonts w:ascii="Times New Roman" w:eastAsia="PMingLiU" w:hAnsi="Times New Roman" w:cs="Times New Roman"/>
          <w:b/>
          <w:bCs/>
          <w:kern w:val="28"/>
          <w:lang w:val="lt-LT"/>
        </w:rPr>
      </w:pPr>
    </w:p>
    <w:p w14:paraId="73A30558" w14:textId="77777777" w:rsidR="00DC55CF" w:rsidRPr="00CC52A7" w:rsidRDefault="00DC55CF" w:rsidP="00DC55CF">
      <w:pPr>
        <w:spacing w:after="0" w:line="240" w:lineRule="auto"/>
        <w:contextualSpacing/>
        <w:jc w:val="center"/>
        <w:outlineLvl w:val="0"/>
        <w:rPr>
          <w:rFonts w:ascii="Times New Roman" w:eastAsia="PMingLiU" w:hAnsi="Times New Roman" w:cs="Times New Roman"/>
          <w:b/>
          <w:bCs/>
          <w:kern w:val="28"/>
          <w:lang w:val="lt-LT"/>
        </w:rPr>
      </w:pPr>
    </w:p>
    <w:p w14:paraId="73A30559" w14:textId="77777777" w:rsidR="00DC55CF" w:rsidRPr="00CC52A7" w:rsidRDefault="00DC55CF" w:rsidP="00DC55CF">
      <w:pPr>
        <w:spacing w:after="0" w:line="240" w:lineRule="auto"/>
        <w:contextualSpacing/>
        <w:jc w:val="center"/>
        <w:outlineLvl w:val="0"/>
        <w:rPr>
          <w:rFonts w:ascii="Times New Roman" w:eastAsia="PMingLiU" w:hAnsi="Times New Roman" w:cs="Times New Roman"/>
          <w:b/>
          <w:bCs/>
          <w:kern w:val="28"/>
          <w:lang w:val="lt-LT"/>
        </w:rPr>
      </w:pPr>
    </w:p>
    <w:p w14:paraId="73A3055A" w14:textId="77777777" w:rsidR="00DC55CF" w:rsidRPr="00CC52A7" w:rsidRDefault="00DC55CF" w:rsidP="00DC55CF">
      <w:pPr>
        <w:spacing w:after="0" w:line="240" w:lineRule="auto"/>
        <w:contextualSpacing/>
        <w:jc w:val="center"/>
        <w:outlineLvl w:val="0"/>
        <w:rPr>
          <w:rFonts w:ascii="Times New Roman" w:eastAsia="PMingLiU" w:hAnsi="Times New Roman" w:cs="Times New Roman"/>
          <w:b/>
          <w:bCs/>
          <w:kern w:val="28"/>
          <w:lang w:val="lt-LT"/>
        </w:rPr>
      </w:pPr>
    </w:p>
    <w:p w14:paraId="73A3055B" w14:textId="77777777" w:rsidR="00DC55CF" w:rsidRPr="00CC52A7" w:rsidRDefault="00DC55CF" w:rsidP="00DC55CF">
      <w:pPr>
        <w:spacing w:after="0" w:line="240" w:lineRule="auto"/>
        <w:contextualSpacing/>
        <w:jc w:val="center"/>
        <w:outlineLvl w:val="0"/>
        <w:rPr>
          <w:rFonts w:ascii="Times New Roman" w:eastAsia="PMingLiU" w:hAnsi="Times New Roman" w:cs="Times New Roman"/>
          <w:b/>
          <w:bCs/>
          <w:kern w:val="28"/>
          <w:lang w:val="lt-LT"/>
        </w:rPr>
      </w:pPr>
    </w:p>
    <w:p w14:paraId="73A3055C" w14:textId="77777777" w:rsidR="00DC55CF" w:rsidRPr="00CC52A7" w:rsidRDefault="00DC55CF" w:rsidP="00DC55CF">
      <w:pPr>
        <w:spacing w:after="0" w:line="240" w:lineRule="auto"/>
        <w:contextualSpacing/>
        <w:jc w:val="center"/>
        <w:outlineLvl w:val="0"/>
        <w:rPr>
          <w:rFonts w:ascii="Times New Roman" w:eastAsia="PMingLiU" w:hAnsi="Times New Roman" w:cs="Times New Roman"/>
          <w:b/>
          <w:bCs/>
          <w:kern w:val="28"/>
          <w:lang w:val="lt-LT"/>
        </w:rPr>
      </w:pPr>
    </w:p>
    <w:p w14:paraId="73A3055D" w14:textId="77777777" w:rsidR="00DC55CF" w:rsidRPr="00CC52A7" w:rsidRDefault="00DC55CF" w:rsidP="00DC55CF">
      <w:pPr>
        <w:spacing w:after="0" w:line="240" w:lineRule="auto"/>
        <w:contextualSpacing/>
        <w:jc w:val="center"/>
        <w:outlineLvl w:val="0"/>
        <w:rPr>
          <w:rFonts w:ascii="Times New Roman" w:eastAsia="PMingLiU" w:hAnsi="Times New Roman" w:cs="Times New Roman"/>
          <w:b/>
          <w:bCs/>
          <w:kern w:val="28"/>
          <w:lang w:val="lt-LT"/>
        </w:rPr>
      </w:pPr>
    </w:p>
    <w:p w14:paraId="73A3055E" w14:textId="77777777" w:rsidR="00DC55CF" w:rsidRPr="00CC52A7" w:rsidRDefault="00DC55CF" w:rsidP="00DC55CF">
      <w:pPr>
        <w:spacing w:after="0" w:line="240" w:lineRule="auto"/>
        <w:contextualSpacing/>
        <w:jc w:val="center"/>
        <w:outlineLvl w:val="0"/>
        <w:rPr>
          <w:rFonts w:ascii="Times New Roman" w:eastAsia="PMingLiU" w:hAnsi="Times New Roman" w:cs="Times New Roman"/>
          <w:b/>
          <w:bCs/>
          <w:kern w:val="28"/>
          <w:lang w:val="lt-LT"/>
        </w:rPr>
      </w:pPr>
    </w:p>
    <w:p w14:paraId="73A3055F" w14:textId="77777777" w:rsidR="00DC55CF" w:rsidRPr="00CC52A7" w:rsidRDefault="00DC55CF" w:rsidP="00DC55CF">
      <w:pPr>
        <w:spacing w:after="0" w:line="240" w:lineRule="auto"/>
        <w:contextualSpacing/>
        <w:jc w:val="center"/>
        <w:outlineLvl w:val="0"/>
        <w:rPr>
          <w:rFonts w:ascii="Times New Roman" w:eastAsia="PMingLiU" w:hAnsi="Times New Roman" w:cs="Times New Roman"/>
          <w:b/>
          <w:bCs/>
          <w:kern w:val="28"/>
          <w:lang w:val="lt-LT"/>
        </w:rPr>
      </w:pPr>
    </w:p>
    <w:p w14:paraId="73A30560" w14:textId="77777777" w:rsidR="00DC55CF" w:rsidRPr="00CC52A7" w:rsidRDefault="00DC55CF" w:rsidP="00DC55CF">
      <w:pPr>
        <w:spacing w:after="0" w:line="240" w:lineRule="auto"/>
        <w:contextualSpacing/>
        <w:jc w:val="center"/>
        <w:outlineLvl w:val="0"/>
        <w:rPr>
          <w:rFonts w:ascii="Times New Roman" w:eastAsia="PMingLiU" w:hAnsi="Times New Roman" w:cs="Times New Roman"/>
          <w:b/>
          <w:bCs/>
          <w:kern w:val="28"/>
          <w:lang w:val="lt-LT"/>
        </w:rPr>
      </w:pPr>
    </w:p>
    <w:p w14:paraId="73A30561" w14:textId="77777777" w:rsidR="00DC55CF" w:rsidRPr="00CC52A7" w:rsidRDefault="00DC55CF" w:rsidP="00DC55CF">
      <w:pPr>
        <w:spacing w:after="0" w:line="240" w:lineRule="auto"/>
        <w:ind w:left="993"/>
        <w:contextualSpacing/>
        <w:jc w:val="center"/>
        <w:outlineLvl w:val="0"/>
        <w:rPr>
          <w:rFonts w:ascii="Times New Roman" w:eastAsia="PMingLiU" w:hAnsi="Times New Roman" w:cs="Times New Roman"/>
          <w:b/>
          <w:bCs/>
          <w:kern w:val="28"/>
          <w:lang w:val="lt-LT"/>
        </w:rPr>
      </w:pPr>
    </w:p>
    <w:p w14:paraId="73A30562" w14:textId="77777777" w:rsidR="00DC55CF" w:rsidRPr="00CC52A7" w:rsidRDefault="00DC55CF" w:rsidP="00DC55CF">
      <w:pPr>
        <w:spacing w:after="0" w:line="240" w:lineRule="auto"/>
        <w:contextualSpacing/>
        <w:jc w:val="center"/>
        <w:outlineLvl w:val="0"/>
        <w:rPr>
          <w:rFonts w:ascii="Times New Roman" w:eastAsia="PMingLiU" w:hAnsi="Times New Roman" w:cs="Times New Roman"/>
          <w:b/>
          <w:bCs/>
          <w:kern w:val="28"/>
          <w:lang w:val="lt-LT"/>
        </w:rPr>
      </w:pPr>
    </w:p>
    <w:p w14:paraId="73A30563" w14:textId="77777777" w:rsidR="00DC55CF" w:rsidRPr="00CC52A7" w:rsidRDefault="00DC55CF" w:rsidP="00DC55CF">
      <w:pPr>
        <w:spacing w:after="0" w:line="240" w:lineRule="auto"/>
        <w:contextualSpacing/>
        <w:jc w:val="center"/>
        <w:outlineLvl w:val="0"/>
        <w:rPr>
          <w:rFonts w:ascii="Times New Roman" w:eastAsia="PMingLiU" w:hAnsi="Times New Roman" w:cs="Times New Roman"/>
          <w:b/>
          <w:bCs/>
          <w:kern w:val="28"/>
          <w:lang w:val="lt-LT"/>
        </w:rPr>
      </w:pPr>
    </w:p>
    <w:p w14:paraId="73A30564" w14:textId="77777777" w:rsidR="00DC55CF" w:rsidRPr="00CC52A7" w:rsidRDefault="00DC55CF" w:rsidP="00DC55CF">
      <w:pPr>
        <w:spacing w:after="0" w:line="240" w:lineRule="auto"/>
        <w:contextualSpacing/>
        <w:jc w:val="center"/>
        <w:outlineLvl w:val="0"/>
        <w:rPr>
          <w:rFonts w:ascii="Times New Roman" w:eastAsia="PMingLiU" w:hAnsi="Times New Roman" w:cs="Times New Roman"/>
          <w:b/>
          <w:bCs/>
          <w:kern w:val="28"/>
          <w:lang w:val="lt-LT"/>
        </w:rPr>
      </w:pPr>
    </w:p>
    <w:p w14:paraId="73A30565" w14:textId="77777777" w:rsidR="00DC55CF" w:rsidRPr="00CC52A7" w:rsidRDefault="00DC55CF" w:rsidP="00DC55CF">
      <w:pPr>
        <w:spacing w:after="0" w:line="240" w:lineRule="auto"/>
        <w:contextualSpacing/>
        <w:jc w:val="center"/>
        <w:outlineLvl w:val="0"/>
        <w:rPr>
          <w:rFonts w:ascii="Times New Roman" w:eastAsia="PMingLiU" w:hAnsi="Times New Roman" w:cs="Times New Roman"/>
          <w:b/>
          <w:bCs/>
          <w:kern w:val="28"/>
          <w:lang w:val="lt-LT"/>
        </w:rPr>
      </w:pPr>
    </w:p>
    <w:p w14:paraId="73A30566" w14:textId="77777777" w:rsidR="00DC55CF" w:rsidRPr="00CC52A7" w:rsidRDefault="00DC55CF" w:rsidP="00DC55CF">
      <w:pPr>
        <w:spacing w:after="0" w:line="240" w:lineRule="auto"/>
        <w:contextualSpacing/>
        <w:jc w:val="center"/>
        <w:outlineLvl w:val="0"/>
        <w:rPr>
          <w:rFonts w:ascii="Times New Roman" w:eastAsia="PMingLiU" w:hAnsi="Times New Roman" w:cs="Times New Roman"/>
          <w:b/>
          <w:bCs/>
          <w:kern w:val="28"/>
          <w:lang w:val="lt-LT"/>
        </w:rPr>
      </w:pPr>
    </w:p>
    <w:p w14:paraId="73A30567" w14:textId="77777777" w:rsidR="00DC55CF" w:rsidRPr="00CC52A7" w:rsidRDefault="00DC55CF" w:rsidP="00DC55CF">
      <w:pPr>
        <w:spacing w:after="0" w:line="240" w:lineRule="auto"/>
        <w:contextualSpacing/>
        <w:jc w:val="center"/>
        <w:outlineLvl w:val="0"/>
        <w:rPr>
          <w:rFonts w:ascii="Times New Roman" w:eastAsia="PMingLiU" w:hAnsi="Times New Roman" w:cs="Times New Roman"/>
          <w:b/>
          <w:bCs/>
          <w:kern w:val="28"/>
          <w:lang w:val="lt-LT"/>
        </w:rPr>
      </w:pPr>
      <w:r w:rsidRPr="00CC52A7">
        <w:rPr>
          <w:rFonts w:ascii="Times New Roman" w:eastAsia="PMingLiU" w:hAnsi="Times New Roman" w:cs="Times New Roman"/>
          <w:b/>
          <w:bCs/>
          <w:kern w:val="28"/>
          <w:lang w:val="lt-LT"/>
        </w:rPr>
        <w:t>II PRIEDAS</w:t>
      </w:r>
    </w:p>
    <w:p w14:paraId="73A30568" w14:textId="77777777" w:rsidR="00DC55CF" w:rsidRPr="00CC52A7" w:rsidRDefault="00DC55CF" w:rsidP="00DC55CF">
      <w:pPr>
        <w:spacing w:after="0" w:line="240" w:lineRule="auto"/>
        <w:contextualSpacing/>
        <w:jc w:val="center"/>
        <w:outlineLvl w:val="0"/>
        <w:rPr>
          <w:rFonts w:ascii="Times New Roman" w:eastAsia="PMingLiU" w:hAnsi="Times New Roman" w:cs="Times New Roman"/>
          <w:b/>
          <w:bCs/>
          <w:kern w:val="28"/>
          <w:lang w:val="lt-LT"/>
        </w:rPr>
      </w:pPr>
    </w:p>
    <w:p w14:paraId="73A30569" w14:textId="77777777" w:rsidR="00DC55CF" w:rsidRPr="00CC52A7" w:rsidRDefault="00DC55CF" w:rsidP="00DC55CF">
      <w:pPr>
        <w:overflowPunct w:val="0"/>
        <w:autoSpaceDE w:val="0"/>
        <w:autoSpaceDN w:val="0"/>
        <w:adjustRightInd w:val="0"/>
        <w:spacing w:after="0" w:line="240" w:lineRule="auto"/>
        <w:contextualSpacing/>
        <w:jc w:val="center"/>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t>REGISTRACIJOS SĄLYGOS</w:t>
      </w:r>
    </w:p>
    <w:p w14:paraId="73A3056A" w14:textId="77777777" w:rsidR="00CC52A7" w:rsidRPr="00CC52A7" w:rsidRDefault="00CC52A7" w:rsidP="00DC55CF">
      <w:pPr>
        <w:overflowPunct w:val="0"/>
        <w:autoSpaceDE w:val="0"/>
        <w:autoSpaceDN w:val="0"/>
        <w:adjustRightInd w:val="0"/>
        <w:spacing w:after="0" w:line="240" w:lineRule="auto"/>
        <w:contextualSpacing/>
        <w:jc w:val="center"/>
        <w:textAlignment w:val="baseline"/>
        <w:rPr>
          <w:rFonts w:ascii="Times New Roman" w:eastAsia="PMingLiU" w:hAnsi="Times New Roman" w:cs="Times New Roman"/>
          <w:b/>
          <w:lang w:val="lt-LT"/>
        </w:rPr>
      </w:pPr>
    </w:p>
    <w:p w14:paraId="73A3056B" w14:textId="77777777" w:rsidR="00DC55CF" w:rsidRPr="00CC52A7" w:rsidRDefault="00DC55CF" w:rsidP="00DC55CF">
      <w:pPr>
        <w:keepNext/>
        <w:overflowPunct w:val="0"/>
        <w:autoSpaceDE w:val="0"/>
        <w:autoSpaceDN w:val="0"/>
        <w:adjustRightInd w:val="0"/>
        <w:spacing w:after="0" w:line="240" w:lineRule="auto"/>
        <w:ind w:left="993"/>
        <w:contextualSpacing/>
        <w:textAlignment w:val="baseline"/>
        <w:outlineLvl w:val="0"/>
        <w:rPr>
          <w:rFonts w:ascii="Times New Roman" w:eastAsia="PMingLiU" w:hAnsi="Times New Roman" w:cs="Times New Roman"/>
          <w:b/>
          <w:iCs/>
          <w:lang w:val="lt-LT"/>
        </w:rPr>
      </w:pPr>
      <w:r w:rsidRPr="00CC52A7">
        <w:rPr>
          <w:rFonts w:ascii="Times New Roman" w:eastAsia="PMingLiU" w:hAnsi="Times New Roman" w:cs="Times New Roman"/>
          <w:b/>
          <w:iCs/>
          <w:lang w:val="lt-LT"/>
        </w:rPr>
        <w:t>A.</w:t>
      </w:r>
      <w:r w:rsidRPr="00CC52A7">
        <w:rPr>
          <w:rFonts w:ascii="Times New Roman" w:eastAsia="PMingLiU" w:hAnsi="Times New Roman" w:cs="Times New Roman"/>
          <w:b/>
          <w:iCs/>
          <w:lang w:val="lt-LT"/>
        </w:rPr>
        <w:tab/>
        <w:t>GAMINTOJAS (-AI), ATSAKINGAS (-I) UŽ SERIJŲ IŠLEIDIMĄ</w:t>
      </w:r>
    </w:p>
    <w:p w14:paraId="73A3056C" w14:textId="77777777" w:rsidR="00DC55CF" w:rsidRPr="00CC52A7" w:rsidRDefault="00DC55CF" w:rsidP="00DC55CF">
      <w:pPr>
        <w:overflowPunct w:val="0"/>
        <w:autoSpaceDE w:val="0"/>
        <w:autoSpaceDN w:val="0"/>
        <w:adjustRightInd w:val="0"/>
        <w:spacing w:after="0" w:line="240" w:lineRule="auto"/>
        <w:contextualSpacing/>
        <w:jc w:val="both"/>
        <w:textAlignment w:val="baseline"/>
        <w:rPr>
          <w:rFonts w:ascii="Times New Roman" w:eastAsia="PMingLiU" w:hAnsi="Times New Roman" w:cs="Times New Roman"/>
          <w:b/>
          <w:lang w:val="lt-LT"/>
        </w:rPr>
      </w:pPr>
    </w:p>
    <w:p w14:paraId="73A3056D" w14:textId="77777777" w:rsidR="00DC55CF" w:rsidRPr="00CC52A7" w:rsidRDefault="00DC55CF" w:rsidP="00DC55CF">
      <w:pPr>
        <w:keepNext/>
        <w:overflowPunct w:val="0"/>
        <w:autoSpaceDE w:val="0"/>
        <w:autoSpaceDN w:val="0"/>
        <w:adjustRightInd w:val="0"/>
        <w:spacing w:after="0" w:line="240" w:lineRule="auto"/>
        <w:ind w:left="993"/>
        <w:contextualSpacing/>
        <w:textAlignment w:val="baseline"/>
        <w:outlineLvl w:val="0"/>
        <w:rPr>
          <w:rFonts w:ascii="Times New Roman" w:eastAsia="PMingLiU" w:hAnsi="Times New Roman" w:cs="Times New Roman"/>
          <w:b/>
          <w:iCs/>
          <w:lang w:val="lt-LT"/>
        </w:rPr>
      </w:pPr>
      <w:r w:rsidRPr="00CC52A7">
        <w:rPr>
          <w:rFonts w:ascii="Times New Roman" w:eastAsia="PMingLiU" w:hAnsi="Times New Roman" w:cs="Times New Roman"/>
          <w:b/>
          <w:iCs/>
          <w:lang w:val="lt-LT"/>
        </w:rPr>
        <w:t>B.</w:t>
      </w:r>
      <w:r w:rsidRPr="00CC52A7">
        <w:rPr>
          <w:rFonts w:ascii="Times New Roman" w:eastAsia="PMingLiU" w:hAnsi="Times New Roman" w:cs="Times New Roman"/>
          <w:b/>
          <w:iCs/>
          <w:lang w:val="lt-LT"/>
        </w:rPr>
        <w:tab/>
        <w:t>TIEKIMO IR VARTOJIMO SĄLYGOS AR APRIBOJIMAI</w:t>
      </w:r>
    </w:p>
    <w:p w14:paraId="73A3056E"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56F"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br w:type="page"/>
      </w:r>
    </w:p>
    <w:p w14:paraId="73A30570" w14:textId="77777777" w:rsidR="00DC55CF" w:rsidRPr="00CC52A7" w:rsidRDefault="00DC55CF" w:rsidP="00DC55CF">
      <w:pPr>
        <w:tabs>
          <w:tab w:val="left" w:pos="567"/>
        </w:tabs>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lastRenderedPageBreak/>
        <w:t xml:space="preserve">A. </w:t>
      </w:r>
      <w:r w:rsidRPr="00CC52A7">
        <w:rPr>
          <w:rFonts w:ascii="Times New Roman" w:eastAsia="PMingLiU" w:hAnsi="Times New Roman" w:cs="Times New Roman"/>
          <w:b/>
          <w:lang w:val="lt-LT"/>
        </w:rPr>
        <w:tab/>
        <w:t>GAMINTOJAS (-AI), ATSAKINGAS (-I) UŽ SERIJŲ IŠLEIDIMĄ</w:t>
      </w:r>
    </w:p>
    <w:p w14:paraId="73A30571"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572"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u w:val="single"/>
          <w:lang w:val="lt-LT"/>
        </w:rPr>
      </w:pPr>
      <w:r w:rsidRPr="00CC52A7">
        <w:rPr>
          <w:rFonts w:ascii="Times New Roman" w:eastAsia="PMingLiU" w:hAnsi="Times New Roman" w:cs="Times New Roman"/>
          <w:u w:val="single"/>
          <w:lang w:val="lt-LT"/>
        </w:rPr>
        <w:t>Gamintojo, atsakingo už serijų išleidimą, pavadinimas ir adresas</w:t>
      </w:r>
    </w:p>
    <w:p w14:paraId="73A30573"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574"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Salutas Pharma GmbH </w:t>
      </w:r>
    </w:p>
    <w:p w14:paraId="73A30575"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Otto-von-Guericke-Alee 1</w:t>
      </w:r>
    </w:p>
    <w:p w14:paraId="73A30576"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D-39179 Barleben</w:t>
      </w:r>
    </w:p>
    <w:p w14:paraId="73A30577"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Vokietija</w:t>
      </w:r>
    </w:p>
    <w:p w14:paraId="73A30578"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579"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57A" w14:textId="77777777" w:rsidR="00DC55CF" w:rsidRPr="00CC52A7" w:rsidRDefault="00DC55CF" w:rsidP="00DC55CF">
      <w:pPr>
        <w:tabs>
          <w:tab w:val="left" w:pos="567"/>
        </w:tabs>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t>B.</w:t>
      </w:r>
      <w:r w:rsidRPr="00CC52A7">
        <w:rPr>
          <w:rFonts w:ascii="Times New Roman" w:eastAsia="PMingLiU" w:hAnsi="Times New Roman" w:cs="Times New Roman"/>
          <w:b/>
          <w:lang w:val="lt-LT"/>
        </w:rPr>
        <w:tab/>
        <w:t>TIEKIMO IR VARTOJIMO SĄLYGOS AR APRIBOJIMAI</w:t>
      </w:r>
    </w:p>
    <w:p w14:paraId="73A3057B"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57C"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Receptinis vaistinis preparatas.</w:t>
      </w:r>
    </w:p>
    <w:p w14:paraId="73A3057D"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57E" w14:textId="77777777" w:rsidR="00DC55CF" w:rsidRPr="00CC52A7" w:rsidRDefault="00DC55CF" w:rsidP="00DC55CF">
      <w:pPr>
        <w:spacing w:after="0" w:line="240" w:lineRule="auto"/>
        <w:contextualSpacing/>
        <w:rPr>
          <w:rFonts w:ascii="Times New Roman" w:eastAsia="PMingLiU" w:hAnsi="Times New Roman" w:cs="Times New Roman"/>
          <w:lang w:val="lt-LT"/>
        </w:rPr>
      </w:pPr>
      <w:r w:rsidRPr="00CC52A7">
        <w:rPr>
          <w:rFonts w:ascii="Times New Roman" w:eastAsia="PMingLiU" w:hAnsi="Times New Roman" w:cs="Times New Roman"/>
          <w:lang w:val="lt-LT"/>
        </w:rPr>
        <w:br w:type="page"/>
      </w:r>
    </w:p>
    <w:p w14:paraId="73A3057F" w14:textId="77777777" w:rsidR="00DC55CF" w:rsidRPr="00CC52A7" w:rsidRDefault="00DC55CF" w:rsidP="00DC55CF">
      <w:pPr>
        <w:spacing w:after="0" w:line="240" w:lineRule="auto"/>
        <w:contextualSpacing/>
        <w:jc w:val="center"/>
        <w:outlineLvl w:val="0"/>
        <w:rPr>
          <w:rFonts w:ascii="Times New Roman" w:eastAsia="PMingLiU" w:hAnsi="Times New Roman" w:cs="Times New Roman"/>
          <w:b/>
          <w:bCs/>
          <w:kern w:val="28"/>
          <w:lang w:val="lt-LT"/>
        </w:rPr>
      </w:pPr>
    </w:p>
    <w:p w14:paraId="73A30580" w14:textId="77777777" w:rsidR="00DC55CF" w:rsidRPr="00CC52A7" w:rsidRDefault="00DC55CF" w:rsidP="00DC55CF">
      <w:pPr>
        <w:spacing w:after="0" w:line="240" w:lineRule="auto"/>
        <w:contextualSpacing/>
        <w:jc w:val="center"/>
        <w:outlineLvl w:val="0"/>
        <w:rPr>
          <w:rFonts w:ascii="Times New Roman" w:eastAsia="PMingLiU" w:hAnsi="Times New Roman" w:cs="Times New Roman"/>
          <w:b/>
          <w:bCs/>
          <w:kern w:val="28"/>
          <w:lang w:val="lt-LT"/>
        </w:rPr>
      </w:pPr>
    </w:p>
    <w:p w14:paraId="73A30581" w14:textId="77777777" w:rsidR="00DC55CF" w:rsidRPr="00CC52A7" w:rsidRDefault="00DC55CF" w:rsidP="00DC55CF">
      <w:pPr>
        <w:spacing w:after="0" w:line="240" w:lineRule="auto"/>
        <w:contextualSpacing/>
        <w:jc w:val="center"/>
        <w:outlineLvl w:val="0"/>
        <w:rPr>
          <w:rFonts w:ascii="Times New Roman" w:eastAsia="PMingLiU" w:hAnsi="Times New Roman" w:cs="Times New Roman"/>
          <w:b/>
          <w:bCs/>
          <w:kern w:val="28"/>
          <w:lang w:val="lt-LT"/>
        </w:rPr>
      </w:pPr>
    </w:p>
    <w:p w14:paraId="73A30582" w14:textId="77777777" w:rsidR="00DC55CF" w:rsidRPr="00CC52A7" w:rsidRDefault="00DC55CF" w:rsidP="00DC55CF">
      <w:pPr>
        <w:spacing w:after="0" w:line="240" w:lineRule="auto"/>
        <w:contextualSpacing/>
        <w:jc w:val="center"/>
        <w:outlineLvl w:val="0"/>
        <w:rPr>
          <w:rFonts w:ascii="Times New Roman" w:eastAsia="PMingLiU" w:hAnsi="Times New Roman" w:cs="Times New Roman"/>
          <w:b/>
          <w:bCs/>
          <w:kern w:val="28"/>
          <w:lang w:val="lt-LT"/>
        </w:rPr>
      </w:pPr>
    </w:p>
    <w:p w14:paraId="73A30583" w14:textId="77777777" w:rsidR="00DC55CF" w:rsidRPr="00CC52A7" w:rsidRDefault="00DC55CF" w:rsidP="00DC55CF">
      <w:pPr>
        <w:spacing w:after="0" w:line="240" w:lineRule="auto"/>
        <w:contextualSpacing/>
        <w:jc w:val="center"/>
        <w:outlineLvl w:val="0"/>
        <w:rPr>
          <w:rFonts w:ascii="Times New Roman" w:eastAsia="PMingLiU" w:hAnsi="Times New Roman" w:cs="Times New Roman"/>
          <w:b/>
          <w:bCs/>
          <w:kern w:val="28"/>
          <w:lang w:val="lt-LT"/>
        </w:rPr>
      </w:pPr>
    </w:p>
    <w:p w14:paraId="73A30584" w14:textId="77777777" w:rsidR="00DC55CF" w:rsidRPr="00CC52A7" w:rsidRDefault="00DC55CF" w:rsidP="00DC55CF">
      <w:pPr>
        <w:spacing w:after="0" w:line="240" w:lineRule="auto"/>
        <w:contextualSpacing/>
        <w:jc w:val="center"/>
        <w:outlineLvl w:val="0"/>
        <w:rPr>
          <w:rFonts w:ascii="Times New Roman" w:eastAsia="PMingLiU" w:hAnsi="Times New Roman" w:cs="Times New Roman"/>
          <w:b/>
          <w:bCs/>
          <w:kern w:val="28"/>
          <w:lang w:val="lt-LT"/>
        </w:rPr>
      </w:pPr>
    </w:p>
    <w:p w14:paraId="73A30585" w14:textId="77777777" w:rsidR="00DC55CF" w:rsidRPr="00CC52A7" w:rsidRDefault="00DC55CF" w:rsidP="00DC55CF">
      <w:pPr>
        <w:spacing w:after="0" w:line="240" w:lineRule="auto"/>
        <w:contextualSpacing/>
        <w:jc w:val="center"/>
        <w:outlineLvl w:val="0"/>
        <w:rPr>
          <w:rFonts w:ascii="Times New Roman" w:eastAsia="PMingLiU" w:hAnsi="Times New Roman" w:cs="Times New Roman"/>
          <w:b/>
          <w:bCs/>
          <w:kern w:val="28"/>
          <w:lang w:val="lt-LT"/>
        </w:rPr>
      </w:pPr>
    </w:p>
    <w:p w14:paraId="73A30586" w14:textId="77777777" w:rsidR="00DC55CF" w:rsidRPr="00CC52A7" w:rsidRDefault="00DC55CF" w:rsidP="00DC55CF">
      <w:pPr>
        <w:spacing w:after="0" w:line="240" w:lineRule="auto"/>
        <w:contextualSpacing/>
        <w:jc w:val="center"/>
        <w:outlineLvl w:val="0"/>
        <w:rPr>
          <w:rFonts w:ascii="Times New Roman" w:eastAsia="PMingLiU" w:hAnsi="Times New Roman" w:cs="Times New Roman"/>
          <w:b/>
          <w:bCs/>
          <w:kern w:val="28"/>
          <w:lang w:val="lt-LT"/>
        </w:rPr>
      </w:pPr>
    </w:p>
    <w:p w14:paraId="73A30587" w14:textId="77777777" w:rsidR="00DC55CF" w:rsidRPr="00CC52A7" w:rsidRDefault="00DC55CF" w:rsidP="00DC55CF">
      <w:pPr>
        <w:spacing w:after="0" w:line="240" w:lineRule="auto"/>
        <w:contextualSpacing/>
        <w:jc w:val="center"/>
        <w:outlineLvl w:val="0"/>
        <w:rPr>
          <w:rFonts w:ascii="Times New Roman" w:eastAsia="PMingLiU" w:hAnsi="Times New Roman" w:cs="Times New Roman"/>
          <w:b/>
          <w:bCs/>
          <w:kern w:val="28"/>
          <w:lang w:val="lt-LT"/>
        </w:rPr>
      </w:pPr>
    </w:p>
    <w:p w14:paraId="73A30588" w14:textId="77777777" w:rsidR="00DC55CF" w:rsidRPr="00CC52A7" w:rsidRDefault="00DC55CF" w:rsidP="00DC55CF">
      <w:pPr>
        <w:spacing w:after="0" w:line="240" w:lineRule="auto"/>
        <w:contextualSpacing/>
        <w:jc w:val="center"/>
        <w:outlineLvl w:val="0"/>
        <w:rPr>
          <w:rFonts w:ascii="Times New Roman" w:eastAsia="PMingLiU" w:hAnsi="Times New Roman" w:cs="Times New Roman"/>
          <w:b/>
          <w:bCs/>
          <w:kern w:val="28"/>
          <w:lang w:val="lt-LT"/>
        </w:rPr>
      </w:pPr>
    </w:p>
    <w:p w14:paraId="73A30589" w14:textId="77777777" w:rsidR="00DC55CF" w:rsidRPr="00CC52A7" w:rsidRDefault="00DC55CF" w:rsidP="00DC55CF">
      <w:pPr>
        <w:spacing w:after="0" w:line="240" w:lineRule="auto"/>
        <w:contextualSpacing/>
        <w:jc w:val="center"/>
        <w:outlineLvl w:val="0"/>
        <w:rPr>
          <w:rFonts w:ascii="Times New Roman" w:eastAsia="PMingLiU" w:hAnsi="Times New Roman" w:cs="Times New Roman"/>
          <w:b/>
          <w:bCs/>
          <w:kern w:val="28"/>
          <w:lang w:val="lt-LT"/>
        </w:rPr>
      </w:pPr>
    </w:p>
    <w:p w14:paraId="73A3058A" w14:textId="77777777" w:rsidR="00DC55CF" w:rsidRPr="00CC52A7" w:rsidRDefault="00DC55CF" w:rsidP="00DC55CF">
      <w:pPr>
        <w:spacing w:after="0" w:line="240" w:lineRule="auto"/>
        <w:contextualSpacing/>
        <w:jc w:val="center"/>
        <w:outlineLvl w:val="0"/>
        <w:rPr>
          <w:rFonts w:ascii="Times New Roman" w:eastAsia="PMingLiU" w:hAnsi="Times New Roman" w:cs="Times New Roman"/>
          <w:b/>
          <w:bCs/>
          <w:kern w:val="28"/>
          <w:lang w:val="lt-LT"/>
        </w:rPr>
      </w:pPr>
    </w:p>
    <w:p w14:paraId="73A3058B" w14:textId="77777777" w:rsidR="00DC55CF" w:rsidRPr="00CC52A7" w:rsidRDefault="00DC55CF" w:rsidP="00DC55CF">
      <w:pPr>
        <w:spacing w:after="0" w:line="240" w:lineRule="auto"/>
        <w:contextualSpacing/>
        <w:jc w:val="center"/>
        <w:outlineLvl w:val="0"/>
        <w:rPr>
          <w:rFonts w:ascii="Times New Roman" w:eastAsia="PMingLiU" w:hAnsi="Times New Roman" w:cs="Times New Roman"/>
          <w:b/>
          <w:bCs/>
          <w:kern w:val="28"/>
          <w:lang w:val="lt-LT"/>
        </w:rPr>
      </w:pPr>
    </w:p>
    <w:p w14:paraId="73A3058C" w14:textId="77777777" w:rsidR="00DC55CF" w:rsidRPr="00CC52A7" w:rsidRDefault="00DC55CF" w:rsidP="00DC55CF">
      <w:pPr>
        <w:spacing w:after="0" w:line="240" w:lineRule="auto"/>
        <w:contextualSpacing/>
        <w:jc w:val="center"/>
        <w:outlineLvl w:val="0"/>
        <w:rPr>
          <w:rFonts w:ascii="Times New Roman" w:eastAsia="PMingLiU" w:hAnsi="Times New Roman" w:cs="Times New Roman"/>
          <w:b/>
          <w:bCs/>
          <w:kern w:val="28"/>
          <w:lang w:val="lt-LT"/>
        </w:rPr>
      </w:pPr>
    </w:p>
    <w:p w14:paraId="73A3058D" w14:textId="77777777" w:rsidR="00DC55CF" w:rsidRPr="00CC52A7" w:rsidRDefault="00DC55CF" w:rsidP="00DC55CF">
      <w:pPr>
        <w:spacing w:after="0" w:line="240" w:lineRule="auto"/>
        <w:contextualSpacing/>
        <w:jc w:val="center"/>
        <w:outlineLvl w:val="0"/>
        <w:rPr>
          <w:rFonts w:ascii="Times New Roman" w:eastAsia="PMingLiU" w:hAnsi="Times New Roman" w:cs="Times New Roman"/>
          <w:b/>
          <w:bCs/>
          <w:kern w:val="28"/>
          <w:lang w:val="lt-LT"/>
        </w:rPr>
      </w:pPr>
    </w:p>
    <w:p w14:paraId="73A3058E" w14:textId="77777777" w:rsidR="00DC55CF" w:rsidRPr="00CC52A7" w:rsidRDefault="00DC55CF" w:rsidP="00DC55CF">
      <w:pPr>
        <w:spacing w:after="0" w:line="240" w:lineRule="auto"/>
        <w:contextualSpacing/>
        <w:jc w:val="center"/>
        <w:outlineLvl w:val="0"/>
        <w:rPr>
          <w:rFonts w:ascii="Times New Roman" w:eastAsia="PMingLiU" w:hAnsi="Times New Roman" w:cs="Times New Roman"/>
          <w:b/>
          <w:bCs/>
          <w:kern w:val="28"/>
          <w:lang w:val="lt-LT"/>
        </w:rPr>
      </w:pPr>
    </w:p>
    <w:p w14:paraId="73A3058F" w14:textId="77777777" w:rsidR="00DC55CF" w:rsidRPr="00CC52A7" w:rsidRDefault="00DC55CF" w:rsidP="00DC55CF">
      <w:pPr>
        <w:spacing w:after="0" w:line="240" w:lineRule="auto"/>
        <w:contextualSpacing/>
        <w:jc w:val="center"/>
        <w:outlineLvl w:val="0"/>
        <w:rPr>
          <w:rFonts w:ascii="Times New Roman" w:eastAsia="PMingLiU" w:hAnsi="Times New Roman" w:cs="Times New Roman"/>
          <w:b/>
          <w:bCs/>
          <w:kern w:val="28"/>
          <w:lang w:val="lt-LT"/>
        </w:rPr>
      </w:pPr>
    </w:p>
    <w:p w14:paraId="73A30590" w14:textId="77777777" w:rsidR="00DC55CF" w:rsidRPr="00CC52A7" w:rsidRDefault="00DC55CF" w:rsidP="00DC55CF">
      <w:pPr>
        <w:spacing w:after="0" w:line="240" w:lineRule="auto"/>
        <w:contextualSpacing/>
        <w:jc w:val="center"/>
        <w:outlineLvl w:val="0"/>
        <w:rPr>
          <w:rFonts w:ascii="Times New Roman" w:eastAsia="PMingLiU" w:hAnsi="Times New Roman" w:cs="Times New Roman"/>
          <w:b/>
          <w:bCs/>
          <w:kern w:val="28"/>
          <w:lang w:val="lt-LT"/>
        </w:rPr>
      </w:pPr>
    </w:p>
    <w:p w14:paraId="73A30591" w14:textId="77777777" w:rsidR="00DC55CF" w:rsidRPr="00CC52A7" w:rsidRDefault="00DC55CF" w:rsidP="00DC55CF">
      <w:pPr>
        <w:spacing w:after="0" w:line="240" w:lineRule="auto"/>
        <w:contextualSpacing/>
        <w:jc w:val="center"/>
        <w:outlineLvl w:val="0"/>
        <w:rPr>
          <w:rFonts w:ascii="Times New Roman" w:eastAsia="PMingLiU" w:hAnsi="Times New Roman" w:cs="Times New Roman"/>
          <w:b/>
          <w:bCs/>
          <w:kern w:val="28"/>
          <w:lang w:val="lt-LT"/>
        </w:rPr>
      </w:pPr>
    </w:p>
    <w:p w14:paraId="73A30592" w14:textId="77777777" w:rsidR="00DC55CF" w:rsidRPr="00CC52A7" w:rsidRDefault="00DC55CF" w:rsidP="00DC55CF">
      <w:pPr>
        <w:spacing w:after="0" w:line="240" w:lineRule="auto"/>
        <w:contextualSpacing/>
        <w:jc w:val="center"/>
        <w:outlineLvl w:val="0"/>
        <w:rPr>
          <w:rFonts w:ascii="Times New Roman" w:eastAsia="PMingLiU" w:hAnsi="Times New Roman" w:cs="Times New Roman"/>
          <w:b/>
          <w:bCs/>
          <w:kern w:val="28"/>
          <w:lang w:val="lt-LT"/>
        </w:rPr>
      </w:pPr>
    </w:p>
    <w:p w14:paraId="73A30593" w14:textId="77777777" w:rsidR="00DC55CF" w:rsidRPr="00CC52A7" w:rsidRDefault="00DC55CF" w:rsidP="00DC55CF">
      <w:pPr>
        <w:spacing w:after="0" w:line="240" w:lineRule="auto"/>
        <w:contextualSpacing/>
        <w:jc w:val="center"/>
        <w:outlineLvl w:val="0"/>
        <w:rPr>
          <w:rFonts w:ascii="Times New Roman" w:eastAsia="PMingLiU" w:hAnsi="Times New Roman" w:cs="Times New Roman"/>
          <w:b/>
          <w:bCs/>
          <w:kern w:val="28"/>
          <w:lang w:val="lt-LT"/>
        </w:rPr>
      </w:pPr>
    </w:p>
    <w:p w14:paraId="73A30594" w14:textId="77777777" w:rsidR="00DC55CF" w:rsidRPr="00CC52A7" w:rsidRDefault="00DC55CF" w:rsidP="00DC55CF">
      <w:pPr>
        <w:spacing w:after="0" w:line="240" w:lineRule="auto"/>
        <w:contextualSpacing/>
        <w:jc w:val="center"/>
        <w:outlineLvl w:val="0"/>
        <w:rPr>
          <w:rFonts w:ascii="Times New Roman" w:eastAsia="PMingLiU" w:hAnsi="Times New Roman" w:cs="Times New Roman"/>
          <w:b/>
          <w:bCs/>
          <w:kern w:val="28"/>
          <w:lang w:val="lt-LT"/>
        </w:rPr>
      </w:pPr>
    </w:p>
    <w:p w14:paraId="73A30595" w14:textId="77777777" w:rsidR="00DC55CF" w:rsidRPr="00CC52A7" w:rsidRDefault="00DC55CF" w:rsidP="00DC55CF">
      <w:pPr>
        <w:spacing w:after="0" w:line="240" w:lineRule="auto"/>
        <w:contextualSpacing/>
        <w:jc w:val="center"/>
        <w:outlineLvl w:val="0"/>
        <w:rPr>
          <w:rFonts w:ascii="Times New Roman" w:eastAsia="PMingLiU" w:hAnsi="Times New Roman" w:cs="Times New Roman"/>
          <w:b/>
          <w:bCs/>
          <w:kern w:val="28"/>
          <w:lang w:val="lt-LT"/>
        </w:rPr>
      </w:pPr>
      <w:r w:rsidRPr="00CC52A7">
        <w:rPr>
          <w:rFonts w:ascii="Times New Roman" w:eastAsia="PMingLiU" w:hAnsi="Times New Roman" w:cs="Times New Roman"/>
          <w:b/>
          <w:bCs/>
          <w:kern w:val="28"/>
          <w:lang w:val="lt-LT"/>
        </w:rPr>
        <w:t>III PRIEDAS</w:t>
      </w:r>
    </w:p>
    <w:p w14:paraId="73A30596"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597" w14:textId="77777777" w:rsidR="00DC55CF" w:rsidRPr="00CC52A7" w:rsidRDefault="00DC55CF" w:rsidP="00DC55CF">
      <w:pPr>
        <w:overflowPunct w:val="0"/>
        <w:autoSpaceDE w:val="0"/>
        <w:autoSpaceDN w:val="0"/>
        <w:adjustRightInd w:val="0"/>
        <w:spacing w:after="0" w:line="240" w:lineRule="auto"/>
        <w:contextualSpacing/>
        <w:jc w:val="center"/>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t>ŽENKLINIMAS IR PAKUOTĖS LAPELIS</w:t>
      </w:r>
    </w:p>
    <w:p w14:paraId="73A30598" w14:textId="77777777" w:rsidR="00DC55CF" w:rsidRPr="00CC52A7" w:rsidRDefault="00DC55CF" w:rsidP="00DC55CF">
      <w:pPr>
        <w:spacing w:after="0" w:line="240" w:lineRule="auto"/>
        <w:contextualSpacing/>
        <w:jc w:val="center"/>
        <w:outlineLvl w:val="0"/>
        <w:rPr>
          <w:rFonts w:ascii="Times New Roman" w:eastAsia="PMingLiU" w:hAnsi="Times New Roman" w:cs="Times New Roman"/>
          <w:b/>
          <w:bCs/>
          <w:kern w:val="28"/>
          <w:lang w:val="lt-LT"/>
        </w:rPr>
      </w:pPr>
    </w:p>
    <w:p w14:paraId="73A30599" w14:textId="77777777" w:rsidR="00DC55CF" w:rsidRPr="00CC52A7" w:rsidRDefault="00DC55CF" w:rsidP="00DC55CF">
      <w:pPr>
        <w:spacing w:after="0" w:line="240" w:lineRule="auto"/>
        <w:contextualSpacing/>
        <w:rPr>
          <w:rFonts w:ascii="Times New Roman" w:eastAsia="PMingLiU" w:hAnsi="Times New Roman" w:cs="Times New Roman"/>
          <w:b/>
          <w:bCs/>
          <w:kern w:val="28"/>
          <w:lang w:val="lt-LT"/>
        </w:rPr>
      </w:pPr>
      <w:r w:rsidRPr="00CC52A7">
        <w:rPr>
          <w:rFonts w:ascii="Times New Roman" w:eastAsia="PMingLiU" w:hAnsi="Times New Roman" w:cs="Times New Roman"/>
          <w:lang w:val="lt-LT"/>
        </w:rPr>
        <w:br w:type="page"/>
      </w:r>
    </w:p>
    <w:p w14:paraId="73A3059A" w14:textId="77777777" w:rsidR="00DC55CF" w:rsidRPr="00CC52A7" w:rsidRDefault="00DC55CF" w:rsidP="00DC55CF">
      <w:pPr>
        <w:spacing w:after="0" w:line="240" w:lineRule="auto"/>
        <w:contextualSpacing/>
        <w:outlineLvl w:val="0"/>
        <w:rPr>
          <w:rFonts w:ascii="Times New Roman" w:eastAsia="PMingLiU" w:hAnsi="Times New Roman" w:cs="Times New Roman"/>
          <w:b/>
          <w:bCs/>
          <w:kern w:val="28"/>
          <w:lang w:val="lt-LT"/>
        </w:rPr>
      </w:pPr>
    </w:p>
    <w:p w14:paraId="73A3059B" w14:textId="77777777" w:rsidR="00DC55CF" w:rsidRPr="00CC52A7" w:rsidRDefault="00DC55CF" w:rsidP="00DC55CF">
      <w:pPr>
        <w:spacing w:after="0" w:line="240" w:lineRule="auto"/>
        <w:contextualSpacing/>
        <w:outlineLvl w:val="0"/>
        <w:rPr>
          <w:rFonts w:ascii="Times New Roman" w:eastAsia="PMingLiU" w:hAnsi="Times New Roman" w:cs="Times New Roman"/>
          <w:b/>
          <w:bCs/>
          <w:kern w:val="28"/>
          <w:lang w:val="lt-LT"/>
        </w:rPr>
      </w:pPr>
    </w:p>
    <w:p w14:paraId="73A3059C" w14:textId="77777777" w:rsidR="00DC55CF" w:rsidRPr="00CC52A7" w:rsidRDefault="00DC55CF" w:rsidP="00DC55CF">
      <w:pPr>
        <w:spacing w:after="0" w:line="240" w:lineRule="auto"/>
        <w:contextualSpacing/>
        <w:outlineLvl w:val="0"/>
        <w:rPr>
          <w:rFonts w:ascii="Times New Roman" w:eastAsia="PMingLiU" w:hAnsi="Times New Roman" w:cs="Times New Roman"/>
          <w:b/>
          <w:bCs/>
          <w:kern w:val="28"/>
          <w:lang w:val="lt-LT"/>
        </w:rPr>
      </w:pPr>
    </w:p>
    <w:p w14:paraId="73A3059D" w14:textId="77777777" w:rsidR="00DC55CF" w:rsidRPr="00CC52A7" w:rsidRDefault="00DC55CF" w:rsidP="00DC55CF">
      <w:pPr>
        <w:spacing w:after="0" w:line="240" w:lineRule="auto"/>
        <w:contextualSpacing/>
        <w:outlineLvl w:val="0"/>
        <w:rPr>
          <w:rFonts w:ascii="Times New Roman" w:eastAsia="PMingLiU" w:hAnsi="Times New Roman" w:cs="Times New Roman"/>
          <w:b/>
          <w:bCs/>
          <w:kern w:val="28"/>
          <w:lang w:val="lt-LT"/>
        </w:rPr>
      </w:pPr>
    </w:p>
    <w:p w14:paraId="73A3059E" w14:textId="77777777" w:rsidR="00DC55CF" w:rsidRPr="00CC52A7" w:rsidRDefault="00DC55CF" w:rsidP="00DC55CF">
      <w:pPr>
        <w:spacing w:after="0" w:line="240" w:lineRule="auto"/>
        <w:contextualSpacing/>
        <w:outlineLvl w:val="0"/>
        <w:rPr>
          <w:rFonts w:ascii="Times New Roman" w:eastAsia="PMingLiU" w:hAnsi="Times New Roman" w:cs="Times New Roman"/>
          <w:b/>
          <w:bCs/>
          <w:kern w:val="28"/>
          <w:lang w:val="lt-LT"/>
        </w:rPr>
      </w:pPr>
    </w:p>
    <w:p w14:paraId="73A3059F" w14:textId="77777777" w:rsidR="00DC55CF" w:rsidRPr="00CC52A7" w:rsidRDefault="00DC55CF" w:rsidP="00DC55CF">
      <w:pPr>
        <w:spacing w:after="0" w:line="240" w:lineRule="auto"/>
        <w:contextualSpacing/>
        <w:outlineLvl w:val="0"/>
        <w:rPr>
          <w:rFonts w:ascii="Times New Roman" w:eastAsia="PMingLiU" w:hAnsi="Times New Roman" w:cs="Times New Roman"/>
          <w:b/>
          <w:bCs/>
          <w:kern w:val="28"/>
          <w:lang w:val="lt-LT"/>
        </w:rPr>
      </w:pPr>
    </w:p>
    <w:p w14:paraId="73A305A0" w14:textId="77777777" w:rsidR="00DC55CF" w:rsidRPr="00CC52A7" w:rsidRDefault="00DC55CF" w:rsidP="00DC55CF">
      <w:pPr>
        <w:spacing w:after="0" w:line="240" w:lineRule="auto"/>
        <w:contextualSpacing/>
        <w:outlineLvl w:val="0"/>
        <w:rPr>
          <w:rFonts w:ascii="Times New Roman" w:eastAsia="PMingLiU" w:hAnsi="Times New Roman" w:cs="Times New Roman"/>
          <w:b/>
          <w:bCs/>
          <w:kern w:val="28"/>
          <w:lang w:val="lt-LT"/>
        </w:rPr>
      </w:pPr>
    </w:p>
    <w:p w14:paraId="73A305A1" w14:textId="77777777" w:rsidR="00DC55CF" w:rsidRPr="00CC52A7" w:rsidRDefault="00DC55CF" w:rsidP="00DC55CF">
      <w:pPr>
        <w:spacing w:after="0" w:line="240" w:lineRule="auto"/>
        <w:contextualSpacing/>
        <w:outlineLvl w:val="0"/>
        <w:rPr>
          <w:rFonts w:ascii="Times New Roman" w:eastAsia="PMingLiU" w:hAnsi="Times New Roman" w:cs="Times New Roman"/>
          <w:b/>
          <w:bCs/>
          <w:kern w:val="28"/>
          <w:lang w:val="lt-LT"/>
        </w:rPr>
      </w:pPr>
    </w:p>
    <w:p w14:paraId="73A305A2" w14:textId="77777777" w:rsidR="00DC55CF" w:rsidRPr="00CC52A7" w:rsidRDefault="00DC55CF" w:rsidP="00DC55CF">
      <w:pPr>
        <w:spacing w:after="0" w:line="240" w:lineRule="auto"/>
        <w:contextualSpacing/>
        <w:outlineLvl w:val="0"/>
        <w:rPr>
          <w:rFonts w:ascii="Times New Roman" w:eastAsia="PMingLiU" w:hAnsi="Times New Roman" w:cs="Times New Roman"/>
          <w:b/>
          <w:bCs/>
          <w:kern w:val="28"/>
          <w:lang w:val="lt-LT"/>
        </w:rPr>
      </w:pPr>
    </w:p>
    <w:p w14:paraId="73A305A3" w14:textId="77777777" w:rsidR="00DC55CF" w:rsidRPr="00CC52A7" w:rsidRDefault="00DC55CF" w:rsidP="00DC55CF">
      <w:pPr>
        <w:spacing w:after="0" w:line="240" w:lineRule="auto"/>
        <w:contextualSpacing/>
        <w:outlineLvl w:val="0"/>
        <w:rPr>
          <w:rFonts w:ascii="Times New Roman" w:eastAsia="PMingLiU" w:hAnsi="Times New Roman" w:cs="Times New Roman"/>
          <w:b/>
          <w:bCs/>
          <w:kern w:val="28"/>
          <w:lang w:val="lt-LT"/>
        </w:rPr>
      </w:pPr>
    </w:p>
    <w:p w14:paraId="73A305A4" w14:textId="77777777" w:rsidR="00DC55CF" w:rsidRPr="00CC52A7" w:rsidRDefault="00DC55CF" w:rsidP="00DC55CF">
      <w:pPr>
        <w:spacing w:after="0" w:line="240" w:lineRule="auto"/>
        <w:contextualSpacing/>
        <w:outlineLvl w:val="0"/>
        <w:rPr>
          <w:rFonts w:ascii="Times New Roman" w:eastAsia="PMingLiU" w:hAnsi="Times New Roman" w:cs="Times New Roman"/>
          <w:b/>
          <w:bCs/>
          <w:kern w:val="28"/>
          <w:lang w:val="lt-LT"/>
        </w:rPr>
      </w:pPr>
    </w:p>
    <w:p w14:paraId="73A305A5" w14:textId="77777777" w:rsidR="00DC55CF" w:rsidRPr="00CC52A7" w:rsidRDefault="00DC55CF" w:rsidP="00DC55CF">
      <w:pPr>
        <w:spacing w:after="0" w:line="240" w:lineRule="auto"/>
        <w:contextualSpacing/>
        <w:outlineLvl w:val="0"/>
        <w:rPr>
          <w:rFonts w:ascii="Times New Roman" w:eastAsia="PMingLiU" w:hAnsi="Times New Roman" w:cs="Times New Roman"/>
          <w:b/>
          <w:bCs/>
          <w:kern w:val="28"/>
          <w:lang w:val="lt-LT"/>
        </w:rPr>
      </w:pPr>
    </w:p>
    <w:p w14:paraId="73A305A6" w14:textId="77777777" w:rsidR="00DC55CF" w:rsidRPr="00CC52A7" w:rsidRDefault="00DC55CF" w:rsidP="00DC55CF">
      <w:pPr>
        <w:spacing w:after="0" w:line="240" w:lineRule="auto"/>
        <w:contextualSpacing/>
        <w:outlineLvl w:val="0"/>
        <w:rPr>
          <w:rFonts w:ascii="Times New Roman" w:eastAsia="PMingLiU" w:hAnsi="Times New Roman" w:cs="Times New Roman"/>
          <w:b/>
          <w:bCs/>
          <w:kern w:val="28"/>
          <w:lang w:val="lt-LT"/>
        </w:rPr>
      </w:pPr>
    </w:p>
    <w:p w14:paraId="73A305A7" w14:textId="77777777" w:rsidR="00DC55CF" w:rsidRPr="00CC52A7" w:rsidRDefault="00DC55CF" w:rsidP="00DC55CF">
      <w:pPr>
        <w:spacing w:after="0" w:line="240" w:lineRule="auto"/>
        <w:contextualSpacing/>
        <w:outlineLvl w:val="0"/>
        <w:rPr>
          <w:rFonts w:ascii="Times New Roman" w:eastAsia="PMingLiU" w:hAnsi="Times New Roman" w:cs="Times New Roman"/>
          <w:b/>
          <w:bCs/>
          <w:kern w:val="28"/>
          <w:lang w:val="lt-LT"/>
        </w:rPr>
      </w:pPr>
    </w:p>
    <w:p w14:paraId="73A305A8" w14:textId="77777777" w:rsidR="00DC55CF" w:rsidRPr="00CC52A7" w:rsidRDefault="00DC55CF" w:rsidP="00DC55CF">
      <w:pPr>
        <w:spacing w:after="0" w:line="240" w:lineRule="auto"/>
        <w:contextualSpacing/>
        <w:outlineLvl w:val="0"/>
        <w:rPr>
          <w:rFonts w:ascii="Times New Roman" w:eastAsia="PMingLiU" w:hAnsi="Times New Roman" w:cs="Times New Roman"/>
          <w:b/>
          <w:bCs/>
          <w:kern w:val="28"/>
          <w:lang w:val="lt-LT"/>
        </w:rPr>
      </w:pPr>
    </w:p>
    <w:p w14:paraId="73A305A9" w14:textId="77777777" w:rsidR="00DC55CF" w:rsidRPr="00CC52A7" w:rsidRDefault="00DC55CF" w:rsidP="00DC55CF">
      <w:pPr>
        <w:spacing w:after="0" w:line="240" w:lineRule="auto"/>
        <w:contextualSpacing/>
        <w:outlineLvl w:val="0"/>
        <w:rPr>
          <w:rFonts w:ascii="Times New Roman" w:eastAsia="PMingLiU" w:hAnsi="Times New Roman" w:cs="Times New Roman"/>
          <w:b/>
          <w:bCs/>
          <w:kern w:val="28"/>
          <w:lang w:val="lt-LT"/>
        </w:rPr>
      </w:pPr>
    </w:p>
    <w:p w14:paraId="73A305AA" w14:textId="77777777" w:rsidR="00DC55CF" w:rsidRPr="00CC52A7" w:rsidRDefault="00DC55CF" w:rsidP="00DC55CF">
      <w:pPr>
        <w:spacing w:after="0" w:line="240" w:lineRule="auto"/>
        <w:contextualSpacing/>
        <w:outlineLvl w:val="0"/>
        <w:rPr>
          <w:rFonts w:ascii="Times New Roman" w:eastAsia="PMingLiU" w:hAnsi="Times New Roman" w:cs="Times New Roman"/>
          <w:b/>
          <w:bCs/>
          <w:kern w:val="28"/>
          <w:lang w:val="lt-LT"/>
        </w:rPr>
      </w:pPr>
    </w:p>
    <w:p w14:paraId="73A305AB" w14:textId="77777777" w:rsidR="00DC55CF" w:rsidRPr="00CC52A7" w:rsidRDefault="00DC55CF" w:rsidP="00DC55CF">
      <w:pPr>
        <w:spacing w:after="0" w:line="240" w:lineRule="auto"/>
        <w:contextualSpacing/>
        <w:outlineLvl w:val="0"/>
        <w:rPr>
          <w:rFonts w:ascii="Times New Roman" w:eastAsia="PMingLiU" w:hAnsi="Times New Roman" w:cs="Times New Roman"/>
          <w:b/>
          <w:bCs/>
          <w:kern w:val="28"/>
          <w:lang w:val="lt-LT"/>
        </w:rPr>
      </w:pPr>
    </w:p>
    <w:p w14:paraId="73A305AC" w14:textId="77777777" w:rsidR="00DC55CF" w:rsidRPr="00CC52A7" w:rsidRDefault="00DC55CF" w:rsidP="00DC55CF">
      <w:pPr>
        <w:spacing w:after="0" w:line="240" w:lineRule="auto"/>
        <w:contextualSpacing/>
        <w:outlineLvl w:val="0"/>
        <w:rPr>
          <w:rFonts w:ascii="Times New Roman" w:eastAsia="PMingLiU" w:hAnsi="Times New Roman" w:cs="Times New Roman"/>
          <w:b/>
          <w:bCs/>
          <w:kern w:val="28"/>
          <w:lang w:val="lt-LT"/>
        </w:rPr>
      </w:pPr>
    </w:p>
    <w:p w14:paraId="73A305AD" w14:textId="77777777" w:rsidR="00DC55CF" w:rsidRPr="00CC52A7" w:rsidRDefault="00DC55CF" w:rsidP="00DC55CF">
      <w:pPr>
        <w:spacing w:after="0" w:line="240" w:lineRule="auto"/>
        <w:contextualSpacing/>
        <w:outlineLvl w:val="0"/>
        <w:rPr>
          <w:rFonts w:ascii="Times New Roman" w:eastAsia="PMingLiU" w:hAnsi="Times New Roman" w:cs="Times New Roman"/>
          <w:b/>
          <w:bCs/>
          <w:kern w:val="28"/>
          <w:lang w:val="lt-LT"/>
        </w:rPr>
      </w:pPr>
    </w:p>
    <w:p w14:paraId="73A305AE" w14:textId="77777777" w:rsidR="00DC55CF" w:rsidRPr="00CC52A7" w:rsidRDefault="00DC55CF" w:rsidP="00DC55CF">
      <w:pPr>
        <w:spacing w:after="0" w:line="240" w:lineRule="auto"/>
        <w:contextualSpacing/>
        <w:outlineLvl w:val="0"/>
        <w:rPr>
          <w:rFonts w:ascii="Times New Roman" w:eastAsia="PMingLiU" w:hAnsi="Times New Roman" w:cs="Times New Roman"/>
          <w:b/>
          <w:bCs/>
          <w:kern w:val="28"/>
          <w:lang w:val="lt-LT"/>
        </w:rPr>
      </w:pPr>
    </w:p>
    <w:p w14:paraId="73A305AF" w14:textId="77777777" w:rsidR="00DC55CF" w:rsidRPr="00CC52A7" w:rsidRDefault="00DC55CF" w:rsidP="00DC55CF">
      <w:pPr>
        <w:spacing w:after="0" w:line="240" w:lineRule="auto"/>
        <w:contextualSpacing/>
        <w:jc w:val="center"/>
        <w:outlineLvl w:val="0"/>
        <w:rPr>
          <w:rFonts w:ascii="Times New Roman" w:eastAsia="PMingLiU" w:hAnsi="Times New Roman" w:cs="Times New Roman"/>
          <w:b/>
          <w:bCs/>
          <w:kern w:val="28"/>
          <w:lang w:val="lt-LT"/>
        </w:rPr>
      </w:pPr>
    </w:p>
    <w:p w14:paraId="73A305B0" w14:textId="77777777" w:rsidR="00DC55CF" w:rsidRPr="00CC52A7" w:rsidRDefault="00DC55CF" w:rsidP="00DC55CF">
      <w:pPr>
        <w:spacing w:after="0" w:line="240" w:lineRule="auto"/>
        <w:contextualSpacing/>
        <w:jc w:val="center"/>
        <w:outlineLvl w:val="0"/>
        <w:rPr>
          <w:rFonts w:ascii="Times New Roman" w:eastAsia="PMingLiU" w:hAnsi="Times New Roman" w:cs="Times New Roman"/>
          <w:b/>
          <w:bCs/>
          <w:kern w:val="28"/>
          <w:lang w:val="lt-LT"/>
        </w:rPr>
      </w:pPr>
      <w:r w:rsidRPr="00CC52A7">
        <w:rPr>
          <w:rFonts w:ascii="Times New Roman" w:eastAsia="PMingLiU" w:hAnsi="Times New Roman" w:cs="Times New Roman"/>
          <w:b/>
          <w:bCs/>
          <w:kern w:val="28"/>
          <w:lang w:val="lt-LT"/>
        </w:rPr>
        <w:t>A. ŽENKLINIMAS</w:t>
      </w:r>
    </w:p>
    <w:p w14:paraId="73A305B1"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5B2" w14:textId="77777777" w:rsidR="00DC55CF" w:rsidRPr="00CC52A7" w:rsidRDefault="00DC55CF" w:rsidP="00DC55CF">
      <w:pPr>
        <w:spacing w:after="0" w:line="240" w:lineRule="auto"/>
        <w:contextualSpacing/>
        <w:rPr>
          <w:rFonts w:ascii="Times New Roman" w:eastAsia="PMingLiU" w:hAnsi="Times New Roman" w:cs="Times New Roman"/>
          <w:lang w:val="lt-LT"/>
        </w:rPr>
      </w:pPr>
      <w:r w:rsidRPr="00CC52A7">
        <w:rPr>
          <w:rFonts w:ascii="Times New Roman" w:eastAsia="PMingLiU" w:hAnsi="Times New Roman" w:cs="Times New Roman"/>
          <w:lang w:val="lt-LT"/>
        </w:rPr>
        <w:br w:type="page"/>
      </w:r>
    </w:p>
    <w:p w14:paraId="73A305B3" w14:textId="77777777" w:rsidR="00DC55CF" w:rsidRPr="00CC52A7" w:rsidRDefault="00DC55CF" w:rsidP="00DC55C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lastRenderedPageBreak/>
        <w:t xml:space="preserve">INFORMACIJA ANT IŠORINĖS PAKUOTĖS </w:t>
      </w:r>
    </w:p>
    <w:p w14:paraId="73A305B4" w14:textId="77777777" w:rsidR="00DC55CF" w:rsidRPr="00CC52A7" w:rsidRDefault="00DC55CF" w:rsidP="00DC55C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5B5" w14:textId="77777777" w:rsidR="00DC55CF" w:rsidRPr="00CC52A7" w:rsidRDefault="00DC55CF" w:rsidP="00DC55C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b/>
          <w:lang w:val="lt-LT"/>
        </w:rPr>
        <w:t>KARTONO DĖŽUTĖ</w:t>
      </w:r>
    </w:p>
    <w:p w14:paraId="73A305B6"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5B7"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5B8" w14:textId="77777777" w:rsidR="00DC55CF" w:rsidRPr="00CC52A7" w:rsidRDefault="00DC55CF" w:rsidP="00DC55C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40" w:hanging="540"/>
        <w:contextualSpacing/>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t>1.</w:t>
      </w:r>
      <w:r w:rsidRPr="00CC52A7">
        <w:rPr>
          <w:rFonts w:ascii="Times New Roman" w:eastAsia="PMingLiU" w:hAnsi="Times New Roman" w:cs="Times New Roman"/>
          <w:b/>
          <w:lang w:val="lt-LT"/>
        </w:rPr>
        <w:tab/>
        <w:t>VAISTINIO PREPARATO PAVADINIMAS</w:t>
      </w:r>
    </w:p>
    <w:p w14:paraId="73A305B9"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5BA"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Acic 400</w:t>
      </w:r>
      <w:r w:rsidR="004070A0">
        <w:rPr>
          <w:rFonts w:ascii="Times New Roman" w:eastAsia="PMingLiU" w:hAnsi="Times New Roman" w:cs="Times New Roman"/>
          <w:lang w:val="lt-LT"/>
        </w:rPr>
        <w:t> </w:t>
      </w:r>
      <w:r w:rsidRPr="00CC52A7">
        <w:rPr>
          <w:rFonts w:ascii="Times New Roman" w:eastAsia="PMingLiU" w:hAnsi="Times New Roman" w:cs="Times New Roman"/>
          <w:lang w:val="lt-LT"/>
        </w:rPr>
        <w:t xml:space="preserve">mg tabletės </w:t>
      </w:r>
    </w:p>
    <w:p w14:paraId="73A305BB" w14:textId="71D5B3D0" w:rsidR="00DC55CF" w:rsidRPr="00CC52A7" w:rsidRDefault="00481A84"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roofErr w:type="spellStart"/>
      <w:r>
        <w:rPr>
          <w:rFonts w:ascii="Times New Roman" w:eastAsia="PMingLiU" w:hAnsi="Times New Roman" w:cs="Times New Roman"/>
          <w:lang w:val="lt-LT"/>
        </w:rPr>
        <w:t>acikloviras</w:t>
      </w:r>
      <w:proofErr w:type="spellEnd"/>
    </w:p>
    <w:p w14:paraId="73A305BC"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5BD"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r w:rsidRPr="00CC52A7">
        <w:rPr>
          <w:rFonts w:ascii="Times New Roman" w:eastAsia="PMingLiU" w:hAnsi="Times New Roman" w:cs="Times New Roman"/>
          <w:lang w:val="lt-LT"/>
        </w:rPr>
        <w:t xml:space="preserve"> </w:t>
      </w:r>
    </w:p>
    <w:p w14:paraId="73A305BE" w14:textId="77777777" w:rsidR="00DC55CF" w:rsidRPr="00CC52A7" w:rsidRDefault="00DC55CF" w:rsidP="00DC55C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40" w:hanging="540"/>
        <w:contextualSpacing/>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t>2.</w:t>
      </w:r>
      <w:r w:rsidRPr="00CC52A7">
        <w:rPr>
          <w:rFonts w:ascii="Times New Roman" w:eastAsia="PMingLiU" w:hAnsi="Times New Roman" w:cs="Times New Roman"/>
          <w:b/>
          <w:lang w:val="lt-LT"/>
        </w:rPr>
        <w:tab/>
        <w:t xml:space="preserve">VEIKLIOJI MEDŽIAGA IR JOS KIEKIS </w:t>
      </w:r>
    </w:p>
    <w:p w14:paraId="73A305BF"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5C0"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Vienoje tabletėje yra 400</w:t>
      </w:r>
      <w:r w:rsidR="004070A0">
        <w:rPr>
          <w:rFonts w:ascii="Times New Roman" w:eastAsia="PMingLiU" w:hAnsi="Times New Roman" w:cs="Times New Roman"/>
          <w:lang w:val="lt-LT"/>
        </w:rPr>
        <w:t> </w:t>
      </w:r>
      <w:r w:rsidRPr="00CC52A7">
        <w:rPr>
          <w:rFonts w:ascii="Times New Roman" w:eastAsia="PMingLiU" w:hAnsi="Times New Roman" w:cs="Times New Roman"/>
          <w:lang w:val="lt-LT"/>
        </w:rPr>
        <w:t>mg acikloviro.</w:t>
      </w:r>
    </w:p>
    <w:p w14:paraId="73A305C1"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5C2"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5C3" w14:textId="77777777" w:rsidR="00DC55CF" w:rsidRPr="00CC52A7" w:rsidRDefault="00DC55CF" w:rsidP="00DC55C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40" w:hanging="540"/>
        <w:contextualSpacing/>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t>3.</w:t>
      </w:r>
      <w:r w:rsidRPr="00CC52A7">
        <w:rPr>
          <w:rFonts w:ascii="Times New Roman" w:eastAsia="PMingLiU" w:hAnsi="Times New Roman" w:cs="Times New Roman"/>
          <w:b/>
          <w:lang w:val="lt-LT"/>
        </w:rPr>
        <w:tab/>
        <w:t>PAGALBINIŲ MEDŽIAGŲ SĄRAŠAS</w:t>
      </w:r>
    </w:p>
    <w:p w14:paraId="73A305C4"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5C5"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5C6" w14:textId="77777777" w:rsidR="00DC55CF" w:rsidRPr="00CC52A7" w:rsidRDefault="00DC55CF" w:rsidP="00DC55C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40" w:hanging="540"/>
        <w:contextualSpacing/>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t>4.</w:t>
      </w:r>
      <w:r w:rsidRPr="00CC52A7">
        <w:rPr>
          <w:rFonts w:ascii="Times New Roman" w:eastAsia="PMingLiU" w:hAnsi="Times New Roman" w:cs="Times New Roman"/>
          <w:b/>
          <w:lang w:val="lt-LT"/>
        </w:rPr>
        <w:tab/>
        <w:t>FARMACINĖ FORMA IR KIEKIS PAKUOTĖJE</w:t>
      </w:r>
    </w:p>
    <w:p w14:paraId="73A305C7"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highlight w:val="lightGray"/>
          <w:lang w:val="lt-LT"/>
        </w:rPr>
      </w:pPr>
    </w:p>
    <w:p w14:paraId="73A305C8"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highlight w:val="lightGray"/>
          <w:lang w:val="lt-LT"/>
        </w:rPr>
        <w:t>Tabletė</w:t>
      </w:r>
    </w:p>
    <w:p w14:paraId="73A305C9"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35 tabletės</w:t>
      </w:r>
    </w:p>
    <w:p w14:paraId="73A305CA"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5CB"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5CC" w14:textId="77777777" w:rsidR="00DC55CF" w:rsidRPr="00CC52A7" w:rsidRDefault="00DC55CF" w:rsidP="00DC55C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40" w:hanging="540"/>
        <w:contextualSpacing/>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t>5.</w:t>
      </w:r>
      <w:r w:rsidRPr="00CC52A7">
        <w:rPr>
          <w:rFonts w:ascii="Times New Roman" w:eastAsia="PMingLiU" w:hAnsi="Times New Roman" w:cs="Times New Roman"/>
          <w:b/>
          <w:lang w:val="lt-LT"/>
        </w:rPr>
        <w:tab/>
        <w:t>VARTOJIMO METODAS IR BŪDAS</w:t>
      </w:r>
    </w:p>
    <w:p w14:paraId="73A305CD"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5CE"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Vartoti per burną.</w:t>
      </w:r>
    </w:p>
    <w:p w14:paraId="73A305CF"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Prieš vartojimą perskaitykite pakuotės lapelį.</w:t>
      </w:r>
    </w:p>
    <w:p w14:paraId="73A305D0"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5D1"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5D2" w14:textId="77777777" w:rsidR="00DC55CF" w:rsidRPr="00CC52A7" w:rsidRDefault="00DC55CF" w:rsidP="00DC55C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40" w:hanging="540"/>
        <w:contextualSpacing/>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t>6.</w:t>
      </w:r>
      <w:r w:rsidRPr="00CC52A7">
        <w:rPr>
          <w:rFonts w:ascii="Times New Roman" w:eastAsia="PMingLiU" w:hAnsi="Times New Roman" w:cs="Times New Roman"/>
          <w:b/>
          <w:lang w:val="lt-LT"/>
        </w:rPr>
        <w:tab/>
        <w:t>SPECIALUS ĮSPĖJIMAS, KAD VAISTINĮ PREPARATĄ BŪTINA LAIKYTI VAIKAMS NEPASTEBIMOJE IR NEPASIEKIAMOJE VIETOJE</w:t>
      </w:r>
    </w:p>
    <w:p w14:paraId="73A305D3"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5D4"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Laikyti vaikams nepastebimoje ir nepasiekiamoje vietoje.</w:t>
      </w:r>
    </w:p>
    <w:p w14:paraId="73A305D5"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5D6"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5D7" w14:textId="77777777" w:rsidR="00DC55CF" w:rsidRPr="00CC52A7" w:rsidRDefault="00DC55CF" w:rsidP="00DC55C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40" w:hanging="540"/>
        <w:contextualSpacing/>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t>7.</w:t>
      </w:r>
      <w:r w:rsidRPr="00CC52A7">
        <w:rPr>
          <w:rFonts w:ascii="Times New Roman" w:eastAsia="PMingLiU" w:hAnsi="Times New Roman" w:cs="Times New Roman"/>
          <w:b/>
          <w:lang w:val="lt-LT"/>
        </w:rPr>
        <w:tab/>
        <w:t>KITAS SPECIALUS ĮSPĖJIMAS (JEI REIKIA)</w:t>
      </w:r>
    </w:p>
    <w:p w14:paraId="73A305D8"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5D9"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5DA" w14:textId="77777777" w:rsidR="00DC55CF" w:rsidRPr="00CC52A7" w:rsidRDefault="00DC55CF" w:rsidP="00DC55C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40" w:hanging="540"/>
        <w:contextualSpacing/>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t>8.</w:t>
      </w:r>
      <w:r w:rsidRPr="00CC52A7">
        <w:rPr>
          <w:rFonts w:ascii="Times New Roman" w:eastAsia="PMingLiU" w:hAnsi="Times New Roman" w:cs="Times New Roman"/>
          <w:b/>
          <w:lang w:val="lt-LT"/>
        </w:rPr>
        <w:tab/>
        <w:t>TINKAMUMO LAIKAS</w:t>
      </w:r>
    </w:p>
    <w:p w14:paraId="73A305DB"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5DC"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EXP {mm</w:t>
      </w:r>
      <w:r w:rsidR="004070A0">
        <w:rPr>
          <w:rFonts w:ascii="Times New Roman" w:eastAsia="PMingLiU" w:hAnsi="Times New Roman" w:cs="Times New Roman"/>
          <w:lang w:val="lt-LT"/>
        </w:rPr>
        <w:t xml:space="preserve"> </w:t>
      </w:r>
      <w:r w:rsidRPr="00CC52A7">
        <w:rPr>
          <w:rFonts w:ascii="Times New Roman" w:eastAsia="PMingLiU" w:hAnsi="Times New Roman" w:cs="Times New Roman"/>
          <w:lang w:val="lt-LT"/>
        </w:rPr>
        <w:t>MMMM}</w:t>
      </w:r>
    </w:p>
    <w:p w14:paraId="73A305DD"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5DE"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5DF" w14:textId="77777777" w:rsidR="00DC55CF" w:rsidRPr="00CC52A7" w:rsidRDefault="00DC55CF" w:rsidP="00DC55C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40" w:hanging="540"/>
        <w:contextualSpacing/>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t>9.</w:t>
      </w:r>
      <w:r w:rsidRPr="00CC52A7">
        <w:rPr>
          <w:rFonts w:ascii="Times New Roman" w:eastAsia="PMingLiU" w:hAnsi="Times New Roman" w:cs="Times New Roman"/>
          <w:b/>
          <w:lang w:val="lt-LT"/>
        </w:rPr>
        <w:tab/>
        <w:t>SPECIALIOS LAIKYMO SĄLYGOS</w:t>
      </w:r>
    </w:p>
    <w:p w14:paraId="73A305E0"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5E1"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5E2" w14:textId="77777777" w:rsidR="00DC55CF" w:rsidRPr="00CC52A7" w:rsidRDefault="00DC55CF" w:rsidP="00DC55C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40" w:hanging="540"/>
        <w:contextualSpacing/>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t>10.</w:t>
      </w:r>
      <w:r w:rsidRPr="00CC52A7">
        <w:rPr>
          <w:rFonts w:ascii="Times New Roman" w:eastAsia="PMingLiU" w:hAnsi="Times New Roman" w:cs="Times New Roman"/>
          <w:b/>
          <w:lang w:val="lt-LT"/>
        </w:rPr>
        <w:tab/>
        <w:t>SPECIALIOS ATSARGUMO PRIEMONĖS</w:t>
      </w:r>
      <w:r w:rsidRPr="00CC52A7">
        <w:rPr>
          <w:rFonts w:ascii="Times New Roman" w:eastAsia="PMingLiU" w:hAnsi="Times New Roman" w:cs="Times New Roman"/>
          <w:sz w:val="24"/>
          <w:szCs w:val="20"/>
          <w:lang w:val="lt-LT"/>
        </w:rPr>
        <w:t xml:space="preserve"> </w:t>
      </w:r>
      <w:r w:rsidRPr="00CC52A7">
        <w:rPr>
          <w:rFonts w:ascii="Times New Roman" w:eastAsia="PMingLiU" w:hAnsi="Times New Roman" w:cs="Times New Roman"/>
          <w:b/>
          <w:lang w:val="lt-LT"/>
        </w:rPr>
        <w:t>DĖL NESUVARTOTO VAISTINIO PREPARATO AR JO ATLIEKŲ TVARKYMO (JEI REIKIA)</w:t>
      </w:r>
    </w:p>
    <w:p w14:paraId="73A305E3"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5E4"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5E5" w14:textId="77777777" w:rsidR="00DC55CF" w:rsidRPr="00CC52A7" w:rsidRDefault="00DC55CF" w:rsidP="00DC55C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40" w:hanging="540"/>
        <w:contextualSpacing/>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t>11.</w:t>
      </w:r>
      <w:r w:rsidRPr="00CC52A7">
        <w:rPr>
          <w:rFonts w:ascii="Times New Roman" w:eastAsia="PMingLiU" w:hAnsi="Times New Roman" w:cs="Times New Roman"/>
          <w:b/>
          <w:lang w:val="lt-LT"/>
        </w:rPr>
        <w:tab/>
        <w:t>REGISTRUOTOJO PAVADINIMAS IR ADRESAS</w:t>
      </w:r>
    </w:p>
    <w:p w14:paraId="73A305E6"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5E7"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lastRenderedPageBreak/>
        <w:t>Sandoz d.d.</w:t>
      </w:r>
    </w:p>
    <w:p w14:paraId="73A305E8"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Verovškova 57,</w:t>
      </w:r>
    </w:p>
    <w:p w14:paraId="73A305E9"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1000 Ljubljana,</w:t>
      </w:r>
    </w:p>
    <w:p w14:paraId="73A305EA"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Slovėnija</w:t>
      </w:r>
    </w:p>
    <w:p w14:paraId="73A305EB"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5EC"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5ED" w14:textId="77777777" w:rsidR="00DC55CF" w:rsidRPr="00CC52A7" w:rsidRDefault="00DC55CF" w:rsidP="00DC55C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40" w:hanging="540"/>
        <w:contextualSpacing/>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t>12.</w:t>
      </w:r>
      <w:r w:rsidRPr="00CC52A7">
        <w:rPr>
          <w:rFonts w:ascii="Times New Roman" w:eastAsia="PMingLiU" w:hAnsi="Times New Roman" w:cs="Times New Roman"/>
          <w:b/>
          <w:lang w:val="lt-LT"/>
        </w:rPr>
        <w:tab/>
        <w:t>REGISTRACIJOS PAŽYMĖJIMO NUMERIS</w:t>
      </w:r>
    </w:p>
    <w:p w14:paraId="73A305EE"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5EF"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LT/1/97/0324/003</w:t>
      </w:r>
    </w:p>
    <w:p w14:paraId="73A305F0"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5F1"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5F2" w14:textId="77777777" w:rsidR="00DC55CF" w:rsidRPr="00CC52A7" w:rsidRDefault="00DC55CF" w:rsidP="00DC55C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40" w:hanging="540"/>
        <w:contextualSpacing/>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t>13.</w:t>
      </w:r>
      <w:r w:rsidRPr="00CC52A7">
        <w:rPr>
          <w:rFonts w:ascii="Times New Roman" w:eastAsia="PMingLiU" w:hAnsi="Times New Roman" w:cs="Times New Roman"/>
          <w:b/>
          <w:lang w:val="lt-LT"/>
        </w:rPr>
        <w:tab/>
        <w:t>SERIJOS NUMERIS</w:t>
      </w:r>
    </w:p>
    <w:p w14:paraId="73A305F3"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5F4"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Lot {numeris}</w:t>
      </w:r>
    </w:p>
    <w:p w14:paraId="73A305F5"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5F6"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5F7" w14:textId="77777777" w:rsidR="00DC55CF" w:rsidRPr="00CC52A7" w:rsidRDefault="00DC55CF" w:rsidP="00DC55C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40" w:hanging="540"/>
        <w:contextualSpacing/>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t>14.</w:t>
      </w:r>
      <w:r w:rsidRPr="00CC52A7">
        <w:rPr>
          <w:rFonts w:ascii="Times New Roman" w:eastAsia="PMingLiU" w:hAnsi="Times New Roman" w:cs="Times New Roman"/>
          <w:b/>
          <w:lang w:val="lt-LT"/>
        </w:rPr>
        <w:tab/>
        <w:t>PARDAVIMO (IŠDAVIMO) TVARKA</w:t>
      </w:r>
    </w:p>
    <w:p w14:paraId="73A305F8"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5F9"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Receptinis vaistas.</w:t>
      </w:r>
    </w:p>
    <w:p w14:paraId="73A305FA"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5FB"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5FC" w14:textId="77777777" w:rsidR="00DC55CF" w:rsidRPr="00CC52A7" w:rsidRDefault="00DC55CF" w:rsidP="00DC55C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40" w:hanging="540"/>
        <w:contextualSpacing/>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t>15.</w:t>
      </w:r>
      <w:r w:rsidRPr="00CC52A7">
        <w:rPr>
          <w:rFonts w:ascii="Times New Roman" w:eastAsia="PMingLiU" w:hAnsi="Times New Roman" w:cs="Times New Roman"/>
          <w:b/>
          <w:lang w:val="lt-LT"/>
        </w:rPr>
        <w:tab/>
        <w:t>VARTOJIMO INSTRUKCIJA</w:t>
      </w:r>
    </w:p>
    <w:p w14:paraId="73A305FD"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5FE"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5FF" w14:textId="77777777" w:rsidR="00DC55CF" w:rsidRPr="00CC52A7" w:rsidRDefault="00DC55CF" w:rsidP="00DC55C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40" w:hanging="540"/>
        <w:contextualSpacing/>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t>16.</w:t>
      </w:r>
      <w:r w:rsidRPr="00CC52A7">
        <w:rPr>
          <w:rFonts w:ascii="Times New Roman" w:eastAsia="PMingLiU" w:hAnsi="Times New Roman" w:cs="Times New Roman"/>
          <w:b/>
          <w:lang w:val="lt-LT"/>
        </w:rPr>
        <w:tab/>
        <w:t>INFORMACIJA BRAILIO RAŠTU</w:t>
      </w:r>
    </w:p>
    <w:p w14:paraId="73A30600"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601"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Acic 400</w:t>
      </w:r>
      <w:r w:rsidR="004070A0">
        <w:rPr>
          <w:rFonts w:ascii="Times New Roman" w:eastAsia="PMingLiU" w:hAnsi="Times New Roman" w:cs="Times New Roman"/>
          <w:lang w:val="lt-LT"/>
        </w:rPr>
        <w:t> </w:t>
      </w:r>
      <w:r w:rsidRPr="00CC52A7">
        <w:rPr>
          <w:rFonts w:ascii="Times New Roman" w:eastAsia="PMingLiU" w:hAnsi="Times New Roman" w:cs="Times New Roman"/>
          <w:lang w:val="lt-LT"/>
        </w:rPr>
        <w:t xml:space="preserve">mg </w:t>
      </w:r>
    </w:p>
    <w:p w14:paraId="73A30602"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603" w14:textId="77777777" w:rsidR="00DC55CF" w:rsidRPr="00CC52A7" w:rsidRDefault="00DC55CF" w:rsidP="00DC55CF">
      <w:pPr>
        <w:tabs>
          <w:tab w:val="left" w:pos="567"/>
        </w:tabs>
        <w:spacing w:after="0" w:line="240" w:lineRule="auto"/>
        <w:contextualSpacing/>
        <w:rPr>
          <w:rFonts w:ascii="Times New Roman" w:eastAsia="Times New Roman" w:hAnsi="Times New Roman" w:cs="Times New Roman"/>
          <w:shd w:val="clear" w:color="auto" w:fill="CCCCCC"/>
          <w:lang w:val="lt-LT"/>
        </w:rPr>
      </w:pPr>
    </w:p>
    <w:p w14:paraId="73A30604" w14:textId="77777777" w:rsidR="00DC55CF" w:rsidRPr="00CC52A7" w:rsidRDefault="00DC55CF" w:rsidP="00DC55CF">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contextualSpacing/>
        <w:outlineLvl w:val="0"/>
        <w:rPr>
          <w:rFonts w:ascii="Times New Roman" w:eastAsia="Times New Roman" w:hAnsi="Times New Roman" w:cs="Times New Roman"/>
          <w:i/>
          <w:snapToGrid w:val="0"/>
          <w:szCs w:val="24"/>
          <w:lang w:val="lt-LT"/>
        </w:rPr>
      </w:pPr>
      <w:r w:rsidRPr="00CC52A7">
        <w:rPr>
          <w:rFonts w:ascii="Times New Roman" w:eastAsia="Times New Roman" w:hAnsi="Times New Roman" w:cs="Times New Roman"/>
          <w:b/>
          <w:snapToGrid w:val="0"/>
          <w:szCs w:val="20"/>
          <w:lang w:val="lt-LT"/>
        </w:rPr>
        <w:t>17.</w:t>
      </w:r>
      <w:r w:rsidRPr="00CC52A7">
        <w:rPr>
          <w:rFonts w:ascii="Times New Roman" w:eastAsia="Times New Roman" w:hAnsi="Times New Roman" w:cs="Times New Roman"/>
          <w:b/>
          <w:snapToGrid w:val="0"/>
          <w:szCs w:val="20"/>
          <w:lang w:val="lt-LT"/>
        </w:rPr>
        <w:tab/>
        <w:t>UNIKALUS IDENTIFIKATORIUS – 2D BRŪKŠNINIS KODAS</w:t>
      </w:r>
    </w:p>
    <w:p w14:paraId="73A30605" w14:textId="77777777" w:rsidR="00DC55CF" w:rsidRPr="00CC52A7" w:rsidRDefault="00DC55CF" w:rsidP="00DC55CF">
      <w:pPr>
        <w:tabs>
          <w:tab w:val="left" w:pos="567"/>
        </w:tabs>
        <w:spacing w:after="0" w:line="240" w:lineRule="auto"/>
        <w:contextualSpacing/>
        <w:rPr>
          <w:rFonts w:ascii="Times New Roman" w:eastAsia="Times New Roman" w:hAnsi="Times New Roman" w:cs="Times New Roman"/>
          <w:snapToGrid w:val="0"/>
          <w:szCs w:val="20"/>
          <w:lang w:val="lt-LT"/>
        </w:rPr>
      </w:pPr>
    </w:p>
    <w:p w14:paraId="73A30606" w14:textId="77777777" w:rsidR="00DC55CF" w:rsidRPr="00CC52A7" w:rsidRDefault="00DC55CF" w:rsidP="00DC55CF">
      <w:pPr>
        <w:tabs>
          <w:tab w:val="left" w:pos="567"/>
        </w:tabs>
        <w:spacing w:after="0" w:line="240" w:lineRule="auto"/>
        <w:contextualSpacing/>
        <w:rPr>
          <w:rFonts w:ascii="Times New Roman" w:eastAsia="Times New Roman" w:hAnsi="Times New Roman" w:cs="Times New Roman"/>
          <w:snapToGrid w:val="0"/>
          <w:shd w:val="clear" w:color="auto" w:fill="CCCCCC"/>
          <w:lang w:val="lt-LT"/>
        </w:rPr>
      </w:pPr>
      <w:r w:rsidRPr="00CC52A7">
        <w:rPr>
          <w:rFonts w:ascii="Times New Roman" w:eastAsia="Times New Roman" w:hAnsi="Times New Roman" w:cs="Times New Roman"/>
          <w:snapToGrid w:val="0"/>
          <w:szCs w:val="20"/>
          <w:highlight w:val="lightGray"/>
          <w:lang w:val="lt-LT"/>
        </w:rPr>
        <w:t>2D brūkšninis kodas su nurodytu unikaliu identifikatoriumi.</w:t>
      </w:r>
    </w:p>
    <w:p w14:paraId="73A30607" w14:textId="77777777" w:rsidR="00DC55CF" w:rsidRPr="00CC52A7" w:rsidRDefault="00DC55CF" w:rsidP="00DC55CF">
      <w:pPr>
        <w:tabs>
          <w:tab w:val="left" w:pos="567"/>
        </w:tabs>
        <w:spacing w:after="0" w:line="240" w:lineRule="auto"/>
        <w:contextualSpacing/>
        <w:rPr>
          <w:rFonts w:ascii="Times New Roman" w:eastAsia="Times New Roman" w:hAnsi="Times New Roman" w:cs="Times New Roman"/>
          <w:snapToGrid w:val="0"/>
          <w:szCs w:val="20"/>
          <w:lang w:val="lt-LT"/>
        </w:rPr>
      </w:pPr>
    </w:p>
    <w:p w14:paraId="73A30608" w14:textId="77777777" w:rsidR="00DC55CF" w:rsidRPr="00CC52A7" w:rsidRDefault="00DC55CF" w:rsidP="00DC55CF">
      <w:pPr>
        <w:tabs>
          <w:tab w:val="left" w:pos="567"/>
        </w:tabs>
        <w:spacing w:after="0" w:line="240" w:lineRule="auto"/>
        <w:contextualSpacing/>
        <w:rPr>
          <w:rFonts w:ascii="Times New Roman" w:eastAsia="Times New Roman" w:hAnsi="Times New Roman" w:cs="Times New Roman"/>
          <w:snapToGrid w:val="0"/>
          <w:szCs w:val="20"/>
          <w:lang w:val="lt-LT"/>
        </w:rPr>
      </w:pPr>
    </w:p>
    <w:p w14:paraId="73A30609" w14:textId="77777777" w:rsidR="00DC55CF" w:rsidRPr="00CC52A7" w:rsidRDefault="00DC55CF" w:rsidP="00DC55CF">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contextualSpacing/>
        <w:outlineLvl w:val="0"/>
        <w:rPr>
          <w:rFonts w:ascii="Times New Roman" w:eastAsia="Times New Roman" w:hAnsi="Times New Roman" w:cs="Times New Roman"/>
          <w:i/>
          <w:snapToGrid w:val="0"/>
          <w:szCs w:val="20"/>
          <w:lang w:val="lt-LT"/>
        </w:rPr>
      </w:pPr>
      <w:r w:rsidRPr="00CC52A7">
        <w:rPr>
          <w:rFonts w:ascii="Times New Roman" w:eastAsia="Times New Roman" w:hAnsi="Times New Roman" w:cs="Times New Roman"/>
          <w:b/>
          <w:snapToGrid w:val="0"/>
          <w:szCs w:val="20"/>
          <w:lang w:val="lt-LT"/>
        </w:rPr>
        <w:t>18.</w:t>
      </w:r>
      <w:r w:rsidRPr="00CC52A7">
        <w:rPr>
          <w:rFonts w:ascii="Times New Roman" w:eastAsia="Times New Roman" w:hAnsi="Times New Roman" w:cs="Times New Roman"/>
          <w:b/>
          <w:snapToGrid w:val="0"/>
          <w:szCs w:val="20"/>
          <w:lang w:val="lt-LT"/>
        </w:rPr>
        <w:tab/>
        <w:t>UNIKALUS IDENTIFIKATORIUS – ŽMONĖMS SUPRANTAMI DUOMENYS</w:t>
      </w:r>
    </w:p>
    <w:p w14:paraId="73A3060A" w14:textId="77777777" w:rsidR="00DC55CF" w:rsidRPr="00CC52A7" w:rsidRDefault="00DC55CF" w:rsidP="00DC55CF">
      <w:pPr>
        <w:tabs>
          <w:tab w:val="left" w:pos="567"/>
        </w:tabs>
        <w:spacing w:after="0" w:line="240" w:lineRule="auto"/>
        <w:contextualSpacing/>
        <w:rPr>
          <w:rFonts w:ascii="Times New Roman" w:eastAsia="Times New Roman" w:hAnsi="Times New Roman" w:cs="Times New Roman"/>
          <w:snapToGrid w:val="0"/>
          <w:szCs w:val="20"/>
          <w:lang w:val="lt-LT"/>
        </w:rPr>
      </w:pPr>
    </w:p>
    <w:p w14:paraId="73A3060B" w14:textId="77777777" w:rsidR="00DC55CF" w:rsidRPr="004B69BD" w:rsidRDefault="00DC55CF" w:rsidP="00DC55CF">
      <w:pPr>
        <w:tabs>
          <w:tab w:val="left" w:pos="567"/>
        </w:tabs>
        <w:spacing w:after="0" w:line="240" w:lineRule="auto"/>
        <w:contextualSpacing/>
        <w:rPr>
          <w:rFonts w:ascii="Times New Roman" w:eastAsia="Times New Roman" w:hAnsi="Times New Roman" w:cs="Times New Roman"/>
          <w:snapToGrid w:val="0"/>
          <w:color w:val="008000"/>
          <w:lang w:val="lt-LT"/>
        </w:rPr>
      </w:pPr>
      <w:r w:rsidRPr="004B69BD">
        <w:rPr>
          <w:rFonts w:ascii="Times New Roman" w:eastAsia="Times New Roman" w:hAnsi="Times New Roman" w:cs="Times New Roman"/>
          <w:snapToGrid w:val="0"/>
          <w:szCs w:val="20"/>
          <w:lang w:val="lt-LT"/>
        </w:rPr>
        <w:t>PC: {numeris}</w:t>
      </w:r>
    </w:p>
    <w:p w14:paraId="73A3060C" w14:textId="77777777" w:rsidR="00DC55CF" w:rsidRPr="004B69BD" w:rsidRDefault="00DC55CF" w:rsidP="00DC55CF">
      <w:pPr>
        <w:tabs>
          <w:tab w:val="left" w:pos="567"/>
        </w:tabs>
        <w:spacing w:after="0" w:line="240" w:lineRule="auto"/>
        <w:contextualSpacing/>
        <w:rPr>
          <w:rFonts w:ascii="Times New Roman" w:eastAsia="Times New Roman" w:hAnsi="Times New Roman" w:cs="Times New Roman"/>
          <w:snapToGrid w:val="0"/>
          <w:lang w:val="lt-LT"/>
        </w:rPr>
      </w:pPr>
      <w:r w:rsidRPr="004B69BD">
        <w:rPr>
          <w:rFonts w:ascii="Times New Roman" w:eastAsia="Times New Roman" w:hAnsi="Times New Roman" w:cs="Times New Roman"/>
          <w:snapToGrid w:val="0"/>
          <w:szCs w:val="20"/>
          <w:lang w:val="lt-LT"/>
        </w:rPr>
        <w:t>SN: {numeris}</w:t>
      </w:r>
    </w:p>
    <w:p w14:paraId="73A3060D" w14:textId="77777777" w:rsidR="00DC55CF" w:rsidRPr="004B69BD" w:rsidRDefault="00DC55CF" w:rsidP="00DC55CF">
      <w:pPr>
        <w:tabs>
          <w:tab w:val="left" w:pos="567"/>
        </w:tabs>
        <w:spacing w:after="0" w:line="240" w:lineRule="auto"/>
        <w:contextualSpacing/>
        <w:rPr>
          <w:rFonts w:ascii="Times New Roman" w:eastAsia="Times New Roman" w:hAnsi="Times New Roman" w:cs="Times New Roman"/>
          <w:snapToGrid w:val="0"/>
          <w:lang w:val="lt-LT"/>
        </w:rPr>
      </w:pPr>
      <w:r w:rsidRPr="004B69BD">
        <w:rPr>
          <w:rFonts w:ascii="Times New Roman" w:eastAsia="Times New Roman" w:hAnsi="Times New Roman" w:cs="Times New Roman"/>
          <w:snapToGrid w:val="0"/>
          <w:szCs w:val="20"/>
          <w:highlight w:val="lightGray"/>
          <w:lang w:val="lt-LT"/>
        </w:rPr>
        <w:t>NN: {numeris}</w:t>
      </w:r>
    </w:p>
    <w:p w14:paraId="73A3060E" w14:textId="77777777" w:rsidR="00DC55CF" w:rsidRPr="004B69BD" w:rsidRDefault="00DC55CF" w:rsidP="00DC55CF">
      <w:pPr>
        <w:tabs>
          <w:tab w:val="left" w:pos="567"/>
        </w:tabs>
        <w:spacing w:after="0" w:line="240" w:lineRule="auto"/>
        <w:contextualSpacing/>
        <w:rPr>
          <w:rFonts w:ascii="Times New Roman" w:eastAsia="Times New Roman" w:hAnsi="Times New Roman" w:cs="Times New Roman"/>
          <w:snapToGrid w:val="0"/>
          <w:vanish/>
          <w:lang w:val="lt-LT"/>
        </w:rPr>
      </w:pPr>
    </w:p>
    <w:p w14:paraId="73A3060F"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br w:type="page"/>
      </w:r>
    </w:p>
    <w:p w14:paraId="73A30610" w14:textId="77777777" w:rsidR="00DC55CF" w:rsidRPr="00CC52A7" w:rsidRDefault="00DC55CF" w:rsidP="00DC55C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lastRenderedPageBreak/>
        <w:t>MINIMALI INFORMACIJA ANT LIZDINIŲ PLOKŠTELIŲ ARBA DVISLUOKSNIŲ JUOSTELIŲ</w:t>
      </w:r>
    </w:p>
    <w:p w14:paraId="73A30611" w14:textId="77777777" w:rsidR="00DC55CF" w:rsidRPr="00CC52A7" w:rsidRDefault="00DC55CF" w:rsidP="00DC55C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612" w14:textId="77777777" w:rsidR="00DC55CF" w:rsidRPr="00CC52A7" w:rsidRDefault="00DC55CF" w:rsidP="00DC55C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t>LIZDINĖ PLOKŠTELĖ</w:t>
      </w:r>
    </w:p>
    <w:p w14:paraId="73A30613"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614"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615" w14:textId="77777777" w:rsidR="00DC55CF" w:rsidRPr="00CC52A7" w:rsidRDefault="00DC55CF" w:rsidP="00DC55C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40" w:hanging="540"/>
        <w:contextualSpacing/>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t>1.</w:t>
      </w:r>
      <w:r w:rsidRPr="00CC52A7">
        <w:rPr>
          <w:rFonts w:ascii="Times New Roman" w:eastAsia="PMingLiU" w:hAnsi="Times New Roman" w:cs="Times New Roman"/>
          <w:b/>
          <w:lang w:val="lt-LT"/>
        </w:rPr>
        <w:tab/>
        <w:t>VAISTINIO PREPARATO PAVADINIMAS</w:t>
      </w:r>
    </w:p>
    <w:p w14:paraId="73A30616"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617"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Acic 400</w:t>
      </w:r>
      <w:r w:rsidR="004070A0">
        <w:rPr>
          <w:rFonts w:ascii="Times New Roman" w:eastAsia="PMingLiU" w:hAnsi="Times New Roman" w:cs="Times New Roman"/>
          <w:lang w:val="lt-LT"/>
        </w:rPr>
        <w:t> </w:t>
      </w:r>
      <w:r w:rsidRPr="00CC52A7">
        <w:rPr>
          <w:rFonts w:ascii="Times New Roman" w:eastAsia="PMingLiU" w:hAnsi="Times New Roman" w:cs="Times New Roman"/>
          <w:lang w:val="lt-LT"/>
        </w:rPr>
        <w:t xml:space="preserve">mg tabletės </w:t>
      </w:r>
    </w:p>
    <w:p w14:paraId="73A30618" w14:textId="77110DA9" w:rsidR="00DC55CF" w:rsidRPr="00CC52A7" w:rsidRDefault="00481A84"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roofErr w:type="spellStart"/>
      <w:r>
        <w:rPr>
          <w:rFonts w:ascii="Times New Roman" w:eastAsia="PMingLiU" w:hAnsi="Times New Roman" w:cs="Times New Roman"/>
          <w:lang w:val="lt-LT"/>
        </w:rPr>
        <w:t>acikloviras</w:t>
      </w:r>
      <w:proofErr w:type="spellEnd"/>
    </w:p>
    <w:p w14:paraId="73A30619"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61A"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61B" w14:textId="77777777" w:rsidR="00DC55CF" w:rsidRPr="00CC52A7" w:rsidRDefault="00DC55CF" w:rsidP="00DC55C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40" w:hanging="540"/>
        <w:contextualSpacing/>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t>2.</w:t>
      </w:r>
      <w:r w:rsidRPr="00CC52A7">
        <w:rPr>
          <w:rFonts w:ascii="Times New Roman" w:eastAsia="PMingLiU" w:hAnsi="Times New Roman" w:cs="Times New Roman"/>
          <w:b/>
          <w:lang w:val="lt-LT"/>
        </w:rPr>
        <w:tab/>
        <w:t xml:space="preserve">REGISTRUOTOJO PAVADINIMAS </w:t>
      </w:r>
    </w:p>
    <w:p w14:paraId="73A3061C"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61D"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SANDOZ</w:t>
      </w:r>
    </w:p>
    <w:p w14:paraId="73A3061E"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61F"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620" w14:textId="77777777" w:rsidR="00DC55CF" w:rsidRPr="00CC52A7" w:rsidRDefault="00DC55CF" w:rsidP="00DC55C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40" w:hanging="540"/>
        <w:contextualSpacing/>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t>3.</w:t>
      </w:r>
      <w:r w:rsidRPr="00CC52A7">
        <w:rPr>
          <w:rFonts w:ascii="Times New Roman" w:eastAsia="PMingLiU" w:hAnsi="Times New Roman" w:cs="Times New Roman"/>
          <w:b/>
          <w:lang w:val="lt-LT"/>
        </w:rPr>
        <w:tab/>
        <w:t>TINKAMUMO LAIKAS</w:t>
      </w:r>
    </w:p>
    <w:p w14:paraId="73A30621"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622"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4B69BD">
        <w:rPr>
          <w:rFonts w:ascii="Times New Roman" w:eastAsia="PMingLiU" w:hAnsi="Times New Roman" w:cs="Times New Roman"/>
          <w:highlight w:val="lightGray"/>
          <w:lang w:val="lt-LT"/>
        </w:rPr>
        <w:t xml:space="preserve">EXP </w:t>
      </w:r>
      <w:r w:rsidRPr="00CC52A7">
        <w:rPr>
          <w:rFonts w:ascii="Times New Roman" w:eastAsia="PMingLiU" w:hAnsi="Times New Roman" w:cs="Times New Roman"/>
          <w:lang w:val="lt-LT"/>
        </w:rPr>
        <w:t>{mm MMMM}</w:t>
      </w:r>
    </w:p>
    <w:p w14:paraId="73A30623"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624"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625" w14:textId="77777777" w:rsidR="00DC55CF" w:rsidRPr="00CC52A7" w:rsidRDefault="00DC55CF" w:rsidP="00DC55C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40" w:hanging="540"/>
        <w:contextualSpacing/>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t>4.</w:t>
      </w:r>
      <w:r w:rsidRPr="00CC52A7">
        <w:rPr>
          <w:rFonts w:ascii="Times New Roman" w:eastAsia="PMingLiU" w:hAnsi="Times New Roman" w:cs="Times New Roman"/>
          <w:b/>
          <w:lang w:val="lt-LT"/>
        </w:rPr>
        <w:tab/>
        <w:t xml:space="preserve">SERIJOS NUMERIS </w:t>
      </w:r>
    </w:p>
    <w:p w14:paraId="73A30626"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627"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4B69BD">
        <w:rPr>
          <w:rFonts w:ascii="Times New Roman" w:eastAsia="PMingLiU" w:hAnsi="Times New Roman" w:cs="Times New Roman"/>
          <w:highlight w:val="lightGray"/>
          <w:lang w:val="lt-LT"/>
        </w:rPr>
        <w:t xml:space="preserve">Lot </w:t>
      </w:r>
      <w:r w:rsidRPr="00CC52A7">
        <w:rPr>
          <w:rFonts w:ascii="Times New Roman" w:eastAsia="PMingLiU" w:hAnsi="Times New Roman" w:cs="Times New Roman"/>
          <w:lang w:val="lt-LT"/>
        </w:rPr>
        <w:t>{numeris}</w:t>
      </w:r>
    </w:p>
    <w:p w14:paraId="73A30628"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629" w14:textId="77777777" w:rsidR="00CC52A7" w:rsidRPr="00CC52A7" w:rsidRDefault="00CC52A7"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62A" w14:textId="77777777" w:rsidR="00DC55CF" w:rsidRPr="00CC52A7" w:rsidRDefault="00DC55CF" w:rsidP="00DC55C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t>5.</w:t>
      </w:r>
      <w:r w:rsidRPr="00CC52A7">
        <w:rPr>
          <w:rFonts w:ascii="Times New Roman" w:eastAsia="PMingLiU" w:hAnsi="Times New Roman" w:cs="Times New Roman"/>
          <w:b/>
          <w:lang w:val="lt-LT"/>
        </w:rPr>
        <w:tab/>
        <w:t>KITA</w:t>
      </w:r>
    </w:p>
    <w:p w14:paraId="73A3062B"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62C"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62D"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br w:type="page"/>
      </w:r>
    </w:p>
    <w:p w14:paraId="73A3062E" w14:textId="77777777" w:rsidR="00DC55CF" w:rsidRPr="00CC52A7" w:rsidRDefault="00DC55CF" w:rsidP="00DC55CF">
      <w:pPr>
        <w:spacing w:after="0" w:line="240" w:lineRule="auto"/>
        <w:contextualSpacing/>
        <w:outlineLvl w:val="0"/>
        <w:rPr>
          <w:rFonts w:ascii="Times New Roman" w:eastAsia="PMingLiU" w:hAnsi="Times New Roman" w:cs="Times New Roman"/>
          <w:b/>
          <w:bCs/>
          <w:kern w:val="28"/>
          <w:lang w:val="lt-LT"/>
        </w:rPr>
      </w:pPr>
    </w:p>
    <w:p w14:paraId="73A3062F" w14:textId="77777777" w:rsidR="00DC55CF" w:rsidRPr="00CC52A7" w:rsidRDefault="00DC55CF" w:rsidP="00DC55CF">
      <w:pPr>
        <w:spacing w:after="0" w:line="240" w:lineRule="auto"/>
        <w:contextualSpacing/>
        <w:outlineLvl w:val="0"/>
        <w:rPr>
          <w:rFonts w:ascii="Times New Roman" w:eastAsia="PMingLiU" w:hAnsi="Times New Roman" w:cs="Times New Roman"/>
          <w:b/>
          <w:bCs/>
          <w:kern w:val="28"/>
          <w:lang w:val="lt-LT"/>
        </w:rPr>
      </w:pPr>
    </w:p>
    <w:p w14:paraId="73A30630" w14:textId="77777777" w:rsidR="00DC55CF" w:rsidRPr="00CC52A7" w:rsidRDefault="00DC55CF" w:rsidP="00DC55CF">
      <w:pPr>
        <w:spacing w:after="0" w:line="240" w:lineRule="auto"/>
        <w:contextualSpacing/>
        <w:outlineLvl w:val="0"/>
        <w:rPr>
          <w:rFonts w:ascii="Times New Roman" w:eastAsia="PMingLiU" w:hAnsi="Times New Roman" w:cs="Times New Roman"/>
          <w:b/>
          <w:bCs/>
          <w:kern w:val="28"/>
          <w:lang w:val="lt-LT"/>
        </w:rPr>
      </w:pPr>
    </w:p>
    <w:p w14:paraId="73A30631" w14:textId="77777777" w:rsidR="00DC55CF" w:rsidRPr="00CC52A7" w:rsidRDefault="00DC55CF" w:rsidP="00DC55CF">
      <w:pPr>
        <w:spacing w:after="0" w:line="240" w:lineRule="auto"/>
        <w:contextualSpacing/>
        <w:outlineLvl w:val="0"/>
        <w:rPr>
          <w:rFonts w:ascii="Times New Roman" w:eastAsia="PMingLiU" w:hAnsi="Times New Roman" w:cs="Times New Roman"/>
          <w:b/>
          <w:bCs/>
          <w:kern w:val="28"/>
          <w:lang w:val="lt-LT"/>
        </w:rPr>
      </w:pPr>
    </w:p>
    <w:p w14:paraId="73A30632" w14:textId="77777777" w:rsidR="00DC55CF" w:rsidRPr="00CC52A7" w:rsidRDefault="00DC55CF" w:rsidP="00DC55CF">
      <w:pPr>
        <w:spacing w:after="0" w:line="240" w:lineRule="auto"/>
        <w:contextualSpacing/>
        <w:outlineLvl w:val="0"/>
        <w:rPr>
          <w:rFonts w:ascii="Times New Roman" w:eastAsia="PMingLiU" w:hAnsi="Times New Roman" w:cs="Times New Roman"/>
          <w:b/>
          <w:bCs/>
          <w:kern w:val="28"/>
          <w:lang w:val="lt-LT"/>
        </w:rPr>
      </w:pPr>
    </w:p>
    <w:p w14:paraId="73A30633" w14:textId="77777777" w:rsidR="00DC55CF" w:rsidRPr="00CC52A7" w:rsidRDefault="00DC55CF" w:rsidP="00DC55CF">
      <w:pPr>
        <w:spacing w:after="0" w:line="240" w:lineRule="auto"/>
        <w:contextualSpacing/>
        <w:outlineLvl w:val="0"/>
        <w:rPr>
          <w:rFonts w:ascii="Times New Roman" w:eastAsia="PMingLiU" w:hAnsi="Times New Roman" w:cs="Times New Roman"/>
          <w:b/>
          <w:bCs/>
          <w:kern w:val="28"/>
          <w:lang w:val="lt-LT"/>
        </w:rPr>
      </w:pPr>
    </w:p>
    <w:p w14:paraId="73A30634" w14:textId="77777777" w:rsidR="00DC55CF" w:rsidRPr="00CC52A7" w:rsidRDefault="00DC55CF" w:rsidP="00DC55CF">
      <w:pPr>
        <w:spacing w:after="0" w:line="240" w:lineRule="auto"/>
        <w:contextualSpacing/>
        <w:outlineLvl w:val="0"/>
        <w:rPr>
          <w:rFonts w:ascii="Times New Roman" w:eastAsia="PMingLiU" w:hAnsi="Times New Roman" w:cs="Times New Roman"/>
          <w:b/>
          <w:bCs/>
          <w:kern w:val="28"/>
          <w:lang w:val="lt-LT"/>
        </w:rPr>
      </w:pPr>
    </w:p>
    <w:p w14:paraId="73A30635" w14:textId="77777777" w:rsidR="00DC55CF" w:rsidRPr="00CC52A7" w:rsidRDefault="00DC55CF" w:rsidP="00DC55CF">
      <w:pPr>
        <w:spacing w:after="0" w:line="240" w:lineRule="auto"/>
        <w:contextualSpacing/>
        <w:outlineLvl w:val="0"/>
        <w:rPr>
          <w:rFonts w:ascii="Times New Roman" w:eastAsia="PMingLiU" w:hAnsi="Times New Roman" w:cs="Times New Roman"/>
          <w:b/>
          <w:bCs/>
          <w:kern w:val="28"/>
          <w:lang w:val="lt-LT"/>
        </w:rPr>
      </w:pPr>
    </w:p>
    <w:p w14:paraId="73A30636" w14:textId="77777777" w:rsidR="00DC55CF" w:rsidRPr="00CC52A7" w:rsidRDefault="00DC55CF" w:rsidP="00DC55CF">
      <w:pPr>
        <w:spacing w:after="0" w:line="240" w:lineRule="auto"/>
        <w:contextualSpacing/>
        <w:outlineLvl w:val="0"/>
        <w:rPr>
          <w:rFonts w:ascii="Times New Roman" w:eastAsia="PMingLiU" w:hAnsi="Times New Roman" w:cs="Times New Roman"/>
          <w:b/>
          <w:bCs/>
          <w:kern w:val="28"/>
          <w:lang w:val="lt-LT"/>
        </w:rPr>
      </w:pPr>
    </w:p>
    <w:p w14:paraId="73A30637" w14:textId="77777777" w:rsidR="00DC55CF" w:rsidRPr="00CC52A7" w:rsidRDefault="00DC55CF" w:rsidP="00DC55CF">
      <w:pPr>
        <w:spacing w:after="0" w:line="240" w:lineRule="auto"/>
        <w:contextualSpacing/>
        <w:outlineLvl w:val="0"/>
        <w:rPr>
          <w:rFonts w:ascii="Times New Roman" w:eastAsia="PMingLiU" w:hAnsi="Times New Roman" w:cs="Times New Roman"/>
          <w:b/>
          <w:bCs/>
          <w:kern w:val="28"/>
          <w:lang w:val="lt-LT"/>
        </w:rPr>
      </w:pPr>
    </w:p>
    <w:p w14:paraId="73A30638" w14:textId="77777777" w:rsidR="00DC55CF" w:rsidRPr="00CC52A7" w:rsidRDefault="00DC55CF" w:rsidP="00DC55CF">
      <w:pPr>
        <w:spacing w:after="0" w:line="240" w:lineRule="auto"/>
        <w:contextualSpacing/>
        <w:outlineLvl w:val="0"/>
        <w:rPr>
          <w:rFonts w:ascii="Times New Roman" w:eastAsia="PMingLiU" w:hAnsi="Times New Roman" w:cs="Times New Roman"/>
          <w:b/>
          <w:bCs/>
          <w:kern w:val="28"/>
          <w:lang w:val="lt-LT"/>
        </w:rPr>
      </w:pPr>
    </w:p>
    <w:p w14:paraId="73A30639" w14:textId="77777777" w:rsidR="00DC55CF" w:rsidRPr="00CC52A7" w:rsidRDefault="00DC55CF" w:rsidP="00DC55CF">
      <w:pPr>
        <w:spacing w:after="0" w:line="240" w:lineRule="auto"/>
        <w:contextualSpacing/>
        <w:outlineLvl w:val="0"/>
        <w:rPr>
          <w:rFonts w:ascii="Times New Roman" w:eastAsia="PMingLiU" w:hAnsi="Times New Roman" w:cs="Times New Roman"/>
          <w:b/>
          <w:bCs/>
          <w:kern w:val="28"/>
          <w:lang w:val="lt-LT"/>
        </w:rPr>
      </w:pPr>
    </w:p>
    <w:p w14:paraId="73A3063A" w14:textId="77777777" w:rsidR="00DC55CF" w:rsidRPr="00CC52A7" w:rsidRDefault="00DC55CF" w:rsidP="00DC55CF">
      <w:pPr>
        <w:spacing w:after="0" w:line="240" w:lineRule="auto"/>
        <w:contextualSpacing/>
        <w:outlineLvl w:val="0"/>
        <w:rPr>
          <w:rFonts w:ascii="Times New Roman" w:eastAsia="PMingLiU" w:hAnsi="Times New Roman" w:cs="Times New Roman"/>
          <w:b/>
          <w:bCs/>
          <w:kern w:val="28"/>
          <w:lang w:val="lt-LT"/>
        </w:rPr>
      </w:pPr>
    </w:p>
    <w:p w14:paraId="73A3063B" w14:textId="77777777" w:rsidR="00DC55CF" w:rsidRPr="00CC52A7" w:rsidRDefault="00DC55CF" w:rsidP="00DC55CF">
      <w:pPr>
        <w:spacing w:after="0" w:line="240" w:lineRule="auto"/>
        <w:contextualSpacing/>
        <w:outlineLvl w:val="0"/>
        <w:rPr>
          <w:rFonts w:ascii="Times New Roman" w:eastAsia="PMingLiU" w:hAnsi="Times New Roman" w:cs="Times New Roman"/>
          <w:b/>
          <w:bCs/>
          <w:kern w:val="28"/>
          <w:lang w:val="lt-LT"/>
        </w:rPr>
      </w:pPr>
    </w:p>
    <w:p w14:paraId="73A3063C" w14:textId="77777777" w:rsidR="00DC55CF" w:rsidRPr="00CC52A7" w:rsidRDefault="00DC55CF" w:rsidP="00DC55CF">
      <w:pPr>
        <w:spacing w:after="0" w:line="240" w:lineRule="auto"/>
        <w:contextualSpacing/>
        <w:outlineLvl w:val="0"/>
        <w:rPr>
          <w:rFonts w:ascii="Times New Roman" w:eastAsia="PMingLiU" w:hAnsi="Times New Roman" w:cs="Times New Roman"/>
          <w:b/>
          <w:bCs/>
          <w:kern w:val="28"/>
          <w:lang w:val="lt-LT"/>
        </w:rPr>
      </w:pPr>
    </w:p>
    <w:p w14:paraId="73A3063D" w14:textId="77777777" w:rsidR="00DC55CF" w:rsidRPr="00CC52A7" w:rsidRDefault="00DC55CF" w:rsidP="00DC55CF">
      <w:pPr>
        <w:spacing w:after="0" w:line="240" w:lineRule="auto"/>
        <w:contextualSpacing/>
        <w:outlineLvl w:val="0"/>
        <w:rPr>
          <w:rFonts w:ascii="Times New Roman" w:eastAsia="PMingLiU" w:hAnsi="Times New Roman" w:cs="Times New Roman"/>
          <w:b/>
          <w:bCs/>
          <w:kern w:val="28"/>
          <w:lang w:val="lt-LT"/>
        </w:rPr>
      </w:pPr>
    </w:p>
    <w:p w14:paraId="73A3063E" w14:textId="77777777" w:rsidR="00DC55CF" w:rsidRPr="00CC52A7" w:rsidRDefault="00DC55CF" w:rsidP="00DC55CF">
      <w:pPr>
        <w:spacing w:after="0" w:line="240" w:lineRule="auto"/>
        <w:contextualSpacing/>
        <w:outlineLvl w:val="0"/>
        <w:rPr>
          <w:rFonts w:ascii="Times New Roman" w:eastAsia="PMingLiU" w:hAnsi="Times New Roman" w:cs="Times New Roman"/>
          <w:b/>
          <w:bCs/>
          <w:kern w:val="28"/>
          <w:lang w:val="lt-LT"/>
        </w:rPr>
      </w:pPr>
    </w:p>
    <w:p w14:paraId="73A3063F" w14:textId="77777777" w:rsidR="00DC55CF" w:rsidRPr="00CC52A7" w:rsidRDefault="00DC55CF" w:rsidP="00DC55CF">
      <w:pPr>
        <w:spacing w:after="0" w:line="240" w:lineRule="auto"/>
        <w:contextualSpacing/>
        <w:outlineLvl w:val="0"/>
        <w:rPr>
          <w:rFonts w:ascii="Times New Roman" w:eastAsia="PMingLiU" w:hAnsi="Times New Roman" w:cs="Times New Roman"/>
          <w:b/>
          <w:bCs/>
          <w:kern w:val="28"/>
          <w:lang w:val="lt-LT"/>
        </w:rPr>
      </w:pPr>
    </w:p>
    <w:p w14:paraId="73A30640" w14:textId="77777777" w:rsidR="00DC55CF" w:rsidRPr="00CC52A7" w:rsidRDefault="00DC55CF" w:rsidP="00DC55CF">
      <w:pPr>
        <w:spacing w:after="0" w:line="240" w:lineRule="auto"/>
        <w:contextualSpacing/>
        <w:outlineLvl w:val="0"/>
        <w:rPr>
          <w:rFonts w:ascii="Times New Roman" w:eastAsia="PMingLiU" w:hAnsi="Times New Roman" w:cs="Times New Roman"/>
          <w:b/>
          <w:bCs/>
          <w:kern w:val="28"/>
          <w:lang w:val="lt-LT"/>
        </w:rPr>
      </w:pPr>
    </w:p>
    <w:p w14:paraId="73A30641" w14:textId="77777777" w:rsidR="00DC55CF" w:rsidRPr="00CC52A7" w:rsidRDefault="00DC55CF" w:rsidP="00DC55CF">
      <w:pPr>
        <w:spacing w:after="0" w:line="240" w:lineRule="auto"/>
        <w:contextualSpacing/>
        <w:outlineLvl w:val="0"/>
        <w:rPr>
          <w:rFonts w:ascii="Times New Roman" w:eastAsia="PMingLiU" w:hAnsi="Times New Roman" w:cs="Times New Roman"/>
          <w:b/>
          <w:bCs/>
          <w:kern w:val="28"/>
          <w:lang w:val="lt-LT"/>
        </w:rPr>
      </w:pPr>
    </w:p>
    <w:p w14:paraId="73A30642" w14:textId="77777777" w:rsidR="00DC55CF" w:rsidRPr="00CC52A7" w:rsidRDefault="00DC55CF" w:rsidP="00DC55CF">
      <w:pPr>
        <w:spacing w:after="0" w:line="240" w:lineRule="auto"/>
        <w:contextualSpacing/>
        <w:outlineLvl w:val="0"/>
        <w:rPr>
          <w:rFonts w:ascii="Times New Roman" w:eastAsia="PMingLiU" w:hAnsi="Times New Roman" w:cs="Times New Roman"/>
          <w:b/>
          <w:bCs/>
          <w:kern w:val="28"/>
          <w:lang w:val="lt-LT"/>
        </w:rPr>
      </w:pPr>
    </w:p>
    <w:p w14:paraId="73A30643" w14:textId="77777777" w:rsidR="00DC55CF" w:rsidRPr="00CC52A7" w:rsidRDefault="00DC55CF" w:rsidP="00DC55CF">
      <w:pPr>
        <w:spacing w:after="0" w:line="240" w:lineRule="auto"/>
        <w:contextualSpacing/>
        <w:jc w:val="center"/>
        <w:outlineLvl w:val="0"/>
        <w:rPr>
          <w:rFonts w:ascii="Times New Roman" w:eastAsia="PMingLiU" w:hAnsi="Times New Roman" w:cs="Times New Roman"/>
          <w:b/>
          <w:bCs/>
          <w:kern w:val="28"/>
          <w:lang w:val="lt-LT"/>
        </w:rPr>
      </w:pPr>
    </w:p>
    <w:p w14:paraId="73A30644" w14:textId="77777777" w:rsidR="00DC55CF" w:rsidRPr="00CC52A7" w:rsidRDefault="00DC55CF" w:rsidP="00DC55CF">
      <w:pPr>
        <w:spacing w:after="0" w:line="240" w:lineRule="auto"/>
        <w:contextualSpacing/>
        <w:jc w:val="center"/>
        <w:outlineLvl w:val="0"/>
        <w:rPr>
          <w:rFonts w:ascii="Times New Roman" w:eastAsia="PMingLiU" w:hAnsi="Times New Roman" w:cs="Times New Roman"/>
          <w:b/>
          <w:bCs/>
          <w:kern w:val="28"/>
          <w:lang w:val="lt-LT"/>
        </w:rPr>
      </w:pPr>
      <w:r w:rsidRPr="00CC52A7">
        <w:rPr>
          <w:rFonts w:ascii="Times New Roman" w:eastAsia="PMingLiU" w:hAnsi="Times New Roman" w:cs="Times New Roman"/>
          <w:b/>
          <w:bCs/>
          <w:kern w:val="28"/>
          <w:lang w:val="lt-LT"/>
        </w:rPr>
        <w:t>B. PAKUOTĖS LAPELIS</w:t>
      </w:r>
    </w:p>
    <w:p w14:paraId="73A30645" w14:textId="77777777" w:rsidR="00DC55CF" w:rsidRPr="00CC52A7" w:rsidRDefault="00DC55CF" w:rsidP="00DC55CF">
      <w:pPr>
        <w:spacing w:after="0" w:line="240" w:lineRule="auto"/>
        <w:contextualSpacing/>
        <w:outlineLvl w:val="0"/>
        <w:rPr>
          <w:rFonts w:ascii="Times New Roman" w:eastAsia="PMingLiU" w:hAnsi="Times New Roman" w:cs="Times New Roman"/>
          <w:b/>
          <w:bCs/>
          <w:kern w:val="28"/>
          <w:lang w:val="lt-LT"/>
        </w:rPr>
      </w:pPr>
    </w:p>
    <w:p w14:paraId="73A30646" w14:textId="77777777" w:rsidR="00DC55CF" w:rsidRPr="00CC52A7" w:rsidRDefault="00DC55CF" w:rsidP="00DC55CF">
      <w:pPr>
        <w:spacing w:after="0" w:line="240" w:lineRule="auto"/>
        <w:contextualSpacing/>
        <w:outlineLvl w:val="0"/>
        <w:rPr>
          <w:rFonts w:ascii="Times New Roman" w:eastAsia="PMingLiU" w:hAnsi="Times New Roman" w:cs="Times New Roman"/>
          <w:b/>
          <w:bCs/>
          <w:kern w:val="28"/>
          <w:lang w:val="lt-LT"/>
        </w:rPr>
      </w:pPr>
    </w:p>
    <w:p w14:paraId="73A30647" w14:textId="77777777" w:rsidR="00DC55CF" w:rsidRPr="00CC52A7" w:rsidRDefault="00DC55CF" w:rsidP="00DC55CF">
      <w:pPr>
        <w:spacing w:after="0" w:line="240" w:lineRule="auto"/>
        <w:contextualSpacing/>
        <w:rPr>
          <w:rFonts w:ascii="Times New Roman" w:eastAsia="PMingLiU" w:hAnsi="Times New Roman" w:cs="Times New Roman"/>
          <w:b/>
          <w:bCs/>
          <w:kern w:val="28"/>
          <w:lang w:val="lt-LT"/>
        </w:rPr>
      </w:pPr>
      <w:r w:rsidRPr="00CC52A7">
        <w:rPr>
          <w:rFonts w:ascii="Times New Roman" w:eastAsia="PMingLiU" w:hAnsi="Times New Roman" w:cs="Times New Roman"/>
          <w:lang w:val="lt-LT"/>
        </w:rPr>
        <w:br w:type="page"/>
      </w:r>
    </w:p>
    <w:p w14:paraId="73A30648" w14:textId="77777777" w:rsidR="00DC55CF" w:rsidRPr="00CC52A7" w:rsidRDefault="00DC55CF" w:rsidP="00DC55CF">
      <w:pPr>
        <w:keepNext/>
        <w:overflowPunct w:val="0"/>
        <w:autoSpaceDE w:val="0"/>
        <w:autoSpaceDN w:val="0"/>
        <w:adjustRightInd w:val="0"/>
        <w:spacing w:after="0" w:line="240" w:lineRule="auto"/>
        <w:contextualSpacing/>
        <w:jc w:val="center"/>
        <w:textAlignment w:val="baseline"/>
        <w:outlineLvl w:val="0"/>
        <w:rPr>
          <w:rFonts w:ascii="Times New Roman" w:eastAsia="PMingLiU" w:hAnsi="Times New Roman" w:cs="Times New Roman"/>
          <w:b/>
          <w:iCs/>
          <w:lang w:val="lt-LT"/>
        </w:rPr>
      </w:pPr>
      <w:r w:rsidRPr="00CC52A7">
        <w:rPr>
          <w:rFonts w:ascii="Times New Roman" w:eastAsia="PMingLiU" w:hAnsi="Times New Roman" w:cs="Times New Roman"/>
          <w:b/>
          <w:iCs/>
          <w:lang w:val="lt-LT"/>
        </w:rPr>
        <w:lastRenderedPageBreak/>
        <w:t>Pakuotės lapelis:</w:t>
      </w:r>
      <w:r w:rsidRPr="00CC52A7">
        <w:rPr>
          <w:rFonts w:ascii="Times New Roman" w:eastAsia="PMingLiU" w:hAnsi="Times New Roman" w:cs="Times New Roman"/>
          <w:b/>
          <w:bCs/>
          <w:iCs/>
          <w:lang w:val="lt-LT"/>
        </w:rPr>
        <w:t xml:space="preserve"> </w:t>
      </w:r>
      <w:r w:rsidRPr="00CC52A7">
        <w:rPr>
          <w:rFonts w:ascii="Times New Roman" w:eastAsia="PMingLiU" w:hAnsi="Times New Roman" w:cs="Times New Roman"/>
          <w:b/>
          <w:iCs/>
          <w:lang w:val="lt-LT"/>
        </w:rPr>
        <w:t xml:space="preserve">informacija vartotojui </w:t>
      </w:r>
    </w:p>
    <w:p w14:paraId="73A30649" w14:textId="77777777" w:rsidR="00DC55CF" w:rsidRPr="00CC52A7" w:rsidRDefault="00DC55CF" w:rsidP="00DC55CF">
      <w:pPr>
        <w:overflowPunct w:val="0"/>
        <w:autoSpaceDE w:val="0"/>
        <w:autoSpaceDN w:val="0"/>
        <w:adjustRightInd w:val="0"/>
        <w:spacing w:after="0" w:line="240" w:lineRule="auto"/>
        <w:contextualSpacing/>
        <w:jc w:val="center"/>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t>Acic 400</w:t>
      </w:r>
      <w:r w:rsidR="004070A0">
        <w:rPr>
          <w:rFonts w:ascii="Times New Roman" w:eastAsia="PMingLiU" w:hAnsi="Times New Roman" w:cs="Times New Roman"/>
          <w:b/>
          <w:lang w:val="lt-LT"/>
        </w:rPr>
        <w:t> </w:t>
      </w:r>
      <w:r w:rsidRPr="00CC52A7">
        <w:rPr>
          <w:rFonts w:ascii="Times New Roman" w:eastAsia="PMingLiU" w:hAnsi="Times New Roman" w:cs="Times New Roman"/>
          <w:b/>
          <w:lang w:val="lt-LT"/>
        </w:rPr>
        <w:t>mg tabletės</w:t>
      </w:r>
    </w:p>
    <w:p w14:paraId="73A3064A" w14:textId="77777777" w:rsidR="00DC55CF" w:rsidRPr="00CC52A7" w:rsidRDefault="00DC55CF" w:rsidP="00DC55CF">
      <w:pPr>
        <w:overflowPunct w:val="0"/>
        <w:autoSpaceDE w:val="0"/>
        <w:autoSpaceDN w:val="0"/>
        <w:adjustRightInd w:val="0"/>
        <w:spacing w:after="0" w:line="240" w:lineRule="auto"/>
        <w:contextualSpacing/>
        <w:jc w:val="center"/>
        <w:textAlignment w:val="baseline"/>
        <w:rPr>
          <w:rFonts w:ascii="Times New Roman" w:eastAsia="PMingLiU" w:hAnsi="Times New Roman" w:cs="Times New Roman"/>
          <w:b/>
          <w:lang w:val="lt-LT"/>
        </w:rPr>
      </w:pPr>
    </w:p>
    <w:p w14:paraId="73A3064B" w14:textId="77777777" w:rsidR="00DC55CF" w:rsidRPr="00CC52A7" w:rsidRDefault="00DC55CF" w:rsidP="00DC55CF">
      <w:pPr>
        <w:overflowPunct w:val="0"/>
        <w:autoSpaceDE w:val="0"/>
        <w:autoSpaceDN w:val="0"/>
        <w:adjustRightInd w:val="0"/>
        <w:spacing w:after="0" w:line="240" w:lineRule="auto"/>
        <w:contextualSpacing/>
        <w:jc w:val="center"/>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Acikloviras</w:t>
      </w:r>
    </w:p>
    <w:p w14:paraId="73A3064C" w14:textId="77777777" w:rsidR="00DC55CF" w:rsidRPr="00CC52A7" w:rsidRDefault="00DC55CF" w:rsidP="00DC55CF">
      <w:pPr>
        <w:overflowPunct w:val="0"/>
        <w:autoSpaceDE w:val="0"/>
        <w:autoSpaceDN w:val="0"/>
        <w:adjustRightInd w:val="0"/>
        <w:spacing w:after="0" w:line="240" w:lineRule="auto"/>
        <w:ind w:left="567" w:hanging="567"/>
        <w:contextualSpacing/>
        <w:jc w:val="center"/>
        <w:textAlignment w:val="baseline"/>
        <w:rPr>
          <w:rFonts w:ascii="Times New Roman" w:eastAsia="PMingLiU" w:hAnsi="Times New Roman" w:cs="Times New Roman"/>
          <w:lang w:val="lt-LT"/>
        </w:rPr>
      </w:pPr>
    </w:p>
    <w:p w14:paraId="73A3064D"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i/>
          <w:lang w:val="lt-LT"/>
        </w:rPr>
      </w:pPr>
      <w:r w:rsidRPr="00CC52A7">
        <w:rPr>
          <w:rFonts w:ascii="Times New Roman" w:eastAsia="PMingLiU" w:hAnsi="Times New Roman" w:cs="Times New Roman"/>
          <w:b/>
          <w:lang w:val="lt-LT"/>
        </w:rPr>
        <w:t>Atidžiai perskaitykite visą šį lapelį, prieš pradėdami vartoti vaistą, nes jame pateikiama Jums svarbi informacija.</w:t>
      </w:r>
    </w:p>
    <w:p w14:paraId="73A3064E" w14:textId="77777777" w:rsidR="00DC55CF" w:rsidRPr="00CC52A7" w:rsidRDefault="00DC55CF" w:rsidP="00DC55CF">
      <w:pPr>
        <w:numPr>
          <w:ilvl w:val="0"/>
          <w:numId w:val="6"/>
        </w:numPr>
        <w:overflowPunct w:val="0"/>
        <w:autoSpaceDE w:val="0"/>
        <w:autoSpaceDN w:val="0"/>
        <w:adjustRightInd w:val="0"/>
        <w:spacing w:after="0" w:line="240" w:lineRule="auto"/>
        <w:ind w:left="567" w:hanging="567"/>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Neišmeskite šio lapelio, nes vėl gali prireikti jį perskaityti.</w:t>
      </w:r>
    </w:p>
    <w:p w14:paraId="73A3064F" w14:textId="77777777" w:rsidR="00DC55CF" w:rsidRPr="00CC52A7" w:rsidRDefault="00DC55CF" w:rsidP="00DC55CF">
      <w:pPr>
        <w:numPr>
          <w:ilvl w:val="0"/>
          <w:numId w:val="6"/>
        </w:numPr>
        <w:overflowPunct w:val="0"/>
        <w:autoSpaceDE w:val="0"/>
        <w:autoSpaceDN w:val="0"/>
        <w:adjustRightInd w:val="0"/>
        <w:spacing w:after="0" w:line="240" w:lineRule="auto"/>
        <w:ind w:left="567" w:hanging="567"/>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Jeigu kiltų daugiau klausimų, kreipkitės į gydytoją arba vaistininką.</w:t>
      </w:r>
    </w:p>
    <w:p w14:paraId="73A30650" w14:textId="77777777" w:rsidR="00DC55CF" w:rsidRPr="00CC52A7" w:rsidRDefault="00DC55CF" w:rsidP="00DC55CF">
      <w:pPr>
        <w:numPr>
          <w:ilvl w:val="0"/>
          <w:numId w:val="6"/>
        </w:numPr>
        <w:overflowPunct w:val="0"/>
        <w:autoSpaceDE w:val="0"/>
        <w:autoSpaceDN w:val="0"/>
        <w:adjustRightInd w:val="0"/>
        <w:spacing w:after="0" w:line="240" w:lineRule="auto"/>
        <w:ind w:left="567" w:hanging="567"/>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Šis vaistas skirtas tik Jums, todėl kitiems žmonėms jo duoti negalima. Vaistas gali jiems pakenkti (net tiems, kurių ligos požymiai yra tokie patys kaip Jūsų).</w:t>
      </w:r>
    </w:p>
    <w:p w14:paraId="73A30651" w14:textId="77777777" w:rsidR="00DC55CF" w:rsidRPr="00CC52A7" w:rsidRDefault="00DC55CF" w:rsidP="00DC55CF">
      <w:pPr>
        <w:numPr>
          <w:ilvl w:val="0"/>
          <w:numId w:val="6"/>
        </w:numPr>
        <w:overflowPunct w:val="0"/>
        <w:autoSpaceDE w:val="0"/>
        <w:autoSpaceDN w:val="0"/>
        <w:adjustRightInd w:val="0"/>
        <w:spacing w:after="0" w:line="240" w:lineRule="auto"/>
        <w:ind w:left="567" w:hanging="567"/>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Jeigu pasireiškė šalutinis poveikis (net jeigu jis šiame lapelyje nenurodytas), kreipkitės į gydytoją arba vaistininką. Žr. 4 skyrių.</w:t>
      </w:r>
    </w:p>
    <w:p w14:paraId="73A30652"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653" w14:textId="77777777" w:rsidR="00DC55CF" w:rsidRPr="00CC52A7" w:rsidRDefault="00DC55CF" w:rsidP="00DC55CF">
      <w:pPr>
        <w:overflowPunct w:val="0"/>
        <w:autoSpaceDE w:val="0"/>
        <w:autoSpaceDN w:val="0"/>
        <w:adjustRightInd w:val="0"/>
        <w:spacing w:after="0" w:line="240" w:lineRule="auto"/>
        <w:ind w:left="567" w:hanging="567"/>
        <w:contextualSpacing/>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t>Apie ką rašoma šiame lapelyje?</w:t>
      </w:r>
    </w:p>
    <w:p w14:paraId="73A30654" w14:textId="77777777" w:rsidR="00DC55CF" w:rsidRPr="00CC52A7" w:rsidRDefault="00DC55CF" w:rsidP="00DC55CF">
      <w:pPr>
        <w:overflowPunct w:val="0"/>
        <w:autoSpaceDE w:val="0"/>
        <w:autoSpaceDN w:val="0"/>
        <w:adjustRightInd w:val="0"/>
        <w:spacing w:after="0" w:line="240" w:lineRule="auto"/>
        <w:ind w:left="567" w:hanging="567"/>
        <w:contextualSpacing/>
        <w:textAlignment w:val="baseline"/>
        <w:rPr>
          <w:rFonts w:ascii="Times New Roman" w:eastAsia="PMingLiU" w:hAnsi="Times New Roman" w:cs="Times New Roman"/>
          <w:b/>
          <w:lang w:val="lt-LT"/>
        </w:rPr>
      </w:pPr>
    </w:p>
    <w:p w14:paraId="73A30655" w14:textId="77777777" w:rsidR="00DC55CF" w:rsidRPr="00CC52A7" w:rsidRDefault="00DC55CF" w:rsidP="00DC55CF">
      <w:pPr>
        <w:overflowPunct w:val="0"/>
        <w:autoSpaceDE w:val="0"/>
        <w:autoSpaceDN w:val="0"/>
        <w:adjustRightInd w:val="0"/>
        <w:spacing w:after="0" w:line="240" w:lineRule="auto"/>
        <w:ind w:left="567" w:hanging="567"/>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1.</w:t>
      </w:r>
      <w:r w:rsidRPr="00CC52A7">
        <w:rPr>
          <w:rFonts w:ascii="Times New Roman" w:eastAsia="PMingLiU" w:hAnsi="Times New Roman" w:cs="Times New Roman"/>
          <w:lang w:val="lt-LT"/>
        </w:rPr>
        <w:tab/>
        <w:t>Kas yra Acic ir kam jis vartojamas</w:t>
      </w:r>
    </w:p>
    <w:p w14:paraId="73A30656" w14:textId="77777777" w:rsidR="00DC55CF" w:rsidRPr="00CC52A7" w:rsidRDefault="00DC55CF" w:rsidP="00DC55CF">
      <w:pPr>
        <w:overflowPunct w:val="0"/>
        <w:autoSpaceDE w:val="0"/>
        <w:autoSpaceDN w:val="0"/>
        <w:adjustRightInd w:val="0"/>
        <w:spacing w:after="0" w:line="240" w:lineRule="auto"/>
        <w:ind w:left="567" w:hanging="567"/>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2.</w:t>
      </w:r>
      <w:r w:rsidRPr="00CC52A7">
        <w:rPr>
          <w:rFonts w:ascii="Times New Roman" w:eastAsia="PMingLiU" w:hAnsi="Times New Roman" w:cs="Times New Roman"/>
          <w:lang w:val="lt-LT"/>
        </w:rPr>
        <w:tab/>
        <w:t>Kas žinotina prieš vartojant Acic</w:t>
      </w:r>
    </w:p>
    <w:p w14:paraId="73A30657" w14:textId="77777777" w:rsidR="00DC55CF" w:rsidRPr="00CC52A7" w:rsidRDefault="00DC55CF" w:rsidP="00DC55CF">
      <w:pPr>
        <w:overflowPunct w:val="0"/>
        <w:autoSpaceDE w:val="0"/>
        <w:autoSpaceDN w:val="0"/>
        <w:adjustRightInd w:val="0"/>
        <w:spacing w:after="0" w:line="240" w:lineRule="auto"/>
        <w:ind w:left="567" w:hanging="567"/>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3.</w:t>
      </w:r>
      <w:r w:rsidRPr="00CC52A7">
        <w:rPr>
          <w:rFonts w:ascii="Times New Roman" w:eastAsia="PMingLiU" w:hAnsi="Times New Roman" w:cs="Times New Roman"/>
          <w:lang w:val="lt-LT"/>
        </w:rPr>
        <w:tab/>
        <w:t>Kaip vartoti Acic</w:t>
      </w:r>
    </w:p>
    <w:p w14:paraId="73A30658" w14:textId="77777777" w:rsidR="00DC55CF" w:rsidRPr="00CC52A7" w:rsidRDefault="00DC55CF" w:rsidP="00DC55CF">
      <w:pPr>
        <w:overflowPunct w:val="0"/>
        <w:autoSpaceDE w:val="0"/>
        <w:autoSpaceDN w:val="0"/>
        <w:adjustRightInd w:val="0"/>
        <w:spacing w:after="0" w:line="240" w:lineRule="auto"/>
        <w:ind w:left="567" w:hanging="567"/>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4.</w:t>
      </w:r>
      <w:r w:rsidRPr="00CC52A7">
        <w:rPr>
          <w:rFonts w:ascii="Times New Roman" w:eastAsia="PMingLiU" w:hAnsi="Times New Roman" w:cs="Times New Roman"/>
          <w:lang w:val="lt-LT"/>
        </w:rPr>
        <w:tab/>
        <w:t>Galimas šalutinis poveikis</w:t>
      </w:r>
    </w:p>
    <w:p w14:paraId="73A30659" w14:textId="77777777" w:rsidR="00DC55CF" w:rsidRPr="00CC52A7" w:rsidRDefault="00DC55CF" w:rsidP="00DC55CF">
      <w:pPr>
        <w:overflowPunct w:val="0"/>
        <w:autoSpaceDE w:val="0"/>
        <w:autoSpaceDN w:val="0"/>
        <w:adjustRightInd w:val="0"/>
        <w:spacing w:after="0" w:line="240" w:lineRule="auto"/>
        <w:ind w:left="567" w:hanging="567"/>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5.</w:t>
      </w:r>
      <w:r w:rsidRPr="00CC52A7">
        <w:rPr>
          <w:rFonts w:ascii="Times New Roman" w:eastAsia="PMingLiU" w:hAnsi="Times New Roman" w:cs="Times New Roman"/>
          <w:lang w:val="lt-LT"/>
        </w:rPr>
        <w:tab/>
        <w:t xml:space="preserve">Kaip laikyti Acic </w:t>
      </w:r>
    </w:p>
    <w:p w14:paraId="73A3065A" w14:textId="77777777" w:rsidR="00DC55CF" w:rsidRPr="00CC52A7" w:rsidRDefault="00DC55CF" w:rsidP="00DC55CF">
      <w:pPr>
        <w:overflowPunct w:val="0"/>
        <w:autoSpaceDE w:val="0"/>
        <w:autoSpaceDN w:val="0"/>
        <w:adjustRightInd w:val="0"/>
        <w:spacing w:after="0" w:line="240" w:lineRule="auto"/>
        <w:ind w:left="567" w:hanging="567"/>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6.</w:t>
      </w:r>
      <w:r w:rsidRPr="00CC52A7">
        <w:rPr>
          <w:rFonts w:ascii="Times New Roman" w:eastAsia="PMingLiU" w:hAnsi="Times New Roman" w:cs="Times New Roman"/>
          <w:lang w:val="lt-LT"/>
        </w:rPr>
        <w:tab/>
        <w:t>Pakuotės turinys ir kita informacija</w:t>
      </w:r>
    </w:p>
    <w:p w14:paraId="73A3065B" w14:textId="77777777" w:rsidR="00DC55CF" w:rsidRPr="00CC52A7" w:rsidRDefault="00DC55CF" w:rsidP="00DC55CF">
      <w:pPr>
        <w:overflowPunct w:val="0"/>
        <w:autoSpaceDE w:val="0"/>
        <w:autoSpaceDN w:val="0"/>
        <w:adjustRightInd w:val="0"/>
        <w:spacing w:after="0" w:line="240" w:lineRule="auto"/>
        <w:ind w:left="567" w:hanging="567"/>
        <w:contextualSpacing/>
        <w:textAlignment w:val="baseline"/>
        <w:rPr>
          <w:rFonts w:ascii="Times New Roman" w:eastAsia="PMingLiU" w:hAnsi="Times New Roman" w:cs="Times New Roman"/>
          <w:lang w:val="lt-LT"/>
        </w:rPr>
      </w:pPr>
    </w:p>
    <w:p w14:paraId="73A3065C"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65D" w14:textId="77777777" w:rsidR="00DC55CF" w:rsidRPr="00CC52A7" w:rsidRDefault="00DC55CF" w:rsidP="00DC55CF">
      <w:pPr>
        <w:numPr>
          <w:ilvl w:val="12"/>
          <w:numId w:val="0"/>
        </w:numPr>
        <w:overflowPunct w:val="0"/>
        <w:autoSpaceDE w:val="0"/>
        <w:autoSpaceDN w:val="0"/>
        <w:adjustRightInd w:val="0"/>
        <w:spacing w:after="0" w:line="240" w:lineRule="auto"/>
        <w:ind w:left="567" w:hanging="567"/>
        <w:contextualSpacing/>
        <w:textAlignment w:val="baseline"/>
        <w:outlineLvl w:val="0"/>
        <w:rPr>
          <w:rFonts w:ascii="Times New Roman" w:eastAsia="PMingLiU" w:hAnsi="Times New Roman" w:cs="Times New Roman"/>
          <w:b/>
          <w:caps/>
          <w:lang w:val="lt-LT"/>
        </w:rPr>
      </w:pPr>
      <w:r w:rsidRPr="00CC52A7">
        <w:rPr>
          <w:rFonts w:ascii="Times New Roman" w:eastAsia="PMingLiU" w:hAnsi="Times New Roman" w:cs="Times New Roman"/>
          <w:b/>
          <w:lang w:val="lt-LT"/>
        </w:rPr>
        <w:t>1.</w:t>
      </w:r>
      <w:r w:rsidRPr="00CC52A7">
        <w:rPr>
          <w:rFonts w:ascii="Times New Roman" w:eastAsia="PMingLiU" w:hAnsi="Times New Roman" w:cs="Times New Roman"/>
          <w:b/>
          <w:lang w:val="lt-LT"/>
        </w:rPr>
        <w:tab/>
        <w:t>Kas yra Acic ir kam jis vartojamas</w:t>
      </w:r>
    </w:p>
    <w:p w14:paraId="73A3065E" w14:textId="77777777" w:rsidR="00DC55CF" w:rsidRPr="00CC52A7" w:rsidRDefault="00DC55CF" w:rsidP="00DC55CF">
      <w:pPr>
        <w:overflowPunct w:val="0"/>
        <w:autoSpaceDE w:val="0"/>
        <w:autoSpaceDN w:val="0"/>
        <w:adjustRightInd w:val="0"/>
        <w:spacing w:after="0" w:line="240" w:lineRule="auto"/>
        <w:ind w:left="1"/>
        <w:contextualSpacing/>
        <w:textAlignment w:val="baseline"/>
        <w:rPr>
          <w:rFonts w:ascii="Times New Roman" w:eastAsia="PMingLiU" w:hAnsi="Times New Roman" w:cs="Times New Roman"/>
          <w:bCs/>
          <w:lang w:val="lt-LT"/>
        </w:rPr>
      </w:pPr>
    </w:p>
    <w:p w14:paraId="73A3065F" w14:textId="77777777" w:rsidR="00DC55CF" w:rsidRPr="00CC52A7" w:rsidRDefault="00DC55CF" w:rsidP="00DC55CF">
      <w:pPr>
        <w:overflowPunct w:val="0"/>
        <w:autoSpaceDE w:val="0"/>
        <w:autoSpaceDN w:val="0"/>
        <w:adjustRightInd w:val="0"/>
        <w:spacing w:after="0" w:line="240" w:lineRule="auto"/>
        <w:contextualSpacing/>
        <w:jc w:val="both"/>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Acic veiklioji medžiaga yra acikloviras. Jis priklauso vaistų, kuriais gydomos virusų sukeltos infekcijos, grupei. Šis vaistas sutrukdo herpes viruso susidarymą. </w:t>
      </w:r>
    </w:p>
    <w:p w14:paraId="73A30660" w14:textId="77777777" w:rsidR="00DC55CF" w:rsidRPr="00CC52A7" w:rsidRDefault="00DC55CF" w:rsidP="00DC55CF">
      <w:pPr>
        <w:overflowPunct w:val="0"/>
        <w:autoSpaceDE w:val="0"/>
        <w:autoSpaceDN w:val="0"/>
        <w:adjustRightInd w:val="0"/>
        <w:spacing w:after="0" w:line="240" w:lineRule="auto"/>
        <w:contextualSpacing/>
        <w:jc w:val="both"/>
        <w:textAlignment w:val="baseline"/>
        <w:rPr>
          <w:rFonts w:ascii="Times New Roman" w:eastAsia="PMingLiU" w:hAnsi="Times New Roman" w:cs="Times New Roman"/>
          <w:bCs/>
          <w:lang w:val="lt-LT"/>
        </w:rPr>
      </w:pPr>
      <w:r w:rsidRPr="00CC52A7">
        <w:rPr>
          <w:rFonts w:ascii="Times New Roman" w:eastAsia="PMingLiU" w:hAnsi="Times New Roman" w:cs="Times New Roman"/>
          <w:lang w:val="lt-LT"/>
        </w:rPr>
        <w:t>Acic vartojamas:</w:t>
      </w:r>
    </w:p>
    <w:p w14:paraId="73A30661" w14:textId="77777777" w:rsidR="00DC55CF" w:rsidRPr="00CC52A7" w:rsidRDefault="00DC55CF" w:rsidP="00DC55CF">
      <w:pPr>
        <w:numPr>
          <w:ilvl w:val="0"/>
          <w:numId w:val="3"/>
        </w:numPr>
        <w:overflowPunct w:val="0"/>
        <w:autoSpaceDE w:val="0"/>
        <w:autoSpaceDN w:val="0"/>
        <w:adjustRightInd w:val="0"/>
        <w:spacing w:after="0" w:line="240" w:lineRule="auto"/>
        <w:ind w:left="340"/>
        <w:contextualSpacing/>
        <w:textAlignment w:val="baseline"/>
        <w:rPr>
          <w:rFonts w:ascii="Times New Roman" w:eastAsia="PMingLiU" w:hAnsi="Times New Roman" w:cs="Times New Roman"/>
          <w:lang w:val="lt-LT" w:eastAsia="lt-LT"/>
        </w:rPr>
      </w:pPr>
      <w:r w:rsidRPr="00CC52A7">
        <w:rPr>
          <w:rFonts w:ascii="Times New Roman" w:eastAsia="PMingLiU" w:hAnsi="Times New Roman" w:cs="Times New Roman"/>
          <w:lang w:val="lt-LT" w:eastAsia="lt-LT"/>
        </w:rPr>
        <w:t>gydyti juostinei pūslelinei</w:t>
      </w:r>
    </w:p>
    <w:p w14:paraId="73A30662" w14:textId="77777777" w:rsidR="00DC55CF" w:rsidRPr="00CC52A7" w:rsidRDefault="00DC55CF" w:rsidP="00DC55CF">
      <w:pPr>
        <w:spacing w:after="0" w:line="240" w:lineRule="auto"/>
        <w:ind w:left="426"/>
        <w:contextualSpacing/>
        <w:rPr>
          <w:rFonts w:ascii="Times New Roman" w:eastAsia="PMingLiU" w:hAnsi="Times New Roman" w:cs="Times New Roman"/>
          <w:lang w:val="lt-LT" w:eastAsia="lt-LT"/>
        </w:rPr>
      </w:pPr>
      <w:r w:rsidRPr="00CC52A7">
        <w:rPr>
          <w:rFonts w:ascii="Times New Roman" w:eastAsia="PMingLiU" w:hAnsi="Times New Roman" w:cs="Times New Roman"/>
          <w:lang w:val="lt-LT" w:eastAsia="lt-LT"/>
        </w:rPr>
        <w:t>Šią ligą sukelia juostinės pūslelinės (</w:t>
      </w:r>
      <w:r w:rsidRPr="00CC52A7">
        <w:rPr>
          <w:rFonts w:ascii="Times New Roman" w:eastAsia="PMingLiU" w:hAnsi="Times New Roman" w:cs="Times New Roman"/>
          <w:i/>
          <w:lang w:val="lt-LT" w:eastAsia="lt-LT"/>
        </w:rPr>
        <w:t>Herpes zoster</w:t>
      </w:r>
      <w:r w:rsidRPr="00CC52A7">
        <w:rPr>
          <w:rFonts w:ascii="Times New Roman" w:eastAsia="PMingLiU" w:hAnsi="Times New Roman" w:cs="Times New Roman"/>
          <w:lang w:val="lt-LT" w:eastAsia="lt-LT"/>
        </w:rPr>
        <w:t>) virusas, kuris pažeidžia nervus ir odą.  Šis vaistas sumažina skausmą ir jo trukmę.</w:t>
      </w:r>
    </w:p>
    <w:p w14:paraId="73A30663" w14:textId="77777777" w:rsidR="00DC55CF" w:rsidRPr="00CC52A7" w:rsidRDefault="00DC55CF" w:rsidP="00DC55CF">
      <w:pPr>
        <w:numPr>
          <w:ilvl w:val="0"/>
          <w:numId w:val="3"/>
        </w:numPr>
        <w:overflowPunct w:val="0"/>
        <w:autoSpaceDE w:val="0"/>
        <w:autoSpaceDN w:val="0"/>
        <w:adjustRightInd w:val="0"/>
        <w:spacing w:after="0" w:line="240" w:lineRule="auto"/>
        <w:ind w:left="340"/>
        <w:contextualSpacing/>
        <w:textAlignment w:val="baseline"/>
        <w:rPr>
          <w:rFonts w:ascii="Times New Roman" w:eastAsia="PMingLiU" w:hAnsi="Times New Roman" w:cs="Times New Roman"/>
          <w:lang w:val="lt-LT" w:eastAsia="lt-LT"/>
        </w:rPr>
      </w:pPr>
      <w:r w:rsidRPr="00CC52A7">
        <w:rPr>
          <w:rFonts w:ascii="Times New Roman" w:eastAsia="PMingLiU" w:hAnsi="Times New Roman" w:cs="Times New Roman"/>
          <w:lang w:val="lt-LT" w:eastAsia="lt-LT"/>
        </w:rPr>
        <w:t>siekiant išvengti paprastosios pūslelinės virusų sukeltų ligų žmonėms, kurių imuninė sistema yra nusilpusi ir organizmas negali pats kovoti su infekcija.</w:t>
      </w:r>
      <w:r w:rsidRPr="00CC52A7" w:rsidDel="00F93338">
        <w:rPr>
          <w:rFonts w:ascii="Times New Roman" w:eastAsia="PMingLiU" w:hAnsi="Times New Roman" w:cs="Times New Roman"/>
          <w:lang w:val="lt-LT" w:eastAsia="lt-LT"/>
        </w:rPr>
        <w:t xml:space="preserve"> </w:t>
      </w:r>
    </w:p>
    <w:p w14:paraId="73A30664" w14:textId="77777777" w:rsidR="00DC55CF" w:rsidRPr="00CC52A7" w:rsidRDefault="00DC55CF" w:rsidP="00DC55CF">
      <w:pPr>
        <w:overflowPunct w:val="0"/>
        <w:autoSpaceDE w:val="0"/>
        <w:autoSpaceDN w:val="0"/>
        <w:adjustRightInd w:val="0"/>
        <w:spacing w:after="0" w:line="240" w:lineRule="auto"/>
        <w:contextualSpacing/>
        <w:jc w:val="both"/>
        <w:textAlignment w:val="baseline"/>
        <w:rPr>
          <w:rFonts w:ascii="Times New Roman" w:eastAsia="PMingLiU" w:hAnsi="Times New Roman" w:cs="Times New Roman"/>
          <w:lang w:val="lt-LT"/>
        </w:rPr>
      </w:pPr>
    </w:p>
    <w:p w14:paraId="73A30665" w14:textId="77777777" w:rsidR="00DC55CF" w:rsidRPr="00CC52A7" w:rsidRDefault="00DC55CF" w:rsidP="00DC55CF">
      <w:pPr>
        <w:overflowPunct w:val="0"/>
        <w:autoSpaceDE w:val="0"/>
        <w:autoSpaceDN w:val="0"/>
        <w:adjustRightInd w:val="0"/>
        <w:spacing w:after="0" w:line="240" w:lineRule="auto"/>
        <w:contextualSpacing/>
        <w:jc w:val="both"/>
        <w:textAlignment w:val="baseline"/>
        <w:rPr>
          <w:rFonts w:ascii="Times New Roman" w:eastAsia="PMingLiU" w:hAnsi="Times New Roman" w:cs="Times New Roman"/>
          <w:lang w:val="lt-LT"/>
        </w:rPr>
      </w:pPr>
    </w:p>
    <w:p w14:paraId="73A30666" w14:textId="77777777" w:rsidR="00DC55CF" w:rsidRPr="00CC52A7" w:rsidRDefault="00DC55CF" w:rsidP="00DC55CF">
      <w:pPr>
        <w:overflowPunct w:val="0"/>
        <w:autoSpaceDE w:val="0"/>
        <w:autoSpaceDN w:val="0"/>
        <w:adjustRightInd w:val="0"/>
        <w:spacing w:after="0" w:line="240" w:lineRule="auto"/>
        <w:ind w:left="567" w:hanging="567"/>
        <w:contextualSpacing/>
        <w:jc w:val="both"/>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t>2.</w:t>
      </w:r>
      <w:r w:rsidRPr="00CC52A7">
        <w:rPr>
          <w:rFonts w:ascii="Times New Roman" w:eastAsia="PMingLiU" w:hAnsi="Times New Roman" w:cs="Times New Roman"/>
          <w:b/>
          <w:lang w:val="lt-LT"/>
        </w:rPr>
        <w:tab/>
        <w:t>Kas žinotina prieš vartojant Acic</w:t>
      </w:r>
    </w:p>
    <w:p w14:paraId="73A30667"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668"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t>Acic vartoti negalima</w:t>
      </w:r>
    </w:p>
    <w:p w14:paraId="73A30669" w14:textId="77777777" w:rsidR="00DC55CF" w:rsidRPr="00CC52A7" w:rsidRDefault="00DC55CF" w:rsidP="00DC55CF">
      <w:pPr>
        <w:tabs>
          <w:tab w:val="left" w:pos="567"/>
        </w:tabs>
        <w:overflowPunct w:val="0"/>
        <w:autoSpaceDE w:val="0"/>
        <w:autoSpaceDN w:val="0"/>
        <w:adjustRightInd w:val="0"/>
        <w:spacing w:after="0" w:line="240" w:lineRule="auto"/>
        <w:ind w:left="567" w:hanging="567"/>
        <w:contextualSpacing/>
        <w:textAlignment w:val="baseline"/>
        <w:rPr>
          <w:rFonts w:ascii="Times New Roman" w:eastAsia="PMingLiU" w:hAnsi="Times New Roman" w:cs="Times New Roman"/>
          <w:b/>
          <w:i/>
          <w:lang w:val="lt-LT"/>
        </w:rPr>
      </w:pPr>
      <w:r w:rsidRPr="00CC52A7">
        <w:rPr>
          <w:rFonts w:ascii="Times New Roman" w:eastAsia="PMingLiU" w:hAnsi="Times New Roman" w:cs="Times New Roman"/>
          <w:lang w:val="lt-LT"/>
        </w:rPr>
        <w:t>-</w:t>
      </w:r>
      <w:r w:rsidRPr="00CC52A7">
        <w:rPr>
          <w:rFonts w:ascii="Times New Roman" w:eastAsia="PMingLiU" w:hAnsi="Times New Roman" w:cs="Times New Roman"/>
          <w:lang w:val="lt-LT"/>
        </w:rPr>
        <w:tab/>
        <w:t xml:space="preserve">jeigu yra alergija aciklovirui, valaciklovirui arba bet kuriai pagalbinei šio vaisto medžiagai (jos išvardytos 6 skyriuje). </w:t>
      </w:r>
    </w:p>
    <w:p w14:paraId="73A3066A" w14:textId="77777777" w:rsidR="00DC55CF" w:rsidRPr="00CC52A7" w:rsidRDefault="00DC55CF" w:rsidP="00DC55CF">
      <w:pPr>
        <w:overflowPunct w:val="0"/>
        <w:autoSpaceDE w:val="0"/>
        <w:autoSpaceDN w:val="0"/>
        <w:adjustRightInd w:val="0"/>
        <w:spacing w:after="0" w:line="240" w:lineRule="auto"/>
        <w:contextualSpacing/>
        <w:jc w:val="both"/>
        <w:textAlignment w:val="baseline"/>
        <w:rPr>
          <w:rFonts w:ascii="Times New Roman" w:eastAsia="PMingLiU" w:hAnsi="Times New Roman" w:cs="Times New Roman"/>
          <w:b/>
          <w:i/>
          <w:lang w:val="lt-LT"/>
        </w:rPr>
      </w:pPr>
    </w:p>
    <w:p w14:paraId="73A3066B" w14:textId="77777777" w:rsidR="00DC55CF" w:rsidRPr="00CC52A7" w:rsidRDefault="00DC55CF" w:rsidP="00DC55CF">
      <w:pPr>
        <w:widowControl w:val="0"/>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t>Įspėjimai ir atsargumo priemonės</w:t>
      </w:r>
    </w:p>
    <w:p w14:paraId="73A3066C" w14:textId="77777777" w:rsidR="00DC55CF" w:rsidRPr="00CC52A7" w:rsidRDefault="00DC55CF" w:rsidP="00DC55CF">
      <w:pPr>
        <w:widowControl w:val="0"/>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Pasitarkite su gydytoju arba vaistininku, prieš pradėdami vartoti Acic. </w:t>
      </w:r>
    </w:p>
    <w:p w14:paraId="73A3066D" w14:textId="77777777" w:rsidR="00DC55CF" w:rsidRPr="00CC52A7" w:rsidRDefault="00DC55CF" w:rsidP="00DC55CF">
      <w:pPr>
        <w:widowControl w:val="0"/>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66E" w14:textId="77777777" w:rsidR="00DC55CF" w:rsidRPr="00CC52A7" w:rsidRDefault="00DC55CF" w:rsidP="00DC55CF">
      <w:pPr>
        <w:spacing w:after="0" w:line="240" w:lineRule="auto"/>
        <w:contextualSpacing/>
        <w:rPr>
          <w:rFonts w:ascii="Times New Roman" w:eastAsia="PMingLiU" w:hAnsi="Times New Roman" w:cs="Times New Roman"/>
          <w:lang w:val="lt-LT"/>
        </w:rPr>
      </w:pPr>
      <w:r w:rsidRPr="00CC52A7">
        <w:rPr>
          <w:rFonts w:ascii="Times New Roman" w:eastAsia="PMingLiU" w:hAnsi="Times New Roman" w:cs="Times New Roman"/>
          <w:lang w:val="lt-LT"/>
        </w:rPr>
        <w:t xml:space="preserve">Pasakykite gydytojui, jeigu sergate inkstų liga. Jeigu sergate inkstų liga ir (arba) esate senyvo amžiaus, gydytojas gali Jums skirti mažesnę dozę. </w:t>
      </w:r>
    </w:p>
    <w:p w14:paraId="73A3066F" w14:textId="77777777" w:rsidR="00DC55CF" w:rsidRPr="00CC52A7" w:rsidRDefault="00DC55CF" w:rsidP="00DC55CF">
      <w:pPr>
        <w:spacing w:after="0" w:line="240" w:lineRule="auto"/>
        <w:contextualSpacing/>
        <w:rPr>
          <w:rFonts w:ascii="Times New Roman" w:eastAsia="PMingLiU" w:hAnsi="Times New Roman" w:cs="Times New Roman"/>
          <w:lang w:val="lt-LT"/>
        </w:rPr>
      </w:pPr>
    </w:p>
    <w:p w14:paraId="73A30670" w14:textId="77777777" w:rsidR="00DC55CF" w:rsidRPr="00CC52A7" w:rsidRDefault="00DC55CF" w:rsidP="00DC55CF">
      <w:pPr>
        <w:spacing w:after="0" w:line="240" w:lineRule="auto"/>
        <w:contextualSpacing/>
        <w:rPr>
          <w:rFonts w:ascii="Times New Roman" w:eastAsia="PMingLiU" w:hAnsi="Times New Roman" w:cs="Times New Roman"/>
          <w:lang w:val="lt-LT"/>
        </w:rPr>
      </w:pPr>
      <w:r w:rsidRPr="00CC52A7">
        <w:rPr>
          <w:rFonts w:ascii="Times New Roman" w:eastAsia="PMingLiU" w:hAnsi="Times New Roman" w:cs="Times New Roman"/>
          <w:lang w:val="lt-LT"/>
        </w:rPr>
        <w:t>Ligoniams, kurių imuninė sistema nusilpusi, ilgai arba pakartotinai vartojant Acic, gali išsivystyti virusų atsparumas šiam vaistui.</w:t>
      </w:r>
    </w:p>
    <w:p w14:paraId="73A30671" w14:textId="77777777" w:rsidR="00DC55CF" w:rsidRPr="00CC52A7" w:rsidRDefault="00DC55CF" w:rsidP="00DC55CF">
      <w:pPr>
        <w:spacing w:after="0" w:line="240" w:lineRule="auto"/>
        <w:contextualSpacing/>
        <w:rPr>
          <w:rFonts w:ascii="Times New Roman" w:eastAsia="PMingLiU" w:hAnsi="Times New Roman" w:cs="Times New Roman"/>
          <w:lang w:val="lt-LT"/>
        </w:rPr>
      </w:pPr>
    </w:p>
    <w:p w14:paraId="73A30672" w14:textId="77777777" w:rsidR="00DC55CF" w:rsidRPr="00CC52A7" w:rsidRDefault="00DC55CF" w:rsidP="00DC55CF">
      <w:pPr>
        <w:spacing w:after="0" w:line="240" w:lineRule="auto"/>
        <w:contextualSpacing/>
        <w:rPr>
          <w:rFonts w:ascii="Times New Roman" w:eastAsia="PMingLiU" w:hAnsi="Times New Roman" w:cs="Times New Roman"/>
          <w:lang w:val="lt-LT"/>
        </w:rPr>
      </w:pPr>
      <w:r w:rsidRPr="00CC52A7">
        <w:rPr>
          <w:rFonts w:ascii="Times New Roman" w:eastAsia="PMingLiU" w:hAnsi="Times New Roman" w:cs="Times New Roman"/>
          <w:lang w:val="lt-LT"/>
        </w:rPr>
        <w:t>Vartojant Acic būtina gerti pakankamai skysčių.</w:t>
      </w:r>
    </w:p>
    <w:p w14:paraId="73A30673" w14:textId="77777777" w:rsidR="00DC55CF" w:rsidRPr="00CC52A7" w:rsidRDefault="00DC55CF" w:rsidP="00DC55CF">
      <w:pPr>
        <w:overflowPunct w:val="0"/>
        <w:autoSpaceDE w:val="0"/>
        <w:autoSpaceDN w:val="0"/>
        <w:adjustRightInd w:val="0"/>
        <w:spacing w:after="0" w:line="240" w:lineRule="auto"/>
        <w:contextualSpacing/>
        <w:jc w:val="both"/>
        <w:textAlignment w:val="baseline"/>
        <w:rPr>
          <w:rFonts w:ascii="Times New Roman" w:eastAsia="PMingLiU" w:hAnsi="Times New Roman" w:cs="Times New Roman"/>
          <w:lang w:val="lt-LT"/>
        </w:rPr>
      </w:pPr>
      <w:r w:rsidRPr="00CC52A7">
        <w:rPr>
          <w:rFonts w:ascii="Times New Roman" w:eastAsia="PMingLiU" w:hAnsi="Times New Roman" w:cs="Times New Roman"/>
          <w:szCs w:val="20"/>
          <w:lang w:val="lt-LT"/>
        </w:rPr>
        <w:t>Vaikams ir paaugliams</w:t>
      </w:r>
      <w:r w:rsidR="00CC52A7">
        <w:rPr>
          <w:rFonts w:ascii="Times New Roman" w:eastAsia="PMingLiU" w:hAnsi="Times New Roman" w:cs="Times New Roman"/>
          <w:szCs w:val="20"/>
          <w:lang w:val="lt-LT"/>
        </w:rPr>
        <w:t xml:space="preserve"> </w:t>
      </w:r>
      <w:r w:rsidR="00CC52A7">
        <w:rPr>
          <w:rFonts w:ascii="Times New Roman" w:eastAsia="PMingLiU" w:hAnsi="Times New Roman" w:cs="Times New Roman"/>
          <w:lang w:val="lt-LT"/>
        </w:rPr>
        <w:t>ž</w:t>
      </w:r>
      <w:r w:rsidRPr="00CC52A7">
        <w:rPr>
          <w:rFonts w:ascii="Times New Roman" w:eastAsia="PMingLiU" w:hAnsi="Times New Roman" w:cs="Times New Roman"/>
          <w:lang w:val="lt-LT"/>
        </w:rPr>
        <w:t>r. 3 sk</w:t>
      </w:r>
      <w:r w:rsidR="004070A0">
        <w:rPr>
          <w:rFonts w:ascii="Times New Roman" w:eastAsia="PMingLiU" w:hAnsi="Times New Roman" w:cs="Times New Roman"/>
          <w:lang w:val="lt-LT"/>
        </w:rPr>
        <w:t>yrių</w:t>
      </w:r>
      <w:r w:rsidRPr="00CC52A7">
        <w:rPr>
          <w:rFonts w:ascii="Times New Roman" w:eastAsia="PMingLiU" w:hAnsi="Times New Roman" w:cs="Times New Roman"/>
          <w:lang w:val="lt-LT"/>
        </w:rPr>
        <w:t>.</w:t>
      </w:r>
    </w:p>
    <w:p w14:paraId="73A30674" w14:textId="77777777" w:rsidR="00DC55CF" w:rsidRPr="00CC52A7" w:rsidRDefault="00DC55CF" w:rsidP="00DC55CF">
      <w:pPr>
        <w:overflowPunct w:val="0"/>
        <w:autoSpaceDE w:val="0"/>
        <w:autoSpaceDN w:val="0"/>
        <w:adjustRightInd w:val="0"/>
        <w:spacing w:after="0" w:line="240" w:lineRule="auto"/>
        <w:contextualSpacing/>
        <w:jc w:val="both"/>
        <w:textAlignment w:val="baseline"/>
        <w:rPr>
          <w:rFonts w:ascii="Times New Roman" w:eastAsia="PMingLiU" w:hAnsi="Times New Roman" w:cs="Times New Roman"/>
          <w:b/>
          <w:lang w:val="lt-LT"/>
        </w:rPr>
      </w:pPr>
    </w:p>
    <w:p w14:paraId="73A30675" w14:textId="77777777" w:rsidR="00DC55CF" w:rsidRPr="00CC52A7" w:rsidRDefault="00DC55CF" w:rsidP="00DC55CF">
      <w:pPr>
        <w:overflowPunct w:val="0"/>
        <w:autoSpaceDE w:val="0"/>
        <w:autoSpaceDN w:val="0"/>
        <w:adjustRightInd w:val="0"/>
        <w:spacing w:after="0" w:line="240" w:lineRule="auto"/>
        <w:contextualSpacing/>
        <w:jc w:val="both"/>
        <w:textAlignment w:val="baseline"/>
        <w:rPr>
          <w:rFonts w:ascii="Times New Roman" w:eastAsia="PMingLiU" w:hAnsi="Times New Roman" w:cs="Times New Roman"/>
          <w:b/>
          <w:iCs/>
          <w:lang w:val="lt-LT"/>
        </w:rPr>
      </w:pPr>
      <w:r w:rsidRPr="00CC52A7">
        <w:rPr>
          <w:rFonts w:ascii="Times New Roman" w:eastAsia="PMingLiU" w:hAnsi="Times New Roman" w:cs="Times New Roman"/>
          <w:b/>
          <w:lang w:val="lt-LT"/>
        </w:rPr>
        <w:t>Kiti vaistai ir Acic</w:t>
      </w:r>
    </w:p>
    <w:p w14:paraId="73A30676"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Jeigu vartojate ar neseniai vartojote kitų vaistų arba dėl to nesate tikri, apie tai pasakykite gydytojui arba vaistininkui.</w:t>
      </w:r>
    </w:p>
    <w:p w14:paraId="73A30677"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678"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Šie vaistai gali pakeisti Acic veikimą:</w:t>
      </w:r>
    </w:p>
    <w:p w14:paraId="73A30679" w14:textId="77777777" w:rsidR="00DC55CF" w:rsidRPr="00CC52A7" w:rsidRDefault="00DC55CF" w:rsidP="00DC55CF">
      <w:pPr>
        <w:numPr>
          <w:ilvl w:val="0"/>
          <w:numId w:val="8"/>
        </w:num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cimetidinas (vaistas nuo skrandžio negalavimų, susijusių su rūgštimi); </w:t>
      </w:r>
    </w:p>
    <w:p w14:paraId="73A3067A" w14:textId="77777777" w:rsidR="00DC55CF" w:rsidRPr="00CC52A7" w:rsidRDefault="00DC55CF" w:rsidP="00DC55CF">
      <w:pPr>
        <w:numPr>
          <w:ilvl w:val="0"/>
          <w:numId w:val="8"/>
        </w:num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probenecidas (nuo podagros); </w:t>
      </w:r>
    </w:p>
    <w:p w14:paraId="73A3067B" w14:textId="77777777" w:rsidR="00DC55CF" w:rsidRPr="00CC52A7" w:rsidRDefault="00DC55CF" w:rsidP="00DC55CF">
      <w:pPr>
        <w:numPr>
          <w:ilvl w:val="0"/>
          <w:numId w:val="8"/>
        </w:num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teofilinas (nuo astmos ir plaučių ligų);</w:t>
      </w:r>
    </w:p>
    <w:p w14:paraId="73A3067C" w14:textId="77777777" w:rsidR="00DC55CF" w:rsidRPr="00CC52A7" w:rsidRDefault="00DC55CF" w:rsidP="00DC55CF">
      <w:pPr>
        <w:numPr>
          <w:ilvl w:val="0"/>
          <w:numId w:val="8"/>
        </w:num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mikofenolato mofetil</w:t>
      </w:r>
      <w:r w:rsidR="00CC52A7">
        <w:rPr>
          <w:rFonts w:ascii="Times New Roman" w:eastAsia="PMingLiU" w:hAnsi="Times New Roman" w:cs="Times New Roman"/>
          <w:lang w:val="lt-LT"/>
        </w:rPr>
        <w:t>i</w:t>
      </w:r>
      <w:r w:rsidRPr="00CC52A7">
        <w:rPr>
          <w:rFonts w:ascii="Times New Roman" w:eastAsia="PMingLiU" w:hAnsi="Times New Roman" w:cs="Times New Roman"/>
          <w:lang w:val="lt-LT"/>
        </w:rPr>
        <w:t>s (imunitetą slopinantis vaistas, vartojamas išvengti persodinto organo atmetimo).</w:t>
      </w:r>
    </w:p>
    <w:p w14:paraId="73A3067D" w14:textId="77777777" w:rsidR="00DC55CF" w:rsidRPr="00CC52A7" w:rsidRDefault="00DC55CF" w:rsidP="00DC55CF">
      <w:pPr>
        <w:overflowPunct w:val="0"/>
        <w:autoSpaceDE w:val="0"/>
        <w:autoSpaceDN w:val="0"/>
        <w:adjustRightInd w:val="0"/>
        <w:spacing w:after="0" w:line="240" w:lineRule="auto"/>
        <w:contextualSpacing/>
        <w:jc w:val="both"/>
        <w:textAlignment w:val="baseline"/>
        <w:rPr>
          <w:rFonts w:ascii="Times New Roman" w:eastAsia="PMingLiU" w:hAnsi="Times New Roman" w:cs="Times New Roman"/>
          <w:b/>
          <w:i/>
          <w:lang w:val="lt-LT"/>
        </w:rPr>
      </w:pPr>
    </w:p>
    <w:p w14:paraId="73A3067E" w14:textId="77777777" w:rsidR="00DC55CF" w:rsidRPr="00CC52A7" w:rsidRDefault="00DC55CF" w:rsidP="00DC55CF">
      <w:pPr>
        <w:overflowPunct w:val="0"/>
        <w:autoSpaceDE w:val="0"/>
        <w:autoSpaceDN w:val="0"/>
        <w:adjustRightInd w:val="0"/>
        <w:spacing w:after="0" w:line="240" w:lineRule="auto"/>
        <w:contextualSpacing/>
        <w:jc w:val="both"/>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t>Nėštumas ir žindymo laikotarpis</w:t>
      </w:r>
    </w:p>
    <w:p w14:paraId="73A3067F"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Jeigu esate nėščia, žindote kūdikį, manote, kad galbūt esate nėščia, arba planuojate pastoti, tai prieš vartodama šį vaistą, pasitarkite su gydytoju arba vaistininku.</w:t>
      </w:r>
    </w:p>
    <w:p w14:paraId="73A30680"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681"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Turimi duomenys apie vartojimą nėštumo metu neparodė neigiamo poveikio. Jeigu nėštumo metu būtina vartoti Acic, prieš tai gydytojas turi kruopščiai apsvarstyti naudos ir galimo pavojaus santykį.</w:t>
      </w:r>
    </w:p>
    <w:p w14:paraId="73A30682"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683"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i/>
          <w:lang w:val="lt-LT"/>
        </w:rPr>
      </w:pPr>
      <w:r w:rsidRPr="00CC52A7">
        <w:rPr>
          <w:rFonts w:ascii="Times New Roman" w:eastAsia="PMingLiU" w:hAnsi="Times New Roman" w:cs="Times New Roman"/>
          <w:lang w:val="lt-LT"/>
        </w:rPr>
        <w:t>Aciklovir</w:t>
      </w:r>
      <w:r w:rsidR="00803957">
        <w:rPr>
          <w:rFonts w:ascii="Times New Roman" w:eastAsia="PMingLiU" w:hAnsi="Times New Roman" w:cs="Times New Roman"/>
          <w:lang w:val="lt-LT"/>
        </w:rPr>
        <w:t>as</w:t>
      </w:r>
      <w:r w:rsidRPr="00CC52A7">
        <w:rPr>
          <w:rFonts w:ascii="Times New Roman" w:eastAsia="PMingLiU" w:hAnsi="Times New Roman" w:cs="Times New Roman"/>
          <w:lang w:val="lt-LT"/>
        </w:rPr>
        <w:t>, veiklio</w:t>
      </w:r>
      <w:r w:rsidR="00803957">
        <w:rPr>
          <w:rFonts w:ascii="Times New Roman" w:eastAsia="PMingLiU" w:hAnsi="Times New Roman" w:cs="Times New Roman"/>
          <w:lang w:val="lt-LT"/>
        </w:rPr>
        <w:t>ji</w:t>
      </w:r>
      <w:r w:rsidRPr="00CC52A7">
        <w:rPr>
          <w:rFonts w:ascii="Times New Roman" w:eastAsia="PMingLiU" w:hAnsi="Times New Roman" w:cs="Times New Roman"/>
          <w:lang w:val="lt-LT"/>
        </w:rPr>
        <w:t xml:space="preserve"> Acic medžiag</w:t>
      </w:r>
      <w:r w:rsidR="00803957">
        <w:rPr>
          <w:rFonts w:ascii="Times New Roman" w:eastAsia="PMingLiU" w:hAnsi="Times New Roman" w:cs="Times New Roman"/>
          <w:lang w:val="lt-LT"/>
        </w:rPr>
        <w:t>a</w:t>
      </w:r>
      <w:r w:rsidRPr="00CC52A7">
        <w:rPr>
          <w:rFonts w:ascii="Times New Roman" w:eastAsia="PMingLiU" w:hAnsi="Times New Roman" w:cs="Times New Roman"/>
          <w:lang w:val="lt-LT"/>
        </w:rPr>
        <w:t>, patenka į motinos pieną.</w:t>
      </w:r>
    </w:p>
    <w:p w14:paraId="73A30684"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685"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t>Vairavimas ir mechanizmų valdymas</w:t>
      </w:r>
    </w:p>
    <w:p w14:paraId="73A30686"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Acic poveikio vairavimui ir gebėjimui valdyti mechanizmus tyrimų neatlikta. Prieš vairuodami arba valdydami mechanizmus įsitikinkite, kad žinote, kaip Jus veikia šis vaistas.</w:t>
      </w:r>
    </w:p>
    <w:p w14:paraId="73A30687"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688"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689" w14:textId="77777777" w:rsidR="00DC55CF" w:rsidRPr="00CC52A7" w:rsidRDefault="00DC55CF" w:rsidP="00DC55CF">
      <w:pPr>
        <w:overflowPunct w:val="0"/>
        <w:autoSpaceDE w:val="0"/>
        <w:autoSpaceDN w:val="0"/>
        <w:adjustRightInd w:val="0"/>
        <w:spacing w:after="0" w:line="240" w:lineRule="auto"/>
        <w:ind w:left="567" w:hanging="567"/>
        <w:contextualSpacing/>
        <w:textAlignment w:val="baseline"/>
        <w:rPr>
          <w:rFonts w:ascii="Times New Roman" w:eastAsia="PMingLiU" w:hAnsi="Times New Roman" w:cs="Times New Roman"/>
          <w:b/>
          <w:u w:val="single"/>
          <w:lang w:val="lt-LT"/>
        </w:rPr>
      </w:pPr>
      <w:r w:rsidRPr="00CC52A7">
        <w:rPr>
          <w:rFonts w:ascii="Times New Roman" w:eastAsia="PMingLiU" w:hAnsi="Times New Roman" w:cs="Times New Roman"/>
          <w:b/>
          <w:lang w:val="lt-LT"/>
        </w:rPr>
        <w:t>3.</w:t>
      </w:r>
      <w:r w:rsidRPr="00CC52A7">
        <w:rPr>
          <w:rFonts w:ascii="Times New Roman" w:eastAsia="PMingLiU" w:hAnsi="Times New Roman" w:cs="Times New Roman"/>
          <w:b/>
          <w:lang w:val="lt-LT"/>
        </w:rPr>
        <w:tab/>
        <w:t>Kaip vartoti Acic</w:t>
      </w:r>
    </w:p>
    <w:p w14:paraId="73A3068A"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68B" w14:textId="77777777" w:rsidR="00DC55CF" w:rsidRPr="00CC52A7" w:rsidRDefault="00DC55CF" w:rsidP="00DC55CF">
      <w:pPr>
        <w:overflowPunct w:val="0"/>
        <w:autoSpaceDE w:val="0"/>
        <w:autoSpaceDN w:val="0"/>
        <w:adjustRightInd w:val="0"/>
        <w:spacing w:after="0" w:line="240" w:lineRule="auto"/>
        <w:ind w:left="1"/>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Visada vartokite šį vaistą tiksliai kaip nurodė gydytojas arba vaistininkas. Jeigu abejojate, kreipkitės į gydytoją arba vaistininką.</w:t>
      </w:r>
    </w:p>
    <w:p w14:paraId="73A3068C" w14:textId="77777777" w:rsidR="00DC55CF" w:rsidRPr="00CC52A7" w:rsidRDefault="00DC55CF" w:rsidP="00DC55CF">
      <w:pPr>
        <w:overflowPunct w:val="0"/>
        <w:autoSpaceDE w:val="0"/>
        <w:autoSpaceDN w:val="0"/>
        <w:adjustRightInd w:val="0"/>
        <w:spacing w:after="0" w:line="240" w:lineRule="auto"/>
        <w:ind w:left="1"/>
        <w:contextualSpacing/>
        <w:textAlignment w:val="baseline"/>
        <w:rPr>
          <w:rFonts w:ascii="Times New Roman" w:eastAsia="PMingLiU" w:hAnsi="Times New Roman" w:cs="Times New Roman"/>
          <w:lang w:val="lt-LT"/>
        </w:rPr>
      </w:pPr>
    </w:p>
    <w:p w14:paraId="73A3068D" w14:textId="77777777" w:rsidR="00DC55CF" w:rsidRPr="00CC52A7" w:rsidRDefault="00DC55CF" w:rsidP="00DC55CF">
      <w:pPr>
        <w:overflowPunct w:val="0"/>
        <w:autoSpaceDE w:val="0"/>
        <w:autoSpaceDN w:val="0"/>
        <w:adjustRightInd w:val="0"/>
        <w:spacing w:after="0" w:line="240" w:lineRule="auto"/>
        <w:contextualSpacing/>
        <w:jc w:val="both"/>
        <w:textAlignment w:val="baseline"/>
        <w:rPr>
          <w:rFonts w:ascii="Times New Roman" w:eastAsia="PMingLiU" w:hAnsi="Times New Roman" w:cs="Times New Roman"/>
          <w:bCs/>
          <w:i/>
          <w:lang w:val="lt-LT"/>
        </w:rPr>
      </w:pPr>
      <w:r w:rsidRPr="00CC52A7">
        <w:rPr>
          <w:rFonts w:ascii="Times New Roman" w:eastAsia="PMingLiU" w:hAnsi="Times New Roman" w:cs="Times New Roman"/>
          <w:bCs/>
          <w:i/>
          <w:lang w:val="lt-LT"/>
        </w:rPr>
        <w:t>Suaugusiems žmonėms</w:t>
      </w:r>
    </w:p>
    <w:p w14:paraId="73A3068E" w14:textId="77777777" w:rsidR="00DC55CF" w:rsidRPr="00CC52A7" w:rsidRDefault="00DC55CF" w:rsidP="00DC55CF">
      <w:pPr>
        <w:overflowPunct w:val="0"/>
        <w:autoSpaceDE w:val="0"/>
        <w:autoSpaceDN w:val="0"/>
        <w:adjustRightInd w:val="0"/>
        <w:spacing w:after="0" w:line="240" w:lineRule="auto"/>
        <w:contextualSpacing/>
        <w:jc w:val="both"/>
        <w:textAlignment w:val="baseline"/>
        <w:rPr>
          <w:rFonts w:ascii="Times New Roman" w:eastAsia="PMingLiU" w:hAnsi="Times New Roman" w:cs="Times New Roman"/>
          <w:i/>
          <w:iCs/>
          <w:u w:val="single"/>
          <w:lang w:val="lt-LT"/>
        </w:rPr>
      </w:pPr>
      <w:r w:rsidRPr="00CC52A7">
        <w:rPr>
          <w:rFonts w:ascii="Times New Roman" w:eastAsia="PMingLiU" w:hAnsi="Times New Roman" w:cs="Times New Roman"/>
          <w:i/>
          <w:lang w:val="lt-LT"/>
        </w:rPr>
        <w:t>Juostinės pūslelinės gydymas</w:t>
      </w:r>
    </w:p>
    <w:p w14:paraId="73A3068F" w14:textId="77777777" w:rsidR="00DC55CF" w:rsidRPr="00CC52A7" w:rsidRDefault="00DC55CF" w:rsidP="00DC55CF">
      <w:pPr>
        <w:numPr>
          <w:ilvl w:val="0"/>
          <w:numId w:val="11"/>
        </w:num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Vaisto reikia pradėti gerti kiek galima anksčiau, t. y. vos tik atsiradus pirmiesiems odos pažeidimo simptomams. </w:t>
      </w:r>
    </w:p>
    <w:p w14:paraId="73A30690" w14:textId="77777777" w:rsidR="00DC55CF" w:rsidRPr="00CC52A7" w:rsidRDefault="00DC55CF" w:rsidP="00DC55CF">
      <w:pPr>
        <w:numPr>
          <w:ilvl w:val="0"/>
          <w:numId w:val="11"/>
        </w:num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Kad infekcija neišplistų, pūslelių (jos pripildytos skysčio, kuriame yra virusų) negalima liesti. </w:t>
      </w:r>
    </w:p>
    <w:p w14:paraId="73A30691" w14:textId="77777777" w:rsidR="00DC55CF" w:rsidRPr="00CC52A7" w:rsidRDefault="00DC55CF" w:rsidP="00DC55CF">
      <w:pPr>
        <w:numPr>
          <w:ilvl w:val="0"/>
          <w:numId w:val="11"/>
        </w:numPr>
        <w:overflowPunct w:val="0"/>
        <w:autoSpaceDE w:val="0"/>
        <w:autoSpaceDN w:val="0"/>
        <w:adjustRightInd w:val="0"/>
        <w:spacing w:after="0" w:line="240" w:lineRule="auto"/>
        <w:contextualSpacing/>
        <w:jc w:val="both"/>
        <w:textAlignment w:val="baseline"/>
        <w:rPr>
          <w:rFonts w:ascii="Times New Roman" w:eastAsia="PMingLiU" w:hAnsi="Times New Roman" w:cs="Times New Roman"/>
          <w:lang w:val="lt-LT"/>
        </w:rPr>
      </w:pPr>
      <w:r w:rsidRPr="00CC52A7">
        <w:rPr>
          <w:rFonts w:ascii="Times New Roman" w:eastAsia="PMingLiU" w:hAnsi="Times New Roman" w:cs="Times New Roman"/>
          <w:iCs/>
          <w:lang w:val="lt-LT"/>
        </w:rPr>
        <w:t>Įprasta dozė yra 2</w:t>
      </w:r>
      <w:r w:rsidR="004070A0">
        <w:rPr>
          <w:rFonts w:ascii="Times New Roman" w:eastAsia="PMingLiU" w:hAnsi="Times New Roman" w:cs="Times New Roman"/>
          <w:iCs/>
          <w:lang w:val="lt-LT"/>
        </w:rPr>
        <w:t> </w:t>
      </w:r>
      <w:r w:rsidRPr="00CC52A7">
        <w:rPr>
          <w:rFonts w:ascii="Times New Roman" w:eastAsia="PMingLiU" w:hAnsi="Times New Roman" w:cs="Times New Roman"/>
          <w:iCs/>
          <w:lang w:val="lt-LT"/>
        </w:rPr>
        <w:t>tabletės (800</w:t>
      </w:r>
      <w:r w:rsidR="004070A0">
        <w:rPr>
          <w:rFonts w:ascii="Times New Roman" w:eastAsia="PMingLiU" w:hAnsi="Times New Roman" w:cs="Times New Roman"/>
          <w:iCs/>
          <w:lang w:val="lt-LT"/>
        </w:rPr>
        <w:t> </w:t>
      </w:r>
      <w:r w:rsidRPr="00CC52A7">
        <w:rPr>
          <w:rFonts w:ascii="Times New Roman" w:eastAsia="PMingLiU" w:hAnsi="Times New Roman" w:cs="Times New Roman"/>
          <w:iCs/>
          <w:lang w:val="lt-LT"/>
        </w:rPr>
        <w:t xml:space="preserve">mg acikloviro), </w:t>
      </w:r>
      <w:r w:rsidRPr="00CC52A7">
        <w:rPr>
          <w:rFonts w:ascii="Times New Roman" w:eastAsia="PMingLiU" w:hAnsi="Times New Roman" w:cs="Times New Roman"/>
          <w:lang w:val="lt-LT"/>
        </w:rPr>
        <w:t>geriamos 5</w:t>
      </w:r>
      <w:r w:rsidR="004070A0">
        <w:rPr>
          <w:rFonts w:ascii="Times New Roman" w:eastAsia="PMingLiU" w:hAnsi="Times New Roman" w:cs="Times New Roman"/>
          <w:lang w:val="lt-LT"/>
        </w:rPr>
        <w:t> </w:t>
      </w:r>
      <w:r w:rsidRPr="00CC52A7">
        <w:rPr>
          <w:rFonts w:ascii="Times New Roman" w:eastAsia="PMingLiU" w:hAnsi="Times New Roman" w:cs="Times New Roman"/>
          <w:lang w:val="lt-LT"/>
        </w:rPr>
        <w:t>kartus per parą (kas 4</w:t>
      </w:r>
      <w:r w:rsidR="004070A0">
        <w:rPr>
          <w:rFonts w:ascii="Times New Roman" w:eastAsia="PMingLiU" w:hAnsi="Times New Roman" w:cs="Times New Roman"/>
          <w:lang w:val="lt-LT"/>
        </w:rPr>
        <w:t> </w:t>
      </w:r>
      <w:r w:rsidRPr="00CC52A7">
        <w:rPr>
          <w:rFonts w:ascii="Times New Roman" w:eastAsia="PMingLiU" w:hAnsi="Times New Roman" w:cs="Times New Roman"/>
          <w:lang w:val="lt-LT"/>
        </w:rPr>
        <w:t>val</w:t>
      </w:r>
      <w:r w:rsidR="00CC52A7">
        <w:rPr>
          <w:rFonts w:ascii="Times New Roman" w:eastAsia="PMingLiU" w:hAnsi="Times New Roman" w:cs="Times New Roman"/>
          <w:lang w:val="lt-LT"/>
        </w:rPr>
        <w:t>.</w:t>
      </w:r>
      <w:r w:rsidRPr="00CC52A7">
        <w:rPr>
          <w:rFonts w:ascii="Times New Roman" w:eastAsia="PMingLiU" w:hAnsi="Times New Roman" w:cs="Times New Roman"/>
          <w:lang w:val="lt-LT"/>
        </w:rPr>
        <w:t>) 5</w:t>
      </w:r>
      <w:r w:rsidR="004070A0">
        <w:rPr>
          <w:rFonts w:ascii="Times New Roman" w:eastAsia="PMingLiU" w:hAnsi="Times New Roman" w:cs="Times New Roman"/>
          <w:lang w:val="lt-LT"/>
        </w:rPr>
        <w:noBreakHyphen/>
      </w:r>
      <w:r w:rsidRPr="00CC52A7">
        <w:rPr>
          <w:rFonts w:ascii="Times New Roman" w:eastAsia="PMingLiU" w:hAnsi="Times New Roman" w:cs="Times New Roman"/>
          <w:lang w:val="lt-LT"/>
        </w:rPr>
        <w:t>7</w:t>
      </w:r>
      <w:r w:rsidR="004070A0">
        <w:rPr>
          <w:rFonts w:ascii="Times New Roman" w:eastAsia="PMingLiU" w:hAnsi="Times New Roman" w:cs="Times New Roman"/>
          <w:lang w:val="lt-LT"/>
        </w:rPr>
        <w:t> </w:t>
      </w:r>
      <w:r w:rsidRPr="00CC52A7">
        <w:rPr>
          <w:rFonts w:ascii="Times New Roman" w:eastAsia="PMingLiU" w:hAnsi="Times New Roman" w:cs="Times New Roman"/>
          <w:lang w:val="lt-LT"/>
        </w:rPr>
        <w:t>paras.</w:t>
      </w:r>
    </w:p>
    <w:p w14:paraId="73A30692" w14:textId="77777777" w:rsidR="00DC55CF" w:rsidRPr="00CC52A7" w:rsidRDefault="00DC55CF" w:rsidP="00DC55CF">
      <w:pPr>
        <w:overflowPunct w:val="0"/>
        <w:autoSpaceDE w:val="0"/>
        <w:autoSpaceDN w:val="0"/>
        <w:adjustRightInd w:val="0"/>
        <w:spacing w:after="0" w:line="240" w:lineRule="auto"/>
        <w:contextualSpacing/>
        <w:jc w:val="both"/>
        <w:textAlignment w:val="baseline"/>
        <w:rPr>
          <w:rFonts w:ascii="Times New Roman" w:eastAsia="PMingLiU" w:hAnsi="Times New Roman" w:cs="Times New Roman"/>
          <w:lang w:val="lt-LT"/>
        </w:rPr>
      </w:pPr>
    </w:p>
    <w:p w14:paraId="73A30693" w14:textId="77777777" w:rsidR="00DC55CF" w:rsidRPr="00CC52A7" w:rsidRDefault="00DC55CF" w:rsidP="00DC55CF">
      <w:pPr>
        <w:spacing w:after="0" w:line="240" w:lineRule="auto"/>
        <w:contextualSpacing/>
        <w:rPr>
          <w:rFonts w:ascii="Times New Roman" w:eastAsia="PMingLiU" w:hAnsi="Times New Roman" w:cs="Times New Roman"/>
          <w:i/>
          <w:lang w:val="lt-LT" w:eastAsia="lt-LT"/>
        </w:rPr>
      </w:pPr>
      <w:r w:rsidRPr="00CC52A7">
        <w:rPr>
          <w:rFonts w:ascii="Times New Roman" w:eastAsia="PMingLiU" w:hAnsi="Times New Roman" w:cs="Times New Roman"/>
          <w:i/>
          <w:lang w:val="lt-LT" w:eastAsia="lt-LT"/>
        </w:rPr>
        <w:t>Siekiant išvengti paprastosios pūslelinės virusų sukeltų ligų žmonėms, kurių imuninė sistema yra nusilpusi</w:t>
      </w:r>
      <w:r w:rsidRPr="00CC52A7" w:rsidDel="00F93338">
        <w:rPr>
          <w:rFonts w:ascii="Times New Roman" w:eastAsia="PMingLiU" w:hAnsi="Times New Roman" w:cs="Times New Roman"/>
          <w:i/>
          <w:lang w:val="lt-LT" w:eastAsia="lt-LT"/>
        </w:rPr>
        <w:t xml:space="preserve"> </w:t>
      </w:r>
    </w:p>
    <w:p w14:paraId="73A30694" w14:textId="77777777" w:rsidR="00DC55CF" w:rsidRPr="00CC52A7" w:rsidRDefault="00DC55CF" w:rsidP="00DC55CF">
      <w:pPr>
        <w:numPr>
          <w:ilvl w:val="0"/>
          <w:numId w:val="12"/>
        </w:numPr>
        <w:overflowPunct w:val="0"/>
        <w:autoSpaceDE w:val="0"/>
        <w:autoSpaceDN w:val="0"/>
        <w:adjustRightInd w:val="0"/>
        <w:spacing w:after="0" w:line="240" w:lineRule="auto"/>
        <w:ind w:left="360"/>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Sunkiems ligoniams (pvz., po organų persodinimo), reikia gerti po 1</w:t>
      </w:r>
      <w:r w:rsidR="004070A0">
        <w:rPr>
          <w:rFonts w:ascii="Times New Roman" w:eastAsia="PMingLiU" w:hAnsi="Times New Roman" w:cs="Times New Roman"/>
          <w:lang w:val="lt-LT"/>
        </w:rPr>
        <w:t> </w:t>
      </w:r>
      <w:r w:rsidRPr="00CC52A7">
        <w:rPr>
          <w:rFonts w:ascii="Times New Roman" w:eastAsia="PMingLiU" w:hAnsi="Times New Roman" w:cs="Times New Roman"/>
          <w:lang w:val="lt-LT"/>
        </w:rPr>
        <w:t>tabletę (400</w:t>
      </w:r>
      <w:r w:rsidR="004070A0">
        <w:rPr>
          <w:rFonts w:ascii="Times New Roman" w:eastAsia="PMingLiU" w:hAnsi="Times New Roman" w:cs="Times New Roman"/>
          <w:lang w:val="lt-LT"/>
        </w:rPr>
        <w:t> </w:t>
      </w:r>
      <w:r w:rsidRPr="00CC52A7">
        <w:rPr>
          <w:rFonts w:ascii="Times New Roman" w:eastAsia="PMingLiU" w:hAnsi="Times New Roman" w:cs="Times New Roman"/>
          <w:lang w:val="lt-LT"/>
        </w:rPr>
        <w:t>mg acikloviro) 4</w:t>
      </w:r>
      <w:r w:rsidR="004070A0">
        <w:rPr>
          <w:rFonts w:ascii="Times New Roman" w:eastAsia="PMingLiU" w:hAnsi="Times New Roman" w:cs="Times New Roman"/>
          <w:lang w:val="lt-LT"/>
        </w:rPr>
        <w:t> </w:t>
      </w:r>
      <w:r w:rsidRPr="00CC52A7">
        <w:rPr>
          <w:rFonts w:ascii="Times New Roman" w:eastAsia="PMingLiU" w:hAnsi="Times New Roman" w:cs="Times New Roman"/>
          <w:lang w:val="lt-LT"/>
        </w:rPr>
        <w:t>kartus per parą (kas 6</w:t>
      </w:r>
      <w:r w:rsidR="004070A0">
        <w:rPr>
          <w:rFonts w:ascii="Times New Roman" w:eastAsia="PMingLiU" w:hAnsi="Times New Roman" w:cs="Times New Roman"/>
          <w:lang w:val="lt-LT"/>
        </w:rPr>
        <w:t> </w:t>
      </w:r>
      <w:r w:rsidRPr="00CC52A7">
        <w:rPr>
          <w:rFonts w:ascii="Times New Roman" w:eastAsia="PMingLiU" w:hAnsi="Times New Roman" w:cs="Times New Roman"/>
          <w:lang w:val="lt-LT"/>
        </w:rPr>
        <w:t>val</w:t>
      </w:r>
      <w:r w:rsidR="00CC52A7">
        <w:rPr>
          <w:rFonts w:ascii="Times New Roman" w:eastAsia="PMingLiU" w:hAnsi="Times New Roman" w:cs="Times New Roman"/>
          <w:lang w:val="lt-LT"/>
        </w:rPr>
        <w:t>.</w:t>
      </w:r>
      <w:r w:rsidRPr="00CC52A7">
        <w:rPr>
          <w:rFonts w:ascii="Times New Roman" w:eastAsia="PMingLiU" w:hAnsi="Times New Roman" w:cs="Times New Roman"/>
          <w:lang w:val="lt-LT"/>
        </w:rPr>
        <w:t xml:space="preserve">). </w:t>
      </w:r>
    </w:p>
    <w:p w14:paraId="73A30695" w14:textId="77777777" w:rsidR="00DC55CF" w:rsidRPr="00CC52A7" w:rsidRDefault="00DC55CF" w:rsidP="00DC55CF">
      <w:pPr>
        <w:numPr>
          <w:ilvl w:val="0"/>
          <w:numId w:val="12"/>
        </w:numPr>
        <w:overflowPunct w:val="0"/>
        <w:autoSpaceDE w:val="0"/>
        <w:autoSpaceDN w:val="0"/>
        <w:adjustRightInd w:val="0"/>
        <w:spacing w:after="0" w:line="240" w:lineRule="auto"/>
        <w:ind w:left="426" w:hanging="426"/>
        <w:contextualSpacing/>
        <w:textAlignment w:val="baseline"/>
        <w:rPr>
          <w:rFonts w:ascii="Times New Roman" w:eastAsia="PMingLiU" w:hAnsi="Times New Roman" w:cs="Times New Roman"/>
          <w:iCs/>
          <w:lang w:val="lt-LT"/>
        </w:rPr>
      </w:pPr>
      <w:r w:rsidRPr="00CC52A7">
        <w:rPr>
          <w:rFonts w:ascii="Times New Roman" w:eastAsia="PMingLiU" w:hAnsi="Times New Roman" w:cs="Times New Roman"/>
          <w:iCs/>
          <w:lang w:val="lt-LT"/>
        </w:rPr>
        <w:t>Vaisto vartojimo trukmę nustatys gydytojas, įvertinęs imuninės sistemos būklę ir infekcinės ligos pavojaus trukmę.</w:t>
      </w:r>
    </w:p>
    <w:p w14:paraId="73A30696" w14:textId="77777777" w:rsidR="00DC55CF" w:rsidRPr="00CC52A7" w:rsidRDefault="00DC55CF" w:rsidP="00DC55CF">
      <w:pPr>
        <w:overflowPunct w:val="0"/>
        <w:autoSpaceDE w:val="0"/>
        <w:autoSpaceDN w:val="0"/>
        <w:adjustRightInd w:val="0"/>
        <w:spacing w:after="0" w:line="240" w:lineRule="auto"/>
        <w:contextualSpacing/>
        <w:jc w:val="both"/>
        <w:textAlignment w:val="baseline"/>
        <w:rPr>
          <w:rFonts w:ascii="Times New Roman" w:eastAsia="PMingLiU" w:hAnsi="Times New Roman" w:cs="Times New Roman"/>
          <w:bCs/>
          <w:i/>
          <w:lang w:val="lt-LT"/>
        </w:rPr>
      </w:pPr>
    </w:p>
    <w:p w14:paraId="73A30697"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i/>
          <w:lang w:val="lt-LT"/>
        </w:rPr>
      </w:pPr>
      <w:r w:rsidRPr="00CC52A7">
        <w:rPr>
          <w:rFonts w:ascii="Times New Roman" w:eastAsia="PMingLiU" w:hAnsi="Times New Roman" w:cs="Times New Roman"/>
          <w:i/>
          <w:lang w:val="lt-LT"/>
        </w:rPr>
        <w:t>Senyviems ligoniams</w:t>
      </w:r>
    </w:p>
    <w:p w14:paraId="73A30698" w14:textId="77777777" w:rsidR="00DC55CF" w:rsidRPr="00CC52A7" w:rsidRDefault="00DC55CF" w:rsidP="00DC55CF">
      <w:pPr>
        <w:spacing w:after="0" w:line="240" w:lineRule="auto"/>
        <w:contextualSpacing/>
        <w:rPr>
          <w:rFonts w:ascii="Times New Roman" w:eastAsia="PMingLiU" w:hAnsi="Times New Roman" w:cs="Times New Roman"/>
          <w:lang w:val="lt-LT"/>
        </w:rPr>
      </w:pPr>
      <w:r w:rsidRPr="00CC52A7">
        <w:rPr>
          <w:rFonts w:ascii="Times New Roman" w:eastAsia="PMingLiU" w:hAnsi="Times New Roman" w:cs="Times New Roman"/>
          <w:lang w:val="lt-LT"/>
        </w:rPr>
        <w:t>Dozės keisti nereikia, nebent labai sutrikusi inkstų funkcija.</w:t>
      </w:r>
    </w:p>
    <w:p w14:paraId="73A30699"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69A"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i/>
          <w:lang w:val="lt-LT"/>
        </w:rPr>
      </w:pPr>
      <w:r w:rsidRPr="00CC52A7">
        <w:rPr>
          <w:rFonts w:ascii="Times New Roman" w:eastAsia="PMingLiU" w:hAnsi="Times New Roman" w:cs="Times New Roman"/>
          <w:i/>
          <w:lang w:val="lt-LT"/>
        </w:rPr>
        <w:t xml:space="preserve">Ligoniams, kurių inkstų veikla nepakankama </w:t>
      </w:r>
    </w:p>
    <w:p w14:paraId="73A3069B"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Jeigu sergate inkstų liga, gydytojas Jums gali paskirti mažesnę vaisto dozę. </w:t>
      </w:r>
    </w:p>
    <w:p w14:paraId="73A3069C"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Gydytojas gali paskirti Jums atlikti kraujo tyrimus, parodančius inkstų veiklą, ir atsižvelgdamas į rezultatus, paskirti mažesnę vaisto dozę.</w:t>
      </w:r>
    </w:p>
    <w:p w14:paraId="73A3069D" w14:textId="77777777" w:rsidR="00DC55CF" w:rsidRPr="00CC52A7" w:rsidRDefault="00DC55CF" w:rsidP="00DC55CF">
      <w:pPr>
        <w:overflowPunct w:val="0"/>
        <w:autoSpaceDE w:val="0"/>
        <w:autoSpaceDN w:val="0"/>
        <w:adjustRightInd w:val="0"/>
        <w:spacing w:after="0" w:line="240" w:lineRule="auto"/>
        <w:contextualSpacing/>
        <w:jc w:val="both"/>
        <w:textAlignment w:val="baseline"/>
        <w:rPr>
          <w:rFonts w:ascii="Times New Roman" w:eastAsia="PMingLiU" w:hAnsi="Times New Roman" w:cs="Times New Roman"/>
          <w:b/>
          <w:bCs/>
          <w:lang w:val="lt-LT"/>
        </w:rPr>
      </w:pPr>
    </w:p>
    <w:p w14:paraId="73A3069E" w14:textId="77777777" w:rsidR="00DC55CF" w:rsidRPr="00CC52A7" w:rsidRDefault="00DC55CF" w:rsidP="00DC55CF">
      <w:pPr>
        <w:overflowPunct w:val="0"/>
        <w:autoSpaceDE w:val="0"/>
        <w:autoSpaceDN w:val="0"/>
        <w:adjustRightInd w:val="0"/>
        <w:spacing w:after="0" w:line="240" w:lineRule="auto"/>
        <w:contextualSpacing/>
        <w:jc w:val="both"/>
        <w:textAlignment w:val="baseline"/>
        <w:rPr>
          <w:rFonts w:ascii="Times New Roman" w:eastAsia="PMingLiU" w:hAnsi="Times New Roman" w:cs="Times New Roman"/>
          <w:lang w:val="lt-LT"/>
        </w:rPr>
      </w:pPr>
      <w:r w:rsidRPr="00CC52A7">
        <w:rPr>
          <w:rFonts w:ascii="Times New Roman" w:eastAsia="PMingLiU" w:hAnsi="Times New Roman" w:cs="Times New Roman"/>
          <w:b/>
          <w:bCs/>
          <w:lang w:val="lt-LT"/>
        </w:rPr>
        <w:t>Vartojimas vaikams</w:t>
      </w:r>
    </w:p>
    <w:p w14:paraId="73A3069F" w14:textId="77777777" w:rsidR="00DC55CF" w:rsidRPr="00CC52A7" w:rsidRDefault="00DC55CF" w:rsidP="00DC55CF">
      <w:pPr>
        <w:spacing w:after="0" w:line="240" w:lineRule="auto"/>
        <w:contextualSpacing/>
        <w:rPr>
          <w:rFonts w:ascii="Times New Roman" w:eastAsia="PMingLiU" w:hAnsi="Times New Roman" w:cs="Times New Roman"/>
          <w:i/>
          <w:lang w:val="lt-LT" w:eastAsia="lt-LT"/>
        </w:rPr>
      </w:pPr>
      <w:r w:rsidRPr="00CC52A7">
        <w:rPr>
          <w:rFonts w:ascii="Times New Roman" w:eastAsia="PMingLiU" w:hAnsi="Times New Roman" w:cs="Times New Roman"/>
          <w:i/>
          <w:lang w:val="lt-LT" w:eastAsia="lt-LT"/>
        </w:rPr>
        <w:t>Paprastosios pūslelinės virusų sukeltų odos ir gleivinių ligų gydymas bei profilaktika, kai imuninė sistema yra nusilpusi</w:t>
      </w:r>
    </w:p>
    <w:p w14:paraId="73A306A0" w14:textId="77777777" w:rsidR="00DC55CF" w:rsidRPr="00CC52A7" w:rsidRDefault="00DC55CF" w:rsidP="00DC55CF">
      <w:pPr>
        <w:numPr>
          <w:ilvl w:val="0"/>
          <w:numId w:val="13"/>
        </w:num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Vyresniems kaip 2</w:t>
      </w:r>
      <w:r w:rsidR="004070A0">
        <w:rPr>
          <w:rFonts w:ascii="Times New Roman" w:eastAsia="PMingLiU" w:hAnsi="Times New Roman" w:cs="Times New Roman"/>
          <w:lang w:val="lt-LT"/>
        </w:rPr>
        <w:t> </w:t>
      </w:r>
      <w:r w:rsidRPr="00CC52A7">
        <w:rPr>
          <w:rFonts w:ascii="Times New Roman" w:eastAsia="PMingLiU" w:hAnsi="Times New Roman" w:cs="Times New Roman"/>
          <w:lang w:val="lt-LT"/>
        </w:rPr>
        <w:t>metų vaikams reikia gerti suaugusio žmogaus dozę.</w:t>
      </w:r>
    </w:p>
    <w:p w14:paraId="73A306A1" w14:textId="77777777" w:rsidR="00DC55CF" w:rsidRPr="00CC52A7" w:rsidRDefault="00DC55CF" w:rsidP="00DC55CF">
      <w:pPr>
        <w:numPr>
          <w:ilvl w:val="0"/>
          <w:numId w:val="13"/>
        </w:num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Jaunesniems nei 2</w:t>
      </w:r>
      <w:r w:rsidR="004070A0">
        <w:rPr>
          <w:rFonts w:ascii="Times New Roman" w:eastAsia="PMingLiU" w:hAnsi="Times New Roman" w:cs="Times New Roman"/>
          <w:lang w:val="lt-LT"/>
        </w:rPr>
        <w:t> </w:t>
      </w:r>
      <w:r w:rsidRPr="00CC52A7">
        <w:rPr>
          <w:rFonts w:ascii="Times New Roman" w:eastAsia="PMingLiU" w:hAnsi="Times New Roman" w:cs="Times New Roman"/>
          <w:lang w:val="lt-LT"/>
        </w:rPr>
        <w:t xml:space="preserve">metų vaikams reikia gerti pusę suaugusio žmogaus dozės. </w:t>
      </w:r>
    </w:p>
    <w:p w14:paraId="73A306A2" w14:textId="77777777" w:rsidR="00DC55CF" w:rsidRPr="00CC52A7" w:rsidRDefault="00DC55CF" w:rsidP="00DC55CF">
      <w:pPr>
        <w:numPr>
          <w:ilvl w:val="0"/>
          <w:numId w:val="13"/>
        </w:num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Dozė apskaičiuojama pagal vaiko svorį - 20</w:t>
      </w:r>
      <w:r w:rsidR="004070A0">
        <w:rPr>
          <w:rFonts w:ascii="Times New Roman" w:eastAsia="PMingLiU" w:hAnsi="Times New Roman" w:cs="Times New Roman"/>
          <w:lang w:val="lt-LT"/>
        </w:rPr>
        <w:t> </w:t>
      </w:r>
      <w:r w:rsidRPr="00CC52A7">
        <w:rPr>
          <w:rFonts w:ascii="Times New Roman" w:eastAsia="PMingLiU" w:hAnsi="Times New Roman" w:cs="Times New Roman"/>
          <w:lang w:val="lt-LT"/>
        </w:rPr>
        <w:t>mg/kg kūno svorio (neviršijant 800</w:t>
      </w:r>
      <w:r w:rsidR="004070A0">
        <w:rPr>
          <w:rFonts w:ascii="Times New Roman" w:eastAsia="PMingLiU" w:hAnsi="Times New Roman" w:cs="Times New Roman"/>
          <w:lang w:val="lt-LT"/>
        </w:rPr>
        <w:t> </w:t>
      </w:r>
      <w:r w:rsidRPr="00CC52A7">
        <w:rPr>
          <w:rFonts w:ascii="Times New Roman" w:eastAsia="PMingLiU" w:hAnsi="Times New Roman" w:cs="Times New Roman"/>
          <w:lang w:val="lt-LT"/>
        </w:rPr>
        <w:t>mg) vartojant 4</w:t>
      </w:r>
      <w:r w:rsidR="004070A0">
        <w:rPr>
          <w:rFonts w:ascii="Times New Roman" w:eastAsia="PMingLiU" w:hAnsi="Times New Roman" w:cs="Times New Roman"/>
          <w:lang w:val="lt-LT"/>
        </w:rPr>
        <w:t> </w:t>
      </w:r>
      <w:r w:rsidRPr="00CC52A7">
        <w:rPr>
          <w:rFonts w:ascii="Times New Roman" w:eastAsia="PMingLiU" w:hAnsi="Times New Roman" w:cs="Times New Roman"/>
          <w:lang w:val="lt-LT"/>
        </w:rPr>
        <w:t>kartus per parą.</w:t>
      </w:r>
    </w:p>
    <w:p w14:paraId="73A306A3" w14:textId="77777777" w:rsidR="00DC55CF" w:rsidRPr="00CC52A7" w:rsidRDefault="00DC55CF" w:rsidP="00DC55CF">
      <w:pPr>
        <w:numPr>
          <w:ilvl w:val="0"/>
          <w:numId w:val="13"/>
        </w:num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lastRenderedPageBreak/>
        <w:t>Jeigu vaikas negali nuryti tabletės, ją galima sutraiškyti ir sumaišyti su skysčiu.</w:t>
      </w:r>
    </w:p>
    <w:p w14:paraId="73A306A4"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6A5"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i/>
          <w:lang w:val="lt-LT"/>
        </w:rPr>
      </w:pPr>
      <w:r w:rsidRPr="00CC52A7">
        <w:rPr>
          <w:rFonts w:ascii="Times New Roman" w:eastAsia="PMingLiU" w:hAnsi="Times New Roman" w:cs="Times New Roman"/>
          <w:i/>
          <w:lang w:val="lt-LT"/>
        </w:rPr>
        <w:t>Kaip vartoti šį vaistą</w:t>
      </w:r>
    </w:p>
    <w:p w14:paraId="73A306A6" w14:textId="77777777" w:rsidR="00DC55CF" w:rsidRPr="00CC52A7" w:rsidRDefault="00DC55CF" w:rsidP="00DC55CF">
      <w:pPr>
        <w:numPr>
          <w:ilvl w:val="0"/>
          <w:numId w:val="14"/>
        </w:num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Nurykite tabletes nesukramtytas, užgerdami stikline vandens. </w:t>
      </w:r>
    </w:p>
    <w:p w14:paraId="73A306A7" w14:textId="77777777" w:rsidR="00DC55CF" w:rsidRPr="00CC52A7" w:rsidRDefault="00DC55CF" w:rsidP="00DC55CF">
      <w:pPr>
        <w:numPr>
          <w:ilvl w:val="0"/>
          <w:numId w:val="14"/>
        </w:num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Tabletes geriau vartoti po valgio.</w:t>
      </w:r>
    </w:p>
    <w:p w14:paraId="73A306A8" w14:textId="77777777" w:rsidR="00DC55CF" w:rsidRPr="00CC52A7" w:rsidRDefault="00DC55CF" w:rsidP="00DC55CF">
      <w:pPr>
        <w:numPr>
          <w:ilvl w:val="0"/>
          <w:numId w:val="14"/>
        </w:num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Labai svarbu, kad Acic vartojimo laikotarpiu gertumėte pakankamai skysčių.</w:t>
      </w:r>
    </w:p>
    <w:p w14:paraId="73A306A9" w14:textId="77777777" w:rsidR="00DC55CF" w:rsidRPr="00CC52A7" w:rsidRDefault="00DC55CF" w:rsidP="00DC55CF">
      <w:pPr>
        <w:overflowPunct w:val="0"/>
        <w:autoSpaceDE w:val="0"/>
        <w:autoSpaceDN w:val="0"/>
        <w:adjustRightInd w:val="0"/>
        <w:spacing w:after="0" w:line="240" w:lineRule="auto"/>
        <w:ind w:left="1"/>
        <w:contextualSpacing/>
        <w:textAlignment w:val="baseline"/>
        <w:rPr>
          <w:rFonts w:ascii="Times New Roman" w:eastAsia="PMingLiU" w:hAnsi="Times New Roman" w:cs="Times New Roman"/>
          <w:i/>
          <w:lang w:val="lt-LT"/>
        </w:rPr>
      </w:pPr>
    </w:p>
    <w:p w14:paraId="73A306AA"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u w:val="single"/>
          <w:lang w:val="lt-LT"/>
        </w:rPr>
      </w:pPr>
      <w:r w:rsidRPr="00CC52A7">
        <w:rPr>
          <w:rFonts w:ascii="Times New Roman" w:eastAsia="PMingLiU" w:hAnsi="Times New Roman" w:cs="Times New Roman"/>
          <w:b/>
          <w:lang w:val="lt-LT"/>
        </w:rPr>
        <w:t>Ką daryti pavartojus per didelę Acic dozę?</w:t>
      </w:r>
    </w:p>
    <w:p w14:paraId="73A306AB" w14:textId="77777777" w:rsidR="00DC55CF" w:rsidRPr="00CC52A7" w:rsidRDefault="00DC55CF" w:rsidP="00DC55CF">
      <w:pPr>
        <w:overflowPunct w:val="0"/>
        <w:autoSpaceDE w:val="0"/>
        <w:autoSpaceDN w:val="0"/>
        <w:adjustRightInd w:val="0"/>
        <w:spacing w:after="0" w:line="240" w:lineRule="auto"/>
        <w:ind w:left="1"/>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Jeigu išgėrėte per daug Acic tablečių ir pasijutote blogai, nedels</w:t>
      </w:r>
      <w:r w:rsidR="007C5A3D">
        <w:rPr>
          <w:rFonts w:ascii="Times New Roman" w:eastAsia="PMingLiU" w:hAnsi="Times New Roman" w:cs="Times New Roman"/>
          <w:lang w:val="lt-LT"/>
        </w:rPr>
        <w:t>dami</w:t>
      </w:r>
      <w:r w:rsidRPr="00CC52A7">
        <w:rPr>
          <w:rFonts w:ascii="Times New Roman" w:eastAsia="PMingLiU" w:hAnsi="Times New Roman" w:cs="Times New Roman"/>
          <w:lang w:val="lt-LT"/>
        </w:rPr>
        <w:t xml:space="preserve"> kreipkitės į gydytoją arba vykite į artimiausios ligoninės skubios pagalbos skyrių. Jei įmanoma, pasiimkite tabletes arba pakuotę, kad galėtumėte gydytojui parodyti, kokio vaisto išgėrėte.</w:t>
      </w:r>
    </w:p>
    <w:p w14:paraId="73A306AC" w14:textId="77777777" w:rsidR="00DC55CF" w:rsidRPr="00CC52A7" w:rsidRDefault="00DC55CF" w:rsidP="00DC55CF">
      <w:pPr>
        <w:overflowPunct w:val="0"/>
        <w:autoSpaceDE w:val="0"/>
        <w:autoSpaceDN w:val="0"/>
        <w:adjustRightInd w:val="0"/>
        <w:spacing w:after="0" w:line="240" w:lineRule="auto"/>
        <w:ind w:left="1"/>
        <w:contextualSpacing/>
        <w:textAlignment w:val="baseline"/>
        <w:rPr>
          <w:rFonts w:ascii="Times New Roman" w:eastAsia="PMingLiU" w:hAnsi="Times New Roman" w:cs="Times New Roman"/>
          <w:b/>
          <w:i/>
          <w:iCs/>
          <w:lang w:val="lt-LT"/>
        </w:rPr>
      </w:pPr>
    </w:p>
    <w:p w14:paraId="73A306AD" w14:textId="77777777" w:rsidR="00DC55CF" w:rsidRPr="00CC52A7" w:rsidRDefault="00DC55CF" w:rsidP="00DC55CF">
      <w:pPr>
        <w:overflowPunct w:val="0"/>
        <w:autoSpaceDE w:val="0"/>
        <w:autoSpaceDN w:val="0"/>
        <w:adjustRightInd w:val="0"/>
        <w:spacing w:after="0" w:line="240" w:lineRule="auto"/>
        <w:ind w:left="1"/>
        <w:contextualSpacing/>
        <w:textAlignment w:val="baseline"/>
        <w:rPr>
          <w:rFonts w:ascii="Times New Roman" w:eastAsia="PMingLiU" w:hAnsi="Times New Roman" w:cs="Times New Roman"/>
          <w:b/>
          <w:iCs/>
          <w:lang w:val="lt-LT"/>
        </w:rPr>
      </w:pPr>
      <w:r w:rsidRPr="00CC52A7">
        <w:rPr>
          <w:rFonts w:ascii="Times New Roman" w:eastAsia="PMingLiU" w:hAnsi="Times New Roman" w:cs="Times New Roman"/>
          <w:b/>
          <w:iCs/>
          <w:lang w:val="lt-LT"/>
        </w:rPr>
        <w:t>Pamiršus pavartoti Acic</w:t>
      </w:r>
    </w:p>
    <w:p w14:paraId="73A306AE" w14:textId="77777777" w:rsidR="00DC55CF" w:rsidRPr="00CC52A7" w:rsidRDefault="00DC55CF" w:rsidP="00DC55CF">
      <w:pPr>
        <w:overflowPunct w:val="0"/>
        <w:autoSpaceDE w:val="0"/>
        <w:autoSpaceDN w:val="0"/>
        <w:adjustRightInd w:val="0"/>
        <w:spacing w:after="0" w:line="240" w:lineRule="auto"/>
        <w:ind w:left="1"/>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Nesijaudinkite, išgerkite praleistą dozę, kai tik prisiminėte. Jeigu jau beveik laikas gerti kitą dozę, palaukite ir toliau vaistą vartokite kaip įprastai. Negalima vartoti dvigubos dozės norint kompensuoti praleistą tab</w:t>
      </w:r>
      <w:r w:rsidR="00CC52A7">
        <w:rPr>
          <w:rFonts w:ascii="Times New Roman" w:eastAsia="PMingLiU" w:hAnsi="Times New Roman" w:cs="Times New Roman"/>
          <w:lang w:val="lt-LT"/>
        </w:rPr>
        <w:t>l</w:t>
      </w:r>
      <w:r w:rsidRPr="00CC52A7">
        <w:rPr>
          <w:rFonts w:ascii="Times New Roman" w:eastAsia="PMingLiU" w:hAnsi="Times New Roman" w:cs="Times New Roman"/>
          <w:lang w:val="lt-LT"/>
        </w:rPr>
        <w:t>e</w:t>
      </w:r>
      <w:r w:rsidR="00CC52A7">
        <w:rPr>
          <w:rFonts w:ascii="Times New Roman" w:eastAsia="PMingLiU" w:hAnsi="Times New Roman" w:cs="Times New Roman"/>
          <w:lang w:val="lt-LT"/>
        </w:rPr>
        <w:t>t</w:t>
      </w:r>
      <w:r w:rsidRPr="00CC52A7">
        <w:rPr>
          <w:rFonts w:ascii="Times New Roman" w:eastAsia="PMingLiU" w:hAnsi="Times New Roman" w:cs="Times New Roman"/>
          <w:lang w:val="lt-LT"/>
        </w:rPr>
        <w:t xml:space="preserve">ę. </w:t>
      </w:r>
    </w:p>
    <w:p w14:paraId="73A306AF" w14:textId="77777777" w:rsidR="00DC55CF" w:rsidRPr="00CC52A7" w:rsidRDefault="00DC55CF" w:rsidP="00DC55CF">
      <w:pPr>
        <w:overflowPunct w:val="0"/>
        <w:autoSpaceDE w:val="0"/>
        <w:autoSpaceDN w:val="0"/>
        <w:adjustRightInd w:val="0"/>
        <w:spacing w:after="0" w:line="240" w:lineRule="auto"/>
        <w:ind w:left="1"/>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Jeigu pamiršote išgerti kelias dozes, kreipkitės į gydytoją.</w:t>
      </w:r>
    </w:p>
    <w:p w14:paraId="73A306B0" w14:textId="77777777" w:rsidR="00DC55CF" w:rsidRPr="00CC52A7" w:rsidRDefault="00DC55CF" w:rsidP="00DC55CF">
      <w:pPr>
        <w:overflowPunct w:val="0"/>
        <w:autoSpaceDE w:val="0"/>
        <w:autoSpaceDN w:val="0"/>
        <w:adjustRightInd w:val="0"/>
        <w:spacing w:after="0" w:line="240" w:lineRule="auto"/>
        <w:ind w:left="1"/>
        <w:contextualSpacing/>
        <w:textAlignment w:val="baseline"/>
        <w:rPr>
          <w:rFonts w:ascii="Times New Roman" w:eastAsia="PMingLiU" w:hAnsi="Times New Roman" w:cs="Times New Roman"/>
          <w:lang w:val="lt-LT"/>
        </w:rPr>
      </w:pPr>
    </w:p>
    <w:p w14:paraId="73A306B1" w14:textId="77777777" w:rsidR="00DC55CF" w:rsidRPr="00CC52A7" w:rsidRDefault="00DC55CF" w:rsidP="00DC55CF">
      <w:pPr>
        <w:overflowPunct w:val="0"/>
        <w:autoSpaceDE w:val="0"/>
        <w:autoSpaceDN w:val="0"/>
        <w:adjustRightInd w:val="0"/>
        <w:spacing w:after="0" w:line="240" w:lineRule="auto"/>
        <w:ind w:left="1"/>
        <w:contextualSpacing/>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t>Nustojus vartoti Acic</w:t>
      </w:r>
    </w:p>
    <w:p w14:paraId="73A306B2"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Nenutraukite vaisto vartojimo nebaigę viso gydymo kurso, net jeigu jaučiatės gerai. </w:t>
      </w:r>
    </w:p>
    <w:p w14:paraId="73A306B3" w14:textId="77777777" w:rsidR="00DC55CF" w:rsidRPr="00CC52A7" w:rsidRDefault="00DC55CF" w:rsidP="00DC55CF">
      <w:pPr>
        <w:widowControl w:val="0"/>
        <w:tabs>
          <w:tab w:val="left" w:pos="567"/>
        </w:tabs>
        <w:overflowPunct w:val="0"/>
        <w:autoSpaceDE w:val="0"/>
        <w:autoSpaceDN w:val="0"/>
        <w:adjustRightInd w:val="0"/>
        <w:spacing w:after="0" w:line="240" w:lineRule="auto"/>
        <w:contextualSpacing/>
        <w:textAlignment w:val="baseline"/>
        <w:rPr>
          <w:rFonts w:ascii="Times New Roman" w:eastAsia="Times New Roman" w:hAnsi="Times New Roman" w:cs="Times New Roman"/>
          <w:lang w:val="lt-LT" w:eastAsia="ar-SA"/>
        </w:rPr>
      </w:pPr>
    </w:p>
    <w:p w14:paraId="73A306B4"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r w:rsidRPr="00CC52A7">
        <w:rPr>
          <w:rFonts w:ascii="Times New Roman" w:eastAsia="Times New Roman" w:hAnsi="Times New Roman" w:cs="Times New Roman"/>
          <w:lang w:val="lt-LT" w:eastAsia="ar-SA"/>
        </w:rPr>
        <w:t>Jeigu kiltų daugiau klausimų dėl šio vaisto vartojimo, kreipkitės į gydytoją arba vaistininką.</w:t>
      </w:r>
    </w:p>
    <w:p w14:paraId="73A306B5"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6B6"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6B7" w14:textId="77777777" w:rsidR="00DC55CF" w:rsidRPr="00CC52A7" w:rsidRDefault="00DC55CF" w:rsidP="00DC55CF">
      <w:pPr>
        <w:overflowPunct w:val="0"/>
        <w:autoSpaceDE w:val="0"/>
        <w:autoSpaceDN w:val="0"/>
        <w:adjustRightInd w:val="0"/>
        <w:spacing w:after="0" w:line="240" w:lineRule="auto"/>
        <w:ind w:left="567" w:hanging="567"/>
        <w:contextualSpacing/>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t>4.</w:t>
      </w:r>
      <w:r w:rsidRPr="00CC52A7">
        <w:rPr>
          <w:rFonts w:ascii="Times New Roman" w:eastAsia="PMingLiU" w:hAnsi="Times New Roman" w:cs="Times New Roman"/>
          <w:b/>
          <w:lang w:val="lt-LT"/>
        </w:rPr>
        <w:tab/>
        <w:t>Galimas šalutinis poveikis</w:t>
      </w:r>
    </w:p>
    <w:p w14:paraId="73A306B8"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6B9" w14:textId="77777777" w:rsidR="00DC55CF" w:rsidRPr="00CC52A7" w:rsidRDefault="00DC55CF" w:rsidP="00DC55CF">
      <w:pPr>
        <w:spacing w:after="0" w:line="240" w:lineRule="auto"/>
        <w:contextualSpacing/>
        <w:rPr>
          <w:rFonts w:ascii="Times New Roman" w:eastAsia="PMingLiU" w:hAnsi="Times New Roman" w:cs="Times New Roman"/>
          <w:lang w:val="lt-LT"/>
        </w:rPr>
      </w:pPr>
      <w:r w:rsidRPr="00CC52A7">
        <w:rPr>
          <w:rFonts w:ascii="Times New Roman" w:eastAsia="PMingLiU" w:hAnsi="Times New Roman" w:cs="Times New Roman"/>
          <w:lang w:val="lt-LT"/>
        </w:rPr>
        <w:t>Šis vaistas, kaip ir visi kiti, gali sukelti šalutinį poveikį, nors jis pasireiškia ne visiems žmonėms.</w:t>
      </w:r>
    </w:p>
    <w:p w14:paraId="73A306BA"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6BB"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Retais atvejais šis vaistas gali sukelti sunkią alerginę reakciją. Jeigu vartojant vaisto Jums pasireiškė bet kuris iš išvardytų simptomų, </w:t>
      </w:r>
      <w:r w:rsidRPr="00CC52A7">
        <w:rPr>
          <w:rFonts w:ascii="Times New Roman" w:eastAsia="PMingLiU" w:hAnsi="Times New Roman" w:cs="Times New Roman"/>
          <w:b/>
          <w:lang w:val="lt-LT"/>
        </w:rPr>
        <w:t>nedels</w:t>
      </w:r>
      <w:r w:rsidR="007C5A3D">
        <w:rPr>
          <w:rFonts w:ascii="Times New Roman" w:eastAsia="PMingLiU" w:hAnsi="Times New Roman" w:cs="Times New Roman"/>
          <w:b/>
          <w:lang w:val="lt-LT"/>
        </w:rPr>
        <w:t>dami</w:t>
      </w:r>
      <w:r w:rsidRPr="00CC52A7">
        <w:rPr>
          <w:rFonts w:ascii="Times New Roman" w:eastAsia="PMingLiU" w:hAnsi="Times New Roman" w:cs="Times New Roman"/>
          <w:b/>
          <w:lang w:val="lt-LT"/>
        </w:rPr>
        <w:t xml:space="preserve"> kreipkitės į gydytoją arba artimiausios ligoninės skubios pagalbos skyrių</w:t>
      </w:r>
      <w:r w:rsidRPr="00CC52A7">
        <w:rPr>
          <w:rFonts w:ascii="Times New Roman" w:eastAsia="PMingLiU" w:hAnsi="Times New Roman" w:cs="Times New Roman"/>
          <w:lang w:val="lt-LT"/>
        </w:rPr>
        <w:t>:</w:t>
      </w:r>
    </w:p>
    <w:p w14:paraId="73A306BC" w14:textId="77777777" w:rsidR="00DC55CF" w:rsidRPr="00CC52A7" w:rsidRDefault="00DC55CF" w:rsidP="00DC55CF">
      <w:pPr>
        <w:widowControl w:val="0"/>
        <w:numPr>
          <w:ilvl w:val="0"/>
          <w:numId w:val="16"/>
        </w:numPr>
        <w:tabs>
          <w:tab w:val="left" w:pos="0"/>
        </w:tabs>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staiga tapo sunku kvėpuoti, kalbėti ir ryti; tinsta lūpos, veidas ir kaklas; labai svaigsta</w:t>
      </w:r>
      <w:r w:rsidR="00803957">
        <w:rPr>
          <w:rFonts w:ascii="Times New Roman" w:eastAsia="PMingLiU" w:hAnsi="Times New Roman" w:cs="Times New Roman"/>
          <w:lang w:val="lt-LT"/>
        </w:rPr>
        <w:t xml:space="preserve"> galva</w:t>
      </w:r>
      <w:r w:rsidRPr="00CC52A7">
        <w:rPr>
          <w:rFonts w:ascii="Times New Roman" w:eastAsia="PMingLiU" w:hAnsi="Times New Roman" w:cs="Times New Roman"/>
          <w:lang w:val="lt-LT"/>
        </w:rPr>
        <w:t>; atsirado niežintis iškilus odos išbėrimas.</w:t>
      </w:r>
    </w:p>
    <w:p w14:paraId="73A306BD"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6BE" w14:textId="77777777" w:rsidR="00DC55CF" w:rsidRPr="00CC52A7" w:rsidRDefault="00DC55CF" w:rsidP="00DC55CF">
      <w:pPr>
        <w:widowControl w:val="0"/>
        <w:tabs>
          <w:tab w:val="left" w:pos="0"/>
        </w:tabs>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Labai retai šis vaistas gali sukelti kraujo sutrikimus (raudonųjų kraujo kūnelių skaičiaus sumažėjimą; baltųjų kraujo kūnelių, kurie saugo nuo infekcijų, sumažėjimą; kraujo plokštelių, kurios padeda sukrešėti kraujui, sumažėjimą). Jeigu pastebėjote bet kurį iš išvardytų požymių, </w:t>
      </w:r>
      <w:r w:rsidRPr="00CC52A7">
        <w:rPr>
          <w:rFonts w:ascii="Times New Roman" w:eastAsia="PMingLiU" w:hAnsi="Times New Roman" w:cs="Times New Roman"/>
          <w:b/>
          <w:lang w:val="lt-LT"/>
        </w:rPr>
        <w:t>kuo greičiau kreipkitės į gydytoją</w:t>
      </w:r>
      <w:r w:rsidRPr="00CC52A7">
        <w:rPr>
          <w:rFonts w:ascii="Times New Roman" w:eastAsia="PMingLiU" w:hAnsi="Times New Roman" w:cs="Times New Roman"/>
          <w:lang w:val="lt-LT"/>
        </w:rPr>
        <w:t>:</w:t>
      </w:r>
    </w:p>
    <w:p w14:paraId="73A306BF" w14:textId="77777777" w:rsidR="00DC55CF" w:rsidRPr="00CC52A7" w:rsidRDefault="00DC55CF" w:rsidP="00DC55CF">
      <w:pPr>
        <w:widowControl w:val="0"/>
        <w:numPr>
          <w:ilvl w:val="0"/>
          <w:numId w:val="16"/>
        </w:numPr>
        <w:tabs>
          <w:tab w:val="left" w:pos="0"/>
        </w:tabs>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bendrą silpnumą, blyškumą;</w:t>
      </w:r>
    </w:p>
    <w:p w14:paraId="73A306C0" w14:textId="77777777" w:rsidR="00DC55CF" w:rsidRPr="00CC52A7" w:rsidRDefault="00DC55CF" w:rsidP="00DC55CF">
      <w:pPr>
        <w:widowControl w:val="0"/>
        <w:numPr>
          <w:ilvl w:val="0"/>
          <w:numId w:val="16"/>
        </w:numPr>
        <w:tabs>
          <w:tab w:val="left" w:pos="0"/>
        </w:tabs>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dažnai besikartojančias ir (arba) sunkias infekcijas (ypač jei yra gerklės skausmas);</w:t>
      </w:r>
    </w:p>
    <w:p w14:paraId="73A306C1" w14:textId="77777777" w:rsidR="00DC55CF" w:rsidRPr="00CC52A7" w:rsidRDefault="00DC55CF" w:rsidP="00DC55CF">
      <w:pPr>
        <w:widowControl w:val="0"/>
        <w:numPr>
          <w:ilvl w:val="0"/>
          <w:numId w:val="16"/>
        </w:numPr>
        <w:tabs>
          <w:tab w:val="left" w:pos="0"/>
        </w:tabs>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karščiavimą be aiškios priežasties;</w:t>
      </w:r>
    </w:p>
    <w:p w14:paraId="73A306C2" w14:textId="77777777" w:rsidR="00DC55CF" w:rsidRPr="00CC52A7" w:rsidRDefault="00DC55CF" w:rsidP="00DC55CF">
      <w:pPr>
        <w:widowControl w:val="0"/>
        <w:numPr>
          <w:ilvl w:val="0"/>
          <w:numId w:val="16"/>
        </w:numPr>
        <w:tabs>
          <w:tab w:val="left" w:pos="0"/>
        </w:tabs>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burnos ir (arba) gerklės opas;</w:t>
      </w:r>
    </w:p>
    <w:p w14:paraId="73A306C3" w14:textId="77777777" w:rsidR="00DC55CF" w:rsidRPr="00CC52A7" w:rsidRDefault="00DC55CF" w:rsidP="00DC55CF">
      <w:pPr>
        <w:widowControl w:val="0"/>
        <w:numPr>
          <w:ilvl w:val="0"/>
          <w:numId w:val="16"/>
        </w:numPr>
        <w:tabs>
          <w:tab w:val="left" w:pos="0"/>
        </w:tabs>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neįprastas ar be aiškios priežasties atsirandančias mėlynes ar kraujavimą;</w:t>
      </w:r>
    </w:p>
    <w:p w14:paraId="73A306C4" w14:textId="77777777" w:rsidR="00DC55CF" w:rsidRPr="00CC52A7" w:rsidRDefault="00DC55CF" w:rsidP="00DC55CF">
      <w:pPr>
        <w:widowControl w:val="0"/>
        <w:numPr>
          <w:ilvl w:val="0"/>
          <w:numId w:val="16"/>
        </w:numPr>
        <w:tabs>
          <w:tab w:val="left" w:pos="0"/>
        </w:tabs>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mažus raudonus taškelius odoje ir (arba) burnoje. </w:t>
      </w:r>
    </w:p>
    <w:p w14:paraId="73A306C5"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6C6"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Jeigu pasireiškė bet kuris kitas šalutinis poveikis, pasakykite apie tai gydytojui:</w:t>
      </w:r>
    </w:p>
    <w:p w14:paraId="73A306C7"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6C8"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i/>
          <w:lang w:val="lt-LT"/>
        </w:rPr>
      </w:pPr>
      <w:r w:rsidRPr="00CC52A7">
        <w:rPr>
          <w:rFonts w:ascii="Times New Roman" w:eastAsia="PMingLiU" w:hAnsi="Times New Roman" w:cs="Times New Roman"/>
          <w:i/>
          <w:lang w:val="lt-LT"/>
        </w:rPr>
        <w:t xml:space="preserve">Dažni šalutiniai poveikiai (gali pasireikšti mažiau kaip 1 iš 10 žmonių) </w:t>
      </w:r>
    </w:p>
    <w:p w14:paraId="73A306C9" w14:textId="77777777" w:rsidR="00DC55CF" w:rsidRPr="00CC52A7" w:rsidRDefault="00DC55CF" w:rsidP="00DC55CF">
      <w:pPr>
        <w:widowControl w:val="0"/>
        <w:numPr>
          <w:ilvl w:val="0"/>
          <w:numId w:val="16"/>
        </w:numPr>
        <w:tabs>
          <w:tab w:val="left" w:pos="0"/>
        </w:tabs>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niežėjimas, bėrimas (įskaitant pasireiškiantį dėl šviesos poveikio);</w:t>
      </w:r>
    </w:p>
    <w:p w14:paraId="73A306CA" w14:textId="77777777" w:rsidR="00DC55CF" w:rsidRPr="00CC52A7" w:rsidRDefault="00DC55CF" w:rsidP="00DC55CF">
      <w:pPr>
        <w:widowControl w:val="0"/>
        <w:numPr>
          <w:ilvl w:val="0"/>
          <w:numId w:val="16"/>
        </w:numPr>
        <w:tabs>
          <w:tab w:val="left" w:pos="0"/>
        </w:tabs>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pykinimas, vėmimas, viduriavimas, pilvo skausmas;</w:t>
      </w:r>
    </w:p>
    <w:p w14:paraId="73A306CB" w14:textId="77777777" w:rsidR="00DC55CF" w:rsidRPr="00CC52A7" w:rsidRDefault="00DC55CF" w:rsidP="00DC55CF">
      <w:pPr>
        <w:widowControl w:val="0"/>
        <w:numPr>
          <w:ilvl w:val="0"/>
          <w:numId w:val="16"/>
        </w:numPr>
        <w:tabs>
          <w:tab w:val="left" w:pos="0"/>
        </w:tabs>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galvos svaigimas, galvos skausmas;</w:t>
      </w:r>
    </w:p>
    <w:p w14:paraId="73A306CC" w14:textId="77777777" w:rsidR="00DC55CF" w:rsidRPr="00CC52A7" w:rsidRDefault="00DC55CF" w:rsidP="00DC55CF">
      <w:pPr>
        <w:widowControl w:val="0"/>
        <w:numPr>
          <w:ilvl w:val="0"/>
          <w:numId w:val="16"/>
        </w:numPr>
        <w:tabs>
          <w:tab w:val="left" w:pos="0"/>
        </w:tabs>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nuovargis, karščiavimas</w:t>
      </w:r>
      <w:r w:rsidR="00803957">
        <w:rPr>
          <w:rFonts w:ascii="Times New Roman" w:eastAsia="PMingLiU" w:hAnsi="Times New Roman" w:cs="Times New Roman"/>
          <w:lang w:val="lt-LT"/>
        </w:rPr>
        <w:t>.</w:t>
      </w:r>
    </w:p>
    <w:p w14:paraId="73A306CD" w14:textId="77777777" w:rsidR="00DC55CF" w:rsidRPr="00CC52A7" w:rsidRDefault="00DC55CF" w:rsidP="00DC55CF">
      <w:pPr>
        <w:keepNext/>
        <w:overflowPunct w:val="0"/>
        <w:autoSpaceDE w:val="0"/>
        <w:autoSpaceDN w:val="0"/>
        <w:adjustRightInd w:val="0"/>
        <w:spacing w:after="0" w:line="240" w:lineRule="auto"/>
        <w:contextualSpacing/>
        <w:textAlignment w:val="baseline"/>
        <w:outlineLvl w:val="1"/>
        <w:rPr>
          <w:rFonts w:ascii="Times New Roman" w:eastAsia="PMingLiU" w:hAnsi="Times New Roman" w:cs="Times New Roman"/>
          <w:iCs/>
          <w:lang w:val="lt-LT"/>
        </w:rPr>
      </w:pPr>
    </w:p>
    <w:p w14:paraId="73A306CE" w14:textId="77777777" w:rsidR="00DC55CF" w:rsidRPr="00CC52A7" w:rsidRDefault="00DC55CF" w:rsidP="00DC55CF">
      <w:pPr>
        <w:keepNext/>
        <w:overflowPunct w:val="0"/>
        <w:autoSpaceDE w:val="0"/>
        <w:autoSpaceDN w:val="0"/>
        <w:adjustRightInd w:val="0"/>
        <w:spacing w:after="0" w:line="240" w:lineRule="auto"/>
        <w:contextualSpacing/>
        <w:textAlignment w:val="baseline"/>
        <w:outlineLvl w:val="1"/>
        <w:rPr>
          <w:rFonts w:ascii="Times New Roman" w:eastAsia="PMingLiU" w:hAnsi="Times New Roman" w:cs="Times New Roman"/>
          <w:i/>
          <w:iCs/>
          <w:lang w:val="lt-LT"/>
        </w:rPr>
      </w:pPr>
      <w:r w:rsidRPr="00CC52A7">
        <w:rPr>
          <w:rFonts w:ascii="Times New Roman" w:eastAsia="PMingLiU" w:hAnsi="Times New Roman" w:cs="Times New Roman"/>
          <w:i/>
          <w:iCs/>
          <w:lang w:val="lt-LT"/>
        </w:rPr>
        <w:t xml:space="preserve">Nedažni šalutiniai poveikiai (gali pasireikšti mažiau kaip 1 iš 100 žmonių) </w:t>
      </w:r>
    </w:p>
    <w:p w14:paraId="73A306CF" w14:textId="77777777" w:rsidR="00DC55CF" w:rsidRPr="00CC52A7" w:rsidRDefault="00DC55CF" w:rsidP="00DC55CF">
      <w:pPr>
        <w:widowControl w:val="0"/>
        <w:numPr>
          <w:ilvl w:val="0"/>
          <w:numId w:val="16"/>
        </w:numPr>
        <w:tabs>
          <w:tab w:val="left" w:pos="0"/>
        </w:tabs>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dilgėlinė; </w:t>
      </w:r>
    </w:p>
    <w:p w14:paraId="73A306D0" w14:textId="77777777" w:rsidR="00DC55CF" w:rsidRPr="00CC52A7" w:rsidRDefault="00DC55CF" w:rsidP="00DC55CF">
      <w:pPr>
        <w:widowControl w:val="0"/>
        <w:numPr>
          <w:ilvl w:val="0"/>
          <w:numId w:val="16"/>
        </w:numPr>
        <w:tabs>
          <w:tab w:val="left" w:pos="0"/>
        </w:tabs>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plaukų slinkimas.</w:t>
      </w:r>
    </w:p>
    <w:p w14:paraId="73A306D1"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6D2"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i/>
          <w:lang w:val="lt-LT"/>
        </w:rPr>
      </w:pPr>
      <w:r w:rsidRPr="00CC52A7">
        <w:rPr>
          <w:rFonts w:ascii="Times New Roman" w:eastAsia="PMingLiU" w:hAnsi="Times New Roman" w:cs="Times New Roman"/>
          <w:i/>
          <w:lang w:val="lt-LT"/>
        </w:rPr>
        <w:lastRenderedPageBreak/>
        <w:t xml:space="preserve">Reti šalutiniai poveikiai (gali pasireikšti mažiau kaip 1 iš 1000 žmonių) </w:t>
      </w:r>
    </w:p>
    <w:p w14:paraId="73A306D3" w14:textId="77777777" w:rsidR="00DC55CF" w:rsidRPr="00CC52A7" w:rsidRDefault="00DC55CF" w:rsidP="00DC55CF">
      <w:pPr>
        <w:widowControl w:val="0"/>
        <w:numPr>
          <w:ilvl w:val="0"/>
          <w:numId w:val="16"/>
        </w:numPr>
        <w:tabs>
          <w:tab w:val="left" w:pos="0"/>
        </w:tabs>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iCs/>
          <w:lang w:val="lt-LT"/>
        </w:rPr>
        <w:t>veido, lūpų, gerklės tinimas dėl alerginės reakcijos (</w:t>
      </w:r>
      <w:r w:rsidRPr="00CC52A7">
        <w:rPr>
          <w:rFonts w:ascii="Times New Roman" w:eastAsia="PMingLiU" w:hAnsi="Times New Roman" w:cs="Times New Roman"/>
          <w:lang w:val="lt-LT"/>
        </w:rPr>
        <w:t>angioneurozinė</w:t>
      </w:r>
      <w:r w:rsidR="00CC52A7">
        <w:rPr>
          <w:rFonts w:ascii="Times New Roman" w:eastAsia="PMingLiU" w:hAnsi="Times New Roman" w:cs="Times New Roman"/>
          <w:lang w:val="lt-LT"/>
        </w:rPr>
        <w:t xml:space="preserve"> </w:t>
      </w:r>
      <w:r w:rsidRPr="00CC52A7">
        <w:rPr>
          <w:rFonts w:ascii="Times New Roman" w:eastAsia="PMingLiU" w:hAnsi="Times New Roman" w:cs="Times New Roman"/>
          <w:lang w:val="lt-LT"/>
        </w:rPr>
        <w:t>edema);</w:t>
      </w:r>
    </w:p>
    <w:p w14:paraId="73A306D4" w14:textId="77777777" w:rsidR="00DC55CF" w:rsidRPr="00CC52A7" w:rsidRDefault="00DC55CF" w:rsidP="00DC55CF">
      <w:pPr>
        <w:widowControl w:val="0"/>
        <w:numPr>
          <w:ilvl w:val="0"/>
          <w:numId w:val="16"/>
        </w:numPr>
        <w:tabs>
          <w:tab w:val="left" w:pos="0"/>
        </w:tabs>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grįžtamasis pigmento bilirubino kiekio padidėjimas; </w:t>
      </w:r>
    </w:p>
    <w:p w14:paraId="73A306D5" w14:textId="77777777" w:rsidR="00DC55CF" w:rsidRPr="00CC52A7" w:rsidRDefault="00DC55CF" w:rsidP="00DC55CF">
      <w:pPr>
        <w:widowControl w:val="0"/>
        <w:numPr>
          <w:ilvl w:val="0"/>
          <w:numId w:val="16"/>
        </w:numPr>
        <w:tabs>
          <w:tab w:val="left" w:pos="0"/>
        </w:tabs>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kepenų fermentų aktyvumo padidėjimas;</w:t>
      </w:r>
    </w:p>
    <w:p w14:paraId="73A306D6" w14:textId="77777777" w:rsidR="00DC55CF" w:rsidRPr="00CC52A7" w:rsidRDefault="00DC55CF" w:rsidP="00DC55CF">
      <w:pPr>
        <w:widowControl w:val="0"/>
        <w:numPr>
          <w:ilvl w:val="0"/>
          <w:numId w:val="16"/>
        </w:numPr>
        <w:tabs>
          <w:tab w:val="left" w:pos="0"/>
        </w:tabs>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padidėjęs šlapalo ir kreatinino kiekis kraujyje;</w:t>
      </w:r>
    </w:p>
    <w:p w14:paraId="73A306D7" w14:textId="77777777" w:rsidR="00DC55CF" w:rsidRPr="00CC52A7" w:rsidRDefault="00DC55CF" w:rsidP="00DC55CF">
      <w:pPr>
        <w:widowControl w:val="0"/>
        <w:numPr>
          <w:ilvl w:val="0"/>
          <w:numId w:val="16"/>
        </w:numPr>
        <w:tabs>
          <w:tab w:val="left" w:pos="0"/>
        </w:tabs>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dusulys.</w:t>
      </w:r>
    </w:p>
    <w:p w14:paraId="73A306D8"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6D9"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i/>
          <w:lang w:val="lt-LT"/>
        </w:rPr>
      </w:pPr>
      <w:r w:rsidRPr="00CC52A7">
        <w:rPr>
          <w:rFonts w:ascii="Times New Roman" w:eastAsia="PMingLiU" w:hAnsi="Times New Roman" w:cs="Times New Roman"/>
          <w:i/>
          <w:lang w:val="lt-LT"/>
        </w:rPr>
        <w:t xml:space="preserve">Labai reti šalutiniai poveikiai (gali pasireikšti mažiau kaip 1 iš 10000 žmonių) </w:t>
      </w:r>
    </w:p>
    <w:p w14:paraId="73A306DA" w14:textId="77777777" w:rsidR="00DC55CF" w:rsidRPr="00CC52A7" w:rsidRDefault="00DC55CF" w:rsidP="00DC55CF">
      <w:pPr>
        <w:widowControl w:val="0"/>
        <w:numPr>
          <w:ilvl w:val="0"/>
          <w:numId w:val="16"/>
        </w:numPr>
        <w:tabs>
          <w:tab w:val="left" w:pos="0"/>
        </w:tabs>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ūminis inkstų nepakankamumas, inkstų skausmas; </w:t>
      </w:r>
    </w:p>
    <w:p w14:paraId="73A306DB" w14:textId="77777777" w:rsidR="00DC55CF" w:rsidRPr="00CC52A7" w:rsidRDefault="00DC55CF" w:rsidP="00DC55CF">
      <w:pPr>
        <w:widowControl w:val="0"/>
        <w:numPr>
          <w:ilvl w:val="0"/>
          <w:numId w:val="16"/>
        </w:numPr>
        <w:tabs>
          <w:tab w:val="left" w:pos="0"/>
        </w:tabs>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susijaudinimas; </w:t>
      </w:r>
    </w:p>
    <w:p w14:paraId="73A306DC" w14:textId="77777777" w:rsidR="00DC55CF" w:rsidRPr="00CC52A7" w:rsidRDefault="00DC55CF" w:rsidP="00DC55CF">
      <w:pPr>
        <w:widowControl w:val="0"/>
        <w:numPr>
          <w:ilvl w:val="0"/>
          <w:numId w:val="16"/>
        </w:numPr>
        <w:tabs>
          <w:tab w:val="left" w:pos="0"/>
        </w:tabs>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sumišimas; </w:t>
      </w:r>
    </w:p>
    <w:p w14:paraId="73A306DD" w14:textId="77777777" w:rsidR="00DC55CF" w:rsidRPr="00CC52A7" w:rsidRDefault="00CC52A7" w:rsidP="00DC55CF">
      <w:pPr>
        <w:widowControl w:val="0"/>
        <w:numPr>
          <w:ilvl w:val="0"/>
          <w:numId w:val="16"/>
        </w:numPr>
        <w:tabs>
          <w:tab w:val="left" w:pos="0"/>
        </w:tabs>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Pr>
          <w:rFonts w:ascii="Times New Roman" w:eastAsia="PMingLiU" w:hAnsi="Times New Roman" w:cs="Times New Roman"/>
          <w:lang w:val="lt-LT"/>
        </w:rPr>
        <w:t>d</w:t>
      </w:r>
      <w:r w:rsidR="00DC55CF" w:rsidRPr="00CC52A7">
        <w:rPr>
          <w:rFonts w:ascii="Times New Roman" w:eastAsia="PMingLiU" w:hAnsi="Times New Roman" w:cs="Times New Roman"/>
          <w:lang w:val="lt-LT"/>
        </w:rPr>
        <w:t xml:space="preserve">rebulys; </w:t>
      </w:r>
    </w:p>
    <w:p w14:paraId="73A306DE" w14:textId="77777777" w:rsidR="00DC55CF" w:rsidRPr="00CC52A7" w:rsidRDefault="00DC55CF" w:rsidP="00DC55CF">
      <w:pPr>
        <w:widowControl w:val="0"/>
        <w:numPr>
          <w:ilvl w:val="0"/>
          <w:numId w:val="16"/>
        </w:numPr>
        <w:tabs>
          <w:tab w:val="left" w:pos="0"/>
        </w:tabs>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valingų judesių koordinacijos sutrikimas; </w:t>
      </w:r>
    </w:p>
    <w:p w14:paraId="73A306DF" w14:textId="77777777" w:rsidR="00DC55CF" w:rsidRPr="00CC52A7" w:rsidRDefault="00DC55CF" w:rsidP="00DC55CF">
      <w:pPr>
        <w:widowControl w:val="0"/>
        <w:numPr>
          <w:ilvl w:val="0"/>
          <w:numId w:val="16"/>
        </w:numPr>
        <w:tabs>
          <w:tab w:val="left" w:pos="0"/>
        </w:tabs>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kalbos sutrikimas; </w:t>
      </w:r>
    </w:p>
    <w:p w14:paraId="73A306E0" w14:textId="77777777" w:rsidR="00DC55CF" w:rsidRPr="00CC52A7" w:rsidRDefault="00DC55CF" w:rsidP="00DC55CF">
      <w:pPr>
        <w:widowControl w:val="0"/>
        <w:numPr>
          <w:ilvl w:val="0"/>
          <w:numId w:val="16"/>
        </w:numPr>
        <w:tabs>
          <w:tab w:val="left" w:pos="0"/>
        </w:tabs>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haliucinacijos</w:t>
      </w:r>
      <w:r w:rsidR="00803957">
        <w:rPr>
          <w:rFonts w:ascii="Times New Roman" w:eastAsia="PMingLiU" w:hAnsi="Times New Roman" w:cs="Times New Roman"/>
          <w:lang w:val="lt-LT"/>
        </w:rPr>
        <w:t>;</w:t>
      </w:r>
      <w:r w:rsidRPr="00CC52A7">
        <w:rPr>
          <w:rFonts w:ascii="Times New Roman" w:eastAsia="PMingLiU" w:hAnsi="Times New Roman" w:cs="Times New Roman"/>
          <w:lang w:val="lt-LT"/>
        </w:rPr>
        <w:t xml:space="preserve"> </w:t>
      </w:r>
    </w:p>
    <w:p w14:paraId="73A306E1" w14:textId="77777777" w:rsidR="00DC55CF" w:rsidRPr="00CC52A7" w:rsidRDefault="00DC55CF" w:rsidP="00DC55CF">
      <w:pPr>
        <w:widowControl w:val="0"/>
        <w:numPr>
          <w:ilvl w:val="0"/>
          <w:numId w:val="16"/>
        </w:numPr>
        <w:tabs>
          <w:tab w:val="left" w:pos="0"/>
        </w:tabs>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psichikos sutrikimai; </w:t>
      </w:r>
    </w:p>
    <w:p w14:paraId="73A306E2" w14:textId="77777777" w:rsidR="00DC55CF" w:rsidRPr="00CC52A7" w:rsidRDefault="00DC55CF" w:rsidP="00DC55CF">
      <w:pPr>
        <w:widowControl w:val="0"/>
        <w:numPr>
          <w:ilvl w:val="0"/>
          <w:numId w:val="16"/>
        </w:numPr>
        <w:tabs>
          <w:tab w:val="left" w:pos="0"/>
        </w:tabs>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traukuliai; </w:t>
      </w:r>
    </w:p>
    <w:p w14:paraId="73A306E3" w14:textId="77777777" w:rsidR="00DC55CF" w:rsidRPr="00CC52A7" w:rsidRDefault="00DC55CF" w:rsidP="00DC55CF">
      <w:pPr>
        <w:widowControl w:val="0"/>
        <w:numPr>
          <w:ilvl w:val="0"/>
          <w:numId w:val="16"/>
        </w:numPr>
        <w:tabs>
          <w:tab w:val="left" w:pos="0"/>
        </w:tabs>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mieguistumas; </w:t>
      </w:r>
    </w:p>
    <w:p w14:paraId="73A306E4" w14:textId="77777777" w:rsidR="00DC55CF" w:rsidRPr="00CC52A7" w:rsidRDefault="00DC55CF" w:rsidP="00DC55CF">
      <w:pPr>
        <w:widowControl w:val="0"/>
        <w:numPr>
          <w:ilvl w:val="0"/>
          <w:numId w:val="16"/>
        </w:numPr>
        <w:tabs>
          <w:tab w:val="left" w:pos="0"/>
        </w:tabs>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smegenų liga (encefalopatija); </w:t>
      </w:r>
    </w:p>
    <w:p w14:paraId="73A306E5" w14:textId="77777777" w:rsidR="00DC55CF" w:rsidRPr="00CC52A7" w:rsidRDefault="00DC55CF" w:rsidP="00DC55CF">
      <w:pPr>
        <w:widowControl w:val="0"/>
        <w:numPr>
          <w:ilvl w:val="0"/>
          <w:numId w:val="16"/>
        </w:numPr>
        <w:tabs>
          <w:tab w:val="left" w:pos="0"/>
        </w:tabs>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koma;</w:t>
      </w:r>
    </w:p>
    <w:p w14:paraId="73A306E6" w14:textId="77777777" w:rsidR="00DC55CF" w:rsidRPr="00CC52A7" w:rsidRDefault="00DC55CF" w:rsidP="00DC55CF">
      <w:pPr>
        <w:widowControl w:val="0"/>
        <w:numPr>
          <w:ilvl w:val="0"/>
          <w:numId w:val="16"/>
        </w:numPr>
        <w:tabs>
          <w:tab w:val="left" w:pos="0"/>
        </w:tabs>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kepenų uždegimas;</w:t>
      </w:r>
    </w:p>
    <w:p w14:paraId="73A306E7" w14:textId="77777777" w:rsidR="00DC55CF" w:rsidRPr="00CC52A7" w:rsidRDefault="00DC55CF" w:rsidP="00DC55CF">
      <w:pPr>
        <w:widowControl w:val="0"/>
        <w:numPr>
          <w:ilvl w:val="0"/>
          <w:numId w:val="16"/>
        </w:numPr>
        <w:tabs>
          <w:tab w:val="left" w:pos="0"/>
        </w:tabs>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gelta.</w:t>
      </w:r>
    </w:p>
    <w:p w14:paraId="73A306E8" w14:textId="77777777" w:rsidR="00DC55CF" w:rsidRPr="00CC52A7" w:rsidRDefault="00DC55CF" w:rsidP="00DC55CF">
      <w:pPr>
        <w:spacing w:after="0" w:line="240" w:lineRule="auto"/>
        <w:contextualSpacing/>
        <w:rPr>
          <w:rFonts w:ascii="Times New Roman" w:eastAsia="PMingLiU" w:hAnsi="Times New Roman" w:cs="Times New Roman"/>
          <w:b/>
          <w:lang w:val="lt-LT"/>
        </w:rPr>
      </w:pPr>
    </w:p>
    <w:p w14:paraId="73A306E9" w14:textId="77777777" w:rsidR="00DC55CF" w:rsidRPr="00CC52A7" w:rsidRDefault="00DC55CF" w:rsidP="00DC55CF">
      <w:pPr>
        <w:spacing w:after="0" w:line="240" w:lineRule="auto"/>
        <w:contextualSpacing/>
        <w:rPr>
          <w:rFonts w:ascii="Times New Roman" w:eastAsia="PMingLiU" w:hAnsi="Times New Roman" w:cs="Times New Roman"/>
          <w:b/>
          <w:lang w:val="lt-LT"/>
        </w:rPr>
      </w:pPr>
      <w:r w:rsidRPr="00CC52A7">
        <w:rPr>
          <w:rFonts w:ascii="Times New Roman" w:eastAsia="PMingLiU" w:hAnsi="Times New Roman" w:cs="Times New Roman"/>
          <w:b/>
          <w:lang w:val="lt-LT"/>
        </w:rPr>
        <w:t>Pranešimas apie šalutinį poveikį</w:t>
      </w:r>
    </w:p>
    <w:p w14:paraId="73A306EA" w14:textId="77777777" w:rsidR="00DC55CF" w:rsidRPr="00CC52A7" w:rsidRDefault="00DC55CF" w:rsidP="00DC55CF">
      <w:pPr>
        <w:overflowPunct w:val="0"/>
        <w:autoSpaceDE w:val="0"/>
        <w:autoSpaceDN w:val="0"/>
        <w:adjustRightInd w:val="0"/>
        <w:spacing w:after="0" w:line="240" w:lineRule="auto"/>
        <w:ind w:right="-449"/>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CC52A7">
        <w:rPr>
          <w:rFonts w:ascii="Times New Roman" w:eastAsia="PMingLiU" w:hAnsi="Times New Roman" w:cs="Times New Roman"/>
          <w:lang w:val="lt-LT" w:eastAsia="zh-CN"/>
        </w:rPr>
        <w:t>elefonu 8 800 73568</w:t>
      </w:r>
      <w:r w:rsidRPr="00CC52A7">
        <w:rPr>
          <w:rFonts w:ascii="Times New Roman" w:eastAsia="PMingLiU" w:hAnsi="Times New Roman" w:cs="Times New Roman"/>
          <w:lang w:val="lt-LT"/>
        </w:rPr>
        <w:t xml:space="preserve"> arba užpildyti interneto svetainėje </w:t>
      </w:r>
      <w:hyperlink r:id="rId16" w:history="1">
        <w:r w:rsidRPr="00CC52A7">
          <w:rPr>
            <w:rFonts w:ascii="Times New Roman" w:eastAsia="SimSun" w:hAnsi="Times New Roman" w:cs="Times New Roman"/>
            <w:color w:val="0000FF"/>
            <w:u w:val="single"/>
            <w:lang w:val="lt-LT"/>
          </w:rPr>
          <w:t>www.vvkt.lt</w:t>
        </w:r>
      </w:hyperlink>
      <w:r w:rsidRPr="00CC52A7">
        <w:rPr>
          <w:rFonts w:ascii="Times New Roman" w:eastAsia="PMingLiU"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w:t>
      </w:r>
      <w:r w:rsidRPr="00CC52A7">
        <w:rPr>
          <w:rFonts w:ascii="Times New Roman" w:eastAsia="PMingLiU" w:hAnsi="Times New Roman" w:cs="Times New Roman"/>
          <w:lang w:val="lt-LT" w:eastAsia="zh-CN"/>
        </w:rPr>
        <w:t xml:space="preserve">nemokamu </w:t>
      </w:r>
      <w:r w:rsidRPr="00CC52A7">
        <w:rPr>
          <w:rFonts w:ascii="Times New Roman" w:eastAsia="PMingLiU" w:hAnsi="Times New Roman" w:cs="Times New Roman"/>
          <w:lang w:val="lt-LT"/>
        </w:rPr>
        <w:t>fakso numeriu 8 800 20131</w:t>
      </w:r>
      <w:r w:rsidRPr="00CC52A7">
        <w:rPr>
          <w:rFonts w:ascii="Times New Roman" w:eastAsia="PMingLiU" w:hAnsi="Times New Roman" w:cs="Times New Roman"/>
          <w:lang w:val="lt-LT" w:eastAsia="zh-CN"/>
        </w:rPr>
        <w:t xml:space="preserve">, </w:t>
      </w:r>
      <w:r w:rsidRPr="00CC52A7">
        <w:rPr>
          <w:rFonts w:ascii="Times New Roman" w:eastAsia="PMingLiU" w:hAnsi="Times New Roman" w:cs="Times New Roman"/>
          <w:lang w:val="lt-LT"/>
        </w:rPr>
        <w:t xml:space="preserve">el. paštu </w:t>
      </w:r>
      <w:hyperlink r:id="rId17" w:history="1">
        <w:r w:rsidRPr="00CC52A7">
          <w:rPr>
            <w:rFonts w:ascii="Times New Roman" w:eastAsia="SimSun" w:hAnsi="Times New Roman" w:cs="Times New Roman"/>
            <w:color w:val="0000FF"/>
            <w:u w:val="single"/>
            <w:lang w:val="lt-LT"/>
          </w:rPr>
          <w:t>NepageidaujamaR@vvkt.lt</w:t>
        </w:r>
      </w:hyperlink>
      <w:r w:rsidRPr="00CC52A7">
        <w:rPr>
          <w:rFonts w:ascii="Times New Roman" w:eastAsia="PMingLiU" w:hAnsi="Times New Roman" w:cs="Times New Roman"/>
          <w:lang w:val="lt-LT"/>
        </w:rPr>
        <w:t xml:space="preserve">, taip pat per Valstybinės vaistų kontrolės tarnybos prie Lietuvos Respublikos sveikatos apsaugos ministerijos interneto svetainę (adresu </w:t>
      </w:r>
      <w:hyperlink r:id="rId18" w:history="1">
        <w:r w:rsidRPr="00CC52A7">
          <w:rPr>
            <w:rFonts w:ascii="Times New Roman" w:eastAsia="SimSun" w:hAnsi="Times New Roman" w:cs="Times New Roman"/>
            <w:color w:val="0000FF"/>
            <w:u w:val="single"/>
            <w:lang w:val="lt-LT"/>
          </w:rPr>
          <w:t>http://www.vvkt.lt</w:t>
        </w:r>
      </w:hyperlink>
      <w:r w:rsidRPr="00CC52A7">
        <w:rPr>
          <w:rFonts w:ascii="Times New Roman" w:eastAsia="PMingLiU" w:hAnsi="Times New Roman" w:cs="Times New Roman"/>
          <w:lang w:val="lt-LT"/>
        </w:rPr>
        <w:t>). Pranešdami apie šalutinį poveikį galite mums padėti gauti daugiau informacijos apie šio vaisto saugumą.</w:t>
      </w:r>
    </w:p>
    <w:p w14:paraId="73A306EB" w14:textId="77777777" w:rsidR="00DC55CF" w:rsidRPr="00CC52A7" w:rsidRDefault="00DC55CF" w:rsidP="00DC55CF">
      <w:pPr>
        <w:overflowPunct w:val="0"/>
        <w:autoSpaceDE w:val="0"/>
        <w:autoSpaceDN w:val="0"/>
        <w:adjustRightInd w:val="0"/>
        <w:spacing w:after="0" w:line="240" w:lineRule="auto"/>
        <w:ind w:right="-449"/>
        <w:contextualSpacing/>
        <w:textAlignment w:val="baseline"/>
        <w:rPr>
          <w:rFonts w:ascii="Times New Roman" w:eastAsia="PMingLiU" w:hAnsi="Times New Roman" w:cs="Times New Roman"/>
          <w:sz w:val="24"/>
          <w:szCs w:val="24"/>
          <w:lang w:val="lt-LT"/>
        </w:rPr>
      </w:pPr>
    </w:p>
    <w:p w14:paraId="73A306EC"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p>
    <w:p w14:paraId="73A306ED" w14:textId="77777777" w:rsidR="00DC55CF" w:rsidRPr="00CC52A7" w:rsidRDefault="00DC55CF" w:rsidP="00DC55CF">
      <w:pPr>
        <w:overflowPunct w:val="0"/>
        <w:autoSpaceDE w:val="0"/>
        <w:autoSpaceDN w:val="0"/>
        <w:adjustRightInd w:val="0"/>
        <w:spacing w:after="0" w:line="240" w:lineRule="auto"/>
        <w:ind w:left="567" w:hanging="567"/>
        <w:contextualSpacing/>
        <w:jc w:val="both"/>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t>5.</w:t>
      </w:r>
      <w:r w:rsidRPr="00CC52A7">
        <w:rPr>
          <w:rFonts w:ascii="Times New Roman" w:eastAsia="PMingLiU" w:hAnsi="Times New Roman" w:cs="Times New Roman"/>
          <w:b/>
          <w:lang w:val="lt-LT"/>
        </w:rPr>
        <w:tab/>
        <w:t>Kaip laikyti Acic</w:t>
      </w:r>
    </w:p>
    <w:p w14:paraId="73A306EE" w14:textId="77777777" w:rsidR="00DC55CF" w:rsidRPr="00CC52A7" w:rsidRDefault="00DC55CF" w:rsidP="00DC55CF">
      <w:pPr>
        <w:overflowPunct w:val="0"/>
        <w:autoSpaceDE w:val="0"/>
        <w:autoSpaceDN w:val="0"/>
        <w:adjustRightInd w:val="0"/>
        <w:spacing w:after="0" w:line="240" w:lineRule="auto"/>
        <w:contextualSpacing/>
        <w:jc w:val="both"/>
        <w:textAlignment w:val="baseline"/>
        <w:rPr>
          <w:rFonts w:ascii="Times New Roman" w:eastAsia="PMingLiU" w:hAnsi="Times New Roman" w:cs="Times New Roman"/>
          <w:lang w:val="lt-LT"/>
        </w:rPr>
      </w:pPr>
    </w:p>
    <w:p w14:paraId="73A306EF" w14:textId="77777777" w:rsidR="00DC55CF" w:rsidRPr="00CC52A7" w:rsidRDefault="00DC55CF" w:rsidP="00DC55CF">
      <w:pPr>
        <w:overflowPunct w:val="0"/>
        <w:autoSpaceDE w:val="0"/>
        <w:autoSpaceDN w:val="0"/>
        <w:adjustRightInd w:val="0"/>
        <w:spacing w:after="0" w:line="240" w:lineRule="auto"/>
        <w:contextualSpacing/>
        <w:jc w:val="both"/>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Šį vaistą laikykite vaikams nepastebimoje ir nepasiekiamoje vietoje.</w:t>
      </w:r>
    </w:p>
    <w:p w14:paraId="73A306F0" w14:textId="77777777" w:rsidR="00DC55CF" w:rsidRPr="00CC52A7" w:rsidRDefault="00DC55CF" w:rsidP="00DC55CF">
      <w:pPr>
        <w:overflowPunct w:val="0"/>
        <w:autoSpaceDE w:val="0"/>
        <w:autoSpaceDN w:val="0"/>
        <w:adjustRightInd w:val="0"/>
        <w:spacing w:after="0" w:line="240" w:lineRule="auto"/>
        <w:contextualSpacing/>
        <w:jc w:val="both"/>
        <w:textAlignment w:val="baseline"/>
        <w:rPr>
          <w:rFonts w:ascii="Times New Roman" w:eastAsia="PMingLiU" w:hAnsi="Times New Roman" w:cs="Times New Roman"/>
          <w:lang w:val="lt-LT"/>
        </w:rPr>
      </w:pPr>
    </w:p>
    <w:p w14:paraId="73A306F1" w14:textId="77777777" w:rsidR="00DC55CF" w:rsidRPr="00CC52A7" w:rsidRDefault="00DC55CF" w:rsidP="00DC55CF">
      <w:pPr>
        <w:overflowPunct w:val="0"/>
        <w:autoSpaceDE w:val="0"/>
        <w:autoSpaceDN w:val="0"/>
        <w:adjustRightInd w:val="0"/>
        <w:spacing w:after="0" w:line="240" w:lineRule="auto"/>
        <w:contextualSpacing/>
        <w:jc w:val="both"/>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Šiam vaistui specialių laikymo sąlygų nereikia.</w:t>
      </w:r>
    </w:p>
    <w:p w14:paraId="73A306F2" w14:textId="77777777" w:rsidR="00DC55CF" w:rsidRPr="00CC52A7" w:rsidRDefault="00DC55CF" w:rsidP="00DC55CF">
      <w:pPr>
        <w:overflowPunct w:val="0"/>
        <w:autoSpaceDE w:val="0"/>
        <w:autoSpaceDN w:val="0"/>
        <w:adjustRightInd w:val="0"/>
        <w:spacing w:after="0" w:line="240" w:lineRule="auto"/>
        <w:contextualSpacing/>
        <w:jc w:val="both"/>
        <w:textAlignment w:val="baseline"/>
        <w:rPr>
          <w:rFonts w:ascii="Times New Roman" w:eastAsia="PMingLiU" w:hAnsi="Times New Roman" w:cs="Times New Roman"/>
          <w:lang w:val="lt-LT"/>
        </w:rPr>
      </w:pPr>
    </w:p>
    <w:p w14:paraId="73A306F3" w14:textId="77777777" w:rsidR="00DC55CF" w:rsidRPr="00CC52A7" w:rsidRDefault="00DC55CF" w:rsidP="00DC55CF">
      <w:pPr>
        <w:overflowPunct w:val="0"/>
        <w:autoSpaceDE w:val="0"/>
        <w:autoSpaceDN w:val="0"/>
        <w:adjustRightInd w:val="0"/>
        <w:spacing w:after="0" w:line="240" w:lineRule="auto"/>
        <w:contextualSpacing/>
        <w:jc w:val="both"/>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Ant kartono dėžutės po „EXP“ arba lizdinės plokštelės nurodytam tinkamumo laikui pasibaigus, šio vaisto vartoti negalima. Vaistas tinkamas vartoti iki paskutinės nurodyto mėnesio dienos.</w:t>
      </w:r>
    </w:p>
    <w:p w14:paraId="73A306F4" w14:textId="77777777" w:rsidR="00DC55CF" w:rsidRPr="00CC52A7" w:rsidRDefault="00DC55CF" w:rsidP="00DC55CF">
      <w:pPr>
        <w:overflowPunct w:val="0"/>
        <w:autoSpaceDE w:val="0"/>
        <w:autoSpaceDN w:val="0"/>
        <w:adjustRightInd w:val="0"/>
        <w:spacing w:after="0" w:line="240" w:lineRule="auto"/>
        <w:contextualSpacing/>
        <w:jc w:val="both"/>
        <w:textAlignment w:val="baseline"/>
        <w:rPr>
          <w:rFonts w:ascii="Times New Roman" w:eastAsia="PMingLiU" w:hAnsi="Times New Roman" w:cs="Times New Roman"/>
          <w:lang w:val="lt-LT"/>
        </w:rPr>
      </w:pPr>
    </w:p>
    <w:p w14:paraId="73A306F5" w14:textId="77777777" w:rsidR="00DC55CF" w:rsidRPr="00CC52A7" w:rsidRDefault="00DC55CF" w:rsidP="00DC55CF">
      <w:pPr>
        <w:overflowPunct w:val="0"/>
        <w:autoSpaceDE w:val="0"/>
        <w:autoSpaceDN w:val="0"/>
        <w:adjustRightInd w:val="0"/>
        <w:spacing w:after="0" w:line="240" w:lineRule="auto"/>
        <w:contextualSpacing/>
        <w:jc w:val="both"/>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Vaistų negalima išmesti į kanalizaciją arba su buitinėmis atliekomis. Kaip išmesti nereikalingus vaistus, klauskite vaistininko. Šios priemonės padės apsaugoti aplinką</w:t>
      </w:r>
      <w:r w:rsidR="00597414">
        <w:rPr>
          <w:rFonts w:ascii="Times New Roman" w:eastAsia="PMingLiU" w:hAnsi="Times New Roman" w:cs="Times New Roman"/>
          <w:lang w:val="lt-LT"/>
        </w:rPr>
        <w:t>.</w:t>
      </w:r>
    </w:p>
    <w:p w14:paraId="73A306F6" w14:textId="77777777" w:rsidR="00DC55CF" w:rsidRPr="00CC52A7" w:rsidRDefault="00DC55CF" w:rsidP="00DC55CF">
      <w:pPr>
        <w:overflowPunct w:val="0"/>
        <w:autoSpaceDE w:val="0"/>
        <w:autoSpaceDN w:val="0"/>
        <w:adjustRightInd w:val="0"/>
        <w:spacing w:after="0" w:line="240" w:lineRule="auto"/>
        <w:contextualSpacing/>
        <w:jc w:val="both"/>
        <w:textAlignment w:val="baseline"/>
        <w:rPr>
          <w:rFonts w:ascii="Times New Roman" w:eastAsia="PMingLiU" w:hAnsi="Times New Roman" w:cs="Times New Roman"/>
          <w:lang w:val="lt-LT"/>
        </w:rPr>
      </w:pPr>
    </w:p>
    <w:p w14:paraId="73A306F7" w14:textId="77777777" w:rsidR="00DC55CF" w:rsidRPr="00CC52A7" w:rsidRDefault="00DC55CF" w:rsidP="00DC55CF">
      <w:pPr>
        <w:overflowPunct w:val="0"/>
        <w:autoSpaceDE w:val="0"/>
        <w:autoSpaceDN w:val="0"/>
        <w:adjustRightInd w:val="0"/>
        <w:spacing w:after="0" w:line="240" w:lineRule="auto"/>
        <w:contextualSpacing/>
        <w:jc w:val="both"/>
        <w:textAlignment w:val="baseline"/>
        <w:rPr>
          <w:rFonts w:ascii="Times New Roman" w:eastAsia="PMingLiU" w:hAnsi="Times New Roman" w:cs="Times New Roman"/>
          <w:b/>
          <w:lang w:val="lt-LT"/>
        </w:rPr>
      </w:pPr>
    </w:p>
    <w:p w14:paraId="73A306F8" w14:textId="77777777" w:rsidR="00DC55CF" w:rsidRPr="00CC52A7" w:rsidRDefault="00DC55CF" w:rsidP="00DC55CF">
      <w:pPr>
        <w:overflowPunct w:val="0"/>
        <w:autoSpaceDE w:val="0"/>
        <w:autoSpaceDN w:val="0"/>
        <w:adjustRightInd w:val="0"/>
        <w:spacing w:after="0" w:line="240" w:lineRule="auto"/>
        <w:ind w:left="567" w:hanging="567"/>
        <w:contextualSpacing/>
        <w:jc w:val="both"/>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t>6.</w:t>
      </w:r>
      <w:r w:rsidRPr="00CC52A7">
        <w:rPr>
          <w:rFonts w:ascii="Times New Roman" w:eastAsia="PMingLiU" w:hAnsi="Times New Roman" w:cs="Times New Roman"/>
          <w:b/>
          <w:lang w:val="lt-LT"/>
        </w:rPr>
        <w:tab/>
        <w:t>Pakuotės turinys ir kita informacija</w:t>
      </w:r>
    </w:p>
    <w:p w14:paraId="73A306F9" w14:textId="77777777" w:rsidR="00DC55CF" w:rsidRPr="00CC52A7" w:rsidRDefault="00DC55CF" w:rsidP="00DC55CF">
      <w:pPr>
        <w:numPr>
          <w:ilvl w:val="12"/>
          <w:numId w:val="0"/>
        </w:numPr>
        <w:overflowPunct w:val="0"/>
        <w:autoSpaceDE w:val="0"/>
        <w:autoSpaceDN w:val="0"/>
        <w:adjustRightInd w:val="0"/>
        <w:spacing w:after="0" w:line="240" w:lineRule="auto"/>
        <w:ind w:left="567" w:hanging="567"/>
        <w:contextualSpacing/>
        <w:textAlignment w:val="baseline"/>
        <w:outlineLvl w:val="0"/>
        <w:rPr>
          <w:rFonts w:ascii="Times New Roman" w:eastAsia="PMingLiU" w:hAnsi="Times New Roman" w:cs="Times New Roman"/>
          <w:b/>
          <w:lang w:val="lt-LT"/>
        </w:rPr>
      </w:pPr>
    </w:p>
    <w:p w14:paraId="73A306FA" w14:textId="77777777" w:rsidR="00DC55CF" w:rsidRPr="00CC52A7" w:rsidRDefault="00DC55CF" w:rsidP="00DC55CF">
      <w:pPr>
        <w:numPr>
          <w:ilvl w:val="12"/>
          <w:numId w:val="0"/>
        </w:numPr>
        <w:overflowPunct w:val="0"/>
        <w:autoSpaceDE w:val="0"/>
        <w:autoSpaceDN w:val="0"/>
        <w:adjustRightInd w:val="0"/>
        <w:spacing w:after="0" w:line="240" w:lineRule="auto"/>
        <w:ind w:left="567" w:hanging="567"/>
        <w:contextualSpacing/>
        <w:textAlignment w:val="baseline"/>
        <w:outlineLvl w:val="0"/>
        <w:rPr>
          <w:rFonts w:ascii="Times New Roman" w:eastAsia="PMingLiU" w:hAnsi="Times New Roman" w:cs="Times New Roman"/>
          <w:b/>
          <w:lang w:val="lt-LT"/>
        </w:rPr>
      </w:pPr>
      <w:r w:rsidRPr="00CC52A7">
        <w:rPr>
          <w:rFonts w:ascii="Times New Roman" w:eastAsia="PMingLiU" w:hAnsi="Times New Roman" w:cs="Times New Roman"/>
          <w:b/>
          <w:lang w:val="lt-LT"/>
        </w:rPr>
        <w:t>Acic sudėtis</w:t>
      </w:r>
    </w:p>
    <w:p w14:paraId="73A306FB"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bCs/>
          <w:iCs/>
          <w:lang w:val="lt-LT"/>
        </w:rPr>
        <w:t>-        Veiklioji medžiaga yra acikloviras.</w:t>
      </w:r>
      <w:r w:rsidRPr="00CC52A7">
        <w:rPr>
          <w:rFonts w:ascii="Times New Roman" w:eastAsia="PMingLiU" w:hAnsi="Times New Roman" w:cs="Times New Roman"/>
          <w:lang w:val="lt-LT"/>
        </w:rPr>
        <w:t xml:space="preserve"> Vienoje tabletėje yra 400</w:t>
      </w:r>
      <w:r w:rsidR="004070A0">
        <w:rPr>
          <w:rFonts w:ascii="Times New Roman" w:eastAsia="PMingLiU" w:hAnsi="Times New Roman" w:cs="Times New Roman"/>
          <w:lang w:val="lt-LT"/>
        </w:rPr>
        <w:t> </w:t>
      </w:r>
      <w:r w:rsidRPr="00CC52A7">
        <w:rPr>
          <w:rFonts w:ascii="Times New Roman" w:eastAsia="PMingLiU" w:hAnsi="Times New Roman" w:cs="Times New Roman"/>
          <w:lang w:val="lt-LT"/>
        </w:rPr>
        <w:t>mg acikloviro.</w:t>
      </w:r>
    </w:p>
    <w:p w14:paraId="73A306FC"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         Pagalbinės medžiagos yra mikrokristalinė celiuliozė, kopovidonas, magnio stearatas, </w:t>
      </w:r>
    </w:p>
    <w:p w14:paraId="73A306FD"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karboksimetilkrakmolo A natrio druska, koloidinis bevandenis silicio dioksidas.</w:t>
      </w:r>
    </w:p>
    <w:p w14:paraId="73A306FE" w14:textId="77777777" w:rsidR="00DC55CF" w:rsidRPr="00CC52A7" w:rsidRDefault="00DC55CF" w:rsidP="00DC55CF">
      <w:pPr>
        <w:numPr>
          <w:ilvl w:val="12"/>
          <w:numId w:val="0"/>
        </w:numPr>
        <w:overflowPunct w:val="0"/>
        <w:autoSpaceDE w:val="0"/>
        <w:autoSpaceDN w:val="0"/>
        <w:adjustRightInd w:val="0"/>
        <w:spacing w:after="0" w:line="240" w:lineRule="auto"/>
        <w:ind w:left="567" w:hanging="567"/>
        <w:contextualSpacing/>
        <w:textAlignment w:val="baseline"/>
        <w:outlineLvl w:val="0"/>
        <w:rPr>
          <w:rFonts w:ascii="Times New Roman" w:eastAsia="PMingLiU" w:hAnsi="Times New Roman" w:cs="Times New Roman"/>
          <w:b/>
          <w:lang w:val="lt-LT"/>
        </w:rPr>
      </w:pPr>
    </w:p>
    <w:p w14:paraId="73A306FF" w14:textId="77777777" w:rsidR="00DC55CF" w:rsidRPr="00CC52A7" w:rsidRDefault="00DC55CF" w:rsidP="00DC55CF">
      <w:pPr>
        <w:numPr>
          <w:ilvl w:val="12"/>
          <w:numId w:val="0"/>
        </w:numPr>
        <w:overflowPunct w:val="0"/>
        <w:autoSpaceDE w:val="0"/>
        <w:autoSpaceDN w:val="0"/>
        <w:adjustRightInd w:val="0"/>
        <w:spacing w:after="0" w:line="240" w:lineRule="auto"/>
        <w:ind w:left="567" w:hanging="567"/>
        <w:contextualSpacing/>
        <w:textAlignment w:val="baseline"/>
        <w:outlineLvl w:val="0"/>
        <w:rPr>
          <w:rFonts w:ascii="Times New Roman" w:eastAsia="PMingLiU" w:hAnsi="Times New Roman" w:cs="Times New Roman"/>
          <w:b/>
          <w:lang w:val="lt-LT"/>
        </w:rPr>
      </w:pPr>
      <w:r w:rsidRPr="00CC52A7">
        <w:rPr>
          <w:rFonts w:ascii="Times New Roman" w:eastAsia="PMingLiU" w:hAnsi="Times New Roman" w:cs="Times New Roman"/>
          <w:b/>
          <w:lang w:val="lt-LT"/>
        </w:rPr>
        <w:t>Acic išvaizda ir kiekis pakuotėje</w:t>
      </w:r>
    </w:p>
    <w:p w14:paraId="73A30700"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Tabletės yra baltos</w:t>
      </w:r>
      <w:r w:rsidR="00803957">
        <w:rPr>
          <w:rFonts w:ascii="Times New Roman" w:eastAsia="PMingLiU" w:hAnsi="Times New Roman" w:cs="Times New Roman"/>
          <w:lang w:val="lt-LT"/>
        </w:rPr>
        <w:t>,</w:t>
      </w:r>
      <w:r w:rsidRPr="00CC52A7">
        <w:rPr>
          <w:rFonts w:ascii="Times New Roman" w:eastAsia="PMingLiU" w:hAnsi="Times New Roman" w:cs="Times New Roman"/>
          <w:lang w:val="lt-LT"/>
        </w:rPr>
        <w:t xml:space="preserve"> apvalios</w:t>
      </w:r>
      <w:r w:rsidR="00803957">
        <w:rPr>
          <w:rFonts w:ascii="Times New Roman" w:eastAsia="PMingLiU" w:hAnsi="Times New Roman" w:cs="Times New Roman"/>
          <w:lang w:val="lt-LT"/>
        </w:rPr>
        <w:t>,</w:t>
      </w:r>
      <w:r w:rsidRPr="00CC52A7">
        <w:rPr>
          <w:rFonts w:ascii="Times New Roman" w:eastAsia="PMingLiU" w:hAnsi="Times New Roman" w:cs="Times New Roman"/>
          <w:lang w:val="lt-LT"/>
        </w:rPr>
        <w:t xml:space="preserve"> išgaubtos</w:t>
      </w:r>
      <w:r w:rsidR="00803957">
        <w:rPr>
          <w:rFonts w:ascii="Times New Roman" w:eastAsia="PMingLiU" w:hAnsi="Times New Roman" w:cs="Times New Roman"/>
          <w:lang w:val="lt-LT"/>
        </w:rPr>
        <w:t>,</w:t>
      </w:r>
      <w:r w:rsidRPr="00CC52A7">
        <w:rPr>
          <w:rFonts w:ascii="Times New Roman" w:eastAsia="PMingLiU" w:hAnsi="Times New Roman" w:cs="Times New Roman"/>
          <w:lang w:val="lt-LT"/>
        </w:rPr>
        <w:t xml:space="preserve"> su kryžmine</w:t>
      </w:r>
      <w:r w:rsidRPr="00CC52A7">
        <w:rPr>
          <w:rFonts w:ascii="Times New Roman" w:eastAsia="PMingLiU" w:hAnsi="Times New Roman" w:cs="Times New Roman"/>
          <w:b/>
          <w:lang w:val="lt-LT"/>
        </w:rPr>
        <w:t xml:space="preserve"> </w:t>
      </w:r>
      <w:r w:rsidRPr="00CC52A7">
        <w:rPr>
          <w:rFonts w:ascii="Times New Roman" w:eastAsia="PMingLiU" w:hAnsi="Times New Roman" w:cs="Times New Roman"/>
          <w:lang w:val="lt-LT"/>
        </w:rPr>
        <w:t>laužimo vagele vienoje pusėje.</w:t>
      </w:r>
    </w:p>
    <w:p w14:paraId="73A30701"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lastRenderedPageBreak/>
        <w:t>Kryžminė vagelė skirta tik tabletei perlaužti, kad būtų lengviau nuryti, bet ne ją padalyti į lygias dozes.</w:t>
      </w:r>
    </w:p>
    <w:p w14:paraId="73A30702" w14:textId="77777777" w:rsidR="00DC55CF" w:rsidRPr="00CC52A7" w:rsidRDefault="00DC55CF" w:rsidP="00DC55CF">
      <w:pPr>
        <w:numPr>
          <w:ilvl w:val="12"/>
          <w:numId w:val="0"/>
        </w:numPr>
        <w:overflowPunct w:val="0"/>
        <w:autoSpaceDE w:val="0"/>
        <w:autoSpaceDN w:val="0"/>
        <w:adjustRightInd w:val="0"/>
        <w:spacing w:after="0" w:line="240" w:lineRule="auto"/>
        <w:ind w:left="567" w:hanging="567"/>
        <w:contextualSpacing/>
        <w:textAlignment w:val="baseline"/>
        <w:outlineLvl w:val="0"/>
        <w:rPr>
          <w:rFonts w:ascii="Times New Roman" w:eastAsia="PMingLiU" w:hAnsi="Times New Roman" w:cs="Times New Roman"/>
          <w:b/>
          <w:lang w:val="lt-LT"/>
        </w:rPr>
      </w:pPr>
    </w:p>
    <w:p w14:paraId="73A30703" w14:textId="77777777" w:rsidR="00DC55CF" w:rsidRPr="00CC52A7" w:rsidRDefault="00DC55CF" w:rsidP="00DC55CF">
      <w:pPr>
        <w:overflowPunct w:val="0"/>
        <w:autoSpaceDE w:val="0"/>
        <w:autoSpaceDN w:val="0"/>
        <w:adjustRightInd w:val="0"/>
        <w:spacing w:after="0" w:line="240" w:lineRule="auto"/>
        <w:contextualSpacing/>
        <w:jc w:val="both"/>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Pakuotė, kurioje yra 35 tabletės. Lizdinės plokštelės ir pakuotės lapelis įdėti į kartono dėžutę.</w:t>
      </w:r>
    </w:p>
    <w:p w14:paraId="73A30704" w14:textId="77777777" w:rsidR="00DC55CF" w:rsidRPr="00CC52A7" w:rsidRDefault="00DC55CF" w:rsidP="00DC55CF">
      <w:pPr>
        <w:numPr>
          <w:ilvl w:val="12"/>
          <w:numId w:val="0"/>
        </w:numPr>
        <w:overflowPunct w:val="0"/>
        <w:autoSpaceDE w:val="0"/>
        <w:autoSpaceDN w:val="0"/>
        <w:adjustRightInd w:val="0"/>
        <w:spacing w:after="0" w:line="240" w:lineRule="auto"/>
        <w:ind w:left="567" w:hanging="567"/>
        <w:contextualSpacing/>
        <w:textAlignment w:val="baseline"/>
        <w:outlineLvl w:val="0"/>
        <w:rPr>
          <w:rFonts w:ascii="Times New Roman" w:eastAsia="PMingLiU" w:hAnsi="Times New Roman" w:cs="Times New Roman"/>
          <w:lang w:val="lt-LT"/>
        </w:rPr>
      </w:pPr>
    </w:p>
    <w:p w14:paraId="73A30705" w14:textId="77777777" w:rsidR="00DC55CF" w:rsidRPr="00CC52A7" w:rsidRDefault="00DC55CF" w:rsidP="00DC55CF">
      <w:pPr>
        <w:overflowPunct w:val="0"/>
        <w:autoSpaceDE w:val="0"/>
        <w:autoSpaceDN w:val="0"/>
        <w:adjustRightInd w:val="0"/>
        <w:spacing w:after="0" w:line="240" w:lineRule="auto"/>
        <w:ind w:left="567" w:hanging="567"/>
        <w:contextualSpacing/>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t>Registruotojas</w:t>
      </w:r>
    </w:p>
    <w:p w14:paraId="73A30706"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Sandoz d.d.</w:t>
      </w:r>
    </w:p>
    <w:p w14:paraId="73A30707"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Verovškova 57,</w:t>
      </w:r>
    </w:p>
    <w:p w14:paraId="73A30708"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1000 Ljubljana</w:t>
      </w:r>
    </w:p>
    <w:p w14:paraId="73A30709"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Slovėnija</w:t>
      </w:r>
    </w:p>
    <w:p w14:paraId="73A3070A" w14:textId="77777777" w:rsidR="00DC55CF" w:rsidRPr="00CC52A7" w:rsidRDefault="00DC55CF" w:rsidP="00DC55CF">
      <w:pPr>
        <w:overflowPunct w:val="0"/>
        <w:autoSpaceDE w:val="0"/>
        <w:autoSpaceDN w:val="0"/>
        <w:adjustRightInd w:val="0"/>
        <w:spacing w:after="0" w:line="240" w:lineRule="auto"/>
        <w:ind w:left="567" w:hanging="567"/>
        <w:contextualSpacing/>
        <w:textAlignment w:val="baseline"/>
        <w:rPr>
          <w:rFonts w:ascii="Times New Roman" w:eastAsia="PMingLiU" w:hAnsi="Times New Roman" w:cs="Times New Roman"/>
          <w:lang w:val="lt-LT"/>
        </w:rPr>
      </w:pPr>
    </w:p>
    <w:p w14:paraId="73A3070B" w14:textId="77777777" w:rsidR="00DC55CF" w:rsidRPr="00CC52A7" w:rsidRDefault="00DC55CF" w:rsidP="00DC55CF">
      <w:pPr>
        <w:overflowPunct w:val="0"/>
        <w:autoSpaceDE w:val="0"/>
        <w:autoSpaceDN w:val="0"/>
        <w:adjustRightInd w:val="0"/>
        <w:spacing w:after="0" w:line="240" w:lineRule="auto"/>
        <w:ind w:left="567" w:hanging="567"/>
        <w:contextualSpacing/>
        <w:textAlignment w:val="baseline"/>
        <w:rPr>
          <w:rFonts w:ascii="Times New Roman" w:eastAsia="PMingLiU" w:hAnsi="Times New Roman" w:cs="Times New Roman"/>
          <w:b/>
          <w:lang w:val="lt-LT"/>
        </w:rPr>
      </w:pPr>
      <w:r w:rsidRPr="00CC52A7">
        <w:rPr>
          <w:rFonts w:ascii="Times New Roman" w:eastAsia="PMingLiU" w:hAnsi="Times New Roman" w:cs="Times New Roman"/>
          <w:b/>
          <w:lang w:val="lt-LT"/>
        </w:rPr>
        <w:t>Gamintojas</w:t>
      </w:r>
    </w:p>
    <w:p w14:paraId="73A3070C"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Salutas Pharma GmbH </w:t>
      </w:r>
    </w:p>
    <w:p w14:paraId="73A3070D"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 xml:space="preserve">Otto-von-Guericke-Alee 1, </w:t>
      </w:r>
    </w:p>
    <w:p w14:paraId="73A3070E"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D-39179 Barleben,</w:t>
      </w:r>
    </w:p>
    <w:p w14:paraId="73A3070F"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Vokietija</w:t>
      </w:r>
    </w:p>
    <w:p w14:paraId="73A30710" w14:textId="77777777" w:rsidR="00DC55CF" w:rsidRPr="00CC52A7" w:rsidRDefault="00DC55CF" w:rsidP="00DC55CF">
      <w:pPr>
        <w:numPr>
          <w:ilvl w:val="12"/>
          <w:numId w:val="0"/>
        </w:numPr>
        <w:overflowPunct w:val="0"/>
        <w:autoSpaceDE w:val="0"/>
        <w:autoSpaceDN w:val="0"/>
        <w:adjustRightInd w:val="0"/>
        <w:spacing w:after="0" w:line="240" w:lineRule="auto"/>
        <w:ind w:left="567" w:hanging="567"/>
        <w:contextualSpacing/>
        <w:textAlignment w:val="baseline"/>
        <w:outlineLvl w:val="0"/>
        <w:rPr>
          <w:rFonts w:ascii="Times New Roman" w:eastAsia="PMingLiU" w:hAnsi="Times New Roman" w:cs="Times New Roman"/>
          <w:lang w:val="lt-LT"/>
        </w:rPr>
      </w:pPr>
    </w:p>
    <w:p w14:paraId="73A30711" w14:textId="77777777" w:rsidR="00DC55CF" w:rsidRPr="00CC52A7" w:rsidRDefault="00DC55CF" w:rsidP="00DC55CF">
      <w:pPr>
        <w:spacing w:after="0" w:line="240" w:lineRule="auto"/>
        <w:contextualSpacing/>
        <w:rPr>
          <w:rFonts w:ascii="Times New Roman" w:eastAsia="PMingLiU" w:hAnsi="Times New Roman" w:cs="Times New Roman"/>
          <w:lang w:val="lt-LT"/>
        </w:rPr>
      </w:pPr>
      <w:r w:rsidRPr="00CC52A7">
        <w:rPr>
          <w:rFonts w:ascii="Times New Roman" w:eastAsia="PMingLiU" w:hAnsi="Times New Roman" w:cs="Times New Roman"/>
          <w:lang w:val="lt-LT"/>
        </w:rPr>
        <w:t>Jeigu apie šį vaistą norite sužinoti daugiau, kreipkitės į vietinį registruotojo atstovą.</w:t>
      </w:r>
    </w:p>
    <w:p w14:paraId="73A30712" w14:textId="77777777" w:rsidR="00DC55CF" w:rsidRPr="00CC52A7" w:rsidRDefault="00DC55CF" w:rsidP="00DC55CF">
      <w:pPr>
        <w:spacing w:after="0" w:line="240" w:lineRule="auto"/>
        <w:contextualSpacing/>
        <w:rPr>
          <w:rFonts w:ascii="Times New Roman" w:eastAsia="PMingLiU" w:hAnsi="Times New Roman" w:cs="Times New Roman"/>
          <w:b/>
          <w:lang w:val="lt-LT"/>
        </w:rPr>
      </w:pPr>
    </w:p>
    <w:p w14:paraId="73A30713"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Sandoz Pharmaceuticals d.d. filialas</w:t>
      </w:r>
    </w:p>
    <w:p w14:paraId="73A30714"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Šeimyniškių g. 3A,</w:t>
      </w:r>
    </w:p>
    <w:p w14:paraId="73A30715"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Vilnius, LT</w:t>
      </w:r>
      <w:r w:rsidR="004070A0">
        <w:rPr>
          <w:rFonts w:ascii="Times New Roman" w:eastAsia="PMingLiU" w:hAnsi="Times New Roman" w:cs="Times New Roman"/>
          <w:lang w:val="lt-LT"/>
        </w:rPr>
        <w:t>-</w:t>
      </w:r>
      <w:r w:rsidRPr="00CC52A7">
        <w:rPr>
          <w:rFonts w:ascii="Times New Roman" w:eastAsia="PMingLiU" w:hAnsi="Times New Roman" w:cs="Times New Roman"/>
          <w:lang w:val="lt-LT"/>
        </w:rPr>
        <w:t xml:space="preserve">09312 </w:t>
      </w:r>
    </w:p>
    <w:p w14:paraId="73A30716"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Tel.: +370 5 263 60 37</w:t>
      </w:r>
    </w:p>
    <w:p w14:paraId="73A30717" w14:textId="77777777" w:rsidR="00DC55CF" w:rsidRPr="00CC52A7" w:rsidRDefault="00DC55CF" w:rsidP="00DC55CF">
      <w:pPr>
        <w:tabs>
          <w:tab w:val="left" w:pos="567"/>
        </w:tabs>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r w:rsidRPr="00CC52A7">
        <w:rPr>
          <w:rFonts w:ascii="Times New Roman" w:eastAsia="PMingLiU" w:hAnsi="Times New Roman" w:cs="Times New Roman"/>
          <w:lang w:val="lt-LT"/>
        </w:rPr>
        <w:t>Faksas: +370 5 263 60 36</w:t>
      </w:r>
    </w:p>
    <w:p w14:paraId="73A30718" w14:textId="77777777" w:rsidR="00DC55CF" w:rsidRPr="00CC52A7" w:rsidRDefault="00DC55CF" w:rsidP="00DC55CF">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color w:val="000000"/>
          <w:spacing w:val="-5"/>
          <w:lang w:val="lt-LT"/>
        </w:rPr>
      </w:pPr>
      <w:r w:rsidRPr="00CC52A7">
        <w:rPr>
          <w:rFonts w:ascii="Times New Roman" w:eastAsia="PMingLiU" w:hAnsi="Times New Roman" w:cs="Times New Roman"/>
          <w:lang w:val="lt-LT"/>
        </w:rPr>
        <w:t xml:space="preserve">El. pašto adresas: </w:t>
      </w:r>
      <w:r w:rsidRPr="00CC52A7">
        <w:rPr>
          <w:rFonts w:ascii="Times New Roman" w:eastAsia="Calibri" w:hAnsi="Times New Roman" w:cs="Times New Roman"/>
          <w:color w:val="000000"/>
          <w:spacing w:val="-5"/>
          <w:lang w:val="lt-LT"/>
        </w:rPr>
        <w:t>info.</w:t>
      </w:r>
      <w:hyperlink r:id="rId19" w:history="1">
        <w:r w:rsidRPr="00CC52A7">
          <w:rPr>
            <w:rFonts w:ascii="Times New Roman" w:eastAsia="Calibri" w:hAnsi="Times New Roman" w:cs="Times New Roman"/>
            <w:color w:val="0000FF"/>
            <w:spacing w:val="-5"/>
            <w:u w:val="single"/>
            <w:lang w:val="lt-LT"/>
          </w:rPr>
          <w:t>lithuania@sandoz.com</w:t>
        </w:r>
      </w:hyperlink>
    </w:p>
    <w:p w14:paraId="73A30719" w14:textId="77777777" w:rsidR="00DC55CF" w:rsidRPr="00CC52A7" w:rsidRDefault="00DC55CF" w:rsidP="00DC55CF">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color w:val="000000"/>
          <w:spacing w:val="-5"/>
          <w:lang w:val="lt-LT"/>
        </w:rPr>
      </w:pPr>
      <w:r w:rsidRPr="00CC52A7">
        <w:rPr>
          <w:rFonts w:ascii="Times New Roman" w:eastAsia="Calibri" w:hAnsi="Times New Roman" w:cs="Times New Roman"/>
          <w:color w:val="000000"/>
          <w:spacing w:val="-5"/>
          <w:lang w:val="lt-LT"/>
        </w:rPr>
        <w:t>Nemokama linija pacientams +370 800 00877</w:t>
      </w:r>
    </w:p>
    <w:p w14:paraId="73A3071A"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Cs/>
          <w:iCs/>
          <w:lang w:val="lt-LT"/>
        </w:rPr>
      </w:pPr>
    </w:p>
    <w:p w14:paraId="73A3071B"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Cs/>
          <w:iCs/>
          <w:lang w:val="lt-LT"/>
        </w:rPr>
      </w:pPr>
    </w:p>
    <w:p w14:paraId="73A3071C" w14:textId="208BA42E"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b/>
          <w:lang w:val="lt-LT"/>
        </w:rPr>
      </w:pPr>
      <w:r w:rsidRPr="00CC52A7">
        <w:rPr>
          <w:rFonts w:ascii="Times New Roman" w:eastAsia="PMingLiU" w:hAnsi="Times New Roman" w:cs="Times New Roman"/>
          <w:b/>
          <w:bCs/>
          <w:lang w:val="lt-LT"/>
        </w:rPr>
        <w:t>Šis pakuotės lapelis</w:t>
      </w:r>
      <w:r w:rsidRPr="00CC52A7">
        <w:rPr>
          <w:rFonts w:ascii="Times New Roman" w:eastAsia="PMingLiU" w:hAnsi="Times New Roman" w:cs="Times New Roman"/>
          <w:b/>
          <w:lang w:val="lt-LT"/>
        </w:rPr>
        <w:t xml:space="preserve"> paskutinį kartą peržiūrėtas </w:t>
      </w:r>
      <w:r w:rsidR="00094389">
        <w:rPr>
          <w:rFonts w:ascii="Times New Roman" w:eastAsia="PMingLiU" w:hAnsi="Times New Roman" w:cs="Times New Roman"/>
          <w:b/>
          <w:lang w:val="lt-LT"/>
        </w:rPr>
        <w:t>2018-07-</w:t>
      </w:r>
      <w:r w:rsidR="00C01AF9">
        <w:rPr>
          <w:rFonts w:ascii="Times New Roman" w:eastAsia="PMingLiU" w:hAnsi="Times New Roman" w:cs="Times New Roman"/>
          <w:b/>
          <w:lang w:val="lt-LT"/>
        </w:rPr>
        <w:t>02</w:t>
      </w:r>
      <w:r w:rsidR="00094389">
        <w:rPr>
          <w:rFonts w:ascii="Times New Roman" w:eastAsia="PMingLiU" w:hAnsi="Times New Roman" w:cs="Times New Roman"/>
          <w:b/>
          <w:lang w:val="lt-LT"/>
        </w:rPr>
        <w:t>.</w:t>
      </w:r>
    </w:p>
    <w:p w14:paraId="73A3071D"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lang w:val="lt-LT"/>
        </w:rPr>
      </w:pPr>
    </w:p>
    <w:p w14:paraId="73A3071E"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color w:val="0000FF"/>
          <w:u w:val="single"/>
          <w:lang w:val="lt-LT"/>
        </w:rPr>
      </w:pPr>
      <w:r w:rsidRPr="00CC52A7">
        <w:rPr>
          <w:rFonts w:ascii="Times New Roman" w:eastAsia="PMingLiU" w:hAnsi="Times New Roman" w:cs="Times New Roman"/>
          <w:lang w:val="lt-LT"/>
        </w:rPr>
        <w:t>Išsami informacija apie šį vaistą pateikiama Valstybinės vaistų kontrolės tarnybos prie Lietuvos Respublikos sveikatos apsaugos ministerijos tinklalapyje</w:t>
      </w:r>
      <w:r w:rsidRPr="00CC52A7">
        <w:rPr>
          <w:rFonts w:ascii="Times New Roman" w:eastAsia="PMingLiU" w:hAnsi="Times New Roman" w:cs="Times New Roman"/>
          <w:i/>
          <w:lang w:val="lt-LT"/>
        </w:rPr>
        <w:t xml:space="preserve"> </w:t>
      </w:r>
      <w:hyperlink r:id="rId20" w:history="1">
        <w:r w:rsidRPr="00CC52A7">
          <w:rPr>
            <w:rFonts w:ascii="Times New Roman" w:eastAsia="PMingLiU" w:hAnsi="Times New Roman" w:cs="Times New Roman"/>
            <w:color w:val="0000FF"/>
            <w:u w:val="single"/>
            <w:lang w:val="lt-LT"/>
          </w:rPr>
          <w:t>http://www.vvkt.lt/</w:t>
        </w:r>
      </w:hyperlink>
      <w:r w:rsidRPr="00CC52A7">
        <w:rPr>
          <w:rFonts w:ascii="Times New Roman" w:eastAsia="PMingLiU" w:hAnsi="Times New Roman" w:cs="Times New Roman"/>
          <w:color w:val="0000FF"/>
          <w:u w:val="single"/>
          <w:lang w:val="lt-LT"/>
        </w:rPr>
        <w:t>.</w:t>
      </w:r>
    </w:p>
    <w:p w14:paraId="73A3071F" w14:textId="77777777" w:rsidR="00DC55CF" w:rsidRPr="00CC52A7" w:rsidRDefault="00DC55CF" w:rsidP="00DC55CF">
      <w:pPr>
        <w:overflowPunct w:val="0"/>
        <w:autoSpaceDE w:val="0"/>
        <w:autoSpaceDN w:val="0"/>
        <w:adjustRightInd w:val="0"/>
        <w:spacing w:after="0" w:line="240" w:lineRule="auto"/>
        <w:contextualSpacing/>
        <w:textAlignment w:val="baseline"/>
        <w:rPr>
          <w:rFonts w:ascii="Times New Roman" w:eastAsia="PMingLiU" w:hAnsi="Times New Roman" w:cs="Times New Roman"/>
          <w:color w:val="0000FF"/>
          <w:lang w:val="lt-LT"/>
        </w:rPr>
      </w:pPr>
      <w:bookmarkStart w:id="0" w:name="_GoBack"/>
      <w:bookmarkEnd w:id="0"/>
    </w:p>
    <w:p w14:paraId="73A30723" w14:textId="77777777" w:rsidR="005F0E56" w:rsidRPr="00CC52A7" w:rsidRDefault="005F0E56" w:rsidP="00DC55CF">
      <w:pPr>
        <w:spacing w:after="0" w:line="240" w:lineRule="auto"/>
        <w:contextualSpacing/>
        <w:rPr>
          <w:rFonts w:ascii="Times New Roman" w:hAnsi="Times New Roman" w:cs="Times New Roman"/>
          <w:sz w:val="20"/>
          <w:szCs w:val="20"/>
          <w:lang w:val="lt-LT"/>
        </w:rPr>
      </w:pPr>
    </w:p>
    <w:sectPr w:rsidR="005F0E56" w:rsidRPr="00CC52A7" w:rsidSect="00DC55CF">
      <w:footerReference w:type="default" r:id="rId21"/>
      <w:pgSz w:w="11906" w:h="16838"/>
      <w:pgMar w:top="1134" w:right="1418"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B8A13" w14:textId="77777777" w:rsidR="008C7D5A" w:rsidRDefault="008C7D5A">
      <w:pPr>
        <w:spacing w:after="0" w:line="240" w:lineRule="auto"/>
      </w:pPr>
      <w:r>
        <w:separator/>
      </w:r>
    </w:p>
  </w:endnote>
  <w:endnote w:type="continuationSeparator" w:id="0">
    <w:p w14:paraId="061AAA0C" w14:textId="77777777" w:rsidR="008C7D5A" w:rsidRDefault="008C7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3072A" w14:textId="66A937F7" w:rsidR="00C82AC4" w:rsidRPr="0095359B" w:rsidRDefault="00C82AC4">
    <w:pPr>
      <w:pStyle w:val="Porat"/>
      <w:framePr w:wrap="auto" w:vAnchor="text" w:hAnchor="margin" w:xAlign="right" w:y="1"/>
      <w:rPr>
        <w:rStyle w:val="Puslapionumeris"/>
        <w:sz w:val="22"/>
        <w:szCs w:val="22"/>
      </w:rPr>
    </w:pPr>
    <w:r w:rsidRPr="0095359B">
      <w:rPr>
        <w:rStyle w:val="Puslapionumeris"/>
        <w:sz w:val="22"/>
        <w:szCs w:val="22"/>
      </w:rPr>
      <w:fldChar w:fldCharType="begin"/>
    </w:r>
    <w:r w:rsidRPr="0095359B">
      <w:rPr>
        <w:rStyle w:val="Puslapionumeris"/>
        <w:sz w:val="22"/>
        <w:szCs w:val="22"/>
      </w:rPr>
      <w:instrText xml:space="preserve">PAGE  </w:instrText>
    </w:r>
    <w:r w:rsidRPr="0095359B">
      <w:rPr>
        <w:rStyle w:val="Puslapionumeris"/>
        <w:sz w:val="22"/>
        <w:szCs w:val="22"/>
      </w:rPr>
      <w:fldChar w:fldCharType="separate"/>
    </w:r>
    <w:r w:rsidR="00481A84">
      <w:rPr>
        <w:rStyle w:val="Puslapionumeris"/>
        <w:noProof/>
        <w:sz w:val="22"/>
        <w:szCs w:val="22"/>
      </w:rPr>
      <w:t>23</w:t>
    </w:r>
    <w:r w:rsidRPr="0095359B">
      <w:rPr>
        <w:rStyle w:val="Puslapionumeris"/>
        <w:sz w:val="22"/>
        <w:szCs w:val="22"/>
      </w:rPr>
      <w:fldChar w:fldCharType="end"/>
    </w:r>
  </w:p>
  <w:p w14:paraId="73A3072B" w14:textId="77777777" w:rsidR="00C82AC4" w:rsidRDefault="00C82AC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9473F" w14:textId="77777777" w:rsidR="008C7D5A" w:rsidRDefault="008C7D5A">
      <w:pPr>
        <w:spacing w:after="0" w:line="240" w:lineRule="auto"/>
      </w:pPr>
      <w:r>
        <w:separator/>
      </w:r>
    </w:p>
  </w:footnote>
  <w:footnote w:type="continuationSeparator" w:id="0">
    <w:p w14:paraId="3FFE46DD" w14:textId="77777777" w:rsidR="008C7D5A" w:rsidRDefault="008C7D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A801CDC"/>
    <w:lvl w:ilvl="0">
      <w:numFmt w:val="decimal"/>
      <w:lvlText w:val="*"/>
      <w:lvlJc w:val="left"/>
      <w:rPr>
        <w:rFonts w:cs="Times New Roman"/>
      </w:rPr>
    </w:lvl>
  </w:abstractNum>
  <w:abstractNum w:abstractNumId="1" w15:restartNumberingAfterBreak="0">
    <w:nsid w:val="088F11FA"/>
    <w:multiLevelType w:val="hybridMultilevel"/>
    <w:tmpl w:val="ABA6806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99B27EC"/>
    <w:multiLevelType w:val="hybridMultilevel"/>
    <w:tmpl w:val="3AD427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3628CD"/>
    <w:multiLevelType w:val="hybridMultilevel"/>
    <w:tmpl w:val="E54E83E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0DF93B09"/>
    <w:multiLevelType w:val="hybridMultilevel"/>
    <w:tmpl w:val="0E66ACD4"/>
    <w:lvl w:ilvl="0" w:tplc="D114A26A">
      <w:numFmt w:val="bullet"/>
      <w:lvlText w:val="-"/>
      <w:lvlJc w:val="left"/>
      <w:pPr>
        <w:ind w:left="360" w:hanging="360"/>
      </w:pPr>
      <w:rPr>
        <w:rFonts w:ascii="Calibri" w:eastAsia="Calibri" w:hAnsi="Calibri" w:cstheme="minorBidi"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1FBC2210"/>
    <w:multiLevelType w:val="hybridMultilevel"/>
    <w:tmpl w:val="FD88F20A"/>
    <w:lvl w:ilvl="0" w:tplc="D114A26A">
      <w:numFmt w:val="bullet"/>
      <w:lvlText w:val="-"/>
      <w:lvlJc w:val="left"/>
      <w:pPr>
        <w:ind w:left="720" w:hanging="360"/>
      </w:pPr>
      <w:rPr>
        <w:rFonts w:ascii="Calibri" w:eastAsia="Calibr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2757C8A"/>
    <w:multiLevelType w:val="hybridMultilevel"/>
    <w:tmpl w:val="1534E9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3D0B1A9B"/>
    <w:multiLevelType w:val="hybridMultilevel"/>
    <w:tmpl w:val="CCD22028"/>
    <w:lvl w:ilvl="0" w:tplc="234EE876">
      <w:start w:val="6"/>
      <w:numFmt w:val="bullet"/>
      <w:lvlText w:val="-"/>
      <w:lvlJc w:val="left"/>
      <w:pPr>
        <w:ind w:left="360" w:hanging="360"/>
      </w:pPr>
      <w:rPr>
        <w:rFonts w:ascii="Times New Roman" w:eastAsia="Times New Roman" w:hAnsi="Times New Roman" w:hint="default"/>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47333795"/>
    <w:multiLevelType w:val="hybridMultilevel"/>
    <w:tmpl w:val="F00EFB2A"/>
    <w:lvl w:ilvl="0" w:tplc="D114A26A">
      <w:numFmt w:val="bullet"/>
      <w:lvlText w:val="-"/>
      <w:lvlJc w:val="left"/>
      <w:pPr>
        <w:ind w:left="720" w:hanging="360"/>
      </w:pPr>
      <w:rPr>
        <w:rFonts w:ascii="Calibri" w:eastAsia="Calibr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27359C1"/>
    <w:multiLevelType w:val="hybridMultilevel"/>
    <w:tmpl w:val="F598925E"/>
    <w:lvl w:ilvl="0" w:tplc="940C3C36">
      <w:start w:val="1"/>
      <w:numFmt w:val="bullet"/>
      <w:lvlText w:val=""/>
      <w:lvlJc w:val="left"/>
      <w:pPr>
        <w:tabs>
          <w:tab w:val="num" w:pos="644"/>
        </w:tabs>
        <w:ind w:left="624" w:hanging="34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F61563"/>
    <w:multiLevelType w:val="hybridMultilevel"/>
    <w:tmpl w:val="D7383244"/>
    <w:lvl w:ilvl="0" w:tplc="234EE876">
      <w:start w:val="6"/>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105DF5"/>
    <w:multiLevelType w:val="singleLevel"/>
    <w:tmpl w:val="FF341C06"/>
    <w:lvl w:ilvl="0">
      <w:start w:val="2"/>
      <w:numFmt w:val="decimal"/>
      <w:lvlText w:val="%1. "/>
      <w:legacy w:legacy="1" w:legacySpace="0" w:legacyIndent="283"/>
      <w:lvlJc w:val="left"/>
      <w:pPr>
        <w:ind w:left="567" w:hanging="283"/>
      </w:pPr>
      <w:rPr>
        <w:rFonts w:ascii="TimesLT" w:hAnsi="TimesLT" w:cs="Times New Roman" w:hint="default"/>
        <w:b w:val="0"/>
        <w:i w:val="0"/>
        <w:sz w:val="22"/>
        <w:szCs w:val="22"/>
        <w:u w:val="none"/>
      </w:rPr>
    </w:lvl>
  </w:abstractNum>
  <w:abstractNum w:abstractNumId="12" w15:restartNumberingAfterBreak="0">
    <w:nsid w:val="705D7786"/>
    <w:multiLevelType w:val="hybridMultilevel"/>
    <w:tmpl w:val="3854445E"/>
    <w:lvl w:ilvl="0" w:tplc="59964EE6">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70680388"/>
    <w:multiLevelType w:val="hybridMultilevel"/>
    <w:tmpl w:val="61BE14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7F82B39"/>
    <w:multiLevelType w:val="hybridMultilevel"/>
    <w:tmpl w:val="E870BB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8E9503C"/>
    <w:multiLevelType w:val="hybridMultilevel"/>
    <w:tmpl w:val="84229CB2"/>
    <w:lvl w:ilvl="0" w:tplc="67522004">
      <w:start w:val="1"/>
      <w:numFmt w:val="bullet"/>
      <w:lvlText w:val=""/>
      <w:lvlJc w:val="left"/>
      <w:pPr>
        <w:tabs>
          <w:tab w:val="num" w:pos="777"/>
        </w:tabs>
        <w:ind w:left="70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360BD4"/>
    <w:multiLevelType w:val="hybridMultilevel"/>
    <w:tmpl w:val="DD465C0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5"/>
  </w:num>
  <w:num w:numId="3">
    <w:abstractNumId w:val="9"/>
  </w:num>
  <w:num w:numId="4">
    <w:abstractNumId w:val="14"/>
  </w:num>
  <w:num w:numId="5">
    <w:abstractNumId w:val="10"/>
  </w:num>
  <w:num w:numId="6">
    <w:abstractNumId w:val="16"/>
  </w:num>
  <w:num w:numId="7">
    <w:abstractNumId w:val="8"/>
  </w:num>
  <w:num w:numId="8">
    <w:abstractNumId w:val="4"/>
  </w:num>
  <w:num w:numId="9">
    <w:abstractNumId w:val="7"/>
  </w:num>
  <w:num w:numId="10">
    <w:abstractNumId w:val="5"/>
  </w:num>
  <w:num w:numId="11">
    <w:abstractNumId w:val="1"/>
  </w:num>
  <w:num w:numId="12">
    <w:abstractNumId w:val="13"/>
  </w:num>
  <w:num w:numId="13">
    <w:abstractNumId w:val="6"/>
  </w:num>
  <w:num w:numId="14">
    <w:abstractNumId w:val="3"/>
  </w:num>
  <w:num w:numId="15">
    <w:abstractNumId w:val="2"/>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5CF"/>
    <w:rsid w:val="00094389"/>
    <w:rsid w:val="001B094F"/>
    <w:rsid w:val="00202982"/>
    <w:rsid w:val="002D4817"/>
    <w:rsid w:val="00311CA3"/>
    <w:rsid w:val="00360E65"/>
    <w:rsid w:val="003B1A9F"/>
    <w:rsid w:val="003D26AC"/>
    <w:rsid w:val="004070A0"/>
    <w:rsid w:val="004406D7"/>
    <w:rsid w:val="00481A84"/>
    <w:rsid w:val="00490EBF"/>
    <w:rsid w:val="004B69BD"/>
    <w:rsid w:val="00592D4E"/>
    <w:rsid w:val="00597414"/>
    <w:rsid w:val="005F0E56"/>
    <w:rsid w:val="00665B6B"/>
    <w:rsid w:val="006D5768"/>
    <w:rsid w:val="007C5A3D"/>
    <w:rsid w:val="007D3F09"/>
    <w:rsid w:val="00801248"/>
    <w:rsid w:val="00803957"/>
    <w:rsid w:val="0084194E"/>
    <w:rsid w:val="00850C8A"/>
    <w:rsid w:val="00867881"/>
    <w:rsid w:val="008C7D5A"/>
    <w:rsid w:val="009510A3"/>
    <w:rsid w:val="00997F94"/>
    <w:rsid w:val="009D7277"/>
    <w:rsid w:val="00AF3BC3"/>
    <w:rsid w:val="00BB7AAD"/>
    <w:rsid w:val="00C01AF9"/>
    <w:rsid w:val="00C82AC4"/>
    <w:rsid w:val="00CC52A7"/>
    <w:rsid w:val="00D25C12"/>
    <w:rsid w:val="00DA2D32"/>
    <w:rsid w:val="00DC55CF"/>
    <w:rsid w:val="00E17B93"/>
    <w:rsid w:val="00F677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303E1"/>
  <w15:docId w15:val="{FD94697D-91C3-4485-BE3E-183EF5754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DC55CF"/>
    <w:pPr>
      <w:keepNext/>
      <w:overflowPunct w:val="0"/>
      <w:autoSpaceDE w:val="0"/>
      <w:autoSpaceDN w:val="0"/>
      <w:adjustRightInd w:val="0"/>
      <w:spacing w:after="0" w:line="360" w:lineRule="auto"/>
      <w:textAlignment w:val="baseline"/>
      <w:outlineLvl w:val="0"/>
    </w:pPr>
    <w:rPr>
      <w:rFonts w:ascii="Times New Roman" w:eastAsia="PMingLiU" w:hAnsi="Times New Roman" w:cs="Times New Roman"/>
      <w:i/>
      <w:iCs/>
      <w:sz w:val="24"/>
      <w:szCs w:val="20"/>
      <w:lang w:val="lt-LT"/>
    </w:rPr>
  </w:style>
  <w:style w:type="paragraph" w:styleId="Antrat2">
    <w:name w:val="heading 2"/>
    <w:basedOn w:val="prastasis"/>
    <w:next w:val="prastasis"/>
    <w:link w:val="Antrat2Diagrama"/>
    <w:qFormat/>
    <w:rsid w:val="00DC55CF"/>
    <w:pPr>
      <w:keepNext/>
      <w:overflowPunct w:val="0"/>
      <w:autoSpaceDE w:val="0"/>
      <w:autoSpaceDN w:val="0"/>
      <w:adjustRightInd w:val="0"/>
      <w:spacing w:after="0" w:line="360" w:lineRule="auto"/>
      <w:jc w:val="both"/>
      <w:textAlignment w:val="baseline"/>
      <w:outlineLvl w:val="1"/>
    </w:pPr>
    <w:rPr>
      <w:rFonts w:ascii="Times New Roman" w:eastAsia="PMingLiU" w:hAnsi="Times New Roman" w:cs="Times New Roman"/>
      <w:i/>
      <w:iCs/>
      <w:sz w:val="24"/>
      <w:szCs w:val="20"/>
      <w:lang w:val="lt-LT"/>
    </w:rPr>
  </w:style>
  <w:style w:type="paragraph" w:styleId="Antrat3">
    <w:name w:val="heading 3"/>
    <w:basedOn w:val="prastasis"/>
    <w:next w:val="prastasis"/>
    <w:link w:val="Antrat3Diagrama"/>
    <w:qFormat/>
    <w:rsid w:val="00DC55CF"/>
    <w:pPr>
      <w:keepNext/>
      <w:overflowPunct w:val="0"/>
      <w:autoSpaceDE w:val="0"/>
      <w:autoSpaceDN w:val="0"/>
      <w:adjustRightInd w:val="0"/>
      <w:spacing w:after="0" w:line="360" w:lineRule="auto"/>
      <w:jc w:val="both"/>
      <w:textAlignment w:val="baseline"/>
      <w:outlineLvl w:val="2"/>
    </w:pPr>
    <w:rPr>
      <w:rFonts w:ascii="Times New Roman" w:eastAsia="PMingLiU" w:hAnsi="Times New Roman" w:cs="Times New Roman"/>
      <w:i/>
      <w:iCs/>
      <w:sz w:val="24"/>
      <w:szCs w:val="20"/>
      <w:u w:val="single"/>
      <w:lang w:val="lt-LT"/>
    </w:rPr>
  </w:style>
  <w:style w:type="paragraph" w:styleId="Antrat4">
    <w:name w:val="heading 4"/>
    <w:basedOn w:val="prastasis"/>
    <w:next w:val="prastasis"/>
    <w:link w:val="Antrat4Diagrama"/>
    <w:uiPriority w:val="9"/>
    <w:unhideWhenUsed/>
    <w:qFormat/>
    <w:rsid w:val="00DC55CF"/>
    <w:pPr>
      <w:keepNext/>
      <w:keepLines/>
      <w:overflowPunct w:val="0"/>
      <w:autoSpaceDE w:val="0"/>
      <w:autoSpaceDN w:val="0"/>
      <w:adjustRightInd w:val="0"/>
      <w:spacing w:before="200" w:after="0" w:line="240" w:lineRule="auto"/>
      <w:textAlignment w:val="baseline"/>
      <w:outlineLvl w:val="3"/>
    </w:pPr>
    <w:rPr>
      <w:rFonts w:asciiTheme="majorHAnsi" w:eastAsiaTheme="majorEastAsia" w:hAnsiTheme="majorHAnsi" w:cstheme="majorBidi"/>
      <w:b/>
      <w:bCs/>
      <w:i/>
      <w:iCs/>
      <w:color w:val="4F81BD" w:themeColor="accent1"/>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C55CF"/>
    <w:rPr>
      <w:rFonts w:ascii="Times New Roman" w:eastAsia="PMingLiU" w:hAnsi="Times New Roman" w:cs="Times New Roman"/>
      <w:i/>
      <w:iCs/>
      <w:sz w:val="24"/>
      <w:szCs w:val="20"/>
      <w:lang w:val="lt-LT"/>
    </w:rPr>
  </w:style>
  <w:style w:type="character" w:customStyle="1" w:styleId="Antrat2Diagrama">
    <w:name w:val="Antraštė 2 Diagrama"/>
    <w:basedOn w:val="Numatytasispastraiposriftas"/>
    <w:link w:val="Antrat2"/>
    <w:rsid w:val="00DC55CF"/>
    <w:rPr>
      <w:rFonts w:ascii="Times New Roman" w:eastAsia="PMingLiU" w:hAnsi="Times New Roman" w:cs="Times New Roman"/>
      <w:i/>
      <w:iCs/>
      <w:sz w:val="24"/>
      <w:szCs w:val="20"/>
      <w:lang w:val="lt-LT"/>
    </w:rPr>
  </w:style>
  <w:style w:type="character" w:customStyle="1" w:styleId="Antrat3Diagrama">
    <w:name w:val="Antraštė 3 Diagrama"/>
    <w:basedOn w:val="Numatytasispastraiposriftas"/>
    <w:link w:val="Antrat3"/>
    <w:rsid w:val="00DC55CF"/>
    <w:rPr>
      <w:rFonts w:ascii="Times New Roman" w:eastAsia="PMingLiU" w:hAnsi="Times New Roman" w:cs="Times New Roman"/>
      <w:i/>
      <w:iCs/>
      <w:sz w:val="24"/>
      <w:szCs w:val="20"/>
      <w:u w:val="single"/>
      <w:lang w:val="lt-LT"/>
    </w:rPr>
  </w:style>
  <w:style w:type="character" w:customStyle="1" w:styleId="Antrat4Diagrama">
    <w:name w:val="Antraštė 4 Diagrama"/>
    <w:basedOn w:val="Numatytasispastraiposriftas"/>
    <w:link w:val="Antrat4"/>
    <w:uiPriority w:val="9"/>
    <w:rsid w:val="00DC55CF"/>
    <w:rPr>
      <w:rFonts w:asciiTheme="majorHAnsi" w:eastAsiaTheme="majorEastAsia" w:hAnsiTheme="majorHAnsi" w:cstheme="majorBidi"/>
      <w:b/>
      <w:bCs/>
      <w:i/>
      <w:iCs/>
      <w:color w:val="4F81BD" w:themeColor="accent1"/>
      <w:sz w:val="24"/>
      <w:szCs w:val="20"/>
      <w:lang w:val="lt-LT"/>
    </w:rPr>
  </w:style>
  <w:style w:type="numbering" w:customStyle="1" w:styleId="NoList1">
    <w:name w:val="No List1"/>
    <w:next w:val="Sraonra"/>
    <w:uiPriority w:val="99"/>
    <w:semiHidden/>
    <w:unhideWhenUsed/>
    <w:rsid w:val="00DC55CF"/>
  </w:style>
  <w:style w:type="paragraph" w:customStyle="1" w:styleId="Style1">
    <w:name w:val="Style1"/>
    <w:basedOn w:val="Pagrindinistekstas"/>
    <w:rsid w:val="00DC55CF"/>
    <w:pPr>
      <w:spacing w:after="0" w:line="360" w:lineRule="auto"/>
      <w:jc w:val="both"/>
    </w:pPr>
  </w:style>
  <w:style w:type="paragraph" w:styleId="Pagrindinistekstas">
    <w:name w:val="Body Text"/>
    <w:basedOn w:val="prastasis"/>
    <w:link w:val="PagrindinistekstasDiagrama"/>
    <w:rsid w:val="00DC55CF"/>
    <w:pPr>
      <w:overflowPunct w:val="0"/>
      <w:autoSpaceDE w:val="0"/>
      <w:autoSpaceDN w:val="0"/>
      <w:adjustRightInd w:val="0"/>
      <w:spacing w:after="120" w:line="240" w:lineRule="auto"/>
      <w:textAlignment w:val="baseline"/>
    </w:pPr>
    <w:rPr>
      <w:rFonts w:ascii="Times New Roman" w:eastAsia="PMingLiU" w:hAnsi="Times New Roman" w:cs="Times New Roman"/>
      <w:sz w:val="24"/>
      <w:szCs w:val="20"/>
      <w:lang w:val="lt-LT"/>
    </w:rPr>
  </w:style>
  <w:style w:type="character" w:customStyle="1" w:styleId="PagrindinistekstasDiagrama">
    <w:name w:val="Pagrindinis tekstas Diagrama"/>
    <w:basedOn w:val="Numatytasispastraiposriftas"/>
    <w:link w:val="Pagrindinistekstas"/>
    <w:rsid w:val="00DC55CF"/>
    <w:rPr>
      <w:rFonts w:ascii="Times New Roman" w:eastAsia="PMingLiU" w:hAnsi="Times New Roman" w:cs="Times New Roman"/>
      <w:sz w:val="24"/>
      <w:szCs w:val="20"/>
      <w:lang w:val="lt-LT"/>
    </w:rPr>
  </w:style>
  <w:style w:type="paragraph" w:styleId="Porat">
    <w:name w:val="footer"/>
    <w:basedOn w:val="prastasis"/>
    <w:link w:val="PoratDiagrama"/>
    <w:rsid w:val="00DC55CF"/>
    <w:pPr>
      <w:tabs>
        <w:tab w:val="center" w:pos="4153"/>
        <w:tab w:val="right" w:pos="8306"/>
      </w:tabs>
      <w:overflowPunct w:val="0"/>
      <w:autoSpaceDE w:val="0"/>
      <w:autoSpaceDN w:val="0"/>
      <w:adjustRightInd w:val="0"/>
      <w:spacing w:after="0" w:line="240" w:lineRule="auto"/>
      <w:textAlignment w:val="baseline"/>
    </w:pPr>
    <w:rPr>
      <w:rFonts w:ascii="Times New Roman" w:eastAsia="PMingLiU" w:hAnsi="Times New Roman" w:cs="Times New Roman"/>
      <w:sz w:val="24"/>
      <w:szCs w:val="20"/>
      <w:lang w:val="lt-LT"/>
    </w:rPr>
  </w:style>
  <w:style w:type="character" w:customStyle="1" w:styleId="PoratDiagrama">
    <w:name w:val="Poraštė Diagrama"/>
    <w:basedOn w:val="Numatytasispastraiposriftas"/>
    <w:link w:val="Porat"/>
    <w:rsid w:val="00DC55CF"/>
    <w:rPr>
      <w:rFonts w:ascii="Times New Roman" w:eastAsia="PMingLiU" w:hAnsi="Times New Roman" w:cs="Times New Roman"/>
      <w:sz w:val="24"/>
      <w:szCs w:val="20"/>
      <w:lang w:val="lt-LT"/>
    </w:rPr>
  </w:style>
  <w:style w:type="character" w:styleId="Puslapionumeris">
    <w:name w:val="page number"/>
    <w:basedOn w:val="Numatytasispastraiposriftas"/>
    <w:rsid w:val="00DC55CF"/>
    <w:rPr>
      <w:rFonts w:cs="Times New Roman"/>
    </w:rPr>
  </w:style>
  <w:style w:type="paragraph" w:styleId="Antrats">
    <w:name w:val="header"/>
    <w:basedOn w:val="prastasis"/>
    <w:link w:val="AntratsDiagrama"/>
    <w:rsid w:val="00DC55CF"/>
    <w:pPr>
      <w:tabs>
        <w:tab w:val="center" w:pos="4153"/>
        <w:tab w:val="right" w:pos="8306"/>
      </w:tabs>
      <w:overflowPunct w:val="0"/>
      <w:autoSpaceDE w:val="0"/>
      <w:autoSpaceDN w:val="0"/>
      <w:adjustRightInd w:val="0"/>
      <w:spacing w:after="0" w:line="240" w:lineRule="auto"/>
      <w:textAlignment w:val="baseline"/>
    </w:pPr>
    <w:rPr>
      <w:rFonts w:ascii="TimesLT" w:eastAsia="PMingLiU" w:hAnsi="TimesLT" w:cs="Times New Roman"/>
      <w:sz w:val="24"/>
      <w:szCs w:val="20"/>
    </w:rPr>
  </w:style>
  <w:style w:type="character" w:customStyle="1" w:styleId="AntratsDiagrama">
    <w:name w:val="Antraštės Diagrama"/>
    <w:basedOn w:val="Numatytasispastraiposriftas"/>
    <w:link w:val="Antrats"/>
    <w:rsid w:val="00DC55CF"/>
    <w:rPr>
      <w:rFonts w:ascii="TimesLT" w:eastAsia="PMingLiU" w:hAnsi="TimesLT" w:cs="Times New Roman"/>
      <w:sz w:val="24"/>
      <w:szCs w:val="20"/>
    </w:rPr>
  </w:style>
  <w:style w:type="paragraph" w:customStyle="1" w:styleId="BT-EMEASMCA">
    <w:name w:val="BT- EMEA_SMCA"/>
    <w:basedOn w:val="prastasis"/>
    <w:autoRedefine/>
    <w:rsid w:val="00DC55CF"/>
    <w:pPr>
      <w:spacing w:after="0" w:line="240" w:lineRule="auto"/>
    </w:pPr>
    <w:rPr>
      <w:rFonts w:ascii="Times New Roman" w:eastAsia="PMingLiU" w:hAnsi="Times New Roman" w:cs="Times New Roman"/>
      <w:noProof/>
      <w:lang w:val="lt-LT"/>
    </w:rPr>
  </w:style>
  <w:style w:type="paragraph" w:customStyle="1" w:styleId="BTEMEASMCA">
    <w:name w:val="BT EMEA_SMCA"/>
    <w:basedOn w:val="prastasis"/>
    <w:link w:val="BTEMEASMCAChar"/>
    <w:autoRedefine/>
    <w:rsid w:val="00DC55CF"/>
    <w:pPr>
      <w:spacing w:after="0" w:line="240" w:lineRule="auto"/>
    </w:pPr>
    <w:rPr>
      <w:rFonts w:ascii="Times New Roman" w:eastAsia="PMingLiU" w:hAnsi="Times New Roman" w:cs="Times New Roman"/>
      <w:b/>
      <w:noProof/>
      <w:lang w:val="lt-LT"/>
    </w:rPr>
  </w:style>
  <w:style w:type="character" w:customStyle="1" w:styleId="BTEMEASMCAChar">
    <w:name w:val="BT EMEA_SMCA Char"/>
    <w:link w:val="BTEMEASMCA"/>
    <w:locked/>
    <w:rsid w:val="00DC55CF"/>
    <w:rPr>
      <w:rFonts w:ascii="Times New Roman" w:eastAsia="PMingLiU" w:hAnsi="Times New Roman" w:cs="Times New Roman"/>
      <w:b/>
      <w:noProof/>
      <w:lang w:val="lt-LT"/>
    </w:rPr>
  </w:style>
  <w:style w:type="character" w:styleId="Hipersaitas">
    <w:name w:val="Hyperlink"/>
    <w:basedOn w:val="Numatytasispastraiposriftas"/>
    <w:rsid w:val="00DC55CF"/>
    <w:rPr>
      <w:rFonts w:cs="Times New Roman"/>
      <w:color w:val="0000FF"/>
      <w:u w:val="single"/>
    </w:rPr>
  </w:style>
  <w:style w:type="paragraph" w:styleId="Komentarotekstas">
    <w:name w:val="annotation text"/>
    <w:basedOn w:val="prastasis"/>
    <w:link w:val="KomentarotekstasDiagrama"/>
    <w:rsid w:val="00DC55CF"/>
    <w:pPr>
      <w:spacing w:after="0" w:line="240" w:lineRule="auto"/>
    </w:pPr>
    <w:rPr>
      <w:rFonts w:ascii="Times New Roman" w:eastAsia="PMingLiU"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DC55CF"/>
    <w:rPr>
      <w:rFonts w:ascii="Times New Roman" w:eastAsia="PMingLiU" w:hAnsi="Times New Roman" w:cs="Times New Roman"/>
      <w:sz w:val="20"/>
      <w:szCs w:val="20"/>
      <w:lang w:val="lt-LT" w:eastAsia="lt-LT"/>
    </w:rPr>
  </w:style>
  <w:style w:type="paragraph" w:customStyle="1" w:styleId="ListParagraph1">
    <w:name w:val="List Paragraph1"/>
    <w:basedOn w:val="prastasis"/>
    <w:rsid w:val="00DC55CF"/>
    <w:pPr>
      <w:overflowPunct w:val="0"/>
      <w:autoSpaceDE w:val="0"/>
      <w:autoSpaceDN w:val="0"/>
      <w:adjustRightInd w:val="0"/>
      <w:spacing w:after="0" w:line="240" w:lineRule="auto"/>
      <w:ind w:left="720"/>
      <w:contextualSpacing/>
      <w:textAlignment w:val="baseline"/>
    </w:pPr>
    <w:rPr>
      <w:rFonts w:ascii="Times New Roman" w:eastAsia="PMingLiU" w:hAnsi="Times New Roman" w:cs="Times New Roman"/>
      <w:sz w:val="24"/>
      <w:szCs w:val="20"/>
      <w:lang w:val="lt-LT"/>
    </w:rPr>
  </w:style>
  <w:style w:type="paragraph" w:styleId="Debesliotekstas">
    <w:name w:val="Balloon Text"/>
    <w:basedOn w:val="prastasis"/>
    <w:link w:val="DebesliotekstasDiagrama"/>
    <w:uiPriority w:val="99"/>
    <w:semiHidden/>
    <w:unhideWhenUsed/>
    <w:rsid w:val="00DC55CF"/>
    <w:pPr>
      <w:overflowPunct w:val="0"/>
      <w:autoSpaceDE w:val="0"/>
      <w:autoSpaceDN w:val="0"/>
      <w:adjustRightInd w:val="0"/>
      <w:spacing w:after="0" w:line="240" w:lineRule="auto"/>
      <w:textAlignment w:val="baseline"/>
    </w:pPr>
    <w:rPr>
      <w:rFonts w:ascii="Tahoma" w:eastAsia="PMingLiU" w:hAnsi="Tahoma" w:cs="Tahoma"/>
      <w:sz w:val="16"/>
      <w:szCs w:val="16"/>
      <w:lang w:val="lt-LT"/>
    </w:rPr>
  </w:style>
  <w:style w:type="character" w:customStyle="1" w:styleId="DebesliotekstasDiagrama">
    <w:name w:val="Debesėlio tekstas Diagrama"/>
    <w:basedOn w:val="Numatytasispastraiposriftas"/>
    <w:link w:val="Debesliotekstas"/>
    <w:uiPriority w:val="99"/>
    <w:semiHidden/>
    <w:rsid w:val="00DC55CF"/>
    <w:rPr>
      <w:rFonts w:ascii="Tahoma" w:eastAsia="PMingLiU" w:hAnsi="Tahoma" w:cs="Tahoma"/>
      <w:sz w:val="16"/>
      <w:szCs w:val="16"/>
      <w:lang w:val="lt-LT"/>
    </w:rPr>
  </w:style>
  <w:style w:type="paragraph" w:styleId="Sraopastraipa">
    <w:name w:val="List Paragraph"/>
    <w:basedOn w:val="prastasis"/>
    <w:uiPriority w:val="34"/>
    <w:qFormat/>
    <w:rsid w:val="00DC55CF"/>
    <w:pPr>
      <w:overflowPunct w:val="0"/>
      <w:autoSpaceDE w:val="0"/>
      <w:autoSpaceDN w:val="0"/>
      <w:adjustRightInd w:val="0"/>
      <w:spacing w:after="0" w:line="240" w:lineRule="auto"/>
      <w:ind w:left="720"/>
      <w:contextualSpacing/>
      <w:textAlignment w:val="baseline"/>
    </w:pPr>
    <w:rPr>
      <w:rFonts w:ascii="Times New Roman" w:eastAsia="PMingLiU" w:hAnsi="Times New Roman" w:cs="Times New Roman"/>
      <w:sz w:val="24"/>
      <w:szCs w:val="20"/>
      <w:lang w:val="lt-LT"/>
    </w:rPr>
  </w:style>
  <w:style w:type="paragraph" w:styleId="Pataisymai">
    <w:name w:val="Revision"/>
    <w:hidden/>
    <w:uiPriority w:val="99"/>
    <w:semiHidden/>
    <w:rsid w:val="00DC55CF"/>
    <w:pPr>
      <w:spacing w:after="0" w:line="240" w:lineRule="auto"/>
    </w:pPr>
    <w:rPr>
      <w:rFonts w:ascii="Times New Roman" w:eastAsia="PMingLiU" w:hAnsi="Times New Roman" w:cs="Times New Roman"/>
      <w:sz w:val="24"/>
      <w:szCs w:val="20"/>
      <w:lang w:val="lt-LT"/>
    </w:rPr>
  </w:style>
  <w:style w:type="paragraph" w:styleId="Pagrindinistekstas2">
    <w:name w:val="Body Text 2"/>
    <w:basedOn w:val="prastasis"/>
    <w:link w:val="Pagrindinistekstas2Diagrama"/>
    <w:uiPriority w:val="99"/>
    <w:semiHidden/>
    <w:unhideWhenUsed/>
    <w:rsid w:val="00DC55CF"/>
    <w:pPr>
      <w:overflowPunct w:val="0"/>
      <w:autoSpaceDE w:val="0"/>
      <w:autoSpaceDN w:val="0"/>
      <w:adjustRightInd w:val="0"/>
      <w:spacing w:after="120" w:line="480" w:lineRule="auto"/>
      <w:textAlignment w:val="baseline"/>
    </w:pPr>
    <w:rPr>
      <w:rFonts w:ascii="Times New Roman" w:eastAsia="PMingLiU" w:hAnsi="Times New Roman" w:cs="Times New Roman"/>
      <w:sz w:val="24"/>
      <w:szCs w:val="20"/>
      <w:lang w:val="lt-LT"/>
    </w:rPr>
  </w:style>
  <w:style w:type="character" w:customStyle="1" w:styleId="Pagrindinistekstas2Diagrama">
    <w:name w:val="Pagrindinis tekstas 2 Diagrama"/>
    <w:basedOn w:val="Numatytasispastraiposriftas"/>
    <w:link w:val="Pagrindinistekstas2"/>
    <w:uiPriority w:val="99"/>
    <w:semiHidden/>
    <w:rsid w:val="00DC55CF"/>
    <w:rPr>
      <w:rFonts w:ascii="Times New Roman" w:eastAsia="PMingLiU" w:hAnsi="Times New Roman" w:cs="Times New Roman"/>
      <w:sz w:val="24"/>
      <w:szCs w:val="20"/>
      <w:lang w:val="lt-LT"/>
    </w:rPr>
  </w:style>
  <w:style w:type="character" w:styleId="Komentaronuoroda">
    <w:name w:val="annotation reference"/>
    <w:basedOn w:val="Numatytasispastraiposriftas"/>
    <w:uiPriority w:val="99"/>
    <w:semiHidden/>
    <w:unhideWhenUsed/>
    <w:rsid w:val="00DC55CF"/>
    <w:rPr>
      <w:sz w:val="16"/>
      <w:szCs w:val="16"/>
    </w:rPr>
  </w:style>
  <w:style w:type="paragraph" w:styleId="Komentarotema">
    <w:name w:val="annotation subject"/>
    <w:basedOn w:val="Komentarotekstas"/>
    <w:next w:val="Komentarotekstas"/>
    <w:link w:val="KomentarotemaDiagrama"/>
    <w:uiPriority w:val="99"/>
    <w:semiHidden/>
    <w:unhideWhenUsed/>
    <w:rsid w:val="00DC55CF"/>
    <w:pPr>
      <w:overflowPunct w:val="0"/>
      <w:autoSpaceDE w:val="0"/>
      <w:autoSpaceDN w:val="0"/>
      <w:adjustRightInd w:val="0"/>
      <w:textAlignment w:val="baseline"/>
    </w:pPr>
    <w:rPr>
      <w:b/>
      <w:bCs/>
      <w:lang w:eastAsia="en-US"/>
    </w:rPr>
  </w:style>
  <w:style w:type="character" w:customStyle="1" w:styleId="KomentarotemaDiagrama">
    <w:name w:val="Komentaro tema Diagrama"/>
    <w:basedOn w:val="KomentarotekstasDiagrama"/>
    <w:link w:val="Komentarotema"/>
    <w:uiPriority w:val="99"/>
    <w:semiHidden/>
    <w:rsid w:val="00DC55CF"/>
    <w:rPr>
      <w:rFonts w:ascii="Times New Roman" w:eastAsia="PMingLiU"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lithuania@sando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darbalapis.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589857714480007"/>
          <c:y val="5.1388888888888887E-2"/>
          <c:w val="0.84798534798534797"/>
          <c:h val="0.75000000000000022"/>
        </c:manualLayout>
      </c:layout>
      <c:scatterChart>
        <c:scatterStyle val="lineMarker"/>
        <c:varyColors val="0"/>
        <c:ser>
          <c:idx val="0"/>
          <c:order val="0"/>
          <c:tx>
            <c:strRef>
              <c:f>'400 mg TAB engl.'!$A$5</c:f>
              <c:strCache>
                <c:ptCount val="1"/>
                <c:pt idx="0">
                  <c:v>test preparation</c:v>
                </c:pt>
              </c:strCache>
            </c:strRef>
          </c:tx>
          <c:spPr>
            <a:ln w="13424">
              <a:solidFill>
                <a:srgbClr val="000000"/>
              </a:solidFill>
              <a:prstDash val="solid"/>
            </a:ln>
          </c:spPr>
          <c:marker>
            <c:symbol val="circle"/>
            <c:size val="4"/>
            <c:spPr>
              <a:solidFill>
                <a:srgbClr val="000000"/>
              </a:solidFill>
              <a:ln>
                <a:solidFill>
                  <a:srgbClr val="000000"/>
                </a:solidFill>
                <a:prstDash val="solid"/>
              </a:ln>
            </c:spPr>
          </c:marker>
          <c:xVal>
            <c:numRef>
              <c:f>'400 mg TAB engl.'!$B$4:$K$4</c:f>
              <c:numCache>
                <c:formatCode>General</c:formatCode>
                <c:ptCount val="10"/>
                <c:pt idx="0">
                  <c:v>0</c:v>
                </c:pt>
                <c:pt idx="1">
                  <c:v>0.5</c:v>
                </c:pt>
                <c:pt idx="2">
                  <c:v>1</c:v>
                </c:pt>
                <c:pt idx="3">
                  <c:v>1.5</c:v>
                </c:pt>
                <c:pt idx="4">
                  <c:v>2</c:v>
                </c:pt>
                <c:pt idx="5">
                  <c:v>4</c:v>
                </c:pt>
                <c:pt idx="6">
                  <c:v>6</c:v>
                </c:pt>
                <c:pt idx="7">
                  <c:v>8</c:v>
                </c:pt>
                <c:pt idx="8">
                  <c:v>12</c:v>
                </c:pt>
                <c:pt idx="9">
                  <c:v>24</c:v>
                </c:pt>
              </c:numCache>
            </c:numRef>
          </c:xVal>
          <c:yVal>
            <c:numRef>
              <c:f>'400 mg TAB engl.'!$B$5:$K$5</c:f>
              <c:numCache>
                <c:formatCode>General</c:formatCode>
                <c:ptCount val="10"/>
                <c:pt idx="0">
                  <c:v>0</c:v>
                </c:pt>
                <c:pt idx="1">
                  <c:v>170</c:v>
                </c:pt>
                <c:pt idx="2">
                  <c:v>590</c:v>
                </c:pt>
                <c:pt idx="3">
                  <c:v>880</c:v>
                </c:pt>
                <c:pt idx="4">
                  <c:v>840</c:v>
                </c:pt>
                <c:pt idx="5">
                  <c:v>750</c:v>
                </c:pt>
                <c:pt idx="6">
                  <c:v>560</c:v>
                </c:pt>
                <c:pt idx="7">
                  <c:v>360</c:v>
                </c:pt>
                <c:pt idx="8">
                  <c:v>160</c:v>
                </c:pt>
                <c:pt idx="9">
                  <c:v>10</c:v>
                </c:pt>
              </c:numCache>
            </c:numRef>
          </c:yVal>
          <c:smooth val="0"/>
          <c:extLst>
            <c:ext xmlns:c16="http://schemas.microsoft.com/office/drawing/2014/chart" uri="{C3380CC4-5D6E-409C-BE32-E72D297353CC}">
              <c16:uniqueId val="{00000000-5C24-441B-B14D-A74EF5852D74}"/>
            </c:ext>
          </c:extLst>
        </c:ser>
        <c:ser>
          <c:idx val="1"/>
          <c:order val="1"/>
          <c:tx>
            <c:strRef>
              <c:f>'400 mg TAB engl.'!$A$6</c:f>
              <c:strCache>
                <c:ptCount val="1"/>
                <c:pt idx="0">
                  <c:v>reference preparation</c:v>
                </c:pt>
              </c:strCache>
            </c:strRef>
          </c:tx>
          <c:spPr>
            <a:ln w="13424">
              <a:solidFill>
                <a:srgbClr val="000000"/>
              </a:solidFill>
              <a:prstDash val="solid"/>
            </a:ln>
          </c:spPr>
          <c:marker>
            <c:symbol val="square"/>
            <c:size val="4"/>
            <c:spPr>
              <a:solidFill>
                <a:srgbClr val="FFFFFF"/>
              </a:solidFill>
              <a:ln>
                <a:solidFill>
                  <a:srgbClr val="000000"/>
                </a:solidFill>
                <a:prstDash val="solid"/>
              </a:ln>
            </c:spPr>
          </c:marker>
          <c:xVal>
            <c:numRef>
              <c:f>'400 mg TAB engl.'!$B$4:$K$4</c:f>
              <c:numCache>
                <c:formatCode>General</c:formatCode>
                <c:ptCount val="10"/>
                <c:pt idx="0">
                  <c:v>0</c:v>
                </c:pt>
                <c:pt idx="1">
                  <c:v>0.5</c:v>
                </c:pt>
                <c:pt idx="2">
                  <c:v>1</c:v>
                </c:pt>
                <c:pt idx="3">
                  <c:v>1.5</c:v>
                </c:pt>
                <c:pt idx="4">
                  <c:v>2</c:v>
                </c:pt>
                <c:pt idx="5">
                  <c:v>4</c:v>
                </c:pt>
                <c:pt idx="6">
                  <c:v>6</c:v>
                </c:pt>
                <c:pt idx="7">
                  <c:v>8</c:v>
                </c:pt>
                <c:pt idx="8">
                  <c:v>12</c:v>
                </c:pt>
                <c:pt idx="9">
                  <c:v>24</c:v>
                </c:pt>
              </c:numCache>
            </c:numRef>
          </c:xVal>
          <c:yVal>
            <c:numRef>
              <c:f>'400 mg TAB engl.'!$B$6:$K$6</c:f>
              <c:numCache>
                <c:formatCode>General</c:formatCode>
                <c:ptCount val="10"/>
                <c:pt idx="0">
                  <c:v>0</c:v>
                </c:pt>
                <c:pt idx="1">
                  <c:v>180</c:v>
                </c:pt>
                <c:pt idx="2">
                  <c:v>550</c:v>
                </c:pt>
                <c:pt idx="3">
                  <c:v>850</c:v>
                </c:pt>
                <c:pt idx="4">
                  <c:v>860</c:v>
                </c:pt>
                <c:pt idx="5">
                  <c:v>680</c:v>
                </c:pt>
                <c:pt idx="6">
                  <c:v>530</c:v>
                </c:pt>
                <c:pt idx="7">
                  <c:v>360</c:v>
                </c:pt>
                <c:pt idx="8">
                  <c:v>170</c:v>
                </c:pt>
                <c:pt idx="9">
                  <c:v>10</c:v>
                </c:pt>
              </c:numCache>
            </c:numRef>
          </c:yVal>
          <c:smooth val="0"/>
          <c:extLst>
            <c:ext xmlns:c16="http://schemas.microsoft.com/office/drawing/2014/chart" uri="{C3380CC4-5D6E-409C-BE32-E72D297353CC}">
              <c16:uniqueId val="{00000001-5C24-441B-B14D-A74EF5852D74}"/>
            </c:ext>
          </c:extLst>
        </c:ser>
        <c:dLbls>
          <c:showLegendKey val="0"/>
          <c:showVal val="0"/>
          <c:showCatName val="0"/>
          <c:showSerName val="0"/>
          <c:showPercent val="0"/>
          <c:showBubbleSize val="0"/>
        </c:dLbls>
        <c:axId val="454423328"/>
        <c:axId val="454425008"/>
      </c:scatterChart>
      <c:valAx>
        <c:axId val="454423328"/>
        <c:scaling>
          <c:orientation val="minMax"/>
          <c:max val="24"/>
          <c:min val="0"/>
        </c:scaling>
        <c:delete val="0"/>
        <c:axPos val="b"/>
        <c:title>
          <c:tx>
            <c:rich>
              <a:bodyPr/>
              <a:lstStyle/>
              <a:p>
                <a:pPr>
                  <a:defRPr sz="951" b="1" i="0" u="none" strike="noStrike" baseline="0">
                    <a:solidFill>
                      <a:srgbClr val="000000"/>
                    </a:solidFill>
                    <a:latin typeface="Arial"/>
                    <a:ea typeface="Arial"/>
                    <a:cs typeface="Arial"/>
                  </a:defRPr>
                </a:pPr>
                <a:r>
                  <a:rPr lang="en-US"/>
                  <a:t>laikas</a:t>
                </a:r>
                <a:r>
                  <a:rPr lang="lt-LT"/>
                  <a:t> [</a:t>
                </a:r>
                <a:r>
                  <a:rPr lang="en-US"/>
                  <a:t>val</a:t>
                </a:r>
                <a:r>
                  <a:rPr lang="lt-LT"/>
                  <a:t>]</a:t>
                </a:r>
              </a:p>
            </c:rich>
          </c:tx>
          <c:layout>
            <c:manualLayout>
              <c:xMode val="edge"/>
              <c:yMode val="edge"/>
              <c:x val="0.50549443775044134"/>
              <c:y val="0.9"/>
            </c:manualLayout>
          </c:layout>
          <c:overlay val="0"/>
          <c:spPr>
            <a:noFill/>
            <a:ln w="26850">
              <a:noFill/>
            </a:ln>
          </c:spPr>
        </c:title>
        <c:numFmt formatCode="General" sourceLinked="1"/>
        <c:majorTickMark val="cross"/>
        <c:minorTickMark val="none"/>
        <c:tickLblPos val="nextTo"/>
        <c:spPr>
          <a:ln w="3356">
            <a:solidFill>
              <a:srgbClr val="000000"/>
            </a:solidFill>
            <a:prstDash val="solid"/>
          </a:ln>
        </c:spPr>
        <c:txPr>
          <a:bodyPr rot="0" vert="horz"/>
          <a:lstStyle/>
          <a:p>
            <a:pPr>
              <a:defRPr sz="846" b="0" i="0" u="none" strike="noStrike" baseline="0">
                <a:solidFill>
                  <a:srgbClr val="000000"/>
                </a:solidFill>
                <a:latin typeface="Arial"/>
                <a:ea typeface="Arial"/>
                <a:cs typeface="Arial"/>
              </a:defRPr>
            </a:pPr>
            <a:endParaRPr lang="lt-LT"/>
          </a:p>
        </c:txPr>
        <c:crossAx val="454425008"/>
        <c:crosses val="autoZero"/>
        <c:crossBetween val="midCat"/>
        <c:majorUnit val="6"/>
        <c:minorUnit val="3"/>
      </c:valAx>
      <c:valAx>
        <c:axId val="454425008"/>
        <c:scaling>
          <c:orientation val="minMax"/>
          <c:max val="1000"/>
        </c:scaling>
        <c:delete val="0"/>
        <c:axPos val="l"/>
        <c:title>
          <c:tx>
            <c:rich>
              <a:bodyPr/>
              <a:lstStyle/>
              <a:p>
                <a:pPr>
                  <a:defRPr sz="951" b="1" i="0" u="none" strike="noStrike" baseline="0">
                    <a:solidFill>
                      <a:srgbClr val="000000"/>
                    </a:solidFill>
                    <a:latin typeface="Arial"/>
                    <a:ea typeface="Arial"/>
                    <a:cs typeface="Arial"/>
                  </a:defRPr>
                </a:pPr>
                <a:r>
                  <a:rPr lang="en-US"/>
                  <a:t>Koncentracija</a:t>
                </a:r>
                <a:r>
                  <a:rPr lang="lt-LT"/>
                  <a:t> [ng/ml]</a:t>
                </a:r>
              </a:p>
            </c:rich>
          </c:tx>
          <c:layout>
            <c:manualLayout>
              <c:xMode val="edge"/>
              <c:yMode val="edge"/>
              <c:x val="2.6857136270993693E-2"/>
              <c:y val="0.24374999999999997"/>
            </c:manualLayout>
          </c:layout>
          <c:overlay val="0"/>
          <c:spPr>
            <a:noFill/>
            <a:ln w="26850">
              <a:noFill/>
            </a:ln>
          </c:spPr>
        </c:title>
        <c:numFmt formatCode="General" sourceLinked="1"/>
        <c:majorTickMark val="cross"/>
        <c:minorTickMark val="none"/>
        <c:tickLblPos val="nextTo"/>
        <c:spPr>
          <a:ln w="3356">
            <a:solidFill>
              <a:srgbClr val="000000"/>
            </a:solidFill>
            <a:prstDash val="solid"/>
          </a:ln>
        </c:spPr>
        <c:txPr>
          <a:bodyPr rot="0" vert="horz"/>
          <a:lstStyle/>
          <a:p>
            <a:pPr>
              <a:defRPr sz="846" b="0" i="0" u="none" strike="noStrike" baseline="0">
                <a:solidFill>
                  <a:srgbClr val="000000"/>
                </a:solidFill>
                <a:latin typeface="Arial"/>
                <a:ea typeface="Arial"/>
                <a:cs typeface="Arial"/>
              </a:defRPr>
            </a:pPr>
            <a:endParaRPr lang="lt-LT"/>
          </a:p>
        </c:txPr>
        <c:crossAx val="454423328"/>
        <c:crosses val="autoZero"/>
        <c:crossBetween val="midCat"/>
        <c:majorUnit val="100"/>
        <c:minorUnit val="2"/>
      </c:valAx>
      <c:spPr>
        <a:noFill/>
        <a:ln w="13424">
          <a:solidFill>
            <a:srgbClr val="000000"/>
          </a:solidFill>
          <a:prstDash val="solid"/>
        </a:ln>
      </c:spPr>
    </c:plotArea>
    <c:legend>
      <c:legendPos val="r"/>
      <c:layout>
        <c:manualLayout>
          <c:xMode val="edge"/>
          <c:yMode val="edge"/>
          <c:x val="0.6043956249241087"/>
          <c:y val="9.6875078115235602E-2"/>
          <c:w val="0.34981683339404634"/>
          <c:h val="0.125"/>
        </c:manualLayout>
      </c:layout>
      <c:overlay val="0"/>
      <c:spPr>
        <a:solidFill>
          <a:srgbClr val="FFFFFF"/>
        </a:solidFill>
        <a:ln w="3356">
          <a:solidFill>
            <a:srgbClr val="000000"/>
          </a:solidFill>
          <a:prstDash val="solid"/>
        </a:ln>
      </c:spPr>
      <c:txPr>
        <a:bodyPr/>
        <a:lstStyle/>
        <a:p>
          <a:pPr>
            <a:defRPr sz="872" b="1" i="0" u="none" strike="noStrike" baseline="0">
              <a:solidFill>
                <a:srgbClr val="000000"/>
              </a:solidFill>
              <a:latin typeface="Arial"/>
              <a:ea typeface="Arial"/>
              <a:cs typeface="Arial"/>
            </a:defRPr>
          </a:pPr>
          <a:endParaRPr lang="lt-LT"/>
        </a:p>
      </c:txPr>
    </c:legend>
    <c:plotVisOnly val="1"/>
    <c:dispBlanksAs val="gap"/>
    <c:showDLblsOverMax val="0"/>
  </c:chart>
  <c:spPr>
    <a:solidFill>
      <a:srgbClr val="FFFFFF"/>
    </a:solidFill>
    <a:ln>
      <a:noFill/>
    </a:ln>
  </c:spPr>
  <c:txPr>
    <a:bodyPr/>
    <a:lstStyle/>
    <a:p>
      <a:pPr>
        <a:defRPr sz="951" b="0" i="0" u="none" strike="noStrike" baseline="0">
          <a:solidFill>
            <a:srgbClr val="000000"/>
          </a:solidFill>
          <a:latin typeface="Geneva"/>
          <a:ea typeface="Geneva"/>
          <a:cs typeface="Geneva"/>
        </a:defRPr>
      </a:pPr>
      <a:endParaRPr lang="lt-LT"/>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0.52422</cdr:x>
      <cdr:y>0.49696</cdr:y>
    </cdr:from>
    <cdr:to>
      <cdr:x>0.53778</cdr:x>
      <cdr:y>0.56029</cdr:y>
    </cdr:to>
    <cdr:sp macro="" textlink="">
      <cdr:nvSpPr>
        <cdr:cNvPr id="5121" name="Text 1"/>
        <cdr:cNvSpPr txBox="1">
          <a:spLocks xmlns:a="http://schemas.openxmlformats.org/drawingml/2006/main" noChangeArrowheads="1"/>
        </cdr:cNvSpPr>
      </cdr:nvSpPr>
      <cdr:spPr bwMode="auto">
        <a:xfrm xmlns:a="http://schemas.openxmlformats.org/drawingml/2006/main">
          <a:off x="2806178" y="1590469"/>
          <a:ext cx="72584" cy="202684"/>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cdr:spPr>
      <cdr:txBody>
        <a:bodyPr xmlns:a="http://schemas.openxmlformats.org/drawingml/2006/main" wrap="none" lIns="18288" tIns="22860" rIns="18288" bIns="22860" anchor="ctr" upright="1">
          <a:spAutoFit/>
        </a:bodyPr>
        <a:lstStyle xmlns:a="http://schemas.openxmlformats.org/drawingml/2006/main"/>
        <a:p xmlns:a="http://schemas.openxmlformats.org/drawingml/2006/main">
          <a:pPr algn="ctr" rtl="0">
            <a:defRPr sz="1000"/>
          </a:pPr>
          <a:r>
            <a:rPr lang="en-US" sz="1000" b="0" i="0" u="none" strike="noStrike" baseline="0">
              <a:solidFill>
                <a:srgbClr val="000000"/>
              </a:solidFill>
              <a:latin typeface="Arial"/>
              <a:cs typeface="Arial"/>
            </a:rPr>
            <a:t> </a:t>
          </a:r>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D7493-7704-422E-8F8A-431B15446DDB}">
  <ds:schemaRefs>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A2BE04A6-41EE-473E-BAFC-837FB71E613C}">
  <ds:schemaRefs>
    <ds:schemaRef ds:uri="http://schemas.microsoft.com/sharepoint/v3/contenttype/forms"/>
  </ds:schemaRefs>
</ds:datastoreItem>
</file>

<file path=customXml/itemProps3.xml><?xml version="1.0" encoding="utf-8"?>
<ds:datastoreItem xmlns:ds="http://schemas.openxmlformats.org/officeDocument/2006/customXml" ds:itemID="{52A3EC53-7F7D-4317-91CA-6B0D30D1F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E4382A7-48AA-4A44-806D-17CE2B07B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25112</Words>
  <Characters>14314</Characters>
  <Application>Microsoft Office Word</Application>
  <DocSecurity>0</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39348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Malaskeviciute, Asta (Ext)</dc:creator>
  <cp:lastModifiedBy>Albina Burkauskaitė</cp:lastModifiedBy>
  <cp:revision>3</cp:revision>
  <dcterms:created xsi:type="dcterms:W3CDTF">2025-02-21T07:25:00Z</dcterms:created>
  <dcterms:modified xsi:type="dcterms:W3CDTF">2025-02-21T07:25:00Z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