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6C" w:rsidRPr="005E6987" w:rsidRDefault="0071566C" w:rsidP="0071566C">
      <w:pPr>
        <w:keepNext/>
        <w:jc w:val="center"/>
        <w:outlineLvl w:val="1"/>
        <w:rPr>
          <w:b/>
          <w:lang w:val="lt-LT"/>
        </w:rPr>
      </w:pPr>
      <w:r w:rsidRPr="005E6987">
        <w:rPr>
          <w:b/>
          <w:lang w:val="lt-LT"/>
        </w:rPr>
        <w:t>Pakuotės lapelis: informacija vartotojui</w:t>
      </w:r>
    </w:p>
    <w:p w:rsidR="0071566C" w:rsidRPr="00AD3C19" w:rsidRDefault="0071566C" w:rsidP="0071566C">
      <w:pPr>
        <w:numPr>
          <w:ilvl w:val="12"/>
          <w:numId w:val="0"/>
        </w:numPr>
        <w:shd w:val="clear" w:color="auto" w:fill="FFFFFF"/>
        <w:jc w:val="center"/>
        <w:rPr>
          <w:szCs w:val="22"/>
          <w:lang w:val="lt-LT"/>
        </w:rPr>
      </w:pPr>
    </w:p>
    <w:p w:rsidR="0071566C" w:rsidRPr="00A77E69" w:rsidRDefault="0071566C" w:rsidP="0071566C">
      <w:pPr>
        <w:suppressAutoHyphens/>
        <w:jc w:val="center"/>
        <w:rPr>
          <w:b/>
          <w:lang w:val="lt-LT"/>
        </w:rPr>
      </w:pPr>
      <w:proofErr w:type="spellStart"/>
      <w:r w:rsidRPr="00A77E69">
        <w:rPr>
          <w:b/>
          <w:lang w:val="lt-LT"/>
        </w:rPr>
        <w:t>Furadonins</w:t>
      </w:r>
      <w:proofErr w:type="spellEnd"/>
      <w:r w:rsidRPr="00A77E69">
        <w:rPr>
          <w:b/>
          <w:lang w:val="lt-LT"/>
        </w:rPr>
        <w:t xml:space="preserve"> 100 mg tabletės</w:t>
      </w:r>
    </w:p>
    <w:p w:rsidR="0071566C" w:rsidRPr="00AD3C19" w:rsidRDefault="0071566C" w:rsidP="0071566C">
      <w:pPr>
        <w:suppressAutoHyphens/>
        <w:jc w:val="center"/>
        <w:rPr>
          <w:snapToGrid/>
          <w:szCs w:val="22"/>
          <w:lang w:val="lt-LT"/>
        </w:rPr>
      </w:pPr>
      <w:proofErr w:type="spellStart"/>
      <w:r w:rsidRPr="00A77E69">
        <w:rPr>
          <w:lang w:val="lt-LT"/>
        </w:rPr>
        <w:t>Nitrofurantoinas</w:t>
      </w:r>
      <w:proofErr w:type="spellEnd"/>
    </w:p>
    <w:p w:rsidR="0071566C" w:rsidRPr="005E6987" w:rsidRDefault="0071566C" w:rsidP="0071566C">
      <w:pPr>
        <w:suppressAutoHyphens/>
        <w:rPr>
          <w:b/>
          <w:i/>
          <w:lang w:val="lt-LT"/>
        </w:rPr>
      </w:pPr>
    </w:p>
    <w:p w:rsidR="0071566C" w:rsidRPr="005E6987" w:rsidRDefault="0071566C" w:rsidP="0071566C">
      <w:pPr>
        <w:suppressAutoHyphens/>
        <w:rPr>
          <w:b/>
          <w:i/>
          <w:lang w:val="lt-LT"/>
        </w:rPr>
      </w:pPr>
    </w:p>
    <w:p w:rsidR="0071566C" w:rsidRPr="005F4FE9" w:rsidRDefault="0071566C" w:rsidP="0071566C">
      <w:pPr>
        <w:suppressAutoHyphens/>
        <w:rPr>
          <w:szCs w:val="22"/>
          <w:lang w:val="lt-LT"/>
        </w:rPr>
      </w:pPr>
      <w:r w:rsidRPr="005F4FE9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71566C" w:rsidRPr="005F4FE9" w:rsidRDefault="0071566C" w:rsidP="0071566C">
      <w:pPr>
        <w:numPr>
          <w:ilvl w:val="0"/>
          <w:numId w:val="2"/>
        </w:numPr>
        <w:ind w:left="357" w:right="-2" w:hanging="357"/>
        <w:rPr>
          <w:szCs w:val="22"/>
          <w:lang w:val="lt-LT"/>
        </w:rPr>
      </w:pPr>
      <w:r w:rsidRPr="005F4FE9">
        <w:rPr>
          <w:szCs w:val="22"/>
          <w:lang w:val="lt-LT"/>
        </w:rPr>
        <w:t>Neišmeskite šio lapelio, nes vėl gali prireikti jį perskaityti.</w:t>
      </w:r>
    </w:p>
    <w:p w:rsidR="0071566C" w:rsidRPr="005F4FE9" w:rsidRDefault="0071566C" w:rsidP="0071566C">
      <w:pPr>
        <w:numPr>
          <w:ilvl w:val="0"/>
          <w:numId w:val="2"/>
        </w:numPr>
        <w:ind w:left="357" w:right="-2" w:hanging="357"/>
        <w:rPr>
          <w:szCs w:val="22"/>
          <w:lang w:val="lt-LT"/>
        </w:rPr>
      </w:pPr>
      <w:r w:rsidRPr="005F4FE9">
        <w:rPr>
          <w:szCs w:val="22"/>
          <w:lang w:val="lt-LT"/>
        </w:rPr>
        <w:t>Jeigu kiltų daugiau klausimų, kreipkitės į gydytoją arba vaistininką.</w:t>
      </w:r>
    </w:p>
    <w:p w:rsidR="0071566C" w:rsidRPr="003E02B8" w:rsidRDefault="0071566C" w:rsidP="0071566C">
      <w:pPr>
        <w:numPr>
          <w:ilvl w:val="0"/>
          <w:numId w:val="2"/>
        </w:numPr>
        <w:ind w:left="357" w:right="-2" w:hanging="357"/>
        <w:rPr>
          <w:szCs w:val="22"/>
          <w:lang w:val="lt-LT"/>
        </w:rPr>
      </w:pPr>
      <w:r w:rsidRPr="003E02B8"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71566C" w:rsidRPr="005F4FE9" w:rsidRDefault="0071566C" w:rsidP="0071566C">
      <w:pPr>
        <w:numPr>
          <w:ilvl w:val="0"/>
          <w:numId w:val="2"/>
        </w:numPr>
        <w:ind w:left="357" w:hanging="357"/>
        <w:rPr>
          <w:szCs w:val="22"/>
          <w:lang w:val="lt-LT"/>
        </w:rPr>
      </w:pPr>
      <w:r w:rsidRPr="005F4FE9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71566C" w:rsidRPr="005F4FE9" w:rsidRDefault="0071566C" w:rsidP="0071566C">
      <w:p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BTbEMEASMCA"/>
      </w:pPr>
      <w:r w:rsidRPr="005F4FE9">
        <w:t>Apie ką rašoma šiame lapelyje?</w:t>
      </w:r>
    </w:p>
    <w:p w:rsidR="0071566C" w:rsidRPr="00CE0484" w:rsidRDefault="0071566C" w:rsidP="0071566C">
      <w:pPr>
        <w:pStyle w:val="Sraopastraipa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CE0484">
        <w:rPr>
          <w:szCs w:val="22"/>
          <w:lang w:val="lt-LT"/>
        </w:rPr>
        <w:t xml:space="preserve">Kas yra </w:t>
      </w:r>
      <w:proofErr w:type="spellStart"/>
      <w:r w:rsidRPr="00CE0484">
        <w:rPr>
          <w:szCs w:val="22"/>
          <w:lang w:val="lt-LT"/>
        </w:rPr>
        <w:t>Furadonins</w:t>
      </w:r>
      <w:proofErr w:type="spellEnd"/>
      <w:r w:rsidRPr="00CE0484">
        <w:rPr>
          <w:szCs w:val="22"/>
          <w:lang w:val="lt-LT"/>
        </w:rPr>
        <w:t xml:space="preserve"> ir kam jis vartojamas </w:t>
      </w:r>
    </w:p>
    <w:p w:rsidR="0071566C" w:rsidRPr="00B73BCD" w:rsidRDefault="0071566C" w:rsidP="0071566C">
      <w:pPr>
        <w:pStyle w:val="Sraopastraipa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E66A5A">
        <w:rPr>
          <w:szCs w:val="22"/>
          <w:lang w:val="lt-LT"/>
        </w:rPr>
        <w:t xml:space="preserve">Kas žinotina prieš vartojant </w:t>
      </w:r>
      <w:proofErr w:type="spellStart"/>
      <w:r w:rsidRPr="00E66A5A">
        <w:rPr>
          <w:szCs w:val="22"/>
          <w:lang w:val="lt-LT"/>
        </w:rPr>
        <w:t>Furadonins</w:t>
      </w:r>
      <w:proofErr w:type="spellEnd"/>
      <w:r w:rsidRPr="00E66A5A">
        <w:rPr>
          <w:szCs w:val="22"/>
          <w:lang w:val="lt-LT"/>
        </w:rPr>
        <w:t xml:space="preserve">  </w:t>
      </w:r>
    </w:p>
    <w:p w:rsidR="0071566C" w:rsidRPr="00933485" w:rsidRDefault="0071566C" w:rsidP="0071566C">
      <w:pPr>
        <w:pStyle w:val="Sraopastraipa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933485">
        <w:rPr>
          <w:szCs w:val="22"/>
          <w:lang w:val="lt-LT"/>
        </w:rPr>
        <w:t xml:space="preserve">Kaip vartoti </w:t>
      </w:r>
      <w:proofErr w:type="spellStart"/>
      <w:r w:rsidRPr="00933485">
        <w:rPr>
          <w:szCs w:val="22"/>
          <w:lang w:val="lt-LT"/>
        </w:rPr>
        <w:t>Furadonins</w:t>
      </w:r>
      <w:proofErr w:type="spellEnd"/>
      <w:r w:rsidRPr="00933485">
        <w:rPr>
          <w:szCs w:val="22"/>
          <w:lang w:val="lt-LT"/>
        </w:rPr>
        <w:t xml:space="preserve"> </w:t>
      </w:r>
    </w:p>
    <w:p w:rsidR="0071566C" w:rsidRPr="00F73660" w:rsidRDefault="0071566C" w:rsidP="0071566C">
      <w:pPr>
        <w:pStyle w:val="Sraopastraipa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F73660">
        <w:rPr>
          <w:szCs w:val="22"/>
          <w:lang w:val="lt-LT"/>
        </w:rPr>
        <w:t xml:space="preserve">Galimas šalutinis poveikis </w:t>
      </w:r>
    </w:p>
    <w:p w:rsidR="0071566C" w:rsidRPr="00F73660" w:rsidRDefault="0071566C" w:rsidP="0071566C">
      <w:pPr>
        <w:pStyle w:val="Sraopastraipa"/>
        <w:numPr>
          <w:ilvl w:val="0"/>
          <w:numId w:val="3"/>
        </w:numPr>
        <w:tabs>
          <w:tab w:val="left" w:pos="709"/>
        </w:tabs>
        <w:ind w:left="567" w:hanging="567"/>
        <w:rPr>
          <w:szCs w:val="22"/>
          <w:lang w:val="lt-LT"/>
        </w:rPr>
      </w:pPr>
      <w:r w:rsidRPr="00F73660">
        <w:rPr>
          <w:szCs w:val="22"/>
          <w:lang w:val="lt-LT"/>
        </w:rPr>
        <w:t xml:space="preserve">Kaip laikyti </w:t>
      </w:r>
      <w:proofErr w:type="spellStart"/>
      <w:r w:rsidRPr="00F73660">
        <w:rPr>
          <w:szCs w:val="22"/>
          <w:lang w:val="lt-LT"/>
        </w:rPr>
        <w:t>Furadonins</w:t>
      </w:r>
      <w:proofErr w:type="spellEnd"/>
      <w:r w:rsidRPr="00F73660">
        <w:rPr>
          <w:szCs w:val="22"/>
          <w:lang w:val="lt-LT"/>
        </w:rPr>
        <w:t xml:space="preserve"> </w:t>
      </w:r>
    </w:p>
    <w:p w:rsidR="0071566C" w:rsidRPr="00F73660" w:rsidRDefault="0071566C" w:rsidP="0071566C">
      <w:pPr>
        <w:pStyle w:val="Sraopastraipa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F73660">
        <w:rPr>
          <w:szCs w:val="22"/>
          <w:lang w:val="lt-LT"/>
        </w:rPr>
        <w:t>Pakuotės turinys ir kita informacija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BTEMEASMCA"/>
      </w:pPr>
      <w:bookmarkStart w:id="0" w:name="_Toc129243139"/>
      <w:bookmarkStart w:id="1" w:name="_Toc129243264"/>
      <w:r w:rsidRPr="005F4FE9">
        <w:t>1.</w:t>
      </w:r>
      <w:r w:rsidRPr="005F4FE9">
        <w:tab/>
        <w:t xml:space="preserve">Kas yra </w:t>
      </w:r>
      <w:proofErr w:type="spellStart"/>
      <w:r w:rsidRPr="005F4FE9">
        <w:t>Furadonins</w:t>
      </w:r>
      <w:proofErr w:type="spellEnd"/>
      <w:r w:rsidRPr="005F4FE9">
        <w:t xml:space="preserve"> ir kam jis vartojamas</w:t>
      </w:r>
      <w:bookmarkEnd w:id="0"/>
      <w:bookmarkEnd w:id="1"/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proofErr w:type="spellStart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Furadonins</w:t>
      </w:r>
      <w:proofErr w:type="spellEnd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 xml:space="preserve"> veiklioji medžiaga </w:t>
      </w:r>
      <w:proofErr w:type="spellStart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nitrofurantoinas</w:t>
      </w:r>
      <w:proofErr w:type="spellEnd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 xml:space="preserve"> slopina mikroorganizmų ląstelių fermentų sistemų aktyvumą bei kai kurias kitas biochemines reakcijas, todėl suyra bakterijos ląstelės citoplazmos membrana ir apvalkalėlis.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  <w:proofErr w:type="spellStart"/>
      <w:r w:rsidRPr="005F4FE9">
        <w:rPr>
          <w:szCs w:val="22"/>
          <w:lang w:val="lt-LT"/>
        </w:rPr>
        <w:t>Furadonins</w:t>
      </w:r>
      <w:proofErr w:type="spellEnd"/>
      <w:r w:rsidRPr="005F4FE9">
        <w:rPr>
          <w:szCs w:val="22"/>
          <w:lang w:val="lt-LT"/>
        </w:rPr>
        <w:t xml:space="preserve"> vartojamas ūminių apatinių šlapimo takų infekcinių ligų (šlapimo pūslės ar šlaplės uždegimo) ar inkstų geldelės uždegimo (</w:t>
      </w:r>
      <w:proofErr w:type="spellStart"/>
      <w:r w:rsidRPr="005F4FE9">
        <w:rPr>
          <w:szCs w:val="22"/>
          <w:lang w:val="lt-LT"/>
        </w:rPr>
        <w:t>pielito</w:t>
      </w:r>
      <w:proofErr w:type="spellEnd"/>
      <w:r w:rsidRPr="005F4FE9">
        <w:rPr>
          <w:szCs w:val="22"/>
          <w:lang w:val="lt-LT"/>
        </w:rPr>
        <w:t>) gydymui ir ilgalaikei jų atkryčio profilaktikai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BTEMEASMCA"/>
      </w:pPr>
      <w:bookmarkStart w:id="2" w:name="_Toc129243140"/>
      <w:bookmarkStart w:id="3" w:name="_Toc129243265"/>
      <w:r w:rsidRPr="005F4FE9">
        <w:t>2.</w:t>
      </w:r>
      <w:r w:rsidRPr="005F4FE9">
        <w:tab/>
        <w:t xml:space="preserve">Kas žinotina prieš vartojant </w:t>
      </w:r>
      <w:proofErr w:type="spellStart"/>
      <w:r w:rsidRPr="005F4FE9">
        <w:t>Furadonins</w:t>
      </w:r>
      <w:bookmarkEnd w:id="2"/>
      <w:bookmarkEnd w:id="3"/>
      <w:proofErr w:type="spellEnd"/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5F4FE9">
        <w:rPr>
          <w:rFonts w:ascii="Times New Roman" w:hAnsi="Times New Roman"/>
          <w:sz w:val="22"/>
          <w:szCs w:val="22"/>
          <w:lang w:val="lt-LT"/>
        </w:rPr>
        <w:t>Furadonins</w:t>
      </w:r>
      <w:proofErr w:type="spellEnd"/>
      <w:r w:rsidRPr="005F4FE9">
        <w:rPr>
          <w:rFonts w:ascii="Times New Roman" w:hAnsi="Times New Roman"/>
          <w:sz w:val="22"/>
          <w:szCs w:val="22"/>
          <w:lang w:val="lt-LT"/>
        </w:rPr>
        <w:t xml:space="preserve"> vartoti </w:t>
      </w:r>
      <w:proofErr w:type="spellStart"/>
      <w:r w:rsidRPr="007F2382">
        <w:rPr>
          <w:rFonts w:ascii="Times New Roman" w:hAnsi="Times New Roman"/>
          <w:sz w:val="22"/>
          <w:szCs w:val="22"/>
        </w:rPr>
        <w:t>draudžiama</w:t>
      </w:r>
      <w:proofErr w:type="spellEnd"/>
      <w:r w:rsidRPr="008F252B">
        <w:rPr>
          <w:rFonts w:ascii="Times New Roman" w:hAnsi="Times New Roman"/>
          <w:sz w:val="22"/>
          <w:szCs w:val="22"/>
          <w:lang w:val="lt-LT"/>
        </w:rPr>
        <w:t>:</w:t>
      </w:r>
    </w:p>
    <w:p w:rsidR="0071566C" w:rsidRPr="00B86585" w:rsidRDefault="0071566C" w:rsidP="0071566C">
      <w:pPr>
        <w:pStyle w:val="Sraopastraipa"/>
        <w:numPr>
          <w:ilvl w:val="0"/>
          <w:numId w:val="2"/>
        </w:numPr>
        <w:tabs>
          <w:tab w:val="left" w:pos="426"/>
        </w:tabs>
        <w:ind w:left="357" w:hanging="357"/>
        <w:rPr>
          <w:lang w:val="lt-LT"/>
        </w:rPr>
      </w:pPr>
      <w:r w:rsidRPr="00CE0484">
        <w:rPr>
          <w:szCs w:val="22"/>
          <w:lang w:val="lt-LT"/>
        </w:rPr>
        <w:t xml:space="preserve">jeigu yra alergija </w:t>
      </w:r>
      <w:proofErr w:type="spellStart"/>
      <w:r w:rsidRPr="00CE0484">
        <w:rPr>
          <w:szCs w:val="22"/>
          <w:lang w:val="lt-LT"/>
        </w:rPr>
        <w:t>nitrofurantoinui</w:t>
      </w:r>
      <w:proofErr w:type="spellEnd"/>
      <w:r w:rsidRPr="00CE0484">
        <w:rPr>
          <w:szCs w:val="22"/>
          <w:lang w:val="lt-LT"/>
        </w:rPr>
        <w:t xml:space="preserve">, kitiems </w:t>
      </w:r>
      <w:proofErr w:type="spellStart"/>
      <w:r w:rsidRPr="00CE0484">
        <w:rPr>
          <w:szCs w:val="22"/>
          <w:lang w:val="lt-LT"/>
        </w:rPr>
        <w:t>nitrofurano</w:t>
      </w:r>
      <w:proofErr w:type="spellEnd"/>
      <w:r w:rsidRPr="00CE0484">
        <w:rPr>
          <w:szCs w:val="22"/>
          <w:lang w:val="lt-LT"/>
        </w:rPr>
        <w:t xml:space="preserve"> grupės junginiams arba bet kuriai pagalbinei š</w:t>
      </w:r>
      <w:r w:rsidRPr="00E66A5A">
        <w:rPr>
          <w:szCs w:val="22"/>
          <w:lang w:val="lt-LT"/>
        </w:rPr>
        <w:t>io vaisto medžiagai (jos išvardytos 6 skyriuje);</w:t>
      </w:r>
    </w:p>
    <w:p w:rsidR="0071566C" w:rsidRPr="00E66A5A" w:rsidRDefault="0071566C" w:rsidP="0071566C">
      <w:pPr>
        <w:pStyle w:val="Sraopastraipa"/>
        <w:numPr>
          <w:ilvl w:val="0"/>
          <w:numId w:val="2"/>
        </w:numPr>
        <w:tabs>
          <w:tab w:val="left" w:pos="426"/>
        </w:tabs>
        <w:ind w:left="357" w:hanging="357"/>
        <w:rPr>
          <w:lang w:val="lt-LT"/>
        </w:rPr>
      </w:pPr>
      <w:r w:rsidRPr="00E66A5A">
        <w:rPr>
          <w:lang w:val="lt-LT"/>
        </w:rPr>
        <w:t>jeigu yra sunkus inkstų veiklos sutrikimas, esant sumažėjusiam šlapimo susidarymui arba šlapimui neišsiskiriant;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jeigu yra tam tikrų fermentų trūkumas (fermento gliukozės</w:t>
      </w:r>
      <w:r w:rsidRPr="000978F6">
        <w:noBreakHyphen/>
        <w:t>6</w:t>
      </w:r>
      <w:r w:rsidRPr="000978F6">
        <w:noBreakHyphen/>
        <w:t>fosfatdehidrogenazės trūkumas);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sergant porfirija (medžiagų apykaitos sutrikimas);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nėštumo ar gimdymo metu;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jaunesniems negu 3 mėnesių kūdikiams.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ind w:left="567" w:hanging="567"/>
        <w:rPr>
          <w:szCs w:val="22"/>
          <w:lang w:val="lt-LT"/>
        </w:rPr>
      </w:pPr>
      <w:r w:rsidRPr="005F4FE9">
        <w:rPr>
          <w:b/>
          <w:szCs w:val="22"/>
          <w:lang w:val="lt-LT"/>
        </w:rPr>
        <w:t>Įspėjimai ir atsargumo priemonės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5F4FE9">
        <w:rPr>
          <w:szCs w:val="22"/>
          <w:lang w:val="lt-LT"/>
        </w:rPr>
        <w:t xml:space="preserve">Pasitarkite su gydytoju, prieš pradėdami vartoti </w:t>
      </w:r>
      <w:proofErr w:type="spellStart"/>
      <w:r w:rsidRPr="005F4FE9">
        <w:rPr>
          <w:szCs w:val="22"/>
          <w:lang w:val="lt-LT"/>
        </w:rPr>
        <w:t>Furadonins</w:t>
      </w:r>
      <w:proofErr w:type="spellEnd"/>
      <w:r w:rsidRPr="005F4FE9">
        <w:rPr>
          <w:szCs w:val="22"/>
          <w:lang w:val="lt-LT"/>
        </w:rPr>
        <w:t>: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 xml:space="preserve">jeigu sergate mažakraujyste, cukralige (padidėjęs gliukozės kiekis), esant elektrolitų pusiausvyros </w:t>
      </w:r>
      <w:r w:rsidRPr="000978F6">
        <w:rPr>
          <w:lang w:val="lv-LV"/>
        </w:rPr>
        <w:t xml:space="preserve">  </w:t>
      </w:r>
      <w:r w:rsidRPr="000978F6">
        <w:t>sutrikimams, esant susirgimams, lydymais judesių sutrikimų, vitamino B arba folio rūgšties stokai;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jeigu yra kepenų ligos (pvz., hepatitas, gelta, kepenų nekrozė);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jeigu yra plaučių pakenkimo požymių, pvz., pasunkėjęs kvėpavimas;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lastRenderedPageBreak/>
        <w:t>jeigu Jums pasireiškė tokie simptomai kaip pykinimas, vėmimas, galvos svaigimas, galvos skausmas, bėrimas, temperatūros pakilimas, kepenų padidėjimas, dilgčiojimo pojūtis rankose ir kojose (,,skruzdžių bėgiojimas”) ar viduriavimas.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Jeigu pasireiškė kuris nors iš paminėtų simptomų nedelsiant informuokite gydytoją.</w:t>
      </w:r>
    </w:p>
    <w:p w:rsidR="0071566C" w:rsidRDefault="0071566C" w:rsidP="0071566C">
      <w:pPr>
        <w:ind w:right="-2"/>
        <w:rPr>
          <w:szCs w:val="22"/>
          <w:lang w:val="lt-LT"/>
        </w:rPr>
      </w:pPr>
      <w:r w:rsidRPr="005F4FE9">
        <w:rPr>
          <w:szCs w:val="22"/>
          <w:lang w:val="lt-LT"/>
        </w:rPr>
        <w:t>Vaistinis preparatas gali sukelti hemolizinę anemiją, susijusią su gliukozės</w:t>
      </w:r>
      <w:r w:rsidRPr="005F4FE9">
        <w:rPr>
          <w:szCs w:val="22"/>
          <w:lang w:val="lt-LT"/>
        </w:rPr>
        <w:noBreakHyphen/>
        <w:t>6</w:t>
      </w:r>
      <w:r w:rsidRPr="005F4FE9">
        <w:rPr>
          <w:szCs w:val="22"/>
          <w:lang w:val="lt-LT"/>
        </w:rPr>
        <w:noBreakHyphen/>
        <w:t xml:space="preserve">fosfato </w:t>
      </w:r>
      <w:proofErr w:type="spellStart"/>
      <w:r w:rsidRPr="005F4FE9">
        <w:rPr>
          <w:szCs w:val="22"/>
          <w:lang w:val="lt-LT"/>
        </w:rPr>
        <w:t>dehidrogenazės</w:t>
      </w:r>
      <w:proofErr w:type="spellEnd"/>
      <w:r w:rsidRPr="005F4FE9">
        <w:rPr>
          <w:szCs w:val="22"/>
          <w:lang w:val="lt-LT"/>
        </w:rPr>
        <w:t xml:space="preserve"> stoka eritrocituose. Atsiradus </w:t>
      </w:r>
      <w:proofErr w:type="spellStart"/>
      <w:r w:rsidRPr="005F4FE9">
        <w:rPr>
          <w:szCs w:val="22"/>
          <w:lang w:val="lt-LT"/>
        </w:rPr>
        <w:t>hemolizei</w:t>
      </w:r>
      <w:proofErr w:type="spellEnd"/>
      <w:r w:rsidRPr="005F4FE9">
        <w:rPr>
          <w:szCs w:val="22"/>
          <w:lang w:val="lt-LT"/>
        </w:rPr>
        <w:t xml:space="preserve">, </w:t>
      </w:r>
      <w:proofErr w:type="spellStart"/>
      <w:r w:rsidRPr="005F4FE9">
        <w:rPr>
          <w:szCs w:val="22"/>
          <w:lang w:val="lt-LT"/>
        </w:rPr>
        <w:t>nitrofurantoino</w:t>
      </w:r>
      <w:proofErr w:type="spellEnd"/>
      <w:r w:rsidRPr="005F4FE9">
        <w:rPr>
          <w:szCs w:val="22"/>
          <w:lang w:val="lt-LT"/>
        </w:rPr>
        <w:t xml:space="preserve"> vartojimą būtina nutraukti. </w:t>
      </w:r>
      <w:proofErr w:type="spellStart"/>
      <w:r w:rsidRPr="005F4FE9">
        <w:rPr>
          <w:szCs w:val="22"/>
          <w:lang w:val="lt-LT"/>
        </w:rPr>
        <w:t>Hemolizė</w:t>
      </w:r>
      <w:proofErr w:type="spellEnd"/>
      <w:r w:rsidRPr="005F4FE9">
        <w:rPr>
          <w:szCs w:val="22"/>
          <w:lang w:val="lt-LT"/>
        </w:rPr>
        <w:t xml:space="preserve"> gali sukelti ūminį inkstų funkcijos nepakankamumą.</w:t>
      </w:r>
    </w:p>
    <w:p w:rsidR="0071566C" w:rsidRPr="007D44E7" w:rsidRDefault="0071566C" w:rsidP="0071566C">
      <w:pPr>
        <w:ind w:right="-2"/>
        <w:rPr>
          <w:szCs w:val="22"/>
          <w:lang w:val="lt-LT"/>
        </w:rPr>
      </w:pPr>
    </w:p>
    <w:p w:rsidR="0071566C" w:rsidRPr="005F4FE9" w:rsidRDefault="0071566C" w:rsidP="0071566C">
      <w:pPr>
        <w:ind w:right="-2"/>
        <w:rPr>
          <w:szCs w:val="22"/>
          <w:lang w:val="lt-LT"/>
        </w:rPr>
      </w:pPr>
      <w:r w:rsidRPr="007D44E7">
        <w:rPr>
          <w:szCs w:val="22"/>
          <w:lang w:val="lt-LT"/>
        </w:rPr>
        <w:t>Atsiradus nuovargiui, odos ar akių pageltimui, niežuliui, odos išbėrimams, sąnarių skausmui, nemaloniam pojūčiui pilvo srityje, pykinimui, vėmimui, netekus apetito, patamsėjus šlapimui arba pabalus ar tapus pilkomis išmatoms, reikia kreiptis į gydytoją. Tai gali būti kepenų veiklos sutrikimo požymiai.</w:t>
      </w: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>Vaikams ir paaugliams</w:t>
      </w:r>
    </w:p>
    <w:p w:rsidR="0071566C" w:rsidRPr="005F4FE9" w:rsidRDefault="0071566C" w:rsidP="0071566C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5F4FE9">
        <w:rPr>
          <w:i w:val="0"/>
          <w:iCs/>
          <w:color w:val="auto"/>
          <w:szCs w:val="22"/>
          <w:lang w:val="lt-LT"/>
        </w:rPr>
        <w:t xml:space="preserve">Šio vaisto </w:t>
      </w:r>
      <w:r w:rsidRPr="005F4FE9">
        <w:rPr>
          <w:i w:val="0"/>
          <w:color w:val="auto"/>
          <w:szCs w:val="22"/>
          <w:lang w:val="lt-LT"/>
        </w:rPr>
        <w:t xml:space="preserve">netinka vartoti jaunesniems kaip </w:t>
      </w:r>
      <w:r w:rsidRPr="005F4FE9">
        <w:rPr>
          <w:rStyle w:val="hps"/>
          <w:i w:val="0"/>
          <w:color w:val="auto"/>
          <w:szCs w:val="22"/>
          <w:lang w:val="lt-LT"/>
        </w:rPr>
        <w:t>12</w:t>
      </w:r>
      <w:r w:rsidRPr="005F4FE9">
        <w:rPr>
          <w:i w:val="0"/>
          <w:color w:val="auto"/>
          <w:szCs w:val="22"/>
          <w:lang w:val="lt-LT"/>
        </w:rPr>
        <w:t> </w:t>
      </w:r>
      <w:r w:rsidRPr="005F4FE9">
        <w:rPr>
          <w:rStyle w:val="hps"/>
          <w:i w:val="0"/>
          <w:color w:val="auto"/>
          <w:szCs w:val="22"/>
          <w:lang w:val="lt-LT"/>
        </w:rPr>
        <w:t>metų</w:t>
      </w:r>
      <w:r w:rsidRPr="005F4FE9">
        <w:rPr>
          <w:i w:val="0"/>
          <w:color w:val="auto"/>
          <w:szCs w:val="22"/>
          <w:lang w:val="lt-LT"/>
        </w:rPr>
        <w:t xml:space="preserve"> </w:t>
      </w:r>
      <w:r w:rsidRPr="005F4FE9">
        <w:rPr>
          <w:rStyle w:val="hps"/>
          <w:i w:val="0"/>
          <w:color w:val="auto"/>
          <w:szCs w:val="22"/>
          <w:lang w:val="lt-LT"/>
        </w:rPr>
        <w:t>vaikams.</w:t>
      </w:r>
    </w:p>
    <w:p w:rsidR="0071566C" w:rsidRPr="005F4FE9" w:rsidRDefault="0071566C" w:rsidP="0071566C">
      <w:pPr>
        <w:numPr>
          <w:ilvl w:val="12"/>
          <w:numId w:val="0"/>
        </w:numPr>
        <w:rPr>
          <w:b/>
          <w:szCs w:val="22"/>
          <w:lang w:val="lt-LT"/>
        </w:rPr>
      </w:pPr>
    </w:p>
    <w:p w:rsidR="0071566C" w:rsidRPr="005F4FE9" w:rsidRDefault="0071566C" w:rsidP="0071566C">
      <w:pPr>
        <w:pStyle w:val="PI-3EMEASMCA"/>
      </w:pPr>
      <w:r w:rsidRPr="005F4FE9">
        <w:t xml:space="preserve">Kiti vaistai ir </w:t>
      </w:r>
      <w:proofErr w:type="spellStart"/>
      <w:r w:rsidRPr="005F4FE9">
        <w:t>Furadonins</w:t>
      </w:r>
      <w:proofErr w:type="spellEnd"/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5F4FE9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Ypač jei vartojate: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 xml:space="preserve">tam tikrų priešmikrobinių vaistų, pvz., nalidikso rūgšties, kadangi Furadonins slopina nalidikso </w:t>
      </w:r>
      <w:r>
        <w:rPr>
          <w:lang w:val="lv-LV"/>
        </w:rPr>
        <w:t xml:space="preserve">   </w:t>
      </w:r>
      <w:r w:rsidRPr="000978F6">
        <w:t xml:space="preserve">rūgšties poveikį; 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vaistų, skatinančių šlapimo rūgšties išskyrimą (vaistai nuo podagros), pvz., sulfinpirazonas ar probenecidas, slopina nitrofurantoino išsiskyrimą per inkstus ir gali mažinti šio vaisto poveikį bei didinti nepageidaujamą poveikį;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vaistų nuo epilepsijos – Furadonins gali mažinti fenitoino koncentraciją kraujyje ir silpninti jo poveikį;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 xml:space="preserve">vaistų nuo padidėjusio skrandžio sulčių rūgštingumo (magnio trisilikatas); 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vaistų nuo padidėjusio prakaitavimo, vaistų nuo spazmų bei vaistų nuo nevalingo šlapinimosi, pvz., propantelino;</w:t>
      </w:r>
    </w:p>
    <w:p w:rsidR="0071566C" w:rsidRPr="000978F6" w:rsidRDefault="0071566C" w:rsidP="0071566C">
      <w:pPr>
        <w:pStyle w:val="BT-EMEASMCA"/>
        <w:rPr>
          <w:b/>
        </w:rPr>
      </w:pPr>
      <w:r w:rsidRPr="000978F6">
        <w:t>šlapimą šarminančių vaistų.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5F4FE9">
        <w:rPr>
          <w:rFonts w:ascii="Times New Roman" w:hAnsi="Times New Roman"/>
          <w:sz w:val="22"/>
          <w:szCs w:val="22"/>
          <w:lang w:val="lt-LT"/>
        </w:rPr>
        <w:t>Furadonins</w:t>
      </w:r>
      <w:proofErr w:type="spellEnd"/>
      <w:r w:rsidRPr="005F4FE9"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:rsidR="0071566C" w:rsidRPr="005F4FE9" w:rsidRDefault="0071566C" w:rsidP="0071566C">
      <w:pPr>
        <w:pStyle w:val="Pagrindinistekstas"/>
        <w:suppressAutoHyphens/>
        <w:rPr>
          <w:rFonts w:eastAsia="Times New Roman"/>
          <w:i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color w:val="auto"/>
          <w:szCs w:val="22"/>
          <w:lang w:val="lt-LT"/>
        </w:rPr>
        <w:t xml:space="preserve">Nepageidaujamas poveikis virškinimo traktui būna rečiau, jei </w:t>
      </w:r>
      <w:proofErr w:type="spellStart"/>
      <w:r w:rsidRPr="005F4FE9">
        <w:rPr>
          <w:rFonts w:eastAsia="Times New Roman"/>
          <w:i w:val="0"/>
          <w:color w:val="auto"/>
          <w:szCs w:val="22"/>
          <w:lang w:val="lt-LT"/>
        </w:rPr>
        <w:t>Furadonins</w:t>
      </w:r>
      <w:proofErr w:type="spellEnd"/>
      <w:r w:rsidRPr="005F4FE9">
        <w:rPr>
          <w:rFonts w:eastAsia="Times New Roman"/>
          <w:i w:val="0"/>
          <w:color w:val="auto"/>
          <w:szCs w:val="22"/>
          <w:lang w:val="lt-LT"/>
        </w:rPr>
        <w:t xml:space="preserve"> geriama valgant arba iš karto po valgio ir užsigeriant dideliu skysčio kiekiu.</w:t>
      </w:r>
    </w:p>
    <w:p w:rsidR="0071566C" w:rsidRPr="005F4FE9" w:rsidRDefault="0071566C" w:rsidP="0071566C">
      <w:pPr>
        <w:numPr>
          <w:ilvl w:val="12"/>
          <w:numId w:val="0"/>
        </w:numPr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5F4FE9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:rsidR="0071566C" w:rsidRPr="005F4FE9" w:rsidRDefault="0071566C" w:rsidP="0071566C">
      <w:pPr>
        <w:numPr>
          <w:ilvl w:val="12"/>
          <w:numId w:val="0"/>
        </w:numPr>
        <w:rPr>
          <w:szCs w:val="22"/>
          <w:lang w:val="lt-LT"/>
        </w:rPr>
      </w:pPr>
      <w:r w:rsidRPr="005F4FE9">
        <w:rPr>
          <w:szCs w:val="22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 xml:space="preserve">Nėštumo metu </w:t>
      </w:r>
      <w:proofErr w:type="spellStart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nitrofurantoino</w:t>
      </w:r>
      <w:proofErr w:type="spellEnd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 xml:space="preserve"> vartoti draudžiama, kadangi naujagimiui gali pasireikšti hemolizinė anemija.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Žindymo laikotarpiu vaistinio preparato vartoti nerekomenduojama, o jei kūdikiui yra gliukozės</w:t>
      </w: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noBreakHyphen/>
        <w:t>6</w:t>
      </w: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noBreakHyphen/>
        <w:t>fosfatdehidrogenazės trūkumas-netgi draudžiama.</w:t>
      </w:r>
    </w:p>
    <w:p w:rsidR="0071566C" w:rsidRPr="005F4FE9" w:rsidRDefault="0071566C" w:rsidP="0071566C">
      <w:pPr>
        <w:numPr>
          <w:ilvl w:val="12"/>
          <w:numId w:val="0"/>
        </w:numPr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5F4FE9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Neveikia gebėjimo vairuoti ar valdyti mechanizmus.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BTEMEASMCA"/>
      </w:pPr>
      <w:bookmarkStart w:id="4" w:name="_Toc129243141"/>
      <w:bookmarkStart w:id="5" w:name="_Toc129243266"/>
      <w:r w:rsidRPr="005F4FE9">
        <w:t>3.</w:t>
      </w:r>
      <w:r w:rsidRPr="005F4FE9">
        <w:tab/>
        <w:t xml:space="preserve">Kaip vartoti </w:t>
      </w:r>
      <w:proofErr w:type="spellStart"/>
      <w:r w:rsidRPr="005F4FE9">
        <w:t>Furadonins</w:t>
      </w:r>
      <w:bookmarkEnd w:id="4"/>
      <w:bookmarkEnd w:id="5"/>
      <w:proofErr w:type="spellEnd"/>
    </w:p>
    <w:p w:rsidR="0071566C" w:rsidRPr="005F4FE9" w:rsidRDefault="0071566C" w:rsidP="0071566C">
      <w:pPr>
        <w:keepNext/>
        <w:keepLines/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Pagrindinistekstas"/>
        <w:keepNext/>
        <w:keepLines/>
        <w:rPr>
          <w:rFonts w:eastAsia="Times New Roman"/>
          <w:i w:val="0"/>
          <w:snapToGrid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Visada vartokite šį vaistą tiksliai kaip nurodė gydytojas. Jeigu abejojate, kreipkitės į gydytoją arba vaistininką.</w:t>
      </w:r>
    </w:p>
    <w:p w:rsidR="0071566C" w:rsidRPr="005F4FE9" w:rsidRDefault="0071566C" w:rsidP="0071566C">
      <w:pPr>
        <w:pStyle w:val="Pagrindinistekstas"/>
        <w:rPr>
          <w:color w:val="auto"/>
          <w:szCs w:val="22"/>
          <w:lang w:val="lt-LT"/>
        </w:rPr>
      </w:pP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proofErr w:type="spellStart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Furadonins</w:t>
      </w:r>
      <w:proofErr w:type="spellEnd"/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 xml:space="preserve"> 100 mg tabletes reikia gerti valgio metu, užsigeriant dideliu skysčio kiekiu (sumažėja nepageidaujamas poveikis virškinimo traktui).</w:t>
      </w:r>
    </w:p>
    <w:p w:rsidR="0071566C" w:rsidRPr="005F4FE9" w:rsidRDefault="0071566C" w:rsidP="0071566C">
      <w:pPr>
        <w:pStyle w:val="Pagrindinistekstas"/>
        <w:rPr>
          <w:color w:val="auto"/>
          <w:szCs w:val="22"/>
          <w:lang w:val="lt-LT"/>
        </w:rPr>
      </w:pPr>
    </w:p>
    <w:p w:rsidR="0071566C" w:rsidRPr="00F73660" w:rsidRDefault="0071566C" w:rsidP="0071566C">
      <w:pPr>
        <w:pStyle w:val="Pagrindinistekstas"/>
        <w:keepNext/>
        <w:rPr>
          <w:color w:val="auto"/>
          <w:szCs w:val="22"/>
          <w:lang w:val="lt-LT"/>
        </w:rPr>
      </w:pPr>
      <w:r w:rsidRPr="00F73660">
        <w:rPr>
          <w:color w:val="auto"/>
          <w:szCs w:val="22"/>
          <w:lang w:val="lt-LT"/>
        </w:rPr>
        <w:t>Suaugusiesiems</w:t>
      </w:r>
    </w:p>
    <w:p w:rsidR="0071566C" w:rsidRPr="005F4FE9" w:rsidRDefault="0071566C" w:rsidP="0071566C">
      <w:pPr>
        <w:pStyle w:val="BTEMEASMCA"/>
      </w:pPr>
      <w:r w:rsidRPr="00F73660">
        <w:rPr>
          <w:rStyle w:val="shorttext"/>
          <w:i/>
        </w:rPr>
        <w:t xml:space="preserve">Ūminės </w:t>
      </w:r>
      <w:r w:rsidRPr="005F4FE9">
        <w:rPr>
          <w:rStyle w:val="hps"/>
          <w:i/>
        </w:rPr>
        <w:t>nekomplikuotos</w:t>
      </w:r>
      <w:r w:rsidRPr="005F4FE9">
        <w:rPr>
          <w:rStyle w:val="shorttext"/>
        </w:rPr>
        <w:t xml:space="preserve"> </w:t>
      </w:r>
      <w:r w:rsidRPr="005F4FE9">
        <w:rPr>
          <w:rStyle w:val="hps"/>
          <w:i/>
        </w:rPr>
        <w:t>šlapimo</w:t>
      </w:r>
      <w:r w:rsidRPr="005F4FE9">
        <w:rPr>
          <w:rStyle w:val="shorttext"/>
        </w:rPr>
        <w:t xml:space="preserve"> </w:t>
      </w:r>
      <w:r w:rsidRPr="005F4FE9">
        <w:rPr>
          <w:rStyle w:val="hps"/>
          <w:i/>
        </w:rPr>
        <w:t>takų infekcijos gydymas</w:t>
      </w:r>
    </w:p>
    <w:p w:rsidR="0071566C" w:rsidRPr="005F4FE9" w:rsidRDefault="0071566C" w:rsidP="0071566C">
      <w:pPr>
        <w:ind w:right="278"/>
        <w:rPr>
          <w:szCs w:val="22"/>
          <w:lang w:val="lt-LT"/>
        </w:rPr>
      </w:pPr>
      <w:r w:rsidRPr="005F4FE9">
        <w:rPr>
          <w:szCs w:val="22"/>
          <w:lang w:val="lt-LT"/>
        </w:rPr>
        <w:t xml:space="preserve">Gerti po 100 mg </w:t>
      </w:r>
      <w:proofErr w:type="spellStart"/>
      <w:r w:rsidRPr="005F4FE9">
        <w:rPr>
          <w:szCs w:val="22"/>
          <w:lang w:val="lt-LT"/>
        </w:rPr>
        <w:t>nitrofurantoino</w:t>
      </w:r>
      <w:proofErr w:type="spellEnd"/>
      <w:r w:rsidRPr="005F4FE9" w:rsidDel="00335C0C">
        <w:rPr>
          <w:szCs w:val="22"/>
          <w:lang w:val="lt-LT"/>
        </w:rPr>
        <w:t xml:space="preserve"> </w:t>
      </w:r>
      <w:r w:rsidRPr="005F4FE9">
        <w:rPr>
          <w:szCs w:val="22"/>
          <w:lang w:val="lt-LT"/>
        </w:rPr>
        <w:t>2 kartus per parą. Gydymo kurso trukmė – 7 paros.</w:t>
      </w:r>
    </w:p>
    <w:p w:rsidR="0071566C" w:rsidRPr="005F4FE9" w:rsidRDefault="0071566C" w:rsidP="0071566C">
      <w:pPr>
        <w:ind w:right="278"/>
        <w:rPr>
          <w:szCs w:val="22"/>
          <w:lang w:val="lt-LT"/>
        </w:rPr>
      </w:pPr>
    </w:p>
    <w:p w:rsidR="0071566C" w:rsidRPr="005F4FE9" w:rsidRDefault="0071566C" w:rsidP="0071566C">
      <w:pPr>
        <w:ind w:right="278"/>
        <w:rPr>
          <w:i/>
          <w:iCs/>
          <w:szCs w:val="22"/>
          <w:lang w:val="lt-LT"/>
        </w:rPr>
      </w:pPr>
      <w:r w:rsidRPr="005F4FE9">
        <w:rPr>
          <w:i/>
          <w:iCs/>
          <w:szCs w:val="22"/>
          <w:lang w:val="lt-LT"/>
        </w:rPr>
        <w:t>Profilaktikai</w:t>
      </w:r>
    </w:p>
    <w:p w:rsidR="0071566C" w:rsidRPr="005F4FE9" w:rsidRDefault="0071566C" w:rsidP="0071566C">
      <w:pPr>
        <w:ind w:right="278"/>
        <w:rPr>
          <w:szCs w:val="22"/>
          <w:lang w:val="lt-LT"/>
        </w:rPr>
      </w:pPr>
      <w:r w:rsidRPr="005F4FE9">
        <w:rPr>
          <w:szCs w:val="22"/>
          <w:lang w:val="lt-LT"/>
        </w:rPr>
        <w:t xml:space="preserve">Profilaktikai </w:t>
      </w:r>
      <w:proofErr w:type="spellStart"/>
      <w:r w:rsidRPr="005F4FE9">
        <w:rPr>
          <w:szCs w:val="22"/>
          <w:lang w:val="lt-LT"/>
        </w:rPr>
        <w:t>nitrofurantoino</w:t>
      </w:r>
      <w:proofErr w:type="spellEnd"/>
      <w:r w:rsidRPr="005F4FE9">
        <w:rPr>
          <w:szCs w:val="22"/>
          <w:lang w:val="lt-LT"/>
        </w:rPr>
        <w:t xml:space="preserve"> pakanka vartoti 100 mg prieš miegą. Vartojimo trukmė – keli mėnesiai.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</w:p>
    <w:p w:rsidR="0071566C" w:rsidRPr="00F73660" w:rsidRDefault="0071566C" w:rsidP="0071566C">
      <w:pPr>
        <w:pStyle w:val="Pagrindinistekstas"/>
        <w:rPr>
          <w:rFonts w:eastAsia="Times New Roman"/>
          <w:snapToGrid w:val="0"/>
          <w:color w:val="auto"/>
          <w:szCs w:val="22"/>
          <w:u w:val="single"/>
          <w:lang w:val="lt-LT"/>
        </w:rPr>
      </w:pPr>
      <w:r w:rsidRPr="00F73660">
        <w:rPr>
          <w:iCs/>
          <w:color w:val="auto"/>
          <w:szCs w:val="22"/>
          <w:lang w:val="lt-LT"/>
        </w:rPr>
        <w:t>Senyviems pacientams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Specialaus dozavimo nėra. Jei sutrikusi inkstų ar kepenų veikla, reikia atkreipti dėmesį į specialų dozavimą.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</w:p>
    <w:p w:rsidR="0071566C" w:rsidRPr="00F73660" w:rsidRDefault="0071566C" w:rsidP="0071566C">
      <w:pPr>
        <w:rPr>
          <w:i/>
          <w:szCs w:val="22"/>
          <w:u w:val="single"/>
          <w:lang w:val="lt-LT"/>
        </w:rPr>
      </w:pPr>
      <w:r w:rsidRPr="00F73660">
        <w:rPr>
          <w:i/>
          <w:iCs/>
          <w:szCs w:val="22"/>
          <w:lang w:val="lt-LT"/>
        </w:rPr>
        <w:t>Pacientams, kurių inkstų funkcija sutrikusi</w:t>
      </w:r>
    </w:p>
    <w:p w:rsidR="0071566C" w:rsidRPr="005F4FE9" w:rsidRDefault="0071566C" w:rsidP="0071566C">
      <w:pPr>
        <w:rPr>
          <w:szCs w:val="22"/>
          <w:lang w:val="lt-LT"/>
        </w:rPr>
      </w:pPr>
      <w:proofErr w:type="spellStart"/>
      <w:r w:rsidRPr="005F4FE9">
        <w:rPr>
          <w:szCs w:val="22"/>
          <w:lang w:val="lt-LT"/>
        </w:rPr>
        <w:t>Nitrofurantoino</w:t>
      </w:r>
      <w:proofErr w:type="spellEnd"/>
      <w:r w:rsidRPr="005F4FE9">
        <w:rPr>
          <w:szCs w:val="22"/>
          <w:lang w:val="lt-LT"/>
        </w:rPr>
        <w:t xml:space="preserve"> nerekomenduojama vartoti pacientams, kuriems yra </w:t>
      </w:r>
      <w:proofErr w:type="spellStart"/>
      <w:r w:rsidRPr="005F4FE9">
        <w:rPr>
          <w:szCs w:val="22"/>
          <w:lang w:val="lt-LT"/>
        </w:rPr>
        <w:t>oligurija</w:t>
      </w:r>
      <w:proofErr w:type="spellEnd"/>
      <w:r w:rsidRPr="005F4FE9">
        <w:rPr>
          <w:szCs w:val="22"/>
          <w:lang w:val="lt-LT"/>
        </w:rPr>
        <w:t xml:space="preserve"> arba </w:t>
      </w:r>
      <w:proofErr w:type="spellStart"/>
      <w:r w:rsidRPr="005F4FE9">
        <w:rPr>
          <w:szCs w:val="22"/>
          <w:lang w:val="lt-LT"/>
        </w:rPr>
        <w:t>anurija</w:t>
      </w:r>
      <w:proofErr w:type="spellEnd"/>
      <w:r w:rsidRPr="005F4FE9">
        <w:rPr>
          <w:szCs w:val="22"/>
          <w:lang w:val="lt-LT"/>
        </w:rPr>
        <w:t xml:space="preserve"> ar sunkus inkstų veiklos nepakankamumas (</w:t>
      </w:r>
      <w:r w:rsidRPr="00944026">
        <w:rPr>
          <w:szCs w:val="22"/>
          <w:lang w:val="lt-LT"/>
        </w:rPr>
        <w:t>apskaičiuotas GFG mažesnis nei 45 ml/min</w:t>
      </w:r>
      <w:r w:rsidRPr="005F4FE9">
        <w:rPr>
          <w:szCs w:val="22"/>
          <w:lang w:val="lt-LT"/>
        </w:rPr>
        <w:t xml:space="preserve">). Dėl nepakankamos patirties, specifinių dozavimo rekomendacijų pacientams, kurių inkstų veikla nepakankama, kai </w:t>
      </w:r>
      <w:r w:rsidRPr="00944026">
        <w:rPr>
          <w:szCs w:val="22"/>
          <w:lang w:val="lt-LT"/>
        </w:rPr>
        <w:t xml:space="preserve">apskaičiuotas GFG </w:t>
      </w:r>
      <w:r w:rsidRPr="005F4FE9">
        <w:rPr>
          <w:szCs w:val="22"/>
          <w:lang w:val="lt-LT"/>
        </w:rPr>
        <w:t xml:space="preserve">didesnis kaip </w:t>
      </w:r>
      <w:r>
        <w:rPr>
          <w:szCs w:val="22"/>
          <w:lang w:val="lt-LT"/>
        </w:rPr>
        <w:t>45</w:t>
      </w:r>
      <w:r w:rsidRPr="005F4FE9">
        <w:rPr>
          <w:szCs w:val="22"/>
          <w:lang w:val="lt-LT"/>
        </w:rPr>
        <w:t> ml/min, nėra.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u w:val="single"/>
          <w:lang w:val="lt-LT"/>
        </w:rPr>
      </w:pPr>
      <w:r w:rsidRPr="005F4FE9">
        <w:rPr>
          <w:iCs/>
          <w:szCs w:val="22"/>
          <w:lang w:val="lt-LT"/>
        </w:rPr>
        <w:t>Pacientams, kurių kepenų funkcija sutrikusi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Dėl nepakankamos patirties, specifinių dozavimo rekomendacijų pacientams, kurių kepenų veikla sutrikusi, nėra.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5F4FE9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:rsidR="0071566C" w:rsidRPr="005F4FE9" w:rsidRDefault="0071566C" w:rsidP="0071566C">
      <w:pPr>
        <w:pStyle w:val="Pagrindinistekstas"/>
        <w:rPr>
          <w:rStyle w:val="hps"/>
          <w:rFonts w:ascii="Calibri" w:hAnsi="Calibri"/>
          <w:b/>
          <w:bCs/>
          <w:i w:val="0"/>
          <w:iCs/>
          <w:snapToGrid w:val="0"/>
          <w:color w:val="auto"/>
          <w:sz w:val="28"/>
          <w:szCs w:val="22"/>
          <w:lang w:val="lt-LT" w:eastAsia="x-none"/>
        </w:rPr>
      </w:pPr>
      <w:r w:rsidRPr="005F4FE9">
        <w:rPr>
          <w:iCs/>
          <w:color w:val="auto"/>
          <w:szCs w:val="22"/>
          <w:lang w:val="lt-LT"/>
        </w:rPr>
        <w:t>Jaunesni kaip 1</w:t>
      </w:r>
      <w:r w:rsidRPr="005F4FE9">
        <w:rPr>
          <w:rStyle w:val="hps"/>
          <w:iCs/>
          <w:color w:val="auto"/>
          <w:szCs w:val="22"/>
          <w:lang w:val="lt-LT"/>
        </w:rPr>
        <w:t>2</w:t>
      </w:r>
      <w:r w:rsidRPr="005F4FE9">
        <w:rPr>
          <w:iCs/>
          <w:color w:val="auto"/>
          <w:szCs w:val="22"/>
          <w:lang w:val="lt-LT"/>
        </w:rPr>
        <w:t> </w:t>
      </w:r>
      <w:r w:rsidRPr="005F4FE9">
        <w:rPr>
          <w:rStyle w:val="hps"/>
          <w:iCs/>
          <w:color w:val="auto"/>
          <w:szCs w:val="22"/>
          <w:lang w:val="lt-LT"/>
        </w:rPr>
        <w:t>metų</w:t>
      </w:r>
      <w:r w:rsidRPr="005F4FE9">
        <w:rPr>
          <w:iCs/>
          <w:color w:val="auto"/>
          <w:szCs w:val="22"/>
          <w:lang w:val="lt-LT"/>
        </w:rPr>
        <w:t xml:space="preserve"> </w:t>
      </w:r>
      <w:r w:rsidRPr="005F4FE9">
        <w:rPr>
          <w:rStyle w:val="hps"/>
          <w:iCs/>
          <w:color w:val="auto"/>
          <w:szCs w:val="22"/>
          <w:lang w:val="lt-LT"/>
        </w:rPr>
        <w:t>vaikai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  <w:r w:rsidRPr="005F4FE9">
        <w:rPr>
          <w:rFonts w:eastAsia="Times New Roman"/>
          <w:i w:val="0"/>
          <w:snapToGrid w:val="0"/>
          <w:color w:val="auto"/>
          <w:szCs w:val="22"/>
          <w:lang w:val="lt-LT"/>
        </w:rPr>
        <w:t>Šio vaisto netinka vartoti jaunesniems kaip 12 metų vaikams.</w:t>
      </w:r>
    </w:p>
    <w:p w:rsidR="0071566C" w:rsidRPr="005F4FE9" w:rsidRDefault="0071566C" w:rsidP="0071566C">
      <w:pPr>
        <w:pStyle w:val="Pagrindinistekstas"/>
        <w:rPr>
          <w:rFonts w:eastAsia="Times New Roman"/>
          <w:i w:val="0"/>
          <w:snapToGrid w:val="0"/>
          <w:color w:val="auto"/>
          <w:szCs w:val="22"/>
          <w:lang w:val="lt-LT"/>
        </w:rPr>
      </w:pPr>
    </w:p>
    <w:p w:rsidR="0071566C" w:rsidRPr="005F4FE9" w:rsidRDefault="0071566C" w:rsidP="0071566C">
      <w:pPr>
        <w:rPr>
          <w:i/>
          <w:szCs w:val="22"/>
          <w:lang w:val="lt-LT"/>
        </w:rPr>
      </w:pPr>
      <w:r w:rsidRPr="005F4FE9">
        <w:rPr>
          <w:i/>
          <w:szCs w:val="22"/>
          <w:lang w:val="lt-LT"/>
        </w:rPr>
        <w:t>Vyresni kaip 12 metų vaikai</w:t>
      </w:r>
    </w:p>
    <w:p w:rsidR="0071566C" w:rsidRPr="00F73660" w:rsidRDefault="0071566C" w:rsidP="0071566C">
      <w:pPr>
        <w:pStyle w:val="BTEMEASMCA"/>
      </w:pPr>
      <w:r w:rsidRPr="00F73660">
        <w:rPr>
          <w:rStyle w:val="shorttext"/>
          <w:i/>
        </w:rPr>
        <w:t xml:space="preserve">Ūminės </w:t>
      </w:r>
      <w:r w:rsidRPr="00F73660">
        <w:rPr>
          <w:rStyle w:val="hps"/>
          <w:i/>
        </w:rPr>
        <w:t>nekomplikuotos</w:t>
      </w:r>
      <w:r w:rsidRPr="00F73660">
        <w:rPr>
          <w:rStyle w:val="shorttext"/>
          <w:i/>
        </w:rPr>
        <w:t xml:space="preserve"> </w:t>
      </w:r>
      <w:r w:rsidRPr="00F73660">
        <w:rPr>
          <w:rStyle w:val="hps"/>
          <w:i/>
        </w:rPr>
        <w:t>šlapimo</w:t>
      </w:r>
      <w:r w:rsidRPr="00F73660">
        <w:rPr>
          <w:rStyle w:val="shorttext"/>
          <w:i/>
        </w:rPr>
        <w:t xml:space="preserve"> </w:t>
      </w:r>
      <w:r w:rsidRPr="00F73660">
        <w:rPr>
          <w:rStyle w:val="hps"/>
          <w:i/>
        </w:rPr>
        <w:t>takų infekcijos gydymas</w:t>
      </w:r>
    </w:p>
    <w:p w:rsidR="0071566C" w:rsidRPr="005F4FE9" w:rsidRDefault="0071566C" w:rsidP="0071566C">
      <w:pPr>
        <w:ind w:right="278"/>
        <w:rPr>
          <w:szCs w:val="22"/>
          <w:lang w:val="lt-LT"/>
        </w:rPr>
      </w:pPr>
      <w:r w:rsidRPr="005F4FE9">
        <w:rPr>
          <w:szCs w:val="22"/>
          <w:lang w:val="lt-LT"/>
        </w:rPr>
        <w:t>Vyresni kaip 12 metų vaikai gali vartoti tokias pat dozes kaip suaugusieji.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 xml:space="preserve">Ką daryti pavartojus per didelę </w:t>
      </w:r>
      <w:proofErr w:type="spellStart"/>
      <w:r w:rsidRPr="005F4FE9">
        <w:rPr>
          <w:b/>
          <w:szCs w:val="22"/>
          <w:lang w:val="lt-LT"/>
        </w:rPr>
        <w:t>Furadonins</w:t>
      </w:r>
      <w:proofErr w:type="spellEnd"/>
      <w:r w:rsidRPr="005F4FE9">
        <w:rPr>
          <w:b/>
          <w:szCs w:val="22"/>
          <w:lang w:val="lt-LT"/>
        </w:rPr>
        <w:t xml:space="preserve"> dozę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Perdozavus gali pasireikšti pykinimas, vėmimas, galvos skausmas ir svaigulys. Atsitiktinai perdozavus, nedelsiant keipkitės į gydytoją.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 xml:space="preserve">Pamiršus pavartoti </w:t>
      </w:r>
      <w:proofErr w:type="spellStart"/>
      <w:r w:rsidRPr="005F4FE9">
        <w:rPr>
          <w:b/>
          <w:szCs w:val="22"/>
          <w:lang w:val="lt-LT"/>
        </w:rPr>
        <w:t>Furadonins</w:t>
      </w:r>
      <w:proofErr w:type="spellEnd"/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Jeigu praleista viena dozė, vaisto reikia vartoti toliau taip, kaip nurodyta. Negalima vartoti dvigubos dozės norint kompensuoti praleistą dozę.</w:t>
      </w:r>
      <w:r>
        <w:rPr>
          <w:szCs w:val="22"/>
          <w:lang w:val="lt-LT"/>
        </w:rPr>
        <w:t xml:space="preserve"> </w:t>
      </w:r>
      <w:r w:rsidRPr="005F4FE9">
        <w:rPr>
          <w:szCs w:val="22"/>
          <w:lang w:val="lt-LT"/>
        </w:rPr>
        <w:t>Jei būtina, reikia konsultuotis su gydytoju.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 xml:space="preserve">Nustojus vartoti </w:t>
      </w:r>
      <w:proofErr w:type="spellStart"/>
      <w:r w:rsidRPr="005F4FE9">
        <w:rPr>
          <w:b/>
          <w:szCs w:val="22"/>
          <w:lang w:val="lt-LT"/>
        </w:rPr>
        <w:t>Furadonins</w:t>
      </w:r>
      <w:proofErr w:type="spellEnd"/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Vaisto reikia vartoti tiek laiko, kiek nurodė gydytojas, net jeigu savijauta yra pagerėjusi. Savo nuožiūra nutraukus ar pertraukus vaisto vartojimą, liga gali vėl paūmėti.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Jeigu kiltų daugiau klausimų dėl šio vaisto vartojimo, kreipkitės į gydytoją arba vaistininką.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rPr>
          <w:szCs w:val="22"/>
          <w:lang w:val="lt-LT"/>
        </w:rPr>
      </w:pPr>
    </w:p>
    <w:p w:rsidR="0071566C" w:rsidRPr="005F4FE9" w:rsidRDefault="0071566C" w:rsidP="0071566C">
      <w:pPr>
        <w:pStyle w:val="Antrat3"/>
        <w:keepNext w:val="0"/>
        <w:keepLines w:val="0"/>
        <w:spacing w:before="0" w:after="0"/>
        <w:rPr>
          <w:rFonts w:ascii="Times New Roman" w:hAnsi="Times New Roman"/>
          <w:sz w:val="22"/>
          <w:szCs w:val="22"/>
          <w:lang w:val="lt-LT"/>
        </w:rPr>
      </w:pPr>
      <w:r w:rsidRPr="005F4FE9">
        <w:rPr>
          <w:rFonts w:ascii="Times New Roman" w:hAnsi="Times New Roman"/>
          <w:sz w:val="22"/>
          <w:szCs w:val="22"/>
          <w:lang w:val="lt-LT"/>
        </w:rPr>
        <w:t>4.</w:t>
      </w:r>
      <w:r w:rsidRPr="005F4FE9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Šis vaistas, kaip ir visi kiti, gali sukelti šalutinį poveikį, nors jis pasireiškia ne visiems žmonėms.</w:t>
      </w:r>
    </w:p>
    <w:p w:rsidR="0071566C" w:rsidRPr="005F4FE9" w:rsidRDefault="0071566C" w:rsidP="0071566C">
      <w:pPr>
        <w:numPr>
          <w:ilvl w:val="12"/>
          <w:numId w:val="0"/>
        </w:numPr>
        <w:ind w:right="-29"/>
        <w:rPr>
          <w:szCs w:val="22"/>
          <w:lang w:val="lt-LT"/>
        </w:rPr>
      </w:pPr>
    </w:p>
    <w:p w:rsidR="0071566C" w:rsidRPr="00682064" w:rsidRDefault="0071566C" w:rsidP="0071566C">
      <w:pPr>
        <w:rPr>
          <w:szCs w:val="22"/>
          <w:lang w:eastAsia="lt-LT"/>
        </w:rPr>
      </w:pPr>
      <w:proofErr w:type="spellStart"/>
      <w:r w:rsidRPr="00573A28">
        <w:rPr>
          <w:b/>
          <w:bCs/>
          <w:szCs w:val="22"/>
          <w:lang w:eastAsia="lt-LT"/>
        </w:rPr>
        <w:t>Dažni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šalutinio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poveikio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reiškiniai</w:t>
      </w:r>
      <w:proofErr w:type="spellEnd"/>
      <w:r w:rsidRPr="00573A28">
        <w:rPr>
          <w:b/>
          <w:bCs/>
          <w:szCs w:val="22"/>
          <w:lang w:eastAsia="lt-LT"/>
        </w:rPr>
        <w:t xml:space="preserve"> (</w:t>
      </w:r>
      <w:proofErr w:type="spellStart"/>
      <w:r w:rsidRPr="00573A28">
        <w:rPr>
          <w:b/>
          <w:bCs/>
          <w:szCs w:val="22"/>
          <w:lang w:eastAsia="lt-LT"/>
        </w:rPr>
        <w:t>gali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pasireikšti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rečiau</w:t>
      </w:r>
      <w:proofErr w:type="spellEnd"/>
      <w:r w:rsidRPr="00573A28">
        <w:rPr>
          <w:b/>
          <w:bCs/>
          <w:szCs w:val="22"/>
          <w:lang w:eastAsia="lt-LT"/>
        </w:rPr>
        <w:t xml:space="preserve"> </w:t>
      </w:r>
      <w:proofErr w:type="spellStart"/>
      <w:r w:rsidRPr="00573A28">
        <w:rPr>
          <w:b/>
          <w:bCs/>
          <w:szCs w:val="22"/>
          <w:lang w:eastAsia="lt-LT"/>
        </w:rPr>
        <w:t>kaip</w:t>
      </w:r>
      <w:proofErr w:type="spellEnd"/>
      <w:r w:rsidRPr="00573A28">
        <w:rPr>
          <w:b/>
          <w:bCs/>
          <w:szCs w:val="22"/>
          <w:lang w:eastAsia="lt-LT"/>
        </w:rPr>
        <w:t xml:space="preserve"> 1 </w:t>
      </w:r>
      <w:proofErr w:type="spellStart"/>
      <w:r w:rsidRPr="00573A28">
        <w:rPr>
          <w:b/>
          <w:bCs/>
          <w:szCs w:val="22"/>
          <w:lang w:eastAsia="lt-LT"/>
        </w:rPr>
        <w:t>iš</w:t>
      </w:r>
      <w:proofErr w:type="spellEnd"/>
      <w:r w:rsidRPr="00573A28">
        <w:rPr>
          <w:b/>
          <w:bCs/>
          <w:szCs w:val="22"/>
          <w:lang w:eastAsia="lt-LT"/>
        </w:rPr>
        <w:t xml:space="preserve"> 10 </w:t>
      </w:r>
      <w:proofErr w:type="spellStart"/>
      <w:r w:rsidRPr="00573A28">
        <w:rPr>
          <w:b/>
          <w:bCs/>
          <w:szCs w:val="22"/>
          <w:lang w:eastAsia="lt-LT"/>
        </w:rPr>
        <w:t>asmenų</w:t>
      </w:r>
      <w:proofErr w:type="spellEnd"/>
      <w:r w:rsidRPr="00573A28">
        <w:rPr>
          <w:b/>
          <w:bCs/>
          <w:szCs w:val="22"/>
          <w:lang w:eastAsia="lt-LT"/>
        </w:rPr>
        <w:t>):</w:t>
      </w:r>
    </w:p>
    <w:p w:rsidR="0071566C" w:rsidRDefault="0071566C" w:rsidP="0071566C">
      <w:pPr>
        <w:pStyle w:val="Sraopastraipa"/>
        <w:numPr>
          <w:ilvl w:val="0"/>
          <w:numId w:val="4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A</w:t>
      </w:r>
      <w:r w:rsidRPr="00933485">
        <w:rPr>
          <w:iCs/>
          <w:szCs w:val="22"/>
          <w:lang w:val="lt-LT"/>
        </w:rPr>
        <w:t>petito pablogėjimas, pykinimas, vėmimas.</w:t>
      </w:r>
    </w:p>
    <w:p w:rsidR="0071566C" w:rsidRDefault="0071566C" w:rsidP="0071566C">
      <w:pPr>
        <w:pStyle w:val="Sraopastraipa"/>
        <w:numPr>
          <w:ilvl w:val="0"/>
          <w:numId w:val="4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G</w:t>
      </w:r>
      <w:r w:rsidRPr="005E01FF">
        <w:rPr>
          <w:iCs/>
          <w:szCs w:val="22"/>
          <w:lang w:val="lt-LT"/>
        </w:rPr>
        <w:t xml:space="preserve">alvos vilkligę panašus sindromas, svaigulys, </w:t>
      </w:r>
      <w:r>
        <w:rPr>
          <w:iCs/>
          <w:szCs w:val="22"/>
          <w:lang w:val="lt-LT"/>
        </w:rPr>
        <w:t>ritmiškas nevalingas akių trūkčiojimas</w:t>
      </w:r>
      <w:r w:rsidRPr="005E01FF">
        <w:rPr>
          <w:iCs/>
          <w:szCs w:val="22"/>
          <w:lang w:val="lt-LT"/>
        </w:rPr>
        <w:t xml:space="preserve"> (</w:t>
      </w:r>
      <w:proofErr w:type="spellStart"/>
      <w:r w:rsidRPr="005E01FF">
        <w:rPr>
          <w:iCs/>
          <w:szCs w:val="22"/>
          <w:lang w:val="lt-LT"/>
        </w:rPr>
        <w:t>nistagmas</w:t>
      </w:r>
      <w:proofErr w:type="spellEnd"/>
      <w:r w:rsidRPr="005E01FF">
        <w:rPr>
          <w:iCs/>
          <w:szCs w:val="22"/>
          <w:lang w:val="lt-LT"/>
        </w:rPr>
        <w:t>),</w:t>
      </w:r>
      <w:r>
        <w:rPr>
          <w:iCs/>
          <w:szCs w:val="22"/>
          <w:lang w:val="lt-LT"/>
        </w:rPr>
        <w:t xml:space="preserve"> g</w:t>
      </w:r>
      <w:r w:rsidRPr="005E01FF">
        <w:rPr>
          <w:iCs/>
          <w:szCs w:val="22"/>
          <w:lang w:val="lt-LT"/>
        </w:rPr>
        <w:t>ali pasireikšti nervų pažeidimai, kartais negrįžtami (tai vadinama periferinė polineuropatija).</w:t>
      </w:r>
    </w:p>
    <w:p w:rsidR="0071566C" w:rsidRPr="00933485" w:rsidRDefault="0071566C" w:rsidP="0071566C">
      <w:pPr>
        <w:pStyle w:val="Sraopastraipa"/>
        <w:numPr>
          <w:ilvl w:val="0"/>
          <w:numId w:val="4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A</w:t>
      </w:r>
      <w:r w:rsidRPr="005E01FF">
        <w:rPr>
          <w:iCs/>
          <w:szCs w:val="22"/>
          <w:lang w:val="lt-LT"/>
        </w:rPr>
        <w:t xml:space="preserve">lerginės reakcijos, ypač odos reakcijos, odos niežulys, taip pat kitos šalutinės alerginės reakcijos, pvz., vaistų karštinė arba karščiavimas, lūpų, gleivinių ar odos patinimas, astmos priepuoliai, </w:t>
      </w:r>
      <w:proofErr w:type="spellStart"/>
      <w:r w:rsidRPr="005E01FF">
        <w:rPr>
          <w:iCs/>
          <w:szCs w:val="22"/>
          <w:lang w:val="lt-LT"/>
        </w:rPr>
        <w:t>krūtinplėvės</w:t>
      </w:r>
      <w:proofErr w:type="spellEnd"/>
      <w:r w:rsidRPr="005E01FF">
        <w:rPr>
          <w:iCs/>
          <w:szCs w:val="22"/>
          <w:lang w:val="lt-LT"/>
        </w:rPr>
        <w:t xml:space="preserve"> uždegimas (</w:t>
      </w:r>
      <w:proofErr w:type="spellStart"/>
      <w:r w:rsidRPr="005E01FF">
        <w:rPr>
          <w:iCs/>
          <w:szCs w:val="22"/>
          <w:lang w:val="lt-LT"/>
        </w:rPr>
        <w:t>eksudacinis</w:t>
      </w:r>
      <w:proofErr w:type="spellEnd"/>
      <w:r w:rsidRPr="005E01FF">
        <w:rPr>
          <w:iCs/>
          <w:szCs w:val="22"/>
          <w:lang w:val="lt-LT"/>
        </w:rPr>
        <w:t xml:space="preserve"> pleuritas).</w:t>
      </w:r>
    </w:p>
    <w:p w:rsidR="0071566C" w:rsidRPr="00F73660" w:rsidRDefault="0071566C" w:rsidP="0071566C">
      <w:pPr>
        <w:numPr>
          <w:ilvl w:val="12"/>
          <w:numId w:val="0"/>
        </w:numPr>
        <w:ind w:right="-29"/>
        <w:rPr>
          <w:iCs/>
          <w:szCs w:val="22"/>
          <w:lang w:val="lt-LT"/>
        </w:rPr>
      </w:pPr>
    </w:p>
    <w:p w:rsidR="0071566C" w:rsidRDefault="0071566C" w:rsidP="0071566C">
      <w:pPr>
        <w:numPr>
          <w:ilvl w:val="12"/>
          <w:numId w:val="0"/>
        </w:numPr>
        <w:ind w:right="-29"/>
        <w:rPr>
          <w:i/>
          <w:szCs w:val="22"/>
          <w:lang w:val="lt-LT"/>
        </w:rPr>
      </w:pPr>
      <w:proofErr w:type="spellStart"/>
      <w:r w:rsidRPr="003D2245">
        <w:rPr>
          <w:b/>
          <w:bCs/>
          <w:szCs w:val="22"/>
          <w:lang w:eastAsia="lt-LT"/>
        </w:rPr>
        <w:t>Nedažni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šalutinio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poveikio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reiškiniai</w:t>
      </w:r>
      <w:proofErr w:type="spellEnd"/>
      <w:r w:rsidRPr="003D2245">
        <w:rPr>
          <w:b/>
          <w:bCs/>
          <w:szCs w:val="22"/>
          <w:lang w:eastAsia="lt-LT"/>
        </w:rPr>
        <w:t xml:space="preserve"> (</w:t>
      </w:r>
      <w:proofErr w:type="spellStart"/>
      <w:r w:rsidRPr="003D2245">
        <w:rPr>
          <w:b/>
          <w:bCs/>
          <w:szCs w:val="22"/>
          <w:lang w:eastAsia="lt-LT"/>
        </w:rPr>
        <w:t>gali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pasireikšti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rečiau</w:t>
      </w:r>
      <w:proofErr w:type="spellEnd"/>
      <w:r w:rsidRPr="003D2245">
        <w:rPr>
          <w:b/>
          <w:bCs/>
          <w:szCs w:val="22"/>
          <w:lang w:eastAsia="lt-LT"/>
        </w:rPr>
        <w:t xml:space="preserve"> </w:t>
      </w:r>
      <w:proofErr w:type="spellStart"/>
      <w:r w:rsidRPr="003D2245">
        <w:rPr>
          <w:b/>
          <w:bCs/>
          <w:szCs w:val="22"/>
          <w:lang w:eastAsia="lt-LT"/>
        </w:rPr>
        <w:t>kaip</w:t>
      </w:r>
      <w:proofErr w:type="spellEnd"/>
      <w:r w:rsidRPr="003D2245">
        <w:rPr>
          <w:b/>
          <w:bCs/>
          <w:szCs w:val="22"/>
          <w:lang w:eastAsia="lt-LT"/>
        </w:rPr>
        <w:t xml:space="preserve"> 1 </w:t>
      </w:r>
      <w:proofErr w:type="spellStart"/>
      <w:r w:rsidRPr="003D2245">
        <w:rPr>
          <w:b/>
          <w:bCs/>
          <w:szCs w:val="22"/>
          <w:lang w:eastAsia="lt-LT"/>
        </w:rPr>
        <w:t>iš</w:t>
      </w:r>
      <w:proofErr w:type="spellEnd"/>
      <w:r w:rsidRPr="003D2245">
        <w:rPr>
          <w:b/>
          <w:bCs/>
          <w:szCs w:val="22"/>
          <w:lang w:eastAsia="lt-LT"/>
        </w:rPr>
        <w:t xml:space="preserve"> 100 </w:t>
      </w:r>
      <w:proofErr w:type="spellStart"/>
      <w:r w:rsidRPr="003D2245">
        <w:rPr>
          <w:b/>
          <w:bCs/>
          <w:szCs w:val="22"/>
          <w:lang w:eastAsia="lt-LT"/>
        </w:rPr>
        <w:t>asmenų</w:t>
      </w:r>
      <w:proofErr w:type="spellEnd"/>
      <w:r w:rsidRPr="003D2245">
        <w:rPr>
          <w:b/>
          <w:bCs/>
          <w:szCs w:val="22"/>
          <w:lang w:eastAsia="lt-LT"/>
        </w:rPr>
        <w:t>):</w:t>
      </w:r>
    </w:p>
    <w:p w:rsidR="0071566C" w:rsidRDefault="0071566C" w:rsidP="0071566C">
      <w:pPr>
        <w:pStyle w:val="Sraopastraipa"/>
        <w:numPr>
          <w:ilvl w:val="0"/>
          <w:numId w:val="6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K</w:t>
      </w:r>
      <w:r w:rsidRPr="00933485">
        <w:rPr>
          <w:iCs/>
          <w:szCs w:val="22"/>
          <w:lang w:val="lt-LT"/>
        </w:rPr>
        <w:t>artais, ypač vaisto vartojant ilgai, gali pasireikšti alerginis plaučių pažeidimas (taip vadinama ,,</w:t>
      </w:r>
      <w:proofErr w:type="spellStart"/>
      <w:r w:rsidRPr="00933485">
        <w:rPr>
          <w:iCs/>
          <w:szCs w:val="22"/>
          <w:lang w:val="lt-LT"/>
        </w:rPr>
        <w:t>nitrofurantoininis</w:t>
      </w:r>
      <w:proofErr w:type="spellEnd"/>
      <w:r w:rsidRPr="00933485">
        <w:rPr>
          <w:iCs/>
          <w:szCs w:val="22"/>
          <w:lang w:val="lt-LT"/>
        </w:rPr>
        <w:t xml:space="preserve"> plaučių uždegimas”) su kosulio priepuoliais, pasunkėjusiu kvėpavimu, skausmu už </w:t>
      </w:r>
      <w:proofErr w:type="spellStart"/>
      <w:r w:rsidRPr="00933485">
        <w:rPr>
          <w:iCs/>
          <w:szCs w:val="22"/>
          <w:lang w:val="lt-LT"/>
        </w:rPr>
        <w:t>krūtinkaulio</w:t>
      </w:r>
      <w:proofErr w:type="spellEnd"/>
      <w:r w:rsidRPr="00933485">
        <w:rPr>
          <w:iCs/>
          <w:szCs w:val="22"/>
          <w:lang w:val="lt-LT"/>
        </w:rPr>
        <w:t>. Ji gali progresuoti iki negrįžtamo skaidulinio audinio išvešėjimo plaučiu</w:t>
      </w:r>
      <w:r w:rsidRPr="00F73660">
        <w:rPr>
          <w:iCs/>
          <w:szCs w:val="22"/>
          <w:lang w:val="lt-LT"/>
        </w:rPr>
        <w:t>ose.</w:t>
      </w:r>
    </w:p>
    <w:p w:rsidR="0071566C" w:rsidRPr="00933485" w:rsidRDefault="0071566C" w:rsidP="0071566C">
      <w:pPr>
        <w:pStyle w:val="Sraopastraipa"/>
        <w:numPr>
          <w:ilvl w:val="0"/>
          <w:numId w:val="6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T</w:t>
      </w:r>
      <w:r w:rsidRPr="0085149F">
        <w:rPr>
          <w:iCs/>
          <w:szCs w:val="22"/>
          <w:lang w:val="lt-LT"/>
        </w:rPr>
        <w:t>ariamai teigiama gliukozės šlapime reakcija.</w:t>
      </w:r>
    </w:p>
    <w:p w:rsidR="0071566C" w:rsidRPr="00F73660" w:rsidRDefault="0071566C" w:rsidP="0071566C">
      <w:pPr>
        <w:keepNext/>
        <w:keepLines/>
        <w:numPr>
          <w:ilvl w:val="12"/>
          <w:numId w:val="0"/>
        </w:numPr>
        <w:ind w:right="-29"/>
        <w:rPr>
          <w:iCs/>
          <w:szCs w:val="22"/>
          <w:lang w:val="lt-LT"/>
        </w:rPr>
      </w:pPr>
    </w:p>
    <w:p w:rsidR="0071566C" w:rsidRDefault="0071566C" w:rsidP="0071566C">
      <w:pPr>
        <w:keepNext/>
        <w:keepLines/>
        <w:numPr>
          <w:ilvl w:val="12"/>
          <w:numId w:val="0"/>
        </w:numPr>
        <w:ind w:right="-29"/>
        <w:rPr>
          <w:i/>
          <w:szCs w:val="22"/>
          <w:lang w:val="lt-LT"/>
        </w:rPr>
      </w:pPr>
      <w:proofErr w:type="spellStart"/>
      <w:r>
        <w:rPr>
          <w:b/>
          <w:bCs/>
          <w:szCs w:val="22"/>
          <w:lang w:eastAsia="lt-LT"/>
        </w:rPr>
        <w:t>Reti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pasireikšti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rečiau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kaip</w:t>
      </w:r>
      <w:proofErr w:type="spellEnd"/>
      <w:r>
        <w:rPr>
          <w:b/>
          <w:bCs/>
          <w:szCs w:val="22"/>
          <w:lang w:eastAsia="lt-LT"/>
        </w:rPr>
        <w:t xml:space="preserve"> 1 </w:t>
      </w:r>
      <w:proofErr w:type="spellStart"/>
      <w:r>
        <w:rPr>
          <w:b/>
          <w:bCs/>
          <w:szCs w:val="22"/>
          <w:lang w:eastAsia="lt-LT"/>
        </w:rPr>
        <w:t>iš</w:t>
      </w:r>
      <w:proofErr w:type="spellEnd"/>
      <w:r>
        <w:rPr>
          <w:b/>
          <w:bCs/>
          <w:szCs w:val="22"/>
          <w:lang w:eastAsia="lt-LT"/>
        </w:rPr>
        <w:t xml:space="preserve"> 1 000 </w:t>
      </w:r>
      <w:proofErr w:type="spellStart"/>
      <w:r>
        <w:rPr>
          <w:b/>
          <w:bCs/>
          <w:szCs w:val="22"/>
          <w:lang w:eastAsia="lt-LT"/>
        </w:rPr>
        <w:t>asmenų</w:t>
      </w:r>
      <w:proofErr w:type="spellEnd"/>
      <w:r>
        <w:rPr>
          <w:b/>
          <w:bCs/>
          <w:szCs w:val="22"/>
          <w:lang w:eastAsia="lt-LT"/>
        </w:rPr>
        <w:t>):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K</w:t>
      </w:r>
      <w:r w:rsidRPr="00933485">
        <w:rPr>
          <w:iCs/>
          <w:szCs w:val="22"/>
          <w:lang w:val="lt-LT"/>
        </w:rPr>
        <w:t>asos uždegimas (pankreatitas), viduriavimas.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S</w:t>
      </w:r>
      <w:r w:rsidRPr="005E01FF">
        <w:rPr>
          <w:iCs/>
          <w:szCs w:val="22"/>
          <w:lang w:val="lt-LT"/>
        </w:rPr>
        <w:t xml:space="preserve">unki ir net nepraeinanti periferinė polineuropatija, kurios atsiradimą skatina ir inkstų nepakankamumas bei ilgas didelių </w:t>
      </w:r>
      <w:proofErr w:type="spellStart"/>
      <w:r w:rsidRPr="005E01FF">
        <w:rPr>
          <w:iCs/>
          <w:szCs w:val="22"/>
          <w:lang w:val="lt-LT"/>
        </w:rPr>
        <w:t>nitrofurantoino</w:t>
      </w:r>
      <w:proofErr w:type="spellEnd"/>
      <w:r w:rsidRPr="005E01FF">
        <w:rPr>
          <w:iCs/>
          <w:szCs w:val="22"/>
          <w:lang w:val="lt-LT"/>
        </w:rPr>
        <w:t xml:space="preserve"> dozių vartojimas.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S</w:t>
      </w:r>
      <w:r w:rsidRPr="005E01FF">
        <w:rPr>
          <w:iCs/>
          <w:szCs w:val="22"/>
          <w:lang w:val="lt-LT"/>
        </w:rPr>
        <w:t xml:space="preserve">unkios būklės sukeliančios odos ląstelių žūtį (taip vadinami </w:t>
      </w:r>
      <w:proofErr w:type="spellStart"/>
      <w:r w:rsidRPr="005E01FF">
        <w:rPr>
          <w:iCs/>
          <w:szCs w:val="22"/>
          <w:lang w:val="lt-LT"/>
        </w:rPr>
        <w:t>Stevens</w:t>
      </w:r>
      <w:r w:rsidRPr="005E01FF">
        <w:rPr>
          <w:iCs/>
          <w:szCs w:val="22"/>
          <w:lang w:val="lt-LT"/>
        </w:rPr>
        <w:noBreakHyphen/>
        <w:t>Johnson</w:t>
      </w:r>
      <w:proofErr w:type="spellEnd"/>
      <w:r w:rsidRPr="005E01FF">
        <w:rPr>
          <w:iCs/>
          <w:szCs w:val="22"/>
          <w:lang w:val="lt-LT"/>
        </w:rPr>
        <w:t xml:space="preserve"> arba </w:t>
      </w:r>
      <w:proofErr w:type="spellStart"/>
      <w:r w:rsidRPr="005E01FF">
        <w:rPr>
          <w:iCs/>
          <w:szCs w:val="22"/>
          <w:lang w:val="lt-LT"/>
        </w:rPr>
        <w:t>Lajelio</w:t>
      </w:r>
      <w:proofErr w:type="spellEnd"/>
      <w:r w:rsidRPr="005E01FF">
        <w:rPr>
          <w:iCs/>
          <w:szCs w:val="22"/>
          <w:lang w:val="lt-LT"/>
        </w:rPr>
        <w:t xml:space="preserve"> sindromas).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K</w:t>
      </w:r>
      <w:r w:rsidRPr="005E01FF">
        <w:rPr>
          <w:iCs/>
          <w:szCs w:val="22"/>
          <w:lang w:val="lt-LT"/>
        </w:rPr>
        <w:t>epenų uždegimas, kepenų ląstelių žūtis, tulžies sąstovis.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M</w:t>
      </w:r>
      <w:r w:rsidRPr="005E01FF">
        <w:rPr>
          <w:iCs/>
          <w:szCs w:val="22"/>
          <w:lang w:val="lt-LT"/>
        </w:rPr>
        <w:t>azginė raudonė, ypač kojų srityje ir laikinas plaukų slinkimas.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K</w:t>
      </w:r>
      <w:r w:rsidRPr="005E01FF">
        <w:rPr>
          <w:iCs/>
          <w:szCs w:val="22"/>
          <w:lang w:val="lt-LT"/>
        </w:rPr>
        <w:t>ristalai šlapime (</w:t>
      </w:r>
      <w:proofErr w:type="spellStart"/>
      <w:r w:rsidRPr="005E01FF">
        <w:rPr>
          <w:iCs/>
          <w:szCs w:val="22"/>
          <w:lang w:val="lt-LT"/>
        </w:rPr>
        <w:t>kristalurija</w:t>
      </w:r>
      <w:proofErr w:type="spellEnd"/>
      <w:r w:rsidRPr="005E01FF">
        <w:rPr>
          <w:iCs/>
          <w:szCs w:val="22"/>
          <w:lang w:val="lt-LT"/>
        </w:rPr>
        <w:t>).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G</w:t>
      </w:r>
      <w:r w:rsidRPr="005E01FF">
        <w:rPr>
          <w:iCs/>
          <w:szCs w:val="22"/>
          <w:lang w:val="lt-LT"/>
        </w:rPr>
        <w:t>rįžtami spermos susidarymo sutrikimai.</w:t>
      </w:r>
    </w:p>
    <w:p w:rsidR="0071566C" w:rsidRPr="00F73660" w:rsidRDefault="0071566C" w:rsidP="0071566C">
      <w:pPr>
        <w:pStyle w:val="Sraopastraipa"/>
        <w:keepNext/>
        <w:keepLines/>
        <w:numPr>
          <w:ilvl w:val="0"/>
          <w:numId w:val="5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S</w:t>
      </w:r>
      <w:r w:rsidRPr="005E01FF">
        <w:rPr>
          <w:iCs/>
          <w:szCs w:val="22"/>
          <w:lang w:val="lt-LT"/>
        </w:rPr>
        <w:t>eilių liaukų uždegimas (taip vadinamasis parotitas).</w:t>
      </w:r>
    </w:p>
    <w:p w:rsidR="0071566C" w:rsidRPr="00F73660" w:rsidRDefault="0071566C" w:rsidP="0071566C">
      <w:pPr>
        <w:keepNext/>
        <w:keepLines/>
        <w:numPr>
          <w:ilvl w:val="12"/>
          <w:numId w:val="0"/>
        </w:numPr>
        <w:ind w:right="-29"/>
        <w:rPr>
          <w:iCs/>
          <w:szCs w:val="22"/>
          <w:lang w:val="lt-LT"/>
        </w:rPr>
      </w:pPr>
    </w:p>
    <w:p w:rsidR="0071566C" w:rsidRDefault="0071566C" w:rsidP="0071566C">
      <w:pPr>
        <w:keepNext/>
        <w:keepLines/>
        <w:numPr>
          <w:ilvl w:val="12"/>
          <w:numId w:val="0"/>
        </w:numPr>
        <w:ind w:right="-29"/>
        <w:rPr>
          <w:i/>
          <w:szCs w:val="22"/>
          <w:lang w:val="lt-LT"/>
        </w:rPr>
      </w:pPr>
      <w:proofErr w:type="spellStart"/>
      <w:r>
        <w:rPr>
          <w:b/>
          <w:bCs/>
          <w:szCs w:val="22"/>
          <w:lang w:eastAsia="lt-LT"/>
        </w:rPr>
        <w:t>Labai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pasireikšti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rečiau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kaip</w:t>
      </w:r>
      <w:proofErr w:type="spellEnd"/>
      <w:r>
        <w:rPr>
          <w:b/>
          <w:bCs/>
          <w:szCs w:val="22"/>
          <w:lang w:eastAsia="lt-LT"/>
        </w:rPr>
        <w:t xml:space="preserve"> 1 </w:t>
      </w:r>
      <w:proofErr w:type="spellStart"/>
      <w:r>
        <w:rPr>
          <w:b/>
          <w:bCs/>
          <w:szCs w:val="22"/>
          <w:lang w:eastAsia="lt-LT"/>
        </w:rPr>
        <w:t>iš</w:t>
      </w:r>
      <w:proofErr w:type="spellEnd"/>
      <w:r>
        <w:rPr>
          <w:b/>
          <w:bCs/>
          <w:szCs w:val="22"/>
          <w:lang w:eastAsia="lt-LT"/>
        </w:rPr>
        <w:t xml:space="preserve"> 10 000 </w:t>
      </w:r>
      <w:proofErr w:type="spellStart"/>
      <w:r>
        <w:rPr>
          <w:b/>
          <w:bCs/>
          <w:szCs w:val="22"/>
          <w:lang w:eastAsia="lt-LT"/>
        </w:rPr>
        <w:t>asmenų</w:t>
      </w:r>
      <w:proofErr w:type="spellEnd"/>
      <w:r>
        <w:rPr>
          <w:b/>
          <w:bCs/>
          <w:szCs w:val="22"/>
          <w:lang w:eastAsia="lt-LT"/>
        </w:rPr>
        <w:t>):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7"/>
        </w:numPr>
        <w:ind w:left="357" w:hanging="357"/>
        <w:rPr>
          <w:iCs/>
          <w:szCs w:val="22"/>
          <w:lang w:val="lt-LT"/>
        </w:rPr>
      </w:pPr>
      <w:r>
        <w:rPr>
          <w:iCs/>
          <w:szCs w:val="22"/>
          <w:lang w:val="lt-LT"/>
        </w:rPr>
        <w:t>R</w:t>
      </w:r>
      <w:r w:rsidRPr="005E01FF">
        <w:rPr>
          <w:iCs/>
          <w:szCs w:val="22"/>
          <w:lang w:val="lt-LT"/>
        </w:rPr>
        <w:t>audonųjų kraujo kūnelių suirimas ir kitos mažakraujystės formos (ypač pacientams, kuriems yra gliukozės</w:t>
      </w:r>
      <w:r w:rsidRPr="005E01FF">
        <w:rPr>
          <w:iCs/>
          <w:szCs w:val="22"/>
          <w:lang w:val="lt-LT"/>
        </w:rPr>
        <w:noBreakHyphen/>
        <w:t>6</w:t>
      </w:r>
      <w:r w:rsidRPr="005E01FF">
        <w:rPr>
          <w:iCs/>
          <w:szCs w:val="22"/>
          <w:lang w:val="lt-LT"/>
        </w:rPr>
        <w:noBreakHyphen/>
        <w:t>fosfatdehidrogenazės nepakankamumas), baltųjų kraujo kūnelių trūkumas (</w:t>
      </w:r>
      <w:proofErr w:type="spellStart"/>
      <w:r w:rsidRPr="005E01FF">
        <w:rPr>
          <w:iCs/>
          <w:szCs w:val="22"/>
          <w:lang w:val="lt-LT"/>
        </w:rPr>
        <w:t>agranulocitozė</w:t>
      </w:r>
      <w:proofErr w:type="spellEnd"/>
      <w:r w:rsidRPr="005E01FF">
        <w:rPr>
          <w:iCs/>
          <w:szCs w:val="22"/>
          <w:lang w:val="lt-LT"/>
        </w:rPr>
        <w:t>), kraujo plokštelių sumažėjimas (</w:t>
      </w:r>
      <w:proofErr w:type="spellStart"/>
      <w:r w:rsidRPr="005E01FF">
        <w:rPr>
          <w:iCs/>
          <w:szCs w:val="22"/>
          <w:lang w:val="lt-LT"/>
        </w:rPr>
        <w:t>trombocitopenija</w:t>
      </w:r>
      <w:proofErr w:type="spellEnd"/>
      <w:r w:rsidRPr="005E01FF">
        <w:rPr>
          <w:iCs/>
          <w:szCs w:val="22"/>
          <w:lang w:val="lt-LT"/>
        </w:rPr>
        <w:t>), bendras baltųjų kraujo kūnelių skaičiaus sumažėjimas (</w:t>
      </w:r>
      <w:proofErr w:type="spellStart"/>
      <w:r w:rsidRPr="005E01FF">
        <w:rPr>
          <w:iCs/>
          <w:szCs w:val="22"/>
          <w:lang w:val="lt-LT"/>
        </w:rPr>
        <w:t>leukopenija</w:t>
      </w:r>
      <w:proofErr w:type="spellEnd"/>
      <w:r w:rsidRPr="005E01FF">
        <w:rPr>
          <w:iCs/>
          <w:szCs w:val="22"/>
          <w:lang w:val="lt-LT"/>
        </w:rPr>
        <w:t xml:space="preserve">) ir </w:t>
      </w:r>
      <w:proofErr w:type="spellStart"/>
      <w:r w:rsidRPr="005E01FF">
        <w:rPr>
          <w:iCs/>
          <w:szCs w:val="22"/>
          <w:lang w:val="lt-LT"/>
        </w:rPr>
        <w:t>eozinofilų</w:t>
      </w:r>
      <w:proofErr w:type="spellEnd"/>
      <w:r w:rsidRPr="005E01FF">
        <w:rPr>
          <w:iCs/>
          <w:szCs w:val="22"/>
          <w:lang w:val="lt-LT"/>
        </w:rPr>
        <w:t xml:space="preserve"> kiekio padidėjimas (</w:t>
      </w:r>
      <w:proofErr w:type="spellStart"/>
      <w:r w:rsidRPr="005E01FF">
        <w:rPr>
          <w:iCs/>
          <w:szCs w:val="22"/>
          <w:lang w:val="lt-LT"/>
        </w:rPr>
        <w:t>eozinofilija</w:t>
      </w:r>
      <w:proofErr w:type="spellEnd"/>
      <w:r w:rsidRPr="005E01FF">
        <w:rPr>
          <w:iCs/>
          <w:szCs w:val="22"/>
          <w:lang w:val="lt-LT"/>
        </w:rPr>
        <w:t>).</w:t>
      </w:r>
    </w:p>
    <w:p w:rsidR="0071566C" w:rsidRPr="00F73660" w:rsidRDefault="0071566C" w:rsidP="0071566C">
      <w:pPr>
        <w:keepNext/>
        <w:keepLines/>
        <w:rPr>
          <w:iCs/>
          <w:szCs w:val="22"/>
          <w:lang w:val="lt-LT"/>
        </w:rPr>
      </w:pPr>
    </w:p>
    <w:p w:rsidR="0071566C" w:rsidRPr="00682064" w:rsidRDefault="0071566C" w:rsidP="0071566C">
      <w:pPr>
        <w:rPr>
          <w:b/>
          <w:bCs/>
          <w:szCs w:val="22"/>
          <w:lang w:eastAsia="lt-LT"/>
        </w:rPr>
      </w:pPr>
      <w:proofErr w:type="spellStart"/>
      <w:r w:rsidRPr="00682064">
        <w:rPr>
          <w:b/>
          <w:bCs/>
          <w:szCs w:val="22"/>
          <w:lang w:eastAsia="lt-LT"/>
        </w:rPr>
        <w:t>Dažnis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nežinomas</w:t>
      </w:r>
      <w:proofErr w:type="spellEnd"/>
      <w:r w:rsidRPr="00682064">
        <w:rPr>
          <w:b/>
          <w:bCs/>
          <w:szCs w:val="22"/>
          <w:lang w:eastAsia="lt-LT"/>
        </w:rPr>
        <w:t xml:space="preserve"> (</w:t>
      </w:r>
      <w:proofErr w:type="spellStart"/>
      <w:r w:rsidRPr="00682064">
        <w:rPr>
          <w:b/>
          <w:bCs/>
          <w:szCs w:val="22"/>
          <w:lang w:eastAsia="lt-LT"/>
        </w:rPr>
        <w:t>negali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būti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apskaičiuotas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pagal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turimus</w:t>
      </w:r>
      <w:proofErr w:type="spellEnd"/>
      <w:r w:rsidRPr="00682064">
        <w:rPr>
          <w:b/>
          <w:bCs/>
          <w:szCs w:val="22"/>
          <w:lang w:eastAsia="lt-LT"/>
        </w:rPr>
        <w:t xml:space="preserve"> </w:t>
      </w:r>
      <w:proofErr w:type="spellStart"/>
      <w:r w:rsidRPr="00682064">
        <w:rPr>
          <w:b/>
          <w:bCs/>
          <w:szCs w:val="22"/>
          <w:lang w:eastAsia="lt-LT"/>
        </w:rPr>
        <w:t>duomenis</w:t>
      </w:r>
      <w:proofErr w:type="spellEnd"/>
      <w:r w:rsidRPr="00682064">
        <w:rPr>
          <w:b/>
          <w:bCs/>
          <w:szCs w:val="22"/>
          <w:lang w:eastAsia="lt-LT"/>
        </w:rPr>
        <w:t>):</w:t>
      </w:r>
    </w:p>
    <w:p w:rsidR="0071566C" w:rsidRPr="00682064" w:rsidRDefault="0071566C" w:rsidP="0071566C">
      <w:pPr>
        <w:pStyle w:val="Sraopastraipa"/>
        <w:numPr>
          <w:ilvl w:val="0"/>
          <w:numId w:val="9"/>
        </w:numPr>
        <w:ind w:left="426" w:hanging="426"/>
        <w:rPr>
          <w:iCs/>
          <w:lang w:val="lt-LT"/>
        </w:rPr>
      </w:pPr>
      <w:r w:rsidRPr="00682064">
        <w:rPr>
          <w:iCs/>
          <w:lang w:val="lt-LT"/>
        </w:rPr>
        <w:t>Smulkiųjų kraujagyslių sienelių uždegimas, kuris sukelia odos pažeidimus, kurio pasireiškimo dažnis nežinomas.</w:t>
      </w:r>
    </w:p>
    <w:p w:rsidR="0071566C" w:rsidRDefault="0071566C" w:rsidP="0071566C">
      <w:pPr>
        <w:pStyle w:val="Sraopastraipa"/>
        <w:keepNext/>
        <w:keepLines/>
        <w:numPr>
          <w:ilvl w:val="0"/>
          <w:numId w:val="9"/>
        </w:numPr>
        <w:ind w:left="426" w:hanging="426"/>
        <w:rPr>
          <w:iCs/>
          <w:szCs w:val="22"/>
          <w:lang w:val="lt-LT"/>
        </w:rPr>
      </w:pPr>
      <w:r w:rsidRPr="005E01FF">
        <w:rPr>
          <w:iCs/>
          <w:szCs w:val="22"/>
          <w:lang w:val="lt-LT"/>
        </w:rPr>
        <w:t>Kepenų uždegimas dėl imuninės sistemos poveikio kepenų ląstelėms, kurio pasireiškimo dažnis nežinomas.</w:t>
      </w:r>
    </w:p>
    <w:p w:rsidR="0071566C" w:rsidRPr="00933485" w:rsidRDefault="0071566C" w:rsidP="0071566C">
      <w:pPr>
        <w:pStyle w:val="Sraopastraipa"/>
        <w:keepNext/>
        <w:keepLines/>
        <w:numPr>
          <w:ilvl w:val="0"/>
          <w:numId w:val="9"/>
        </w:numPr>
        <w:ind w:left="426" w:hanging="426"/>
        <w:rPr>
          <w:iCs/>
          <w:szCs w:val="22"/>
          <w:lang w:val="lt-LT"/>
        </w:rPr>
      </w:pPr>
      <w:r w:rsidRPr="005E01FF">
        <w:rPr>
          <w:iCs/>
          <w:szCs w:val="22"/>
          <w:lang w:val="lt-LT"/>
        </w:rPr>
        <w:t>Inkstų kanalėlius gaubiančio audinio uždegimas, sukeliantis inkstų veiklos sutrikimą, kurio pasireiškimo dažnis nežinomas.</w:t>
      </w:r>
    </w:p>
    <w:p w:rsidR="0071566C" w:rsidRDefault="0071566C" w:rsidP="0071566C">
      <w:pPr>
        <w:keepNext/>
        <w:keepLines/>
        <w:numPr>
          <w:ilvl w:val="12"/>
          <w:numId w:val="0"/>
        </w:numPr>
        <w:ind w:right="-29"/>
        <w:rPr>
          <w:iCs/>
          <w:szCs w:val="22"/>
          <w:lang w:val="lt-LT"/>
        </w:rPr>
      </w:pPr>
    </w:p>
    <w:p w:rsidR="0071566C" w:rsidRDefault="0071566C" w:rsidP="0071566C">
      <w:pPr>
        <w:keepNext/>
        <w:rPr>
          <w:szCs w:val="22"/>
          <w:lang w:val="lt-LT"/>
        </w:rPr>
      </w:pPr>
      <w:r w:rsidRPr="005F4FE9">
        <w:rPr>
          <w:szCs w:val="22"/>
          <w:lang w:val="lt-LT"/>
        </w:rPr>
        <w:t xml:space="preserve">Nepageidaujamas poveikis virškinimo </w:t>
      </w:r>
      <w:r>
        <w:rPr>
          <w:szCs w:val="22"/>
          <w:lang w:val="lt-LT"/>
        </w:rPr>
        <w:t>traktui sumažėja</w:t>
      </w:r>
      <w:r w:rsidRPr="005F4FE9">
        <w:rPr>
          <w:szCs w:val="22"/>
          <w:lang w:val="lt-LT"/>
        </w:rPr>
        <w:t xml:space="preserve">, jei </w:t>
      </w:r>
      <w:proofErr w:type="spellStart"/>
      <w:r w:rsidRPr="005F4FE9">
        <w:rPr>
          <w:szCs w:val="22"/>
          <w:lang w:val="lt-LT"/>
        </w:rPr>
        <w:t>nitrofuratoino</w:t>
      </w:r>
      <w:proofErr w:type="spellEnd"/>
      <w:r w:rsidRPr="005F4FE9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vartojama</w:t>
      </w:r>
      <w:r w:rsidRPr="005F4FE9">
        <w:rPr>
          <w:szCs w:val="22"/>
          <w:lang w:val="lt-LT"/>
        </w:rPr>
        <w:t xml:space="preserve"> valgant</w:t>
      </w:r>
      <w:r>
        <w:rPr>
          <w:szCs w:val="22"/>
          <w:lang w:val="lt-LT"/>
        </w:rPr>
        <w:t xml:space="preserve"> ir gausiai užsigeriant.</w:t>
      </w:r>
      <w:r w:rsidRPr="005F4FE9">
        <w:rPr>
          <w:szCs w:val="22"/>
          <w:lang w:val="lt-LT"/>
        </w:rPr>
        <w:t xml:space="preserve"> </w:t>
      </w:r>
    </w:p>
    <w:p w:rsidR="0071566C" w:rsidRDefault="0071566C" w:rsidP="0071566C">
      <w:pPr>
        <w:keepNext/>
        <w:rPr>
          <w:szCs w:val="22"/>
          <w:lang w:val="lt-LT"/>
        </w:rPr>
      </w:pPr>
    </w:p>
    <w:p w:rsidR="0071566C" w:rsidRPr="005E01FF" w:rsidRDefault="0071566C" w:rsidP="0071566C">
      <w:pPr>
        <w:keepNext/>
        <w:rPr>
          <w:szCs w:val="22"/>
          <w:lang w:val="lt-LT"/>
        </w:rPr>
      </w:pPr>
      <w:r w:rsidRPr="005E01FF">
        <w:rPr>
          <w:szCs w:val="22"/>
          <w:lang w:val="lt-LT"/>
        </w:rPr>
        <w:t>Pasireiškus pirmiesiems plaučių pažeidimo požymiams, vaisto vartojimą būtina nedelsiant nutraukti.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>Pranešimas apie šalutinį poveikį</w:t>
      </w:r>
    </w:p>
    <w:p w:rsidR="0071566C" w:rsidRPr="005F4FE9" w:rsidRDefault="0071566C" w:rsidP="0071566C">
      <w:pPr>
        <w:jc w:val="left"/>
        <w:rPr>
          <w:szCs w:val="22"/>
          <w:lang w:val="lt-LT"/>
        </w:rPr>
      </w:pPr>
      <w:r w:rsidRPr="007F2382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7F2382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7F2382">
        <w:rPr>
          <w:color w:val="0000EE"/>
          <w:szCs w:val="22"/>
          <w:u w:val="single"/>
          <w:lang w:val="lt-LT" w:eastAsia="lt-LT"/>
        </w:rPr>
        <w:t>https://vvkt.lrv.lt/lt/</w:t>
      </w:r>
      <w:r w:rsidRPr="007F2382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71566C" w:rsidRDefault="0071566C" w:rsidP="0071566C">
      <w:pPr>
        <w:ind w:right="-449"/>
        <w:rPr>
          <w:szCs w:val="22"/>
          <w:lang w:val="lt-LT"/>
        </w:rPr>
      </w:pPr>
    </w:p>
    <w:p w:rsidR="0071566C" w:rsidRPr="005F4FE9" w:rsidRDefault="0071566C" w:rsidP="0071566C">
      <w:pPr>
        <w:ind w:right="-449"/>
        <w:rPr>
          <w:szCs w:val="22"/>
          <w:lang w:val="lt-LT"/>
        </w:rPr>
      </w:pPr>
    </w:p>
    <w:p w:rsidR="0071566C" w:rsidRPr="00A73B88" w:rsidRDefault="0071566C" w:rsidP="0071566C">
      <w:pPr>
        <w:pStyle w:val="BTEMEASMCA"/>
      </w:pPr>
      <w:bookmarkStart w:id="6" w:name="_Toc129243143"/>
      <w:bookmarkStart w:id="7" w:name="_Toc129243268"/>
      <w:r w:rsidRPr="00A73B88">
        <w:t>5.</w:t>
      </w:r>
      <w:r w:rsidRPr="00A73B88">
        <w:tab/>
        <w:t xml:space="preserve">Kaip laikyti </w:t>
      </w:r>
      <w:proofErr w:type="spellStart"/>
      <w:r w:rsidRPr="00A73B88">
        <w:t>Furadonins</w:t>
      </w:r>
      <w:bookmarkEnd w:id="6"/>
      <w:bookmarkEnd w:id="7"/>
      <w:proofErr w:type="spellEnd"/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5F4FE9">
        <w:rPr>
          <w:szCs w:val="22"/>
          <w:lang w:val="lt-LT"/>
        </w:rPr>
        <w:t>Šį vaistą laikykite vaikams nepastebimoje ir nepasiekiamoje vietoje.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Laikyti žemesnėje kaip 25 °C temperatūroje.</w:t>
      </w:r>
    </w:p>
    <w:p w:rsidR="0071566C" w:rsidRPr="005F4FE9" w:rsidRDefault="0071566C" w:rsidP="0071566C">
      <w:pPr>
        <w:rPr>
          <w:i/>
          <w:iCs/>
          <w:szCs w:val="22"/>
          <w:lang w:val="lt-LT"/>
        </w:rPr>
      </w:pPr>
      <w:r w:rsidRPr="005F4FE9">
        <w:rPr>
          <w:szCs w:val="22"/>
          <w:lang w:val="lt-LT"/>
        </w:rPr>
        <w:t>Laikyti gamintojo pakuotėje, kad vaistas būtų apsaugotas nuo drėgmės ir šviesos.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Ant dėžutės po „</w:t>
      </w:r>
      <w:r>
        <w:rPr>
          <w:szCs w:val="22"/>
          <w:lang w:val="lt-LT"/>
        </w:rPr>
        <w:t>EXP</w:t>
      </w:r>
      <w:r w:rsidRPr="005F4FE9">
        <w:rPr>
          <w:szCs w:val="22"/>
          <w:lang w:val="lt-LT"/>
        </w:rPr>
        <w:t xml:space="preserve">“ </w:t>
      </w:r>
      <w:r w:rsidRPr="00B83D5A">
        <w:rPr>
          <w:szCs w:val="22"/>
          <w:lang w:val="lt-LT"/>
        </w:rPr>
        <w:t xml:space="preserve">nurodytam tinkamumo laikui pasibaigus, šio vaisto vartoti negalima. </w:t>
      </w:r>
      <w:r w:rsidRPr="005F4FE9">
        <w:rPr>
          <w:szCs w:val="22"/>
          <w:lang w:val="lt-LT"/>
        </w:rPr>
        <w:t>Vaistas tinka</w:t>
      </w:r>
      <w:r>
        <w:rPr>
          <w:szCs w:val="22"/>
          <w:lang w:val="lt-LT"/>
        </w:rPr>
        <w:t>mas</w:t>
      </w:r>
      <w:r w:rsidRPr="005F4FE9">
        <w:rPr>
          <w:szCs w:val="22"/>
          <w:lang w:val="lt-LT"/>
        </w:rPr>
        <w:t xml:space="preserve"> vartoti iki paskutinės nurodyto mėnesio dienos.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Pastebėjus matomų gedimo požymių, šio vaisto vartoti negalima.</w:t>
      </w:r>
    </w:p>
    <w:p w:rsidR="0071566C" w:rsidRPr="005F4FE9" w:rsidRDefault="0071566C" w:rsidP="0071566C">
      <w:pPr>
        <w:rPr>
          <w:szCs w:val="22"/>
          <w:lang w:val="lt-LT"/>
        </w:rPr>
      </w:pP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rPr>
          <w:b/>
          <w:szCs w:val="22"/>
          <w:lang w:val="lt-LT"/>
        </w:rPr>
      </w:pPr>
      <w:bookmarkStart w:id="8" w:name="_Toc129243144"/>
      <w:bookmarkStart w:id="9" w:name="_Toc129243269"/>
      <w:r w:rsidRPr="005F4FE9">
        <w:rPr>
          <w:b/>
          <w:szCs w:val="22"/>
          <w:lang w:val="lt-LT"/>
        </w:rPr>
        <w:t>6.</w:t>
      </w:r>
      <w:r w:rsidRPr="005F4FE9">
        <w:rPr>
          <w:b/>
          <w:szCs w:val="22"/>
          <w:lang w:val="lt-LT"/>
        </w:rPr>
        <w:tab/>
        <w:t>Pakuotės turinys ir kita informacija</w:t>
      </w:r>
      <w:bookmarkEnd w:id="8"/>
      <w:bookmarkEnd w:id="9"/>
    </w:p>
    <w:p w:rsidR="0071566C" w:rsidRPr="005F4FE9" w:rsidRDefault="0071566C" w:rsidP="0071566C">
      <w:pPr>
        <w:numPr>
          <w:ilvl w:val="12"/>
          <w:numId w:val="0"/>
        </w:numPr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5F4FE9">
        <w:rPr>
          <w:rFonts w:ascii="Times New Roman" w:hAnsi="Times New Roman"/>
          <w:sz w:val="22"/>
          <w:szCs w:val="22"/>
          <w:lang w:val="lt-LT"/>
        </w:rPr>
        <w:t>Furadonins</w:t>
      </w:r>
      <w:proofErr w:type="spellEnd"/>
      <w:r w:rsidRPr="005F4FE9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:rsidR="0071566C" w:rsidRPr="00893CED" w:rsidRDefault="0071566C" w:rsidP="0071566C">
      <w:pPr>
        <w:pStyle w:val="Sraopastraipa"/>
        <w:numPr>
          <w:ilvl w:val="0"/>
          <w:numId w:val="8"/>
        </w:numPr>
        <w:ind w:left="284" w:hanging="284"/>
        <w:rPr>
          <w:szCs w:val="22"/>
          <w:lang w:val="lt-LT"/>
        </w:rPr>
      </w:pPr>
      <w:r w:rsidRPr="00893CED">
        <w:rPr>
          <w:szCs w:val="22"/>
          <w:lang w:val="lt-LT"/>
        </w:rPr>
        <w:t xml:space="preserve">Veiklioji medžiaga yra </w:t>
      </w:r>
      <w:proofErr w:type="spellStart"/>
      <w:r w:rsidRPr="00893CED">
        <w:rPr>
          <w:szCs w:val="22"/>
          <w:lang w:val="lt-LT"/>
        </w:rPr>
        <w:t>nitrofurantoinas</w:t>
      </w:r>
      <w:proofErr w:type="spellEnd"/>
      <w:r w:rsidRPr="00893CED">
        <w:rPr>
          <w:szCs w:val="22"/>
          <w:lang w:val="lt-LT"/>
        </w:rPr>
        <w:t>. Jo vienoje tabletėje yra 100 mg</w:t>
      </w:r>
    </w:p>
    <w:p w:rsidR="0071566C" w:rsidRPr="00893CED" w:rsidRDefault="0071566C" w:rsidP="0071566C">
      <w:pPr>
        <w:pStyle w:val="Sraopastraipa"/>
        <w:numPr>
          <w:ilvl w:val="0"/>
          <w:numId w:val="8"/>
        </w:numPr>
        <w:ind w:left="284" w:hanging="284"/>
        <w:rPr>
          <w:szCs w:val="22"/>
          <w:lang w:val="lt-LT"/>
        </w:rPr>
      </w:pPr>
      <w:r w:rsidRPr="00893CED">
        <w:rPr>
          <w:szCs w:val="22"/>
          <w:lang w:val="lt-LT"/>
        </w:rPr>
        <w:t xml:space="preserve">Pagalbinės medžiagos yra bulvių krakmolas, koloidinis bevandenis silicio dioksidas, kalcio </w:t>
      </w:r>
      <w:proofErr w:type="spellStart"/>
      <w:r w:rsidRPr="00893CED">
        <w:rPr>
          <w:szCs w:val="22"/>
          <w:lang w:val="lt-LT"/>
        </w:rPr>
        <w:t>stearatas</w:t>
      </w:r>
      <w:proofErr w:type="spellEnd"/>
      <w:r w:rsidRPr="00893CED">
        <w:rPr>
          <w:szCs w:val="22"/>
          <w:lang w:val="lt-LT"/>
        </w:rPr>
        <w:t>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5F4FE9">
        <w:rPr>
          <w:rFonts w:ascii="Times New Roman" w:hAnsi="Times New Roman"/>
          <w:sz w:val="22"/>
          <w:szCs w:val="22"/>
          <w:lang w:val="lt-LT"/>
        </w:rPr>
        <w:t>Furadonins</w:t>
      </w:r>
      <w:proofErr w:type="spellEnd"/>
      <w:r w:rsidRPr="005F4FE9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Geltonos ar žalsvai geltonos, su nežymiais spalvos pokyčiais paviršiuje, apvalios, plokščios, lygiais kraštais tabletės.</w:t>
      </w:r>
    </w:p>
    <w:p w:rsidR="0071566C" w:rsidRPr="005F4FE9" w:rsidRDefault="0071566C" w:rsidP="0071566C">
      <w:pPr>
        <w:rPr>
          <w:szCs w:val="22"/>
          <w:lang w:val="lt-LT"/>
        </w:rPr>
      </w:pPr>
      <w:r w:rsidRPr="005F4FE9">
        <w:rPr>
          <w:szCs w:val="22"/>
          <w:lang w:val="lt-LT"/>
        </w:rPr>
        <w:t>Kartono dėžutėje yra 20 tablečių (2 lizdinės plokštelės).</w:t>
      </w:r>
    </w:p>
    <w:p w:rsidR="0071566C" w:rsidRPr="005F4FE9" w:rsidRDefault="0071566C" w:rsidP="0071566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71566C" w:rsidRPr="005F4FE9" w:rsidRDefault="0071566C" w:rsidP="0071566C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5F4FE9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71566C" w:rsidRPr="007F2382" w:rsidRDefault="0071566C" w:rsidP="0071566C">
      <w:pPr>
        <w:pStyle w:val="Pagrindinistekstas"/>
        <w:jc w:val="left"/>
        <w:rPr>
          <w:i w:val="0"/>
          <w:iCs/>
          <w:color w:val="auto"/>
          <w:szCs w:val="22"/>
        </w:rPr>
      </w:pPr>
      <w:proofErr w:type="spellStart"/>
      <w:r w:rsidRPr="007F2382">
        <w:rPr>
          <w:i w:val="0"/>
          <w:iCs/>
          <w:color w:val="auto"/>
          <w:szCs w:val="22"/>
        </w:rPr>
        <w:t>Olpha</w:t>
      </w:r>
      <w:proofErr w:type="spellEnd"/>
      <w:r w:rsidRPr="007F2382">
        <w:rPr>
          <w:i w:val="0"/>
          <w:iCs/>
          <w:color w:val="auto"/>
          <w:szCs w:val="22"/>
        </w:rPr>
        <w:t xml:space="preserve"> AS</w:t>
      </w:r>
      <w:proofErr w:type="gramStart"/>
      <w:r w:rsidRPr="007F2382">
        <w:rPr>
          <w:i w:val="0"/>
          <w:iCs/>
          <w:color w:val="auto"/>
          <w:szCs w:val="22"/>
        </w:rPr>
        <w:t>,</w:t>
      </w:r>
      <w:proofErr w:type="gramEnd"/>
      <w:r w:rsidRPr="007F2382">
        <w:rPr>
          <w:i w:val="0"/>
          <w:iCs/>
          <w:color w:val="auto"/>
          <w:szCs w:val="22"/>
        </w:rPr>
        <w:br/>
      </w:r>
      <w:proofErr w:type="spellStart"/>
      <w:r w:rsidRPr="007F2382">
        <w:rPr>
          <w:i w:val="0"/>
          <w:iCs/>
          <w:color w:val="auto"/>
          <w:szCs w:val="22"/>
        </w:rPr>
        <w:t>Rupnicu</w:t>
      </w:r>
      <w:proofErr w:type="spellEnd"/>
      <w:r w:rsidRPr="007F2382">
        <w:rPr>
          <w:i w:val="0"/>
          <w:iCs/>
          <w:color w:val="auto"/>
          <w:szCs w:val="22"/>
        </w:rPr>
        <w:t xml:space="preserve"> </w:t>
      </w:r>
      <w:proofErr w:type="spellStart"/>
      <w:r w:rsidRPr="007F2382">
        <w:rPr>
          <w:i w:val="0"/>
          <w:iCs/>
          <w:color w:val="auto"/>
          <w:szCs w:val="22"/>
        </w:rPr>
        <w:t>iela</w:t>
      </w:r>
      <w:proofErr w:type="spellEnd"/>
      <w:r w:rsidRPr="007F2382">
        <w:rPr>
          <w:i w:val="0"/>
          <w:iCs/>
          <w:color w:val="auto"/>
          <w:szCs w:val="22"/>
        </w:rPr>
        <w:t xml:space="preserve"> 5, </w:t>
      </w:r>
      <w:r w:rsidRPr="007F2382">
        <w:rPr>
          <w:i w:val="0"/>
          <w:iCs/>
          <w:color w:val="auto"/>
          <w:szCs w:val="22"/>
        </w:rPr>
        <w:br/>
      </w:r>
      <w:proofErr w:type="spellStart"/>
      <w:r w:rsidRPr="007F2382">
        <w:rPr>
          <w:i w:val="0"/>
          <w:iCs/>
          <w:color w:val="auto"/>
          <w:szCs w:val="22"/>
        </w:rPr>
        <w:t>Olaine</w:t>
      </w:r>
      <w:proofErr w:type="spellEnd"/>
      <w:r w:rsidRPr="007F2382">
        <w:rPr>
          <w:i w:val="0"/>
          <w:iCs/>
          <w:color w:val="auto"/>
          <w:szCs w:val="22"/>
        </w:rPr>
        <w:t xml:space="preserve">, </w:t>
      </w:r>
      <w:proofErr w:type="spellStart"/>
      <w:r w:rsidRPr="007F2382">
        <w:rPr>
          <w:i w:val="0"/>
          <w:iCs/>
          <w:color w:val="auto"/>
          <w:szCs w:val="22"/>
        </w:rPr>
        <w:t>Olaines</w:t>
      </w:r>
      <w:proofErr w:type="spellEnd"/>
      <w:r w:rsidRPr="007F2382">
        <w:rPr>
          <w:i w:val="0"/>
          <w:iCs/>
          <w:color w:val="auto"/>
          <w:szCs w:val="22"/>
        </w:rPr>
        <w:t xml:space="preserve"> </w:t>
      </w:r>
      <w:proofErr w:type="spellStart"/>
      <w:r w:rsidRPr="007F2382">
        <w:rPr>
          <w:i w:val="0"/>
          <w:iCs/>
          <w:color w:val="auto"/>
          <w:szCs w:val="22"/>
        </w:rPr>
        <w:t>novads</w:t>
      </w:r>
      <w:proofErr w:type="spellEnd"/>
      <w:r w:rsidRPr="007F2382">
        <w:rPr>
          <w:i w:val="0"/>
          <w:iCs/>
          <w:color w:val="auto"/>
          <w:szCs w:val="22"/>
        </w:rPr>
        <w:t xml:space="preserve">, LV-2114, </w:t>
      </w:r>
    </w:p>
    <w:p w:rsidR="0071566C" w:rsidRPr="00185CFA" w:rsidRDefault="0071566C" w:rsidP="0071566C">
      <w:pPr>
        <w:jc w:val="left"/>
        <w:rPr>
          <w:iCs/>
          <w:szCs w:val="22"/>
          <w:lang w:val="lt-LT"/>
        </w:rPr>
      </w:pPr>
      <w:proofErr w:type="spellStart"/>
      <w:r w:rsidRPr="007F2382">
        <w:rPr>
          <w:iCs/>
          <w:szCs w:val="22"/>
        </w:rPr>
        <w:t>Latvija</w:t>
      </w:r>
      <w:proofErr w:type="spellEnd"/>
    </w:p>
    <w:p w:rsidR="0071566C" w:rsidRPr="00CE0916" w:rsidRDefault="0071566C" w:rsidP="0071566C">
      <w:pPr>
        <w:rPr>
          <w:sz w:val="24"/>
          <w:szCs w:val="24"/>
          <w:lang w:val="lt-LT"/>
        </w:rPr>
      </w:pPr>
    </w:p>
    <w:p w:rsidR="0071566C" w:rsidRDefault="0071566C" w:rsidP="0071566C">
      <w:pPr>
        <w:rPr>
          <w:sz w:val="24"/>
          <w:szCs w:val="24"/>
          <w:lang w:val="fr-FR"/>
        </w:rPr>
      </w:pPr>
    </w:p>
    <w:p w:rsidR="0071566C" w:rsidRPr="005F4FE9" w:rsidRDefault="0071566C" w:rsidP="0071566C">
      <w:pPr>
        <w:keepNext/>
        <w:numPr>
          <w:ilvl w:val="12"/>
          <w:numId w:val="0"/>
        </w:numPr>
        <w:ind w:right="-2"/>
        <w:rPr>
          <w:b/>
          <w:szCs w:val="22"/>
          <w:lang w:val="lt-LT"/>
        </w:rPr>
      </w:pPr>
      <w:r w:rsidRPr="005F4FE9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2024 -12-02.</w:t>
      </w:r>
    </w:p>
    <w:p w:rsidR="0071566C" w:rsidRPr="005F4FE9" w:rsidRDefault="0071566C" w:rsidP="0071566C">
      <w:pPr>
        <w:keepNext/>
        <w:rPr>
          <w:szCs w:val="22"/>
          <w:lang w:val="lt-LT"/>
        </w:rPr>
      </w:pPr>
    </w:p>
    <w:p w:rsidR="0071566C" w:rsidRPr="005F4FE9" w:rsidRDefault="0071566C" w:rsidP="0071566C">
      <w:pPr>
        <w:keepNext/>
        <w:rPr>
          <w:szCs w:val="22"/>
          <w:lang w:val="lt-LT"/>
        </w:rPr>
      </w:pPr>
    </w:p>
    <w:p w:rsidR="0071566C" w:rsidRPr="00496832" w:rsidRDefault="0071566C" w:rsidP="0071566C">
      <w:pPr>
        <w:keepNext/>
        <w:numPr>
          <w:ilvl w:val="12"/>
          <w:numId w:val="0"/>
        </w:numPr>
        <w:ind w:right="-2"/>
        <w:rPr>
          <w:szCs w:val="22"/>
          <w:lang w:val="lt-LT"/>
        </w:rPr>
      </w:pPr>
      <w:r w:rsidRPr="005F4FE9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5F4FE9">
        <w:rPr>
          <w:i/>
          <w:szCs w:val="22"/>
          <w:lang w:val="lt-LT"/>
        </w:rPr>
        <w:t xml:space="preserve"> </w:t>
      </w:r>
      <w:bookmarkStart w:id="10" w:name="_Hlk183004725"/>
      <w:r>
        <w:rPr>
          <w:szCs w:val="22"/>
        </w:rPr>
        <w:fldChar w:fldCharType="begin"/>
      </w:r>
      <w:r w:rsidRPr="007F2382">
        <w:rPr>
          <w:szCs w:val="22"/>
          <w:lang w:val="lt-LT"/>
        </w:rPr>
        <w:instrText>HYPERLINK "</w:instrText>
      </w:r>
      <w:r w:rsidRPr="007F2382">
        <w:rPr>
          <w:lang w:val="lt-LT"/>
        </w:rPr>
        <w:instrText>https://vvkt.lrv.lt/lt/</w:instrText>
      </w:r>
      <w:r w:rsidRPr="007F2382">
        <w:rPr>
          <w:szCs w:val="22"/>
          <w:lang w:val="lt-LT"/>
        </w:rPr>
        <w:instrText>"</w:instrText>
      </w:r>
      <w:r>
        <w:rPr>
          <w:szCs w:val="22"/>
        </w:rPr>
        <w:fldChar w:fldCharType="separate"/>
      </w:r>
      <w:r w:rsidRPr="007F2382">
        <w:rPr>
          <w:rStyle w:val="Hipersaitas"/>
          <w:szCs w:val="22"/>
          <w:lang w:val="lt-LT"/>
        </w:rPr>
        <w:t>https://vvkt.lrv.lt/lt/</w:t>
      </w:r>
      <w:r>
        <w:rPr>
          <w:szCs w:val="22"/>
        </w:rPr>
        <w:fldChar w:fldCharType="end"/>
      </w:r>
      <w:bookmarkEnd w:id="10"/>
      <w:r>
        <w:rPr>
          <w:szCs w:val="22"/>
          <w:lang w:val="lt-LT"/>
        </w:rPr>
        <w:t>.</w:t>
      </w:r>
    </w:p>
    <w:p w:rsidR="0071566C" w:rsidRPr="007D44E7" w:rsidRDefault="0071566C" w:rsidP="0071566C">
      <w:pPr>
        <w:rPr>
          <w:lang w:val="lt-LT"/>
        </w:rPr>
      </w:pPr>
    </w:p>
    <w:p w:rsidR="00BA6577" w:rsidRDefault="00BA6577">
      <w:bookmarkStart w:id="11" w:name="_GoBack"/>
      <w:bookmarkEnd w:id="1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D04667"/>
    <w:multiLevelType w:val="hybridMultilevel"/>
    <w:tmpl w:val="4570609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632"/>
    <w:multiLevelType w:val="hybridMultilevel"/>
    <w:tmpl w:val="9FAAD01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24CD"/>
    <w:multiLevelType w:val="hybridMultilevel"/>
    <w:tmpl w:val="15BC50BA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D5353"/>
    <w:multiLevelType w:val="hybridMultilevel"/>
    <w:tmpl w:val="BB5E91C2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3C2"/>
    <w:multiLevelType w:val="hybridMultilevel"/>
    <w:tmpl w:val="36C0EACE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EC4A99D6"/>
    <w:lvl w:ilvl="0" w:tplc="2DD6B30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74E1D"/>
    <w:multiLevelType w:val="hybridMultilevel"/>
    <w:tmpl w:val="0C8A46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4DD0"/>
    <w:multiLevelType w:val="hybridMultilevel"/>
    <w:tmpl w:val="EF18FF0E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6C"/>
    <w:rsid w:val="00072F85"/>
    <w:rsid w:val="000A5E72"/>
    <w:rsid w:val="000A7B60"/>
    <w:rsid w:val="00181364"/>
    <w:rsid w:val="002945D9"/>
    <w:rsid w:val="00305C48"/>
    <w:rsid w:val="003362C6"/>
    <w:rsid w:val="00497D4D"/>
    <w:rsid w:val="0071566C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4395-CB5B-427B-A2FA-8DE410D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566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1566C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1566C"/>
    <w:pPr>
      <w:keepNext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71566C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1566C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rsid w:val="0071566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71566C"/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566C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71566C"/>
    <w:pPr>
      <w:ind w:left="567" w:hanging="567"/>
    </w:pPr>
    <w:rPr>
      <w:rFonts w:eastAsia="SimSun"/>
      <w:b/>
      <w:bCs/>
      <w:snapToGrid/>
      <w:szCs w:val="22"/>
      <w:lang w:val="lt-LT" w:eastAsia="x-none"/>
    </w:rPr>
  </w:style>
  <w:style w:type="character" w:customStyle="1" w:styleId="BTEMEASMCAChar">
    <w:name w:val="BT EMEA_SMCA Char"/>
    <w:link w:val="BTEMEASMCA"/>
    <w:locked/>
    <w:rsid w:val="0071566C"/>
    <w:rPr>
      <w:rFonts w:ascii="Times New Roman" w:eastAsia="SimSun" w:hAnsi="Times New Roman" w:cs="Times New Roman"/>
      <w:b/>
      <w:bCs/>
      <w:lang w:eastAsia="x-none"/>
    </w:rPr>
  </w:style>
  <w:style w:type="character" w:customStyle="1" w:styleId="shorttext">
    <w:name w:val="short_text"/>
    <w:basedOn w:val="Numatytasispastraiposriftas"/>
    <w:rsid w:val="0071566C"/>
  </w:style>
  <w:style w:type="character" w:customStyle="1" w:styleId="hps">
    <w:name w:val="hps"/>
    <w:basedOn w:val="Numatytasispastraiposriftas"/>
    <w:rsid w:val="0071566C"/>
  </w:style>
  <w:style w:type="paragraph" w:customStyle="1" w:styleId="BTbEMEASMCA">
    <w:name w:val="BT(b) EMEA_SMCA"/>
    <w:basedOn w:val="BTEMEASMCA"/>
    <w:autoRedefine/>
    <w:rsid w:val="0071566C"/>
    <w:rPr>
      <w:rFonts w:eastAsia="Times New Roman"/>
      <w:bCs w:val="0"/>
      <w:color w:val="000000"/>
      <w:lang w:eastAsia="en-US"/>
    </w:rPr>
  </w:style>
  <w:style w:type="paragraph" w:customStyle="1" w:styleId="BT-EMEASMCA">
    <w:name w:val="BT- EMEA_SMCA"/>
    <w:basedOn w:val="BTEMEASMCA"/>
    <w:autoRedefine/>
    <w:rsid w:val="0071566C"/>
    <w:pPr>
      <w:numPr>
        <w:numId w:val="1"/>
      </w:numPr>
      <w:tabs>
        <w:tab w:val="clear" w:pos="720"/>
        <w:tab w:val="num" w:pos="360"/>
      </w:tabs>
      <w:ind w:left="0" w:firstLine="0"/>
    </w:pPr>
    <w:rPr>
      <w:rFonts w:eastAsia="Times New Roman"/>
      <w:b w:val="0"/>
      <w:noProof/>
      <w:lang w:val="x-none" w:eastAsia="en-US"/>
    </w:rPr>
  </w:style>
  <w:style w:type="paragraph" w:customStyle="1" w:styleId="PI-3EMEASMCA">
    <w:name w:val="PI-3 EMEA_SMCA"/>
    <w:basedOn w:val="prastasis"/>
    <w:autoRedefine/>
    <w:rsid w:val="0071566C"/>
    <w:pPr>
      <w:spacing w:line="220" w:lineRule="exact"/>
    </w:pPr>
    <w:rPr>
      <w:b/>
      <w:bCs/>
      <w:snapToGrid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71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7548</Words>
  <Characters>4303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Pakuotės lapelis: informacija vartotojui</vt:lpstr>
      <vt:lpstr>        4.	Galimas šalutinis poveikis</vt:lpstr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2025-01-03T12:51:00Z</dcterms:created>
  <dcterms:modified xsi:type="dcterms:W3CDTF">2025-01-03T12:52:00Z</dcterms:modified>
</cp:coreProperties>
</file>