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368" w:rsidRPr="00F3135A" w:rsidRDefault="00B30368" w:rsidP="00B30368">
      <w:pPr>
        <w:pStyle w:val="Antrat2"/>
        <w:tabs>
          <w:tab w:val="left" w:pos="1843"/>
        </w:tabs>
        <w:spacing w:before="0"/>
        <w:jc w:val="center"/>
        <w:rPr>
          <w:rFonts w:ascii="Times New Roman" w:hAnsi="Times New Roman" w:cs="Times New Roman"/>
          <w:bCs w:val="0"/>
          <w:iCs/>
          <w:color w:val="000000" w:themeColor="text1"/>
          <w:sz w:val="22"/>
          <w:szCs w:val="22"/>
        </w:rPr>
      </w:pPr>
      <w:r w:rsidRPr="00F3135A">
        <w:rPr>
          <w:rFonts w:ascii="Times New Roman" w:hAnsi="Times New Roman" w:cs="Times New Roman"/>
          <w:color w:val="000000" w:themeColor="text1"/>
          <w:sz w:val="22"/>
          <w:szCs w:val="22"/>
        </w:rPr>
        <w:t>Pakuotės lapelis:</w:t>
      </w:r>
      <w:r w:rsidRPr="00F3135A">
        <w:rPr>
          <w:rFonts w:ascii="Times New Roman" w:hAnsi="Times New Roman" w:cs="Times New Roman"/>
          <w:bCs w:val="0"/>
          <w:iCs/>
          <w:color w:val="000000" w:themeColor="text1"/>
          <w:sz w:val="22"/>
          <w:szCs w:val="22"/>
        </w:rPr>
        <w:t xml:space="preserve"> </w:t>
      </w:r>
      <w:r w:rsidRPr="00F3135A">
        <w:rPr>
          <w:rFonts w:ascii="Times New Roman" w:hAnsi="Times New Roman" w:cs="Times New Roman"/>
          <w:color w:val="000000" w:themeColor="text1"/>
          <w:sz w:val="22"/>
          <w:szCs w:val="22"/>
        </w:rPr>
        <w:t>informacija pacientui</w:t>
      </w:r>
    </w:p>
    <w:p w:rsidR="00B30368" w:rsidRPr="00F3135A" w:rsidRDefault="00B30368" w:rsidP="00B30368">
      <w:pPr>
        <w:ind w:left="1296" w:firstLine="1296"/>
        <w:jc w:val="center"/>
        <w:rPr>
          <w:b/>
          <w:sz w:val="22"/>
          <w:szCs w:val="22"/>
        </w:rPr>
      </w:pPr>
    </w:p>
    <w:p w:rsidR="00B30368" w:rsidRPr="00CC1EFB" w:rsidRDefault="00B30368" w:rsidP="00B30368">
      <w:pPr>
        <w:jc w:val="center"/>
        <w:rPr>
          <w:b/>
          <w:sz w:val="22"/>
          <w:szCs w:val="22"/>
        </w:rPr>
      </w:pPr>
      <w:r w:rsidRPr="00CC1EFB">
        <w:rPr>
          <w:b/>
          <w:sz w:val="22"/>
          <w:szCs w:val="22"/>
        </w:rPr>
        <w:t>CYCLODOL 2 mg tabletės</w:t>
      </w:r>
    </w:p>
    <w:p w:rsidR="00B30368" w:rsidRPr="0023702A" w:rsidRDefault="00B30368" w:rsidP="00B30368">
      <w:pPr>
        <w:jc w:val="center"/>
        <w:rPr>
          <w:sz w:val="22"/>
          <w:szCs w:val="22"/>
        </w:rPr>
      </w:pPr>
      <w:r>
        <w:rPr>
          <w:sz w:val="22"/>
          <w:szCs w:val="22"/>
        </w:rPr>
        <w:t>t</w:t>
      </w:r>
      <w:r w:rsidRPr="0023702A">
        <w:rPr>
          <w:sz w:val="22"/>
          <w:szCs w:val="22"/>
        </w:rPr>
        <w:t>riheksifenidilio hidrochloridas</w:t>
      </w:r>
    </w:p>
    <w:p w:rsidR="00B30368" w:rsidRPr="0023702A" w:rsidRDefault="00B30368" w:rsidP="00B30368">
      <w:pPr>
        <w:pStyle w:val="BTEMEASMCA"/>
        <w:jc w:val="center"/>
        <w:rPr>
          <w:lang w:val="lt-LT"/>
        </w:rPr>
      </w:pPr>
    </w:p>
    <w:p w:rsidR="00B30368" w:rsidRPr="00CC1EFB" w:rsidRDefault="00B30368" w:rsidP="00B30368">
      <w:pPr>
        <w:suppressAutoHyphens/>
        <w:ind w:left="142" w:hanging="142"/>
        <w:rPr>
          <w:sz w:val="22"/>
          <w:szCs w:val="22"/>
        </w:rPr>
      </w:pPr>
      <w:r w:rsidRPr="0023702A">
        <w:rPr>
          <w:b/>
          <w:noProof/>
          <w:sz w:val="22"/>
          <w:szCs w:val="22"/>
        </w:rPr>
        <w:t>Atidžiai perskaitykite visą šį lapelį, prieš pradėdami vartoti vaistą, nes jame pateikiama Jums svarbi informacija.</w:t>
      </w:r>
    </w:p>
    <w:p w:rsidR="00B30368" w:rsidRPr="0023702A" w:rsidRDefault="00B30368" w:rsidP="00B30368">
      <w:pPr>
        <w:numPr>
          <w:ilvl w:val="0"/>
          <w:numId w:val="6"/>
        </w:numPr>
        <w:ind w:left="567" w:right="-2" w:hanging="567"/>
        <w:rPr>
          <w:sz w:val="22"/>
          <w:szCs w:val="22"/>
        </w:rPr>
      </w:pPr>
      <w:r w:rsidRPr="0023702A">
        <w:rPr>
          <w:noProof/>
          <w:sz w:val="22"/>
          <w:szCs w:val="22"/>
        </w:rPr>
        <w:t>Neišmeskite šio lapelio, nes vėl gali prireikti jį perskaityti.</w:t>
      </w:r>
      <w:r w:rsidRPr="0023702A">
        <w:rPr>
          <w:sz w:val="22"/>
          <w:szCs w:val="22"/>
        </w:rPr>
        <w:t xml:space="preserve"> </w:t>
      </w:r>
    </w:p>
    <w:p w:rsidR="00B30368" w:rsidRPr="0023702A" w:rsidRDefault="00B30368" w:rsidP="00B30368">
      <w:pPr>
        <w:numPr>
          <w:ilvl w:val="0"/>
          <w:numId w:val="6"/>
        </w:numPr>
        <w:ind w:left="567" w:right="-2" w:hanging="567"/>
        <w:rPr>
          <w:sz w:val="22"/>
          <w:szCs w:val="22"/>
        </w:rPr>
      </w:pPr>
      <w:r w:rsidRPr="0023702A">
        <w:rPr>
          <w:noProof/>
          <w:sz w:val="22"/>
          <w:szCs w:val="22"/>
        </w:rPr>
        <w:t>Jeigu kiltų daugiau klausimų, kreipkitės į gydytoją arba vaistininką.</w:t>
      </w:r>
    </w:p>
    <w:p w:rsidR="00B30368" w:rsidRPr="0023702A" w:rsidRDefault="00B30368" w:rsidP="00B30368">
      <w:pPr>
        <w:ind w:left="567" w:right="-2" w:hanging="567"/>
        <w:rPr>
          <w:sz w:val="22"/>
          <w:szCs w:val="22"/>
        </w:rPr>
      </w:pPr>
      <w:r w:rsidRPr="0023702A">
        <w:rPr>
          <w:sz w:val="22"/>
          <w:szCs w:val="22"/>
        </w:rPr>
        <w:t>-</w:t>
      </w:r>
      <w:r w:rsidRPr="0023702A">
        <w:rPr>
          <w:sz w:val="22"/>
          <w:szCs w:val="22"/>
        </w:rPr>
        <w:tab/>
      </w:r>
      <w:r w:rsidRPr="0023702A">
        <w:rPr>
          <w:noProof/>
          <w:sz w:val="22"/>
          <w:szCs w:val="22"/>
        </w:rPr>
        <w:t>Šis vaistas skirtas tik Jums, todėl kitiems žmonėms jo duoti negalima.</w:t>
      </w:r>
      <w:r w:rsidRPr="0023702A">
        <w:rPr>
          <w:sz w:val="22"/>
          <w:szCs w:val="22"/>
        </w:rPr>
        <w:t xml:space="preserve"> </w:t>
      </w:r>
      <w:r w:rsidRPr="0023702A">
        <w:rPr>
          <w:noProof/>
          <w:sz w:val="22"/>
          <w:szCs w:val="22"/>
        </w:rPr>
        <w:t>Vaistas gali jiems pakenkti (net tiems, kurių ligos požymiai yra tokie patys kaip Jūsų).</w:t>
      </w:r>
      <w:r w:rsidRPr="0023702A">
        <w:rPr>
          <w:color w:val="008000"/>
          <w:sz w:val="22"/>
          <w:szCs w:val="22"/>
        </w:rPr>
        <w:t xml:space="preserve"> </w:t>
      </w:r>
    </w:p>
    <w:p w:rsidR="00B30368" w:rsidRPr="0023702A" w:rsidRDefault="00B30368" w:rsidP="00B30368">
      <w:pPr>
        <w:numPr>
          <w:ilvl w:val="0"/>
          <w:numId w:val="6"/>
        </w:numPr>
        <w:tabs>
          <w:tab w:val="left" w:pos="567"/>
        </w:tabs>
        <w:ind w:left="567" w:hanging="567"/>
        <w:rPr>
          <w:sz w:val="22"/>
          <w:szCs w:val="22"/>
        </w:rPr>
      </w:pPr>
      <w:r w:rsidRPr="0023702A">
        <w:rPr>
          <w:noProof/>
          <w:sz w:val="22"/>
          <w:szCs w:val="22"/>
        </w:rPr>
        <w:t>Jeigu pasireiškė šalutinis poveikis (net jeigu jis šiame lapelyje nenurodytas), kreipkitės į gydytoją arba vaistininką. Žr. 4 skyrių.</w:t>
      </w:r>
    </w:p>
    <w:p w:rsidR="00B30368" w:rsidRPr="0023702A" w:rsidRDefault="00B30368" w:rsidP="00B30368">
      <w:pPr>
        <w:pStyle w:val="BTEMEASMCA"/>
        <w:rPr>
          <w:lang w:val="lt-LT"/>
        </w:rPr>
      </w:pPr>
    </w:p>
    <w:p w:rsidR="00B30368" w:rsidRPr="00F3135A" w:rsidRDefault="00B30368" w:rsidP="00B30368">
      <w:pPr>
        <w:pStyle w:val="Antrat4"/>
        <w:rPr>
          <w:rFonts w:ascii="Times New Roman" w:hAnsi="Times New Roman" w:cs="Times New Roman"/>
          <w:i w:val="0"/>
          <w:color w:val="auto"/>
          <w:sz w:val="22"/>
          <w:szCs w:val="22"/>
        </w:rPr>
      </w:pPr>
      <w:r w:rsidRPr="00F3135A">
        <w:rPr>
          <w:rFonts w:ascii="Times New Roman" w:hAnsi="Times New Roman" w:cs="Times New Roman"/>
          <w:i w:val="0"/>
          <w:color w:val="auto"/>
          <w:sz w:val="22"/>
          <w:szCs w:val="22"/>
        </w:rPr>
        <w:t>Apie ką rašoma šiame lapelyje?</w:t>
      </w:r>
    </w:p>
    <w:p w:rsidR="00B30368" w:rsidRPr="0023702A" w:rsidRDefault="00B30368" w:rsidP="00B30368">
      <w:pPr>
        <w:pStyle w:val="BTEMEASMCA"/>
        <w:rPr>
          <w:lang w:val="lt-LT"/>
        </w:rPr>
      </w:pPr>
    </w:p>
    <w:p w:rsidR="00B30368" w:rsidRPr="0023702A" w:rsidRDefault="00B30368" w:rsidP="00B30368">
      <w:pPr>
        <w:pStyle w:val="BTEMEASMCA"/>
        <w:rPr>
          <w:lang w:val="lt-LT"/>
        </w:rPr>
      </w:pPr>
      <w:r w:rsidRPr="0023702A">
        <w:rPr>
          <w:lang w:val="lt-LT"/>
        </w:rPr>
        <w:t>1.</w:t>
      </w:r>
      <w:r w:rsidRPr="0023702A">
        <w:rPr>
          <w:lang w:val="lt-LT"/>
        </w:rPr>
        <w:tab/>
        <w:t>Kas yra CYCLODOL ir kam jis vartojamas</w:t>
      </w:r>
    </w:p>
    <w:p w:rsidR="00B30368" w:rsidRPr="0023702A" w:rsidRDefault="00B30368" w:rsidP="00B30368">
      <w:pPr>
        <w:pStyle w:val="BTEMEASMCA"/>
        <w:rPr>
          <w:lang w:val="lt-LT"/>
        </w:rPr>
      </w:pPr>
      <w:r w:rsidRPr="0023702A">
        <w:rPr>
          <w:lang w:val="lt-LT"/>
        </w:rPr>
        <w:t>2.</w:t>
      </w:r>
      <w:r w:rsidRPr="0023702A">
        <w:rPr>
          <w:lang w:val="lt-LT"/>
        </w:rPr>
        <w:tab/>
        <w:t xml:space="preserve">Kas žinotina prieš vartojant CYCLODOL </w:t>
      </w:r>
    </w:p>
    <w:p w:rsidR="00B30368" w:rsidRPr="0023702A" w:rsidRDefault="00B30368" w:rsidP="00B30368">
      <w:pPr>
        <w:pStyle w:val="BTEMEASMCA"/>
        <w:rPr>
          <w:lang w:val="lt-LT"/>
        </w:rPr>
      </w:pPr>
      <w:r w:rsidRPr="0023702A">
        <w:rPr>
          <w:lang w:val="lt-LT"/>
        </w:rPr>
        <w:t>3.</w:t>
      </w:r>
      <w:r w:rsidRPr="0023702A">
        <w:rPr>
          <w:lang w:val="lt-LT"/>
        </w:rPr>
        <w:tab/>
        <w:t xml:space="preserve">Kaip vartoti CYCLODOL </w:t>
      </w:r>
    </w:p>
    <w:p w:rsidR="00B30368" w:rsidRPr="0023702A" w:rsidRDefault="00B30368" w:rsidP="00B30368">
      <w:pPr>
        <w:pStyle w:val="BTEMEASMCA"/>
        <w:rPr>
          <w:lang w:val="lt-LT"/>
        </w:rPr>
      </w:pPr>
      <w:r w:rsidRPr="0023702A">
        <w:rPr>
          <w:lang w:val="lt-LT"/>
        </w:rPr>
        <w:t>4.</w:t>
      </w:r>
      <w:r w:rsidRPr="0023702A">
        <w:rPr>
          <w:lang w:val="lt-LT"/>
        </w:rPr>
        <w:tab/>
        <w:t>Galimas šalutinis poveikis</w:t>
      </w:r>
    </w:p>
    <w:p w:rsidR="00B30368" w:rsidRPr="0023702A" w:rsidRDefault="00B30368" w:rsidP="00B30368">
      <w:pPr>
        <w:pStyle w:val="BTEMEASMCA"/>
        <w:rPr>
          <w:lang w:val="lt-LT"/>
        </w:rPr>
      </w:pPr>
      <w:r w:rsidRPr="0023702A">
        <w:rPr>
          <w:lang w:val="lt-LT"/>
        </w:rPr>
        <w:t>5.</w:t>
      </w:r>
      <w:r w:rsidRPr="0023702A">
        <w:rPr>
          <w:lang w:val="lt-LT"/>
        </w:rPr>
        <w:tab/>
        <w:t xml:space="preserve">Kaip laikyti CYCLODOL </w:t>
      </w:r>
    </w:p>
    <w:p w:rsidR="00B30368" w:rsidRPr="0023702A" w:rsidRDefault="00B30368" w:rsidP="00B30368">
      <w:pPr>
        <w:pStyle w:val="BTEMEASMCA"/>
        <w:rPr>
          <w:lang w:val="lt-LT"/>
        </w:rPr>
      </w:pPr>
      <w:r w:rsidRPr="0023702A">
        <w:rPr>
          <w:lang w:val="lt-LT"/>
        </w:rPr>
        <w:t>6.</w:t>
      </w:r>
      <w:r w:rsidRPr="0023702A">
        <w:rPr>
          <w:lang w:val="lt-LT"/>
        </w:rPr>
        <w:tab/>
        <w:t>Pakuotės turinys ir kita informacija</w:t>
      </w:r>
    </w:p>
    <w:p w:rsidR="00B30368" w:rsidRPr="0023702A" w:rsidRDefault="00B30368" w:rsidP="00B30368">
      <w:pPr>
        <w:pStyle w:val="BTEMEASMCA"/>
        <w:rPr>
          <w:lang w:val="lt-LT"/>
        </w:rPr>
      </w:pPr>
    </w:p>
    <w:p w:rsidR="00B30368" w:rsidRPr="0023702A" w:rsidRDefault="00B30368" w:rsidP="00B30368">
      <w:pPr>
        <w:pStyle w:val="BTEMEASMCA"/>
        <w:rPr>
          <w:lang w:val="lt-LT"/>
        </w:rPr>
      </w:pPr>
    </w:p>
    <w:p w:rsidR="00B30368" w:rsidRPr="00CC1EFB" w:rsidRDefault="00B30368" w:rsidP="00B30368">
      <w:pPr>
        <w:pStyle w:val="PI-1EMEASMCA"/>
        <w:rPr>
          <w:sz w:val="22"/>
        </w:rPr>
      </w:pPr>
      <w:bookmarkStart w:id="0" w:name="_Toc129243139"/>
      <w:bookmarkStart w:id="1" w:name="_Toc129243264"/>
      <w:r w:rsidRPr="0023702A">
        <w:rPr>
          <w:sz w:val="22"/>
        </w:rPr>
        <w:t>1.</w:t>
      </w:r>
      <w:r w:rsidRPr="0023702A">
        <w:rPr>
          <w:sz w:val="22"/>
        </w:rPr>
        <w:tab/>
        <w:t>Kas yra CYCLODOL ir kam jis vartojamas</w:t>
      </w:r>
      <w:bookmarkEnd w:id="0"/>
      <w:bookmarkEnd w:id="1"/>
    </w:p>
    <w:p w:rsidR="00B30368" w:rsidRPr="0023702A" w:rsidRDefault="00B30368" w:rsidP="00B30368">
      <w:pPr>
        <w:pStyle w:val="BTEMEASMCA"/>
        <w:rPr>
          <w:lang w:val="lt-LT"/>
        </w:rPr>
      </w:pPr>
    </w:p>
    <w:p w:rsidR="00B30368" w:rsidRPr="0023702A" w:rsidRDefault="00B30368" w:rsidP="00B30368">
      <w:pPr>
        <w:ind w:right="150"/>
        <w:rPr>
          <w:sz w:val="22"/>
          <w:szCs w:val="22"/>
        </w:rPr>
      </w:pPr>
      <w:r w:rsidRPr="0023702A">
        <w:rPr>
          <w:sz w:val="22"/>
          <w:szCs w:val="22"/>
        </w:rPr>
        <w:t xml:space="preserve">CYCLODOL </w:t>
      </w:r>
      <w:r>
        <w:rPr>
          <w:sz w:val="22"/>
          <w:szCs w:val="22"/>
        </w:rPr>
        <w:t>sudėtyje yra veikliosios medžiagos t</w:t>
      </w:r>
      <w:r w:rsidRPr="00DA2B54">
        <w:rPr>
          <w:sz w:val="22"/>
          <w:szCs w:val="22"/>
        </w:rPr>
        <w:t>riheksifenidilio hidrochlorid</w:t>
      </w:r>
      <w:r>
        <w:rPr>
          <w:sz w:val="22"/>
          <w:szCs w:val="22"/>
        </w:rPr>
        <w:t xml:space="preserve">o. Vaistas yra </w:t>
      </w:r>
      <w:r w:rsidRPr="0023702A">
        <w:rPr>
          <w:sz w:val="22"/>
          <w:szCs w:val="22"/>
        </w:rPr>
        <w:t>vartojamas antriniam parkinsonizmui gydyti.</w:t>
      </w:r>
    </w:p>
    <w:p w:rsidR="00B30368" w:rsidRPr="0023702A" w:rsidRDefault="00B30368" w:rsidP="00B30368">
      <w:pPr>
        <w:pStyle w:val="BTEMEASMCA"/>
        <w:rPr>
          <w:lang w:val="lt-LT"/>
        </w:rPr>
      </w:pPr>
    </w:p>
    <w:p w:rsidR="00B30368" w:rsidRPr="0023702A" w:rsidRDefault="00B30368" w:rsidP="00B30368">
      <w:pPr>
        <w:pStyle w:val="BTEMEASMCA"/>
        <w:rPr>
          <w:lang w:val="lt-LT"/>
        </w:rPr>
      </w:pPr>
    </w:p>
    <w:p w:rsidR="00B30368" w:rsidRPr="00CC1EFB" w:rsidRDefault="00B30368" w:rsidP="00B30368">
      <w:pPr>
        <w:pStyle w:val="PI-1EMEASMCA"/>
        <w:rPr>
          <w:sz w:val="22"/>
        </w:rPr>
      </w:pPr>
      <w:bookmarkStart w:id="2" w:name="_Toc129243140"/>
      <w:bookmarkStart w:id="3" w:name="_Toc129243265"/>
      <w:r w:rsidRPr="0023702A">
        <w:rPr>
          <w:sz w:val="22"/>
        </w:rPr>
        <w:t>2.</w:t>
      </w:r>
      <w:r w:rsidRPr="0023702A">
        <w:rPr>
          <w:sz w:val="22"/>
        </w:rPr>
        <w:tab/>
        <w:t>Kas žinotina prieš vartojant CYCLODOL</w:t>
      </w:r>
      <w:bookmarkEnd w:id="2"/>
      <w:bookmarkEnd w:id="3"/>
    </w:p>
    <w:p w:rsidR="00B30368" w:rsidRPr="0023702A" w:rsidRDefault="00B30368" w:rsidP="00B30368">
      <w:pPr>
        <w:pStyle w:val="BTEMEASMCA"/>
        <w:rPr>
          <w:lang w:val="lt-LT"/>
        </w:rPr>
      </w:pPr>
    </w:p>
    <w:p w:rsidR="00B30368" w:rsidRPr="0023702A" w:rsidRDefault="00B30368" w:rsidP="00B30368">
      <w:pPr>
        <w:pStyle w:val="PI-3EMEASMCA"/>
      </w:pPr>
      <w:r w:rsidRPr="0023702A">
        <w:t xml:space="preserve">CYCLODOL vartoti </w:t>
      </w:r>
      <w:r>
        <w:t>draudžiama</w:t>
      </w:r>
      <w:r w:rsidRPr="0023702A">
        <w:t>:</w:t>
      </w:r>
    </w:p>
    <w:p w:rsidR="00B30368" w:rsidRDefault="00B30368" w:rsidP="00B30368">
      <w:pPr>
        <w:pStyle w:val="PI-1EMEASMCA"/>
        <w:numPr>
          <w:ilvl w:val="0"/>
          <w:numId w:val="6"/>
        </w:numPr>
        <w:rPr>
          <w:sz w:val="22"/>
        </w:rPr>
      </w:pPr>
      <w:r w:rsidRPr="0023702A">
        <w:rPr>
          <w:b w:val="0"/>
          <w:sz w:val="22"/>
        </w:rPr>
        <w:t>jeigu yra alergija veikliajai medžiagai arba bet kuriai pagalbinei šio vaisto medžiagai (jos išvardytos 6 skyriuje);</w:t>
      </w:r>
    </w:p>
    <w:p w:rsidR="00B30368" w:rsidRDefault="00B30368" w:rsidP="00B30368">
      <w:pPr>
        <w:pStyle w:val="PI-1EMEASMCA"/>
        <w:numPr>
          <w:ilvl w:val="0"/>
          <w:numId w:val="6"/>
        </w:numPr>
        <w:rPr>
          <w:sz w:val="22"/>
        </w:rPr>
      </w:pPr>
      <w:r w:rsidRPr="0023702A">
        <w:rPr>
          <w:b w:val="0"/>
          <w:sz w:val="22"/>
        </w:rPr>
        <w:t>esant ūminiam šlapimo susilaikymui;</w:t>
      </w:r>
    </w:p>
    <w:p w:rsidR="00B30368" w:rsidRDefault="00B30368" w:rsidP="00B30368">
      <w:pPr>
        <w:pStyle w:val="PI-1EMEASMCA"/>
        <w:numPr>
          <w:ilvl w:val="0"/>
          <w:numId w:val="6"/>
        </w:numPr>
        <w:rPr>
          <w:sz w:val="22"/>
        </w:rPr>
      </w:pPr>
      <w:r w:rsidRPr="0023702A">
        <w:rPr>
          <w:b w:val="0"/>
          <w:sz w:val="22"/>
        </w:rPr>
        <w:t>esant gerybiniam prostatos padidėjimui, kai nevisiškai išsituština šlapimo pūslė (joje lieka šlapimo);</w:t>
      </w:r>
    </w:p>
    <w:p w:rsidR="00B30368" w:rsidRDefault="00B30368" w:rsidP="00B30368">
      <w:pPr>
        <w:pStyle w:val="PI-1EMEASMCA"/>
        <w:numPr>
          <w:ilvl w:val="0"/>
          <w:numId w:val="6"/>
        </w:numPr>
        <w:rPr>
          <w:sz w:val="22"/>
        </w:rPr>
      </w:pPr>
      <w:r w:rsidRPr="0023702A">
        <w:rPr>
          <w:b w:val="0"/>
          <w:sz w:val="22"/>
        </w:rPr>
        <w:t>esant uždarojo kampo glaukomai, kai dėl padidėjusio vidinio akies spaudimo sutrinka reg</w:t>
      </w:r>
      <w:r>
        <w:rPr>
          <w:b w:val="0"/>
          <w:sz w:val="22"/>
        </w:rPr>
        <w:t>os</w:t>
      </w:r>
      <w:r w:rsidRPr="0023702A">
        <w:rPr>
          <w:b w:val="0"/>
          <w:sz w:val="22"/>
        </w:rPr>
        <w:t xml:space="preserve"> nervo ir akies tinklainės funkcija;</w:t>
      </w:r>
    </w:p>
    <w:p w:rsidR="00B30368" w:rsidRDefault="00B30368" w:rsidP="00B30368">
      <w:pPr>
        <w:pStyle w:val="PI-1EMEASMCA"/>
        <w:numPr>
          <w:ilvl w:val="0"/>
          <w:numId w:val="6"/>
        </w:numPr>
        <w:rPr>
          <w:sz w:val="22"/>
        </w:rPr>
      </w:pPr>
      <w:r w:rsidRPr="0023702A">
        <w:rPr>
          <w:b w:val="0"/>
          <w:sz w:val="22"/>
        </w:rPr>
        <w:t>jeigu yra žarnų nepraeinamumas ar susiaurėjimas virškinimo trakte;</w:t>
      </w:r>
    </w:p>
    <w:p w:rsidR="00B30368" w:rsidRDefault="00B30368" w:rsidP="00B30368">
      <w:pPr>
        <w:pStyle w:val="PI-1EMEASMCA"/>
        <w:numPr>
          <w:ilvl w:val="0"/>
          <w:numId w:val="6"/>
        </w:numPr>
        <w:rPr>
          <w:sz w:val="22"/>
        </w:rPr>
      </w:pPr>
      <w:r w:rsidRPr="0023702A">
        <w:rPr>
          <w:b w:val="0"/>
          <w:sz w:val="22"/>
        </w:rPr>
        <w:t>jeigu yra gaubtinės žarnos išsiplėtimas;</w:t>
      </w:r>
    </w:p>
    <w:p w:rsidR="00B30368" w:rsidRDefault="00B30368" w:rsidP="00B30368">
      <w:pPr>
        <w:pStyle w:val="PI-1EMEASMCA"/>
        <w:numPr>
          <w:ilvl w:val="0"/>
          <w:numId w:val="6"/>
        </w:numPr>
        <w:rPr>
          <w:sz w:val="22"/>
        </w:rPr>
      </w:pPr>
      <w:r w:rsidRPr="0023702A">
        <w:rPr>
          <w:b w:val="0"/>
          <w:sz w:val="22"/>
        </w:rPr>
        <w:t>jeigu yra prievarčio stenozė (skrandžio rauko susiaurėjimas);</w:t>
      </w:r>
    </w:p>
    <w:p w:rsidR="00B30368" w:rsidRDefault="00B30368" w:rsidP="00B30368">
      <w:pPr>
        <w:pStyle w:val="PI-1EMEASMCA"/>
        <w:numPr>
          <w:ilvl w:val="0"/>
          <w:numId w:val="6"/>
        </w:numPr>
        <w:rPr>
          <w:sz w:val="22"/>
        </w:rPr>
      </w:pPr>
      <w:r w:rsidRPr="0023702A">
        <w:rPr>
          <w:b w:val="0"/>
          <w:sz w:val="22"/>
        </w:rPr>
        <w:t>jeigu yra dažnas širdies ritmas (tachiaritmija);</w:t>
      </w:r>
    </w:p>
    <w:p w:rsidR="00B30368" w:rsidRDefault="00B30368" w:rsidP="00B30368">
      <w:pPr>
        <w:pStyle w:val="PI-1EMEASMCA"/>
        <w:ind w:left="360" w:firstLine="0"/>
        <w:rPr>
          <w:sz w:val="22"/>
        </w:rPr>
      </w:pPr>
      <w:r w:rsidRPr="0023702A">
        <w:rPr>
          <w:b w:val="0"/>
          <w:sz w:val="22"/>
        </w:rPr>
        <w:t>sunkiai apsinuodijus alkoholiu arba psichotropiniais (psichiką veikiančiais) medikamentais, opijaus alkaloidais ar vaistais, kuriuose yra jų darinių;</w:t>
      </w:r>
    </w:p>
    <w:p w:rsidR="00B30368" w:rsidRDefault="00B30368" w:rsidP="00B30368">
      <w:pPr>
        <w:pStyle w:val="PI-1EMEASMCA"/>
        <w:numPr>
          <w:ilvl w:val="0"/>
          <w:numId w:val="6"/>
        </w:numPr>
        <w:rPr>
          <w:sz w:val="22"/>
        </w:rPr>
      </w:pPr>
      <w:r w:rsidRPr="0023702A">
        <w:rPr>
          <w:b w:val="0"/>
          <w:sz w:val="22"/>
        </w:rPr>
        <w:t xml:space="preserve">esant </w:t>
      </w:r>
      <w:r>
        <w:rPr>
          <w:b w:val="0"/>
          <w:sz w:val="22"/>
        </w:rPr>
        <w:t>ūminei sumišimo būklei (sunkus delyras)</w:t>
      </w:r>
      <w:r w:rsidRPr="0023702A">
        <w:rPr>
          <w:b w:val="0"/>
          <w:sz w:val="22"/>
        </w:rPr>
        <w:t>, manijai;</w:t>
      </w:r>
    </w:p>
    <w:p w:rsidR="00B30368" w:rsidRDefault="00B30368" w:rsidP="00B30368">
      <w:pPr>
        <w:pStyle w:val="PI-1EMEASMCA"/>
        <w:numPr>
          <w:ilvl w:val="0"/>
          <w:numId w:val="6"/>
        </w:numPr>
        <w:rPr>
          <w:sz w:val="22"/>
        </w:rPr>
      </w:pPr>
      <w:r w:rsidRPr="0023702A">
        <w:rPr>
          <w:b w:val="0"/>
          <w:sz w:val="22"/>
        </w:rPr>
        <w:t>esant vėlyvajai diskinezijai (judesių sutrikimui).</w:t>
      </w:r>
    </w:p>
    <w:p w:rsidR="00B30368" w:rsidRPr="0023702A" w:rsidRDefault="00B30368" w:rsidP="00B30368">
      <w:pPr>
        <w:ind w:right="150"/>
        <w:rPr>
          <w:sz w:val="22"/>
          <w:szCs w:val="22"/>
        </w:rPr>
      </w:pPr>
    </w:p>
    <w:p w:rsidR="00B30368" w:rsidRPr="00CC1EFB" w:rsidRDefault="00B30368" w:rsidP="00B30368">
      <w:pPr>
        <w:ind w:right="150"/>
        <w:rPr>
          <w:sz w:val="22"/>
          <w:szCs w:val="22"/>
        </w:rPr>
      </w:pPr>
      <w:r w:rsidRPr="00CC1EFB">
        <w:rPr>
          <w:sz w:val="22"/>
          <w:szCs w:val="22"/>
        </w:rPr>
        <w:t xml:space="preserve">Jeigu sergate kokia nors iš šių ligų arba sutrikimų, prieš pradėdami vartoti vaisto, pasitarkite su gydytoju. </w:t>
      </w:r>
    </w:p>
    <w:p w:rsidR="00B30368" w:rsidRPr="0023702A" w:rsidRDefault="00B30368" w:rsidP="00B30368">
      <w:pPr>
        <w:pStyle w:val="BTEMEASMCA"/>
        <w:rPr>
          <w:b/>
          <w:lang w:val="lt-LT"/>
        </w:rPr>
      </w:pPr>
    </w:p>
    <w:p w:rsidR="00B30368" w:rsidRPr="00F3135A" w:rsidRDefault="00B30368" w:rsidP="00B30368">
      <w:pPr>
        <w:pStyle w:val="Antrat4"/>
        <w:spacing w:before="0"/>
        <w:rPr>
          <w:rFonts w:ascii="Times New Roman" w:hAnsi="Times New Roman" w:cs="Times New Roman"/>
          <w:i w:val="0"/>
          <w:color w:val="auto"/>
          <w:sz w:val="22"/>
          <w:szCs w:val="22"/>
        </w:rPr>
      </w:pPr>
      <w:r w:rsidRPr="00F3135A">
        <w:rPr>
          <w:rFonts w:ascii="Times New Roman" w:hAnsi="Times New Roman" w:cs="Times New Roman"/>
          <w:i w:val="0"/>
          <w:color w:val="auto"/>
          <w:sz w:val="22"/>
          <w:szCs w:val="22"/>
        </w:rPr>
        <w:t xml:space="preserve">Įspėjimai ir atsargumo priemonės </w:t>
      </w:r>
    </w:p>
    <w:p w:rsidR="00B30368" w:rsidRPr="0023702A" w:rsidRDefault="00B30368" w:rsidP="00B30368">
      <w:pPr>
        <w:numPr>
          <w:ilvl w:val="12"/>
          <w:numId w:val="0"/>
        </w:numPr>
        <w:ind w:right="-2"/>
        <w:rPr>
          <w:sz w:val="22"/>
          <w:szCs w:val="22"/>
        </w:rPr>
      </w:pPr>
      <w:r w:rsidRPr="0023702A">
        <w:rPr>
          <w:noProof/>
          <w:sz w:val="22"/>
          <w:szCs w:val="22"/>
        </w:rPr>
        <w:t>Pasitarkite su gydytoju arba</w:t>
      </w:r>
      <w:r>
        <w:rPr>
          <w:noProof/>
          <w:sz w:val="22"/>
          <w:szCs w:val="22"/>
        </w:rPr>
        <w:t xml:space="preserve"> </w:t>
      </w:r>
      <w:r w:rsidRPr="0023702A">
        <w:rPr>
          <w:noProof/>
          <w:sz w:val="22"/>
          <w:szCs w:val="22"/>
        </w:rPr>
        <w:t xml:space="preserve">vaistininku, prieš pradėdami vartoti </w:t>
      </w:r>
      <w:r>
        <w:rPr>
          <w:noProof/>
          <w:sz w:val="22"/>
          <w:szCs w:val="22"/>
        </w:rPr>
        <w:t>CYCLODOL, jeigu:</w:t>
      </w:r>
    </w:p>
    <w:p w:rsidR="00B30368" w:rsidRPr="00CC1EFB" w:rsidRDefault="00B30368" w:rsidP="00B30368">
      <w:pPr>
        <w:tabs>
          <w:tab w:val="left" w:pos="540"/>
        </w:tabs>
        <w:ind w:right="150"/>
        <w:jc w:val="both"/>
        <w:rPr>
          <w:sz w:val="22"/>
          <w:szCs w:val="22"/>
        </w:rPr>
      </w:pPr>
      <w:r w:rsidRPr="00CC1EFB">
        <w:rPr>
          <w:sz w:val="22"/>
          <w:szCs w:val="22"/>
        </w:rPr>
        <w:t>-</w:t>
      </w:r>
      <w:r w:rsidRPr="00CC1EFB">
        <w:rPr>
          <w:sz w:val="22"/>
          <w:szCs w:val="22"/>
        </w:rPr>
        <w:tab/>
        <w:t>jeigu esate senyvo amžiaus;</w:t>
      </w:r>
    </w:p>
    <w:p w:rsidR="00B30368" w:rsidRPr="0023702A" w:rsidRDefault="00B30368" w:rsidP="00B30368">
      <w:pPr>
        <w:tabs>
          <w:tab w:val="left" w:pos="540"/>
        </w:tabs>
        <w:ind w:right="150"/>
        <w:jc w:val="both"/>
        <w:rPr>
          <w:sz w:val="22"/>
          <w:szCs w:val="22"/>
        </w:rPr>
      </w:pPr>
      <w:r w:rsidRPr="0023702A">
        <w:rPr>
          <w:sz w:val="22"/>
          <w:szCs w:val="22"/>
        </w:rPr>
        <w:t>-</w:t>
      </w:r>
      <w:r w:rsidRPr="0023702A">
        <w:rPr>
          <w:sz w:val="22"/>
          <w:szCs w:val="22"/>
        </w:rPr>
        <w:tab/>
        <w:t>jeigu sergate širdies ir kraujagyslių ligomis;</w:t>
      </w:r>
    </w:p>
    <w:p w:rsidR="00B30368" w:rsidRPr="0023702A" w:rsidRDefault="00B30368" w:rsidP="00B30368">
      <w:pPr>
        <w:tabs>
          <w:tab w:val="left" w:pos="540"/>
        </w:tabs>
        <w:ind w:right="150"/>
        <w:jc w:val="both"/>
        <w:rPr>
          <w:sz w:val="22"/>
          <w:szCs w:val="22"/>
        </w:rPr>
      </w:pPr>
      <w:r w:rsidRPr="0023702A">
        <w:rPr>
          <w:sz w:val="22"/>
          <w:szCs w:val="22"/>
        </w:rPr>
        <w:lastRenderedPageBreak/>
        <w:t>-</w:t>
      </w:r>
      <w:r w:rsidRPr="0023702A">
        <w:rPr>
          <w:sz w:val="22"/>
          <w:szCs w:val="22"/>
        </w:rPr>
        <w:tab/>
        <w:t>jeigu sergate inkstų arba kepenų ligomis;</w:t>
      </w:r>
    </w:p>
    <w:p w:rsidR="00B30368" w:rsidRPr="0090600F" w:rsidRDefault="00B30368" w:rsidP="00B30368">
      <w:pPr>
        <w:tabs>
          <w:tab w:val="left" w:pos="540"/>
        </w:tabs>
        <w:ind w:right="150"/>
        <w:jc w:val="both"/>
        <w:rPr>
          <w:sz w:val="22"/>
          <w:szCs w:val="22"/>
        </w:rPr>
      </w:pPr>
      <w:r w:rsidRPr="0023702A">
        <w:rPr>
          <w:sz w:val="22"/>
          <w:szCs w:val="22"/>
        </w:rPr>
        <w:t>-</w:t>
      </w:r>
      <w:r w:rsidRPr="0023702A">
        <w:rPr>
          <w:sz w:val="22"/>
          <w:szCs w:val="22"/>
        </w:rPr>
        <w:tab/>
        <w:t xml:space="preserve">jeigu Jūs sergate liga, dėl kurios gali atsirasti pavojinga gyvybei tachikardija (dažnas širdies </w:t>
      </w:r>
      <w:r>
        <w:rPr>
          <w:sz w:val="22"/>
          <w:szCs w:val="22"/>
        </w:rPr>
        <w:tab/>
      </w:r>
      <w:r w:rsidRPr="0090600F">
        <w:rPr>
          <w:sz w:val="22"/>
          <w:szCs w:val="22"/>
        </w:rPr>
        <w:t>plakimas);</w:t>
      </w:r>
    </w:p>
    <w:p w:rsidR="00B30368" w:rsidRPr="0023702A" w:rsidRDefault="00B30368" w:rsidP="00B30368">
      <w:pPr>
        <w:tabs>
          <w:tab w:val="left" w:pos="540"/>
        </w:tabs>
        <w:ind w:right="150"/>
        <w:jc w:val="both"/>
        <w:rPr>
          <w:sz w:val="22"/>
          <w:szCs w:val="22"/>
        </w:rPr>
      </w:pPr>
      <w:r w:rsidRPr="0023702A">
        <w:rPr>
          <w:sz w:val="22"/>
          <w:szCs w:val="22"/>
        </w:rPr>
        <w:t>-</w:t>
      </w:r>
      <w:r w:rsidRPr="0023702A">
        <w:rPr>
          <w:sz w:val="22"/>
          <w:szCs w:val="22"/>
        </w:rPr>
        <w:tab/>
        <w:t>jei yra demencijos sindromas (silpnaprotystė);</w:t>
      </w:r>
    </w:p>
    <w:p w:rsidR="00B30368" w:rsidRPr="0023702A" w:rsidRDefault="00B30368" w:rsidP="00B30368">
      <w:pPr>
        <w:tabs>
          <w:tab w:val="left" w:pos="540"/>
        </w:tabs>
        <w:ind w:right="150"/>
        <w:rPr>
          <w:sz w:val="22"/>
          <w:szCs w:val="22"/>
        </w:rPr>
      </w:pPr>
      <w:r w:rsidRPr="0023702A">
        <w:rPr>
          <w:sz w:val="22"/>
          <w:szCs w:val="22"/>
        </w:rPr>
        <w:t>-</w:t>
      </w:r>
      <w:r w:rsidRPr="0023702A">
        <w:rPr>
          <w:sz w:val="22"/>
          <w:szCs w:val="22"/>
        </w:rPr>
        <w:tab/>
        <w:t>jeigu Jūs sergate generalizuota miastenija</w:t>
      </w:r>
      <w:r w:rsidRPr="0023702A">
        <w:rPr>
          <w:i/>
          <w:iCs/>
          <w:sz w:val="22"/>
          <w:szCs w:val="22"/>
        </w:rPr>
        <w:t xml:space="preserve"> </w:t>
      </w:r>
      <w:r w:rsidRPr="0023702A">
        <w:rPr>
          <w:sz w:val="22"/>
          <w:szCs w:val="22"/>
        </w:rPr>
        <w:t>(raumenų silpnumas);</w:t>
      </w:r>
    </w:p>
    <w:p w:rsidR="00B30368" w:rsidRPr="0023702A" w:rsidRDefault="00B30368" w:rsidP="00B30368">
      <w:pPr>
        <w:numPr>
          <w:ilvl w:val="0"/>
          <w:numId w:val="1"/>
        </w:numPr>
        <w:tabs>
          <w:tab w:val="clear" w:pos="840"/>
          <w:tab w:val="num" w:pos="540"/>
          <w:tab w:val="num" w:pos="567"/>
        </w:tabs>
        <w:ind w:left="567" w:right="150"/>
        <w:rPr>
          <w:sz w:val="22"/>
          <w:szCs w:val="22"/>
        </w:rPr>
      </w:pPr>
      <w:r w:rsidRPr="0023702A">
        <w:rPr>
          <w:sz w:val="22"/>
          <w:szCs w:val="22"/>
        </w:rPr>
        <w:t>jei yra gerybinis prostatos padidėjimas, bet šlapimo pūslė gerai išsituština (joje po nusišlapinimo nelieka šlapimo).</w:t>
      </w:r>
    </w:p>
    <w:p w:rsidR="00B30368" w:rsidRPr="0023702A" w:rsidRDefault="00B30368" w:rsidP="00B30368">
      <w:pPr>
        <w:tabs>
          <w:tab w:val="left" w:pos="540"/>
        </w:tabs>
        <w:ind w:right="150"/>
        <w:rPr>
          <w:sz w:val="22"/>
          <w:szCs w:val="22"/>
        </w:rPr>
      </w:pPr>
    </w:p>
    <w:p w:rsidR="00B30368" w:rsidRPr="00CC1EFB" w:rsidRDefault="00B30368" w:rsidP="00B30368">
      <w:pPr>
        <w:rPr>
          <w:color w:val="000000"/>
          <w:sz w:val="22"/>
          <w:szCs w:val="22"/>
        </w:rPr>
      </w:pPr>
      <w:r>
        <w:rPr>
          <w:color w:val="000000"/>
          <w:sz w:val="22"/>
          <w:szCs w:val="22"/>
        </w:rPr>
        <w:t>Vaistas</w:t>
      </w:r>
      <w:r w:rsidRPr="00CC1EFB">
        <w:rPr>
          <w:color w:val="000000"/>
          <w:sz w:val="22"/>
          <w:szCs w:val="22"/>
        </w:rPr>
        <w:t xml:space="preserve"> gali skatinti prasidedančios glaukomos progresavimą. Todėl Jums reguliariai turi būti atidžiai sekamas akispūdis.</w:t>
      </w:r>
    </w:p>
    <w:p w:rsidR="00B30368" w:rsidRPr="0023702A" w:rsidRDefault="00B30368" w:rsidP="00B30368">
      <w:pPr>
        <w:tabs>
          <w:tab w:val="left" w:pos="540"/>
        </w:tabs>
        <w:ind w:right="150"/>
        <w:rPr>
          <w:sz w:val="22"/>
          <w:szCs w:val="22"/>
        </w:rPr>
      </w:pPr>
      <w:r w:rsidRPr="0023702A">
        <w:rPr>
          <w:color w:val="000000"/>
          <w:sz w:val="22"/>
          <w:szCs w:val="22"/>
        </w:rPr>
        <w:t>Vėlyvoji diskinezija gali pasireikšti kartu vartojant antipsichozinius vaistus.</w:t>
      </w:r>
    </w:p>
    <w:p w:rsidR="00B30368" w:rsidRPr="0023702A" w:rsidRDefault="00B30368" w:rsidP="00B30368">
      <w:pPr>
        <w:pStyle w:val="Pagrindinistekstas3"/>
        <w:spacing w:after="0"/>
        <w:rPr>
          <w:color w:val="000000"/>
          <w:sz w:val="22"/>
          <w:szCs w:val="22"/>
        </w:rPr>
      </w:pPr>
      <w:r>
        <w:rPr>
          <w:color w:val="000000"/>
          <w:sz w:val="22"/>
          <w:szCs w:val="22"/>
        </w:rPr>
        <w:t>Dėl</w:t>
      </w:r>
      <w:r w:rsidRPr="0023702A">
        <w:rPr>
          <w:color w:val="000000"/>
          <w:sz w:val="22"/>
          <w:szCs w:val="22"/>
        </w:rPr>
        <w:t xml:space="preserve"> euforinio ir haliucinogeninio poveikio, CYCLODOL gali sukelti </w:t>
      </w:r>
      <w:r>
        <w:rPr>
          <w:color w:val="000000"/>
          <w:sz w:val="22"/>
          <w:szCs w:val="22"/>
        </w:rPr>
        <w:t>priklausomybę</w:t>
      </w:r>
      <w:r w:rsidRPr="0023702A">
        <w:rPr>
          <w:color w:val="000000"/>
          <w:sz w:val="22"/>
          <w:szCs w:val="22"/>
        </w:rPr>
        <w:t>.</w:t>
      </w:r>
    </w:p>
    <w:p w:rsidR="00B30368" w:rsidRPr="0023702A" w:rsidRDefault="00B30368" w:rsidP="00B30368">
      <w:pPr>
        <w:ind w:right="150"/>
        <w:rPr>
          <w:i/>
          <w:iCs/>
          <w:sz w:val="22"/>
          <w:szCs w:val="22"/>
        </w:rPr>
      </w:pPr>
      <w:r w:rsidRPr="0023702A">
        <w:rPr>
          <w:color w:val="000000"/>
          <w:sz w:val="22"/>
          <w:szCs w:val="22"/>
        </w:rPr>
        <w:t xml:space="preserve">Ilgą laiką vartojantiems CYCLODOL, </w:t>
      </w:r>
      <w:r w:rsidRPr="0023702A">
        <w:rPr>
          <w:sz w:val="22"/>
          <w:szCs w:val="22"/>
        </w:rPr>
        <w:t xml:space="preserve">negalima jo nutraukti staigiai, </w:t>
      </w:r>
      <w:r>
        <w:rPr>
          <w:sz w:val="22"/>
          <w:szCs w:val="22"/>
        </w:rPr>
        <w:t>siekiant</w:t>
      </w:r>
      <w:r w:rsidRPr="0023702A">
        <w:rPr>
          <w:sz w:val="22"/>
          <w:szCs w:val="22"/>
        </w:rPr>
        <w:t xml:space="preserve"> išvengti pagrindinės ligos simptomų pasikartojimo ir galimo šalutinio poveikio.</w:t>
      </w:r>
    </w:p>
    <w:p w:rsidR="00B30368" w:rsidRPr="0023702A" w:rsidRDefault="00B30368" w:rsidP="00B30368">
      <w:pPr>
        <w:pStyle w:val="BTEMEASMCA"/>
        <w:rPr>
          <w:lang w:val="lt-LT"/>
        </w:rPr>
      </w:pPr>
    </w:p>
    <w:p w:rsidR="00B30368" w:rsidRPr="0023702A" w:rsidRDefault="00B30368" w:rsidP="00B30368">
      <w:pPr>
        <w:pStyle w:val="BTEMEASMCA"/>
        <w:rPr>
          <w:b/>
          <w:lang w:val="lt-LT"/>
        </w:rPr>
      </w:pPr>
      <w:r w:rsidRPr="0023702A">
        <w:rPr>
          <w:b/>
          <w:lang w:val="lt-LT"/>
        </w:rPr>
        <w:t>Vaikams</w:t>
      </w:r>
      <w:r>
        <w:rPr>
          <w:b/>
          <w:lang w:val="lt-LT"/>
        </w:rPr>
        <w:t xml:space="preserve"> ir paaugliams</w:t>
      </w:r>
    </w:p>
    <w:p w:rsidR="00B30368" w:rsidRPr="0023702A" w:rsidRDefault="00B30368" w:rsidP="00B30368">
      <w:pPr>
        <w:pStyle w:val="BTEMEASMCA"/>
        <w:rPr>
          <w:lang w:val="lt-LT"/>
        </w:rPr>
      </w:pPr>
      <w:r w:rsidRPr="0023702A">
        <w:rPr>
          <w:lang w:val="lt-LT"/>
        </w:rPr>
        <w:t>CYCLODOL vaikams</w:t>
      </w:r>
      <w:r>
        <w:rPr>
          <w:lang w:val="lt-LT"/>
        </w:rPr>
        <w:t xml:space="preserve"> ir paaugliams vaisto</w:t>
      </w:r>
      <w:r w:rsidRPr="0023702A">
        <w:rPr>
          <w:lang w:val="lt-LT"/>
        </w:rPr>
        <w:t xml:space="preserve"> vartoti negalima.</w:t>
      </w:r>
    </w:p>
    <w:p w:rsidR="00B30368" w:rsidRPr="0023702A" w:rsidRDefault="00B30368" w:rsidP="00B30368">
      <w:pPr>
        <w:pStyle w:val="BTEMEASMCA"/>
        <w:rPr>
          <w:lang w:val="lt-LT"/>
        </w:rPr>
      </w:pPr>
    </w:p>
    <w:p w:rsidR="00B30368" w:rsidRPr="0023702A" w:rsidRDefault="00B30368" w:rsidP="00B30368">
      <w:pPr>
        <w:pStyle w:val="PI-3EMEASMCA"/>
      </w:pPr>
      <w:r w:rsidRPr="0023702A">
        <w:t>Kiti vaistai ir CYCLODOL</w:t>
      </w:r>
    </w:p>
    <w:p w:rsidR="00B30368" w:rsidRPr="0023702A" w:rsidRDefault="00B30368" w:rsidP="00B30368">
      <w:pPr>
        <w:numPr>
          <w:ilvl w:val="12"/>
          <w:numId w:val="0"/>
        </w:numPr>
        <w:ind w:right="-2"/>
        <w:rPr>
          <w:sz w:val="22"/>
          <w:szCs w:val="22"/>
        </w:rPr>
      </w:pPr>
      <w:r w:rsidRPr="00CC1EFB">
        <w:rPr>
          <w:noProof/>
          <w:sz w:val="22"/>
          <w:szCs w:val="22"/>
        </w:rPr>
        <w:t xml:space="preserve">Jeigu vartojate ar neseniai vartojote kitų vaistų arba dėl to nesate tikri, </w:t>
      </w:r>
      <w:r w:rsidRPr="0090600F">
        <w:rPr>
          <w:noProof/>
          <w:sz w:val="22"/>
          <w:szCs w:val="22"/>
        </w:rPr>
        <w:t>apie tai pasakykite gydytojui arba vaistininkui.</w:t>
      </w:r>
    </w:p>
    <w:p w:rsidR="00B30368" w:rsidRPr="0023702A" w:rsidRDefault="00B30368" w:rsidP="00B30368">
      <w:pPr>
        <w:ind w:right="150"/>
        <w:rPr>
          <w:sz w:val="22"/>
          <w:szCs w:val="22"/>
        </w:rPr>
      </w:pPr>
      <w:r w:rsidRPr="0023702A">
        <w:rPr>
          <w:sz w:val="22"/>
          <w:szCs w:val="22"/>
        </w:rPr>
        <w:t xml:space="preserve">CYCLODOL vartojant su kitais panašių savybių vaistais, kaip priešvirusiniu vaistu amantadinu, anthistamininiais </w:t>
      </w:r>
      <w:r>
        <w:rPr>
          <w:sz w:val="22"/>
          <w:szCs w:val="22"/>
        </w:rPr>
        <w:t>vaistais</w:t>
      </w:r>
      <w:r w:rsidRPr="0023702A">
        <w:rPr>
          <w:sz w:val="22"/>
          <w:szCs w:val="22"/>
        </w:rPr>
        <w:t xml:space="preserve"> (pvz., difenhidraminu, prometazinu, klemastinu), antipsichotiniais fenotiazino grupės vaistais (pvz., chlorpromazinu, trimeprazinu), tricikliais antidepresantais (pvz., imipraminu, amitriptilinu, trimipraminu), ir taip pat su monoaminooksidazės inhibitoriais (pvz., moklobemidu)</w:t>
      </w:r>
      <w:r>
        <w:rPr>
          <w:sz w:val="22"/>
          <w:szCs w:val="22"/>
        </w:rPr>
        <w:t>,</w:t>
      </w:r>
      <w:r w:rsidRPr="0023702A">
        <w:rPr>
          <w:sz w:val="22"/>
          <w:szCs w:val="22"/>
        </w:rPr>
        <w:t xml:space="preserve"> </w:t>
      </w:r>
      <w:r>
        <w:rPr>
          <w:sz w:val="22"/>
          <w:szCs w:val="22"/>
        </w:rPr>
        <w:t>padidėja</w:t>
      </w:r>
      <w:r w:rsidRPr="0023702A">
        <w:rPr>
          <w:sz w:val="22"/>
          <w:szCs w:val="22"/>
        </w:rPr>
        <w:t xml:space="preserve"> šalutini</w:t>
      </w:r>
      <w:r>
        <w:rPr>
          <w:sz w:val="22"/>
          <w:szCs w:val="22"/>
        </w:rPr>
        <w:t>ų</w:t>
      </w:r>
      <w:r w:rsidRPr="0023702A">
        <w:rPr>
          <w:sz w:val="22"/>
          <w:szCs w:val="22"/>
        </w:rPr>
        <w:t xml:space="preserve"> poveiki</w:t>
      </w:r>
      <w:r>
        <w:rPr>
          <w:sz w:val="22"/>
          <w:szCs w:val="22"/>
        </w:rPr>
        <w:t>ų atsiradimo rizika</w:t>
      </w:r>
      <w:r w:rsidRPr="0023702A">
        <w:rPr>
          <w:sz w:val="22"/>
          <w:szCs w:val="22"/>
        </w:rPr>
        <w:t>.</w:t>
      </w:r>
    </w:p>
    <w:p w:rsidR="00B30368" w:rsidRPr="0023702A" w:rsidRDefault="00B30368" w:rsidP="00B30368">
      <w:pPr>
        <w:ind w:right="150"/>
        <w:rPr>
          <w:sz w:val="22"/>
          <w:szCs w:val="22"/>
        </w:rPr>
      </w:pPr>
      <w:r w:rsidRPr="0023702A">
        <w:rPr>
          <w:sz w:val="22"/>
          <w:szCs w:val="22"/>
        </w:rPr>
        <w:t xml:space="preserve">CYCLODOL gali silpninti </w:t>
      </w:r>
      <w:r>
        <w:rPr>
          <w:sz w:val="22"/>
          <w:szCs w:val="22"/>
        </w:rPr>
        <w:t>vaistų</w:t>
      </w:r>
      <w:r w:rsidRPr="0023702A">
        <w:rPr>
          <w:sz w:val="22"/>
          <w:szCs w:val="22"/>
        </w:rPr>
        <w:t>, vartojamų po liežuviu, poveikį (dėl  burno</w:t>
      </w:r>
      <w:r>
        <w:rPr>
          <w:sz w:val="22"/>
          <w:szCs w:val="22"/>
        </w:rPr>
        <w:t>s džiūvimo</w:t>
      </w:r>
      <w:r w:rsidRPr="0023702A">
        <w:rPr>
          <w:sz w:val="22"/>
          <w:szCs w:val="22"/>
        </w:rPr>
        <w:t xml:space="preserve">). </w:t>
      </w:r>
    </w:p>
    <w:p w:rsidR="00B30368" w:rsidRPr="0023702A" w:rsidRDefault="00B30368" w:rsidP="00B30368">
      <w:pPr>
        <w:ind w:right="150"/>
        <w:rPr>
          <w:sz w:val="22"/>
          <w:szCs w:val="22"/>
        </w:rPr>
      </w:pPr>
      <w:r w:rsidRPr="0023702A">
        <w:rPr>
          <w:sz w:val="22"/>
          <w:szCs w:val="22"/>
        </w:rPr>
        <w:t>CYCLODOL sumažina parasimpatomimeti</w:t>
      </w:r>
      <w:r>
        <w:rPr>
          <w:sz w:val="22"/>
          <w:szCs w:val="22"/>
        </w:rPr>
        <w:t>nių vaistų</w:t>
      </w:r>
      <w:r w:rsidRPr="0023702A">
        <w:rPr>
          <w:sz w:val="22"/>
          <w:szCs w:val="22"/>
        </w:rPr>
        <w:t xml:space="preserve"> (pvz., pilokarpino, karbacholio, neostigmino) poveikį.</w:t>
      </w:r>
    </w:p>
    <w:p w:rsidR="00B30368" w:rsidRPr="0023702A" w:rsidRDefault="00B30368" w:rsidP="00B30368">
      <w:pPr>
        <w:ind w:right="150"/>
        <w:rPr>
          <w:sz w:val="22"/>
          <w:szCs w:val="22"/>
        </w:rPr>
      </w:pPr>
      <w:r w:rsidRPr="0023702A">
        <w:rPr>
          <w:sz w:val="22"/>
          <w:szCs w:val="22"/>
        </w:rPr>
        <w:t>Kadangi CYCLODOL slopina žarnų judesius, jis gali silpninti kitų vaistų absorbciją iš virškinamojo trakto.</w:t>
      </w:r>
    </w:p>
    <w:p w:rsidR="00B30368" w:rsidRPr="0023702A" w:rsidRDefault="00B30368" w:rsidP="00B30368">
      <w:pPr>
        <w:ind w:right="150"/>
        <w:rPr>
          <w:sz w:val="22"/>
          <w:szCs w:val="22"/>
        </w:rPr>
      </w:pPr>
      <w:r w:rsidRPr="0023702A">
        <w:rPr>
          <w:sz w:val="22"/>
          <w:szCs w:val="22"/>
        </w:rPr>
        <w:t>CYCLODOL sumažina metoklopramido ir domperidono poveikį virškinimo trakto veiklai.</w:t>
      </w:r>
    </w:p>
    <w:p w:rsidR="00B30368" w:rsidRPr="0023702A" w:rsidRDefault="00B30368" w:rsidP="00B30368">
      <w:pPr>
        <w:ind w:right="150"/>
        <w:rPr>
          <w:sz w:val="22"/>
          <w:szCs w:val="22"/>
        </w:rPr>
      </w:pPr>
      <w:r w:rsidRPr="0023702A">
        <w:rPr>
          <w:sz w:val="22"/>
          <w:szCs w:val="22"/>
        </w:rPr>
        <w:t xml:space="preserve">Alkoholio ir CNS veikiančių </w:t>
      </w:r>
      <w:r>
        <w:rPr>
          <w:sz w:val="22"/>
          <w:szCs w:val="22"/>
        </w:rPr>
        <w:t>vaistų</w:t>
      </w:r>
      <w:r w:rsidRPr="0023702A">
        <w:rPr>
          <w:sz w:val="22"/>
          <w:szCs w:val="22"/>
        </w:rPr>
        <w:t xml:space="preserve">, vartojant juos kartu su CYCLODOL, sukeliamas slopinamasis poveikis gali sustiprėti. </w:t>
      </w:r>
    </w:p>
    <w:p w:rsidR="00B30368" w:rsidRPr="0023702A" w:rsidRDefault="00B30368" w:rsidP="00B30368">
      <w:pPr>
        <w:ind w:right="150"/>
        <w:rPr>
          <w:sz w:val="22"/>
          <w:szCs w:val="22"/>
        </w:rPr>
      </w:pPr>
    </w:p>
    <w:p w:rsidR="00B30368" w:rsidRPr="0066403A" w:rsidRDefault="00B30368" w:rsidP="00B30368">
      <w:pPr>
        <w:pStyle w:val="PI-3EMEASMCA"/>
      </w:pPr>
      <w:r w:rsidRPr="0023702A">
        <w:t>CYCLODOL vartojimas su maistu</w:t>
      </w:r>
      <w:r>
        <w:t>,</w:t>
      </w:r>
      <w:r w:rsidRPr="0066403A">
        <w:t xml:space="preserve"> gėrimais</w:t>
      </w:r>
      <w:r>
        <w:t xml:space="preserve"> ir alkoholiu</w:t>
      </w:r>
    </w:p>
    <w:p w:rsidR="00B30368" w:rsidRPr="0023702A" w:rsidRDefault="00B30368" w:rsidP="00B30368">
      <w:pPr>
        <w:pStyle w:val="BTEMEASMCA"/>
        <w:rPr>
          <w:lang w:val="lt-LT"/>
        </w:rPr>
      </w:pPr>
      <w:r w:rsidRPr="0023702A">
        <w:rPr>
          <w:lang w:val="lt-LT"/>
        </w:rPr>
        <w:t xml:space="preserve">CYCLODOL </w:t>
      </w:r>
      <w:r>
        <w:rPr>
          <w:lang w:val="lt-LT"/>
        </w:rPr>
        <w:t>nerekomenduojama</w:t>
      </w:r>
      <w:r w:rsidRPr="0023702A">
        <w:rPr>
          <w:lang w:val="lt-LT"/>
        </w:rPr>
        <w:t xml:space="preserve"> vartoti kartu su alkoholiu.</w:t>
      </w:r>
    </w:p>
    <w:p w:rsidR="00B30368" w:rsidRPr="0023702A" w:rsidRDefault="00B30368" w:rsidP="00B30368">
      <w:pPr>
        <w:pStyle w:val="BTEMEASMCA"/>
        <w:rPr>
          <w:lang w:val="lt-LT"/>
        </w:rPr>
      </w:pPr>
      <w:r>
        <w:rPr>
          <w:lang w:val="lt-LT"/>
        </w:rPr>
        <w:t>CYCLODOL</w:t>
      </w:r>
      <w:r w:rsidRPr="0023702A">
        <w:rPr>
          <w:lang w:val="lt-LT"/>
        </w:rPr>
        <w:t xml:space="preserve"> reikėtų gerti prieš valgį arba valgio metu.</w:t>
      </w:r>
    </w:p>
    <w:p w:rsidR="00B30368" w:rsidRPr="0023702A" w:rsidRDefault="00B30368" w:rsidP="00B30368">
      <w:pPr>
        <w:pStyle w:val="BTEMEASMCA"/>
        <w:rPr>
          <w:lang w:val="lt-LT"/>
        </w:rPr>
      </w:pPr>
    </w:p>
    <w:p w:rsidR="00B30368" w:rsidRPr="0023702A" w:rsidRDefault="00B30368" w:rsidP="00B30368">
      <w:pPr>
        <w:pStyle w:val="PI-3EMEASMCA"/>
      </w:pPr>
      <w:r w:rsidRPr="0023702A">
        <w:t>Nėštumas, žindymo laikotarpis ir vaisingumas</w:t>
      </w:r>
    </w:p>
    <w:p w:rsidR="00B30368" w:rsidRPr="0066403A" w:rsidRDefault="00B30368" w:rsidP="00B30368">
      <w:pPr>
        <w:numPr>
          <w:ilvl w:val="12"/>
          <w:numId w:val="0"/>
        </w:numPr>
        <w:tabs>
          <w:tab w:val="left" w:pos="720"/>
        </w:tabs>
        <w:rPr>
          <w:sz w:val="22"/>
          <w:szCs w:val="22"/>
        </w:rPr>
      </w:pPr>
      <w:r w:rsidRPr="0066403A">
        <w:rPr>
          <w:noProof/>
          <w:sz w:val="22"/>
          <w:szCs w:val="22"/>
        </w:rPr>
        <w:t>Jeigu esate nėščia, žindote kūdikį, manote, kad galbūt esate nėščia, arba planuojate pastoti, tai prieš vartodama šį vaistą, pasitarkite su gydytoju arba vaistininku.</w:t>
      </w:r>
      <w:r w:rsidRPr="0066403A">
        <w:rPr>
          <w:sz w:val="22"/>
          <w:szCs w:val="22"/>
        </w:rPr>
        <w:t xml:space="preserve"> </w:t>
      </w:r>
    </w:p>
    <w:p w:rsidR="00B30368" w:rsidRPr="00CC1EFB" w:rsidRDefault="00B30368" w:rsidP="00B30368">
      <w:pPr>
        <w:rPr>
          <w:sz w:val="22"/>
          <w:szCs w:val="22"/>
        </w:rPr>
      </w:pPr>
      <w:r w:rsidRPr="0023702A">
        <w:rPr>
          <w:sz w:val="22"/>
          <w:szCs w:val="22"/>
        </w:rPr>
        <w:t>CYCLODOL</w:t>
      </w:r>
      <w:r>
        <w:rPr>
          <w:sz w:val="22"/>
          <w:szCs w:val="22"/>
        </w:rPr>
        <w:t xml:space="preserve"> nėštumo metu vartoti negalima</w:t>
      </w:r>
      <w:r w:rsidRPr="0023702A">
        <w:rPr>
          <w:sz w:val="22"/>
          <w:szCs w:val="22"/>
        </w:rPr>
        <w:t>, kadangi nėra duomenų apie šio vaisto saugu</w:t>
      </w:r>
      <w:r w:rsidRPr="00CC1EFB">
        <w:rPr>
          <w:sz w:val="22"/>
          <w:szCs w:val="22"/>
        </w:rPr>
        <w:t>mą.</w:t>
      </w:r>
    </w:p>
    <w:p w:rsidR="00B30368" w:rsidRPr="0023702A" w:rsidRDefault="00B30368" w:rsidP="00B30368">
      <w:pPr>
        <w:rPr>
          <w:sz w:val="22"/>
          <w:szCs w:val="22"/>
        </w:rPr>
      </w:pPr>
      <w:r w:rsidRPr="0023702A">
        <w:rPr>
          <w:bCs/>
          <w:sz w:val="22"/>
          <w:szCs w:val="22"/>
        </w:rPr>
        <w:t xml:space="preserve">Nevartokite </w:t>
      </w:r>
      <w:r w:rsidRPr="0023702A">
        <w:rPr>
          <w:sz w:val="22"/>
          <w:szCs w:val="22"/>
        </w:rPr>
        <w:t>CYCLODOL</w:t>
      </w:r>
      <w:r w:rsidRPr="0023702A">
        <w:rPr>
          <w:bCs/>
          <w:sz w:val="22"/>
          <w:szCs w:val="22"/>
        </w:rPr>
        <w:t xml:space="preserve">, jei žindote, nes šis vaistas </w:t>
      </w:r>
      <w:r w:rsidRPr="0023702A">
        <w:rPr>
          <w:sz w:val="22"/>
          <w:szCs w:val="22"/>
        </w:rPr>
        <w:t>slopina pieno išsiskyrimą. Duomenų apie jo patekimą į moters pieną nėra.</w:t>
      </w:r>
    </w:p>
    <w:p w:rsidR="00B30368" w:rsidRPr="0023702A" w:rsidRDefault="00B30368" w:rsidP="00B30368">
      <w:pPr>
        <w:pStyle w:val="BTEMEASMCA"/>
        <w:rPr>
          <w:lang w:val="lt-LT"/>
        </w:rPr>
      </w:pPr>
    </w:p>
    <w:p w:rsidR="00B30368" w:rsidRPr="0023702A" w:rsidRDefault="00B30368" w:rsidP="00B30368">
      <w:pPr>
        <w:pStyle w:val="PI-3EMEASMCA"/>
      </w:pPr>
      <w:r w:rsidRPr="0023702A">
        <w:t>Vairavimas ir mechanizmų valdymas</w:t>
      </w:r>
    </w:p>
    <w:p w:rsidR="00B30368" w:rsidRPr="0023702A" w:rsidRDefault="00B30368" w:rsidP="00B30368">
      <w:pPr>
        <w:pStyle w:val="BTEMEASMCA"/>
        <w:rPr>
          <w:lang w:val="lt-LT"/>
        </w:rPr>
      </w:pPr>
      <w:r w:rsidRPr="0023702A">
        <w:rPr>
          <w:lang w:val="lt-LT"/>
        </w:rPr>
        <w:t>Jeigu</w:t>
      </w:r>
      <w:r>
        <w:rPr>
          <w:lang w:val="lt-LT"/>
        </w:rPr>
        <w:t xml:space="preserve"> vartojant vaistą</w:t>
      </w:r>
      <w:r w:rsidRPr="0023702A">
        <w:rPr>
          <w:lang w:val="lt-LT"/>
        </w:rPr>
        <w:t xml:space="preserve"> pablogėja regėjimas bei sumažėja budrumas</w:t>
      </w:r>
      <w:r>
        <w:rPr>
          <w:lang w:val="lt-LT"/>
        </w:rPr>
        <w:t>,</w:t>
      </w:r>
      <w:r w:rsidRPr="0023702A">
        <w:rPr>
          <w:lang w:val="lt-LT"/>
        </w:rPr>
        <w:t xml:space="preserve"> vairuoti ir mechanizmų valdyti negalima. </w:t>
      </w:r>
    </w:p>
    <w:p w:rsidR="00B30368" w:rsidRPr="0023702A" w:rsidRDefault="00B30368" w:rsidP="00B30368">
      <w:pPr>
        <w:rPr>
          <w:sz w:val="22"/>
          <w:szCs w:val="22"/>
        </w:rPr>
      </w:pPr>
    </w:p>
    <w:p w:rsidR="00B30368" w:rsidRPr="00F3135A" w:rsidRDefault="00B30368" w:rsidP="00B30368">
      <w:pPr>
        <w:pStyle w:val="Antrat4"/>
        <w:spacing w:before="0"/>
        <w:rPr>
          <w:rFonts w:ascii="Times New Roman" w:hAnsi="Times New Roman" w:cs="Times New Roman"/>
          <w:i w:val="0"/>
          <w:color w:val="auto"/>
          <w:sz w:val="22"/>
          <w:szCs w:val="22"/>
        </w:rPr>
      </w:pPr>
      <w:r w:rsidRPr="00F3135A">
        <w:rPr>
          <w:rFonts w:ascii="Times New Roman" w:hAnsi="Times New Roman" w:cs="Times New Roman"/>
          <w:i w:val="0"/>
          <w:color w:val="auto"/>
          <w:sz w:val="22"/>
          <w:szCs w:val="22"/>
        </w:rPr>
        <w:t>CYCLODOL sudėtyje yra sacharozės</w:t>
      </w:r>
    </w:p>
    <w:p w:rsidR="00B30368" w:rsidRPr="0066403A" w:rsidRDefault="00B30368" w:rsidP="00B30368">
      <w:pPr>
        <w:rPr>
          <w:sz w:val="22"/>
          <w:szCs w:val="22"/>
        </w:rPr>
      </w:pPr>
      <w:r w:rsidRPr="0066403A">
        <w:rPr>
          <w:sz w:val="22"/>
          <w:szCs w:val="22"/>
        </w:rPr>
        <w:t>Jeigu gydytojas Jums yra sakęs, kad netoleruojate kokių nors angliavandenių, kreipkitės į jį prieš pradėdami vartoti šį vaistą.</w:t>
      </w:r>
    </w:p>
    <w:p w:rsidR="00B30368" w:rsidRPr="0023702A" w:rsidRDefault="00B30368" w:rsidP="00B30368">
      <w:pPr>
        <w:rPr>
          <w:sz w:val="22"/>
          <w:szCs w:val="22"/>
        </w:rPr>
      </w:pPr>
    </w:p>
    <w:p w:rsidR="00B30368" w:rsidRPr="0023702A" w:rsidRDefault="00B30368" w:rsidP="00B30368">
      <w:pPr>
        <w:rPr>
          <w:sz w:val="22"/>
          <w:szCs w:val="22"/>
        </w:rPr>
      </w:pPr>
    </w:p>
    <w:p w:rsidR="00B30368" w:rsidRPr="0023702A" w:rsidRDefault="00B30368" w:rsidP="00B30368">
      <w:pPr>
        <w:pStyle w:val="PI-1EMEASMCA"/>
        <w:rPr>
          <w:sz w:val="22"/>
        </w:rPr>
      </w:pPr>
      <w:bookmarkStart w:id="4" w:name="_Toc129243141"/>
      <w:bookmarkStart w:id="5" w:name="_Toc129243266"/>
      <w:r w:rsidRPr="0023702A">
        <w:rPr>
          <w:sz w:val="22"/>
        </w:rPr>
        <w:t>3.</w:t>
      </w:r>
      <w:r w:rsidRPr="0023702A">
        <w:rPr>
          <w:sz w:val="22"/>
        </w:rPr>
        <w:tab/>
        <w:t>Kaip vartoti CYCLODOL</w:t>
      </w:r>
      <w:bookmarkEnd w:id="4"/>
      <w:bookmarkEnd w:id="5"/>
    </w:p>
    <w:p w:rsidR="00B30368" w:rsidRPr="0023702A" w:rsidRDefault="00B30368" w:rsidP="00B30368">
      <w:pPr>
        <w:pStyle w:val="BTEMEASMCA"/>
        <w:rPr>
          <w:lang w:val="lt-LT"/>
        </w:rPr>
      </w:pPr>
    </w:p>
    <w:p w:rsidR="00B30368" w:rsidRPr="0023702A" w:rsidRDefault="00B30368" w:rsidP="00B30368">
      <w:pPr>
        <w:numPr>
          <w:ilvl w:val="12"/>
          <w:numId w:val="0"/>
        </w:numPr>
        <w:ind w:right="-2"/>
        <w:rPr>
          <w:sz w:val="22"/>
          <w:szCs w:val="22"/>
        </w:rPr>
      </w:pPr>
      <w:r w:rsidRPr="0023702A">
        <w:rPr>
          <w:noProof/>
          <w:sz w:val="22"/>
          <w:szCs w:val="22"/>
        </w:rPr>
        <w:t>Visada vartokite šį vaistą tiksliai kaip nurodė gydytojas arba vaistininkas.</w:t>
      </w:r>
      <w:r w:rsidRPr="0023702A">
        <w:rPr>
          <w:sz w:val="22"/>
          <w:szCs w:val="22"/>
        </w:rPr>
        <w:t xml:space="preserve"> </w:t>
      </w:r>
      <w:r w:rsidRPr="0023702A">
        <w:rPr>
          <w:noProof/>
          <w:sz w:val="22"/>
          <w:szCs w:val="22"/>
        </w:rPr>
        <w:t>Jeigu abejojate, kreipkitės į gydytoją arba vaistininką.</w:t>
      </w:r>
      <w:r w:rsidRPr="0023702A">
        <w:rPr>
          <w:sz w:val="22"/>
          <w:szCs w:val="22"/>
        </w:rPr>
        <w:t xml:space="preserve"> </w:t>
      </w:r>
    </w:p>
    <w:p w:rsidR="00B30368" w:rsidRPr="0023702A" w:rsidRDefault="00B30368" w:rsidP="00B30368">
      <w:pPr>
        <w:ind w:right="150"/>
        <w:rPr>
          <w:sz w:val="22"/>
          <w:szCs w:val="22"/>
        </w:rPr>
      </w:pPr>
      <w:r w:rsidRPr="0023702A">
        <w:rPr>
          <w:sz w:val="22"/>
          <w:szCs w:val="22"/>
        </w:rPr>
        <w:t>Vaisto dozė yra individuali, todėl ją visada nustato tik gydytojas.</w:t>
      </w:r>
    </w:p>
    <w:p w:rsidR="00B30368" w:rsidRPr="00CC1EFB" w:rsidRDefault="00B30368" w:rsidP="00B30368">
      <w:pPr>
        <w:ind w:right="150"/>
        <w:rPr>
          <w:sz w:val="22"/>
          <w:szCs w:val="22"/>
        </w:rPr>
      </w:pPr>
      <w:r w:rsidRPr="00CC1EFB">
        <w:rPr>
          <w:sz w:val="22"/>
          <w:szCs w:val="22"/>
        </w:rPr>
        <w:t xml:space="preserve">CYCLODOL galima gerti prieš valgį arba valgio metu. Jei vartojant preparato atsiranda burnos </w:t>
      </w:r>
      <w:r>
        <w:rPr>
          <w:sz w:val="22"/>
          <w:szCs w:val="22"/>
        </w:rPr>
        <w:t>džiūvimas</w:t>
      </w:r>
      <w:r w:rsidRPr="00CC1EFB">
        <w:rPr>
          <w:sz w:val="22"/>
          <w:szCs w:val="22"/>
        </w:rPr>
        <w:t xml:space="preserve">, </w:t>
      </w:r>
      <w:r>
        <w:rPr>
          <w:sz w:val="22"/>
          <w:szCs w:val="22"/>
        </w:rPr>
        <w:t>vaisto</w:t>
      </w:r>
      <w:r w:rsidRPr="00CC1EFB">
        <w:rPr>
          <w:sz w:val="22"/>
          <w:szCs w:val="22"/>
        </w:rPr>
        <w:t xml:space="preserve"> rekomenduojama gerti prieš valgį, kad nepradėtų pykinti.</w:t>
      </w:r>
    </w:p>
    <w:p w:rsidR="00B30368" w:rsidRDefault="00B30368" w:rsidP="00B30368">
      <w:pPr>
        <w:ind w:right="150"/>
        <w:rPr>
          <w:sz w:val="22"/>
          <w:szCs w:val="22"/>
        </w:rPr>
      </w:pPr>
    </w:p>
    <w:p w:rsidR="00B30368" w:rsidRPr="002B2BB4" w:rsidRDefault="00B30368" w:rsidP="00B30368">
      <w:pPr>
        <w:ind w:right="150"/>
        <w:rPr>
          <w:i/>
          <w:sz w:val="22"/>
          <w:szCs w:val="22"/>
        </w:rPr>
      </w:pPr>
      <w:r w:rsidRPr="0017393E">
        <w:rPr>
          <w:i/>
          <w:sz w:val="22"/>
          <w:szCs w:val="22"/>
        </w:rPr>
        <w:t>Suaugusieji</w:t>
      </w:r>
    </w:p>
    <w:p w:rsidR="00B30368" w:rsidRPr="0023702A" w:rsidRDefault="00B30368" w:rsidP="00B30368">
      <w:pPr>
        <w:ind w:right="150"/>
        <w:rPr>
          <w:sz w:val="22"/>
          <w:szCs w:val="22"/>
        </w:rPr>
      </w:pPr>
      <w:r w:rsidRPr="0023702A">
        <w:rPr>
          <w:sz w:val="22"/>
          <w:szCs w:val="22"/>
        </w:rPr>
        <w:t>Įprastinė palaikomoji paros dozė yra 6–10 mg (3–5 tabletės). Dozė koreguojama, atsižvelgiant į gydymo veiksmingumą. Ji suvartojama per 3–4 kartus. Sunkiais atvejais paros dozę galima padidinti iki 12–16 mg (6–8 tablečių), kurią reikia suvartoti per 3–4 kartus. Didžiausia triheksifenidilio hidrochlorido paros dozė yra 16 mg.</w:t>
      </w:r>
    </w:p>
    <w:p w:rsidR="00B30368" w:rsidRPr="0023702A" w:rsidRDefault="00B30368" w:rsidP="00B30368">
      <w:pPr>
        <w:ind w:right="150"/>
        <w:rPr>
          <w:sz w:val="22"/>
          <w:szCs w:val="22"/>
        </w:rPr>
      </w:pPr>
    </w:p>
    <w:p w:rsidR="00B30368" w:rsidRPr="0023702A" w:rsidRDefault="00B30368" w:rsidP="00B30368">
      <w:pPr>
        <w:ind w:right="150"/>
        <w:rPr>
          <w:sz w:val="22"/>
          <w:szCs w:val="22"/>
        </w:rPr>
      </w:pPr>
      <w:r w:rsidRPr="0023702A">
        <w:rPr>
          <w:sz w:val="22"/>
          <w:szCs w:val="22"/>
        </w:rPr>
        <w:t>Baigiant gydytis arba pradedant vartoti kitokių vaistų, CYCLODOL dozė turi būti mažinama palaipsniui.</w:t>
      </w:r>
    </w:p>
    <w:p w:rsidR="00B30368" w:rsidRPr="0023702A" w:rsidRDefault="00B30368" w:rsidP="00B30368">
      <w:pPr>
        <w:ind w:right="150"/>
        <w:rPr>
          <w:sz w:val="22"/>
          <w:szCs w:val="22"/>
        </w:rPr>
      </w:pPr>
    </w:p>
    <w:p w:rsidR="00B30368" w:rsidRPr="00F57BC8" w:rsidRDefault="00B30368" w:rsidP="00B30368">
      <w:pPr>
        <w:ind w:right="150"/>
        <w:rPr>
          <w:i/>
          <w:sz w:val="22"/>
          <w:szCs w:val="22"/>
        </w:rPr>
      </w:pPr>
      <w:r w:rsidRPr="0017393E">
        <w:rPr>
          <w:i/>
          <w:sz w:val="22"/>
          <w:szCs w:val="22"/>
        </w:rPr>
        <w:t>Senyvi pacientai</w:t>
      </w:r>
    </w:p>
    <w:p w:rsidR="00B30368" w:rsidRPr="00F57BC8" w:rsidRDefault="00B30368" w:rsidP="00B30368">
      <w:pPr>
        <w:ind w:right="150"/>
        <w:rPr>
          <w:sz w:val="22"/>
          <w:szCs w:val="22"/>
        </w:rPr>
      </w:pPr>
      <w:r w:rsidRPr="00F57BC8">
        <w:rPr>
          <w:sz w:val="22"/>
          <w:szCs w:val="22"/>
        </w:rPr>
        <w:t>Kadangi senyvo amžiaus pacientai paprastai yra jautresni</w:t>
      </w:r>
      <w:r>
        <w:rPr>
          <w:sz w:val="22"/>
          <w:szCs w:val="22"/>
        </w:rPr>
        <w:t xml:space="preserve"> vaisto</w:t>
      </w:r>
      <w:r w:rsidRPr="00F57BC8">
        <w:rPr>
          <w:sz w:val="22"/>
          <w:szCs w:val="22"/>
        </w:rPr>
        <w:t xml:space="preserve"> šalutiniam poveikiui, todėl jiems reikėtų vartoti mažesnę dozę.</w:t>
      </w:r>
    </w:p>
    <w:p w:rsidR="00B30368" w:rsidRPr="0023702A" w:rsidRDefault="00B30368" w:rsidP="00B30368">
      <w:pPr>
        <w:ind w:right="150"/>
        <w:rPr>
          <w:sz w:val="22"/>
          <w:szCs w:val="22"/>
        </w:rPr>
      </w:pPr>
    </w:p>
    <w:p w:rsidR="00B30368" w:rsidRPr="0023702A" w:rsidRDefault="00B30368" w:rsidP="00B30368">
      <w:pPr>
        <w:rPr>
          <w:sz w:val="22"/>
          <w:szCs w:val="22"/>
        </w:rPr>
      </w:pPr>
      <w:r w:rsidRPr="0023702A">
        <w:rPr>
          <w:sz w:val="22"/>
          <w:szCs w:val="22"/>
        </w:rPr>
        <w:t>Gydymo kurso trukmę nustato gydytojas.</w:t>
      </w:r>
    </w:p>
    <w:p w:rsidR="00B30368" w:rsidRPr="0023702A" w:rsidRDefault="00B30368" w:rsidP="00B30368">
      <w:pPr>
        <w:pStyle w:val="BTEMEASMCA"/>
        <w:rPr>
          <w:lang w:val="lt-LT"/>
        </w:rPr>
      </w:pPr>
    </w:p>
    <w:p w:rsidR="00B30368" w:rsidRDefault="00B30368" w:rsidP="00B30368">
      <w:pPr>
        <w:pStyle w:val="BTEMEASMCA"/>
        <w:rPr>
          <w:lang w:val="lt-LT"/>
        </w:rPr>
      </w:pPr>
      <w:r w:rsidRPr="0023702A">
        <w:rPr>
          <w:lang w:val="lt-LT"/>
        </w:rPr>
        <w:t>Jeigu manote, kad vaisto poveikis per stiprus ar per silpnas, kreipkitės į gydytoją.</w:t>
      </w:r>
    </w:p>
    <w:p w:rsidR="00B30368" w:rsidRPr="0023702A" w:rsidRDefault="00B30368" w:rsidP="00B30368">
      <w:pPr>
        <w:rPr>
          <w:sz w:val="22"/>
          <w:szCs w:val="22"/>
        </w:rPr>
      </w:pPr>
    </w:p>
    <w:p w:rsidR="00B30368" w:rsidRPr="0023702A" w:rsidRDefault="00B30368" w:rsidP="00B30368">
      <w:pPr>
        <w:pStyle w:val="PI-3EMEASMCA"/>
      </w:pPr>
      <w:r w:rsidRPr="0023702A">
        <w:t>Ką daryti pavartojus per didelę CYCLODOL dozę</w:t>
      </w:r>
    </w:p>
    <w:p w:rsidR="00B30368" w:rsidRPr="0023702A" w:rsidRDefault="00B30368" w:rsidP="00B30368">
      <w:pPr>
        <w:ind w:right="150"/>
        <w:rPr>
          <w:sz w:val="22"/>
          <w:szCs w:val="22"/>
        </w:rPr>
      </w:pPr>
      <w:r w:rsidRPr="00CC1EFB">
        <w:rPr>
          <w:i/>
          <w:iCs/>
          <w:sz w:val="22"/>
          <w:szCs w:val="22"/>
        </w:rPr>
        <w:t>Perdozavimo simptomai</w:t>
      </w:r>
      <w:r w:rsidRPr="0066403A">
        <w:rPr>
          <w:sz w:val="22"/>
          <w:szCs w:val="22"/>
        </w:rPr>
        <w:t>: išsiplėtę vyzdžiai, gleivin</w:t>
      </w:r>
      <w:r>
        <w:rPr>
          <w:sz w:val="22"/>
          <w:szCs w:val="22"/>
        </w:rPr>
        <w:t>ių</w:t>
      </w:r>
      <w:r w:rsidRPr="0066403A">
        <w:rPr>
          <w:sz w:val="22"/>
          <w:szCs w:val="22"/>
        </w:rPr>
        <w:t xml:space="preserve"> </w:t>
      </w:r>
      <w:r>
        <w:rPr>
          <w:sz w:val="22"/>
          <w:szCs w:val="22"/>
        </w:rPr>
        <w:t>sausumas</w:t>
      </w:r>
      <w:r w:rsidRPr="0066403A">
        <w:rPr>
          <w:sz w:val="22"/>
          <w:szCs w:val="22"/>
        </w:rPr>
        <w:t xml:space="preserve">, padažnėjęs širdies plakimas, vidurių užkietėjimas, pakilusi kūno temperatūra, nervingumas, tikrovės nesuvokimas ir (arba) kiti sąmonės sutrikimai. Sunkiau apsinuodijus, gali </w:t>
      </w:r>
      <w:r w:rsidRPr="0023702A">
        <w:rPr>
          <w:sz w:val="22"/>
          <w:szCs w:val="22"/>
        </w:rPr>
        <w:t>ištikti koma ir sustoti kvėpavimas.</w:t>
      </w:r>
    </w:p>
    <w:p w:rsidR="00B30368" w:rsidRPr="0023702A" w:rsidRDefault="00B30368" w:rsidP="00B30368">
      <w:pPr>
        <w:ind w:right="150"/>
        <w:rPr>
          <w:sz w:val="22"/>
          <w:szCs w:val="22"/>
        </w:rPr>
      </w:pPr>
    </w:p>
    <w:p w:rsidR="00B30368" w:rsidRPr="00B7540B" w:rsidRDefault="00B30368" w:rsidP="00B30368">
      <w:pPr>
        <w:ind w:right="150"/>
        <w:rPr>
          <w:sz w:val="22"/>
          <w:szCs w:val="22"/>
        </w:rPr>
      </w:pPr>
      <w:r w:rsidRPr="0017393E">
        <w:rPr>
          <w:sz w:val="22"/>
          <w:szCs w:val="22"/>
        </w:rPr>
        <w:t>Perdozavus vaisto arba įtarus jo perdozavimą, būtina nedelsiant kreiptis į gydytoją. Reikia pasiimti pavartoto vaisto pakuotę.</w:t>
      </w:r>
    </w:p>
    <w:p w:rsidR="00B30368" w:rsidRPr="0023702A" w:rsidRDefault="00B30368" w:rsidP="00B30368">
      <w:pPr>
        <w:ind w:right="150"/>
        <w:rPr>
          <w:sz w:val="22"/>
          <w:szCs w:val="22"/>
        </w:rPr>
      </w:pPr>
      <w:r w:rsidRPr="0023702A">
        <w:rPr>
          <w:sz w:val="22"/>
          <w:szCs w:val="22"/>
        </w:rPr>
        <w:t>Pacientui reikėtų sukelti vėmimą, gerti skysčių, dėti šaltus kompresus.</w:t>
      </w:r>
    </w:p>
    <w:p w:rsidR="00B30368" w:rsidRPr="0023702A" w:rsidRDefault="00B30368" w:rsidP="00B30368">
      <w:pPr>
        <w:pStyle w:val="BTEMEASMCA"/>
        <w:rPr>
          <w:lang w:val="lt-LT"/>
        </w:rPr>
      </w:pPr>
      <w:r w:rsidRPr="0023702A">
        <w:rPr>
          <w:lang w:val="lt-LT"/>
        </w:rPr>
        <w:t>Informuokite gydytoją apie priemones, kurias naudojate.</w:t>
      </w:r>
    </w:p>
    <w:p w:rsidR="00B30368" w:rsidRPr="0023702A" w:rsidRDefault="00B30368" w:rsidP="00B30368">
      <w:pPr>
        <w:pStyle w:val="PI-3EMEASMCA"/>
      </w:pPr>
    </w:p>
    <w:p w:rsidR="00B30368" w:rsidRPr="00CC1EFB" w:rsidRDefault="00B30368" w:rsidP="00B30368">
      <w:pPr>
        <w:pStyle w:val="PI-3EMEASMCA"/>
      </w:pPr>
      <w:r w:rsidRPr="00CC1EFB">
        <w:t>Pamiršus pavartoti CYCLODOL</w:t>
      </w:r>
    </w:p>
    <w:p w:rsidR="00B30368" w:rsidRPr="0023702A" w:rsidRDefault="00B30368" w:rsidP="00B30368">
      <w:pPr>
        <w:pStyle w:val="BTEMEASMCA"/>
        <w:rPr>
          <w:lang w:val="lt-LT"/>
        </w:rPr>
      </w:pPr>
      <w:r w:rsidRPr="0023702A">
        <w:rPr>
          <w:lang w:val="lt-LT"/>
        </w:rPr>
        <w:t xml:space="preserve">Praleistą dozę suvartokite kaip galima greičiau. Jeigu jau laikas kitai dozei, praleiskite nesuvartotą dozę ir grįžkite prie įprastinės tvarkos. Negalima vartoti dvigubos dozės norint kompensuoti praleistą dozę. </w:t>
      </w:r>
    </w:p>
    <w:p w:rsidR="00B30368" w:rsidRPr="0023702A" w:rsidRDefault="00B30368" w:rsidP="00B30368">
      <w:pPr>
        <w:pStyle w:val="BTEMEASMCA"/>
        <w:rPr>
          <w:lang w:val="lt-LT"/>
        </w:rPr>
      </w:pPr>
    </w:p>
    <w:p w:rsidR="00B30368" w:rsidRPr="0023702A" w:rsidRDefault="00B30368" w:rsidP="00B30368">
      <w:pPr>
        <w:pStyle w:val="PI-3EMEASMCA"/>
      </w:pPr>
      <w:r w:rsidRPr="0023702A">
        <w:t>Nustojus vartoti CYCLODOL</w:t>
      </w:r>
    </w:p>
    <w:p w:rsidR="00B30368" w:rsidRPr="0023702A" w:rsidRDefault="00B30368" w:rsidP="00B30368">
      <w:pPr>
        <w:ind w:right="150"/>
        <w:rPr>
          <w:i/>
          <w:iCs/>
          <w:sz w:val="22"/>
          <w:szCs w:val="22"/>
        </w:rPr>
      </w:pPr>
      <w:r w:rsidRPr="00CC1EFB">
        <w:rPr>
          <w:color w:val="000000"/>
          <w:sz w:val="22"/>
          <w:szCs w:val="22"/>
        </w:rPr>
        <w:t xml:space="preserve">Ilgą laiką vartojantiems CYCLODOL, </w:t>
      </w:r>
      <w:r w:rsidRPr="0066403A">
        <w:rPr>
          <w:sz w:val="22"/>
          <w:szCs w:val="22"/>
        </w:rPr>
        <w:t xml:space="preserve">negalima </w:t>
      </w:r>
      <w:r>
        <w:rPr>
          <w:sz w:val="22"/>
          <w:szCs w:val="22"/>
        </w:rPr>
        <w:t>vaisto vartojimą</w:t>
      </w:r>
      <w:r w:rsidRPr="0066403A">
        <w:rPr>
          <w:sz w:val="22"/>
          <w:szCs w:val="22"/>
        </w:rPr>
        <w:t xml:space="preserve"> nutraukti staigiai, </w:t>
      </w:r>
      <w:r>
        <w:rPr>
          <w:sz w:val="22"/>
          <w:szCs w:val="22"/>
        </w:rPr>
        <w:t>siekiant</w:t>
      </w:r>
      <w:r w:rsidRPr="0066403A">
        <w:rPr>
          <w:sz w:val="22"/>
          <w:szCs w:val="22"/>
        </w:rPr>
        <w:t xml:space="preserve"> išvengti pagrindinės ligos simptomų atsinaujinimo ir galimo anticholinerginio poveikio.</w:t>
      </w:r>
    </w:p>
    <w:p w:rsidR="00B30368" w:rsidRPr="00F57BC8" w:rsidRDefault="00B30368" w:rsidP="00B30368">
      <w:pPr>
        <w:pStyle w:val="BTEMEASMCA"/>
        <w:rPr>
          <w:lang w:val="lt-LT"/>
        </w:rPr>
      </w:pPr>
    </w:p>
    <w:p w:rsidR="00B30368" w:rsidRPr="00F57BC8" w:rsidRDefault="00B30368" w:rsidP="00B30368">
      <w:pPr>
        <w:numPr>
          <w:ilvl w:val="12"/>
          <w:numId w:val="0"/>
        </w:numPr>
        <w:tabs>
          <w:tab w:val="left" w:pos="720"/>
        </w:tabs>
        <w:ind w:right="-29"/>
        <w:rPr>
          <w:sz w:val="22"/>
          <w:szCs w:val="22"/>
        </w:rPr>
      </w:pPr>
      <w:r w:rsidRPr="00F57BC8">
        <w:rPr>
          <w:noProof/>
          <w:sz w:val="22"/>
          <w:szCs w:val="22"/>
        </w:rPr>
        <w:t>Jeigu kiltų daugiau klausimų dėl šio vaisto vartojimo, kreipkitės į gydytoją arba vaistininką.</w:t>
      </w:r>
    </w:p>
    <w:p w:rsidR="00B30368" w:rsidRPr="0023702A" w:rsidRDefault="00B30368" w:rsidP="00B30368">
      <w:pPr>
        <w:pStyle w:val="BTEMEASMCA"/>
        <w:rPr>
          <w:lang w:val="lt-LT"/>
        </w:rPr>
      </w:pPr>
    </w:p>
    <w:p w:rsidR="00B30368" w:rsidRPr="0023702A" w:rsidRDefault="00B30368" w:rsidP="00B30368">
      <w:pPr>
        <w:pStyle w:val="BTEMEASMCA"/>
        <w:rPr>
          <w:lang w:val="lt-LT"/>
        </w:rPr>
      </w:pPr>
    </w:p>
    <w:p w:rsidR="00B30368" w:rsidRPr="0023702A" w:rsidRDefault="00B30368" w:rsidP="00B30368">
      <w:pPr>
        <w:pStyle w:val="PI-1EMEASMCA"/>
        <w:rPr>
          <w:sz w:val="22"/>
        </w:rPr>
      </w:pPr>
      <w:bookmarkStart w:id="6" w:name="_Toc129243142"/>
      <w:bookmarkStart w:id="7" w:name="_Toc129243267"/>
      <w:r w:rsidRPr="0023702A">
        <w:rPr>
          <w:sz w:val="22"/>
        </w:rPr>
        <w:t>4.</w:t>
      </w:r>
      <w:r w:rsidRPr="0023702A">
        <w:rPr>
          <w:sz w:val="22"/>
        </w:rPr>
        <w:tab/>
        <w:t>Galimas šalutinis poveikis</w:t>
      </w:r>
      <w:bookmarkEnd w:id="6"/>
      <w:bookmarkEnd w:id="7"/>
    </w:p>
    <w:p w:rsidR="00B30368" w:rsidRPr="0023702A" w:rsidRDefault="00B30368" w:rsidP="00B30368">
      <w:pPr>
        <w:pStyle w:val="BTEMEASMCA"/>
        <w:rPr>
          <w:lang w:val="lt-LT"/>
        </w:rPr>
      </w:pPr>
    </w:p>
    <w:p w:rsidR="00B30368" w:rsidRPr="0023702A" w:rsidRDefault="00B30368" w:rsidP="00B30368">
      <w:pPr>
        <w:pStyle w:val="BTEMEASMCA"/>
        <w:rPr>
          <w:lang w:val="lt-LT"/>
        </w:rPr>
      </w:pPr>
      <w:r w:rsidRPr="0023702A">
        <w:rPr>
          <w:lang w:val="lt-LT"/>
        </w:rPr>
        <w:t>Šis vaistas, kaip ir visi kiti, gali sukelti šalutinį poveikį, nors jis pasireiškia ne visiems žmonėms.</w:t>
      </w:r>
    </w:p>
    <w:p w:rsidR="00B30368" w:rsidRPr="0095699D" w:rsidRDefault="00B30368" w:rsidP="00B30368">
      <w:pPr>
        <w:ind w:right="150"/>
        <w:rPr>
          <w:i/>
          <w:sz w:val="22"/>
        </w:rPr>
      </w:pPr>
    </w:p>
    <w:p w:rsidR="00B30368" w:rsidRDefault="00B30368" w:rsidP="00B30368">
      <w:pPr>
        <w:ind w:right="150"/>
        <w:rPr>
          <w:sz w:val="22"/>
          <w:szCs w:val="22"/>
        </w:rPr>
      </w:pPr>
    </w:p>
    <w:p w:rsidR="00B30368" w:rsidRPr="0066403A" w:rsidRDefault="00B30368" w:rsidP="00B30368">
      <w:pPr>
        <w:ind w:right="150"/>
        <w:rPr>
          <w:sz w:val="22"/>
          <w:szCs w:val="22"/>
        </w:rPr>
      </w:pPr>
      <w:r w:rsidRPr="0095699D">
        <w:rPr>
          <w:b/>
          <w:sz w:val="22"/>
        </w:rPr>
        <w:t xml:space="preserve">Labai </w:t>
      </w:r>
      <w:r>
        <w:rPr>
          <w:b/>
          <w:bCs/>
          <w:noProof/>
          <w:snapToGrid w:val="0"/>
          <w:sz w:val="22"/>
          <w:szCs w:val="22"/>
        </w:rPr>
        <w:t>dažni šalutinio poveikio reiškiniai</w:t>
      </w:r>
      <w:r w:rsidRPr="0095699D">
        <w:rPr>
          <w:b/>
          <w:sz w:val="22"/>
        </w:rPr>
        <w:t xml:space="preserve"> (gali pasireikšti </w:t>
      </w:r>
      <w:r>
        <w:rPr>
          <w:b/>
          <w:bCs/>
          <w:noProof/>
          <w:snapToGrid w:val="0"/>
          <w:sz w:val="22"/>
          <w:szCs w:val="22"/>
        </w:rPr>
        <w:t>ne rečiau kaip</w:t>
      </w:r>
      <w:r w:rsidRPr="0095699D">
        <w:rPr>
          <w:b/>
          <w:sz w:val="22"/>
        </w:rPr>
        <w:t xml:space="preserve"> 1 iš 10 </w:t>
      </w:r>
      <w:r>
        <w:rPr>
          <w:b/>
          <w:bCs/>
          <w:noProof/>
          <w:snapToGrid w:val="0"/>
          <w:sz w:val="22"/>
          <w:szCs w:val="22"/>
        </w:rPr>
        <w:t>asmenų):</w:t>
      </w:r>
    </w:p>
    <w:p w:rsidR="00B30368" w:rsidRPr="0023702A" w:rsidRDefault="00B30368" w:rsidP="00B30368">
      <w:pPr>
        <w:numPr>
          <w:ilvl w:val="0"/>
          <w:numId w:val="2"/>
        </w:numPr>
        <w:ind w:right="150"/>
        <w:rPr>
          <w:sz w:val="22"/>
          <w:szCs w:val="22"/>
        </w:rPr>
      </w:pPr>
      <w:r w:rsidRPr="0023702A">
        <w:rPr>
          <w:sz w:val="22"/>
          <w:szCs w:val="22"/>
        </w:rPr>
        <w:t xml:space="preserve">burnos </w:t>
      </w:r>
      <w:r>
        <w:rPr>
          <w:sz w:val="22"/>
          <w:szCs w:val="22"/>
        </w:rPr>
        <w:t>džiūvimas;</w:t>
      </w:r>
    </w:p>
    <w:p w:rsidR="00B30368" w:rsidRPr="0023702A" w:rsidRDefault="00B30368" w:rsidP="00B30368">
      <w:pPr>
        <w:numPr>
          <w:ilvl w:val="0"/>
          <w:numId w:val="2"/>
        </w:numPr>
        <w:ind w:right="150"/>
        <w:rPr>
          <w:sz w:val="22"/>
          <w:szCs w:val="22"/>
        </w:rPr>
      </w:pPr>
      <w:r w:rsidRPr="0023702A">
        <w:rPr>
          <w:sz w:val="22"/>
          <w:szCs w:val="22"/>
        </w:rPr>
        <w:t>pykinimas</w:t>
      </w:r>
      <w:r>
        <w:rPr>
          <w:sz w:val="22"/>
          <w:szCs w:val="22"/>
        </w:rPr>
        <w:t>;</w:t>
      </w:r>
    </w:p>
    <w:p w:rsidR="00B30368" w:rsidRPr="0023702A" w:rsidRDefault="00B30368" w:rsidP="00B30368">
      <w:pPr>
        <w:numPr>
          <w:ilvl w:val="0"/>
          <w:numId w:val="2"/>
        </w:numPr>
        <w:ind w:right="150"/>
        <w:rPr>
          <w:sz w:val="22"/>
          <w:szCs w:val="22"/>
        </w:rPr>
      </w:pPr>
      <w:r w:rsidRPr="0023702A">
        <w:rPr>
          <w:sz w:val="22"/>
          <w:szCs w:val="22"/>
        </w:rPr>
        <w:t>vidurių užkietėjimas</w:t>
      </w:r>
      <w:r>
        <w:rPr>
          <w:sz w:val="22"/>
          <w:szCs w:val="22"/>
        </w:rPr>
        <w:t>;</w:t>
      </w:r>
      <w:r w:rsidRPr="0023702A">
        <w:rPr>
          <w:sz w:val="22"/>
          <w:szCs w:val="22"/>
        </w:rPr>
        <w:t xml:space="preserve"> </w:t>
      </w:r>
    </w:p>
    <w:p w:rsidR="00B30368" w:rsidRPr="0023702A" w:rsidRDefault="00B30368" w:rsidP="00B30368">
      <w:pPr>
        <w:numPr>
          <w:ilvl w:val="0"/>
          <w:numId w:val="2"/>
        </w:numPr>
        <w:ind w:right="150"/>
        <w:rPr>
          <w:sz w:val="22"/>
          <w:szCs w:val="22"/>
        </w:rPr>
      </w:pPr>
      <w:r w:rsidRPr="0023702A">
        <w:rPr>
          <w:sz w:val="22"/>
          <w:szCs w:val="22"/>
        </w:rPr>
        <w:t>neryškus matymas</w:t>
      </w:r>
      <w:r>
        <w:rPr>
          <w:sz w:val="22"/>
          <w:szCs w:val="22"/>
        </w:rPr>
        <w:t>.</w:t>
      </w:r>
    </w:p>
    <w:p w:rsidR="00B30368" w:rsidRPr="0023702A" w:rsidRDefault="00B30368" w:rsidP="00B30368">
      <w:pPr>
        <w:ind w:right="150"/>
        <w:rPr>
          <w:sz w:val="22"/>
          <w:szCs w:val="22"/>
        </w:rPr>
      </w:pPr>
    </w:p>
    <w:p w:rsidR="00B30368" w:rsidRDefault="00B30368" w:rsidP="00B30368">
      <w:pPr>
        <w:ind w:right="150"/>
        <w:rPr>
          <w:sz w:val="22"/>
          <w:szCs w:val="22"/>
        </w:rPr>
      </w:pPr>
    </w:p>
    <w:p w:rsidR="00B30368" w:rsidRDefault="00B30368" w:rsidP="00B30368">
      <w:pPr>
        <w:tabs>
          <w:tab w:val="left" w:pos="567"/>
        </w:tabs>
        <w:ind w:right="-29"/>
        <w:rPr>
          <w:noProof/>
          <w:snapToGrid w:val="0"/>
          <w:sz w:val="22"/>
          <w:szCs w:val="22"/>
        </w:rPr>
      </w:pPr>
      <w:r>
        <w:rPr>
          <w:b/>
          <w:bCs/>
          <w:noProof/>
          <w:snapToGrid w:val="0"/>
          <w:sz w:val="22"/>
          <w:szCs w:val="22"/>
        </w:rPr>
        <w:t>Dažni šalutinio poveikio reiškiniai</w:t>
      </w:r>
      <w:r w:rsidRPr="0095699D">
        <w:rPr>
          <w:b/>
          <w:sz w:val="22"/>
        </w:rPr>
        <w:t xml:space="preserve"> (gali pasireikšti </w:t>
      </w:r>
      <w:r>
        <w:rPr>
          <w:b/>
          <w:bCs/>
          <w:noProof/>
          <w:snapToGrid w:val="0"/>
          <w:sz w:val="22"/>
          <w:szCs w:val="22"/>
        </w:rPr>
        <w:t>rečiau kaip</w:t>
      </w:r>
      <w:r w:rsidRPr="0095699D">
        <w:rPr>
          <w:b/>
          <w:sz w:val="22"/>
        </w:rPr>
        <w:t xml:space="preserve"> 1 iš 10 </w:t>
      </w:r>
      <w:r>
        <w:rPr>
          <w:b/>
          <w:bCs/>
          <w:noProof/>
          <w:snapToGrid w:val="0"/>
          <w:sz w:val="22"/>
          <w:szCs w:val="22"/>
        </w:rPr>
        <w:t>asmenų):</w:t>
      </w:r>
    </w:p>
    <w:p w:rsidR="00B30368" w:rsidRPr="0023702A" w:rsidRDefault="00B30368" w:rsidP="00B30368">
      <w:pPr>
        <w:numPr>
          <w:ilvl w:val="0"/>
          <w:numId w:val="3"/>
        </w:numPr>
        <w:ind w:right="150"/>
        <w:rPr>
          <w:sz w:val="22"/>
          <w:szCs w:val="22"/>
        </w:rPr>
      </w:pPr>
      <w:r w:rsidRPr="0023702A">
        <w:rPr>
          <w:sz w:val="22"/>
          <w:szCs w:val="22"/>
        </w:rPr>
        <w:t>svaigulys</w:t>
      </w:r>
      <w:r>
        <w:rPr>
          <w:sz w:val="22"/>
          <w:szCs w:val="22"/>
        </w:rPr>
        <w:t>;</w:t>
      </w:r>
    </w:p>
    <w:p w:rsidR="00B30368" w:rsidRPr="0023702A" w:rsidRDefault="00B30368" w:rsidP="00B30368">
      <w:pPr>
        <w:numPr>
          <w:ilvl w:val="0"/>
          <w:numId w:val="3"/>
        </w:numPr>
        <w:ind w:right="150"/>
        <w:rPr>
          <w:sz w:val="22"/>
          <w:szCs w:val="22"/>
        </w:rPr>
      </w:pPr>
      <w:r w:rsidRPr="0023702A">
        <w:rPr>
          <w:sz w:val="22"/>
          <w:szCs w:val="22"/>
        </w:rPr>
        <w:t>mieguistumas</w:t>
      </w:r>
      <w:r>
        <w:rPr>
          <w:sz w:val="22"/>
          <w:szCs w:val="22"/>
        </w:rPr>
        <w:t>;</w:t>
      </w:r>
      <w:r w:rsidRPr="0023702A">
        <w:rPr>
          <w:sz w:val="22"/>
          <w:szCs w:val="22"/>
        </w:rPr>
        <w:t xml:space="preserve"> </w:t>
      </w:r>
    </w:p>
    <w:p w:rsidR="00B30368" w:rsidRPr="0023702A" w:rsidRDefault="00B30368" w:rsidP="00B30368">
      <w:pPr>
        <w:numPr>
          <w:ilvl w:val="0"/>
          <w:numId w:val="3"/>
        </w:numPr>
        <w:ind w:right="150"/>
        <w:rPr>
          <w:sz w:val="22"/>
          <w:szCs w:val="22"/>
        </w:rPr>
      </w:pPr>
      <w:r w:rsidRPr="0023702A">
        <w:rPr>
          <w:sz w:val="22"/>
          <w:szCs w:val="22"/>
        </w:rPr>
        <w:t>akomodacijos sutrikimai</w:t>
      </w:r>
      <w:r>
        <w:rPr>
          <w:sz w:val="22"/>
          <w:szCs w:val="22"/>
        </w:rPr>
        <w:t>;</w:t>
      </w:r>
      <w:r w:rsidRPr="0023702A">
        <w:rPr>
          <w:sz w:val="22"/>
          <w:szCs w:val="22"/>
        </w:rPr>
        <w:t xml:space="preserve"> </w:t>
      </w:r>
    </w:p>
    <w:p w:rsidR="00B30368" w:rsidRPr="0023702A" w:rsidRDefault="00B30368" w:rsidP="00B30368">
      <w:pPr>
        <w:numPr>
          <w:ilvl w:val="0"/>
          <w:numId w:val="3"/>
        </w:numPr>
        <w:ind w:right="150"/>
        <w:rPr>
          <w:sz w:val="22"/>
          <w:szCs w:val="22"/>
        </w:rPr>
      </w:pPr>
      <w:r w:rsidRPr="0023702A">
        <w:rPr>
          <w:sz w:val="22"/>
          <w:szCs w:val="22"/>
        </w:rPr>
        <w:t>nervingumas</w:t>
      </w:r>
      <w:r>
        <w:rPr>
          <w:sz w:val="22"/>
          <w:szCs w:val="22"/>
        </w:rPr>
        <w:t>.</w:t>
      </w:r>
    </w:p>
    <w:p w:rsidR="00B30368" w:rsidRPr="0023702A" w:rsidRDefault="00B30368" w:rsidP="00B30368">
      <w:pPr>
        <w:ind w:right="150"/>
        <w:rPr>
          <w:sz w:val="22"/>
          <w:szCs w:val="22"/>
        </w:rPr>
      </w:pPr>
    </w:p>
    <w:p w:rsidR="00B30368" w:rsidRDefault="00B30368" w:rsidP="00B30368">
      <w:pPr>
        <w:tabs>
          <w:tab w:val="left" w:pos="567"/>
        </w:tabs>
        <w:ind w:right="-29"/>
        <w:rPr>
          <w:sz w:val="22"/>
          <w:szCs w:val="22"/>
        </w:rPr>
      </w:pPr>
    </w:p>
    <w:p w:rsidR="00B30368" w:rsidRPr="0095699D" w:rsidRDefault="00B30368" w:rsidP="00B30368">
      <w:pPr>
        <w:tabs>
          <w:tab w:val="left" w:pos="567"/>
        </w:tabs>
        <w:ind w:right="-29"/>
        <w:rPr>
          <w:rFonts w:ascii="Segoe UI Emoji" w:eastAsia="Segoe UI Emoji" w:hAnsi="Segoe UI Emoji"/>
          <w:b/>
          <w:sz w:val="22"/>
        </w:rPr>
      </w:pPr>
      <w:r>
        <w:rPr>
          <w:b/>
          <w:bCs/>
          <w:noProof/>
          <w:snapToGrid w:val="0"/>
          <w:sz w:val="22"/>
          <w:szCs w:val="22"/>
        </w:rPr>
        <w:t>Reti šalutinio poveikio reiškiniai</w:t>
      </w:r>
      <w:r w:rsidRPr="0095699D">
        <w:rPr>
          <w:b/>
          <w:sz w:val="22"/>
        </w:rPr>
        <w:t xml:space="preserve"> (gali pasireikšti </w:t>
      </w:r>
      <w:r>
        <w:rPr>
          <w:b/>
          <w:bCs/>
          <w:noProof/>
          <w:snapToGrid w:val="0"/>
          <w:sz w:val="22"/>
          <w:szCs w:val="22"/>
        </w:rPr>
        <w:t>rečiau kaip</w:t>
      </w:r>
      <w:r w:rsidRPr="0095699D">
        <w:rPr>
          <w:b/>
          <w:sz w:val="22"/>
        </w:rPr>
        <w:t xml:space="preserve"> 1 iš </w:t>
      </w:r>
      <w:r>
        <w:rPr>
          <w:b/>
          <w:bCs/>
          <w:noProof/>
          <w:snapToGrid w:val="0"/>
          <w:sz w:val="22"/>
          <w:szCs w:val="22"/>
        </w:rPr>
        <w:t>1 000 asmenų</w:t>
      </w:r>
      <w:r w:rsidRPr="0095699D">
        <w:rPr>
          <w:b/>
          <w:sz w:val="22"/>
        </w:rPr>
        <w:t xml:space="preserve">): </w:t>
      </w:r>
    </w:p>
    <w:p w:rsidR="00B30368" w:rsidRPr="0023702A" w:rsidRDefault="00B30368" w:rsidP="00B30368">
      <w:pPr>
        <w:numPr>
          <w:ilvl w:val="0"/>
          <w:numId w:val="4"/>
        </w:numPr>
        <w:ind w:right="150"/>
        <w:rPr>
          <w:sz w:val="22"/>
          <w:szCs w:val="22"/>
        </w:rPr>
      </w:pPr>
      <w:r w:rsidRPr="0023702A">
        <w:rPr>
          <w:sz w:val="22"/>
          <w:szCs w:val="22"/>
        </w:rPr>
        <w:t>padidėjęs jautrumas</w:t>
      </w:r>
      <w:r>
        <w:rPr>
          <w:sz w:val="22"/>
          <w:szCs w:val="22"/>
        </w:rPr>
        <w:t>;</w:t>
      </w:r>
      <w:r w:rsidRPr="0023702A">
        <w:rPr>
          <w:sz w:val="22"/>
          <w:szCs w:val="22"/>
        </w:rPr>
        <w:t xml:space="preserve"> </w:t>
      </w:r>
    </w:p>
    <w:p w:rsidR="00B30368" w:rsidRPr="0023702A" w:rsidRDefault="00B30368" w:rsidP="00B30368">
      <w:pPr>
        <w:numPr>
          <w:ilvl w:val="0"/>
          <w:numId w:val="4"/>
        </w:numPr>
        <w:ind w:right="150"/>
        <w:rPr>
          <w:sz w:val="22"/>
          <w:szCs w:val="22"/>
        </w:rPr>
      </w:pPr>
      <w:r w:rsidRPr="0023702A">
        <w:rPr>
          <w:sz w:val="22"/>
          <w:szCs w:val="22"/>
        </w:rPr>
        <w:t>skrandžio veiklos sutrikimai</w:t>
      </w:r>
      <w:r>
        <w:rPr>
          <w:sz w:val="22"/>
          <w:szCs w:val="22"/>
        </w:rPr>
        <w:t>;</w:t>
      </w:r>
      <w:r w:rsidRPr="0023702A">
        <w:rPr>
          <w:sz w:val="22"/>
          <w:szCs w:val="22"/>
        </w:rPr>
        <w:t xml:space="preserve"> </w:t>
      </w:r>
    </w:p>
    <w:p w:rsidR="00B30368" w:rsidRPr="0023702A" w:rsidRDefault="00B30368" w:rsidP="00B30368">
      <w:pPr>
        <w:numPr>
          <w:ilvl w:val="0"/>
          <w:numId w:val="4"/>
        </w:numPr>
        <w:ind w:right="150"/>
        <w:rPr>
          <w:sz w:val="22"/>
          <w:szCs w:val="22"/>
        </w:rPr>
      </w:pPr>
      <w:r w:rsidRPr="0023702A">
        <w:rPr>
          <w:sz w:val="22"/>
          <w:szCs w:val="22"/>
        </w:rPr>
        <w:t>pagreitėjusi širdies veikla</w:t>
      </w:r>
      <w:r>
        <w:rPr>
          <w:sz w:val="22"/>
          <w:szCs w:val="22"/>
        </w:rPr>
        <w:t>;</w:t>
      </w:r>
    </w:p>
    <w:p w:rsidR="00B30368" w:rsidRPr="0023702A" w:rsidRDefault="00B30368" w:rsidP="00B30368">
      <w:pPr>
        <w:numPr>
          <w:ilvl w:val="0"/>
          <w:numId w:val="4"/>
        </w:numPr>
        <w:ind w:right="150"/>
        <w:rPr>
          <w:sz w:val="22"/>
          <w:szCs w:val="22"/>
        </w:rPr>
      </w:pPr>
      <w:r w:rsidRPr="0023702A">
        <w:rPr>
          <w:sz w:val="22"/>
          <w:szCs w:val="22"/>
        </w:rPr>
        <w:t>vyzdžių išsiplėtimas</w:t>
      </w:r>
      <w:r>
        <w:rPr>
          <w:sz w:val="22"/>
          <w:szCs w:val="22"/>
        </w:rPr>
        <w:t>;</w:t>
      </w:r>
    </w:p>
    <w:p w:rsidR="00B30368" w:rsidRPr="0023702A" w:rsidRDefault="00B30368" w:rsidP="00B30368">
      <w:pPr>
        <w:numPr>
          <w:ilvl w:val="0"/>
          <w:numId w:val="4"/>
        </w:numPr>
        <w:ind w:right="150"/>
        <w:rPr>
          <w:sz w:val="22"/>
          <w:szCs w:val="22"/>
        </w:rPr>
      </w:pPr>
      <w:r w:rsidRPr="0023702A">
        <w:rPr>
          <w:sz w:val="22"/>
          <w:szCs w:val="22"/>
        </w:rPr>
        <w:t>prakaitavimo sumažėjimas</w:t>
      </w:r>
      <w:r>
        <w:rPr>
          <w:sz w:val="22"/>
          <w:szCs w:val="22"/>
        </w:rPr>
        <w:t>;</w:t>
      </w:r>
      <w:r w:rsidRPr="0023702A">
        <w:rPr>
          <w:sz w:val="22"/>
          <w:szCs w:val="22"/>
        </w:rPr>
        <w:t xml:space="preserve"> </w:t>
      </w:r>
    </w:p>
    <w:p w:rsidR="00B30368" w:rsidRPr="0023702A" w:rsidRDefault="00B30368" w:rsidP="00B30368">
      <w:pPr>
        <w:numPr>
          <w:ilvl w:val="0"/>
          <w:numId w:val="4"/>
        </w:numPr>
        <w:ind w:right="150"/>
        <w:rPr>
          <w:sz w:val="22"/>
          <w:szCs w:val="22"/>
        </w:rPr>
      </w:pPr>
      <w:r w:rsidRPr="0023702A">
        <w:rPr>
          <w:sz w:val="22"/>
          <w:szCs w:val="22"/>
        </w:rPr>
        <w:t>šlapimo susilaikymas</w:t>
      </w:r>
      <w:r>
        <w:rPr>
          <w:sz w:val="22"/>
          <w:szCs w:val="22"/>
        </w:rPr>
        <w:t>;</w:t>
      </w:r>
      <w:r w:rsidRPr="0023702A">
        <w:rPr>
          <w:sz w:val="22"/>
          <w:szCs w:val="22"/>
        </w:rPr>
        <w:t xml:space="preserve"> </w:t>
      </w:r>
    </w:p>
    <w:p w:rsidR="00B30368" w:rsidRPr="0023702A" w:rsidRDefault="00B30368" w:rsidP="00B30368">
      <w:pPr>
        <w:numPr>
          <w:ilvl w:val="0"/>
          <w:numId w:val="4"/>
        </w:numPr>
        <w:ind w:right="150"/>
        <w:rPr>
          <w:sz w:val="22"/>
          <w:szCs w:val="22"/>
        </w:rPr>
      </w:pPr>
      <w:r w:rsidRPr="0023702A">
        <w:rPr>
          <w:sz w:val="22"/>
          <w:szCs w:val="22"/>
        </w:rPr>
        <w:t>nemiga</w:t>
      </w:r>
      <w:r>
        <w:rPr>
          <w:sz w:val="22"/>
          <w:szCs w:val="22"/>
        </w:rPr>
        <w:t>;</w:t>
      </w:r>
      <w:r w:rsidRPr="0023702A">
        <w:rPr>
          <w:sz w:val="22"/>
          <w:szCs w:val="22"/>
        </w:rPr>
        <w:t xml:space="preserve"> </w:t>
      </w:r>
    </w:p>
    <w:p w:rsidR="00B30368" w:rsidRPr="0023702A" w:rsidRDefault="00B30368" w:rsidP="00B30368">
      <w:pPr>
        <w:numPr>
          <w:ilvl w:val="0"/>
          <w:numId w:val="4"/>
        </w:numPr>
        <w:ind w:right="150"/>
        <w:rPr>
          <w:sz w:val="22"/>
          <w:szCs w:val="22"/>
        </w:rPr>
      </w:pPr>
      <w:r w:rsidRPr="0023702A">
        <w:rPr>
          <w:sz w:val="22"/>
          <w:szCs w:val="22"/>
        </w:rPr>
        <w:t>nuovargis</w:t>
      </w:r>
      <w:r>
        <w:rPr>
          <w:sz w:val="22"/>
          <w:szCs w:val="22"/>
        </w:rPr>
        <w:t>.</w:t>
      </w:r>
    </w:p>
    <w:p w:rsidR="00B30368" w:rsidRPr="0095699D" w:rsidRDefault="00B30368" w:rsidP="00B30368">
      <w:pPr>
        <w:ind w:right="150"/>
        <w:rPr>
          <w:i/>
          <w:sz w:val="22"/>
        </w:rPr>
      </w:pPr>
    </w:p>
    <w:p w:rsidR="00B30368" w:rsidRPr="00F57BC8" w:rsidRDefault="00B30368" w:rsidP="00B30368">
      <w:pPr>
        <w:ind w:right="150"/>
        <w:rPr>
          <w:sz w:val="22"/>
          <w:szCs w:val="22"/>
        </w:rPr>
      </w:pPr>
      <w:r w:rsidRPr="0095699D">
        <w:rPr>
          <w:b/>
          <w:sz w:val="22"/>
        </w:rPr>
        <w:t xml:space="preserve">Labai </w:t>
      </w:r>
      <w:r>
        <w:rPr>
          <w:b/>
          <w:bCs/>
          <w:noProof/>
          <w:snapToGrid w:val="0"/>
          <w:sz w:val="22"/>
          <w:szCs w:val="22"/>
        </w:rPr>
        <w:t>reti šalutinio poveikio reiškiniai</w:t>
      </w:r>
      <w:r w:rsidRPr="0095699D">
        <w:rPr>
          <w:b/>
          <w:sz w:val="22"/>
        </w:rPr>
        <w:t xml:space="preserve"> (gali pasireikšti </w:t>
      </w:r>
      <w:r>
        <w:rPr>
          <w:b/>
          <w:bCs/>
          <w:noProof/>
          <w:snapToGrid w:val="0"/>
          <w:sz w:val="22"/>
          <w:szCs w:val="22"/>
        </w:rPr>
        <w:t>rečiau kaip</w:t>
      </w:r>
      <w:r w:rsidRPr="0095699D">
        <w:rPr>
          <w:b/>
          <w:sz w:val="22"/>
        </w:rPr>
        <w:t xml:space="preserve"> 1 iš </w:t>
      </w:r>
      <w:r>
        <w:rPr>
          <w:b/>
          <w:bCs/>
          <w:noProof/>
          <w:snapToGrid w:val="0"/>
          <w:sz w:val="22"/>
          <w:szCs w:val="22"/>
        </w:rPr>
        <w:t>10 000 asmenų</w:t>
      </w:r>
      <w:r w:rsidRPr="0095699D">
        <w:rPr>
          <w:b/>
          <w:sz w:val="22"/>
        </w:rPr>
        <w:t>):</w:t>
      </w:r>
      <w:r w:rsidRPr="00F57BC8">
        <w:rPr>
          <w:sz w:val="22"/>
          <w:szCs w:val="22"/>
        </w:rPr>
        <w:t xml:space="preserve"> </w:t>
      </w:r>
    </w:p>
    <w:p w:rsidR="00B30368" w:rsidRPr="0023702A" w:rsidRDefault="00B30368" w:rsidP="00B30368">
      <w:pPr>
        <w:numPr>
          <w:ilvl w:val="0"/>
          <w:numId w:val="5"/>
        </w:numPr>
        <w:ind w:right="150"/>
        <w:rPr>
          <w:sz w:val="22"/>
          <w:szCs w:val="22"/>
        </w:rPr>
      </w:pPr>
      <w:r w:rsidRPr="0023702A">
        <w:rPr>
          <w:sz w:val="22"/>
          <w:szCs w:val="22"/>
        </w:rPr>
        <w:t>sulėtėjusi širdies veikla</w:t>
      </w:r>
      <w:r>
        <w:rPr>
          <w:sz w:val="22"/>
          <w:szCs w:val="22"/>
        </w:rPr>
        <w:t>;</w:t>
      </w:r>
    </w:p>
    <w:p w:rsidR="00B30368" w:rsidRPr="00AC7291" w:rsidRDefault="00B30368" w:rsidP="00B30368">
      <w:pPr>
        <w:numPr>
          <w:ilvl w:val="0"/>
          <w:numId w:val="5"/>
        </w:numPr>
        <w:ind w:right="150"/>
        <w:rPr>
          <w:sz w:val="22"/>
          <w:szCs w:val="22"/>
        </w:rPr>
      </w:pPr>
      <w:r w:rsidRPr="0023702A">
        <w:rPr>
          <w:sz w:val="22"/>
          <w:szCs w:val="22"/>
        </w:rPr>
        <w:t xml:space="preserve">uždarojo kampo glaukoma, susijusi su padidėjusiu akispūdžiu (taip pat žr. skyrių </w:t>
      </w:r>
      <w:r w:rsidRPr="00AC7291">
        <w:rPr>
          <w:sz w:val="22"/>
          <w:szCs w:val="22"/>
        </w:rPr>
        <w:t>„</w:t>
      </w:r>
      <w:r>
        <w:rPr>
          <w:sz w:val="22"/>
          <w:szCs w:val="22"/>
        </w:rPr>
        <w:t>Įspėjimai ir atsargumo priemonės</w:t>
      </w:r>
      <w:r w:rsidRPr="00AC7291">
        <w:rPr>
          <w:sz w:val="22"/>
          <w:szCs w:val="22"/>
        </w:rPr>
        <w:t>“)</w:t>
      </w:r>
      <w:r>
        <w:rPr>
          <w:sz w:val="22"/>
          <w:szCs w:val="22"/>
        </w:rPr>
        <w:t>;</w:t>
      </w:r>
    </w:p>
    <w:p w:rsidR="00B30368" w:rsidRPr="0023702A" w:rsidRDefault="00B30368" w:rsidP="00B30368">
      <w:pPr>
        <w:numPr>
          <w:ilvl w:val="0"/>
          <w:numId w:val="5"/>
        </w:numPr>
        <w:ind w:right="150"/>
        <w:rPr>
          <w:sz w:val="22"/>
          <w:szCs w:val="22"/>
        </w:rPr>
      </w:pPr>
      <w:r>
        <w:rPr>
          <w:sz w:val="22"/>
          <w:szCs w:val="22"/>
        </w:rPr>
        <w:t>f</w:t>
      </w:r>
      <w:r w:rsidRPr="0023702A">
        <w:rPr>
          <w:sz w:val="22"/>
          <w:szCs w:val="22"/>
        </w:rPr>
        <w:t>otofobija</w:t>
      </w:r>
      <w:r>
        <w:rPr>
          <w:sz w:val="22"/>
          <w:szCs w:val="22"/>
        </w:rPr>
        <w:t>.</w:t>
      </w:r>
    </w:p>
    <w:p w:rsidR="00B30368" w:rsidRPr="0023702A" w:rsidRDefault="00B30368" w:rsidP="00B30368">
      <w:pPr>
        <w:ind w:right="150"/>
        <w:rPr>
          <w:sz w:val="22"/>
          <w:szCs w:val="22"/>
        </w:rPr>
      </w:pPr>
    </w:p>
    <w:p w:rsidR="00B30368" w:rsidRPr="0023702A" w:rsidRDefault="00B30368" w:rsidP="00B30368">
      <w:pPr>
        <w:ind w:right="150"/>
        <w:rPr>
          <w:sz w:val="22"/>
          <w:szCs w:val="22"/>
        </w:rPr>
      </w:pPr>
      <w:r w:rsidRPr="0023702A">
        <w:rPr>
          <w:sz w:val="22"/>
          <w:szCs w:val="22"/>
        </w:rPr>
        <w:t xml:space="preserve">Pacientams, vartojantiems didelę triheksifenidilio dozę arba turintiems rizikos </w:t>
      </w:r>
      <w:r>
        <w:rPr>
          <w:sz w:val="22"/>
          <w:szCs w:val="22"/>
        </w:rPr>
        <w:t xml:space="preserve">veiksnių </w:t>
      </w:r>
      <w:r w:rsidRPr="0023702A">
        <w:rPr>
          <w:sz w:val="22"/>
          <w:szCs w:val="22"/>
        </w:rPr>
        <w:t>(senyvas amžius arba ypatingas jautrumas kokiam nors vaistui), gali pasireikšti sąmonės pritemimas (ypač senyviems asmenims), atminties sutrikimas, neįprastas nuotaikos pakilimas, ažitacija, susijaudinimas, pykinimas arba vėmimas. Tokiu atveju gydymą reikia nutraukti. Sumažinus</w:t>
      </w:r>
      <w:r>
        <w:rPr>
          <w:sz w:val="22"/>
          <w:szCs w:val="22"/>
        </w:rPr>
        <w:t xml:space="preserve"> vaisto</w:t>
      </w:r>
      <w:r w:rsidRPr="0023702A">
        <w:rPr>
          <w:sz w:val="22"/>
          <w:szCs w:val="22"/>
        </w:rPr>
        <w:t xml:space="preserve"> dozę arba nutraukus gydymą, nepageidaujamas poveikis išnyksta.</w:t>
      </w:r>
    </w:p>
    <w:p w:rsidR="00B30368" w:rsidRPr="0023702A" w:rsidRDefault="00B30368" w:rsidP="00B30368">
      <w:pPr>
        <w:ind w:right="150"/>
        <w:rPr>
          <w:sz w:val="22"/>
          <w:szCs w:val="22"/>
        </w:rPr>
      </w:pPr>
    </w:p>
    <w:p w:rsidR="00B30368" w:rsidRPr="00AC7291" w:rsidRDefault="00B30368" w:rsidP="00B30368">
      <w:pPr>
        <w:rPr>
          <w:sz w:val="22"/>
          <w:szCs w:val="22"/>
        </w:rPr>
      </w:pPr>
      <w:r w:rsidRPr="0023702A">
        <w:rPr>
          <w:sz w:val="22"/>
          <w:szCs w:val="22"/>
        </w:rPr>
        <w:t>Buvo gauta pranešimų apie piktnaudžiavimą triheksifenidilio hidrochloridu dėl euforiją ir haliucinacijas sukeliančių savybių (taip pat žr. skyrių „</w:t>
      </w:r>
      <w:r>
        <w:rPr>
          <w:sz w:val="22"/>
          <w:szCs w:val="22"/>
        </w:rPr>
        <w:t>Įspėjimai ir atsargumo priemonės</w:t>
      </w:r>
      <w:r w:rsidRPr="00AC7291">
        <w:rPr>
          <w:sz w:val="22"/>
          <w:szCs w:val="22"/>
        </w:rPr>
        <w:t>“).</w:t>
      </w:r>
    </w:p>
    <w:p w:rsidR="00B30368" w:rsidRPr="0023702A" w:rsidRDefault="00B30368" w:rsidP="00B30368">
      <w:pPr>
        <w:ind w:right="150"/>
        <w:jc w:val="both"/>
        <w:rPr>
          <w:b/>
          <w:bCs/>
          <w:sz w:val="22"/>
          <w:szCs w:val="22"/>
        </w:rPr>
      </w:pPr>
    </w:p>
    <w:p w:rsidR="00B30368" w:rsidRPr="0023702A" w:rsidRDefault="00B30368" w:rsidP="00B30368">
      <w:pPr>
        <w:rPr>
          <w:b/>
          <w:sz w:val="22"/>
          <w:szCs w:val="22"/>
        </w:rPr>
      </w:pPr>
      <w:r w:rsidRPr="0023702A">
        <w:rPr>
          <w:b/>
          <w:noProof/>
          <w:sz w:val="22"/>
          <w:szCs w:val="22"/>
        </w:rPr>
        <w:t>Pranešimas apie šalutinį poveikį</w:t>
      </w:r>
    </w:p>
    <w:p w:rsidR="00B30368" w:rsidRPr="00C96BDB" w:rsidRDefault="00B30368" w:rsidP="00B30368">
      <w:pPr>
        <w:pStyle w:val="BTEMEASMCA"/>
        <w:rPr>
          <w:lang w:val="lt-LT"/>
        </w:rPr>
      </w:pPr>
      <w:r w:rsidRPr="0023702A">
        <w:rPr>
          <w:lang w:val="lt-LT"/>
        </w:rPr>
        <w:t>Jeigu pasireiškė šalutinis poveikis, įskaitant šiame lapelyje nenurodytą, pasakykite gydytojui arba vaistininkui.</w:t>
      </w:r>
      <w:r w:rsidRPr="00C96BDB">
        <w:rPr>
          <w:snapToGrid w:val="0"/>
          <w:lang w:val="lt-LT"/>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C96BDB">
          <w:rPr>
            <w:rStyle w:val="Hipersaitas"/>
            <w:rFonts w:eastAsiaTheme="majorEastAsia"/>
            <w:snapToGrid w:val="0"/>
            <w:lang w:val="lt-LT"/>
          </w:rPr>
          <w:t>https://vapris.vvkt.lt/vvkt-web/public/nrv</w:t>
        </w:r>
      </w:hyperlink>
      <w:r w:rsidRPr="00C96BDB">
        <w:rPr>
          <w:snapToGrid w:val="0"/>
          <w:lang w:val="lt-LT"/>
        </w:rPr>
        <w:t xml:space="preserve"> arba užpildant Paciento pranešimo apie įtariamą nepageidaujamą reakciją (ĮNR) formą, kuri skelbiama </w:t>
      </w:r>
      <w:hyperlink r:id="rId6" w:history="1">
        <w:r w:rsidRPr="00C96BDB">
          <w:rPr>
            <w:rStyle w:val="Hipersaitas"/>
            <w:rFonts w:eastAsiaTheme="majorEastAsia"/>
            <w:snapToGrid w:val="0"/>
            <w:lang w:val="lt-LT"/>
          </w:rPr>
          <w:t>https://www.vvkt.lt/index.php?4004286486</w:t>
        </w:r>
      </w:hyperlink>
      <w:r w:rsidRPr="00C96BDB">
        <w:rPr>
          <w:snapToGrid w:val="0"/>
          <w:lang w:val="lt-LT"/>
        </w:rPr>
        <w:t xml:space="preserve">, ir atsiunčiant elektroniniu paštu (adresu </w:t>
      </w:r>
      <w:hyperlink r:id="rId7" w:history="1">
        <w:r w:rsidRPr="00C96BDB">
          <w:rPr>
            <w:rStyle w:val="Hipersaitas"/>
            <w:rFonts w:eastAsiaTheme="majorEastAsia"/>
            <w:snapToGrid w:val="0"/>
            <w:lang w:val="lt-LT"/>
          </w:rPr>
          <w:t>NepageidaujamaR@vvkt.lt</w:t>
        </w:r>
      </w:hyperlink>
      <w:r w:rsidRPr="00C96BDB">
        <w:rPr>
          <w:snapToGrid w:val="0"/>
          <w:lang w:val="lt-LT"/>
        </w:rPr>
        <w:t>) arba nemokamu telefonu 8 800 73 568. Pranešdami apie šalutinį poveikį galite mums padėti gauti daugiau informacijos apie šio vaisto saugumą.</w:t>
      </w:r>
    </w:p>
    <w:p w:rsidR="00B30368" w:rsidRPr="0023702A" w:rsidRDefault="00B30368" w:rsidP="00B30368">
      <w:pPr>
        <w:pStyle w:val="BTEMEASMCA"/>
        <w:rPr>
          <w:lang w:val="lt-LT"/>
        </w:rPr>
      </w:pPr>
    </w:p>
    <w:p w:rsidR="00B30368" w:rsidRPr="0023702A" w:rsidRDefault="00B30368" w:rsidP="00B30368">
      <w:pPr>
        <w:pStyle w:val="BTEMEASMCA"/>
        <w:rPr>
          <w:lang w:val="lt-LT"/>
        </w:rPr>
      </w:pPr>
    </w:p>
    <w:p w:rsidR="00B30368" w:rsidRPr="0023702A" w:rsidRDefault="00B30368" w:rsidP="00B30368">
      <w:pPr>
        <w:pStyle w:val="PI-1EMEASMCA"/>
        <w:rPr>
          <w:sz w:val="22"/>
        </w:rPr>
      </w:pPr>
      <w:bookmarkStart w:id="8" w:name="_Toc129243143"/>
      <w:bookmarkStart w:id="9" w:name="_Toc129243268"/>
      <w:r w:rsidRPr="0023702A">
        <w:rPr>
          <w:sz w:val="22"/>
        </w:rPr>
        <w:t>5.</w:t>
      </w:r>
      <w:r w:rsidRPr="0023702A">
        <w:rPr>
          <w:sz w:val="22"/>
        </w:rPr>
        <w:tab/>
        <w:t>Kaip laikyti CYCLODOL</w:t>
      </w:r>
      <w:bookmarkEnd w:id="8"/>
      <w:bookmarkEnd w:id="9"/>
    </w:p>
    <w:p w:rsidR="00B30368" w:rsidRPr="0023702A" w:rsidRDefault="00B30368" w:rsidP="00B30368">
      <w:pPr>
        <w:pStyle w:val="BTEMEASMCA"/>
        <w:rPr>
          <w:lang w:val="lt-LT"/>
        </w:rPr>
      </w:pPr>
    </w:p>
    <w:p w:rsidR="00B30368" w:rsidRPr="0023702A" w:rsidRDefault="00B30368" w:rsidP="00B30368">
      <w:pPr>
        <w:numPr>
          <w:ilvl w:val="12"/>
          <w:numId w:val="0"/>
        </w:numPr>
        <w:ind w:right="-2"/>
        <w:rPr>
          <w:sz w:val="22"/>
          <w:szCs w:val="22"/>
        </w:rPr>
      </w:pPr>
      <w:r w:rsidRPr="0023702A">
        <w:rPr>
          <w:noProof/>
          <w:sz w:val="22"/>
          <w:szCs w:val="22"/>
        </w:rPr>
        <w:t>Šį vaistą laikykite vaikams nepastebimoje ir nepasiekiamoje vietoje.</w:t>
      </w:r>
    </w:p>
    <w:p w:rsidR="00B30368" w:rsidRPr="0023702A" w:rsidRDefault="00B30368" w:rsidP="00B30368">
      <w:pPr>
        <w:pStyle w:val="BTEMEASMCA"/>
        <w:rPr>
          <w:lang w:val="lt-LT"/>
        </w:rPr>
      </w:pPr>
    </w:p>
    <w:p w:rsidR="00B30368" w:rsidRPr="0023702A" w:rsidRDefault="00B30368" w:rsidP="00B30368">
      <w:pPr>
        <w:pStyle w:val="BTEMEASMCA"/>
        <w:rPr>
          <w:lang w:val="lt-LT"/>
        </w:rPr>
      </w:pPr>
      <w:r w:rsidRPr="0023702A">
        <w:rPr>
          <w:lang w:val="lt-LT"/>
        </w:rPr>
        <w:t>Ant  dėžutės po „</w:t>
      </w:r>
      <w:r>
        <w:rPr>
          <w:lang w:val="lt-LT"/>
        </w:rPr>
        <w:t>EXP</w:t>
      </w:r>
      <w:r w:rsidRPr="00472EBD">
        <w:rPr>
          <w:lang w:val="lt-LT"/>
        </w:rPr>
        <w:t>“ ir lizdinės plokštelės nurodytam tinkamumo laikui pasibaigus, šio vaisto vartoti negalima.</w:t>
      </w:r>
      <w:r w:rsidRPr="0023702A">
        <w:rPr>
          <w:lang w:val="lt-LT"/>
        </w:rPr>
        <w:t xml:space="preserve"> Vaistas tinkamas vartoti iki paskutinės nurodyto mėnesio dienos. </w:t>
      </w:r>
    </w:p>
    <w:p w:rsidR="00B30368" w:rsidRPr="006B17D8" w:rsidRDefault="00B30368" w:rsidP="00B30368"/>
    <w:p w:rsidR="00B30368" w:rsidRPr="0023702A" w:rsidRDefault="00B30368" w:rsidP="00B30368">
      <w:pPr>
        <w:rPr>
          <w:sz w:val="22"/>
          <w:szCs w:val="22"/>
        </w:rPr>
      </w:pPr>
      <w:r w:rsidRPr="0023702A">
        <w:rPr>
          <w:sz w:val="22"/>
          <w:szCs w:val="22"/>
        </w:rPr>
        <w:t xml:space="preserve">Laikyti ne aukštesnėje kaip 25 </w:t>
      </w:r>
      <w:r w:rsidRPr="0023702A">
        <w:rPr>
          <w:sz w:val="22"/>
          <w:szCs w:val="22"/>
        </w:rPr>
        <w:sym w:font="Symbol" w:char="00B0"/>
      </w:r>
      <w:r w:rsidRPr="0023702A">
        <w:rPr>
          <w:sz w:val="22"/>
          <w:szCs w:val="22"/>
        </w:rPr>
        <w:t xml:space="preserve">C temperatūroje. </w:t>
      </w:r>
    </w:p>
    <w:p w:rsidR="00B30368" w:rsidRPr="00F57BC8" w:rsidRDefault="00B30368" w:rsidP="00B30368">
      <w:pPr>
        <w:ind w:left="567" w:hanging="567"/>
        <w:rPr>
          <w:sz w:val="22"/>
          <w:szCs w:val="22"/>
        </w:rPr>
      </w:pPr>
      <w:r w:rsidRPr="00CC1EFB">
        <w:rPr>
          <w:sz w:val="22"/>
          <w:szCs w:val="22"/>
        </w:rPr>
        <w:t>Lizdines plokšteles laikyti</w:t>
      </w:r>
      <w:r w:rsidRPr="00F57BC8">
        <w:rPr>
          <w:sz w:val="22"/>
          <w:szCs w:val="22"/>
        </w:rPr>
        <w:t xml:space="preserve"> išorinėje dėžutėje, kad vaistas būtų apsaugotas nuo šviesos.</w:t>
      </w:r>
    </w:p>
    <w:p w:rsidR="00B30368" w:rsidRPr="0023702A" w:rsidRDefault="00B30368" w:rsidP="00B30368">
      <w:pPr>
        <w:pStyle w:val="BTEMEASMCA"/>
        <w:rPr>
          <w:lang w:val="lt-LT"/>
        </w:rPr>
      </w:pPr>
    </w:p>
    <w:p w:rsidR="00B30368" w:rsidRPr="0023702A" w:rsidRDefault="00B30368" w:rsidP="00B30368">
      <w:pPr>
        <w:pStyle w:val="BTEMEASMCA"/>
        <w:rPr>
          <w:lang w:val="lt-LT"/>
        </w:rPr>
      </w:pPr>
      <w:r w:rsidRPr="0023702A">
        <w:rPr>
          <w:lang w:val="lt-LT"/>
        </w:rPr>
        <w:t>Vaistų negalima išmesti į kanalizaciją arba su buitinėmis atliekomis. Kaip išmesti nereikalingus vaistus, klauskite vaistininko. Šios priemonės padės apsaugoti aplinką</w:t>
      </w:r>
    </w:p>
    <w:p w:rsidR="00B30368" w:rsidRPr="0023702A" w:rsidRDefault="00B30368" w:rsidP="00B30368">
      <w:pPr>
        <w:pStyle w:val="BTEMEASMCA"/>
        <w:rPr>
          <w:lang w:val="lt-LT"/>
        </w:rPr>
      </w:pPr>
    </w:p>
    <w:p w:rsidR="00B30368" w:rsidRPr="0023702A" w:rsidRDefault="00B30368" w:rsidP="00B30368">
      <w:pPr>
        <w:pStyle w:val="BTEMEASMCA"/>
        <w:rPr>
          <w:lang w:val="lt-LT"/>
        </w:rPr>
      </w:pPr>
    </w:p>
    <w:p w:rsidR="00B30368" w:rsidRPr="0023702A" w:rsidRDefault="00B30368" w:rsidP="00B30368">
      <w:pPr>
        <w:pStyle w:val="PI-1EMEASMCA"/>
        <w:rPr>
          <w:sz w:val="22"/>
        </w:rPr>
      </w:pPr>
      <w:bookmarkStart w:id="10" w:name="_Toc129243144"/>
      <w:bookmarkStart w:id="11" w:name="_Toc129243269"/>
      <w:r w:rsidRPr="0023702A">
        <w:rPr>
          <w:sz w:val="22"/>
        </w:rPr>
        <w:t>6.</w:t>
      </w:r>
      <w:r w:rsidRPr="0023702A">
        <w:rPr>
          <w:sz w:val="22"/>
        </w:rPr>
        <w:tab/>
        <w:t>Pakuotės turinys ir kita informacija</w:t>
      </w:r>
      <w:bookmarkEnd w:id="10"/>
      <w:bookmarkEnd w:id="11"/>
    </w:p>
    <w:p w:rsidR="00B30368" w:rsidRPr="0023702A" w:rsidRDefault="00B30368" w:rsidP="00B30368">
      <w:pPr>
        <w:pStyle w:val="BTEMEASMCA"/>
        <w:rPr>
          <w:lang w:val="lt-LT"/>
        </w:rPr>
      </w:pPr>
    </w:p>
    <w:p w:rsidR="00B30368" w:rsidRPr="0023702A" w:rsidRDefault="00B30368" w:rsidP="00B30368">
      <w:pPr>
        <w:pStyle w:val="PI-3EMEASMCA"/>
      </w:pPr>
      <w:r w:rsidRPr="0023702A">
        <w:t>CYCLODOL sudėtis</w:t>
      </w:r>
    </w:p>
    <w:p w:rsidR="00B30368" w:rsidRDefault="00B30368" w:rsidP="00B30368">
      <w:pPr>
        <w:pStyle w:val="PI-1EMEASMCA"/>
        <w:numPr>
          <w:ilvl w:val="0"/>
          <w:numId w:val="1"/>
        </w:numPr>
        <w:tabs>
          <w:tab w:val="clear" w:pos="840"/>
          <w:tab w:val="num" w:pos="567"/>
        </w:tabs>
        <w:ind w:left="567" w:hanging="267"/>
        <w:rPr>
          <w:sz w:val="22"/>
        </w:rPr>
      </w:pPr>
      <w:r w:rsidRPr="0023702A">
        <w:rPr>
          <w:b w:val="0"/>
          <w:sz w:val="22"/>
        </w:rPr>
        <w:t xml:space="preserve">Veiklioji medžiaga yra triheksifenidilio hidrochloridas. </w:t>
      </w:r>
      <w:r>
        <w:rPr>
          <w:b w:val="0"/>
          <w:sz w:val="22"/>
        </w:rPr>
        <w:t>Kiekvienoje</w:t>
      </w:r>
      <w:r w:rsidRPr="0023702A">
        <w:rPr>
          <w:b w:val="0"/>
          <w:sz w:val="22"/>
        </w:rPr>
        <w:t xml:space="preserve"> tabletėje yra 2 mg triheksifenidilio hidrochlorido.</w:t>
      </w:r>
    </w:p>
    <w:p w:rsidR="00B30368" w:rsidRPr="00032440" w:rsidRDefault="00B30368" w:rsidP="00B30368">
      <w:pPr>
        <w:pStyle w:val="PI-1EMEASMCA"/>
        <w:numPr>
          <w:ilvl w:val="0"/>
          <w:numId w:val="1"/>
        </w:numPr>
        <w:tabs>
          <w:tab w:val="clear" w:pos="840"/>
          <w:tab w:val="num" w:pos="567"/>
        </w:tabs>
        <w:rPr>
          <w:sz w:val="22"/>
        </w:rPr>
      </w:pPr>
      <w:r w:rsidRPr="0023702A">
        <w:rPr>
          <w:b w:val="0"/>
          <w:sz w:val="22"/>
        </w:rPr>
        <w:t>Pagalbinės medžiagos yra sacharozė, bulvių krakmolas, mikrokristalinė celiuliozė, kalcio</w:t>
      </w:r>
    </w:p>
    <w:p w:rsidR="00B30368" w:rsidRDefault="00B30368" w:rsidP="00B30368">
      <w:pPr>
        <w:pStyle w:val="PI-1EMEASMCA"/>
        <w:tabs>
          <w:tab w:val="clear" w:pos="567"/>
        </w:tabs>
        <w:ind w:firstLine="273"/>
        <w:rPr>
          <w:sz w:val="22"/>
        </w:rPr>
      </w:pPr>
      <w:r w:rsidRPr="0023702A">
        <w:rPr>
          <w:b w:val="0"/>
          <w:sz w:val="22"/>
        </w:rPr>
        <w:t>stearatas.</w:t>
      </w:r>
    </w:p>
    <w:p w:rsidR="00B30368" w:rsidRPr="0023702A" w:rsidRDefault="00B30368" w:rsidP="00B30368">
      <w:pPr>
        <w:pStyle w:val="BTEMEASMCA"/>
        <w:rPr>
          <w:lang w:val="lt-LT"/>
        </w:rPr>
      </w:pPr>
    </w:p>
    <w:p w:rsidR="00B30368" w:rsidRPr="0023702A" w:rsidRDefault="00B30368" w:rsidP="00B30368">
      <w:pPr>
        <w:pStyle w:val="PI-3EMEASMCA"/>
      </w:pPr>
      <w:r w:rsidRPr="0023702A">
        <w:t>CYCLODOL išvaizda ir kiekis pakuotėje</w:t>
      </w:r>
    </w:p>
    <w:p w:rsidR="00B30368" w:rsidRPr="0023702A" w:rsidRDefault="00B30368" w:rsidP="00B30368">
      <w:pPr>
        <w:pStyle w:val="BTEMEASMCA"/>
        <w:rPr>
          <w:lang w:val="lt-LT"/>
        </w:rPr>
      </w:pPr>
      <w:r w:rsidRPr="0023702A">
        <w:rPr>
          <w:lang w:val="lt-LT"/>
        </w:rPr>
        <w:t>Tabletės yra baltos spalvos, apvalios, plokščiu paviršiumi su nuožulniais kraštais.</w:t>
      </w:r>
    </w:p>
    <w:p w:rsidR="00B30368" w:rsidRPr="0023702A" w:rsidRDefault="00B30368" w:rsidP="00B30368">
      <w:pPr>
        <w:rPr>
          <w:sz w:val="22"/>
          <w:szCs w:val="22"/>
        </w:rPr>
      </w:pPr>
      <w:r>
        <w:rPr>
          <w:sz w:val="22"/>
          <w:szCs w:val="22"/>
        </w:rPr>
        <w:t>L</w:t>
      </w:r>
      <w:r w:rsidRPr="0023702A">
        <w:rPr>
          <w:sz w:val="22"/>
          <w:szCs w:val="22"/>
        </w:rPr>
        <w:t>izdinėje plokštelėje yra 25 tabletės, kartono dėžutėje yra 2 lizdinės plokštelės.</w:t>
      </w:r>
    </w:p>
    <w:p w:rsidR="00B30368" w:rsidRPr="00CC1EFB" w:rsidRDefault="00B30368" w:rsidP="00B30368">
      <w:pPr>
        <w:pStyle w:val="PI-3EMEASMCA"/>
      </w:pPr>
    </w:p>
    <w:p w:rsidR="00B30368" w:rsidRPr="0023702A" w:rsidRDefault="00B30368" w:rsidP="00B30368">
      <w:pPr>
        <w:pStyle w:val="PI-3EMEASMCA"/>
      </w:pPr>
      <w:r w:rsidRPr="0023702A">
        <w:t>Registruotojas ir gamintojas</w:t>
      </w:r>
    </w:p>
    <w:p w:rsidR="00B30368" w:rsidRPr="0023702A" w:rsidRDefault="00B30368" w:rsidP="00B30368">
      <w:pPr>
        <w:rPr>
          <w:sz w:val="22"/>
          <w:szCs w:val="22"/>
        </w:rPr>
      </w:pPr>
      <w:r w:rsidRPr="0023702A">
        <w:rPr>
          <w:sz w:val="22"/>
          <w:szCs w:val="22"/>
        </w:rPr>
        <w:t xml:space="preserve">AS GRINDEKS. </w:t>
      </w:r>
    </w:p>
    <w:p w:rsidR="00B30368" w:rsidRPr="00CC1EFB" w:rsidRDefault="00B30368" w:rsidP="00B30368">
      <w:pPr>
        <w:rPr>
          <w:sz w:val="22"/>
          <w:szCs w:val="22"/>
        </w:rPr>
      </w:pPr>
      <w:r w:rsidRPr="00CC1EFB">
        <w:rPr>
          <w:sz w:val="22"/>
          <w:szCs w:val="22"/>
        </w:rPr>
        <w:t>Krustpils iela 53, Rīga, LV-1057, Latvija</w:t>
      </w:r>
    </w:p>
    <w:p w:rsidR="00B30368" w:rsidRPr="0023702A" w:rsidRDefault="00B30368" w:rsidP="00B30368">
      <w:pPr>
        <w:pStyle w:val="BTEMEASMCA"/>
        <w:rPr>
          <w:lang w:val="lt-LT"/>
        </w:rPr>
      </w:pPr>
      <w:r w:rsidRPr="0023702A">
        <w:rPr>
          <w:lang w:val="lt-LT"/>
        </w:rPr>
        <w:t>Tel. +371 67083205</w:t>
      </w:r>
    </w:p>
    <w:p w:rsidR="00B30368" w:rsidRPr="0023702A" w:rsidRDefault="00B30368" w:rsidP="00B30368">
      <w:pPr>
        <w:pStyle w:val="BTEMEASMCA"/>
        <w:rPr>
          <w:lang w:val="lt-LT"/>
        </w:rPr>
      </w:pPr>
      <w:r w:rsidRPr="0023702A">
        <w:rPr>
          <w:lang w:val="lt-LT"/>
        </w:rPr>
        <w:t>Faksas +371 67083505</w:t>
      </w:r>
    </w:p>
    <w:p w:rsidR="00B30368" w:rsidRPr="0023702A" w:rsidRDefault="00B30368" w:rsidP="00B30368">
      <w:pPr>
        <w:pStyle w:val="BTEMEASMCA"/>
        <w:rPr>
          <w:lang w:val="lt-LT"/>
        </w:rPr>
      </w:pPr>
      <w:r w:rsidRPr="0023702A">
        <w:rPr>
          <w:lang w:val="lt-LT"/>
        </w:rPr>
        <w:t>El. paštas grindeks@grindeks.lv</w:t>
      </w:r>
    </w:p>
    <w:p w:rsidR="00B30368" w:rsidRPr="0023702A" w:rsidRDefault="00B30368" w:rsidP="00B30368">
      <w:pPr>
        <w:pStyle w:val="BTEMEASMCA"/>
        <w:rPr>
          <w:lang w:val="lt-LT"/>
        </w:rPr>
      </w:pPr>
    </w:p>
    <w:p w:rsidR="00B30368" w:rsidRPr="0023702A" w:rsidRDefault="00B30368" w:rsidP="00B30368">
      <w:pPr>
        <w:pStyle w:val="BTEMEASMCA"/>
        <w:rPr>
          <w:lang w:val="lt-LT"/>
        </w:rPr>
      </w:pPr>
      <w:r w:rsidRPr="0023702A">
        <w:rPr>
          <w:lang w:val="lt-LT"/>
        </w:rPr>
        <w:t>Jeigu apie šį vaistą norite sužinoti daugiau, kreipkitės į vietinį registruotojo atstovą.</w:t>
      </w:r>
    </w:p>
    <w:p w:rsidR="00B30368" w:rsidRPr="0023702A" w:rsidRDefault="00B30368" w:rsidP="00B30368">
      <w:pPr>
        <w:rPr>
          <w:sz w:val="22"/>
          <w:szCs w:val="22"/>
        </w:rPr>
      </w:pPr>
    </w:p>
    <w:tbl>
      <w:tblPr>
        <w:tblW w:w="4678" w:type="dxa"/>
        <w:tblInd w:w="-34" w:type="dxa"/>
        <w:tblLayout w:type="fixed"/>
        <w:tblLook w:val="0000" w:firstRow="0" w:lastRow="0" w:firstColumn="0" w:lastColumn="0" w:noHBand="0" w:noVBand="0"/>
      </w:tblPr>
      <w:tblGrid>
        <w:gridCol w:w="4678"/>
      </w:tblGrid>
      <w:tr w:rsidR="00B30368" w:rsidRPr="0023702A" w:rsidTr="0043348F">
        <w:tc>
          <w:tcPr>
            <w:tcW w:w="4678" w:type="dxa"/>
          </w:tcPr>
          <w:p w:rsidR="00B30368" w:rsidRPr="001F6FC4" w:rsidRDefault="00B30368" w:rsidP="0043348F">
            <w:pPr>
              <w:rPr>
                <w:sz w:val="22"/>
                <w:szCs w:val="22"/>
              </w:rPr>
            </w:pPr>
            <w:r w:rsidRPr="001F6FC4">
              <w:rPr>
                <w:sz w:val="22"/>
                <w:szCs w:val="22"/>
              </w:rPr>
              <w:t>„Grindeks Kalceks Lietuva“ UAB</w:t>
            </w:r>
          </w:p>
          <w:p w:rsidR="00B30368" w:rsidRPr="001F6FC4" w:rsidRDefault="00B30368" w:rsidP="0043348F">
            <w:pPr>
              <w:rPr>
                <w:sz w:val="22"/>
                <w:szCs w:val="22"/>
              </w:rPr>
            </w:pPr>
            <w:r w:rsidRPr="001F6FC4">
              <w:rPr>
                <w:sz w:val="22"/>
                <w:szCs w:val="22"/>
              </w:rPr>
              <w:t>Kalvarijų g. 300</w:t>
            </w:r>
          </w:p>
          <w:p w:rsidR="00B30368" w:rsidRPr="001F6FC4" w:rsidRDefault="00B30368" w:rsidP="0043348F">
            <w:pPr>
              <w:rPr>
                <w:sz w:val="22"/>
                <w:szCs w:val="22"/>
              </w:rPr>
            </w:pPr>
            <w:r w:rsidRPr="001F6FC4">
              <w:rPr>
                <w:sz w:val="22"/>
                <w:szCs w:val="22"/>
              </w:rPr>
              <w:t xml:space="preserve">Vilnius, LT-08318 </w:t>
            </w:r>
          </w:p>
          <w:p w:rsidR="00B30368" w:rsidRPr="001F6FC4" w:rsidRDefault="00B30368" w:rsidP="0043348F">
            <w:pPr>
              <w:rPr>
                <w:sz w:val="22"/>
                <w:szCs w:val="22"/>
              </w:rPr>
            </w:pPr>
            <w:r w:rsidRPr="001F6FC4">
              <w:rPr>
                <w:sz w:val="22"/>
                <w:szCs w:val="22"/>
              </w:rPr>
              <w:t>Tel. +370 5 2101401</w:t>
            </w:r>
          </w:p>
          <w:p w:rsidR="00B30368" w:rsidRPr="0023702A" w:rsidRDefault="00B30368" w:rsidP="0043348F">
            <w:pPr>
              <w:pStyle w:val="BTEMEASMCA"/>
              <w:rPr>
                <w:lang w:val="lt-LT"/>
              </w:rPr>
            </w:pPr>
          </w:p>
        </w:tc>
      </w:tr>
    </w:tbl>
    <w:p w:rsidR="00B30368" w:rsidRPr="0023702A" w:rsidRDefault="00B30368" w:rsidP="00B30368">
      <w:pPr>
        <w:rPr>
          <w:sz w:val="22"/>
          <w:szCs w:val="22"/>
        </w:rPr>
      </w:pPr>
      <w:r w:rsidRPr="0023702A">
        <w:rPr>
          <w:b/>
          <w:sz w:val="22"/>
          <w:szCs w:val="22"/>
        </w:rPr>
        <w:t xml:space="preserve">Šis pakuotės lapelis paskutinį kartą peržiūrėtas </w:t>
      </w:r>
      <w:r>
        <w:rPr>
          <w:b/>
          <w:sz w:val="22"/>
          <w:szCs w:val="22"/>
        </w:rPr>
        <w:t>2024-11-04.</w:t>
      </w:r>
    </w:p>
    <w:p w:rsidR="00B30368" w:rsidRPr="0023702A" w:rsidRDefault="00B30368" w:rsidP="00B30368">
      <w:pPr>
        <w:rPr>
          <w:sz w:val="22"/>
          <w:szCs w:val="22"/>
        </w:rPr>
      </w:pPr>
    </w:p>
    <w:p w:rsidR="00B30368" w:rsidRPr="0023702A" w:rsidRDefault="00B30368" w:rsidP="00B30368">
      <w:pPr>
        <w:numPr>
          <w:ilvl w:val="12"/>
          <w:numId w:val="0"/>
        </w:numPr>
        <w:ind w:right="-2"/>
        <w:rPr>
          <w:sz w:val="22"/>
          <w:szCs w:val="22"/>
        </w:rPr>
      </w:pPr>
      <w:r w:rsidRPr="0023702A">
        <w:rPr>
          <w:sz w:val="22"/>
          <w:szCs w:val="22"/>
        </w:rPr>
        <w:t>Išsami informacija apie šį vaistą pateikiama Valstybinės vaistų kontrolės tarnybos prie Lietuvos Respublikos sveikatos apsaugos ministerijos tinklalapyje</w:t>
      </w:r>
      <w:r w:rsidRPr="0023702A">
        <w:rPr>
          <w:i/>
          <w:sz w:val="22"/>
          <w:szCs w:val="22"/>
        </w:rPr>
        <w:t xml:space="preserve"> </w:t>
      </w:r>
      <w:hyperlink r:id="rId8" w:history="1">
        <w:r w:rsidRPr="0023702A">
          <w:rPr>
            <w:rStyle w:val="Hipersaitas"/>
            <w:rFonts w:eastAsia="SimSun"/>
            <w:sz w:val="22"/>
            <w:szCs w:val="22"/>
          </w:rPr>
          <w:t>http://www.vvkt.lt/</w:t>
        </w:r>
      </w:hyperlink>
      <w:r w:rsidRPr="0023702A">
        <w:rPr>
          <w:sz w:val="22"/>
          <w:szCs w:val="22"/>
        </w:rPr>
        <w:t>.</w:t>
      </w:r>
    </w:p>
    <w:p w:rsidR="00B30368" w:rsidRPr="00CC1EFB" w:rsidRDefault="00B30368" w:rsidP="00B30368">
      <w:pPr>
        <w:jc w:val="both"/>
        <w:rPr>
          <w:sz w:val="22"/>
          <w:szCs w:val="22"/>
        </w:rPr>
      </w:pPr>
    </w:p>
    <w:p w:rsidR="00B30368" w:rsidRPr="0023702A" w:rsidRDefault="00B30368" w:rsidP="00B30368">
      <w:pPr>
        <w:rPr>
          <w:sz w:val="22"/>
          <w:szCs w:val="22"/>
        </w:rPr>
      </w:pPr>
    </w:p>
    <w:p w:rsidR="00B30368" w:rsidRPr="0023702A" w:rsidRDefault="00B30368" w:rsidP="00B30368">
      <w:pPr>
        <w:rPr>
          <w:sz w:val="22"/>
          <w:szCs w:val="22"/>
        </w:rPr>
      </w:pPr>
    </w:p>
    <w:p w:rsidR="00B30368" w:rsidRPr="00F3135A" w:rsidRDefault="00B30368" w:rsidP="00B30368">
      <w:pPr>
        <w:pStyle w:val="Antrat2"/>
        <w:tabs>
          <w:tab w:val="left" w:pos="1843"/>
        </w:tabs>
        <w:spacing w:before="0"/>
        <w:jc w:val="center"/>
        <w:rPr>
          <w:rFonts w:ascii="Times New Roman" w:hAnsi="Times New Roman" w:cs="Times New Roman"/>
          <w:bCs w:val="0"/>
          <w:iCs/>
          <w:color w:val="000000" w:themeColor="text1"/>
          <w:sz w:val="22"/>
          <w:szCs w:val="22"/>
        </w:rPr>
      </w:pPr>
      <w:r w:rsidRPr="00F3135A">
        <w:rPr>
          <w:rFonts w:ascii="Times New Roman" w:hAnsi="Times New Roman" w:cs="Times New Roman"/>
          <w:color w:val="000000" w:themeColor="text1"/>
          <w:sz w:val="22"/>
          <w:szCs w:val="22"/>
        </w:rPr>
        <w:t>Pakuotės lapelis:</w:t>
      </w:r>
      <w:r w:rsidRPr="00F3135A">
        <w:rPr>
          <w:rFonts w:ascii="Times New Roman" w:hAnsi="Times New Roman" w:cs="Times New Roman"/>
          <w:bCs w:val="0"/>
          <w:iCs/>
          <w:color w:val="000000" w:themeColor="text1"/>
          <w:sz w:val="22"/>
          <w:szCs w:val="22"/>
        </w:rPr>
        <w:t xml:space="preserve"> </w:t>
      </w:r>
      <w:r w:rsidRPr="00F3135A">
        <w:rPr>
          <w:rFonts w:ascii="Times New Roman" w:hAnsi="Times New Roman" w:cs="Times New Roman"/>
          <w:color w:val="000000" w:themeColor="text1"/>
          <w:sz w:val="22"/>
          <w:szCs w:val="22"/>
        </w:rPr>
        <w:t>informacija pacientui</w:t>
      </w:r>
    </w:p>
    <w:p w:rsidR="00B30368" w:rsidRPr="00F3135A" w:rsidRDefault="00B30368" w:rsidP="00B30368">
      <w:pPr>
        <w:ind w:left="1296" w:firstLine="1296"/>
        <w:jc w:val="center"/>
        <w:rPr>
          <w:b/>
          <w:sz w:val="22"/>
          <w:szCs w:val="22"/>
        </w:rPr>
      </w:pPr>
    </w:p>
    <w:p w:rsidR="00B30368" w:rsidRPr="00CC1EFB" w:rsidRDefault="00B30368" w:rsidP="00B30368">
      <w:pPr>
        <w:jc w:val="center"/>
        <w:rPr>
          <w:b/>
          <w:sz w:val="22"/>
          <w:szCs w:val="22"/>
        </w:rPr>
      </w:pPr>
      <w:r w:rsidRPr="00CC1EFB">
        <w:rPr>
          <w:b/>
          <w:sz w:val="22"/>
          <w:szCs w:val="22"/>
        </w:rPr>
        <w:t>CYCLODOL 2 mg tabletės</w:t>
      </w:r>
    </w:p>
    <w:p w:rsidR="00B30368" w:rsidRPr="0023702A" w:rsidRDefault="00B30368" w:rsidP="00B30368">
      <w:pPr>
        <w:jc w:val="center"/>
        <w:rPr>
          <w:sz w:val="22"/>
          <w:szCs w:val="22"/>
        </w:rPr>
      </w:pPr>
      <w:r>
        <w:rPr>
          <w:sz w:val="22"/>
          <w:szCs w:val="22"/>
        </w:rPr>
        <w:t>t</w:t>
      </w:r>
      <w:r w:rsidRPr="0023702A">
        <w:rPr>
          <w:sz w:val="22"/>
          <w:szCs w:val="22"/>
        </w:rPr>
        <w:t>riheksifenidilio hidrochloridas</w:t>
      </w:r>
    </w:p>
    <w:p w:rsidR="00B30368" w:rsidRPr="0023702A" w:rsidRDefault="00B30368" w:rsidP="00B30368">
      <w:pPr>
        <w:pStyle w:val="BTEMEASMCA"/>
        <w:jc w:val="center"/>
        <w:rPr>
          <w:lang w:val="lt-LT"/>
        </w:rPr>
      </w:pPr>
    </w:p>
    <w:p w:rsidR="00B30368" w:rsidRPr="00CC1EFB" w:rsidRDefault="00B30368" w:rsidP="00B30368">
      <w:pPr>
        <w:suppressAutoHyphens/>
        <w:ind w:left="142" w:hanging="142"/>
        <w:rPr>
          <w:sz w:val="22"/>
          <w:szCs w:val="22"/>
        </w:rPr>
      </w:pPr>
      <w:r w:rsidRPr="0023702A">
        <w:rPr>
          <w:b/>
          <w:noProof/>
          <w:sz w:val="22"/>
          <w:szCs w:val="22"/>
        </w:rPr>
        <w:t>Atidžiai perskaitykite visą šį lapelį, prieš pradėdami vartoti vaistą, nes jame pateikiama Jums svarbi informacija.</w:t>
      </w:r>
    </w:p>
    <w:p w:rsidR="00B30368" w:rsidRPr="0023702A" w:rsidRDefault="00B30368" w:rsidP="00B30368">
      <w:pPr>
        <w:numPr>
          <w:ilvl w:val="0"/>
          <w:numId w:val="6"/>
        </w:numPr>
        <w:ind w:left="567" w:right="-2" w:hanging="567"/>
        <w:rPr>
          <w:sz w:val="22"/>
          <w:szCs w:val="22"/>
        </w:rPr>
      </w:pPr>
      <w:r w:rsidRPr="0023702A">
        <w:rPr>
          <w:noProof/>
          <w:sz w:val="22"/>
          <w:szCs w:val="22"/>
        </w:rPr>
        <w:t>Neišmeskite šio lapelio, nes vėl gali prireikti jį perskaityti.</w:t>
      </w:r>
      <w:r w:rsidRPr="0023702A">
        <w:rPr>
          <w:sz w:val="22"/>
          <w:szCs w:val="22"/>
        </w:rPr>
        <w:t xml:space="preserve"> </w:t>
      </w:r>
    </w:p>
    <w:p w:rsidR="00B30368" w:rsidRPr="0023702A" w:rsidRDefault="00B30368" w:rsidP="00B30368">
      <w:pPr>
        <w:numPr>
          <w:ilvl w:val="0"/>
          <w:numId w:val="6"/>
        </w:numPr>
        <w:ind w:left="567" w:right="-2" w:hanging="567"/>
        <w:rPr>
          <w:sz w:val="22"/>
          <w:szCs w:val="22"/>
        </w:rPr>
      </w:pPr>
      <w:r w:rsidRPr="0023702A">
        <w:rPr>
          <w:noProof/>
          <w:sz w:val="22"/>
          <w:szCs w:val="22"/>
        </w:rPr>
        <w:t>Jeigu kiltų daugiau klausimų, kreipkitės į gydytoją arba vaistininką.</w:t>
      </w:r>
    </w:p>
    <w:p w:rsidR="00B30368" w:rsidRPr="0023702A" w:rsidRDefault="00B30368" w:rsidP="00B30368">
      <w:pPr>
        <w:ind w:left="567" w:right="-2" w:hanging="567"/>
        <w:rPr>
          <w:sz w:val="22"/>
          <w:szCs w:val="22"/>
        </w:rPr>
      </w:pPr>
      <w:r w:rsidRPr="0023702A">
        <w:rPr>
          <w:sz w:val="22"/>
          <w:szCs w:val="22"/>
        </w:rPr>
        <w:t>-</w:t>
      </w:r>
      <w:r w:rsidRPr="0023702A">
        <w:rPr>
          <w:sz w:val="22"/>
          <w:szCs w:val="22"/>
        </w:rPr>
        <w:tab/>
      </w:r>
      <w:r w:rsidRPr="0023702A">
        <w:rPr>
          <w:noProof/>
          <w:sz w:val="22"/>
          <w:szCs w:val="22"/>
        </w:rPr>
        <w:t>Šis vaistas skirtas tik Jums, todėl kitiems žmonėms jo duoti negalima.</w:t>
      </w:r>
      <w:r w:rsidRPr="0023702A">
        <w:rPr>
          <w:sz w:val="22"/>
          <w:szCs w:val="22"/>
        </w:rPr>
        <w:t xml:space="preserve"> </w:t>
      </w:r>
      <w:r w:rsidRPr="0023702A">
        <w:rPr>
          <w:noProof/>
          <w:sz w:val="22"/>
          <w:szCs w:val="22"/>
        </w:rPr>
        <w:t>Vaistas gali jiems pakenkti (net tiems, kurių ligos požymiai yra tokie patys kaip Jūsų).</w:t>
      </w:r>
      <w:r w:rsidRPr="0023702A">
        <w:rPr>
          <w:color w:val="008000"/>
          <w:sz w:val="22"/>
          <w:szCs w:val="22"/>
        </w:rPr>
        <w:t xml:space="preserve"> </w:t>
      </w:r>
    </w:p>
    <w:p w:rsidR="00B30368" w:rsidRPr="0023702A" w:rsidRDefault="00B30368" w:rsidP="00B30368">
      <w:pPr>
        <w:numPr>
          <w:ilvl w:val="0"/>
          <w:numId w:val="6"/>
        </w:numPr>
        <w:tabs>
          <w:tab w:val="left" w:pos="567"/>
        </w:tabs>
        <w:ind w:left="567" w:hanging="567"/>
        <w:rPr>
          <w:sz w:val="22"/>
          <w:szCs w:val="22"/>
        </w:rPr>
      </w:pPr>
      <w:r w:rsidRPr="0023702A">
        <w:rPr>
          <w:noProof/>
          <w:sz w:val="22"/>
          <w:szCs w:val="22"/>
        </w:rPr>
        <w:t>Jeigu pasireiškė šalutinis poveikis (net jeigu jis šiame lapelyje nenurodytas), kreipkitės į gydytoją arba vaistininką. Žr. 4 skyrių.</w:t>
      </w:r>
    </w:p>
    <w:p w:rsidR="00B30368" w:rsidRPr="0023702A" w:rsidRDefault="00B30368" w:rsidP="00B30368">
      <w:pPr>
        <w:pStyle w:val="BTEMEASMCA"/>
        <w:rPr>
          <w:lang w:val="lt-LT"/>
        </w:rPr>
      </w:pPr>
    </w:p>
    <w:p w:rsidR="00B30368" w:rsidRPr="00F3135A" w:rsidRDefault="00B30368" w:rsidP="00B30368">
      <w:pPr>
        <w:pStyle w:val="Antrat4"/>
        <w:rPr>
          <w:rFonts w:ascii="Times New Roman" w:hAnsi="Times New Roman" w:cs="Times New Roman"/>
          <w:i w:val="0"/>
          <w:color w:val="auto"/>
          <w:sz w:val="22"/>
          <w:szCs w:val="22"/>
        </w:rPr>
      </w:pPr>
      <w:r w:rsidRPr="00F3135A">
        <w:rPr>
          <w:rFonts w:ascii="Times New Roman" w:hAnsi="Times New Roman" w:cs="Times New Roman"/>
          <w:i w:val="0"/>
          <w:color w:val="auto"/>
          <w:sz w:val="22"/>
          <w:szCs w:val="22"/>
        </w:rPr>
        <w:t>Apie ką rašoma šiame lapelyje?</w:t>
      </w:r>
    </w:p>
    <w:p w:rsidR="00B30368" w:rsidRPr="0023702A" w:rsidRDefault="00B30368" w:rsidP="00B30368">
      <w:pPr>
        <w:pStyle w:val="BTEMEASMCA"/>
        <w:rPr>
          <w:lang w:val="lt-LT"/>
        </w:rPr>
      </w:pPr>
    </w:p>
    <w:p w:rsidR="00B30368" w:rsidRPr="0023702A" w:rsidRDefault="00B30368" w:rsidP="00B30368">
      <w:pPr>
        <w:pStyle w:val="BTEMEASMCA"/>
        <w:rPr>
          <w:lang w:val="lt-LT"/>
        </w:rPr>
      </w:pPr>
      <w:r w:rsidRPr="0023702A">
        <w:rPr>
          <w:lang w:val="lt-LT"/>
        </w:rPr>
        <w:t>1.</w:t>
      </w:r>
      <w:r w:rsidRPr="0023702A">
        <w:rPr>
          <w:lang w:val="lt-LT"/>
        </w:rPr>
        <w:tab/>
        <w:t>Kas yra CYCLODOL ir kam jis vartojamas</w:t>
      </w:r>
    </w:p>
    <w:p w:rsidR="00B30368" w:rsidRPr="0023702A" w:rsidRDefault="00B30368" w:rsidP="00B30368">
      <w:pPr>
        <w:pStyle w:val="BTEMEASMCA"/>
        <w:rPr>
          <w:lang w:val="lt-LT"/>
        </w:rPr>
      </w:pPr>
      <w:r w:rsidRPr="0023702A">
        <w:rPr>
          <w:lang w:val="lt-LT"/>
        </w:rPr>
        <w:t>2.</w:t>
      </w:r>
      <w:r w:rsidRPr="0023702A">
        <w:rPr>
          <w:lang w:val="lt-LT"/>
        </w:rPr>
        <w:tab/>
        <w:t xml:space="preserve">Kas žinotina prieš vartojant CYCLODOL </w:t>
      </w:r>
    </w:p>
    <w:p w:rsidR="00B30368" w:rsidRPr="0023702A" w:rsidRDefault="00B30368" w:rsidP="00B30368">
      <w:pPr>
        <w:pStyle w:val="BTEMEASMCA"/>
        <w:rPr>
          <w:lang w:val="lt-LT"/>
        </w:rPr>
      </w:pPr>
      <w:r w:rsidRPr="0023702A">
        <w:rPr>
          <w:lang w:val="lt-LT"/>
        </w:rPr>
        <w:t>3.</w:t>
      </w:r>
      <w:r w:rsidRPr="0023702A">
        <w:rPr>
          <w:lang w:val="lt-LT"/>
        </w:rPr>
        <w:tab/>
        <w:t xml:space="preserve">Kaip vartoti CYCLODOL </w:t>
      </w:r>
    </w:p>
    <w:p w:rsidR="00B30368" w:rsidRPr="0023702A" w:rsidRDefault="00B30368" w:rsidP="00B30368">
      <w:pPr>
        <w:pStyle w:val="BTEMEASMCA"/>
        <w:rPr>
          <w:lang w:val="lt-LT"/>
        </w:rPr>
      </w:pPr>
      <w:r w:rsidRPr="0023702A">
        <w:rPr>
          <w:lang w:val="lt-LT"/>
        </w:rPr>
        <w:t>4.</w:t>
      </w:r>
      <w:r w:rsidRPr="0023702A">
        <w:rPr>
          <w:lang w:val="lt-LT"/>
        </w:rPr>
        <w:tab/>
        <w:t>Galimas šalutinis poveikis</w:t>
      </w:r>
    </w:p>
    <w:p w:rsidR="00B30368" w:rsidRPr="0023702A" w:rsidRDefault="00B30368" w:rsidP="00B30368">
      <w:pPr>
        <w:pStyle w:val="BTEMEASMCA"/>
        <w:rPr>
          <w:lang w:val="lt-LT"/>
        </w:rPr>
      </w:pPr>
      <w:r w:rsidRPr="0023702A">
        <w:rPr>
          <w:lang w:val="lt-LT"/>
        </w:rPr>
        <w:t>5.</w:t>
      </w:r>
      <w:r w:rsidRPr="0023702A">
        <w:rPr>
          <w:lang w:val="lt-LT"/>
        </w:rPr>
        <w:tab/>
        <w:t xml:space="preserve">Kaip laikyti CYCLODOL </w:t>
      </w:r>
    </w:p>
    <w:p w:rsidR="00B30368" w:rsidRPr="0023702A" w:rsidRDefault="00B30368" w:rsidP="00B30368">
      <w:pPr>
        <w:pStyle w:val="BTEMEASMCA"/>
        <w:rPr>
          <w:lang w:val="lt-LT"/>
        </w:rPr>
      </w:pPr>
      <w:r w:rsidRPr="0023702A">
        <w:rPr>
          <w:lang w:val="lt-LT"/>
        </w:rPr>
        <w:t>6.</w:t>
      </w:r>
      <w:r w:rsidRPr="0023702A">
        <w:rPr>
          <w:lang w:val="lt-LT"/>
        </w:rPr>
        <w:tab/>
        <w:t>Pakuotės turinys ir kita informacija</w:t>
      </w:r>
    </w:p>
    <w:p w:rsidR="00B30368" w:rsidRPr="0023702A" w:rsidRDefault="00B30368" w:rsidP="00B30368">
      <w:pPr>
        <w:pStyle w:val="BTEMEASMCA"/>
        <w:rPr>
          <w:lang w:val="lt-LT"/>
        </w:rPr>
      </w:pPr>
    </w:p>
    <w:p w:rsidR="00B30368" w:rsidRPr="0023702A" w:rsidRDefault="00B30368" w:rsidP="00B30368">
      <w:pPr>
        <w:pStyle w:val="BTEMEASMCA"/>
        <w:rPr>
          <w:lang w:val="lt-LT"/>
        </w:rPr>
      </w:pPr>
    </w:p>
    <w:p w:rsidR="00B30368" w:rsidRPr="00CC1EFB" w:rsidRDefault="00B30368" w:rsidP="00B30368">
      <w:pPr>
        <w:pStyle w:val="PI-1EMEASMCA"/>
        <w:rPr>
          <w:sz w:val="22"/>
        </w:rPr>
      </w:pPr>
      <w:r w:rsidRPr="0023702A">
        <w:rPr>
          <w:sz w:val="22"/>
        </w:rPr>
        <w:t>1.</w:t>
      </w:r>
      <w:r w:rsidRPr="0023702A">
        <w:rPr>
          <w:sz w:val="22"/>
        </w:rPr>
        <w:tab/>
        <w:t>Kas yra CYCLODOL ir kam jis vartojamas</w:t>
      </w:r>
    </w:p>
    <w:p w:rsidR="00B30368" w:rsidRPr="0023702A" w:rsidRDefault="00B30368" w:rsidP="00B30368">
      <w:pPr>
        <w:pStyle w:val="BTEMEASMCA"/>
        <w:rPr>
          <w:lang w:val="lt-LT"/>
        </w:rPr>
      </w:pPr>
    </w:p>
    <w:p w:rsidR="00B30368" w:rsidRPr="0023702A" w:rsidRDefault="00B30368" w:rsidP="00B30368">
      <w:pPr>
        <w:ind w:right="150"/>
        <w:rPr>
          <w:sz w:val="22"/>
          <w:szCs w:val="22"/>
        </w:rPr>
      </w:pPr>
      <w:r w:rsidRPr="0023702A">
        <w:rPr>
          <w:sz w:val="22"/>
          <w:szCs w:val="22"/>
        </w:rPr>
        <w:t xml:space="preserve">CYCLODOL </w:t>
      </w:r>
      <w:r>
        <w:rPr>
          <w:sz w:val="22"/>
          <w:szCs w:val="22"/>
        </w:rPr>
        <w:t>sudėtyje yra veikliosios medžiagos t</w:t>
      </w:r>
      <w:r w:rsidRPr="00DA2B54">
        <w:rPr>
          <w:sz w:val="22"/>
          <w:szCs w:val="22"/>
        </w:rPr>
        <w:t>riheksifenidilio hidrochlorid</w:t>
      </w:r>
      <w:r>
        <w:rPr>
          <w:sz w:val="22"/>
          <w:szCs w:val="22"/>
        </w:rPr>
        <w:t xml:space="preserve">o. Vaistas yra </w:t>
      </w:r>
      <w:r w:rsidRPr="0023702A">
        <w:rPr>
          <w:sz w:val="22"/>
          <w:szCs w:val="22"/>
        </w:rPr>
        <w:t>vartojamas antriniam parkinsonizmui gydyti.</w:t>
      </w:r>
    </w:p>
    <w:p w:rsidR="00B30368" w:rsidRPr="0023702A" w:rsidRDefault="00B30368" w:rsidP="00B30368">
      <w:pPr>
        <w:pStyle w:val="BTEMEASMCA"/>
        <w:rPr>
          <w:lang w:val="lt-LT"/>
        </w:rPr>
      </w:pPr>
    </w:p>
    <w:p w:rsidR="00B30368" w:rsidRPr="0023702A" w:rsidRDefault="00B30368" w:rsidP="00B30368">
      <w:pPr>
        <w:pStyle w:val="BTEMEASMCA"/>
        <w:rPr>
          <w:lang w:val="lt-LT"/>
        </w:rPr>
      </w:pPr>
    </w:p>
    <w:p w:rsidR="00B30368" w:rsidRPr="00CC1EFB" w:rsidRDefault="00B30368" w:rsidP="00B30368">
      <w:pPr>
        <w:pStyle w:val="PI-1EMEASMCA"/>
        <w:rPr>
          <w:sz w:val="22"/>
        </w:rPr>
      </w:pPr>
      <w:r w:rsidRPr="0023702A">
        <w:rPr>
          <w:sz w:val="22"/>
        </w:rPr>
        <w:t>2.</w:t>
      </w:r>
      <w:r w:rsidRPr="0023702A">
        <w:rPr>
          <w:sz w:val="22"/>
        </w:rPr>
        <w:tab/>
        <w:t>Kas žinotina prieš vartojant CYCLODOL</w:t>
      </w:r>
    </w:p>
    <w:p w:rsidR="00B30368" w:rsidRPr="0023702A" w:rsidRDefault="00B30368" w:rsidP="00B30368">
      <w:pPr>
        <w:pStyle w:val="BTEMEASMCA"/>
        <w:rPr>
          <w:lang w:val="lt-LT"/>
        </w:rPr>
      </w:pPr>
    </w:p>
    <w:p w:rsidR="00B30368" w:rsidRPr="0023702A" w:rsidRDefault="00B30368" w:rsidP="00B30368">
      <w:pPr>
        <w:pStyle w:val="PI-3EMEASMCA"/>
      </w:pPr>
      <w:r w:rsidRPr="0023702A">
        <w:t xml:space="preserve">CYCLODOL vartoti </w:t>
      </w:r>
      <w:r>
        <w:t>draudžiama</w:t>
      </w:r>
      <w:r w:rsidRPr="0023702A">
        <w:t>:</w:t>
      </w:r>
    </w:p>
    <w:p w:rsidR="00B30368" w:rsidRDefault="00B30368" w:rsidP="00B30368">
      <w:pPr>
        <w:pStyle w:val="PI-1EMEASMCA"/>
        <w:numPr>
          <w:ilvl w:val="0"/>
          <w:numId w:val="6"/>
        </w:numPr>
        <w:rPr>
          <w:sz w:val="22"/>
        </w:rPr>
      </w:pPr>
      <w:r w:rsidRPr="0023702A">
        <w:rPr>
          <w:b w:val="0"/>
          <w:sz w:val="22"/>
        </w:rPr>
        <w:t>jeigu yra alergija veikliajai medžiagai arba bet kuriai pagalbinei šio vaisto medžiagai (jos išvardytos 6 skyriuje);</w:t>
      </w:r>
    </w:p>
    <w:p w:rsidR="00B30368" w:rsidRDefault="00B30368" w:rsidP="00B30368">
      <w:pPr>
        <w:pStyle w:val="PI-1EMEASMCA"/>
        <w:numPr>
          <w:ilvl w:val="0"/>
          <w:numId w:val="6"/>
        </w:numPr>
        <w:rPr>
          <w:sz w:val="22"/>
        </w:rPr>
      </w:pPr>
      <w:r w:rsidRPr="0023702A">
        <w:rPr>
          <w:b w:val="0"/>
          <w:sz w:val="22"/>
        </w:rPr>
        <w:t>esant ūminiam šlapimo susilaikymui;</w:t>
      </w:r>
    </w:p>
    <w:p w:rsidR="00B30368" w:rsidRDefault="00B30368" w:rsidP="00B30368">
      <w:pPr>
        <w:pStyle w:val="PI-1EMEASMCA"/>
        <w:numPr>
          <w:ilvl w:val="0"/>
          <w:numId w:val="6"/>
        </w:numPr>
        <w:rPr>
          <w:sz w:val="22"/>
        </w:rPr>
      </w:pPr>
      <w:r w:rsidRPr="0023702A">
        <w:rPr>
          <w:b w:val="0"/>
          <w:sz w:val="22"/>
        </w:rPr>
        <w:t>esant gerybiniam prostatos padidėjimui, kai nevisiškai išsituština šlapimo pūslė (joje lieka šlapimo);</w:t>
      </w:r>
    </w:p>
    <w:p w:rsidR="00B30368" w:rsidRDefault="00B30368" w:rsidP="00B30368">
      <w:pPr>
        <w:pStyle w:val="PI-1EMEASMCA"/>
        <w:numPr>
          <w:ilvl w:val="0"/>
          <w:numId w:val="6"/>
        </w:numPr>
        <w:rPr>
          <w:sz w:val="22"/>
        </w:rPr>
      </w:pPr>
      <w:r w:rsidRPr="0023702A">
        <w:rPr>
          <w:b w:val="0"/>
          <w:sz w:val="22"/>
        </w:rPr>
        <w:t>esant uždarojo kampo glaukomai, kai dėl padidėjusio vidinio akies spaudimo sutrinka reg</w:t>
      </w:r>
      <w:r>
        <w:rPr>
          <w:b w:val="0"/>
          <w:sz w:val="22"/>
        </w:rPr>
        <w:t>os</w:t>
      </w:r>
      <w:r w:rsidRPr="0023702A">
        <w:rPr>
          <w:b w:val="0"/>
          <w:sz w:val="22"/>
        </w:rPr>
        <w:t xml:space="preserve"> nervo ir akies tinklainės funkcija;</w:t>
      </w:r>
    </w:p>
    <w:p w:rsidR="00B30368" w:rsidRDefault="00B30368" w:rsidP="00B30368">
      <w:pPr>
        <w:pStyle w:val="PI-1EMEASMCA"/>
        <w:numPr>
          <w:ilvl w:val="0"/>
          <w:numId w:val="6"/>
        </w:numPr>
        <w:rPr>
          <w:sz w:val="22"/>
        </w:rPr>
      </w:pPr>
      <w:r w:rsidRPr="0023702A">
        <w:rPr>
          <w:b w:val="0"/>
          <w:sz w:val="22"/>
        </w:rPr>
        <w:t>jeigu yra žarnų nepraeinamumas ar susiaurėjimas virškinimo trakte;</w:t>
      </w:r>
    </w:p>
    <w:p w:rsidR="00B30368" w:rsidRDefault="00B30368" w:rsidP="00B30368">
      <w:pPr>
        <w:pStyle w:val="PI-1EMEASMCA"/>
        <w:numPr>
          <w:ilvl w:val="0"/>
          <w:numId w:val="6"/>
        </w:numPr>
        <w:rPr>
          <w:sz w:val="22"/>
        </w:rPr>
      </w:pPr>
      <w:r w:rsidRPr="0023702A">
        <w:rPr>
          <w:b w:val="0"/>
          <w:sz w:val="22"/>
        </w:rPr>
        <w:t>jeigu yra gaubtinės žarnos išsiplėtimas;</w:t>
      </w:r>
    </w:p>
    <w:p w:rsidR="00B30368" w:rsidRDefault="00B30368" w:rsidP="00B30368">
      <w:pPr>
        <w:pStyle w:val="PI-1EMEASMCA"/>
        <w:numPr>
          <w:ilvl w:val="0"/>
          <w:numId w:val="6"/>
        </w:numPr>
        <w:rPr>
          <w:sz w:val="22"/>
        </w:rPr>
      </w:pPr>
      <w:r w:rsidRPr="0023702A">
        <w:rPr>
          <w:b w:val="0"/>
          <w:sz w:val="22"/>
        </w:rPr>
        <w:t>jeigu yra prievarčio stenozė (skrandžio rauko susiaurėjimas);</w:t>
      </w:r>
    </w:p>
    <w:p w:rsidR="00B30368" w:rsidRDefault="00B30368" w:rsidP="00B30368">
      <w:pPr>
        <w:pStyle w:val="PI-1EMEASMCA"/>
        <w:numPr>
          <w:ilvl w:val="0"/>
          <w:numId w:val="6"/>
        </w:numPr>
        <w:rPr>
          <w:sz w:val="22"/>
        </w:rPr>
      </w:pPr>
      <w:r w:rsidRPr="0023702A">
        <w:rPr>
          <w:b w:val="0"/>
          <w:sz w:val="22"/>
        </w:rPr>
        <w:t>jeigu yra dažnas širdies ritmas (tachiaritmija);</w:t>
      </w:r>
    </w:p>
    <w:p w:rsidR="00B30368" w:rsidRDefault="00B30368" w:rsidP="00B30368">
      <w:pPr>
        <w:pStyle w:val="PI-1EMEASMCA"/>
        <w:ind w:left="360" w:firstLine="0"/>
        <w:rPr>
          <w:sz w:val="22"/>
        </w:rPr>
      </w:pPr>
      <w:r w:rsidRPr="0023702A">
        <w:rPr>
          <w:b w:val="0"/>
          <w:sz w:val="22"/>
        </w:rPr>
        <w:t>sunkiai apsinuodijus alkoholiu arba psichotropiniais (psichiką veikiančiais) medikamentais, opijaus alkaloidais ar vaistais, kuriuose yra jų darinių;</w:t>
      </w:r>
    </w:p>
    <w:p w:rsidR="00B30368" w:rsidRDefault="00B30368" w:rsidP="00B30368">
      <w:pPr>
        <w:pStyle w:val="PI-1EMEASMCA"/>
        <w:numPr>
          <w:ilvl w:val="0"/>
          <w:numId w:val="6"/>
        </w:numPr>
        <w:rPr>
          <w:sz w:val="22"/>
        </w:rPr>
      </w:pPr>
      <w:r w:rsidRPr="0023702A">
        <w:rPr>
          <w:b w:val="0"/>
          <w:sz w:val="22"/>
        </w:rPr>
        <w:t xml:space="preserve">esant </w:t>
      </w:r>
      <w:r>
        <w:rPr>
          <w:b w:val="0"/>
          <w:sz w:val="22"/>
        </w:rPr>
        <w:t>ūminei sumišimo būklei (sunkus delyras)</w:t>
      </w:r>
      <w:r w:rsidRPr="0023702A">
        <w:rPr>
          <w:b w:val="0"/>
          <w:sz w:val="22"/>
        </w:rPr>
        <w:t>, manijai;</w:t>
      </w:r>
    </w:p>
    <w:p w:rsidR="00B30368" w:rsidRDefault="00B30368" w:rsidP="00B30368">
      <w:pPr>
        <w:pStyle w:val="PI-1EMEASMCA"/>
        <w:numPr>
          <w:ilvl w:val="0"/>
          <w:numId w:val="6"/>
        </w:numPr>
        <w:rPr>
          <w:sz w:val="22"/>
        </w:rPr>
      </w:pPr>
      <w:r w:rsidRPr="0023702A">
        <w:rPr>
          <w:b w:val="0"/>
          <w:sz w:val="22"/>
        </w:rPr>
        <w:t>esant vėlyvajai diskinezijai (judesių sutrikimui).</w:t>
      </w:r>
    </w:p>
    <w:p w:rsidR="00B30368" w:rsidRPr="0023702A" w:rsidRDefault="00B30368" w:rsidP="00B30368">
      <w:pPr>
        <w:ind w:right="150"/>
        <w:rPr>
          <w:sz w:val="22"/>
          <w:szCs w:val="22"/>
        </w:rPr>
      </w:pPr>
    </w:p>
    <w:p w:rsidR="00B30368" w:rsidRPr="00CC1EFB" w:rsidRDefault="00B30368" w:rsidP="00B30368">
      <w:pPr>
        <w:ind w:right="150"/>
        <w:rPr>
          <w:sz w:val="22"/>
          <w:szCs w:val="22"/>
        </w:rPr>
      </w:pPr>
      <w:r w:rsidRPr="00CC1EFB">
        <w:rPr>
          <w:sz w:val="22"/>
          <w:szCs w:val="22"/>
        </w:rPr>
        <w:t xml:space="preserve">Jeigu sergate kokia nors iš šių ligų arba sutrikimų, prieš pradėdami vartoti vaisto, pasitarkite su gydytoju. </w:t>
      </w:r>
    </w:p>
    <w:p w:rsidR="00B30368" w:rsidRPr="0023702A" w:rsidRDefault="00B30368" w:rsidP="00B30368">
      <w:pPr>
        <w:pStyle w:val="BTEMEASMCA"/>
        <w:rPr>
          <w:b/>
          <w:lang w:val="lt-LT"/>
        </w:rPr>
      </w:pPr>
    </w:p>
    <w:p w:rsidR="00B30368" w:rsidRPr="00F3135A" w:rsidRDefault="00B30368" w:rsidP="00B30368">
      <w:pPr>
        <w:pStyle w:val="Antrat4"/>
        <w:spacing w:before="0"/>
        <w:rPr>
          <w:rFonts w:ascii="Times New Roman" w:hAnsi="Times New Roman" w:cs="Times New Roman"/>
          <w:i w:val="0"/>
          <w:color w:val="auto"/>
          <w:sz w:val="22"/>
          <w:szCs w:val="22"/>
        </w:rPr>
      </w:pPr>
      <w:r w:rsidRPr="00F3135A">
        <w:rPr>
          <w:rFonts w:ascii="Times New Roman" w:hAnsi="Times New Roman" w:cs="Times New Roman"/>
          <w:i w:val="0"/>
          <w:color w:val="auto"/>
          <w:sz w:val="22"/>
          <w:szCs w:val="22"/>
        </w:rPr>
        <w:t xml:space="preserve">Įspėjimai ir atsargumo priemonės </w:t>
      </w:r>
    </w:p>
    <w:p w:rsidR="00B30368" w:rsidRPr="0023702A" w:rsidRDefault="00B30368" w:rsidP="00B30368">
      <w:pPr>
        <w:numPr>
          <w:ilvl w:val="12"/>
          <w:numId w:val="0"/>
        </w:numPr>
        <w:ind w:right="-2"/>
        <w:rPr>
          <w:sz w:val="22"/>
          <w:szCs w:val="22"/>
        </w:rPr>
      </w:pPr>
      <w:r w:rsidRPr="0023702A">
        <w:rPr>
          <w:noProof/>
          <w:sz w:val="22"/>
          <w:szCs w:val="22"/>
        </w:rPr>
        <w:t>Pasitarkite su gydytoju arba</w:t>
      </w:r>
      <w:r>
        <w:rPr>
          <w:noProof/>
          <w:sz w:val="22"/>
          <w:szCs w:val="22"/>
        </w:rPr>
        <w:t xml:space="preserve"> </w:t>
      </w:r>
      <w:r w:rsidRPr="0023702A">
        <w:rPr>
          <w:noProof/>
          <w:sz w:val="22"/>
          <w:szCs w:val="22"/>
        </w:rPr>
        <w:t xml:space="preserve">vaistininku, prieš pradėdami vartoti </w:t>
      </w:r>
      <w:r>
        <w:rPr>
          <w:noProof/>
          <w:sz w:val="22"/>
          <w:szCs w:val="22"/>
        </w:rPr>
        <w:t>CYCLODOL, jeigu:</w:t>
      </w:r>
    </w:p>
    <w:p w:rsidR="00B30368" w:rsidRPr="00CC1EFB" w:rsidRDefault="00B30368" w:rsidP="00B30368">
      <w:pPr>
        <w:tabs>
          <w:tab w:val="left" w:pos="540"/>
        </w:tabs>
        <w:ind w:right="150"/>
        <w:jc w:val="both"/>
        <w:rPr>
          <w:sz w:val="22"/>
          <w:szCs w:val="22"/>
        </w:rPr>
      </w:pPr>
      <w:r w:rsidRPr="00CC1EFB">
        <w:rPr>
          <w:sz w:val="22"/>
          <w:szCs w:val="22"/>
        </w:rPr>
        <w:t>-</w:t>
      </w:r>
      <w:r w:rsidRPr="00CC1EFB">
        <w:rPr>
          <w:sz w:val="22"/>
          <w:szCs w:val="22"/>
        </w:rPr>
        <w:tab/>
        <w:t>jeigu esate senyvo amžiaus;</w:t>
      </w:r>
    </w:p>
    <w:p w:rsidR="00B30368" w:rsidRPr="0023702A" w:rsidRDefault="00B30368" w:rsidP="00B30368">
      <w:pPr>
        <w:tabs>
          <w:tab w:val="left" w:pos="540"/>
        </w:tabs>
        <w:ind w:right="150"/>
        <w:jc w:val="both"/>
        <w:rPr>
          <w:sz w:val="22"/>
          <w:szCs w:val="22"/>
        </w:rPr>
      </w:pPr>
      <w:r w:rsidRPr="0023702A">
        <w:rPr>
          <w:sz w:val="22"/>
          <w:szCs w:val="22"/>
        </w:rPr>
        <w:t>-</w:t>
      </w:r>
      <w:r w:rsidRPr="0023702A">
        <w:rPr>
          <w:sz w:val="22"/>
          <w:szCs w:val="22"/>
        </w:rPr>
        <w:tab/>
        <w:t>jeigu sergate širdies ir kraujagyslių ligomis;</w:t>
      </w:r>
    </w:p>
    <w:p w:rsidR="00B30368" w:rsidRPr="0023702A" w:rsidRDefault="00B30368" w:rsidP="00B30368">
      <w:pPr>
        <w:tabs>
          <w:tab w:val="left" w:pos="540"/>
        </w:tabs>
        <w:ind w:right="150"/>
        <w:jc w:val="both"/>
        <w:rPr>
          <w:sz w:val="22"/>
          <w:szCs w:val="22"/>
        </w:rPr>
      </w:pPr>
      <w:r w:rsidRPr="0023702A">
        <w:rPr>
          <w:sz w:val="22"/>
          <w:szCs w:val="22"/>
        </w:rPr>
        <w:t>-</w:t>
      </w:r>
      <w:r w:rsidRPr="0023702A">
        <w:rPr>
          <w:sz w:val="22"/>
          <w:szCs w:val="22"/>
        </w:rPr>
        <w:tab/>
        <w:t>jeigu sergate inkstų arba kepenų ligomis;</w:t>
      </w:r>
    </w:p>
    <w:p w:rsidR="00B30368" w:rsidRPr="0090600F" w:rsidRDefault="00B30368" w:rsidP="00B30368">
      <w:pPr>
        <w:tabs>
          <w:tab w:val="left" w:pos="540"/>
        </w:tabs>
        <w:ind w:right="150"/>
        <w:jc w:val="both"/>
        <w:rPr>
          <w:sz w:val="22"/>
          <w:szCs w:val="22"/>
        </w:rPr>
      </w:pPr>
      <w:r w:rsidRPr="0023702A">
        <w:rPr>
          <w:sz w:val="22"/>
          <w:szCs w:val="22"/>
        </w:rPr>
        <w:t>-</w:t>
      </w:r>
      <w:r w:rsidRPr="0023702A">
        <w:rPr>
          <w:sz w:val="22"/>
          <w:szCs w:val="22"/>
        </w:rPr>
        <w:tab/>
        <w:t xml:space="preserve">jeigu Jūs sergate liga, dėl kurios gali atsirasti pavojinga gyvybei tachikardija (dažnas širdies </w:t>
      </w:r>
      <w:r>
        <w:rPr>
          <w:sz w:val="22"/>
          <w:szCs w:val="22"/>
        </w:rPr>
        <w:tab/>
      </w:r>
      <w:r w:rsidRPr="0090600F">
        <w:rPr>
          <w:sz w:val="22"/>
          <w:szCs w:val="22"/>
        </w:rPr>
        <w:t>plakimas);</w:t>
      </w:r>
    </w:p>
    <w:p w:rsidR="00B30368" w:rsidRPr="0023702A" w:rsidRDefault="00B30368" w:rsidP="00B30368">
      <w:pPr>
        <w:tabs>
          <w:tab w:val="left" w:pos="540"/>
        </w:tabs>
        <w:ind w:right="150"/>
        <w:jc w:val="both"/>
        <w:rPr>
          <w:sz w:val="22"/>
          <w:szCs w:val="22"/>
        </w:rPr>
      </w:pPr>
      <w:r w:rsidRPr="0023702A">
        <w:rPr>
          <w:sz w:val="22"/>
          <w:szCs w:val="22"/>
        </w:rPr>
        <w:t>-</w:t>
      </w:r>
      <w:r w:rsidRPr="0023702A">
        <w:rPr>
          <w:sz w:val="22"/>
          <w:szCs w:val="22"/>
        </w:rPr>
        <w:tab/>
        <w:t>jei yra demencijos sindromas (silpnaprotystė);</w:t>
      </w:r>
    </w:p>
    <w:p w:rsidR="00B30368" w:rsidRPr="0023702A" w:rsidRDefault="00B30368" w:rsidP="00B30368">
      <w:pPr>
        <w:tabs>
          <w:tab w:val="left" w:pos="540"/>
        </w:tabs>
        <w:ind w:right="150"/>
        <w:rPr>
          <w:sz w:val="22"/>
          <w:szCs w:val="22"/>
        </w:rPr>
      </w:pPr>
      <w:r w:rsidRPr="0023702A">
        <w:rPr>
          <w:sz w:val="22"/>
          <w:szCs w:val="22"/>
        </w:rPr>
        <w:t>-</w:t>
      </w:r>
      <w:r w:rsidRPr="0023702A">
        <w:rPr>
          <w:sz w:val="22"/>
          <w:szCs w:val="22"/>
        </w:rPr>
        <w:tab/>
        <w:t>jeigu Jūs sergate generalizuota miastenija</w:t>
      </w:r>
      <w:r w:rsidRPr="0023702A">
        <w:rPr>
          <w:i/>
          <w:iCs/>
          <w:sz w:val="22"/>
          <w:szCs w:val="22"/>
        </w:rPr>
        <w:t xml:space="preserve"> </w:t>
      </w:r>
      <w:r w:rsidRPr="0023702A">
        <w:rPr>
          <w:sz w:val="22"/>
          <w:szCs w:val="22"/>
        </w:rPr>
        <w:t>(raumenų silpnumas);</w:t>
      </w:r>
    </w:p>
    <w:p w:rsidR="00B30368" w:rsidRPr="0023702A" w:rsidRDefault="00B30368" w:rsidP="00B30368">
      <w:pPr>
        <w:numPr>
          <w:ilvl w:val="0"/>
          <w:numId w:val="1"/>
        </w:numPr>
        <w:tabs>
          <w:tab w:val="clear" w:pos="840"/>
          <w:tab w:val="num" w:pos="540"/>
          <w:tab w:val="num" w:pos="567"/>
        </w:tabs>
        <w:ind w:left="567" w:right="150"/>
        <w:rPr>
          <w:sz w:val="22"/>
          <w:szCs w:val="22"/>
        </w:rPr>
      </w:pPr>
      <w:r w:rsidRPr="0023702A">
        <w:rPr>
          <w:sz w:val="22"/>
          <w:szCs w:val="22"/>
        </w:rPr>
        <w:t>jei yra gerybinis prostatos padidėjimas, bet šlapimo pūslė gerai išsituština (joje po nusišlapinimo nelieka šlapimo).</w:t>
      </w:r>
    </w:p>
    <w:p w:rsidR="00B30368" w:rsidRPr="0023702A" w:rsidRDefault="00B30368" w:rsidP="00B30368">
      <w:pPr>
        <w:tabs>
          <w:tab w:val="left" w:pos="540"/>
        </w:tabs>
        <w:ind w:right="150"/>
        <w:rPr>
          <w:sz w:val="22"/>
          <w:szCs w:val="22"/>
        </w:rPr>
      </w:pPr>
    </w:p>
    <w:p w:rsidR="00B30368" w:rsidRPr="00CC1EFB" w:rsidRDefault="00B30368" w:rsidP="00B30368">
      <w:pPr>
        <w:rPr>
          <w:color w:val="000000"/>
          <w:sz w:val="22"/>
          <w:szCs w:val="22"/>
        </w:rPr>
      </w:pPr>
      <w:r>
        <w:rPr>
          <w:color w:val="000000"/>
          <w:sz w:val="22"/>
          <w:szCs w:val="22"/>
        </w:rPr>
        <w:t>Vaistas</w:t>
      </w:r>
      <w:r w:rsidRPr="00CC1EFB">
        <w:rPr>
          <w:color w:val="000000"/>
          <w:sz w:val="22"/>
          <w:szCs w:val="22"/>
        </w:rPr>
        <w:t xml:space="preserve"> gali skatinti prasidedančios glaukomos progresavimą. Todėl Jums reguliariai turi būti atidžiai sekamas akispūdis.</w:t>
      </w:r>
    </w:p>
    <w:p w:rsidR="00B30368" w:rsidRPr="0023702A" w:rsidRDefault="00B30368" w:rsidP="00B30368">
      <w:pPr>
        <w:tabs>
          <w:tab w:val="left" w:pos="540"/>
        </w:tabs>
        <w:ind w:right="150"/>
        <w:rPr>
          <w:sz w:val="22"/>
          <w:szCs w:val="22"/>
        </w:rPr>
      </w:pPr>
      <w:r w:rsidRPr="0023702A">
        <w:rPr>
          <w:color w:val="000000"/>
          <w:sz w:val="22"/>
          <w:szCs w:val="22"/>
        </w:rPr>
        <w:t>Vėlyvoji diskinezija gali pasireikšti kartu vartojant antipsichozinius vaistus.</w:t>
      </w:r>
    </w:p>
    <w:p w:rsidR="00B30368" w:rsidRPr="0023702A" w:rsidRDefault="00B30368" w:rsidP="00B30368">
      <w:pPr>
        <w:pStyle w:val="Pagrindinistekstas3"/>
        <w:spacing w:after="0"/>
        <w:rPr>
          <w:color w:val="000000"/>
          <w:sz w:val="22"/>
          <w:szCs w:val="22"/>
        </w:rPr>
      </w:pPr>
      <w:r>
        <w:rPr>
          <w:color w:val="000000"/>
          <w:sz w:val="22"/>
          <w:szCs w:val="22"/>
        </w:rPr>
        <w:t>Dėl</w:t>
      </w:r>
      <w:r w:rsidRPr="0023702A">
        <w:rPr>
          <w:color w:val="000000"/>
          <w:sz w:val="22"/>
          <w:szCs w:val="22"/>
        </w:rPr>
        <w:t xml:space="preserve"> euforinio ir haliucinogeninio poveikio, CYCLODOL gali sukelti </w:t>
      </w:r>
      <w:r>
        <w:rPr>
          <w:color w:val="000000"/>
          <w:sz w:val="22"/>
          <w:szCs w:val="22"/>
        </w:rPr>
        <w:t>priklausomybę</w:t>
      </w:r>
      <w:r w:rsidRPr="0023702A">
        <w:rPr>
          <w:color w:val="000000"/>
          <w:sz w:val="22"/>
          <w:szCs w:val="22"/>
        </w:rPr>
        <w:t>.</w:t>
      </w:r>
    </w:p>
    <w:p w:rsidR="00B30368" w:rsidRPr="0023702A" w:rsidRDefault="00B30368" w:rsidP="00B30368">
      <w:pPr>
        <w:ind w:right="150"/>
        <w:rPr>
          <w:i/>
          <w:iCs/>
          <w:sz w:val="22"/>
          <w:szCs w:val="22"/>
        </w:rPr>
      </w:pPr>
      <w:r w:rsidRPr="0023702A">
        <w:rPr>
          <w:color w:val="000000"/>
          <w:sz w:val="22"/>
          <w:szCs w:val="22"/>
        </w:rPr>
        <w:t xml:space="preserve">Ilgą laiką vartojantiems CYCLODOL, </w:t>
      </w:r>
      <w:r w:rsidRPr="0023702A">
        <w:rPr>
          <w:sz w:val="22"/>
          <w:szCs w:val="22"/>
        </w:rPr>
        <w:t xml:space="preserve">negalima jo nutraukti staigiai, </w:t>
      </w:r>
      <w:r>
        <w:rPr>
          <w:sz w:val="22"/>
          <w:szCs w:val="22"/>
        </w:rPr>
        <w:t>siekiant</w:t>
      </w:r>
      <w:r w:rsidRPr="0023702A">
        <w:rPr>
          <w:sz w:val="22"/>
          <w:szCs w:val="22"/>
        </w:rPr>
        <w:t xml:space="preserve"> išvengti pagrindinės ligos simptomų pasikartojimo ir galimo šalutinio poveikio.</w:t>
      </w:r>
    </w:p>
    <w:p w:rsidR="00B30368" w:rsidRPr="0023702A" w:rsidRDefault="00B30368" w:rsidP="00B30368">
      <w:pPr>
        <w:pStyle w:val="BTEMEASMCA"/>
        <w:rPr>
          <w:lang w:val="lt-LT"/>
        </w:rPr>
      </w:pPr>
    </w:p>
    <w:p w:rsidR="00B30368" w:rsidRPr="0023702A" w:rsidRDefault="00B30368" w:rsidP="00B30368">
      <w:pPr>
        <w:pStyle w:val="BTEMEASMCA"/>
        <w:rPr>
          <w:b/>
          <w:lang w:val="lt-LT"/>
        </w:rPr>
      </w:pPr>
      <w:r w:rsidRPr="0023702A">
        <w:rPr>
          <w:b/>
          <w:lang w:val="lt-LT"/>
        </w:rPr>
        <w:t>Vaikams</w:t>
      </w:r>
      <w:r>
        <w:rPr>
          <w:b/>
          <w:lang w:val="lt-LT"/>
        </w:rPr>
        <w:t xml:space="preserve"> ir paaugliams</w:t>
      </w:r>
    </w:p>
    <w:p w:rsidR="00B30368" w:rsidRPr="0023702A" w:rsidRDefault="00B30368" w:rsidP="00B30368">
      <w:pPr>
        <w:pStyle w:val="BTEMEASMCA"/>
        <w:rPr>
          <w:lang w:val="lt-LT"/>
        </w:rPr>
      </w:pPr>
      <w:r w:rsidRPr="0023702A">
        <w:rPr>
          <w:lang w:val="lt-LT"/>
        </w:rPr>
        <w:t>CYCLODOL vaikams</w:t>
      </w:r>
      <w:r>
        <w:rPr>
          <w:lang w:val="lt-LT"/>
        </w:rPr>
        <w:t xml:space="preserve"> ir paaugliams vaisto</w:t>
      </w:r>
      <w:r w:rsidRPr="0023702A">
        <w:rPr>
          <w:lang w:val="lt-LT"/>
        </w:rPr>
        <w:t xml:space="preserve"> vartoti negalima.</w:t>
      </w:r>
    </w:p>
    <w:p w:rsidR="00B30368" w:rsidRPr="0023702A" w:rsidRDefault="00B30368" w:rsidP="00B30368">
      <w:pPr>
        <w:pStyle w:val="BTEMEASMCA"/>
        <w:rPr>
          <w:lang w:val="lt-LT"/>
        </w:rPr>
      </w:pPr>
    </w:p>
    <w:p w:rsidR="00B30368" w:rsidRPr="0023702A" w:rsidRDefault="00B30368" w:rsidP="00B30368">
      <w:pPr>
        <w:pStyle w:val="PI-3EMEASMCA"/>
      </w:pPr>
      <w:r w:rsidRPr="0023702A">
        <w:t>Kiti vaistai ir CYCLODOL</w:t>
      </w:r>
    </w:p>
    <w:p w:rsidR="00B30368" w:rsidRPr="0023702A" w:rsidRDefault="00B30368" w:rsidP="00B30368">
      <w:pPr>
        <w:numPr>
          <w:ilvl w:val="12"/>
          <w:numId w:val="0"/>
        </w:numPr>
        <w:ind w:right="-2"/>
        <w:rPr>
          <w:sz w:val="22"/>
          <w:szCs w:val="22"/>
        </w:rPr>
      </w:pPr>
      <w:r w:rsidRPr="00CC1EFB">
        <w:rPr>
          <w:noProof/>
          <w:sz w:val="22"/>
          <w:szCs w:val="22"/>
        </w:rPr>
        <w:t xml:space="preserve">Jeigu vartojate ar neseniai vartojote kitų vaistų arba dėl to nesate tikri, </w:t>
      </w:r>
      <w:r w:rsidRPr="0090600F">
        <w:rPr>
          <w:noProof/>
          <w:sz w:val="22"/>
          <w:szCs w:val="22"/>
        </w:rPr>
        <w:t>apie tai pasakykite gydytojui arba vaistininkui.</w:t>
      </w:r>
    </w:p>
    <w:p w:rsidR="00B30368" w:rsidRPr="0023702A" w:rsidRDefault="00B30368" w:rsidP="00B30368">
      <w:pPr>
        <w:ind w:right="150"/>
        <w:rPr>
          <w:sz w:val="22"/>
          <w:szCs w:val="22"/>
        </w:rPr>
      </w:pPr>
      <w:r w:rsidRPr="0023702A">
        <w:rPr>
          <w:sz w:val="22"/>
          <w:szCs w:val="22"/>
        </w:rPr>
        <w:t xml:space="preserve">CYCLODOL vartojant su kitais panašių savybių vaistais, kaip priešvirusiniu vaistu amantadinu, anthistamininiais </w:t>
      </w:r>
      <w:r>
        <w:rPr>
          <w:sz w:val="22"/>
          <w:szCs w:val="22"/>
        </w:rPr>
        <w:t>vaistais</w:t>
      </w:r>
      <w:r w:rsidRPr="0023702A">
        <w:rPr>
          <w:sz w:val="22"/>
          <w:szCs w:val="22"/>
        </w:rPr>
        <w:t xml:space="preserve"> (pvz., difenhidraminu, prometazinu, klemastinu), antipsichotiniais fenotiazino grupės vaistais (pvz., chlorpromazinu, trimeprazinu), tricikliais antidepresantais (pvz., imipraminu, amitriptilinu, trimipraminu), ir taip pat su monoaminooksidazės inhibitoriais (pvz., moklobemidu)</w:t>
      </w:r>
      <w:r>
        <w:rPr>
          <w:sz w:val="22"/>
          <w:szCs w:val="22"/>
        </w:rPr>
        <w:t>,</w:t>
      </w:r>
      <w:r w:rsidRPr="0023702A">
        <w:rPr>
          <w:sz w:val="22"/>
          <w:szCs w:val="22"/>
        </w:rPr>
        <w:t xml:space="preserve"> </w:t>
      </w:r>
      <w:r>
        <w:rPr>
          <w:sz w:val="22"/>
          <w:szCs w:val="22"/>
        </w:rPr>
        <w:t>padidėja</w:t>
      </w:r>
      <w:r w:rsidRPr="0023702A">
        <w:rPr>
          <w:sz w:val="22"/>
          <w:szCs w:val="22"/>
        </w:rPr>
        <w:t xml:space="preserve"> šalutini</w:t>
      </w:r>
      <w:r>
        <w:rPr>
          <w:sz w:val="22"/>
          <w:szCs w:val="22"/>
        </w:rPr>
        <w:t>ų</w:t>
      </w:r>
      <w:r w:rsidRPr="0023702A">
        <w:rPr>
          <w:sz w:val="22"/>
          <w:szCs w:val="22"/>
        </w:rPr>
        <w:t xml:space="preserve"> poveiki</w:t>
      </w:r>
      <w:r>
        <w:rPr>
          <w:sz w:val="22"/>
          <w:szCs w:val="22"/>
        </w:rPr>
        <w:t>ų atsiradimo rizika</w:t>
      </w:r>
      <w:r w:rsidRPr="0023702A">
        <w:rPr>
          <w:sz w:val="22"/>
          <w:szCs w:val="22"/>
        </w:rPr>
        <w:t>.</w:t>
      </w:r>
    </w:p>
    <w:p w:rsidR="00B30368" w:rsidRPr="0023702A" w:rsidRDefault="00B30368" w:rsidP="00B30368">
      <w:pPr>
        <w:ind w:right="150"/>
        <w:rPr>
          <w:sz w:val="22"/>
          <w:szCs w:val="22"/>
        </w:rPr>
      </w:pPr>
      <w:r w:rsidRPr="0023702A">
        <w:rPr>
          <w:sz w:val="22"/>
          <w:szCs w:val="22"/>
        </w:rPr>
        <w:t xml:space="preserve">CYCLODOL gali silpninti </w:t>
      </w:r>
      <w:r>
        <w:rPr>
          <w:sz w:val="22"/>
          <w:szCs w:val="22"/>
        </w:rPr>
        <w:t>vaistų</w:t>
      </w:r>
      <w:r w:rsidRPr="0023702A">
        <w:rPr>
          <w:sz w:val="22"/>
          <w:szCs w:val="22"/>
        </w:rPr>
        <w:t>, vartojamų po liežuviu, poveikį (dėl  burno</w:t>
      </w:r>
      <w:r>
        <w:rPr>
          <w:sz w:val="22"/>
          <w:szCs w:val="22"/>
        </w:rPr>
        <w:t>s džiūvimo</w:t>
      </w:r>
      <w:r w:rsidRPr="0023702A">
        <w:rPr>
          <w:sz w:val="22"/>
          <w:szCs w:val="22"/>
        </w:rPr>
        <w:t xml:space="preserve">). </w:t>
      </w:r>
    </w:p>
    <w:p w:rsidR="00B30368" w:rsidRPr="0023702A" w:rsidRDefault="00B30368" w:rsidP="00B30368">
      <w:pPr>
        <w:ind w:right="150"/>
        <w:rPr>
          <w:sz w:val="22"/>
          <w:szCs w:val="22"/>
        </w:rPr>
      </w:pPr>
      <w:r w:rsidRPr="0023702A">
        <w:rPr>
          <w:sz w:val="22"/>
          <w:szCs w:val="22"/>
        </w:rPr>
        <w:t>CYCLODOL sumažina parasimpatomimeti</w:t>
      </w:r>
      <w:r>
        <w:rPr>
          <w:sz w:val="22"/>
          <w:szCs w:val="22"/>
        </w:rPr>
        <w:t>nių vaistų</w:t>
      </w:r>
      <w:r w:rsidRPr="0023702A">
        <w:rPr>
          <w:sz w:val="22"/>
          <w:szCs w:val="22"/>
        </w:rPr>
        <w:t xml:space="preserve"> (pvz., pilokarpino, karbacholio, neostigmino) poveikį.</w:t>
      </w:r>
    </w:p>
    <w:p w:rsidR="00B30368" w:rsidRPr="0023702A" w:rsidRDefault="00B30368" w:rsidP="00B30368">
      <w:pPr>
        <w:ind w:right="150"/>
        <w:rPr>
          <w:sz w:val="22"/>
          <w:szCs w:val="22"/>
        </w:rPr>
      </w:pPr>
      <w:r w:rsidRPr="0023702A">
        <w:rPr>
          <w:sz w:val="22"/>
          <w:szCs w:val="22"/>
        </w:rPr>
        <w:t>Kadangi CYCLODOL slopina žarnų judesius, jis gali silpninti kitų vaistų absorbciją iš virškinamojo trakto.</w:t>
      </w:r>
    </w:p>
    <w:p w:rsidR="00B30368" w:rsidRPr="0023702A" w:rsidRDefault="00B30368" w:rsidP="00B30368">
      <w:pPr>
        <w:ind w:right="150"/>
        <w:rPr>
          <w:sz w:val="22"/>
          <w:szCs w:val="22"/>
        </w:rPr>
      </w:pPr>
      <w:r w:rsidRPr="0023702A">
        <w:rPr>
          <w:sz w:val="22"/>
          <w:szCs w:val="22"/>
        </w:rPr>
        <w:t>CYCLODOL sumažina metoklopramido ir domperidono poveikį virškinimo trakto veiklai.</w:t>
      </w:r>
    </w:p>
    <w:p w:rsidR="00B30368" w:rsidRPr="0023702A" w:rsidRDefault="00B30368" w:rsidP="00B30368">
      <w:pPr>
        <w:ind w:right="150"/>
        <w:rPr>
          <w:sz w:val="22"/>
          <w:szCs w:val="22"/>
        </w:rPr>
      </w:pPr>
      <w:r w:rsidRPr="0023702A">
        <w:rPr>
          <w:sz w:val="22"/>
          <w:szCs w:val="22"/>
        </w:rPr>
        <w:t xml:space="preserve">Alkoholio ir CNS veikiančių </w:t>
      </w:r>
      <w:r>
        <w:rPr>
          <w:sz w:val="22"/>
          <w:szCs w:val="22"/>
        </w:rPr>
        <w:t>vaistų</w:t>
      </w:r>
      <w:r w:rsidRPr="0023702A">
        <w:rPr>
          <w:sz w:val="22"/>
          <w:szCs w:val="22"/>
        </w:rPr>
        <w:t xml:space="preserve">, vartojant juos kartu su CYCLODOL, sukeliamas slopinamasis poveikis gali sustiprėti. </w:t>
      </w:r>
    </w:p>
    <w:p w:rsidR="00B30368" w:rsidRPr="0023702A" w:rsidRDefault="00B30368" w:rsidP="00B30368">
      <w:pPr>
        <w:ind w:right="150"/>
        <w:rPr>
          <w:sz w:val="22"/>
          <w:szCs w:val="22"/>
        </w:rPr>
      </w:pPr>
    </w:p>
    <w:p w:rsidR="00B30368" w:rsidRPr="0066403A" w:rsidRDefault="00B30368" w:rsidP="00B30368">
      <w:pPr>
        <w:pStyle w:val="PI-3EMEASMCA"/>
      </w:pPr>
      <w:r w:rsidRPr="0023702A">
        <w:t>CYCLODOL vartojimas su maistu</w:t>
      </w:r>
      <w:r>
        <w:t>,</w:t>
      </w:r>
      <w:r w:rsidRPr="0066403A">
        <w:t xml:space="preserve"> gėrimais</w:t>
      </w:r>
      <w:r>
        <w:t xml:space="preserve"> ir alkoholiu</w:t>
      </w:r>
    </w:p>
    <w:p w:rsidR="00B30368" w:rsidRPr="0023702A" w:rsidRDefault="00B30368" w:rsidP="00B30368">
      <w:pPr>
        <w:pStyle w:val="BTEMEASMCA"/>
        <w:rPr>
          <w:lang w:val="lt-LT"/>
        </w:rPr>
      </w:pPr>
      <w:r w:rsidRPr="0023702A">
        <w:rPr>
          <w:lang w:val="lt-LT"/>
        </w:rPr>
        <w:t xml:space="preserve">CYCLODOL </w:t>
      </w:r>
      <w:r>
        <w:rPr>
          <w:lang w:val="lt-LT"/>
        </w:rPr>
        <w:t>nerekomenduojama</w:t>
      </w:r>
      <w:r w:rsidRPr="0023702A">
        <w:rPr>
          <w:lang w:val="lt-LT"/>
        </w:rPr>
        <w:t xml:space="preserve"> vartoti kartu su alkoholiu.</w:t>
      </w:r>
    </w:p>
    <w:p w:rsidR="00B30368" w:rsidRPr="0023702A" w:rsidRDefault="00B30368" w:rsidP="00B30368">
      <w:pPr>
        <w:pStyle w:val="BTEMEASMCA"/>
        <w:rPr>
          <w:lang w:val="lt-LT"/>
        </w:rPr>
      </w:pPr>
      <w:r>
        <w:rPr>
          <w:lang w:val="lt-LT"/>
        </w:rPr>
        <w:t>CYCLODOL</w:t>
      </w:r>
      <w:r w:rsidRPr="0023702A">
        <w:rPr>
          <w:lang w:val="lt-LT"/>
        </w:rPr>
        <w:t xml:space="preserve"> reikėtų gerti prieš valgį arba valgio metu.</w:t>
      </w:r>
    </w:p>
    <w:p w:rsidR="00B30368" w:rsidRPr="0023702A" w:rsidRDefault="00B30368" w:rsidP="00B30368">
      <w:pPr>
        <w:pStyle w:val="BTEMEASMCA"/>
        <w:rPr>
          <w:lang w:val="lt-LT"/>
        </w:rPr>
      </w:pPr>
    </w:p>
    <w:p w:rsidR="00B30368" w:rsidRPr="0023702A" w:rsidRDefault="00B30368" w:rsidP="00B30368">
      <w:pPr>
        <w:pStyle w:val="PI-3EMEASMCA"/>
      </w:pPr>
      <w:r w:rsidRPr="0023702A">
        <w:t>Nėštumas, žindymo laikotarpis ir vaisingumas</w:t>
      </w:r>
    </w:p>
    <w:p w:rsidR="00B30368" w:rsidRPr="0066403A" w:rsidRDefault="00B30368" w:rsidP="00B30368">
      <w:pPr>
        <w:numPr>
          <w:ilvl w:val="12"/>
          <w:numId w:val="0"/>
        </w:numPr>
        <w:tabs>
          <w:tab w:val="left" w:pos="720"/>
        </w:tabs>
        <w:rPr>
          <w:sz w:val="22"/>
          <w:szCs w:val="22"/>
        </w:rPr>
      </w:pPr>
      <w:r w:rsidRPr="0066403A">
        <w:rPr>
          <w:noProof/>
          <w:sz w:val="22"/>
          <w:szCs w:val="22"/>
        </w:rPr>
        <w:t>Jeigu esate nėščia, žindote kūdikį, manote, kad galbūt esate nėščia, arba planuojate pastoti, tai prieš vartodama šį vaistą, pasitarkite su gydytoju arba vaistininku.</w:t>
      </w:r>
      <w:r w:rsidRPr="0066403A">
        <w:rPr>
          <w:sz w:val="22"/>
          <w:szCs w:val="22"/>
        </w:rPr>
        <w:t xml:space="preserve"> </w:t>
      </w:r>
    </w:p>
    <w:p w:rsidR="00B30368" w:rsidRPr="00CC1EFB" w:rsidRDefault="00B30368" w:rsidP="00B30368">
      <w:pPr>
        <w:rPr>
          <w:sz w:val="22"/>
          <w:szCs w:val="22"/>
        </w:rPr>
      </w:pPr>
      <w:r w:rsidRPr="0023702A">
        <w:rPr>
          <w:sz w:val="22"/>
          <w:szCs w:val="22"/>
        </w:rPr>
        <w:t>CYCLODOL</w:t>
      </w:r>
      <w:r>
        <w:rPr>
          <w:sz w:val="22"/>
          <w:szCs w:val="22"/>
        </w:rPr>
        <w:t xml:space="preserve"> nėštumo metu vartoti negalima</w:t>
      </w:r>
      <w:r w:rsidRPr="0023702A">
        <w:rPr>
          <w:sz w:val="22"/>
          <w:szCs w:val="22"/>
        </w:rPr>
        <w:t>, kadangi nėra duomenų apie šio vaisto saugu</w:t>
      </w:r>
      <w:r w:rsidRPr="00CC1EFB">
        <w:rPr>
          <w:sz w:val="22"/>
          <w:szCs w:val="22"/>
        </w:rPr>
        <w:t>mą.</w:t>
      </w:r>
    </w:p>
    <w:p w:rsidR="00B30368" w:rsidRPr="0023702A" w:rsidRDefault="00B30368" w:rsidP="00B30368">
      <w:pPr>
        <w:rPr>
          <w:sz w:val="22"/>
          <w:szCs w:val="22"/>
        </w:rPr>
      </w:pPr>
      <w:r w:rsidRPr="0023702A">
        <w:rPr>
          <w:bCs/>
          <w:sz w:val="22"/>
          <w:szCs w:val="22"/>
        </w:rPr>
        <w:t xml:space="preserve">Nevartokite </w:t>
      </w:r>
      <w:r w:rsidRPr="0023702A">
        <w:rPr>
          <w:sz w:val="22"/>
          <w:szCs w:val="22"/>
        </w:rPr>
        <w:t>CYCLODOL</w:t>
      </w:r>
      <w:r w:rsidRPr="0023702A">
        <w:rPr>
          <w:bCs/>
          <w:sz w:val="22"/>
          <w:szCs w:val="22"/>
        </w:rPr>
        <w:t xml:space="preserve">, jei žindote, nes šis vaistas </w:t>
      </w:r>
      <w:r w:rsidRPr="0023702A">
        <w:rPr>
          <w:sz w:val="22"/>
          <w:szCs w:val="22"/>
        </w:rPr>
        <w:t>slopina pieno išsiskyrimą. Duomenų apie jo patekimą į moters pieną nėra.</w:t>
      </w:r>
    </w:p>
    <w:p w:rsidR="00B30368" w:rsidRPr="0023702A" w:rsidRDefault="00B30368" w:rsidP="00B30368">
      <w:pPr>
        <w:pStyle w:val="BTEMEASMCA"/>
        <w:rPr>
          <w:lang w:val="lt-LT"/>
        </w:rPr>
      </w:pPr>
    </w:p>
    <w:p w:rsidR="00B30368" w:rsidRPr="0023702A" w:rsidRDefault="00B30368" w:rsidP="00B30368">
      <w:pPr>
        <w:pStyle w:val="PI-3EMEASMCA"/>
      </w:pPr>
      <w:r w:rsidRPr="0023702A">
        <w:t>Vairavimas ir mechanizmų valdymas</w:t>
      </w:r>
    </w:p>
    <w:p w:rsidR="00B30368" w:rsidRPr="0023702A" w:rsidRDefault="00B30368" w:rsidP="00B30368">
      <w:pPr>
        <w:pStyle w:val="BTEMEASMCA"/>
        <w:rPr>
          <w:lang w:val="lt-LT"/>
        </w:rPr>
      </w:pPr>
      <w:r w:rsidRPr="0023702A">
        <w:rPr>
          <w:lang w:val="lt-LT"/>
        </w:rPr>
        <w:t>Jeigu</w:t>
      </w:r>
      <w:r>
        <w:rPr>
          <w:lang w:val="lt-LT"/>
        </w:rPr>
        <w:t xml:space="preserve"> vartojant vaistą</w:t>
      </w:r>
      <w:r w:rsidRPr="0023702A">
        <w:rPr>
          <w:lang w:val="lt-LT"/>
        </w:rPr>
        <w:t xml:space="preserve"> pablogėja regėjimas bei sumažėja budrumas</w:t>
      </w:r>
      <w:r>
        <w:rPr>
          <w:lang w:val="lt-LT"/>
        </w:rPr>
        <w:t>,</w:t>
      </w:r>
      <w:r w:rsidRPr="0023702A">
        <w:rPr>
          <w:lang w:val="lt-LT"/>
        </w:rPr>
        <w:t xml:space="preserve"> vairuoti ir mechanizmų valdyti negalima. </w:t>
      </w:r>
    </w:p>
    <w:p w:rsidR="00B30368" w:rsidRPr="0023702A" w:rsidRDefault="00B30368" w:rsidP="00B30368">
      <w:pPr>
        <w:rPr>
          <w:sz w:val="22"/>
          <w:szCs w:val="22"/>
        </w:rPr>
      </w:pPr>
    </w:p>
    <w:p w:rsidR="00B30368" w:rsidRPr="00F3135A" w:rsidRDefault="00B30368" w:rsidP="00B30368">
      <w:pPr>
        <w:pStyle w:val="Antrat4"/>
        <w:spacing w:before="0"/>
        <w:rPr>
          <w:rFonts w:ascii="Times New Roman" w:hAnsi="Times New Roman" w:cs="Times New Roman"/>
          <w:i w:val="0"/>
          <w:color w:val="auto"/>
          <w:sz w:val="22"/>
          <w:szCs w:val="22"/>
        </w:rPr>
      </w:pPr>
      <w:r w:rsidRPr="00F3135A">
        <w:rPr>
          <w:rFonts w:ascii="Times New Roman" w:hAnsi="Times New Roman" w:cs="Times New Roman"/>
          <w:i w:val="0"/>
          <w:color w:val="auto"/>
          <w:sz w:val="22"/>
          <w:szCs w:val="22"/>
        </w:rPr>
        <w:t>CYCLODOL sudėtyje yra sacharozės</w:t>
      </w:r>
    </w:p>
    <w:p w:rsidR="00B30368" w:rsidRPr="0066403A" w:rsidRDefault="00B30368" w:rsidP="00B30368">
      <w:pPr>
        <w:rPr>
          <w:sz w:val="22"/>
          <w:szCs w:val="22"/>
        </w:rPr>
      </w:pPr>
      <w:r w:rsidRPr="0066403A">
        <w:rPr>
          <w:sz w:val="22"/>
          <w:szCs w:val="22"/>
        </w:rPr>
        <w:t>Jeigu gydytojas Jums yra sakęs, kad netoleruojate kokių nors angliavandenių, kreipkitės į jį prieš pradėdami vartoti šį vaistą.</w:t>
      </w:r>
    </w:p>
    <w:p w:rsidR="00B30368" w:rsidRPr="0023702A" w:rsidRDefault="00B30368" w:rsidP="00B30368">
      <w:pPr>
        <w:rPr>
          <w:sz w:val="22"/>
          <w:szCs w:val="22"/>
        </w:rPr>
      </w:pPr>
    </w:p>
    <w:p w:rsidR="00B30368" w:rsidRPr="0023702A" w:rsidRDefault="00B30368" w:rsidP="00B30368">
      <w:pPr>
        <w:rPr>
          <w:sz w:val="22"/>
          <w:szCs w:val="22"/>
        </w:rPr>
      </w:pPr>
    </w:p>
    <w:p w:rsidR="00B30368" w:rsidRPr="0023702A" w:rsidRDefault="00B30368" w:rsidP="00B30368">
      <w:pPr>
        <w:pStyle w:val="PI-1EMEASMCA"/>
        <w:rPr>
          <w:sz w:val="22"/>
        </w:rPr>
      </w:pPr>
      <w:r w:rsidRPr="0023702A">
        <w:rPr>
          <w:sz w:val="22"/>
        </w:rPr>
        <w:t>3.</w:t>
      </w:r>
      <w:r w:rsidRPr="0023702A">
        <w:rPr>
          <w:sz w:val="22"/>
        </w:rPr>
        <w:tab/>
        <w:t>Kaip vartoti CYCLODOL</w:t>
      </w:r>
    </w:p>
    <w:p w:rsidR="00B30368" w:rsidRPr="0023702A" w:rsidRDefault="00B30368" w:rsidP="00B30368">
      <w:pPr>
        <w:pStyle w:val="BTEMEASMCA"/>
        <w:rPr>
          <w:lang w:val="lt-LT"/>
        </w:rPr>
      </w:pPr>
    </w:p>
    <w:p w:rsidR="00B30368" w:rsidRPr="0023702A" w:rsidRDefault="00B30368" w:rsidP="00B30368">
      <w:pPr>
        <w:numPr>
          <w:ilvl w:val="12"/>
          <w:numId w:val="0"/>
        </w:numPr>
        <w:ind w:right="-2"/>
        <w:rPr>
          <w:sz w:val="22"/>
          <w:szCs w:val="22"/>
        </w:rPr>
      </w:pPr>
      <w:r w:rsidRPr="0023702A">
        <w:rPr>
          <w:noProof/>
          <w:sz w:val="22"/>
          <w:szCs w:val="22"/>
        </w:rPr>
        <w:t>Visada vartokite šį vaistą tiksliai kaip nurodė gydytojas arba vaistininkas.</w:t>
      </w:r>
      <w:r w:rsidRPr="0023702A">
        <w:rPr>
          <w:sz w:val="22"/>
          <w:szCs w:val="22"/>
        </w:rPr>
        <w:t xml:space="preserve"> </w:t>
      </w:r>
      <w:r w:rsidRPr="0023702A">
        <w:rPr>
          <w:noProof/>
          <w:sz w:val="22"/>
          <w:szCs w:val="22"/>
        </w:rPr>
        <w:t>Jeigu abejojate, kreipkitės į gydytoją arba vaistininką.</w:t>
      </w:r>
      <w:r w:rsidRPr="0023702A">
        <w:rPr>
          <w:sz w:val="22"/>
          <w:szCs w:val="22"/>
        </w:rPr>
        <w:t xml:space="preserve"> </w:t>
      </w:r>
    </w:p>
    <w:p w:rsidR="00B30368" w:rsidRPr="0023702A" w:rsidRDefault="00B30368" w:rsidP="00B30368">
      <w:pPr>
        <w:ind w:right="150"/>
        <w:rPr>
          <w:sz w:val="22"/>
          <w:szCs w:val="22"/>
        </w:rPr>
      </w:pPr>
      <w:r w:rsidRPr="0023702A">
        <w:rPr>
          <w:sz w:val="22"/>
          <w:szCs w:val="22"/>
        </w:rPr>
        <w:t>Vaisto dozė yra individuali, todėl ją visada nustato tik gydytojas.</w:t>
      </w:r>
    </w:p>
    <w:p w:rsidR="00B30368" w:rsidRPr="00CC1EFB" w:rsidRDefault="00B30368" w:rsidP="00B30368">
      <w:pPr>
        <w:ind w:right="150"/>
        <w:rPr>
          <w:sz w:val="22"/>
          <w:szCs w:val="22"/>
        </w:rPr>
      </w:pPr>
      <w:r w:rsidRPr="00CC1EFB">
        <w:rPr>
          <w:sz w:val="22"/>
          <w:szCs w:val="22"/>
        </w:rPr>
        <w:t xml:space="preserve">CYCLODOL galima gerti prieš valgį arba valgio metu. Jei vartojant preparato atsiranda burnos </w:t>
      </w:r>
      <w:r>
        <w:rPr>
          <w:sz w:val="22"/>
          <w:szCs w:val="22"/>
        </w:rPr>
        <w:t>džiūvimas</w:t>
      </w:r>
      <w:r w:rsidRPr="00CC1EFB">
        <w:rPr>
          <w:sz w:val="22"/>
          <w:szCs w:val="22"/>
        </w:rPr>
        <w:t xml:space="preserve">, </w:t>
      </w:r>
      <w:r>
        <w:rPr>
          <w:sz w:val="22"/>
          <w:szCs w:val="22"/>
        </w:rPr>
        <w:t>vaisto</w:t>
      </w:r>
      <w:r w:rsidRPr="00CC1EFB">
        <w:rPr>
          <w:sz w:val="22"/>
          <w:szCs w:val="22"/>
        </w:rPr>
        <w:t xml:space="preserve"> rekomenduojama gerti prieš valgį, kad nepradėtų pykinti.</w:t>
      </w:r>
    </w:p>
    <w:p w:rsidR="00B30368" w:rsidRDefault="00B30368" w:rsidP="00B30368">
      <w:pPr>
        <w:ind w:right="150"/>
        <w:rPr>
          <w:sz w:val="22"/>
          <w:szCs w:val="22"/>
        </w:rPr>
      </w:pPr>
    </w:p>
    <w:p w:rsidR="00B30368" w:rsidRPr="002B2BB4" w:rsidRDefault="00B30368" w:rsidP="00B30368">
      <w:pPr>
        <w:ind w:right="150"/>
        <w:rPr>
          <w:i/>
          <w:sz w:val="22"/>
          <w:szCs w:val="22"/>
        </w:rPr>
      </w:pPr>
      <w:r w:rsidRPr="0017393E">
        <w:rPr>
          <w:i/>
          <w:sz w:val="22"/>
          <w:szCs w:val="22"/>
        </w:rPr>
        <w:t>Suaugusieji</w:t>
      </w:r>
    </w:p>
    <w:p w:rsidR="00B30368" w:rsidRPr="0023702A" w:rsidRDefault="00B30368" w:rsidP="00B30368">
      <w:pPr>
        <w:ind w:right="150"/>
        <w:rPr>
          <w:sz w:val="22"/>
          <w:szCs w:val="22"/>
        </w:rPr>
      </w:pPr>
      <w:r w:rsidRPr="0023702A">
        <w:rPr>
          <w:sz w:val="22"/>
          <w:szCs w:val="22"/>
        </w:rPr>
        <w:t>Įprastinė palaikomoji paros dozė yra 6–10 mg (3–5 tabletės). Dozė koreguojama, atsižvelgiant į gydymo veiksmingumą. Ji suvartojama per 3–4 kartus. Sunkiais atvejais paros dozę galima padidinti iki 12–16 mg (6–8 tablečių), kurią reikia suvartoti per 3–4 kartus. Didžiausia triheksifenidilio hidrochlorido paros dozė yra 16 mg.</w:t>
      </w:r>
    </w:p>
    <w:p w:rsidR="00B30368" w:rsidRPr="0023702A" w:rsidRDefault="00B30368" w:rsidP="00B30368">
      <w:pPr>
        <w:ind w:right="150"/>
        <w:rPr>
          <w:sz w:val="22"/>
          <w:szCs w:val="22"/>
        </w:rPr>
      </w:pPr>
    </w:p>
    <w:p w:rsidR="00B30368" w:rsidRPr="0023702A" w:rsidRDefault="00B30368" w:rsidP="00B30368">
      <w:pPr>
        <w:ind w:right="150"/>
        <w:rPr>
          <w:sz w:val="22"/>
          <w:szCs w:val="22"/>
        </w:rPr>
      </w:pPr>
      <w:r w:rsidRPr="0023702A">
        <w:rPr>
          <w:sz w:val="22"/>
          <w:szCs w:val="22"/>
        </w:rPr>
        <w:t>Baigiant gydytis arba pradedant vartoti kitokių vaistų, CYCLODOL dozė turi būti mažinama palaipsniui.</w:t>
      </w:r>
    </w:p>
    <w:p w:rsidR="00B30368" w:rsidRPr="0023702A" w:rsidRDefault="00B30368" w:rsidP="00B30368">
      <w:pPr>
        <w:ind w:right="150"/>
        <w:rPr>
          <w:sz w:val="22"/>
          <w:szCs w:val="22"/>
        </w:rPr>
      </w:pPr>
    </w:p>
    <w:p w:rsidR="00B30368" w:rsidRPr="00F57BC8" w:rsidRDefault="00B30368" w:rsidP="00B30368">
      <w:pPr>
        <w:ind w:right="150"/>
        <w:rPr>
          <w:i/>
          <w:sz w:val="22"/>
          <w:szCs w:val="22"/>
        </w:rPr>
      </w:pPr>
      <w:r w:rsidRPr="0017393E">
        <w:rPr>
          <w:i/>
          <w:sz w:val="22"/>
          <w:szCs w:val="22"/>
        </w:rPr>
        <w:t>Senyvi pacientai</w:t>
      </w:r>
    </w:p>
    <w:p w:rsidR="00B30368" w:rsidRPr="00F57BC8" w:rsidRDefault="00B30368" w:rsidP="00B30368">
      <w:pPr>
        <w:ind w:right="150"/>
        <w:rPr>
          <w:sz w:val="22"/>
          <w:szCs w:val="22"/>
        </w:rPr>
      </w:pPr>
      <w:r w:rsidRPr="00F57BC8">
        <w:rPr>
          <w:sz w:val="22"/>
          <w:szCs w:val="22"/>
        </w:rPr>
        <w:t>Kadangi senyvo amžiaus pacientai paprastai yra jautresni</w:t>
      </w:r>
      <w:r>
        <w:rPr>
          <w:sz w:val="22"/>
          <w:szCs w:val="22"/>
        </w:rPr>
        <w:t xml:space="preserve"> vaisto</w:t>
      </w:r>
      <w:r w:rsidRPr="00F57BC8">
        <w:rPr>
          <w:sz w:val="22"/>
          <w:szCs w:val="22"/>
        </w:rPr>
        <w:t xml:space="preserve"> šalutiniam poveikiui, todėl jiems reikėtų vartoti mažesnę dozę.</w:t>
      </w:r>
    </w:p>
    <w:p w:rsidR="00B30368" w:rsidRPr="0023702A" w:rsidRDefault="00B30368" w:rsidP="00B30368">
      <w:pPr>
        <w:ind w:right="150"/>
        <w:rPr>
          <w:sz w:val="22"/>
          <w:szCs w:val="22"/>
        </w:rPr>
      </w:pPr>
    </w:p>
    <w:p w:rsidR="00B30368" w:rsidRPr="0023702A" w:rsidRDefault="00B30368" w:rsidP="00B30368">
      <w:pPr>
        <w:rPr>
          <w:sz w:val="22"/>
          <w:szCs w:val="22"/>
        </w:rPr>
      </w:pPr>
      <w:r w:rsidRPr="0023702A">
        <w:rPr>
          <w:sz w:val="22"/>
          <w:szCs w:val="22"/>
        </w:rPr>
        <w:t>Gydymo kurso trukmę nustato gydytojas.</w:t>
      </w:r>
    </w:p>
    <w:p w:rsidR="00B30368" w:rsidRPr="0023702A" w:rsidRDefault="00B30368" w:rsidP="00B30368">
      <w:pPr>
        <w:pStyle w:val="BTEMEASMCA"/>
        <w:rPr>
          <w:lang w:val="lt-LT"/>
        </w:rPr>
      </w:pPr>
    </w:p>
    <w:p w:rsidR="00B30368" w:rsidRDefault="00B30368" w:rsidP="00B30368">
      <w:pPr>
        <w:pStyle w:val="BTEMEASMCA"/>
        <w:rPr>
          <w:lang w:val="lt-LT"/>
        </w:rPr>
      </w:pPr>
      <w:r w:rsidRPr="0023702A">
        <w:rPr>
          <w:lang w:val="lt-LT"/>
        </w:rPr>
        <w:t>Jeigu manote, kad vaisto poveikis per stiprus ar per silpnas, kreipkitės į gydytoją.</w:t>
      </w:r>
    </w:p>
    <w:p w:rsidR="00B30368" w:rsidRPr="0023702A" w:rsidRDefault="00B30368" w:rsidP="00B30368">
      <w:pPr>
        <w:rPr>
          <w:sz w:val="22"/>
          <w:szCs w:val="22"/>
        </w:rPr>
      </w:pPr>
    </w:p>
    <w:p w:rsidR="00B30368" w:rsidRPr="0023702A" w:rsidRDefault="00B30368" w:rsidP="00B30368">
      <w:pPr>
        <w:pStyle w:val="PI-3EMEASMCA"/>
      </w:pPr>
      <w:r w:rsidRPr="0023702A">
        <w:t>Ką daryti pavartojus per didelę CYCLODOL dozę</w:t>
      </w:r>
    </w:p>
    <w:p w:rsidR="00B30368" w:rsidRPr="0023702A" w:rsidRDefault="00B30368" w:rsidP="00B30368">
      <w:pPr>
        <w:ind w:right="150"/>
        <w:rPr>
          <w:sz w:val="22"/>
          <w:szCs w:val="22"/>
        </w:rPr>
      </w:pPr>
      <w:r w:rsidRPr="00CC1EFB">
        <w:rPr>
          <w:i/>
          <w:iCs/>
          <w:sz w:val="22"/>
          <w:szCs w:val="22"/>
        </w:rPr>
        <w:t>Perdozavimo simptomai</w:t>
      </w:r>
      <w:r w:rsidRPr="0066403A">
        <w:rPr>
          <w:sz w:val="22"/>
          <w:szCs w:val="22"/>
        </w:rPr>
        <w:t>: išsiplėtę vyzdžiai, gleivin</w:t>
      </w:r>
      <w:r>
        <w:rPr>
          <w:sz w:val="22"/>
          <w:szCs w:val="22"/>
        </w:rPr>
        <w:t>ių</w:t>
      </w:r>
      <w:r w:rsidRPr="0066403A">
        <w:rPr>
          <w:sz w:val="22"/>
          <w:szCs w:val="22"/>
        </w:rPr>
        <w:t xml:space="preserve"> </w:t>
      </w:r>
      <w:r>
        <w:rPr>
          <w:sz w:val="22"/>
          <w:szCs w:val="22"/>
        </w:rPr>
        <w:t>sausumas</w:t>
      </w:r>
      <w:r w:rsidRPr="0066403A">
        <w:rPr>
          <w:sz w:val="22"/>
          <w:szCs w:val="22"/>
        </w:rPr>
        <w:t xml:space="preserve">, padažnėjęs širdies plakimas, vidurių užkietėjimas, pakilusi kūno temperatūra, nervingumas, tikrovės nesuvokimas ir (arba) kiti sąmonės sutrikimai. Sunkiau apsinuodijus, gali </w:t>
      </w:r>
      <w:r w:rsidRPr="0023702A">
        <w:rPr>
          <w:sz w:val="22"/>
          <w:szCs w:val="22"/>
        </w:rPr>
        <w:t>ištikti koma ir sustoti kvėpavimas.</w:t>
      </w:r>
    </w:p>
    <w:p w:rsidR="00B30368" w:rsidRPr="0023702A" w:rsidRDefault="00B30368" w:rsidP="00B30368">
      <w:pPr>
        <w:ind w:right="150"/>
        <w:rPr>
          <w:sz w:val="22"/>
          <w:szCs w:val="22"/>
        </w:rPr>
      </w:pPr>
    </w:p>
    <w:p w:rsidR="00B30368" w:rsidRPr="00B7540B" w:rsidRDefault="00B30368" w:rsidP="00B30368">
      <w:pPr>
        <w:ind w:right="150"/>
        <w:rPr>
          <w:sz w:val="22"/>
          <w:szCs w:val="22"/>
        </w:rPr>
      </w:pPr>
      <w:r w:rsidRPr="0017393E">
        <w:rPr>
          <w:sz w:val="22"/>
          <w:szCs w:val="22"/>
        </w:rPr>
        <w:t>Perdozavus vaisto arba įtarus jo perdozavimą, būtina nedelsiant kreiptis į gydytoją. Reikia pasiimti pavartoto vaisto pakuotę.</w:t>
      </w:r>
    </w:p>
    <w:p w:rsidR="00B30368" w:rsidRPr="0023702A" w:rsidRDefault="00B30368" w:rsidP="00B30368">
      <w:pPr>
        <w:ind w:right="150"/>
        <w:rPr>
          <w:sz w:val="22"/>
          <w:szCs w:val="22"/>
        </w:rPr>
      </w:pPr>
      <w:r w:rsidRPr="0023702A">
        <w:rPr>
          <w:sz w:val="22"/>
          <w:szCs w:val="22"/>
        </w:rPr>
        <w:t>Pacientui reikėtų sukelti vėmimą, gerti skysčių, dėti šaltus kompresus.</w:t>
      </w:r>
    </w:p>
    <w:p w:rsidR="00B30368" w:rsidRPr="0023702A" w:rsidRDefault="00B30368" w:rsidP="00B30368">
      <w:pPr>
        <w:pStyle w:val="BTEMEASMCA"/>
        <w:rPr>
          <w:lang w:val="lt-LT"/>
        </w:rPr>
      </w:pPr>
      <w:r w:rsidRPr="0023702A">
        <w:rPr>
          <w:lang w:val="lt-LT"/>
        </w:rPr>
        <w:t>Informuokite gydytoją apie priemones, kurias naudojate.</w:t>
      </w:r>
    </w:p>
    <w:p w:rsidR="00B30368" w:rsidRPr="0023702A" w:rsidRDefault="00B30368" w:rsidP="00B30368">
      <w:pPr>
        <w:pStyle w:val="PI-3EMEASMCA"/>
      </w:pPr>
    </w:p>
    <w:p w:rsidR="00B30368" w:rsidRPr="00CC1EFB" w:rsidRDefault="00B30368" w:rsidP="00B30368">
      <w:pPr>
        <w:pStyle w:val="PI-3EMEASMCA"/>
      </w:pPr>
      <w:r w:rsidRPr="00CC1EFB">
        <w:t>Pamiršus pavartoti CYCLODOL</w:t>
      </w:r>
    </w:p>
    <w:p w:rsidR="00B30368" w:rsidRPr="0023702A" w:rsidRDefault="00B30368" w:rsidP="00B30368">
      <w:pPr>
        <w:pStyle w:val="BTEMEASMCA"/>
        <w:rPr>
          <w:lang w:val="lt-LT"/>
        </w:rPr>
      </w:pPr>
      <w:r w:rsidRPr="0023702A">
        <w:rPr>
          <w:lang w:val="lt-LT"/>
        </w:rPr>
        <w:t xml:space="preserve">Praleistą dozę suvartokite kaip galima greičiau. Jeigu jau laikas kitai dozei, praleiskite nesuvartotą dozę ir grįžkite prie įprastinės tvarkos. Negalima vartoti dvigubos dozės norint kompensuoti praleistą dozę. </w:t>
      </w:r>
    </w:p>
    <w:p w:rsidR="00B30368" w:rsidRPr="0023702A" w:rsidRDefault="00B30368" w:rsidP="00B30368">
      <w:pPr>
        <w:pStyle w:val="BTEMEASMCA"/>
        <w:rPr>
          <w:lang w:val="lt-LT"/>
        </w:rPr>
      </w:pPr>
    </w:p>
    <w:p w:rsidR="00B30368" w:rsidRPr="0023702A" w:rsidRDefault="00B30368" w:rsidP="00B30368">
      <w:pPr>
        <w:pStyle w:val="PI-3EMEASMCA"/>
      </w:pPr>
      <w:r w:rsidRPr="0023702A">
        <w:t>Nustojus vartoti CYCLODOL</w:t>
      </w:r>
    </w:p>
    <w:p w:rsidR="00B30368" w:rsidRPr="0023702A" w:rsidRDefault="00B30368" w:rsidP="00B30368">
      <w:pPr>
        <w:ind w:right="150"/>
        <w:rPr>
          <w:i/>
          <w:iCs/>
          <w:sz w:val="22"/>
          <w:szCs w:val="22"/>
        </w:rPr>
      </w:pPr>
      <w:r w:rsidRPr="00CC1EFB">
        <w:rPr>
          <w:color w:val="000000"/>
          <w:sz w:val="22"/>
          <w:szCs w:val="22"/>
        </w:rPr>
        <w:t xml:space="preserve">Ilgą laiką vartojantiems CYCLODOL, </w:t>
      </w:r>
      <w:r w:rsidRPr="0066403A">
        <w:rPr>
          <w:sz w:val="22"/>
          <w:szCs w:val="22"/>
        </w:rPr>
        <w:t xml:space="preserve">negalima </w:t>
      </w:r>
      <w:r>
        <w:rPr>
          <w:sz w:val="22"/>
          <w:szCs w:val="22"/>
        </w:rPr>
        <w:t>vaisto vartojimą</w:t>
      </w:r>
      <w:r w:rsidRPr="0066403A">
        <w:rPr>
          <w:sz w:val="22"/>
          <w:szCs w:val="22"/>
        </w:rPr>
        <w:t xml:space="preserve"> nutraukti staigiai, </w:t>
      </w:r>
      <w:r>
        <w:rPr>
          <w:sz w:val="22"/>
          <w:szCs w:val="22"/>
        </w:rPr>
        <w:t>siekiant</w:t>
      </w:r>
      <w:r w:rsidRPr="0066403A">
        <w:rPr>
          <w:sz w:val="22"/>
          <w:szCs w:val="22"/>
        </w:rPr>
        <w:t xml:space="preserve"> išvengti pagrindinės ligos simptomų atsinaujinimo ir galimo anticholinerginio poveikio.</w:t>
      </w:r>
    </w:p>
    <w:p w:rsidR="00B30368" w:rsidRPr="00F57BC8" w:rsidRDefault="00B30368" w:rsidP="00B30368">
      <w:pPr>
        <w:pStyle w:val="BTEMEASMCA"/>
        <w:rPr>
          <w:lang w:val="lt-LT"/>
        </w:rPr>
      </w:pPr>
    </w:p>
    <w:p w:rsidR="00B30368" w:rsidRPr="00F57BC8" w:rsidRDefault="00B30368" w:rsidP="00B30368">
      <w:pPr>
        <w:numPr>
          <w:ilvl w:val="12"/>
          <w:numId w:val="0"/>
        </w:numPr>
        <w:tabs>
          <w:tab w:val="left" w:pos="720"/>
        </w:tabs>
        <w:ind w:right="-29"/>
        <w:rPr>
          <w:sz w:val="22"/>
          <w:szCs w:val="22"/>
        </w:rPr>
      </w:pPr>
      <w:r w:rsidRPr="00F57BC8">
        <w:rPr>
          <w:noProof/>
          <w:sz w:val="22"/>
          <w:szCs w:val="22"/>
        </w:rPr>
        <w:t>Jeigu kiltų daugiau klausimų dėl šio vaisto vartojimo, kreipkitės į gydytoją arba vaistininką.</w:t>
      </w:r>
    </w:p>
    <w:p w:rsidR="00B30368" w:rsidRPr="0023702A" w:rsidRDefault="00B30368" w:rsidP="00B30368">
      <w:pPr>
        <w:pStyle w:val="BTEMEASMCA"/>
        <w:rPr>
          <w:lang w:val="lt-LT"/>
        </w:rPr>
      </w:pPr>
    </w:p>
    <w:p w:rsidR="00B30368" w:rsidRPr="0023702A" w:rsidRDefault="00B30368" w:rsidP="00B30368">
      <w:pPr>
        <w:pStyle w:val="BTEMEASMCA"/>
        <w:rPr>
          <w:lang w:val="lt-LT"/>
        </w:rPr>
      </w:pPr>
    </w:p>
    <w:p w:rsidR="00B30368" w:rsidRPr="0023702A" w:rsidRDefault="00B30368" w:rsidP="00B30368">
      <w:pPr>
        <w:pStyle w:val="PI-1EMEASMCA"/>
        <w:rPr>
          <w:sz w:val="22"/>
        </w:rPr>
      </w:pPr>
      <w:r w:rsidRPr="0023702A">
        <w:rPr>
          <w:sz w:val="22"/>
        </w:rPr>
        <w:t>4.</w:t>
      </w:r>
      <w:r w:rsidRPr="0023702A">
        <w:rPr>
          <w:sz w:val="22"/>
        </w:rPr>
        <w:tab/>
        <w:t>Galimas šalutinis poveikis</w:t>
      </w:r>
    </w:p>
    <w:p w:rsidR="00B30368" w:rsidRPr="0023702A" w:rsidRDefault="00B30368" w:rsidP="00B30368">
      <w:pPr>
        <w:pStyle w:val="BTEMEASMCA"/>
        <w:rPr>
          <w:lang w:val="lt-LT"/>
        </w:rPr>
      </w:pPr>
    </w:p>
    <w:p w:rsidR="00B30368" w:rsidRPr="0023702A" w:rsidRDefault="00B30368" w:rsidP="00B30368">
      <w:pPr>
        <w:pStyle w:val="BTEMEASMCA"/>
        <w:rPr>
          <w:lang w:val="lt-LT"/>
        </w:rPr>
      </w:pPr>
      <w:r w:rsidRPr="0023702A">
        <w:rPr>
          <w:lang w:val="lt-LT"/>
        </w:rPr>
        <w:t>Šis vaistas, kaip ir visi kiti, gali sukelti šalutinį poveikį, nors jis pasireiškia ne visiems žmonėms.</w:t>
      </w:r>
    </w:p>
    <w:p w:rsidR="00B30368" w:rsidRPr="0095699D" w:rsidRDefault="00B30368" w:rsidP="00B30368">
      <w:pPr>
        <w:ind w:right="150"/>
        <w:rPr>
          <w:i/>
          <w:sz w:val="22"/>
        </w:rPr>
      </w:pPr>
    </w:p>
    <w:p w:rsidR="00B30368" w:rsidRDefault="00B30368" w:rsidP="00B30368">
      <w:pPr>
        <w:ind w:right="150"/>
        <w:rPr>
          <w:sz w:val="22"/>
          <w:szCs w:val="22"/>
        </w:rPr>
      </w:pPr>
    </w:p>
    <w:p w:rsidR="00B30368" w:rsidRPr="0066403A" w:rsidRDefault="00B30368" w:rsidP="00B30368">
      <w:pPr>
        <w:ind w:right="150"/>
        <w:rPr>
          <w:sz w:val="22"/>
          <w:szCs w:val="22"/>
        </w:rPr>
      </w:pPr>
      <w:r w:rsidRPr="0095699D">
        <w:rPr>
          <w:b/>
          <w:sz w:val="22"/>
        </w:rPr>
        <w:t xml:space="preserve">Labai </w:t>
      </w:r>
      <w:r>
        <w:rPr>
          <w:b/>
          <w:bCs/>
          <w:noProof/>
          <w:snapToGrid w:val="0"/>
          <w:sz w:val="22"/>
          <w:szCs w:val="22"/>
        </w:rPr>
        <w:t>dažni šalutinio poveikio reiškiniai</w:t>
      </w:r>
      <w:r w:rsidRPr="0095699D">
        <w:rPr>
          <w:b/>
          <w:sz w:val="22"/>
        </w:rPr>
        <w:t xml:space="preserve"> (gali pasireikšti </w:t>
      </w:r>
      <w:r>
        <w:rPr>
          <w:b/>
          <w:bCs/>
          <w:noProof/>
          <w:snapToGrid w:val="0"/>
          <w:sz w:val="22"/>
          <w:szCs w:val="22"/>
        </w:rPr>
        <w:t>ne rečiau kaip</w:t>
      </w:r>
      <w:r w:rsidRPr="0095699D">
        <w:rPr>
          <w:b/>
          <w:sz w:val="22"/>
        </w:rPr>
        <w:t xml:space="preserve"> 1 iš 10 </w:t>
      </w:r>
      <w:r>
        <w:rPr>
          <w:b/>
          <w:bCs/>
          <w:noProof/>
          <w:snapToGrid w:val="0"/>
          <w:sz w:val="22"/>
          <w:szCs w:val="22"/>
        </w:rPr>
        <w:t>asmenų):</w:t>
      </w:r>
    </w:p>
    <w:p w:rsidR="00B30368" w:rsidRPr="0023702A" w:rsidRDefault="00B30368" w:rsidP="00B30368">
      <w:pPr>
        <w:numPr>
          <w:ilvl w:val="0"/>
          <w:numId w:val="2"/>
        </w:numPr>
        <w:ind w:right="150"/>
        <w:rPr>
          <w:sz w:val="22"/>
          <w:szCs w:val="22"/>
        </w:rPr>
      </w:pPr>
      <w:r w:rsidRPr="0023702A">
        <w:rPr>
          <w:sz w:val="22"/>
          <w:szCs w:val="22"/>
        </w:rPr>
        <w:t xml:space="preserve">burnos </w:t>
      </w:r>
      <w:r>
        <w:rPr>
          <w:sz w:val="22"/>
          <w:szCs w:val="22"/>
        </w:rPr>
        <w:t>džiūvimas;</w:t>
      </w:r>
    </w:p>
    <w:p w:rsidR="00B30368" w:rsidRPr="0023702A" w:rsidRDefault="00B30368" w:rsidP="00B30368">
      <w:pPr>
        <w:numPr>
          <w:ilvl w:val="0"/>
          <w:numId w:val="2"/>
        </w:numPr>
        <w:ind w:right="150"/>
        <w:rPr>
          <w:sz w:val="22"/>
          <w:szCs w:val="22"/>
        </w:rPr>
      </w:pPr>
      <w:r w:rsidRPr="0023702A">
        <w:rPr>
          <w:sz w:val="22"/>
          <w:szCs w:val="22"/>
        </w:rPr>
        <w:t>pykinimas</w:t>
      </w:r>
      <w:r>
        <w:rPr>
          <w:sz w:val="22"/>
          <w:szCs w:val="22"/>
        </w:rPr>
        <w:t>;</w:t>
      </w:r>
    </w:p>
    <w:p w:rsidR="00B30368" w:rsidRPr="0023702A" w:rsidRDefault="00B30368" w:rsidP="00B30368">
      <w:pPr>
        <w:numPr>
          <w:ilvl w:val="0"/>
          <w:numId w:val="2"/>
        </w:numPr>
        <w:ind w:right="150"/>
        <w:rPr>
          <w:sz w:val="22"/>
          <w:szCs w:val="22"/>
        </w:rPr>
      </w:pPr>
      <w:r w:rsidRPr="0023702A">
        <w:rPr>
          <w:sz w:val="22"/>
          <w:szCs w:val="22"/>
        </w:rPr>
        <w:t>vidurių užkietėjimas</w:t>
      </w:r>
      <w:r>
        <w:rPr>
          <w:sz w:val="22"/>
          <w:szCs w:val="22"/>
        </w:rPr>
        <w:t>;</w:t>
      </w:r>
      <w:r w:rsidRPr="0023702A">
        <w:rPr>
          <w:sz w:val="22"/>
          <w:szCs w:val="22"/>
        </w:rPr>
        <w:t xml:space="preserve"> </w:t>
      </w:r>
    </w:p>
    <w:p w:rsidR="00B30368" w:rsidRPr="0023702A" w:rsidRDefault="00B30368" w:rsidP="00B30368">
      <w:pPr>
        <w:numPr>
          <w:ilvl w:val="0"/>
          <w:numId w:val="2"/>
        </w:numPr>
        <w:ind w:right="150"/>
        <w:rPr>
          <w:sz w:val="22"/>
          <w:szCs w:val="22"/>
        </w:rPr>
      </w:pPr>
      <w:r w:rsidRPr="0023702A">
        <w:rPr>
          <w:sz w:val="22"/>
          <w:szCs w:val="22"/>
        </w:rPr>
        <w:t>neryškus matymas</w:t>
      </w:r>
      <w:r>
        <w:rPr>
          <w:sz w:val="22"/>
          <w:szCs w:val="22"/>
        </w:rPr>
        <w:t>.</w:t>
      </w:r>
    </w:p>
    <w:p w:rsidR="00B30368" w:rsidRPr="0023702A" w:rsidRDefault="00B30368" w:rsidP="00B30368">
      <w:pPr>
        <w:ind w:right="150"/>
        <w:rPr>
          <w:sz w:val="22"/>
          <w:szCs w:val="22"/>
        </w:rPr>
      </w:pPr>
    </w:p>
    <w:p w:rsidR="00B30368" w:rsidRDefault="00B30368" w:rsidP="00B30368">
      <w:pPr>
        <w:ind w:right="150"/>
        <w:rPr>
          <w:sz w:val="22"/>
          <w:szCs w:val="22"/>
        </w:rPr>
      </w:pPr>
    </w:p>
    <w:p w:rsidR="00B30368" w:rsidRDefault="00B30368" w:rsidP="00B30368">
      <w:pPr>
        <w:tabs>
          <w:tab w:val="left" w:pos="567"/>
        </w:tabs>
        <w:ind w:right="-29"/>
        <w:rPr>
          <w:noProof/>
          <w:snapToGrid w:val="0"/>
          <w:sz w:val="22"/>
          <w:szCs w:val="22"/>
        </w:rPr>
      </w:pPr>
      <w:r>
        <w:rPr>
          <w:b/>
          <w:bCs/>
          <w:noProof/>
          <w:snapToGrid w:val="0"/>
          <w:sz w:val="22"/>
          <w:szCs w:val="22"/>
        </w:rPr>
        <w:t>Dažni šalutinio poveikio reiškiniai</w:t>
      </w:r>
      <w:r w:rsidRPr="0095699D">
        <w:rPr>
          <w:b/>
          <w:sz w:val="22"/>
        </w:rPr>
        <w:t xml:space="preserve"> (gali pasireikšti </w:t>
      </w:r>
      <w:r>
        <w:rPr>
          <w:b/>
          <w:bCs/>
          <w:noProof/>
          <w:snapToGrid w:val="0"/>
          <w:sz w:val="22"/>
          <w:szCs w:val="22"/>
        </w:rPr>
        <w:t>rečiau kaip</w:t>
      </w:r>
      <w:r w:rsidRPr="0095699D">
        <w:rPr>
          <w:b/>
          <w:sz w:val="22"/>
        </w:rPr>
        <w:t xml:space="preserve"> 1 iš 10 </w:t>
      </w:r>
      <w:r>
        <w:rPr>
          <w:b/>
          <w:bCs/>
          <w:noProof/>
          <w:snapToGrid w:val="0"/>
          <w:sz w:val="22"/>
          <w:szCs w:val="22"/>
        </w:rPr>
        <w:t>asmenų):</w:t>
      </w:r>
    </w:p>
    <w:p w:rsidR="00B30368" w:rsidRPr="0023702A" w:rsidRDefault="00B30368" w:rsidP="00B30368">
      <w:pPr>
        <w:numPr>
          <w:ilvl w:val="0"/>
          <w:numId w:val="3"/>
        </w:numPr>
        <w:ind w:right="150"/>
        <w:rPr>
          <w:sz w:val="22"/>
          <w:szCs w:val="22"/>
        </w:rPr>
      </w:pPr>
      <w:r w:rsidRPr="0023702A">
        <w:rPr>
          <w:sz w:val="22"/>
          <w:szCs w:val="22"/>
        </w:rPr>
        <w:t>svaigulys</w:t>
      </w:r>
      <w:r>
        <w:rPr>
          <w:sz w:val="22"/>
          <w:szCs w:val="22"/>
        </w:rPr>
        <w:t>;</w:t>
      </w:r>
    </w:p>
    <w:p w:rsidR="00B30368" w:rsidRPr="0023702A" w:rsidRDefault="00B30368" w:rsidP="00B30368">
      <w:pPr>
        <w:numPr>
          <w:ilvl w:val="0"/>
          <w:numId w:val="3"/>
        </w:numPr>
        <w:ind w:right="150"/>
        <w:rPr>
          <w:sz w:val="22"/>
          <w:szCs w:val="22"/>
        </w:rPr>
      </w:pPr>
      <w:r w:rsidRPr="0023702A">
        <w:rPr>
          <w:sz w:val="22"/>
          <w:szCs w:val="22"/>
        </w:rPr>
        <w:t>mieguistumas</w:t>
      </w:r>
      <w:r>
        <w:rPr>
          <w:sz w:val="22"/>
          <w:szCs w:val="22"/>
        </w:rPr>
        <w:t>;</w:t>
      </w:r>
      <w:r w:rsidRPr="0023702A">
        <w:rPr>
          <w:sz w:val="22"/>
          <w:szCs w:val="22"/>
        </w:rPr>
        <w:t xml:space="preserve"> </w:t>
      </w:r>
    </w:p>
    <w:p w:rsidR="00B30368" w:rsidRPr="0023702A" w:rsidRDefault="00B30368" w:rsidP="00B30368">
      <w:pPr>
        <w:numPr>
          <w:ilvl w:val="0"/>
          <w:numId w:val="3"/>
        </w:numPr>
        <w:ind w:right="150"/>
        <w:rPr>
          <w:sz w:val="22"/>
          <w:szCs w:val="22"/>
        </w:rPr>
      </w:pPr>
      <w:r w:rsidRPr="0023702A">
        <w:rPr>
          <w:sz w:val="22"/>
          <w:szCs w:val="22"/>
        </w:rPr>
        <w:t>akomodacijos sutrikimai</w:t>
      </w:r>
      <w:r>
        <w:rPr>
          <w:sz w:val="22"/>
          <w:szCs w:val="22"/>
        </w:rPr>
        <w:t>;</w:t>
      </w:r>
      <w:r w:rsidRPr="0023702A">
        <w:rPr>
          <w:sz w:val="22"/>
          <w:szCs w:val="22"/>
        </w:rPr>
        <w:t xml:space="preserve"> </w:t>
      </w:r>
    </w:p>
    <w:p w:rsidR="00B30368" w:rsidRPr="0023702A" w:rsidRDefault="00B30368" w:rsidP="00B30368">
      <w:pPr>
        <w:numPr>
          <w:ilvl w:val="0"/>
          <w:numId w:val="3"/>
        </w:numPr>
        <w:ind w:right="150"/>
        <w:rPr>
          <w:sz w:val="22"/>
          <w:szCs w:val="22"/>
        </w:rPr>
      </w:pPr>
      <w:r w:rsidRPr="0023702A">
        <w:rPr>
          <w:sz w:val="22"/>
          <w:szCs w:val="22"/>
        </w:rPr>
        <w:t>nervingumas</w:t>
      </w:r>
      <w:r>
        <w:rPr>
          <w:sz w:val="22"/>
          <w:szCs w:val="22"/>
        </w:rPr>
        <w:t>.</w:t>
      </w:r>
    </w:p>
    <w:p w:rsidR="00B30368" w:rsidRPr="0023702A" w:rsidRDefault="00B30368" w:rsidP="00B30368">
      <w:pPr>
        <w:ind w:right="150"/>
        <w:rPr>
          <w:sz w:val="22"/>
          <w:szCs w:val="22"/>
        </w:rPr>
      </w:pPr>
    </w:p>
    <w:p w:rsidR="00B30368" w:rsidRDefault="00B30368" w:rsidP="00B30368">
      <w:pPr>
        <w:tabs>
          <w:tab w:val="left" w:pos="567"/>
        </w:tabs>
        <w:ind w:right="-29"/>
        <w:rPr>
          <w:sz w:val="22"/>
          <w:szCs w:val="22"/>
        </w:rPr>
      </w:pPr>
    </w:p>
    <w:p w:rsidR="00B30368" w:rsidRPr="0095699D" w:rsidRDefault="00B30368" w:rsidP="00B30368">
      <w:pPr>
        <w:tabs>
          <w:tab w:val="left" w:pos="567"/>
        </w:tabs>
        <w:ind w:right="-29"/>
        <w:rPr>
          <w:rFonts w:ascii="Segoe UI Emoji" w:eastAsia="Segoe UI Emoji" w:hAnsi="Segoe UI Emoji"/>
          <w:b/>
          <w:sz w:val="22"/>
        </w:rPr>
      </w:pPr>
      <w:r>
        <w:rPr>
          <w:b/>
          <w:bCs/>
          <w:noProof/>
          <w:snapToGrid w:val="0"/>
          <w:sz w:val="22"/>
          <w:szCs w:val="22"/>
        </w:rPr>
        <w:t>Reti šalutinio poveikio reiškiniai</w:t>
      </w:r>
      <w:r w:rsidRPr="0095699D">
        <w:rPr>
          <w:b/>
          <w:sz w:val="22"/>
        </w:rPr>
        <w:t xml:space="preserve"> (gali pasireikšti </w:t>
      </w:r>
      <w:r>
        <w:rPr>
          <w:b/>
          <w:bCs/>
          <w:noProof/>
          <w:snapToGrid w:val="0"/>
          <w:sz w:val="22"/>
          <w:szCs w:val="22"/>
        </w:rPr>
        <w:t>rečiau kaip</w:t>
      </w:r>
      <w:r w:rsidRPr="0095699D">
        <w:rPr>
          <w:b/>
          <w:sz w:val="22"/>
        </w:rPr>
        <w:t xml:space="preserve"> 1 iš </w:t>
      </w:r>
      <w:r>
        <w:rPr>
          <w:b/>
          <w:bCs/>
          <w:noProof/>
          <w:snapToGrid w:val="0"/>
          <w:sz w:val="22"/>
          <w:szCs w:val="22"/>
        </w:rPr>
        <w:t>1 000 asmenų</w:t>
      </w:r>
      <w:r w:rsidRPr="0095699D">
        <w:rPr>
          <w:b/>
          <w:sz w:val="22"/>
        </w:rPr>
        <w:t xml:space="preserve">): </w:t>
      </w:r>
    </w:p>
    <w:p w:rsidR="00B30368" w:rsidRPr="0023702A" w:rsidRDefault="00B30368" w:rsidP="00B30368">
      <w:pPr>
        <w:numPr>
          <w:ilvl w:val="0"/>
          <w:numId w:val="4"/>
        </w:numPr>
        <w:ind w:right="150"/>
        <w:rPr>
          <w:sz w:val="22"/>
          <w:szCs w:val="22"/>
        </w:rPr>
      </w:pPr>
      <w:r w:rsidRPr="0023702A">
        <w:rPr>
          <w:sz w:val="22"/>
          <w:szCs w:val="22"/>
        </w:rPr>
        <w:t>padidėjęs jautrumas</w:t>
      </w:r>
      <w:r>
        <w:rPr>
          <w:sz w:val="22"/>
          <w:szCs w:val="22"/>
        </w:rPr>
        <w:t>;</w:t>
      </w:r>
      <w:r w:rsidRPr="0023702A">
        <w:rPr>
          <w:sz w:val="22"/>
          <w:szCs w:val="22"/>
        </w:rPr>
        <w:t xml:space="preserve"> </w:t>
      </w:r>
    </w:p>
    <w:p w:rsidR="00B30368" w:rsidRPr="0023702A" w:rsidRDefault="00B30368" w:rsidP="00B30368">
      <w:pPr>
        <w:numPr>
          <w:ilvl w:val="0"/>
          <w:numId w:val="4"/>
        </w:numPr>
        <w:ind w:right="150"/>
        <w:rPr>
          <w:sz w:val="22"/>
          <w:szCs w:val="22"/>
        </w:rPr>
      </w:pPr>
      <w:r w:rsidRPr="0023702A">
        <w:rPr>
          <w:sz w:val="22"/>
          <w:szCs w:val="22"/>
        </w:rPr>
        <w:t>skrandžio veiklos sutrikimai</w:t>
      </w:r>
      <w:r>
        <w:rPr>
          <w:sz w:val="22"/>
          <w:szCs w:val="22"/>
        </w:rPr>
        <w:t>;</w:t>
      </w:r>
      <w:r w:rsidRPr="0023702A">
        <w:rPr>
          <w:sz w:val="22"/>
          <w:szCs w:val="22"/>
        </w:rPr>
        <w:t xml:space="preserve"> </w:t>
      </w:r>
    </w:p>
    <w:p w:rsidR="00B30368" w:rsidRPr="0023702A" w:rsidRDefault="00B30368" w:rsidP="00B30368">
      <w:pPr>
        <w:numPr>
          <w:ilvl w:val="0"/>
          <w:numId w:val="4"/>
        </w:numPr>
        <w:ind w:right="150"/>
        <w:rPr>
          <w:sz w:val="22"/>
          <w:szCs w:val="22"/>
        </w:rPr>
      </w:pPr>
      <w:r w:rsidRPr="0023702A">
        <w:rPr>
          <w:sz w:val="22"/>
          <w:szCs w:val="22"/>
        </w:rPr>
        <w:t>pagreitėjusi širdies veikla</w:t>
      </w:r>
      <w:r>
        <w:rPr>
          <w:sz w:val="22"/>
          <w:szCs w:val="22"/>
        </w:rPr>
        <w:t>;</w:t>
      </w:r>
    </w:p>
    <w:p w:rsidR="00B30368" w:rsidRPr="0023702A" w:rsidRDefault="00B30368" w:rsidP="00B30368">
      <w:pPr>
        <w:numPr>
          <w:ilvl w:val="0"/>
          <w:numId w:val="4"/>
        </w:numPr>
        <w:ind w:right="150"/>
        <w:rPr>
          <w:sz w:val="22"/>
          <w:szCs w:val="22"/>
        </w:rPr>
      </w:pPr>
      <w:r w:rsidRPr="0023702A">
        <w:rPr>
          <w:sz w:val="22"/>
          <w:szCs w:val="22"/>
        </w:rPr>
        <w:t>vyzdžių išsiplėtimas</w:t>
      </w:r>
      <w:r>
        <w:rPr>
          <w:sz w:val="22"/>
          <w:szCs w:val="22"/>
        </w:rPr>
        <w:t>;</w:t>
      </w:r>
    </w:p>
    <w:p w:rsidR="00B30368" w:rsidRPr="0023702A" w:rsidRDefault="00B30368" w:rsidP="00B30368">
      <w:pPr>
        <w:numPr>
          <w:ilvl w:val="0"/>
          <w:numId w:val="4"/>
        </w:numPr>
        <w:ind w:right="150"/>
        <w:rPr>
          <w:sz w:val="22"/>
          <w:szCs w:val="22"/>
        </w:rPr>
      </w:pPr>
      <w:r w:rsidRPr="0023702A">
        <w:rPr>
          <w:sz w:val="22"/>
          <w:szCs w:val="22"/>
        </w:rPr>
        <w:t>prakaitavimo sumažėjimas</w:t>
      </w:r>
      <w:r>
        <w:rPr>
          <w:sz w:val="22"/>
          <w:szCs w:val="22"/>
        </w:rPr>
        <w:t>;</w:t>
      </w:r>
      <w:r w:rsidRPr="0023702A">
        <w:rPr>
          <w:sz w:val="22"/>
          <w:szCs w:val="22"/>
        </w:rPr>
        <w:t xml:space="preserve"> </w:t>
      </w:r>
    </w:p>
    <w:p w:rsidR="00B30368" w:rsidRPr="0023702A" w:rsidRDefault="00B30368" w:rsidP="00B30368">
      <w:pPr>
        <w:numPr>
          <w:ilvl w:val="0"/>
          <w:numId w:val="4"/>
        </w:numPr>
        <w:ind w:right="150"/>
        <w:rPr>
          <w:sz w:val="22"/>
          <w:szCs w:val="22"/>
        </w:rPr>
      </w:pPr>
      <w:r w:rsidRPr="0023702A">
        <w:rPr>
          <w:sz w:val="22"/>
          <w:szCs w:val="22"/>
        </w:rPr>
        <w:t>šlapimo susilaikymas</w:t>
      </w:r>
      <w:r>
        <w:rPr>
          <w:sz w:val="22"/>
          <w:szCs w:val="22"/>
        </w:rPr>
        <w:t>;</w:t>
      </w:r>
      <w:r w:rsidRPr="0023702A">
        <w:rPr>
          <w:sz w:val="22"/>
          <w:szCs w:val="22"/>
        </w:rPr>
        <w:t xml:space="preserve"> </w:t>
      </w:r>
    </w:p>
    <w:p w:rsidR="00B30368" w:rsidRPr="0023702A" w:rsidRDefault="00B30368" w:rsidP="00B30368">
      <w:pPr>
        <w:numPr>
          <w:ilvl w:val="0"/>
          <w:numId w:val="4"/>
        </w:numPr>
        <w:ind w:right="150"/>
        <w:rPr>
          <w:sz w:val="22"/>
          <w:szCs w:val="22"/>
        </w:rPr>
      </w:pPr>
      <w:r w:rsidRPr="0023702A">
        <w:rPr>
          <w:sz w:val="22"/>
          <w:szCs w:val="22"/>
        </w:rPr>
        <w:t>nemiga</w:t>
      </w:r>
      <w:r>
        <w:rPr>
          <w:sz w:val="22"/>
          <w:szCs w:val="22"/>
        </w:rPr>
        <w:t>;</w:t>
      </w:r>
      <w:r w:rsidRPr="0023702A">
        <w:rPr>
          <w:sz w:val="22"/>
          <w:szCs w:val="22"/>
        </w:rPr>
        <w:t xml:space="preserve"> </w:t>
      </w:r>
    </w:p>
    <w:p w:rsidR="00B30368" w:rsidRPr="0023702A" w:rsidRDefault="00B30368" w:rsidP="00B30368">
      <w:pPr>
        <w:numPr>
          <w:ilvl w:val="0"/>
          <w:numId w:val="4"/>
        </w:numPr>
        <w:ind w:right="150"/>
        <w:rPr>
          <w:sz w:val="22"/>
          <w:szCs w:val="22"/>
        </w:rPr>
      </w:pPr>
      <w:r w:rsidRPr="0023702A">
        <w:rPr>
          <w:sz w:val="22"/>
          <w:szCs w:val="22"/>
        </w:rPr>
        <w:t>nuovargis</w:t>
      </w:r>
      <w:r>
        <w:rPr>
          <w:sz w:val="22"/>
          <w:szCs w:val="22"/>
        </w:rPr>
        <w:t>.</w:t>
      </w:r>
    </w:p>
    <w:p w:rsidR="00B30368" w:rsidRPr="0095699D" w:rsidRDefault="00B30368" w:rsidP="00B30368">
      <w:pPr>
        <w:ind w:right="150"/>
        <w:rPr>
          <w:i/>
          <w:sz w:val="22"/>
        </w:rPr>
      </w:pPr>
    </w:p>
    <w:p w:rsidR="00B30368" w:rsidRPr="00F57BC8" w:rsidRDefault="00B30368" w:rsidP="00B30368">
      <w:pPr>
        <w:ind w:right="150"/>
        <w:rPr>
          <w:sz w:val="22"/>
          <w:szCs w:val="22"/>
        </w:rPr>
      </w:pPr>
      <w:r w:rsidRPr="0095699D">
        <w:rPr>
          <w:b/>
          <w:sz w:val="22"/>
        </w:rPr>
        <w:t xml:space="preserve">Labai </w:t>
      </w:r>
      <w:r>
        <w:rPr>
          <w:b/>
          <w:bCs/>
          <w:noProof/>
          <w:snapToGrid w:val="0"/>
          <w:sz w:val="22"/>
          <w:szCs w:val="22"/>
        </w:rPr>
        <w:t>reti šalutinio poveikio reiškiniai</w:t>
      </w:r>
      <w:r w:rsidRPr="0095699D">
        <w:rPr>
          <w:b/>
          <w:sz w:val="22"/>
        </w:rPr>
        <w:t xml:space="preserve"> (gali pasireikšti </w:t>
      </w:r>
      <w:r>
        <w:rPr>
          <w:b/>
          <w:bCs/>
          <w:noProof/>
          <w:snapToGrid w:val="0"/>
          <w:sz w:val="22"/>
          <w:szCs w:val="22"/>
        </w:rPr>
        <w:t>rečiau kaip</w:t>
      </w:r>
      <w:r w:rsidRPr="0095699D">
        <w:rPr>
          <w:b/>
          <w:sz w:val="22"/>
        </w:rPr>
        <w:t xml:space="preserve"> 1 iš </w:t>
      </w:r>
      <w:r>
        <w:rPr>
          <w:b/>
          <w:bCs/>
          <w:noProof/>
          <w:snapToGrid w:val="0"/>
          <w:sz w:val="22"/>
          <w:szCs w:val="22"/>
        </w:rPr>
        <w:t>10 000 asmenų</w:t>
      </w:r>
      <w:r w:rsidRPr="0095699D">
        <w:rPr>
          <w:b/>
          <w:sz w:val="22"/>
        </w:rPr>
        <w:t>):</w:t>
      </w:r>
      <w:r w:rsidRPr="00F57BC8">
        <w:rPr>
          <w:sz w:val="22"/>
          <w:szCs w:val="22"/>
        </w:rPr>
        <w:t xml:space="preserve"> </w:t>
      </w:r>
    </w:p>
    <w:p w:rsidR="00B30368" w:rsidRPr="0023702A" w:rsidRDefault="00B30368" w:rsidP="00B30368">
      <w:pPr>
        <w:numPr>
          <w:ilvl w:val="0"/>
          <w:numId w:val="5"/>
        </w:numPr>
        <w:ind w:right="150"/>
        <w:rPr>
          <w:sz w:val="22"/>
          <w:szCs w:val="22"/>
        </w:rPr>
      </w:pPr>
      <w:r w:rsidRPr="0023702A">
        <w:rPr>
          <w:sz w:val="22"/>
          <w:szCs w:val="22"/>
        </w:rPr>
        <w:t>sulėtėjusi širdies veikla</w:t>
      </w:r>
      <w:r>
        <w:rPr>
          <w:sz w:val="22"/>
          <w:szCs w:val="22"/>
        </w:rPr>
        <w:t>;</w:t>
      </w:r>
    </w:p>
    <w:p w:rsidR="00B30368" w:rsidRPr="00AC7291" w:rsidRDefault="00B30368" w:rsidP="00B30368">
      <w:pPr>
        <w:numPr>
          <w:ilvl w:val="0"/>
          <w:numId w:val="5"/>
        </w:numPr>
        <w:ind w:right="150"/>
        <w:rPr>
          <w:sz w:val="22"/>
          <w:szCs w:val="22"/>
        </w:rPr>
      </w:pPr>
      <w:r w:rsidRPr="0023702A">
        <w:rPr>
          <w:sz w:val="22"/>
          <w:szCs w:val="22"/>
        </w:rPr>
        <w:t xml:space="preserve">uždarojo kampo glaukoma, susijusi su padidėjusiu akispūdžiu (taip pat žr. skyrių </w:t>
      </w:r>
      <w:r w:rsidRPr="00AC7291">
        <w:rPr>
          <w:sz w:val="22"/>
          <w:szCs w:val="22"/>
        </w:rPr>
        <w:t>„</w:t>
      </w:r>
      <w:r>
        <w:rPr>
          <w:sz w:val="22"/>
          <w:szCs w:val="22"/>
        </w:rPr>
        <w:t>Įspėjimai ir atsargumo priemonės</w:t>
      </w:r>
      <w:r w:rsidRPr="00AC7291">
        <w:rPr>
          <w:sz w:val="22"/>
          <w:szCs w:val="22"/>
        </w:rPr>
        <w:t>“)</w:t>
      </w:r>
      <w:r>
        <w:rPr>
          <w:sz w:val="22"/>
          <w:szCs w:val="22"/>
        </w:rPr>
        <w:t>;</w:t>
      </w:r>
    </w:p>
    <w:p w:rsidR="00B30368" w:rsidRPr="0023702A" w:rsidRDefault="00B30368" w:rsidP="00B30368">
      <w:pPr>
        <w:numPr>
          <w:ilvl w:val="0"/>
          <w:numId w:val="5"/>
        </w:numPr>
        <w:ind w:right="150"/>
        <w:rPr>
          <w:sz w:val="22"/>
          <w:szCs w:val="22"/>
        </w:rPr>
      </w:pPr>
      <w:r>
        <w:rPr>
          <w:sz w:val="22"/>
          <w:szCs w:val="22"/>
        </w:rPr>
        <w:t>f</w:t>
      </w:r>
      <w:r w:rsidRPr="0023702A">
        <w:rPr>
          <w:sz w:val="22"/>
          <w:szCs w:val="22"/>
        </w:rPr>
        <w:t>otofobija</w:t>
      </w:r>
      <w:r>
        <w:rPr>
          <w:sz w:val="22"/>
          <w:szCs w:val="22"/>
        </w:rPr>
        <w:t>.</w:t>
      </w:r>
    </w:p>
    <w:p w:rsidR="00B30368" w:rsidRPr="0023702A" w:rsidRDefault="00B30368" w:rsidP="00B30368">
      <w:pPr>
        <w:ind w:right="150"/>
        <w:rPr>
          <w:sz w:val="22"/>
          <w:szCs w:val="22"/>
        </w:rPr>
      </w:pPr>
    </w:p>
    <w:p w:rsidR="00B30368" w:rsidRPr="0023702A" w:rsidRDefault="00B30368" w:rsidP="00B30368">
      <w:pPr>
        <w:ind w:right="150"/>
        <w:rPr>
          <w:sz w:val="22"/>
          <w:szCs w:val="22"/>
        </w:rPr>
      </w:pPr>
      <w:r w:rsidRPr="0023702A">
        <w:rPr>
          <w:sz w:val="22"/>
          <w:szCs w:val="22"/>
        </w:rPr>
        <w:t xml:space="preserve">Pacientams, vartojantiems didelę triheksifenidilio dozę arba turintiems rizikos </w:t>
      </w:r>
      <w:r>
        <w:rPr>
          <w:sz w:val="22"/>
          <w:szCs w:val="22"/>
        </w:rPr>
        <w:t xml:space="preserve">veiksnių </w:t>
      </w:r>
      <w:r w:rsidRPr="0023702A">
        <w:rPr>
          <w:sz w:val="22"/>
          <w:szCs w:val="22"/>
        </w:rPr>
        <w:t>(senyvas amžius arba ypatingas jautrumas kokiam nors vaistui), gali pasireikšti sąmonės pritemimas (ypač senyviems asmenims), atminties sutrikimas, neįprastas nuotaikos pakilimas, ažitacija, susijaudinimas, pykinimas arba vėmimas. Tokiu atveju gydymą reikia nutraukti. Sumažinus</w:t>
      </w:r>
      <w:r>
        <w:rPr>
          <w:sz w:val="22"/>
          <w:szCs w:val="22"/>
        </w:rPr>
        <w:t xml:space="preserve"> vaisto</w:t>
      </w:r>
      <w:r w:rsidRPr="0023702A">
        <w:rPr>
          <w:sz w:val="22"/>
          <w:szCs w:val="22"/>
        </w:rPr>
        <w:t xml:space="preserve"> dozę arba nutraukus gydymą, nepageidaujamas poveikis išnyksta.</w:t>
      </w:r>
    </w:p>
    <w:p w:rsidR="00B30368" w:rsidRPr="0023702A" w:rsidRDefault="00B30368" w:rsidP="00B30368">
      <w:pPr>
        <w:ind w:right="150"/>
        <w:rPr>
          <w:sz w:val="22"/>
          <w:szCs w:val="22"/>
        </w:rPr>
      </w:pPr>
    </w:p>
    <w:p w:rsidR="00B30368" w:rsidRPr="00AC7291" w:rsidRDefault="00B30368" w:rsidP="00B30368">
      <w:pPr>
        <w:rPr>
          <w:sz w:val="22"/>
          <w:szCs w:val="22"/>
        </w:rPr>
      </w:pPr>
      <w:r w:rsidRPr="0023702A">
        <w:rPr>
          <w:sz w:val="22"/>
          <w:szCs w:val="22"/>
        </w:rPr>
        <w:t>Buvo gauta pranešimų apie piktnaudžiavimą triheksifenidilio hidrochloridu dėl euforiją ir haliucinacijas sukeliančių savybių (taip pat žr. skyrių „</w:t>
      </w:r>
      <w:r>
        <w:rPr>
          <w:sz w:val="22"/>
          <w:szCs w:val="22"/>
        </w:rPr>
        <w:t>Įspėjimai ir atsargumo priemonės</w:t>
      </w:r>
      <w:r w:rsidRPr="00AC7291">
        <w:rPr>
          <w:sz w:val="22"/>
          <w:szCs w:val="22"/>
        </w:rPr>
        <w:t>“).</w:t>
      </w:r>
    </w:p>
    <w:p w:rsidR="00B30368" w:rsidRPr="0023702A" w:rsidRDefault="00B30368" w:rsidP="00B30368">
      <w:pPr>
        <w:ind w:right="150"/>
        <w:jc w:val="both"/>
        <w:rPr>
          <w:b/>
          <w:bCs/>
          <w:sz w:val="22"/>
          <w:szCs w:val="22"/>
        </w:rPr>
      </w:pPr>
    </w:p>
    <w:p w:rsidR="00B30368" w:rsidRPr="0023702A" w:rsidRDefault="00B30368" w:rsidP="00B30368">
      <w:pPr>
        <w:rPr>
          <w:b/>
          <w:sz w:val="22"/>
          <w:szCs w:val="22"/>
        </w:rPr>
      </w:pPr>
      <w:r w:rsidRPr="0023702A">
        <w:rPr>
          <w:b/>
          <w:noProof/>
          <w:sz w:val="22"/>
          <w:szCs w:val="22"/>
        </w:rPr>
        <w:t>Pranešimas apie šalutinį poveikį</w:t>
      </w:r>
    </w:p>
    <w:p w:rsidR="00B30368" w:rsidRPr="00C96BDB" w:rsidRDefault="00B30368" w:rsidP="00B30368">
      <w:pPr>
        <w:pStyle w:val="BTEMEASMCA"/>
        <w:rPr>
          <w:lang w:val="lt-LT"/>
        </w:rPr>
      </w:pPr>
      <w:r w:rsidRPr="0023702A">
        <w:rPr>
          <w:lang w:val="lt-LT"/>
        </w:rPr>
        <w:t>Jeigu pasireiškė šalutinis poveikis, įskaitant šiame lapelyje nenurodytą, pasakykite gydytojui arba vaistininkui.</w:t>
      </w:r>
      <w:r w:rsidRPr="00C96BDB">
        <w:rPr>
          <w:snapToGrid w:val="0"/>
          <w:lang w:val="lt-LT"/>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Pr="00C96BDB">
          <w:rPr>
            <w:rStyle w:val="Hipersaitas"/>
            <w:rFonts w:eastAsiaTheme="majorEastAsia"/>
            <w:snapToGrid w:val="0"/>
            <w:lang w:val="lt-LT"/>
          </w:rPr>
          <w:t>https://vapris.vvkt.lt/vvkt-web/public/nrv</w:t>
        </w:r>
      </w:hyperlink>
      <w:r w:rsidRPr="00C96BDB">
        <w:rPr>
          <w:snapToGrid w:val="0"/>
          <w:lang w:val="lt-LT"/>
        </w:rPr>
        <w:t xml:space="preserve"> arba užpildant Paciento pranešimo apie įtariamą nepageidaujamą reakciją (ĮNR) formą, kuri skelbiama </w:t>
      </w:r>
      <w:hyperlink r:id="rId10" w:history="1">
        <w:r w:rsidRPr="00C96BDB">
          <w:rPr>
            <w:rStyle w:val="Hipersaitas"/>
            <w:rFonts w:eastAsiaTheme="majorEastAsia"/>
            <w:snapToGrid w:val="0"/>
            <w:lang w:val="lt-LT"/>
          </w:rPr>
          <w:t>https://www.vvkt.lt/index.php?4004286486</w:t>
        </w:r>
      </w:hyperlink>
      <w:r w:rsidRPr="00C96BDB">
        <w:rPr>
          <w:snapToGrid w:val="0"/>
          <w:lang w:val="lt-LT"/>
        </w:rPr>
        <w:t xml:space="preserve">, ir atsiunčiant elektroniniu paštu (adresu </w:t>
      </w:r>
      <w:hyperlink r:id="rId11" w:history="1">
        <w:r w:rsidRPr="00C96BDB">
          <w:rPr>
            <w:rStyle w:val="Hipersaitas"/>
            <w:rFonts w:eastAsiaTheme="majorEastAsia"/>
            <w:snapToGrid w:val="0"/>
            <w:lang w:val="lt-LT"/>
          </w:rPr>
          <w:t>NepageidaujamaR@vvkt.lt</w:t>
        </w:r>
      </w:hyperlink>
      <w:r w:rsidRPr="00C96BDB">
        <w:rPr>
          <w:snapToGrid w:val="0"/>
          <w:lang w:val="lt-LT"/>
        </w:rPr>
        <w:t>) arba nemokamu telefonu 8 800 73 568. Pranešdami apie šalutinį poveikį galite mums padėti gauti daugiau informacijos apie šio vaisto saugumą.</w:t>
      </w:r>
    </w:p>
    <w:p w:rsidR="00B30368" w:rsidRPr="0023702A" w:rsidRDefault="00B30368" w:rsidP="00B30368">
      <w:pPr>
        <w:pStyle w:val="BTEMEASMCA"/>
        <w:rPr>
          <w:lang w:val="lt-LT"/>
        </w:rPr>
      </w:pPr>
    </w:p>
    <w:p w:rsidR="00B30368" w:rsidRPr="0023702A" w:rsidRDefault="00B30368" w:rsidP="00B30368">
      <w:pPr>
        <w:pStyle w:val="BTEMEASMCA"/>
        <w:rPr>
          <w:lang w:val="lt-LT"/>
        </w:rPr>
      </w:pPr>
    </w:p>
    <w:p w:rsidR="00B30368" w:rsidRPr="0023702A" w:rsidRDefault="00B30368" w:rsidP="00B30368">
      <w:pPr>
        <w:pStyle w:val="PI-1EMEASMCA"/>
        <w:rPr>
          <w:sz w:val="22"/>
        </w:rPr>
      </w:pPr>
      <w:r w:rsidRPr="0023702A">
        <w:rPr>
          <w:sz w:val="22"/>
        </w:rPr>
        <w:t>5.</w:t>
      </w:r>
      <w:r w:rsidRPr="0023702A">
        <w:rPr>
          <w:sz w:val="22"/>
        </w:rPr>
        <w:tab/>
        <w:t>Kaip laikyti CYCLODOL</w:t>
      </w:r>
    </w:p>
    <w:p w:rsidR="00B30368" w:rsidRPr="0023702A" w:rsidRDefault="00B30368" w:rsidP="00B30368">
      <w:pPr>
        <w:pStyle w:val="BTEMEASMCA"/>
        <w:rPr>
          <w:lang w:val="lt-LT"/>
        </w:rPr>
      </w:pPr>
    </w:p>
    <w:p w:rsidR="00B30368" w:rsidRPr="0023702A" w:rsidRDefault="00B30368" w:rsidP="00B30368">
      <w:pPr>
        <w:numPr>
          <w:ilvl w:val="12"/>
          <w:numId w:val="0"/>
        </w:numPr>
        <w:ind w:right="-2"/>
        <w:rPr>
          <w:sz w:val="22"/>
          <w:szCs w:val="22"/>
        </w:rPr>
      </w:pPr>
      <w:r w:rsidRPr="0023702A">
        <w:rPr>
          <w:noProof/>
          <w:sz w:val="22"/>
          <w:szCs w:val="22"/>
        </w:rPr>
        <w:t>Šį vaistą laikykite vaikams nepastebimoje ir nepasiekiamoje vietoje.</w:t>
      </w:r>
    </w:p>
    <w:p w:rsidR="00B30368" w:rsidRPr="0023702A" w:rsidRDefault="00B30368" w:rsidP="00B30368">
      <w:pPr>
        <w:pStyle w:val="BTEMEASMCA"/>
        <w:rPr>
          <w:lang w:val="lt-LT"/>
        </w:rPr>
      </w:pPr>
    </w:p>
    <w:p w:rsidR="00B30368" w:rsidRPr="0023702A" w:rsidRDefault="00B30368" w:rsidP="00B30368">
      <w:pPr>
        <w:pStyle w:val="BTEMEASMCA"/>
        <w:rPr>
          <w:lang w:val="lt-LT"/>
        </w:rPr>
      </w:pPr>
      <w:r w:rsidRPr="0023702A">
        <w:rPr>
          <w:lang w:val="lt-LT"/>
        </w:rPr>
        <w:t>Ant  dėžutės po „</w:t>
      </w:r>
      <w:r>
        <w:rPr>
          <w:lang w:val="lt-LT"/>
        </w:rPr>
        <w:t>EXP</w:t>
      </w:r>
      <w:r w:rsidRPr="00472EBD">
        <w:rPr>
          <w:lang w:val="lt-LT"/>
        </w:rPr>
        <w:t>“ ir lizdinės plokštelės nurodytam tinkamumo laikui pasibaigus, šio vaisto vartoti negalima.</w:t>
      </w:r>
      <w:r w:rsidRPr="0023702A">
        <w:rPr>
          <w:lang w:val="lt-LT"/>
        </w:rPr>
        <w:t xml:space="preserve"> Vaistas tinkamas vartoti iki paskutinės nurodyto mėnesio dienos. </w:t>
      </w:r>
    </w:p>
    <w:p w:rsidR="00B30368" w:rsidRPr="006B17D8" w:rsidRDefault="00B30368" w:rsidP="00B30368"/>
    <w:p w:rsidR="00B30368" w:rsidRPr="0023702A" w:rsidRDefault="00B30368" w:rsidP="00B30368">
      <w:pPr>
        <w:rPr>
          <w:sz w:val="22"/>
          <w:szCs w:val="22"/>
        </w:rPr>
      </w:pPr>
      <w:r w:rsidRPr="0023702A">
        <w:rPr>
          <w:sz w:val="22"/>
          <w:szCs w:val="22"/>
        </w:rPr>
        <w:t xml:space="preserve">Laikyti ne aukštesnėje kaip 25 </w:t>
      </w:r>
      <w:r w:rsidRPr="0023702A">
        <w:rPr>
          <w:sz w:val="22"/>
          <w:szCs w:val="22"/>
        </w:rPr>
        <w:sym w:font="Symbol" w:char="00B0"/>
      </w:r>
      <w:r w:rsidRPr="0023702A">
        <w:rPr>
          <w:sz w:val="22"/>
          <w:szCs w:val="22"/>
        </w:rPr>
        <w:t xml:space="preserve">C temperatūroje. </w:t>
      </w:r>
    </w:p>
    <w:p w:rsidR="00B30368" w:rsidRPr="00F57BC8" w:rsidRDefault="00B30368" w:rsidP="00B30368">
      <w:pPr>
        <w:ind w:left="567" w:hanging="567"/>
        <w:rPr>
          <w:sz w:val="22"/>
          <w:szCs w:val="22"/>
        </w:rPr>
      </w:pPr>
      <w:r w:rsidRPr="00CC1EFB">
        <w:rPr>
          <w:sz w:val="22"/>
          <w:szCs w:val="22"/>
        </w:rPr>
        <w:t>Lizdines plokšteles laikyti</w:t>
      </w:r>
      <w:r w:rsidRPr="00F57BC8">
        <w:rPr>
          <w:sz w:val="22"/>
          <w:szCs w:val="22"/>
        </w:rPr>
        <w:t xml:space="preserve"> išorinėje dėžutėje, kad vaistas būtų apsaugotas nuo šviesos.</w:t>
      </w:r>
    </w:p>
    <w:p w:rsidR="00B30368" w:rsidRPr="0023702A" w:rsidRDefault="00B30368" w:rsidP="00B30368">
      <w:pPr>
        <w:pStyle w:val="BTEMEASMCA"/>
        <w:rPr>
          <w:lang w:val="lt-LT"/>
        </w:rPr>
      </w:pPr>
    </w:p>
    <w:p w:rsidR="00B30368" w:rsidRPr="0023702A" w:rsidRDefault="00B30368" w:rsidP="00B30368">
      <w:pPr>
        <w:pStyle w:val="BTEMEASMCA"/>
        <w:rPr>
          <w:lang w:val="lt-LT"/>
        </w:rPr>
      </w:pPr>
      <w:r w:rsidRPr="0023702A">
        <w:rPr>
          <w:lang w:val="lt-LT"/>
        </w:rPr>
        <w:t>Vaistų negalima išmesti į kanalizaciją arba su buitinėmis atliekomis. Kaip išmesti nereikalingus vaistus, klauskite vaistininko. Šios priemonės padės apsaugoti aplinką</w:t>
      </w:r>
    </w:p>
    <w:p w:rsidR="00B30368" w:rsidRPr="0023702A" w:rsidRDefault="00B30368" w:rsidP="00B30368">
      <w:pPr>
        <w:pStyle w:val="BTEMEASMCA"/>
        <w:rPr>
          <w:lang w:val="lt-LT"/>
        </w:rPr>
      </w:pPr>
    </w:p>
    <w:p w:rsidR="00B30368" w:rsidRPr="0023702A" w:rsidRDefault="00B30368" w:rsidP="00B30368">
      <w:pPr>
        <w:pStyle w:val="BTEMEASMCA"/>
        <w:rPr>
          <w:lang w:val="lt-LT"/>
        </w:rPr>
      </w:pPr>
    </w:p>
    <w:p w:rsidR="00B30368" w:rsidRPr="0023702A" w:rsidRDefault="00B30368" w:rsidP="00B30368">
      <w:pPr>
        <w:pStyle w:val="PI-1EMEASMCA"/>
        <w:rPr>
          <w:sz w:val="22"/>
        </w:rPr>
      </w:pPr>
      <w:r w:rsidRPr="0023702A">
        <w:rPr>
          <w:sz w:val="22"/>
        </w:rPr>
        <w:t>6.</w:t>
      </w:r>
      <w:r w:rsidRPr="0023702A">
        <w:rPr>
          <w:sz w:val="22"/>
        </w:rPr>
        <w:tab/>
        <w:t>Pakuotės turinys ir kita informacija</w:t>
      </w:r>
    </w:p>
    <w:p w:rsidR="00B30368" w:rsidRPr="0023702A" w:rsidRDefault="00B30368" w:rsidP="00B30368">
      <w:pPr>
        <w:pStyle w:val="BTEMEASMCA"/>
        <w:rPr>
          <w:lang w:val="lt-LT"/>
        </w:rPr>
      </w:pPr>
    </w:p>
    <w:p w:rsidR="00B30368" w:rsidRPr="0023702A" w:rsidRDefault="00B30368" w:rsidP="00B30368">
      <w:pPr>
        <w:pStyle w:val="PI-3EMEASMCA"/>
      </w:pPr>
      <w:r w:rsidRPr="0023702A">
        <w:t>CYCLODOL sudėtis</w:t>
      </w:r>
    </w:p>
    <w:p w:rsidR="00B30368" w:rsidRDefault="00B30368" w:rsidP="00B30368">
      <w:pPr>
        <w:pStyle w:val="PI-1EMEASMCA"/>
        <w:numPr>
          <w:ilvl w:val="0"/>
          <w:numId w:val="1"/>
        </w:numPr>
        <w:tabs>
          <w:tab w:val="clear" w:pos="840"/>
          <w:tab w:val="num" w:pos="567"/>
        </w:tabs>
        <w:ind w:left="567" w:hanging="267"/>
        <w:rPr>
          <w:sz w:val="22"/>
        </w:rPr>
      </w:pPr>
      <w:r w:rsidRPr="0023702A">
        <w:rPr>
          <w:b w:val="0"/>
          <w:sz w:val="22"/>
        </w:rPr>
        <w:t xml:space="preserve">Veiklioji medžiaga yra triheksifenidilio hidrochloridas. </w:t>
      </w:r>
      <w:r>
        <w:rPr>
          <w:b w:val="0"/>
          <w:sz w:val="22"/>
        </w:rPr>
        <w:t>Kiekvienoje</w:t>
      </w:r>
      <w:r w:rsidRPr="0023702A">
        <w:rPr>
          <w:b w:val="0"/>
          <w:sz w:val="22"/>
        </w:rPr>
        <w:t xml:space="preserve"> tabletėje yra 2 mg triheksifenidilio hidrochlorido.</w:t>
      </w:r>
    </w:p>
    <w:p w:rsidR="00B30368" w:rsidRPr="00032440" w:rsidRDefault="00B30368" w:rsidP="00B30368">
      <w:pPr>
        <w:pStyle w:val="PI-1EMEASMCA"/>
        <w:numPr>
          <w:ilvl w:val="0"/>
          <w:numId w:val="1"/>
        </w:numPr>
        <w:tabs>
          <w:tab w:val="clear" w:pos="840"/>
          <w:tab w:val="num" w:pos="567"/>
        </w:tabs>
        <w:rPr>
          <w:sz w:val="22"/>
        </w:rPr>
      </w:pPr>
      <w:r w:rsidRPr="0023702A">
        <w:rPr>
          <w:b w:val="0"/>
          <w:sz w:val="22"/>
        </w:rPr>
        <w:t>Pagalbinės medžiagos yra sacharozė, bulvių krakmolas, mikrokristalinė celiuliozė, kalcio</w:t>
      </w:r>
    </w:p>
    <w:p w:rsidR="00B30368" w:rsidRDefault="00B30368" w:rsidP="00B30368">
      <w:pPr>
        <w:pStyle w:val="PI-1EMEASMCA"/>
        <w:tabs>
          <w:tab w:val="clear" w:pos="567"/>
        </w:tabs>
        <w:ind w:firstLine="273"/>
        <w:rPr>
          <w:sz w:val="22"/>
        </w:rPr>
      </w:pPr>
      <w:r w:rsidRPr="0023702A">
        <w:rPr>
          <w:b w:val="0"/>
          <w:sz w:val="22"/>
        </w:rPr>
        <w:t>stearatas.</w:t>
      </w:r>
    </w:p>
    <w:p w:rsidR="00B30368" w:rsidRPr="0023702A" w:rsidRDefault="00B30368" w:rsidP="00B30368">
      <w:pPr>
        <w:pStyle w:val="BTEMEASMCA"/>
        <w:rPr>
          <w:lang w:val="lt-LT"/>
        </w:rPr>
      </w:pPr>
    </w:p>
    <w:p w:rsidR="00B30368" w:rsidRPr="0023702A" w:rsidRDefault="00B30368" w:rsidP="00B30368">
      <w:pPr>
        <w:pStyle w:val="PI-3EMEASMCA"/>
      </w:pPr>
      <w:r w:rsidRPr="0023702A">
        <w:t>CYCLODOL išvaizda ir kiekis pakuotėje</w:t>
      </w:r>
    </w:p>
    <w:p w:rsidR="00B30368" w:rsidRPr="0023702A" w:rsidRDefault="00B30368" w:rsidP="00B30368">
      <w:pPr>
        <w:pStyle w:val="BTEMEASMCA"/>
        <w:rPr>
          <w:lang w:val="lt-LT"/>
        </w:rPr>
      </w:pPr>
      <w:r w:rsidRPr="0023702A">
        <w:rPr>
          <w:lang w:val="lt-LT"/>
        </w:rPr>
        <w:t>Tabletės yra baltos spalvos, apvalios, plokščiu paviršiumi su nuožulniais kraštais.</w:t>
      </w:r>
    </w:p>
    <w:p w:rsidR="00B30368" w:rsidRPr="0023702A" w:rsidRDefault="00B30368" w:rsidP="00B30368">
      <w:pPr>
        <w:rPr>
          <w:sz w:val="22"/>
          <w:szCs w:val="22"/>
        </w:rPr>
      </w:pPr>
      <w:r>
        <w:rPr>
          <w:sz w:val="22"/>
          <w:szCs w:val="22"/>
        </w:rPr>
        <w:t>L</w:t>
      </w:r>
      <w:r w:rsidRPr="0023702A">
        <w:rPr>
          <w:sz w:val="22"/>
          <w:szCs w:val="22"/>
        </w:rPr>
        <w:t>izdinėje plokštelėje yra 25 tabletės, kartono dėžutėje yra 2 lizdinės plokštelės.</w:t>
      </w:r>
    </w:p>
    <w:p w:rsidR="00B30368" w:rsidRPr="00CC1EFB" w:rsidRDefault="00B30368" w:rsidP="00B30368">
      <w:pPr>
        <w:pStyle w:val="PI-3EMEASMCA"/>
      </w:pPr>
    </w:p>
    <w:p w:rsidR="00B30368" w:rsidRPr="0023702A" w:rsidRDefault="00B30368" w:rsidP="00B30368">
      <w:pPr>
        <w:pStyle w:val="PI-3EMEASMCA"/>
      </w:pPr>
      <w:r w:rsidRPr="0023702A">
        <w:t>Registruotojas ir gamintojas</w:t>
      </w:r>
    </w:p>
    <w:p w:rsidR="00B30368" w:rsidRPr="0023702A" w:rsidRDefault="00B30368" w:rsidP="00B30368">
      <w:pPr>
        <w:rPr>
          <w:sz w:val="22"/>
          <w:szCs w:val="22"/>
        </w:rPr>
      </w:pPr>
      <w:r w:rsidRPr="0023702A">
        <w:rPr>
          <w:sz w:val="22"/>
          <w:szCs w:val="22"/>
        </w:rPr>
        <w:t xml:space="preserve">AS GRINDEKS. </w:t>
      </w:r>
    </w:p>
    <w:p w:rsidR="00B30368" w:rsidRPr="00CC1EFB" w:rsidRDefault="00B30368" w:rsidP="00B30368">
      <w:pPr>
        <w:rPr>
          <w:sz w:val="22"/>
          <w:szCs w:val="22"/>
        </w:rPr>
      </w:pPr>
      <w:r w:rsidRPr="00CC1EFB">
        <w:rPr>
          <w:sz w:val="22"/>
          <w:szCs w:val="22"/>
        </w:rPr>
        <w:t>Krustpils iela 53, Rīga, LV-1057, Latvija</w:t>
      </w:r>
    </w:p>
    <w:p w:rsidR="00B30368" w:rsidRPr="0023702A" w:rsidRDefault="00B30368" w:rsidP="00B30368">
      <w:pPr>
        <w:pStyle w:val="BTEMEASMCA"/>
        <w:rPr>
          <w:lang w:val="lt-LT"/>
        </w:rPr>
      </w:pPr>
      <w:r w:rsidRPr="0023702A">
        <w:rPr>
          <w:lang w:val="lt-LT"/>
        </w:rPr>
        <w:t>Tel. +371 67083205</w:t>
      </w:r>
    </w:p>
    <w:p w:rsidR="00B30368" w:rsidRPr="0023702A" w:rsidRDefault="00B30368" w:rsidP="00B30368">
      <w:pPr>
        <w:pStyle w:val="BTEMEASMCA"/>
        <w:rPr>
          <w:lang w:val="lt-LT"/>
        </w:rPr>
      </w:pPr>
      <w:r w:rsidRPr="0023702A">
        <w:rPr>
          <w:lang w:val="lt-LT"/>
        </w:rPr>
        <w:t>Faksas +371 67083505</w:t>
      </w:r>
    </w:p>
    <w:p w:rsidR="00B30368" w:rsidRPr="0023702A" w:rsidRDefault="00B30368" w:rsidP="00B30368">
      <w:pPr>
        <w:pStyle w:val="BTEMEASMCA"/>
        <w:rPr>
          <w:lang w:val="lt-LT"/>
        </w:rPr>
      </w:pPr>
      <w:r w:rsidRPr="0023702A">
        <w:rPr>
          <w:lang w:val="lt-LT"/>
        </w:rPr>
        <w:t>El. paštas grindeks@grindeks.lv</w:t>
      </w:r>
    </w:p>
    <w:p w:rsidR="00B30368" w:rsidRPr="0023702A" w:rsidRDefault="00B30368" w:rsidP="00B30368">
      <w:pPr>
        <w:pStyle w:val="BTEMEASMCA"/>
        <w:rPr>
          <w:lang w:val="lt-LT"/>
        </w:rPr>
      </w:pPr>
    </w:p>
    <w:p w:rsidR="00B30368" w:rsidRPr="0023702A" w:rsidRDefault="00B30368" w:rsidP="00B30368">
      <w:pPr>
        <w:pStyle w:val="BTEMEASMCA"/>
        <w:rPr>
          <w:lang w:val="lt-LT"/>
        </w:rPr>
      </w:pPr>
      <w:r w:rsidRPr="0023702A">
        <w:rPr>
          <w:lang w:val="lt-LT"/>
        </w:rPr>
        <w:t>Jeigu apie šį vaistą norite sužinoti daugiau, kreipkitės į vietinį registruotojo atstovą.</w:t>
      </w:r>
    </w:p>
    <w:p w:rsidR="00B30368" w:rsidRPr="0023702A" w:rsidRDefault="00B30368" w:rsidP="00B30368">
      <w:pPr>
        <w:rPr>
          <w:sz w:val="22"/>
          <w:szCs w:val="22"/>
        </w:rPr>
      </w:pPr>
    </w:p>
    <w:tbl>
      <w:tblPr>
        <w:tblW w:w="4678" w:type="dxa"/>
        <w:tblInd w:w="-34" w:type="dxa"/>
        <w:tblLayout w:type="fixed"/>
        <w:tblLook w:val="0000" w:firstRow="0" w:lastRow="0" w:firstColumn="0" w:lastColumn="0" w:noHBand="0" w:noVBand="0"/>
      </w:tblPr>
      <w:tblGrid>
        <w:gridCol w:w="4678"/>
      </w:tblGrid>
      <w:tr w:rsidR="00B30368" w:rsidRPr="0023702A" w:rsidTr="0043348F">
        <w:tc>
          <w:tcPr>
            <w:tcW w:w="4678" w:type="dxa"/>
          </w:tcPr>
          <w:p w:rsidR="00B30368" w:rsidRPr="001F6FC4" w:rsidRDefault="00B30368" w:rsidP="0043348F">
            <w:pPr>
              <w:rPr>
                <w:sz w:val="22"/>
                <w:szCs w:val="22"/>
              </w:rPr>
            </w:pPr>
            <w:r w:rsidRPr="001F6FC4">
              <w:rPr>
                <w:sz w:val="22"/>
                <w:szCs w:val="22"/>
              </w:rPr>
              <w:t>„Grindeks Kalceks Lietuva“ UAB</w:t>
            </w:r>
          </w:p>
          <w:p w:rsidR="00B30368" w:rsidRPr="001F6FC4" w:rsidRDefault="00B30368" w:rsidP="0043348F">
            <w:pPr>
              <w:rPr>
                <w:sz w:val="22"/>
                <w:szCs w:val="22"/>
              </w:rPr>
            </w:pPr>
            <w:r w:rsidRPr="001F6FC4">
              <w:rPr>
                <w:sz w:val="22"/>
                <w:szCs w:val="22"/>
              </w:rPr>
              <w:t>Kalvarijų g. 300</w:t>
            </w:r>
          </w:p>
          <w:p w:rsidR="00B30368" w:rsidRPr="001F6FC4" w:rsidRDefault="00B30368" w:rsidP="0043348F">
            <w:pPr>
              <w:rPr>
                <w:sz w:val="22"/>
                <w:szCs w:val="22"/>
              </w:rPr>
            </w:pPr>
            <w:r w:rsidRPr="001F6FC4">
              <w:rPr>
                <w:sz w:val="22"/>
                <w:szCs w:val="22"/>
              </w:rPr>
              <w:t xml:space="preserve">Vilnius, LT-08318 </w:t>
            </w:r>
          </w:p>
          <w:p w:rsidR="00B30368" w:rsidRPr="001F6FC4" w:rsidRDefault="00B30368" w:rsidP="0043348F">
            <w:pPr>
              <w:rPr>
                <w:sz w:val="22"/>
                <w:szCs w:val="22"/>
              </w:rPr>
            </w:pPr>
            <w:r w:rsidRPr="001F6FC4">
              <w:rPr>
                <w:sz w:val="22"/>
                <w:szCs w:val="22"/>
              </w:rPr>
              <w:t>Tel. +370 5 2101401</w:t>
            </w:r>
          </w:p>
          <w:p w:rsidR="00B30368" w:rsidRPr="0023702A" w:rsidRDefault="00B30368" w:rsidP="0043348F">
            <w:pPr>
              <w:pStyle w:val="BTEMEASMCA"/>
              <w:rPr>
                <w:lang w:val="lt-LT"/>
              </w:rPr>
            </w:pPr>
          </w:p>
        </w:tc>
      </w:tr>
    </w:tbl>
    <w:p w:rsidR="00B30368" w:rsidRPr="0023702A" w:rsidRDefault="00B30368" w:rsidP="00B30368">
      <w:pPr>
        <w:rPr>
          <w:sz w:val="22"/>
          <w:szCs w:val="22"/>
        </w:rPr>
      </w:pPr>
      <w:r w:rsidRPr="0023702A">
        <w:rPr>
          <w:b/>
          <w:sz w:val="22"/>
          <w:szCs w:val="22"/>
        </w:rPr>
        <w:t xml:space="preserve">Šis pakuotės lapelis paskutinį kartą peržiūrėtas </w:t>
      </w:r>
      <w:r>
        <w:rPr>
          <w:b/>
          <w:sz w:val="22"/>
          <w:szCs w:val="22"/>
        </w:rPr>
        <w:t>2024-11-04.</w:t>
      </w:r>
    </w:p>
    <w:p w:rsidR="00B30368" w:rsidRPr="0023702A" w:rsidRDefault="00B30368" w:rsidP="00B30368">
      <w:pPr>
        <w:rPr>
          <w:sz w:val="22"/>
          <w:szCs w:val="22"/>
        </w:rPr>
      </w:pPr>
    </w:p>
    <w:p w:rsidR="00B30368" w:rsidRPr="0023702A" w:rsidRDefault="00B30368" w:rsidP="00B30368">
      <w:pPr>
        <w:numPr>
          <w:ilvl w:val="12"/>
          <w:numId w:val="0"/>
        </w:numPr>
        <w:ind w:right="-2"/>
        <w:rPr>
          <w:sz w:val="22"/>
          <w:szCs w:val="22"/>
        </w:rPr>
      </w:pPr>
      <w:r w:rsidRPr="0023702A">
        <w:rPr>
          <w:sz w:val="22"/>
          <w:szCs w:val="22"/>
        </w:rPr>
        <w:t>Išsami informacija apie šį vaistą pateikiama Valstybinės vaistų kontrolės tarnybos prie Lietuvos Respublikos sveikatos apsaugos ministerijos tinklalapyje</w:t>
      </w:r>
      <w:r w:rsidRPr="0023702A">
        <w:rPr>
          <w:i/>
          <w:sz w:val="22"/>
          <w:szCs w:val="22"/>
        </w:rPr>
        <w:t xml:space="preserve"> </w:t>
      </w:r>
      <w:hyperlink r:id="rId12" w:history="1">
        <w:r w:rsidRPr="0023702A">
          <w:rPr>
            <w:rStyle w:val="Hipersaitas"/>
            <w:rFonts w:eastAsia="SimSun"/>
            <w:sz w:val="22"/>
            <w:szCs w:val="22"/>
          </w:rPr>
          <w:t>http://www.vvkt.lt/</w:t>
        </w:r>
      </w:hyperlink>
      <w:r w:rsidRPr="0023702A">
        <w:rPr>
          <w:sz w:val="22"/>
          <w:szCs w:val="22"/>
        </w:rPr>
        <w:t>.</w:t>
      </w:r>
    </w:p>
    <w:p w:rsidR="00B30368" w:rsidRPr="00CC1EFB" w:rsidRDefault="00B30368" w:rsidP="00B30368">
      <w:pPr>
        <w:jc w:val="both"/>
        <w:rPr>
          <w:sz w:val="22"/>
          <w:szCs w:val="22"/>
        </w:rPr>
      </w:pPr>
    </w:p>
    <w:p w:rsidR="00B30368" w:rsidRPr="0023702A" w:rsidRDefault="00B30368" w:rsidP="00B30368">
      <w:pPr>
        <w:rPr>
          <w:sz w:val="22"/>
          <w:szCs w:val="22"/>
        </w:rPr>
      </w:pPr>
    </w:p>
    <w:p w:rsidR="00B30368" w:rsidRPr="0023702A" w:rsidRDefault="00B30368" w:rsidP="00B30368">
      <w:pPr>
        <w:rPr>
          <w:sz w:val="22"/>
          <w:szCs w:val="22"/>
        </w:rPr>
      </w:pPr>
    </w:p>
    <w:p w:rsidR="00BA6577" w:rsidRDefault="00BA6577">
      <w:bookmarkStart w:id="12" w:name="_GoBack"/>
      <w:bookmarkEnd w:id="12"/>
    </w:p>
    <w:sectPr w:rsidR="00BA6577" w:rsidSect="0023702A">
      <w:headerReference w:type="default" r:id="rId13"/>
      <w:footerReference w:type="even" r:id="rId14"/>
      <w:footerReference w:type="default" r:id="rId15"/>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44D" w:rsidRDefault="00B30368" w:rsidP="0023702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7444D" w:rsidRDefault="00B30368" w:rsidP="0023702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44D" w:rsidRPr="006C4D19" w:rsidRDefault="00B30368" w:rsidP="0023702A">
    <w:pPr>
      <w:pStyle w:val="Porat"/>
      <w:framePr w:wrap="around" w:vAnchor="text" w:hAnchor="margin" w:xAlign="right" w:y="1"/>
      <w:rPr>
        <w:rStyle w:val="Puslapionumeris"/>
        <w:sz w:val="22"/>
        <w:szCs w:val="22"/>
      </w:rPr>
    </w:pPr>
    <w:r w:rsidRPr="006C4D19">
      <w:rPr>
        <w:rStyle w:val="Puslapionumeris"/>
        <w:sz w:val="22"/>
        <w:szCs w:val="22"/>
      </w:rPr>
      <w:fldChar w:fldCharType="begin"/>
    </w:r>
    <w:r w:rsidRPr="006C4D19">
      <w:rPr>
        <w:rStyle w:val="Puslapionumeris"/>
        <w:sz w:val="22"/>
        <w:szCs w:val="22"/>
      </w:rPr>
      <w:instrText xml:space="preserve">PAGE  </w:instrText>
    </w:r>
    <w:r w:rsidRPr="006C4D19">
      <w:rPr>
        <w:rStyle w:val="Puslapionumeris"/>
        <w:sz w:val="22"/>
        <w:szCs w:val="22"/>
      </w:rPr>
      <w:fldChar w:fldCharType="separate"/>
    </w:r>
    <w:r>
      <w:rPr>
        <w:rStyle w:val="Puslapionumeris"/>
        <w:noProof/>
        <w:sz w:val="22"/>
        <w:szCs w:val="22"/>
      </w:rPr>
      <w:t>1</w:t>
    </w:r>
    <w:r w:rsidRPr="006C4D19">
      <w:rPr>
        <w:rStyle w:val="Puslapionumeris"/>
        <w:sz w:val="22"/>
        <w:szCs w:val="22"/>
      </w:rPr>
      <w:fldChar w:fldCharType="end"/>
    </w:r>
  </w:p>
  <w:p w:rsidR="0077444D" w:rsidRDefault="00B30368" w:rsidP="0023702A">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44D" w:rsidRDefault="00B303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02D159E"/>
    <w:multiLevelType w:val="hybridMultilevel"/>
    <w:tmpl w:val="F8A8D5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1916BEB"/>
    <w:multiLevelType w:val="hybridMultilevel"/>
    <w:tmpl w:val="BFE655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A7C7F62"/>
    <w:multiLevelType w:val="hybridMultilevel"/>
    <w:tmpl w:val="340AB4E6"/>
    <w:lvl w:ilvl="0" w:tplc="F38E36CA">
      <w:start w:val="4"/>
      <w:numFmt w:val="bullet"/>
      <w:lvlText w:val="-"/>
      <w:lvlJc w:val="left"/>
      <w:pPr>
        <w:tabs>
          <w:tab w:val="num" w:pos="840"/>
        </w:tabs>
        <w:ind w:left="840" w:hanging="540"/>
      </w:pPr>
      <w:rPr>
        <w:rFonts w:ascii="Times New Roman" w:eastAsia="Times New Roman" w:hAnsi="Times New Roman" w:cs="Times New Roman" w:hint="default"/>
      </w:rPr>
    </w:lvl>
    <w:lvl w:ilvl="1" w:tplc="04090003">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4" w15:restartNumberingAfterBreak="0">
    <w:nsid w:val="66040253"/>
    <w:multiLevelType w:val="hybridMultilevel"/>
    <w:tmpl w:val="A2E227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D2A11BE"/>
    <w:multiLevelType w:val="hybridMultilevel"/>
    <w:tmpl w:val="AEBABD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5"/>
  </w:num>
  <w:num w:numId="6">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368"/>
    <w:rsid w:val="00072F85"/>
    <w:rsid w:val="000A5E72"/>
    <w:rsid w:val="000A7B60"/>
    <w:rsid w:val="00181364"/>
    <w:rsid w:val="002945D9"/>
    <w:rsid w:val="00305C48"/>
    <w:rsid w:val="003362C6"/>
    <w:rsid w:val="00497D4D"/>
    <w:rsid w:val="00742EBF"/>
    <w:rsid w:val="00B30368"/>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8DC9D-C4D1-4B9A-BE8C-64459914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368"/>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B3036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4">
    <w:name w:val="heading 4"/>
    <w:basedOn w:val="prastasis"/>
    <w:next w:val="prastasis"/>
    <w:link w:val="Antrat4Diagrama"/>
    <w:uiPriority w:val="9"/>
    <w:semiHidden/>
    <w:unhideWhenUsed/>
    <w:qFormat/>
    <w:rsid w:val="00B3036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30368"/>
    <w:rPr>
      <w:rFonts w:asciiTheme="majorHAnsi" w:eastAsiaTheme="majorEastAsia" w:hAnsiTheme="majorHAnsi" w:cstheme="majorBidi"/>
      <w:b/>
      <w:bCs/>
      <w:color w:val="5B9BD5" w:themeColor="accent1"/>
      <w:sz w:val="26"/>
      <w:szCs w:val="26"/>
    </w:rPr>
  </w:style>
  <w:style w:type="character" w:customStyle="1" w:styleId="Antrat4Diagrama">
    <w:name w:val="Antraštė 4 Diagrama"/>
    <w:basedOn w:val="Numatytasispastraiposriftas"/>
    <w:link w:val="Antrat4"/>
    <w:uiPriority w:val="9"/>
    <w:semiHidden/>
    <w:rsid w:val="00B30368"/>
    <w:rPr>
      <w:rFonts w:asciiTheme="majorHAnsi" w:eastAsiaTheme="majorEastAsia" w:hAnsiTheme="majorHAnsi" w:cstheme="majorBidi"/>
      <w:b/>
      <w:bCs/>
      <w:i/>
      <w:iCs/>
      <w:color w:val="5B9BD5" w:themeColor="accent1"/>
      <w:sz w:val="24"/>
      <w:szCs w:val="24"/>
    </w:rPr>
  </w:style>
  <w:style w:type="character" w:styleId="Hipersaitas">
    <w:name w:val="Hyperlink"/>
    <w:uiPriority w:val="99"/>
    <w:rsid w:val="00B30368"/>
    <w:rPr>
      <w:color w:val="0000FF"/>
      <w:u w:val="single"/>
    </w:rPr>
  </w:style>
  <w:style w:type="paragraph" w:customStyle="1" w:styleId="PI-1EMEASMCA">
    <w:name w:val="PI-1 EMEA_SMCA"/>
    <w:basedOn w:val="Antrat2"/>
    <w:autoRedefine/>
    <w:rsid w:val="00B30368"/>
    <w:pPr>
      <w:keepLines w:val="0"/>
      <w:tabs>
        <w:tab w:val="left" w:pos="567"/>
      </w:tabs>
      <w:spacing w:before="0"/>
      <w:ind w:left="567" w:hanging="567"/>
    </w:pPr>
    <w:rPr>
      <w:rFonts w:ascii="Times New Roman" w:eastAsia="Times New Roman" w:hAnsi="Times New Roman" w:cs="Times New Roman"/>
      <w:bCs w:val="0"/>
      <w:color w:val="auto"/>
      <w:sz w:val="24"/>
      <w:szCs w:val="22"/>
    </w:rPr>
  </w:style>
  <w:style w:type="paragraph" w:customStyle="1" w:styleId="BTEMEASMCA">
    <w:name w:val="BT EMEA_SMCA"/>
    <w:basedOn w:val="prastasis"/>
    <w:link w:val="BTEMEASMCAChar"/>
    <w:autoRedefine/>
    <w:rsid w:val="00B30368"/>
    <w:rPr>
      <w:sz w:val="22"/>
      <w:szCs w:val="22"/>
      <w:lang w:val="en-US"/>
    </w:rPr>
  </w:style>
  <w:style w:type="character" w:customStyle="1" w:styleId="BTEMEASMCAChar">
    <w:name w:val="BT EMEA_SMCA Char"/>
    <w:link w:val="BTEMEASMCA"/>
    <w:rsid w:val="00B30368"/>
    <w:rPr>
      <w:rFonts w:ascii="Times New Roman" w:eastAsia="Times New Roman" w:hAnsi="Times New Roman" w:cs="Times New Roman"/>
      <w:lang w:val="en-US"/>
    </w:rPr>
  </w:style>
  <w:style w:type="paragraph" w:customStyle="1" w:styleId="PI-3EMEASMCA">
    <w:name w:val="PI-3 EMEA_SMCA"/>
    <w:basedOn w:val="prastasis"/>
    <w:autoRedefine/>
    <w:rsid w:val="00B30368"/>
    <w:pPr>
      <w:spacing w:line="220" w:lineRule="exact"/>
    </w:pPr>
    <w:rPr>
      <w:b/>
      <w:bCs/>
      <w:sz w:val="22"/>
      <w:szCs w:val="22"/>
    </w:rPr>
  </w:style>
  <w:style w:type="paragraph" w:styleId="Pagrindinistekstas3">
    <w:name w:val="Body Text 3"/>
    <w:basedOn w:val="prastasis"/>
    <w:link w:val="Pagrindinistekstas3Diagrama"/>
    <w:rsid w:val="00B30368"/>
    <w:pPr>
      <w:spacing w:after="120"/>
    </w:pPr>
    <w:rPr>
      <w:sz w:val="16"/>
      <w:szCs w:val="16"/>
    </w:rPr>
  </w:style>
  <w:style w:type="character" w:customStyle="1" w:styleId="Pagrindinistekstas3Diagrama">
    <w:name w:val="Pagrindinis tekstas 3 Diagrama"/>
    <w:basedOn w:val="Numatytasispastraiposriftas"/>
    <w:link w:val="Pagrindinistekstas3"/>
    <w:rsid w:val="00B30368"/>
    <w:rPr>
      <w:rFonts w:ascii="Times New Roman" w:eastAsia="Times New Roman" w:hAnsi="Times New Roman" w:cs="Times New Roman"/>
      <w:sz w:val="16"/>
      <w:szCs w:val="16"/>
    </w:rPr>
  </w:style>
  <w:style w:type="paragraph" w:styleId="Porat">
    <w:name w:val="footer"/>
    <w:basedOn w:val="prastasis"/>
    <w:link w:val="PoratDiagrama"/>
    <w:rsid w:val="00B30368"/>
    <w:pPr>
      <w:tabs>
        <w:tab w:val="center" w:pos="4819"/>
        <w:tab w:val="right" w:pos="9638"/>
      </w:tabs>
    </w:pPr>
  </w:style>
  <w:style w:type="character" w:customStyle="1" w:styleId="PoratDiagrama">
    <w:name w:val="Poraštė Diagrama"/>
    <w:basedOn w:val="Numatytasispastraiposriftas"/>
    <w:link w:val="Porat"/>
    <w:rsid w:val="00B30368"/>
    <w:rPr>
      <w:rFonts w:ascii="Times New Roman" w:eastAsia="Times New Roman" w:hAnsi="Times New Roman" w:cs="Times New Roman"/>
      <w:sz w:val="24"/>
      <w:szCs w:val="24"/>
    </w:rPr>
  </w:style>
  <w:style w:type="character" w:styleId="Puslapionumeris">
    <w:name w:val="page number"/>
    <w:basedOn w:val="Numatytasispastraiposriftas"/>
    <w:rsid w:val="00B30368"/>
  </w:style>
  <w:style w:type="paragraph" w:styleId="Antrats">
    <w:name w:val="header"/>
    <w:basedOn w:val="prastasis"/>
    <w:link w:val="AntratsDiagrama"/>
    <w:uiPriority w:val="99"/>
    <w:unhideWhenUsed/>
    <w:rsid w:val="00B30368"/>
    <w:pPr>
      <w:tabs>
        <w:tab w:val="center" w:pos="4819"/>
        <w:tab w:val="right" w:pos="9638"/>
      </w:tabs>
    </w:pPr>
  </w:style>
  <w:style w:type="character" w:customStyle="1" w:styleId="AntratsDiagrama">
    <w:name w:val="Antraštės Diagrama"/>
    <w:basedOn w:val="Numatytasispastraiposriftas"/>
    <w:link w:val="Antrats"/>
    <w:uiPriority w:val="99"/>
    <w:rsid w:val="00B3036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hyperlink" Target="mailto:NepageidaujamaR@vvkt.lt" TargetMode="External"/><Relationship Id="rId5" Type="http://schemas.openxmlformats.org/officeDocument/2006/relationships/hyperlink" Target="https://vapris.vvkt.lt/vvkt-web/public/nrv" TargetMode="External"/><Relationship Id="rId15" Type="http://schemas.openxmlformats.org/officeDocument/2006/relationships/footer" Target="footer2.xml"/><Relationship Id="rId10" Type="http://schemas.openxmlformats.org/officeDocument/2006/relationships/hyperlink" Target="https://www.vvkt.lt/index.php?4004286486" TargetMode="External"/><Relationship Id="rId4" Type="http://schemas.openxmlformats.org/officeDocument/2006/relationships/webSettings" Target="webSettings.xml"/><Relationship Id="rId9" Type="http://schemas.openxmlformats.org/officeDocument/2006/relationships/hyperlink" Target="https://vapris.vvkt.lt/vvkt-web/public/nrv"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14846</Words>
  <Characters>8463</Characters>
  <Application>Microsoft Office Word</Application>
  <DocSecurity>0</DocSecurity>
  <Lines>70</Lines>
  <Paragraphs>46</Paragraphs>
  <ScaleCrop>false</ScaleCrop>
  <HeadingPairs>
    <vt:vector size="4" baseType="variant">
      <vt:variant>
        <vt:lpstr>Pavadinimas</vt:lpstr>
      </vt:variant>
      <vt:variant>
        <vt:i4>1</vt:i4>
      </vt:variant>
      <vt:variant>
        <vt:lpstr>Antraštės</vt:lpstr>
      </vt:variant>
      <vt:variant>
        <vt:i4>42</vt:i4>
      </vt:variant>
    </vt:vector>
  </HeadingPairs>
  <TitlesOfParts>
    <vt:vector size="43" baseType="lpstr">
      <vt:lpstr/>
      <vt:lpstr>    Pakuotės lapelis: informacija pacientui</vt:lpstr>
      <vt:lpstr>    1.	Kas yra CYCLODOL ir kam jis vartojamas</vt:lpstr>
      <vt:lpstr>    2.	Kas žinotina prieš vartojant CYCLODOL</vt:lpstr>
      <vt:lpstr>    jeigu yra alergija veikliajai medžiagai arba bet kuriai pagalbinei šio vaisto me</vt:lpstr>
      <vt:lpstr>    esant ūminiam šlapimo susilaikymui;</vt:lpstr>
      <vt:lpstr>    esant gerybiniam prostatos padidėjimui, kai nevisiškai išsituština šlapimo pūslė</vt:lpstr>
      <vt:lpstr>    esant uždarojo kampo glaukomai, kai dėl padidėjusio vidinio akies spaudimo sutri</vt:lpstr>
      <vt:lpstr>    jeigu yra žarnų nepraeinamumas ar susiaurėjimas virškinimo trakte;</vt:lpstr>
      <vt:lpstr>    jeigu yra gaubtinės žarnos išsiplėtimas;</vt:lpstr>
      <vt:lpstr>    jeigu yra prievarčio stenozė (skrandžio rauko susiaurėjimas);</vt:lpstr>
      <vt:lpstr>    jeigu yra dažnas širdies ritmas (tachiaritmija);</vt:lpstr>
      <vt:lpstr>    sunkiai apsinuodijus alkoholiu arba psichotropiniais (psichiką veikiančiais) med</vt:lpstr>
      <vt:lpstr>    esant ūminei sumišimo būklei (sunkus delyras), manijai;</vt:lpstr>
      <vt:lpstr>    esant vėlyvajai diskinezijai (judesių sutrikimui).</vt:lpstr>
      <vt:lpstr>    3.	Kaip vartoti CYCLODOL</vt:lpstr>
      <vt:lpstr>    4.	Galimas šalutinis poveikis</vt:lpstr>
      <vt:lpstr>    5.	Kaip laikyti CYCLODOL</vt:lpstr>
      <vt:lpstr>    6.	Pakuotės turinys ir kita informacija</vt:lpstr>
      <vt:lpstr>    Veiklioji medžiaga yra triheksifenidilio hidrochloridas. Kiekvienoje tabletėje y</vt:lpstr>
      <vt:lpstr>    Pagalbinės medžiagos yra sacharozė, bulvių krakmolas, mikrokristalinė celiuliozė</vt:lpstr>
      <vt:lpstr>    stearatas.</vt:lpstr>
      <vt:lpstr>    Pakuotės lapelis: informacija pacientui</vt:lpstr>
      <vt:lpstr>    1.	Kas yra CYCLODOL ir kam jis vartojamas</vt:lpstr>
      <vt:lpstr>    2.	Kas žinotina prieš vartojant CYCLODOL</vt:lpstr>
      <vt:lpstr>    jeigu yra alergija veikliajai medžiagai arba bet kuriai pagalbinei šio vaisto me</vt:lpstr>
      <vt:lpstr>    esant ūminiam šlapimo susilaikymui;</vt:lpstr>
      <vt:lpstr>    esant gerybiniam prostatos padidėjimui, kai nevisiškai išsituština šlapimo pūslė</vt:lpstr>
      <vt:lpstr>    esant uždarojo kampo glaukomai, kai dėl padidėjusio vidinio akies spaudimo sutri</vt:lpstr>
      <vt:lpstr>    jeigu yra žarnų nepraeinamumas ar susiaurėjimas virškinimo trakte;</vt:lpstr>
      <vt:lpstr>    jeigu yra gaubtinės žarnos išsiplėtimas;</vt:lpstr>
      <vt:lpstr>    jeigu yra prievarčio stenozė (skrandžio rauko susiaurėjimas);</vt:lpstr>
      <vt:lpstr>    jeigu yra dažnas širdies ritmas (tachiaritmija);</vt:lpstr>
      <vt:lpstr>    sunkiai apsinuodijus alkoholiu arba psichotropiniais (psichiką veikiančiais) med</vt:lpstr>
      <vt:lpstr>    esant ūminei sumišimo būklei (sunkus delyras), manijai;</vt:lpstr>
      <vt:lpstr>    esant vėlyvajai diskinezijai (judesių sutrikimui).</vt:lpstr>
      <vt:lpstr>    3.	Kaip vartoti CYCLODOL</vt:lpstr>
      <vt:lpstr>    4.	Galimas šalutinis poveikis</vt:lpstr>
      <vt:lpstr>    5.	Kaip laikyti CYCLODOL</vt:lpstr>
      <vt:lpstr>    6.	Pakuotės turinys ir kita informacija</vt:lpstr>
      <vt:lpstr>    Veiklioji medžiaga yra triheksifenidilio hidrochloridas. Kiekvienoje tabletėje y</vt:lpstr>
      <vt:lpstr>    Pagalbinės medžiagos yra sacharozė, bulvių krakmolas, mikrokristalinė celiuliozė</vt:lpstr>
      <vt:lpstr>    stearatas.</vt:lpstr>
    </vt:vector>
  </TitlesOfParts>
  <Company/>
  <LinksUpToDate>false</LinksUpToDate>
  <CharactersWithSpaces>23263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2024-11-04T12:54:00Z</dcterms:created>
  <dcterms:modified xsi:type="dcterms:W3CDTF">2024-11-04T12:54:00Z</dcterms:modified>
</cp:coreProperties>
</file>