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05" w:rsidRPr="00EF4AD3" w:rsidRDefault="00633D05" w:rsidP="00782145">
      <w:pPr>
        <w:rPr>
          <w:szCs w:val="22"/>
        </w:rPr>
      </w:pPr>
      <w:bookmarkStart w:id="0" w:name="_GoBack"/>
      <w:bookmarkEnd w:id="0"/>
    </w:p>
    <w:p w:rsidR="00B32AC9" w:rsidRPr="00EF4AD3" w:rsidRDefault="00B32AC9" w:rsidP="00782145">
      <w:pPr>
        <w:rPr>
          <w:szCs w:val="22"/>
        </w:rPr>
      </w:pPr>
    </w:p>
    <w:p w:rsidR="00B32AC9" w:rsidRPr="00EF4AD3" w:rsidRDefault="00B32AC9" w:rsidP="00782145">
      <w:pPr>
        <w:rPr>
          <w:szCs w:val="22"/>
        </w:rPr>
      </w:pPr>
    </w:p>
    <w:p w:rsidR="00B32AC9" w:rsidRPr="00EF4AD3" w:rsidRDefault="00B32AC9" w:rsidP="00782145">
      <w:pPr>
        <w:rPr>
          <w:szCs w:val="22"/>
        </w:rPr>
      </w:pPr>
    </w:p>
    <w:p w:rsidR="00B32AC9" w:rsidRPr="00EF4AD3" w:rsidRDefault="00B32AC9" w:rsidP="00782145">
      <w:pPr>
        <w:rPr>
          <w:szCs w:val="22"/>
        </w:rPr>
      </w:pPr>
    </w:p>
    <w:p w:rsidR="00B32AC9" w:rsidRPr="00EF4AD3" w:rsidRDefault="00B32AC9" w:rsidP="00782145">
      <w:pPr>
        <w:rPr>
          <w:szCs w:val="22"/>
        </w:rPr>
      </w:pPr>
    </w:p>
    <w:p w:rsidR="00633D05" w:rsidRPr="00EF4AD3" w:rsidRDefault="00633D05" w:rsidP="00782145">
      <w:pPr>
        <w:rPr>
          <w:szCs w:val="22"/>
        </w:rPr>
      </w:pPr>
    </w:p>
    <w:p w:rsidR="00633D05" w:rsidRPr="00EF4AD3" w:rsidRDefault="00633D05" w:rsidP="00782145">
      <w:pPr>
        <w:rPr>
          <w:szCs w:val="22"/>
        </w:rPr>
      </w:pPr>
    </w:p>
    <w:p w:rsidR="00633D05" w:rsidRPr="00EF4AD3" w:rsidRDefault="00633D05" w:rsidP="00782145">
      <w:pPr>
        <w:rPr>
          <w:szCs w:val="22"/>
        </w:rPr>
      </w:pPr>
    </w:p>
    <w:p w:rsidR="00633D05" w:rsidRPr="00EF4AD3" w:rsidRDefault="00633D05" w:rsidP="00782145">
      <w:pPr>
        <w:rPr>
          <w:szCs w:val="22"/>
        </w:rPr>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EF4AD3" w:rsidRDefault="00EF4AD3" w:rsidP="00782145">
      <w:pPr>
        <w:pStyle w:val="TTEMEASMCA"/>
        <w:rPr>
          <w:lang w:val="lt-LT"/>
        </w:rPr>
      </w:pPr>
      <w:bookmarkStart w:id="1" w:name="_Toc129243096"/>
      <w:bookmarkStart w:id="2" w:name="_Toc129243221"/>
    </w:p>
    <w:p w:rsidR="00633D05" w:rsidRPr="00EF4AD3" w:rsidRDefault="00633D05" w:rsidP="00782145">
      <w:pPr>
        <w:pStyle w:val="TTEMEASMCA"/>
        <w:rPr>
          <w:lang w:val="lt-LT"/>
        </w:rPr>
      </w:pPr>
      <w:r w:rsidRPr="00EF4AD3">
        <w:rPr>
          <w:lang w:val="lt-LT"/>
        </w:rPr>
        <w:t>I PRIEDAS</w:t>
      </w:r>
      <w:bookmarkEnd w:id="1"/>
      <w:bookmarkEnd w:id="2"/>
    </w:p>
    <w:p w:rsidR="00633D05" w:rsidRPr="00EF4AD3" w:rsidRDefault="00633D05" w:rsidP="005717F4">
      <w:pPr>
        <w:pStyle w:val="BTEMEASMCA"/>
      </w:pPr>
    </w:p>
    <w:p w:rsidR="00633D05" w:rsidRPr="00EF4AD3" w:rsidRDefault="00633D05" w:rsidP="00782145">
      <w:pPr>
        <w:pStyle w:val="TTEMEASMCA"/>
        <w:rPr>
          <w:lang w:val="lt-LT"/>
        </w:rPr>
      </w:pPr>
      <w:bookmarkStart w:id="3" w:name="_Toc129243097"/>
      <w:bookmarkStart w:id="4" w:name="_Toc129243222"/>
      <w:r w:rsidRPr="00EF4AD3">
        <w:rPr>
          <w:lang w:val="lt-LT"/>
        </w:rPr>
        <w:t>PREPARATO CHARAKTERISTIKŲ SANTRAUKA</w:t>
      </w:r>
      <w:bookmarkEnd w:id="3"/>
      <w:bookmarkEnd w:id="4"/>
    </w:p>
    <w:p w:rsidR="00782145" w:rsidRPr="00EF4AD3" w:rsidRDefault="00633D05" w:rsidP="008A7EEC">
      <w:pPr>
        <w:pStyle w:val="PI-1EMEASMCA"/>
        <w:ind w:left="0" w:firstLine="0"/>
      </w:pPr>
      <w:r w:rsidRPr="00EF4AD3">
        <w:rPr>
          <w:bCs/>
          <w:iCs/>
        </w:rPr>
        <w:br w:type="page"/>
      </w:r>
      <w:r w:rsidR="00782145" w:rsidRPr="00EF4AD3">
        <w:lastRenderedPageBreak/>
        <w:t>1.</w:t>
      </w:r>
      <w:r w:rsidR="00782145" w:rsidRPr="00EF4AD3">
        <w:tab/>
        <w:t>VAISTINIO PREPARATO PAVADINIMAS</w:t>
      </w:r>
    </w:p>
    <w:p w:rsidR="00782145" w:rsidRPr="00EF4AD3" w:rsidRDefault="00782145" w:rsidP="005717F4">
      <w:pPr>
        <w:pStyle w:val="BTEMEASMCA"/>
      </w:pPr>
    </w:p>
    <w:p w:rsidR="00782145" w:rsidRPr="00EF4AD3" w:rsidRDefault="00782145"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EMB-</w:t>
      </w:r>
      <w:r w:rsidR="00180FDA" w:rsidRPr="00EF4AD3">
        <w:rPr>
          <w:spacing w:val="-3"/>
          <w:szCs w:val="22"/>
        </w:rPr>
        <w:t>F</w:t>
      </w:r>
      <w:r w:rsidR="002F4582" w:rsidRPr="00EF4AD3">
        <w:rPr>
          <w:spacing w:val="-3"/>
          <w:szCs w:val="22"/>
        </w:rPr>
        <w:t>atol</w:t>
      </w:r>
      <w:r w:rsidRPr="00EF4AD3">
        <w:rPr>
          <w:spacing w:val="-3"/>
          <w:szCs w:val="22"/>
        </w:rPr>
        <w:t xml:space="preserve"> 400</w:t>
      </w:r>
      <w:r w:rsidR="002F4582" w:rsidRPr="00EF4AD3">
        <w:rPr>
          <w:spacing w:val="-3"/>
          <w:szCs w:val="22"/>
        </w:rPr>
        <w:t> </w:t>
      </w:r>
      <w:r w:rsidRPr="00EF4AD3">
        <w:rPr>
          <w:spacing w:val="-3"/>
          <w:szCs w:val="22"/>
        </w:rPr>
        <w:t>mg</w:t>
      </w:r>
      <w:r w:rsidR="002F4582" w:rsidRPr="00EF4AD3">
        <w:rPr>
          <w:spacing w:val="-3"/>
          <w:szCs w:val="22"/>
        </w:rPr>
        <w:t xml:space="preserve"> plėvele dengtos tabletės</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782145">
      <w:pPr>
        <w:pStyle w:val="PI-1EMEASMCA"/>
      </w:pPr>
      <w:r w:rsidRPr="00EF4AD3">
        <w:t>2.</w:t>
      </w:r>
      <w:r w:rsidRPr="00EF4AD3">
        <w:tab/>
        <w:t>KOKYBINĖ IR KIEKYBINĖ SUDĖTIS</w:t>
      </w:r>
    </w:p>
    <w:p w:rsidR="00782145" w:rsidRPr="00EF4AD3" w:rsidRDefault="00782145" w:rsidP="005717F4">
      <w:pPr>
        <w:pStyle w:val="BTEMEASMCA"/>
      </w:pPr>
    </w:p>
    <w:p w:rsidR="00782145" w:rsidRPr="00EF4AD3" w:rsidRDefault="002E4DC3"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 xml:space="preserve">Kiekvienoje </w:t>
      </w:r>
      <w:r w:rsidR="00782145" w:rsidRPr="00EF4AD3">
        <w:rPr>
          <w:spacing w:val="-3"/>
          <w:szCs w:val="22"/>
        </w:rPr>
        <w:t>plėvele dengtoje tabletėje yra 400</w:t>
      </w:r>
      <w:r w:rsidR="002F4582" w:rsidRPr="00EF4AD3">
        <w:rPr>
          <w:spacing w:val="-3"/>
          <w:szCs w:val="22"/>
        </w:rPr>
        <w:t> </w:t>
      </w:r>
      <w:r w:rsidR="00782145" w:rsidRPr="00EF4AD3">
        <w:rPr>
          <w:spacing w:val="-3"/>
          <w:szCs w:val="22"/>
        </w:rPr>
        <w:t>mg etambutolio hidrochlorido.</w:t>
      </w:r>
    </w:p>
    <w:p w:rsidR="00782145" w:rsidRPr="00EF4AD3" w:rsidRDefault="00782145" w:rsidP="005717F4">
      <w:pPr>
        <w:pStyle w:val="BTEMEASMCA"/>
      </w:pPr>
    </w:p>
    <w:p w:rsidR="002E4DC3" w:rsidRPr="00EF4AD3" w:rsidRDefault="002E4DC3" w:rsidP="005717F4">
      <w:pPr>
        <w:pStyle w:val="BTEMEASMCA"/>
      </w:pPr>
      <w:r w:rsidRPr="00EF4AD3">
        <w:rPr>
          <w:u w:val="single"/>
        </w:rPr>
        <w:t>Pagalbinė</w:t>
      </w:r>
      <w:r w:rsidR="00A7005F" w:rsidRPr="00EF4AD3">
        <w:rPr>
          <w:u w:val="single"/>
        </w:rPr>
        <w:t>s</w:t>
      </w:r>
      <w:r w:rsidR="0070532A" w:rsidRPr="00EF4AD3">
        <w:rPr>
          <w:u w:val="single"/>
        </w:rPr>
        <w:t xml:space="preserve"> medžiag</w:t>
      </w:r>
      <w:r w:rsidR="00A7005F" w:rsidRPr="00EF4AD3">
        <w:rPr>
          <w:u w:val="single"/>
        </w:rPr>
        <w:t>os</w:t>
      </w:r>
      <w:r w:rsidR="0070532A" w:rsidRPr="00EF4AD3">
        <w:rPr>
          <w:u w:val="single"/>
        </w:rPr>
        <w:t>, kuri</w:t>
      </w:r>
      <w:r w:rsidR="00A7005F" w:rsidRPr="00EF4AD3">
        <w:rPr>
          <w:u w:val="single"/>
        </w:rPr>
        <w:t>ų</w:t>
      </w:r>
      <w:r w:rsidR="00734D56" w:rsidRPr="00EF4AD3">
        <w:rPr>
          <w:u w:val="single"/>
        </w:rPr>
        <w:t xml:space="preserve"> poveikis žino</w:t>
      </w:r>
      <w:r w:rsidRPr="00EF4AD3">
        <w:rPr>
          <w:u w:val="single"/>
        </w:rPr>
        <w:t>mas</w:t>
      </w:r>
      <w:r w:rsidRPr="00EF4AD3">
        <w:t>:</w:t>
      </w:r>
      <w:r w:rsidR="0070532A" w:rsidRPr="00EF4AD3">
        <w:t xml:space="preserve"> </w:t>
      </w:r>
      <w:r w:rsidR="00A7005F" w:rsidRPr="00EF4AD3">
        <w:t xml:space="preserve">tabletėje yra 0,48 mmol (arba 11,2 mg) natrio ir </w:t>
      </w:r>
      <w:r w:rsidR="000D6B8F" w:rsidRPr="00EF4AD3">
        <w:t xml:space="preserve">32,24 mg </w:t>
      </w:r>
      <w:r w:rsidR="0070532A" w:rsidRPr="00EF4AD3">
        <w:t>laktozės monohidrat</w:t>
      </w:r>
      <w:r w:rsidR="00A7005F" w:rsidRPr="00EF4AD3">
        <w:t>o</w:t>
      </w:r>
      <w:r w:rsidR="006D74D8" w:rsidRPr="00EF4AD3">
        <w:t>.</w:t>
      </w:r>
    </w:p>
    <w:p w:rsidR="00782145" w:rsidRPr="00EF4AD3" w:rsidRDefault="00782145" w:rsidP="005717F4">
      <w:pPr>
        <w:pStyle w:val="BTEMEASMCA"/>
      </w:pPr>
      <w:r w:rsidRPr="00EF4AD3">
        <w:t>Visos pagalbinės medžiagos išvardytos 6.1 skyriuje.</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782145">
      <w:pPr>
        <w:pStyle w:val="PI-1EMEASMCA"/>
      </w:pPr>
      <w:r w:rsidRPr="00EF4AD3">
        <w:t>3.</w:t>
      </w:r>
      <w:r w:rsidRPr="00EF4AD3">
        <w:tab/>
        <w:t>FARMACINĖ FORMA</w:t>
      </w:r>
    </w:p>
    <w:p w:rsidR="00782145" w:rsidRPr="00EF4AD3" w:rsidRDefault="00782145" w:rsidP="005717F4">
      <w:pPr>
        <w:pStyle w:val="BTEMEASMCA"/>
      </w:pPr>
    </w:p>
    <w:p w:rsidR="00782145" w:rsidRPr="00EF4AD3" w:rsidRDefault="00782145"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Plėvele dengtos tabletės.</w:t>
      </w:r>
    </w:p>
    <w:p w:rsidR="00782145" w:rsidRPr="00EF4AD3" w:rsidRDefault="00782145" w:rsidP="005717F4">
      <w:pPr>
        <w:pStyle w:val="BTEMEASMCA"/>
      </w:pPr>
    </w:p>
    <w:p w:rsidR="002F4582" w:rsidRPr="00EF4AD3" w:rsidRDefault="002F4582" w:rsidP="005717F4">
      <w:pPr>
        <w:pStyle w:val="BTEMEASMCA"/>
      </w:pPr>
      <w:r w:rsidRPr="00EF4AD3">
        <w:t>Baltos apvalios plėvele dengtos tabletės, kurių vienoje pusėje įspausta „400”, o kitoje pusėje yra laužimo įranta.</w:t>
      </w:r>
    </w:p>
    <w:p w:rsidR="00782145" w:rsidRPr="00EF4AD3" w:rsidRDefault="00B11602" w:rsidP="005717F4">
      <w:pPr>
        <w:pStyle w:val="BTEMEASMCA"/>
      </w:pPr>
      <w:r w:rsidRPr="00EF4AD3">
        <w:t>Tabletę galima padalyti į lygias dozes.</w:t>
      </w:r>
    </w:p>
    <w:p w:rsidR="002F4582" w:rsidRPr="00EF4AD3" w:rsidRDefault="002F4582" w:rsidP="005717F4">
      <w:pPr>
        <w:pStyle w:val="BTEMEASMCA"/>
      </w:pPr>
    </w:p>
    <w:p w:rsidR="00F70B90" w:rsidRPr="00EF4AD3" w:rsidRDefault="00F70B90" w:rsidP="005717F4">
      <w:pPr>
        <w:pStyle w:val="BTEMEASMCA"/>
      </w:pPr>
    </w:p>
    <w:p w:rsidR="00782145" w:rsidRPr="00EF4AD3" w:rsidRDefault="00782145" w:rsidP="00BD4864">
      <w:pPr>
        <w:pStyle w:val="PI-1EMEASMCA"/>
      </w:pPr>
      <w:r w:rsidRPr="00EF4AD3">
        <w:t>4.</w:t>
      </w:r>
      <w:r w:rsidRPr="00EF4AD3">
        <w:tab/>
        <w:t>KLINIKINĖ INFORMACIJA</w:t>
      </w:r>
    </w:p>
    <w:p w:rsidR="00782145" w:rsidRPr="00EF4AD3" w:rsidRDefault="00782145" w:rsidP="005717F4">
      <w:pPr>
        <w:pStyle w:val="BTEMEASMCA"/>
      </w:pPr>
    </w:p>
    <w:p w:rsidR="00782145" w:rsidRPr="00EF4AD3" w:rsidRDefault="00782145" w:rsidP="00BD4864">
      <w:pPr>
        <w:pStyle w:val="PI-2EMEASMCA"/>
      </w:pPr>
      <w:r w:rsidRPr="00EF4AD3">
        <w:t>4.1</w:t>
      </w:r>
      <w:r w:rsidRPr="00EF4AD3">
        <w:tab/>
        <w:t>Terapinės indikacijos</w:t>
      </w:r>
    </w:p>
    <w:p w:rsidR="00D357AB" w:rsidRPr="00EF4AD3" w:rsidRDefault="00D357AB" w:rsidP="00BD4864">
      <w:pPr>
        <w:pStyle w:val="PI-2EMEASMCA"/>
      </w:pPr>
    </w:p>
    <w:p w:rsidR="00B11602" w:rsidRPr="00EF4AD3" w:rsidRDefault="00B11602"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EMB-Fatol skirtas suaugusiųjų, paauglių ir vyresnių nei 6 metų vaikų gydymui.</w:t>
      </w:r>
    </w:p>
    <w:p w:rsidR="00B11602" w:rsidRPr="00EF4AD3" w:rsidRDefault="00B11602"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0F4629" w:rsidRPr="00EF4AD3" w:rsidRDefault="000F4629"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Visų stadijų ir formų tuberkuliozės , sukeltos etambutoliui jautrių tuberkuliozės arba atipinių mikobakterijų, gydymas, derinant su kitais vaistiniais preparatais nuo tuberkuliozės.</w:t>
      </w:r>
    </w:p>
    <w:p w:rsidR="00D357AB" w:rsidRPr="00EF4AD3" w:rsidRDefault="00D357AB"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D357AB" w:rsidRPr="00EF4AD3" w:rsidRDefault="00D357AB" w:rsidP="00BD4864">
      <w:pPr>
        <w:tabs>
          <w:tab w:val="left" w:pos="567"/>
        </w:tabs>
        <w:rPr>
          <w:szCs w:val="22"/>
        </w:rPr>
      </w:pPr>
      <w:r w:rsidRPr="00EF4AD3">
        <w:rPr>
          <w:szCs w:val="22"/>
        </w:rPr>
        <w:t>Reikia atsižvelgti į oficialias vietines tinkamo antimikrobinių vaistinių preparatų vartojimo rekomendacijas.</w:t>
      </w:r>
    </w:p>
    <w:p w:rsidR="00180FDA" w:rsidRPr="00EF4AD3" w:rsidRDefault="00180FDA" w:rsidP="005717F4">
      <w:pPr>
        <w:pStyle w:val="BTEMEASMCA"/>
      </w:pPr>
    </w:p>
    <w:p w:rsidR="00782145" w:rsidRPr="00EF4AD3" w:rsidRDefault="00782145" w:rsidP="00BD4864">
      <w:pPr>
        <w:pStyle w:val="PI-2EMEASMCA"/>
      </w:pPr>
      <w:r w:rsidRPr="00EF4AD3">
        <w:t>4.2</w:t>
      </w:r>
      <w:r w:rsidRPr="00EF4AD3">
        <w:tab/>
        <w:t>Dozavimas ir vartojimo metodas</w:t>
      </w:r>
    </w:p>
    <w:p w:rsidR="00782145" w:rsidRPr="00EF4AD3" w:rsidRDefault="00782145" w:rsidP="005717F4">
      <w:pPr>
        <w:pStyle w:val="BTEMEASMCA"/>
      </w:pPr>
    </w:p>
    <w:p w:rsidR="00180FDA" w:rsidRPr="00EF4AD3" w:rsidRDefault="00180FDA" w:rsidP="00BD4864">
      <w:pPr>
        <w:pStyle w:val="Pagrindinistekstas"/>
        <w:jc w:val="left"/>
        <w:rPr>
          <w:sz w:val="22"/>
          <w:szCs w:val="22"/>
        </w:rPr>
      </w:pPr>
      <w:r w:rsidRPr="00EF4AD3">
        <w:rPr>
          <w:sz w:val="22"/>
          <w:szCs w:val="22"/>
        </w:rPr>
        <w:t>Etambutolis yra vienas iš standartinio tuberkuliozės gydymo</w:t>
      </w:r>
      <w:r w:rsidR="00654465" w:rsidRPr="00EF4AD3">
        <w:rPr>
          <w:sz w:val="22"/>
          <w:szCs w:val="22"/>
        </w:rPr>
        <w:t xml:space="preserve"> vaistinių preparatų</w:t>
      </w:r>
      <w:r w:rsidRPr="00EF4AD3">
        <w:rPr>
          <w:sz w:val="22"/>
          <w:szCs w:val="22"/>
        </w:rPr>
        <w:t xml:space="preserve">, visada vartojamas tik gydymui </w:t>
      </w:r>
      <w:r w:rsidR="00C54F10" w:rsidRPr="00EF4AD3">
        <w:rPr>
          <w:sz w:val="22"/>
          <w:szCs w:val="22"/>
        </w:rPr>
        <w:t xml:space="preserve">kartu </w:t>
      </w:r>
      <w:r w:rsidRPr="00EF4AD3">
        <w:rPr>
          <w:sz w:val="22"/>
          <w:szCs w:val="22"/>
        </w:rPr>
        <w:t xml:space="preserve">su kitais </w:t>
      </w:r>
      <w:r w:rsidR="00654465" w:rsidRPr="00EF4AD3">
        <w:rPr>
          <w:sz w:val="22"/>
          <w:szCs w:val="22"/>
        </w:rPr>
        <w:t>vaistiniais preparatais</w:t>
      </w:r>
      <w:r w:rsidRPr="00EF4AD3">
        <w:rPr>
          <w:sz w:val="22"/>
          <w:szCs w:val="22"/>
        </w:rPr>
        <w:t>.</w:t>
      </w:r>
    </w:p>
    <w:p w:rsidR="00180FDA" w:rsidRPr="00EF4AD3" w:rsidRDefault="00180FDA" w:rsidP="00BD4864">
      <w:pPr>
        <w:pStyle w:val="Pagrindinistekstas"/>
        <w:jc w:val="left"/>
        <w:rPr>
          <w:sz w:val="22"/>
          <w:szCs w:val="22"/>
        </w:rPr>
      </w:pPr>
    </w:p>
    <w:p w:rsidR="00180FDA" w:rsidRPr="00EF4AD3" w:rsidRDefault="00180FDA" w:rsidP="00BD4864">
      <w:pPr>
        <w:pStyle w:val="Pagrindinistekstas"/>
        <w:jc w:val="left"/>
        <w:rPr>
          <w:sz w:val="22"/>
          <w:szCs w:val="22"/>
        </w:rPr>
      </w:pPr>
      <w:r w:rsidRPr="00EF4AD3">
        <w:rPr>
          <w:sz w:val="22"/>
          <w:szCs w:val="22"/>
        </w:rPr>
        <w:t xml:space="preserve">Tuberkuliozės gydymo schemos </w:t>
      </w:r>
      <w:r w:rsidR="00FC370C" w:rsidRPr="00EF4AD3">
        <w:rPr>
          <w:sz w:val="22"/>
          <w:szCs w:val="22"/>
        </w:rPr>
        <w:t xml:space="preserve">ir kitų kartu vartojamų </w:t>
      </w:r>
      <w:r w:rsidR="00654465" w:rsidRPr="00EF4AD3">
        <w:rPr>
          <w:sz w:val="22"/>
          <w:szCs w:val="22"/>
        </w:rPr>
        <w:t>vaistinių preparatų</w:t>
      </w:r>
      <w:r w:rsidR="00FC370C" w:rsidRPr="00EF4AD3">
        <w:rPr>
          <w:sz w:val="22"/>
          <w:szCs w:val="22"/>
        </w:rPr>
        <w:t xml:space="preserve"> </w:t>
      </w:r>
      <w:r w:rsidRPr="00EF4AD3">
        <w:rPr>
          <w:sz w:val="22"/>
          <w:szCs w:val="22"/>
        </w:rPr>
        <w:t xml:space="preserve">pasirinkimas priklauso nuo </w:t>
      </w:r>
      <w:r w:rsidR="00FC370C" w:rsidRPr="00EF4AD3">
        <w:rPr>
          <w:sz w:val="22"/>
          <w:szCs w:val="22"/>
        </w:rPr>
        <w:t>lokalios atsparumo gydymui situacijos, nuo konkretaus išskirto iš paciento štamo atsparumo ir tinkamumo pacientui.</w:t>
      </w:r>
      <w:r w:rsidR="00BD03A0" w:rsidRPr="00EF4AD3">
        <w:rPr>
          <w:sz w:val="22"/>
          <w:szCs w:val="22"/>
        </w:rPr>
        <w:t xml:space="preserve"> </w:t>
      </w:r>
      <w:r w:rsidR="00596AC8" w:rsidRPr="00EF4AD3">
        <w:rPr>
          <w:sz w:val="22"/>
          <w:szCs w:val="22"/>
        </w:rPr>
        <w:t>S</w:t>
      </w:r>
      <w:r w:rsidR="00BD03A0" w:rsidRPr="00EF4AD3">
        <w:rPr>
          <w:sz w:val="22"/>
          <w:szCs w:val="22"/>
        </w:rPr>
        <w:t>kiriant gydymą rekomenduotina atsižvelgti į naujausias PSO rekomendacijas.</w:t>
      </w:r>
    </w:p>
    <w:p w:rsidR="00533CAB" w:rsidRPr="00EF4AD3" w:rsidRDefault="00533CAB" w:rsidP="00BD4864">
      <w:pPr>
        <w:pStyle w:val="Pagrindinistekstas"/>
        <w:jc w:val="left"/>
        <w:rPr>
          <w:sz w:val="22"/>
          <w:szCs w:val="22"/>
        </w:rPr>
      </w:pPr>
    </w:p>
    <w:p w:rsidR="00533CAB" w:rsidRPr="00EF4AD3" w:rsidRDefault="00533CAB" w:rsidP="00BD4864">
      <w:pPr>
        <w:pStyle w:val="Pagrindinistekstas"/>
        <w:jc w:val="left"/>
        <w:rPr>
          <w:b/>
          <w:sz w:val="22"/>
          <w:szCs w:val="22"/>
        </w:rPr>
      </w:pPr>
      <w:r w:rsidRPr="00EF4AD3">
        <w:rPr>
          <w:b/>
          <w:sz w:val="22"/>
          <w:szCs w:val="22"/>
        </w:rPr>
        <w:t>Standartinis tuberkuliozės gydymas</w:t>
      </w:r>
    </w:p>
    <w:p w:rsidR="00533CAB" w:rsidRPr="00EF4AD3" w:rsidRDefault="00533CAB" w:rsidP="00BD4864">
      <w:pPr>
        <w:pStyle w:val="Pagrindinistekstas"/>
        <w:jc w:val="left"/>
        <w:rPr>
          <w:sz w:val="22"/>
          <w:szCs w:val="22"/>
        </w:rPr>
      </w:pPr>
      <w:r w:rsidRPr="00EF4AD3">
        <w:rPr>
          <w:sz w:val="22"/>
          <w:szCs w:val="22"/>
        </w:rPr>
        <w:t xml:space="preserve">Etambutolis kartu su izoniazidu, rifampicinu ir pirazinamidu yra </w:t>
      </w:r>
      <w:r w:rsidR="00FD0A47" w:rsidRPr="00EF4AD3">
        <w:rPr>
          <w:sz w:val="22"/>
          <w:szCs w:val="22"/>
        </w:rPr>
        <w:t xml:space="preserve">vartojamas </w:t>
      </w:r>
      <w:r w:rsidR="00972ECB" w:rsidRPr="00EF4AD3">
        <w:rPr>
          <w:sz w:val="22"/>
          <w:szCs w:val="22"/>
        </w:rPr>
        <w:t>pradinė</w:t>
      </w:r>
      <w:r w:rsidR="00FD0A47" w:rsidRPr="00EF4AD3">
        <w:rPr>
          <w:sz w:val="22"/>
          <w:szCs w:val="22"/>
        </w:rPr>
        <w:t>je</w:t>
      </w:r>
      <w:r w:rsidRPr="00EF4AD3">
        <w:rPr>
          <w:sz w:val="22"/>
          <w:szCs w:val="22"/>
        </w:rPr>
        <w:t xml:space="preserve"> </w:t>
      </w:r>
      <w:r w:rsidR="00972ECB" w:rsidRPr="00EF4AD3">
        <w:rPr>
          <w:sz w:val="22"/>
          <w:szCs w:val="22"/>
        </w:rPr>
        <w:t xml:space="preserve">2 mėnesių trukmės </w:t>
      </w:r>
      <w:r w:rsidRPr="00EF4AD3">
        <w:rPr>
          <w:sz w:val="22"/>
          <w:szCs w:val="22"/>
        </w:rPr>
        <w:t xml:space="preserve">standartinio tuberkuliozės gydymo </w:t>
      </w:r>
      <w:r w:rsidR="00972ECB" w:rsidRPr="00EF4AD3">
        <w:rPr>
          <w:sz w:val="22"/>
          <w:szCs w:val="22"/>
        </w:rPr>
        <w:t>fazė</w:t>
      </w:r>
      <w:r w:rsidR="00FD0A47" w:rsidRPr="00EF4AD3">
        <w:rPr>
          <w:sz w:val="22"/>
          <w:szCs w:val="22"/>
        </w:rPr>
        <w:t>je</w:t>
      </w:r>
      <w:r w:rsidR="00972ECB" w:rsidRPr="00EF4AD3">
        <w:rPr>
          <w:sz w:val="22"/>
          <w:szCs w:val="22"/>
        </w:rPr>
        <w:t>, po jos prasideda 4 mėnesi</w:t>
      </w:r>
      <w:r w:rsidR="00596AC8" w:rsidRPr="00EF4AD3">
        <w:rPr>
          <w:sz w:val="22"/>
          <w:szCs w:val="22"/>
        </w:rPr>
        <w:t>ų</w:t>
      </w:r>
      <w:r w:rsidR="00972ECB" w:rsidRPr="00EF4AD3">
        <w:rPr>
          <w:sz w:val="22"/>
          <w:szCs w:val="22"/>
        </w:rPr>
        <w:t xml:space="preserve"> </w:t>
      </w:r>
      <w:r w:rsidR="00FD0A47" w:rsidRPr="00EF4AD3">
        <w:rPr>
          <w:sz w:val="22"/>
          <w:szCs w:val="22"/>
        </w:rPr>
        <w:t xml:space="preserve">trukmės </w:t>
      </w:r>
      <w:r w:rsidR="00972ECB" w:rsidRPr="00EF4AD3">
        <w:rPr>
          <w:sz w:val="22"/>
          <w:szCs w:val="22"/>
        </w:rPr>
        <w:t>gydymo</w:t>
      </w:r>
      <w:r w:rsidRPr="00EF4AD3">
        <w:rPr>
          <w:sz w:val="22"/>
          <w:szCs w:val="22"/>
        </w:rPr>
        <w:t xml:space="preserve"> </w:t>
      </w:r>
      <w:r w:rsidR="00972ECB" w:rsidRPr="00EF4AD3">
        <w:rPr>
          <w:sz w:val="22"/>
          <w:szCs w:val="22"/>
        </w:rPr>
        <w:t>tęsimo fazė, kurios metu vartojamas izoniazidas ir rifampicinas</w:t>
      </w:r>
      <w:r w:rsidRPr="00EF4AD3">
        <w:rPr>
          <w:sz w:val="22"/>
          <w:szCs w:val="22"/>
        </w:rPr>
        <w:t>.</w:t>
      </w:r>
    </w:p>
    <w:p w:rsidR="009538DB" w:rsidRPr="00EF4AD3" w:rsidRDefault="009538DB" w:rsidP="00BD4864">
      <w:pPr>
        <w:pStyle w:val="Pagrindinistekstas"/>
        <w:jc w:val="left"/>
        <w:rPr>
          <w:sz w:val="22"/>
          <w:szCs w:val="22"/>
        </w:rPr>
      </w:pPr>
    </w:p>
    <w:p w:rsidR="00503A78" w:rsidRPr="00EF4AD3" w:rsidRDefault="00503A78" w:rsidP="00782145">
      <w:pPr>
        <w:pStyle w:val="Pagrindinistekstas"/>
        <w:rPr>
          <w:i/>
          <w:sz w:val="22"/>
          <w:szCs w:val="22"/>
        </w:rPr>
      </w:pPr>
      <w:r w:rsidRPr="00EF4AD3">
        <w:rPr>
          <w:i/>
          <w:sz w:val="22"/>
          <w:szCs w:val="22"/>
        </w:rPr>
        <w:t>Pertraukiamasis tuberkuliozės gydymas</w:t>
      </w:r>
    </w:p>
    <w:p w:rsidR="00503A78" w:rsidRPr="00EF4AD3" w:rsidRDefault="00503A78" w:rsidP="00782145">
      <w:pPr>
        <w:pStyle w:val="Pagrindinistekstas"/>
        <w:rPr>
          <w:sz w:val="22"/>
          <w:szCs w:val="22"/>
        </w:rPr>
      </w:pPr>
      <w:r w:rsidRPr="00EF4AD3">
        <w:rPr>
          <w:sz w:val="22"/>
          <w:szCs w:val="22"/>
        </w:rPr>
        <w:t>Etambutolis gali būti skiriamas pertraukiamajam gydymui.</w:t>
      </w:r>
    </w:p>
    <w:p w:rsidR="00587BF4" w:rsidRPr="00EF4AD3" w:rsidRDefault="00587BF4" w:rsidP="00782145">
      <w:pPr>
        <w:pStyle w:val="Pagrindinistekstas"/>
        <w:rPr>
          <w:sz w:val="22"/>
          <w:szCs w:val="22"/>
        </w:rPr>
      </w:pPr>
    </w:p>
    <w:p w:rsidR="00782145" w:rsidRPr="00EF4AD3" w:rsidRDefault="00782145" w:rsidP="00782145">
      <w:pPr>
        <w:pStyle w:val="Pagrindinistekstas"/>
        <w:rPr>
          <w:sz w:val="22"/>
          <w:szCs w:val="22"/>
          <w:u w:val="single"/>
        </w:rPr>
      </w:pPr>
      <w:r w:rsidRPr="00EF4AD3">
        <w:rPr>
          <w:sz w:val="22"/>
          <w:szCs w:val="22"/>
          <w:u w:val="single"/>
        </w:rPr>
        <w:t>Dozavimas</w:t>
      </w:r>
    </w:p>
    <w:p w:rsidR="00782145" w:rsidRPr="00EF4AD3" w:rsidRDefault="000573BC" w:rsidP="00782145">
      <w:pPr>
        <w:pStyle w:val="Pagrindinistekstas"/>
        <w:rPr>
          <w:sz w:val="22"/>
          <w:szCs w:val="22"/>
        </w:rPr>
      </w:pPr>
      <w:r w:rsidRPr="00EF4AD3">
        <w:rPr>
          <w:sz w:val="22"/>
          <w:szCs w:val="22"/>
        </w:rPr>
        <w:t>EMB-Fatol dozė priklauso nuo kūno svorio.</w:t>
      </w:r>
    </w:p>
    <w:p w:rsidR="00782145" w:rsidRPr="00EF4AD3" w:rsidRDefault="00782145" w:rsidP="00782145">
      <w:pPr>
        <w:pStyle w:val="Pagrindinistekstas"/>
        <w:rPr>
          <w:sz w:val="22"/>
          <w:szCs w:val="22"/>
        </w:rPr>
      </w:pPr>
    </w:p>
    <w:p w:rsidR="00782145" w:rsidRPr="00EF4AD3" w:rsidRDefault="00782145" w:rsidP="00782145">
      <w:pPr>
        <w:pStyle w:val="Pagrindinistekstas"/>
        <w:rPr>
          <w:i/>
          <w:sz w:val="22"/>
          <w:szCs w:val="22"/>
          <w:u w:val="single"/>
        </w:rPr>
      </w:pPr>
      <w:r w:rsidRPr="00EF4AD3">
        <w:rPr>
          <w:i/>
          <w:sz w:val="22"/>
          <w:szCs w:val="22"/>
          <w:u w:val="single"/>
        </w:rPr>
        <w:t>Suaugusie</w:t>
      </w:r>
      <w:r w:rsidR="00F908E5" w:rsidRPr="00EF4AD3">
        <w:rPr>
          <w:i/>
          <w:sz w:val="22"/>
          <w:szCs w:val="22"/>
          <w:u w:val="single"/>
        </w:rPr>
        <w:t>ji</w:t>
      </w:r>
      <w:r w:rsidR="00B11602" w:rsidRPr="00EF4AD3">
        <w:rPr>
          <w:i/>
          <w:sz w:val="22"/>
          <w:szCs w:val="22"/>
          <w:u w:val="single"/>
        </w:rPr>
        <w:t xml:space="preserve"> </w:t>
      </w:r>
    </w:p>
    <w:p w:rsidR="00F908E5" w:rsidRPr="00EF4AD3" w:rsidRDefault="00B957BA" w:rsidP="00782145">
      <w:pPr>
        <w:pStyle w:val="Pagrindinistekstas"/>
        <w:rPr>
          <w:i/>
          <w:sz w:val="22"/>
          <w:szCs w:val="22"/>
        </w:rPr>
      </w:pPr>
      <w:r w:rsidRPr="00EF4AD3">
        <w:rPr>
          <w:i/>
          <w:sz w:val="22"/>
          <w:szCs w:val="22"/>
        </w:rPr>
        <w:t xml:space="preserve">Kiekvienos </w:t>
      </w:r>
      <w:r w:rsidR="00FC3E3E" w:rsidRPr="00EF4AD3">
        <w:rPr>
          <w:i/>
          <w:sz w:val="22"/>
          <w:szCs w:val="22"/>
        </w:rPr>
        <w:t>par</w:t>
      </w:r>
      <w:r w:rsidRPr="00EF4AD3">
        <w:rPr>
          <w:i/>
          <w:sz w:val="22"/>
          <w:szCs w:val="22"/>
        </w:rPr>
        <w:t>os</w:t>
      </w:r>
      <w:r w:rsidR="00F908E5" w:rsidRPr="00EF4AD3">
        <w:rPr>
          <w:i/>
          <w:sz w:val="22"/>
          <w:szCs w:val="22"/>
        </w:rPr>
        <w:t xml:space="preserve"> gydymas</w:t>
      </w:r>
    </w:p>
    <w:p w:rsidR="00F908E5" w:rsidRPr="00EF4AD3" w:rsidRDefault="00F908E5" w:rsidP="00782145">
      <w:pPr>
        <w:pStyle w:val="Pagrindinistekstas"/>
        <w:rPr>
          <w:sz w:val="22"/>
          <w:szCs w:val="22"/>
        </w:rPr>
      </w:pPr>
      <w:r w:rsidRPr="00EF4AD3">
        <w:rPr>
          <w:sz w:val="22"/>
          <w:szCs w:val="22"/>
        </w:rPr>
        <w:lastRenderedPageBreak/>
        <w:t>15</w:t>
      </w:r>
      <w:r w:rsidR="00B11602" w:rsidRPr="00EF4AD3">
        <w:rPr>
          <w:sz w:val="22"/>
          <w:szCs w:val="22"/>
        </w:rPr>
        <w:t> mg/kg (15</w:t>
      </w:r>
      <w:r w:rsidR="00B11602" w:rsidRPr="00EF4AD3">
        <w:rPr>
          <w:sz w:val="22"/>
          <w:szCs w:val="22"/>
        </w:rPr>
        <w:noBreakHyphen/>
        <w:t>20 mg/kg)</w:t>
      </w:r>
      <w:r w:rsidRPr="00EF4AD3">
        <w:rPr>
          <w:sz w:val="22"/>
          <w:szCs w:val="22"/>
        </w:rPr>
        <w:t xml:space="preserve"> kūno svorio</w:t>
      </w:r>
    </w:p>
    <w:p w:rsidR="00B11602" w:rsidRPr="00EF4AD3" w:rsidRDefault="00B11602" w:rsidP="00B11602">
      <w:pPr>
        <w:pStyle w:val="Pagrindinistekstas"/>
        <w:rPr>
          <w:sz w:val="22"/>
          <w:szCs w:val="22"/>
        </w:rPr>
      </w:pPr>
    </w:p>
    <w:p w:rsidR="00B11602" w:rsidRPr="00EF4AD3" w:rsidRDefault="00B11602" w:rsidP="00B11602">
      <w:pPr>
        <w:pStyle w:val="Pagrindinistekstas"/>
        <w:rPr>
          <w:sz w:val="22"/>
          <w:szCs w:val="22"/>
        </w:rPr>
      </w:pPr>
      <w:r w:rsidRPr="00EF4AD3">
        <w:rPr>
          <w:sz w:val="22"/>
          <w:szCs w:val="22"/>
        </w:rPr>
        <w:t>EMB-Fatol 400 mg plėvele dengtų tablečių kiekis skiriamas suaugusiųjų, pagal svorio diapazonus:</w:t>
      </w:r>
    </w:p>
    <w:p w:rsidR="00B11602" w:rsidRPr="00EF4AD3" w:rsidRDefault="00B11602" w:rsidP="00B11602">
      <w:pPr>
        <w:pStyle w:val="Pagrindinisteksta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266"/>
        <w:gridCol w:w="1276"/>
        <w:gridCol w:w="1286"/>
        <w:gridCol w:w="1286"/>
        <w:gridCol w:w="1286"/>
        <w:gridCol w:w="1294"/>
      </w:tblGrid>
      <w:tr w:rsidR="001F17E1" w:rsidRPr="00EF4AD3" w:rsidTr="001F17E1">
        <w:tc>
          <w:tcPr>
            <w:tcW w:w="1592" w:type="dxa"/>
            <w:shd w:val="clear" w:color="auto" w:fill="auto"/>
          </w:tcPr>
          <w:p w:rsidR="001F17E1" w:rsidRPr="00EF4AD3" w:rsidRDefault="001F17E1" w:rsidP="00FD0A47">
            <w:pPr>
              <w:pStyle w:val="Pagrindinistekstas"/>
              <w:rPr>
                <w:sz w:val="22"/>
                <w:szCs w:val="22"/>
              </w:rPr>
            </w:pPr>
          </w:p>
        </w:tc>
        <w:tc>
          <w:tcPr>
            <w:tcW w:w="8262" w:type="dxa"/>
            <w:gridSpan w:val="6"/>
            <w:shd w:val="clear" w:color="auto" w:fill="auto"/>
          </w:tcPr>
          <w:p w:rsidR="001F17E1" w:rsidRPr="00EF4AD3" w:rsidRDefault="001F17E1" w:rsidP="001F17E1">
            <w:pPr>
              <w:pStyle w:val="Pagrindinistekstas"/>
              <w:jc w:val="center"/>
              <w:rPr>
                <w:b/>
                <w:sz w:val="22"/>
                <w:szCs w:val="22"/>
              </w:rPr>
            </w:pPr>
            <w:r w:rsidRPr="00EF4AD3">
              <w:rPr>
                <w:b/>
                <w:sz w:val="22"/>
                <w:szCs w:val="22"/>
              </w:rPr>
              <w:t>Svorio diapazonai, kg</w:t>
            </w:r>
          </w:p>
        </w:tc>
      </w:tr>
      <w:tr w:rsidR="001F17E1" w:rsidRPr="00EF4AD3" w:rsidTr="001F17E1">
        <w:tc>
          <w:tcPr>
            <w:tcW w:w="1592" w:type="dxa"/>
            <w:shd w:val="clear" w:color="auto" w:fill="auto"/>
          </w:tcPr>
          <w:p w:rsidR="001F17E1" w:rsidRPr="00EF4AD3" w:rsidRDefault="001F17E1" w:rsidP="00FD0A47">
            <w:pPr>
              <w:pStyle w:val="Pagrindinistekstas"/>
              <w:rPr>
                <w:b/>
                <w:sz w:val="22"/>
                <w:szCs w:val="22"/>
              </w:rPr>
            </w:pPr>
            <w:r w:rsidRPr="00EF4AD3">
              <w:rPr>
                <w:b/>
                <w:sz w:val="22"/>
                <w:szCs w:val="22"/>
              </w:rPr>
              <w:t>15 mg etambutolio/kg kilogramui kūno svorio</w:t>
            </w:r>
          </w:p>
        </w:tc>
        <w:tc>
          <w:tcPr>
            <w:tcW w:w="1372" w:type="dxa"/>
            <w:shd w:val="clear" w:color="auto" w:fill="auto"/>
          </w:tcPr>
          <w:p w:rsidR="001F17E1" w:rsidRPr="00EF4AD3" w:rsidRDefault="001F17E1" w:rsidP="00FD0A47">
            <w:pPr>
              <w:pStyle w:val="Pagrindinistekstas"/>
              <w:jc w:val="center"/>
              <w:rPr>
                <w:sz w:val="22"/>
                <w:szCs w:val="22"/>
              </w:rPr>
            </w:pPr>
            <w:r w:rsidRPr="00EF4AD3">
              <w:rPr>
                <w:sz w:val="22"/>
                <w:szCs w:val="22"/>
              </w:rPr>
              <w:t>40</w:t>
            </w:r>
          </w:p>
        </w:tc>
        <w:tc>
          <w:tcPr>
            <w:tcW w:w="1376" w:type="dxa"/>
            <w:shd w:val="clear" w:color="auto" w:fill="auto"/>
          </w:tcPr>
          <w:p w:rsidR="001F17E1" w:rsidRPr="00EF4AD3" w:rsidRDefault="001F17E1" w:rsidP="00FD0A47">
            <w:pPr>
              <w:pStyle w:val="Pagrindinistekstas"/>
              <w:jc w:val="center"/>
              <w:rPr>
                <w:sz w:val="22"/>
                <w:szCs w:val="22"/>
              </w:rPr>
            </w:pPr>
            <w:r w:rsidRPr="00EF4AD3">
              <w:rPr>
                <w:sz w:val="22"/>
                <w:szCs w:val="22"/>
              </w:rPr>
              <w:t>53,3</w:t>
            </w:r>
          </w:p>
        </w:tc>
        <w:tc>
          <w:tcPr>
            <w:tcW w:w="1378" w:type="dxa"/>
            <w:shd w:val="clear" w:color="auto" w:fill="auto"/>
          </w:tcPr>
          <w:p w:rsidR="001F17E1" w:rsidRPr="00EF4AD3" w:rsidRDefault="001F17E1" w:rsidP="001F17E1">
            <w:pPr>
              <w:pStyle w:val="Pagrindinistekstas"/>
              <w:jc w:val="center"/>
              <w:rPr>
                <w:sz w:val="22"/>
                <w:szCs w:val="22"/>
              </w:rPr>
            </w:pPr>
            <w:r w:rsidRPr="00EF4AD3">
              <w:rPr>
                <w:sz w:val="22"/>
                <w:szCs w:val="22"/>
              </w:rPr>
              <w:t>66,6</w:t>
            </w:r>
          </w:p>
        </w:tc>
        <w:tc>
          <w:tcPr>
            <w:tcW w:w="1378" w:type="dxa"/>
            <w:shd w:val="clear" w:color="auto" w:fill="auto"/>
          </w:tcPr>
          <w:p w:rsidR="001F17E1" w:rsidRPr="00EF4AD3" w:rsidRDefault="001F17E1" w:rsidP="001F17E1">
            <w:pPr>
              <w:pStyle w:val="Pagrindinistekstas"/>
              <w:jc w:val="center"/>
              <w:rPr>
                <w:sz w:val="22"/>
                <w:szCs w:val="22"/>
              </w:rPr>
            </w:pPr>
            <w:r w:rsidRPr="00EF4AD3">
              <w:rPr>
                <w:sz w:val="22"/>
                <w:szCs w:val="22"/>
              </w:rPr>
              <w:t>80</w:t>
            </w:r>
          </w:p>
        </w:tc>
        <w:tc>
          <w:tcPr>
            <w:tcW w:w="1378" w:type="dxa"/>
            <w:shd w:val="clear" w:color="auto" w:fill="auto"/>
          </w:tcPr>
          <w:p w:rsidR="001F17E1" w:rsidRPr="00EF4AD3" w:rsidRDefault="001F17E1" w:rsidP="001F17E1">
            <w:pPr>
              <w:pStyle w:val="Pagrindinistekstas"/>
              <w:jc w:val="center"/>
              <w:rPr>
                <w:sz w:val="22"/>
                <w:szCs w:val="22"/>
              </w:rPr>
            </w:pPr>
            <w:r w:rsidRPr="00EF4AD3">
              <w:rPr>
                <w:sz w:val="22"/>
                <w:szCs w:val="22"/>
              </w:rPr>
              <w:t>93,3</w:t>
            </w:r>
          </w:p>
        </w:tc>
        <w:tc>
          <w:tcPr>
            <w:tcW w:w="1380" w:type="dxa"/>
            <w:shd w:val="clear" w:color="auto" w:fill="auto"/>
          </w:tcPr>
          <w:p w:rsidR="001F17E1" w:rsidRPr="00EF4AD3" w:rsidRDefault="001F17E1" w:rsidP="001F17E1">
            <w:pPr>
              <w:pStyle w:val="Pagrindinistekstas"/>
              <w:jc w:val="center"/>
              <w:rPr>
                <w:sz w:val="22"/>
                <w:szCs w:val="22"/>
              </w:rPr>
            </w:pPr>
            <w:r w:rsidRPr="00EF4AD3">
              <w:rPr>
                <w:sz w:val="22"/>
                <w:szCs w:val="22"/>
              </w:rPr>
              <w:t>106,6</w:t>
            </w:r>
          </w:p>
        </w:tc>
      </w:tr>
      <w:tr w:rsidR="001F17E1" w:rsidRPr="00EF4AD3" w:rsidTr="001F17E1">
        <w:tc>
          <w:tcPr>
            <w:tcW w:w="1592" w:type="dxa"/>
            <w:shd w:val="clear" w:color="auto" w:fill="auto"/>
          </w:tcPr>
          <w:p w:rsidR="001F17E1" w:rsidRPr="00EF4AD3" w:rsidRDefault="001F17E1" w:rsidP="00FD0A47">
            <w:pPr>
              <w:pStyle w:val="Pagrindinistekstas"/>
              <w:rPr>
                <w:b/>
                <w:sz w:val="22"/>
                <w:szCs w:val="22"/>
              </w:rPr>
            </w:pPr>
            <w:r w:rsidRPr="00EF4AD3">
              <w:rPr>
                <w:b/>
                <w:sz w:val="22"/>
                <w:szCs w:val="22"/>
              </w:rPr>
              <w:t>20 mg etambutolio/kg kilogramui kūno svorio</w:t>
            </w:r>
          </w:p>
        </w:tc>
        <w:tc>
          <w:tcPr>
            <w:tcW w:w="1372" w:type="dxa"/>
            <w:shd w:val="clear" w:color="auto" w:fill="auto"/>
          </w:tcPr>
          <w:p w:rsidR="001F17E1" w:rsidRPr="00EF4AD3" w:rsidRDefault="001F17E1" w:rsidP="00FD0A47">
            <w:pPr>
              <w:pStyle w:val="Pagrindinistekstas"/>
              <w:jc w:val="center"/>
              <w:rPr>
                <w:sz w:val="22"/>
                <w:szCs w:val="22"/>
              </w:rPr>
            </w:pPr>
            <w:r w:rsidRPr="00EF4AD3">
              <w:rPr>
                <w:sz w:val="22"/>
                <w:szCs w:val="22"/>
              </w:rPr>
              <w:t>30</w:t>
            </w:r>
          </w:p>
        </w:tc>
        <w:tc>
          <w:tcPr>
            <w:tcW w:w="1376" w:type="dxa"/>
            <w:shd w:val="clear" w:color="auto" w:fill="auto"/>
          </w:tcPr>
          <w:p w:rsidR="001F17E1" w:rsidRPr="00EF4AD3" w:rsidRDefault="001F17E1" w:rsidP="00FD0A47">
            <w:pPr>
              <w:pStyle w:val="Pagrindinistekstas"/>
              <w:jc w:val="center"/>
              <w:rPr>
                <w:sz w:val="22"/>
                <w:szCs w:val="22"/>
              </w:rPr>
            </w:pPr>
            <w:r w:rsidRPr="00EF4AD3">
              <w:rPr>
                <w:sz w:val="22"/>
                <w:szCs w:val="22"/>
              </w:rPr>
              <w:t>40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50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60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70</w:t>
            </w:r>
          </w:p>
        </w:tc>
        <w:tc>
          <w:tcPr>
            <w:tcW w:w="1380" w:type="dxa"/>
            <w:shd w:val="clear" w:color="auto" w:fill="auto"/>
          </w:tcPr>
          <w:p w:rsidR="001F17E1" w:rsidRPr="00EF4AD3" w:rsidRDefault="001F17E1" w:rsidP="00FD0A47">
            <w:pPr>
              <w:pStyle w:val="Pagrindinistekstas"/>
              <w:jc w:val="center"/>
              <w:rPr>
                <w:sz w:val="22"/>
                <w:szCs w:val="22"/>
              </w:rPr>
            </w:pPr>
            <w:r w:rsidRPr="00EF4AD3">
              <w:rPr>
                <w:sz w:val="22"/>
                <w:szCs w:val="22"/>
              </w:rPr>
              <w:t>80</w:t>
            </w:r>
          </w:p>
        </w:tc>
      </w:tr>
      <w:tr w:rsidR="001F17E1" w:rsidRPr="00EF4AD3" w:rsidTr="001F17E1">
        <w:tc>
          <w:tcPr>
            <w:tcW w:w="1592" w:type="dxa"/>
            <w:shd w:val="clear" w:color="auto" w:fill="auto"/>
          </w:tcPr>
          <w:p w:rsidR="001F17E1" w:rsidRPr="00EF4AD3" w:rsidRDefault="001F17E1" w:rsidP="00FD0A47">
            <w:pPr>
              <w:pStyle w:val="Pagrindinistekstas"/>
              <w:rPr>
                <w:b/>
                <w:sz w:val="22"/>
                <w:szCs w:val="22"/>
              </w:rPr>
            </w:pPr>
            <w:r w:rsidRPr="00EF4AD3">
              <w:rPr>
                <w:b/>
                <w:sz w:val="22"/>
                <w:szCs w:val="22"/>
              </w:rPr>
              <w:t>Etambulio dozė, mg</w:t>
            </w:r>
          </w:p>
        </w:tc>
        <w:tc>
          <w:tcPr>
            <w:tcW w:w="1372" w:type="dxa"/>
            <w:shd w:val="clear" w:color="auto" w:fill="auto"/>
          </w:tcPr>
          <w:p w:rsidR="001F17E1" w:rsidRPr="00EF4AD3" w:rsidRDefault="001F17E1" w:rsidP="00FD0A47">
            <w:pPr>
              <w:pStyle w:val="Pagrindinistekstas"/>
              <w:jc w:val="center"/>
              <w:rPr>
                <w:sz w:val="22"/>
                <w:szCs w:val="22"/>
              </w:rPr>
            </w:pPr>
            <w:r w:rsidRPr="00EF4AD3">
              <w:rPr>
                <w:sz w:val="22"/>
                <w:szCs w:val="22"/>
              </w:rPr>
              <w:t>600</w:t>
            </w:r>
          </w:p>
        </w:tc>
        <w:tc>
          <w:tcPr>
            <w:tcW w:w="1376" w:type="dxa"/>
            <w:shd w:val="clear" w:color="auto" w:fill="auto"/>
          </w:tcPr>
          <w:p w:rsidR="001F17E1" w:rsidRPr="00EF4AD3" w:rsidRDefault="001F17E1" w:rsidP="00FD0A47">
            <w:pPr>
              <w:pStyle w:val="Pagrindinistekstas"/>
              <w:jc w:val="center"/>
              <w:rPr>
                <w:sz w:val="22"/>
                <w:szCs w:val="22"/>
              </w:rPr>
            </w:pPr>
            <w:r w:rsidRPr="00EF4AD3">
              <w:rPr>
                <w:sz w:val="22"/>
                <w:szCs w:val="22"/>
              </w:rPr>
              <w:t>800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1000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1200</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1400</w:t>
            </w:r>
          </w:p>
        </w:tc>
        <w:tc>
          <w:tcPr>
            <w:tcW w:w="1380" w:type="dxa"/>
            <w:shd w:val="clear" w:color="auto" w:fill="auto"/>
          </w:tcPr>
          <w:p w:rsidR="001F17E1" w:rsidRPr="00EF4AD3" w:rsidRDefault="001F17E1" w:rsidP="00FD0A47">
            <w:pPr>
              <w:pStyle w:val="Pagrindinistekstas"/>
              <w:jc w:val="center"/>
              <w:rPr>
                <w:sz w:val="22"/>
                <w:szCs w:val="22"/>
              </w:rPr>
            </w:pPr>
            <w:r w:rsidRPr="00EF4AD3">
              <w:rPr>
                <w:sz w:val="22"/>
                <w:szCs w:val="22"/>
              </w:rPr>
              <w:t>1600</w:t>
            </w:r>
          </w:p>
        </w:tc>
      </w:tr>
      <w:tr w:rsidR="001F17E1" w:rsidRPr="00EF4AD3" w:rsidTr="001F17E1">
        <w:tc>
          <w:tcPr>
            <w:tcW w:w="1592" w:type="dxa"/>
            <w:shd w:val="clear" w:color="auto" w:fill="auto"/>
          </w:tcPr>
          <w:p w:rsidR="001F17E1" w:rsidRPr="00EF4AD3" w:rsidRDefault="001F17E1" w:rsidP="00FD0A47">
            <w:pPr>
              <w:pStyle w:val="Pagrindinistekstas"/>
              <w:rPr>
                <w:b/>
                <w:sz w:val="22"/>
                <w:szCs w:val="22"/>
              </w:rPr>
            </w:pPr>
            <w:r w:rsidRPr="00EF4AD3">
              <w:rPr>
                <w:b/>
                <w:sz w:val="22"/>
                <w:szCs w:val="22"/>
              </w:rPr>
              <w:t>EMB-Fatol 400 mg tablečių kiekis</w:t>
            </w:r>
          </w:p>
        </w:tc>
        <w:tc>
          <w:tcPr>
            <w:tcW w:w="1372" w:type="dxa"/>
            <w:shd w:val="clear" w:color="auto" w:fill="auto"/>
          </w:tcPr>
          <w:p w:rsidR="001F17E1" w:rsidRPr="00EF4AD3" w:rsidRDefault="001F17E1" w:rsidP="00FD0A47">
            <w:pPr>
              <w:pStyle w:val="Pagrindinistekstas"/>
              <w:jc w:val="center"/>
              <w:rPr>
                <w:sz w:val="22"/>
                <w:szCs w:val="22"/>
              </w:rPr>
            </w:pPr>
            <w:r w:rsidRPr="00EF4AD3">
              <w:rPr>
                <w:sz w:val="22"/>
                <w:szCs w:val="22"/>
              </w:rPr>
              <w:t>1½</w:t>
            </w:r>
          </w:p>
        </w:tc>
        <w:tc>
          <w:tcPr>
            <w:tcW w:w="1376" w:type="dxa"/>
            <w:shd w:val="clear" w:color="auto" w:fill="auto"/>
          </w:tcPr>
          <w:p w:rsidR="001F17E1" w:rsidRPr="00EF4AD3" w:rsidRDefault="001F17E1" w:rsidP="00FD0A47">
            <w:pPr>
              <w:pStyle w:val="Pagrindinistekstas"/>
              <w:jc w:val="center"/>
              <w:rPr>
                <w:sz w:val="22"/>
                <w:szCs w:val="22"/>
              </w:rPr>
            </w:pPr>
            <w:r w:rsidRPr="00EF4AD3">
              <w:rPr>
                <w:sz w:val="22"/>
                <w:szCs w:val="22"/>
              </w:rPr>
              <w:t>2</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2½</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3</w:t>
            </w:r>
          </w:p>
        </w:tc>
        <w:tc>
          <w:tcPr>
            <w:tcW w:w="1378" w:type="dxa"/>
            <w:shd w:val="clear" w:color="auto" w:fill="auto"/>
          </w:tcPr>
          <w:p w:rsidR="001F17E1" w:rsidRPr="00EF4AD3" w:rsidRDefault="001F17E1" w:rsidP="00FD0A47">
            <w:pPr>
              <w:pStyle w:val="Pagrindinistekstas"/>
              <w:jc w:val="center"/>
              <w:rPr>
                <w:sz w:val="22"/>
                <w:szCs w:val="22"/>
              </w:rPr>
            </w:pPr>
            <w:r w:rsidRPr="00EF4AD3">
              <w:rPr>
                <w:sz w:val="22"/>
                <w:szCs w:val="22"/>
              </w:rPr>
              <w:t>3½</w:t>
            </w:r>
          </w:p>
        </w:tc>
        <w:tc>
          <w:tcPr>
            <w:tcW w:w="1380" w:type="dxa"/>
            <w:shd w:val="clear" w:color="auto" w:fill="auto"/>
          </w:tcPr>
          <w:p w:rsidR="001F17E1" w:rsidRPr="00EF4AD3" w:rsidRDefault="001F17E1" w:rsidP="00FD0A47">
            <w:pPr>
              <w:pStyle w:val="Pagrindinistekstas"/>
              <w:jc w:val="center"/>
              <w:rPr>
                <w:sz w:val="22"/>
                <w:szCs w:val="22"/>
              </w:rPr>
            </w:pPr>
            <w:r w:rsidRPr="00EF4AD3">
              <w:rPr>
                <w:sz w:val="22"/>
                <w:szCs w:val="22"/>
              </w:rPr>
              <w:t>4</w:t>
            </w:r>
          </w:p>
        </w:tc>
      </w:tr>
    </w:tbl>
    <w:p w:rsidR="00D05E9E" w:rsidRPr="00EF4AD3" w:rsidRDefault="00D05E9E" w:rsidP="00782145">
      <w:pPr>
        <w:pStyle w:val="Pagrindinistekstas"/>
        <w:rPr>
          <w:i/>
          <w:sz w:val="22"/>
          <w:szCs w:val="22"/>
        </w:rPr>
      </w:pPr>
    </w:p>
    <w:p w:rsidR="00183293" w:rsidRPr="00EF4AD3" w:rsidRDefault="00183293" w:rsidP="00782145">
      <w:pPr>
        <w:pStyle w:val="Pagrindinistekstas"/>
        <w:rPr>
          <w:i/>
          <w:sz w:val="22"/>
          <w:szCs w:val="22"/>
        </w:rPr>
      </w:pPr>
      <w:r w:rsidRPr="00EF4AD3">
        <w:rPr>
          <w:i/>
          <w:sz w:val="22"/>
          <w:szCs w:val="22"/>
        </w:rPr>
        <w:t>Pertraukiamasis gydymas</w:t>
      </w:r>
    </w:p>
    <w:p w:rsidR="00183293" w:rsidRPr="00EF4AD3" w:rsidRDefault="00183293" w:rsidP="00782145">
      <w:pPr>
        <w:pStyle w:val="Pagrindinistekstas"/>
        <w:rPr>
          <w:sz w:val="22"/>
          <w:szCs w:val="22"/>
        </w:rPr>
      </w:pPr>
      <w:r w:rsidRPr="00EF4AD3">
        <w:rPr>
          <w:sz w:val="22"/>
          <w:szCs w:val="22"/>
        </w:rPr>
        <w:t xml:space="preserve">(tik gydymo tęsimo fazėje ir, jeigu </w:t>
      </w:r>
      <w:r w:rsidR="00B85E23" w:rsidRPr="00EF4AD3">
        <w:rPr>
          <w:sz w:val="22"/>
          <w:szCs w:val="22"/>
        </w:rPr>
        <w:t xml:space="preserve">negalima vartoti kiekvieną </w:t>
      </w:r>
      <w:r w:rsidR="004430E1" w:rsidRPr="00EF4AD3">
        <w:rPr>
          <w:sz w:val="22"/>
          <w:szCs w:val="22"/>
        </w:rPr>
        <w:t>parą</w:t>
      </w:r>
      <w:r w:rsidRPr="00EF4AD3">
        <w:rPr>
          <w:sz w:val="22"/>
          <w:szCs w:val="22"/>
        </w:rPr>
        <w:t>)</w:t>
      </w:r>
    </w:p>
    <w:p w:rsidR="00183293" w:rsidRPr="00EF4AD3" w:rsidRDefault="00183293" w:rsidP="00782145">
      <w:pPr>
        <w:pStyle w:val="Pagrindinistekstas"/>
        <w:rPr>
          <w:sz w:val="22"/>
          <w:szCs w:val="22"/>
        </w:rPr>
      </w:pPr>
      <w:r w:rsidRPr="00EF4AD3">
        <w:rPr>
          <w:sz w:val="22"/>
          <w:szCs w:val="22"/>
        </w:rPr>
        <w:t>3x/savaitę: 30 </w:t>
      </w:r>
      <w:r w:rsidR="00D05E9E" w:rsidRPr="00EF4AD3">
        <w:rPr>
          <w:sz w:val="22"/>
          <w:szCs w:val="22"/>
        </w:rPr>
        <w:t xml:space="preserve">mg/kg </w:t>
      </w:r>
      <w:r w:rsidRPr="00EF4AD3">
        <w:rPr>
          <w:sz w:val="22"/>
          <w:szCs w:val="22"/>
        </w:rPr>
        <w:t>(25-35) mg/kg kūno svorio</w:t>
      </w:r>
    </w:p>
    <w:p w:rsidR="00183293" w:rsidRPr="00EF4AD3" w:rsidRDefault="00183293" w:rsidP="00782145">
      <w:pPr>
        <w:pStyle w:val="Pagrindinistekstas"/>
        <w:rPr>
          <w:sz w:val="22"/>
          <w:szCs w:val="22"/>
        </w:rPr>
      </w:pPr>
    </w:p>
    <w:p w:rsidR="00596AC8" w:rsidRPr="00EF4AD3" w:rsidRDefault="00596AC8" w:rsidP="00596AC8">
      <w:pPr>
        <w:rPr>
          <w:i/>
          <w:szCs w:val="22"/>
        </w:rPr>
      </w:pPr>
      <w:r w:rsidRPr="00EF4AD3">
        <w:rPr>
          <w:i/>
          <w:noProof/>
          <w:szCs w:val="22"/>
        </w:rPr>
        <w:t>Vaikų populiacija</w:t>
      </w:r>
    </w:p>
    <w:p w:rsidR="00782145" w:rsidRPr="00EF4AD3" w:rsidRDefault="00FC3E3E" w:rsidP="00782145">
      <w:pPr>
        <w:pStyle w:val="Pagrindinistekstas"/>
        <w:rPr>
          <w:i/>
          <w:sz w:val="22"/>
          <w:szCs w:val="22"/>
          <w:u w:val="single"/>
        </w:rPr>
      </w:pPr>
      <w:r w:rsidRPr="00EF4AD3">
        <w:rPr>
          <w:i/>
          <w:sz w:val="22"/>
          <w:szCs w:val="22"/>
          <w:u w:val="single"/>
        </w:rPr>
        <w:t>S</w:t>
      </w:r>
      <w:r w:rsidR="00596AC8" w:rsidRPr="00EF4AD3">
        <w:rPr>
          <w:i/>
          <w:sz w:val="22"/>
          <w:szCs w:val="22"/>
          <w:u w:val="single"/>
        </w:rPr>
        <w:t xml:space="preserve">kiriama vaikams </w:t>
      </w:r>
      <w:r w:rsidR="004850A1" w:rsidRPr="00EF4AD3">
        <w:rPr>
          <w:i/>
          <w:sz w:val="22"/>
          <w:szCs w:val="22"/>
          <w:u w:val="single"/>
        </w:rPr>
        <w:t xml:space="preserve">nuo </w:t>
      </w:r>
      <w:r w:rsidR="00B5098F" w:rsidRPr="00EF4AD3">
        <w:rPr>
          <w:i/>
          <w:sz w:val="22"/>
          <w:szCs w:val="22"/>
          <w:u w:val="single"/>
        </w:rPr>
        <w:t>6  metų amžiaus</w:t>
      </w:r>
    </w:p>
    <w:p w:rsidR="00B5098F" w:rsidRPr="00EF4AD3" w:rsidRDefault="00B957BA" w:rsidP="00782145">
      <w:pPr>
        <w:pStyle w:val="Pagrindinistekstas"/>
        <w:rPr>
          <w:sz w:val="22"/>
          <w:szCs w:val="22"/>
        </w:rPr>
      </w:pPr>
      <w:r w:rsidRPr="00EF4AD3">
        <w:rPr>
          <w:sz w:val="22"/>
          <w:szCs w:val="22"/>
        </w:rPr>
        <w:t>(kuriems</w:t>
      </w:r>
      <w:r w:rsidR="00B5098F" w:rsidRPr="00EF4AD3">
        <w:rPr>
          <w:sz w:val="22"/>
          <w:szCs w:val="22"/>
        </w:rPr>
        <w:t xml:space="preserve"> galima </w:t>
      </w:r>
      <w:r w:rsidRPr="00EF4AD3">
        <w:rPr>
          <w:sz w:val="22"/>
          <w:szCs w:val="22"/>
        </w:rPr>
        <w:t xml:space="preserve">patikimai </w:t>
      </w:r>
      <w:r w:rsidR="00B5098F" w:rsidRPr="00EF4AD3">
        <w:rPr>
          <w:sz w:val="22"/>
          <w:szCs w:val="22"/>
        </w:rPr>
        <w:t xml:space="preserve">atlikti </w:t>
      </w:r>
      <w:r w:rsidR="00B85E23" w:rsidRPr="00EF4AD3">
        <w:rPr>
          <w:sz w:val="22"/>
          <w:szCs w:val="22"/>
        </w:rPr>
        <w:t>regėjimo aštrumo</w:t>
      </w:r>
      <w:r w:rsidRPr="00EF4AD3">
        <w:rPr>
          <w:sz w:val="22"/>
          <w:szCs w:val="22"/>
        </w:rPr>
        <w:t xml:space="preserve"> tyrimą)</w:t>
      </w:r>
    </w:p>
    <w:p w:rsidR="00B957BA" w:rsidRPr="00EF4AD3" w:rsidRDefault="00B957BA" w:rsidP="00782145">
      <w:pPr>
        <w:pStyle w:val="Pagrindinistekstas"/>
        <w:rPr>
          <w:sz w:val="22"/>
          <w:szCs w:val="22"/>
        </w:rPr>
      </w:pPr>
    </w:p>
    <w:p w:rsidR="00B957BA" w:rsidRPr="00EF4AD3" w:rsidRDefault="00B957BA" w:rsidP="00782145">
      <w:pPr>
        <w:pStyle w:val="Pagrindinistekstas"/>
        <w:rPr>
          <w:i/>
          <w:sz w:val="22"/>
          <w:szCs w:val="22"/>
        </w:rPr>
      </w:pPr>
      <w:r w:rsidRPr="00EF4AD3">
        <w:rPr>
          <w:i/>
          <w:sz w:val="22"/>
          <w:szCs w:val="22"/>
        </w:rPr>
        <w:t>Kiekvienos dienos gydymas</w:t>
      </w:r>
    </w:p>
    <w:p w:rsidR="00D05E9E" w:rsidRPr="00EF4AD3" w:rsidRDefault="00D05E9E" w:rsidP="00D05E9E">
      <w:pPr>
        <w:pStyle w:val="Pagrindinistekstas"/>
        <w:rPr>
          <w:sz w:val="22"/>
          <w:szCs w:val="22"/>
        </w:rPr>
      </w:pPr>
      <w:r w:rsidRPr="00EF4AD3">
        <w:rPr>
          <w:sz w:val="22"/>
          <w:szCs w:val="22"/>
        </w:rPr>
        <w:t>20 mg/kg (15</w:t>
      </w:r>
      <w:r w:rsidRPr="00EF4AD3">
        <w:rPr>
          <w:sz w:val="22"/>
          <w:szCs w:val="22"/>
        </w:rPr>
        <w:noBreakHyphen/>
        <w:t>25 mg/kg) kūno svorio</w:t>
      </w:r>
    </w:p>
    <w:p w:rsidR="00D05E9E" w:rsidRPr="00EF4AD3" w:rsidRDefault="00F52609" w:rsidP="00D05E9E">
      <w:pPr>
        <w:pStyle w:val="Pagrindinistekstas"/>
        <w:rPr>
          <w:sz w:val="22"/>
          <w:szCs w:val="22"/>
        </w:rPr>
      </w:pPr>
      <w:r w:rsidRPr="00EF4AD3">
        <w:rPr>
          <w:sz w:val="22"/>
          <w:szCs w:val="22"/>
        </w:rPr>
        <w:t>Vaikams, sveriantiems daugiau nei 30 kg turi būti taikomos suaugusiųjų dozės.</w:t>
      </w:r>
    </w:p>
    <w:p w:rsidR="00D05E9E" w:rsidRPr="00EF4AD3" w:rsidRDefault="00D05E9E" w:rsidP="00D05E9E">
      <w:pPr>
        <w:pStyle w:val="Pagrindinistekstas"/>
        <w:rPr>
          <w:sz w:val="22"/>
          <w:szCs w:val="22"/>
        </w:rPr>
      </w:pPr>
      <w:r w:rsidRPr="00EF4AD3">
        <w:rPr>
          <w:sz w:val="22"/>
          <w:szCs w:val="22"/>
        </w:rPr>
        <w:t>EMB-Fatol 400 mg plėvele dengtų tablečių kiekis skiriamas vaikų gydymui, pagal svorio diapazonus:</w:t>
      </w:r>
    </w:p>
    <w:p w:rsidR="00D05E9E" w:rsidRPr="00EF4AD3" w:rsidRDefault="00D05E9E" w:rsidP="00D05E9E">
      <w:pPr>
        <w:pStyle w:val="Pagrindinisteksta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42"/>
        <w:gridCol w:w="1515"/>
        <w:gridCol w:w="1515"/>
        <w:gridCol w:w="1506"/>
        <w:gridCol w:w="1516"/>
      </w:tblGrid>
      <w:tr w:rsidR="001F17E1" w:rsidRPr="00EF4AD3" w:rsidTr="00FD0A47">
        <w:tc>
          <w:tcPr>
            <w:tcW w:w="822" w:type="pct"/>
            <w:shd w:val="clear" w:color="auto" w:fill="auto"/>
          </w:tcPr>
          <w:p w:rsidR="001F17E1" w:rsidRPr="00EF4AD3" w:rsidRDefault="001F17E1" w:rsidP="00FD0A47">
            <w:pPr>
              <w:pStyle w:val="Pagrindinistekstas"/>
              <w:rPr>
                <w:sz w:val="22"/>
                <w:szCs w:val="22"/>
              </w:rPr>
            </w:pPr>
          </w:p>
        </w:tc>
        <w:tc>
          <w:tcPr>
            <w:tcW w:w="4178" w:type="pct"/>
            <w:gridSpan w:val="5"/>
            <w:shd w:val="clear" w:color="auto" w:fill="auto"/>
          </w:tcPr>
          <w:p w:rsidR="001F17E1" w:rsidRPr="00EF4AD3" w:rsidRDefault="001F17E1" w:rsidP="001F17E1">
            <w:pPr>
              <w:pStyle w:val="Pagrindinistekstas"/>
              <w:jc w:val="center"/>
              <w:rPr>
                <w:b/>
                <w:sz w:val="22"/>
                <w:szCs w:val="22"/>
              </w:rPr>
            </w:pPr>
            <w:r w:rsidRPr="00EF4AD3">
              <w:rPr>
                <w:b/>
                <w:sz w:val="22"/>
                <w:szCs w:val="22"/>
              </w:rPr>
              <w:t>Svorio diapazonai, kg</w:t>
            </w:r>
          </w:p>
        </w:tc>
      </w:tr>
      <w:tr w:rsidR="001F17E1" w:rsidRPr="00EF4AD3" w:rsidTr="00FD0A47">
        <w:tc>
          <w:tcPr>
            <w:tcW w:w="822" w:type="pct"/>
            <w:shd w:val="clear" w:color="auto" w:fill="auto"/>
          </w:tcPr>
          <w:p w:rsidR="001F17E1" w:rsidRPr="00EF4AD3" w:rsidRDefault="001F17E1" w:rsidP="00FD0A47">
            <w:pPr>
              <w:pStyle w:val="Pagrindinistekstas"/>
              <w:rPr>
                <w:sz w:val="22"/>
                <w:szCs w:val="22"/>
              </w:rPr>
            </w:pPr>
            <w:r w:rsidRPr="00EF4AD3">
              <w:rPr>
                <w:b/>
                <w:sz w:val="22"/>
                <w:szCs w:val="22"/>
              </w:rPr>
              <w:t>15 mg etambutolio/kg kilogramui kūno svorio</w:t>
            </w:r>
          </w:p>
        </w:tc>
        <w:tc>
          <w:tcPr>
            <w:tcW w:w="891" w:type="pct"/>
            <w:shd w:val="clear" w:color="auto" w:fill="auto"/>
          </w:tcPr>
          <w:p w:rsidR="001F17E1" w:rsidRPr="00EF4AD3" w:rsidRDefault="001F17E1" w:rsidP="001F17E1">
            <w:pPr>
              <w:pStyle w:val="Pagrindinistekstas"/>
              <w:jc w:val="center"/>
              <w:rPr>
                <w:sz w:val="22"/>
                <w:szCs w:val="22"/>
              </w:rPr>
            </w:pPr>
            <w:r w:rsidRPr="00EF4AD3">
              <w:rPr>
                <w:sz w:val="22"/>
                <w:szCs w:val="22"/>
              </w:rPr>
              <w:t>26,6</w:t>
            </w:r>
          </w:p>
        </w:tc>
        <w:tc>
          <w:tcPr>
            <w:tcW w:w="823" w:type="pct"/>
            <w:shd w:val="clear" w:color="auto" w:fill="auto"/>
          </w:tcPr>
          <w:p w:rsidR="001F17E1" w:rsidRPr="00EF4AD3" w:rsidRDefault="001F17E1" w:rsidP="001F17E1">
            <w:pPr>
              <w:pStyle w:val="Pagrindinistekstas"/>
              <w:jc w:val="center"/>
              <w:rPr>
                <w:sz w:val="22"/>
                <w:szCs w:val="22"/>
              </w:rPr>
            </w:pPr>
            <w:r w:rsidRPr="00EF4AD3">
              <w:rPr>
                <w:sz w:val="22"/>
                <w:szCs w:val="22"/>
              </w:rPr>
              <w:t>40</w:t>
            </w:r>
          </w:p>
        </w:tc>
        <w:tc>
          <w:tcPr>
            <w:tcW w:w="823" w:type="pct"/>
            <w:shd w:val="clear" w:color="auto" w:fill="auto"/>
          </w:tcPr>
          <w:p w:rsidR="001F17E1" w:rsidRPr="00EF4AD3" w:rsidRDefault="008A7EEC" w:rsidP="008A7EEC">
            <w:pPr>
              <w:pStyle w:val="Pagrindinistekstas"/>
              <w:jc w:val="center"/>
              <w:rPr>
                <w:sz w:val="22"/>
                <w:szCs w:val="22"/>
              </w:rPr>
            </w:pPr>
            <w:r w:rsidRPr="00EF4AD3">
              <w:rPr>
                <w:sz w:val="22"/>
                <w:szCs w:val="22"/>
              </w:rPr>
              <w:t>53</w:t>
            </w:r>
            <w:r w:rsidR="001F17E1" w:rsidRPr="00EF4AD3">
              <w:rPr>
                <w:sz w:val="22"/>
                <w:szCs w:val="22"/>
              </w:rPr>
              <w:t>,</w:t>
            </w:r>
            <w:r w:rsidRPr="00EF4AD3">
              <w:rPr>
                <w:sz w:val="22"/>
                <w:szCs w:val="22"/>
              </w:rPr>
              <w:t>3</w:t>
            </w:r>
          </w:p>
        </w:tc>
        <w:tc>
          <w:tcPr>
            <w:tcW w:w="818" w:type="pct"/>
            <w:shd w:val="clear" w:color="auto" w:fill="auto"/>
          </w:tcPr>
          <w:p w:rsidR="001F17E1" w:rsidRPr="00EF4AD3" w:rsidRDefault="001F17E1" w:rsidP="001F17E1">
            <w:pPr>
              <w:pStyle w:val="Pagrindinistekstas"/>
              <w:jc w:val="center"/>
              <w:rPr>
                <w:sz w:val="22"/>
                <w:szCs w:val="22"/>
              </w:rPr>
            </w:pPr>
            <w:r w:rsidRPr="00EF4AD3">
              <w:rPr>
                <w:sz w:val="22"/>
                <w:szCs w:val="22"/>
              </w:rPr>
              <w:t>66,6</w:t>
            </w:r>
          </w:p>
        </w:tc>
        <w:tc>
          <w:tcPr>
            <w:tcW w:w="823" w:type="pct"/>
            <w:shd w:val="clear" w:color="auto" w:fill="auto"/>
          </w:tcPr>
          <w:p w:rsidR="001F17E1" w:rsidRPr="00EF4AD3" w:rsidRDefault="001F17E1" w:rsidP="001F17E1">
            <w:pPr>
              <w:pStyle w:val="Pagrindinistekstas"/>
              <w:jc w:val="center"/>
              <w:rPr>
                <w:sz w:val="22"/>
                <w:szCs w:val="22"/>
              </w:rPr>
            </w:pPr>
            <w:r w:rsidRPr="00EF4AD3">
              <w:rPr>
                <w:sz w:val="22"/>
                <w:szCs w:val="22"/>
              </w:rPr>
              <w:t>80</w:t>
            </w:r>
          </w:p>
        </w:tc>
      </w:tr>
      <w:tr w:rsidR="001F17E1" w:rsidRPr="00EF4AD3" w:rsidTr="00FD0A47">
        <w:tc>
          <w:tcPr>
            <w:tcW w:w="822" w:type="pct"/>
            <w:shd w:val="clear" w:color="auto" w:fill="auto"/>
          </w:tcPr>
          <w:p w:rsidR="001F17E1" w:rsidRPr="00EF4AD3" w:rsidRDefault="001F17E1" w:rsidP="00FD0A47">
            <w:pPr>
              <w:pStyle w:val="Pagrindinistekstas"/>
              <w:rPr>
                <w:b/>
                <w:sz w:val="22"/>
                <w:szCs w:val="22"/>
              </w:rPr>
            </w:pPr>
            <w:r w:rsidRPr="00EF4AD3">
              <w:rPr>
                <w:b/>
                <w:sz w:val="22"/>
                <w:szCs w:val="22"/>
              </w:rPr>
              <w:t>20 mg etambutolio/kg kilogramui kūno svorio</w:t>
            </w:r>
          </w:p>
        </w:tc>
        <w:tc>
          <w:tcPr>
            <w:tcW w:w="891" w:type="pct"/>
            <w:shd w:val="clear" w:color="auto" w:fill="auto"/>
          </w:tcPr>
          <w:p w:rsidR="001F17E1" w:rsidRPr="00EF4AD3" w:rsidRDefault="001F17E1" w:rsidP="00FD0A47">
            <w:pPr>
              <w:pStyle w:val="Pagrindinistekstas"/>
              <w:jc w:val="center"/>
              <w:rPr>
                <w:sz w:val="22"/>
                <w:szCs w:val="22"/>
              </w:rPr>
            </w:pPr>
            <w:r w:rsidRPr="00EF4AD3">
              <w:rPr>
                <w:sz w:val="22"/>
                <w:szCs w:val="22"/>
              </w:rPr>
              <w:t>20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30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40</w:t>
            </w:r>
          </w:p>
        </w:tc>
        <w:tc>
          <w:tcPr>
            <w:tcW w:w="818" w:type="pct"/>
            <w:shd w:val="clear" w:color="auto" w:fill="auto"/>
          </w:tcPr>
          <w:p w:rsidR="001F17E1" w:rsidRPr="00EF4AD3" w:rsidRDefault="001F17E1" w:rsidP="00FD0A47">
            <w:pPr>
              <w:pStyle w:val="Pagrindinistekstas"/>
              <w:jc w:val="center"/>
              <w:rPr>
                <w:sz w:val="22"/>
                <w:szCs w:val="22"/>
              </w:rPr>
            </w:pPr>
            <w:r w:rsidRPr="00EF4AD3">
              <w:rPr>
                <w:sz w:val="22"/>
                <w:szCs w:val="22"/>
              </w:rPr>
              <w:t>50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60</w:t>
            </w:r>
          </w:p>
        </w:tc>
      </w:tr>
      <w:tr w:rsidR="001F17E1" w:rsidRPr="00EF4AD3" w:rsidTr="00FD0A47">
        <w:tc>
          <w:tcPr>
            <w:tcW w:w="822" w:type="pct"/>
            <w:shd w:val="clear" w:color="auto" w:fill="auto"/>
          </w:tcPr>
          <w:p w:rsidR="001F17E1" w:rsidRPr="00EF4AD3" w:rsidRDefault="001F17E1" w:rsidP="001F17E1">
            <w:pPr>
              <w:pStyle w:val="Pagrindinistekstas"/>
              <w:rPr>
                <w:b/>
                <w:sz w:val="22"/>
                <w:szCs w:val="22"/>
              </w:rPr>
            </w:pPr>
            <w:r w:rsidRPr="00EF4AD3">
              <w:rPr>
                <w:b/>
                <w:sz w:val="22"/>
                <w:szCs w:val="22"/>
              </w:rPr>
              <w:t>25 mg etambutolio/kg kilogramui kūno svorio</w:t>
            </w:r>
          </w:p>
        </w:tc>
        <w:tc>
          <w:tcPr>
            <w:tcW w:w="891" w:type="pct"/>
            <w:shd w:val="clear" w:color="auto" w:fill="auto"/>
          </w:tcPr>
          <w:p w:rsidR="001F17E1" w:rsidRPr="00EF4AD3" w:rsidRDefault="001F17E1" w:rsidP="00FD0A47">
            <w:pPr>
              <w:pStyle w:val="Pagrindinistekstas"/>
              <w:jc w:val="center"/>
              <w:rPr>
                <w:sz w:val="22"/>
                <w:szCs w:val="22"/>
              </w:rPr>
            </w:pPr>
            <w:r w:rsidRPr="00EF4AD3">
              <w:rPr>
                <w:sz w:val="22"/>
                <w:szCs w:val="22"/>
              </w:rPr>
              <w:t>16</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24</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32</w:t>
            </w:r>
          </w:p>
        </w:tc>
        <w:tc>
          <w:tcPr>
            <w:tcW w:w="818" w:type="pct"/>
            <w:shd w:val="clear" w:color="auto" w:fill="auto"/>
          </w:tcPr>
          <w:p w:rsidR="001F17E1" w:rsidRPr="00EF4AD3" w:rsidRDefault="001F17E1" w:rsidP="00FD0A47">
            <w:pPr>
              <w:pStyle w:val="Pagrindinistekstas"/>
              <w:jc w:val="center"/>
              <w:rPr>
                <w:sz w:val="22"/>
                <w:szCs w:val="22"/>
              </w:rPr>
            </w:pPr>
            <w:r w:rsidRPr="00EF4AD3">
              <w:rPr>
                <w:sz w:val="22"/>
                <w:szCs w:val="22"/>
              </w:rPr>
              <w:t>40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48</w:t>
            </w:r>
          </w:p>
        </w:tc>
      </w:tr>
      <w:tr w:rsidR="001F17E1" w:rsidRPr="00EF4AD3" w:rsidTr="00FD0A47">
        <w:tc>
          <w:tcPr>
            <w:tcW w:w="822" w:type="pct"/>
            <w:shd w:val="clear" w:color="auto" w:fill="auto"/>
          </w:tcPr>
          <w:p w:rsidR="001F17E1" w:rsidRPr="00EF4AD3" w:rsidRDefault="001F17E1" w:rsidP="00FD0A47">
            <w:pPr>
              <w:pStyle w:val="Pagrindinistekstas"/>
              <w:rPr>
                <w:b/>
                <w:sz w:val="22"/>
                <w:szCs w:val="22"/>
              </w:rPr>
            </w:pPr>
            <w:r w:rsidRPr="00EF4AD3">
              <w:rPr>
                <w:b/>
                <w:sz w:val="22"/>
                <w:szCs w:val="22"/>
              </w:rPr>
              <w:t>Etambulio dozė, mg</w:t>
            </w:r>
          </w:p>
        </w:tc>
        <w:tc>
          <w:tcPr>
            <w:tcW w:w="891" w:type="pct"/>
            <w:shd w:val="clear" w:color="auto" w:fill="auto"/>
          </w:tcPr>
          <w:p w:rsidR="001F17E1" w:rsidRPr="00EF4AD3" w:rsidRDefault="001F17E1" w:rsidP="00FD0A47">
            <w:pPr>
              <w:pStyle w:val="Pagrindinistekstas"/>
              <w:jc w:val="center"/>
              <w:rPr>
                <w:sz w:val="22"/>
                <w:szCs w:val="22"/>
              </w:rPr>
            </w:pPr>
            <w:r w:rsidRPr="00EF4AD3">
              <w:rPr>
                <w:sz w:val="22"/>
                <w:szCs w:val="22"/>
              </w:rPr>
              <w:t>400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600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800</w:t>
            </w:r>
          </w:p>
        </w:tc>
        <w:tc>
          <w:tcPr>
            <w:tcW w:w="818" w:type="pct"/>
            <w:shd w:val="clear" w:color="auto" w:fill="auto"/>
          </w:tcPr>
          <w:p w:rsidR="001F17E1" w:rsidRPr="00EF4AD3" w:rsidRDefault="001F17E1" w:rsidP="00FD0A47">
            <w:pPr>
              <w:pStyle w:val="Pagrindinistekstas"/>
              <w:jc w:val="center"/>
              <w:rPr>
                <w:sz w:val="22"/>
                <w:szCs w:val="22"/>
              </w:rPr>
            </w:pPr>
            <w:r w:rsidRPr="00EF4AD3">
              <w:rPr>
                <w:sz w:val="22"/>
                <w:szCs w:val="22"/>
              </w:rPr>
              <w:t>1000</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1200</w:t>
            </w:r>
          </w:p>
        </w:tc>
      </w:tr>
      <w:tr w:rsidR="001F17E1" w:rsidRPr="00EF4AD3" w:rsidTr="00FD0A47">
        <w:tc>
          <w:tcPr>
            <w:tcW w:w="822" w:type="pct"/>
            <w:shd w:val="clear" w:color="auto" w:fill="auto"/>
          </w:tcPr>
          <w:p w:rsidR="001F17E1" w:rsidRPr="00EF4AD3" w:rsidRDefault="001F17E1" w:rsidP="00FD0A47">
            <w:pPr>
              <w:pStyle w:val="Pagrindinistekstas"/>
              <w:rPr>
                <w:b/>
                <w:sz w:val="22"/>
                <w:szCs w:val="22"/>
              </w:rPr>
            </w:pPr>
            <w:r w:rsidRPr="00EF4AD3">
              <w:rPr>
                <w:b/>
                <w:sz w:val="22"/>
                <w:szCs w:val="22"/>
              </w:rPr>
              <w:t>EMB-Fatol 400 mg tablečių kiekis</w:t>
            </w:r>
          </w:p>
        </w:tc>
        <w:tc>
          <w:tcPr>
            <w:tcW w:w="891" w:type="pct"/>
            <w:shd w:val="clear" w:color="auto" w:fill="auto"/>
          </w:tcPr>
          <w:p w:rsidR="001F17E1" w:rsidRPr="00EF4AD3" w:rsidRDefault="001F17E1" w:rsidP="00FD0A47">
            <w:pPr>
              <w:pStyle w:val="Pagrindinistekstas"/>
              <w:jc w:val="center"/>
              <w:rPr>
                <w:sz w:val="22"/>
                <w:szCs w:val="22"/>
              </w:rPr>
            </w:pPr>
            <w:r w:rsidRPr="00EF4AD3">
              <w:rPr>
                <w:sz w:val="22"/>
                <w:szCs w:val="22"/>
              </w:rPr>
              <w:t>1</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1½</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2</w:t>
            </w:r>
          </w:p>
        </w:tc>
        <w:tc>
          <w:tcPr>
            <w:tcW w:w="818" w:type="pct"/>
            <w:shd w:val="clear" w:color="auto" w:fill="auto"/>
          </w:tcPr>
          <w:p w:rsidR="001F17E1" w:rsidRPr="00EF4AD3" w:rsidRDefault="001F17E1" w:rsidP="00FD0A47">
            <w:pPr>
              <w:pStyle w:val="Pagrindinistekstas"/>
              <w:jc w:val="center"/>
              <w:rPr>
                <w:sz w:val="22"/>
                <w:szCs w:val="22"/>
              </w:rPr>
            </w:pPr>
            <w:r w:rsidRPr="00EF4AD3">
              <w:rPr>
                <w:sz w:val="22"/>
                <w:szCs w:val="22"/>
              </w:rPr>
              <w:t>2½</w:t>
            </w:r>
          </w:p>
        </w:tc>
        <w:tc>
          <w:tcPr>
            <w:tcW w:w="823" w:type="pct"/>
            <w:shd w:val="clear" w:color="auto" w:fill="auto"/>
          </w:tcPr>
          <w:p w:rsidR="001F17E1" w:rsidRPr="00EF4AD3" w:rsidRDefault="001F17E1" w:rsidP="00FD0A47">
            <w:pPr>
              <w:pStyle w:val="Pagrindinistekstas"/>
              <w:jc w:val="center"/>
              <w:rPr>
                <w:sz w:val="22"/>
                <w:szCs w:val="22"/>
              </w:rPr>
            </w:pPr>
            <w:r w:rsidRPr="00EF4AD3">
              <w:rPr>
                <w:sz w:val="22"/>
                <w:szCs w:val="22"/>
              </w:rPr>
              <w:t>3</w:t>
            </w:r>
          </w:p>
        </w:tc>
      </w:tr>
    </w:tbl>
    <w:p w:rsidR="001F17E1" w:rsidRPr="00EF4AD3" w:rsidRDefault="001F17E1" w:rsidP="00782145">
      <w:pPr>
        <w:pStyle w:val="Pagrindinistekstas"/>
        <w:rPr>
          <w:sz w:val="22"/>
          <w:szCs w:val="22"/>
        </w:rPr>
      </w:pPr>
    </w:p>
    <w:p w:rsidR="00FC3E3E" w:rsidRPr="00EF4AD3" w:rsidRDefault="00FC3E3E" w:rsidP="00782145">
      <w:pPr>
        <w:pStyle w:val="Pagrindinistekstas"/>
        <w:rPr>
          <w:sz w:val="22"/>
          <w:szCs w:val="22"/>
        </w:rPr>
      </w:pPr>
    </w:p>
    <w:p w:rsidR="005F0BCF" w:rsidRPr="00EF4AD3" w:rsidRDefault="00CB27EF" w:rsidP="00FC3E3E">
      <w:pPr>
        <w:pStyle w:val="Pagrindinistekstas"/>
        <w:rPr>
          <w:sz w:val="22"/>
          <w:szCs w:val="22"/>
        </w:rPr>
      </w:pPr>
      <w:r w:rsidRPr="00EF4AD3">
        <w:rPr>
          <w:sz w:val="22"/>
          <w:szCs w:val="22"/>
        </w:rPr>
        <w:t>Pacientams, kurių inkstų funkcija sutrikusi</w:t>
      </w:r>
    </w:p>
    <w:p w:rsidR="005F0BCF" w:rsidRPr="00EF4AD3" w:rsidRDefault="005F0BCF" w:rsidP="00BD4864">
      <w:pPr>
        <w:rPr>
          <w:szCs w:val="22"/>
        </w:rPr>
      </w:pPr>
      <w:r w:rsidRPr="00EF4AD3">
        <w:rPr>
          <w:szCs w:val="22"/>
        </w:rPr>
        <w:t>Pacientų su sutrikusia inkstų funkcija dozė priklauso nuo glomerulų filtracijos greičio (GFG) skaičiuojamo ml/min. Tinkama dozė nustatoma koreguojant dozavimo intervalą ir, jei reikia, tiriant vaisto koncentraciją serume. Tačiau ligoniams su sunkiu inkstų funkcijos sutrikimu doz</w:t>
      </w:r>
      <w:r w:rsidR="008B2AA6" w:rsidRPr="00EF4AD3">
        <w:rPr>
          <w:szCs w:val="22"/>
        </w:rPr>
        <w:t>ę</w:t>
      </w:r>
      <w:r w:rsidRPr="00EF4AD3">
        <w:rPr>
          <w:szCs w:val="22"/>
        </w:rPr>
        <w:t xml:space="preserve"> reikia nustatyti tiriant vaisto koncentraciją serume. </w:t>
      </w:r>
    </w:p>
    <w:p w:rsidR="005F0BCF" w:rsidRPr="00EF4AD3" w:rsidRDefault="005F0BCF" w:rsidP="00BD4864">
      <w:pPr>
        <w:rPr>
          <w:szCs w:val="22"/>
        </w:rPr>
      </w:pPr>
    </w:p>
    <w:p w:rsidR="005F0BCF" w:rsidRPr="00EF4AD3" w:rsidRDefault="005F0BCF" w:rsidP="00782145">
      <w:pPr>
        <w:jc w:val="both"/>
        <w:rPr>
          <w:szCs w:val="22"/>
        </w:rPr>
      </w:pPr>
      <w:r w:rsidRPr="00EF4AD3">
        <w:rPr>
          <w:szCs w:val="22"/>
        </w:rPr>
        <w:t>Dozavimas pacientams su inkstų funkcijos sutrikimu</w:t>
      </w:r>
    </w:p>
    <w:p w:rsidR="005F0BCF" w:rsidRPr="00EF4AD3" w:rsidRDefault="005F0BCF" w:rsidP="00782145">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38"/>
        <w:gridCol w:w="2319"/>
        <w:gridCol w:w="2317"/>
      </w:tblGrid>
      <w:tr w:rsidR="005F0BCF" w:rsidRPr="00EF4AD3" w:rsidTr="005B5ECB">
        <w:tc>
          <w:tcPr>
            <w:tcW w:w="2463" w:type="dxa"/>
          </w:tcPr>
          <w:p w:rsidR="005F0BCF" w:rsidRPr="00EF4AD3" w:rsidRDefault="005F0BCF" w:rsidP="005B5ECB">
            <w:pPr>
              <w:jc w:val="center"/>
              <w:rPr>
                <w:szCs w:val="22"/>
              </w:rPr>
            </w:pPr>
          </w:p>
        </w:tc>
        <w:tc>
          <w:tcPr>
            <w:tcW w:w="7391" w:type="dxa"/>
            <w:gridSpan w:val="3"/>
          </w:tcPr>
          <w:p w:rsidR="005F0BCF" w:rsidRPr="00EF4AD3" w:rsidRDefault="005F0BCF" w:rsidP="005B5ECB">
            <w:pPr>
              <w:jc w:val="center"/>
              <w:rPr>
                <w:szCs w:val="22"/>
              </w:rPr>
            </w:pPr>
            <w:r w:rsidRPr="00EF4AD3">
              <w:rPr>
                <w:szCs w:val="22"/>
              </w:rPr>
              <w:t>Dozavimo intervalas remiantis GFG (ml/min.)</w:t>
            </w:r>
          </w:p>
        </w:tc>
      </w:tr>
      <w:tr w:rsidR="005F0BCF" w:rsidRPr="00EF4AD3" w:rsidTr="005B5ECB">
        <w:tc>
          <w:tcPr>
            <w:tcW w:w="2463" w:type="dxa"/>
          </w:tcPr>
          <w:p w:rsidR="005F0BCF" w:rsidRPr="00EF4AD3" w:rsidRDefault="005F0BCF" w:rsidP="005B5ECB">
            <w:pPr>
              <w:jc w:val="center"/>
              <w:rPr>
                <w:szCs w:val="22"/>
              </w:rPr>
            </w:pPr>
            <w:r w:rsidRPr="00EF4AD3">
              <w:rPr>
                <w:szCs w:val="22"/>
              </w:rPr>
              <w:t>Dozė (mg/kg k.s.)</w:t>
            </w:r>
          </w:p>
        </w:tc>
        <w:tc>
          <w:tcPr>
            <w:tcW w:w="2463" w:type="dxa"/>
          </w:tcPr>
          <w:p w:rsidR="005F0BCF" w:rsidRPr="00EF4AD3" w:rsidRDefault="005F0BCF" w:rsidP="005B5ECB">
            <w:pPr>
              <w:jc w:val="center"/>
              <w:rPr>
                <w:szCs w:val="22"/>
              </w:rPr>
            </w:pPr>
            <w:r w:rsidRPr="00EF4AD3">
              <w:rPr>
                <w:szCs w:val="22"/>
              </w:rPr>
              <w:t>GFG 80</w:t>
            </w:r>
            <w:r w:rsidRPr="00EF4AD3">
              <w:rPr>
                <w:szCs w:val="22"/>
              </w:rPr>
              <w:noBreakHyphen/>
              <w:t>30</w:t>
            </w:r>
          </w:p>
        </w:tc>
        <w:tc>
          <w:tcPr>
            <w:tcW w:w="2464" w:type="dxa"/>
          </w:tcPr>
          <w:p w:rsidR="005F0BCF" w:rsidRPr="00EF4AD3" w:rsidRDefault="00AF0DC9" w:rsidP="0095142D">
            <w:pPr>
              <w:jc w:val="center"/>
              <w:rPr>
                <w:szCs w:val="22"/>
              </w:rPr>
            </w:pPr>
            <w:r w:rsidRPr="00EF4AD3">
              <w:rPr>
                <w:szCs w:val="22"/>
              </w:rPr>
              <w:t>GFG &lt; 30</w:t>
            </w:r>
            <w:r w:rsidRPr="00EF4AD3">
              <w:rPr>
                <w:szCs w:val="22"/>
              </w:rPr>
              <w:noBreakHyphen/>
              <w:t>1</w:t>
            </w:r>
            <w:r w:rsidR="00E52503">
              <w:rPr>
                <w:szCs w:val="22"/>
              </w:rPr>
              <w:t>5</w:t>
            </w:r>
          </w:p>
        </w:tc>
        <w:tc>
          <w:tcPr>
            <w:tcW w:w="2464" w:type="dxa"/>
          </w:tcPr>
          <w:p w:rsidR="005F0BCF" w:rsidRPr="00EF4AD3" w:rsidRDefault="00AF0DC9" w:rsidP="0095142D">
            <w:pPr>
              <w:jc w:val="center"/>
              <w:rPr>
                <w:szCs w:val="22"/>
              </w:rPr>
            </w:pPr>
            <w:r w:rsidRPr="00EF4AD3">
              <w:rPr>
                <w:szCs w:val="22"/>
              </w:rPr>
              <w:t>GFG &lt; 1</w:t>
            </w:r>
            <w:r w:rsidR="00E52503">
              <w:rPr>
                <w:szCs w:val="22"/>
              </w:rPr>
              <w:t>5</w:t>
            </w:r>
          </w:p>
        </w:tc>
      </w:tr>
      <w:tr w:rsidR="005F0BCF" w:rsidRPr="00EF4AD3" w:rsidTr="005B5ECB">
        <w:tc>
          <w:tcPr>
            <w:tcW w:w="2463" w:type="dxa"/>
          </w:tcPr>
          <w:p w:rsidR="005F0BCF" w:rsidRPr="00EF4AD3" w:rsidRDefault="002316CF" w:rsidP="005B5ECB">
            <w:pPr>
              <w:jc w:val="center"/>
              <w:rPr>
                <w:szCs w:val="22"/>
              </w:rPr>
            </w:pPr>
            <w:r w:rsidRPr="00EF4AD3">
              <w:rPr>
                <w:szCs w:val="22"/>
              </w:rPr>
              <w:t>15</w:t>
            </w:r>
          </w:p>
        </w:tc>
        <w:tc>
          <w:tcPr>
            <w:tcW w:w="2463" w:type="dxa"/>
          </w:tcPr>
          <w:p w:rsidR="005F0BCF" w:rsidRPr="00EF4AD3" w:rsidRDefault="00AF0DC9" w:rsidP="00FC3E3E">
            <w:pPr>
              <w:jc w:val="center"/>
              <w:rPr>
                <w:szCs w:val="22"/>
              </w:rPr>
            </w:pPr>
            <w:r w:rsidRPr="00EF4AD3">
              <w:rPr>
                <w:szCs w:val="22"/>
              </w:rPr>
              <w:t xml:space="preserve">Kiekvieną </w:t>
            </w:r>
            <w:r w:rsidR="00FC3E3E" w:rsidRPr="00EF4AD3">
              <w:rPr>
                <w:szCs w:val="22"/>
              </w:rPr>
              <w:t>par</w:t>
            </w:r>
            <w:r w:rsidRPr="00EF4AD3">
              <w:rPr>
                <w:szCs w:val="22"/>
              </w:rPr>
              <w:t>ą</w:t>
            </w:r>
          </w:p>
        </w:tc>
        <w:tc>
          <w:tcPr>
            <w:tcW w:w="2464" w:type="dxa"/>
          </w:tcPr>
          <w:p w:rsidR="005F0BCF" w:rsidRPr="00EF4AD3" w:rsidRDefault="00AF0DC9" w:rsidP="005B5ECB">
            <w:pPr>
              <w:jc w:val="center"/>
              <w:rPr>
                <w:szCs w:val="22"/>
              </w:rPr>
            </w:pPr>
            <w:r w:rsidRPr="00EF4AD3">
              <w:rPr>
                <w:szCs w:val="22"/>
              </w:rPr>
              <w:t>3 x per savaitę</w:t>
            </w:r>
          </w:p>
        </w:tc>
        <w:tc>
          <w:tcPr>
            <w:tcW w:w="2464" w:type="dxa"/>
          </w:tcPr>
          <w:p w:rsidR="005F0BCF" w:rsidRPr="00EF4AD3" w:rsidRDefault="0095142D" w:rsidP="005B5ECB">
            <w:pPr>
              <w:jc w:val="center"/>
              <w:rPr>
                <w:szCs w:val="22"/>
                <w:vertAlign w:val="superscript"/>
              </w:rPr>
            </w:pPr>
            <w:r w:rsidRPr="00EF4AD3">
              <w:rPr>
                <w:szCs w:val="22"/>
              </w:rPr>
              <w:t>3</w:t>
            </w:r>
            <w:r w:rsidR="00AF0DC9" w:rsidRPr="00EF4AD3">
              <w:rPr>
                <w:szCs w:val="22"/>
              </w:rPr>
              <w:t xml:space="preserve"> x per savaitę</w:t>
            </w:r>
            <w:r w:rsidR="00AF0DC9" w:rsidRPr="00EF4AD3">
              <w:rPr>
                <w:szCs w:val="22"/>
                <w:vertAlign w:val="superscript"/>
              </w:rPr>
              <w:t>*</w:t>
            </w:r>
          </w:p>
        </w:tc>
      </w:tr>
    </w:tbl>
    <w:p w:rsidR="005F0BCF" w:rsidRPr="00EF4AD3" w:rsidRDefault="005F0BCF" w:rsidP="00782145">
      <w:pPr>
        <w:jc w:val="both"/>
        <w:rPr>
          <w:szCs w:val="22"/>
        </w:rPr>
      </w:pPr>
    </w:p>
    <w:p w:rsidR="00AF0DC9" w:rsidRPr="00EF4AD3" w:rsidRDefault="00AF0DC9" w:rsidP="00BD4864">
      <w:pPr>
        <w:rPr>
          <w:szCs w:val="22"/>
        </w:rPr>
      </w:pPr>
      <w:r w:rsidRPr="00EF4AD3">
        <w:rPr>
          <w:szCs w:val="22"/>
        </w:rPr>
        <w:t>* Etambutolio koncentraciją serume tiriama praėjus 2 val. po pavartojimo</w:t>
      </w:r>
      <w:r w:rsidR="0095142D" w:rsidRPr="00EF4AD3">
        <w:rPr>
          <w:szCs w:val="22"/>
        </w:rPr>
        <w:t xml:space="preserve"> (C</w:t>
      </w:r>
      <w:r w:rsidR="0095142D" w:rsidRPr="00EF4AD3">
        <w:rPr>
          <w:szCs w:val="22"/>
          <w:vertAlign w:val="subscript"/>
        </w:rPr>
        <w:t xml:space="preserve">max </w:t>
      </w:r>
      <w:r w:rsidR="0095142D" w:rsidRPr="00EF4AD3">
        <w:rPr>
          <w:szCs w:val="22"/>
        </w:rPr>
        <w:t>=</w:t>
      </w:r>
      <w:r w:rsidRPr="00EF4AD3">
        <w:rPr>
          <w:szCs w:val="22"/>
        </w:rPr>
        <w:t xml:space="preserve"> 2</w:t>
      </w:r>
      <w:r w:rsidRPr="00EF4AD3">
        <w:rPr>
          <w:szCs w:val="22"/>
        </w:rPr>
        <w:softHyphen/>
        <w:t>6 mg/l</w:t>
      </w:r>
      <w:r w:rsidR="0095142D" w:rsidRPr="00EF4AD3">
        <w:rPr>
          <w:szCs w:val="22"/>
        </w:rPr>
        <w:t xml:space="preserve">) arba prieš vartojimą </w:t>
      </w:r>
      <w:r w:rsidR="00CB27EF" w:rsidRPr="00EF4AD3">
        <w:rPr>
          <w:szCs w:val="22"/>
        </w:rPr>
        <w:t>(C</w:t>
      </w:r>
      <w:r w:rsidR="00CB27EF" w:rsidRPr="00EF4AD3">
        <w:rPr>
          <w:szCs w:val="22"/>
          <w:vertAlign w:val="subscript"/>
        </w:rPr>
        <w:t>min</w:t>
      </w:r>
      <w:r w:rsidR="00CB27EF" w:rsidRPr="00EF4AD3">
        <w:rPr>
          <w:szCs w:val="22"/>
        </w:rPr>
        <w:t xml:space="preserve"> &lt; 1 mg/l)</w:t>
      </w:r>
    </w:p>
    <w:p w:rsidR="00AF0DC9" w:rsidRPr="00EF4AD3" w:rsidRDefault="00AF0DC9" w:rsidP="00BD4864">
      <w:pPr>
        <w:rPr>
          <w:szCs w:val="22"/>
        </w:rPr>
      </w:pPr>
    </w:p>
    <w:p w:rsidR="00CB27EF" w:rsidRPr="00EF4AD3" w:rsidRDefault="00CB27EF" w:rsidP="00BD4864">
      <w:pPr>
        <w:rPr>
          <w:szCs w:val="22"/>
        </w:rPr>
      </w:pPr>
      <w:r w:rsidRPr="00EF4AD3">
        <w:rPr>
          <w:szCs w:val="22"/>
        </w:rPr>
        <w:t>Dializuojami pacientai EMB-Fatol turėtų vartoti 4</w:t>
      </w:r>
      <w:r w:rsidRPr="00EF4AD3">
        <w:rPr>
          <w:szCs w:val="22"/>
        </w:rPr>
        <w:noBreakHyphen/>
        <w:t>6 val. prieš dializę arba iš karto po dializės.</w:t>
      </w:r>
    </w:p>
    <w:p w:rsidR="00CB27EF" w:rsidRPr="00EF4AD3" w:rsidRDefault="00CB27EF" w:rsidP="00BD4864">
      <w:pPr>
        <w:pStyle w:val="Pagrindinistekstas"/>
        <w:jc w:val="left"/>
        <w:rPr>
          <w:sz w:val="22"/>
          <w:szCs w:val="22"/>
        </w:rPr>
      </w:pPr>
    </w:p>
    <w:p w:rsidR="00CB27EF" w:rsidRPr="00EF4AD3" w:rsidRDefault="00CB27EF" w:rsidP="00BD4864">
      <w:pPr>
        <w:pStyle w:val="Pagrindinistekstas"/>
        <w:jc w:val="left"/>
        <w:rPr>
          <w:sz w:val="22"/>
          <w:szCs w:val="22"/>
        </w:rPr>
      </w:pPr>
      <w:r w:rsidRPr="00EF4AD3">
        <w:rPr>
          <w:sz w:val="22"/>
          <w:szCs w:val="22"/>
        </w:rPr>
        <w:t>Pacientams, kurių kepenų funkcija sutrikusi</w:t>
      </w:r>
    </w:p>
    <w:p w:rsidR="00CB27EF" w:rsidRPr="00EF4AD3" w:rsidRDefault="00CB27EF" w:rsidP="00BD4864">
      <w:pPr>
        <w:rPr>
          <w:szCs w:val="22"/>
        </w:rPr>
      </w:pPr>
      <w:r w:rsidRPr="00EF4AD3">
        <w:rPr>
          <w:szCs w:val="22"/>
        </w:rPr>
        <w:t>Pacientams, sergantiems kepenų nepakankamumu, EMB-Fatol dozės koreguoti nereikia.</w:t>
      </w:r>
    </w:p>
    <w:p w:rsidR="00CB27EF" w:rsidRPr="00EF4AD3" w:rsidRDefault="00CB27EF" w:rsidP="00BD4864">
      <w:pPr>
        <w:pStyle w:val="Pagrindinistekstas"/>
        <w:jc w:val="left"/>
        <w:rPr>
          <w:sz w:val="22"/>
          <w:szCs w:val="22"/>
        </w:rPr>
      </w:pPr>
    </w:p>
    <w:p w:rsidR="00CB27EF" w:rsidRPr="00EF4AD3" w:rsidRDefault="00CB27EF" w:rsidP="00BD4864">
      <w:pPr>
        <w:pStyle w:val="Pagrindinistekstas"/>
        <w:jc w:val="left"/>
        <w:rPr>
          <w:sz w:val="22"/>
          <w:szCs w:val="22"/>
        </w:rPr>
      </w:pPr>
      <w:r w:rsidRPr="00EF4AD3">
        <w:rPr>
          <w:sz w:val="22"/>
          <w:szCs w:val="22"/>
        </w:rPr>
        <w:t>Senyviems pacientams</w:t>
      </w:r>
    </w:p>
    <w:p w:rsidR="00CB27EF" w:rsidRPr="00EF4AD3" w:rsidRDefault="00CB27EF" w:rsidP="00BD4864">
      <w:pPr>
        <w:rPr>
          <w:szCs w:val="22"/>
        </w:rPr>
      </w:pPr>
      <w:r w:rsidRPr="00EF4AD3">
        <w:rPr>
          <w:szCs w:val="22"/>
        </w:rPr>
        <w:t>Senyviems pacientams EMB-Fatol dozės koreguoti nereikia. Tačiau, senyviems pacientams reikia reguliariai tirti inkstų funkciją (nes dažnai nustatomi jos sutrikimai) ir, atitinkamai, koreguoti etambutolio dozę (žr. poskyrį „Pacientams, kurių inkstų funkcija sutrikusi“).</w:t>
      </w:r>
    </w:p>
    <w:p w:rsidR="00CB27EF" w:rsidRPr="00EF4AD3" w:rsidRDefault="00CB27EF" w:rsidP="00BD4864">
      <w:pPr>
        <w:pStyle w:val="Pagrindinistekstas"/>
        <w:jc w:val="left"/>
        <w:rPr>
          <w:sz w:val="22"/>
          <w:szCs w:val="22"/>
        </w:rPr>
      </w:pPr>
    </w:p>
    <w:p w:rsidR="00B11602" w:rsidRPr="00EF4AD3" w:rsidRDefault="00B11602" w:rsidP="00BD4864">
      <w:pPr>
        <w:pStyle w:val="Pagrindinistekstas"/>
        <w:jc w:val="left"/>
        <w:rPr>
          <w:sz w:val="22"/>
          <w:szCs w:val="22"/>
          <w:u w:val="single"/>
        </w:rPr>
      </w:pPr>
      <w:r w:rsidRPr="00EF4AD3">
        <w:rPr>
          <w:sz w:val="22"/>
          <w:szCs w:val="22"/>
          <w:u w:val="single"/>
        </w:rPr>
        <w:t>Vartojimo metodas</w:t>
      </w:r>
    </w:p>
    <w:p w:rsidR="00B11602" w:rsidRPr="00EF4AD3" w:rsidRDefault="00B11602" w:rsidP="00BD4864">
      <w:pPr>
        <w:pStyle w:val="Pagrindinistekstas"/>
        <w:jc w:val="left"/>
        <w:rPr>
          <w:sz w:val="22"/>
          <w:szCs w:val="22"/>
        </w:rPr>
      </w:pPr>
    </w:p>
    <w:p w:rsidR="00B11602" w:rsidRPr="00EF4AD3" w:rsidRDefault="00B11602" w:rsidP="00BD4864">
      <w:pPr>
        <w:pStyle w:val="Pagrindinistekstas"/>
        <w:jc w:val="left"/>
        <w:rPr>
          <w:sz w:val="22"/>
          <w:szCs w:val="22"/>
        </w:rPr>
      </w:pPr>
      <w:r w:rsidRPr="00EF4AD3">
        <w:rPr>
          <w:sz w:val="22"/>
          <w:szCs w:val="22"/>
        </w:rPr>
        <w:t>Paros dozę reikia išgerti ryte, esant tuščiam skrandžiui, iš karto ir kartu su kitais kombinacijos vaistais.</w:t>
      </w:r>
    </w:p>
    <w:p w:rsidR="00B11602" w:rsidRPr="00EF4AD3" w:rsidRDefault="00B11602" w:rsidP="00BD4864">
      <w:pPr>
        <w:pStyle w:val="Pagrindinistekstas"/>
        <w:jc w:val="left"/>
        <w:rPr>
          <w:sz w:val="22"/>
          <w:szCs w:val="22"/>
        </w:rPr>
      </w:pPr>
    </w:p>
    <w:p w:rsidR="00B11602" w:rsidRPr="00EF4AD3" w:rsidRDefault="00B11602" w:rsidP="00BD4864">
      <w:pPr>
        <w:pStyle w:val="Pagrindinistekstas"/>
        <w:jc w:val="left"/>
        <w:rPr>
          <w:i/>
          <w:sz w:val="22"/>
          <w:szCs w:val="22"/>
        </w:rPr>
      </w:pPr>
      <w:r w:rsidRPr="00EF4AD3">
        <w:rPr>
          <w:i/>
          <w:sz w:val="22"/>
          <w:szCs w:val="22"/>
        </w:rPr>
        <w:t>Gydymo trukmė</w:t>
      </w:r>
    </w:p>
    <w:p w:rsidR="00B11602" w:rsidRPr="00EF4AD3" w:rsidRDefault="00B11602" w:rsidP="00BD4864">
      <w:pPr>
        <w:pStyle w:val="Pagrindinistekstas"/>
        <w:jc w:val="left"/>
        <w:rPr>
          <w:sz w:val="22"/>
          <w:szCs w:val="22"/>
        </w:rPr>
      </w:pPr>
      <w:r w:rsidRPr="00EF4AD3">
        <w:rPr>
          <w:sz w:val="22"/>
          <w:szCs w:val="22"/>
        </w:rPr>
        <w:t>Tuberkuliozės gydymo etambutoliu trukmė dažniausiai priklauso nuo naudojamos gydymo schemos.</w:t>
      </w:r>
    </w:p>
    <w:p w:rsidR="00B11602" w:rsidRPr="00EF4AD3" w:rsidRDefault="00B11602" w:rsidP="00BD4864">
      <w:pPr>
        <w:pStyle w:val="Pagrindinistekstas"/>
        <w:jc w:val="left"/>
        <w:rPr>
          <w:sz w:val="22"/>
          <w:szCs w:val="22"/>
        </w:rPr>
      </w:pPr>
    </w:p>
    <w:p w:rsidR="00CB27EF" w:rsidRPr="00EF4AD3" w:rsidRDefault="00CB27EF" w:rsidP="00BD4864">
      <w:pPr>
        <w:pStyle w:val="Pagrindinistekstas"/>
        <w:jc w:val="left"/>
        <w:rPr>
          <w:sz w:val="22"/>
          <w:szCs w:val="22"/>
        </w:rPr>
      </w:pPr>
      <w:r w:rsidRPr="00EF4AD3">
        <w:rPr>
          <w:sz w:val="22"/>
          <w:szCs w:val="22"/>
        </w:rPr>
        <w:t>Standartinėje gydymo schemoje, etambutolis yra skiriamas varto</w:t>
      </w:r>
      <w:r w:rsidR="00074B3C" w:rsidRPr="00EF4AD3">
        <w:rPr>
          <w:sz w:val="22"/>
          <w:szCs w:val="22"/>
        </w:rPr>
        <w:t>ti</w:t>
      </w:r>
      <w:r w:rsidRPr="00EF4AD3">
        <w:rPr>
          <w:sz w:val="22"/>
          <w:szCs w:val="22"/>
        </w:rPr>
        <w:t xml:space="preserve"> ilgiau nei 2 mėnesius.</w:t>
      </w:r>
    </w:p>
    <w:p w:rsidR="00CB27EF" w:rsidRPr="00EF4AD3" w:rsidRDefault="00CB27EF" w:rsidP="00BD4864">
      <w:pPr>
        <w:pStyle w:val="Pagrindinistekstas"/>
        <w:jc w:val="left"/>
        <w:rPr>
          <w:sz w:val="22"/>
          <w:szCs w:val="22"/>
        </w:rPr>
      </w:pPr>
    </w:p>
    <w:p w:rsidR="00B11602" w:rsidRPr="00EF4AD3" w:rsidRDefault="00B11602" w:rsidP="00BD4864">
      <w:pPr>
        <w:pStyle w:val="Pagrindinistekstas"/>
        <w:jc w:val="left"/>
        <w:rPr>
          <w:sz w:val="22"/>
          <w:szCs w:val="22"/>
        </w:rPr>
      </w:pPr>
      <w:r w:rsidRPr="00EF4AD3">
        <w:rPr>
          <w:sz w:val="22"/>
          <w:szCs w:val="22"/>
        </w:rPr>
        <w:t>Jeigu nustatomas atsparumas vienam iš kartu standartinio gydymo metu skiriamam preparatui (pvz., izoniazidui arba rifampicinui), jeigu nustatomas atsparumas (įrodomas atsparumas bent izoniazidui ir rifampicinui) arba padidėjęs jautrumas, etambutolis vartojamas viso prailginto ir modifikuoto gydymo metu.</w:t>
      </w:r>
    </w:p>
    <w:p w:rsidR="00B11602" w:rsidRPr="00EF4AD3" w:rsidRDefault="00B11602" w:rsidP="00BD4864">
      <w:pPr>
        <w:pStyle w:val="Pagrindinistekstas"/>
        <w:jc w:val="left"/>
        <w:rPr>
          <w:sz w:val="22"/>
          <w:szCs w:val="22"/>
        </w:rPr>
      </w:pPr>
    </w:p>
    <w:p w:rsidR="00782145" w:rsidRPr="00EF4AD3" w:rsidRDefault="00782145" w:rsidP="00BD4864">
      <w:pPr>
        <w:pStyle w:val="PI-2EMEASMCA"/>
      </w:pPr>
      <w:r w:rsidRPr="00EF4AD3">
        <w:t>4.3</w:t>
      </w:r>
      <w:r w:rsidRPr="00EF4AD3">
        <w:tab/>
        <w:t>Kontraindikacijos</w:t>
      </w:r>
    </w:p>
    <w:p w:rsidR="00AF0DC9" w:rsidRPr="00EF4AD3" w:rsidRDefault="00AF0DC9"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AF0DC9" w:rsidRPr="00EF4AD3" w:rsidRDefault="00AF0DC9"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zCs w:val="22"/>
        </w:rPr>
        <w:t>-</w:t>
      </w:r>
      <w:r w:rsidR="00074B3C" w:rsidRPr="00EF4AD3">
        <w:rPr>
          <w:szCs w:val="22"/>
        </w:rPr>
        <w:tab/>
      </w:r>
      <w:r w:rsidRPr="00EF4AD3">
        <w:rPr>
          <w:szCs w:val="22"/>
        </w:rPr>
        <w:t xml:space="preserve">Padidėjęs jautrumas veikliajai </w:t>
      </w:r>
      <w:r w:rsidR="003C3EA3" w:rsidRPr="00EF4AD3">
        <w:rPr>
          <w:szCs w:val="22"/>
        </w:rPr>
        <w:t>arba bet kuriai 6.1 skyriuje nurodytai</w:t>
      </w:r>
      <w:r w:rsidRPr="00EF4AD3">
        <w:rPr>
          <w:szCs w:val="22"/>
        </w:rPr>
        <w:t xml:space="preserve"> pagalbinei medžiagai.</w:t>
      </w:r>
    </w:p>
    <w:p w:rsidR="00782145" w:rsidRPr="00EF4AD3" w:rsidRDefault="00AF0DC9"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w:t>
      </w:r>
      <w:r w:rsidR="00074B3C" w:rsidRPr="00EF4AD3">
        <w:rPr>
          <w:spacing w:val="-3"/>
          <w:szCs w:val="22"/>
        </w:rPr>
        <w:tab/>
      </w:r>
      <w:r w:rsidR="00A76CED" w:rsidRPr="00EF4AD3">
        <w:rPr>
          <w:spacing w:val="-3"/>
          <w:szCs w:val="22"/>
        </w:rPr>
        <w:t>R</w:t>
      </w:r>
      <w:r w:rsidR="00782145" w:rsidRPr="00EF4AD3">
        <w:rPr>
          <w:spacing w:val="-3"/>
          <w:szCs w:val="22"/>
        </w:rPr>
        <w:t>egos nervo pakenkimas</w:t>
      </w:r>
      <w:r w:rsidRPr="00EF4AD3">
        <w:rPr>
          <w:spacing w:val="-3"/>
          <w:szCs w:val="22"/>
        </w:rPr>
        <w:t xml:space="preserve"> (žr. 4.4 skyrių)</w:t>
      </w:r>
      <w:r w:rsidR="00782145" w:rsidRPr="00EF4AD3">
        <w:rPr>
          <w:spacing w:val="-3"/>
          <w:szCs w:val="22"/>
        </w:rPr>
        <w:t>.</w:t>
      </w:r>
    </w:p>
    <w:p w:rsidR="00074B3C" w:rsidRPr="00EF4AD3" w:rsidRDefault="00074B3C"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w:t>
      </w:r>
      <w:r w:rsidRPr="00EF4AD3">
        <w:rPr>
          <w:spacing w:val="-3"/>
          <w:szCs w:val="22"/>
        </w:rPr>
        <w:tab/>
        <w:t>Kitoks regos sutrikimas (pvz., diabetinė retinopatija).</w:t>
      </w:r>
    </w:p>
    <w:p w:rsidR="00782145" w:rsidRPr="00EF4AD3" w:rsidRDefault="00AF0DC9"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w:t>
      </w:r>
      <w:r w:rsidR="00074B3C" w:rsidRPr="00EF4AD3">
        <w:rPr>
          <w:spacing w:val="-3"/>
          <w:szCs w:val="22"/>
        </w:rPr>
        <w:tab/>
      </w:r>
      <w:r w:rsidRPr="00EF4AD3">
        <w:rPr>
          <w:spacing w:val="-3"/>
          <w:szCs w:val="22"/>
        </w:rPr>
        <w:t>Akies pažeidimas, dėl kurio negalima atlikti regėjimo aštrumo tyrimo</w:t>
      </w:r>
      <w:r w:rsidR="00782145" w:rsidRPr="00EF4AD3">
        <w:rPr>
          <w:spacing w:val="-3"/>
          <w:szCs w:val="22"/>
        </w:rPr>
        <w:t>.</w:t>
      </w:r>
    </w:p>
    <w:p w:rsidR="00782145" w:rsidRDefault="00AF0DC9"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w:t>
      </w:r>
      <w:r w:rsidR="00074B3C" w:rsidRPr="00EF4AD3">
        <w:rPr>
          <w:szCs w:val="22"/>
        </w:rPr>
        <w:tab/>
      </w:r>
      <w:r w:rsidR="005C731C" w:rsidRPr="00EF4AD3">
        <w:rPr>
          <w:szCs w:val="22"/>
        </w:rPr>
        <w:t>Vaikams</w:t>
      </w:r>
      <w:r w:rsidR="006D45EC" w:rsidRPr="00EF4AD3">
        <w:rPr>
          <w:szCs w:val="22"/>
        </w:rPr>
        <w:t>,</w:t>
      </w:r>
      <w:r w:rsidRPr="00EF4AD3">
        <w:rPr>
          <w:szCs w:val="22"/>
        </w:rPr>
        <w:t xml:space="preserve"> jaunesni</w:t>
      </w:r>
      <w:r w:rsidR="005C731C" w:rsidRPr="00EF4AD3">
        <w:rPr>
          <w:szCs w:val="22"/>
        </w:rPr>
        <w:t>ems</w:t>
      </w:r>
      <w:r w:rsidRPr="00EF4AD3">
        <w:rPr>
          <w:szCs w:val="22"/>
        </w:rPr>
        <w:t xml:space="preserve"> </w:t>
      </w:r>
      <w:r w:rsidR="006D45EC" w:rsidRPr="00EF4AD3">
        <w:rPr>
          <w:szCs w:val="22"/>
        </w:rPr>
        <w:t>kaip</w:t>
      </w:r>
      <w:r w:rsidRPr="00EF4AD3">
        <w:rPr>
          <w:szCs w:val="22"/>
        </w:rPr>
        <w:t xml:space="preserve"> 6 metų</w:t>
      </w:r>
      <w:r w:rsidR="006D45EC" w:rsidRPr="00EF4AD3">
        <w:rPr>
          <w:szCs w:val="22"/>
        </w:rPr>
        <w:t>,</w:t>
      </w:r>
      <w:r w:rsidR="005C731C" w:rsidRPr="00EF4AD3">
        <w:rPr>
          <w:szCs w:val="22"/>
        </w:rPr>
        <w:t xml:space="preserve"> ir pacientams</w:t>
      </w:r>
      <w:r w:rsidRPr="00EF4AD3">
        <w:rPr>
          <w:szCs w:val="22"/>
        </w:rPr>
        <w:t xml:space="preserve">, kuriems dėl kitų priežasčių negalima atlikti </w:t>
      </w:r>
      <w:r w:rsidR="00CC0950" w:rsidRPr="00EF4AD3">
        <w:rPr>
          <w:spacing w:val="-3"/>
          <w:szCs w:val="22"/>
        </w:rPr>
        <w:t>regėjimo aštrumo tyrimo</w:t>
      </w:r>
      <w:r w:rsidR="00782145" w:rsidRPr="00EF4AD3">
        <w:rPr>
          <w:szCs w:val="22"/>
        </w:rPr>
        <w:t>.</w:t>
      </w:r>
    </w:p>
    <w:p w:rsidR="00FC7D91" w:rsidRPr="00EF4AD3" w:rsidRDefault="00FC7D91"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Pr>
          <w:szCs w:val="22"/>
        </w:rPr>
        <w:tab/>
      </w:r>
      <w:r>
        <w:t>j</w:t>
      </w:r>
      <w:r w:rsidRPr="00A26E89">
        <w:t xml:space="preserve">eigu pavartojus etambutolio kada nors pasireiškė </w:t>
      </w:r>
      <w:r w:rsidRPr="003A1312">
        <w:rPr>
          <w:szCs w:val="22"/>
        </w:rPr>
        <w:t>sunki</w:t>
      </w:r>
      <w:r>
        <w:rPr>
          <w:szCs w:val="22"/>
        </w:rPr>
        <w:t>o</w:t>
      </w:r>
      <w:r w:rsidRPr="003A1312">
        <w:rPr>
          <w:szCs w:val="22"/>
        </w:rPr>
        <w:t>s nepageidaujam</w:t>
      </w:r>
      <w:r>
        <w:rPr>
          <w:szCs w:val="22"/>
        </w:rPr>
        <w:t>o</w:t>
      </w:r>
      <w:r w:rsidRPr="003A1312">
        <w:rPr>
          <w:szCs w:val="22"/>
        </w:rPr>
        <w:t>s odos reakcij</w:t>
      </w:r>
      <w:r>
        <w:rPr>
          <w:szCs w:val="22"/>
        </w:rPr>
        <w:t>o</w:t>
      </w:r>
      <w:r w:rsidRPr="003A1312">
        <w:rPr>
          <w:szCs w:val="22"/>
        </w:rPr>
        <w:t>s</w:t>
      </w:r>
      <w:r>
        <w:rPr>
          <w:szCs w:val="22"/>
        </w:rPr>
        <w:t xml:space="preserve"> (žr. 4.4 skyrių)</w:t>
      </w:r>
    </w:p>
    <w:p w:rsidR="00782145" w:rsidRPr="00EF4AD3" w:rsidRDefault="00782145" w:rsidP="005717F4">
      <w:pPr>
        <w:pStyle w:val="BTEMEASMCA"/>
      </w:pPr>
    </w:p>
    <w:p w:rsidR="00782145" w:rsidRPr="00EF4AD3" w:rsidRDefault="00782145" w:rsidP="00BD4864">
      <w:pPr>
        <w:pStyle w:val="PI-2EMEASMCA"/>
      </w:pPr>
      <w:r w:rsidRPr="00EF4AD3">
        <w:t>4.4</w:t>
      </w:r>
      <w:r w:rsidRPr="00EF4AD3">
        <w:tab/>
        <w:t>Specialūs įspėjimai ir atsargumo priemonės</w:t>
      </w:r>
    </w:p>
    <w:p w:rsidR="00782145" w:rsidRPr="00EF4AD3" w:rsidRDefault="00782145" w:rsidP="005717F4">
      <w:pPr>
        <w:pStyle w:val="BTEMEASMCA"/>
      </w:pPr>
    </w:p>
    <w:p w:rsidR="00294F92" w:rsidRPr="00EF4AD3" w:rsidRDefault="00294F92"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w:t>
      </w:r>
      <w:r w:rsidR="00074B3C" w:rsidRPr="00EF4AD3">
        <w:rPr>
          <w:spacing w:val="-3"/>
          <w:szCs w:val="22"/>
        </w:rPr>
        <w:tab/>
        <w:t xml:space="preserve">Svarbiausias etambutolio šalutinis poveikis yra regos nervo pakenkimas (žr. 4.8 skyrių). </w:t>
      </w:r>
      <w:r w:rsidRPr="00EF4AD3">
        <w:rPr>
          <w:spacing w:val="-3"/>
          <w:szCs w:val="22"/>
        </w:rPr>
        <w:t xml:space="preserve">Gali atsirasti </w:t>
      </w:r>
      <w:r w:rsidR="00276547" w:rsidRPr="00EF4AD3">
        <w:rPr>
          <w:spacing w:val="-3"/>
          <w:szCs w:val="22"/>
        </w:rPr>
        <w:t xml:space="preserve">optinio nervo </w:t>
      </w:r>
      <w:r w:rsidRPr="00EF4AD3">
        <w:rPr>
          <w:spacing w:val="-3"/>
          <w:szCs w:val="22"/>
        </w:rPr>
        <w:t>unilateralinis ar bilateralinis ašinis retrobulbarinis neuritas</w:t>
      </w:r>
      <w:r w:rsidR="00FC5507" w:rsidRPr="00EF4AD3">
        <w:rPr>
          <w:spacing w:val="-3"/>
          <w:szCs w:val="22"/>
        </w:rPr>
        <w:t>,</w:t>
      </w:r>
      <w:r w:rsidR="00276547" w:rsidRPr="00EF4AD3">
        <w:rPr>
          <w:spacing w:val="-3"/>
          <w:szCs w:val="22"/>
        </w:rPr>
        <w:t xml:space="preserve"> pasireiškiantis spalviniu aklumu (raudonos-žalios aklumas), susilpnėjusiu regėjimu, centrine skotoma ir periaksialinis neuritas</w:t>
      </w:r>
      <w:r w:rsidR="00FC5507" w:rsidRPr="00EF4AD3">
        <w:rPr>
          <w:spacing w:val="-3"/>
          <w:szCs w:val="22"/>
        </w:rPr>
        <w:t>,</w:t>
      </w:r>
      <w:r w:rsidR="00276547" w:rsidRPr="00EF4AD3">
        <w:rPr>
          <w:spacing w:val="-3"/>
          <w:szCs w:val="22"/>
        </w:rPr>
        <w:t xml:space="preserve"> sumažinantis akipločio plotą. Prieš pradedant gydymą ir kas 4 savaites gydymo metu okulistas turi atlikti tyrimus (regėjimo aštrumo tyrimą), o pacientams su inkstų funkcijos nepakankamumu šis tyrimas turi būti atliekamas dar dažniau. Pacientus reikia įspėti apie regėjimo sutrikimo pavojų, </w:t>
      </w:r>
      <w:r w:rsidR="00F44423" w:rsidRPr="00EF4AD3">
        <w:rPr>
          <w:spacing w:val="-3"/>
          <w:szCs w:val="22"/>
        </w:rPr>
        <w:t>įtikinti, kad būtina rūpin</w:t>
      </w:r>
      <w:r w:rsidR="00276547" w:rsidRPr="00EF4AD3">
        <w:rPr>
          <w:spacing w:val="-3"/>
          <w:szCs w:val="22"/>
        </w:rPr>
        <w:t>tis regėjimu, pvz.,</w:t>
      </w:r>
      <w:r w:rsidR="00F44423" w:rsidRPr="00EF4AD3">
        <w:rPr>
          <w:spacing w:val="-3"/>
          <w:szCs w:val="22"/>
        </w:rPr>
        <w:t xml:space="preserve"> skaitant laikraštį ir pan. ir, pasireiškus regėjimo pokyčiams, pranešti gydytojui. </w:t>
      </w:r>
      <w:r w:rsidR="00074B3C" w:rsidRPr="00EF4AD3">
        <w:rPr>
          <w:spacing w:val="-3"/>
          <w:szCs w:val="22"/>
        </w:rPr>
        <w:t>Šiais atvejais, siekiant išvengti negrįžtamo pažeidimo</w:t>
      </w:r>
      <w:r w:rsidR="005C731C" w:rsidRPr="00EF4AD3">
        <w:rPr>
          <w:spacing w:val="-3"/>
          <w:szCs w:val="22"/>
        </w:rPr>
        <w:t>,</w:t>
      </w:r>
      <w:r w:rsidR="00074B3C" w:rsidRPr="00EF4AD3">
        <w:rPr>
          <w:spacing w:val="-3"/>
          <w:szCs w:val="22"/>
        </w:rPr>
        <w:t xml:space="preserve"> reikia nedelsiant nutraukti EMB-Fatol vartojimą</w:t>
      </w:r>
      <w:r w:rsidR="00F44423" w:rsidRPr="00EF4AD3">
        <w:rPr>
          <w:spacing w:val="-3"/>
          <w:szCs w:val="22"/>
        </w:rPr>
        <w:t>.</w:t>
      </w:r>
    </w:p>
    <w:p w:rsidR="00F44423" w:rsidRPr="00EF4AD3" w:rsidRDefault="00F44423"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lastRenderedPageBreak/>
        <w:t>-</w:t>
      </w:r>
      <w:r w:rsidR="00074B3C" w:rsidRPr="00EF4AD3">
        <w:rPr>
          <w:spacing w:val="-3"/>
          <w:szCs w:val="22"/>
        </w:rPr>
        <w:tab/>
      </w:r>
      <w:r w:rsidRPr="00EF4AD3">
        <w:rPr>
          <w:spacing w:val="-3"/>
          <w:szCs w:val="22"/>
        </w:rPr>
        <w:t xml:space="preserve">Ligoniams su sutrikusia inkstų funkcija vaisto dozę reikia sumažinti, atsižvelgiant į </w:t>
      </w:r>
      <w:r w:rsidR="00074B3C" w:rsidRPr="00EF4AD3">
        <w:rPr>
          <w:spacing w:val="-3"/>
          <w:szCs w:val="22"/>
        </w:rPr>
        <w:t xml:space="preserve">4.2 skyriuje pateikiamą informaciją. Jei GFG yra mažesnis </w:t>
      </w:r>
      <w:r w:rsidR="00074B3C" w:rsidRPr="00103E28">
        <w:rPr>
          <w:spacing w:val="-3"/>
          <w:szCs w:val="22"/>
        </w:rPr>
        <w:t>nei 1</w:t>
      </w:r>
      <w:r w:rsidR="00E52503" w:rsidRPr="00103E28">
        <w:rPr>
          <w:spacing w:val="-3"/>
          <w:szCs w:val="22"/>
        </w:rPr>
        <w:t>5</w:t>
      </w:r>
      <w:r w:rsidR="00074B3C" w:rsidRPr="00103E28">
        <w:rPr>
          <w:spacing w:val="-3"/>
          <w:szCs w:val="22"/>
        </w:rPr>
        <w:t> ml/min</w:t>
      </w:r>
      <w:r w:rsidR="00074B3C" w:rsidRPr="00EF4AD3">
        <w:rPr>
          <w:spacing w:val="-3"/>
          <w:szCs w:val="22"/>
        </w:rPr>
        <w:t>., dozę reikia koreguoti remiantis etambutolio koncentracija kraujo plazmoje (taip pat žr. 4.2 skyrių)</w:t>
      </w:r>
      <w:r w:rsidRPr="00EF4AD3">
        <w:rPr>
          <w:spacing w:val="-3"/>
          <w:szCs w:val="22"/>
        </w:rPr>
        <w:t>.</w:t>
      </w:r>
    </w:p>
    <w:p w:rsidR="00F44423" w:rsidRPr="00EF4AD3" w:rsidRDefault="00F44423"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w:t>
      </w:r>
      <w:r w:rsidR="00074B3C" w:rsidRPr="00EF4AD3">
        <w:rPr>
          <w:spacing w:val="-3"/>
          <w:szCs w:val="22"/>
        </w:rPr>
        <w:tab/>
      </w:r>
      <w:r w:rsidRPr="00EF4AD3">
        <w:rPr>
          <w:spacing w:val="-3"/>
          <w:szCs w:val="22"/>
        </w:rPr>
        <w:t>Vaistas turi būti atsargiai skiriamas pacientams, sergantiems hiperurikemija ir (arba) podagra.</w:t>
      </w:r>
    </w:p>
    <w:p w:rsidR="00F44423" w:rsidRPr="00EF4AD3" w:rsidRDefault="00F44423"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pacing w:val="-3"/>
          <w:szCs w:val="22"/>
        </w:rPr>
        <w:t>-</w:t>
      </w:r>
      <w:r w:rsidR="00074B3C" w:rsidRPr="00EF4AD3">
        <w:rPr>
          <w:spacing w:val="-3"/>
          <w:szCs w:val="22"/>
        </w:rPr>
        <w:tab/>
      </w:r>
      <w:r w:rsidRPr="00EF4AD3">
        <w:rPr>
          <w:spacing w:val="-3"/>
          <w:szCs w:val="22"/>
        </w:rPr>
        <w:t xml:space="preserve">EMB-Fatol </w:t>
      </w:r>
      <w:r w:rsidRPr="00EF4AD3">
        <w:rPr>
          <w:szCs w:val="22"/>
        </w:rPr>
        <w:t xml:space="preserve">negalima vartoti pacientams, kuriems nustatytas retas paveldimas sutrikimas – </w:t>
      </w:r>
      <w:r w:rsidR="002F7CD9" w:rsidRPr="00EF4AD3">
        <w:rPr>
          <w:i/>
          <w:szCs w:val="22"/>
        </w:rPr>
        <w:t>Lapp</w:t>
      </w:r>
      <w:r w:rsidR="002F7CD9" w:rsidRPr="00EF4AD3">
        <w:rPr>
          <w:szCs w:val="22"/>
        </w:rPr>
        <w:t xml:space="preserve"> laktazės stygius arba </w:t>
      </w:r>
      <w:r w:rsidRPr="00EF4AD3">
        <w:rPr>
          <w:szCs w:val="22"/>
        </w:rPr>
        <w:t>gliukozės ir galaktozės malabsorbcija.</w:t>
      </w:r>
    </w:p>
    <w:p w:rsidR="00F44423" w:rsidRDefault="00F44423" w:rsidP="00BD4864">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w:t>
      </w:r>
      <w:r w:rsidR="00074B3C" w:rsidRPr="00EF4AD3">
        <w:rPr>
          <w:szCs w:val="22"/>
        </w:rPr>
        <w:tab/>
      </w:r>
      <w:r w:rsidRPr="00EF4AD3">
        <w:rPr>
          <w:szCs w:val="22"/>
        </w:rPr>
        <w:t>EMB-Fatol tabletėje yra 0,48 mmol (arba 11,2 mg) natrio. Būtina atsižvelgti, jei kontroliuojamas natrio kiekis maiste.</w:t>
      </w:r>
    </w:p>
    <w:p w:rsidR="005162B1" w:rsidRPr="00103E28" w:rsidRDefault="005162B1" w:rsidP="00103E28">
      <w:pPr>
        <w:pStyle w:val="Default"/>
        <w:numPr>
          <w:ilvl w:val="0"/>
          <w:numId w:val="9"/>
        </w:numPr>
        <w:ind w:left="567" w:hanging="567"/>
        <w:rPr>
          <w:rFonts w:ascii="Times New Roman" w:hAnsi="Times New Roman" w:cs="Times New Roman"/>
          <w:sz w:val="22"/>
          <w:szCs w:val="22"/>
          <w:u w:val="single"/>
        </w:rPr>
      </w:pPr>
      <w:r w:rsidRPr="00103E28">
        <w:rPr>
          <w:rFonts w:ascii="Times New Roman" w:hAnsi="Times New Roman" w:cs="Times New Roman"/>
          <w:sz w:val="22"/>
          <w:szCs w:val="22"/>
          <w:u w:val="single"/>
        </w:rPr>
        <w:t>Odos ir poodinio audinio sutrikimai</w:t>
      </w:r>
    </w:p>
    <w:p w:rsidR="005162B1" w:rsidRPr="00103E28" w:rsidRDefault="005162B1" w:rsidP="005162B1">
      <w:pPr>
        <w:pStyle w:val="Default"/>
        <w:rPr>
          <w:rFonts w:ascii="Times New Roman" w:hAnsi="Times New Roman" w:cs="Times New Roman"/>
          <w:sz w:val="22"/>
          <w:szCs w:val="22"/>
        </w:rPr>
      </w:pPr>
      <w:r w:rsidRPr="00103E28">
        <w:rPr>
          <w:rFonts w:ascii="Times New Roman" w:hAnsi="Times New Roman" w:cs="Times New Roman"/>
          <w:sz w:val="22"/>
          <w:szCs w:val="22"/>
        </w:rPr>
        <w:t>Po vaistinio preparato registracijos gauta su etambutolio vartojimu susijusių pranešimų apie sunkias nepageidaujamas odos reakcijas (SNOR), įskaitant Stivenso-Džonsono sindromą (SDS), toksinę epidermio nekrolizę (TEN), reakciją į vaistą su eozinofilija ir sisteminiais simptomais (</w:t>
      </w:r>
      <w:r w:rsidR="00FC7D91">
        <w:rPr>
          <w:rFonts w:ascii="Times New Roman" w:hAnsi="Times New Roman" w:cs="Times New Roman"/>
          <w:sz w:val="22"/>
          <w:szCs w:val="22"/>
        </w:rPr>
        <w:t xml:space="preserve">angl. </w:t>
      </w:r>
      <w:r w:rsidR="00FC7D91" w:rsidRPr="00FC7D91">
        <w:rPr>
          <w:rFonts w:ascii="Times New Roman" w:hAnsi="Times New Roman" w:cs="Times New Roman"/>
          <w:sz w:val="22"/>
          <w:szCs w:val="22"/>
        </w:rPr>
        <w:t>Drug r</w:t>
      </w:r>
      <w:r w:rsidR="00FC7D91">
        <w:rPr>
          <w:rFonts w:ascii="Times New Roman" w:hAnsi="Times New Roman" w:cs="Times New Roman"/>
          <w:sz w:val="22"/>
          <w:szCs w:val="22"/>
        </w:rPr>
        <w:t>eaction</w:t>
      </w:r>
      <w:r w:rsidR="00FC7D91" w:rsidRPr="00FC7D91">
        <w:rPr>
          <w:rFonts w:ascii="Times New Roman" w:hAnsi="Times New Roman" w:cs="Times New Roman"/>
          <w:sz w:val="22"/>
          <w:szCs w:val="22"/>
        </w:rPr>
        <w:t xml:space="preserve"> with eosinophilia and systemic symptoms</w:t>
      </w:r>
      <w:r w:rsidR="00FC7D91">
        <w:rPr>
          <w:rFonts w:ascii="Times New Roman" w:hAnsi="Times New Roman" w:cs="Times New Roman"/>
          <w:sz w:val="22"/>
          <w:szCs w:val="22"/>
        </w:rPr>
        <w:t xml:space="preserve"> (</w:t>
      </w:r>
      <w:r w:rsidRPr="00103E28">
        <w:rPr>
          <w:rFonts w:ascii="Times New Roman" w:hAnsi="Times New Roman" w:cs="Times New Roman"/>
          <w:sz w:val="22"/>
          <w:szCs w:val="22"/>
        </w:rPr>
        <w:t>DRESS</w:t>
      </w:r>
      <w:r w:rsidR="00FC7D91">
        <w:rPr>
          <w:rFonts w:ascii="Times New Roman" w:hAnsi="Times New Roman" w:cs="Times New Roman"/>
          <w:sz w:val="22"/>
          <w:szCs w:val="22"/>
        </w:rPr>
        <w:t xml:space="preserve"> syndrome)</w:t>
      </w:r>
      <w:r w:rsidRPr="00103E28">
        <w:rPr>
          <w:rFonts w:ascii="Times New Roman" w:hAnsi="Times New Roman" w:cs="Times New Roman"/>
          <w:sz w:val="22"/>
          <w:szCs w:val="22"/>
        </w:rPr>
        <w:t>), kurie gali kelti pavojų gyvybei ar lemti mirtį.</w:t>
      </w:r>
    </w:p>
    <w:p w:rsidR="005162B1" w:rsidRPr="00103E28" w:rsidRDefault="005162B1" w:rsidP="005162B1">
      <w:pPr>
        <w:pStyle w:val="Default"/>
        <w:rPr>
          <w:rFonts w:ascii="Times New Roman" w:hAnsi="Times New Roman" w:cs="Times New Roman"/>
          <w:sz w:val="22"/>
          <w:szCs w:val="22"/>
        </w:rPr>
      </w:pPr>
      <w:r w:rsidRPr="00103E28">
        <w:rPr>
          <w:rFonts w:ascii="Times New Roman" w:hAnsi="Times New Roman" w:cs="Times New Roman"/>
          <w:sz w:val="22"/>
          <w:szCs w:val="22"/>
        </w:rPr>
        <w:t>Skiriant vaistinį preparatą pacientus reikia informuoti apie šių odos reakcijų požymius ir simptomus ir atidžiai stebėti, ar jiems nepasireiškia tokios reakcijos.</w:t>
      </w:r>
    </w:p>
    <w:p w:rsidR="005162B1" w:rsidRPr="00103E28" w:rsidRDefault="005162B1" w:rsidP="005162B1">
      <w:pPr>
        <w:pStyle w:val="Default"/>
        <w:rPr>
          <w:rFonts w:ascii="Times New Roman" w:hAnsi="Times New Roman" w:cs="Times New Roman"/>
          <w:sz w:val="22"/>
          <w:szCs w:val="22"/>
        </w:rPr>
      </w:pPr>
      <w:r w:rsidRPr="00103E28">
        <w:rPr>
          <w:rFonts w:ascii="Times New Roman" w:hAnsi="Times New Roman" w:cs="Times New Roman"/>
          <w:sz w:val="22"/>
          <w:szCs w:val="22"/>
        </w:rPr>
        <w:t>Jeigu pasireiškia šias reakcijas leidžiantys įtarti požymiai ir simptomai, reikia nedelsiant nutraukti gydymą etambutoliu ir apsvarstyti galimybę skirti kitą (tinkamą) vaistinį preparatą.</w:t>
      </w:r>
    </w:p>
    <w:p w:rsidR="005162B1" w:rsidRPr="00103E28" w:rsidRDefault="005162B1" w:rsidP="005162B1">
      <w:pPr>
        <w:pStyle w:val="Default"/>
        <w:rPr>
          <w:rFonts w:ascii="Times New Roman" w:hAnsi="Times New Roman" w:cs="Times New Roman"/>
          <w:sz w:val="22"/>
          <w:szCs w:val="22"/>
        </w:rPr>
      </w:pPr>
      <w:r w:rsidRPr="00103E28">
        <w:rPr>
          <w:rFonts w:ascii="Times New Roman" w:hAnsi="Times New Roman" w:cs="Times New Roman"/>
          <w:sz w:val="22"/>
          <w:szCs w:val="22"/>
        </w:rPr>
        <w:t>Jeigu vartojant etambutolį pacientui pasireiškia sunki reakcija, pvz., SDS, TEN arba DRESS sindromas, šiam pacientui gydymo etambutoliu nebegalima atnaujinti.</w:t>
      </w:r>
    </w:p>
    <w:p w:rsidR="005162B1" w:rsidRPr="005162B1" w:rsidRDefault="005162B1" w:rsidP="005162B1">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103E28">
        <w:rPr>
          <w:szCs w:val="22"/>
        </w:rPr>
        <w:t>Vaikams pasireiškiantį bėrimą galima supainioti su infekcijos ar kito uždegiminio proceso sukeliamu bėrimu, todėl jei vaikams gydymo etambutoliu metu pasireiškia bėrimo ir karščiavimo simptomai, gydytojai turi įvertinti, ar tai nėra reakcija į etambutolį.</w:t>
      </w:r>
    </w:p>
    <w:p w:rsidR="00F44423" w:rsidRPr="00EF4AD3" w:rsidRDefault="00F44423"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782145" w:rsidRPr="00EF4AD3" w:rsidRDefault="00782145" w:rsidP="00BD4864">
      <w:pPr>
        <w:pStyle w:val="PI-2EMEASMCA"/>
      </w:pPr>
      <w:r w:rsidRPr="00EF4AD3">
        <w:t>4.5</w:t>
      </w:r>
      <w:r w:rsidRPr="00EF4AD3">
        <w:tab/>
        <w:t>Sąveika su kitais vaistiniais preparatais ir kitokia sąveika</w:t>
      </w:r>
    </w:p>
    <w:p w:rsidR="00782145" w:rsidRPr="00EF4AD3" w:rsidRDefault="00782145" w:rsidP="005717F4">
      <w:pPr>
        <w:pStyle w:val="BTEMEASMCA"/>
      </w:pPr>
    </w:p>
    <w:p w:rsidR="00F44423" w:rsidRPr="00EF4AD3" w:rsidRDefault="00F44423" w:rsidP="00BD4864">
      <w:pPr>
        <w:rPr>
          <w:i/>
          <w:szCs w:val="22"/>
        </w:rPr>
      </w:pPr>
      <w:r w:rsidRPr="00EF4AD3">
        <w:rPr>
          <w:i/>
          <w:szCs w:val="22"/>
        </w:rPr>
        <w:t>Vaistai veikiantys EMB-Fatol veiksmingumą</w:t>
      </w:r>
    </w:p>
    <w:p w:rsidR="00F44423" w:rsidRPr="00EF4AD3" w:rsidRDefault="00F44423" w:rsidP="00BD4864">
      <w:pPr>
        <w:rPr>
          <w:szCs w:val="22"/>
        </w:rPr>
      </w:pPr>
      <w:r w:rsidRPr="00EF4AD3">
        <w:rPr>
          <w:szCs w:val="22"/>
        </w:rPr>
        <w:t>Aliumin</w:t>
      </w:r>
      <w:r w:rsidR="00953721" w:rsidRPr="00EF4AD3">
        <w:rPr>
          <w:szCs w:val="22"/>
        </w:rPr>
        <w:t>i</w:t>
      </w:r>
      <w:r w:rsidRPr="00EF4AD3">
        <w:rPr>
          <w:szCs w:val="22"/>
        </w:rPr>
        <w:t>o hidroksidas ir jam panaš</w:t>
      </w:r>
      <w:r w:rsidR="00FC5507" w:rsidRPr="00EF4AD3">
        <w:rPr>
          <w:szCs w:val="22"/>
        </w:rPr>
        <w:t>ū</w:t>
      </w:r>
      <w:r w:rsidRPr="00EF4AD3">
        <w:rPr>
          <w:szCs w:val="22"/>
        </w:rPr>
        <w:t>s rūgštingumą mažinantys medikamentai pavėlina arba sumažina EMB-Fatol rezorbciją.</w:t>
      </w:r>
    </w:p>
    <w:p w:rsidR="00782145" w:rsidRPr="00EF4AD3" w:rsidRDefault="00F44423" w:rsidP="00BD4864">
      <w:pPr>
        <w:rPr>
          <w:szCs w:val="22"/>
        </w:rPr>
      </w:pPr>
      <w:r w:rsidRPr="00EF4AD3">
        <w:rPr>
          <w:szCs w:val="22"/>
        </w:rPr>
        <w:t>Nustatyta, kad s</w:t>
      </w:r>
      <w:r w:rsidR="00782145" w:rsidRPr="00EF4AD3">
        <w:rPr>
          <w:szCs w:val="22"/>
        </w:rPr>
        <w:t>perminas, spermidinas ir magnis veikia kaip etambutolio antagonistai.</w:t>
      </w:r>
    </w:p>
    <w:p w:rsidR="00F44423" w:rsidRPr="00EF4AD3" w:rsidRDefault="00F44423" w:rsidP="00BD4864">
      <w:pPr>
        <w:pStyle w:val="Pagrindinistekstas2"/>
        <w:spacing w:after="0" w:line="240" w:lineRule="auto"/>
        <w:rPr>
          <w:szCs w:val="22"/>
        </w:rPr>
      </w:pPr>
    </w:p>
    <w:p w:rsidR="00F44423" w:rsidRPr="00EF4AD3" w:rsidRDefault="00F44423" w:rsidP="00BD4864">
      <w:pPr>
        <w:pStyle w:val="Pagrindinistekstas2"/>
        <w:spacing w:after="0" w:line="240" w:lineRule="auto"/>
        <w:rPr>
          <w:i/>
          <w:szCs w:val="22"/>
        </w:rPr>
      </w:pPr>
      <w:r w:rsidRPr="00EF4AD3">
        <w:rPr>
          <w:i/>
          <w:szCs w:val="22"/>
        </w:rPr>
        <w:t>Kitokia sąveika</w:t>
      </w:r>
    </w:p>
    <w:p w:rsidR="00F44423" w:rsidRPr="00EF4AD3" w:rsidRDefault="00F44423" w:rsidP="00BD4864">
      <w:pPr>
        <w:pStyle w:val="Pagrindinistekstas2"/>
        <w:spacing w:after="0" w:line="240" w:lineRule="auto"/>
        <w:rPr>
          <w:szCs w:val="22"/>
        </w:rPr>
      </w:pPr>
      <w:r w:rsidRPr="00EF4AD3">
        <w:rPr>
          <w:szCs w:val="22"/>
        </w:rPr>
        <w:t>Lėtiniu alkoholizmu sergantiems pacientams, vartojantiems disulfiramo, gali padidėti regėjimo sutrikimo pavojus.</w:t>
      </w:r>
    </w:p>
    <w:p w:rsidR="000346F2" w:rsidRPr="00EF4AD3" w:rsidRDefault="000346F2" w:rsidP="00BD4864">
      <w:pPr>
        <w:pStyle w:val="Pagrindinistekstas2"/>
        <w:spacing w:after="0" w:line="240" w:lineRule="auto"/>
        <w:rPr>
          <w:szCs w:val="22"/>
        </w:rPr>
      </w:pPr>
    </w:p>
    <w:p w:rsidR="000346F2" w:rsidRPr="00EF4AD3" w:rsidRDefault="000346F2" w:rsidP="00BD4864">
      <w:pPr>
        <w:pStyle w:val="Pagrindinistekstas2"/>
        <w:spacing w:after="0" w:line="240" w:lineRule="auto"/>
        <w:rPr>
          <w:i/>
          <w:szCs w:val="22"/>
        </w:rPr>
      </w:pPr>
      <w:r w:rsidRPr="00EF4AD3">
        <w:rPr>
          <w:i/>
          <w:szCs w:val="22"/>
        </w:rPr>
        <w:t>Poveikis laboratorinių tyrimų rodmenims</w:t>
      </w:r>
    </w:p>
    <w:p w:rsidR="00782145" w:rsidRPr="00EF4AD3" w:rsidRDefault="000346F2" w:rsidP="00BD4864">
      <w:pPr>
        <w:pStyle w:val="Pagrindinistekstas2"/>
        <w:spacing w:after="0" w:line="240" w:lineRule="auto"/>
        <w:rPr>
          <w:szCs w:val="22"/>
        </w:rPr>
      </w:pPr>
      <w:r w:rsidRPr="00EF4AD3">
        <w:rPr>
          <w:szCs w:val="22"/>
        </w:rPr>
        <w:t>Esant pakankamai koncentracijai, e</w:t>
      </w:r>
      <w:r w:rsidR="00782145" w:rsidRPr="00EF4AD3">
        <w:rPr>
          <w:szCs w:val="22"/>
        </w:rPr>
        <w:t xml:space="preserve">tambutolis kraujyje reaguoja su fentolaminu, todėl gali būti netikslūs </w:t>
      </w:r>
      <w:r w:rsidRPr="00EF4AD3">
        <w:rPr>
          <w:szCs w:val="22"/>
        </w:rPr>
        <w:t>feochromocitomos tyrim</w:t>
      </w:r>
      <w:r w:rsidR="00953721" w:rsidRPr="00EF4AD3">
        <w:rPr>
          <w:szCs w:val="22"/>
        </w:rPr>
        <w:t>o</w:t>
      </w:r>
      <w:r w:rsidRPr="00EF4AD3">
        <w:rPr>
          <w:szCs w:val="22"/>
        </w:rPr>
        <w:t xml:space="preserve"> duomenys</w:t>
      </w:r>
      <w:r w:rsidR="00782145" w:rsidRPr="00EF4AD3">
        <w:rPr>
          <w:szCs w:val="22"/>
        </w:rPr>
        <w:t>.</w:t>
      </w:r>
    </w:p>
    <w:p w:rsidR="00782145" w:rsidRPr="00EF4AD3" w:rsidRDefault="00782145" w:rsidP="005717F4">
      <w:pPr>
        <w:pStyle w:val="BTEMEASMCA"/>
      </w:pPr>
    </w:p>
    <w:p w:rsidR="00782145" w:rsidRPr="00EF4AD3" w:rsidRDefault="00782145" w:rsidP="00BD4864">
      <w:pPr>
        <w:pStyle w:val="PI-2EMEASMCA"/>
      </w:pPr>
      <w:r w:rsidRPr="00EF4AD3">
        <w:t>4.6</w:t>
      </w:r>
      <w:r w:rsidRPr="00EF4AD3">
        <w:tab/>
      </w:r>
      <w:r w:rsidR="003C3EA3" w:rsidRPr="00EF4AD3">
        <w:t>Vaisingumas, n</w:t>
      </w:r>
      <w:r w:rsidRPr="00EF4AD3">
        <w:t>ėštumo ir žindymo laikotarpis</w:t>
      </w:r>
    </w:p>
    <w:p w:rsidR="00782145" w:rsidRPr="00EF4AD3" w:rsidRDefault="00782145" w:rsidP="005717F4">
      <w:pPr>
        <w:pStyle w:val="BTEMEASMCA"/>
      </w:pPr>
    </w:p>
    <w:p w:rsidR="00074B3C" w:rsidRPr="00EF4AD3" w:rsidRDefault="00074B3C"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Nėštumas</w:t>
      </w:r>
    </w:p>
    <w:p w:rsidR="00074B3C" w:rsidRPr="00EF4AD3" w:rsidRDefault="00782145"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Etambutolis pereina placentos barjerą</w:t>
      </w:r>
      <w:r w:rsidR="000346F2" w:rsidRPr="00EF4AD3">
        <w:rPr>
          <w:spacing w:val="-3"/>
          <w:szCs w:val="22"/>
        </w:rPr>
        <w:t>.</w:t>
      </w:r>
      <w:r w:rsidRPr="00EF4AD3">
        <w:rPr>
          <w:spacing w:val="-3"/>
          <w:szCs w:val="22"/>
        </w:rPr>
        <w:t xml:space="preserve"> </w:t>
      </w:r>
      <w:r w:rsidR="000346F2" w:rsidRPr="00EF4AD3">
        <w:rPr>
          <w:spacing w:val="-3"/>
          <w:szCs w:val="22"/>
        </w:rPr>
        <w:t>Nėštumo metu</w:t>
      </w:r>
      <w:r w:rsidR="000346F2" w:rsidRPr="00EF4AD3" w:rsidDel="000346F2">
        <w:rPr>
          <w:spacing w:val="-3"/>
          <w:szCs w:val="22"/>
        </w:rPr>
        <w:t xml:space="preserve"> </w:t>
      </w:r>
      <w:r w:rsidR="000346F2" w:rsidRPr="00EF4AD3">
        <w:rPr>
          <w:spacing w:val="-3"/>
          <w:szCs w:val="22"/>
        </w:rPr>
        <w:t>v</w:t>
      </w:r>
      <w:r w:rsidRPr="00EF4AD3">
        <w:rPr>
          <w:spacing w:val="-3"/>
          <w:szCs w:val="22"/>
        </w:rPr>
        <w:t xml:space="preserve">artojant </w:t>
      </w:r>
      <w:r w:rsidR="000346F2" w:rsidRPr="00EF4AD3">
        <w:rPr>
          <w:spacing w:val="-3"/>
          <w:szCs w:val="22"/>
        </w:rPr>
        <w:t xml:space="preserve">terapines </w:t>
      </w:r>
      <w:r w:rsidRPr="00EF4AD3">
        <w:rPr>
          <w:spacing w:val="-3"/>
          <w:szCs w:val="22"/>
        </w:rPr>
        <w:t>etambutol</w:t>
      </w:r>
      <w:r w:rsidR="000346F2" w:rsidRPr="00EF4AD3">
        <w:rPr>
          <w:spacing w:val="-3"/>
          <w:szCs w:val="22"/>
        </w:rPr>
        <w:t xml:space="preserve">io dozes žalingo poveikio vaisiui ar </w:t>
      </w:r>
      <w:r w:rsidR="00953721" w:rsidRPr="00EF4AD3">
        <w:rPr>
          <w:spacing w:val="-3"/>
          <w:szCs w:val="22"/>
        </w:rPr>
        <w:t>naujagimiui</w:t>
      </w:r>
      <w:r w:rsidR="000346F2" w:rsidRPr="00EF4AD3">
        <w:rPr>
          <w:spacing w:val="-3"/>
          <w:szCs w:val="22"/>
        </w:rPr>
        <w:t xml:space="preserve"> pastebėta nebuvo</w:t>
      </w:r>
      <w:r w:rsidRPr="00EF4AD3">
        <w:rPr>
          <w:spacing w:val="-3"/>
          <w:szCs w:val="22"/>
        </w:rPr>
        <w:t xml:space="preserve">. </w:t>
      </w:r>
      <w:r w:rsidR="0074655A" w:rsidRPr="00EF4AD3">
        <w:rPr>
          <w:spacing w:val="-3"/>
          <w:szCs w:val="22"/>
        </w:rPr>
        <w:t>Eksperimentinių tyrimų su gyvūnais metu nustatytas didelių et</w:t>
      </w:r>
      <w:r w:rsidR="006177BA" w:rsidRPr="00EF4AD3">
        <w:rPr>
          <w:spacing w:val="-3"/>
          <w:szCs w:val="22"/>
        </w:rPr>
        <w:t>a</w:t>
      </w:r>
      <w:r w:rsidR="0074655A" w:rsidRPr="00EF4AD3">
        <w:rPr>
          <w:spacing w:val="-3"/>
          <w:szCs w:val="22"/>
        </w:rPr>
        <w:t xml:space="preserve">mbutolio dozių reprodukcinis toksiškumas (žr. 5.3 skyrių). </w:t>
      </w:r>
    </w:p>
    <w:p w:rsidR="00074B3C" w:rsidRPr="00EF4AD3" w:rsidRDefault="00074B3C"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074B3C" w:rsidRPr="00EF4AD3" w:rsidRDefault="00074B3C"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Žindymas</w:t>
      </w:r>
    </w:p>
    <w:p w:rsidR="00782145" w:rsidRPr="00EF4AD3" w:rsidRDefault="00A11AE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Vaistini</w:t>
      </w:r>
      <w:r w:rsidR="00782145" w:rsidRPr="00EF4AD3">
        <w:rPr>
          <w:spacing w:val="-3"/>
          <w:szCs w:val="22"/>
        </w:rPr>
        <w:t>s</w:t>
      </w:r>
      <w:r w:rsidRPr="00EF4AD3">
        <w:rPr>
          <w:spacing w:val="-3"/>
          <w:szCs w:val="22"/>
        </w:rPr>
        <w:t xml:space="preserve"> preparatas</w:t>
      </w:r>
      <w:r w:rsidR="00782145" w:rsidRPr="00EF4AD3">
        <w:rPr>
          <w:spacing w:val="-3"/>
          <w:szCs w:val="22"/>
        </w:rPr>
        <w:t xml:space="preserve"> patenka į motinos pieną, jame vaist</w:t>
      </w:r>
      <w:r w:rsidRPr="00EF4AD3">
        <w:rPr>
          <w:spacing w:val="-3"/>
          <w:szCs w:val="22"/>
        </w:rPr>
        <w:t>ini</w:t>
      </w:r>
      <w:r w:rsidR="00782145" w:rsidRPr="00EF4AD3">
        <w:rPr>
          <w:spacing w:val="-3"/>
          <w:szCs w:val="22"/>
        </w:rPr>
        <w:t>o</w:t>
      </w:r>
      <w:r w:rsidRPr="00EF4AD3">
        <w:rPr>
          <w:spacing w:val="-3"/>
          <w:szCs w:val="22"/>
        </w:rPr>
        <w:t xml:space="preserve"> preparato</w:t>
      </w:r>
      <w:r w:rsidR="00782145" w:rsidRPr="00EF4AD3">
        <w:rPr>
          <w:spacing w:val="-3"/>
          <w:szCs w:val="22"/>
        </w:rPr>
        <w:t xml:space="preserve"> koncentracija tokia pati, kaip ir </w:t>
      </w:r>
      <w:r w:rsidR="0074655A" w:rsidRPr="00EF4AD3">
        <w:rPr>
          <w:spacing w:val="-3"/>
          <w:szCs w:val="22"/>
        </w:rPr>
        <w:t xml:space="preserve">motinos </w:t>
      </w:r>
      <w:r w:rsidR="00782145" w:rsidRPr="00EF4AD3">
        <w:rPr>
          <w:spacing w:val="-3"/>
          <w:szCs w:val="22"/>
        </w:rPr>
        <w:t>krauj</w:t>
      </w:r>
      <w:r w:rsidR="0074655A" w:rsidRPr="00EF4AD3">
        <w:rPr>
          <w:spacing w:val="-3"/>
          <w:szCs w:val="22"/>
        </w:rPr>
        <w:t>yje</w:t>
      </w:r>
      <w:r w:rsidR="00782145" w:rsidRPr="00EF4AD3">
        <w:rPr>
          <w:spacing w:val="-3"/>
          <w:szCs w:val="22"/>
        </w:rPr>
        <w:t>.</w:t>
      </w:r>
    </w:p>
    <w:p w:rsidR="00782145" w:rsidRPr="00EF4AD3" w:rsidRDefault="00782145" w:rsidP="005717F4">
      <w:pPr>
        <w:pStyle w:val="BTEMEASMCA"/>
      </w:pPr>
    </w:p>
    <w:p w:rsidR="00782145" w:rsidRPr="00EF4AD3" w:rsidRDefault="00A354C9" w:rsidP="005717F4">
      <w:pPr>
        <w:pStyle w:val="BTEMEASMCA"/>
      </w:pPr>
      <w:r w:rsidRPr="00EF4AD3">
        <w:t>Nėštumo ir žindymo laikotarpiu etmabutolio skirti galima tik kruopščiai įvertinus naudos ir rizikos santykį.</w:t>
      </w:r>
    </w:p>
    <w:p w:rsidR="00A354C9" w:rsidRPr="00EF4AD3" w:rsidRDefault="00A354C9" w:rsidP="005717F4">
      <w:pPr>
        <w:pStyle w:val="BTEMEASMCA"/>
      </w:pPr>
    </w:p>
    <w:p w:rsidR="00074B3C" w:rsidRPr="00EF4AD3" w:rsidRDefault="00074B3C" w:rsidP="005717F4">
      <w:pPr>
        <w:pStyle w:val="BTEMEASMCA"/>
      </w:pPr>
      <w:r w:rsidRPr="00EF4AD3">
        <w:t>Vaisingumas</w:t>
      </w:r>
    </w:p>
    <w:p w:rsidR="00074B3C" w:rsidRPr="00EF4AD3" w:rsidRDefault="00074B3C" w:rsidP="005717F4">
      <w:pPr>
        <w:pStyle w:val="BTEMEASMCA"/>
      </w:pPr>
      <w:r w:rsidRPr="00EF4AD3">
        <w:t xml:space="preserve">Duomenų </w:t>
      </w:r>
      <w:r w:rsidR="004B072F" w:rsidRPr="00EF4AD3">
        <w:t xml:space="preserve">su žmonėmis </w:t>
      </w:r>
      <w:r w:rsidRPr="00EF4AD3">
        <w:t>nėra.</w:t>
      </w:r>
    </w:p>
    <w:p w:rsidR="00074B3C" w:rsidRPr="00EF4AD3" w:rsidRDefault="00074B3C" w:rsidP="005717F4">
      <w:pPr>
        <w:pStyle w:val="BTEMEASMCA"/>
      </w:pPr>
    </w:p>
    <w:p w:rsidR="00782145" w:rsidRPr="00EF4AD3" w:rsidRDefault="00782145" w:rsidP="00BD4864">
      <w:pPr>
        <w:pStyle w:val="PI-2EMEASMCA"/>
      </w:pPr>
      <w:r w:rsidRPr="00EF4AD3">
        <w:lastRenderedPageBreak/>
        <w:t>4.7</w:t>
      </w:r>
      <w:r w:rsidRPr="00EF4AD3">
        <w:tab/>
        <w:t>Poveikis gebėjimui vairuoti ir valdyti mechanizmus</w:t>
      </w:r>
    </w:p>
    <w:p w:rsidR="00782145" w:rsidRPr="00EF4AD3" w:rsidRDefault="00782145" w:rsidP="005717F4">
      <w:pPr>
        <w:pStyle w:val="BTEMEASMCA"/>
      </w:pPr>
    </w:p>
    <w:p w:rsidR="00782145" w:rsidRPr="00EF4AD3" w:rsidRDefault="00782145"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 xml:space="preserve">Net ir vartojant įprastomis dozėmis, etambutolis gali pakeisti reakcijos laiką taip, kad pablogėja gebėjimas vairuoti ir valdyti mechanizmus. </w:t>
      </w:r>
      <w:r w:rsidR="00A354C9" w:rsidRPr="00EF4AD3">
        <w:rPr>
          <w:szCs w:val="22"/>
        </w:rPr>
        <w:t>Esamas su etambutolio vartojim</w:t>
      </w:r>
      <w:r w:rsidR="00C57A09" w:rsidRPr="00EF4AD3">
        <w:rPr>
          <w:szCs w:val="22"/>
        </w:rPr>
        <w:t>u</w:t>
      </w:r>
      <w:r w:rsidR="00A354C9" w:rsidRPr="00EF4AD3">
        <w:rPr>
          <w:szCs w:val="22"/>
        </w:rPr>
        <w:t xml:space="preserve"> susijęs regėjimo sutrikimas veikia gebėjimą vairuoti ir valdyti mechanizmus.</w:t>
      </w:r>
    </w:p>
    <w:p w:rsidR="00782145" w:rsidRPr="00EF4AD3" w:rsidRDefault="00782145" w:rsidP="005717F4">
      <w:pPr>
        <w:pStyle w:val="BTEMEASMCA"/>
      </w:pPr>
    </w:p>
    <w:p w:rsidR="00782145" w:rsidRPr="00EF4AD3" w:rsidRDefault="00782145" w:rsidP="00BD4864">
      <w:pPr>
        <w:pStyle w:val="PI-2EMEASMCA"/>
      </w:pPr>
      <w:r w:rsidRPr="00EF4AD3">
        <w:t>4.8</w:t>
      </w:r>
      <w:r w:rsidRPr="00EF4AD3">
        <w:tab/>
        <w:t>Nepageidaujamas poveikis</w:t>
      </w:r>
    </w:p>
    <w:p w:rsidR="00782145" w:rsidRPr="00EF4AD3" w:rsidRDefault="00782145" w:rsidP="005717F4">
      <w:pPr>
        <w:pStyle w:val="BTEMEASMCA"/>
      </w:pPr>
    </w:p>
    <w:p w:rsidR="00074B3C" w:rsidRPr="00EF4AD3" w:rsidRDefault="00074B3C" w:rsidP="005717F4">
      <w:pPr>
        <w:pStyle w:val="BTEMEASMCA"/>
      </w:pPr>
      <w:r w:rsidRPr="00EF4AD3">
        <w:t xml:space="preserve">Svarbiausia etambutolio nepageidaujama reakcija yra regos nervo neuritas, galintis pasireikšti vienos arba abiejų akių regėjimo aštrumo </w:t>
      </w:r>
      <w:r w:rsidR="00384170" w:rsidRPr="00EF4AD3">
        <w:t>ir spalvų skyrimo sutrikimu. Ankstyvi pakitimai dažniausiai yra grįžtami, tačiau nedelsiant nenutraukus gydymo gali atsirasti aklumas. Jeigu etambutolis vartojamas 2</w:t>
      </w:r>
      <w:r w:rsidR="00384170" w:rsidRPr="00EF4AD3">
        <w:noBreakHyphen/>
        <w:t>3 mėnesius ir rekomenduojamomis dozėmis toksinis poveikis akims pasire</w:t>
      </w:r>
      <w:r w:rsidR="00AD32EA" w:rsidRPr="00EF4AD3">
        <w:t>i</w:t>
      </w:r>
      <w:r w:rsidR="00384170" w:rsidRPr="00EF4AD3">
        <w:t>škia retai.</w:t>
      </w:r>
    </w:p>
    <w:p w:rsidR="00384170" w:rsidRPr="00EF4AD3" w:rsidRDefault="00384170" w:rsidP="005717F4">
      <w:pPr>
        <w:pStyle w:val="BTEMEASMCA"/>
      </w:pPr>
    </w:p>
    <w:p w:rsidR="00384170" w:rsidRPr="00EF4AD3" w:rsidRDefault="00384170" w:rsidP="005717F4">
      <w:pPr>
        <w:pStyle w:val="BTEMEASMCA"/>
      </w:pPr>
      <w:r w:rsidRPr="00EF4AD3">
        <w:t>Nepageidaujamo poveikio dažnis apibūdinamas taip: labai dažnas (≥ 1/10), dažnas (nuo ≥ 1/100 iki &lt; 1/10), nedažnas (nuo ≥ 1/1 000 iki &lt; 1/100), retas (nuo ≥ 1/10 000 iki &lt; 1/1000), labai retas (&lt; 1/10 000) ir nežinomas (negali būti apskaičiuotas pagal turimus duomenis).</w:t>
      </w:r>
    </w:p>
    <w:p w:rsidR="00384170" w:rsidRPr="00EF4AD3" w:rsidRDefault="00384170" w:rsidP="005717F4">
      <w:pPr>
        <w:pStyle w:val="BTEMEASMCA"/>
      </w:pPr>
    </w:p>
    <w:p w:rsidR="00A6309C" w:rsidRPr="00EF4AD3" w:rsidRDefault="00A6309C" w:rsidP="00A6309C">
      <w:pPr>
        <w:pStyle w:val="Pavadinimas"/>
        <w:jc w:val="left"/>
        <w:rPr>
          <w:b w:val="0"/>
          <w:noProof/>
          <w:szCs w:val="22"/>
          <w:u w:val="single"/>
          <w:lang w:val="lt-LT"/>
        </w:rPr>
      </w:pPr>
      <w:r w:rsidRPr="00EF4AD3">
        <w:rPr>
          <w:b w:val="0"/>
          <w:noProof/>
          <w:szCs w:val="22"/>
          <w:u w:val="single"/>
          <w:lang w:val="lt-LT"/>
        </w:rPr>
        <w:t>Kraujo ir limfinės sistemos sutrikimai</w:t>
      </w:r>
    </w:p>
    <w:p w:rsidR="000D5D92" w:rsidRPr="00EF4AD3" w:rsidRDefault="00A6309C" w:rsidP="005717F4">
      <w:pPr>
        <w:pStyle w:val="BTEMEASMCA"/>
      </w:pPr>
      <w:r w:rsidRPr="00EF4AD3">
        <w:t xml:space="preserve">Reti kraujo sudėties pokyčiai, pvz., trombocitopenija. </w:t>
      </w:r>
    </w:p>
    <w:p w:rsidR="00A6309C" w:rsidRPr="00EF4AD3" w:rsidRDefault="000D5D92" w:rsidP="005717F4">
      <w:pPr>
        <w:pStyle w:val="BTEMEASMCA"/>
      </w:pPr>
      <w:r w:rsidRPr="00EF4AD3">
        <w:t xml:space="preserve">Dažnis nežinomas. </w:t>
      </w:r>
      <w:r w:rsidR="00A6309C" w:rsidRPr="00EF4AD3">
        <w:t>Nustatytas leukopenijos ir pavienis neutropenijos</w:t>
      </w:r>
      <w:r w:rsidR="00DF59B6" w:rsidRPr="00EF4AD3">
        <w:t xml:space="preserve"> kartu su eozinofilija atvejis</w:t>
      </w:r>
      <w:r w:rsidR="00A6309C" w:rsidRPr="00EF4AD3">
        <w:t xml:space="preserve"> </w:t>
      </w:r>
      <w:r w:rsidR="00DF59B6" w:rsidRPr="00EF4AD3">
        <w:t>priskiriamas</w:t>
      </w:r>
      <w:r w:rsidR="00A6309C" w:rsidRPr="00EF4AD3">
        <w:t xml:space="preserve"> alerginė</w:t>
      </w:r>
      <w:r w:rsidR="00DF59B6" w:rsidRPr="00EF4AD3">
        <w:t>ms reakcijoms</w:t>
      </w:r>
      <w:r w:rsidR="00A6309C" w:rsidRPr="00EF4AD3">
        <w:t xml:space="preserve"> (taip pat žr. poskyrį „Imuninės sistemos sutrikimai“)</w:t>
      </w:r>
      <w:r w:rsidR="00DF59B6" w:rsidRPr="00EF4AD3">
        <w:t>.</w:t>
      </w:r>
    </w:p>
    <w:p w:rsidR="00A6309C" w:rsidRPr="00EF4AD3" w:rsidRDefault="00A6309C" w:rsidP="005717F4">
      <w:pPr>
        <w:pStyle w:val="BTEMEASMCA"/>
      </w:pPr>
    </w:p>
    <w:p w:rsidR="00384170" w:rsidRPr="00EF4AD3" w:rsidRDefault="00384170" w:rsidP="00384170">
      <w:pPr>
        <w:pStyle w:val="Pavadinimas"/>
        <w:jc w:val="left"/>
        <w:rPr>
          <w:b w:val="0"/>
          <w:noProof/>
          <w:szCs w:val="22"/>
          <w:u w:val="single"/>
          <w:lang w:val="lt-LT"/>
        </w:rPr>
      </w:pPr>
      <w:r w:rsidRPr="00EF4AD3">
        <w:rPr>
          <w:b w:val="0"/>
          <w:noProof/>
          <w:szCs w:val="22"/>
          <w:u w:val="single"/>
          <w:lang w:val="lt-LT"/>
        </w:rPr>
        <w:t xml:space="preserve">Imuninės sistemos sutrikimai </w:t>
      </w:r>
    </w:p>
    <w:p w:rsidR="00384170" w:rsidRPr="00EF4AD3" w:rsidRDefault="00112714" w:rsidP="005717F4">
      <w:pPr>
        <w:pStyle w:val="BTEMEASMCA"/>
      </w:pPr>
      <w:r w:rsidRPr="00EF4AD3">
        <w:t xml:space="preserve">Retos </w:t>
      </w:r>
      <w:r w:rsidR="00384170" w:rsidRPr="00EF4AD3">
        <w:t>alerginės reakcijos. Dažniausiai jos pasireiškia egzantema, niežuliu, dilg</w:t>
      </w:r>
      <w:r w:rsidR="00F96A97" w:rsidRPr="00EF4AD3">
        <w:t>ė</w:t>
      </w:r>
      <w:r w:rsidR="00384170" w:rsidRPr="00EF4AD3">
        <w:t>line, karščiavimu ir (arba) leukopenija. Retai anafilaksinis šokas, pasireiškiantis sunkiu ūminiu padidėjusiu jautrumu.</w:t>
      </w:r>
    </w:p>
    <w:p w:rsidR="00EB0DE4" w:rsidRPr="00EF4AD3" w:rsidRDefault="00EB0DE4" w:rsidP="005717F4">
      <w:pPr>
        <w:pStyle w:val="BTEMEASMCA"/>
      </w:pPr>
      <w:r w:rsidRPr="00EF4AD3">
        <w:t xml:space="preserve">Dažnis nežinomas. </w:t>
      </w:r>
      <w:r w:rsidR="00384170" w:rsidRPr="00EF4AD3">
        <w:t xml:space="preserve">Gauta pranešimų apie </w:t>
      </w:r>
      <w:r w:rsidR="00384170" w:rsidRPr="00EF4AD3">
        <w:rPr>
          <w:i/>
        </w:rPr>
        <w:t xml:space="preserve">Stevens Johnson </w:t>
      </w:r>
      <w:r w:rsidR="00384170" w:rsidRPr="00EF4AD3">
        <w:t>sindromą.</w:t>
      </w:r>
      <w:r w:rsidRPr="00EF4AD3">
        <w:t xml:space="preserve"> Taip pat pranešta apie pavienius alerginių reakcijų atvejus, pasireiškusius pneumonitu ir neutropenija</w:t>
      </w:r>
      <w:r w:rsidR="00D65433" w:rsidRPr="00EF4AD3">
        <w:t>,</w:t>
      </w:r>
      <w:r w:rsidRPr="00EF4AD3">
        <w:t xml:space="preserve"> kartu su eozinofilija.</w:t>
      </w:r>
    </w:p>
    <w:p w:rsidR="00384170" w:rsidRPr="00EF4AD3" w:rsidRDefault="00384170" w:rsidP="005717F4">
      <w:pPr>
        <w:pStyle w:val="BTEMEASMCA"/>
      </w:pPr>
    </w:p>
    <w:p w:rsidR="00384170" w:rsidRPr="00103E28" w:rsidRDefault="00384170" w:rsidP="005717F4">
      <w:pPr>
        <w:pStyle w:val="BTEMEASMCA"/>
        <w:rPr>
          <w:u w:val="single"/>
        </w:rPr>
      </w:pPr>
      <w:r w:rsidRPr="00103E28">
        <w:rPr>
          <w:u w:val="single"/>
        </w:rPr>
        <w:t>Metabolizmo ir mitybos sutrikimai</w:t>
      </w:r>
    </w:p>
    <w:p w:rsidR="00384170" w:rsidRPr="00EF4AD3" w:rsidRDefault="00A85AF0" w:rsidP="005717F4">
      <w:pPr>
        <w:pStyle w:val="BTEMEASMCA"/>
      </w:pPr>
      <w:r w:rsidRPr="00EF4AD3">
        <w:t>R</w:t>
      </w:r>
      <w:r w:rsidR="00D914A5" w:rsidRPr="00EF4AD3">
        <w:t xml:space="preserve">etai </w:t>
      </w:r>
      <w:r w:rsidR="00384170" w:rsidRPr="00EF4AD3">
        <w:t>padidėja šlapimo rūgšties koncentracija kraujyje, dažniausiai pacientams</w:t>
      </w:r>
      <w:r w:rsidR="00D65433" w:rsidRPr="00EF4AD3">
        <w:t>,</w:t>
      </w:r>
      <w:r w:rsidR="00384170" w:rsidRPr="00EF4AD3">
        <w:t xml:space="preserve"> sergantiems podagra. Manoma, kad tai atsiranda dėl konkurencinio vaist</w:t>
      </w:r>
      <w:r w:rsidR="00D65433" w:rsidRPr="00EF4AD3">
        <w:t>ini</w:t>
      </w:r>
      <w:r w:rsidR="00384170" w:rsidRPr="00EF4AD3">
        <w:t>o</w:t>
      </w:r>
      <w:r w:rsidR="00D65433" w:rsidRPr="00EF4AD3">
        <w:t xml:space="preserve"> preparato</w:t>
      </w:r>
      <w:r w:rsidR="00384170" w:rsidRPr="00EF4AD3">
        <w:t xml:space="preserve"> ir šlapimo rūgšties pašalinimo mechanizmo inkstų kanalėliuose. Tai galima nustatyti ne anksčiau kaip po 24 valandų pavartojus vieną vaist</w:t>
      </w:r>
      <w:r w:rsidR="00D65433" w:rsidRPr="00EF4AD3">
        <w:t>ini</w:t>
      </w:r>
      <w:r w:rsidR="00384170" w:rsidRPr="00EF4AD3">
        <w:t>o</w:t>
      </w:r>
      <w:r w:rsidR="00D65433" w:rsidRPr="00EF4AD3">
        <w:t xml:space="preserve"> preparato</w:t>
      </w:r>
      <w:r w:rsidR="00384170" w:rsidRPr="00EF4AD3">
        <w:t xml:space="preserve"> dozę ir vėliausiai po 90 parų nuo gydymo pradžios. Tokios nepageidaujamo poveikio reakcijos stiprėja kartu vartojant izoniazidą ir piridoksiną.</w:t>
      </w:r>
    </w:p>
    <w:p w:rsidR="00384170" w:rsidRPr="00EF4AD3" w:rsidRDefault="00384170" w:rsidP="005717F4">
      <w:pPr>
        <w:pStyle w:val="BTEMEASMCA"/>
      </w:pPr>
    </w:p>
    <w:p w:rsidR="00384170" w:rsidRPr="00103E28" w:rsidRDefault="004A162B" w:rsidP="005717F4">
      <w:pPr>
        <w:pStyle w:val="BTEMEASMCA"/>
        <w:rPr>
          <w:u w:val="single"/>
        </w:rPr>
      </w:pPr>
      <w:r w:rsidRPr="00103E28">
        <w:rPr>
          <w:u w:val="single"/>
        </w:rPr>
        <w:t>Psichikos sutrikimai</w:t>
      </w:r>
    </w:p>
    <w:p w:rsidR="00384170" w:rsidRPr="00EF4AD3" w:rsidRDefault="004A162B" w:rsidP="005717F4">
      <w:pPr>
        <w:pStyle w:val="BTEMEASMCA"/>
      </w:pPr>
      <w:r w:rsidRPr="00EF4AD3">
        <w:t>Dažnai: sumišimas, orientacijos sutrikimas, haliucinacijos.</w:t>
      </w:r>
    </w:p>
    <w:p w:rsidR="004A162B" w:rsidRPr="00EF4AD3" w:rsidRDefault="004A162B" w:rsidP="005717F4">
      <w:pPr>
        <w:pStyle w:val="BTEMEASMCA"/>
      </w:pPr>
    </w:p>
    <w:p w:rsidR="00A6309C" w:rsidRPr="00EF4AD3" w:rsidRDefault="00A6309C" w:rsidP="00A6309C">
      <w:pPr>
        <w:pStyle w:val="Pavadinimas"/>
        <w:jc w:val="left"/>
        <w:rPr>
          <w:b w:val="0"/>
          <w:noProof/>
          <w:szCs w:val="22"/>
          <w:u w:val="single"/>
          <w:lang w:val="lt-LT"/>
        </w:rPr>
      </w:pPr>
      <w:r w:rsidRPr="00EF4AD3">
        <w:rPr>
          <w:b w:val="0"/>
          <w:noProof/>
          <w:szCs w:val="22"/>
          <w:u w:val="single"/>
          <w:lang w:val="lt-LT"/>
        </w:rPr>
        <w:t>Nervų sistemos sutrikimai</w:t>
      </w:r>
    </w:p>
    <w:p w:rsidR="004A162B" w:rsidRPr="00EF4AD3" w:rsidRDefault="00A6309C" w:rsidP="005717F4">
      <w:pPr>
        <w:pStyle w:val="BTEMEASMCA"/>
      </w:pPr>
      <w:r w:rsidRPr="00EF4AD3">
        <w:t>Dažn</w:t>
      </w:r>
      <w:r w:rsidR="004A162B" w:rsidRPr="00EF4AD3">
        <w:t>a</w:t>
      </w:r>
      <w:r w:rsidRPr="00EF4AD3">
        <w:t>i</w:t>
      </w:r>
      <w:r w:rsidR="004A162B" w:rsidRPr="00EF4AD3">
        <w:t>: galvos skausmas, svaigimas ir drebulys.</w:t>
      </w:r>
    </w:p>
    <w:p w:rsidR="00505056" w:rsidRPr="00EF4AD3" w:rsidRDefault="004A162B" w:rsidP="005717F4">
      <w:pPr>
        <w:pStyle w:val="BTEMEASMCA"/>
      </w:pPr>
      <w:r w:rsidRPr="00EF4AD3">
        <w:t>Ne</w:t>
      </w:r>
      <w:r w:rsidR="00A6309C" w:rsidRPr="00EF4AD3">
        <w:t>dažn</w:t>
      </w:r>
      <w:r w:rsidRPr="00EF4AD3">
        <w:t>a</w:t>
      </w:r>
      <w:r w:rsidR="00A6309C" w:rsidRPr="00EF4AD3">
        <w:t>i:</w:t>
      </w:r>
      <w:r w:rsidR="00505056" w:rsidRPr="00EF4AD3">
        <w:t xml:space="preserve"> periferinis neuritas (dažniausiai kojų)</w:t>
      </w:r>
    </w:p>
    <w:p w:rsidR="004A162B" w:rsidRPr="00EF4AD3" w:rsidRDefault="00505056" w:rsidP="005717F4">
      <w:pPr>
        <w:pStyle w:val="BTEMEASMCA"/>
      </w:pPr>
      <w:r w:rsidRPr="00EF4AD3">
        <w:t>Labai retai: polineuropatija.</w:t>
      </w:r>
    </w:p>
    <w:p w:rsidR="004A162B" w:rsidRPr="00EF4AD3" w:rsidRDefault="004A162B" w:rsidP="005717F4">
      <w:pPr>
        <w:pStyle w:val="BTEMEASMCA"/>
      </w:pPr>
    </w:p>
    <w:p w:rsidR="00505056" w:rsidRPr="00103E28" w:rsidRDefault="00505056" w:rsidP="005717F4">
      <w:pPr>
        <w:pStyle w:val="BTEMEASMCA"/>
        <w:rPr>
          <w:u w:val="single"/>
        </w:rPr>
      </w:pPr>
      <w:r w:rsidRPr="00103E28">
        <w:rPr>
          <w:u w:val="single"/>
        </w:rPr>
        <w:t>Akių sutrikimai</w:t>
      </w:r>
    </w:p>
    <w:p w:rsidR="00DF59B6" w:rsidRPr="00EF4AD3" w:rsidRDefault="00505056" w:rsidP="005717F4">
      <w:pPr>
        <w:pStyle w:val="BTEMEASMCA"/>
      </w:pPr>
      <w:r w:rsidRPr="00EF4AD3">
        <w:t>Retai pasireiškia nuo dozės priklausomas</w:t>
      </w:r>
      <w:r w:rsidR="00A6309C" w:rsidRPr="00EF4AD3">
        <w:t xml:space="preserve"> optinio nervo neuritas</w:t>
      </w:r>
      <w:r w:rsidRPr="00EF4AD3">
        <w:t>, galintis pasireikšti raudonos</w:t>
      </w:r>
      <w:r w:rsidRPr="00EF4AD3">
        <w:noBreakHyphen/>
        <w:t>žalio</w:t>
      </w:r>
      <w:r w:rsidR="005265D1" w:rsidRPr="00EF4AD3">
        <w:t>s</w:t>
      </w:r>
      <w:r w:rsidRPr="00EF4AD3">
        <w:t xml:space="preserve"> aklumu kartu su regėjimo sutrikimu (regėjimo susilpnėjimas, centrinė skotoma, fotofobija). Ankstyvi pokyčiai dažniausiai yra grįžtami, tačiau nedelsiant nenutr</w:t>
      </w:r>
      <w:r w:rsidR="00D65433" w:rsidRPr="00EF4AD3">
        <w:t>a</w:t>
      </w:r>
      <w:r w:rsidRPr="00EF4AD3">
        <w:t>ukus etambutolio vartojimo gali atsirasti aklumas (taip pat žr. 4.4 skyrių)</w:t>
      </w:r>
      <w:r w:rsidR="00DF59B6" w:rsidRPr="00EF4AD3">
        <w:t xml:space="preserve"> </w:t>
      </w:r>
    </w:p>
    <w:p w:rsidR="00DF59B6" w:rsidRPr="00EF4AD3" w:rsidRDefault="00DF59B6" w:rsidP="005717F4">
      <w:pPr>
        <w:pStyle w:val="BTEMEASMCA"/>
      </w:pPr>
    </w:p>
    <w:p w:rsidR="00DF59B6" w:rsidRPr="00EF4AD3" w:rsidRDefault="00DF59B6" w:rsidP="00DF59B6">
      <w:pPr>
        <w:pStyle w:val="Pavadinimas"/>
        <w:jc w:val="left"/>
        <w:rPr>
          <w:b w:val="0"/>
          <w:noProof/>
          <w:szCs w:val="22"/>
          <w:u w:val="single"/>
          <w:lang w:val="lt-LT"/>
        </w:rPr>
      </w:pPr>
      <w:r w:rsidRPr="00EF4AD3">
        <w:rPr>
          <w:b w:val="0"/>
          <w:noProof/>
          <w:szCs w:val="22"/>
          <w:u w:val="single"/>
          <w:lang w:val="lt-LT"/>
        </w:rPr>
        <w:t>Kvėpavimo sistemos, krūtinės ląstos ir tarpuplaučio sutrikimai</w:t>
      </w:r>
    </w:p>
    <w:p w:rsidR="00DF59B6" w:rsidRPr="00EF4AD3" w:rsidRDefault="00EB0DE4" w:rsidP="005717F4">
      <w:pPr>
        <w:pStyle w:val="BTEMEASMCA"/>
      </w:pPr>
      <w:r w:rsidRPr="00EF4AD3">
        <w:t xml:space="preserve">Dažnis nežinomas. </w:t>
      </w:r>
      <w:r w:rsidR="00DF59B6" w:rsidRPr="00EF4AD3">
        <w:t>Nustatyti pavieniai pneumonito atvejai priskiriami alerginėms reakcijoms (taip pat žr. poskyrį „Imuninės sistemos sutrikimai“).</w:t>
      </w:r>
    </w:p>
    <w:p w:rsidR="00DF59B6" w:rsidRPr="00EF4AD3" w:rsidRDefault="00DF59B6" w:rsidP="005717F4">
      <w:pPr>
        <w:pStyle w:val="BTEMEASMCA"/>
      </w:pPr>
    </w:p>
    <w:p w:rsidR="00DF59B6" w:rsidRPr="00EF4AD3" w:rsidRDefault="00DF59B6" w:rsidP="00DF59B6">
      <w:pPr>
        <w:pStyle w:val="Pavadinimas"/>
        <w:jc w:val="left"/>
        <w:rPr>
          <w:b w:val="0"/>
          <w:noProof/>
          <w:szCs w:val="22"/>
          <w:u w:val="single"/>
          <w:lang w:val="lt-LT"/>
        </w:rPr>
      </w:pPr>
      <w:r w:rsidRPr="00EF4AD3">
        <w:rPr>
          <w:b w:val="0"/>
          <w:noProof/>
          <w:szCs w:val="22"/>
          <w:u w:val="single"/>
          <w:lang w:val="lt-LT"/>
        </w:rPr>
        <w:t>Virškinimo trakto sutrikimai</w:t>
      </w:r>
    </w:p>
    <w:p w:rsidR="00DF59B6" w:rsidRPr="00EF4AD3" w:rsidRDefault="00EB0DE4" w:rsidP="005717F4">
      <w:pPr>
        <w:pStyle w:val="BTEMEASMCA"/>
      </w:pPr>
      <w:r w:rsidRPr="00EF4AD3">
        <w:t xml:space="preserve">Dažnis nežinomas. </w:t>
      </w:r>
      <w:r w:rsidR="00DF59B6" w:rsidRPr="00EF4AD3">
        <w:t>Nustatyta meteorizmo, sotumo jausmo, virškinimo sutrikimų ir pykinimo atvejų.</w:t>
      </w:r>
    </w:p>
    <w:p w:rsidR="00DF59B6" w:rsidRPr="00EF4AD3" w:rsidRDefault="00DF59B6" w:rsidP="005717F4">
      <w:pPr>
        <w:pStyle w:val="BTEMEASMCA"/>
      </w:pPr>
    </w:p>
    <w:p w:rsidR="00505056" w:rsidRPr="00EF4AD3" w:rsidRDefault="00505056" w:rsidP="00505056">
      <w:pPr>
        <w:pStyle w:val="Pavadinimas"/>
        <w:jc w:val="left"/>
        <w:rPr>
          <w:b w:val="0"/>
          <w:noProof/>
          <w:szCs w:val="22"/>
          <w:u w:val="single"/>
          <w:lang w:val="lt-LT"/>
        </w:rPr>
      </w:pPr>
      <w:r w:rsidRPr="00EF4AD3">
        <w:rPr>
          <w:b w:val="0"/>
          <w:noProof/>
          <w:szCs w:val="22"/>
          <w:u w:val="single"/>
          <w:lang w:val="lt-LT"/>
        </w:rPr>
        <w:t>Kepenų, tulžies pūslės ir latakų sutrikimai</w:t>
      </w:r>
    </w:p>
    <w:p w:rsidR="00505056" w:rsidRPr="00EF4AD3" w:rsidRDefault="00505056" w:rsidP="005717F4">
      <w:pPr>
        <w:pStyle w:val="BTEMEASMCA"/>
      </w:pPr>
      <w:r w:rsidRPr="00EF4AD3">
        <w:lastRenderedPageBreak/>
        <w:t>Labai reti: transaminazių aktyvumo padidėjimas, hepatitas.</w:t>
      </w:r>
    </w:p>
    <w:p w:rsidR="00505056" w:rsidRPr="00EF4AD3" w:rsidRDefault="00505056" w:rsidP="005717F4">
      <w:pPr>
        <w:pStyle w:val="BTEMEASMCA"/>
      </w:pPr>
    </w:p>
    <w:p w:rsidR="00505056" w:rsidRPr="00EF4AD3" w:rsidRDefault="00505056" w:rsidP="00505056">
      <w:pPr>
        <w:pStyle w:val="Pavadinimas"/>
        <w:jc w:val="left"/>
        <w:rPr>
          <w:b w:val="0"/>
          <w:noProof/>
          <w:szCs w:val="22"/>
          <w:u w:val="single"/>
          <w:lang w:val="lt-LT"/>
        </w:rPr>
      </w:pPr>
      <w:r w:rsidRPr="00EF4AD3">
        <w:rPr>
          <w:b w:val="0"/>
          <w:noProof/>
          <w:szCs w:val="22"/>
          <w:u w:val="single"/>
          <w:lang w:val="lt-LT"/>
        </w:rPr>
        <w:t>Odos ir poodinio audinio sutrikimai</w:t>
      </w:r>
    </w:p>
    <w:p w:rsidR="000D5D92" w:rsidRPr="00EF4AD3" w:rsidRDefault="00505056" w:rsidP="005717F4">
      <w:pPr>
        <w:pStyle w:val="BTEMEASMCA"/>
      </w:pPr>
      <w:r w:rsidRPr="00EF4AD3">
        <w:t>Retai pasireiškia bėrimas, niežulys ir dilg</w:t>
      </w:r>
      <w:r w:rsidR="000D5D92" w:rsidRPr="00EF4AD3">
        <w:t>ė</w:t>
      </w:r>
      <w:r w:rsidRPr="00EF4AD3">
        <w:t xml:space="preserve">linė. </w:t>
      </w:r>
    </w:p>
    <w:p w:rsidR="00505056" w:rsidRPr="00EF4AD3" w:rsidRDefault="000D5D92" w:rsidP="005717F4">
      <w:pPr>
        <w:pStyle w:val="BTEMEASMCA"/>
      </w:pPr>
      <w:r w:rsidRPr="00EF4AD3">
        <w:t>Dažnis nežin</w:t>
      </w:r>
      <w:r w:rsidRPr="005E7221">
        <w:t xml:space="preserve">omas. </w:t>
      </w:r>
      <w:r w:rsidR="00505056" w:rsidRPr="005E7221">
        <w:t>Taip pat gauta pranešimų apie egzantemos</w:t>
      </w:r>
      <w:r w:rsidR="005774B5">
        <w:t>,</w:t>
      </w:r>
      <w:r w:rsidR="00505056" w:rsidRPr="005E7221">
        <w:t xml:space="preserve"> kerpligės</w:t>
      </w:r>
      <w:r w:rsidR="005774B5">
        <w:t>,</w:t>
      </w:r>
      <w:r w:rsidR="00505056" w:rsidRPr="005E7221">
        <w:t xml:space="preserve"> </w:t>
      </w:r>
      <w:r w:rsidR="005E7221" w:rsidRPr="00103E28">
        <w:t>Stivenso-Džonsono sindrom</w:t>
      </w:r>
      <w:r w:rsidR="005774B5">
        <w:t>o</w:t>
      </w:r>
      <w:r w:rsidR="005E7221" w:rsidRPr="00103E28">
        <w:t xml:space="preserve"> (SDS), toksin</w:t>
      </w:r>
      <w:r w:rsidR="005774B5">
        <w:t>ės</w:t>
      </w:r>
      <w:r w:rsidR="005E7221" w:rsidRPr="00103E28">
        <w:t xml:space="preserve"> epidermio nekroliz</w:t>
      </w:r>
      <w:r w:rsidR="005774B5">
        <w:t>ės</w:t>
      </w:r>
      <w:r w:rsidR="005E7221" w:rsidRPr="00103E28">
        <w:t xml:space="preserve"> (TEN) </w:t>
      </w:r>
      <w:r w:rsidR="005E7221">
        <w:t xml:space="preserve">ir </w:t>
      </w:r>
      <w:r w:rsidR="005162B1" w:rsidRPr="00103E28">
        <w:t>reakcij</w:t>
      </w:r>
      <w:r w:rsidR="005774B5">
        <w:t>os</w:t>
      </w:r>
      <w:r w:rsidR="005162B1" w:rsidRPr="00103E28">
        <w:t xml:space="preserve"> į vaist</w:t>
      </w:r>
      <w:r w:rsidR="005E7221">
        <w:t>inį preparat</w:t>
      </w:r>
      <w:r w:rsidR="005162B1" w:rsidRPr="00103E28">
        <w:t>ą su eozinofilija ir sisteminiais simptomais (DRESS sindrom</w:t>
      </w:r>
      <w:r w:rsidR="005774B5">
        <w:t>o</w:t>
      </w:r>
      <w:r w:rsidR="005162B1" w:rsidRPr="00103E28">
        <w:t xml:space="preserve">) </w:t>
      </w:r>
      <w:r w:rsidR="005774B5" w:rsidRPr="005E7221">
        <w:t>atvejus</w:t>
      </w:r>
      <w:r w:rsidR="005774B5" w:rsidRPr="005774B5">
        <w:t xml:space="preserve"> </w:t>
      </w:r>
      <w:r w:rsidR="005162B1" w:rsidRPr="00103E28">
        <w:t>(žr. 4.4</w:t>
      </w:r>
      <w:r w:rsidR="005E7221">
        <w:t> </w:t>
      </w:r>
      <w:r w:rsidR="005162B1" w:rsidRPr="00103E28">
        <w:t>skyrių)</w:t>
      </w:r>
      <w:r w:rsidR="00505056" w:rsidRPr="005E7221">
        <w:t>.</w:t>
      </w:r>
    </w:p>
    <w:p w:rsidR="00505056" w:rsidRPr="00EF4AD3" w:rsidRDefault="00505056" w:rsidP="005717F4">
      <w:pPr>
        <w:pStyle w:val="BTEMEASMCA"/>
      </w:pPr>
    </w:p>
    <w:p w:rsidR="00505056" w:rsidRPr="00103E28" w:rsidRDefault="00505056" w:rsidP="005717F4">
      <w:pPr>
        <w:pStyle w:val="BTEMEASMCA"/>
        <w:rPr>
          <w:u w:val="single"/>
        </w:rPr>
      </w:pPr>
      <w:r w:rsidRPr="00103E28">
        <w:rPr>
          <w:u w:val="single"/>
        </w:rPr>
        <w:t>Skeleto, raumenų ir jungiamojo audinio sutrikimai</w:t>
      </w:r>
    </w:p>
    <w:p w:rsidR="00505056" w:rsidRPr="00EF4AD3" w:rsidRDefault="00952C71" w:rsidP="005717F4">
      <w:pPr>
        <w:pStyle w:val="BTEMEASMCA"/>
      </w:pPr>
      <w:r w:rsidRPr="00EF4AD3">
        <w:t>Retai: artralgija</w:t>
      </w:r>
    </w:p>
    <w:p w:rsidR="00505056" w:rsidRPr="00EF4AD3" w:rsidRDefault="00505056" w:rsidP="005717F4">
      <w:pPr>
        <w:pStyle w:val="BTEMEASMCA"/>
      </w:pPr>
    </w:p>
    <w:p w:rsidR="00DF59B6" w:rsidRPr="00EF4AD3" w:rsidRDefault="00DF59B6" w:rsidP="00DF59B6">
      <w:pPr>
        <w:pStyle w:val="Pavadinimas"/>
        <w:jc w:val="left"/>
        <w:rPr>
          <w:b w:val="0"/>
          <w:noProof/>
          <w:szCs w:val="22"/>
          <w:u w:val="single"/>
          <w:lang w:val="lt-LT"/>
        </w:rPr>
      </w:pPr>
      <w:r w:rsidRPr="00EF4AD3">
        <w:rPr>
          <w:b w:val="0"/>
          <w:noProof/>
          <w:szCs w:val="22"/>
          <w:u w:val="single"/>
          <w:lang w:val="lt-LT"/>
        </w:rPr>
        <w:t>Inkstų ir šlapimo takų sutrikimai</w:t>
      </w:r>
    </w:p>
    <w:p w:rsidR="00DF59B6" w:rsidRPr="00EF4AD3" w:rsidRDefault="00DF59B6" w:rsidP="005717F4">
      <w:pPr>
        <w:pStyle w:val="BTEMEASMCA"/>
      </w:pPr>
      <w:r w:rsidRPr="00EF4AD3">
        <w:t>Nedažni: nefrotoksinis poveikis.</w:t>
      </w:r>
    </w:p>
    <w:p w:rsidR="008D4344" w:rsidRPr="00EF4AD3" w:rsidRDefault="008D4344" w:rsidP="005717F4">
      <w:pPr>
        <w:pStyle w:val="BTEMEASMCA"/>
      </w:pPr>
    </w:p>
    <w:p w:rsidR="008D4344" w:rsidRPr="009E429E" w:rsidRDefault="008D4344" w:rsidP="005717F4">
      <w:pPr>
        <w:pStyle w:val="BTEMEASMCA"/>
      </w:pPr>
      <w:r w:rsidRPr="009E429E">
        <w:t>Priemonės, kurių reikia imtis pasireiškus pašalinėms reakcijoms</w:t>
      </w:r>
    </w:p>
    <w:p w:rsidR="008D4344" w:rsidRPr="009E429E" w:rsidRDefault="008D4344" w:rsidP="005717F4">
      <w:pPr>
        <w:pStyle w:val="BTEMEASMCA"/>
      </w:pPr>
      <w:r w:rsidRPr="009E429E">
        <w:t>Sunkios ūmios padidėjusio jautrumo reakcijos (pvz. anafilaksija)</w:t>
      </w:r>
    </w:p>
    <w:p w:rsidR="008D4344" w:rsidRPr="00EF4AD3" w:rsidRDefault="008D4344" w:rsidP="005717F4">
      <w:pPr>
        <w:pStyle w:val="BTEMEASMCA"/>
      </w:pPr>
      <w:r w:rsidRPr="00EF4AD3">
        <w:t>Reikia nedelsiant nutraukti EMB-Fatol vartojimą ir, jei reikia, naudoti skubios pagalbos priemones (pvz., paskirti antihistamininių, kortikosteroidų preparatų, simpatomimetikų ir, esant reikalui, daryti dirbtinį kvėpavimą).</w:t>
      </w:r>
    </w:p>
    <w:p w:rsidR="00782145" w:rsidRPr="00EF4AD3" w:rsidRDefault="00782145" w:rsidP="005717F4">
      <w:pPr>
        <w:pStyle w:val="BTEMEASMCA"/>
      </w:pPr>
    </w:p>
    <w:p w:rsidR="003C3EA3" w:rsidRPr="00EF4AD3" w:rsidRDefault="003C3EA3" w:rsidP="000D6B8F">
      <w:pPr>
        <w:autoSpaceDE w:val="0"/>
        <w:autoSpaceDN w:val="0"/>
        <w:adjustRightInd w:val="0"/>
        <w:rPr>
          <w:szCs w:val="22"/>
          <w:u w:val="single"/>
        </w:rPr>
      </w:pPr>
      <w:r w:rsidRPr="00EF4AD3">
        <w:rPr>
          <w:noProof/>
          <w:szCs w:val="22"/>
          <w:u w:val="single"/>
        </w:rPr>
        <w:t>Pranešimas apie įtariamas nepageidaujamas reakcijas</w:t>
      </w:r>
    </w:p>
    <w:p w:rsidR="003C3EA3" w:rsidRPr="00EF4AD3" w:rsidRDefault="00FC7D91" w:rsidP="00103E28">
      <w:pPr>
        <w:jc w:val="both"/>
        <w:rPr>
          <w:noProof/>
          <w:szCs w:val="22"/>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r w:rsidR="00103E28">
        <w:rPr>
          <w:szCs w:val="22"/>
          <w:lang w:eastAsia="lt-LT"/>
        </w:rPr>
        <w:t>.</w:t>
      </w:r>
    </w:p>
    <w:p w:rsidR="003C3EA3" w:rsidRPr="00EF4AD3" w:rsidRDefault="003C3EA3" w:rsidP="005717F4">
      <w:pPr>
        <w:pStyle w:val="BTEMEASMCA"/>
      </w:pPr>
    </w:p>
    <w:p w:rsidR="00782145" w:rsidRPr="00EF4AD3" w:rsidRDefault="00782145" w:rsidP="00782145">
      <w:pPr>
        <w:pStyle w:val="PI-2EMEASMCA"/>
      </w:pPr>
      <w:r w:rsidRPr="00EF4AD3">
        <w:t>4.9</w:t>
      </w:r>
      <w:r w:rsidRPr="00EF4AD3">
        <w:tab/>
        <w:t>Perdozavimas</w:t>
      </w:r>
    </w:p>
    <w:p w:rsidR="00782145" w:rsidRPr="00EF4AD3" w:rsidRDefault="00782145" w:rsidP="005717F4">
      <w:pPr>
        <w:pStyle w:val="BTEMEASMCA"/>
      </w:pPr>
    </w:p>
    <w:p w:rsidR="008D4344" w:rsidRPr="00EF4AD3" w:rsidRDefault="008D4344"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Apsinuodijimo simptomai.</w:t>
      </w:r>
    </w:p>
    <w:p w:rsidR="008D4344" w:rsidRPr="00EF4AD3" w:rsidRDefault="008D4344"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Apetito praradimas, vėmimas, virškinimo trakto sutrikimas, karščiavimas, galvos skausmas, svaigimas, sumišimas, haliucinacijos ir (arba) regėjimo sutrikimas.</w:t>
      </w:r>
    </w:p>
    <w:p w:rsidR="008D4344" w:rsidRPr="00EF4AD3" w:rsidRDefault="008D4344"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8D4344" w:rsidRPr="00EF4AD3" w:rsidRDefault="008D4344"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Apsinuodijimo gydymas.</w:t>
      </w:r>
    </w:p>
    <w:p w:rsidR="008D4344" w:rsidRPr="00EF4AD3" w:rsidRDefault="008D4344"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Specifinio antidoto nėra.</w:t>
      </w:r>
    </w:p>
    <w:p w:rsidR="008A0D5C" w:rsidRPr="00EF4AD3" w:rsidRDefault="008A0D5C"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 xml:space="preserve">Dėl greitos </w:t>
      </w:r>
      <w:r w:rsidR="00952C71" w:rsidRPr="00EF4AD3">
        <w:rPr>
          <w:spacing w:val="-3"/>
          <w:szCs w:val="22"/>
        </w:rPr>
        <w:t xml:space="preserve">absorbcijos </w:t>
      </w:r>
      <w:r w:rsidRPr="00EF4AD3">
        <w:rPr>
          <w:spacing w:val="-3"/>
          <w:szCs w:val="22"/>
        </w:rPr>
        <w:t>toksinų pašalinimas</w:t>
      </w:r>
      <w:r w:rsidR="00952C71" w:rsidRPr="00EF4AD3">
        <w:rPr>
          <w:spacing w:val="-3"/>
          <w:szCs w:val="22"/>
        </w:rPr>
        <w:t xml:space="preserve"> (vėmimas, skrandžio plovimas)</w:t>
      </w:r>
      <w:r w:rsidRPr="00EF4AD3">
        <w:rPr>
          <w:spacing w:val="-3"/>
          <w:szCs w:val="22"/>
        </w:rPr>
        <w:t xml:space="preserve"> tikslingas tik iškart išgėrus vaist</w:t>
      </w:r>
      <w:r w:rsidR="00943FED" w:rsidRPr="00EF4AD3">
        <w:rPr>
          <w:spacing w:val="-3"/>
          <w:szCs w:val="22"/>
        </w:rPr>
        <w:t>ini</w:t>
      </w:r>
      <w:r w:rsidRPr="00EF4AD3">
        <w:rPr>
          <w:spacing w:val="-3"/>
          <w:szCs w:val="22"/>
        </w:rPr>
        <w:t>o</w:t>
      </w:r>
      <w:r w:rsidR="00943FED" w:rsidRPr="00EF4AD3">
        <w:rPr>
          <w:spacing w:val="-3"/>
          <w:szCs w:val="22"/>
        </w:rPr>
        <w:t xml:space="preserve"> preparato</w:t>
      </w:r>
      <w:r w:rsidRPr="00EF4AD3">
        <w:rPr>
          <w:spacing w:val="-3"/>
          <w:szCs w:val="22"/>
        </w:rPr>
        <w:t>.</w:t>
      </w:r>
    </w:p>
    <w:p w:rsidR="00782145" w:rsidRPr="00EF4AD3" w:rsidRDefault="008A0D5C"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Toliau taikomas simptominis gydymas. Neurologinių ir oftalmologinių nepageidaujamų poveikių gydymui rekomenduojama skirti B</w:t>
      </w:r>
      <w:r w:rsidRPr="00EF4AD3">
        <w:rPr>
          <w:spacing w:val="-3"/>
          <w:szCs w:val="22"/>
          <w:vertAlign w:val="subscript"/>
        </w:rPr>
        <w:t>1</w:t>
      </w:r>
      <w:r w:rsidRPr="00EF4AD3">
        <w:rPr>
          <w:spacing w:val="-3"/>
          <w:szCs w:val="22"/>
        </w:rPr>
        <w:t>, B</w:t>
      </w:r>
      <w:r w:rsidRPr="00EF4AD3">
        <w:rPr>
          <w:spacing w:val="-3"/>
          <w:szCs w:val="22"/>
          <w:vertAlign w:val="subscript"/>
        </w:rPr>
        <w:t>6</w:t>
      </w:r>
      <w:r w:rsidRPr="00EF4AD3">
        <w:rPr>
          <w:spacing w:val="-3"/>
          <w:szCs w:val="22"/>
        </w:rPr>
        <w:t xml:space="preserve"> ir B</w:t>
      </w:r>
      <w:r w:rsidRPr="00EF4AD3">
        <w:rPr>
          <w:spacing w:val="-3"/>
          <w:szCs w:val="22"/>
          <w:vertAlign w:val="subscript"/>
        </w:rPr>
        <w:t>12</w:t>
      </w:r>
      <w:r w:rsidRPr="00EF4AD3">
        <w:rPr>
          <w:spacing w:val="-3"/>
          <w:szCs w:val="22"/>
        </w:rPr>
        <w:t xml:space="preserve"> vitaminų, kalikreino ir steroidų.</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782145">
      <w:pPr>
        <w:pStyle w:val="PI-1EMEASMCA"/>
      </w:pPr>
      <w:r w:rsidRPr="00EF4AD3">
        <w:t>5.</w:t>
      </w:r>
      <w:r w:rsidRPr="00EF4AD3">
        <w:tab/>
        <w:t>FARMAKOLOGINĖS SAVYBĖS</w:t>
      </w:r>
    </w:p>
    <w:p w:rsidR="00782145" w:rsidRPr="00EF4AD3" w:rsidRDefault="00782145" w:rsidP="005717F4">
      <w:pPr>
        <w:pStyle w:val="BTEMEASMCA"/>
      </w:pPr>
    </w:p>
    <w:p w:rsidR="00782145" w:rsidRPr="00EF4AD3" w:rsidRDefault="00782145" w:rsidP="00782145">
      <w:pPr>
        <w:pStyle w:val="PI-2EMEASMCA"/>
      </w:pPr>
      <w:r w:rsidRPr="00EF4AD3">
        <w:t>5.1</w:t>
      </w:r>
      <w:r w:rsidRPr="00EF4AD3">
        <w:tab/>
        <w:t>Farmakodinaminės savybės</w:t>
      </w:r>
    </w:p>
    <w:p w:rsidR="00952C71" w:rsidRPr="00EF4AD3" w:rsidRDefault="00952C71" w:rsidP="00B94DAF">
      <w:pPr>
        <w:pStyle w:val="Pagrindinistekstas"/>
        <w:rPr>
          <w:sz w:val="22"/>
          <w:szCs w:val="22"/>
          <w:u w:val="single"/>
        </w:rPr>
      </w:pPr>
    </w:p>
    <w:p w:rsidR="00952C71" w:rsidRPr="00EF4AD3" w:rsidRDefault="00952C71" w:rsidP="004B072F">
      <w:pPr>
        <w:rPr>
          <w:szCs w:val="22"/>
          <w:u w:val="single"/>
        </w:rPr>
      </w:pPr>
      <w:r w:rsidRPr="00EF4AD3">
        <w:rPr>
          <w:szCs w:val="22"/>
        </w:rPr>
        <w:t>Farmakoterapinė grupė – vaistiniai preparatai nuo tuberkuliozės, ATC kodas – J04AK02.</w:t>
      </w:r>
    </w:p>
    <w:p w:rsidR="00952C71" w:rsidRPr="00EF4AD3" w:rsidRDefault="00952C71" w:rsidP="00B94DAF">
      <w:pPr>
        <w:pStyle w:val="Pagrindinistekstas"/>
        <w:rPr>
          <w:sz w:val="22"/>
          <w:szCs w:val="22"/>
          <w:u w:val="single"/>
        </w:rPr>
      </w:pPr>
    </w:p>
    <w:p w:rsidR="00B94DAF" w:rsidRPr="00EF4AD3" w:rsidRDefault="00B94DAF" w:rsidP="00B94DAF">
      <w:pPr>
        <w:pStyle w:val="Pagrindinistekstas"/>
        <w:rPr>
          <w:sz w:val="22"/>
          <w:szCs w:val="22"/>
        </w:rPr>
      </w:pPr>
      <w:r w:rsidRPr="00EF4AD3">
        <w:rPr>
          <w:sz w:val="22"/>
          <w:szCs w:val="22"/>
        </w:rPr>
        <w:t>Veikimo mechanizmas</w:t>
      </w:r>
    </w:p>
    <w:p w:rsidR="00952C71" w:rsidRPr="00EF4AD3" w:rsidRDefault="00952C71" w:rsidP="004B072F">
      <w:pPr>
        <w:rPr>
          <w:szCs w:val="22"/>
          <w:u w:val="single"/>
        </w:rPr>
      </w:pPr>
      <w:r w:rsidRPr="00EF4AD3">
        <w:rPr>
          <w:szCs w:val="22"/>
        </w:rPr>
        <w:t>Etambutolis veikia mikobakterijas</w:t>
      </w:r>
      <w:r w:rsidR="00943FED" w:rsidRPr="00EF4AD3">
        <w:rPr>
          <w:szCs w:val="22"/>
        </w:rPr>
        <w:t>,</w:t>
      </w:r>
      <w:r w:rsidRPr="00EF4AD3">
        <w:rPr>
          <w:szCs w:val="22"/>
        </w:rPr>
        <w:t xml:space="preserve"> esančias makrofagų ląstelėse ir už jos ribų. Efektyvi intraceliulinė koncentracija yra 7 kartus didesnė nei ekstraceliulinė. Antibakterinis etambutolio poveikis priklauso nuo veikliosios medžiagos koncentracijos ir gali būti tiek bakteriostatinis, tiek baktericidinis. 6</w:t>
      </w:r>
      <w:r w:rsidRPr="00EF4AD3">
        <w:rPr>
          <w:szCs w:val="22"/>
        </w:rPr>
        <w:noBreakHyphen/>
        <w:t>8 µg/ml ir didesnė etambutolio koncentracija veikia baktericidiškai, o mažesnė bakteriostatiškai.</w:t>
      </w:r>
    </w:p>
    <w:p w:rsidR="00952C71" w:rsidRPr="00EF4AD3" w:rsidRDefault="00952C71" w:rsidP="004B072F">
      <w:pPr>
        <w:rPr>
          <w:szCs w:val="22"/>
        </w:rPr>
      </w:pPr>
      <w:r w:rsidRPr="00EF4AD3">
        <w:rPr>
          <w:szCs w:val="22"/>
        </w:rPr>
        <w:t>Etambutolis pasižymi arabinoziltransferazes EmbA/B/C slopinančiu poveikiu, taip slopinama bakterijos ląstelės sienelės sintezė. Nors etambutolis į bakterijos ląstelę prasiskverbia greitai, bakterijų dauginimąsi stabdantis poveikis pasireiškia tik po 24 val.</w:t>
      </w:r>
    </w:p>
    <w:p w:rsidR="00952C71" w:rsidRPr="00EF4AD3" w:rsidRDefault="00952C71" w:rsidP="00B94DAF">
      <w:pPr>
        <w:pStyle w:val="Pagrindinistekstas"/>
        <w:rPr>
          <w:sz w:val="22"/>
          <w:szCs w:val="22"/>
          <w:u w:val="single"/>
        </w:rPr>
      </w:pPr>
    </w:p>
    <w:p w:rsidR="00B94DAF" w:rsidRPr="00EF4AD3" w:rsidRDefault="00B94DAF" w:rsidP="00B94DAF">
      <w:pPr>
        <w:pStyle w:val="Pagrindinistekstas"/>
        <w:rPr>
          <w:sz w:val="22"/>
          <w:szCs w:val="22"/>
        </w:rPr>
      </w:pPr>
      <w:r w:rsidRPr="00EF4AD3">
        <w:rPr>
          <w:sz w:val="22"/>
          <w:szCs w:val="22"/>
        </w:rPr>
        <w:t>Atsparumo mechanizmas</w:t>
      </w:r>
    </w:p>
    <w:p w:rsidR="00952C71" w:rsidRPr="00EF4AD3" w:rsidRDefault="00952C71" w:rsidP="004B072F">
      <w:pPr>
        <w:rPr>
          <w:szCs w:val="22"/>
        </w:rPr>
      </w:pPr>
      <w:r w:rsidRPr="00EF4AD3">
        <w:rPr>
          <w:szCs w:val="22"/>
        </w:rPr>
        <w:lastRenderedPageBreak/>
        <w:t>Atsparumas etambutoliui atsiranda dėl embCAB-operono</w:t>
      </w:r>
      <w:r w:rsidR="003712B8" w:rsidRPr="00EF4AD3">
        <w:rPr>
          <w:szCs w:val="22"/>
        </w:rPr>
        <w:t>, ypač embB-gene,</w:t>
      </w:r>
      <w:r w:rsidRPr="00EF4AD3">
        <w:rPr>
          <w:szCs w:val="22"/>
        </w:rPr>
        <w:t xml:space="preserve"> </w:t>
      </w:r>
      <w:r w:rsidR="003712B8" w:rsidRPr="00EF4AD3">
        <w:rPr>
          <w:szCs w:val="22"/>
        </w:rPr>
        <w:t xml:space="preserve">koduojančių arabinoziltransferazę, mutacijų. Lokalus individualių </w:t>
      </w:r>
      <w:r w:rsidR="00D74CD7" w:rsidRPr="00EF4AD3">
        <w:rPr>
          <w:szCs w:val="22"/>
        </w:rPr>
        <w:t>padermių</w:t>
      </w:r>
      <w:r w:rsidR="003712B8" w:rsidRPr="00EF4AD3">
        <w:rPr>
          <w:szCs w:val="22"/>
        </w:rPr>
        <w:t xml:space="preserve"> įgyto atsparumo paplitimas įvairiais laikotarpiais gali skirtis. </w:t>
      </w:r>
      <w:r w:rsidR="00713805" w:rsidRPr="00EF4AD3">
        <w:rPr>
          <w:szCs w:val="22"/>
        </w:rPr>
        <w:t>Remiantis gautais pranešimais ir vadovaujantis</w:t>
      </w:r>
      <w:r w:rsidR="003712B8" w:rsidRPr="00EF4AD3">
        <w:rPr>
          <w:szCs w:val="22"/>
        </w:rPr>
        <w:t xml:space="preserve"> Vokietijos apsaug</w:t>
      </w:r>
      <w:r w:rsidR="00713805" w:rsidRPr="00EF4AD3">
        <w:rPr>
          <w:szCs w:val="22"/>
        </w:rPr>
        <w:t>os nuo infekcijų įstatym</w:t>
      </w:r>
      <w:r w:rsidR="00DA5738" w:rsidRPr="00EF4AD3">
        <w:rPr>
          <w:szCs w:val="22"/>
        </w:rPr>
        <w:t>u</w:t>
      </w:r>
      <w:r w:rsidR="00713805" w:rsidRPr="00EF4AD3">
        <w:rPr>
          <w:szCs w:val="22"/>
        </w:rPr>
        <w:t>, Robert Koch institutas nustatė, kad 2011 metais atsparumo etambutoliui dažnis buvo 1,6</w:t>
      </w:r>
      <w:r w:rsidR="00DA5738" w:rsidRPr="00EF4AD3">
        <w:rPr>
          <w:szCs w:val="22"/>
        </w:rPr>
        <w:t xml:space="preserve"> </w:t>
      </w:r>
      <w:r w:rsidR="00713805" w:rsidRPr="00EF4AD3">
        <w:rPr>
          <w:szCs w:val="22"/>
        </w:rPr>
        <w:t>%. Tai rodo, kad tuberkuliozės sukėlėjai dažniausiai yra jautrūs etambutoliui. Nepaisant šių duomenų, gydymo patarimo rekomenduojama kreiptis į ekspertą.</w:t>
      </w:r>
    </w:p>
    <w:p w:rsidR="00952C71" w:rsidRPr="00EF4AD3" w:rsidRDefault="00952C71" w:rsidP="004B072F">
      <w:pPr>
        <w:rPr>
          <w:szCs w:val="22"/>
        </w:rPr>
      </w:pPr>
    </w:p>
    <w:p w:rsidR="00B94DAF" w:rsidRPr="00EF4AD3" w:rsidRDefault="00B94DAF" w:rsidP="00B94DAF">
      <w:pPr>
        <w:pStyle w:val="Pagrindinistekstas"/>
        <w:rPr>
          <w:bCs/>
          <w:sz w:val="22"/>
          <w:szCs w:val="22"/>
        </w:rPr>
      </w:pPr>
      <w:r w:rsidRPr="00EF4AD3">
        <w:rPr>
          <w:bCs/>
          <w:sz w:val="22"/>
          <w:szCs w:val="22"/>
        </w:rPr>
        <w:t>MSK ribinės reikšmės</w:t>
      </w:r>
    </w:p>
    <w:p w:rsidR="00713805" w:rsidRPr="00EF4AD3" w:rsidRDefault="00713805" w:rsidP="00B94DAF">
      <w:pPr>
        <w:pStyle w:val="Pagrindinistekstas"/>
        <w:rPr>
          <w:bCs/>
          <w:sz w:val="22"/>
          <w:szCs w:val="22"/>
        </w:rPr>
      </w:pPr>
    </w:p>
    <w:p w:rsidR="00AD7ED2" w:rsidRPr="00EF4AD3" w:rsidRDefault="00AD7ED2" w:rsidP="00BD4864">
      <w:pPr>
        <w:pStyle w:val="Pagrindinistekstas"/>
        <w:jc w:val="left"/>
        <w:rPr>
          <w:bCs/>
          <w:sz w:val="22"/>
          <w:szCs w:val="22"/>
        </w:rPr>
      </w:pPr>
      <w:r w:rsidRPr="00EF4AD3">
        <w:rPr>
          <w:bCs/>
          <w:sz w:val="22"/>
          <w:szCs w:val="22"/>
        </w:rPr>
        <w:t xml:space="preserve">Esama kritinė etambutolio koncentracija </w:t>
      </w:r>
      <w:r w:rsidRPr="00EF4AD3">
        <w:rPr>
          <w:bCs/>
          <w:i/>
          <w:sz w:val="22"/>
          <w:szCs w:val="22"/>
        </w:rPr>
        <w:t>Middlebrook 7H10</w:t>
      </w:r>
      <w:r w:rsidRPr="00EF4AD3">
        <w:rPr>
          <w:bCs/>
          <w:sz w:val="22"/>
          <w:szCs w:val="22"/>
        </w:rPr>
        <w:t xml:space="preserve"> terpėje yra 5 mg/l.</w:t>
      </w:r>
    </w:p>
    <w:p w:rsidR="00713805" w:rsidRPr="00EF4AD3" w:rsidRDefault="00713805" w:rsidP="00BD4864">
      <w:pPr>
        <w:pStyle w:val="Pagrindinistekstas"/>
        <w:jc w:val="left"/>
        <w:rPr>
          <w:bCs/>
          <w:sz w:val="22"/>
          <w:szCs w:val="22"/>
        </w:rPr>
      </w:pPr>
    </w:p>
    <w:p w:rsidR="00782145" w:rsidRPr="00EF4AD3" w:rsidRDefault="00B94DAF" w:rsidP="005717F4">
      <w:pPr>
        <w:pStyle w:val="BTEMEASMCA"/>
      </w:pPr>
      <w:r w:rsidRPr="00EF4AD3">
        <w:t>Mikroorganizmų jautrumas</w:t>
      </w:r>
    </w:p>
    <w:p w:rsidR="008A0D5C" w:rsidRPr="00EF4AD3" w:rsidRDefault="008A0D5C"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B27C2C" w:rsidRPr="00EF4AD3" w:rsidRDefault="00AD7ED2"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 xml:space="preserve">Lokalus individualių </w:t>
      </w:r>
      <w:r w:rsidR="00D74CD7" w:rsidRPr="00EF4AD3">
        <w:rPr>
          <w:spacing w:val="-3"/>
          <w:szCs w:val="22"/>
        </w:rPr>
        <w:t>padermių</w:t>
      </w:r>
      <w:r w:rsidRPr="00EF4AD3">
        <w:rPr>
          <w:spacing w:val="-3"/>
          <w:szCs w:val="22"/>
        </w:rPr>
        <w:t xml:space="preserve"> įgyto atsparumo paplitimas įvairiais laikotarpiais gali skirtis. Todėl būtina įvertin</w:t>
      </w:r>
      <w:r w:rsidR="00D74CD7" w:rsidRPr="00EF4AD3">
        <w:rPr>
          <w:spacing w:val="-3"/>
          <w:szCs w:val="22"/>
        </w:rPr>
        <w:t>ti</w:t>
      </w:r>
      <w:r w:rsidRPr="00EF4AD3">
        <w:rPr>
          <w:spacing w:val="-3"/>
          <w:szCs w:val="22"/>
        </w:rPr>
        <w:t xml:space="preserve"> vie</w:t>
      </w:r>
      <w:r w:rsidR="00D74CD7" w:rsidRPr="00EF4AD3">
        <w:rPr>
          <w:spacing w:val="-3"/>
          <w:szCs w:val="22"/>
        </w:rPr>
        <w:t>tinę informaciją apie atsparumą.</w:t>
      </w:r>
    </w:p>
    <w:p w:rsidR="00D74CD7" w:rsidRPr="00EF4AD3" w:rsidRDefault="00D74CD7" w:rsidP="00BD4864">
      <w:pPr>
        <w:rPr>
          <w:szCs w:val="22"/>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2"/>
      </w:tblGrid>
      <w:tr w:rsidR="00D74CD7" w:rsidRPr="00EF4AD3" w:rsidTr="00B94282">
        <w:trPr>
          <w:trHeight w:val="230"/>
        </w:trPr>
        <w:tc>
          <w:tcPr>
            <w:tcW w:w="5472" w:type="dxa"/>
          </w:tcPr>
          <w:p w:rsidR="00D74CD7" w:rsidRPr="00EF4AD3" w:rsidRDefault="00D74CD7" w:rsidP="00BD4864">
            <w:pPr>
              <w:autoSpaceDE w:val="0"/>
              <w:autoSpaceDN w:val="0"/>
              <w:adjustRightInd w:val="0"/>
              <w:ind w:left="92"/>
              <w:rPr>
                <w:b/>
                <w:bCs/>
                <w:szCs w:val="22"/>
              </w:rPr>
            </w:pPr>
            <w:r w:rsidRPr="00EF4AD3">
              <w:rPr>
                <w:b/>
                <w:bCs/>
                <w:szCs w:val="22"/>
              </w:rPr>
              <w:t>Įprastai jautrios padermės:</w:t>
            </w:r>
          </w:p>
        </w:tc>
      </w:tr>
      <w:tr w:rsidR="00D74CD7" w:rsidRPr="00EF4AD3" w:rsidTr="00B94282">
        <w:trPr>
          <w:trHeight w:val="1895"/>
        </w:trPr>
        <w:tc>
          <w:tcPr>
            <w:tcW w:w="5472" w:type="dxa"/>
          </w:tcPr>
          <w:p w:rsidR="00D74CD7" w:rsidRPr="00EF4AD3" w:rsidRDefault="00D74CD7" w:rsidP="00BD4864">
            <w:pPr>
              <w:autoSpaceDE w:val="0"/>
              <w:autoSpaceDN w:val="0"/>
              <w:adjustRightInd w:val="0"/>
              <w:rPr>
                <w:bCs/>
                <w:i/>
                <w:iCs/>
                <w:szCs w:val="22"/>
              </w:rPr>
            </w:pPr>
            <w:r w:rsidRPr="00EF4AD3">
              <w:rPr>
                <w:bCs/>
                <w:i/>
                <w:iCs/>
                <w:szCs w:val="22"/>
              </w:rPr>
              <w:t>Mycobacterium africanum</w:t>
            </w:r>
          </w:p>
          <w:p w:rsidR="00D74CD7" w:rsidRPr="00EF4AD3" w:rsidRDefault="006C0758" w:rsidP="00BD4864">
            <w:pPr>
              <w:autoSpaceDE w:val="0"/>
              <w:autoSpaceDN w:val="0"/>
              <w:adjustRightInd w:val="0"/>
              <w:rPr>
                <w:bCs/>
                <w:i/>
                <w:iCs/>
                <w:szCs w:val="22"/>
              </w:rPr>
            </w:pPr>
            <w:hyperlink r:id="rId11" w:tooltip="Mycobacterium avium" w:history="1">
              <w:r w:rsidR="00D74CD7" w:rsidRPr="00EF4AD3">
                <w:rPr>
                  <w:bCs/>
                  <w:i/>
                  <w:szCs w:val="22"/>
                </w:rPr>
                <w:t>Mycobacterium avium</w:t>
              </w:r>
            </w:hyperlink>
          </w:p>
          <w:p w:rsidR="00D74CD7" w:rsidRPr="00EF4AD3" w:rsidRDefault="00D74CD7" w:rsidP="00BD4864">
            <w:pPr>
              <w:autoSpaceDE w:val="0"/>
              <w:autoSpaceDN w:val="0"/>
              <w:adjustRightInd w:val="0"/>
              <w:rPr>
                <w:bCs/>
                <w:i/>
                <w:iCs/>
                <w:szCs w:val="22"/>
              </w:rPr>
            </w:pPr>
            <w:r w:rsidRPr="00EF4AD3">
              <w:rPr>
                <w:bCs/>
                <w:i/>
                <w:iCs/>
                <w:szCs w:val="22"/>
              </w:rPr>
              <w:t>Mycobacterium bovis</w:t>
            </w:r>
          </w:p>
          <w:p w:rsidR="00D74CD7" w:rsidRPr="00EF4AD3" w:rsidRDefault="00D74CD7" w:rsidP="00BD4864">
            <w:pPr>
              <w:autoSpaceDE w:val="0"/>
              <w:autoSpaceDN w:val="0"/>
              <w:adjustRightInd w:val="0"/>
              <w:rPr>
                <w:bCs/>
                <w:i/>
                <w:iCs/>
                <w:szCs w:val="22"/>
              </w:rPr>
            </w:pPr>
            <w:r w:rsidRPr="00EF4AD3">
              <w:rPr>
                <w:bCs/>
                <w:i/>
                <w:iCs/>
                <w:szCs w:val="22"/>
              </w:rPr>
              <w:t>Mycobacterium canetii</w:t>
            </w:r>
          </w:p>
          <w:p w:rsidR="00D74CD7" w:rsidRPr="00EF4AD3" w:rsidRDefault="00D74CD7" w:rsidP="00BD4864">
            <w:pPr>
              <w:autoSpaceDE w:val="0"/>
              <w:autoSpaceDN w:val="0"/>
              <w:adjustRightInd w:val="0"/>
              <w:rPr>
                <w:bCs/>
                <w:i/>
                <w:szCs w:val="22"/>
              </w:rPr>
            </w:pPr>
            <w:r w:rsidRPr="00EF4AD3">
              <w:rPr>
                <w:bCs/>
                <w:i/>
                <w:szCs w:val="22"/>
              </w:rPr>
              <w:t>Mycobacterium intracellulare</w:t>
            </w:r>
          </w:p>
          <w:p w:rsidR="00D74CD7" w:rsidRPr="00EF4AD3" w:rsidRDefault="00D74CD7" w:rsidP="00BD4864">
            <w:pPr>
              <w:autoSpaceDE w:val="0"/>
              <w:autoSpaceDN w:val="0"/>
              <w:adjustRightInd w:val="0"/>
              <w:rPr>
                <w:bCs/>
                <w:i/>
                <w:iCs/>
                <w:szCs w:val="22"/>
              </w:rPr>
            </w:pPr>
            <w:r w:rsidRPr="00EF4AD3">
              <w:rPr>
                <w:bCs/>
                <w:i/>
                <w:iCs/>
                <w:szCs w:val="22"/>
              </w:rPr>
              <w:t>Mycobacterium kansasii</w:t>
            </w:r>
          </w:p>
          <w:p w:rsidR="00D74CD7" w:rsidRPr="00EF4AD3" w:rsidRDefault="00D74CD7" w:rsidP="00BD4864">
            <w:pPr>
              <w:autoSpaceDE w:val="0"/>
              <w:autoSpaceDN w:val="0"/>
              <w:adjustRightInd w:val="0"/>
              <w:rPr>
                <w:bCs/>
                <w:i/>
                <w:szCs w:val="22"/>
              </w:rPr>
            </w:pPr>
            <w:r w:rsidRPr="00EF4AD3">
              <w:rPr>
                <w:bCs/>
                <w:i/>
                <w:szCs w:val="22"/>
              </w:rPr>
              <w:t>Mycobacterium marinum</w:t>
            </w:r>
          </w:p>
          <w:p w:rsidR="00D74CD7" w:rsidRPr="00EF4AD3" w:rsidRDefault="00D74CD7" w:rsidP="00BD4864">
            <w:pPr>
              <w:autoSpaceDE w:val="0"/>
              <w:autoSpaceDN w:val="0"/>
              <w:adjustRightInd w:val="0"/>
              <w:rPr>
                <w:bCs/>
                <w:i/>
                <w:iCs/>
                <w:szCs w:val="22"/>
              </w:rPr>
            </w:pPr>
            <w:r w:rsidRPr="00EF4AD3">
              <w:rPr>
                <w:bCs/>
                <w:i/>
                <w:iCs/>
                <w:szCs w:val="22"/>
              </w:rPr>
              <w:t>Mycobacterium microti</w:t>
            </w:r>
          </w:p>
          <w:p w:rsidR="00D74CD7" w:rsidRPr="00EF4AD3" w:rsidRDefault="00D74CD7" w:rsidP="00BD4864">
            <w:pPr>
              <w:autoSpaceDE w:val="0"/>
              <w:autoSpaceDN w:val="0"/>
              <w:adjustRightInd w:val="0"/>
              <w:rPr>
                <w:bCs/>
                <w:i/>
                <w:iCs/>
                <w:szCs w:val="22"/>
              </w:rPr>
            </w:pPr>
            <w:r w:rsidRPr="00EF4AD3">
              <w:rPr>
                <w:bCs/>
                <w:i/>
                <w:iCs/>
                <w:szCs w:val="22"/>
              </w:rPr>
              <w:t>Mycobacterium tuberculosis</w:t>
            </w:r>
          </w:p>
        </w:tc>
      </w:tr>
      <w:tr w:rsidR="00D74CD7" w:rsidRPr="00EF4AD3" w:rsidTr="00B94282">
        <w:trPr>
          <w:trHeight w:val="458"/>
        </w:trPr>
        <w:tc>
          <w:tcPr>
            <w:tcW w:w="5472" w:type="dxa"/>
          </w:tcPr>
          <w:p w:rsidR="00D74CD7" w:rsidRPr="00EF4AD3" w:rsidRDefault="00D74CD7" w:rsidP="00BD4864">
            <w:pPr>
              <w:autoSpaceDE w:val="0"/>
              <w:autoSpaceDN w:val="0"/>
              <w:adjustRightInd w:val="0"/>
              <w:ind w:left="92"/>
              <w:rPr>
                <w:b/>
                <w:bCs/>
                <w:iCs/>
                <w:szCs w:val="22"/>
              </w:rPr>
            </w:pPr>
            <w:r w:rsidRPr="00EF4AD3">
              <w:rPr>
                <w:b/>
                <w:bCs/>
                <w:iCs/>
                <w:szCs w:val="22"/>
              </w:rPr>
              <w:t>Atsparios padermės</w:t>
            </w:r>
          </w:p>
          <w:p w:rsidR="00D74CD7" w:rsidRPr="00EF4AD3" w:rsidRDefault="00D74CD7" w:rsidP="00BD4864">
            <w:pPr>
              <w:rPr>
                <w:b/>
                <w:bCs/>
                <w:i/>
                <w:iCs/>
                <w:szCs w:val="22"/>
              </w:rPr>
            </w:pPr>
            <w:r w:rsidRPr="00EF4AD3">
              <w:rPr>
                <w:i/>
                <w:szCs w:val="22"/>
              </w:rPr>
              <w:t>Mycobacterium haemophilum</w:t>
            </w:r>
          </w:p>
        </w:tc>
      </w:tr>
      <w:tr w:rsidR="00D74CD7" w:rsidRPr="00EF4AD3" w:rsidTr="00B94282">
        <w:trPr>
          <w:trHeight w:val="611"/>
        </w:trPr>
        <w:tc>
          <w:tcPr>
            <w:tcW w:w="5472" w:type="dxa"/>
          </w:tcPr>
          <w:p w:rsidR="00D74CD7" w:rsidRPr="00EF4AD3" w:rsidRDefault="00D74CD7" w:rsidP="00BD4864">
            <w:pPr>
              <w:ind w:left="92"/>
              <w:rPr>
                <w:b/>
                <w:szCs w:val="22"/>
              </w:rPr>
            </w:pPr>
            <w:r w:rsidRPr="00EF4AD3">
              <w:rPr>
                <w:b/>
                <w:szCs w:val="22"/>
              </w:rPr>
              <w:t>Kitos bakterijos,virusai ir grybeliai</w:t>
            </w:r>
          </w:p>
          <w:p w:rsidR="00D74CD7" w:rsidRPr="00EF4AD3" w:rsidRDefault="00D74CD7" w:rsidP="00BD4864">
            <w:pPr>
              <w:rPr>
                <w:b/>
                <w:bCs/>
                <w:i/>
                <w:iCs/>
                <w:szCs w:val="22"/>
              </w:rPr>
            </w:pPr>
            <w:r w:rsidRPr="00EF4AD3">
              <w:rPr>
                <w:szCs w:val="22"/>
              </w:rPr>
              <w:t>Kitų bakterijų virusų ir grybelių etambutolis neveikia.</w:t>
            </w:r>
          </w:p>
        </w:tc>
      </w:tr>
    </w:tbl>
    <w:p w:rsidR="00D74CD7" w:rsidRPr="00EF4AD3" w:rsidRDefault="00D74CD7" w:rsidP="00BD4864">
      <w:pPr>
        <w:rPr>
          <w:szCs w:val="22"/>
        </w:rPr>
      </w:pPr>
    </w:p>
    <w:p w:rsidR="00D74CD7" w:rsidRPr="00EF4AD3" w:rsidRDefault="00D74CD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Tinkamam tuberkuliozės arba tuberkul</w:t>
      </w:r>
      <w:r w:rsidR="008A6171" w:rsidRPr="00EF4AD3">
        <w:rPr>
          <w:spacing w:val="-3"/>
          <w:szCs w:val="22"/>
        </w:rPr>
        <w:t>iozei nepriskiriamų mikobakterij</w:t>
      </w:r>
      <w:r w:rsidRPr="00EF4AD3">
        <w:rPr>
          <w:spacing w:val="-3"/>
          <w:szCs w:val="22"/>
        </w:rPr>
        <w:t xml:space="preserve">ų sukeltų ligų gydymui reikia atlikti jautrumo vaistui tyrimą (JVT) ir </w:t>
      </w:r>
      <w:r w:rsidRPr="00EF4AD3">
        <w:rPr>
          <w:szCs w:val="22"/>
        </w:rPr>
        <w:t>rekomenduojama kreiptis į ekspertą gydymo patarimo. Ypatingai terapinės nesėkmės atvejais, diagnozė turi būti patvirtinta mikrobiologiniais tyrimai – nustatytas patogenas ir jo jautrumas etambutoliui.</w:t>
      </w:r>
    </w:p>
    <w:p w:rsidR="00782145" w:rsidRPr="00EF4AD3" w:rsidRDefault="00782145" w:rsidP="005717F4">
      <w:pPr>
        <w:pStyle w:val="BTEMEASMCA"/>
      </w:pPr>
    </w:p>
    <w:p w:rsidR="00782145" w:rsidRPr="00EF4AD3" w:rsidRDefault="00782145" w:rsidP="00BD4864">
      <w:pPr>
        <w:pStyle w:val="PI-2EMEASMCA"/>
      </w:pPr>
      <w:r w:rsidRPr="00EF4AD3">
        <w:t>5.2</w:t>
      </w:r>
      <w:r w:rsidRPr="00EF4AD3">
        <w:tab/>
        <w:t>Farmakokinetinės savybės</w:t>
      </w:r>
    </w:p>
    <w:p w:rsidR="00782145" w:rsidRPr="00EF4AD3" w:rsidRDefault="00782145" w:rsidP="005717F4">
      <w:pPr>
        <w:pStyle w:val="BTEMEASMCA"/>
      </w:pPr>
    </w:p>
    <w:p w:rsidR="003C3EA3" w:rsidRPr="00EF4AD3" w:rsidRDefault="00DD74D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noProof/>
          <w:szCs w:val="22"/>
        </w:rPr>
      </w:pPr>
      <w:r w:rsidRPr="00EF4AD3">
        <w:rPr>
          <w:noProof/>
          <w:szCs w:val="22"/>
        </w:rPr>
        <w:t>Absorbcija</w:t>
      </w:r>
    </w:p>
    <w:p w:rsidR="00FC70A4" w:rsidRPr="00EF4AD3" w:rsidRDefault="00FC70A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Išgėrus etambutolis greitai absorbuojamas ir pasiekiama koncentracija serume priklaus</w:t>
      </w:r>
      <w:r w:rsidR="00DE2C90" w:rsidRPr="00EF4AD3">
        <w:rPr>
          <w:spacing w:val="-3"/>
          <w:szCs w:val="22"/>
        </w:rPr>
        <w:t>o</w:t>
      </w:r>
      <w:r w:rsidRPr="00EF4AD3">
        <w:rPr>
          <w:spacing w:val="-3"/>
          <w:szCs w:val="22"/>
        </w:rPr>
        <w:t xml:space="preserve"> nuo išgertos dozės.</w:t>
      </w:r>
    </w:p>
    <w:p w:rsidR="00D74CD7" w:rsidRPr="00EF4AD3" w:rsidRDefault="00D74CD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D74CD7" w:rsidRPr="00EF4AD3" w:rsidRDefault="00291CDA"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Po geriamosios 25 mg/kg kūno svorio dozės pavartojimo buvo nustatyta toliau pateikiama didžiausia koncentracija kraujo serume (C</w:t>
      </w:r>
      <w:r w:rsidRPr="00EF4AD3">
        <w:rPr>
          <w:spacing w:val="-3"/>
          <w:szCs w:val="22"/>
          <w:vertAlign w:val="subscript"/>
        </w:rPr>
        <w:t>max</w:t>
      </w:r>
      <w:r w:rsidRPr="00EF4AD3">
        <w:rPr>
          <w:spacing w:val="-3"/>
          <w:szCs w:val="22"/>
        </w:rPr>
        <w:t>), laikas iki C</w:t>
      </w:r>
      <w:r w:rsidRPr="00EF4AD3">
        <w:rPr>
          <w:spacing w:val="-3"/>
          <w:szCs w:val="22"/>
          <w:vertAlign w:val="subscript"/>
        </w:rPr>
        <w:t xml:space="preserve">max </w:t>
      </w:r>
      <w:r w:rsidRPr="00EF4AD3">
        <w:rPr>
          <w:spacing w:val="-3"/>
          <w:szCs w:val="22"/>
        </w:rPr>
        <w:t>(T</w:t>
      </w:r>
      <w:r w:rsidRPr="00EF4AD3">
        <w:rPr>
          <w:spacing w:val="-3"/>
          <w:szCs w:val="22"/>
          <w:vertAlign w:val="subscript"/>
        </w:rPr>
        <w:t>max</w:t>
      </w:r>
      <w:r w:rsidRPr="00EF4AD3">
        <w:rPr>
          <w:spacing w:val="-3"/>
          <w:szCs w:val="22"/>
        </w:rPr>
        <w:t>) ir plotas po koncentracijos/laiko kreive (AUC): C</w:t>
      </w:r>
      <w:r w:rsidRPr="00EF4AD3">
        <w:rPr>
          <w:spacing w:val="-3"/>
          <w:szCs w:val="22"/>
          <w:vertAlign w:val="subscript"/>
        </w:rPr>
        <w:t>max</w:t>
      </w:r>
      <w:r w:rsidRPr="00EF4AD3">
        <w:rPr>
          <w:spacing w:val="-3"/>
          <w:szCs w:val="22"/>
        </w:rPr>
        <w:t xml:space="preserve"> – 4,5 ± 1,0 μg/ml, T</w:t>
      </w:r>
      <w:r w:rsidRPr="00EF4AD3">
        <w:rPr>
          <w:spacing w:val="-3"/>
          <w:szCs w:val="22"/>
          <w:vertAlign w:val="subscript"/>
        </w:rPr>
        <w:t>max</w:t>
      </w:r>
      <w:r w:rsidRPr="00EF4AD3">
        <w:rPr>
          <w:spacing w:val="-3"/>
          <w:szCs w:val="22"/>
        </w:rPr>
        <w:t xml:space="preserve"> – 2,5 ± </w:t>
      </w:r>
      <w:r w:rsidR="00DA1C8B" w:rsidRPr="00EF4AD3">
        <w:rPr>
          <w:spacing w:val="-3"/>
          <w:szCs w:val="22"/>
        </w:rPr>
        <w:t>0,9 val.</w:t>
      </w:r>
      <w:r w:rsidRPr="00EF4AD3">
        <w:rPr>
          <w:spacing w:val="-3"/>
          <w:szCs w:val="22"/>
        </w:rPr>
        <w:t xml:space="preserve"> ir AUC</w:t>
      </w:r>
      <w:r w:rsidRPr="00EF4AD3">
        <w:rPr>
          <w:spacing w:val="-3"/>
          <w:szCs w:val="22"/>
          <w:vertAlign w:val="subscript"/>
        </w:rPr>
        <w:t>(0</w:t>
      </w:r>
      <w:r w:rsidRPr="00EF4AD3">
        <w:rPr>
          <w:spacing w:val="-3"/>
          <w:szCs w:val="22"/>
          <w:vertAlign w:val="subscript"/>
        </w:rPr>
        <w:noBreakHyphen/>
        <w:t>∞)</w:t>
      </w:r>
      <w:r w:rsidRPr="00EF4AD3">
        <w:rPr>
          <w:spacing w:val="-3"/>
          <w:szCs w:val="22"/>
        </w:rPr>
        <w:t xml:space="preserve"> – 28,9 ± 4,7 μg h/ml. Pavartojus vienkartinę EMB Fatol 400 mg tablečių dozę arba išgėrus tirpalo, kuriame yra 400 mg etambutolio, suaugusiųjų savanorių organizme nustatoma C</w:t>
      </w:r>
      <w:r w:rsidRPr="00EF4AD3">
        <w:rPr>
          <w:spacing w:val="-3"/>
          <w:szCs w:val="22"/>
          <w:vertAlign w:val="subscript"/>
        </w:rPr>
        <w:t>max </w:t>
      </w:r>
      <w:r w:rsidRPr="00EF4AD3">
        <w:rPr>
          <w:spacing w:val="-3"/>
          <w:szCs w:val="22"/>
        </w:rPr>
        <w:t>= 1,0 μg/ml, T</w:t>
      </w:r>
      <w:r w:rsidRPr="00EF4AD3">
        <w:rPr>
          <w:spacing w:val="-3"/>
          <w:szCs w:val="22"/>
          <w:vertAlign w:val="subscript"/>
        </w:rPr>
        <w:t>max</w:t>
      </w:r>
      <w:r w:rsidRPr="00EF4AD3">
        <w:rPr>
          <w:spacing w:val="-3"/>
          <w:szCs w:val="22"/>
        </w:rPr>
        <w:t>=</w:t>
      </w:r>
      <w:r w:rsidR="00385133" w:rsidRPr="00EF4AD3">
        <w:rPr>
          <w:spacing w:val="-3"/>
          <w:szCs w:val="22"/>
        </w:rPr>
        <w:t>2</w:t>
      </w:r>
      <w:r w:rsidRPr="00EF4AD3">
        <w:rPr>
          <w:spacing w:val="-3"/>
          <w:szCs w:val="22"/>
        </w:rPr>
        <w:t>,</w:t>
      </w:r>
      <w:r w:rsidR="00385133" w:rsidRPr="00EF4AD3">
        <w:rPr>
          <w:spacing w:val="-3"/>
          <w:szCs w:val="22"/>
        </w:rPr>
        <w:t>8 </w:t>
      </w:r>
      <w:r w:rsidR="00DA1C8B" w:rsidRPr="00EF4AD3">
        <w:rPr>
          <w:spacing w:val="-3"/>
          <w:szCs w:val="22"/>
        </w:rPr>
        <w:t>val.</w:t>
      </w:r>
      <w:r w:rsidR="00385133" w:rsidRPr="00EF4AD3">
        <w:rPr>
          <w:spacing w:val="-3"/>
          <w:szCs w:val="22"/>
        </w:rPr>
        <w:t>, AUC = 5.1 μg h/ml ir, atitinkamai, C</w:t>
      </w:r>
      <w:r w:rsidR="00385133" w:rsidRPr="00EF4AD3">
        <w:rPr>
          <w:spacing w:val="-3"/>
          <w:szCs w:val="22"/>
          <w:vertAlign w:val="subscript"/>
        </w:rPr>
        <w:t>max </w:t>
      </w:r>
      <w:r w:rsidR="00385133" w:rsidRPr="00EF4AD3">
        <w:rPr>
          <w:spacing w:val="-3"/>
          <w:szCs w:val="22"/>
        </w:rPr>
        <w:t>= 1,1 μg/ml, T</w:t>
      </w:r>
      <w:r w:rsidR="00385133" w:rsidRPr="00EF4AD3">
        <w:rPr>
          <w:spacing w:val="-3"/>
          <w:szCs w:val="22"/>
          <w:vertAlign w:val="subscript"/>
        </w:rPr>
        <w:t>max</w:t>
      </w:r>
      <w:r w:rsidR="00385133" w:rsidRPr="00EF4AD3">
        <w:rPr>
          <w:spacing w:val="-3"/>
          <w:szCs w:val="22"/>
        </w:rPr>
        <w:t>=2,6 </w:t>
      </w:r>
      <w:r w:rsidR="00DA1C8B" w:rsidRPr="00EF4AD3">
        <w:rPr>
          <w:spacing w:val="-3"/>
          <w:szCs w:val="22"/>
        </w:rPr>
        <w:t>val.</w:t>
      </w:r>
      <w:r w:rsidR="00385133" w:rsidRPr="00EF4AD3">
        <w:rPr>
          <w:spacing w:val="-3"/>
          <w:szCs w:val="22"/>
        </w:rPr>
        <w:t>, AUC = 5.2 μg h/ml.</w:t>
      </w:r>
    </w:p>
    <w:p w:rsidR="00D74CD7" w:rsidRPr="00EF4AD3" w:rsidRDefault="00D74CD7"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E01A21" w:rsidRPr="00EF4AD3" w:rsidRDefault="00E01A21"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Pasiskirstymas</w:t>
      </w:r>
    </w:p>
    <w:p w:rsidR="0024018D" w:rsidRPr="00EF4AD3" w:rsidRDefault="00385133"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Etambutolis virškinimo trakte absorbuojamas gerai (apie 80</w:t>
      </w:r>
      <w:r w:rsidRPr="00EF4AD3">
        <w:rPr>
          <w:spacing w:val="-3"/>
          <w:szCs w:val="22"/>
        </w:rPr>
        <w:noBreakHyphen/>
        <w:t>85 %). J</w:t>
      </w:r>
      <w:r w:rsidR="00D50C23" w:rsidRPr="00EF4AD3">
        <w:rPr>
          <w:spacing w:val="-3"/>
          <w:szCs w:val="22"/>
        </w:rPr>
        <w:t>ungi</w:t>
      </w:r>
      <w:r w:rsidRPr="00EF4AD3">
        <w:rPr>
          <w:spacing w:val="-3"/>
          <w:szCs w:val="22"/>
        </w:rPr>
        <w:t>m</w:t>
      </w:r>
      <w:r w:rsidR="00D50C23" w:rsidRPr="00EF4AD3">
        <w:rPr>
          <w:spacing w:val="-3"/>
          <w:szCs w:val="22"/>
        </w:rPr>
        <w:t>asi</w:t>
      </w:r>
      <w:r w:rsidRPr="00EF4AD3">
        <w:rPr>
          <w:spacing w:val="-3"/>
          <w:szCs w:val="22"/>
        </w:rPr>
        <w:t>s</w:t>
      </w:r>
      <w:r w:rsidR="00D50C23" w:rsidRPr="00EF4AD3">
        <w:rPr>
          <w:spacing w:val="-3"/>
          <w:szCs w:val="22"/>
        </w:rPr>
        <w:t xml:space="preserve"> su serumo baltymais, priklauso nuo koncentracijos</w:t>
      </w:r>
      <w:r w:rsidRPr="00EF4AD3">
        <w:rPr>
          <w:spacing w:val="-3"/>
          <w:szCs w:val="22"/>
        </w:rPr>
        <w:t xml:space="preserve"> (pvz., esant etambutolio koncentracijoms 0,6 mg/l, jungiasi 39 %, o 4,8 mg/l – 8,3 %). Etambutolis greitai pašalinamas iš plazmos ir nedelsiant pasiskirsto įvairiuose audiniuose. </w:t>
      </w:r>
      <w:r w:rsidR="00D50C23" w:rsidRPr="00EF4AD3">
        <w:rPr>
          <w:spacing w:val="-3"/>
          <w:szCs w:val="22"/>
        </w:rPr>
        <w:t>Etambutolis</w:t>
      </w:r>
      <w:r w:rsidR="0024018D" w:rsidRPr="00EF4AD3">
        <w:rPr>
          <w:spacing w:val="-3"/>
          <w:szCs w:val="22"/>
        </w:rPr>
        <w:t>,</w:t>
      </w:r>
      <w:r w:rsidR="00D50C23" w:rsidRPr="00EF4AD3">
        <w:rPr>
          <w:spacing w:val="-3"/>
          <w:szCs w:val="22"/>
        </w:rPr>
        <w:t xml:space="preserve"> patekęs į eritrocitus</w:t>
      </w:r>
      <w:r w:rsidR="0024018D" w:rsidRPr="00EF4AD3">
        <w:rPr>
          <w:spacing w:val="-3"/>
          <w:szCs w:val="22"/>
        </w:rPr>
        <w:t>,</w:t>
      </w:r>
      <w:r w:rsidR="00D50C23" w:rsidRPr="00EF4AD3">
        <w:rPr>
          <w:spacing w:val="-3"/>
          <w:szCs w:val="22"/>
        </w:rPr>
        <w:t xml:space="preserve"> </w:t>
      </w:r>
      <w:r w:rsidR="0024018D" w:rsidRPr="00EF4AD3">
        <w:rPr>
          <w:spacing w:val="-3"/>
          <w:szCs w:val="22"/>
        </w:rPr>
        <w:t>susijungia ir ilgą laik</w:t>
      </w:r>
      <w:r w:rsidR="00EA7F5A" w:rsidRPr="00EF4AD3">
        <w:rPr>
          <w:spacing w:val="-3"/>
          <w:szCs w:val="22"/>
        </w:rPr>
        <w:t>ą</w:t>
      </w:r>
      <w:r w:rsidR="0024018D" w:rsidRPr="00EF4AD3">
        <w:rPr>
          <w:spacing w:val="-3"/>
          <w:szCs w:val="22"/>
        </w:rPr>
        <w:t xml:space="preserve"> </w:t>
      </w:r>
      <w:r w:rsidR="007B2421" w:rsidRPr="00EF4AD3">
        <w:rPr>
          <w:spacing w:val="-3"/>
          <w:szCs w:val="22"/>
        </w:rPr>
        <w:t xml:space="preserve">juose </w:t>
      </w:r>
      <w:r w:rsidR="0024018D" w:rsidRPr="00EF4AD3">
        <w:rPr>
          <w:spacing w:val="-3"/>
          <w:szCs w:val="22"/>
        </w:rPr>
        <w:t>išsilaiko 2</w:t>
      </w:r>
      <w:r w:rsidR="0024018D" w:rsidRPr="00EF4AD3">
        <w:rPr>
          <w:spacing w:val="-3"/>
          <w:szCs w:val="22"/>
        </w:rPr>
        <w:noBreakHyphen/>
        <w:t xml:space="preserve">4 kartus didesnė koncentracija nei plazmoje. Manoma, kad </w:t>
      </w:r>
      <w:r w:rsidRPr="00EF4AD3">
        <w:rPr>
          <w:spacing w:val="-3"/>
          <w:szCs w:val="22"/>
        </w:rPr>
        <w:t xml:space="preserve">šios ląstelės </w:t>
      </w:r>
      <w:r w:rsidR="0024018D" w:rsidRPr="00EF4AD3">
        <w:rPr>
          <w:spacing w:val="-3"/>
          <w:szCs w:val="22"/>
        </w:rPr>
        <w:t>yra rezervuaras, iš kurio etambutolis yra lėtai atpalaiduojamas. Makrofaguose etambutolio koncentracija yra 7 kartus didesnė nei ekstraceliuliniame skystyje.</w:t>
      </w:r>
    </w:p>
    <w:p w:rsidR="0024018D" w:rsidRPr="00EF4AD3" w:rsidRDefault="0024018D"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385133" w:rsidRPr="00EF4AD3" w:rsidRDefault="00385133"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 xml:space="preserve">Nustatyta, kad </w:t>
      </w:r>
      <w:r w:rsidR="003F7030" w:rsidRPr="00EF4AD3">
        <w:rPr>
          <w:spacing w:val="-3"/>
          <w:szCs w:val="22"/>
        </w:rPr>
        <w:t>sergant</w:t>
      </w:r>
      <w:r w:rsidRPr="00EF4AD3">
        <w:rPr>
          <w:spacing w:val="-3"/>
          <w:szCs w:val="22"/>
        </w:rPr>
        <w:t xml:space="preserve"> </w:t>
      </w:r>
      <w:r w:rsidR="003F7030" w:rsidRPr="00EF4AD3">
        <w:rPr>
          <w:spacing w:val="-3"/>
          <w:szCs w:val="22"/>
        </w:rPr>
        <w:t>meningitu</w:t>
      </w:r>
      <w:r w:rsidRPr="00EF4AD3">
        <w:rPr>
          <w:spacing w:val="-3"/>
          <w:szCs w:val="22"/>
        </w:rPr>
        <w:t xml:space="preserve"> etambutolio pa</w:t>
      </w:r>
      <w:r w:rsidR="003F7030" w:rsidRPr="00EF4AD3">
        <w:rPr>
          <w:spacing w:val="-3"/>
          <w:szCs w:val="22"/>
        </w:rPr>
        <w:t>tekimas į nugaros smegenų skystį yra vidutiniškas.</w:t>
      </w:r>
    </w:p>
    <w:p w:rsidR="00385133" w:rsidRPr="00EF4AD3" w:rsidRDefault="00385133"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24018D" w:rsidRPr="00EF4AD3" w:rsidRDefault="0024018D"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 xml:space="preserve">Etambutolio patenka į vaisiaus kraujotaką. </w:t>
      </w:r>
      <w:r w:rsidR="007B2421" w:rsidRPr="00EF4AD3">
        <w:rPr>
          <w:spacing w:val="-3"/>
          <w:szCs w:val="22"/>
        </w:rPr>
        <w:t xml:space="preserve">Bambos virkštelės kraujyje rasta </w:t>
      </w:r>
      <w:r w:rsidRPr="00EF4AD3">
        <w:rPr>
          <w:spacing w:val="-3"/>
          <w:szCs w:val="22"/>
        </w:rPr>
        <w:t>32</w:t>
      </w:r>
      <w:r w:rsidR="003F7030" w:rsidRPr="00EF4AD3">
        <w:rPr>
          <w:spacing w:val="-3"/>
          <w:szCs w:val="22"/>
        </w:rPr>
        <w:noBreakHyphen/>
        <w:t>75</w:t>
      </w:r>
      <w:r w:rsidRPr="00EF4AD3">
        <w:rPr>
          <w:spacing w:val="-3"/>
          <w:szCs w:val="22"/>
        </w:rPr>
        <w:t xml:space="preserve">% vaisto koncentracijos </w:t>
      </w:r>
      <w:r w:rsidR="003F7030" w:rsidRPr="00EF4AD3">
        <w:rPr>
          <w:spacing w:val="-3"/>
          <w:szCs w:val="22"/>
        </w:rPr>
        <w:t xml:space="preserve">motinos kraujo </w:t>
      </w:r>
      <w:r w:rsidRPr="00EF4AD3">
        <w:rPr>
          <w:spacing w:val="-3"/>
          <w:szCs w:val="22"/>
        </w:rPr>
        <w:t>serume.</w:t>
      </w:r>
    </w:p>
    <w:p w:rsidR="007B2421" w:rsidRPr="00EF4AD3" w:rsidRDefault="007B2421"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7B2421" w:rsidRPr="00EF4AD3" w:rsidRDefault="007B2421" w:rsidP="004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Etambutoli</w:t>
      </w:r>
      <w:r w:rsidR="00DD74D4" w:rsidRPr="00EF4AD3">
        <w:rPr>
          <w:spacing w:val="-3"/>
          <w:szCs w:val="22"/>
        </w:rPr>
        <w:t>o</w:t>
      </w:r>
      <w:r w:rsidRPr="00EF4AD3">
        <w:rPr>
          <w:spacing w:val="-3"/>
          <w:szCs w:val="22"/>
        </w:rPr>
        <w:t xml:space="preserve"> jungtis su serumo baltymais priklauso nuo koncentracijos, pvz. 39% etambutolio randama sujungto, esant 0,6 mg/ml koncentracijai, ir tik 8,3%, esant 4,8 mg/ml koncentracijai.</w:t>
      </w:r>
    </w:p>
    <w:p w:rsidR="0024018D" w:rsidRPr="00EF4AD3" w:rsidRDefault="0024018D"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7B2421" w:rsidRPr="00EF4AD3" w:rsidRDefault="00DD74D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noProof/>
          <w:szCs w:val="22"/>
        </w:rPr>
        <w:t>Biotransformacija</w:t>
      </w:r>
      <w:r w:rsidRPr="00EF4AD3" w:rsidDel="00DD74D4">
        <w:rPr>
          <w:spacing w:val="-3"/>
          <w:szCs w:val="22"/>
        </w:rPr>
        <w:t xml:space="preserve"> </w:t>
      </w:r>
      <w:r w:rsidR="007B2421" w:rsidRPr="00EF4AD3">
        <w:rPr>
          <w:spacing w:val="-3"/>
          <w:szCs w:val="22"/>
        </w:rPr>
        <w:t xml:space="preserve">ir </w:t>
      </w:r>
      <w:r w:rsidRPr="00EF4AD3">
        <w:rPr>
          <w:noProof/>
          <w:szCs w:val="22"/>
        </w:rPr>
        <w:t>eliminacija</w:t>
      </w:r>
    </w:p>
    <w:p w:rsidR="00782145" w:rsidRPr="00EF4AD3" w:rsidRDefault="00DD74D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P</w:t>
      </w:r>
      <w:r w:rsidR="007B2421" w:rsidRPr="00EF4AD3">
        <w:rPr>
          <w:spacing w:val="-3"/>
          <w:szCs w:val="22"/>
        </w:rPr>
        <w:t xml:space="preserve">usiau skilimo periodas </w:t>
      </w:r>
      <w:r w:rsidR="003F7030" w:rsidRPr="00EF4AD3">
        <w:rPr>
          <w:spacing w:val="-3"/>
          <w:szCs w:val="22"/>
        </w:rPr>
        <w:t>sveik</w:t>
      </w:r>
      <w:r w:rsidR="00EA7F5A" w:rsidRPr="00EF4AD3">
        <w:rPr>
          <w:spacing w:val="-3"/>
          <w:szCs w:val="22"/>
        </w:rPr>
        <w:t>ų</w:t>
      </w:r>
      <w:r w:rsidR="003F7030" w:rsidRPr="00EF4AD3">
        <w:rPr>
          <w:spacing w:val="-3"/>
          <w:szCs w:val="22"/>
        </w:rPr>
        <w:t xml:space="preserve"> žmon</w:t>
      </w:r>
      <w:r w:rsidR="00EA7F5A" w:rsidRPr="00EF4AD3">
        <w:rPr>
          <w:spacing w:val="-3"/>
          <w:szCs w:val="22"/>
        </w:rPr>
        <w:t>ių organizme</w:t>
      </w:r>
      <w:r w:rsidRPr="00EF4AD3">
        <w:rPr>
          <w:spacing w:val="-3"/>
          <w:szCs w:val="22"/>
        </w:rPr>
        <w:t xml:space="preserve"> </w:t>
      </w:r>
      <w:r w:rsidR="007B2421" w:rsidRPr="00EF4AD3">
        <w:rPr>
          <w:spacing w:val="-3"/>
          <w:szCs w:val="22"/>
        </w:rPr>
        <w:t xml:space="preserve">yra </w:t>
      </w:r>
      <w:r w:rsidR="003F7030" w:rsidRPr="00EF4AD3">
        <w:rPr>
          <w:spacing w:val="-3"/>
          <w:szCs w:val="22"/>
        </w:rPr>
        <w:t>(</w:t>
      </w:r>
      <w:r w:rsidR="007B2421" w:rsidRPr="00EF4AD3">
        <w:rPr>
          <w:spacing w:val="-3"/>
          <w:szCs w:val="22"/>
        </w:rPr>
        <w:t>2</w:t>
      </w:r>
      <w:r w:rsidR="003F7030" w:rsidRPr="00EF4AD3">
        <w:rPr>
          <w:spacing w:val="-3"/>
          <w:szCs w:val="22"/>
        </w:rPr>
        <w:t>)</w:t>
      </w:r>
      <w:r w:rsidR="007B2421" w:rsidRPr="00EF4AD3">
        <w:rPr>
          <w:spacing w:val="-3"/>
          <w:szCs w:val="22"/>
        </w:rPr>
        <w:t>-</w:t>
      </w:r>
      <w:r w:rsidR="003F7030" w:rsidRPr="00EF4AD3">
        <w:rPr>
          <w:spacing w:val="-3"/>
          <w:szCs w:val="22"/>
        </w:rPr>
        <w:t>4</w:t>
      </w:r>
      <w:r w:rsidR="007B2421" w:rsidRPr="00EF4AD3">
        <w:rPr>
          <w:spacing w:val="-3"/>
          <w:szCs w:val="22"/>
        </w:rPr>
        <w:t>-</w:t>
      </w:r>
      <w:r w:rsidR="003F7030" w:rsidRPr="00EF4AD3">
        <w:rPr>
          <w:spacing w:val="-3"/>
          <w:szCs w:val="22"/>
        </w:rPr>
        <w:t>(</w:t>
      </w:r>
      <w:r w:rsidR="007B2421" w:rsidRPr="00EF4AD3">
        <w:rPr>
          <w:spacing w:val="-3"/>
          <w:szCs w:val="22"/>
        </w:rPr>
        <w:t>6</w:t>
      </w:r>
      <w:r w:rsidR="003F7030" w:rsidRPr="00EF4AD3">
        <w:rPr>
          <w:spacing w:val="-3"/>
          <w:szCs w:val="22"/>
        </w:rPr>
        <w:t>)</w:t>
      </w:r>
      <w:r w:rsidR="007B2421" w:rsidRPr="00EF4AD3">
        <w:rPr>
          <w:spacing w:val="-3"/>
          <w:szCs w:val="22"/>
        </w:rPr>
        <w:t xml:space="preserve"> valandos. Išgėrus </w:t>
      </w:r>
      <w:r w:rsidR="00EA7F5A" w:rsidRPr="00EF4AD3">
        <w:rPr>
          <w:spacing w:val="-3"/>
          <w:szCs w:val="22"/>
        </w:rPr>
        <w:t xml:space="preserve">etambutolio </w:t>
      </w:r>
      <w:r w:rsidR="00E96585" w:rsidRPr="00EF4AD3">
        <w:rPr>
          <w:spacing w:val="-3"/>
          <w:szCs w:val="22"/>
        </w:rPr>
        <w:t xml:space="preserve">per pirmas kelias valandas tik 15% pasišalina su šlapimu </w:t>
      </w:r>
      <w:r w:rsidR="007B2421" w:rsidRPr="00EF4AD3">
        <w:rPr>
          <w:spacing w:val="-3"/>
          <w:szCs w:val="22"/>
        </w:rPr>
        <w:t>neaktyvių metabolitų pavidalu.</w:t>
      </w:r>
    </w:p>
    <w:p w:rsidR="003F7030" w:rsidRPr="00EF4AD3" w:rsidRDefault="003F7030"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3F7030" w:rsidRPr="00EF4AD3" w:rsidRDefault="003F7030"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Praėjus 24 valandoms, apie 50</w:t>
      </w:r>
      <w:r w:rsidRPr="00EF4AD3">
        <w:rPr>
          <w:spacing w:val="-3"/>
          <w:szCs w:val="22"/>
        </w:rPr>
        <w:noBreakHyphen/>
        <w:t>70 % geriamosios etambutolio dozės pasišalina su šlapimu nepakitusio preparato, o 8</w:t>
      </w:r>
      <w:r w:rsidRPr="00EF4AD3">
        <w:rPr>
          <w:spacing w:val="-3"/>
          <w:szCs w:val="22"/>
        </w:rPr>
        <w:noBreakHyphen/>
        <w:t>15 % neaktyvių metabolitų pavidalu. Apie 20</w:t>
      </w:r>
      <w:r w:rsidRPr="00EF4AD3">
        <w:rPr>
          <w:spacing w:val="-3"/>
          <w:szCs w:val="22"/>
        </w:rPr>
        <w:noBreakHyphen/>
        <w:t>22 % geriamosios vaistinio preparato dozės nepasisavinama ir pasišalina su išmatomis nepakitusiu pavidalu.</w:t>
      </w:r>
    </w:p>
    <w:p w:rsidR="003F7030" w:rsidRPr="00EF4AD3" w:rsidRDefault="003F7030"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3F7030" w:rsidRPr="00EF4AD3" w:rsidRDefault="00F96A9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Sutrikusi inkstų funkcija</w:t>
      </w:r>
    </w:p>
    <w:p w:rsidR="00A57887" w:rsidRPr="00EF4AD3" w:rsidRDefault="00A5788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A57887" w:rsidRPr="00EF4AD3" w:rsidRDefault="00A5788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 xml:space="preserve">Didžioji dalis etambutolio išfiltruojama glomeruluose, kiek mažiau išskiriama per </w:t>
      </w:r>
      <w:r w:rsidR="004B072F" w:rsidRPr="00EF4AD3">
        <w:rPr>
          <w:spacing w:val="-3"/>
          <w:szCs w:val="22"/>
        </w:rPr>
        <w:t>t</w:t>
      </w:r>
      <w:r w:rsidRPr="00EF4AD3">
        <w:rPr>
          <w:spacing w:val="-3"/>
          <w:szCs w:val="22"/>
        </w:rPr>
        <w:t>ubules.</w:t>
      </w:r>
    </w:p>
    <w:p w:rsidR="003F7030" w:rsidRPr="00EF4AD3" w:rsidRDefault="00A5788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pacing w:val="-3"/>
          <w:szCs w:val="22"/>
        </w:rPr>
        <w:t>Kreatinino klirensui sumažėjus iki mažiau nei 100</w:t>
      </w:r>
      <w:r w:rsidRPr="00EF4AD3">
        <w:rPr>
          <w:szCs w:val="22"/>
        </w:rPr>
        <w:t> ml/min., galima tikėtis etambutolio kaupimosi organizme.</w:t>
      </w:r>
      <w:r w:rsidR="00DA1C8B" w:rsidRPr="00EF4AD3">
        <w:rPr>
          <w:szCs w:val="22"/>
        </w:rPr>
        <w:t xml:space="preserve"> Tokiais atvejais reikia koreguoti etambutolio dozę (žr. 4.2 skyrių).</w:t>
      </w:r>
    </w:p>
    <w:p w:rsidR="00DA1C8B" w:rsidRPr="00EF4AD3" w:rsidRDefault="00DA1C8B"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Hemodializė sutrumpina etambutolio pusiau skilimo periodą nuo 4 val. iki 2 val. Išgėrus 25 mg/kg kūno svorio dozę, klirensas hemodializės metu buvo 125 ml/min. Tačiau, nepaisant didelio klirenso ir reikšmingai sumažėjusio etambutolio pusiau skilimo periodo</w:t>
      </w:r>
      <w:r w:rsidR="00577079" w:rsidRPr="00EF4AD3">
        <w:rPr>
          <w:szCs w:val="22"/>
        </w:rPr>
        <w:t xml:space="preserve"> hemodializės metu, iš dializato galima išgauti tik 2% vaistinio preparato, tai rodo</w:t>
      </w:r>
      <w:r w:rsidR="00EA7F5A" w:rsidRPr="00EF4AD3">
        <w:rPr>
          <w:szCs w:val="22"/>
        </w:rPr>
        <w:t>, kad etambutolis</w:t>
      </w:r>
      <w:r w:rsidR="00577079" w:rsidRPr="00EF4AD3">
        <w:rPr>
          <w:szCs w:val="22"/>
        </w:rPr>
        <w:t xml:space="preserve"> dializuojamas silpnai.</w:t>
      </w:r>
    </w:p>
    <w:p w:rsidR="00577079" w:rsidRPr="00EF4AD3" w:rsidRDefault="00577079"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Peritoninės dializės metu etambutolio pusiau skilimo periodas padidėjo (CAPD, t</w:t>
      </w:r>
      <w:r w:rsidRPr="00EF4AD3">
        <w:rPr>
          <w:szCs w:val="22"/>
          <w:vertAlign w:val="subscript"/>
        </w:rPr>
        <w:t>1/2</w:t>
      </w:r>
      <w:r w:rsidRPr="00EF4AD3">
        <w:rPr>
          <w:szCs w:val="22"/>
        </w:rPr>
        <w:t xml:space="preserve"> 5 val.).</w:t>
      </w:r>
    </w:p>
    <w:p w:rsidR="00577079" w:rsidRPr="00EF4AD3" w:rsidRDefault="00577079"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577079" w:rsidRPr="00EF4AD3" w:rsidRDefault="00F96A97"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noProof/>
          <w:szCs w:val="22"/>
        </w:rPr>
        <w:t>Santykis tarp farmakokinetikos ir farmakodinamikos</w:t>
      </w:r>
      <w:r w:rsidRPr="00EF4AD3" w:rsidDel="00F96A97">
        <w:rPr>
          <w:szCs w:val="22"/>
        </w:rPr>
        <w:t xml:space="preserve"> </w:t>
      </w:r>
    </w:p>
    <w:p w:rsidR="00577079" w:rsidRPr="00EF4AD3" w:rsidRDefault="00976BB1"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Nustatyta, kad etambutolio veiksmingumas priklauso nuo AUC (ploto po kreive): patogeno MIK santykio arba C</w:t>
      </w:r>
      <w:r w:rsidRPr="00EF4AD3">
        <w:rPr>
          <w:spacing w:val="-3"/>
          <w:szCs w:val="22"/>
          <w:vertAlign w:val="subscript"/>
        </w:rPr>
        <w:t>max</w:t>
      </w:r>
      <w:r w:rsidRPr="00EF4AD3">
        <w:rPr>
          <w:spacing w:val="-3"/>
          <w:szCs w:val="22"/>
        </w:rPr>
        <w:t xml:space="preserve"> (didžiausia koncentracija kraujo serume): patogeno MIK santykio.</w:t>
      </w:r>
    </w:p>
    <w:p w:rsidR="00782145" w:rsidRPr="00EF4AD3" w:rsidRDefault="00782145" w:rsidP="005717F4">
      <w:pPr>
        <w:pStyle w:val="BTEMEASMCA"/>
      </w:pPr>
    </w:p>
    <w:p w:rsidR="00782145" w:rsidRPr="00EF4AD3" w:rsidRDefault="00782145" w:rsidP="00BD4864">
      <w:pPr>
        <w:pStyle w:val="PI-2EMEASMCA"/>
      </w:pPr>
      <w:r w:rsidRPr="00EF4AD3">
        <w:t>5.3</w:t>
      </w:r>
      <w:r w:rsidRPr="00EF4AD3">
        <w:tab/>
        <w:t>Ikiklinikinių saugumo tyrimų duomenys</w:t>
      </w:r>
    </w:p>
    <w:p w:rsidR="00782145" w:rsidRPr="00EF4AD3" w:rsidRDefault="00782145" w:rsidP="005717F4">
      <w:pPr>
        <w:pStyle w:val="BTEMEASMCA"/>
      </w:pPr>
    </w:p>
    <w:p w:rsidR="00B671BE" w:rsidRPr="00EF4AD3" w:rsidRDefault="00782145" w:rsidP="00BD4864">
      <w:pPr>
        <w:pStyle w:val="Pagrindinistekstas3"/>
        <w:spacing w:after="0"/>
        <w:rPr>
          <w:sz w:val="22"/>
          <w:szCs w:val="22"/>
        </w:rPr>
      </w:pPr>
      <w:r w:rsidRPr="00EF4AD3">
        <w:rPr>
          <w:sz w:val="22"/>
          <w:szCs w:val="22"/>
        </w:rPr>
        <w:t>Toksikologiniai tyrimai, kurie buvo atlikti su šunimis, parodė, kad ilgą laiką duodant jiems dideles vaisto dozes, būna: miokardo pažeidimai, akies šviesą atspindinčio sluoksnio (</w:t>
      </w:r>
      <w:r w:rsidR="00976BB1" w:rsidRPr="00EF4AD3">
        <w:rPr>
          <w:i/>
          <w:sz w:val="22"/>
          <w:szCs w:val="22"/>
        </w:rPr>
        <w:t>T</w:t>
      </w:r>
      <w:r w:rsidRPr="00EF4AD3">
        <w:rPr>
          <w:i/>
          <w:sz w:val="22"/>
          <w:szCs w:val="22"/>
        </w:rPr>
        <w:t>apetum lucidum</w:t>
      </w:r>
      <w:r w:rsidRPr="00EF4AD3">
        <w:rPr>
          <w:sz w:val="22"/>
          <w:szCs w:val="22"/>
        </w:rPr>
        <w:t>) depigmentacija. Ilgai vartojusiems etambutolį šunims stebėti degeneraciniai centrinės nervų sistemos pokyčiai, regis, nepriklausantys nuo vaist</w:t>
      </w:r>
      <w:r w:rsidR="00EA2732" w:rsidRPr="00EF4AD3">
        <w:rPr>
          <w:sz w:val="22"/>
          <w:szCs w:val="22"/>
        </w:rPr>
        <w:t>ini</w:t>
      </w:r>
      <w:r w:rsidRPr="00EF4AD3">
        <w:rPr>
          <w:sz w:val="22"/>
          <w:szCs w:val="22"/>
        </w:rPr>
        <w:t>o</w:t>
      </w:r>
      <w:r w:rsidR="00EA2732" w:rsidRPr="00EF4AD3">
        <w:rPr>
          <w:sz w:val="22"/>
          <w:szCs w:val="22"/>
        </w:rPr>
        <w:t xml:space="preserve"> preparato</w:t>
      </w:r>
      <w:r w:rsidRPr="00EF4AD3">
        <w:rPr>
          <w:sz w:val="22"/>
          <w:szCs w:val="22"/>
        </w:rPr>
        <w:t xml:space="preserve"> dozės. Rhesus beždžionėms neurologiniai sutrikimai </w:t>
      </w:r>
      <w:r w:rsidR="005F4F71" w:rsidRPr="00EF4AD3">
        <w:rPr>
          <w:sz w:val="22"/>
          <w:szCs w:val="22"/>
        </w:rPr>
        <w:t xml:space="preserve">ir miokardo pažeidimai </w:t>
      </w:r>
      <w:r w:rsidRPr="00EF4AD3">
        <w:rPr>
          <w:sz w:val="22"/>
          <w:szCs w:val="22"/>
        </w:rPr>
        <w:t xml:space="preserve">pastebėti, kai </w:t>
      </w:r>
      <w:r w:rsidR="005F4F71" w:rsidRPr="00EF4AD3">
        <w:rPr>
          <w:sz w:val="22"/>
          <w:szCs w:val="22"/>
        </w:rPr>
        <w:t xml:space="preserve">nuolat </w:t>
      </w:r>
      <w:r w:rsidRPr="00EF4AD3">
        <w:rPr>
          <w:sz w:val="22"/>
          <w:szCs w:val="22"/>
        </w:rPr>
        <w:t xml:space="preserve">buvo </w:t>
      </w:r>
      <w:r w:rsidR="00B671BE" w:rsidRPr="00EF4AD3">
        <w:rPr>
          <w:sz w:val="22"/>
          <w:szCs w:val="22"/>
        </w:rPr>
        <w:t xml:space="preserve">duodamos </w:t>
      </w:r>
      <w:r w:rsidRPr="00EF4AD3">
        <w:rPr>
          <w:sz w:val="22"/>
          <w:szCs w:val="22"/>
        </w:rPr>
        <w:t>didelės vaist</w:t>
      </w:r>
      <w:r w:rsidR="00EA2732" w:rsidRPr="00EF4AD3">
        <w:rPr>
          <w:sz w:val="22"/>
          <w:szCs w:val="22"/>
        </w:rPr>
        <w:t>ini</w:t>
      </w:r>
      <w:r w:rsidRPr="00EF4AD3">
        <w:rPr>
          <w:sz w:val="22"/>
          <w:szCs w:val="22"/>
        </w:rPr>
        <w:t>o</w:t>
      </w:r>
      <w:r w:rsidR="00EA2732" w:rsidRPr="00EF4AD3">
        <w:rPr>
          <w:sz w:val="22"/>
          <w:szCs w:val="22"/>
        </w:rPr>
        <w:t xml:space="preserve"> preparato</w:t>
      </w:r>
      <w:r w:rsidRPr="00EF4AD3">
        <w:rPr>
          <w:sz w:val="22"/>
          <w:szCs w:val="22"/>
        </w:rPr>
        <w:t xml:space="preserve"> dozės</w:t>
      </w:r>
      <w:r w:rsidR="00B671BE" w:rsidRPr="00EF4AD3">
        <w:rPr>
          <w:sz w:val="22"/>
          <w:szCs w:val="22"/>
        </w:rPr>
        <w:t xml:space="preserve"> (žr. 4.8 skyrių)</w:t>
      </w:r>
      <w:r w:rsidRPr="00EF4AD3">
        <w:rPr>
          <w:sz w:val="22"/>
          <w:szCs w:val="22"/>
        </w:rPr>
        <w:t>.</w:t>
      </w:r>
      <w:r w:rsidR="00B671BE" w:rsidRPr="00EF4AD3">
        <w:rPr>
          <w:sz w:val="22"/>
          <w:szCs w:val="22"/>
        </w:rPr>
        <w:t xml:space="preserve"> Anksčiau atliktų tyrimų metu nepavyko nustatyti etambutolio genotoksinio poveikio stiprumo. Ilgalaikių kancerogeniškumo tyrimų nėra atlikta.</w:t>
      </w:r>
    </w:p>
    <w:p w:rsidR="00B671BE" w:rsidRPr="00EF4AD3" w:rsidRDefault="00782145" w:rsidP="00BD4864">
      <w:pPr>
        <w:rPr>
          <w:szCs w:val="22"/>
        </w:rPr>
      </w:pPr>
      <w:r w:rsidRPr="00EF4AD3">
        <w:rPr>
          <w:szCs w:val="22"/>
        </w:rPr>
        <w:t>Duodant etambutolio žiurkių pat</w:t>
      </w:r>
      <w:r w:rsidR="00B671BE" w:rsidRPr="00EF4AD3">
        <w:rPr>
          <w:szCs w:val="22"/>
        </w:rPr>
        <w:t xml:space="preserve">inėliams, jiems atsirado vaisingumo sutrikimų. </w:t>
      </w:r>
    </w:p>
    <w:p w:rsidR="00782145" w:rsidRPr="00EF4AD3" w:rsidRDefault="00782145" w:rsidP="005717F4">
      <w:pPr>
        <w:pStyle w:val="BTEMEASMCA"/>
      </w:pPr>
      <w:r w:rsidRPr="00EF4AD3">
        <w:t>Pel</w:t>
      </w:r>
      <w:r w:rsidR="00B671BE" w:rsidRPr="00EF4AD3">
        <w:t>ėms, žiurkėms ir triušiams teratogeninis poveikis (gomurio nesuaugimas, monoftalmija, kaklo slankstelių deformacija, ek</w:t>
      </w:r>
      <w:r w:rsidR="00BA3E53" w:rsidRPr="00EF4AD3">
        <w:t>s</w:t>
      </w:r>
      <w:r w:rsidR="00B671BE" w:rsidRPr="00EF4AD3">
        <w:t>encefalija) atsirado tik duodant dideles vaist</w:t>
      </w:r>
      <w:r w:rsidR="00EA2732" w:rsidRPr="00EF4AD3">
        <w:t>ini</w:t>
      </w:r>
      <w:r w:rsidR="00B671BE" w:rsidRPr="00EF4AD3">
        <w:t>o</w:t>
      </w:r>
      <w:r w:rsidR="00EA2732" w:rsidRPr="00EF4AD3">
        <w:t xml:space="preserve"> preparato</w:t>
      </w:r>
      <w:r w:rsidR="00B671BE" w:rsidRPr="00EF4AD3">
        <w:t xml:space="preserve"> dozes.</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782145">
      <w:pPr>
        <w:pStyle w:val="PI-1EMEASMCA"/>
      </w:pPr>
      <w:r w:rsidRPr="00EF4AD3">
        <w:t>6.</w:t>
      </w:r>
      <w:r w:rsidRPr="00EF4AD3">
        <w:tab/>
        <w:t>FARMACINĖ INFORMACIJA</w:t>
      </w:r>
    </w:p>
    <w:p w:rsidR="00782145" w:rsidRPr="00EF4AD3" w:rsidRDefault="00782145" w:rsidP="005717F4">
      <w:pPr>
        <w:pStyle w:val="BTEMEASMCA"/>
      </w:pPr>
    </w:p>
    <w:p w:rsidR="00782145" w:rsidRPr="00EF4AD3" w:rsidRDefault="00782145" w:rsidP="00782145">
      <w:pPr>
        <w:pStyle w:val="PI-2EMEASMCA"/>
      </w:pPr>
      <w:r w:rsidRPr="00EF4AD3">
        <w:t>6.1</w:t>
      </w:r>
      <w:r w:rsidRPr="00EF4AD3">
        <w:tab/>
        <w:t>Pagalbinių medžiagų sąrašas</w:t>
      </w:r>
    </w:p>
    <w:p w:rsidR="00782145" w:rsidRPr="00EF4AD3" w:rsidRDefault="00782145" w:rsidP="005717F4">
      <w:pPr>
        <w:pStyle w:val="BTEMEASMCA"/>
      </w:pPr>
    </w:p>
    <w:p w:rsidR="00E05DA1" w:rsidRPr="00EF4AD3" w:rsidRDefault="00E05DA1" w:rsidP="005717F4">
      <w:pPr>
        <w:pStyle w:val="BTEMEASMCA"/>
      </w:pPr>
      <w:r w:rsidRPr="00EF4AD3">
        <w:t>Tabletės branduolys:</w:t>
      </w:r>
    </w:p>
    <w:p w:rsidR="00526CF2" w:rsidRPr="00EF4AD3" w:rsidRDefault="007264C9"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K</w:t>
      </w:r>
      <w:r w:rsidR="00782145" w:rsidRPr="00EF4AD3">
        <w:rPr>
          <w:spacing w:val="-3"/>
          <w:szCs w:val="22"/>
        </w:rPr>
        <w:t>roskarmeliozė</w:t>
      </w:r>
      <w:r w:rsidRPr="00EF4AD3">
        <w:rPr>
          <w:spacing w:val="-3"/>
          <w:szCs w:val="22"/>
        </w:rPr>
        <w:t>s natrio druska</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M</w:t>
      </w:r>
      <w:r w:rsidR="00782145" w:rsidRPr="00EF4AD3">
        <w:rPr>
          <w:spacing w:val="-3"/>
          <w:szCs w:val="22"/>
        </w:rPr>
        <w:t>akrogolis 6000</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K</w:t>
      </w:r>
      <w:r w:rsidR="00782145" w:rsidRPr="00EF4AD3">
        <w:rPr>
          <w:spacing w:val="-3"/>
          <w:szCs w:val="22"/>
        </w:rPr>
        <w:t>opovidonas</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Krospovidonas</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Mikrokristalinė celiuliozė</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L</w:t>
      </w:r>
      <w:r w:rsidR="00782145" w:rsidRPr="00EF4AD3">
        <w:rPr>
          <w:spacing w:val="-3"/>
          <w:szCs w:val="22"/>
        </w:rPr>
        <w:t>aktozė</w:t>
      </w:r>
      <w:r w:rsidRPr="00EF4AD3">
        <w:rPr>
          <w:spacing w:val="-3"/>
          <w:szCs w:val="22"/>
        </w:rPr>
        <w:t xml:space="preserve"> monohidratas</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lastRenderedPageBreak/>
        <w:t>M</w:t>
      </w:r>
      <w:r w:rsidR="00782145" w:rsidRPr="00EF4AD3">
        <w:rPr>
          <w:spacing w:val="-3"/>
          <w:szCs w:val="22"/>
        </w:rPr>
        <w:t>agnio stearatas</w:t>
      </w:r>
      <w:r w:rsidR="00A90C96" w:rsidRPr="00EF4AD3">
        <w:rPr>
          <w:spacing w:val="-3"/>
          <w:szCs w:val="22"/>
        </w:rPr>
        <w:t xml:space="preserve"> </w:t>
      </w:r>
    </w:p>
    <w:p w:rsidR="00526CF2" w:rsidRPr="00EF4AD3" w:rsidRDefault="00E03136"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Koloidinis silicio dioksidas</w:t>
      </w:r>
      <w:r w:rsidR="007264C9" w:rsidRPr="00EF4AD3">
        <w:rPr>
          <w:spacing w:val="-3"/>
          <w:szCs w:val="22"/>
        </w:rPr>
        <w:t>, bevandenis</w:t>
      </w:r>
    </w:p>
    <w:p w:rsidR="00E03136" w:rsidRPr="00EF4AD3" w:rsidRDefault="00E03136" w:rsidP="00E03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Hipromeliozė</w:t>
      </w:r>
    </w:p>
    <w:p w:rsidR="00E03136" w:rsidRPr="00EF4AD3" w:rsidRDefault="00E03136" w:rsidP="00E03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Povidonas</w:t>
      </w:r>
    </w:p>
    <w:p w:rsidR="00526CF2"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K</w:t>
      </w:r>
      <w:r w:rsidR="00782145" w:rsidRPr="00EF4AD3">
        <w:rPr>
          <w:spacing w:val="-3"/>
          <w:szCs w:val="22"/>
        </w:rPr>
        <w:t>alcio</w:t>
      </w:r>
      <w:r w:rsidR="00E03136" w:rsidRPr="00EF4AD3">
        <w:rPr>
          <w:spacing w:val="-3"/>
          <w:szCs w:val="22"/>
        </w:rPr>
        <w:t xml:space="preserve">-vandenilio </w:t>
      </w:r>
      <w:r w:rsidR="00782145" w:rsidRPr="00EF4AD3">
        <w:rPr>
          <w:spacing w:val="-3"/>
          <w:szCs w:val="22"/>
        </w:rPr>
        <w:t>fosfatas</w:t>
      </w:r>
      <w:r w:rsidR="00E03136" w:rsidRPr="00EF4AD3">
        <w:rPr>
          <w:spacing w:val="-3"/>
          <w:szCs w:val="22"/>
        </w:rPr>
        <w:t xml:space="preserve"> dihidratas</w:t>
      </w:r>
    </w:p>
    <w:p w:rsidR="00E05DA1" w:rsidRPr="00EF4AD3" w:rsidRDefault="00E05DA1"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E05DA1" w:rsidRPr="00EF4AD3" w:rsidRDefault="00E05DA1"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Tabletės plėvelė:</w:t>
      </w:r>
    </w:p>
    <w:p w:rsidR="00782145" w:rsidRPr="00EF4AD3" w:rsidRDefault="00526CF2"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Titano dioksidas</w:t>
      </w:r>
      <w:r w:rsidR="00782145" w:rsidRPr="00EF4AD3">
        <w:rPr>
          <w:spacing w:val="-3"/>
          <w:szCs w:val="22"/>
        </w:rPr>
        <w:t xml:space="preserve"> E</w:t>
      </w:r>
      <w:r w:rsidRPr="00EF4AD3">
        <w:rPr>
          <w:spacing w:val="-3"/>
          <w:szCs w:val="22"/>
        </w:rPr>
        <w:t> </w:t>
      </w:r>
      <w:r w:rsidR="00782145" w:rsidRPr="00EF4AD3">
        <w:rPr>
          <w:spacing w:val="-3"/>
          <w:szCs w:val="22"/>
        </w:rPr>
        <w:t>171</w:t>
      </w:r>
    </w:p>
    <w:p w:rsidR="00E05DA1" w:rsidRPr="00EF4AD3" w:rsidRDefault="00E05DA1" w:rsidP="00E05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Hipromeliozė</w:t>
      </w:r>
    </w:p>
    <w:p w:rsidR="00E05DA1" w:rsidRPr="00EF4AD3" w:rsidRDefault="00E05DA1" w:rsidP="00E05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Makrogolis 6000</w:t>
      </w:r>
    </w:p>
    <w:p w:rsidR="00E05DA1" w:rsidRPr="00EF4AD3" w:rsidRDefault="00E05DA1"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782145" w:rsidRPr="00EF4AD3" w:rsidRDefault="00782145" w:rsidP="005717F4">
      <w:pPr>
        <w:pStyle w:val="BTEMEASMCA"/>
      </w:pPr>
    </w:p>
    <w:p w:rsidR="00782145" w:rsidRPr="00EF4AD3" w:rsidRDefault="00782145" w:rsidP="00782145">
      <w:pPr>
        <w:pStyle w:val="PI-2EMEASMCA"/>
      </w:pPr>
      <w:r w:rsidRPr="00EF4AD3">
        <w:t>6.2</w:t>
      </w:r>
      <w:r w:rsidRPr="00EF4AD3">
        <w:tab/>
        <w:t>Nesuderinamumas</w:t>
      </w:r>
    </w:p>
    <w:p w:rsidR="00782145" w:rsidRPr="00EF4AD3" w:rsidRDefault="00782145" w:rsidP="005717F4">
      <w:pPr>
        <w:pStyle w:val="BTEMEASMCA"/>
      </w:pPr>
    </w:p>
    <w:p w:rsidR="00782145" w:rsidRPr="00EF4AD3" w:rsidRDefault="005954BB"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Duomenys nebūtini</w:t>
      </w:r>
      <w:r w:rsidR="00782145" w:rsidRPr="00EF4AD3">
        <w:rPr>
          <w:spacing w:val="-3"/>
          <w:szCs w:val="22"/>
        </w:rPr>
        <w:t>.</w:t>
      </w:r>
    </w:p>
    <w:p w:rsidR="00782145" w:rsidRPr="00EF4AD3" w:rsidRDefault="00782145" w:rsidP="005717F4">
      <w:pPr>
        <w:pStyle w:val="BTEMEASMCA"/>
      </w:pPr>
    </w:p>
    <w:p w:rsidR="00782145" w:rsidRPr="00EF4AD3" w:rsidRDefault="00782145" w:rsidP="00782145">
      <w:pPr>
        <w:pStyle w:val="PI-2EMEASMCA"/>
      </w:pPr>
      <w:r w:rsidRPr="00EF4AD3">
        <w:t>6.3</w:t>
      </w:r>
      <w:r w:rsidRPr="00EF4AD3">
        <w:tab/>
        <w:t>Tinkamumo laikas</w:t>
      </w:r>
    </w:p>
    <w:p w:rsidR="00782145" w:rsidRPr="00EF4AD3" w:rsidRDefault="00782145" w:rsidP="005717F4">
      <w:pPr>
        <w:pStyle w:val="BTEMEASMCA"/>
      </w:pPr>
    </w:p>
    <w:p w:rsidR="00782145" w:rsidRPr="00EF4AD3" w:rsidRDefault="00782145" w:rsidP="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5 metai.</w:t>
      </w:r>
    </w:p>
    <w:p w:rsidR="00782145" w:rsidRPr="00EF4AD3" w:rsidRDefault="00782145" w:rsidP="005717F4">
      <w:pPr>
        <w:pStyle w:val="BTEMEASMCA"/>
      </w:pPr>
    </w:p>
    <w:p w:rsidR="00782145" w:rsidRPr="00EF4AD3" w:rsidRDefault="00782145" w:rsidP="00BD4864">
      <w:pPr>
        <w:pStyle w:val="PI-2EMEASMCA"/>
      </w:pPr>
      <w:r w:rsidRPr="00EF4AD3">
        <w:t>6.4</w:t>
      </w:r>
      <w:r w:rsidRPr="00EF4AD3">
        <w:tab/>
        <w:t>Specialios laikymo sąlygos</w:t>
      </w:r>
    </w:p>
    <w:p w:rsidR="00782145" w:rsidRPr="00EF4AD3" w:rsidRDefault="00782145" w:rsidP="005717F4">
      <w:pPr>
        <w:pStyle w:val="BTEMEASMCA"/>
      </w:pPr>
    </w:p>
    <w:p w:rsidR="00782145" w:rsidRPr="00EF4AD3" w:rsidRDefault="00782145" w:rsidP="00BD4864">
      <w:pPr>
        <w:pStyle w:val="Pagrindinistekstas2"/>
        <w:spacing w:after="0" w:line="240" w:lineRule="auto"/>
        <w:rPr>
          <w:szCs w:val="22"/>
        </w:rPr>
      </w:pPr>
      <w:r w:rsidRPr="00EF4AD3">
        <w:rPr>
          <w:szCs w:val="22"/>
        </w:rPr>
        <w:t xml:space="preserve">Laikyti </w:t>
      </w:r>
      <w:r w:rsidR="00E03136" w:rsidRPr="00EF4AD3">
        <w:rPr>
          <w:szCs w:val="22"/>
        </w:rPr>
        <w:t>žemesnėje</w:t>
      </w:r>
      <w:r w:rsidRPr="00EF4AD3">
        <w:rPr>
          <w:szCs w:val="22"/>
        </w:rPr>
        <w:t xml:space="preserve"> kaip </w:t>
      </w:r>
      <w:smartTag w:uri="urn:schemas-microsoft-com:office:smarttags" w:element="metricconverter">
        <w:smartTagPr>
          <w:attr w:name="ProductID" w:val="25ﾰC"/>
        </w:smartTagPr>
        <w:r w:rsidRPr="00EF4AD3">
          <w:rPr>
            <w:szCs w:val="22"/>
          </w:rPr>
          <w:t>25°C</w:t>
        </w:r>
      </w:smartTag>
      <w:r w:rsidRPr="00EF4AD3">
        <w:rPr>
          <w:szCs w:val="22"/>
        </w:rPr>
        <w:t xml:space="preserve"> temperatūroje. </w:t>
      </w:r>
    </w:p>
    <w:p w:rsidR="00782145" w:rsidRPr="00EF4AD3" w:rsidRDefault="00782145" w:rsidP="005717F4">
      <w:pPr>
        <w:pStyle w:val="BTEMEASMCA"/>
      </w:pPr>
    </w:p>
    <w:p w:rsidR="00782145" w:rsidRPr="00EF4AD3" w:rsidRDefault="00782145" w:rsidP="00BD4864">
      <w:pPr>
        <w:pStyle w:val="PI-2EMEASMCA"/>
      </w:pPr>
      <w:r w:rsidRPr="00EF4AD3">
        <w:t>6.5</w:t>
      </w:r>
      <w:r w:rsidRPr="00EF4AD3">
        <w:tab/>
      </w:r>
      <w:r w:rsidR="000157E9" w:rsidRPr="00EF4AD3">
        <w:t>Talpyklės pobūdis ir jos turinys</w:t>
      </w:r>
    </w:p>
    <w:p w:rsidR="00782145" w:rsidRPr="00EF4AD3" w:rsidRDefault="00782145" w:rsidP="005717F4">
      <w:pPr>
        <w:pStyle w:val="BTEMEASMCA"/>
      </w:pPr>
    </w:p>
    <w:p w:rsidR="00E03136" w:rsidRPr="00EF4AD3" w:rsidRDefault="00E03136"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100 arba 1000 EMB-Fatol 400 mg plėvele dengt</w:t>
      </w:r>
      <w:r w:rsidR="00976BB1" w:rsidRPr="00EF4AD3">
        <w:rPr>
          <w:spacing w:val="-3"/>
          <w:szCs w:val="22"/>
        </w:rPr>
        <w:t>ų</w:t>
      </w:r>
      <w:r w:rsidRPr="00EF4AD3">
        <w:rPr>
          <w:spacing w:val="-3"/>
          <w:szCs w:val="22"/>
        </w:rPr>
        <w:t xml:space="preserve"> table</w:t>
      </w:r>
      <w:r w:rsidR="00976BB1" w:rsidRPr="00EF4AD3">
        <w:rPr>
          <w:spacing w:val="-3"/>
          <w:szCs w:val="22"/>
        </w:rPr>
        <w:t xml:space="preserve">čių tiekiamos </w:t>
      </w:r>
      <w:r w:rsidRPr="00EF4AD3">
        <w:rPr>
          <w:spacing w:val="-3"/>
          <w:szCs w:val="22"/>
        </w:rPr>
        <w:t>baltos spalvos polipropileno buteliukuose su baltais LDPE uždoriais.</w:t>
      </w:r>
    </w:p>
    <w:p w:rsidR="00E03136" w:rsidRPr="00EF4AD3" w:rsidRDefault="00E03136"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782145" w:rsidRPr="00EF4AD3" w:rsidRDefault="00782145" w:rsidP="005717F4">
      <w:pPr>
        <w:pStyle w:val="BTEMEASMCA"/>
      </w:pPr>
      <w:r w:rsidRPr="00EF4AD3">
        <w:t>Gali būti tie</w:t>
      </w:r>
      <w:r w:rsidR="00E03136" w:rsidRPr="00EF4AD3">
        <w:t>kiamos ne visų dydžių pakuotės.</w:t>
      </w:r>
    </w:p>
    <w:p w:rsidR="00782145" w:rsidRPr="00EF4AD3" w:rsidRDefault="00782145" w:rsidP="005717F4">
      <w:pPr>
        <w:pStyle w:val="BTEMEASMCA"/>
      </w:pPr>
    </w:p>
    <w:p w:rsidR="00782145" w:rsidRPr="00EF4AD3" w:rsidRDefault="00782145" w:rsidP="00BD4864">
      <w:pPr>
        <w:pStyle w:val="PI-2EMEASMCA"/>
      </w:pPr>
      <w:r w:rsidRPr="00EF4AD3">
        <w:t>6.6</w:t>
      </w:r>
      <w:r w:rsidRPr="00EF4AD3">
        <w:tab/>
        <w:t>Specialūs reikalavimai atliekoms tvarkyti</w:t>
      </w:r>
    </w:p>
    <w:p w:rsidR="00782145" w:rsidRPr="00EF4AD3" w:rsidRDefault="00782145" w:rsidP="005717F4">
      <w:pPr>
        <w:pStyle w:val="BTEMEASMCA"/>
      </w:pPr>
    </w:p>
    <w:p w:rsidR="00782145" w:rsidRPr="00EF4AD3" w:rsidRDefault="00782145" w:rsidP="005717F4">
      <w:pPr>
        <w:pStyle w:val="BTEMEASMCA"/>
      </w:pPr>
      <w:r w:rsidRPr="00EF4AD3">
        <w:t>Specialių reikalavimų nėra.</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BD4864">
      <w:pPr>
        <w:pStyle w:val="PI-1EMEASMCA"/>
      </w:pPr>
      <w:r w:rsidRPr="00EF4AD3">
        <w:t>7.</w:t>
      </w:r>
      <w:r w:rsidRPr="00EF4AD3">
        <w:tab/>
        <w:t>RINKODAROS TEISĖS TURĖTOJAS</w:t>
      </w:r>
    </w:p>
    <w:p w:rsidR="00782145" w:rsidRPr="00EF4AD3" w:rsidRDefault="00782145" w:rsidP="005717F4">
      <w:pPr>
        <w:pStyle w:val="BTEMEASMCA"/>
      </w:pP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5717F4">
        <w:rPr>
          <w:spacing w:val="-3"/>
          <w:szCs w:val="22"/>
        </w:rPr>
        <w:t>Esteve Pharmaceuticals GmbH</w:t>
      </w: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5717F4">
        <w:rPr>
          <w:spacing w:val="-3"/>
          <w:szCs w:val="22"/>
        </w:rPr>
        <w:t>Hohenzollerndamm 150-151</w:t>
      </w:r>
    </w:p>
    <w:p w:rsidR="00122FC2" w:rsidRPr="00EF4AD3" w:rsidRDefault="005717F4" w:rsidP="00BD486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5717F4">
        <w:rPr>
          <w:spacing w:val="-3"/>
          <w:szCs w:val="22"/>
        </w:rPr>
        <w:t>14199 Berlin</w:t>
      </w:r>
    </w:p>
    <w:p w:rsidR="00122FC2" w:rsidRPr="00EF4AD3" w:rsidRDefault="00122FC2" w:rsidP="00BD486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Vokietija</w:t>
      </w:r>
    </w:p>
    <w:p w:rsidR="0067070F" w:rsidRPr="00EF4AD3" w:rsidRDefault="0067070F" w:rsidP="0067070F">
      <w:pPr>
        <w:rPr>
          <w:szCs w:val="22"/>
        </w:rPr>
      </w:pPr>
      <w:r w:rsidRPr="00EF4AD3">
        <w:rPr>
          <w:szCs w:val="22"/>
        </w:rPr>
        <w:t xml:space="preserve">Tel. </w:t>
      </w:r>
      <w:r w:rsidR="005717F4" w:rsidRPr="005717F4">
        <w:rPr>
          <w:szCs w:val="22"/>
        </w:rPr>
        <w:t>+49 30 338427-0</w:t>
      </w:r>
    </w:p>
    <w:p w:rsidR="0067070F" w:rsidRPr="00EF4AD3" w:rsidRDefault="0067070F" w:rsidP="0067070F">
      <w:pPr>
        <w:rPr>
          <w:szCs w:val="22"/>
        </w:rPr>
      </w:pPr>
      <w:r w:rsidRPr="00EF4AD3">
        <w:rPr>
          <w:szCs w:val="22"/>
        </w:rPr>
        <w:t xml:space="preserve">El. paštas. </w:t>
      </w:r>
      <w:r w:rsidR="005717F4" w:rsidRPr="005717F4">
        <w:rPr>
          <w:szCs w:val="22"/>
        </w:rPr>
        <w:t>info.germany@esteve.com</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BD4864">
      <w:pPr>
        <w:pStyle w:val="PI-1EMEASMCA"/>
      </w:pPr>
      <w:r w:rsidRPr="00EF4AD3">
        <w:t>8.</w:t>
      </w:r>
      <w:r w:rsidRPr="00EF4AD3">
        <w:tab/>
        <w:t xml:space="preserve">RINKODAROS </w:t>
      </w:r>
      <w:r w:rsidR="000157E9" w:rsidRPr="00EF4AD3">
        <w:t xml:space="preserve">PAŽYMĖJIMO </w:t>
      </w:r>
      <w:r w:rsidRPr="00EF4AD3">
        <w:t>NUMERIS (-IAI)</w:t>
      </w:r>
    </w:p>
    <w:p w:rsidR="00782145" w:rsidRPr="00EF4AD3" w:rsidRDefault="00782145" w:rsidP="005717F4">
      <w:pPr>
        <w:pStyle w:val="BTEMEASMCA"/>
      </w:pPr>
    </w:p>
    <w:p w:rsidR="00782145" w:rsidRPr="00EF4AD3" w:rsidRDefault="00BD486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zCs w:val="22"/>
        </w:rPr>
        <w:t xml:space="preserve">N100 – </w:t>
      </w:r>
      <w:r w:rsidR="00782145" w:rsidRPr="00EF4AD3">
        <w:rPr>
          <w:szCs w:val="22"/>
        </w:rPr>
        <w:t>LT</w:t>
      </w:r>
      <w:r w:rsidRPr="00EF4AD3">
        <w:rPr>
          <w:szCs w:val="22"/>
        </w:rPr>
        <w:t>/1/97/3544/001</w:t>
      </w:r>
    </w:p>
    <w:p w:rsidR="00BD4864" w:rsidRPr="00EF4AD3" w:rsidRDefault="00BD4864"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zCs w:val="22"/>
        </w:rPr>
        <w:t>N1000 – LT/1/97/3544/002</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BD4864">
      <w:pPr>
        <w:pStyle w:val="PI-1EMEASMCA"/>
      </w:pPr>
      <w:r w:rsidRPr="00EF4AD3">
        <w:t>9.</w:t>
      </w:r>
      <w:r w:rsidRPr="00EF4AD3">
        <w:tab/>
        <w:t>RINKODAROS TEISĖS SUTEIKIMO / ATNAUJINIMO DATA</w:t>
      </w:r>
    </w:p>
    <w:p w:rsidR="00782145" w:rsidRPr="00EF4AD3" w:rsidRDefault="00782145" w:rsidP="005717F4">
      <w:pPr>
        <w:pStyle w:val="BTEMEASMCA"/>
      </w:pPr>
    </w:p>
    <w:p w:rsidR="00782145" w:rsidRPr="00EF4AD3" w:rsidRDefault="00976BB1"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Rinkodaros teisė pirmą kartą suteikta 1997 m. spalio 1 d.</w:t>
      </w:r>
    </w:p>
    <w:p w:rsidR="00E03136" w:rsidRPr="00EF4AD3" w:rsidRDefault="00976BB1" w:rsidP="00BD4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 xml:space="preserve">Rinkodaros teisė paskutinį kartą atnaujinta </w:t>
      </w:r>
      <w:r w:rsidR="00BD4864" w:rsidRPr="00EF4AD3">
        <w:rPr>
          <w:spacing w:val="-3"/>
          <w:szCs w:val="22"/>
        </w:rPr>
        <w:t>2014 m. balandžio mėn. 22 d.</w:t>
      </w:r>
    </w:p>
    <w:p w:rsidR="00782145" w:rsidRPr="00EF4AD3" w:rsidRDefault="00782145" w:rsidP="005717F4">
      <w:pPr>
        <w:pStyle w:val="BTEMEASMCA"/>
      </w:pPr>
    </w:p>
    <w:p w:rsidR="00782145" w:rsidRPr="00EF4AD3" w:rsidRDefault="00782145" w:rsidP="005717F4">
      <w:pPr>
        <w:pStyle w:val="BTEMEASMCA"/>
      </w:pPr>
    </w:p>
    <w:p w:rsidR="00782145" w:rsidRPr="00EF4AD3" w:rsidRDefault="00782145" w:rsidP="00BD4864">
      <w:pPr>
        <w:pStyle w:val="PI-1EMEASMCA"/>
      </w:pPr>
      <w:r w:rsidRPr="00EF4AD3">
        <w:t>10.</w:t>
      </w:r>
      <w:r w:rsidRPr="00EF4AD3">
        <w:tab/>
        <w:t>TEKSTO PERŽIŪROS DATA</w:t>
      </w:r>
    </w:p>
    <w:p w:rsidR="00782145" w:rsidRPr="00EF4AD3" w:rsidRDefault="00782145" w:rsidP="005717F4">
      <w:pPr>
        <w:pStyle w:val="BTEMEASMCA"/>
      </w:pPr>
    </w:p>
    <w:p w:rsidR="00BD4864" w:rsidRPr="00EF4AD3" w:rsidRDefault="00103E28" w:rsidP="005717F4">
      <w:pPr>
        <w:pStyle w:val="BTEMEASMCA"/>
      </w:pPr>
      <w:r>
        <w:t>2024 m. spalio 22 d.</w:t>
      </w:r>
    </w:p>
    <w:p w:rsidR="00782145" w:rsidRPr="00EF4AD3" w:rsidRDefault="00782145" w:rsidP="005717F4">
      <w:pPr>
        <w:pStyle w:val="BTEMEASMCA"/>
      </w:pPr>
    </w:p>
    <w:p w:rsidR="00B20CC0" w:rsidRPr="00EF4AD3" w:rsidRDefault="000157E9" w:rsidP="005717F4">
      <w:pPr>
        <w:pStyle w:val="BTEMEASMCA"/>
      </w:pPr>
      <w:r w:rsidRPr="00EF4AD3">
        <w:t>Išsami informacija apie šį vaistinį preparatą</w:t>
      </w:r>
      <w:r w:rsidR="00782145" w:rsidRPr="00EF4AD3">
        <w:t xml:space="preserve"> pateikiama Valstybinės vaistų kontrolės tarnybos prie Lietuvos Respublikos sveikatos apsaugos ministerijos </w:t>
      </w:r>
      <w:r w:rsidR="00ED0BC7" w:rsidRPr="00EF4AD3">
        <w:t>tinklalapyje</w:t>
      </w:r>
      <w:r w:rsidR="00782145" w:rsidRPr="00EF4AD3">
        <w:t xml:space="preserve"> </w:t>
      </w:r>
      <w:hyperlink r:id="rId12" w:history="1">
        <w:r w:rsidR="00FC7D91" w:rsidRPr="00530AE2">
          <w:rPr>
            <w:rStyle w:val="Hipersaitas"/>
            <w:lang w:eastAsia="lt-LT"/>
          </w:rPr>
          <w:t>https://vvkt.lrv.lt/lt/</w:t>
        </w:r>
      </w:hyperlink>
      <w:r w:rsidR="00FC7D91">
        <w:rPr>
          <w:lang w:eastAsia="lt-LT"/>
        </w:rPr>
        <w:t>.</w:t>
      </w:r>
      <w:r w:rsidR="00633D05" w:rsidRPr="00EF4AD3">
        <w:br w:type="page"/>
      </w:r>
    </w:p>
    <w:p w:rsidR="00633D05" w:rsidRPr="00EF4AD3" w:rsidRDefault="00633D05" w:rsidP="005717F4">
      <w:pPr>
        <w:pStyle w:val="BTEMEASMCA"/>
      </w:pPr>
    </w:p>
    <w:p w:rsidR="00673194" w:rsidRPr="00EF4AD3" w:rsidRDefault="00673194" w:rsidP="005717F4">
      <w:pPr>
        <w:pStyle w:val="BTEMEASMCA"/>
      </w:pPr>
    </w:p>
    <w:p w:rsidR="00673194" w:rsidRPr="00EF4AD3" w:rsidRDefault="00673194" w:rsidP="005717F4">
      <w:pPr>
        <w:pStyle w:val="BTEMEASMCA"/>
      </w:pPr>
    </w:p>
    <w:p w:rsidR="00673194" w:rsidRPr="00EF4AD3" w:rsidRDefault="00673194" w:rsidP="005717F4">
      <w:pPr>
        <w:pStyle w:val="BTEMEASMCA"/>
      </w:pPr>
    </w:p>
    <w:p w:rsidR="00673194" w:rsidRPr="00EF4AD3" w:rsidRDefault="00673194" w:rsidP="005717F4">
      <w:pPr>
        <w:pStyle w:val="BTEMEASMCA"/>
      </w:pPr>
    </w:p>
    <w:p w:rsidR="00673194" w:rsidRPr="00EF4AD3" w:rsidRDefault="00673194"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782145">
      <w:pPr>
        <w:pStyle w:val="TTEMEASMCA"/>
        <w:rPr>
          <w:lang w:val="lt-LT"/>
        </w:rPr>
      </w:pPr>
      <w:bookmarkStart w:id="5" w:name="_Toc129243128"/>
      <w:bookmarkStart w:id="6" w:name="_Toc129243253"/>
      <w:r w:rsidRPr="00EF4AD3">
        <w:rPr>
          <w:lang w:val="lt-LT"/>
        </w:rPr>
        <w:t>II PRIEDAS</w:t>
      </w:r>
      <w:bookmarkEnd w:id="5"/>
      <w:bookmarkEnd w:id="6"/>
    </w:p>
    <w:p w:rsidR="00CE7AF1" w:rsidRPr="00EF4AD3" w:rsidRDefault="00CE7AF1" w:rsidP="00782145">
      <w:pPr>
        <w:pStyle w:val="TTEMEASMCA"/>
        <w:rPr>
          <w:lang w:val="lt-LT"/>
        </w:rPr>
      </w:pPr>
    </w:p>
    <w:p w:rsidR="00633D05" w:rsidRPr="00EF4AD3" w:rsidRDefault="00CE7AF1" w:rsidP="00782145">
      <w:pPr>
        <w:pStyle w:val="TTEMEASMCA"/>
        <w:rPr>
          <w:lang w:val="lt-LT"/>
        </w:rPr>
      </w:pPr>
      <w:r w:rsidRPr="00EF4AD3">
        <w:rPr>
          <w:lang w:val="lt-LT"/>
        </w:rPr>
        <w:t>RINKODAROS SĄLYGOS</w:t>
      </w:r>
    </w:p>
    <w:p w:rsidR="00822DF5" w:rsidRPr="00EF4AD3" w:rsidRDefault="00822DF5" w:rsidP="005717F4">
      <w:pPr>
        <w:pStyle w:val="BTEMEASMCA"/>
      </w:pPr>
    </w:p>
    <w:p w:rsidR="00633D05" w:rsidRPr="00EF4AD3" w:rsidRDefault="00633D05" w:rsidP="00782145">
      <w:pPr>
        <w:pStyle w:val="BTAnIIEMEASMCA"/>
        <w:rPr>
          <w:rFonts w:cs="Times New Roman"/>
          <w:highlight w:val="yellow"/>
          <w:lang w:val="lt-LT"/>
        </w:rPr>
      </w:pPr>
      <w:r w:rsidRPr="00EF4AD3">
        <w:rPr>
          <w:rFonts w:cs="Times New Roman"/>
          <w:lang w:val="lt-LT"/>
        </w:rPr>
        <w:t>A.</w:t>
      </w:r>
      <w:r w:rsidRPr="00EF4AD3">
        <w:rPr>
          <w:rFonts w:cs="Times New Roman"/>
          <w:lang w:val="lt-LT"/>
        </w:rPr>
        <w:tab/>
      </w:r>
      <w:r w:rsidR="003C3EA3" w:rsidRPr="00EF4AD3">
        <w:rPr>
          <w:rFonts w:cs="Times New Roman"/>
          <w:lang w:val="lt-LT"/>
        </w:rPr>
        <w:t>GAMINTOJAS</w:t>
      </w:r>
      <w:r w:rsidRPr="00EF4AD3">
        <w:rPr>
          <w:rFonts w:cs="Times New Roman"/>
          <w:lang w:val="lt-LT"/>
        </w:rPr>
        <w:t xml:space="preserve"> (-AI), ATSAKINGAS (-I) UŽ SERIJŲ IŠLEIDIMĄ</w:t>
      </w:r>
    </w:p>
    <w:p w:rsidR="00633D05" w:rsidRPr="00EF4AD3" w:rsidRDefault="00633D05" w:rsidP="005717F4">
      <w:pPr>
        <w:pStyle w:val="BTEMEASMCA"/>
        <w:rPr>
          <w:highlight w:val="yellow"/>
        </w:rPr>
      </w:pPr>
    </w:p>
    <w:p w:rsidR="003C3EA3" w:rsidRPr="00EF4AD3" w:rsidRDefault="00633D05" w:rsidP="00782145">
      <w:pPr>
        <w:pStyle w:val="BTAnIIEMEASMCA"/>
        <w:rPr>
          <w:rFonts w:cs="Times New Roman"/>
          <w:lang w:val="lt-LT"/>
        </w:rPr>
      </w:pPr>
      <w:r w:rsidRPr="00EF4AD3">
        <w:rPr>
          <w:rFonts w:cs="Times New Roman"/>
          <w:lang w:val="lt-LT"/>
        </w:rPr>
        <w:t>B.</w:t>
      </w:r>
      <w:r w:rsidRPr="00EF4AD3">
        <w:rPr>
          <w:rFonts w:cs="Times New Roman"/>
          <w:lang w:val="lt-LT"/>
        </w:rPr>
        <w:tab/>
      </w:r>
      <w:r w:rsidR="003C3EA3" w:rsidRPr="00EF4AD3">
        <w:rPr>
          <w:rFonts w:cs="Times New Roman"/>
          <w:lang w:val="lt-LT"/>
        </w:rPr>
        <w:t>TIEKIMO IR VARTOJIMO SĄLYGOS AR APRIBOJIMAI</w:t>
      </w:r>
    </w:p>
    <w:p w:rsidR="003C3EA3" w:rsidRPr="00EF4AD3" w:rsidRDefault="003C3EA3" w:rsidP="003C3EA3">
      <w:pPr>
        <w:pStyle w:val="BTAnIIEMEASMCA"/>
        <w:rPr>
          <w:rFonts w:cs="Times New Roman"/>
          <w:lang w:val="lt-LT"/>
        </w:rPr>
      </w:pPr>
    </w:p>
    <w:p w:rsidR="00633D05" w:rsidRPr="00EF4AD3" w:rsidRDefault="00633D05" w:rsidP="00782145">
      <w:pPr>
        <w:pStyle w:val="PI-1EMEASMCA"/>
      </w:pPr>
      <w:r w:rsidRPr="00EF4AD3">
        <w:br w:type="page"/>
      </w:r>
      <w:r w:rsidRPr="00EF4AD3">
        <w:lastRenderedPageBreak/>
        <w:t>A.</w:t>
      </w:r>
      <w:r w:rsidRPr="00EF4AD3">
        <w:tab/>
      </w:r>
      <w:r w:rsidR="003C3EA3" w:rsidRPr="00EF4AD3">
        <w:t>GAMINTOJAS</w:t>
      </w:r>
      <w:r w:rsidRPr="00EF4AD3">
        <w:t xml:space="preserve"> (-AI), ATSAKINGAS (-I) UŽ SERIJŲ IŠLEIDIMĄ</w:t>
      </w:r>
    </w:p>
    <w:p w:rsidR="00633D05" w:rsidRPr="00EF4AD3" w:rsidRDefault="00633D05" w:rsidP="005717F4">
      <w:pPr>
        <w:pStyle w:val="BTEMEASMCA"/>
        <w:rPr>
          <w:highlight w:val="yellow"/>
        </w:rPr>
      </w:pPr>
    </w:p>
    <w:p w:rsidR="00633D05" w:rsidRPr="00EF4AD3" w:rsidRDefault="00633D05" w:rsidP="005717F4">
      <w:pPr>
        <w:pStyle w:val="BTuEMEASMCA"/>
      </w:pPr>
      <w:r w:rsidRPr="00EF4AD3">
        <w:t>Gamintojo (-ų), atsakingo (-ų) už serijų išleidimą, pavadinimas (-ai) ir adresas (-ai)</w:t>
      </w:r>
    </w:p>
    <w:p w:rsidR="00633D05" w:rsidRPr="00EF4AD3" w:rsidRDefault="00633D05" w:rsidP="005717F4">
      <w:pPr>
        <w:pStyle w:val="BTEMEASMCA"/>
      </w:pPr>
    </w:p>
    <w:p w:rsidR="0067070F" w:rsidRPr="00EF4AD3" w:rsidRDefault="0067070F" w:rsidP="0067070F">
      <w:pPr>
        <w:tabs>
          <w:tab w:val="left" w:pos="567"/>
        </w:tabs>
        <w:rPr>
          <w:noProof/>
          <w:szCs w:val="22"/>
        </w:rPr>
      </w:pPr>
      <w:r w:rsidRPr="00EF4AD3">
        <w:rPr>
          <w:noProof/>
          <w:szCs w:val="22"/>
        </w:rPr>
        <w:t>SW Pharma GmbH</w:t>
      </w:r>
    </w:p>
    <w:p w:rsidR="0067070F" w:rsidRPr="00EF4AD3" w:rsidRDefault="0067070F" w:rsidP="0067070F">
      <w:pPr>
        <w:tabs>
          <w:tab w:val="left" w:pos="567"/>
        </w:tabs>
        <w:rPr>
          <w:noProof/>
          <w:szCs w:val="22"/>
        </w:rPr>
      </w:pPr>
      <w:r w:rsidRPr="00EF4AD3">
        <w:rPr>
          <w:noProof/>
          <w:szCs w:val="22"/>
        </w:rPr>
        <w:t>Robert-Koch-Straße 1</w:t>
      </w:r>
    </w:p>
    <w:p w:rsidR="0067070F" w:rsidRPr="00EF4AD3" w:rsidRDefault="0067070F" w:rsidP="0067070F">
      <w:pPr>
        <w:tabs>
          <w:tab w:val="left" w:pos="567"/>
        </w:tabs>
        <w:rPr>
          <w:noProof/>
          <w:szCs w:val="22"/>
        </w:rPr>
      </w:pPr>
      <w:r w:rsidRPr="00EF4AD3">
        <w:rPr>
          <w:noProof/>
          <w:szCs w:val="22"/>
        </w:rPr>
        <w:t>66578 Schiffweiler</w:t>
      </w:r>
    </w:p>
    <w:p w:rsidR="0067070F" w:rsidRPr="00EF4AD3" w:rsidRDefault="0067070F" w:rsidP="0067070F">
      <w:pPr>
        <w:tabs>
          <w:tab w:val="left" w:pos="567"/>
        </w:tabs>
        <w:rPr>
          <w:noProof/>
          <w:szCs w:val="22"/>
        </w:rPr>
      </w:pPr>
      <w:r w:rsidRPr="00EF4AD3">
        <w:rPr>
          <w:noProof/>
          <w:szCs w:val="22"/>
        </w:rPr>
        <w:t>Vokietija</w:t>
      </w:r>
    </w:p>
    <w:p w:rsidR="0067070F" w:rsidRPr="00EF4AD3" w:rsidRDefault="0067070F" w:rsidP="005717F4">
      <w:pPr>
        <w:pStyle w:val="BTEMEASMCA"/>
        <w:rPr>
          <w:highlight w:val="yellow"/>
        </w:rPr>
      </w:pPr>
    </w:p>
    <w:p w:rsidR="00633D05" w:rsidRPr="00EF4AD3" w:rsidRDefault="00633D05" w:rsidP="005717F4">
      <w:pPr>
        <w:pStyle w:val="BTEMEASMCA"/>
        <w:rPr>
          <w:highlight w:val="yellow"/>
        </w:rPr>
      </w:pPr>
    </w:p>
    <w:p w:rsidR="00633D05" w:rsidRPr="00EF4AD3" w:rsidRDefault="00633D05" w:rsidP="00782145">
      <w:pPr>
        <w:pStyle w:val="PI-1EMEASMCA"/>
      </w:pPr>
      <w:bookmarkStart w:id="7" w:name="_Toc129243129"/>
      <w:bookmarkStart w:id="8" w:name="_Toc129243254"/>
      <w:r w:rsidRPr="00EF4AD3">
        <w:t>B.</w:t>
      </w:r>
      <w:r w:rsidRPr="00EF4AD3">
        <w:tab/>
      </w:r>
      <w:r w:rsidR="003C3EA3" w:rsidRPr="00EF4AD3">
        <w:t>TIEKIMO IR VARTOJIMO SĄLYGOS AR APRIBOJIMAI</w:t>
      </w:r>
      <w:bookmarkEnd w:id="7"/>
      <w:bookmarkEnd w:id="8"/>
    </w:p>
    <w:p w:rsidR="00633D05" w:rsidRPr="00EF4AD3" w:rsidRDefault="00633D05" w:rsidP="005717F4">
      <w:pPr>
        <w:pStyle w:val="BTEMEASMCA"/>
      </w:pPr>
    </w:p>
    <w:p w:rsidR="00633D05" w:rsidRPr="00EF4AD3" w:rsidRDefault="00C33FEA" w:rsidP="005717F4">
      <w:pPr>
        <w:pStyle w:val="BTEMEASMCA"/>
      </w:pPr>
      <w:r w:rsidRPr="00EF4AD3">
        <w:t>Receptinis vaistinis preparatas</w:t>
      </w:r>
    </w:p>
    <w:p w:rsidR="00633D05" w:rsidRPr="00EF4AD3" w:rsidRDefault="00633D05" w:rsidP="005717F4">
      <w:pPr>
        <w:pStyle w:val="BTEMEASMCA"/>
        <w:rPr>
          <w:highlight w:val="yellow"/>
        </w:rPr>
      </w:pPr>
    </w:p>
    <w:p w:rsidR="003C3EA3" w:rsidRPr="00EF4AD3" w:rsidRDefault="003C3EA3" w:rsidP="005717F4">
      <w:pPr>
        <w:pStyle w:val="BTEMEASMCA"/>
        <w:rPr>
          <w:highlight w:val="yellow"/>
        </w:rPr>
      </w:pPr>
    </w:p>
    <w:p w:rsidR="00FA735B" w:rsidRPr="00EF4AD3" w:rsidRDefault="00FA735B" w:rsidP="005717F4">
      <w:pPr>
        <w:pStyle w:val="BTEMEASMCA"/>
      </w:pPr>
      <w:bookmarkStart w:id="9" w:name="_Toc129243131"/>
      <w:bookmarkStart w:id="10" w:name="_Toc129243256"/>
    </w:p>
    <w:p w:rsidR="009204E3" w:rsidRPr="00EF4AD3" w:rsidRDefault="009204E3" w:rsidP="005717F4">
      <w:pPr>
        <w:pStyle w:val="BTEMEASMCA"/>
      </w:pPr>
    </w:p>
    <w:p w:rsidR="009204E3" w:rsidRPr="00EF4AD3" w:rsidRDefault="009204E3" w:rsidP="005717F4">
      <w:pPr>
        <w:pStyle w:val="BTEMEASMCA"/>
      </w:pPr>
    </w:p>
    <w:p w:rsidR="009204E3" w:rsidRPr="00EF4AD3" w:rsidRDefault="009204E3" w:rsidP="005717F4">
      <w:pPr>
        <w:pStyle w:val="BTEMEASMCA"/>
      </w:pPr>
    </w:p>
    <w:p w:rsidR="009204E3" w:rsidRPr="00EF4AD3" w:rsidRDefault="009204E3" w:rsidP="005717F4">
      <w:pPr>
        <w:pStyle w:val="BTEMEASMCA"/>
      </w:pPr>
    </w:p>
    <w:bookmarkEnd w:id="9"/>
    <w:bookmarkEnd w:id="10"/>
    <w:p w:rsidR="00633D05" w:rsidRPr="00EF4AD3" w:rsidRDefault="00633D05" w:rsidP="005717F4">
      <w:pPr>
        <w:pStyle w:val="BTEMEASMCA"/>
      </w:pPr>
    </w:p>
    <w:p w:rsidR="00633D05" w:rsidRPr="00EF4AD3" w:rsidRDefault="00633D05" w:rsidP="005717F4">
      <w:pPr>
        <w:pStyle w:val="BTEMEASMCA"/>
      </w:pPr>
      <w:r w:rsidRPr="00EF4AD3">
        <w:br w:type="page"/>
      </w:r>
    </w:p>
    <w:p w:rsidR="00633D05" w:rsidRPr="00EF4AD3" w:rsidRDefault="00633D05" w:rsidP="005717F4">
      <w:pPr>
        <w:pStyle w:val="BTEMEASMCA"/>
      </w:pPr>
    </w:p>
    <w:p w:rsidR="00D17C76" w:rsidRPr="00EF4AD3" w:rsidRDefault="00D17C76" w:rsidP="005717F4">
      <w:pPr>
        <w:pStyle w:val="BTEMEASMCA"/>
      </w:pPr>
    </w:p>
    <w:p w:rsidR="00D17C76" w:rsidRPr="00EF4AD3" w:rsidRDefault="00D17C76" w:rsidP="005717F4">
      <w:pPr>
        <w:pStyle w:val="BTEMEASMCA"/>
      </w:pPr>
    </w:p>
    <w:p w:rsidR="00D17C76" w:rsidRPr="00EF4AD3" w:rsidRDefault="00D17C76" w:rsidP="005717F4">
      <w:pPr>
        <w:pStyle w:val="BTEMEASMCA"/>
      </w:pPr>
    </w:p>
    <w:p w:rsidR="00D17C76" w:rsidRPr="00EF4AD3" w:rsidRDefault="00D17C76" w:rsidP="005717F4">
      <w:pPr>
        <w:pStyle w:val="BTEMEASMCA"/>
      </w:pPr>
    </w:p>
    <w:p w:rsidR="00D17C76" w:rsidRPr="00EF4AD3" w:rsidRDefault="00D17C76"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782145">
      <w:pPr>
        <w:pStyle w:val="TTEMEASMCA"/>
        <w:rPr>
          <w:lang w:val="lt-LT"/>
        </w:rPr>
      </w:pPr>
      <w:bookmarkStart w:id="11" w:name="_Toc129243134"/>
      <w:bookmarkStart w:id="12" w:name="_Toc129243259"/>
      <w:r w:rsidRPr="00EF4AD3">
        <w:rPr>
          <w:lang w:val="lt-LT"/>
        </w:rPr>
        <w:t>III PRIEDAS</w:t>
      </w:r>
      <w:bookmarkEnd w:id="11"/>
      <w:bookmarkEnd w:id="12"/>
    </w:p>
    <w:p w:rsidR="00633D05" w:rsidRPr="00EF4AD3" w:rsidRDefault="00633D05" w:rsidP="005717F4">
      <w:pPr>
        <w:pStyle w:val="BTEMEASMCA"/>
      </w:pPr>
    </w:p>
    <w:p w:rsidR="00633D05" w:rsidRPr="00EF4AD3" w:rsidRDefault="00633D05" w:rsidP="00782145">
      <w:pPr>
        <w:pStyle w:val="TTEMEASMCA"/>
        <w:rPr>
          <w:lang w:val="lt-LT"/>
        </w:rPr>
      </w:pPr>
      <w:bookmarkStart w:id="13" w:name="_Toc129243135"/>
      <w:bookmarkStart w:id="14" w:name="_Toc129243260"/>
      <w:r w:rsidRPr="00EF4AD3">
        <w:rPr>
          <w:lang w:val="lt-LT"/>
        </w:rPr>
        <w:t>ŽENKLINIMAS IR PAKUOTĖS LAPELIS</w:t>
      </w:r>
      <w:bookmarkEnd w:id="13"/>
      <w:bookmarkEnd w:id="14"/>
    </w:p>
    <w:p w:rsidR="00633D05" w:rsidRPr="00EF4AD3" w:rsidRDefault="00633D05" w:rsidP="005717F4">
      <w:pPr>
        <w:pStyle w:val="BTEMEASMCA"/>
      </w:pPr>
      <w:r w:rsidRPr="00EF4AD3">
        <w:br w:type="page"/>
      </w: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633D05" w:rsidRPr="00EF4AD3" w:rsidRDefault="00633D05" w:rsidP="005717F4">
      <w:pPr>
        <w:pStyle w:val="BTEMEASMCA"/>
      </w:pPr>
    </w:p>
    <w:p w:rsidR="00BD4864" w:rsidRPr="00EF4AD3" w:rsidRDefault="00BD4864" w:rsidP="005717F4">
      <w:pPr>
        <w:pStyle w:val="BTEMEASMCA"/>
      </w:pPr>
    </w:p>
    <w:p w:rsidR="00633D05" w:rsidRPr="00EF4AD3" w:rsidRDefault="00633D05" w:rsidP="00782145">
      <w:pPr>
        <w:pStyle w:val="TTEMEASMCA"/>
        <w:rPr>
          <w:lang w:val="lt-LT"/>
        </w:rPr>
      </w:pPr>
      <w:bookmarkStart w:id="15" w:name="_Toc129243136"/>
      <w:bookmarkStart w:id="16" w:name="_Toc129243261"/>
      <w:r w:rsidRPr="00EF4AD3">
        <w:rPr>
          <w:lang w:val="lt-LT"/>
        </w:rPr>
        <w:t>A. ŽENKLINIMAS</w:t>
      </w:r>
      <w:bookmarkEnd w:id="15"/>
      <w:bookmarkEnd w:id="16"/>
    </w:p>
    <w:p w:rsidR="00633D05" w:rsidRPr="00EF4AD3" w:rsidRDefault="00633D05" w:rsidP="005717F4">
      <w:pPr>
        <w:pStyle w:val="BTEMEASMCA"/>
      </w:pPr>
      <w:r w:rsidRPr="00EF4AD3">
        <w:br w:type="page"/>
      </w:r>
    </w:p>
    <w:p w:rsidR="00960503" w:rsidRPr="00EF4AD3" w:rsidRDefault="00960503" w:rsidP="005717F4">
      <w:pPr>
        <w:pStyle w:val="BTEMEASMCA"/>
      </w:pPr>
    </w:p>
    <w:p w:rsidR="00960503" w:rsidRPr="00EF4AD3" w:rsidRDefault="00960503" w:rsidP="00960503">
      <w:pPr>
        <w:pStyle w:val="PI-1labEMEASMCA"/>
      </w:pPr>
      <w:r w:rsidRPr="00EF4AD3">
        <w:t>INFORMACIJA ANT IŠORINĖS PAKUOTĖS</w:t>
      </w:r>
    </w:p>
    <w:p w:rsidR="00960503" w:rsidRPr="00EF4AD3" w:rsidRDefault="00960503" w:rsidP="00960503">
      <w:pPr>
        <w:pStyle w:val="PI-1labEMEASMCA"/>
      </w:pPr>
    </w:p>
    <w:p w:rsidR="00960503" w:rsidRPr="00EF4AD3" w:rsidRDefault="00960503" w:rsidP="00960503">
      <w:pPr>
        <w:pStyle w:val="PI-1labEMEASMCA"/>
        <w:rPr>
          <w:bCs/>
        </w:rPr>
      </w:pPr>
      <w:r w:rsidRPr="00EF4AD3">
        <w:t>BUTELIUKO ETIKETĖ</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w:t>
      </w:r>
      <w:r w:rsidRPr="00EF4AD3">
        <w:tab/>
        <w:t>VAISTINIO PREPARATO PAVADINIMAS</w:t>
      </w:r>
    </w:p>
    <w:p w:rsidR="00960503" w:rsidRPr="00EF4AD3" w:rsidRDefault="00960503" w:rsidP="005717F4">
      <w:pPr>
        <w:pStyle w:val="BTEMEASMCA"/>
      </w:pPr>
    </w:p>
    <w:p w:rsidR="00960503" w:rsidRPr="00EF4AD3" w:rsidRDefault="00960503" w:rsidP="005717F4">
      <w:pPr>
        <w:pStyle w:val="BTEMEASMCA"/>
      </w:pPr>
      <w:r w:rsidRPr="00EF4AD3">
        <w:t>EMB-Fatol 400 mg plėvele dengtos tabletės</w:t>
      </w:r>
    </w:p>
    <w:p w:rsidR="00960503" w:rsidRPr="00EF4AD3" w:rsidRDefault="00960503" w:rsidP="005717F4">
      <w:pPr>
        <w:pStyle w:val="BTEMEASMCA"/>
      </w:pPr>
      <w:r w:rsidRPr="00EF4AD3">
        <w:t>Etambutolio hidrochloridas</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2.</w:t>
      </w:r>
      <w:r w:rsidRPr="00EF4AD3">
        <w:tab/>
        <w:t>VEIKLIOJI MEDŽIAGA IR JOS KIEKIS</w:t>
      </w:r>
    </w:p>
    <w:p w:rsidR="00960503" w:rsidRPr="00EF4AD3" w:rsidRDefault="00960503" w:rsidP="005717F4">
      <w:pPr>
        <w:pStyle w:val="BTEMEASMCA"/>
      </w:pPr>
    </w:p>
    <w:p w:rsidR="00960503" w:rsidRPr="00EF4AD3" w:rsidRDefault="00960503" w:rsidP="005717F4">
      <w:pPr>
        <w:pStyle w:val="BTEMEASMCA"/>
      </w:pPr>
      <w:r w:rsidRPr="00EF4AD3">
        <w:t>Kiekvienoje tabletėje yra 400 mg etambutolio hidrochlorido.</w:t>
      </w:r>
    </w:p>
    <w:p w:rsidR="00960503" w:rsidRPr="00EF4AD3" w:rsidRDefault="00960503" w:rsidP="005717F4">
      <w:pPr>
        <w:pStyle w:val="BTEMEASMCA"/>
      </w:pPr>
    </w:p>
    <w:p w:rsidR="00960503" w:rsidRPr="00EF4AD3" w:rsidRDefault="00960503" w:rsidP="005717F4">
      <w:pPr>
        <w:pStyle w:val="BTEMEASMCA"/>
      </w:pPr>
    </w:p>
    <w:p w:rsidR="00960503" w:rsidRPr="001A44AE" w:rsidRDefault="00960503" w:rsidP="00960503">
      <w:pPr>
        <w:pStyle w:val="PI-1labEMEASMCA"/>
        <w:rPr>
          <w:highlight w:val="lightGray"/>
        </w:rPr>
      </w:pPr>
      <w:r w:rsidRPr="00EF4AD3">
        <w:t>3.</w:t>
      </w:r>
      <w:r w:rsidRPr="00EF4AD3">
        <w:tab/>
        <w:t>PAGALBINIŲ MEDŽIAGŲ SĄRAŠAS</w:t>
      </w:r>
    </w:p>
    <w:p w:rsidR="00960503" w:rsidRPr="00EF4AD3" w:rsidRDefault="00960503" w:rsidP="005717F4">
      <w:pPr>
        <w:pStyle w:val="BTEMEASMCA"/>
      </w:pPr>
    </w:p>
    <w:p w:rsidR="00960503" w:rsidRPr="00EF4AD3" w:rsidRDefault="00960503" w:rsidP="005717F4">
      <w:pPr>
        <w:pStyle w:val="BTEMEASMCA"/>
      </w:pPr>
      <w:r w:rsidRPr="00EF4AD3">
        <w:t>Sudėtyje yra laktozės monohidrato ir natrio.</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4.</w:t>
      </w:r>
      <w:r w:rsidRPr="00EF4AD3">
        <w:tab/>
        <w:t>FARMACINĖ FORMA IR KIEKIS PAKUOTĖJE</w:t>
      </w:r>
    </w:p>
    <w:p w:rsidR="00960503" w:rsidRPr="00EF4AD3" w:rsidRDefault="00960503" w:rsidP="005717F4">
      <w:pPr>
        <w:pStyle w:val="BTEMEASMCA"/>
      </w:pPr>
    </w:p>
    <w:p w:rsidR="00960503" w:rsidRPr="00EF4AD3" w:rsidRDefault="00960503" w:rsidP="005717F4">
      <w:pPr>
        <w:pStyle w:val="BTEMEASMCA"/>
      </w:pPr>
      <w:r w:rsidRPr="00EF4AD3">
        <w:t>Plėvėle dengtos tabletės.</w:t>
      </w:r>
    </w:p>
    <w:p w:rsidR="00960503" w:rsidRPr="00EF4AD3" w:rsidRDefault="00960503" w:rsidP="005717F4">
      <w:pPr>
        <w:pStyle w:val="BTEMEASMCA"/>
      </w:pPr>
    </w:p>
    <w:p w:rsidR="00960503" w:rsidRPr="00EF4AD3" w:rsidRDefault="00960503" w:rsidP="005717F4">
      <w:pPr>
        <w:pStyle w:val="BTEMEASMCA"/>
      </w:pPr>
      <w:r w:rsidRPr="00EF4AD3">
        <w:t>100 tablečių</w:t>
      </w:r>
    </w:p>
    <w:p w:rsidR="00960503" w:rsidRPr="00EF4AD3" w:rsidRDefault="00960503" w:rsidP="005717F4">
      <w:pPr>
        <w:pStyle w:val="BTEMEASMCA"/>
      </w:pPr>
      <w:r w:rsidRPr="001A44AE">
        <w:rPr>
          <w:highlight w:val="lightGray"/>
        </w:rPr>
        <w:t>1000 tablečių</w:t>
      </w:r>
    </w:p>
    <w:p w:rsidR="00960503" w:rsidRPr="00EF4AD3" w:rsidRDefault="00960503" w:rsidP="005717F4">
      <w:pPr>
        <w:pStyle w:val="BTEMEASMCA"/>
      </w:pPr>
    </w:p>
    <w:p w:rsidR="00960503" w:rsidRPr="00EF4AD3" w:rsidRDefault="00960503" w:rsidP="005717F4">
      <w:pPr>
        <w:pStyle w:val="BTEMEASMCA"/>
      </w:pPr>
    </w:p>
    <w:p w:rsidR="00960503" w:rsidRPr="001A44AE" w:rsidRDefault="00960503" w:rsidP="00960503">
      <w:pPr>
        <w:pStyle w:val="PI-1labEMEASMCA"/>
        <w:rPr>
          <w:highlight w:val="lightGray"/>
        </w:rPr>
      </w:pPr>
      <w:r w:rsidRPr="00EF4AD3">
        <w:t>5.</w:t>
      </w:r>
      <w:r w:rsidRPr="00EF4AD3">
        <w:tab/>
        <w:t>VARTOJIMO METODAS IR BŪDAS (-AI)</w:t>
      </w:r>
    </w:p>
    <w:p w:rsidR="00960503" w:rsidRPr="00EF4AD3" w:rsidRDefault="00960503" w:rsidP="005717F4">
      <w:pPr>
        <w:pStyle w:val="BTEMEASMCA"/>
      </w:pPr>
    </w:p>
    <w:p w:rsidR="00960503" w:rsidRPr="00EF4AD3" w:rsidRDefault="00960503" w:rsidP="005717F4">
      <w:pPr>
        <w:pStyle w:val="BTEMEASMCA"/>
      </w:pPr>
      <w:r w:rsidRPr="00EF4AD3">
        <w:t>Vartoti per burną.</w:t>
      </w:r>
    </w:p>
    <w:p w:rsidR="00960503" w:rsidRPr="00EF4AD3" w:rsidRDefault="00960503" w:rsidP="005717F4">
      <w:pPr>
        <w:pStyle w:val="BTEMEASMCA"/>
      </w:pPr>
    </w:p>
    <w:p w:rsidR="00960503" w:rsidRPr="00EF4AD3" w:rsidRDefault="00960503" w:rsidP="005717F4">
      <w:pPr>
        <w:pStyle w:val="BTEMEASMCA"/>
      </w:pPr>
      <w:r w:rsidRPr="00EF4AD3">
        <w:t>Prieš vartojimą perskaitykite pakuotės lapelį.</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6.</w:t>
      </w:r>
      <w:r w:rsidRPr="00EF4AD3">
        <w:tab/>
        <w:t>SPECIALUS ĮSPĖJIMAS, KAD VAISTINĮ PREPARATĄ BŪTINA LAIKYTI VAIKAMS NEPASTEBIMOJE IR NEPASIEKIAMOJE</w:t>
      </w:r>
      <w:r w:rsidRPr="00EF4AD3" w:rsidDel="00D33DEF">
        <w:t xml:space="preserve"> </w:t>
      </w:r>
      <w:r w:rsidRPr="00EF4AD3">
        <w:t>VIETOJE</w:t>
      </w:r>
    </w:p>
    <w:p w:rsidR="00960503" w:rsidRPr="00EF4AD3" w:rsidRDefault="00960503" w:rsidP="005717F4">
      <w:pPr>
        <w:pStyle w:val="BTEMEASMCA"/>
      </w:pPr>
    </w:p>
    <w:p w:rsidR="00960503" w:rsidRPr="00EF4AD3" w:rsidRDefault="00960503" w:rsidP="005717F4">
      <w:pPr>
        <w:pStyle w:val="BTEMEASMCA"/>
      </w:pPr>
      <w:r w:rsidRPr="00EF4AD3">
        <w:t>Laikyti vaikams nepastebimoje ir nepasiekiamoje vietoje.</w:t>
      </w:r>
    </w:p>
    <w:p w:rsidR="00960503" w:rsidRPr="00EF4AD3" w:rsidRDefault="00960503" w:rsidP="005717F4">
      <w:pPr>
        <w:pStyle w:val="BTEMEASMCA"/>
      </w:pPr>
    </w:p>
    <w:p w:rsidR="00960503" w:rsidRPr="00EF4AD3" w:rsidRDefault="00960503" w:rsidP="005717F4">
      <w:pPr>
        <w:pStyle w:val="BTEMEASMCA"/>
      </w:pPr>
    </w:p>
    <w:p w:rsidR="00960503" w:rsidRPr="001A44AE" w:rsidRDefault="00960503" w:rsidP="00960503">
      <w:pPr>
        <w:pStyle w:val="PI-1labEMEASMCA"/>
        <w:rPr>
          <w:highlight w:val="lightGray"/>
        </w:rPr>
      </w:pPr>
      <w:r w:rsidRPr="00EF4AD3">
        <w:t>7.</w:t>
      </w:r>
      <w:r w:rsidRPr="00EF4AD3">
        <w:tab/>
        <w:t>KITAS (-I) SPECIALUS (-ŪS) ĮSPĖJIMAS (-AI) (JEI REIKIA)</w:t>
      </w:r>
    </w:p>
    <w:p w:rsidR="00960503" w:rsidRPr="00EF4AD3" w:rsidRDefault="00960503" w:rsidP="005717F4">
      <w:pPr>
        <w:pStyle w:val="BTEMEASMCA"/>
      </w:pPr>
    </w:p>
    <w:p w:rsidR="00960503" w:rsidRPr="00EF4AD3" w:rsidRDefault="00960503" w:rsidP="005717F4">
      <w:pPr>
        <w:pStyle w:val="BTEMEASMCA"/>
      </w:pPr>
    </w:p>
    <w:p w:rsidR="00960503" w:rsidRPr="001A44AE" w:rsidRDefault="00960503" w:rsidP="00960503">
      <w:pPr>
        <w:pStyle w:val="PI-1labEMEASMCA"/>
        <w:rPr>
          <w:highlight w:val="lightGray"/>
        </w:rPr>
      </w:pPr>
      <w:r w:rsidRPr="00EF4AD3">
        <w:t>8.</w:t>
      </w:r>
      <w:r w:rsidRPr="00EF4AD3">
        <w:tab/>
        <w:t>TINKAMUMO LAIKAS</w:t>
      </w:r>
    </w:p>
    <w:p w:rsidR="00960503" w:rsidRPr="00EF4AD3" w:rsidRDefault="00960503" w:rsidP="005717F4">
      <w:pPr>
        <w:pStyle w:val="BTEMEASMCA"/>
      </w:pPr>
    </w:p>
    <w:p w:rsidR="00960503" w:rsidRPr="00EF4AD3" w:rsidRDefault="00960503" w:rsidP="005717F4">
      <w:pPr>
        <w:pStyle w:val="BTEMEASMCA"/>
      </w:pPr>
      <w:r w:rsidRPr="00EF4AD3">
        <w:t>Tinka iki {mm/MMMM}</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9.</w:t>
      </w:r>
      <w:r w:rsidRPr="00EF4AD3">
        <w:tab/>
        <w:t>SPECIALIOS LAIKYMO SĄLYGOS</w:t>
      </w:r>
    </w:p>
    <w:p w:rsidR="00960503" w:rsidRPr="00EF4AD3" w:rsidRDefault="00960503" w:rsidP="005717F4">
      <w:pPr>
        <w:pStyle w:val="BTEMEASMCA"/>
      </w:pPr>
    </w:p>
    <w:p w:rsidR="00960503" w:rsidRPr="00EF4AD3" w:rsidRDefault="00960503" w:rsidP="00960503">
      <w:pPr>
        <w:pStyle w:val="Pagrindinistekstas2"/>
        <w:spacing w:after="0" w:line="240" w:lineRule="auto"/>
        <w:rPr>
          <w:szCs w:val="22"/>
        </w:rPr>
      </w:pPr>
      <w:r w:rsidRPr="00EF4AD3">
        <w:rPr>
          <w:szCs w:val="22"/>
        </w:rPr>
        <w:t xml:space="preserve">Laikyti žemesnėje kaip </w:t>
      </w:r>
      <w:smartTag w:uri="urn:schemas-microsoft-com:office:smarttags" w:element="metricconverter">
        <w:smartTagPr>
          <w:attr w:name="ProductID" w:val="25ﾰC"/>
        </w:smartTagPr>
        <w:r w:rsidRPr="00EF4AD3">
          <w:rPr>
            <w:szCs w:val="22"/>
          </w:rPr>
          <w:t>25°C</w:t>
        </w:r>
      </w:smartTag>
      <w:r w:rsidRPr="00EF4AD3">
        <w:rPr>
          <w:szCs w:val="22"/>
        </w:rPr>
        <w:t xml:space="preserve"> temperatūroje.</w:t>
      </w:r>
    </w:p>
    <w:p w:rsidR="00960503" w:rsidRPr="00EF4AD3" w:rsidRDefault="00960503" w:rsidP="00960503">
      <w:pPr>
        <w:pStyle w:val="Pagrindinistekstas2"/>
        <w:spacing w:after="0" w:line="240" w:lineRule="auto"/>
        <w:rPr>
          <w:szCs w:val="22"/>
        </w:rPr>
      </w:pPr>
    </w:p>
    <w:p w:rsidR="00960503" w:rsidRPr="00EF4AD3" w:rsidRDefault="00960503" w:rsidP="005717F4">
      <w:pPr>
        <w:pStyle w:val="BTEMEASMCA"/>
      </w:pPr>
    </w:p>
    <w:p w:rsidR="00960503" w:rsidRPr="00EF4AD3" w:rsidRDefault="00960503" w:rsidP="00960503">
      <w:pPr>
        <w:pStyle w:val="PI-1labEMEASMCA"/>
      </w:pPr>
      <w:r w:rsidRPr="00EF4AD3">
        <w:t>10.</w:t>
      </w:r>
      <w:r w:rsidRPr="00EF4AD3">
        <w:tab/>
        <w:t xml:space="preserve">SPECIALIOS ATSARGUMO PRIEMONĖS DĖL NESUVARTOTO </w:t>
      </w:r>
      <w:r w:rsidRPr="00EF4AD3">
        <w:rPr>
          <w:bCs/>
        </w:rPr>
        <w:t xml:space="preserve">VAISTINIO PREPARATO AR JO ATLIEKŲ </w:t>
      </w:r>
      <w:r w:rsidRPr="00EF4AD3">
        <w:t>TVARKYMO (JEI REIKIA)</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11.</w:t>
      </w:r>
      <w:r w:rsidRPr="00EF4AD3">
        <w:tab/>
      </w:r>
      <w:r>
        <w:t>REGISTRUOTOJO</w:t>
      </w:r>
      <w:r w:rsidRPr="00EF4AD3">
        <w:t xml:space="preserve"> PAVADINIMAS IR ADRESAS</w:t>
      </w:r>
    </w:p>
    <w:p w:rsidR="00960503" w:rsidRPr="00EF4AD3" w:rsidRDefault="00960503" w:rsidP="005717F4">
      <w:pPr>
        <w:pStyle w:val="BTEMEASMCA"/>
      </w:pP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Esteve Pharmaceuticals GmbH</w:t>
      </w: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Hohenzollerndamm 150-151</w:t>
      </w:r>
    </w:p>
    <w:p w:rsidR="00960503" w:rsidRPr="00EF4AD3" w:rsidRDefault="005717F4"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14199 Berlin</w:t>
      </w:r>
    </w:p>
    <w:p w:rsidR="00960503" w:rsidRPr="00EF4AD3" w:rsidRDefault="00960503"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Vokietija</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12.</w:t>
      </w:r>
      <w:r w:rsidRPr="00EF4AD3">
        <w:tab/>
      </w:r>
      <w:r>
        <w:t>REGISTRACIJOS</w:t>
      </w:r>
      <w:r w:rsidRPr="00EF4AD3">
        <w:t xml:space="preserve"> PAŽYMĖJIMO NUMERIS </w:t>
      </w:r>
    </w:p>
    <w:p w:rsidR="00960503" w:rsidRPr="00EF4AD3" w:rsidRDefault="00960503" w:rsidP="005717F4">
      <w:pPr>
        <w:pStyle w:val="BTEMEASMCA"/>
      </w:pP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zCs w:val="22"/>
        </w:rPr>
        <w:t>N100 – LT/1/97/3544/001</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zCs w:val="22"/>
        </w:rPr>
        <w:t>N1000 – LT/1/97/3544/002</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13.</w:t>
      </w:r>
      <w:r w:rsidRPr="00EF4AD3">
        <w:tab/>
        <w:t>SERIJOS NUMERIS</w:t>
      </w:r>
    </w:p>
    <w:p w:rsidR="00960503" w:rsidRPr="00EF4AD3" w:rsidRDefault="00960503" w:rsidP="005717F4">
      <w:pPr>
        <w:pStyle w:val="BTEMEASMCA"/>
      </w:pPr>
    </w:p>
    <w:p w:rsidR="00960503" w:rsidRPr="00EF4AD3" w:rsidRDefault="00960503" w:rsidP="005717F4">
      <w:pPr>
        <w:pStyle w:val="BTEMEASMCA"/>
      </w:pPr>
      <w:r w:rsidRPr="00EF4AD3">
        <w:t>Serija</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14.</w:t>
      </w:r>
      <w:r w:rsidRPr="00EF4AD3">
        <w:tab/>
        <w:t>PARDAVIMO (IŠDAVIMO) TVARKA</w:t>
      </w:r>
    </w:p>
    <w:p w:rsidR="00960503" w:rsidRPr="00EF4AD3" w:rsidRDefault="00960503" w:rsidP="005717F4">
      <w:pPr>
        <w:pStyle w:val="BTEMEASMCA"/>
      </w:pPr>
    </w:p>
    <w:p w:rsidR="00960503" w:rsidRPr="00EF4AD3" w:rsidRDefault="00960503" w:rsidP="005717F4">
      <w:pPr>
        <w:pStyle w:val="BTEMEASMCA"/>
      </w:pPr>
      <w:r w:rsidRPr="00EF4AD3">
        <w:t>Receptinis vaist</w:t>
      </w:r>
      <w:r>
        <w:t>as</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15.</w:t>
      </w:r>
      <w:r w:rsidRPr="00EF4AD3">
        <w:tab/>
        <w:t>VARTOJIMO INSTRUKCIJA</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labEMEASMCA"/>
      </w:pPr>
      <w:r w:rsidRPr="00EF4AD3">
        <w:t>16.</w:t>
      </w:r>
      <w:r w:rsidRPr="00EF4AD3">
        <w:tab/>
        <w:t>INFORMACIJA BRAILIO RAŠTU</w:t>
      </w:r>
    </w:p>
    <w:p w:rsidR="00960503" w:rsidRPr="00EF4AD3" w:rsidRDefault="00960503" w:rsidP="005717F4">
      <w:pPr>
        <w:pStyle w:val="BTEMEASMCA"/>
      </w:pPr>
    </w:p>
    <w:p w:rsidR="00960503" w:rsidRPr="00EF4AD3" w:rsidRDefault="00960503" w:rsidP="005717F4">
      <w:pPr>
        <w:pStyle w:val="BTEMEASMCA"/>
      </w:pPr>
      <w:r w:rsidRPr="00EF4AD3">
        <w:t>emb fatol</w:t>
      </w:r>
    </w:p>
    <w:p w:rsidR="00960503" w:rsidRPr="00EF4AD3" w:rsidRDefault="00960503" w:rsidP="005717F4">
      <w:pPr>
        <w:pStyle w:val="BTEMEASMCA"/>
      </w:pPr>
    </w:p>
    <w:p w:rsidR="00960503" w:rsidRPr="009D1769" w:rsidRDefault="00960503" w:rsidP="00960503">
      <w:pPr>
        <w:rPr>
          <w:rFonts w:ascii="Calibri" w:eastAsia="Calibri" w:hAnsi="Calibri"/>
        </w:rPr>
      </w:pPr>
    </w:p>
    <w:p w:rsidR="00960503" w:rsidRPr="00AA7E5B" w:rsidRDefault="00960503" w:rsidP="00960503">
      <w:pPr>
        <w:pBdr>
          <w:top w:val="single" w:sz="4" w:space="1" w:color="auto"/>
          <w:left w:val="single" w:sz="4" w:space="4" w:color="auto"/>
          <w:bottom w:val="single" w:sz="4" w:space="1" w:color="auto"/>
          <w:right w:val="single" w:sz="4" w:space="4" w:color="auto"/>
        </w:pBdr>
        <w:tabs>
          <w:tab w:val="left" w:pos="540"/>
        </w:tabs>
        <w:rPr>
          <w:rFonts w:eastAsia="Calibri"/>
          <w:b/>
          <w:noProof/>
        </w:rPr>
      </w:pPr>
      <w:r w:rsidRPr="00AA7E5B">
        <w:rPr>
          <w:rFonts w:eastAsia="Calibri"/>
          <w:b/>
          <w:noProof/>
        </w:rPr>
        <w:t>17.</w:t>
      </w:r>
      <w:r w:rsidRPr="00AA7E5B">
        <w:rPr>
          <w:rFonts w:eastAsia="Calibri"/>
          <w:b/>
          <w:noProof/>
        </w:rPr>
        <w:tab/>
        <w:t>UNIKALUS IDENTIFIKATORIUS – 2D BRŪKŠNINIS KODAS</w:t>
      </w:r>
    </w:p>
    <w:p w:rsidR="00960503" w:rsidRPr="00072AC6" w:rsidRDefault="00960503" w:rsidP="00960503">
      <w:pPr>
        <w:rPr>
          <w:noProof/>
          <w:szCs w:val="20"/>
          <w:lang w:eastAsia="lt-LT" w:bidi="lt-LT"/>
        </w:rPr>
      </w:pPr>
    </w:p>
    <w:p w:rsidR="00960503" w:rsidRPr="00072AC6" w:rsidRDefault="00960503" w:rsidP="00960503">
      <w:pPr>
        <w:tabs>
          <w:tab w:val="left" w:pos="567"/>
        </w:tabs>
        <w:rPr>
          <w:noProof/>
          <w:shd w:val="clear" w:color="auto" w:fill="CCCCCC"/>
          <w:lang w:eastAsia="lt-LT" w:bidi="lt-LT"/>
        </w:rPr>
      </w:pPr>
      <w:r w:rsidRPr="001A44AE">
        <w:rPr>
          <w:noProof/>
          <w:szCs w:val="20"/>
          <w:highlight w:val="lightGray"/>
          <w:lang w:eastAsia="lt-LT" w:bidi="lt-LT"/>
        </w:rPr>
        <w:t>2D brūkšninis kodas su nurodytu unikaliu identifikatoriumi.</w:t>
      </w:r>
    </w:p>
    <w:p w:rsidR="00960503" w:rsidRPr="00AA7E5B" w:rsidRDefault="00960503" w:rsidP="00960503">
      <w:pPr>
        <w:rPr>
          <w:rFonts w:eastAsia="Calibri"/>
        </w:rPr>
      </w:pPr>
    </w:p>
    <w:p w:rsidR="00960503" w:rsidRPr="00AA7E5B" w:rsidRDefault="00960503" w:rsidP="00960503">
      <w:pPr>
        <w:rPr>
          <w:rFonts w:eastAsia="Calibri"/>
        </w:rPr>
      </w:pPr>
    </w:p>
    <w:p w:rsidR="00960503" w:rsidRPr="00AA7E5B" w:rsidRDefault="00960503" w:rsidP="00960503">
      <w:pPr>
        <w:pBdr>
          <w:top w:val="single" w:sz="4" w:space="1" w:color="auto"/>
          <w:left w:val="single" w:sz="4" w:space="4" w:color="auto"/>
          <w:bottom w:val="single" w:sz="4" w:space="1" w:color="auto"/>
          <w:right w:val="single" w:sz="4" w:space="4" w:color="auto"/>
        </w:pBdr>
        <w:tabs>
          <w:tab w:val="left" w:pos="540"/>
        </w:tabs>
        <w:rPr>
          <w:rFonts w:eastAsia="Calibri"/>
          <w:b/>
          <w:noProof/>
        </w:rPr>
      </w:pPr>
      <w:r w:rsidRPr="00AA7E5B">
        <w:rPr>
          <w:rFonts w:eastAsia="Calibri"/>
          <w:b/>
          <w:noProof/>
        </w:rPr>
        <w:t>18.</w:t>
      </w:r>
      <w:r w:rsidRPr="00AA7E5B">
        <w:rPr>
          <w:rFonts w:eastAsia="Calibri"/>
          <w:b/>
          <w:noProof/>
        </w:rPr>
        <w:tab/>
        <w:t>UNIKALUS IDENTIFIKATORIUS – ŽMONĖMS SUPRANTAMI DUOMENYS</w:t>
      </w:r>
    </w:p>
    <w:p w:rsidR="00960503" w:rsidRPr="00072AC6" w:rsidRDefault="00960503" w:rsidP="00960503">
      <w:pPr>
        <w:rPr>
          <w:noProof/>
          <w:szCs w:val="20"/>
          <w:lang w:eastAsia="lt-LT" w:bidi="lt-LT"/>
        </w:rPr>
      </w:pPr>
    </w:p>
    <w:p w:rsidR="00960503" w:rsidRPr="00AA7E5B" w:rsidRDefault="00960503" w:rsidP="00960503">
      <w:pPr>
        <w:tabs>
          <w:tab w:val="left" w:pos="567"/>
        </w:tabs>
        <w:spacing w:line="260" w:lineRule="exact"/>
        <w:rPr>
          <w:color w:val="008000"/>
          <w:lang w:eastAsia="lt-LT" w:bidi="lt-LT"/>
        </w:rPr>
      </w:pPr>
      <w:r w:rsidRPr="00AA7E5B">
        <w:rPr>
          <w:szCs w:val="20"/>
          <w:lang w:eastAsia="lt-LT" w:bidi="lt-LT"/>
        </w:rPr>
        <w:t xml:space="preserve">PC: </w:t>
      </w:r>
      <w:r>
        <w:rPr>
          <w:szCs w:val="20"/>
          <w:lang w:eastAsia="lt-LT" w:bidi="lt-LT"/>
        </w:rPr>
        <w:t>{numeris}</w:t>
      </w:r>
    </w:p>
    <w:p w:rsidR="00960503" w:rsidRPr="00AA7E5B" w:rsidRDefault="00960503" w:rsidP="00960503">
      <w:pPr>
        <w:tabs>
          <w:tab w:val="left" w:pos="567"/>
        </w:tabs>
        <w:spacing w:line="260" w:lineRule="exact"/>
        <w:rPr>
          <w:lang w:eastAsia="lt-LT" w:bidi="lt-LT"/>
        </w:rPr>
      </w:pPr>
      <w:r w:rsidRPr="00AA7E5B">
        <w:rPr>
          <w:szCs w:val="20"/>
          <w:lang w:eastAsia="lt-LT" w:bidi="lt-LT"/>
        </w:rPr>
        <w:t xml:space="preserve">SN: </w:t>
      </w:r>
      <w:r>
        <w:rPr>
          <w:szCs w:val="20"/>
          <w:lang w:eastAsia="lt-LT" w:bidi="lt-LT"/>
        </w:rPr>
        <w:t>{numeris}</w:t>
      </w:r>
    </w:p>
    <w:p w:rsidR="00960503" w:rsidRPr="00EF4AD3" w:rsidRDefault="00960503" w:rsidP="005717F4">
      <w:pPr>
        <w:pStyle w:val="BTEMEASMCA"/>
      </w:pPr>
      <w:r w:rsidRPr="001A44AE">
        <w:rPr>
          <w:highlight w:val="lightGray"/>
          <w:lang w:eastAsia="lt-LT" w:bidi="lt-LT"/>
        </w:rPr>
        <w:t>NN:{numeris}</w:t>
      </w:r>
      <w:r w:rsidRPr="00EF4AD3">
        <w:br w:type="page"/>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TTEMEASMCA"/>
        <w:rPr>
          <w:lang w:val="lt-LT"/>
        </w:rPr>
      </w:pPr>
      <w:bookmarkStart w:id="17" w:name="_Toc129243137"/>
      <w:bookmarkStart w:id="18" w:name="_Toc129243262"/>
      <w:r w:rsidRPr="00EF4AD3">
        <w:rPr>
          <w:lang w:val="lt-LT"/>
        </w:rPr>
        <w:t>B. PAKUOTĖS LAPELIS</w:t>
      </w:r>
      <w:bookmarkEnd w:id="17"/>
      <w:bookmarkEnd w:id="18"/>
    </w:p>
    <w:p w:rsidR="00960503" w:rsidRPr="00EF4AD3" w:rsidRDefault="00960503" w:rsidP="00960503">
      <w:pPr>
        <w:pStyle w:val="TTEMEASMCA"/>
        <w:rPr>
          <w:lang w:val="lt-LT"/>
        </w:rPr>
      </w:pPr>
      <w:r w:rsidRPr="00EF4AD3">
        <w:rPr>
          <w:lang w:val="lt-LT"/>
        </w:rPr>
        <w:br w:type="page"/>
      </w:r>
      <w:r w:rsidRPr="00EF4AD3">
        <w:rPr>
          <w:caps w:val="0"/>
          <w:lang w:val="lt-LT"/>
        </w:rPr>
        <w:lastRenderedPageBreak/>
        <w:t>Pakuotės lapelis: informacija vartotojui</w:t>
      </w:r>
    </w:p>
    <w:p w:rsidR="00960503" w:rsidRPr="00EF4AD3" w:rsidRDefault="00960503" w:rsidP="005717F4">
      <w:pPr>
        <w:pStyle w:val="BTEMEASMCA"/>
      </w:pPr>
    </w:p>
    <w:p w:rsidR="00960503" w:rsidRPr="00EF4AD3" w:rsidRDefault="00960503" w:rsidP="005717F4">
      <w:pPr>
        <w:pStyle w:val="BTbeEMEASMCA"/>
      </w:pPr>
      <w:r w:rsidRPr="00EF4AD3">
        <w:t>EMB-Fatol 400 mg plėvele dengtos tabletės</w:t>
      </w:r>
    </w:p>
    <w:p w:rsidR="00960503" w:rsidRPr="00EF4AD3" w:rsidRDefault="00960503" w:rsidP="005717F4">
      <w:pPr>
        <w:pStyle w:val="BTeEMEASMCA"/>
      </w:pPr>
      <w:r w:rsidRPr="00EF4AD3">
        <w:t>Etambutolio hidrochloridas</w:t>
      </w:r>
    </w:p>
    <w:p w:rsidR="00960503" w:rsidRPr="00EF4AD3" w:rsidRDefault="00960503" w:rsidP="005717F4">
      <w:pPr>
        <w:pStyle w:val="BTEMEASMCA"/>
      </w:pPr>
    </w:p>
    <w:p w:rsidR="00960503" w:rsidRPr="00EF4AD3" w:rsidRDefault="00960503" w:rsidP="00960503">
      <w:pPr>
        <w:tabs>
          <w:tab w:val="left" w:pos="567"/>
        </w:tabs>
        <w:suppressAutoHyphens/>
        <w:rPr>
          <w:szCs w:val="22"/>
        </w:rPr>
      </w:pPr>
      <w:r w:rsidRPr="00EF4AD3">
        <w:rPr>
          <w:b/>
          <w:noProof/>
          <w:szCs w:val="22"/>
        </w:rPr>
        <w:t>Atidžiai perskaitykite visą šį lapelį, prieš pradėdami vartoti vaistą, nes jame pateikiama Jums svarbi informacija.</w:t>
      </w:r>
    </w:p>
    <w:p w:rsidR="00960503" w:rsidRPr="00EF4AD3" w:rsidRDefault="00960503" w:rsidP="00A26E89">
      <w:pPr>
        <w:pStyle w:val="BT-EMEASMCA"/>
      </w:pPr>
      <w:r w:rsidRPr="00EF4AD3">
        <w:t xml:space="preserve">Neišmeskite šio lapelio, nes vėl gali prireikti jį perskaityti. </w:t>
      </w:r>
    </w:p>
    <w:p w:rsidR="00960503" w:rsidRPr="00EF4AD3" w:rsidRDefault="00960503" w:rsidP="00A26E89">
      <w:pPr>
        <w:pStyle w:val="BT-EMEASMCA"/>
      </w:pPr>
      <w:r w:rsidRPr="00EF4AD3">
        <w:t>Jeigu kiltų daugiau klausimų, kreipkitės į gydytoją arba vaistininką.</w:t>
      </w:r>
    </w:p>
    <w:p w:rsidR="00960503" w:rsidRPr="00EF4AD3" w:rsidRDefault="00960503" w:rsidP="00960503">
      <w:pPr>
        <w:tabs>
          <w:tab w:val="num" w:pos="567"/>
        </w:tabs>
        <w:ind w:left="567" w:right="-2" w:hanging="567"/>
        <w:rPr>
          <w:szCs w:val="22"/>
        </w:rPr>
      </w:pPr>
      <w:r w:rsidRPr="00EF4AD3">
        <w:rPr>
          <w:szCs w:val="22"/>
        </w:rPr>
        <w:t>-</w:t>
      </w:r>
      <w:r w:rsidRPr="00EF4AD3">
        <w:rPr>
          <w:szCs w:val="22"/>
        </w:rPr>
        <w:tab/>
      </w:r>
      <w:r w:rsidRPr="00EF4AD3">
        <w:rPr>
          <w:noProof/>
          <w:szCs w:val="22"/>
        </w:rPr>
        <w:t>Šis vaistas skirtas tik Jums, todėl kitiems žmonėms jo duoti negalima.</w:t>
      </w:r>
      <w:r w:rsidRPr="00EF4AD3">
        <w:rPr>
          <w:szCs w:val="22"/>
        </w:rPr>
        <w:t xml:space="preserve"> </w:t>
      </w:r>
      <w:r w:rsidRPr="00EF4AD3">
        <w:rPr>
          <w:noProof/>
          <w:szCs w:val="22"/>
        </w:rPr>
        <w:t>Vaistas gali jiems pakenkti (net tiems, kurių ligos požymiai yra tokie patys kaip Jūsų).</w:t>
      </w:r>
    </w:p>
    <w:p w:rsidR="00960503" w:rsidRPr="00EF4AD3" w:rsidRDefault="00960503" w:rsidP="00A26E89">
      <w:pPr>
        <w:pStyle w:val="BT-EMEASMCA"/>
      </w:pPr>
      <w:r w:rsidRPr="00EF4AD3">
        <w:t>Jeigu pasireiškė šalutinis poveikis (net jeigu jis šiame lapelyje nenurodytas), kreipkitės į gydytoją arba vaistininką. Žr. 4 skyrių.</w:t>
      </w:r>
    </w:p>
    <w:p w:rsidR="00960503" w:rsidRPr="00EF4AD3" w:rsidRDefault="00960503" w:rsidP="005717F4">
      <w:pPr>
        <w:pStyle w:val="BTEMEASMCA"/>
      </w:pPr>
    </w:p>
    <w:p w:rsidR="00960503" w:rsidRPr="00EF4AD3" w:rsidRDefault="00960503" w:rsidP="005717F4">
      <w:pPr>
        <w:pStyle w:val="BTbEMEASMCA"/>
      </w:pPr>
      <w:r w:rsidRPr="00EF4AD3">
        <w:t>Apie ką rašoma šiame lapelyje?</w:t>
      </w:r>
    </w:p>
    <w:p w:rsidR="00960503" w:rsidRPr="00EF4AD3" w:rsidRDefault="00960503" w:rsidP="005717F4">
      <w:pPr>
        <w:pStyle w:val="BTbEMEASMCA"/>
      </w:pPr>
    </w:p>
    <w:p w:rsidR="00960503" w:rsidRPr="00EF4AD3" w:rsidRDefault="00960503" w:rsidP="005717F4">
      <w:pPr>
        <w:pStyle w:val="BTEMEASMCA"/>
      </w:pPr>
      <w:r w:rsidRPr="00EF4AD3">
        <w:t>1.</w:t>
      </w:r>
      <w:r w:rsidRPr="00EF4AD3">
        <w:tab/>
        <w:t>Kas yra EMB-Fatol ir kam jis vartojamas</w:t>
      </w:r>
    </w:p>
    <w:p w:rsidR="00960503" w:rsidRPr="00EF4AD3" w:rsidRDefault="00960503" w:rsidP="005717F4">
      <w:pPr>
        <w:pStyle w:val="BTEMEASMCA"/>
      </w:pPr>
      <w:r w:rsidRPr="00EF4AD3">
        <w:t>2.</w:t>
      </w:r>
      <w:r w:rsidRPr="00EF4AD3">
        <w:tab/>
        <w:t>Kas žinotina prieš vartojant EMB-Fatol</w:t>
      </w:r>
    </w:p>
    <w:p w:rsidR="00960503" w:rsidRPr="00EF4AD3" w:rsidRDefault="00960503" w:rsidP="005717F4">
      <w:pPr>
        <w:pStyle w:val="BTEMEASMCA"/>
      </w:pPr>
      <w:r w:rsidRPr="00EF4AD3">
        <w:t>3.</w:t>
      </w:r>
      <w:r w:rsidRPr="00EF4AD3">
        <w:tab/>
        <w:t>Kaip vartoti EMB-Fatol</w:t>
      </w:r>
    </w:p>
    <w:p w:rsidR="00960503" w:rsidRPr="00EF4AD3" w:rsidRDefault="00960503" w:rsidP="005717F4">
      <w:pPr>
        <w:pStyle w:val="BTEMEASMCA"/>
      </w:pPr>
      <w:r w:rsidRPr="00EF4AD3">
        <w:t>4.</w:t>
      </w:r>
      <w:r w:rsidRPr="00EF4AD3">
        <w:tab/>
        <w:t>Galimas šalutinis poveikis</w:t>
      </w:r>
    </w:p>
    <w:p w:rsidR="00960503" w:rsidRPr="00EF4AD3" w:rsidRDefault="00960503" w:rsidP="005717F4">
      <w:pPr>
        <w:pStyle w:val="BTEMEASMCA"/>
      </w:pPr>
      <w:r w:rsidRPr="00EF4AD3">
        <w:t>5.</w:t>
      </w:r>
      <w:r w:rsidRPr="00EF4AD3">
        <w:tab/>
        <w:t>Kaip laikyti EMB-Fatol</w:t>
      </w:r>
    </w:p>
    <w:p w:rsidR="00960503" w:rsidRPr="00EF4AD3" w:rsidRDefault="00960503" w:rsidP="005717F4">
      <w:pPr>
        <w:pStyle w:val="BTEMEASMCA"/>
      </w:pPr>
      <w:r w:rsidRPr="00EF4AD3">
        <w:t>6.</w:t>
      </w:r>
      <w:r w:rsidRPr="00EF4AD3">
        <w:tab/>
        <w:t>Pakuotės turinys ir kita informacija</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EMEASMCA"/>
      </w:pPr>
      <w:r w:rsidRPr="00EF4AD3">
        <w:t>1.</w:t>
      </w:r>
      <w:r w:rsidRPr="00EF4AD3">
        <w:tab/>
        <w:t>Kas yra EMB-Fatol ir kam jis vartojamas</w:t>
      </w:r>
    </w:p>
    <w:p w:rsidR="00960503" w:rsidRPr="00EF4AD3" w:rsidRDefault="00960503" w:rsidP="005717F4">
      <w:pPr>
        <w:pStyle w:val="BTEMEASMCA"/>
      </w:pPr>
    </w:p>
    <w:p w:rsidR="00960503" w:rsidRPr="00EF4AD3" w:rsidRDefault="00960503" w:rsidP="00960503">
      <w:pPr>
        <w:jc w:val="both"/>
        <w:rPr>
          <w:szCs w:val="22"/>
        </w:rPr>
      </w:pPr>
      <w:r w:rsidRPr="00EF4AD3">
        <w:rPr>
          <w:szCs w:val="22"/>
        </w:rPr>
        <w:t>EMB-Fatol 400 mg plėvele dengtos tabletės yra vaistas tuberkuliozei gydyti.</w:t>
      </w:r>
    </w:p>
    <w:p w:rsidR="00960503" w:rsidRPr="00EF4AD3" w:rsidRDefault="00960503" w:rsidP="00960503">
      <w:pPr>
        <w:jc w:val="both"/>
        <w:rPr>
          <w:szCs w:val="22"/>
        </w:rPr>
      </w:pPr>
    </w:p>
    <w:p w:rsidR="00960503" w:rsidRPr="00EF4AD3" w:rsidRDefault="00960503" w:rsidP="00960503">
      <w:pPr>
        <w:jc w:val="both"/>
        <w:rPr>
          <w:szCs w:val="22"/>
        </w:rPr>
      </w:pPr>
      <w:r w:rsidRPr="00EF4AD3">
        <w:rPr>
          <w:szCs w:val="22"/>
        </w:rPr>
        <w:t>EMB-Fatol skirtas suaugusiųjų, paauglių ir vyresnių nei 6 metų vaikų gydymui.</w:t>
      </w:r>
    </w:p>
    <w:p w:rsidR="00960503" w:rsidRPr="00EF4AD3" w:rsidRDefault="00960503" w:rsidP="00960503">
      <w:pPr>
        <w:jc w:val="both"/>
        <w:rPr>
          <w:szCs w:val="22"/>
        </w:rPr>
      </w:pPr>
    </w:p>
    <w:p w:rsidR="00960503" w:rsidRPr="00EF4AD3" w:rsidRDefault="00960503" w:rsidP="00960503">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Visų stadijų ir formų tuberkuliozės, sukeltos etambutoliui jautrių tuberkuliozės arba atipinių mikobakterijų, gydymas, derinant su kitais vaistais nuo tuberkuliozės.</w:t>
      </w:r>
    </w:p>
    <w:p w:rsidR="00960503" w:rsidRPr="00EF4AD3" w:rsidRDefault="00960503" w:rsidP="00960503">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960503" w:rsidRPr="00EF4AD3" w:rsidRDefault="00960503" w:rsidP="00960503">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960503" w:rsidRPr="00EF4AD3" w:rsidRDefault="00960503" w:rsidP="00960503">
      <w:pPr>
        <w:pStyle w:val="PI-1EMEASMCA"/>
      </w:pPr>
      <w:r w:rsidRPr="00EF4AD3">
        <w:t>2.</w:t>
      </w:r>
      <w:r w:rsidRPr="00EF4AD3">
        <w:tab/>
        <w:t>Kas žinotina prieš vartojant EMB-Fatol</w:t>
      </w:r>
    </w:p>
    <w:p w:rsidR="00960503" w:rsidRPr="00EF4AD3" w:rsidRDefault="00960503" w:rsidP="005717F4">
      <w:pPr>
        <w:pStyle w:val="BTEMEASMCA"/>
      </w:pPr>
    </w:p>
    <w:p w:rsidR="00960503" w:rsidRPr="002A47A7" w:rsidRDefault="00960503" w:rsidP="00960503">
      <w:pPr>
        <w:pStyle w:val="PI-3EMEASMCA"/>
        <w:rPr>
          <w:b/>
        </w:rPr>
      </w:pPr>
      <w:r w:rsidRPr="002A47A7">
        <w:rPr>
          <w:b/>
        </w:rPr>
        <w:t xml:space="preserve">EMB-Fatol vartoti </w:t>
      </w:r>
      <w:r w:rsidR="00FC7D91">
        <w:rPr>
          <w:b/>
        </w:rPr>
        <w:t>draudžiama</w:t>
      </w:r>
      <w:r w:rsidRPr="002A47A7">
        <w:rPr>
          <w:b/>
        </w:rPr>
        <w:t>:</w:t>
      </w:r>
    </w:p>
    <w:p w:rsidR="00960503" w:rsidRPr="00EF4AD3" w:rsidRDefault="00960503" w:rsidP="00A26E89">
      <w:pPr>
        <w:pStyle w:val="BT-EMEASMCA"/>
      </w:pPr>
      <w:r w:rsidRPr="00EF4AD3">
        <w:t>jeigu yra alergija etambutoliui arba bet kuriai pagalbinei šio vaisto medžiagai (jos išvardytos 6 skyriuje);</w:t>
      </w:r>
    </w:p>
    <w:p w:rsidR="00960503" w:rsidRPr="00EF4AD3" w:rsidRDefault="00960503" w:rsidP="00A26E89">
      <w:pPr>
        <w:pStyle w:val="BT-EMEASMCA"/>
      </w:pPr>
      <w:r w:rsidRPr="00EF4AD3">
        <w:t>jeigu yra regos nervo pakenkimas (žr. 2 skyrių „Įspėjimai ir atsargumo priemonės“);</w:t>
      </w:r>
    </w:p>
    <w:p w:rsidR="00960503" w:rsidRPr="00EF4AD3" w:rsidRDefault="00960503" w:rsidP="00A26E89">
      <w:pPr>
        <w:pStyle w:val="BT-EMEASMCA"/>
      </w:pPr>
      <w:r w:rsidRPr="00EF4AD3">
        <w:t>jeigu yra kitoks regos sutrikimas (pvz., diabetinė retinopatija);</w:t>
      </w:r>
    </w:p>
    <w:p w:rsidR="00960503" w:rsidRPr="00EF4AD3" w:rsidRDefault="00960503" w:rsidP="00A26E89">
      <w:pPr>
        <w:pStyle w:val="BT-EMEASMCA"/>
      </w:pPr>
      <w:r w:rsidRPr="00EF4AD3">
        <w:t>jeigu Jūsų akys pažeistos ir negalima atlikti regėjimo aštrumo tyrimo;</w:t>
      </w:r>
    </w:p>
    <w:p w:rsidR="00A26E89" w:rsidRDefault="00960503" w:rsidP="00A26E89">
      <w:pPr>
        <w:pStyle w:val="BT-EMEASMCA"/>
      </w:pPr>
      <w:r w:rsidRPr="00EF4AD3">
        <w:t>jaunesniems nei 6 metų vaikams ir pacientams, kuriems dėl kitų priežasčių negalima atlikti regėjimo aštrumo tyrimo</w:t>
      </w:r>
      <w:r w:rsidR="00A26E89">
        <w:t>;</w:t>
      </w:r>
    </w:p>
    <w:p w:rsidR="00960503" w:rsidRPr="00EF4AD3" w:rsidRDefault="00A26E89" w:rsidP="00A26E89">
      <w:pPr>
        <w:pStyle w:val="BT-EMEASMCA"/>
      </w:pPr>
      <w:r>
        <w:t>j</w:t>
      </w:r>
      <w:r w:rsidRPr="00A26E89">
        <w:t>eigu pavartojus etambutolio Jums kada nors pasireiškė sunkus odos bėrimas arba odos lupimasis, pūslių susidarymas ir (arba) burnos opos</w:t>
      </w:r>
      <w:r w:rsidR="00960503" w:rsidRPr="00EF4AD3">
        <w:t>.</w:t>
      </w:r>
    </w:p>
    <w:p w:rsidR="00960503" w:rsidRPr="00EF4AD3" w:rsidRDefault="00960503" w:rsidP="005717F4">
      <w:pPr>
        <w:pStyle w:val="BTEMEASMCA"/>
      </w:pPr>
    </w:p>
    <w:p w:rsidR="00960503" w:rsidRPr="002A47A7" w:rsidRDefault="00960503" w:rsidP="00960503">
      <w:pPr>
        <w:pStyle w:val="PI-3EMEASMCA"/>
        <w:rPr>
          <w:b/>
        </w:rPr>
      </w:pPr>
      <w:r w:rsidRPr="002A47A7">
        <w:rPr>
          <w:b/>
        </w:rPr>
        <w:t>Įspėjimai ir atsargumo priemonės</w:t>
      </w:r>
    </w:p>
    <w:p w:rsidR="00960503" w:rsidRPr="00EF4AD3" w:rsidRDefault="00960503" w:rsidP="00960503">
      <w:pPr>
        <w:rPr>
          <w:szCs w:val="22"/>
        </w:rPr>
      </w:pPr>
      <w:r w:rsidRPr="00EF4AD3">
        <w:rPr>
          <w:szCs w:val="22"/>
        </w:rPr>
        <w:t>Pasitarkite su gydytoju arba vaistininku, prieš pradėdami vartoti EMB-Fatol.</w:t>
      </w:r>
    </w:p>
    <w:p w:rsidR="00960503" w:rsidRPr="00EF4AD3" w:rsidRDefault="00960503" w:rsidP="00960503">
      <w:pPr>
        <w:pStyle w:val="PI-3EMEASMCA"/>
      </w:pPr>
    </w:p>
    <w:p w:rsidR="00960503" w:rsidRPr="00EF4AD3" w:rsidRDefault="00960503" w:rsidP="00A26E89">
      <w:pPr>
        <w:pStyle w:val="BT-EMEASMCA"/>
      </w:pPr>
      <w:r w:rsidRPr="00EF4AD3">
        <w:t xml:space="preserve">Svarbiausias etambutolio šalutinis poveikis yra regos nervo pakenkimas (žr. 4 skyrių), kuris pasireiškia spalviniu aklumu (raudonos-žalios aklumas), susilpnėjusiu regėjimu, centrine skotoma (akies regėjimo lauko formos sutrikimas) arba periferinio akipločio ploto sumažėjimu. Prieš pradedant gydymą ir kas 4 savaites gydymo metu okulistas turi atlikti tyrimus (regėjimo aštrumo tyrimą), o pacientams su inkstų funkcijos nepakankamumu šis tyrimas turi būti atliekamas dar dažniau. Pacientus reikia įspėti apie regėjimo sutrikimo pavojų, įtikinti, kad būtina rūpintis regėjimu, pvz., skaitant laikraštį ir pan. ir, pasireiškus regėjimo pokyčiams, </w:t>
      </w:r>
      <w:r w:rsidRPr="00EF4AD3">
        <w:lastRenderedPageBreak/>
        <w:t>pranešti gydytojui. Siekiant išvengti negįžtamo pažeidimo, tokiais atvejais reikia nedelsiant nutraukti EMB-Fatol vartojimą.</w:t>
      </w:r>
    </w:p>
    <w:p w:rsidR="00960503" w:rsidRPr="00EF4AD3" w:rsidRDefault="00960503" w:rsidP="00A26E89">
      <w:pPr>
        <w:pStyle w:val="BT-EMEASMCA"/>
      </w:pPr>
      <w:r w:rsidRPr="00EF4AD3">
        <w:t>Jeigu Jums sutrikusi inkstų funkcija reikia sumažinti dozę (žr. 3 skyrių). Esant sunkiam inkstų funkcijos sutrikimui (glomerulų filtracijos greitis mažesnis nei 15 ml/min), reikia koreguoti dozę atsižvelgiant į etambutolio koncentraciją kraujo plazmoje (žr. 3 skyrių);</w:t>
      </w:r>
    </w:p>
    <w:p w:rsidR="00960503" w:rsidRDefault="00960503" w:rsidP="00A26E89">
      <w:pPr>
        <w:pStyle w:val="BT-EMEASMCA"/>
      </w:pPr>
      <w:r w:rsidRPr="00EF4AD3">
        <w:t>vaistas turi būti atsargiai skiriamas pacientams, sergantiems hiperurikemija (šlapimo rūgšties padaugėjimas kraujyje) ir (arba) podagra.</w:t>
      </w:r>
    </w:p>
    <w:p w:rsidR="00A26E89" w:rsidRPr="00EF4AD3" w:rsidRDefault="00A26E89" w:rsidP="00103E28">
      <w:pPr>
        <w:pStyle w:val="BT-EMEASMCA"/>
        <w:numPr>
          <w:ilvl w:val="0"/>
          <w:numId w:val="9"/>
        </w:numPr>
        <w:ind w:left="567" w:hanging="567"/>
      </w:pPr>
      <w:r>
        <w:t xml:space="preserve">Taikant gydymą </w:t>
      </w:r>
      <w:r w:rsidRPr="00EF4AD3">
        <w:t>EMB-Fatol</w:t>
      </w:r>
      <w:r>
        <w:t>, gauta pranešimų apie sunkias nepageidaujamas odos reakcijas, įskaitant Stivenso-Džonsono sindromą (SDS)</w:t>
      </w:r>
      <w:r w:rsidR="008537DC">
        <w:t xml:space="preserve"> (vaistų sukelta </w:t>
      </w:r>
      <w:r w:rsidR="008537DC" w:rsidRPr="008537DC">
        <w:t xml:space="preserve">būklė, kurios metu </w:t>
      </w:r>
      <w:r w:rsidR="008537DC">
        <w:t xml:space="preserve">daugiausiai pažeidžiamos gleivinės, </w:t>
      </w:r>
      <w:r w:rsidR="008537DC" w:rsidRPr="008537DC">
        <w:t>odos atsiskyrimas apima &lt;10 proc. viso kūno paviršiaus</w:t>
      </w:r>
      <w:r w:rsidR="008537DC">
        <w:t>)</w:t>
      </w:r>
      <w:r>
        <w:t>, toksinę epidermio nekrolizę (TEN)</w:t>
      </w:r>
      <w:r w:rsidR="008537DC">
        <w:t xml:space="preserve"> (vaistų sukeltas sunkus šalutinis poveikis odai ir gleivinėms</w:t>
      </w:r>
      <w:r w:rsidR="008537DC" w:rsidRPr="008537DC">
        <w:t>, pasireiškianti</w:t>
      </w:r>
      <w:r w:rsidR="008537DC">
        <w:t>s</w:t>
      </w:r>
      <w:r w:rsidR="008537DC" w:rsidRPr="008537DC">
        <w:t xml:space="preserve"> karščiavimu, odos nekroze bei</w:t>
      </w:r>
      <w:r w:rsidR="008537DC">
        <w:t xml:space="preserve"> </w:t>
      </w:r>
      <w:r w:rsidR="008537DC" w:rsidRPr="008537DC">
        <w:t>epidermio</w:t>
      </w:r>
      <w:r w:rsidR="008537DC">
        <w:t xml:space="preserve"> </w:t>
      </w:r>
      <w:r w:rsidR="008537DC" w:rsidRPr="008537DC">
        <w:t>atsisluoksniavimu. TEN apima daugiau kaip 30% viso kūno paviršiaus ploto</w:t>
      </w:r>
      <w:r w:rsidR="008537DC">
        <w:t>)</w:t>
      </w:r>
      <w:r>
        <w:t xml:space="preserve"> ir reakciją į vaistą su eozinofilija ir sisteminiais simptomais (DRESS)</w:t>
      </w:r>
      <w:r w:rsidR="007F05CC">
        <w:t xml:space="preserve"> (vaistų sukelta padidėjusio jautrumo reakcija)</w:t>
      </w:r>
      <w:r>
        <w:t xml:space="preserve">. Jeigu pastebėtumėte kokių nors su šiomis sunkiomis odos reakcijomis susijusių simptomų, nurodytų 4 skyriuje, nutraukite </w:t>
      </w:r>
      <w:r w:rsidRPr="00EF4AD3">
        <w:t>EMB-Fatol</w:t>
      </w:r>
      <w:r>
        <w:t xml:space="preserve"> vartojimą ir nedelsdami kreipkitės medicininės pagalbos.</w:t>
      </w:r>
    </w:p>
    <w:p w:rsidR="00960503" w:rsidRPr="00EF4AD3" w:rsidRDefault="00960503" w:rsidP="005717F4">
      <w:pPr>
        <w:pStyle w:val="BTEMEASMCA"/>
      </w:pPr>
    </w:p>
    <w:p w:rsidR="00960503" w:rsidRPr="002A47A7" w:rsidRDefault="00960503" w:rsidP="00960503">
      <w:pPr>
        <w:pStyle w:val="PI-3EMEASMCA"/>
        <w:rPr>
          <w:b/>
        </w:rPr>
      </w:pPr>
      <w:r w:rsidRPr="002A47A7">
        <w:rPr>
          <w:b/>
        </w:rPr>
        <w:t>Kiti vaistai ir EMB-Fatol</w:t>
      </w:r>
    </w:p>
    <w:p w:rsidR="00960503" w:rsidRPr="00EF4AD3" w:rsidRDefault="00960503" w:rsidP="005717F4">
      <w:pPr>
        <w:pStyle w:val="BTEMEASMCA"/>
      </w:pPr>
      <w:r w:rsidRPr="00EF4AD3">
        <w:t>Jeigu vartojate arba neseniai vartojote kitų vaistų arba dėl to nesate tikri, pasakykite gydytojui arba vaistininkui.</w:t>
      </w:r>
    </w:p>
    <w:p w:rsidR="00960503" w:rsidRPr="00EF4AD3" w:rsidRDefault="00960503" w:rsidP="005717F4">
      <w:pPr>
        <w:pStyle w:val="BTEMEASMCA"/>
      </w:pPr>
    </w:p>
    <w:p w:rsidR="00960503" w:rsidRPr="00EF4AD3" w:rsidRDefault="00960503" w:rsidP="00960503">
      <w:pPr>
        <w:jc w:val="both"/>
        <w:rPr>
          <w:i/>
          <w:szCs w:val="22"/>
        </w:rPr>
      </w:pPr>
      <w:r w:rsidRPr="00EF4AD3">
        <w:rPr>
          <w:i/>
          <w:szCs w:val="22"/>
        </w:rPr>
        <w:t>Vaistai mažinantys EMB-Fatol veiksmingumą</w:t>
      </w:r>
    </w:p>
    <w:p w:rsidR="00960503" w:rsidRPr="00EF4AD3" w:rsidRDefault="00960503" w:rsidP="00960503">
      <w:pPr>
        <w:jc w:val="both"/>
        <w:rPr>
          <w:szCs w:val="22"/>
        </w:rPr>
      </w:pPr>
      <w:r w:rsidRPr="00EF4AD3">
        <w:rPr>
          <w:szCs w:val="22"/>
        </w:rPr>
        <w:t>Aliuminio hidroksidas ir jam panašus rūgštingumą mažinantys vaistai pavėlina ir (arba) sumažina EMB-Fatol absorbciją (pasisavinimą).</w:t>
      </w:r>
    </w:p>
    <w:p w:rsidR="00960503" w:rsidRPr="00EF4AD3" w:rsidRDefault="00960503" w:rsidP="00960503">
      <w:pPr>
        <w:pStyle w:val="Pagrindinistekstas2"/>
        <w:spacing w:after="0" w:line="240" w:lineRule="auto"/>
        <w:rPr>
          <w:szCs w:val="22"/>
        </w:rPr>
      </w:pPr>
    </w:p>
    <w:p w:rsidR="00960503" w:rsidRPr="00EF4AD3" w:rsidRDefault="00960503" w:rsidP="00960503">
      <w:pPr>
        <w:pStyle w:val="Pagrindinistekstas2"/>
        <w:spacing w:after="0" w:line="240" w:lineRule="auto"/>
        <w:rPr>
          <w:i/>
          <w:szCs w:val="22"/>
        </w:rPr>
      </w:pPr>
      <w:r w:rsidRPr="00EF4AD3">
        <w:rPr>
          <w:i/>
          <w:szCs w:val="22"/>
        </w:rPr>
        <w:t>Kitokia sąveika</w:t>
      </w:r>
    </w:p>
    <w:p w:rsidR="00960503" w:rsidRPr="00EF4AD3" w:rsidRDefault="00960503" w:rsidP="00960503">
      <w:pPr>
        <w:pStyle w:val="Pagrindinistekstas2"/>
        <w:spacing w:after="0" w:line="240" w:lineRule="auto"/>
        <w:rPr>
          <w:szCs w:val="22"/>
        </w:rPr>
      </w:pPr>
      <w:r w:rsidRPr="00EF4AD3">
        <w:rPr>
          <w:szCs w:val="22"/>
        </w:rPr>
        <w:t>Lėtiniu alkoholizmu sergantiems pacientams, vartojantiems disulfiramo, gali padidėti regėjimo sutrikimo pavojus.</w:t>
      </w:r>
    </w:p>
    <w:p w:rsidR="00960503" w:rsidRPr="00EF4AD3" w:rsidRDefault="00960503" w:rsidP="00960503">
      <w:pPr>
        <w:pStyle w:val="Pagrindinistekstas2"/>
        <w:spacing w:after="0" w:line="240" w:lineRule="auto"/>
        <w:rPr>
          <w:szCs w:val="22"/>
        </w:rPr>
      </w:pPr>
    </w:p>
    <w:p w:rsidR="00960503" w:rsidRPr="00EF4AD3" w:rsidRDefault="00960503" w:rsidP="00960503">
      <w:pPr>
        <w:pStyle w:val="Pagrindinistekstas2"/>
        <w:spacing w:after="0" w:line="240" w:lineRule="auto"/>
        <w:rPr>
          <w:i/>
          <w:szCs w:val="22"/>
        </w:rPr>
      </w:pPr>
      <w:r w:rsidRPr="00EF4AD3">
        <w:rPr>
          <w:i/>
          <w:szCs w:val="22"/>
        </w:rPr>
        <w:t>Poveikis laboratorinių tyrimų rodmenims</w:t>
      </w:r>
    </w:p>
    <w:p w:rsidR="00960503" w:rsidRPr="00EF4AD3" w:rsidRDefault="00960503" w:rsidP="00960503">
      <w:pPr>
        <w:pStyle w:val="Pagrindinistekstas2"/>
        <w:spacing w:after="0" w:line="240" w:lineRule="auto"/>
        <w:rPr>
          <w:szCs w:val="22"/>
        </w:rPr>
      </w:pPr>
      <w:r w:rsidRPr="00EF4AD3">
        <w:rPr>
          <w:szCs w:val="22"/>
        </w:rPr>
        <w:t>Vartojant etambutolio gali būti klaidingai diagnozuota feochromocitoma (antinksčių žievės navikas).</w:t>
      </w:r>
    </w:p>
    <w:p w:rsidR="00960503" w:rsidRPr="00EF4AD3" w:rsidRDefault="00960503" w:rsidP="005717F4">
      <w:pPr>
        <w:pStyle w:val="BTEMEASMCA"/>
      </w:pPr>
    </w:p>
    <w:p w:rsidR="00960503" w:rsidRPr="002A47A7" w:rsidRDefault="00960503" w:rsidP="00960503">
      <w:pPr>
        <w:pStyle w:val="PI-3EMEASMCA"/>
        <w:rPr>
          <w:b/>
        </w:rPr>
      </w:pPr>
      <w:r w:rsidRPr="002A47A7">
        <w:rPr>
          <w:b/>
        </w:rPr>
        <w:t>Nėštumas ir žindymo laikotarpis</w:t>
      </w:r>
    </w:p>
    <w:p w:rsidR="00960503" w:rsidRPr="00EF4AD3" w:rsidRDefault="00960503" w:rsidP="005717F4">
      <w:pPr>
        <w:pStyle w:val="BTEMEASMCA"/>
      </w:pPr>
      <w:r w:rsidRPr="00EF4AD3">
        <w:t>Jeigu esate nėščia, žindote kūdikį, manote, kad galbūt esate nėščia, arba planuojate pastoti, tai prieš vartodama šį vaistą, pasitarkite su gydytoju arba vaistininku.</w:t>
      </w:r>
    </w:p>
    <w:p w:rsidR="00960503" w:rsidRPr="00EF4AD3" w:rsidRDefault="00960503" w:rsidP="005717F4">
      <w:pPr>
        <w:pStyle w:val="BTEMEASMCA"/>
      </w:pPr>
    </w:p>
    <w:p w:rsidR="00960503" w:rsidRPr="002A47A7" w:rsidRDefault="00960503" w:rsidP="005717F4">
      <w:pPr>
        <w:pStyle w:val="BTEMEASMCA"/>
        <w:rPr>
          <w:u w:val="single"/>
        </w:rPr>
      </w:pPr>
      <w:r w:rsidRPr="002A47A7">
        <w:rPr>
          <w:u w:val="single"/>
        </w:rPr>
        <w:t>Nėštumas</w:t>
      </w:r>
    </w:p>
    <w:p w:rsidR="00960503" w:rsidRPr="00EF4AD3" w:rsidRDefault="00960503" w:rsidP="005717F4">
      <w:pPr>
        <w:pStyle w:val="BTEMEASMCA"/>
      </w:pPr>
      <w:r w:rsidRPr="00EF4AD3">
        <w:t>Nėštumo ir žindymo laikotarpiu etmabutolio Jums bus paskirta tik kruopščiai įvertinus naudos ir rizikos santykį.</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Etambutolis pereina placentos barjerą. Remiantis turimais duomenimis, gautais iš nedidelio nėščiųjų skaičiaus, nėštumo metu</w:t>
      </w:r>
      <w:r w:rsidRPr="00EF4AD3" w:rsidDel="000346F2">
        <w:rPr>
          <w:spacing w:val="-3"/>
          <w:szCs w:val="22"/>
        </w:rPr>
        <w:t xml:space="preserve"> </w:t>
      </w:r>
      <w:r w:rsidRPr="00EF4AD3">
        <w:rPr>
          <w:spacing w:val="-3"/>
          <w:szCs w:val="22"/>
        </w:rPr>
        <w:t>vartojant terapines etambutolio dozes žalingo poveikio vaisiui ar naujagimiui pastebėta nebuvo.</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u w:val="single"/>
        </w:rPr>
      </w:pPr>
      <w:r w:rsidRPr="00EF4AD3">
        <w:rPr>
          <w:spacing w:val="-3"/>
          <w:szCs w:val="22"/>
          <w:u w:val="single"/>
        </w:rPr>
        <w:t>Žindymo laikotarpis</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Žindymo laikotarpiu etambutolio galima vartoti tik išsamiai apsvarsčius galimą naudą ir pavojus.</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EF4AD3">
        <w:rPr>
          <w:spacing w:val="-3"/>
          <w:szCs w:val="22"/>
        </w:rPr>
        <w:t>Vaistas patenka į motinos pieną, jame vaisto koncentracija tokia pati, kaip ir motinos kraujyje.</w:t>
      </w:r>
    </w:p>
    <w:p w:rsidR="00960503" w:rsidRPr="00EF4AD3" w:rsidRDefault="00960503" w:rsidP="005717F4">
      <w:pPr>
        <w:pStyle w:val="BTEMEASMCA"/>
      </w:pPr>
    </w:p>
    <w:p w:rsidR="00960503" w:rsidRPr="002A47A7" w:rsidRDefault="00960503" w:rsidP="005717F4">
      <w:pPr>
        <w:pStyle w:val="BTEMEASMCA"/>
        <w:rPr>
          <w:u w:val="single"/>
        </w:rPr>
      </w:pPr>
      <w:r w:rsidRPr="002A47A7">
        <w:rPr>
          <w:u w:val="single"/>
        </w:rPr>
        <w:t>Vaisingumas</w:t>
      </w:r>
    </w:p>
    <w:p w:rsidR="00960503" w:rsidRPr="00EF4AD3" w:rsidRDefault="00960503" w:rsidP="005717F4">
      <w:pPr>
        <w:pStyle w:val="BTEMEASMCA"/>
      </w:pPr>
      <w:r w:rsidRPr="00EF4AD3">
        <w:t>Duomenų apie EMB-Fatol poveikį žmonių vaisingumui nėra.</w:t>
      </w:r>
    </w:p>
    <w:p w:rsidR="00960503" w:rsidRPr="00EF4AD3" w:rsidRDefault="00960503" w:rsidP="005717F4">
      <w:pPr>
        <w:pStyle w:val="BTEMEASMCA"/>
      </w:pPr>
      <w:r w:rsidRPr="00EF4AD3">
        <w:t>Prieš bet kokio vaisto vartojimą pasitarkite su gydytoju arba vaistininku.</w:t>
      </w:r>
    </w:p>
    <w:p w:rsidR="00960503" w:rsidRPr="00EF4AD3" w:rsidRDefault="00960503" w:rsidP="005717F4">
      <w:pPr>
        <w:pStyle w:val="BTEMEASMCA"/>
      </w:pPr>
    </w:p>
    <w:p w:rsidR="00960503" w:rsidRPr="002A47A7" w:rsidRDefault="00960503" w:rsidP="00960503">
      <w:pPr>
        <w:pStyle w:val="PI-3EMEASMCA"/>
        <w:rPr>
          <w:b/>
        </w:rPr>
      </w:pPr>
      <w:r w:rsidRPr="002A47A7">
        <w:rPr>
          <w:b/>
        </w:rPr>
        <w:t>Vairavimas ir mechanizmų valdymas</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EF4AD3">
        <w:rPr>
          <w:szCs w:val="22"/>
        </w:rPr>
        <w:t>Net ir vartojant įprastomis dozėmis, etambutolis gali pakeisti reakcijos laiką taip, kad pablogėja gebėjimas vairuoti ir valdyti mechanizmus. Esamas su etambutolio vartojimu susijęs regėjimo sutrikimas veikia gebėjimą vairuoti ir valdyti mechanizmus.</w:t>
      </w:r>
    </w:p>
    <w:p w:rsidR="00960503" w:rsidRPr="00EF4AD3" w:rsidRDefault="00960503" w:rsidP="005717F4">
      <w:pPr>
        <w:pStyle w:val="BTEMEASMCA"/>
      </w:pPr>
    </w:p>
    <w:p w:rsidR="00960503" w:rsidRPr="002A47A7" w:rsidRDefault="00960503" w:rsidP="00960503">
      <w:pPr>
        <w:pStyle w:val="PI-3EMEASMCA"/>
        <w:rPr>
          <w:b/>
        </w:rPr>
      </w:pPr>
      <w:r w:rsidRPr="002A47A7">
        <w:rPr>
          <w:b/>
        </w:rPr>
        <w:lastRenderedPageBreak/>
        <w:t>EMB-Fatol sudėtyje yra laktozės</w:t>
      </w:r>
    </w:p>
    <w:p w:rsidR="00960503" w:rsidRPr="00EF4AD3" w:rsidRDefault="00960503" w:rsidP="005717F4">
      <w:pPr>
        <w:pStyle w:val="BTEMEASMCA"/>
      </w:pPr>
      <w:r w:rsidRPr="00EF4AD3">
        <w:t>Jeigu gydytojas Jums yra sakęs, kad netoleruojate kokių nors angliavandenių, kreipkitės į jį prieš pradėdami vartoti šį vaistą.</w:t>
      </w:r>
    </w:p>
    <w:p w:rsidR="00960503" w:rsidRPr="00EF4AD3" w:rsidRDefault="00960503" w:rsidP="005717F4">
      <w:pPr>
        <w:pStyle w:val="BTEMEASMCA"/>
      </w:pPr>
    </w:p>
    <w:p w:rsidR="00960503" w:rsidRPr="002A47A7" w:rsidRDefault="00960503" w:rsidP="005717F4">
      <w:pPr>
        <w:pStyle w:val="BTEMEASMCA"/>
        <w:rPr>
          <w:b/>
        </w:rPr>
      </w:pPr>
      <w:r w:rsidRPr="002A47A7">
        <w:rPr>
          <w:b/>
        </w:rPr>
        <w:t>EMB-Fatol sudėtyje yra natrio</w:t>
      </w:r>
    </w:p>
    <w:p w:rsidR="00960503" w:rsidRPr="00EF4AD3" w:rsidRDefault="00960503" w:rsidP="005717F4">
      <w:pPr>
        <w:pStyle w:val="BTEMEASMCA"/>
      </w:pPr>
      <w:r w:rsidRPr="00EF4AD3">
        <w:t>EMB-Fatol tabletėje yra 0,48 mmol (arba 11,2 mg) natrio. Būtina atsižvelgti, jei kontroliuojamas natrio kiekis maiste.</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EMEASMCA"/>
      </w:pPr>
      <w:r w:rsidRPr="00EF4AD3">
        <w:t>3.</w:t>
      </w:r>
      <w:r w:rsidRPr="00EF4AD3">
        <w:tab/>
        <w:t>Kaip vartoti EMB-Fatol</w:t>
      </w:r>
    </w:p>
    <w:p w:rsidR="00960503" w:rsidRPr="00EF4AD3" w:rsidRDefault="00960503" w:rsidP="005717F4">
      <w:pPr>
        <w:pStyle w:val="BTEMEASMCA"/>
      </w:pPr>
    </w:p>
    <w:p w:rsidR="00960503" w:rsidRPr="00EF4AD3" w:rsidRDefault="00960503" w:rsidP="005717F4">
      <w:pPr>
        <w:pStyle w:val="BTEMEASMCA"/>
      </w:pPr>
      <w:r w:rsidRPr="00EF4AD3">
        <w:t>Visada vartokite šį vaistą tiksliai kaip nurodė gydytojas. Jeigu abejojate, kreipkitės į gydytoją arba vaistininką.</w:t>
      </w:r>
    </w:p>
    <w:p w:rsidR="00960503" w:rsidRPr="00EF4AD3" w:rsidRDefault="00960503" w:rsidP="005717F4">
      <w:pPr>
        <w:pStyle w:val="BTEMEASMCA"/>
      </w:pPr>
    </w:p>
    <w:p w:rsidR="00960503" w:rsidRPr="00EF4AD3" w:rsidRDefault="00960503" w:rsidP="00960503">
      <w:pPr>
        <w:pStyle w:val="Pagrindinistekstas"/>
        <w:rPr>
          <w:sz w:val="22"/>
          <w:szCs w:val="22"/>
        </w:rPr>
      </w:pPr>
      <w:r w:rsidRPr="00EF4AD3">
        <w:rPr>
          <w:sz w:val="22"/>
          <w:szCs w:val="22"/>
        </w:rPr>
        <w:t>Etambutolis yra vienas iš standartinio tuberkuliozės gydymo medikamentų, visada vartojamas tik gydymui kombinacijoje su kitais vaistais.</w:t>
      </w:r>
    </w:p>
    <w:p w:rsidR="00960503" w:rsidRPr="00EF4AD3" w:rsidRDefault="00960503" w:rsidP="00960503">
      <w:pPr>
        <w:pStyle w:val="Pagrindinistekstas"/>
        <w:rPr>
          <w:sz w:val="22"/>
          <w:szCs w:val="22"/>
        </w:rPr>
      </w:pPr>
    </w:p>
    <w:p w:rsidR="00960503" w:rsidRPr="00EF4AD3" w:rsidRDefault="00960503" w:rsidP="00960503">
      <w:pPr>
        <w:pStyle w:val="Pagrindinistekstas"/>
        <w:rPr>
          <w:sz w:val="22"/>
          <w:szCs w:val="22"/>
        </w:rPr>
      </w:pPr>
      <w:r w:rsidRPr="00EF4AD3">
        <w:rPr>
          <w:sz w:val="22"/>
          <w:szCs w:val="22"/>
        </w:rPr>
        <w:t>Tuberkuliozės gydymo schemos ir kitų kartu vartojamų vaistų pasirinkimas priklauso nuo vietinės atsparumo gydymui situacijos, nuo konkretaus išskirto iš paciento sukėlėjo atsparumo ir tinkamumo pacientui.</w:t>
      </w:r>
    </w:p>
    <w:p w:rsidR="00960503" w:rsidRPr="00EF4AD3" w:rsidRDefault="00960503" w:rsidP="00960503">
      <w:pPr>
        <w:pStyle w:val="Pagrindinistekstas"/>
        <w:rPr>
          <w:sz w:val="22"/>
          <w:szCs w:val="22"/>
        </w:rPr>
      </w:pPr>
    </w:p>
    <w:p w:rsidR="00960503" w:rsidRPr="00EF4AD3" w:rsidRDefault="00960503" w:rsidP="00960503">
      <w:pPr>
        <w:pStyle w:val="Pagrindinistekstas"/>
        <w:rPr>
          <w:b/>
          <w:sz w:val="22"/>
          <w:szCs w:val="22"/>
        </w:rPr>
      </w:pPr>
      <w:r w:rsidRPr="00EF4AD3">
        <w:rPr>
          <w:b/>
          <w:sz w:val="22"/>
          <w:szCs w:val="22"/>
        </w:rPr>
        <w:t>Standartinis tuberkuliozės gydymas</w:t>
      </w:r>
    </w:p>
    <w:p w:rsidR="00960503" w:rsidRPr="00EF4AD3" w:rsidRDefault="00960503" w:rsidP="00960503">
      <w:pPr>
        <w:pStyle w:val="Pagrindinistekstas"/>
        <w:rPr>
          <w:sz w:val="22"/>
          <w:szCs w:val="22"/>
        </w:rPr>
      </w:pPr>
      <w:r w:rsidRPr="00EF4AD3">
        <w:rPr>
          <w:sz w:val="22"/>
          <w:szCs w:val="22"/>
        </w:rPr>
        <w:t>Etambutolis kartu su izoniazidu, rifampicinu ir pirazinamidu yra vartojamas pradinėje 2 mėnesių trukmės standartinio tuberkuliozės gydymo fazėje, po jos prasideda 4 mėnesių trukmės gydymo tęsimo fazė, kurios metu vartojamas izoniazidas ir rifampicinas.</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i/>
          <w:sz w:val="22"/>
          <w:szCs w:val="22"/>
        </w:rPr>
      </w:pPr>
      <w:r w:rsidRPr="00EF4AD3">
        <w:rPr>
          <w:i/>
          <w:sz w:val="22"/>
          <w:szCs w:val="22"/>
        </w:rPr>
        <w:t>Pertraukiamasis tuberkuliozės gydymas</w:t>
      </w:r>
    </w:p>
    <w:p w:rsidR="00960503" w:rsidRPr="00EF4AD3" w:rsidRDefault="00960503" w:rsidP="00960503">
      <w:pPr>
        <w:pStyle w:val="Pagrindinistekstas"/>
        <w:jc w:val="left"/>
        <w:rPr>
          <w:sz w:val="22"/>
          <w:szCs w:val="22"/>
        </w:rPr>
      </w:pPr>
      <w:r w:rsidRPr="00EF4AD3">
        <w:rPr>
          <w:sz w:val="22"/>
          <w:szCs w:val="22"/>
        </w:rPr>
        <w:t>Etambutolis gali būti skiriamas pertraukiamajam gydymui.</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b/>
          <w:sz w:val="22"/>
          <w:szCs w:val="22"/>
        </w:rPr>
      </w:pPr>
      <w:r w:rsidRPr="00EF4AD3">
        <w:rPr>
          <w:b/>
          <w:sz w:val="22"/>
          <w:szCs w:val="22"/>
        </w:rPr>
        <w:t>Vartojimo metodas ir gydymo trukmė</w:t>
      </w:r>
    </w:p>
    <w:p w:rsidR="00960503" w:rsidRPr="00EF4AD3" w:rsidRDefault="00960503" w:rsidP="00960503">
      <w:pPr>
        <w:pStyle w:val="Pagrindinistekstas"/>
        <w:jc w:val="left"/>
        <w:rPr>
          <w:i/>
          <w:sz w:val="22"/>
          <w:szCs w:val="22"/>
        </w:rPr>
      </w:pPr>
      <w:r w:rsidRPr="00EF4AD3">
        <w:rPr>
          <w:i/>
          <w:sz w:val="22"/>
          <w:szCs w:val="22"/>
        </w:rPr>
        <w:t>Vartojimo metodas</w:t>
      </w:r>
    </w:p>
    <w:p w:rsidR="00960503" w:rsidRPr="00EF4AD3" w:rsidRDefault="00960503" w:rsidP="00960503">
      <w:pPr>
        <w:pStyle w:val="Pagrindinistekstas"/>
        <w:jc w:val="left"/>
        <w:rPr>
          <w:sz w:val="22"/>
          <w:szCs w:val="22"/>
        </w:rPr>
      </w:pPr>
      <w:r w:rsidRPr="00EF4AD3">
        <w:rPr>
          <w:sz w:val="22"/>
          <w:szCs w:val="22"/>
        </w:rPr>
        <w:t>Vartojamas per burną. Paros dozę reikia išgerti ryte, esant tuščiam skrandžiui, iš karto ir kartu su kitais kombinacijos vaistais.</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i/>
          <w:sz w:val="22"/>
          <w:szCs w:val="22"/>
        </w:rPr>
      </w:pPr>
      <w:r w:rsidRPr="00EF4AD3">
        <w:rPr>
          <w:i/>
          <w:sz w:val="22"/>
          <w:szCs w:val="22"/>
        </w:rPr>
        <w:t>Gydymo trukmė</w:t>
      </w:r>
    </w:p>
    <w:p w:rsidR="00960503" w:rsidRPr="00EF4AD3" w:rsidRDefault="00960503" w:rsidP="00960503">
      <w:pPr>
        <w:pStyle w:val="Pagrindinistekstas"/>
        <w:jc w:val="left"/>
        <w:rPr>
          <w:sz w:val="22"/>
          <w:szCs w:val="22"/>
        </w:rPr>
      </w:pPr>
      <w:r w:rsidRPr="00EF4AD3">
        <w:rPr>
          <w:sz w:val="22"/>
          <w:szCs w:val="22"/>
        </w:rPr>
        <w:t>Tuberkuliozės gydymo etambutoliu trukmė dažniausiai priklauso nuo naudojamos gydymo schemos.</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sz w:val="22"/>
          <w:szCs w:val="22"/>
        </w:rPr>
      </w:pPr>
      <w:r w:rsidRPr="00EF4AD3">
        <w:rPr>
          <w:sz w:val="22"/>
          <w:szCs w:val="22"/>
        </w:rPr>
        <w:t>Standartinėje gydymo schemoje, etambutolis yra skiriamas vartoti ilgiau nei 2 mėnesius.</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b/>
          <w:sz w:val="22"/>
          <w:szCs w:val="22"/>
        </w:rPr>
      </w:pPr>
      <w:r w:rsidRPr="00EF4AD3">
        <w:rPr>
          <w:b/>
          <w:sz w:val="22"/>
          <w:szCs w:val="22"/>
        </w:rPr>
        <w:t>Įprastas dozavimas, jeigu nepaskirta kitaip</w:t>
      </w:r>
    </w:p>
    <w:p w:rsidR="00960503" w:rsidRPr="00EF4AD3" w:rsidRDefault="00960503" w:rsidP="00960503">
      <w:pPr>
        <w:pStyle w:val="Pagrindinistekstas"/>
        <w:jc w:val="left"/>
        <w:rPr>
          <w:sz w:val="22"/>
          <w:szCs w:val="22"/>
        </w:rPr>
      </w:pPr>
      <w:r w:rsidRPr="00EF4AD3">
        <w:rPr>
          <w:sz w:val="22"/>
          <w:szCs w:val="22"/>
        </w:rPr>
        <w:t>EMB-Fatol dozė priklauso nuo kūno svorio.</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i/>
          <w:sz w:val="22"/>
          <w:szCs w:val="22"/>
          <w:u w:val="single"/>
        </w:rPr>
      </w:pPr>
      <w:r w:rsidRPr="00EF4AD3">
        <w:rPr>
          <w:i/>
          <w:sz w:val="22"/>
          <w:szCs w:val="22"/>
          <w:u w:val="single"/>
        </w:rPr>
        <w:t>Suaugusieji ir vaikai, sveriantys daugiau nei 30 kg</w:t>
      </w:r>
    </w:p>
    <w:p w:rsidR="00960503" w:rsidRPr="00EF4AD3" w:rsidRDefault="00960503" w:rsidP="00960503">
      <w:pPr>
        <w:pStyle w:val="Pagrindinistekstas"/>
        <w:jc w:val="left"/>
        <w:rPr>
          <w:i/>
          <w:sz w:val="22"/>
          <w:szCs w:val="22"/>
        </w:rPr>
      </w:pPr>
      <w:r w:rsidRPr="00EF4AD3">
        <w:rPr>
          <w:i/>
          <w:sz w:val="22"/>
          <w:szCs w:val="22"/>
        </w:rPr>
        <w:t>Kiekvienos paros gydymas</w:t>
      </w:r>
    </w:p>
    <w:p w:rsidR="00960503" w:rsidRPr="00EF4AD3" w:rsidRDefault="00960503" w:rsidP="00960503">
      <w:pPr>
        <w:pStyle w:val="Pagrindinistekstas"/>
        <w:jc w:val="left"/>
        <w:rPr>
          <w:sz w:val="22"/>
          <w:szCs w:val="22"/>
        </w:rPr>
      </w:pPr>
      <w:r w:rsidRPr="00EF4AD3">
        <w:rPr>
          <w:sz w:val="22"/>
          <w:szCs w:val="22"/>
        </w:rPr>
        <w:t>15 mg/kg (15-20 mg/kg) kūno svorio</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sz w:val="22"/>
          <w:szCs w:val="22"/>
        </w:rPr>
      </w:pPr>
      <w:r w:rsidRPr="00EF4AD3">
        <w:rPr>
          <w:sz w:val="22"/>
          <w:szCs w:val="22"/>
        </w:rPr>
        <w:t>EMB-Fatol 400 mg plėvele dengtų tablečių kiekis skiriamas suaugusiųjų ir vaikų, sveriančių daugiau nei 30 kg gydymui, pagal svorio diapazonus:</w:t>
      </w:r>
    </w:p>
    <w:p w:rsidR="00960503" w:rsidRPr="00EF4AD3" w:rsidRDefault="00960503" w:rsidP="00960503">
      <w:pPr>
        <w:pStyle w:val="Pagrindinisteksta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266"/>
        <w:gridCol w:w="1276"/>
        <w:gridCol w:w="1286"/>
        <w:gridCol w:w="1286"/>
        <w:gridCol w:w="1286"/>
        <w:gridCol w:w="1294"/>
      </w:tblGrid>
      <w:tr w:rsidR="00960503" w:rsidRPr="00EF4AD3" w:rsidTr="00183DD6">
        <w:tc>
          <w:tcPr>
            <w:tcW w:w="159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tc>
        <w:tc>
          <w:tcPr>
            <w:tcW w:w="8262" w:type="dxa"/>
            <w:gridSpan w:val="6"/>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Cs w:val="22"/>
              </w:rPr>
            </w:pPr>
            <w:r w:rsidRPr="00EF4AD3">
              <w:rPr>
                <w:b/>
                <w:spacing w:val="-3"/>
                <w:szCs w:val="22"/>
              </w:rPr>
              <w:t>Svorio diapazonai, kg</w:t>
            </w:r>
          </w:p>
        </w:tc>
      </w:tr>
      <w:tr w:rsidR="00960503" w:rsidRPr="00EF4AD3" w:rsidTr="00183DD6">
        <w:tc>
          <w:tcPr>
            <w:tcW w:w="159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15 mg etambutolio/kg kilogramui kūno svorio</w:t>
            </w:r>
          </w:p>
        </w:tc>
        <w:tc>
          <w:tcPr>
            <w:tcW w:w="137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1376"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53,3</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66,6</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93,3</w:t>
            </w:r>
          </w:p>
        </w:tc>
        <w:tc>
          <w:tcPr>
            <w:tcW w:w="1380"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106,6</w:t>
            </w:r>
          </w:p>
        </w:tc>
      </w:tr>
      <w:tr w:rsidR="00960503" w:rsidRPr="00EF4AD3" w:rsidTr="00183DD6">
        <w:tc>
          <w:tcPr>
            <w:tcW w:w="159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 xml:space="preserve">20 mg etambutolio/kg kilogramui </w:t>
            </w:r>
            <w:r w:rsidRPr="00EF4AD3">
              <w:rPr>
                <w:b/>
                <w:spacing w:val="-3"/>
                <w:szCs w:val="22"/>
              </w:rPr>
              <w:lastRenderedPageBreak/>
              <w:t>kūno svorio</w:t>
            </w:r>
          </w:p>
        </w:tc>
        <w:tc>
          <w:tcPr>
            <w:tcW w:w="137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lastRenderedPageBreak/>
              <w:t>30</w:t>
            </w:r>
          </w:p>
        </w:tc>
        <w:tc>
          <w:tcPr>
            <w:tcW w:w="1376"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70</w:t>
            </w:r>
          </w:p>
        </w:tc>
        <w:tc>
          <w:tcPr>
            <w:tcW w:w="1380"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r>
      <w:tr w:rsidR="00960503" w:rsidRPr="00EF4AD3" w:rsidTr="00183DD6">
        <w:tc>
          <w:tcPr>
            <w:tcW w:w="159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Etambulio dozė, mg</w:t>
            </w:r>
          </w:p>
        </w:tc>
        <w:tc>
          <w:tcPr>
            <w:tcW w:w="137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600</w:t>
            </w:r>
          </w:p>
        </w:tc>
        <w:tc>
          <w:tcPr>
            <w:tcW w:w="1376"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1000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1200</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1400</w:t>
            </w:r>
          </w:p>
        </w:tc>
        <w:tc>
          <w:tcPr>
            <w:tcW w:w="1380"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1600</w:t>
            </w:r>
          </w:p>
        </w:tc>
      </w:tr>
      <w:tr w:rsidR="00960503" w:rsidRPr="00EF4AD3" w:rsidTr="00183DD6">
        <w:tc>
          <w:tcPr>
            <w:tcW w:w="159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EMB-Fatol 400 mg tablečių kiekis</w:t>
            </w:r>
          </w:p>
        </w:tc>
        <w:tc>
          <w:tcPr>
            <w:tcW w:w="1372"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1½</w:t>
            </w:r>
          </w:p>
        </w:tc>
        <w:tc>
          <w:tcPr>
            <w:tcW w:w="1376"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2½</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w:t>
            </w:r>
          </w:p>
        </w:tc>
        <w:tc>
          <w:tcPr>
            <w:tcW w:w="1378"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3½</w:t>
            </w:r>
          </w:p>
        </w:tc>
        <w:tc>
          <w:tcPr>
            <w:tcW w:w="1380" w:type="dxa"/>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w:t>
            </w:r>
          </w:p>
        </w:tc>
      </w:tr>
    </w:tbl>
    <w:p w:rsidR="00960503" w:rsidRPr="00EF4AD3" w:rsidRDefault="00960503" w:rsidP="00960503">
      <w:pPr>
        <w:pStyle w:val="Pagrindinistekstas"/>
        <w:rPr>
          <w:i/>
          <w:sz w:val="22"/>
          <w:szCs w:val="22"/>
        </w:rPr>
      </w:pPr>
    </w:p>
    <w:p w:rsidR="00960503" w:rsidRPr="00EF4AD3" w:rsidRDefault="00960503" w:rsidP="00960503">
      <w:pPr>
        <w:pStyle w:val="Pagrindinistekstas"/>
        <w:jc w:val="left"/>
        <w:rPr>
          <w:i/>
          <w:sz w:val="22"/>
          <w:szCs w:val="22"/>
        </w:rPr>
      </w:pPr>
      <w:r w:rsidRPr="00EF4AD3">
        <w:rPr>
          <w:i/>
          <w:sz w:val="22"/>
          <w:szCs w:val="22"/>
        </w:rPr>
        <w:t>Pertraukiamasis gydymas</w:t>
      </w:r>
    </w:p>
    <w:p w:rsidR="00960503" w:rsidRPr="00EF4AD3" w:rsidRDefault="00960503" w:rsidP="00960503">
      <w:pPr>
        <w:pStyle w:val="Pagrindinistekstas"/>
        <w:jc w:val="left"/>
        <w:rPr>
          <w:sz w:val="22"/>
          <w:szCs w:val="22"/>
        </w:rPr>
      </w:pPr>
      <w:r w:rsidRPr="00EF4AD3">
        <w:rPr>
          <w:sz w:val="22"/>
          <w:szCs w:val="22"/>
        </w:rPr>
        <w:t>(tik gydymo tęsimo fazėje ir, jeigu negalima vartoti kiekvieną parą)</w:t>
      </w:r>
    </w:p>
    <w:p w:rsidR="00960503" w:rsidRPr="00EF4AD3" w:rsidRDefault="00960503" w:rsidP="00960503">
      <w:pPr>
        <w:pStyle w:val="Pagrindinistekstas"/>
        <w:jc w:val="left"/>
        <w:rPr>
          <w:sz w:val="22"/>
          <w:szCs w:val="22"/>
        </w:rPr>
      </w:pPr>
      <w:r w:rsidRPr="00EF4AD3">
        <w:rPr>
          <w:sz w:val="22"/>
          <w:szCs w:val="22"/>
        </w:rPr>
        <w:t>3x/savaitę: 30 mg/kg (25</w:t>
      </w:r>
      <w:r w:rsidRPr="00EF4AD3">
        <w:rPr>
          <w:sz w:val="22"/>
          <w:szCs w:val="22"/>
        </w:rPr>
        <w:noBreakHyphen/>
        <w:t>35) kūno svorio</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b/>
          <w:i/>
          <w:sz w:val="22"/>
          <w:szCs w:val="22"/>
          <w:u w:val="single"/>
        </w:rPr>
      </w:pPr>
      <w:r w:rsidRPr="00EF4AD3">
        <w:rPr>
          <w:b/>
          <w:i/>
          <w:sz w:val="22"/>
          <w:szCs w:val="22"/>
          <w:u w:val="single"/>
        </w:rPr>
        <w:t>Vaikams nuo 6 metų amžiaus</w:t>
      </w:r>
    </w:p>
    <w:p w:rsidR="00960503" w:rsidRPr="00EF4AD3" w:rsidRDefault="00960503" w:rsidP="00960503">
      <w:pPr>
        <w:pStyle w:val="Pagrindinistekstas"/>
        <w:jc w:val="left"/>
        <w:rPr>
          <w:sz w:val="22"/>
          <w:szCs w:val="22"/>
        </w:rPr>
      </w:pPr>
      <w:r w:rsidRPr="00EF4AD3">
        <w:rPr>
          <w:sz w:val="22"/>
          <w:szCs w:val="22"/>
        </w:rPr>
        <w:t>(kuriems galima patikimai atlikti regėjimo aštrumo tyrimą)</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i/>
          <w:sz w:val="22"/>
          <w:szCs w:val="22"/>
        </w:rPr>
      </w:pPr>
      <w:r w:rsidRPr="00EF4AD3">
        <w:rPr>
          <w:i/>
          <w:sz w:val="22"/>
          <w:szCs w:val="22"/>
        </w:rPr>
        <w:t>Kiekvienos dienos gydymas</w:t>
      </w:r>
    </w:p>
    <w:p w:rsidR="00960503" w:rsidRPr="00EF4AD3" w:rsidRDefault="00960503" w:rsidP="00960503">
      <w:pPr>
        <w:pStyle w:val="Pagrindinistekstas"/>
        <w:jc w:val="left"/>
        <w:rPr>
          <w:sz w:val="22"/>
          <w:szCs w:val="22"/>
        </w:rPr>
      </w:pPr>
      <w:r w:rsidRPr="00EF4AD3">
        <w:rPr>
          <w:sz w:val="22"/>
          <w:szCs w:val="22"/>
        </w:rPr>
        <w:t>20 mg/kg (15</w:t>
      </w:r>
      <w:r w:rsidRPr="00EF4AD3">
        <w:rPr>
          <w:sz w:val="22"/>
          <w:szCs w:val="22"/>
        </w:rPr>
        <w:noBreakHyphen/>
        <w:t>25 mg/kg) kūno svorio</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jc w:val="left"/>
        <w:rPr>
          <w:sz w:val="22"/>
          <w:szCs w:val="22"/>
        </w:rPr>
      </w:pPr>
      <w:r w:rsidRPr="00EF4AD3">
        <w:rPr>
          <w:sz w:val="22"/>
          <w:szCs w:val="22"/>
        </w:rPr>
        <w:t>Vaikams, sveriantiems daugiau nei 30 kg turi būti taikomos suaugusiųjų dozės.</w:t>
      </w:r>
    </w:p>
    <w:p w:rsidR="00960503" w:rsidRPr="00EF4AD3" w:rsidRDefault="00960503" w:rsidP="00960503">
      <w:pPr>
        <w:pStyle w:val="Pagrindinistekstas"/>
        <w:jc w:val="left"/>
        <w:rPr>
          <w:sz w:val="22"/>
          <w:szCs w:val="22"/>
        </w:rPr>
      </w:pPr>
    </w:p>
    <w:p w:rsidR="00960503" w:rsidRPr="00EF4AD3" w:rsidRDefault="00960503" w:rsidP="00960503">
      <w:pPr>
        <w:pStyle w:val="Pagrindinistekstas"/>
        <w:rPr>
          <w:sz w:val="22"/>
          <w:szCs w:val="22"/>
        </w:rPr>
      </w:pPr>
      <w:r w:rsidRPr="00EF4AD3">
        <w:rPr>
          <w:sz w:val="22"/>
          <w:szCs w:val="22"/>
        </w:rPr>
        <w:t>EMB-Fatol 400 mg plėvele dengtų tablečių kiekis skiriamas vaikų nuo 6 metų amžiaus gydymui, pagal svorio diapazonus:</w:t>
      </w:r>
    </w:p>
    <w:p w:rsidR="00960503" w:rsidRPr="00EF4AD3" w:rsidRDefault="00960503" w:rsidP="00960503">
      <w:pPr>
        <w:pStyle w:val="Pagrindinisteksta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42"/>
        <w:gridCol w:w="1515"/>
        <w:gridCol w:w="1515"/>
        <w:gridCol w:w="1506"/>
        <w:gridCol w:w="1516"/>
      </w:tblGrid>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tc>
        <w:tc>
          <w:tcPr>
            <w:tcW w:w="4178" w:type="pct"/>
            <w:gridSpan w:val="5"/>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3"/>
                <w:szCs w:val="22"/>
              </w:rPr>
            </w:pPr>
            <w:r w:rsidRPr="00EF4AD3">
              <w:rPr>
                <w:b/>
                <w:spacing w:val="-3"/>
                <w:szCs w:val="22"/>
              </w:rPr>
              <w:t>Svorio diapazonai, kg</w:t>
            </w:r>
          </w:p>
        </w:tc>
      </w:tr>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b/>
                <w:spacing w:val="-3"/>
                <w:szCs w:val="22"/>
              </w:rPr>
              <w:t>15 mg etambutolio/kg kilogramui kūno svorio</w:t>
            </w:r>
          </w:p>
        </w:tc>
        <w:tc>
          <w:tcPr>
            <w:tcW w:w="891"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26,6</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53,3</w:t>
            </w:r>
          </w:p>
        </w:tc>
        <w:tc>
          <w:tcPr>
            <w:tcW w:w="818"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66,6</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w:t>
            </w:r>
          </w:p>
        </w:tc>
      </w:tr>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20 mg etambutolio/kg kilogramui kūno svorio</w:t>
            </w:r>
          </w:p>
        </w:tc>
        <w:tc>
          <w:tcPr>
            <w:tcW w:w="891"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18"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50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w:t>
            </w:r>
          </w:p>
        </w:tc>
      </w:tr>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25 mg etambutolio/kg kilogramui kūno svorio</w:t>
            </w:r>
          </w:p>
        </w:tc>
        <w:tc>
          <w:tcPr>
            <w:tcW w:w="891"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16</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24</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32</w:t>
            </w:r>
          </w:p>
        </w:tc>
        <w:tc>
          <w:tcPr>
            <w:tcW w:w="818"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48</w:t>
            </w:r>
          </w:p>
        </w:tc>
      </w:tr>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Etambulio dozė, mg</w:t>
            </w:r>
          </w:p>
        </w:tc>
        <w:tc>
          <w:tcPr>
            <w:tcW w:w="891"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400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600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800</w:t>
            </w:r>
          </w:p>
        </w:tc>
        <w:tc>
          <w:tcPr>
            <w:tcW w:w="818"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1000</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1200</w:t>
            </w:r>
          </w:p>
        </w:tc>
      </w:tr>
      <w:tr w:rsidR="00960503" w:rsidRPr="00EF4AD3" w:rsidTr="00183DD6">
        <w:tc>
          <w:tcPr>
            <w:tcW w:w="822"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EF4AD3">
              <w:rPr>
                <w:b/>
                <w:spacing w:val="-3"/>
                <w:szCs w:val="22"/>
              </w:rPr>
              <w:t>EMB-Fatol 400 mg tablečių kiekis</w:t>
            </w:r>
          </w:p>
        </w:tc>
        <w:tc>
          <w:tcPr>
            <w:tcW w:w="891"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1½</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w:t>
            </w:r>
          </w:p>
        </w:tc>
        <w:tc>
          <w:tcPr>
            <w:tcW w:w="818"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2½</w:t>
            </w:r>
          </w:p>
        </w:tc>
        <w:tc>
          <w:tcPr>
            <w:tcW w:w="823" w:type="pct"/>
            <w:shd w:val="clear" w:color="auto" w:fill="auto"/>
          </w:tcPr>
          <w:p w:rsidR="00960503" w:rsidRPr="00EF4AD3" w:rsidRDefault="00960503" w:rsidP="00183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3"/>
                <w:szCs w:val="22"/>
              </w:rPr>
            </w:pPr>
            <w:r w:rsidRPr="00EF4AD3">
              <w:rPr>
                <w:spacing w:val="-3"/>
                <w:szCs w:val="22"/>
              </w:rPr>
              <w:t>3</w:t>
            </w:r>
          </w:p>
        </w:tc>
      </w:tr>
    </w:tbl>
    <w:p w:rsidR="00960503" w:rsidRPr="00EF4AD3" w:rsidRDefault="00960503" w:rsidP="00960503">
      <w:pPr>
        <w:pStyle w:val="Pagrindinistekstas"/>
        <w:rPr>
          <w:sz w:val="22"/>
          <w:szCs w:val="22"/>
        </w:rPr>
      </w:pPr>
    </w:p>
    <w:p w:rsidR="00960503" w:rsidRPr="00EF4AD3" w:rsidRDefault="00960503" w:rsidP="00960503">
      <w:pPr>
        <w:pStyle w:val="Pagrindinistekstas"/>
        <w:jc w:val="left"/>
        <w:rPr>
          <w:i/>
          <w:sz w:val="22"/>
          <w:szCs w:val="22"/>
          <w:u w:val="single"/>
        </w:rPr>
      </w:pPr>
      <w:r w:rsidRPr="00EF4AD3">
        <w:rPr>
          <w:i/>
          <w:sz w:val="22"/>
          <w:szCs w:val="22"/>
          <w:u w:val="single"/>
        </w:rPr>
        <w:t>Pacientams, kurių inkstų funkcija sutrikusi</w:t>
      </w:r>
    </w:p>
    <w:p w:rsidR="00960503" w:rsidRPr="00EF4AD3" w:rsidRDefault="00960503" w:rsidP="00960503">
      <w:pPr>
        <w:rPr>
          <w:szCs w:val="22"/>
        </w:rPr>
      </w:pPr>
      <w:r w:rsidRPr="00EF4AD3">
        <w:rPr>
          <w:szCs w:val="22"/>
        </w:rPr>
        <w:t xml:space="preserve">Pacientų su sutrikusia inkstų funkcija dozė priklauso nuo glomerulų filtracijos greičio (GFG) skaičiuojamo ml/min. Tinkama dozė nustatoma koreguojant dozavimo intervalą ir, jei reikia, tiriant vaisto koncentraciją serume. Tačiau </w:t>
      </w:r>
      <w:r>
        <w:rPr>
          <w:szCs w:val="22"/>
        </w:rPr>
        <w:t>pacientams</w:t>
      </w:r>
      <w:r w:rsidRPr="00EF4AD3">
        <w:rPr>
          <w:szCs w:val="22"/>
        </w:rPr>
        <w:t xml:space="preserve"> su sunkiu inkstų funkcijos sutrikimu dozę reikia nustatyti tiriant vaisto koncentraciją serume. </w:t>
      </w:r>
    </w:p>
    <w:p w:rsidR="00960503" w:rsidRPr="00EF4AD3" w:rsidRDefault="00960503" w:rsidP="00960503">
      <w:pPr>
        <w:rPr>
          <w:szCs w:val="22"/>
        </w:rPr>
      </w:pPr>
    </w:p>
    <w:p w:rsidR="00960503" w:rsidRPr="00EF4AD3" w:rsidRDefault="00960503" w:rsidP="00960503">
      <w:pPr>
        <w:jc w:val="both"/>
        <w:rPr>
          <w:szCs w:val="22"/>
        </w:rPr>
      </w:pPr>
      <w:r w:rsidRPr="00EF4AD3">
        <w:rPr>
          <w:szCs w:val="22"/>
        </w:rPr>
        <w:t>Dozavimas pacientams su inkstų funkcijos sutrikimu</w:t>
      </w:r>
    </w:p>
    <w:p w:rsidR="00960503" w:rsidRPr="00EF4AD3" w:rsidRDefault="00960503" w:rsidP="0096050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38"/>
        <w:gridCol w:w="2319"/>
        <w:gridCol w:w="2317"/>
      </w:tblGrid>
      <w:tr w:rsidR="00960503" w:rsidRPr="00EF4AD3" w:rsidTr="00183DD6">
        <w:tc>
          <w:tcPr>
            <w:tcW w:w="2463" w:type="dxa"/>
          </w:tcPr>
          <w:p w:rsidR="00960503" w:rsidRPr="00EF4AD3" w:rsidRDefault="00960503" w:rsidP="00183DD6">
            <w:pPr>
              <w:jc w:val="center"/>
              <w:rPr>
                <w:szCs w:val="22"/>
              </w:rPr>
            </w:pPr>
          </w:p>
        </w:tc>
        <w:tc>
          <w:tcPr>
            <w:tcW w:w="7391" w:type="dxa"/>
            <w:gridSpan w:val="3"/>
          </w:tcPr>
          <w:p w:rsidR="00960503" w:rsidRPr="00EF4AD3" w:rsidRDefault="00960503" w:rsidP="00183DD6">
            <w:pPr>
              <w:jc w:val="center"/>
              <w:rPr>
                <w:szCs w:val="22"/>
              </w:rPr>
            </w:pPr>
            <w:r w:rsidRPr="00EF4AD3">
              <w:rPr>
                <w:szCs w:val="22"/>
              </w:rPr>
              <w:t>Dozavimo intervalas remiantis GFG (ml/min.)</w:t>
            </w:r>
          </w:p>
        </w:tc>
      </w:tr>
      <w:tr w:rsidR="00960503" w:rsidRPr="00EF4AD3" w:rsidTr="00183DD6">
        <w:tc>
          <w:tcPr>
            <w:tcW w:w="2463" w:type="dxa"/>
          </w:tcPr>
          <w:p w:rsidR="00960503" w:rsidRPr="00EF4AD3" w:rsidRDefault="00960503" w:rsidP="00183DD6">
            <w:pPr>
              <w:jc w:val="center"/>
              <w:rPr>
                <w:szCs w:val="22"/>
              </w:rPr>
            </w:pPr>
            <w:r w:rsidRPr="00EF4AD3">
              <w:rPr>
                <w:szCs w:val="22"/>
              </w:rPr>
              <w:t>Dozė (mg/kg k.s.)</w:t>
            </w:r>
          </w:p>
        </w:tc>
        <w:tc>
          <w:tcPr>
            <w:tcW w:w="2463" w:type="dxa"/>
          </w:tcPr>
          <w:p w:rsidR="00960503" w:rsidRPr="00EF4AD3" w:rsidRDefault="00960503" w:rsidP="00183DD6">
            <w:pPr>
              <w:jc w:val="center"/>
              <w:rPr>
                <w:szCs w:val="22"/>
              </w:rPr>
            </w:pPr>
            <w:r w:rsidRPr="00EF4AD3">
              <w:rPr>
                <w:szCs w:val="22"/>
              </w:rPr>
              <w:t>GFG 80</w:t>
            </w:r>
            <w:r w:rsidRPr="00EF4AD3">
              <w:rPr>
                <w:szCs w:val="22"/>
              </w:rPr>
              <w:noBreakHyphen/>
              <w:t>30</w:t>
            </w:r>
          </w:p>
        </w:tc>
        <w:tc>
          <w:tcPr>
            <w:tcW w:w="2464" w:type="dxa"/>
          </w:tcPr>
          <w:p w:rsidR="00960503" w:rsidRPr="00EF4AD3" w:rsidRDefault="00960503" w:rsidP="00183DD6">
            <w:pPr>
              <w:jc w:val="center"/>
              <w:rPr>
                <w:szCs w:val="22"/>
              </w:rPr>
            </w:pPr>
            <w:r w:rsidRPr="00EF4AD3">
              <w:rPr>
                <w:szCs w:val="22"/>
              </w:rPr>
              <w:t>GFG &lt; 30</w:t>
            </w:r>
            <w:r w:rsidRPr="00EF4AD3">
              <w:rPr>
                <w:szCs w:val="22"/>
              </w:rPr>
              <w:noBreakHyphen/>
              <w:t>10</w:t>
            </w:r>
          </w:p>
        </w:tc>
        <w:tc>
          <w:tcPr>
            <w:tcW w:w="2464" w:type="dxa"/>
          </w:tcPr>
          <w:p w:rsidR="00960503" w:rsidRPr="00EF4AD3" w:rsidRDefault="00960503" w:rsidP="00183DD6">
            <w:pPr>
              <w:jc w:val="center"/>
              <w:rPr>
                <w:szCs w:val="22"/>
              </w:rPr>
            </w:pPr>
            <w:r w:rsidRPr="00EF4AD3">
              <w:rPr>
                <w:szCs w:val="22"/>
              </w:rPr>
              <w:t>GFG &lt; 10</w:t>
            </w:r>
          </w:p>
        </w:tc>
      </w:tr>
      <w:tr w:rsidR="00960503" w:rsidRPr="00EF4AD3" w:rsidTr="00183DD6">
        <w:tc>
          <w:tcPr>
            <w:tcW w:w="2463" w:type="dxa"/>
          </w:tcPr>
          <w:p w:rsidR="00960503" w:rsidRPr="00EF4AD3" w:rsidRDefault="00960503" w:rsidP="00183DD6">
            <w:pPr>
              <w:jc w:val="center"/>
              <w:rPr>
                <w:szCs w:val="22"/>
              </w:rPr>
            </w:pPr>
            <w:r w:rsidRPr="00EF4AD3">
              <w:rPr>
                <w:szCs w:val="22"/>
              </w:rPr>
              <w:t>15</w:t>
            </w:r>
          </w:p>
        </w:tc>
        <w:tc>
          <w:tcPr>
            <w:tcW w:w="2463" w:type="dxa"/>
          </w:tcPr>
          <w:p w:rsidR="00960503" w:rsidRPr="00EF4AD3" w:rsidRDefault="00960503" w:rsidP="00183DD6">
            <w:pPr>
              <w:jc w:val="center"/>
              <w:rPr>
                <w:szCs w:val="22"/>
              </w:rPr>
            </w:pPr>
            <w:r w:rsidRPr="00EF4AD3">
              <w:rPr>
                <w:szCs w:val="22"/>
              </w:rPr>
              <w:t>Kiekvieną dieną</w:t>
            </w:r>
          </w:p>
        </w:tc>
        <w:tc>
          <w:tcPr>
            <w:tcW w:w="2464" w:type="dxa"/>
          </w:tcPr>
          <w:p w:rsidR="00960503" w:rsidRPr="00EF4AD3" w:rsidRDefault="00960503" w:rsidP="00183DD6">
            <w:pPr>
              <w:jc w:val="center"/>
              <w:rPr>
                <w:szCs w:val="22"/>
              </w:rPr>
            </w:pPr>
            <w:r w:rsidRPr="00EF4AD3">
              <w:rPr>
                <w:szCs w:val="22"/>
              </w:rPr>
              <w:t>3 x per savaitę</w:t>
            </w:r>
          </w:p>
        </w:tc>
        <w:tc>
          <w:tcPr>
            <w:tcW w:w="2464" w:type="dxa"/>
          </w:tcPr>
          <w:p w:rsidR="00960503" w:rsidRPr="00EF4AD3" w:rsidRDefault="00960503" w:rsidP="00183DD6">
            <w:pPr>
              <w:jc w:val="center"/>
              <w:rPr>
                <w:szCs w:val="22"/>
                <w:vertAlign w:val="superscript"/>
              </w:rPr>
            </w:pPr>
            <w:r w:rsidRPr="00EF4AD3">
              <w:rPr>
                <w:szCs w:val="22"/>
              </w:rPr>
              <w:t>3 x per savaitę</w:t>
            </w:r>
            <w:r w:rsidRPr="00EF4AD3">
              <w:rPr>
                <w:szCs w:val="22"/>
                <w:vertAlign w:val="superscript"/>
              </w:rPr>
              <w:t>*</w:t>
            </w:r>
          </w:p>
        </w:tc>
      </w:tr>
    </w:tbl>
    <w:p w:rsidR="00960503" w:rsidRPr="00EF4AD3" w:rsidRDefault="00960503" w:rsidP="00960503">
      <w:pPr>
        <w:jc w:val="both"/>
        <w:rPr>
          <w:szCs w:val="22"/>
        </w:rPr>
      </w:pPr>
    </w:p>
    <w:p w:rsidR="00960503" w:rsidRPr="00EF4AD3" w:rsidRDefault="00960503" w:rsidP="005717F4">
      <w:pPr>
        <w:pStyle w:val="BTEMEASMCA"/>
      </w:pPr>
      <w:r w:rsidRPr="00EF4AD3">
        <w:t>Dializuojami pacientai EMB-Fatol turėtų vartoti 4</w:t>
      </w:r>
      <w:r w:rsidRPr="00EF4AD3">
        <w:noBreakHyphen/>
        <w:t>6 val. prieš dializę arba iš karto po dializės.</w:t>
      </w:r>
    </w:p>
    <w:p w:rsidR="00960503" w:rsidRPr="00EF4AD3" w:rsidRDefault="00960503" w:rsidP="005717F4">
      <w:pPr>
        <w:pStyle w:val="BTEMEASMCA"/>
      </w:pPr>
    </w:p>
    <w:p w:rsidR="00960503" w:rsidRPr="009E429E" w:rsidRDefault="00960503" w:rsidP="005717F4">
      <w:pPr>
        <w:pStyle w:val="BTEMEASMCA"/>
      </w:pPr>
      <w:r w:rsidRPr="009E429E">
        <w:t>Pacientams, kurių kepenų funkcija sutrikusi</w:t>
      </w:r>
    </w:p>
    <w:p w:rsidR="00960503" w:rsidRPr="00EF4AD3" w:rsidRDefault="00960503" w:rsidP="005717F4">
      <w:pPr>
        <w:pStyle w:val="BTEMEASMCA"/>
      </w:pPr>
      <w:r w:rsidRPr="00EF4AD3">
        <w:t>Pacientams, sergantiems kepenų nepakankamumu, EMB-Fatol dozės koreguoti nereikia.</w:t>
      </w:r>
    </w:p>
    <w:p w:rsidR="00960503" w:rsidRPr="00EF4AD3" w:rsidRDefault="00960503" w:rsidP="005717F4">
      <w:pPr>
        <w:pStyle w:val="BTEMEASMCA"/>
      </w:pPr>
    </w:p>
    <w:p w:rsidR="00960503" w:rsidRPr="00EF4AD3" w:rsidRDefault="00960503" w:rsidP="005717F4">
      <w:pPr>
        <w:pStyle w:val="BTEMEASMCA"/>
      </w:pPr>
      <w:r w:rsidRPr="009E429E">
        <w:t>Senyviems pacientams</w:t>
      </w:r>
    </w:p>
    <w:p w:rsidR="00960503" w:rsidRPr="00EF4AD3" w:rsidRDefault="00960503" w:rsidP="005717F4">
      <w:pPr>
        <w:pStyle w:val="BTEMEASMCA"/>
      </w:pPr>
    </w:p>
    <w:p w:rsidR="00960503" w:rsidRPr="00EF4AD3" w:rsidRDefault="00960503" w:rsidP="005717F4">
      <w:pPr>
        <w:pStyle w:val="BTEMEASMCA"/>
      </w:pPr>
      <w:r w:rsidRPr="00EF4AD3">
        <w:t>Senyviems pacientams EMB-Fatol dozės koreguoti nereikia. Tačiau, senyviems pacientams reikia reguliariai tirti inkstų funkciją (nes dažnai nustatomi jos sutrikimai) ir, atitinkamai, koreguoti etambutolio dozę (žr. poskyrį „Pacientams, kurių inkstų funkcija sutrikusi“).</w:t>
      </w:r>
    </w:p>
    <w:p w:rsidR="00960503" w:rsidRPr="00EF4AD3" w:rsidRDefault="00960503" w:rsidP="005717F4">
      <w:pPr>
        <w:pStyle w:val="BTEMEASMCA"/>
      </w:pPr>
    </w:p>
    <w:p w:rsidR="00960503" w:rsidRPr="002A47A7" w:rsidRDefault="00960503" w:rsidP="00960503">
      <w:pPr>
        <w:pStyle w:val="PI-3EMEASMCA"/>
        <w:rPr>
          <w:b/>
        </w:rPr>
      </w:pPr>
      <w:r w:rsidRPr="002A47A7">
        <w:rPr>
          <w:b/>
        </w:rPr>
        <w:t>Ką daryti pavartojus per didelę EMB-Fatol dozę?</w:t>
      </w:r>
    </w:p>
    <w:p w:rsidR="00960503" w:rsidRPr="00EF4AD3" w:rsidRDefault="00960503" w:rsidP="005717F4">
      <w:pPr>
        <w:pStyle w:val="BTEMEASMCA"/>
      </w:pPr>
    </w:p>
    <w:p w:rsidR="00960503" w:rsidRPr="00EF4AD3" w:rsidRDefault="00960503" w:rsidP="005717F4">
      <w:pPr>
        <w:pStyle w:val="BTEMEASMCA"/>
      </w:pPr>
      <w:r w:rsidRPr="00EF4AD3">
        <w:t>Gali pasireikšti toliau išvardyti simptomai: apetito praradimas, vėmimas, virškinimo trakto sutrikimas, karščiavimas, galvos skausmas, svaigimas, sumišimas, haliucinacijos ir (arba) regėjimo sutrikimas.</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Specifinio priešnuodžio nėra.</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Dėl greitos absorbcijos toksinų pašalinimas (vėmimas, skrandžio plovimas) tikslingas tik iškart išgėrus vaisto.</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Toliau taikomas simptominis gydymas. Neurologinių ir oftalmologinių nepageidaujamų poveikių gydymui rekomenduojama skirti B</w:t>
      </w:r>
      <w:r w:rsidRPr="00EF4AD3">
        <w:rPr>
          <w:spacing w:val="-3"/>
          <w:szCs w:val="22"/>
          <w:vertAlign w:val="subscript"/>
        </w:rPr>
        <w:t>1</w:t>
      </w:r>
      <w:r w:rsidRPr="00EF4AD3">
        <w:rPr>
          <w:spacing w:val="-3"/>
          <w:szCs w:val="22"/>
        </w:rPr>
        <w:t>, B</w:t>
      </w:r>
      <w:r w:rsidRPr="00EF4AD3">
        <w:rPr>
          <w:spacing w:val="-3"/>
          <w:szCs w:val="22"/>
          <w:vertAlign w:val="subscript"/>
        </w:rPr>
        <w:t>6</w:t>
      </w:r>
      <w:r w:rsidRPr="00EF4AD3">
        <w:rPr>
          <w:spacing w:val="-3"/>
          <w:szCs w:val="22"/>
        </w:rPr>
        <w:t xml:space="preserve"> ir B</w:t>
      </w:r>
      <w:r w:rsidRPr="00EF4AD3">
        <w:rPr>
          <w:spacing w:val="-3"/>
          <w:szCs w:val="22"/>
          <w:vertAlign w:val="subscript"/>
        </w:rPr>
        <w:t>12</w:t>
      </w:r>
      <w:r w:rsidRPr="00EF4AD3">
        <w:rPr>
          <w:spacing w:val="-3"/>
          <w:szCs w:val="22"/>
        </w:rPr>
        <w:t xml:space="preserve"> vitaminų, kalikreino ir steroidų.</w:t>
      </w:r>
    </w:p>
    <w:p w:rsidR="00960503" w:rsidRPr="00EF4AD3" w:rsidRDefault="00960503" w:rsidP="005717F4">
      <w:pPr>
        <w:pStyle w:val="BTEMEASMCA"/>
      </w:pPr>
    </w:p>
    <w:p w:rsidR="00960503" w:rsidRPr="002A47A7" w:rsidRDefault="00960503" w:rsidP="00960503">
      <w:pPr>
        <w:pStyle w:val="PI-3EMEASMCA"/>
        <w:rPr>
          <w:b/>
        </w:rPr>
      </w:pPr>
      <w:r w:rsidRPr="002A47A7">
        <w:rPr>
          <w:b/>
        </w:rPr>
        <w:t>Pamiršus pavartoti EMB-Fatol</w:t>
      </w:r>
    </w:p>
    <w:p w:rsidR="00960503" w:rsidRPr="00EF4AD3" w:rsidRDefault="00960503" w:rsidP="005717F4">
      <w:pPr>
        <w:pStyle w:val="BTEMEASMCA"/>
      </w:pPr>
      <w:r w:rsidRPr="00EF4AD3">
        <w:t>Negalima vartoti dvigubos dozės norint kompensuoti praleistą dozę. Prisiminę kitą dozę išgerkite įprastu metu.</w:t>
      </w:r>
    </w:p>
    <w:p w:rsidR="00960503" w:rsidRPr="00EF4AD3" w:rsidRDefault="00960503" w:rsidP="005717F4">
      <w:pPr>
        <w:pStyle w:val="BTEMEASMCA"/>
      </w:pPr>
    </w:p>
    <w:p w:rsidR="00960503" w:rsidRPr="002A47A7" w:rsidRDefault="00960503" w:rsidP="00960503">
      <w:pPr>
        <w:pStyle w:val="PI-3EMEASMCA"/>
        <w:rPr>
          <w:b/>
        </w:rPr>
      </w:pPr>
      <w:r w:rsidRPr="002A47A7">
        <w:rPr>
          <w:b/>
        </w:rPr>
        <w:t>Nustojus vartoti EMB-Fatol</w:t>
      </w:r>
    </w:p>
    <w:p w:rsidR="00960503" w:rsidRPr="00EF4AD3" w:rsidRDefault="00960503" w:rsidP="005717F4">
      <w:pPr>
        <w:pStyle w:val="BTEMEASMCA"/>
      </w:pPr>
      <w:r w:rsidRPr="00EF4AD3">
        <w:t>Nereguliarus vaisto vartojimas ir (arba) pirmalaikis gydymo nutraukimas gali paskatinti atsparių vaistui tuberkuliozės sukelėjų atsiradimą. Tikimybė, kad Jūs išgysite, ir tolesnio gydymo efektyvumas gali sumažėti.</w:t>
      </w:r>
    </w:p>
    <w:p w:rsidR="00960503" w:rsidRPr="00EF4AD3" w:rsidRDefault="00960503" w:rsidP="005717F4">
      <w:pPr>
        <w:pStyle w:val="BTEMEASMCA"/>
      </w:pPr>
    </w:p>
    <w:p w:rsidR="00960503" w:rsidRPr="00EF4AD3" w:rsidRDefault="00960503" w:rsidP="005717F4">
      <w:pPr>
        <w:pStyle w:val="BTEMEASMCA"/>
      </w:pPr>
      <w:r w:rsidRPr="00EF4AD3">
        <w:t>Jeigu kiltų daugiau klausimų dėl šio vaisto vartojimo, kreipkitės į gydytoją arba vaistininką.</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EMEASMCA"/>
      </w:pPr>
      <w:r w:rsidRPr="00EF4AD3">
        <w:t>4.</w:t>
      </w:r>
      <w:r w:rsidRPr="00EF4AD3">
        <w:tab/>
        <w:t>Galimas šalutinis poveikis</w:t>
      </w:r>
    </w:p>
    <w:p w:rsidR="00960503" w:rsidRPr="00EF4AD3" w:rsidRDefault="00960503" w:rsidP="005717F4">
      <w:pPr>
        <w:pStyle w:val="BTEMEASMCA"/>
      </w:pPr>
    </w:p>
    <w:p w:rsidR="00960503" w:rsidRPr="00EF4AD3" w:rsidRDefault="00960503" w:rsidP="005717F4">
      <w:pPr>
        <w:pStyle w:val="BTEMEASMCA"/>
      </w:pPr>
      <w:r w:rsidRPr="00EF4AD3">
        <w:t>Šis vaistas, kaip ir visi kiti, gali sukelti šalutinį poveikį, nors jis pasireiškia ne visiems žmonėms.</w:t>
      </w:r>
    </w:p>
    <w:p w:rsidR="00960503" w:rsidRPr="00EF4AD3" w:rsidRDefault="00960503" w:rsidP="005717F4">
      <w:pPr>
        <w:pStyle w:val="BTEMEASMCA"/>
      </w:pPr>
    </w:p>
    <w:p w:rsidR="00960503" w:rsidRPr="00EF4AD3" w:rsidRDefault="00960503" w:rsidP="005717F4">
      <w:pPr>
        <w:pStyle w:val="BTEMEASMCA"/>
      </w:pPr>
      <w:r w:rsidRPr="00EF4AD3">
        <w:t>Svarbiausia etambutolio nepageidaujama reakcija yra regos nervo neuritas, galintis pasireikšti vienos arba abiejų akių regėjimo aštrumo ir spalvų skyrimo sutrikimu. Ankstyvi pakitimai dažniausiai yra grįžtami, tačiau nedelsiant nenutraukus gydymo gali atsirasti aklumas. Jeigu etambutolis vartojamas 2</w:t>
      </w:r>
      <w:r w:rsidRPr="00EF4AD3">
        <w:noBreakHyphen/>
        <w:t>3 mėnesius ir rekomenduojamomis dozėmis, toksinis poveikis akims pasireškia retai.</w:t>
      </w:r>
    </w:p>
    <w:p w:rsidR="00960503" w:rsidRPr="00EF4AD3" w:rsidRDefault="00960503" w:rsidP="005717F4">
      <w:pPr>
        <w:pStyle w:val="BTEMEASMCA"/>
      </w:pPr>
    </w:p>
    <w:p w:rsidR="00960503" w:rsidRPr="00EF4AD3" w:rsidRDefault="00960503" w:rsidP="005717F4">
      <w:pPr>
        <w:pStyle w:val="BTEMEASMCA"/>
      </w:pPr>
      <w:r w:rsidRPr="00EF4AD3">
        <w:t>Nepageidaujamo poveikio dažnis apibūdinamas taip: labai dažnas (≥ 1/10), dažnas (nuo ≥ 1/100 iki &lt; 1/10), nedažnas (nuo ≥ 1/1 000 iki &lt; 1/100), retas (nuo ≥ 1/10 000 iki &lt; 1/1000), labai retas (&lt; 1/10 000) ir nežinomas (negali būti apskaičiuotas pagal turimus duomenis).</w:t>
      </w:r>
    </w:p>
    <w:p w:rsidR="00960503" w:rsidRPr="00EF4AD3" w:rsidRDefault="00960503" w:rsidP="00960503">
      <w:pPr>
        <w:pStyle w:val="Pavadinimas"/>
        <w:jc w:val="left"/>
        <w:rPr>
          <w:b w:val="0"/>
          <w:noProof/>
          <w:szCs w:val="22"/>
          <w:u w:val="single"/>
          <w:lang w:val="lt-LT"/>
        </w:rPr>
      </w:pPr>
    </w:p>
    <w:p w:rsidR="00960503" w:rsidRPr="00EF4AD3" w:rsidRDefault="00960503" w:rsidP="00960503">
      <w:pPr>
        <w:pStyle w:val="Pavadinimas"/>
        <w:jc w:val="left"/>
        <w:rPr>
          <w:noProof/>
          <w:szCs w:val="22"/>
          <w:u w:val="single"/>
          <w:lang w:val="lt-LT"/>
        </w:rPr>
      </w:pPr>
      <w:r w:rsidRPr="00EF4AD3">
        <w:rPr>
          <w:noProof/>
          <w:szCs w:val="22"/>
          <w:u w:val="single"/>
          <w:lang w:val="lt-LT"/>
        </w:rPr>
        <w:t>Dažni</w:t>
      </w:r>
    </w:p>
    <w:p w:rsidR="00960503" w:rsidRPr="00EF4AD3" w:rsidRDefault="00960503" w:rsidP="00960503">
      <w:pPr>
        <w:pStyle w:val="Pavadinimas"/>
        <w:jc w:val="left"/>
        <w:rPr>
          <w:b w:val="0"/>
          <w:noProof/>
          <w:szCs w:val="22"/>
          <w:lang w:val="lt-LT"/>
        </w:rPr>
      </w:pPr>
      <w:r w:rsidRPr="00EF4AD3">
        <w:rPr>
          <w:b w:val="0"/>
          <w:noProof/>
          <w:szCs w:val="22"/>
          <w:lang w:val="lt-LT"/>
        </w:rPr>
        <w:t>Psichikos sutrikimai: sumišimas, orientacijos sutrikimas, haliucinacijos.</w:t>
      </w:r>
    </w:p>
    <w:p w:rsidR="00960503" w:rsidRPr="00EF4AD3" w:rsidRDefault="00960503" w:rsidP="00960503">
      <w:pPr>
        <w:pStyle w:val="Pavadinimas"/>
        <w:jc w:val="left"/>
        <w:rPr>
          <w:b w:val="0"/>
          <w:noProof/>
          <w:szCs w:val="22"/>
          <w:lang w:val="lt-LT"/>
        </w:rPr>
      </w:pPr>
      <w:r w:rsidRPr="00EF4AD3">
        <w:rPr>
          <w:b w:val="0"/>
          <w:noProof/>
          <w:szCs w:val="22"/>
          <w:lang w:val="lt-LT"/>
        </w:rPr>
        <w:t>Nervų sistemos sutrikimai: galvos skausmas, svaigimas ir drebulys.</w:t>
      </w:r>
    </w:p>
    <w:p w:rsidR="00960503" w:rsidRPr="00EF4AD3" w:rsidRDefault="00960503" w:rsidP="00960503">
      <w:pPr>
        <w:pStyle w:val="Pavadinimas"/>
        <w:jc w:val="left"/>
        <w:rPr>
          <w:b w:val="0"/>
          <w:noProof/>
          <w:szCs w:val="22"/>
          <w:u w:val="single"/>
          <w:lang w:val="lt-LT"/>
        </w:rPr>
      </w:pPr>
    </w:p>
    <w:p w:rsidR="00960503" w:rsidRPr="00EF4AD3" w:rsidRDefault="00960503" w:rsidP="00960503">
      <w:pPr>
        <w:pStyle w:val="Pavadinimas"/>
        <w:jc w:val="left"/>
        <w:rPr>
          <w:noProof/>
          <w:szCs w:val="22"/>
          <w:u w:val="single"/>
          <w:lang w:val="lt-LT"/>
        </w:rPr>
      </w:pPr>
      <w:r w:rsidRPr="00EF4AD3">
        <w:rPr>
          <w:noProof/>
          <w:szCs w:val="22"/>
          <w:u w:val="single"/>
          <w:lang w:val="lt-LT"/>
        </w:rPr>
        <w:t>Nedažni</w:t>
      </w:r>
    </w:p>
    <w:p w:rsidR="00960503" w:rsidRPr="00EF4AD3" w:rsidRDefault="00960503" w:rsidP="00960503">
      <w:pPr>
        <w:pStyle w:val="Pavadinimas"/>
        <w:jc w:val="left"/>
        <w:rPr>
          <w:b w:val="0"/>
          <w:noProof/>
          <w:szCs w:val="22"/>
          <w:lang w:val="lt-LT"/>
        </w:rPr>
      </w:pPr>
      <w:r w:rsidRPr="00EF4AD3">
        <w:rPr>
          <w:b w:val="0"/>
          <w:noProof/>
          <w:szCs w:val="22"/>
          <w:lang w:val="lt-LT"/>
        </w:rPr>
        <w:t>Nervų sistemos sutrikimai: periferinis neuritas (dažniausiai kojų)</w:t>
      </w:r>
    </w:p>
    <w:p w:rsidR="00960503" w:rsidRPr="00EF4AD3" w:rsidRDefault="00960503" w:rsidP="00960503">
      <w:pPr>
        <w:pStyle w:val="Pavadinimas"/>
        <w:jc w:val="left"/>
        <w:rPr>
          <w:b w:val="0"/>
          <w:noProof/>
          <w:szCs w:val="22"/>
          <w:lang w:val="lt-LT"/>
        </w:rPr>
      </w:pPr>
      <w:r w:rsidRPr="00EF4AD3">
        <w:rPr>
          <w:b w:val="0"/>
          <w:noProof/>
          <w:szCs w:val="22"/>
          <w:lang w:val="lt-LT"/>
        </w:rPr>
        <w:t>Inkstų ir šlapimo takų sutrikimai: nefrotoksinis poveikis.</w:t>
      </w:r>
    </w:p>
    <w:p w:rsidR="00960503" w:rsidRPr="00EF4AD3" w:rsidRDefault="00960503" w:rsidP="00960503">
      <w:pPr>
        <w:pStyle w:val="Pavadinimas"/>
        <w:jc w:val="left"/>
        <w:rPr>
          <w:noProof/>
          <w:szCs w:val="22"/>
          <w:lang w:val="lt-LT"/>
        </w:rPr>
      </w:pPr>
    </w:p>
    <w:p w:rsidR="00960503" w:rsidRPr="00B954D4" w:rsidRDefault="00960503" w:rsidP="00960503">
      <w:pPr>
        <w:pStyle w:val="Pavadinimas"/>
        <w:jc w:val="left"/>
        <w:rPr>
          <w:noProof/>
          <w:szCs w:val="22"/>
          <w:u w:val="single"/>
          <w:lang w:val="lt-LT"/>
        </w:rPr>
      </w:pPr>
      <w:r w:rsidRPr="00B954D4">
        <w:rPr>
          <w:noProof/>
          <w:szCs w:val="22"/>
          <w:u w:val="single"/>
          <w:lang w:val="lt-LT"/>
        </w:rPr>
        <w:t>Reti</w:t>
      </w:r>
    </w:p>
    <w:p w:rsidR="00960503" w:rsidRPr="00EF4AD3" w:rsidRDefault="00960503" w:rsidP="00960503">
      <w:pPr>
        <w:pStyle w:val="Pavadinimas"/>
        <w:jc w:val="left"/>
        <w:rPr>
          <w:b w:val="0"/>
          <w:noProof/>
          <w:szCs w:val="22"/>
          <w:lang w:val="lt-LT"/>
        </w:rPr>
      </w:pPr>
      <w:r w:rsidRPr="00EF4AD3">
        <w:rPr>
          <w:b w:val="0"/>
          <w:noProof/>
          <w:szCs w:val="22"/>
          <w:lang w:val="lt-LT"/>
        </w:rPr>
        <w:t>Kraujo ir limfinės sistemos sutrikimai:</w:t>
      </w:r>
      <w:r w:rsidRPr="00EF4AD3">
        <w:rPr>
          <w:szCs w:val="22"/>
          <w:lang w:val="lt-LT"/>
        </w:rPr>
        <w:t xml:space="preserve"> </w:t>
      </w:r>
      <w:r w:rsidRPr="00EF4AD3">
        <w:rPr>
          <w:b w:val="0"/>
          <w:noProof/>
          <w:szCs w:val="22"/>
          <w:lang w:val="lt-LT"/>
        </w:rPr>
        <w:t>kraujo sudėties pokyčiai, pvz., trombocitopenija (kraujo plokštelių skaičiaus sumažėjimas).</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lastRenderedPageBreak/>
        <w:t>Imuninės sistemos sutrikimai: alerginės reakcijos, pvz., egzantema (išplitęs bėrimas), niežulys, dilgėlinė, karščiavimu ir (arba) leukopenija (baltųjų kraujo kūnelių kiekio sumažėjimas), sunkūs ūmūs padidėjusio jautrumo simptomai pasireiškia kaip anafilaksinio šoko dalis.</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Metabolizmo ir mitybos sutrikimai: padidėjusi šlapimo rūgšties koncentracija kraujyje, dažniausiai pacientams, sergantiems podagra. (Pirmą kartą tai gali pasireikšti tik po 24 valandų pavartojus vieną vaisto dozę ir vėliausiai po 90 parų nuo gydymo pradžios. Tokios nepageidaujamo poveikio reakcijos stiprėja kartu vartojant izoniazidą ir piridoksiną.)</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Akių sutrikimai: nuo dozės priklausomas optinio nervo neuritas (optinio nervo uždegimas), galintis pasireikšti raudonos</w:t>
      </w:r>
      <w:r w:rsidRPr="00EF4AD3">
        <w:rPr>
          <w:b w:val="0"/>
          <w:noProof/>
          <w:szCs w:val="22"/>
          <w:lang w:val="lt-LT"/>
        </w:rPr>
        <w:noBreakHyphen/>
        <w:t>žalios aklumu kartu su regėjimo sutrikimu (regėjimo susilpnėjimas, centrinė skotoma (akies regėjimo lauko formos sutrikimas), fotofobija (neįprastas regimosios šviesos netoleravimas). Ankstyvi pokyčiai dažniausiai yra grįžtami, tačiau nedelsiant nenutrukus etambutolio vartojimo gali atsirasti aklumas (taip pat žr. 2 skyrių).</w:t>
      </w:r>
    </w:p>
    <w:p w:rsidR="00960503" w:rsidRPr="00EF4AD3" w:rsidRDefault="00960503" w:rsidP="00960503">
      <w:pPr>
        <w:pStyle w:val="Pavadinimas"/>
        <w:jc w:val="left"/>
        <w:rPr>
          <w:b w:val="0"/>
          <w:noProof/>
          <w:szCs w:val="22"/>
          <w:u w:val="single"/>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Odos ir poodinio audinio sutrikimai: odos reakcijos, pvz., bėrimas, niežulys ir dilgėlinė.</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Skeleto, raumenų ir jungiamojo audinio sutrikimai: artralgija (raumenų skausmas).</w:t>
      </w:r>
    </w:p>
    <w:p w:rsidR="00960503" w:rsidRPr="00EF4AD3" w:rsidRDefault="00960503" w:rsidP="00960503">
      <w:pPr>
        <w:pStyle w:val="Pavadinimas"/>
        <w:jc w:val="left"/>
        <w:rPr>
          <w:b w:val="0"/>
          <w:noProof/>
          <w:szCs w:val="22"/>
          <w:u w:val="single"/>
          <w:lang w:val="lt-LT"/>
        </w:rPr>
      </w:pPr>
    </w:p>
    <w:p w:rsidR="00960503" w:rsidRPr="00EF4AD3" w:rsidRDefault="00960503" w:rsidP="00960503">
      <w:pPr>
        <w:pStyle w:val="Pavadinimas"/>
        <w:jc w:val="left"/>
        <w:rPr>
          <w:noProof/>
          <w:szCs w:val="22"/>
          <w:u w:val="single"/>
          <w:lang w:val="lt-LT"/>
        </w:rPr>
      </w:pPr>
      <w:r w:rsidRPr="00EF4AD3">
        <w:rPr>
          <w:noProof/>
          <w:szCs w:val="22"/>
          <w:u w:val="single"/>
          <w:lang w:val="lt-LT"/>
        </w:rPr>
        <w:t>Labai reti</w:t>
      </w:r>
    </w:p>
    <w:p w:rsidR="00960503" w:rsidRPr="00EF4AD3" w:rsidRDefault="00960503" w:rsidP="00960503">
      <w:pPr>
        <w:pStyle w:val="Pavadinimas"/>
        <w:jc w:val="left"/>
        <w:rPr>
          <w:b w:val="0"/>
          <w:noProof/>
          <w:szCs w:val="22"/>
          <w:lang w:val="lt-LT"/>
        </w:rPr>
      </w:pPr>
      <w:r w:rsidRPr="00EF4AD3">
        <w:rPr>
          <w:b w:val="0"/>
          <w:noProof/>
          <w:szCs w:val="22"/>
          <w:lang w:val="lt-LT"/>
        </w:rPr>
        <w:t>Nervų sistemos sutrikimai: polineuropatija (daugelio nervų pažeidimas).</w:t>
      </w:r>
    </w:p>
    <w:p w:rsidR="00960503" w:rsidRPr="00EF4AD3" w:rsidRDefault="00960503" w:rsidP="00960503">
      <w:pPr>
        <w:pStyle w:val="Pavadinimas"/>
        <w:jc w:val="left"/>
        <w:rPr>
          <w:b w:val="0"/>
          <w:noProof/>
          <w:szCs w:val="22"/>
          <w:lang w:val="lt-LT"/>
        </w:rPr>
      </w:pPr>
      <w:r w:rsidRPr="00EF4AD3">
        <w:rPr>
          <w:b w:val="0"/>
          <w:noProof/>
          <w:szCs w:val="22"/>
          <w:lang w:val="lt-LT"/>
        </w:rPr>
        <w:t>Kepenų, tulžies pūslės ir latakų sutrikimai: kepenų fermentų aktyvumo padidėjimas, hepatitas.</w:t>
      </w:r>
    </w:p>
    <w:p w:rsidR="00960503" w:rsidRPr="00EF4AD3" w:rsidRDefault="00960503" w:rsidP="00960503">
      <w:pPr>
        <w:pStyle w:val="Pavadinimas"/>
        <w:jc w:val="left"/>
        <w:rPr>
          <w:b w:val="0"/>
          <w:noProof/>
          <w:szCs w:val="22"/>
          <w:u w:val="single"/>
          <w:lang w:val="lt-LT"/>
        </w:rPr>
      </w:pPr>
    </w:p>
    <w:p w:rsidR="00960503" w:rsidRPr="00EF4AD3" w:rsidRDefault="00960503" w:rsidP="00960503">
      <w:pPr>
        <w:pStyle w:val="Pavadinimas"/>
        <w:jc w:val="left"/>
        <w:rPr>
          <w:noProof/>
          <w:szCs w:val="22"/>
          <w:u w:val="single"/>
          <w:lang w:val="lt-LT"/>
        </w:rPr>
      </w:pPr>
      <w:r w:rsidRPr="00EF4AD3">
        <w:rPr>
          <w:noProof/>
          <w:szCs w:val="22"/>
          <w:u w:val="single"/>
          <w:lang w:val="lt-LT"/>
        </w:rPr>
        <w:t>Dažnis nežinomas</w:t>
      </w:r>
    </w:p>
    <w:p w:rsidR="00960503" w:rsidRPr="00EF4AD3" w:rsidRDefault="00960503" w:rsidP="00960503">
      <w:pPr>
        <w:pStyle w:val="Pavadinimas"/>
        <w:jc w:val="left"/>
        <w:rPr>
          <w:b w:val="0"/>
          <w:noProof/>
          <w:szCs w:val="22"/>
          <w:lang w:val="lt-LT"/>
        </w:rPr>
      </w:pPr>
      <w:r w:rsidRPr="00EF4AD3">
        <w:rPr>
          <w:b w:val="0"/>
          <w:noProof/>
          <w:szCs w:val="22"/>
          <w:lang w:val="lt-LT"/>
        </w:rPr>
        <w:t>Kraujo ir limfinės sistemos sutrikimai: gauta pranešimų apie alerginių reakcijų metu nustatytą leukopeniją (baltųjų kraujo kūnelio kiekio sumažėjimą) ir pavienius neutropenijos (neįprastai mažo neutrofilų, baltųjų kraujo ląstelių rūšies, kiekio) atvejus kartu su eozinofilija (neįprastai didelis eozinofilų, taip pat baltųjų kraujo ląstelių rūšies, kiekis).</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 xml:space="preserve">Imuninės sistemos sutrikimai: penumonitas (plaučių audinio uždegimas) ir neutropenija (neįprastai mažas neutrofilų, baltųjų kraujo ląstelių rūšies, kiekis) kartu su eozinofilija (neįprastai didelis eozinofilų, taip pat baltųjų kraujo ląstelių rūšies, kiekis), </w:t>
      </w:r>
      <w:r w:rsidRPr="00EF4AD3">
        <w:rPr>
          <w:b w:val="0"/>
          <w:i/>
          <w:noProof/>
          <w:szCs w:val="22"/>
          <w:lang w:val="lt-LT"/>
        </w:rPr>
        <w:t>Steven</w:t>
      </w:r>
      <w:r w:rsidRPr="00EF4AD3">
        <w:rPr>
          <w:b w:val="0"/>
          <w:i/>
          <w:noProof/>
          <w:szCs w:val="22"/>
          <w:lang w:val="lt-LT"/>
        </w:rPr>
        <w:noBreakHyphen/>
        <w:t xml:space="preserve">Johnson </w:t>
      </w:r>
      <w:r w:rsidRPr="00EF4AD3">
        <w:rPr>
          <w:b w:val="0"/>
          <w:noProof/>
          <w:szCs w:val="22"/>
          <w:lang w:val="lt-LT"/>
        </w:rPr>
        <w:t>sindromas (gyvybei pavojinga odos būklė).</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Kvėpavimo sistemos, krūtinės ląstos ir tarpuplaučio sutrikimai: pneumonitas (plaučių audinio uždegimas) alerginių reakcijų metu (taip pat žr. poskyrį „Imuninės sistemos sutrikimai“).</w:t>
      </w:r>
    </w:p>
    <w:p w:rsidR="00960503" w:rsidRPr="00EF4AD3" w:rsidRDefault="00960503" w:rsidP="00960503">
      <w:pPr>
        <w:pStyle w:val="Pavadinimas"/>
        <w:jc w:val="left"/>
        <w:rPr>
          <w:b w:val="0"/>
          <w:noProof/>
          <w:szCs w:val="22"/>
          <w:lang w:val="lt-LT"/>
        </w:rPr>
      </w:pPr>
    </w:p>
    <w:p w:rsidR="00960503" w:rsidRPr="00EF4AD3" w:rsidRDefault="00960503" w:rsidP="00960503">
      <w:pPr>
        <w:pStyle w:val="Pavadinimas"/>
        <w:jc w:val="left"/>
        <w:rPr>
          <w:b w:val="0"/>
          <w:noProof/>
          <w:szCs w:val="22"/>
          <w:lang w:val="lt-LT"/>
        </w:rPr>
      </w:pPr>
      <w:r w:rsidRPr="00EF4AD3">
        <w:rPr>
          <w:b w:val="0"/>
          <w:noProof/>
          <w:szCs w:val="22"/>
          <w:lang w:val="lt-LT"/>
        </w:rPr>
        <w:t>Virškinimo trakto sutrikimai: meteorizmas, sotumo jausmas, virškinimo sutrikimai ir pykinimas.</w:t>
      </w:r>
    </w:p>
    <w:p w:rsidR="00960503" w:rsidRPr="00EF4AD3" w:rsidRDefault="00960503" w:rsidP="00960503">
      <w:pPr>
        <w:pStyle w:val="Pavadinimas"/>
        <w:jc w:val="left"/>
        <w:rPr>
          <w:b w:val="0"/>
          <w:noProof/>
          <w:szCs w:val="22"/>
          <w:lang w:val="lt-LT"/>
        </w:rPr>
      </w:pPr>
    </w:p>
    <w:p w:rsidR="00572F8C" w:rsidRPr="002B3383" w:rsidRDefault="00960503" w:rsidP="00103E28">
      <w:pPr>
        <w:pStyle w:val="Pavadinimas"/>
        <w:jc w:val="left"/>
        <w:rPr>
          <w:b w:val="0"/>
          <w:noProof/>
          <w:szCs w:val="22"/>
          <w:lang w:val="lt-LT"/>
        </w:rPr>
      </w:pPr>
      <w:r w:rsidRPr="00EF4AD3">
        <w:rPr>
          <w:b w:val="0"/>
          <w:noProof/>
          <w:szCs w:val="22"/>
          <w:lang w:val="lt-LT"/>
        </w:rPr>
        <w:t>Odos ir poodinio audinio sutrikimai:</w:t>
      </w:r>
      <w:r w:rsidRPr="00EF4AD3">
        <w:rPr>
          <w:szCs w:val="22"/>
          <w:lang w:val="lt-LT"/>
        </w:rPr>
        <w:t xml:space="preserve"> </w:t>
      </w:r>
      <w:r w:rsidRPr="00EF4AD3">
        <w:rPr>
          <w:b w:val="0"/>
          <w:noProof/>
          <w:szCs w:val="22"/>
          <w:lang w:val="lt-LT"/>
        </w:rPr>
        <w:t>egzantema (išplitęs bėrimas)</w:t>
      </w:r>
      <w:r w:rsidR="00572F8C">
        <w:rPr>
          <w:b w:val="0"/>
          <w:noProof/>
          <w:szCs w:val="22"/>
          <w:lang w:val="lt-LT"/>
        </w:rPr>
        <w:t>,</w:t>
      </w:r>
      <w:r w:rsidRPr="00EF4AD3">
        <w:rPr>
          <w:b w:val="0"/>
          <w:noProof/>
          <w:szCs w:val="22"/>
          <w:lang w:val="lt-LT"/>
        </w:rPr>
        <w:t xml:space="preserve"> kerpligė (odos liga)</w:t>
      </w:r>
      <w:r w:rsidR="00572F8C">
        <w:rPr>
          <w:b w:val="0"/>
          <w:noProof/>
          <w:szCs w:val="22"/>
          <w:lang w:val="lt-LT"/>
        </w:rPr>
        <w:t xml:space="preserve"> </w:t>
      </w:r>
      <w:r w:rsidR="002B3383">
        <w:rPr>
          <w:b w:val="0"/>
          <w:noProof/>
          <w:szCs w:val="22"/>
          <w:lang w:val="lt-LT"/>
        </w:rPr>
        <w:t xml:space="preserve">ir </w:t>
      </w:r>
      <w:r w:rsidR="002B3383" w:rsidRPr="002B3383">
        <w:rPr>
          <w:b w:val="0"/>
          <w:noProof/>
          <w:szCs w:val="22"/>
          <w:lang w:val="lt-LT"/>
        </w:rPr>
        <w:t>sunki</w:t>
      </w:r>
      <w:r w:rsidR="002B3383">
        <w:rPr>
          <w:b w:val="0"/>
          <w:noProof/>
          <w:szCs w:val="22"/>
          <w:lang w:val="lt-LT"/>
        </w:rPr>
        <w:t>os</w:t>
      </w:r>
      <w:r w:rsidR="002B3383" w:rsidRPr="002B3383">
        <w:rPr>
          <w:b w:val="0"/>
          <w:noProof/>
          <w:szCs w:val="22"/>
          <w:lang w:val="lt-LT"/>
        </w:rPr>
        <w:t xml:space="preserve"> nepageidaujam</w:t>
      </w:r>
      <w:r w:rsidR="002B3383">
        <w:rPr>
          <w:b w:val="0"/>
          <w:noProof/>
          <w:szCs w:val="22"/>
          <w:lang w:val="lt-LT"/>
        </w:rPr>
        <w:t>o</w:t>
      </w:r>
      <w:r w:rsidR="002B3383" w:rsidRPr="002B3383">
        <w:rPr>
          <w:b w:val="0"/>
          <w:noProof/>
          <w:szCs w:val="22"/>
          <w:lang w:val="lt-LT"/>
        </w:rPr>
        <w:t>s odos reakcij</w:t>
      </w:r>
      <w:r w:rsidR="002B3383">
        <w:rPr>
          <w:b w:val="0"/>
          <w:noProof/>
          <w:szCs w:val="22"/>
          <w:lang w:val="lt-LT"/>
        </w:rPr>
        <w:t>o</w:t>
      </w:r>
      <w:r w:rsidR="002B3383" w:rsidRPr="002B3383">
        <w:rPr>
          <w:b w:val="0"/>
          <w:noProof/>
          <w:szCs w:val="22"/>
          <w:lang w:val="lt-LT"/>
        </w:rPr>
        <w:t>s, įskaitant Stivenso-Džonsono sindromą (SDS), toksinę epidermio nekrolizę (TEN) ir reakciją į vaistą su eozinofilija ir sisteminiais simptomais (DRESS).</w:t>
      </w:r>
    </w:p>
    <w:p w:rsidR="002B3383" w:rsidRPr="00103E28" w:rsidRDefault="002B3383" w:rsidP="00103E28">
      <w:pPr>
        <w:pStyle w:val="Pavadinimas"/>
        <w:jc w:val="left"/>
        <w:rPr>
          <w:b w:val="0"/>
          <w:bCs/>
          <w:szCs w:val="22"/>
          <w:lang w:val="lt-LT"/>
        </w:rPr>
      </w:pPr>
      <w:r w:rsidRPr="00103E28">
        <w:rPr>
          <w:b w:val="0"/>
          <w:szCs w:val="22"/>
          <w:lang w:val="lt-LT"/>
        </w:rPr>
        <w:t xml:space="preserve">Nebevartokite </w:t>
      </w:r>
      <w:r w:rsidRPr="00103E28">
        <w:rPr>
          <w:b w:val="0"/>
          <w:lang w:val="lt-LT"/>
        </w:rPr>
        <w:t>EMB-Fatol</w:t>
      </w:r>
      <w:r w:rsidRPr="00103E28">
        <w:rPr>
          <w:b w:val="0"/>
          <w:szCs w:val="22"/>
          <w:lang w:val="lt-LT"/>
        </w:rPr>
        <w:t xml:space="preserve"> ir </w:t>
      </w:r>
      <w:r w:rsidRPr="00103E28">
        <w:rPr>
          <w:b w:val="0"/>
          <w:bCs/>
          <w:szCs w:val="22"/>
          <w:lang w:val="lt-LT"/>
        </w:rPr>
        <w:t xml:space="preserve">nedelsdami kreipkitės pagalbos į gydytoją, jeigu pastebėtumėte bet </w:t>
      </w:r>
      <w:r>
        <w:rPr>
          <w:b w:val="0"/>
          <w:bCs/>
          <w:szCs w:val="22"/>
          <w:lang w:val="lt-LT"/>
        </w:rPr>
        <w:t>kurį</w:t>
      </w:r>
      <w:r w:rsidRPr="00103E28">
        <w:rPr>
          <w:b w:val="0"/>
          <w:bCs/>
          <w:szCs w:val="22"/>
          <w:lang w:val="lt-LT"/>
        </w:rPr>
        <w:t xml:space="preserve"> iš šių simptomų:</w:t>
      </w:r>
    </w:p>
    <w:p w:rsidR="00572F8C" w:rsidRPr="00572F8C" w:rsidRDefault="00572F8C" w:rsidP="00103E28">
      <w:pPr>
        <w:pStyle w:val="Pavadinimas"/>
        <w:numPr>
          <w:ilvl w:val="0"/>
          <w:numId w:val="10"/>
        </w:numPr>
        <w:ind w:left="567" w:hanging="567"/>
        <w:jc w:val="left"/>
        <w:rPr>
          <w:b w:val="0"/>
          <w:noProof/>
          <w:szCs w:val="22"/>
          <w:lang w:val="lt-LT"/>
        </w:rPr>
      </w:pPr>
      <w:r w:rsidRPr="00572F8C">
        <w:rPr>
          <w:b w:val="0"/>
          <w:noProof/>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bėrimui, pacientui gali pasireikšti karščiavimas ir gripą primenantys simptomai (Stivenso-Džonsono sindromas, toksinė epidermio nekrolizė)</w:t>
      </w:r>
      <w:r w:rsidR="002B3383">
        <w:rPr>
          <w:b w:val="0"/>
          <w:noProof/>
          <w:szCs w:val="22"/>
          <w:lang w:val="lt-LT"/>
        </w:rPr>
        <w:t>;</w:t>
      </w:r>
    </w:p>
    <w:p w:rsidR="00960503" w:rsidRPr="00EF4AD3" w:rsidRDefault="002B3383" w:rsidP="00103E28">
      <w:pPr>
        <w:pStyle w:val="Pavadinimas"/>
        <w:numPr>
          <w:ilvl w:val="1"/>
          <w:numId w:val="10"/>
        </w:numPr>
        <w:ind w:left="567" w:hanging="567"/>
        <w:jc w:val="left"/>
        <w:rPr>
          <w:b w:val="0"/>
          <w:noProof/>
          <w:szCs w:val="22"/>
          <w:lang w:val="lt-LT"/>
        </w:rPr>
      </w:pPr>
      <w:r>
        <w:rPr>
          <w:b w:val="0"/>
          <w:noProof/>
          <w:szCs w:val="22"/>
          <w:lang w:val="lt-LT"/>
        </w:rPr>
        <w:t>i</w:t>
      </w:r>
      <w:r w:rsidR="00572F8C" w:rsidRPr="00572F8C">
        <w:rPr>
          <w:b w:val="0"/>
          <w:noProof/>
          <w:szCs w:val="22"/>
          <w:lang w:val="lt-LT"/>
        </w:rPr>
        <w:t xml:space="preserve">šplitęs išbėrimas, pakilusi kūno temperatūra ir padidėję limfmazgiai (DRESS sindromas arba padidėjusio jautrumo vaistui </w:t>
      </w:r>
      <w:r w:rsidR="007F05CC">
        <w:rPr>
          <w:b w:val="0"/>
          <w:noProof/>
          <w:szCs w:val="22"/>
          <w:lang w:val="lt-LT"/>
        </w:rPr>
        <w:t>reakcija</w:t>
      </w:r>
      <w:r w:rsidR="00572F8C" w:rsidRPr="00572F8C">
        <w:rPr>
          <w:b w:val="0"/>
          <w:noProof/>
          <w:szCs w:val="22"/>
          <w:lang w:val="lt-LT"/>
        </w:rPr>
        <w:t>)</w:t>
      </w:r>
      <w:r w:rsidR="00960503" w:rsidRPr="00EF4AD3">
        <w:rPr>
          <w:b w:val="0"/>
          <w:noProof/>
          <w:szCs w:val="22"/>
          <w:lang w:val="lt-LT"/>
        </w:rPr>
        <w:t>.</w:t>
      </w:r>
    </w:p>
    <w:p w:rsidR="00960503" w:rsidRPr="00EF4AD3" w:rsidRDefault="00960503" w:rsidP="002B3383">
      <w:pPr>
        <w:pStyle w:val="BTEMEASMCA"/>
      </w:pPr>
    </w:p>
    <w:p w:rsidR="00960503" w:rsidRPr="00EF4AD3" w:rsidRDefault="00960503" w:rsidP="002B3383">
      <w:pPr>
        <w:pStyle w:val="BTEMEASMCA"/>
      </w:pPr>
      <w:r w:rsidRPr="00EF4AD3">
        <w:t>Priemonės, kurių reikia imtis pasireiškus nepageidaujamoms reakcijoms</w:t>
      </w:r>
    </w:p>
    <w:p w:rsidR="00960503" w:rsidRPr="009E429E" w:rsidRDefault="00960503" w:rsidP="002B3383">
      <w:pPr>
        <w:pStyle w:val="BTEMEASMCA"/>
      </w:pPr>
      <w:r w:rsidRPr="009E429E">
        <w:t>Sunkios ūmios padidėjusio jautrumo reakcijos (pvz. anafilaksija)</w:t>
      </w:r>
    </w:p>
    <w:p w:rsidR="00960503" w:rsidRPr="00EF4AD3" w:rsidRDefault="00960503" w:rsidP="005717F4">
      <w:pPr>
        <w:pStyle w:val="BTEMEASMCA"/>
      </w:pPr>
      <w:r w:rsidRPr="00EF4AD3">
        <w:t>Reikia nedelsiant nutraukti EMB-Fatol vartojimą ir, jei reikia, naudoti skubios pagalbos priemones (pvz., paskirti antihistamininių, kortikosteroidų preparatų, simpatomimetikų ir, esant reikalui, daryti dirbtinį kvėpavimą).</w:t>
      </w:r>
    </w:p>
    <w:p w:rsidR="00960503" w:rsidRPr="00EF4AD3" w:rsidRDefault="00960503" w:rsidP="005717F4">
      <w:pPr>
        <w:pStyle w:val="BTEMEASMCA"/>
      </w:pPr>
    </w:p>
    <w:p w:rsidR="00960503" w:rsidRPr="002A47A7" w:rsidRDefault="00960503" w:rsidP="005717F4">
      <w:pPr>
        <w:pStyle w:val="BTEMEASMCA"/>
        <w:rPr>
          <w:b/>
        </w:rPr>
      </w:pPr>
      <w:r w:rsidRPr="002A47A7">
        <w:rPr>
          <w:b/>
        </w:rPr>
        <w:t>Pranešimas apie šalutinį poveikį</w:t>
      </w:r>
    </w:p>
    <w:p w:rsidR="00960503" w:rsidRPr="00EF4AD3" w:rsidRDefault="007F05CC" w:rsidP="005717F4">
      <w:pPr>
        <w:pStyle w:val="BTEMEASMCA"/>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960503" w:rsidRPr="00EF4AD3" w:rsidRDefault="00960503" w:rsidP="005717F4">
      <w:pPr>
        <w:pStyle w:val="BTEMEASMCA"/>
      </w:pPr>
    </w:p>
    <w:p w:rsidR="00960503" w:rsidRPr="00EF4AD3" w:rsidRDefault="00960503" w:rsidP="00960503">
      <w:pPr>
        <w:pStyle w:val="PI-1EMEASMCA"/>
      </w:pPr>
      <w:r w:rsidRPr="00EF4AD3">
        <w:t>5.</w:t>
      </w:r>
      <w:r w:rsidRPr="00EF4AD3">
        <w:tab/>
        <w:t>Kaip laikyti EMB-Fatol</w:t>
      </w:r>
    </w:p>
    <w:p w:rsidR="00960503" w:rsidRPr="00EF4AD3" w:rsidRDefault="00960503" w:rsidP="005717F4">
      <w:pPr>
        <w:pStyle w:val="BTEMEASMCA"/>
      </w:pPr>
    </w:p>
    <w:p w:rsidR="00960503" w:rsidRPr="00EF4AD3" w:rsidRDefault="00960503" w:rsidP="005717F4">
      <w:pPr>
        <w:pStyle w:val="BTEMEASMCA"/>
      </w:pPr>
      <w:r>
        <w:t>Šį vaistą l</w:t>
      </w:r>
      <w:r w:rsidRPr="00EF4AD3">
        <w:t>aiky</w:t>
      </w:r>
      <w:r>
        <w:t>kite</w:t>
      </w:r>
      <w:r w:rsidRPr="00EF4AD3">
        <w:t xml:space="preserve"> vaikams nepastebimoje ir nepasiekiamoje vietoje.</w:t>
      </w:r>
    </w:p>
    <w:p w:rsidR="00960503" w:rsidRPr="00EF4AD3" w:rsidRDefault="00960503" w:rsidP="005717F4">
      <w:pPr>
        <w:pStyle w:val="BTEMEASMCA"/>
      </w:pPr>
    </w:p>
    <w:p w:rsidR="00960503" w:rsidRPr="00EF4AD3" w:rsidRDefault="00960503" w:rsidP="005717F4">
      <w:pPr>
        <w:pStyle w:val="BTEMEASMCA"/>
      </w:pPr>
      <w:r w:rsidRPr="00EF4AD3">
        <w:t xml:space="preserve">Laikyti žemesnėje kaip </w:t>
      </w:r>
      <w:smartTag w:uri="urn:schemas-microsoft-com:office:smarttags" w:element="metricconverter">
        <w:smartTagPr>
          <w:attr w:name="ProductID" w:val="25ﾰC"/>
        </w:smartTagPr>
        <w:r w:rsidRPr="00EF4AD3">
          <w:t>25°C</w:t>
        </w:r>
      </w:smartTag>
      <w:r w:rsidRPr="00EF4AD3">
        <w:t xml:space="preserve"> temperatūroje.</w:t>
      </w:r>
    </w:p>
    <w:p w:rsidR="00960503" w:rsidRPr="00EF4AD3" w:rsidRDefault="00960503" w:rsidP="005717F4">
      <w:pPr>
        <w:pStyle w:val="BTEMEASMCA"/>
      </w:pPr>
    </w:p>
    <w:p w:rsidR="00960503" w:rsidRPr="00EF4AD3" w:rsidRDefault="00960503" w:rsidP="005717F4">
      <w:pPr>
        <w:pStyle w:val="BTEMEASMCA"/>
      </w:pPr>
      <w:r w:rsidRPr="00EF4AD3">
        <w:t>Ant buteliuko  po „Tinka iki“ nurodytam tinkamumo laikui pasibaigus, šio vaisto vartoti negalima. Vaistas tinkamas vartoti iki paskutinės nurodyto mėnesio dienos.</w:t>
      </w:r>
    </w:p>
    <w:p w:rsidR="00960503" w:rsidRPr="00EF4AD3" w:rsidRDefault="00960503" w:rsidP="005717F4">
      <w:pPr>
        <w:pStyle w:val="BTEMEASMCA"/>
      </w:pPr>
    </w:p>
    <w:p w:rsidR="00960503" w:rsidRPr="00EF4AD3" w:rsidRDefault="00960503" w:rsidP="005717F4">
      <w:pPr>
        <w:pStyle w:val="BTEMEASMCA"/>
      </w:pPr>
      <w:r w:rsidRPr="00EF4AD3">
        <w:t>Vaistų negalima išmesti į kanalizaciją arba su buitinėmis atliekomis. Kaip išmesti nereikalingus vaistus, klauskite vaistininko. Šios priemonės padės apsaugoti aplinką.</w:t>
      </w:r>
    </w:p>
    <w:p w:rsidR="00960503" w:rsidRPr="00EF4AD3" w:rsidRDefault="00960503" w:rsidP="005717F4">
      <w:pPr>
        <w:pStyle w:val="BTEMEASMCA"/>
      </w:pPr>
    </w:p>
    <w:p w:rsidR="00960503" w:rsidRPr="00EF4AD3" w:rsidRDefault="00960503" w:rsidP="005717F4">
      <w:pPr>
        <w:pStyle w:val="BTEMEASMCA"/>
      </w:pPr>
    </w:p>
    <w:p w:rsidR="00960503" w:rsidRPr="00EF4AD3" w:rsidRDefault="00960503" w:rsidP="00960503">
      <w:pPr>
        <w:pStyle w:val="PI-1EMEASMCA"/>
      </w:pPr>
      <w:r w:rsidRPr="00EF4AD3">
        <w:t>6.</w:t>
      </w:r>
      <w:r w:rsidRPr="00EF4AD3">
        <w:tab/>
        <w:t>Pakuotės turinys ir kita informacija</w:t>
      </w:r>
    </w:p>
    <w:p w:rsidR="00960503" w:rsidRPr="00EF4AD3" w:rsidRDefault="00960503" w:rsidP="005717F4">
      <w:pPr>
        <w:pStyle w:val="BTEMEASMCA"/>
      </w:pPr>
    </w:p>
    <w:p w:rsidR="00960503" w:rsidRPr="002A47A7" w:rsidRDefault="00960503" w:rsidP="00960503">
      <w:pPr>
        <w:pStyle w:val="PI-3EMEASMCA"/>
        <w:rPr>
          <w:b/>
        </w:rPr>
      </w:pPr>
      <w:r w:rsidRPr="002A47A7">
        <w:rPr>
          <w:b/>
        </w:rPr>
        <w:t>EMB-Fatol sudėtis</w:t>
      </w:r>
    </w:p>
    <w:p w:rsidR="00960503" w:rsidRPr="00EF4AD3" w:rsidRDefault="00960503" w:rsidP="005717F4">
      <w:pPr>
        <w:pStyle w:val="BTEMEASMCA"/>
      </w:pPr>
    </w:p>
    <w:p w:rsidR="00960503" w:rsidRPr="00EF4AD3" w:rsidRDefault="00960503" w:rsidP="00A26E89">
      <w:pPr>
        <w:pStyle w:val="BT-EMEASMCA"/>
      </w:pPr>
      <w:r w:rsidRPr="00EF4AD3">
        <w:t>Veiklioji medžiaga yra etambutolio hidrochloridas. Kiekvienoje tabletėje yra 400 mg etambutolio hidrochlorido.</w:t>
      </w:r>
    </w:p>
    <w:p w:rsidR="00960503" w:rsidRPr="00EF4AD3" w:rsidRDefault="00960503" w:rsidP="00A26E89">
      <w:pPr>
        <w:pStyle w:val="BT-EMEASMCA"/>
      </w:pPr>
      <w:r w:rsidRPr="00EF4AD3">
        <w:t>Pagalbinės medžiagos yra kroskarmeliozės natrio druska, makrogolis 6000, kopovidonas, krospovidonas, mikrokristalinė celiuliozė, laktozė monohidratas, magnio stearatas, bevandenis koloidinis silicio dioksidas, hipromeliozė, povidonas, kalcio-vandenilio fosfatas dihidratas, titano dioksidas (E 171).</w:t>
      </w:r>
    </w:p>
    <w:p w:rsidR="00960503" w:rsidRPr="00EF4AD3" w:rsidRDefault="00960503" w:rsidP="005717F4">
      <w:pPr>
        <w:pStyle w:val="BTEMEASMCA"/>
      </w:pPr>
    </w:p>
    <w:p w:rsidR="00960503" w:rsidRPr="002A47A7" w:rsidRDefault="00960503" w:rsidP="00960503">
      <w:pPr>
        <w:pStyle w:val="PI-3EMEASMCA"/>
        <w:rPr>
          <w:b/>
        </w:rPr>
      </w:pPr>
      <w:r w:rsidRPr="002A47A7">
        <w:rPr>
          <w:b/>
        </w:rPr>
        <w:t>EMB-Fatol išvaizda ir kiekis pakuotėje</w:t>
      </w:r>
    </w:p>
    <w:p w:rsidR="00960503" w:rsidRPr="00EF4AD3" w:rsidRDefault="00960503" w:rsidP="005717F4">
      <w:pPr>
        <w:pStyle w:val="BTEMEASMCA"/>
      </w:pPr>
    </w:p>
    <w:p w:rsidR="00960503" w:rsidRPr="00EF4AD3" w:rsidRDefault="00960503" w:rsidP="005717F4">
      <w:pPr>
        <w:pStyle w:val="BTEMEASMCA"/>
      </w:pPr>
      <w:r w:rsidRPr="00EF4AD3">
        <w:t>Baltos apvalios plėvele dengtos tabletės, kurių vienoje pusėje įspausta „400”, o kitoje pusėje yra laužimo įranta. Tabletę galima padalinti į dvi lygias dozes.</w:t>
      </w:r>
    </w:p>
    <w:p w:rsidR="00960503" w:rsidRPr="00EF4AD3" w:rsidRDefault="00960503" w:rsidP="00960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EMB-Fatol tiekiamas baltos spalvos polipropileno buteliukuose po 100 arba 1000 plėvele dengtų tablečių.</w:t>
      </w:r>
    </w:p>
    <w:p w:rsidR="00960503" w:rsidRPr="00EF4AD3" w:rsidRDefault="00960503" w:rsidP="005717F4">
      <w:pPr>
        <w:pStyle w:val="BTEMEASMCA"/>
      </w:pPr>
    </w:p>
    <w:p w:rsidR="00960503" w:rsidRPr="00EF4AD3" w:rsidRDefault="00960503" w:rsidP="005717F4">
      <w:pPr>
        <w:pStyle w:val="BTEMEASMCA"/>
      </w:pPr>
      <w:r w:rsidRPr="00EF4AD3">
        <w:t>Gali būti tiekiamos ne visų dydžių pakuotės.</w:t>
      </w:r>
    </w:p>
    <w:p w:rsidR="00960503" w:rsidRPr="00EF4AD3" w:rsidRDefault="00960503" w:rsidP="005717F4">
      <w:pPr>
        <w:pStyle w:val="BTEMEASMCA"/>
      </w:pPr>
    </w:p>
    <w:p w:rsidR="00960503" w:rsidRPr="002A47A7" w:rsidRDefault="00960503" w:rsidP="00960503">
      <w:pPr>
        <w:pStyle w:val="PI-3EMEASMCA"/>
        <w:rPr>
          <w:b/>
        </w:rPr>
      </w:pPr>
      <w:r w:rsidRPr="002A47A7">
        <w:rPr>
          <w:b/>
        </w:rPr>
        <w:t>Registruotojas ir gamintojas</w:t>
      </w:r>
    </w:p>
    <w:p w:rsidR="00960503" w:rsidRPr="00EF4AD3" w:rsidRDefault="00960503" w:rsidP="00960503">
      <w:pPr>
        <w:pStyle w:val="PI-3EMEASMCA"/>
      </w:pPr>
    </w:p>
    <w:p w:rsidR="00960503" w:rsidRPr="002A47A7" w:rsidRDefault="00960503" w:rsidP="00960503">
      <w:pPr>
        <w:pStyle w:val="PI-3EMEASMCA"/>
        <w:rPr>
          <w:b/>
        </w:rPr>
      </w:pPr>
      <w:r w:rsidRPr="002A47A7">
        <w:rPr>
          <w:b/>
        </w:rPr>
        <w:t xml:space="preserve">Registruotojas </w:t>
      </w: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Esteve Pharmaceuticals GmbH</w:t>
      </w:r>
    </w:p>
    <w:p w:rsidR="005717F4" w:rsidRPr="005717F4" w:rsidRDefault="005717F4" w:rsidP="005717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Hohenzollerndamm 150-151</w:t>
      </w:r>
    </w:p>
    <w:p w:rsidR="00960503" w:rsidRPr="00EF4AD3" w:rsidRDefault="005717F4"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717F4">
        <w:rPr>
          <w:spacing w:val="-3"/>
          <w:szCs w:val="22"/>
        </w:rPr>
        <w:t>14199 Berlin</w:t>
      </w:r>
    </w:p>
    <w:p w:rsidR="00960503" w:rsidRPr="00EF4AD3" w:rsidRDefault="00960503"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EF4AD3">
        <w:rPr>
          <w:spacing w:val="-3"/>
          <w:szCs w:val="22"/>
        </w:rPr>
        <w:t>Vokietija</w:t>
      </w:r>
    </w:p>
    <w:p w:rsidR="00960503" w:rsidRPr="00EF4AD3" w:rsidRDefault="00960503" w:rsidP="00960503">
      <w:pPr>
        <w:tabs>
          <w:tab w:val="left" w:pos="567"/>
        </w:tabs>
        <w:rPr>
          <w:noProof/>
          <w:szCs w:val="22"/>
        </w:rPr>
      </w:pPr>
      <w:r w:rsidRPr="00EF4AD3">
        <w:rPr>
          <w:noProof/>
          <w:szCs w:val="22"/>
        </w:rPr>
        <w:t>Tel.</w:t>
      </w:r>
      <w:r w:rsidR="001365BD">
        <w:rPr>
          <w:noProof/>
          <w:szCs w:val="22"/>
        </w:rPr>
        <w:t xml:space="preserve">  </w:t>
      </w:r>
      <w:r w:rsidRPr="00EF4AD3">
        <w:rPr>
          <w:noProof/>
          <w:szCs w:val="22"/>
        </w:rPr>
        <w:t xml:space="preserve"> </w:t>
      </w:r>
      <w:r w:rsidR="005717F4" w:rsidRPr="005717F4">
        <w:rPr>
          <w:noProof/>
          <w:szCs w:val="22"/>
        </w:rPr>
        <w:t>+49 30 338427-0</w:t>
      </w:r>
    </w:p>
    <w:p w:rsidR="00960503" w:rsidRPr="00EF4AD3" w:rsidRDefault="00960503" w:rsidP="00960503">
      <w:pPr>
        <w:tabs>
          <w:tab w:val="left" w:pos="567"/>
        </w:tabs>
        <w:rPr>
          <w:noProof/>
          <w:szCs w:val="22"/>
        </w:rPr>
      </w:pPr>
      <w:r w:rsidRPr="00EF4AD3">
        <w:rPr>
          <w:noProof/>
          <w:szCs w:val="22"/>
        </w:rPr>
        <w:t xml:space="preserve">El. </w:t>
      </w:r>
      <w:r w:rsidR="001365BD">
        <w:rPr>
          <w:noProof/>
          <w:szCs w:val="22"/>
        </w:rPr>
        <w:t xml:space="preserve">paštas  </w:t>
      </w:r>
      <w:r w:rsidRPr="00EF4AD3">
        <w:rPr>
          <w:noProof/>
          <w:szCs w:val="22"/>
        </w:rPr>
        <w:t xml:space="preserve"> </w:t>
      </w:r>
      <w:r w:rsidR="005717F4" w:rsidRPr="005717F4">
        <w:t>info.germany@esteve.com</w:t>
      </w:r>
    </w:p>
    <w:p w:rsidR="00960503" w:rsidRPr="00EF4AD3" w:rsidRDefault="00960503"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960503" w:rsidRPr="00EF4AD3" w:rsidRDefault="00960503" w:rsidP="0096050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B954D4">
        <w:rPr>
          <w:b/>
          <w:spacing w:val="-3"/>
          <w:szCs w:val="22"/>
        </w:rPr>
        <w:t>Gamintojas</w:t>
      </w:r>
    </w:p>
    <w:p w:rsidR="00960503" w:rsidRPr="00EF4AD3" w:rsidRDefault="00960503" w:rsidP="00960503">
      <w:pPr>
        <w:tabs>
          <w:tab w:val="left" w:pos="567"/>
        </w:tabs>
        <w:rPr>
          <w:noProof/>
          <w:szCs w:val="22"/>
        </w:rPr>
      </w:pPr>
      <w:r w:rsidRPr="00EF4AD3">
        <w:rPr>
          <w:noProof/>
          <w:szCs w:val="22"/>
        </w:rPr>
        <w:t>SW Pharma GmbH</w:t>
      </w:r>
    </w:p>
    <w:p w:rsidR="00960503" w:rsidRPr="00EF4AD3" w:rsidRDefault="00960503" w:rsidP="00960503">
      <w:pPr>
        <w:tabs>
          <w:tab w:val="left" w:pos="567"/>
        </w:tabs>
        <w:rPr>
          <w:noProof/>
          <w:szCs w:val="22"/>
        </w:rPr>
      </w:pPr>
      <w:r w:rsidRPr="00EF4AD3">
        <w:rPr>
          <w:noProof/>
          <w:szCs w:val="22"/>
        </w:rPr>
        <w:t>Robert-Koch-Straße 1</w:t>
      </w:r>
    </w:p>
    <w:p w:rsidR="00960503" w:rsidRPr="00EF4AD3" w:rsidRDefault="00960503" w:rsidP="00960503">
      <w:pPr>
        <w:tabs>
          <w:tab w:val="left" w:pos="567"/>
        </w:tabs>
        <w:rPr>
          <w:noProof/>
          <w:szCs w:val="22"/>
        </w:rPr>
      </w:pPr>
      <w:r w:rsidRPr="00EF4AD3">
        <w:rPr>
          <w:noProof/>
          <w:szCs w:val="22"/>
        </w:rPr>
        <w:t>66578 Schiffweiler</w:t>
      </w:r>
    </w:p>
    <w:p w:rsidR="00960503" w:rsidRPr="00EF4AD3" w:rsidRDefault="00960503" w:rsidP="00960503">
      <w:pPr>
        <w:tabs>
          <w:tab w:val="left" w:pos="567"/>
        </w:tabs>
        <w:rPr>
          <w:noProof/>
          <w:szCs w:val="22"/>
        </w:rPr>
      </w:pPr>
      <w:r w:rsidRPr="00EF4AD3">
        <w:rPr>
          <w:noProof/>
          <w:szCs w:val="22"/>
        </w:rPr>
        <w:t>Vokietija</w:t>
      </w:r>
    </w:p>
    <w:p w:rsidR="00960503" w:rsidRPr="00EF4AD3" w:rsidRDefault="00960503" w:rsidP="005717F4">
      <w:pPr>
        <w:pStyle w:val="BTEMEASMCA"/>
      </w:pPr>
    </w:p>
    <w:p w:rsidR="00960503" w:rsidRPr="00EF4AD3" w:rsidRDefault="00960503" w:rsidP="005717F4">
      <w:pPr>
        <w:pStyle w:val="BTEMEASMCA"/>
      </w:pPr>
      <w:r w:rsidRPr="00EF4AD3">
        <w:t xml:space="preserve">Jeigu apie šį vaistą norite sužinoti daugiau, kreipkitės į vietinį </w:t>
      </w:r>
      <w:r>
        <w:t>registruotojo</w:t>
      </w:r>
      <w:r w:rsidRPr="00EF4AD3">
        <w:t xml:space="preserve"> atstovą.</w:t>
      </w:r>
    </w:p>
    <w:p w:rsidR="00960503" w:rsidRPr="00EF4AD3" w:rsidRDefault="00960503" w:rsidP="00960503">
      <w:pPr>
        <w:rPr>
          <w:szCs w:val="22"/>
        </w:rPr>
      </w:pPr>
    </w:p>
    <w:tbl>
      <w:tblPr>
        <w:tblW w:w="4678" w:type="dxa"/>
        <w:tblInd w:w="-34" w:type="dxa"/>
        <w:tblLayout w:type="fixed"/>
        <w:tblLook w:val="0000" w:firstRow="0" w:lastRow="0" w:firstColumn="0" w:lastColumn="0" w:noHBand="0" w:noVBand="0"/>
      </w:tblPr>
      <w:tblGrid>
        <w:gridCol w:w="4678"/>
      </w:tblGrid>
      <w:tr w:rsidR="00960503" w:rsidRPr="00EF4AD3" w:rsidTr="00183DD6">
        <w:tc>
          <w:tcPr>
            <w:tcW w:w="4678" w:type="dxa"/>
          </w:tcPr>
          <w:p w:rsidR="00960503" w:rsidRPr="00EF4AD3" w:rsidRDefault="00960503" w:rsidP="00183DD6">
            <w:pPr>
              <w:ind w:right="-449"/>
              <w:rPr>
                <w:szCs w:val="22"/>
              </w:rPr>
            </w:pPr>
            <w:r w:rsidRPr="00EF4AD3">
              <w:rPr>
                <w:szCs w:val="22"/>
              </w:rPr>
              <w:t>UAB Armila</w:t>
            </w:r>
          </w:p>
          <w:p w:rsidR="00594425" w:rsidRDefault="00594425" w:rsidP="00183DD6">
            <w:pPr>
              <w:ind w:right="-449"/>
              <w:rPr>
                <w:szCs w:val="22"/>
              </w:rPr>
            </w:pPr>
            <w:r w:rsidRPr="00594425">
              <w:rPr>
                <w:szCs w:val="22"/>
              </w:rPr>
              <w:t>Molėtų pl. 75</w:t>
            </w:r>
          </w:p>
          <w:p w:rsidR="00960503" w:rsidRPr="00EF4AD3" w:rsidRDefault="00960503" w:rsidP="00183DD6">
            <w:pPr>
              <w:ind w:right="-449"/>
              <w:rPr>
                <w:szCs w:val="22"/>
              </w:rPr>
            </w:pPr>
            <w:r w:rsidRPr="00EF4AD3">
              <w:rPr>
                <w:szCs w:val="22"/>
              </w:rPr>
              <w:t>LT</w:t>
            </w:r>
            <w:r w:rsidR="00594425">
              <w:rPr>
                <w:szCs w:val="22"/>
              </w:rPr>
              <w:t>-</w:t>
            </w:r>
            <w:r w:rsidR="00594425" w:rsidRPr="00594425">
              <w:rPr>
                <w:szCs w:val="22"/>
              </w:rPr>
              <w:t>14259</w:t>
            </w:r>
            <w:r w:rsidR="00594425">
              <w:rPr>
                <w:szCs w:val="22"/>
              </w:rPr>
              <w:t xml:space="preserve"> </w:t>
            </w:r>
            <w:r w:rsidRPr="00EF4AD3">
              <w:rPr>
                <w:szCs w:val="22"/>
              </w:rPr>
              <w:t>Vilnius</w:t>
            </w:r>
          </w:p>
          <w:p w:rsidR="00960503" w:rsidRPr="00EF4AD3" w:rsidRDefault="00960503" w:rsidP="00183DD6">
            <w:pPr>
              <w:ind w:right="-449"/>
              <w:rPr>
                <w:szCs w:val="22"/>
              </w:rPr>
            </w:pPr>
            <w:r w:rsidRPr="00EF4AD3">
              <w:rPr>
                <w:szCs w:val="22"/>
              </w:rPr>
              <w:t>Tel. +370-5-2777-596</w:t>
            </w:r>
          </w:p>
          <w:p w:rsidR="00960503" w:rsidRPr="00EF4AD3" w:rsidRDefault="00960503" w:rsidP="005717F4">
            <w:pPr>
              <w:pStyle w:val="BTEMEASMCA"/>
            </w:pPr>
            <w:r w:rsidRPr="00EF4AD3">
              <w:t>info@armila.com</w:t>
            </w:r>
          </w:p>
          <w:p w:rsidR="00960503" w:rsidRPr="00EF4AD3" w:rsidRDefault="00960503" w:rsidP="00183DD6">
            <w:pPr>
              <w:tabs>
                <w:tab w:val="left" w:pos="-720"/>
              </w:tabs>
              <w:suppressAutoHyphens/>
              <w:rPr>
                <w:szCs w:val="22"/>
              </w:rPr>
            </w:pPr>
          </w:p>
        </w:tc>
      </w:tr>
    </w:tbl>
    <w:p w:rsidR="00960503" w:rsidRPr="00EF4AD3" w:rsidRDefault="00960503" w:rsidP="005717F4">
      <w:pPr>
        <w:pStyle w:val="BTEMEASMCA"/>
      </w:pPr>
    </w:p>
    <w:p w:rsidR="00960503" w:rsidRPr="00EF4AD3" w:rsidRDefault="00960503" w:rsidP="005717F4">
      <w:pPr>
        <w:pStyle w:val="BTbEMEASMCA"/>
      </w:pPr>
      <w:r w:rsidRPr="00EF4AD3">
        <w:rPr>
          <w:bCs/>
        </w:rPr>
        <w:t>Šis pakuotės lapelis</w:t>
      </w:r>
      <w:r w:rsidRPr="00EF4AD3">
        <w:t xml:space="preserve"> paskutinį kartą peržiūrėtas</w:t>
      </w:r>
      <w:r w:rsidR="00F709F5">
        <w:t xml:space="preserve"> 2024-10-22</w:t>
      </w:r>
      <w:r>
        <w:t>.</w:t>
      </w:r>
    </w:p>
    <w:p w:rsidR="00960503" w:rsidRPr="00EF4AD3" w:rsidRDefault="00960503" w:rsidP="00960503">
      <w:pPr>
        <w:rPr>
          <w:szCs w:val="22"/>
        </w:rPr>
      </w:pPr>
    </w:p>
    <w:p w:rsidR="00960503" w:rsidRPr="00EF4AD3" w:rsidRDefault="00960503" w:rsidP="00960503">
      <w:pPr>
        <w:rPr>
          <w:szCs w:val="22"/>
        </w:rPr>
      </w:pPr>
    </w:p>
    <w:p w:rsidR="00960503" w:rsidRPr="00EF4AD3" w:rsidRDefault="00960503" w:rsidP="005717F4">
      <w:pPr>
        <w:pStyle w:val="BTEMEASMCA"/>
      </w:pPr>
      <w:r w:rsidRPr="00EF4AD3">
        <w:t xml:space="preserve">Išsami informacija apie šį vaistą pateikiama Valstybinės vaistų kontrolės tarnybos prie Lietuvos Respublikos sveikatos apsaugos ministerijos tinklalapyje </w:t>
      </w:r>
      <w:r w:rsidR="007F05CC">
        <w:rPr>
          <w:color w:val="0000EE"/>
          <w:u w:val="single"/>
          <w:lang w:eastAsia="lt-LT"/>
        </w:rPr>
        <w:t>https://vvkt.lrv.lt/lt/</w:t>
      </w:r>
      <w:r w:rsidR="00F709F5">
        <w:rPr>
          <w:color w:val="0000EE"/>
          <w:u w:val="single"/>
          <w:lang w:eastAsia="lt-LT"/>
        </w:rPr>
        <w:t>.</w:t>
      </w:r>
    </w:p>
    <w:p w:rsidR="00960503" w:rsidRDefault="00960503" w:rsidP="00960503"/>
    <w:p w:rsidR="00960503" w:rsidRPr="00EF4AD3" w:rsidRDefault="00960503" w:rsidP="005717F4">
      <w:pPr>
        <w:pStyle w:val="BTEMEASMCA"/>
      </w:pPr>
    </w:p>
    <w:sectPr w:rsidR="00960503" w:rsidRPr="00EF4AD3" w:rsidSect="00EF4AD3">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DF" w:rsidRDefault="00FE18DF" w:rsidP="00BD4864">
      <w:r>
        <w:separator/>
      </w:r>
    </w:p>
  </w:endnote>
  <w:endnote w:type="continuationSeparator" w:id="0">
    <w:p w:rsidR="00FE18DF" w:rsidRDefault="00FE18DF" w:rsidP="00BD4864">
      <w:r>
        <w:continuationSeparator/>
      </w:r>
    </w:p>
  </w:endnote>
  <w:endnote w:type="continuationNotice" w:id="1">
    <w:p w:rsidR="00FE18DF" w:rsidRDefault="00FE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305" w:rsidRDefault="00C80305">
    <w:pPr>
      <w:pStyle w:val="Porat"/>
      <w:jc w:val="center"/>
    </w:pPr>
    <w:r>
      <w:fldChar w:fldCharType="begin"/>
    </w:r>
    <w:r>
      <w:instrText>PAGE   \* MERGEFORMAT</w:instrText>
    </w:r>
    <w:r>
      <w:fldChar w:fldCharType="separate"/>
    </w:r>
    <w:r w:rsidR="004D30BC">
      <w:rPr>
        <w:noProof/>
      </w:rPr>
      <w:t>1</w:t>
    </w:r>
    <w:r>
      <w:fldChar w:fldCharType="end"/>
    </w:r>
  </w:p>
  <w:p w:rsidR="00C80305" w:rsidRDefault="00C803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DF" w:rsidRDefault="00FE18DF" w:rsidP="00BD4864">
      <w:r>
        <w:separator/>
      </w:r>
    </w:p>
  </w:footnote>
  <w:footnote w:type="continuationSeparator" w:id="0">
    <w:p w:rsidR="00FE18DF" w:rsidRDefault="00FE18DF" w:rsidP="00BD4864">
      <w:r>
        <w:continuationSeparator/>
      </w:r>
    </w:p>
  </w:footnote>
  <w:footnote w:type="continuationNotice" w:id="1">
    <w:p w:rsidR="00FE18DF" w:rsidRDefault="00FE18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305" w:rsidRDefault="00C803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E2879"/>
    <w:multiLevelType w:val="hybridMultilevel"/>
    <w:tmpl w:val="21645A7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871507"/>
    <w:multiLevelType w:val="hybridMultilevel"/>
    <w:tmpl w:val="D1B0D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9D928CD0"/>
    <w:lvl w:ilvl="0" w:tplc="8EEC8EB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125F3"/>
    <w:multiLevelType w:val="hybridMultilevel"/>
    <w:tmpl w:val="293A132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0D7BB1"/>
    <w:multiLevelType w:val="hybridMultilevel"/>
    <w:tmpl w:val="D2FA3F02"/>
    <w:lvl w:ilvl="0" w:tplc="C6FAE6C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46A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737E2A"/>
    <w:multiLevelType w:val="hybridMultilevel"/>
    <w:tmpl w:val="AF04CCC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0C0159"/>
    <w:multiLevelType w:val="hybridMultilevel"/>
    <w:tmpl w:val="D556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lvlOverride w:ilvl="0">
      <w:lvl w:ilvl="0">
        <w:start w:val="1"/>
        <w:numFmt w:val="bullet"/>
        <w:lvlText w:val="-"/>
        <w:lvlJc w:val="left"/>
        <w:pPr>
          <w:ind w:left="360" w:hanging="360"/>
        </w:pPr>
      </w:lvl>
    </w:lvlOverride>
  </w:num>
  <w:num w:numId="4">
    <w:abstractNumId w:val="9"/>
  </w:num>
  <w:num w:numId="5">
    <w:abstractNumId w:val="2"/>
  </w:num>
  <w:num w:numId="6">
    <w:abstractNumId w:val="8"/>
  </w:num>
  <w:num w:numId="7">
    <w:abstractNumId w:val="5"/>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03EB"/>
    <w:rsid w:val="000131B4"/>
    <w:rsid w:val="0001359B"/>
    <w:rsid w:val="000157E9"/>
    <w:rsid w:val="000346F2"/>
    <w:rsid w:val="00042CF8"/>
    <w:rsid w:val="00046D1C"/>
    <w:rsid w:val="000573BC"/>
    <w:rsid w:val="00072897"/>
    <w:rsid w:val="00074B3C"/>
    <w:rsid w:val="000878C6"/>
    <w:rsid w:val="000B29BF"/>
    <w:rsid w:val="000C3B71"/>
    <w:rsid w:val="000C6B82"/>
    <w:rsid w:val="000D44EC"/>
    <w:rsid w:val="000D5D92"/>
    <w:rsid w:val="000D6B8F"/>
    <w:rsid w:val="000E7BEF"/>
    <w:rsid w:val="000F4629"/>
    <w:rsid w:val="00103E28"/>
    <w:rsid w:val="001120C8"/>
    <w:rsid w:val="00112714"/>
    <w:rsid w:val="00122FC2"/>
    <w:rsid w:val="001365BD"/>
    <w:rsid w:val="00180FDA"/>
    <w:rsid w:val="00183293"/>
    <w:rsid w:val="00183DD6"/>
    <w:rsid w:val="001A44AE"/>
    <w:rsid w:val="001B227E"/>
    <w:rsid w:val="001B3024"/>
    <w:rsid w:val="001E5182"/>
    <w:rsid w:val="001F17E1"/>
    <w:rsid w:val="00202A97"/>
    <w:rsid w:val="00214707"/>
    <w:rsid w:val="00215E89"/>
    <w:rsid w:val="00224EC4"/>
    <w:rsid w:val="002316CF"/>
    <w:rsid w:val="0023567D"/>
    <w:rsid w:val="0024018D"/>
    <w:rsid w:val="00252951"/>
    <w:rsid w:val="0026272B"/>
    <w:rsid w:val="00276547"/>
    <w:rsid w:val="00280B07"/>
    <w:rsid w:val="00291CDA"/>
    <w:rsid w:val="00294F92"/>
    <w:rsid w:val="002A47A7"/>
    <w:rsid w:val="002A726D"/>
    <w:rsid w:val="002B3383"/>
    <w:rsid w:val="002D616C"/>
    <w:rsid w:val="002E22F8"/>
    <w:rsid w:val="002E4DC3"/>
    <w:rsid w:val="002F4582"/>
    <w:rsid w:val="002F7CD9"/>
    <w:rsid w:val="00303AF2"/>
    <w:rsid w:val="003256E1"/>
    <w:rsid w:val="00325B2D"/>
    <w:rsid w:val="0033540E"/>
    <w:rsid w:val="003575A6"/>
    <w:rsid w:val="00362249"/>
    <w:rsid w:val="003712B8"/>
    <w:rsid w:val="00384170"/>
    <w:rsid w:val="00385133"/>
    <w:rsid w:val="003A1F99"/>
    <w:rsid w:val="003B617D"/>
    <w:rsid w:val="003C3EA3"/>
    <w:rsid w:val="003C5CDD"/>
    <w:rsid w:val="003D1740"/>
    <w:rsid w:val="003E00F8"/>
    <w:rsid w:val="003E5558"/>
    <w:rsid w:val="003E721C"/>
    <w:rsid w:val="003F7030"/>
    <w:rsid w:val="00412528"/>
    <w:rsid w:val="00420891"/>
    <w:rsid w:val="004210AC"/>
    <w:rsid w:val="00423E75"/>
    <w:rsid w:val="00424CC5"/>
    <w:rsid w:val="004430E1"/>
    <w:rsid w:val="004637AE"/>
    <w:rsid w:val="00470C5D"/>
    <w:rsid w:val="00480A1C"/>
    <w:rsid w:val="00480D77"/>
    <w:rsid w:val="004841FB"/>
    <w:rsid w:val="004850A1"/>
    <w:rsid w:val="004A162B"/>
    <w:rsid w:val="004B072F"/>
    <w:rsid w:val="004D30BC"/>
    <w:rsid w:val="004E105C"/>
    <w:rsid w:val="004E60AB"/>
    <w:rsid w:val="004F75CF"/>
    <w:rsid w:val="00502155"/>
    <w:rsid w:val="00503A78"/>
    <w:rsid w:val="00505056"/>
    <w:rsid w:val="00511DCE"/>
    <w:rsid w:val="005162B1"/>
    <w:rsid w:val="005265D1"/>
    <w:rsid w:val="00526CF2"/>
    <w:rsid w:val="00533CAB"/>
    <w:rsid w:val="00534C0D"/>
    <w:rsid w:val="00540DC1"/>
    <w:rsid w:val="005717F4"/>
    <w:rsid w:val="00572F8C"/>
    <w:rsid w:val="00577079"/>
    <w:rsid w:val="005774B5"/>
    <w:rsid w:val="00577B00"/>
    <w:rsid w:val="00583D90"/>
    <w:rsid w:val="00587BF4"/>
    <w:rsid w:val="00594425"/>
    <w:rsid w:val="005954BB"/>
    <w:rsid w:val="00596AC8"/>
    <w:rsid w:val="005B19DC"/>
    <w:rsid w:val="005B5ECB"/>
    <w:rsid w:val="005C119D"/>
    <w:rsid w:val="005C731C"/>
    <w:rsid w:val="005D0C4F"/>
    <w:rsid w:val="005D3D27"/>
    <w:rsid w:val="005E7221"/>
    <w:rsid w:val="005F0BCF"/>
    <w:rsid w:val="005F4F71"/>
    <w:rsid w:val="00606D93"/>
    <w:rsid w:val="006177BA"/>
    <w:rsid w:val="00623122"/>
    <w:rsid w:val="00633D05"/>
    <w:rsid w:val="00645D97"/>
    <w:rsid w:val="00654465"/>
    <w:rsid w:val="0066215D"/>
    <w:rsid w:val="0067070F"/>
    <w:rsid w:val="00671506"/>
    <w:rsid w:val="00671C1F"/>
    <w:rsid w:val="00673194"/>
    <w:rsid w:val="0069240B"/>
    <w:rsid w:val="006A04D6"/>
    <w:rsid w:val="006C0758"/>
    <w:rsid w:val="006D45EC"/>
    <w:rsid w:val="006D74D8"/>
    <w:rsid w:val="0070532A"/>
    <w:rsid w:val="00711753"/>
    <w:rsid w:val="00713340"/>
    <w:rsid w:val="00713805"/>
    <w:rsid w:val="00715534"/>
    <w:rsid w:val="007264C9"/>
    <w:rsid w:val="00726BB7"/>
    <w:rsid w:val="00727902"/>
    <w:rsid w:val="00734970"/>
    <w:rsid w:val="00734D56"/>
    <w:rsid w:val="00740426"/>
    <w:rsid w:val="0074655A"/>
    <w:rsid w:val="007715D2"/>
    <w:rsid w:val="00782145"/>
    <w:rsid w:val="00785B22"/>
    <w:rsid w:val="007966DC"/>
    <w:rsid w:val="007B2421"/>
    <w:rsid w:val="007B7D17"/>
    <w:rsid w:val="007C1097"/>
    <w:rsid w:val="007D7C56"/>
    <w:rsid w:val="007E4181"/>
    <w:rsid w:val="007E6798"/>
    <w:rsid w:val="007F05CC"/>
    <w:rsid w:val="00822DF5"/>
    <w:rsid w:val="00824EA0"/>
    <w:rsid w:val="008417BB"/>
    <w:rsid w:val="008537DC"/>
    <w:rsid w:val="00860696"/>
    <w:rsid w:val="00867091"/>
    <w:rsid w:val="008852FF"/>
    <w:rsid w:val="008A0D5C"/>
    <w:rsid w:val="008A2A4B"/>
    <w:rsid w:val="008A409A"/>
    <w:rsid w:val="008A6171"/>
    <w:rsid w:val="008A7EEC"/>
    <w:rsid w:val="008B2AA6"/>
    <w:rsid w:val="008C40EC"/>
    <w:rsid w:val="008C56E1"/>
    <w:rsid w:val="008C6935"/>
    <w:rsid w:val="008D4344"/>
    <w:rsid w:val="00907D78"/>
    <w:rsid w:val="009204E3"/>
    <w:rsid w:val="009418DD"/>
    <w:rsid w:val="00943FED"/>
    <w:rsid w:val="0095142D"/>
    <w:rsid w:val="00952C71"/>
    <w:rsid w:val="00953721"/>
    <w:rsid w:val="009538DB"/>
    <w:rsid w:val="00955348"/>
    <w:rsid w:val="009565C9"/>
    <w:rsid w:val="00960503"/>
    <w:rsid w:val="00972ECB"/>
    <w:rsid w:val="00976BB1"/>
    <w:rsid w:val="009801E8"/>
    <w:rsid w:val="009860A8"/>
    <w:rsid w:val="00995D11"/>
    <w:rsid w:val="009A02A2"/>
    <w:rsid w:val="009A3B87"/>
    <w:rsid w:val="009B0641"/>
    <w:rsid w:val="009C1084"/>
    <w:rsid w:val="009E3DD9"/>
    <w:rsid w:val="009E429E"/>
    <w:rsid w:val="00A03B8E"/>
    <w:rsid w:val="00A11AE4"/>
    <w:rsid w:val="00A26E89"/>
    <w:rsid w:val="00A354C9"/>
    <w:rsid w:val="00A51360"/>
    <w:rsid w:val="00A57887"/>
    <w:rsid w:val="00A6309C"/>
    <w:rsid w:val="00A7005F"/>
    <w:rsid w:val="00A76CED"/>
    <w:rsid w:val="00A85AF0"/>
    <w:rsid w:val="00A90C96"/>
    <w:rsid w:val="00AB1BD5"/>
    <w:rsid w:val="00AD32EA"/>
    <w:rsid w:val="00AD7ED2"/>
    <w:rsid w:val="00AF0DC9"/>
    <w:rsid w:val="00AF3F79"/>
    <w:rsid w:val="00AF685C"/>
    <w:rsid w:val="00B11602"/>
    <w:rsid w:val="00B20CC0"/>
    <w:rsid w:val="00B27C2C"/>
    <w:rsid w:val="00B31FC4"/>
    <w:rsid w:val="00B32AC9"/>
    <w:rsid w:val="00B5098F"/>
    <w:rsid w:val="00B671BE"/>
    <w:rsid w:val="00B67FBA"/>
    <w:rsid w:val="00B70F90"/>
    <w:rsid w:val="00B73DFA"/>
    <w:rsid w:val="00B77628"/>
    <w:rsid w:val="00B80080"/>
    <w:rsid w:val="00B85E23"/>
    <w:rsid w:val="00B905AE"/>
    <w:rsid w:val="00B94282"/>
    <w:rsid w:val="00B94DAF"/>
    <w:rsid w:val="00B957BA"/>
    <w:rsid w:val="00BA3E53"/>
    <w:rsid w:val="00BA3FB7"/>
    <w:rsid w:val="00BC49CF"/>
    <w:rsid w:val="00BC501A"/>
    <w:rsid w:val="00BD03A0"/>
    <w:rsid w:val="00BD1F79"/>
    <w:rsid w:val="00BD350C"/>
    <w:rsid w:val="00BD4864"/>
    <w:rsid w:val="00BE0D6C"/>
    <w:rsid w:val="00BE2364"/>
    <w:rsid w:val="00BF23A5"/>
    <w:rsid w:val="00C05032"/>
    <w:rsid w:val="00C0565F"/>
    <w:rsid w:val="00C12E97"/>
    <w:rsid w:val="00C163AA"/>
    <w:rsid w:val="00C21A79"/>
    <w:rsid w:val="00C33FEA"/>
    <w:rsid w:val="00C4743F"/>
    <w:rsid w:val="00C5111A"/>
    <w:rsid w:val="00C54F10"/>
    <w:rsid w:val="00C57A09"/>
    <w:rsid w:val="00C64F58"/>
    <w:rsid w:val="00C80305"/>
    <w:rsid w:val="00CA3D24"/>
    <w:rsid w:val="00CB27EF"/>
    <w:rsid w:val="00CC0950"/>
    <w:rsid w:val="00CD0BC7"/>
    <w:rsid w:val="00CE0752"/>
    <w:rsid w:val="00CE7AF1"/>
    <w:rsid w:val="00CF7432"/>
    <w:rsid w:val="00D05E9E"/>
    <w:rsid w:val="00D173C1"/>
    <w:rsid w:val="00D17C76"/>
    <w:rsid w:val="00D26AFF"/>
    <w:rsid w:val="00D30F21"/>
    <w:rsid w:val="00D33DEF"/>
    <w:rsid w:val="00D357AB"/>
    <w:rsid w:val="00D35959"/>
    <w:rsid w:val="00D4358F"/>
    <w:rsid w:val="00D50C23"/>
    <w:rsid w:val="00D50D7A"/>
    <w:rsid w:val="00D5166A"/>
    <w:rsid w:val="00D65433"/>
    <w:rsid w:val="00D74CD7"/>
    <w:rsid w:val="00D76A2E"/>
    <w:rsid w:val="00D81CD9"/>
    <w:rsid w:val="00D914A5"/>
    <w:rsid w:val="00D919BD"/>
    <w:rsid w:val="00D92BBA"/>
    <w:rsid w:val="00DA1C8B"/>
    <w:rsid w:val="00DA5738"/>
    <w:rsid w:val="00DB42C1"/>
    <w:rsid w:val="00DC05B2"/>
    <w:rsid w:val="00DD74D4"/>
    <w:rsid w:val="00DE2C90"/>
    <w:rsid w:val="00DF2FBE"/>
    <w:rsid w:val="00DF59B6"/>
    <w:rsid w:val="00DF7A7B"/>
    <w:rsid w:val="00E01A21"/>
    <w:rsid w:val="00E03136"/>
    <w:rsid w:val="00E05DA1"/>
    <w:rsid w:val="00E0762D"/>
    <w:rsid w:val="00E15F2F"/>
    <w:rsid w:val="00E236FE"/>
    <w:rsid w:val="00E27C6B"/>
    <w:rsid w:val="00E304F3"/>
    <w:rsid w:val="00E52503"/>
    <w:rsid w:val="00E70184"/>
    <w:rsid w:val="00E76B32"/>
    <w:rsid w:val="00E76F51"/>
    <w:rsid w:val="00E96585"/>
    <w:rsid w:val="00EA2732"/>
    <w:rsid w:val="00EA36E8"/>
    <w:rsid w:val="00EA7F5A"/>
    <w:rsid w:val="00EB0DE4"/>
    <w:rsid w:val="00ED0BC7"/>
    <w:rsid w:val="00EF4AD3"/>
    <w:rsid w:val="00F1197E"/>
    <w:rsid w:val="00F42E1B"/>
    <w:rsid w:val="00F44423"/>
    <w:rsid w:val="00F4485F"/>
    <w:rsid w:val="00F4487F"/>
    <w:rsid w:val="00F51DFB"/>
    <w:rsid w:val="00F52609"/>
    <w:rsid w:val="00F56341"/>
    <w:rsid w:val="00F709F5"/>
    <w:rsid w:val="00F70B90"/>
    <w:rsid w:val="00F71A1C"/>
    <w:rsid w:val="00F81B56"/>
    <w:rsid w:val="00F908E5"/>
    <w:rsid w:val="00F96A97"/>
    <w:rsid w:val="00F971D7"/>
    <w:rsid w:val="00FA5C05"/>
    <w:rsid w:val="00FA735B"/>
    <w:rsid w:val="00FC370C"/>
    <w:rsid w:val="00FC3E3E"/>
    <w:rsid w:val="00FC5507"/>
    <w:rsid w:val="00FC70A4"/>
    <w:rsid w:val="00FC7D91"/>
    <w:rsid w:val="00FD0A47"/>
    <w:rsid w:val="00FD3086"/>
    <w:rsid w:val="00FE18DF"/>
    <w:rsid w:val="00FF0BFC"/>
    <w:rsid w:val="00FF1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docId w15:val="{BE348B38-1E1B-4772-832A-72421B5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A47"/>
    <w:rPr>
      <w:sz w:val="22"/>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C33FEA"/>
    <w:pPr>
      <w:keepNext/>
      <w:jc w:val="both"/>
      <w:outlineLvl w:val="3"/>
    </w:pPr>
    <w:rPr>
      <w:b/>
      <w:szCs w:val="20"/>
      <w:lang w:val="en-AU"/>
    </w:rPr>
  </w:style>
  <w:style w:type="paragraph" w:styleId="Antrat5">
    <w:name w:val="heading 5"/>
    <w:basedOn w:val="prastasis"/>
    <w:next w:val="prastasis"/>
    <w:qFormat/>
    <w:rsid w:val="00C33FEA"/>
    <w:pPr>
      <w:keepNext/>
      <w:jc w:val="both"/>
      <w:outlineLvl w:val="4"/>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717F4"/>
    <w:pPr>
      <w:tabs>
        <w:tab w:val="left" w:pos="567"/>
      </w:tabs>
    </w:pPr>
    <w:rPr>
      <w:noProof/>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26E89"/>
    <w:pPr>
      <w:numPr>
        <w:numId w:val="1"/>
      </w:numPr>
      <w:tabs>
        <w:tab w:val="clear" w:pos="720"/>
        <w:tab w:val="num" w:pos="567"/>
      </w:tabs>
      <w:ind w:left="567" w:hanging="567"/>
    </w:pPr>
  </w:style>
  <w:style w:type="paragraph" w:customStyle="1" w:styleId="PI-3EMEASMCA">
    <w:name w:val="PI-3 EMEA_SMCA"/>
    <w:basedOn w:val="prastasis"/>
    <w:autoRedefine/>
    <w:rsid w:val="0067070F"/>
    <w:rPr>
      <w:bCs/>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5717F4"/>
    <w:rPr>
      <w:noProof/>
      <w:sz w:val="22"/>
      <w:szCs w:val="22"/>
      <w:lang w:eastAsia="en-US"/>
    </w:rPr>
  </w:style>
  <w:style w:type="character" w:customStyle="1" w:styleId="BTgEMEASMCAChar">
    <w:name w:val="BT(g) EMEA_SMCA Char"/>
    <w:link w:val="BTgEMEASMCA"/>
    <w:rsid w:val="00633D05"/>
    <w:rPr>
      <w:i/>
      <w:noProof/>
      <w:color w:val="008000"/>
      <w:sz w:val="22"/>
      <w:szCs w:val="22"/>
      <w:lang w:val="lt-LT"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rsid w:val="0078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0"/>
    </w:rPr>
  </w:style>
  <w:style w:type="paragraph" w:styleId="Pagrindinistekstas2">
    <w:name w:val="Body Text 2"/>
    <w:basedOn w:val="prastasis"/>
    <w:link w:val="Pagrindinistekstas2Diagrama"/>
    <w:rsid w:val="00782145"/>
    <w:pPr>
      <w:spacing w:after="120" w:line="480" w:lineRule="auto"/>
    </w:pPr>
  </w:style>
  <w:style w:type="paragraph" w:styleId="Pagrindinistekstas3">
    <w:name w:val="Body Text 3"/>
    <w:basedOn w:val="prastasis"/>
    <w:rsid w:val="00782145"/>
    <w:pPr>
      <w:spacing w:after="120"/>
    </w:pPr>
    <w:rPr>
      <w:sz w:val="16"/>
      <w:szCs w:val="16"/>
    </w:rPr>
  </w:style>
  <w:style w:type="table" w:styleId="Lentelstinklelis">
    <w:name w:val="Table Grid"/>
    <w:basedOn w:val="prastojilentel"/>
    <w:rsid w:val="0018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6309C"/>
    <w:pPr>
      <w:jc w:val="center"/>
    </w:pPr>
    <w:rPr>
      <w:b/>
      <w:szCs w:val="20"/>
      <w:lang w:val="en-GB"/>
    </w:rPr>
  </w:style>
  <w:style w:type="paragraph" w:styleId="Dokumentoinaostekstas">
    <w:name w:val="endnote text"/>
    <w:basedOn w:val="prastasis"/>
    <w:semiHidden/>
    <w:rsid w:val="000D44EC"/>
    <w:pPr>
      <w:tabs>
        <w:tab w:val="left" w:pos="567"/>
      </w:tabs>
    </w:pPr>
    <w:rPr>
      <w:szCs w:val="20"/>
      <w:lang w:val="en-GB"/>
    </w:rPr>
  </w:style>
  <w:style w:type="character" w:styleId="Komentaronuoroda">
    <w:name w:val="annotation reference"/>
    <w:uiPriority w:val="99"/>
    <w:rsid w:val="00F56341"/>
    <w:rPr>
      <w:sz w:val="16"/>
      <w:szCs w:val="16"/>
    </w:rPr>
  </w:style>
  <w:style w:type="paragraph" w:styleId="Komentarotekstas">
    <w:name w:val="annotation text"/>
    <w:basedOn w:val="prastasis"/>
    <w:link w:val="KomentarotekstasDiagrama"/>
    <w:uiPriority w:val="99"/>
    <w:rsid w:val="00F56341"/>
    <w:rPr>
      <w:sz w:val="20"/>
      <w:szCs w:val="20"/>
      <w:lang w:val="x-none"/>
    </w:rPr>
  </w:style>
  <w:style w:type="character" w:customStyle="1" w:styleId="KomentarotekstasDiagrama">
    <w:name w:val="Komentaro tekstas Diagrama"/>
    <w:link w:val="Komentarotekstas"/>
    <w:uiPriority w:val="99"/>
    <w:rsid w:val="00F56341"/>
    <w:rPr>
      <w:lang w:eastAsia="en-US"/>
    </w:rPr>
  </w:style>
  <w:style w:type="paragraph" w:styleId="Komentarotema">
    <w:name w:val="annotation subject"/>
    <w:basedOn w:val="Komentarotekstas"/>
    <w:next w:val="Komentarotekstas"/>
    <w:link w:val="KomentarotemaDiagrama"/>
    <w:rsid w:val="00F56341"/>
    <w:rPr>
      <w:b/>
      <w:bCs/>
    </w:rPr>
  </w:style>
  <w:style w:type="character" w:customStyle="1" w:styleId="KomentarotemaDiagrama">
    <w:name w:val="Komentaro tema Diagrama"/>
    <w:link w:val="Komentarotema"/>
    <w:rsid w:val="00F56341"/>
    <w:rPr>
      <w:b/>
      <w:bCs/>
      <w:lang w:eastAsia="en-US"/>
    </w:rPr>
  </w:style>
  <w:style w:type="paragraph" w:styleId="Paprastasistekstas">
    <w:name w:val="Plain Text"/>
    <w:basedOn w:val="prastasis"/>
    <w:link w:val="PaprastasistekstasDiagrama"/>
    <w:uiPriority w:val="99"/>
    <w:rsid w:val="00F56341"/>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56341"/>
    <w:rPr>
      <w:rFonts w:ascii="Courier New" w:eastAsia="SimSun" w:hAnsi="Courier New"/>
      <w:lang w:val="en-US" w:eastAsia="en-US"/>
    </w:rPr>
  </w:style>
  <w:style w:type="character" w:customStyle="1" w:styleId="PagrindinistekstasDiagrama">
    <w:name w:val="Pagrindinis tekstas Diagrama"/>
    <w:link w:val="Pagrindinistekstas"/>
    <w:rsid w:val="00B11602"/>
    <w:rPr>
      <w:spacing w:val="-3"/>
      <w:sz w:val="28"/>
      <w:lang w:val="lt-LT" w:eastAsia="en-US"/>
    </w:rPr>
  </w:style>
  <w:style w:type="paragraph" w:styleId="Pataisymai">
    <w:name w:val="Revision"/>
    <w:hidden/>
    <w:uiPriority w:val="99"/>
    <w:semiHidden/>
    <w:rsid w:val="00D05E9E"/>
    <w:rPr>
      <w:sz w:val="24"/>
      <w:szCs w:val="24"/>
      <w:lang w:eastAsia="en-US"/>
    </w:rPr>
  </w:style>
  <w:style w:type="paragraph" w:customStyle="1" w:styleId="Pavadinimas1">
    <w:name w:val="Pavadinimas1"/>
    <w:basedOn w:val="prastasis"/>
    <w:rsid w:val="00D74CD7"/>
    <w:pPr>
      <w:spacing w:before="100" w:beforeAutospacing="1" w:after="100" w:afterAutospacing="1"/>
    </w:pPr>
    <w:rPr>
      <w:sz w:val="24"/>
      <w:lang w:val="de-DE" w:eastAsia="de-DE"/>
    </w:rPr>
  </w:style>
  <w:style w:type="character" w:customStyle="1" w:styleId="jrnl">
    <w:name w:val="jrnl"/>
    <w:rsid w:val="00D74CD7"/>
  </w:style>
  <w:style w:type="paragraph" w:customStyle="1" w:styleId="Normal1">
    <w:name w:val="Normal1"/>
    <w:rsid w:val="00FA735B"/>
    <w:pPr>
      <w:widowControl w:val="0"/>
    </w:pPr>
    <w:rPr>
      <w:noProof/>
      <w:sz w:val="24"/>
      <w:lang w:val="en-GB" w:eastAsia="en-US"/>
    </w:rPr>
  </w:style>
  <w:style w:type="paragraph" w:styleId="Antrats">
    <w:name w:val="header"/>
    <w:basedOn w:val="prastasis"/>
    <w:link w:val="AntratsDiagrama"/>
    <w:rsid w:val="00BD4864"/>
    <w:pPr>
      <w:tabs>
        <w:tab w:val="center" w:pos="4819"/>
        <w:tab w:val="right" w:pos="9638"/>
      </w:tabs>
    </w:pPr>
  </w:style>
  <w:style w:type="character" w:customStyle="1" w:styleId="AntratsDiagrama">
    <w:name w:val="Antraštės Diagrama"/>
    <w:link w:val="Antrats"/>
    <w:rsid w:val="00BD4864"/>
    <w:rPr>
      <w:sz w:val="22"/>
      <w:szCs w:val="24"/>
      <w:lang w:eastAsia="en-US"/>
    </w:rPr>
  </w:style>
  <w:style w:type="paragraph" w:styleId="Porat">
    <w:name w:val="footer"/>
    <w:basedOn w:val="prastasis"/>
    <w:link w:val="PoratDiagrama"/>
    <w:uiPriority w:val="99"/>
    <w:rsid w:val="00BD4864"/>
    <w:pPr>
      <w:tabs>
        <w:tab w:val="center" w:pos="4819"/>
        <w:tab w:val="right" w:pos="9638"/>
      </w:tabs>
    </w:pPr>
  </w:style>
  <w:style w:type="character" w:customStyle="1" w:styleId="PoratDiagrama">
    <w:name w:val="Poraštė Diagrama"/>
    <w:link w:val="Porat"/>
    <w:uiPriority w:val="99"/>
    <w:rsid w:val="00BD4864"/>
    <w:rPr>
      <w:sz w:val="22"/>
      <w:szCs w:val="24"/>
      <w:lang w:eastAsia="en-US"/>
    </w:rPr>
  </w:style>
  <w:style w:type="character" w:customStyle="1" w:styleId="Pagrindinistekstas2Diagrama">
    <w:name w:val="Pagrindinis tekstas 2 Diagrama"/>
    <w:link w:val="Pagrindinistekstas2"/>
    <w:rsid w:val="00960503"/>
    <w:rPr>
      <w:sz w:val="22"/>
      <w:szCs w:val="24"/>
      <w:lang w:eastAsia="en-US"/>
    </w:rPr>
  </w:style>
  <w:style w:type="character" w:customStyle="1" w:styleId="PavadinimasDiagrama">
    <w:name w:val="Pavadinimas Diagrama"/>
    <w:link w:val="Pavadinimas"/>
    <w:rsid w:val="00960503"/>
    <w:rPr>
      <w:b/>
      <w:sz w:val="22"/>
      <w:lang w:val="en-GB" w:eastAsia="en-US"/>
    </w:rPr>
  </w:style>
  <w:style w:type="paragraph" w:customStyle="1" w:styleId="Default">
    <w:name w:val="Default"/>
    <w:rsid w:val="005162B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Mycobacterium_aviu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2C9B-3E3B-44B8-97F6-94F70A7B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10FCB-B750-488D-BD7F-F4A8428CD8E2}">
  <ds:schemaRefs>
    <ds:schemaRef ds:uri="http://schemas.microsoft.com/sharepoint/v3/contenttype/forms"/>
  </ds:schemaRefs>
</ds:datastoreItem>
</file>

<file path=customXml/itemProps3.xml><?xml version="1.0" encoding="utf-8"?>
<ds:datastoreItem xmlns:ds="http://schemas.openxmlformats.org/officeDocument/2006/customXml" ds:itemID="{A1C3B84E-FEE5-41B3-8923-79F83E8FE1D3}">
  <ds:schemaRef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ea578dab-61e6-4d8f-8d68-0a59948e1263"/>
    <ds:schemaRef ds:uri="d19e8a94-5e0e-405d-9c1b-17bc369e11bf"/>
    <ds:schemaRef ds:uri="http://www.w3.org/XML/1998/namespace"/>
    <ds:schemaRef ds:uri="http://purl.org/dc/terms/"/>
  </ds:schemaRefs>
</ds:datastoreItem>
</file>

<file path=customXml/itemProps4.xml><?xml version="1.0" encoding="utf-8"?>
<ds:datastoreItem xmlns:ds="http://schemas.openxmlformats.org/officeDocument/2006/customXml" ds:itemID="{766FAB42-E26E-46AE-862E-89228DAE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27680</Words>
  <Characters>15778</Characters>
  <Application>Microsoft Office Word</Application>
  <DocSecurity>4</DocSecurity>
  <Lines>131</Lines>
  <Paragraphs>86</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43372</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1310829</vt:i4>
      </vt:variant>
      <vt:variant>
        <vt:i4>0</vt:i4>
      </vt:variant>
      <vt:variant>
        <vt:i4>0</vt:i4>
      </vt:variant>
      <vt:variant>
        <vt:i4>5</vt:i4>
      </vt:variant>
      <vt:variant>
        <vt:lpwstr>http://en.wikipedia.org/wiki/Mycobacterium_avium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2019-04-23T13:25:00Z</cp:lastPrinted>
  <dcterms:created xsi:type="dcterms:W3CDTF">2024-10-22T06:37:00Z</dcterms:created>
  <dcterms:modified xsi:type="dcterms:W3CDTF">2024-10-22T06:37:00Z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0x010100B679C3A6D58A5544AF5371198A046D66</vt:lpwstr>
  </property>
  <property fmtid="{D5CDD505-2E9C-101B-9397-08002B2CF9AE}" pid="3" name="MSIP_Label_6ddddc05-6d75-4c89-ae8a-b8ab1a1994bc_Enabled">
    <vt:lpwstr>true</vt:lpwstr>
  </property>
  <property fmtid="{D5CDD505-2E9C-101B-9397-08002B2CF9AE}" pid="4" name="MSIP_Label_6ddddc05-6d75-4c89-ae8a-b8ab1a1994bc_SetDate">
    <vt:lpwstr>2021-11-23T11:22:10Z</vt:lpwstr>
  </property>
  <property fmtid="{D5CDD505-2E9C-101B-9397-08002B2CF9AE}" pid="5" name="MSIP_Label_6ddddc05-6d75-4c89-ae8a-b8ab1a1994bc_Method">
    <vt:lpwstr>Standard</vt:lpwstr>
  </property>
  <property fmtid="{D5CDD505-2E9C-101B-9397-08002B2CF9AE}" pid="6" name="MSIP_Label_6ddddc05-6d75-4c89-ae8a-b8ab1a1994bc_Name">
    <vt:lpwstr>without watermark</vt:lpwstr>
  </property>
  <property fmtid="{D5CDD505-2E9C-101B-9397-08002B2CF9AE}" pid="7" name="MSIP_Label_6ddddc05-6d75-4c89-ae8a-b8ab1a1994bc_SiteId">
    <vt:lpwstr>ff9ac3ce-3c41-41c3-b556-e1b32a662fed</vt:lpwstr>
  </property>
  <property fmtid="{D5CDD505-2E9C-101B-9397-08002B2CF9AE}" pid="8" name="MSIP_Label_6ddddc05-6d75-4c89-ae8a-b8ab1a1994bc_ActionId">
    <vt:lpwstr>49a4c62a-683f-4442-9277-f19e7368e89c</vt:lpwstr>
  </property>
  <property fmtid="{D5CDD505-2E9C-101B-9397-08002B2CF9AE}" pid="9" name="MSIP_Label_6ddddc05-6d75-4c89-ae8a-b8ab1a1994bc_ContentBits">
    <vt:lpwstr>0</vt:lpwstr>
  </property>
</Properties>
</file>